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042309F1" w14:textId="77777777">
      <w:pPr>
        <w:jc w:val="center"/>
        <w:rPr>
          <w:b/>
        </w:rPr>
      </w:pPr>
      <w:r w:rsidRPr="0070224F">
        <w:rPr>
          <w:rFonts w:ascii="Times New Roman Bold" w:hAnsi="Times New Roman Bold"/>
          <w:b/>
          <w:kern w:val="0"/>
          <w:szCs w:val="22"/>
        </w:rPr>
        <w:t>Before</w:t>
      </w:r>
      <w:r>
        <w:rPr>
          <w:b/>
        </w:rPr>
        <w:t xml:space="preserve"> the</w:t>
      </w:r>
    </w:p>
    <w:p w:rsidR="00921803" w:rsidP="00921803" w14:paraId="4F4120AA" w14:textId="77777777">
      <w:pPr>
        <w:pStyle w:val="StyleBoldCentered"/>
      </w:pPr>
      <w:r>
        <w:t>F</w:t>
      </w:r>
      <w:r>
        <w:rPr>
          <w:caps w:val="0"/>
        </w:rPr>
        <w:t>ederal Communications Commission</w:t>
      </w:r>
    </w:p>
    <w:p w:rsidR="004C2EE3" w:rsidP="00096D8C" w14:paraId="108F09DB" w14:textId="77777777">
      <w:pPr>
        <w:pStyle w:val="StyleBoldCentered"/>
      </w:pPr>
      <w:r>
        <w:rPr>
          <w:caps w:val="0"/>
        </w:rPr>
        <w:t>Washington, D.C. 20554</w:t>
      </w:r>
    </w:p>
    <w:p w:rsidR="004C2EE3" w:rsidP="0070224F" w14:paraId="5A79BFD8" w14:textId="77777777"/>
    <w:p w:rsidR="004C2EE3" w:rsidP="0070224F" w14:paraId="0BC19E88" w14:textId="77777777"/>
    <w:tbl>
      <w:tblPr>
        <w:tblW w:w="0" w:type="auto"/>
        <w:tblLayout w:type="fixed"/>
        <w:tblLook w:val="0000"/>
      </w:tblPr>
      <w:tblGrid>
        <w:gridCol w:w="4698"/>
        <w:gridCol w:w="630"/>
        <w:gridCol w:w="4248"/>
      </w:tblGrid>
      <w:tr w14:paraId="538D42E0" w14:textId="77777777">
        <w:tblPrEx>
          <w:tblW w:w="0" w:type="auto"/>
          <w:tblLayout w:type="fixed"/>
          <w:tblLook w:val="0000"/>
        </w:tblPrEx>
        <w:tc>
          <w:tcPr>
            <w:tcW w:w="4698" w:type="dxa"/>
          </w:tcPr>
          <w:p w:rsidR="004C2EE3" w14:paraId="1DEB91D0" w14:textId="77777777">
            <w:pPr>
              <w:tabs>
                <w:tab w:val="center" w:pos="4680"/>
              </w:tabs>
              <w:suppressAutoHyphens/>
              <w:rPr>
                <w:spacing w:val="-2"/>
              </w:rPr>
            </w:pPr>
            <w:r>
              <w:rPr>
                <w:spacing w:val="-2"/>
              </w:rPr>
              <w:t>In the Matter of</w:t>
            </w:r>
          </w:p>
          <w:p w:rsidR="004C2EE3" w14:paraId="71459A32" w14:textId="77777777">
            <w:pPr>
              <w:tabs>
                <w:tab w:val="center" w:pos="4680"/>
              </w:tabs>
              <w:suppressAutoHyphens/>
              <w:rPr>
                <w:spacing w:val="-2"/>
              </w:rPr>
            </w:pPr>
          </w:p>
          <w:p w:rsidR="004C2EE3" w:rsidRPr="007115F7" w:rsidP="007115F7" w14:paraId="163974DD" w14:textId="2521B294">
            <w:pPr>
              <w:tabs>
                <w:tab w:val="center" w:pos="4680"/>
              </w:tabs>
              <w:suppressAutoHyphens/>
              <w:rPr>
                <w:spacing w:val="-2"/>
              </w:rPr>
            </w:pPr>
            <w:r w:rsidRPr="00320D3A">
              <w:rPr>
                <w:spacing w:val="-2"/>
              </w:rPr>
              <w:t>Amendment of Part 11 of the Commission</w:t>
            </w:r>
            <w:r>
              <w:rPr>
                <w:spacing w:val="-2"/>
              </w:rPr>
              <w:t>’</w:t>
            </w:r>
            <w:r w:rsidRPr="00320D3A">
              <w:rPr>
                <w:spacing w:val="-2"/>
              </w:rPr>
              <w:t xml:space="preserve"> Rules Regarding the Emergency Alert System</w:t>
            </w:r>
          </w:p>
        </w:tc>
        <w:tc>
          <w:tcPr>
            <w:tcW w:w="630" w:type="dxa"/>
          </w:tcPr>
          <w:p w:rsidR="004C2EE3" w14:paraId="35451023" w14:textId="77777777">
            <w:pPr>
              <w:tabs>
                <w:tab w:val="center" w:pos="4680"/>
              </w:tabs>
              <w:suppressAutoHyphens/>
              <w:rPr>
                <w:b/>
                <w:spacing w:val="-2"/>
              </w:rPr>
            </w:pPr>
            <w:r>
              <w:rPr>
                <w:b/>
                <w:spacing w:val="-2"/>
              </w:rPr>
              <w:t>)</w:t>
            </w:r>
          </w:p>
          <w:p w:rsidR="004C2EE3" w14:paraId="3588DDFD" w14:textId="77777777">
            <w:pPr>
              <w:tabs>
                <w:tab w:val="center" w:pos="4680"/>
              </w:tabs>
              <w:suppressAutoHyphens/>
              <w:rPr>
                <w:b/>
                <w:spacing w:val="-2"/>
              </w:rPr>
            </w:pPr>
            <w:r>
              <w:rPr>
                <w:b/>
                <w:spacing w:val="-2"/>
              </w:rPr>
              <w:t>)</w:t>
            </w:r>
          </w:p>
          <w:p w:rsidR="004C2EE3" w14:paraId="5EB9137E" w14:textId="77777777">
            <w:pPr>
              <w:tabs>
                <w:tab w:val="center" w:pos="4680"/>
              </w:tabs>
              <w:suppressAutoHyphens/>
              <w:rPr>
                <w:b/>
                <w:spacing w:val="-2"/>
              </w:rPr>
            </w:pPr>
            <w:r>
              <w:rPr>
                <w:b/>
                <w:spacing w:val="-2"/>
              </w:rPr>
              <w:t>)</w:t>
            </w:r>
          </w:p>
          <w:p w:rsidR="004C2EE3" w14:paraId="7D2DA7C7" w14:textId="77777777">
            <w:pPr>
              <w:tabs>
                <w:tab w:val="center" w:pos="4680"/>
              </w:tabs>
              <w:suppressAutoHyphens/>
              <w:rPr>
                <w:b/>
                <w:spacing w:val="-2"/>
              </w:rPr>
            </w:pPr>
            <w:r>
              <w:rPr>
                <w:b/>
                <w:spacing w:val="-2"/>
              </w:rPr>
              <w:t>)</w:t>
            </w:r>
          </w:p>
          <w:p w:rsidR="004C2EE3" w14:paraId="2E9EE4D8" w14:textId="65F6DB15">
            <w:pPr>
              <w:tabs>
                <w:tab w:val="center" w:pos="4680"/>
              </w:tabs>
              <w:suppressAutoHyphens/>
              <w:rPr>
                <w:spacing w:val="-2"/>
              </w:rPr>
            </w:pPr>
          </w:p>
        </w:tc>
        <w:tc>
          <w:tcPr>
            <w:tcW w:w="4248" w:type="dxa"/>
          </w:tcPr>
          <w:p w:rsidR="004C2EE3" w14:paraId="20BDEF63" w14:textId="77777777">
            <w:pPr>
              <w:tabs>
                <w:tab w:val="center" w:pos="4680"/>
              </w:tabs>
              <w:suppressAutoHyphens/>
              <w:rPr>
                <w:spacing w:val="-2"/>
              </w:rPr>
            </w:pPr>
          </w:p>
          <w:p w:rsidR="004C2EE3" w14:paraId="3195764B" w14:textId="77777777">
            <w:pPr>
              <w:pStyle w:val="TOAHeading"/>
              <w:tabs>
                <w:tab w:val="center" w:pos="4680"/>
                <w:tab w:val="clear" w:pos="9360"/>
              </w:tabs>
              <w:rPr>
                <w:spacing w:val="-2"/>
              </w:rPr>
            </w:pPr>
          </w:p>
          <w:p w:rsidR="004C2EE3" w14:paraId="4DE7E01B" w14:textId="1DF86B11">
            <w:pPr>
              <w:tabs>
                <w:tab w:val="center" w:pos="4680"/>
              </w:tabs>
              <w:suppressAutoHyphens/>
              <w:rPr>
                <w:spacing w:val="-2"/>
              </w:rPr>
            </w:pPr>
            <w:r>
              <w:rPr>
                <w:spacing w:val="-2"/>
              </w:rPr>
              <w:t>PS</w:t>
            </w:r>
            <w:r w:rsidR="00A60522">
              <w:rPr>
                <w:spacing w:val="-2"/>
              </w:rPr>
              <w:t xml:space="preserve"> Docket No. 15-94</w:t>
            </w:r>
          </w:p>
        </w:tc>
      </w:tr>
    </w:tbl>
    <w:p w:rsidR="004C2EE3" w:rsidP="0070224F" w14:paraId="6D4B67C2" w14:textId="77777777"/>
    <w:p w:rsidR="00841AB1" w:rsidP="00F021FA" w14:paraId="00D87C42" w14:textId="7C4B273E">
      <w:pPr>
        <w:pStyle w:val="StyleBoldCentered"/>
      </w:pPr>
      <w:r>
        <w:t>Order</w:t>
      </w:r>
    </w:p>
    <w:p w:rsidR="004C2EE3" w14:paraId="0C23B058" w14:textId="77777777">
      <w:pPr>
        <w:tabs>
          <w:tab w:val="left" w:pos="-720"/>
        </w:tabs>
        <w:suppressAutoHyphens/>
        <w:spacing w:line="227" w:lineRule="auto"/>
        <w:rPr>
          <w:spacing w:val="-2"/>
        </w:rPr>
      </w:pPr>
    </w:p>
    <w:p w:rsidR="004C2EE3" w:rsidP="00133F79" w14:paraId="5030D492" w14:textId="643A7959">
      <w:pPr>
        <w:tabs>
          <w:tab w:val="left" w:pos="720"/>
          <w:tab w:val="right" w:pos="9360"/>
        </w:tabs>
        <w:suppressAutoHyphens/>
        <w:spacing w:line="227" w:lineRule="auto"/>
        <w:rPr>
          <w:spacing w:val="-2"/>
        </w:rPr>
      </w:pPr>
      <w:r w:rsidRPr="00BB56EB">
        <w:rPr>
          <w:b/>
          <w:spacing w:val="-2"/>
        </w:rPr>
        <w:t xml:space="preserve">Adopted:  </w:t>
      </w:r>
      <w:r w:rsidR="006B08C2">
        <w:rPr>
          <w:b/>
          <w:spacing w:val="-2"/>
        </w:rPr>
        <w:t>February</w:t>
      </w:r>
      <w:r>
        <w:rPr>
          <w:b/>
          <w:spacing w:val="-2"/>
        </w:rPr>
        <w:t xml:space="preserve"> </w:t>
      </w:r>
      <w:r w:rsidR="00BE0223">
        <w:rPr>
          <w:b/>
          <w:spacing w:val="-2"/>
        </w:rPr>
        <w:t>3</w:t>
      </w:r>
      <w:r>
        <w:rPr>
          <w:b/>
          <w:spacing w:val="-2"/>
        </w:rPr>
        <w:t xml:space="preserve">, </w:t>
      </w:r>
      <w:r w:rsidR="0003660A">
        <w:rPr>
          <w:b/>
          <w:spacing w:val="-2"/>
        </w:rPr>
        <w:t xml:space="preserve">2026 </w:t>
      </w:r>
      <w:r w:rsidR="0003660A">
        <w:rPr>
          <w:b/>
          <w:spacing w:val="-2"/>
        </w:rPr>
        <w:tab/>
      </w:r>
      <w:r w:rsidR="005F24D6">
        <w:rPr>
          <w:b/>
          <w:spacing w:val="-2"/>
        </w:rPr>
        <w:t>Released</w:t>
      </w:r>
      <w:r w:rsidR="0003660A">
        <w:rPr>
          <w:b/>
          <w:spacing w:val="-2"/>
        </w:rPr>
        <w:t xml:space="preserve">:  </w:t>
      </w:r>
      <w:r w:rsidR="006B08C2">
        <w:rPr>
          <w:b/>
          <w:spacing w:val="-2"/>
        </w:rPr>
        <w:t xml:space="preserve">February </w:t>
      </w:r>
      <w:r w:rsidR="00BE0223">
        <w:rPr>
          <w:b/>
          <w:spacing w:val="-2"/>
        </w:rPr>
        <w:t>3</w:t>
      </w:r>
      <w:r w:rsidR="0003660A">
        <w:rPr>
          <w:b/>
          <w:spacing w:val="-2"/>
        </w:rPr>
        <w:t>, 2026</w:t>
      </w:r>
    </w:p>
    <w:p w:rsidR="00822CE0" w14:paraId="7C57B7A5" w14:textId="77777777"/>
    <w:p w:rsidR="004C2EE3" w14:paraId="4C2D2BED" w14:textId="4A2B0631">
      <w:pPr>
        <w:rPr>
          <w:spacing w:val="-2"/>
        </w:rPr>
      </w:pPr>
      <w:r w:rsidRPr="00BB56EB">
        <w:t xml:space="preserve">By the </w:t>
      </w:r>
      <w:r w:rsidRPr="00BB56EB">
        <w:rPr>
          <w:spacing w:val="-2"/>
        </w:rPr>
        <w:t xml:space="preserve">Chief, </w:t>
      </w:r>
      <w:r w:rsidRPr="00CB05D5">
        <w:rPr>
          <w:spacing w:val="-2"/>
        </w:rPr>
        <w:t>Public Safety and Homeland Security Bureau</w:t>
      </w:r>
      <w:r>
        <w:rPr>
          <w:spacing w:val="-2"/>
        </w:rPr>
        <w:t>:</w:t>
      </w:r>
    </w:p>
    <w:p w:rsidR="00822CE0" w14:paraId="7BFB0E04" w14:textId="77777777">
      <w:pPr>
        <w:rPr>
          <w:spacing w:val="-2"/>
        </w:rPr>
      </w:pPr>
    </w:p>
    <w:p w:rsidR="00412FC5" w:rsidP="00C36B4C" w14:paraId="6955B75F" w14:textId="0BF93ABE">
      <w:pPr>
        <w:pStyle w:val="Heading1"/>
      </w:pPr>
      <w:r>
        <w:t>I</w:t>
      </w:r>
      <w:r w:rsidR="00D16083">
        <w:t>ntroduction</w:t>
      </w:r>
    </w:p>
    <w:p w:rsidR="00253AD4" w:rsidP="00D16083" w14:paraId="393B07EB" w14:textId="5956A6F0">
      <w:pPr>
        <w:pStyle w:val="ParaNum"/>
      </w:pPr>
      <w:r w:rsidRPr="006201DA">
        <w:t>In this Order</w:t>
      </w:r>
      <w:r w:rsidR="00F74F23">
        <w:t>,</w:t>
      </w:r>
      <w:r w:rsidRPr="006201DA">
        <w:t xml:space="preserve"> </w:t>
      </w:r>
      <w:r w:rsidR="001D292E">
        <w:t>the Public Safety and Homeland Security Bureau (Bureau)</w:t>
      </w:r>
      <w:r w:rsidRPr="006201DA">
        <w:t xml:space="preserve"> </w:t>
      </w:r>
      <w:r w:rsidR="000B4267">
        <w:t>considers</w:t>
      </w:r>
      <w:r w:rsidR="000002B0">
        <w:t xml:space="preserve"> </w:t>
      </w:r>
      <w:r>
        <w:t>a</w:t>
      </w:r>
      <w:r w:rsidRPr="006201DA">
        <w:t xml:space="preserve"> </w:t>
      </w:r>
      <w:r w:rsidR="003E3DEE">
        <w:t xml:space="preserve">request </w:t>
      </w:r>
      <w:r w:rsidRPr="006201DA">
        <w:t>filed by</w:t>
      </w:r>
      <w:r w:rsidR="00D007FD">
        <w:t xml:space="preserve"> the</w:t>
      </w:r>
      <w:r w:rsidRPr="006201DA">
        <w:t xml:space="preserve"> </w:t>
      </w:r>
      <w:r w:rsidRPr="00175E5D" w:rsidR="00175E5D">
        <w:t xml:space="preserve">Fort Myers Broadcasting Company </w:t>
      </w:r>
      <w:r w:rsidR="00CF6890">
        <w:t>(</w:t>
      </w:r>
      <w:r w:rsidR="00F26A3C">
        <w:t>F</w:t>
      </w:r>
      <w:r w:rsidR="00A95C43">
        <w:t>MBC</w:t>
      </w:r>
      <w:r w:rsidRPr="00175E5D" w:rsidR="00175E5D">
        <w:t>)</w:t>
      </w:r>
      <w:r w:rsidR="00730EA0">
        <w:t xml:space="preserve"> </w:t>
      </w:r>
      <w:r w:rsidR="00D007FD">
        <w:t>seeking</w:t>
      </w:r>
      <w:r w:rsidRPr="006201DA" w:rsidR="00730EA0">
        <w:t xml:space="preserve"> </w:t>
      </w:r>
      <w:r w:rsidR="00730EA0">
        <w:t xml:space="preserve">a </w:t>
      </w:r>
      <w:r w:rsidR="00B00BF0">
        <w:t>limited</w:t>
      </w:r>
      <w:r w:rsidR="00730EA0">
        <w:t xml:space="preserve"> </w:t>
      </w:r>
      <w:r w:rsidRPr="006201DA" w:rsidR="00730EA0">
        <w:t xml:space="preserve">waiver </w:t>
      </w:r>
      <w:r w:rsidR="00730EA0">
        <w:t xml:space="preserve">of the Commission’s </w:t>
      </w:r>
      <w:r w:rsidR="001D292E">
        <w:t xml:space="preserve">rule </w:t>
      </w:r>
      <w:r w:rsidR="003E3DEE">
        <w:t>addressing</w:t>
      </w:r>
      <w:r w:rsidR="00D510B6">
        <w:t xml:space="preserve"> </w:t>
      </w:r>
      <w:r w:rsidR="00A7664F">
        <w:t xml:space="preserve">operational readiness for </w:t>
      </w:r>
      <w:r w:rsidR="00730EA0">
        <w:t xml:space="preserve">Emergency Alert System (EAS) </w:t>
      </w:r>
      <w:r w:rsidR="00D510B6">
        <w:t>equipment</w:t>
      </w:r>
      <w:r w:rsidR="003E3DEE">
        <w:t xml:space="preserve"> as applied to three </w:t>
      </w:r>
      <w:r w:rsidRPr="00B4663A" w:rsidR="003E3DEE">
        <w:t xml:space="preserve">broadcast radio stations </w:t>
      </w:r>
      <w:r w:rsidR="003E3DEE">
        <w:t>(</w:t>
      </w:r>
      <w:r w:rsidRPr="00B4663A" w:rsidR="003E3DEE">
        <w:t>WINK-FM, WTLQ-FM, and WAVV-FM</w:t>
      </w:r>
      <w:r w:rsidR="003E3DEE">
        <w:t>)</w:t>
      </w:r>
      <w:r w:rsidRPr="00B4663A" w:rsidR="003E3DEE">
        <w:t xml:space="preserve"> and </w:t>
      </w:r>
      <w:r w:rsidR="003E3DEE">
        <w:t xml:space="preserve">one broadcast </w:t>
      </w:r>
      <w:r w:rsidRPr="00B4663A" w:rsidR="003E3DEE">
        <w:t xml:space="preserve">television station </w:t>
      </w:r>
      <w:r w:rsidR="003E3DEE">
        <w:t>(</w:t>
      </w:r>
      <w:r w:rsidRPr="00B4663A" w:rsidR="003E3DEE">
        <w:t>WINK-TV</w:t>
      </w:r>
      <w:r w:rsidR="003E3DEE">
        <w:t xml:space="preserve">) that </w:t>
      </w:r>
      <w:r w:rsidR="00DE25F2">
        <w:t xml:space="preserve">FMBC </w:t>
      </w:r>
      <w:r w:rsidR="00863E4B">
        <w:t>seek</w:t>
      </w:r>
      <w:r w:rsidR="00DE25F2">
        <w:t>s</w:t>
      </w:r>
      <w:r w:rsidR="00863E4B">
        <w:t xml:space="preserve"> to</w:t>
      </w:r>
      <w:r w:rsidR="003E3DEE">
        <w:t xml:space="preserve"> relocat</w:t>
      </w:r>
      <w:r w:rsidR="00863E4B">
        <w:t>e</w:t>
      </w:r>
      <w:r w:rsidR="003E3DEE">
        <w:t xml:space="preserve"> </w:t>
      </w:r>
      <w:r w:rsidR="00DE25F2">
        <w:t xml:space="preserve">to new </w:t>
      </w:r>
      <w:r w:rsidR="00C22A87">
        <w:t xml:space="preserve">a new </w:t>
      </w:r>
      <w:r w:rsidR="003E3DEE">
        <w:t>facilit</w:t>
      </w:r>
      <w:r w:rsidR="00C22A87">
        <w:t>y</w:t>
      </w:r>
      <w:r w:rsidR="00D510B6">
        <w:t xml:space="preserve">.  </w:t>
      </w:r>
      <w:r w:rsidR="00CB36DF">
        <w:t>For the reasons discussed</w:t>
      </w:r>
      <w:r w:rsidRPr="006201DA">
        <w:t xml:space="preserve"> herein, </w:t>
      </w:r>
      <w:r w:rsidR="002A6E9C">
        <w:t>the Bureau grants</w:t>
      </w:r>
      <w:r w:rsidR="00D64B5B">
        <w:t xml:space="preserve"> </w:t>
      </w:r>
      <w:r w:rsidR="003E3DEE">
        <w:t>the request</w:t>
      </w:r>
      <w:r w:rsidR="009A71BB">
        <w:t xml:space="preserve"> for </w:t>
      </w:r>
      <w:r w:rsidR="00442DD7">
        <w:t>FMBC’s</w:t>
      </w:r>
      <w:r w:rsidR="009A71BB">
        <w:t xml:space="preserve"> three broadcast radio stations (</w:t>
      </w:r>
      <w:r w:rsidRPr="00B4663A" w:rsidR="009A71BB">
        <w:t>WINK-FM, WTLQ-FM, and WAVV-FM</w:t>
      </w:r>
      <w:r w:rsidR="009A71BB">
        <w:t>)</w:t>
      </w:r>
      <w:r w:rsidR="00D85C46">
        <w:t>.</w:t>
      </w:r>
      <w:r w:rsidR="009A71BB">
        <w:t xml:space="preserve">  The issue of whether to grant FMBC a limited waiver of the EAS operational readiness rules for </w:t>
      </w:r>
      <w:r w:rsidR="00442DD7">
        <w:t>its</w:t>
      </w:r>
      <w:r w:rsidR="009A71BB">
        <w:t xml:space="preserve"> broadcast television station (</w:t>
      </w:r>
      <w:r w:rsidRPr="00B4663A" w:rsidR="009A71BB">
        <w:t>WINK-TV</w:t>
      </w:r>
      <w:r w:rsidR="009A71BB">
        <w:t>) is moot because</w:t>
      </w:r>
      <w:r w:rsidR="00BE35B0">
        <w:t xml:space="preserve"> </w:t>
      </w:r>
      <w:r w:rsidR="00F35176">
        <w:t xml:space="preserve">FMBC </w:t>
      </w:r>
      <w:r w:rsidR="00442DD7">
        <w:t xml:space="preserve">already </w:t>
      </w:r>
      <w:r w:rsidR="00F35176">
        <w:t xml:space="preserve">moved </w:t>
      </w:r>
      <w:r w:rsidR="00442DD7">
        <w:t>that</w:t>
      </w:r>
      <w:r w:rsidR="00F35176">
        <w:t xml:space="preserve"> station’s</w:t>
      </w:r>
      <w:r w:rsidR="009A71BB">
        <w:t xml:space="preserve"> EAS equipment </w:t>
      </w:r>
      <w:r w:rsidR="00807580">
        <w:t>before</w:t>
      </w:r>
      <w:r w:rsidR="00442DD7">
        <w:t xml:space="preserve"> Bureau </w:t>
      </w:r>
      <w:r w:rsidR="0033326F">
        <w:t xml:space="preserve">action on </w:t>
      </w:r>
      <w:r w:rsidR="00442DD7">
        <w:t>its waiver request</w:t>
      </w:r>
      <w:r w:rsidR="009A71BB">
        <w:t xml:space="preserve">. </w:t>
      </w:r>
    </w:p>
    <w:p w:rsidR="0034572A" w:rsidP="00F74F23" w14:paraId="1AEFCE28" w14:textId="55E8F378">
      <w:pPr>
        <w:pStyle w:val="Heading1"/>
      </w:pPr>
      <w:r>
        <w:t>background</w:t>
      </w:r>
    </w:p>
    <w:p w:rsidR="00BE2BB7" w:rsidP="006A7C6D" w14:paraId="153EC259" w14:textId="749D5BDA">
      <w:pPr>
        <w:pStyle w:val="ParaNum"/>
      </w:pPr>
      <w:r w:rsidRPr="0091173E">
        <w:rPr>
          <w:bCs/>
        </w:rPr>
        <w:t>The EAS is a national system used to disseminate public warnings of impeding emergencies over broadcast, cable, and satellite networks to consumers’ radios, televisions, and other audio and video devices.</w:t>
      </w:r>
      <w:r>
        <w:rPr>
          <w:rStyle w:val="FootnoteReference"/>
          <w:bCs/>
        </w:rPr>
        <w:footnoteReference w:id="3"/>
      </w:r>
      <w:r w:rsidRPr="0091173E">
        <w:rPr>
          <w:bCs/>
        </w:rPr>
        <w:t xml:space="preserve">  </w:t>
      </w:r>
      <w:r w:rsidR="00C31F61">
        <w:t xml:space="preserve">EAS </w:t>
      </w:r>
      <w:r w:rsidR="00AF1EB7">
        <w:t>P</w:t>
      </w:r>
      <w:r w:rsidR="00C31F61">
        <w:t>articipants</w:t>
      </w:r>
      <w:r w:rsidR="00D351CB">
        <w:t xml:space="preserve"> </w:t>
      </w:r>
      <w:r>
        <w:t xml:space="preserve">are required </w:t>
      </w:r>
      <w:r w:rsidR="00C31F61">
        <w:t xml:space="preserve">to have </w:t>
      </w:r>
      <w:r w:rsidR="008F3AC6">
        <w:t>d</w:t>
      </w:r>
      <w:r w:rsidR="00C31F61">
        <w:t>evices installed and capable of sending and receiving EAS tests and messages.</w:t>
      </w:r>
      <w:r>
        <w:rPr>
          <w:rStyle w:val="FootnoteReference"/>
        </w:rPr>
        <w:footnoteReference w:id="4"/>
      </w:r>
      <w:r w:rsidR="00D351CB">
        <w:t xml:space="preserve"> </w:t>
      </w:r>
      <w:r w:rsidR="00C31F61">
        <w:t xml:space="preserve"> </w:t>
      </w:r>
      <w:r w:rsidR="00DE25F2">
        <w:t>In particular, s</w:t>
      </w:r>
      <w:r w:rsidR="00E41053">
        <w:t xml:space="preserve">ection 11.35 of the </w:t>
      </w:r>
      <w:r w:rsidR="00DE25F2">
        <w:t xml:space="preserve">FCC’s </w:t>
      </w:r>
      <w:r w:rsidR="00E41053">
        <w:t>rules</w:t>
      </w:r>
      <w:r w:rsidR="00F97CAE">
        <w:t xml:space="preserve"> requires</w:t>
      </w:r>
      <w:r w:rsidR="00E41053">
        <w:t xml:space="preserve"> </w:t>
      </w:r>
      <w:r w:rsidR="00C31F61">
        <w:t xml:space="preserve">EAS Participants </w:t>
      </w:r>
      <w:r w:rsidR="00F97CAE">
        <w:t xml:space="preserve">to </w:t>
      </w:r>
      <w:r w:rsidR="00C31F61">
        <w:t xml:space="preserve">ensure </w:t>
      </w:r>
      <w:r w:rsidR="00D64B5B">
        <w:t>that their EAS equipment is</w:t>
      </w:r>
      <w:r w:rsidR="00C31F61">
        <w:t xml:space="preserve"> “installed so that the monitoring and transmitting functions are available during the times the stations and systems are in operation.”</w:t>
      </w:r>
      <w:r>
        <w:rPr>
          <w:rStyle w:val="FootnoteReference"/>
        </w:rPr>
        <w:footnoteReference w:id="5"/>
      </w:r>
      <w:r w:rsidR="00CF17E5">
        <w:t xml:space="preserve">  </w:t>
      </w:r>
      <w:r w:rsidR="00C31F61">
        <w:t xml:space="preserve">EAS </w:t>
      </w:r>
      <w:r w:rsidR="00AF1EB7">
        <w:t>P</w:t>
      </w:r>
      <w:r w:rsidR="00C31F61">
        <w:t>articipants</w:t>
      </w:r>
      <w:r w:rsidR="00E5274C">
        <w:t xml:space="preserve"> </w:t>
      </w:r>
      <w:r w:rsidR="00E41053">
        <w:t xml:space="preserve">may </w:t>
      </w:r>
      <w:r w:rsidR="00C31F61">
        <w:t>operate without EAS equipment for</w:t>
      </w:r>
      <w:r w:rsidR="00E41053">
        <w:t xml:space="preserve"> up to</w:t>
      </w:r>
      <w:r w:rsidR="00C31F61">
        <w:t xml:space="preserve"> 60 days </w:t>
      </w:r>
      <w:r w:rsidR="00DE25F2">
        <w:t xml:space="preserve">pending the </w:t>
      </w:r>
      <w:r w:rsidR="00C31F61">
        <w:t>repair or replace</w:t>
      </w:r>
      <w:r w:rsidR="00DE25F2">
        <w:t>ment of</w:t>
      </w:r>
      <w:r w:rsidR="00C31F61">
        <w:t xml:space="preserve"> defective equipment</w:t>
      </w:r>
      <w:r w:rsidR="00D64B5B">
        <w:t>.</w:t>
      </w:r>
      <w:r>
        <w:rPr>
          <w:rStyle w:val="FootnoteReference"/>
        </w:rPr>
        <w:footnoteReference w:id="6"/>
      </w:r>
      <w:r w:rsidR="00D60D27">
        <w:t xml:space="preserve"> </w:t>
      </w:r>
      <w:r w:rsidR="00C31F61">
        <w:t xml:space="preserve"> </w:t>
      </w:r>
    </w:p>
    <w:p w:rsidR="00442DD7" w:rsidP="00BE2BB7" w14:paraId="0B68324D" w14:textId="11A4CFF5">
      <w:pPr>
        <w:pStyle w:val="ParaNum"/>
      </w:pPr>
      <w:r>
        <w:t>FMBC</w:t>
      </w:r>
      <w:r w:rsidR="00884E53">
        <w:t xml:space="preserve"> </w:t>
      </w:r>
      <w:r w:rsidR="009D5203">
        <w:t xml:space="preserve">is </w:t>
      </w:r>
      <w:r w:rsidR="00DE25F2">
        <w:t xml:space="preserve">the licensee of </w:t>
      </w:r>
      <w:r w:rsidRPr="00DE25F2" w:rsidR="00DE25F2">
        <w:t>broadcast radio stations WINK-FM, WTLQ-FM, and WAVV-FM and television station WINK-TV</w:t>
      </w:r>
      <w:r w:rsidR="00DE25F2">
        <w:t>, which are all</w:t>
      </w:r>
      <w:r w:rsidR="009D5203">
        <w:t xml:space="preserve"> EAS </w:t>
      </w:r>
      <w:r w:rsidR="00CB5276">
        <w:t>P</w:t>
      </w:r>
      <w:r w:rsidR="009D5203">
        <w:t>articipant</w:t>
      </w:r>
      <w:r w:rsidR="00DE25F2">
        <w:t xml:space="preserve">s that operate EAS equipment that </w:t>
      </w:r>
      <w:r w:rsidR="00C22A87">
        <w:t xml:space="preserve">is </w:t>
      </w:r>
      <w:r w:rsidR="00DE25F2">
        <w:t xml:space="preserve">located in </w:t>
      </w:r>
      <w:r w:rsidR="00D64B5B">
        <w:t xml:space="preserve">an </w:t>
      </w:r>
      <w:r w:rsidR="007B0FF3">
        <w:t xml:space="preserve">office </w:t>
      </w:r>
      <w:r w:rsidR="004E098A">
        <w:t xml:space="preserve">in </w:t>
      </w:r>
      <w:r w:rsidRPr="00782870" w:rsidR="004E098A">
        <w:t>Fort Myers, Florida</w:t>
      </w:r>
      <w:r w:rsidR="007E6211">
        <w:t>.</w:t>
      </w:r>
      <w:r>
        <w:rPr>
          <w:rStyle w:val="FootnoteReference"/>
        </w:rPr>
        <w:footnoteReference w:id="7"/>
      </w:r>
      <w:r w:rsidR="007E6211">
        <w:t xml:space="preserve">  </w:t>
      </w:r>
      <w:r w:rsidR="004F462D">
        <w:t xml:space="preserve">On </w:t>
      </w:r>
      <w:r w:rsidRPr="007820D5" w:rsidR="004F462D">
        <w:t xml:space="preserve">January </w:t>
      </w:r>
      <w:r w:rsidR="008C5524">
        <w:t>6</w:t>
      </w:r>
      <w:r w:rsidRPr="007820D5" w:rsidR="004F462D">
        <w:t>, 2026</w:t>
      </w:r>
      <w:r w:rsidRPr="00340A3B" w:rsidR="004F462D">
        <w:t>,</w:t>
      </w:r>
      <w:r w:rsidR="004F462D">
        <w:t xml:space="preserve"> </w:t>
      </w:r>
      <w:r w:rsidR="0042644E">
        <w:t>FMBC</w:t>
      </w:r>
      <w:r w:rsidR="004F462D">
        <w:t xml:space="preserve"> filed a petition seeking a waiver of section 11.35 </w:t>
      </w:r>
      <w:r w:rsidR="00C22A87">
        <w:t>to allow the</w:t>
      </w:r>
      <w:r w:rsidR="006D0E88">
        <w:t xml:space="preserve"> </w:t>
      </w:r>
      <w:r w:rsidR="00C22A87">
        <w:t xml:space="preserve">relocation of these stations’ EAS equipment </w:t>
      </w:r>
      <w:r w:rsidR="00477766">
        <w:t>to another location in Fort Myers</w:t>
      </w:r>
      <w:r w:rsidR="00D64B5B">
        <w:t>, Florida</w:t>
      </w:r>
      <w:r w:rsidR="006D0E88">
        <w:t xml:space="preserve"> </w:t>
      </w:r>
      <w:r w:rsidR="00E64C19">
        <w:t>on January 12</w:t>
      </w:r>
      <w:r w:rsidRPr="00782870" w:rsidR="006D0E88">
        <w:t xml:space="preserve">, </w:t>
      </w:r>
      <w:r w:rsidR="006D0E88">
        <w:t>2026</w:t>
      </w:r>
      <w:r w:rsidRPr="00782870" w:rsidR="0006175C">
        <w:t>.</w:t>
      </w:r>
      <w:r>
        <w:rPr>
          <w:rStyle w:val="FootnoteReference"/>
        </w:rPr>
        <w:footnoteReference w:id="8"/>
      </w:r>
      <w:r w:rsidRPr="00782870" w:rsidR="0006175C">
        <w:t xml:space="preserve"> </w:t>
      </w:r>
      <w:r w:rsidR="00003966">
        <w:t xml:space="preserve"> To complete this</w:t>
      </w:r>
      <w:r w:rsidR="00B7459B">
        <w:t xml:space="preserve"> relocation, </w:t>
      </w:r>
      <w:r w:rsidR="00A67F7A">
        <w:t>FMBC</w:t>
      </w:r>
      <w:r w:rsidR="00B7459B">
        <w:t xml:space="preserve"> </w:t>
      </w:r>
      <w:r w:rsidR="00224474">
        <w:t xml:space="preserve">represents </w:t>
      </w:r>
      <w:r w:rsidR="00E41053">
        <w:t xml:space="preserve">that it </w:t>
      </w:r>
      <w:r w:rsidR="00364B36">
        <w:t xml:space="preserve">will need to </w:t>
      </w:r>
      <w:r w:rsidR="00125644">
        <w:t>“</w:t>
      </w:r>
      <w:r w:rsidRPr="00125644" w:rsidR="00125644">
        <w:t>to uninstall, pack, move, and reinstall the EAS equipment</w:t>
      </w:r>
      <w:r w:rsidR="00125644">
        <w:t>,”</w:t>
      </w:r>
      <w:r>
        <w:rPr>
          <w:rStyle w:val="FootnoteReference"/>
        </w:rPr>
        <w:footnoteReference w:id="9"/>
      </w:r>
      <w:r w:rsidR="00125644">
        <w:t xml:space="preserve"> </w:t>
      </w:r>
      <w:r w:rsidR="00CD3060">
        <w:t xml:space="preserve">thereby </w:t>
      </w:r>
      <w:r w:rsidR="007A6FB6">
        <w:t xml:space="preserve">causing </w:t>
      </w:r>
      <w:r w:rsidR="00E41053">
        <w:t xml:space="preserve">its </w:t>
      </w:r>
      <w:r w:rsidR="00C22A87">
        <w:t>stations</w:t>
      </w:r>
      <w:r w:rsidR="007A6FB6">
        <w:t xml:space="preserve"> to </w:t>
      </w:r>
      <w:r w:rsidR="006A2648">
        <w:t xml:space="preserve">not meet the </w:t>
      </w:r>
      <w:r w:rsidR="00D64B5B">
        <w:t xml:space="preserve">Commission’s EAS </w:t>
      </w:r>
      <w:r w:rsidR="006A2648">
        <w:t>requirements</w:t>
      </w:r>
      <w:r w:rsidR="004F462D">
        <w:t xml:space="preserve"> for a period not to exceed two hours</w:t>
      </w:r>
      <w:r w:rsidR="006A2648">
        <w:t xml:space="preserve">. </w:t>
      </w:r>
      <w:r w:rsidR="00224474">
        <w:t xml:space="preserve"> </w:t>
      </w:r>
      <w:r w:rsidR="00EA6A61">
        <w:t>FMBC</w:t>
      </w:r>
      <w:r w:rsidR="00E41053">
        <w:t xml:space="preserve"> </w:t>
      </w:r>
      <w:r w:rsidR="00224474">
        <w:t xml:space="preserve">argues </w:t>
      </w:r>
      <w:r w:rsidR="00E41053">
        <w:t xml:space="preserve">that </w:t>
      </w:r>
      <w:r w:rsidR="00224474">
        <w:t>the</w:t>
      </w:r>
      <w:r w:rsidRPr="00224474" w:rsidR="00224474">
        <w:t xml:space="preserve"> new location </w:t>
      </w:r>
      <w:r w:rsidR="00224474">
        <w:t>“</w:t>
      </w:r>
      <w:r w:rsidRPr="00224474" w:rsidR="00224474">
        <w:t>is better protected from flood risk, the unavoidable outage will be limited in duration and scope, and there are no countervailing harms to the public interest.</w:t>
      </w:r>
      <w:r w:rsidR="00224474">
        <w:t>”</w:t>
      </w:r>
      <w:r>
        <w:rPr>
          <w:rStyle w:val="FootnoteReference"/>
        </w:rPr>
        <w:footnoteReference w:id="10"/>
      </w:r>
      <w:r w:rsidRPr="00224474" w:rsidR="00224474">
        <w:t xml:space="preserve"> </w:t>
      </w:r>
      <w:r w:rsidR="00224474">
        <w:t xml:space="preserve"> </w:t>
      </w:r>
      <w:r w:rsidR="007A09EC">
        <w:t>FMBC</w:t>
      </w:r>
      <w:r w:rsidR="004F462D">
        <w:t xml:space="preserve"> states that it “</w:t>
      </w:r>
      <w:r w:rsidRPr="004F462D" w:rsidR="004F462D">
        <w:t>explored alternative options to avoid an outage, such as securing new EAS equipment, but such options were not available</w:t>
      </w:r>
      <w:r w:rsidR="00C22A87">
        <w:t xml:space="preserve"> . . .</w:t>
      </w:r>
      <w:r w:rsidR="004F462D">
        <w:t>”</w:t>
      </w:r>
      <w:r>
        <w:rPr>
          <w:rStyle w:val="FootnoteReference"/>
        </w:rPr>
        <w:footnoteReference w:id="11"/>
      </w:r>
      <w:r w:rsidR="004F462D">
        <w:t xml:space="preserve"> </w:t>
      </w:r>
      <w:r w:rsidRPr="004F462D" w:rsidR="004F462D">
        <w:t xml:space="preserve"> </w:t>
      </w:r>
      <w:r w:rsidR="008B59A1">
        <w:t>FMBC</w:t>
      </w:r>
      <w:r w:rsidR="004F462D">
        <w:t xml:space="preserve"> states that “</w:t>
      </w:r>
      <w:r w:rsidRPr="004F462D" w:rsidR="004F462D">
        <w:t>no other EAS participants rely on FMBC</w:t>
      </w:r>
      <w:r w:rsidR="004F462D">
        <w:t>’</w:t>
      </w:r>
      <w:r w:rsidRPr="004F462D" w:rsidR="004F462D">
        <w:t>s EAS signal so the unavoidable outage will briefly impact only FMBC</w:t>
      </w:r>
      <w:r w:rsidR="00405C2F">
        <w:t>’</w:t>
      </w:r>
      <w:r w:rsidRPr="004F462D" w:rsidR="004F462D">
        <w:t>s stations.</w:t>
      </w:r>
      <w:r w:rsidR="004F462D">
        <w:t>”</w:t>
      </w:r>
      <w:r>
        <w:rPr>
          <w:rStyle w:val="FootnoteReference"/>
        </w:rPr>
        <w:footnoteReference w:id="12"/>
      </w:r>
      <w:r w:rsidRPr="004F462D" w:rsidR="004F462D">
        <w:t xml:space="preserve"> </w:t>
      </w:r>
      <w:r w:rsidR="004F462D">
        <w:t xml:space="preserve"> </w:t>
      </w:r>
      <w:r w:rsidR="008B59A1">
        <w:t>FMBC</w:t>
      </w:r>
      <w:r w:rsidR="004F462D">
        <w:t xml:space="preserve"> states that it has confirmed that its </w:t>
      </w:r>
      <w:r w:rsidR="0061475F">
        <w:t xml:space="preserve">relocation </w:t>
      </w:r>
      <w:r w:rsidR="004F462D">
        <w:t>“</w:t>
      </w:r>
      <w:r w:rsidRPr="004F462D" w:rsidR="004F462D">
        <w:t>will not occur during a planned EAS test</w:t>
      </w:r>
      <w:r w:rsidR="004F462D">
        <w:t>” and states that it</w:t>
      </w:r>
      <w:r w:rsidRPr="004F462D" w:rsidR="004F462D">
        <w:t xml:space="preserve"> </w:t>
      </w:r>
      <w:r w:rsidR="004F462D">
        <w:t>“</w:t>
      </w:r>
      <w:r w:rsidRPr="004F462D" w:rsidR="004F462D">
        <w:t>will not proceed with the move if there appears to be any risk of an emergency event during the brief outage.</w:t>
      </w:r>
      <w:r w:rsidR="004F462D">
        <w:t>”</w:t>
      </w:r>
      <w:r>
        <w:rPr>
          <w:rStyle w:val="FootnoteReference"/>
        </w:rPr>
        <w:footnoteReference w:id="13"/>
      </w:r>
      <w:r w:rsidRPr="004F462D" w:rsidR="004F462D">
        <w:t xml:space="preserve"> </w:t>
      </w:r>
      <w:r w:rsidR="009A71BB">
        <w:t xml:space="preserve"> </w:t>
      </w:r>
      <w:r w:rsidR="00224474">
        <w:t xml:space="preserve">Independent of its waiver request, </w:t>
      </w:r>
      <w:r w:rsidR="008D53D4">
        <w:t>FMBC</w:t>
      </w:r>
      <w:r w:rsidR="00131DDD">
        <w:t xml:space="preserve"> asserts that </w:t>
      </w:r>
      <w:r w:rsidR="00224474">
        <w:t>removing its EAS equipment for two hours for the purpose of installing it at another location</w:t>
      </w:r>
      <w:r w:rsidR="00131DDD">
        <w:t xml:space="preserve"> falls </w:t>
      </w:r>
      <w:r w:rsidR="002531A4">
        <w:t xml:space="preserve">under the </w:t>
      </w:r>
      <w:r w:rsidR="003C49DB">
        <w:t xml:space="preserve">section 11.35 exception </w:t>
      </w:r>
      <w:r w:rsidR="00224474">
        <w:t>that allows EAS Participants to continue operating pending the</w:t>
      </w:r>
      <w:r w:rsidR="00FD1836">
        <w:t xml:space="preserve"> repair or repla</w:t>
      </w:r>
      <w:r w:rsidR="001076C0">
        <w:t>ce</w:t>
      </w:r>
      <w:r w:rsidR="00224474">
        <w:t>ment of</w:t>
      </w:r>
      <w:r w:rsidR="001076C0">
        <w:t xml:space="preserve"> defective equipment.</w:t>
      </w:r>
      <w:r>
        <w:rPr>
          <w:rStyle w:val="FootnoteReference"/>
        </w:rPr>
        <w:footnoteReference w:id="14"/>
      </w:r>
    </w:p>
    <w:p w:rsidR="002D33F3" w:rsidRPr="006A7C6D" w:rsidP="007820D5" w14:paraId="2EF83A64" w14:textId="1720A44A">
      <w:pPr>
        <w:pStyle w:val="ParaNum"/>
      </w:pPr>
      <w:r>
        <w:t>On January 12, 2026</w:t>
      </w:r>
      <w:r w:rsidR="005D1541">
        <w:t xml:space="preserve">, </w:t>
      </w:r>
      <w:r>
        <w:t xml:space="preserve">FMBC informed </w:t>
      </w:r>
      <w:r w:rsidR="000E7EDB">
        <w:t xml:space="preserve">Bureau </w:t>
      </w:r>
      <w:r>
        <w:t xml:space="preserve">staff that it </w:t>
      </w:r>
      <w:r w:rsidR="005B0F9C">
        <w:t>would be moving</w:t>
      </w:r>
      <w:r>
        <w:t xml:space="preserve"> </w:t>
      </w:r>
      <w:r w:rsidRPr="00B4663A">
        <w:t>WINK-TV</w:t>
      </w:r>
      <w:r>
        <w:t>’s</w:t>
      </w:r>
      <w:r w:rsidR="005D1541">
        <w:t xml:space="preserve"> </w:t>
      </w:r>
      <w:r>
        <w:t>EAS equipment on January 12, 2026 without waiting for the Commission to decide its waiver request</w:t>
      </w:r>
      <w:r w:rsidR="00D4384C">
        <w:t>,</w:t>
      </w:r>
      <w:r w:rsidR="005D1541">
        <w:t xml:space="preserve"> </w:t>
      </w:r>
      <w:r w:rsidR="00CD558B">
        <w:t xml:space="preserve">but </w:t>
      </w:r>
      <w:r w:rsidR="005D1541">
        <w:t xml:space="preserve">that FMBC would </w:t>
      </w:r>
      <w:r w:rsidR="00061044">
        <w:t xml:space="preserve">delay </w:t>
      </w:r>
      <w:r>
        <w:t>moving its broadcast radio stations</w:t>
      </w:r>
      <w:r w:rsidR="00D94353">
        <w:t xml:space="preserve">. </w:t>
      </w:r>
      <w:r w:rsidR="007A2A38">
        <w:t xml:space="preserve"> </w:t>
      </w:r>
      <w:r w:rsidR="005A7B29">
        <w:t xml:space="preserve">In a </w:t>
      </w:r>
      <w:r w:rsidR="0092394C">
        <w:t xml:space="preserve">supplemental </w:t>
      </w:r>
      <w:r w:rsidR="005A7B29">
        <w:t>waiver request dated January 26, 2026,</w:t>
      </w:r>
      <w:r>
        <w:rPr>
          <w:rStyle w:val="FootnoteReference"/>
        </w:rPr>
        <w:footnoteReference w:id="15"/>
      </w:r>
      <w:r w:rsidR="005A7B29">
        <w:t xml:space="preserve"> FMBC </w:t>
      </w:r>
      <w:r w:rsidR="0092394C">
        <w:t xml:space="preserve">indicated </w:t>
      </w:r>
      <w:r w:rsidR="005D1541">
        <w:t xml:space="preserve">that it is scheduled to move </w:t>
      </w:r>
      <w:r w:rsidRPr="00B4663A" w:rsidR="0092394C">
        <w:t>WINK-FM and WAVV-FM</w:t>
      </w:r>
      <w:r w:rsidR="005A7B29">
        <w:t xml:space="preserve"> </w:t>
      </w:r>
      <w:r w:rsidR="005D1541">
        <w:t xml:space="preserve">on a staggered schedule </w:t>
      </w:r>
      <w:r w:rsidR="00061044">
        <w:t xml:space="preserve">on </w:t>
      </w:r>
      <w:r w:rsidRPr="00D518EB" w:rsidR="00D518EB">
        <w:t>February 10, 2026</w:t>
      </w:r>
      <w:r w:rsidR="00D4384C">
        <w:t>,</w:t>
      </w:r>
      <w:r w:rsidR="00D518EB">
        <w:t xml:space="preserve"> </w:t>
      </w:r>
      <w:r w:rsidR="00D6275A">
        <w:t xml:space="preserve">and </w:t>
      </w:r>
      <w:r w:rsidRPr="00B4663A" w:rsidR="00F84DCB">
        <w:t>WTLQ-FM</w:t>
      </w:r>
      <w:r w:rsidR="005D1541">
        <w:t>,</w:t>
      </w:r>
      <w:r w:rsidR="00F84DCB">
        <w:t xml:space="preserve"> </w:t>
      </w:r>
      <w:r w:rsidR="005D1541">
        <w:t>on</w:t>
      </w:r>
      <w:r w:rsidR="00BD1CF1">
        <w:t xml:space="preserve"> </w:t>
      </w:r>
      <w:r w:rsidRPr="00D518EB" w:rsidR="00A54479">
        <w:t>February 1</w:t>
      </w:r>
      <w:r w:rsidR="00A54479">
        <w:t>1</w:t>
      </w:r>
      <w:r w:rsidRPr="00D518EB" w:rsidR="00A54479">
        <w:t>, 2026</w:t>
      </w:r>
      <w:r>
        <w:t>.</w:t>
      </w:r>
      <w:r w:rsidR="0065714D">
        <w:t xml:space="preserve"> </w:t>
      </w:r>
      <w:r w:rsidR="00444A41">
        <w:t xml:space="preserve"> </w:t>
      </w:r>
    </w:p>
    <w:p w:rsidR="005358C6" w:rsidP="007820D5" w14:paraId="66DBB694" w14:textId="4ED994CF">
      <w:pPr>
        <w:pStyle w:val="Heading1"/>
      </w:pPr>
      <w:r>
        <w:t>discussion</w:t>
      </w:r>
    </w:p>
    <w:p w:rsidR="005442B6" w:rsidP="00E94453" w14:paraId="711DF3A7" w14:textId="60B5EC24">
      <w:pPr>
        <w:pStyle w:val="ParaNum"/>
      </w:pPr>
      <w:r w:rsidRPr="00E94453">
        <w:t>A provision of the Commission’s rules “may be waived by the Commission on its own motion or on petition if good cause therefor is shown.”</w:t>
      </w:r>
      <w:r>
        <w:rPr>
          <w:rStyle w:val="FootnoteReference"/>
          <w:bCs/>
          <w:sz w:val="22"/>
          <w:szCs w:val="22"/>
        </w:rPr>
        <w:footnoteReference w:id="16"/>
      </w:r>
      <w:r w:rsidRPr="00E94453">
        <w:t xml:space="preserve">  The Commission may find good cause to </w:t>
      </w:r>
      <w:r w:rsidR="00B444C1">
        <w:t>grant</w:t>
      </w:r>
      <w:r w:rsidRPr="00E94453" w:rsidR="00B444C1">
        <w:t xml:space="preserve"> </w:t>
      </w:r>
      <w:r w:rsidRPr="00E94453">
        <w:t>a waiver “if special circumstances warrant a deviation from the general rule and such deviation will serve the public interest.”</w:t>
      </w:r>
      <w:r>
        <w:rPr>
          <w:rStyle w:val="FootnoteReference"/>
          <w:bCs/>
          <w:sz w:val="22"/>
          <w:szCs w:val="22"/>
        </w:rPr>
        <w:footnoteReference w:id="17"/>
      </w:r>
      <w:r w:rsidRPr="00E437A5">
        <w:rPr>
          <w:rStyle w:val="FootnoteReference"/>
          <w:bCs/>
          <w:sz w:val="22"/>
          <w:szCs w:val="22"/>
          <w:vertAlign w:val="baseline"/>
        </w:rPr>
        <w:t xml:space="preserve"> </w:t>
      </w:r>
      <w:r w:rsidRPr="00E94453">
        <w:t xml:space="preserve"> </w:t>
      </w:r>
      <w:r w:rsidRPr="00E94453">
        <w:rPr>
          <w:color w:val="0B150E"/>
        </w:rPr>
        <w:t>The waiver applicant generally faces a high hurdle and must plead with particularity the facts and circumstances that warrant a waiver.</w:t>
      </w:r>
      <w:r>
        <w:rPr>
          <w:vertAlign w:val="superscript"/>
        </w:rPr>
        <w:footnoteReference w:id="18"/>
      </w:r>
      <w:r w:rsidRPr="00E94453">
        <w:rPr>
          <w:color w:val="0B150E"/>
        </w:rPr>
        <w:t xml:space="preserve">  Based on the circumstances described herein, we conclude there is </w:t>
      </w:r>
      <w:r w:rsidR="00BE19E0">
        <w:t xml:space="preserve">good </w:t>
      </w:r>
      <w:r w:rsidR="00DB64FD">
        <w:t xml:space="preserve">cause to grant </w:t>
      </w:r>
      <w:r w:rsidR="00405C2F">
        <w:t xml:space="preserve">FMBC </w:t>
      </w:r>
      <w:r w:rsidR="00D64B5B">
        <w:t>a limited</w:t>
      </w:r>
      <w:r w:rsidR="00DB64FD">
        <w:t xml:space="preserve"> </w:t>
      </w:r>
      <w:r w:rsidR="00356C1B">
        <w:t>waiver</w:t>
      </w:r>
      <w:r w:rsidR="00D64B5B">
        <w:t xml:space="preserve"> of the Commission’s EAS requirement</w:t>
      </w:r>
      <w:r>
        <w:t>s</w:t>
      </w:r>
      <w:r w:rsidR="00D64B5B">
        <w:t xml:space="preserve"> to facilitate the relocation of </w:t>
      </w:r>
      <w:r w:rsidRPr="00B4663A" w:rsidR="00F35176">
        <w:t>WINK-FM</w:t>
      </w:r>
      <w:r w:rsidR="00F35176">
        <w:t>’s</w:t>
      </w:r>
      <w:r w:rsidR="001C6DD8">
        <w:t xml:space="preserve"> and </w:t>
      </w:r>
      <w:r w:rsidRPr="00B4663A" w:rsidR="00555087">
        <w:t>WAVV-FM</w:t>
      </w:r>
      <w:r w:rsidR="00555087">
        <w:t>’s</w:t>
      </w:r>
      <w:r w:rsidR="00F35176">
        <w:t xml:space="preserve"> </w:t>
      </w:r>
      <w:r w:rsidR="009514BD">
        <w:t>EAS equipment</w:t>
      </w:r>
      <w:r w:rsidR="004F462D">
        <w:t xml:space="preserve"> for a period not to exceed two hours on </w:t>
      </w:r>
      <w:r w:rsidRPr="00D518EB" w:rsidR="004265C7">
        <w:t>February 10, 2026</w:t>
      </w:r>
      <w:r>
        <w:t xml:space="preserve">, </w:t>
      </w:r>
      <w:r w:rsidR="00C95B90">
        <w:t xml:space="preserve">and </w:t>
      </w:r>
      <w:r w:rsidRPr="005D179F" w:rsidR="005D179F">
        <w:t xml:space="preserve">the relocation of </w:t>
      </w:r>
      <w:r w:rsidRPr="00B4663A" w:rsidR="00F35176">
        <w:t>WTLQ-FM</w:t>
      </w:r>
      <w:r w:rsidR="00F35176">
        <w:t>’s EAS equipment for a period not to exceed two hours on</w:t>
      </w:r>
      <w:r w:rsidRPr="006D6772" w:rsidR="006D6772">
        <w:t xml:space="preserve"> </w:t>
      </w:r>
      <w:r w:rsidRPr="00D518EB" w:rsidR="006D6772">
        <w:t>February 1</w:t>
      </w:r>
      <w:r w:rsidR="006D6772">
        <w:t>1,</w:t>
      </w:r>
      <w:r w:rsidRPr="00D518EB" w:rsidR="006D6772">
        <w:t xml:space="preserve"> 2026</w:t>
      </w:r>
      <w:r w:rsidR="00F35176">
        <w:t xml:space="preserve">.  Each of these limited waivers is conditioned on </w:t>
      </w:r>
      <w:r w:rsidR="00E81D6A">
        <w:t>FMBC</w:t>
      </w:r>
      <w:r w:rsidR="00622EFF">
        <w:t>’s statement that it</w:t>
      </w:r>
      <w:r>
        <w:t xml:space="preserve"> </w:t>
      </w:r>
      <w:r w:rsidRPr="004F462D">
        <w:t>will not proceed with the move if there appears to be</w:t>
      </w:r>
      <w:r w:rsidRPr="007D0E61" w:rsidR="007D0E61">
        <w:t xml:space="preserve"> </w:t>
      </w:r>
      <w:r w:rsidRPr="004F462D">
        <w:t>any risk of an emergency event</w:t>
      </w:r>
      <w:r w:rsidR="00277CC0">
        <w:t xml:space="preserve"> or </w:t>
      </w:r>
      <w:r w:rsidRPr="007D0E61" w:rsidR="00277CC0">
        <w:t>a planned EAS test</w:t>
      </w:r>
      <w:r w:rsidR="00356C1B">
        <w:t>.</w:t>
      </w:r>
      <w:r>
        <w:rPr>
          <w:rStyle w:val="FootnoteReference"/>
        </w:rPr>
        <w:footnoteReference w:id="19"/>
      </w:r>
      <w:r w:rsidR="00356C1B">
        <w:t xml:space="preserve">  </w:t>
      </w:r>
      <w:r w:rsidR="00E95ACC">
        <w:t xml:space="preserve"> </w:t>
      </w:r>
      <w:r w:rsidR="004F462D">
        <w:t xml:space="preserve"> </w:t>
      </w:r>
    </w:p>
    <w:p w:rsidR="00340A3B" w:rsidP="004501EB" w14:paraId="6FB2206F" w14:textId="4E8E8183">
      <w:pPr>
        <w:pStyle w:val="ParaNum"/>
      </w:pPr>
      <w:r>
        <w:t>The Bureau finds that</w:t>
      </w:r>
      <w:r w:rsidR="0030359A">
        <w:t xml:space="preserve"> special circumstances exist and that</w:t>
      </w:r>
      <w:r>
        <w:t xml:space="preserve"> it is in the public interest to grant FMBC a narrow waiver to facilitate </w:t>
      </w:r>
      <w:r w:rsidR="009514BD">
        <w:t>the relocation of EAS equipment</w:t>
      </w:r>
      <w:r>
        <w:t xml:space="preserve"> necessary to enable FMBC’s </w:t>
      </w:r>
      <w:r w:rsidR="00442DD7">
        <w:t xml:space="preserve">broadcast radio </w:t>
      </w:r>
      <w:r>
        <w:t>stations to continue to</w:t>
      </w:r>
      <w:r w:rsidR="00D264CE">
        <w:t xml:space="preserve"> </w:t>
      </w:r>
      <w:r w:rsidR="008E40E4">
        <w:t>be able to</w:t>
      </w:r>
      <w:r>
        <w:t xml:space="preserve"> support EAS and comply with FCC rules going forward.  </w:t>
      </w:r>
      <w:r w:rsidR="004501EB">
        <w:t>A</w:t>
      </w:r>
      <w:r>
        <w:t>ccording to FMBC, its new office location is better protected from flood risks than the current facility, which will provide greater resiliency for the broadcaster and its EAS equipment and allow FMBC to continue broadcasting during severe weather events</w:t>
      </w:r>
      <w:r w:rsidR="00C631A7">
        <w:t>,</w:t>
      </w:r>
      <w:r>
        <w:rPr>
          <w:rStyle w:val="FootnoteReference"/>
        </w:rPr>
        <w:footnoteReference w:id="20"/>
      </w:r>
      <w:r w:rsidR="003342CC">
        <w:t xml:space="preserve"> </w:t>
      </w:r>
      <w:r w:rsidR="00106485">
        <w:t xml:space="preserve">consistent with the </w:t>
      </w:r>
      <w:r w:rsidR="00106485">
        <w:t>underlying purpose</w:t>
      </w:r>
      <w:r w:rsidR="00106485">
        <w:t xml:space="preserve"> of the EAS requirements.</w:t>
      </w:r>
      <w:r w:rsidR="005736A7">
        <w:t xml:space="preserve"> </w:t>
      </w:r>
      <w:r w:rsidR="00A83F02">
        <w:t xml:space="preserve"> </w:t>
      </w:r>
      <w:r w:rsidR="005736A7">
        <w:t>Because of the limited duration of the waiver</w:t>
      </w:r>
      <w:r w:rsidR="00671497">
        <w:t xml:space="preserve"> </w:t>
      </w:r>
      <w:r w:rsidR="005736A7">
        <w:t xml:space="preserve">and </w:t>
      </w:r>
      <w:r w:rsidR="00BD3C41">
        <w:t xml:space="preserve">FMBC’s assurance that it will not </w:t>
      </w:r>
      <w:r w:rsidR="000C68C5">
        <w:t>relocate the equipment</w:t>
      </w:r>
      <w:r w:rsidR="00443CFB">
        <w:t xml:space="preserve"> during a planned EAS t</w:t>
      </w:r>
      <w:r w:rsidR="002575A4">
        <w:t xml:space="preserve">est or </w:t>
      </w:r>
      <w:r w:rsidR="00E34187">
        <w:t xml:space="preserve">if </w:t>
      </w:r>
      <w:r w:rsidR="002575A4">
        <w:t xml:space="preserve">there appears to be </w:t>
      </w:r>
      <w:r w:rsidR="00E4234A">
        <w:t>any risk of an emergency event,</w:t>
      </w:r>
      <w:r w:rsidR="00D85875">
        <w:t xml:space="preserve"> </w:t>
      </w:r>
      <w:r w:rsidR="00E4234A">
        <w:t>we conclude that t</w:t>
      </w:r>
      <w:r w:rsidR="0022347A">
        <w:t>h</w:t>
      </w:r>
      <w:r w:rsidR="00DA16E7">
        <w:t xml:space="preserve">e </w:t>
      </w:r>
      <w:r w:rsidR="0022347A">
        <w:t>risk of harm</w:t>
      </w:r>
      <w:r w:rsidR="00DA16E7">
        <w:t xml:space="preserve"> to the public interest</w:t>
      </w:r>
      <w:r w:rsidR="002C3803">
        <w:t xml:space="preserve"> </w:t>
      </w:r>
      <w:r w:rsidR="00DA16E7">
        <w:t xml:space="preserve">by </w:t>
      </w:r>
      <w:r w:rsidR="002C3803">
        <w:t>granting the waiver</w:t>
      </w:r>
      <w:r w:rsidR="00DA16E7">
        <w:t xml:space="preserve"> is limited</w:t>
      </w:r>
      <w:r w:rsidR="002C3803">
        <w:t>.</w:t>
      </w:r>
      <w:r>
        <w:t xml:space="preserve">  </w:t>
      </w:r>
      <w:r w:rsidR="00B4663A">
        <w:t xml:space="preserve">Further, </w:t>
      </w:r>
      <w:r w:rsidR="00165566">
        <w:t>the Bureau finds</w:t>
      </w:r>
      <w:r>
        <w:t xml:space="preserve"> that </w:t>
      </w:r>
      <w:r w:rsidR="00B4663A">
        <w:t xml:space="preserve">it would </w:t>
      </w:r>
      <w:r w:rsidR="00B13A17">
        <w:t>be unreasonable</w:t>
      </w:r>
      <w:r w:rsidR="00B4663A">
        <w:t xml:space="preserve"> to require </w:t>
      </w:r>
      <w:r w:rsidR="007D2714">
        <w:t>FMBC</w:t>
      </w:r>
      <w:r w:rsidR="00B4663A">
        <w:t xml:space="preserve"> to purchase new EAS equipment solely for the purpose of meeting its EAS obligations during this brief </w:t>
      </w:r>
      <w:r w:rsidR="002F077A">
        <w:t>period</w:t>
      </w:r>
      <w:r w:rsidR="00B4663A">
        <w:t xml:space="preserve">.  </w:t>
      </w:r>
    </w:p>
    <w:p w:rsidR="00442DD7" w:rsidP="004501EB" w14:paraId="5D769A91" w14:textId="2CACB3D0">
      <w:pPr>
        <w:pStyle w:val="ParaNum"/>
      </w:pPr>
      <w:r>
        <w:t xml:space="preserve">We </w:t>
      </w:r>
      <w:r w:rsidR="0050042B">
        <w:t xml:space="preserve">dismiss the </w:t>
      </w:r>
      <w:r w:rsidR="00F70F6F">
        <w:t xml:space="preserve">waiver </w:t>
      </w:r>
      <w:r w:rsidR="0050042B">
        <w:t>request</w:t>
      </w:r>
      <w:r w:rsidR="006F5585">
        <w:t xml:space="preserve"> </w:t>
      </w:r>
      <w:r w:rsidR="00F70F6F">
        <w:t xml:space="preserve">for </w:t>
      </w:r>
      <w:r w:rsidRPr="00B4663A" w:rsidR="00ED0394">
        <w:t>WINK-TV</w:t>
      </w:r>
      <w:r w:rsidR="00277CC0">
        <w:t xml:space="preserve"> as moot because</w:t>
      </w:r>
      <w:r w:rsidR="00AF09B2">
        <w:t xml:space="preserve"> </w:t>
      </w:r>
      <w:r w:rsidR="00D4384C">
        <w:t>its</w:t>
      </w:r>
      <w:r w:rsidR="00AF09B2">
        <w:t xml:space="preserve"> EAS equipment was </w:t>
      </w:r>
      <w:r w:rsidR="00B512B8">
        <w:t xml:space="preserve">already </w:t>
      </w:r>
      <w:r w:rsidR="00AF09B2">
        <w:t xml:space="preserve">moved on </w:t>
      </w:r>
      <w:r w:rsidR="00AB5075">
        <w:t>January 12, 2026 without Commission</w:t>
      </w:r>
      <w:r w:rsidR="00873A72">
        <w:t xml:space="preserve"> approval.  </w:t>
      </w:r>
      <w:r w:rsidRPr="00E1478E" w:rsidR="00E1478E">
        <w:t>Although we dismiss</w:t>
      </w:r>
      <w:r w:rsidR="00AE0E29">
        <w:t xml:space="preserve"> this request</w:t>
      </w:r>
      <w:r w:rsidRPr="00E1478E" w:rsidR="00E1478E">
        <w:t xml:space="preserve"> as moot, this </w:t>
      </w:r>
      <w:r w:rsidR="00EC5A15">
        <w:t>decision</w:t>
      </w:r>
      <w:r w:rsidRPr="00E1478E" w:rsidR="00E1478E">
        <w:t xml:space="preserve"> in no way </w:t>
      </w:r>
      <w:r w:rsidR="00D4384C">
        <w:t>implies retrospective Commission approval of that decision or</w:t>
      </w:r>
      <w:r w:rsidRPr="00E1478E" w:rsidR="00E1478E">
        <w:t xml:space="preserve"> </w:t>
      </w:r>
      <w:r w:rsidR="00D4384C">
        <w:t>a finding that FMBC’s conduct complied with</w:t>
      </w:r>
      <w:r w:rsidRPr="00E1478E" w:rsidR="00E1478E">
        <w:t xml:space="preserve"> </w:t>
      </w:r>
      <w:r w:rsidR="00951E01">
        <w:t xml:space="preserve">the Commission’s EAS equipment </w:t>
      </w:r>
      <w:r w:rsidR="00DA120C">
        <w:t>rules</w:t>
      </w:r>
      <w:r w:rsidRPr="00E1478E" w:rsidR="00E1478E">
        <w:t xml:space="preserve">. </w:t>
      </w:r>
      <w:r w:rsidR="004F2F09">
        <w:t>Our action here is without prejudice to any enforcement action by the Commission for noncompliance with the Communications Act of 1934, as amended, or the Commission’s rules.</w:t>
      </w:r>
      <w:r w:rsidRPr="00E1478E" w:rsidR="004F2F09">
        <w:t xml:space="preserve">  </w:t>
      </w:r>
    </w:p>
    <w:p w:rsidR="00D64B5B" w:rsidP="009161B7" w14:paraId="0866B9B0" w14:textId="55C02D09">
      <w:pPr>
        <w:pStyle w:val="ParaNum"/>
      </w:pPr>
      <w:r>
        <w:t xml:space="preserve">The </w:t>
      </w:r>
      <w:r w:rsidR="00B75F82">
        <w:t xml:space="preserve">Bureau </w:t>
      </w:r>
      <w:r w:rsidR="00E94453">
        <w:t>rejects</w:t>
      </w:r>
      <w:r>
        <w:t xml:space="preserve"> </w:t>
      </w:r>
      <w:r w:rsidR="0080653E">
        <w:t>FMBC</w:t>
      </w:r>
      <w:r>
        <w:t xml:space="preserve">’s assertion that the relocation of EAS equipment falls under the </w:t>
      </w:r>
      <w:r w:rsidR="009161B7">
        <w:t xml:space="preserve">Commission’s </w:t>
      </w:r>
      <w:r w:rsidR="00463916">
        <w:t xml:space="preserve">rules </w:t>
      </w:r>
      <w:r w:rsidR="009161B7">
        <w:t>provision for the</w:t>
      </w:r>
      <w:r>
        <w:t xml:space="preserve"> repair </w:t>
      </w:r>
      <w:r w:rsidR="009161B7">
        <w:t>and</w:t>
      </w:r>
      <w:r>
        <w:t xml:space="preserve"> replace</w:t>
      </w:r>
      <w:r w:rsidR="00463916">
        <w:t>ment of</w:t>
      </w:r>
      <w:r>
        <w:t xml:space="preserve"> defective EAS equipment.</w:t>
      </w:r>
      <w:r>
        <w:rPr>
          <w:rStyle w:val="FootnoteReference"/>
        </w:rPr>
        <w:footnoteReference w:id="21"/>
      </w:r>
      <w:r>
        <w:t xml:space="preserve">  Section 11.35(b) </w:t>
      </w:r>
      <w:r w:rsidR="009161B7">
        <w:t xml:space="preserve">provides </w:t>
      </w:r>
      <w:r w:rsidR="00463916">
        <w:t xml:space="preserve">only </w:t>
      </w:r>
      <w:r w:rsidR="009161B7">
        <w:t xml:space="preserve">for </w:t>
      </w:r>
      <w:r w:rsidR="004501EB">
        <w:t xml:space="preserve">the continued operation of EAS Participants without further FCC action when EAS equipment becomes </w:t>
      </w:r>
      <w:r>
        <w:t>“defective</w:t>
      </w:r>
      <w:r w:rsidR="004501EB">
        <w:t>.</w:t>
      </w:r>
      <w:r>
        <w:t>”</w:t>
      </w:r>
      <w:r>
        <w:rPr>
          <w:rStyle w:val="FootnoteReference"/>
        </w:rPr>
        <w:footnoteReference w:id="22"/>
      </w:r>
      <w:r>
        <w:t xml:space="preserve">  The facts presented by </w:t>
      </w:r>
      <w:r w:rsidR="0080653E">
        <w:t>FMBC</w:t>
      </w:r>
      <w:r>
        <w:t xml:space="preserve"> indicate that </w:t>
      </w:r>
      <w:r w:rsidR="00463916">
        <w:t xml:space="preserve">its </w:t>
      </w:r>
      <w:r>
        <w:t xml:space="preserve">EAS equipment is </w:t>
      </w:r>
      <w:r w:rsidR="009161B7">
        <w:t>not defective</w:t>
      </w:r>
      <w:r w:rsidR="004501EB">
        <w:t xml:space="preserve"> (i.e.</w:t>
      </w:r>
      <w:r w:rsidR="009161B7">
        <w:t>,</w:t>
      </w:r>
      <w:r w:rsidR="004501EB">
        <w:t xml:space="preserve"> the equipment itself became unable to exercise its monitoring or transmission functions)</w:t>
      </w:r>
      <w:r w:rsidR="009514BD">
        <w:t>,</w:t>
      </w:r>
      <w:r>
        <w:rPr>
          <w:rStyle w:val="FootnoteReference"/>
        </w:rPr>
        <w:footnoteReference w:id="23"/>
      </w:r>
      <w:r w:rsidR="009161B7">
        <w:t xml:space="preserve"> but that it is in good operating condition and </w:t>
      </w:r>
      <w:r>
        <w:t xml:space="preserve">being taken offline </w:t>
      </w:r>
      <w:r w:rsidR="009161B7">
        <w:t xml:space="preserve">only </w:t>
      </w:r>
      <w:r>
        <w:t xml:space="preserve">so that it can be relocated.  </w:t>
      </w:r>
      <w:r w:rsidR="004501EB">
        <w:t>S</w:t>
      </w:r>
      <w:r w:rsidR="009161B7">
        <w:t xml:space="preserve">imply </w:t>
      </w:r>
      <w:r w:rsidR="004501EB">
        <w:t xml:space="preserve">removing </w:t>
      </w:r>
      <w:r>
        <w:t xml:space="preserve">EAS equipment </w:t>
      </w:r>
      <w:r w:rsidR="004501EB">
        <w:t>from operation</w:t>
      </w:r>
      <w:r>
        <w:t xml:space="preserve"> does not make it defective.</w:t>
      </w:r>
      <w:r>
        <w:rPr>
          <w:rStyle w:val="FootnoteReference"/>
        </w:rPr>
        <w:footnoteReference w:id="24"/>
      </w:r>
      <w:r>
        <w:t xml:space="preserve">   </w:t>
      </w:r>
    </w:p>
    <w:p w:rsidR="00F03F3A" w:rsidP="00427606" w14:paraId="493B8F4D" w14:textId="296F18C1">
      <w:pPr>
        <w:pStyle w:val="Heading1"/>
      </w:pPr>
      <w:r>
        <w:t>ordering clauses</w:t>
      </w:r>
    </w:p>
    <w:p w:rsidR="00B9173C" w:rsidP="00B9173C" w14:paraId="6B8ECE79" w14:textId="4524016B">
      <w:pPr>
        <w:pStyle w:val="ParaNum"/>
        <w:tabs>
          <w:tab w:val="clear" w:pos="1440"/>
        </w:tabs>
        <w:rPr>
          <w:bCs/>
        </w:rPr>
      </w:pPr>
      <w:r w:rsidRPr="0091173E">
        <w:rPr>
          <w:bCs/>
        </w:rPr>
        <w:t>Accordingly, IT IS ORDERED that, pursuant to section</w:t>
      </w:r>
      <w:r>
        <w:rPr>
          <w:bCs/>
        </w:rPr>
        <w:t>s</w:t>
      </w:r>
      <w:r w:rsidRPr="0091173E">
        <w:rPr>
          <w:bCs/>
        </w:rPr>
        <w:t xml:space="preserve"> 4(</w:t>
      </w:r>
      <w:r w:rsidRPr="0091173E">
        <w:rPr>
          <w:bCs/>
        </w:rPr>
        <w:t>i</w:t>
      </w:r>
      <w:r w:rsidRPr="0091173E">
        <w:rPr>
          <w:bCs/>
        </w:rPr>
        <w:t xml:space="preserve">) </w:t>
      </w:r>
      <w:r>
        <w:rPr>
          <w:bCs/>
        </w:rPr>
        <w:t xml:space="preserve">and (j) </w:t>
      </w:r>
      <w:r w:rsidRPr="0091173E">
        <w:rPr>
          <w:bCs/>
        </w:rPr>
        <w:t>of the Communications Act of 1934, as amended, 47 U.S.C. §§ 154(</w:t>
      </w:r>
      <w:r w:rsidRPr="0091173E">
        <w:rPr>
          <w:bCs/>
        </w:rPr>
        <w:t>i</w:t>
      </w:r>
      <w:r w:rsidRPr="0091173E">
        <w:rPr>
          <w:bCs/>
        </w:rPr>
        <w:t>)</w:t>
      </w:r>
      <w:r>
        <w:rPr>
          <w:bCs/>
        </w:rPr>
        <w:t xml:space="preserve"> and (j)</w:t>
      </w:r>
      <w:r w:rsidRPr="0091173E">
        <w:rPr>
          <w:bCs/>
        </w:rPr>
        <w:t>, and section 1.3 of the Commission’s rules, 47 CFR § 1.3, section</w:t>
      </w:r>
      <w:r>
        <w:rPr>
          <w:bCs/>
        </w:rPr>
        <w:t>s</w:t>
      </w:r>
      <w:r w:rsidRPr="0091173E">
        <w:rPr>
          <w:bCs/>
        </w:rPr>
        <w:t xml:space="preserve"> </w:t>
      </w:r>
      <w:r>
        <w:t>11.11(a), 11.35(a)</w:t>
      </w:r>
      <w:r w:rsidR="00461B4E">
        <w:t>,</w:t>
      </w:r>
      <w:r>
        <w:t xml:space="preserve"> 11.52(a), and 11.56(a) </w:t>
      </w:r>
      <w:r w:rsidRPr="0091173E">
        <w:rPr>
          <w:bCs/>
        </w:rPr>
        <w:t>of the Commission’s rules, 47 CFR §§ 11.</w:t>
      </w:r>
      <w:r>
        <w:rPr>
          <w:bCs/>
        </w:rPr>
        <w:t>11(a), 11.35(a), 11.52(a), and 11.56(a), ARE</w:t>
      </w:r>
      <w:r w:rsidRPr="0091173E">
        <w:rPr>
          <w:bCs/>
        </w:rPr>
        <w:t xml:space="preserve"> WAIVED, </w:t>
      </w:r>
      <w:r>
        <w:rPr>
          <w:bCs/>
        </w:rPr>
        <w:t xml:space="preserve">as to stations </w:t>
      </w:r>
      <w:r w:rsidRPr="00B4663A">
        <w:t xml:space="preserve">WINK-FM, WTLQ-FM, </w:t>
      </w:r>
      <w:r w:rsidR="00F35176">
        <w:t xml:space="preserve">and </w:t>
      </w:r>
      <w:r w:rsidRPr="00B4663A">
        <w:t>WAVV-FM</w:t>
      </w:r>
      <w:r>
        <w:t xml:space="preserve"> </w:t>
      </w:r>
      <w:r>
        <w:rPr>
          <w:bCs/>
        </w:rPr>
        <w:t>as specified herein.</w:t>
      </w:r>
      <w:r w:rsidR="00442DD7">
        <w:rPr>
          <w:bCs/>
        </w:rPr>
        <w:t xml:space="preserve">  </w:t>
      </w:r>
    </w:p>
    <w:p w:rsidR="003E20F0" w:rsidRPr="00EA2F78" w:rsidP="003E20F0" w14:paraId="1D5F132D" w14:textId="77777777">
      <w:pPr>
        <w:pStyle w:val="ParaNum"/>
        <w:tabs>
          <w:tab w:val="clear" w:pos="1440"/>
        </w:tabs>
        <w:rPr>
          <w:bCs/>
        </w:rPr>
      </w:pPr>
      <w:r>
        <w:rPr>
          <w:bCs/>
        </w:rPr>
        <w:t xml:space="preserve">The request is DISMISSED AS MOOT as to station </w:t>
      </w:r>
      <w:r w:rsidRPr="00B4663A">
        <w:t>WINK-TV</w:t>
      </w:r>
      <w:r>
        <w:t>.</w:t>
      </w:r>
    </w:p>
    <w:p w:rsidR="00442DD7" w:rsidRPr="003E20F0" w:rsidP="003E20F0" w14:paraId="0CE2D2E0" w14:textId="7B63DF5F">
      <w:pPr>
        <w:pStyle w:val="ParaNum"/>
        <w:tabs>
          <w:tab w:val="clear" w:pos="1440"/>
        </w:tabs>
        <w:rPr>
          <w:bCs/>
        </w:rPr>
      </w:pPr>
      <w:r>
        <w:t>Action on this request is without prejudice to any enforcement action by the Commission for non-compliance with the Communications Act of 1934, as amended, or the Commission’s rules.</w:t>
      </w:r>
    </w:p>
    <w:p w:rsidR="00F03F3A" w:rsidP="00493CE9" w14:paraId="47D6C1DD" w14:textId="50A45AD7">
      <w:pPr>
        <w:pStyle w:val="ParaNum"/>
      </w:pPr>
      <w:r>
        <w:t xml:space="preserve">This action is </w:t>
      </w:r>
      <w:r w:rsidRPr="00493CE9" w:rsidR="00493CE9">
        <w:t>taken under delegated authority pursuant to Sections 0.191 and 0.392 of the Commission’s rules, 47 CFR §§ 0.191, 0.392.</w:t>
      </w:r>
    </w:p>
    <w:p w:rsidR="00F03F3A" w:rsidRPr="00BB56EB" w:rsidP="00F03F3A" w14:paraId="47F7E245" w14:textId="77777777">
      <w:pPr>
        <w:tabs>
          <w:tab w:val="left" w:pos="1440"/>
        </w:tabs>
        <w:spacing w:after="120"/>
        <w:ind w:left="720"/>
      </w:pPr>
    </w:p>
    <w:p w:rsidR="00F03F3A" w:rsidRPr="00BB56EB" w:rsidP="00F03F3A" w14:paraId="0BB053C0" w14:textId="77777777">
      <w:pPr>
        <w:autoSpaceDE w:val="0"/>
        <w:autoSpaceDN w:val="0"/>
        <w:adjustRightInd w:val="0"/>
        <w:ind w:left="4320"/>
        <w:rPr>
          <w:color w:val="000000"/>
        </w:rPr>
      </w:pPr>
      <w:r w:rsidRPr="00BB56EB">
        <w:rPr>
          <w:color w:val="000000"/>
        </w:rPr>
        <w:t>FEDERAL COMMUNICATIONS COMMISSION</w:t>
      </w:r>
    </w:p>
    <w:p w:rsidR="00F03F3A" w:rsidRPr="00BB56EB" w:rsidP="00F03F3A" w14:paraId="0689A8B2" w14:textId="77777777">
      <w:pPr>
        <w:autoSpaceDE w:val="0"/>
        <w:autoSpaceDN w:val="0"/>
        <w:adjustRightInd w:val="0"/>
        <w:rPr>
          <w:color w:val="000000"/>
        </w:rPr>
      </w:pPr>
    </w:p>
    <w:p w:rsidR="00F03F3A" w:rsidRPr="00BB56EB" w:rsidP="00F03F3A" w14:paraId="6A197420" w14:textId="77777777">
      <w:pPr>
        <w:autoSpaceDE w:val="0"/>
        <w:autoSpaceDN w:val="0"/>
        <w:adjustRightInd w:val="0"/>
        <w:rPr>
          <w:color w:val="000000"/>
        </w:rPr>
      </w:pPr>
    </w:p>
    <w:p w:rsidR="00F03F3A" w:rsidRPr="00BB56EB" w:rsidP="00F03F3A" w14:paraId="6D88EA0E" w14:textId="77777777">
      <w:pPr>
        <w:autoSpaceDE w:val="0"/>
        <w:autoSpaceDN w:val="0"/>
        <w:adjustRightInd w:val="0"/>
        <w:rPr>
          <w:color w:val="000000"/>
        </w:rPr>
      </w:pPr>
    </w:p>
    <w:p w:rsidR="00F03F3A" w:rsidRPr="00BB56EB" w:rsidP="00F03F3A" w14:paraId="388813A5" w14:textId="77777777">
      <w:pPr>
        <w:autoSpaceDE w:val="0"/>
        <w:autoSpaceDN w:val="0"/>
        <w:adjustRightInd w:val="0"/>
        <w:ind w:left="3600" w:firstLine="720"/>
        <w:rPr>
          <w:color w:val="000000"/>
        </w:rPr>
      </w:pPr>
    </w:p>
    <w:p w:rsidR="00B9173C" w:rsidP="00F03F3A" w14:paraId="47FF5390" w14:textId="77777777">
      <w:pPr>
        <w:autoSpaceDE w:val="0"/>
        <w:autoSpaceDN w:val="0"/>
        <w:adjustRightInd w:val="0"/>
        <w:ind w:left="3600" w:firstLine="720"/>
        <w:rPr>
          <w:color w:val="000000"/>
        </w:rPr>
      </w:pPr>
      <w:r w:rsidRPr="00971DC9">
        <w:rPr>
          <w:color w:val="000000"/>
        </w:rPr>
        <w:t>Zenji Nakazawa</w:t>
      </w:r>
    </w:p>
    <w:p w:rsidR="00F03F3A" w:rsidRPr="00BB56EB" w:rsidP="00F03F3A" w14:paraId="576684D2" w14:textId="2E99E277">
      <w:pPr>
        <w:autoSpaceDE w:val="0"/>
        <w:autoSpaceDN w:val="0"/>
        <w:adjustRightInd w:val="0"/>
        <w:ind w:left="3600" w:firstLine="720"/>
        <w:rPr>
          <w:color w:val="000000"/>
        </w:rPr>
      </w:pPr>
      <w:r w:rsidRPr="00BB56EB">
        <w:rPr>
          <w:color w:val="000000"/>
        </w:rPr>
        <w:t>Chief</w:t>
      </w:r>
    </w:p>
    <w:p w:rsidR="00F03F3A" w:rsidRPr="00BE19E0" w:rsidP="00E64C19" w14:paraId="2414AB2F" w14:textId="6091B37D">
      <w:pPr>
        <w:spacing w:after="120"/>
        <w:ind w:left="3600" w:firstLine="720"/>
      </w:pPr>
      <w:r>
        <w:rPr>
          <w:color w:val="000000"/>
        </w:rPr>
        <w:t>Public Safety</w:t>
      </w:r>
      <w:r w:rsidRPr="00BB56EB">
        <w:rPr>
          <w:color w:val="000000"/>
        </w:rPr>
        <w:t xml:space="preserve"> and </w:t>
      </w:r>
      <w:r>
        <w:rPr>
          <w:color w:val="000000"/>
        </w:rPr>
        <w:t>Homeland Security</w:t>
      </w:r>
      <w:r w:rsidRPr="00BB56EB">
        <w:rPr>
          <w:color w:val="000000"/>
        </w:rPr>
        <w:t xml:space="preserve"> Bureau</w:t>
      </w: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34871" w14:paraId="526031B4" w14:textId="77777777">
      <w:pPr>
        <w:spacing w:line="20" w:lineRule="exact"/>
      </w:pPr>
    </w:p>
  </w:endnote>
  <w:endnote w:type="continuationSeparator" w:id="1">
    <w:p w:rsidR="00D34871" w14:paraId="261680A1" w14:textId="77777777">
      <w:r>
        <w:t xml:space="preserve"> </w:t>
      </w:r>
    </w:p>
  </w:endnote>
  <w:endnote w:type="continuationNotice" w:id="2">
    <w:p w:rsidR="00D34871" w14:paraId="7528843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40DAF856"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2B75E5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455013" w14:paraId="25F1C903" w14:textId="10BFB1CA">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4F25B771"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4871" w14:paraId="6598E7F9" w14:textId="77777777">
      <w:r>
        <w:separator/>
      </w:r>
    </w:p>
  </w:footnote>
  <w:footnote w:type="continuationSeparator" w:id="1">
    <w:p w:rsidR="00D34871" w:rsidP="00C721AC" w14:paraId="6FEF0D3A" w14:textId="77777777">
      <w:pPr>
        <w:spacing w:before="120"/>
        <w:rPr>
          <w:sz w:val="20"/>
        </w:rPr>
      </w:pPr>
      <w:r>
        <w:rPr>
          <w:sz w:val="20"/>
        </w:rPr>
        <w:t xml:space="preserve">(Continued from previous page)  </w:t>
      </w:r>
      <w:r>
        <w:rPr>
          <w:sz w:val="20"/>
        </w:rPr>
        <w:separator/>
      </w:r>
    </w:p>
  </w:footnote>
  <w:footnote w:type="continuationNotice" w:id="2">
    <w:p w:rsidR="00D34871" w:rsidP="00C721AC" w14:paraId="397AF45B" w14:textId="77777777">
      <w:pPr>
        <w:jc w:val="right"/>
        <w:rPr>
          <w:sz w:val="20"/>
        </w:rPr>
      </w:pPr>
      <w:r>
        <w:rPr>
          <w:sz w:val="20"/>
        </w:rPr>
        <w:t>(continued….)</w:t>
      </w:r>
    </w:p>
  </w:footnote>
  <w:footnote w:id="3">
    <w:p w:rsidR="00863E4B" w:rsidRPr="001F1D46" w:rsidP="00863E4B" w14:paraId="3FD9EA48" w14:textId="7C7D7916">
      <w:pPr>
        <w:pStyle w:val="FootnoteText"/>
      </w:pPr>
      <w:r>
        <w:rPr>
          <w:rStyle w:val="FootnoteReference"/>
        </w:rPr>
        <w:footnoteRef/>
      </w:r>
      <w:r>
        <w:t xml:space="preserve"> </w:t>
      </w:r>
      <w:r w:rsidRPr="00445D20">
        <w:rPr>
          <w:i/>
          <w:iCs/>
        </w:rPr>
        <w:t xml:space="preserve">See </w:t>
      </w:r>
      <w:bookmarkStart w:id="0" w:name="_Hlk151467061"/>
      <w:r w:rsidRPr="00445D20">
        <w:t xml:space="preserve">47 CFR § </w:t>
      </w:r>
      <w:bookmarkEnd w:id="0"/>
      <w:r w:rsidRPr="00445D20">
        <w:t>11.</w:t>
      </w:r>
      <w:r>
        <w:t>2</w:t>
      </w:r>
      <w:r w:rsidRPr="00445D20">
        <w:t>(b) (defining “EAS Participants</w:t>
      </w:r>
      <w:r>
        <w:t xml:space="preserve">”).  </w:t>
      </w:r>
    </w:p>
  </w:footnote>
  <w:footnote w:id="4">
    <w:p w:rsidR="00863E4B" w14:paraId="22BEA290" w14:textId="5E07A8B4">
      <w:pPr>
        <w:pStyle w:val="FootnoteText"/>
      </w:pPr>
      <w:r>
        <w:rPr>
          <w:rStyle w:val="FootnoteReference"/>
        </w:rPr>
        <w:footnoteRef/>
      </w:r>
      <w:r>
        <w:t xml:space="preserve"> </w:t>
      </w:r>
      <w:r>
        <w:rPr>
          <w:i/>
          <w:iCs/>
        </w:rPr>
        <w:t>See</w:t>
      </w:r>
      <w:r>
        <w:t xml:space="preserve">, </w:t>
      </w:r>
      <w:r>
        <w:rPr>
          <w:i/>
          <w:iCs/>
        </w:rPr>
        <w:t>e.g.</w:t>
      </w:r>
      <w:r>
        <w:t xml:space="preserve">, 47 CFR </w:t>
      </w:r>
      <w:r w:rsidRPr="000D4CF6">
        <w:t>§§</w:t>
      </w:r>
      <w:r>
        <w:t xml:space="preserve"> 11.</w:t>
      </w:r>
      <w:r w:rsidR="00F97CAE">
        <w:t>11</w:t>
      </w:r>
      <w:r>
        <w:t>(</w:t>
      </w:r>
      <w:r w:rsidR="00F97CAE">
        <w:t>a</w:t>
      </w:r>
      <w:r>
        <w:t xml:space="preserve">) </w:t>
      </w:r>
      <w:r w:rsidRPr="00863E4B">
        <w:t>(</w:t>
      </w:r>
      <w:r w:rsidR="00F97CAE">
        <w:t>summarizing EAS encoder and decoder requirements for broadcasters</w:t>
      </w:r>
      <w:r w:rsidRPr="00863E4B">
        <w:t>)</w:t>
      </w:r>
      <w:r>
        <w:t>; 11.52(a) (</w:t>
      </w:r>
      <w:r w:rsidRPr="00863E4B">
        <w:t>requiring EAS Participants to be capable of receiving the attention signal and emergency messages of other broadcast stations</w:t>
      </w:r>
      <w:r>
        <w:t xml:space="preserve">); </w:t>
      </w:r>
      <w:r w:rsidR="00F97CAE">
        <w:t>11.56(a) (</w:t>
      </w:r>
      <w:r w:rsidRPr="00F97CAE" w:rsidR="00F97CAE">
        <w:t>requiring EAS Participants to have deployed equipment that can receive and process C</w:t>
      </w:r>
      <w:r w:rsidR="00F97CAE">
        <w:t xml:space="preserve">ommon </w:t>
      </w:r>
      <w:r w:rsidRPr="00F97CAE" w:rsidR="00F97CAE">
        <w:t>A</w:t>
      </w:r>
      <w:r w:rsidR="00F97CAE">
        <w:t xml:space="preserve">lerting </w:t>
      </w:r>
      <w:r w:rsidRPr="00F97CAE" w:rsidR="00F97CAE">
        <w:t>P</w:t>
      </w:r>
      <w:r w:rsidR="00F97CAE">
        <w:t>rotocol</w:t>
      </w:r>
      <w:r w:rsidRPr="00F97CAE" w:rsidR="00F97CAE">
        <w:t xml:space="preserve"> messages from </w:t>
      </w:r>
      <w:r w:rsidR="00F97CAE">
        <w:t xml:space="preserve">the </w:t>
      </w:r>
      <w:r w:rsidRPr="00F97CAE" w:rsidR="00F97CAE">
        <w:t>I</w:t>
      </w:r>
      <w:r w:rsidR="00F97CAE">
        <w:t xml:space="preserve">ntegrated </w:t>
      </w:r>
      <w:r w:rsidRPr="00F97CAE" w:rsidR="00F97CAE">
        <w:t>P</w:t>
      </w:r>
      <w:r w:rsidR="00F97CAE">
        <w:t xml:space="preserve">ublic </w:t>
      </w:r>
      <w:r w:rsidRPr="00F97CAE" w:rsidR="00F97CAE">
        <w:t>A</w:t>
      </w:r>
      <w:r w:rsidR="00F97CAE">
        <w:t xml:space="preserve">lert and </w:t>
      </w:r>
      <w:r w:rsidRPr="00F97CAE" w:rsidR="00F97CAE">
        <w:t>W</w:t>
      </w:r>
      <w:r w:rsidR="00F97CAE">
        <w:t xml:space="preserve">arning </w:t>
      </w:r>
      <w:r w:rsidRPr="00F97CAE" w:rsidR="00F97CAE">
        <w:t>S</w:t>
      </w:r>
      <w:r w:rsidR="00F97CAE">
        <w:t>ystem).</w:t>
      </w:r>
    </w:p>
  </w:footnote>
  <w:footnote w:id="5">
    <w:p w:rsidR="00337648" w14:paraId="1F29BD48" w14:textId="36B798BF">
      <w:pPr>
        <w:pStyle w:val="FootnoteText"/>
      </w:pPr>
      <w:r>
        <w:rPr>
          <w:rStyle w:val="FootnoteReference"/>
        </w:rPr>
        <w:footnoteRef/>
      </w:r>
      <w:r>
        <w:t xml:space="preserve"> </w:t>
      </w:r>
      <w:r w:rsidRPr="002C775E" w:rsidR="008D743C">
        <w:t xml:space="preserve">47 CFR </w:t>
      </w:r>
      <w:r w:rsidRPr="000D4CF6" w:rsidR="000D4CF6">
        <w:t>§ 11.</w:t>
      </w:r>
      <w:r w:rsidR="000D4CF6">
        <w:t>35(a).</w:t>
      </w:r>
    </w:p>
  </w:footnote>
  <w:footnote w:id="6">
    <w:p w:rsidR="00F14226" w14:paraId="11B469CE" w14:textId="6BE8A52B">
      <w:pPr>
        <w:pStyle w:val="FootnoteText"/>
      </w:pPr>
      <w:r>
        <w:rPr>
          <w:rStyle w:val="FootnoteReference"/>
        </w:rPr>
        <w:footnoteRef/>
      </w:r>
      <w:r>
        <w:t xml:space="preserve"> </w:t>
      </w:r>
      <w:r w:rsidRPr="00D87BB5" w:rsidR="00D87BB5">
        <w:rPr>
          <w:i/>
          <w:iCs/>
        </w:rPr>
        <w:t>Id</w:t>
      </w:r>
      <w:r w:rsidRPr="00D87BB5" w:rsidR="00D87BB5">
        <w:t>. § 11.35(b)</w:t>
      </w:r>
      <w:r w:rsidR="00D64B5B">
        <w:t xml:space="preserve">; </w:t>
      </w:r>
      <w:r w:rsidR="00D64B5B">
        <w:rPr>
          <w:i/>
          <w:iCs/>
        </w:rPr>
        <w:t>see also id.</w:t>
      </w:r>
      <w:r w:rsidR="00D64B5B">
        <w:t xml:space="preserve"> </w:t>
      </w:r>
      <w:r w:rsidRPr="00D87BB5" w:rsidR="00D64B5B">
        <w:t>§</w:t>
      </w:r>
      <w:r w:rsidR="00D64B5B">
        <w:t xml:space="preserve"> </w:t>
      </w:r>
      <w:r w:rsidRPr="00D87BB5" w:rsidR="00D64B5B">
        <w:t>11.35(</w:t>
      </w:r>
      <w:r w:rsidR="00D64B5B">
        <w:t>c</w:t>
      </w:r>
      <w:r w:rsidRPr="00D87BB5" w:rsidR="00D64B5B">
        <w:t>)</w:t>
      </w:r>
      <w:r w:rsidR="00D64B5B">
        <w:t xml:space="preserve"> (requiring </w:t>
      </w:r>
      <w:r w:rsidRPr="00D64B5B" w:rsidR="00D64B5B">
        <w:t xml:space="preserve">EAS Participants </w:t>
      </w:r>
      <w:r w:rsidR="00D64B5B">
        <w:t>to</w:t>
      </w:r>
      <w:r w:rsidRPr="00D64B5B" w:rsidR="00D64B5B">
        <w:t xml:space="preserve"> submit a request to the FCC for additional time if the repair or replacement is not completed within 60 days</w:t>
      </w:r>
      <w:r w:rsidR="00D64B5B">
        <w:t>)</w:t>
      </w:r>
      <w:r w:rsidRPr="00D64B5B" w:rsidR="00D64B5B">
        <w:t>.</w:t>
      </w:r>
    </w:p>
  </w:footnote>
  <w:footnote w:id="7">
    <w:p w:rsidR="008B619D" w:rsidP="00B4663A" w14:paraId="2C622886" w14:textId="3BEF76D5">
      <w:pPr>
        <w:pStyle w:val="FootnoteText"/>
      </w:pPr>
      <w:r>
        <w:rPr>
          <w:rStyle w:val="FootnoteReference"/>
        </w:rPr>
        <w:footnoteRef/>
      </w:r>
      <w:r>
        <w:t xml:space="preserve"> </w:t>
      </w:r>
      <w:r w:rsidRPr="0035163F" w:rsidR="0073241C">
        <w:rPr>
          <w:i/>
          <w:iCs/>
        </w:rPr>
        <w:t xml:space="preserve">See </w:t>
      </w:r>
      <w:r w:rsidRPr="00C42084" w:rsidR="00C42084">
        <w:t xml:space="preserve">Fort Myers Broadcasting Company - Limited Waiver Request of Rule 47 </w:t>
      </w:r>
      <w:r w:rsidR="006D0E88">
        <w:t>C.F.R</w:t>
      </w:r>
      <w:r w:rsidR="000E7EDB">
        <w:t>.</w:t>
      </w:r>
      <w:r w:rsidR="006D0E88">
        <w:t xml:space="preserve"> </w:t>
      </w:r>
      <w:r w:rsidRPr="00C42084" w:rsidR="00C42084">
        <w:t>§ 11.35</w:t>
      </w:r>
      <w:r w:rsidRPr="0035163F" w:rsidR="0073241C">
        <w:t xml:space="preserve">, </w:t>
      </w:r>
      <w:r w:rsidR="00C42084">
        <w:t>PS</w:t>
      </w:r>
      <w:r w:rsidRPr="0035163F" w:rsidR="0073241C">
        <w:t xml:space="preserve"> Docket </w:t>
      </w:r>
      <w:r w:rsidR="00985E6E">
        <w:t xml:space="preserve">No. </w:t>
      </w:r>
      <w:r w:rsidR="00C42084">
        <w:t>15</w:t>
      </w:r>
      <w:r w:rsidRPr="0035163F" w:rsidR="0073241C">
        <w:t>-</w:t>
      </w:r>
      <w:r w:rsidR="00C42084">
        <w:t>94</w:t>
      </w:r>
      <w:r w:rsidRPr="0035163F" w:rsidR="0073241C">
        <w:t xml:space="preserve"> (filed </w:t>
      </w:r>
      <w:r w:rsidRPr="007820D5" w:rsidR="00B4663A">
        <w:t xml:space="preserve">Jan. </w:t>
      </w:r>
      <w:r w:rsidR="00F347CE">
        <w:t>6</w:t>
      </w:r>
      <w:r w:rsidRPr="007820D5" w:rsidR="0073241C">
        <w:t>, 20</w:t>
      </w:r>
      <w:r w:rsidRPr="007820D5" w:rsidR="00C42084">
        <w:t>26</w:t>
      </w:r>
      <w:r w:rsidRPr="0035163F" w:rsidR="0073241C">
        <w:t>)</w:t>
      </w:r>
      <w:r w:rsidR="00B4663A">
        <w:t xml:space="preserve"> </w:t>
      </w:r>
      <w:r w:rsidR="001B792C">
        <w:t>(</w:t>
      </w:r>
      <w:r w:rsidRPr="00B132A5" w:rsidR="001B792C">
        <w:rPr>
          <w:i/>
          <w:iCs/>
        </w:rPr>
        <w:t xml:space="preserve">FMBC </w:t>
      </w:r>
      <w:r w:rsidR="003E3DEE">
        <w:rPr>
          <w:i/>
          <w:iCs/>
        </w:rPr>
        <w:t>Waiver Request</w:t>
      </w:r>
      <w:r w:rsidR="001B792C">
        <w:t>).</w:t>
      </w:r>
      <w:r w:rsidR="00B4663A">
        <w:t xml:space="preserve">  </w:t>
      </w:r>
      <w:r w:rsidRPr="00312EAB" w:rsidR="00312EAB">
        <w:t>We construe FMBC’s filing as a request to waive all rules, such as 11.11(a), 11.35(a), 11.52(a), and 11.56(a), that may require continuous operation of EAS equipment.</w:t>
      </w:r>
    </w:p>
  </w:footnote>
  <w:footnote w:id="8">
    <w:p w:rsidR="006D0E88" w:rsidRPr="006D0E88" w14:paraId="400A735F" w14:textId="62BC1C8B">
      <w:pPr>
        <w:pStyle w:val="FootnoteText"/>
      </w:pPr>
      <w:r>
        <w:rPr>
          <w:rStyle w:val="FootnoteReference"/>
        </w:rPr>
        <w:footnoteRef/>
      </w:r>
      <w:r>
        <w:t xml:space="preserve"> </w:t>
      </w:r>
      <w:r>
        <w:rPr>
          <w:i/>
          <w:iCs/>
        </w:rPr>
        <w:t xml:space="preserve">Id. </w:t>
      </w:r>
      <w:r>
        <w:t xml:space="preserve">at 1-2.  </w:t>
      </w:r>
    </w:p>
  </w:footnote>
  <w:footnote w:id="9">
    <w:p w:rsidR="00CD2B05" w14:paraId="09F918FA" w14:textId="047097B3">
      <w:pPr>
        <w:pStyle w:val="FootnoteText"/>
      </w:pPr>
      <w:r>
        <w:rPr>
          <w:rStyle w:val="FootnoteReference"/>
        </w:rPr>
        <w:footnoteRef/>
      </w:r>
      <w:r>
        <w:t xml:space="preserve"> </w:t>
      </w:r>
      <w:r w:rsidR="00224474">
        <w:rPr>
          <w:i/>
          <w:iCs/>
        </w:rPr>
        <w:t>Id.</w:t>
      </w:r>
      <w:r w:rsidR="003E3DEE">
        <w:t xml:space="preserve"> </w:t>
      </w:r>
      <w:r w:rsidR="00F75CFA">
        <w:t xml:space="preserve">at </w:t>
      </w:r>
      <w:r w:rsidR="00192C84">
        <w:t>2</w:t>
      </w:r>
      <w:r w:rsidR="00F75CFA">
        <w:t xml:space="preserve">. </w:t>
      </w:r>
    </w:p>
  </w:footnote>
  <w:footnote w:id="10">
    <w:p w:rsidR="00224474" w:rsidRPr="00224474" w14:paraId="167E8247" w14:textId="54C0C45E">
      <w:pPr>
        <w:pStyle w:val="FootnoteText"/>
      </w:pPr>
      <w:r>
        <w:rPr>
          <w:rStyle w:val="FootnoteReference"/>
        </w:rPr>
        <w:footnoteRef/>
      </w:r>
      <w:r>
        <w:t xml:space="preserve"> </w:t>
      </w:r>
      <w:r>
        <w:rPr>
          <w:i/>
          <w:iCs/>
        </w:rPr>
        <w:t xml:space="preserve">Id. </w:t>
      </w:r>
      <w:r>
        <w:t>at 2-3 (noting that FMBC’s current offices were flooded during</w:t>
      </w:r>
      <w:r w:rsidRPr="00224474">
        <w:t xml:space="preserve"> Hurricane Ian in 2022</w:t>
      </w:r>
      <w:r>
        <w:t>).</w:t>
      </w:r>
    </w:p>
  </w:footnote>
  <w:footnote w:id="11">
    <w:p w:rsidR="004F462D" w:rsidRPr="004F462D" w14:paraId="4AA71DF2" w14:textId="03D5A6BB">
      <w:pPr>
        <w:pStyle w:val="FootnoteText"/>
      </w:pPr>
      <w:r>
        <w:rPr>
          <w:rStyle w:val="FootnoteReference"/>
        </w:rPr>
        <w:footnoteRef/>
      </w:r>
      <w:r>
        <w:t xml:space="preserve"> </w:t>
      </w:r>
      <w:r>
        <w:rPr>
          <w:i/>
          <w:iCs/>
        </w:rPr>
        <w:t xml:space="preserve">Id. </w:t>
      </w:r>
      <w:r>
        <w:t>at 2</w:t>
      </w:r>
      <w:r w:rsidR="00340A3B">
        <w:t>.</w:t>
      </w:r>
      <w:r w:rsidR="009161B7">
        <w:t xml:space="preserve">  </w:t>
      </w:r>
    </w:p>
  </w:footnote>
  <w:footnote w:id="12">
    <w:p w:rsidR="004F462D" w:rsidRPr="007D3BC1" w14:paraId="78796609" w14:textId="377B5EFD">
      <w:pPr>
        <w:pStyle w:val="FootnoteText"/>
      </w:pPr>
      <w:r>
        <w:rPr>
          <w:rStyle w:val="FootnoteReference"/>
        </w:rPr>
        <w:footnoteRef/>
      </w:r>
      <w:r>
        <w:t xml:space="preserve"> </w:t>
      </w:r>
      <w:r w:rsidR="00F35176">
        <w:rPr>
          <w:i/>
          <w:iCs/>
        </w:rPr>
        <w:t xml:space="preserve">Id. </w:t>
      </w:r>
    </w:p>
  </w:footnote>
  <w:footnote w:id="13">
    <w:p w:rsidR="004F462D" w14:paraId="040BE92E" w14:textId="20B7D873">
      <w:pPr>
        <w:pStyle w:val="FootnoteText"/>
      </w:pPr>
      <w:r>
        <w:rPr>
          <w:rStyle w:val="FootnoteReference"/>
        </w:rPr>
        <w:footnoteRef/>
      </w:r>
      <w:r>
        <w:t xml:space="preserve"> </w:t>
      </w:r>
      <w:r>
        <w:rPr>
          <w:i/>
          <w:iCs/>
        </w:rPr>
        <w:t>Id.</w:t>
      </w:r>
    </w:p>
  </w:footnote>
  <w:footnote w:id="14">
    <w:p w:rsidR="00444A41" w14:paraId="4D149426" w14:textId="71D008EC">
      <w:pPr>
        <w:pStyle w:val="FootnoteText"/>
      </w:pPr>
      <w:r>
        <w:rPr>
          <w:rStyle w:val="FootnoteReference"/>
        </w:rPr>
        <w:footnoteRef/>
      </w:r>
      <w:r>
        <w:t xml:space="preserve"> </w:t>
      </w:r>
      <w:r w:rsidRPr="00444A41">
        <w:rPr>
          <w:i/>
          <w:iCs/>
        </w:rPr>
        <w:t>Id</w:t>
      </w:r>
      <w:r>
        <w:t xml:space="preserve">. at 1. </w:t>
      </w:r>
    </w:p>
  </w:footnote>
  <w:footnote w:id="15">
    <w:p w:rsidR="00D94353" w14:paraId="60330FB3" w14:textId="0B083FFE">
      <w:pPr>
        <w:pStyle w:val="FootnoteText"/>
      </w:pPr>
      <w:r>
        <w:rPr>
          <w:rStyle w:val="FootnoteReference"/>
        </w:rPr>
        <w:footnoteRef/>
      </w:r>
      <w:r>
        <w:t xml:space="preserve"> </w:t>
      </w:r>
      <w:r w:rsidRPr="0035163F" w:rsidR="0082662F">
        <w:rPr>
          <w:i/>
          <w:iCs/>
        </w:rPr>
        <w:t xml:space="preserve">See </w:t>
      </w:r>
      <w:r w:rsidRPr="00C42084" w:rsidR="0082662F">
        <w:t xml:space="preserve">Fort Myers Broadcasting Company - </w:t>
      </w:r>
      <w:r w:rsidRPr="00E51254" w:rsidR="00E51254">
        <w:t>Supplement to Limited Waiver Request of Rule 47 C.F.R. § 11.35</w:t>
      </w:r>
      <w:r w:rsidRPr="0035163F" w:rsidR="0082662F">
        <w:t xml:space="preserve">, </w:t>
      </w:r>
      <w:r w:rsidR="0082662F">
        <w:t>PS</w:t>
      </w:r>
      <w:r w:rsidRPr="0035163F" w:rsidR="0082662F">
        <w:t xml:space="preserve"> Docket </w:t>
      </w:r>
      <w:r w:rsidR="0082662F">
        <w:t>No. 15</w:t>
      </w:r>
      <w:r w:rsidRPr="0035163F" w:rsidR="0082662F">
        <w:t>-</w:t>
      </w:r>
      <w:r w:rsidR="0082662F">
        <w:t>94</w:t>
      </w:r>
      <w:r w:rsidRPr="0035163F" w:rsidR="0082662F">
        <w:t xml:space="preserve"> (filed </w:t>
      </w:r>
      <w:r w:rsidRPr="007820D5" w:rsidR="0082662F">
        <w:t xml:space="preserve">Jan. </w:t>
      </w:r>
      <w:r w:rsidR="00F84483">
        <w:t>2</w:t>
      </w:r>
      <w:r w:rsidR="0082662F">
        <w:t>6</w:t>
      </w:r>
      <w:r w:rsidRPr="007820D5" w:rsidR="0082662F">
        <w:t>, 2026</w:t>
      </w:r>
      <w:r w:rsidRPr="0035163F" w:rsidR="0082662F">
        <w:t>)</w:t>
      </w:r>
      <w:r w:rsidR="0082662F">
        <w:t xml:space="preserve"> (</w:t>
      </w:r>
      <w:r w:rsidRPr="00B132A5" w:rsidR="0082662F">
        <w:rPr>
          <w:i/>
          <w:iCs/>
        </w:rPr>
        <w:t xml:space="preserve">FMBC </w:t>
      </w:r>
      <w:r w:rsidR="00F84483">
        <w:rPr>
          <w:i/>
          <w:iCs/>
        </w:rPr>
        <w:t>Supplemental</w:t>
      </w:r>
      <w:r w:rsidR="0082662F">
        <w:rPr>
          <w:i/>
          <w:iCs/>
        </w:rPr>
        <w:t xml:space="preserve"> Request</w:t>
      </w:r>
      <w:r w:rsidR="0082662F">
        <w:t xml:space="preserve">).  </w:t>
      </w:r>
    </w:p>
  </w:footnote>
  <w:footnote w:id="16">
    <w:p w:rsidR="00E94453" w:rsidRPr="00675326" w:rsidP="00E94453" w14:paraId="574A95B2" w14:textId="77777777">
      <w:pPr>
        <w:pStyle w:val="FootnoteText"/>
      </w:pPr>
      <w:r w:rsidRPr="00675326">
        <w:rPr>
          <w:rStyle w:val="FootnoteReference"/>
        </w:rPr>
        <w:footnoteRef/>
      </w:r>
      <w:r w:rsidRPr="00675326">
        <w:t xml:space="preserve"> 47 CFR</w:t>
      </w:r>
      <w:r w:rsidRPr="00675326">
        <w:rPr>
          <w:spacing w:val="-1"/>
        </w:rPr>
        <w:t xml:space="preserve"> </w:t>
      </w:r>
      <w:r w:rsidRPr="00675326">
        <w:t>§ 1.3.</w:t>
      </w:r>
      <w:r>
        <w:t xml:space="preserve">  </w:t>
      </w:r>
    </w:p>
  </w:footnote>
  <w:footnote w:id="17">
    <w:p w:rsidR="00E94453" w:rsidRPr="00B0643B" w:rsidP="00E94453" w14:paraId="635DC267" w14:textId="77777777">
      <w:pPr>
        <w:pStyle w:val="FootnoteText"/>
      </w:pPr>
      <w:r w:rsidRPr="00675326">
        <w:rPr>
          <w:rStyle w:val="FootnoteReference"/>
        </w:rPr>
        <w:footnoteRef/>
      </w:r>
      <w:r w:rsidRPr="00675326">
        <w:t xml:space="preserve"> </w:t>
      </w:r>
      <w:r w:rsidRPr="00675326">
        <w:rPr>
          <w:i/>
        </w:rPr>
        <w:t>See</w:t>
      </w:r>
      <w:r w:rsidRPr="00675326">
        <w:rPr>
          <w:i/>
          <w:spacing w:val="-3"/>
        </w:rPr>
        <w:t xml:space="preserve"> </w:t>
      </w:r>
      <w:r w:rsidRPr="00675326">
        <w:rPr>
          <w:i/>
        </w:rPr>
        <w:t>Northeast</w:t>
      </w:r>
      <w:r w:rsidRPr="00B0643B">
        <w:rPr>
          <w:i/>
          <w:spacing w:val="-4"/>
        </w:rPr>
        <w:t xml:space="preserve"> </w:t>
      </w:r>
      <w:r w:rsidRPr="00B0643B">
        <w:rPr>
          <w:i/>
        </w:rPr>
        <w:t>Cellular</w:t>
      </w:r>
      <w:r w:rsidRPr="00B0643B">
        <w:rPr>
          <w:i/>
          <w:spacing w:val="-2"/>
        </w:rPr>
        <w:t xml:space="preserve"> </w:t>
      </w:r>
      <w:r w:rsidRPr="00B0643B">
        <w:rPr>
          <w:i/>
          <w:spacing w:val="-1"/>
        </w:rPr>
        <w:t>Telephone</w:t>
      </w:r>
      <w:r w:rsidRPr="00B0643B">
        <w:rPr>
          <w:i/>
          <w:spacing w:val="-3"/>
        </w:rPr>
        <w:t xml:space="preserve"> </w:t>
      </w:r>
      <w:r w:rsidRPr="00B0643B">
        <w:rPr>
          <w:i/>
        </w:rPr>
        <w:t>Co.</w:t>
      </w:r>
      <w:r w:rsidRPr="00B0643B">
        <w:rPr>
          <w:i/>
          <w:spacing w:val="-3"/>
        </w:rPr>
        <w:t xml:space="preserve"> </w:t>
      </w:r>
      <w:r w:rsidRPr="00B0643B">
        <w:rPr>
          <w:i/>
        </w:rPr>
        <w:t>v.</w:t>
      </w:r>
      <w:r w:rsidRPr="00B0643B">
        <w:rPr>
          <w:i/>
          <w:spacing w:val="-4"/>
        </w:rPr>
        <w:t xml:space="preserve"> </w:t>
      </w:r>
      <w:r w:rsidRPr="00B0643B">
        <w:rPr>
          <w:i/>
          <w:spacing w:val="-1"/>
        </w:rPr>
        <w:t>FCC</w:t>
      </w:r>
      <w:r w:rsidRPr="00B0643B">
        <w:rPr>
          <w:spacing w:val="-1"/>
        </w:rPr>
        <w:t>,</w:t>
      </w:r>
      <w:r w:rsidRPr="00B0643B">
        <w:rPr>
          <w:spacing w:val="-3"/>
        </w:rPr>
        <w:t xml:space="preserve"> </w:t>
      </w:r>
      <w:r w:rsidRPr="00B0643B">
        <w:t>897</w:t>
      </w:r>
      <w:r w:rsidRPr="00B0643B">
        <w:rPr>
          <w:spacing w:val="-3"/>
        </w:rPr>
        <w:t xml:space="preserve"> </w:t>
      </w:r>
      <w:r w:rsidRPr="00B0643B">
        <w:rPr>
          <w:spacing w:val="-1"/>
        </w:rPr>
        <w:t>F.2d</w:t>
      </w:r>
      <w:r w:rsidRPr="00B0643B">
        <w:rPr>
          <w:spacing w:val="-3"/>
        </w:rPr>
        <w:t xml:space="preserve"> </w:t>
      </w:r>
      <w:r w:rsidRPr="00B0643B">
        <w:t>1164,</w:t>
      </w:r>
      <w:r w:rsidRPr="00B0643B">
        <w:rPr>
          <w:spacing w:val="-2"/>
        </w:rPr>
        <w:t xml:space="preserve"> </w:t>
      </w:r>
      <w:r w:rsidRPr="00B0643B">
        <w:t>1166</w:t>
      </w:r>
      <w:r w:rsidRPr="00B0643B">
        <w:rPr>
          <w:spacing w:val="-3"/>
        </w:rPr>
        <w:t xml:space="preserve"> </w:t>
      </w:r>
      <w:r w:rsidRPr="00B0643B">
        <w:t>(D.C.</w:t>
      </w:r>
      <w:r w:rsidRPr="00B0643B">
        <w:rPr>
          <w:spacing w:val="-4"/>
        </w:rPr>
        <w:t xml:space="preserve"> </w:t>
      </w:r>
      <w:r w:rsidRPr="00B0643B">
        <w:t>Cir.</w:t>
      </w:r>
      <w:r w:rsidRPr="00B0643B">
        <w:rPr>
          <w:spacing w:val="-3"/>
        </w:rPr>
        <w:t xml:space="preserve"> </w:t>
      </w:r>
      <w:r w:rsidRPr="00B0643B">
        <w:t>1990)</w:t>
      </w:r>
      <w:r w:rsidRPr="00B0643B">
        <w:rPr>
          <w:spacing w:val="-3"/>
        </w:rPr>
        <w:t xml:space="preserve"> </w:t>
      </w:r>
      <w:r w:rsidRPr="00B0643B">
        <w:t>(</w:t>
      </w:r>
      <w:r w:rsidRPr="00EB4698">
        <w:t>citing</w:t>
      </w:r>
      <w:r w:rsidRPr="00B0643B">
        <w:rPr>
          <w:i/>
          <w:spacing w:val="-4"/>
        </w:rPr>
        <w:t xml:space="preserve"> </w:t>
      </w:r>
      <w:r w:rsidRPr="00B0643B">
        <w:rPr>
          <w:i/>
          <w:spacing w:val="-1"/>
        </w:rPr>
        <w:t>WAIT</w:t>
      </w:r>
      <w:r w:rsidRPr="00B0643B">
        <w:rPr>
          <w:i/>
          <w:spacing w:val="-3"/>
        </w:rPr>
        <w:t xml:space="preserve"> </w:t>
      </w:r>
      <w:r w:rsidRPr="00B0643B">
        <w:rPr>
          <w:i/>
          <w:spacing w:val="-1"/>
        </w:rPr>
        <w:t>Radio</w:t>
      </w:r>
      <w:r w:rsidRPr="00B0643B">
        <w:rPr>
          <w:i/>
          <w:spacing w:val="-2"/>
        </w:rPr>
        <w:t xml:space="preserve"> </w:t>
      </w:r>
      <w:r w:rsidRPr="00B0643B">
        <w:rPr>
          <w:i/>
        </w:rPr>
        <w:t>v.</w:t>
      </w:r>
      <w:r w:rsidRPr="00B0643B">
        <w:rPr>
          <w:i/>
          <w:spacing w:val="-4"/>
        </w:rPr>
        <w:t xml:space="preserve"> </w:t>
      </w:r>
      <w:r w:rsidRPr="00B0643B">
        <w:rPr>
          <w:i/>
          <w:spacing w:val="-1"/>
        </w:rPr>
        <w:t>FCC</w:t>
      </w:r>
      <w:r w:rsidRPr="00B0643B">
        <w:rPr>
          <w:spacing w:val="-1"/>
        </w:rPr>
        <w:t>,</w:t>
      </w:r>
      <w:r w:rsidRPr="00B0643B">
        <w:rPr>
          <w:spacing w:val="31"/>
        </w:rPr>
        <w:t xml:space="preserve"> </w:t>
      </w:r>
      <w:r w:rsidRPr="00B0643B">
        <w:t>418</w:t>
      </w:r>
      <w:r w:rsidRPr="00B0643B">
        <w:rPr>
          <w:spacing w:val="-1"/>
        </w:rPr>
        <w:t xml:space="preserve"> F.2d </w:t>
      </w:r>
      <w:r w:rsidRPr="00B0643B">
        <w:t>1153,</w:t>
      </w:r>
      <w:r w:rsidRPr="00B0643B">
        <w:rPr>
          <w:spacing w:val="-1"/>
        </w:rPr>
        <w:t xml:space="preserve"> </w:t>
      </w:r>
      <w:r w:rsidRPr="00B0643B">
        <w:t>1159</w:t>
      </w:r>
      <w:r w:rsidRPr="00B0643B">
        <w:rPr>
          <w:spacing w:val="-1"/>
        </w:rPr>
        <w:t xml:space="preserve"> </w:t>
      </w:r>
      <w:r w:rsidRPr="00B0643B">
        <w:t>(D.C.</w:t>
      </w:r>
      <w:r w:rsidRPr="00B0643B">
        <w:rPr>
          <w:spacing w:val="-2"/>
        </w:rPr>
        <w:t xml:space="preserve"> </w:t>
      </w:r>
      <w:r w:rsidRPr="00B0643B">
        <w:t>Cir.</w:t>
      </w:r>
      <w:r w:rsidRPr="00B0643B">
        <w:rPr>
          <w:spacing w:val="-1"/>
        </w:rPr>
        <w:t xml:space="preserve"> </w:t>
      </w:r>
      <w:r w:rsidRPr="00B0643B">
        <w:t>1969)).</w:t>
      </w:r>
      <w:r>
        <w:t xml:space="preserve">  </w:t>
      </w:r>
    </w:p>
  </w:footnote>
  <w:footnote w:id="18">
    <w:p w:rsidR="00E94453" w:rsidP="00E94453" w14:paraId="1EF7C31C" w14:textId="77777777">
      <w:pPr>
        <w:pStyle w:val="footnotedescription"/>
        <w:spacing w:after="120" w:line="259" w:lineRule="auto"/>
        <w:ind w:right="0"/>
      </w:pPr>
      <w:r>
        <w:rPr>
          <w:rStyle w:val="footnotemark"/>
        </w:rPr>
        <w:footnoteRef/>
      </w:r>
      <w:r>
        <w:t xml:space="preserve"> </w:t>
      </w:r>
      <w:r w:rsidRPr="008820CC">
        <w:rPr>
          <w:i/>
          <w:iCs/>
        </w:rPr>
        <w:t>WAIT Radio v. FCC</w:t>
      </w:r>
      <w:r>
        <w:t xml:space="preserve">, 418 F.2d at 1157. </w:t>
      </w:r>
    </w:p>
  </w:footnote>
  <w:footnote w:id="19">
    <w:p w:rsidR="005442B6" w:rsidRPr="004A32A0" w14:paraId="7E906D86" w14:textId="4905C7DA">
      <w:pPr>
        <w:pStyle w:val="FootnoteText"/>
      </w:pPr>
      <w:r>
        <w:rPr>
          <w:rStyle w:val="FootnoteReference"/>
        </w:rPr>
        <w:footnoteRef/>
      </w:r>
      <w:r>
        <w:t xml:space="preserve"> </w:t>
      </w:r>
      <w:r w:rsidRPr="00B132A5" w:rsidR="004A32A0">
        <w:rPr>
          <w:i/>
          <w:iCs/>
        </w:rPr>
        <w:t xml:space="preserve">FMBC </w:t>
      </w:r>
      <w:r w:rsidR="004A32A0">
        <w:rPr>
          <w:i/>
          <w:iCs/>
        </w:rPr>
        <w:t>Supplemental Request</w:t>
      </w:r>
      <w:r w:rsidR="004A32A0">
        <w:t xml:space="preserve"> at </w:t>
      </w:r>
      <w:r w:rsidR="00774BB6">
        <w:t xml:space="preserve">2. </w:t>
      </w:r>
    </w:p>
  </w:footnote>
  <w:footnote w:id="20">
    <w:p w:rsidR="00C631A7" w:rsidP="00C631A7" w14:paraId="0B902096" w14:textId="77777777">
      <w:pPr>
        <w:pStyle w:val="FootnoteText"/>
      </w:pPr>
      <w:r>
        <w:rPr>
          <w:rStyle w:val="FootnoteReference"/>
        </w:rPr>
        <w:footnoteRef/>
      </w:r>
      <w:r>
        <w:t xml:space="preserve"> </w:t>
      </w:r>
      <w:r w:rsidRPr="00E64C19">
        <w:rPr>
          <w:i/>
          <w:iCs/>
        </w:rPr>
        <w:t>FMBC Waiver Request</w:t>
      </w:r>
      <w:r>
        <w:t xml:space="preserve"> at 2.</w:t>
      </w:r>
    </w:p>
  </w:footnote>
  <w:footnote w:id="21">
    <w:p w:rsidR="009161B7" w14:paraId="22B592C9" w14:textId="3547187E">
      <w:pPr>
        <w:pStyle w:val="FootnoteText"/>
      </w:pPr>
      <w:r>
        <w:rPr>
          <w:rStyle w:val="FootnoteReference"/>
        </w:rPr>
        <w:footnoteRef/>
      </w:r>
      <w:r>
        <w:t xml:space="preserve"> 47 CFR </w:t>
      </w:r>
      <w:r w:rsidRPr="005442B6">
        <w:t>§</w:t>
      </w:r>
      <w:r>
        <w:t xml:space="preserve"> 11.35(b).</w:t>
      </w:r>
    </w:p>
  </w:footnote>
  <w:footnote w:id="22">
    <w:p w:rsidR="009161B7" w:rsidRPr="009161B7" w14:paraId="680E2F56" w14:textId="675AC6E9">
      <w:pPr>
        <w:pStyle w:val="FootnoteText"/>
      </w:pPr>
      <w:r>
        <w:rPr>
          <w:rStyle w:val="FootnoteReference"/>
        </w:rPr>
        <w:footnoteRef/>
      </w:r>
      <w:r>
        <w:t xml:space="preserve"> </w:t>
      </w:r>
      <w:r>
        <w:rPr>
          <w:i/>
          <w:iCs/>
        </w:rPr>
        <w:t>Id.</w:t>
      </w:r>
    </w:p>
  </w:footnote>
  <w:footnote w:id="23">
    <w:p w:rsidR="004501EB" w14:paraId="59D202DF" w14:textId="4863890F">
      <w:pPr>
        <w:pStyle w:val="FootnoteText"/>
      </w:pPr>
      <w:r>
        <w:rPr>
          <w:rStyle w:val="FootnoteReference"/>
        </w:rPr>
        <w:footnoteRef/>
      </w:r>
      <w:r>
        <w:t xml:space="preserve"> </w:t>
      </w:r>
      <w:r>
        <w:rPr>
          <w:i/>
          <w:iCs/>
        </w:rPr>
        <w:t xml:space="preserve">Cf. </w:t>
      </w:r>
      <w:r>
        <w:t xml:space="preserve">47 CFR </w:t>
      </w:r>
      <w:r w:rsidRPr="005442B6">
        <w:t>§</w:t>
      </w:r>
      <w:r>
        <w:t xml:space="preserve"> 11.35(a) (“</w:t>
      </w:r>
      <w:r w:rsidRPr="004501EB">
        <w:t xml:space="preserve">EAS Participants are responsible for ensuring that EAS </w:t>
      </w:r>
      <w:r>
        <w:t>. . .</w:t>
      </w:r>
      <w:r w:rsidRPr="004501EB">
        <w:t xml:space="preserve"> equipment</w:t>
      </w:r>
      <w:r>
        <w:t xml:space="preserve"> . . . </w:t>
      </w:r>
      <w:r w:rsidRPr="004501EB">
        <w:t>are installed so that the monitoring and transmitting functions are available during the times the stations and systems are in operation</w:t>
      </w:r>
      <w:r>
        <w:t>).</w:t>
      </w:r>
    </w:p>
  </w:footnote>
  <w:footnote w:id="24">
    <w:p w:rsidR="00D64B5B" w:rsidP="00D64B5B" w14:paraId="15D0F819" w14:textId="0D9F9821">
      <w:pPr>
        <w:pStyle w:val="FootnoteText"/>
      </w:pPr>
      <w:r>
        <w:rPr>
          <w:rStyle w:val="FootnoteReference"/>
        </w:rPr>
        <w:footnoteRef/>
      </w:r>
      <w:r>
        <w:t xml:space="preserve"> </w:t>
      </w:r>
      <w:r w:rsidR="00B9173C">
        <w:rPr>
          <w:i/>
          <w:iCs/>
        </w:rPr>
        <w:t xml:space="preserve">Cf. </w:t>
      </w:r>
      <w:r w:rsidRPr="00E06F5C">
        <w:rPr>
          <w:i/>
        </w:rPr>
        <w:t>Charter Communications</w:t>
      </w:r>
      <w:r w:rsidRPr="00B9077C">
        <w:t xml:space="preserve">, Consent Decree, </w:t>
      </w:r>
      <w:r w:rsidRPr="00C05406">
        <w:t xml:space="preserve">39 FCC </w:t>
      </w:r>
      <w:r w:rsidRPr="00C05406">
        <w:t>Rcd</w:t>
      </w:r>
      <w:r w:rsidRPr="00C05406">
        <w:t xml:space="preserve"> 13136</w:t>
      </w:r>
      <w:r>
        <w:t>, 13141, para. 9</w:t>
      </w:r>
      <w:r w:rsidRPr="00B9077C">
        <w:t xml:space="preserve"> (</w:t>
      </w:r>
      <w:r>
        <w:t xml:space="preserve">EB </w:t>
      </w:r>
      <w:r w:rsidRPr="00B9077C">
        <w:t>2004)</w:t>
      </w:r>
      <w:r w:rsidR="00B9173C">
        <w:t xml:space="preserve"> (</w:t>
      </w:r>
      <w:r w:rsidRPr="00B9173C" w:rsidR="00B9173C">
        <w:t>assert</w:t>
      </w:r>
      <w:r w:rsidR="00B9173C">
        <w:t>ing</w:t>
      </w:r>
      <w:r w:rsidRPr="00B9173C" w:rsidR="00B9173C">
        <w:t xml:space="preserve"> that EAS </w:t>
      </w:r>
      <w:r w:rsidR="00B9173C">
        <w:t>equipment is</w:t>
      </w:r>
      <w:r w:rsidRPr="00B9173C" w:rsidR="00B9173C">
        <w:t xml:space="preserve"> not “defective” under section 11.35(b) </w:t>
      </w:r>
      <w:r w:rsidR="00B9173C">
        <w:t xml:space="preserve">when they </w:t>
      </w:r>
      <w:r w:rsidR="00B9173C">
        <w:t>are</w:t>
      </w:r>
      <w:r w:rsidRPr="00B9173C" w:rsidR="00B9173C">
        <w:t xml:space="preserve"> capable of performing</w:t>
      </w:r>
      <w:r w:rsidRPr="00B9173C" w:rsidR="00B9173C">
        <w:t xml:space="preserve"> the monitoring and transmitting functions that </w:t>
      </w:r>
      <w:r w:rsidR="00B9173C">
        <w:t>are</w:t>
      </w:r>
      <w:r w:rsidRPr="00B9173C" w:rsidR="00B9173C">
        <w:t xml:space="preserve"> required to be available during the times </w:t>
      </w:r>
      <w:r w:rsidR="00B9173C">
        <w:t xml:space="preserve">when </w:t>
      </w:r>
      <w:r w:rsidRPr="00B9173C" w:rsidR="00B9173C">
        <w:t xml:space="preserve">the </w:t>
      </w:r>
      <w:r w:rsidR="00B9173C">
        <w:t xml:space="preserve">EAS participant’s systems are </w:t>
      </w:r>
      <w:r w:rsidRPr="00B9173C" w:rsidR="00B9173C">
        <w:t>in operatio</w:t>
      </w:r>
      <w:r w:rsidR="00B9173C">
        <w:t>n)</w:t>
      </w:r>
      <w:r>
        <w:t>.</w:t>
      </w:r>
      <w:r w:rsidRPr="00B9077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5727A5F2" w14:textId="37C65020">
    <w:pPr>
      <w:pStyle w:val="Header"/>
      <w:rPr>
        <w:b w:val="0"/>
      </w:rPr>
    </w:pPr>
    <w:r>
      <w:tab/>
      <w:t>Federal Communications Commission</w:t>
    </w:r>
    <w:r>
      <w:tab/>
    </w:r>
    <w:r w:rsidR="00EA4369">
      <w:t>DA 2</w:t>
    </w:r>
    <w:r w:rsidR="00F61843">
      <w:t>6</w:t>
    </w:r>
    <w:r w:rsidR="00EA4369">
      <w:t>-</w:t>
    </w:r>
    <w:r w:rsidR="00B853BF">
      <w:t>109</w:t>
    </w:r>
  </w:p>
  <w:p w:rsidR="00D25FB5" w14:paraId="271618B8" w14:textId="3AC5AD1E">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15BF2296"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29E25C25" w14:textId="3D19D885">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3C1C8B">
      <w:rPr>
        <w:spacing w:val="-2"/>
      </w:rPr>
      <w:t>DA 26</w:t>
    </w:r>
    <w:r w:rsidR="00A6466F">
      <w:rPr>
        <w:spacing w:val="-2"/>
      </w:rPr>
      <w:t>-</w:t>
    </w:r>
    <w:r w:rsidR="00B853BF">
      <w:rPr>
        <w:spacing w:val="-2"/>
      </w:rPr>
      <w:t>109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915504078">
    <w:abstractNumId w:val="1"/>
  </w:num>
  <w:num w:numId="2" w16cid:durableId="1102452834">
    <w:abstractNumId w:val="5"/>
  </w:num>
  <w:num w:numId="3" w16cid:durableId="262766114">
    <w:abstractNumId w:val="3"/>
  </w:num>
  <w:num w:numId="4" w16cid:durableId="1020467375">
    <w:abstractNumId w:val="4"/>
  </w:num>
  <w:num w:numId="5" w16cid:durableId="745956695">
    <w:abstractNumId w:val="2"/>
  </w:num>
  <w:num w:numId="6" w16cid:durableId="69739814">
    <w:abstractNumId w:val="0"/>
  </w:num>
  <w:num w:numId="7" w16cid:durableId="543367510">
    <w:abstractNumId w:val="5"/>
    <w:lvlOverride w:ilvl="0">
      <w:startOverride w:val="1"/>
    </w:lvlOverride>
  </w:num>
  <w:num w:numId="8" w16cid:durableId="318584435">
    <w:abstractNumId w:val="5"/>
    <w:lvlOverride w:ilvl="0">
      <w:startOverride w:val="1"/>
    </w:lvlOverride>
  </w:num>
  <w:num w:numId="9" w16cid:durableId="1869415776">
    <w:abstractNumId w:val="5"/>
    <w:lvlOverride w:ilvl="0">
      <w:startOverride w:val="1"/>
    </w:lvlOverride>
  </w:num>
  <w:num w:numId="10" w16cid:durableId="40094983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07"/>
    <w:rsid w:val="000002B0"/>
    <w:rsid w:val="00003966"/>
    <w:rsid w:val="00007A19"/>
    <w:rsid w:val="00017448"/>
    <w:rsid w:val="00036039"/>
    <w:rsid w:val="0003660A"/>
    <w:rsid w:val="00037F90"/>
    <w:rsid w:val="00046D5A"/>
    <w:rsid w:val="00057D0A"/>
    <w:rsid w:val="00060F14"/>
    <w:rsid w:val="00061044"/>
    <w:rsid w:val="0006175C"/>
    <w:rsid w:val="000801B6"/>
    <w:rsid w:val="00080692"/>
    <w:rsid w:val="00080D39"/>
    <w:rsid w:val="000810AA"/>
    <w:rsid w:val="000875BF"/>
    <w:rsid w:val="0008777B"/>
    <w:rsid w:val="000911D4"/>
    <w:rsid w:val="00096D8C"/>
    <w:rsid w:val="000976DA"/>
    <w:rsid w:val="000A10BB"/>
    <w:rsid w:val="000A147D"/>
    <w:rsid w:val="000A21BE"/>
    <w:rsid w:val="000B1A75"/>
    <w:rsid w:val="000B4267"/>
    <w:rsid w:val="000C0B65"/>
    <w:rsid w:val="000C68C5"/>
    <w:rsid w:val="000D4A2B"/>
    <w:rsid w:val="000D4CF6"/>
    <w:rsid w:val="000D6348"/>
    <w:rsid w:val="000E05FE"/>
    <w:rsid w:val="000E2FB3"/>
    <w:rsid w:val="000E3D42"/>
    <w:rsid w:val="000E7EDB"/>
    <w:rsid w:val="000F6861"/>
    <w:rsid w:val="00100995"/>
    <w:rsid w:val="0010108C"/>
    <w:rsid w:val="00102D99"/>
    <w:rsid w:val="001037A5"/>
    <w:rsid w:val="00106485"/>
    <w:rsid w:val="001076C0"/>
    <w:rsid w:val="00122BD5"/>
    <w:rsid w:val="00123536"/>
    <w:rsid w:val="00125644"/>
    <w:rsid w:val="001277C3"/>
    <w:rsid w:val="00130054"/>
    <w:rsid w:val="00131857"/>
    <w:rsid w:val="00131DDD"/>
    <w:rsid w:val="00133F79"/>
    <w:rsid w:val="0013411A"/>
    <w:rsid w:val="00144A09"/>
    <w:rsid w:val="00147C21"/>
    <w:rsid w:val="001575FE"/>
    <w:rsid w:val="00160985"/>
    <w:rsid w:val="00163C84"/>
    <w:rsid w:val="00165566"/>
    <w:rsid w:val="00175E5D"/>
    <w:rsid w:val="00185BF7"/>
    <w:rsid w:val="00187776"/>
    <w:rsid w:val="00191C69"/>
    <w:rsid w:val="00192C84"/>
    <w:rsid w:val="0019378D"/>
    <w:rsid w:val="00194A66"/>
    <w:rsid w:val="001A387F"/>
    <w:rsid w:val="001A4209"/>
    <w:rsid w:val="001A5052"/>
    <w:rsid w:val="001A5ADC"/>
    <w:rsid w:val="001B08CF"/>
    <w:rsid w:val="001B4F71"/>
    <w:rsid w:val="001B65D2"/>
    <w:rsid w:val="001B792C"/>
    <w:rsid w:val="001C47D9"/>
    <w:rsid w:val="001C6DD8"/>
    <w:rsid w:val="001C78D0"/>
    <w:rsid w:val="001D292E"/>
    <w:rsid w:val="001D595D"/>
    <w:rsid w:val="001D6BCF"/>
    <w:rsid w:val="001E0108"/>
    <w:rsid w:val="001E01CA"/>
    <w:rsid w:val="001E1FFB"/>
    <w:rsid w:val="001F1D46"/>
    <w:rsid w:val="001F61C5"/>
    <w:rsid w:val="00211222"/>
    <w:rsid w:val="00222591"/>
    <w:rsid w:val="002233EB"/>
    <w:rsid w:val="0022347A"/>
    <w:rsid w:val="00224474"/>
    <w:rsid w:val="002264A1"/>
    <w:rsid w:val="0024416F"/>
    <w:rsid w:val="002531A4"/>
    <w:rsid w:val="00253713"/>
    <w:rsid w:val="00253AD4"/>
    <w:rsid w:val="002575A4"/>
    <w:rsid w:val="00260262"/>
    <w:rsid w:val="002634A8"/>
    <w:rsid w:val="00275CF5"/>
    <w:rsid w:val="00277CC0"/>
    <w:rsid w:val="0028301F"/>
    <w:rsid w:val="00285017"/>
    <w:rsid w:val="0028652A"/>
    <w:rsid w:val="00291E23"/>
    <w:rsid w:val="00294AA0"/>
    <w:rsid w:val="002A2D2E"/>
    <w:rsid w:val="002A6E9C"/>
    <w:rsid w:val="002A7066"/>
    <w:rsid w:val="002B2700"/>
    <w:rsid w:val="002C00E8"/>
    <w:rsid w:val="002C10B2"/>
    <w:rsid w:val="002C2AA0"/>
    <w:rsid w:val="002C3803"/>
    <w:rsid w:val="002C44E8"/>
    <w:rsid w:val="002C4FDE"/>
    <w:rsid w:val="002C659E"/>
    <w:rsid w:val="002C775E"/>
    <w:rsid w:val="002D1C4C"/>
    <w:rsid w:val="002D2AFF"/>
    <w:rsid w:val="002D33F3"/>
    <w:rsid w:val="002D521E"/>
    <w:rsid w:val="002D5AA5"/>
    <w:rsid w:val="002F077A"/>
    <w:rsid w:val="00300AB6"/>
    <w:rsid w:val="0030359A"/>
    <w:rsid w:val="00304089"/>
    <w:rsid w:val="0030502A"/>
    <w:rsid w:val="00312EAB"/>
    <w:rsid w:val="003140E9"/>
    <w:rsid w:val="00320D3A"/>
    <w:rsid w:val="00321067"/>
    <w:rsid w:val="00322038"/>
    <w:rsid w:val="00322C08"/>
    <w:rsid w:val="00325760"/>
    <w:rsid w:val="00325F76"/>
    <w:rsid w:val="0033326F"/>
    <w:rsid w:val="00333CA7"/>
    <w:rsid w:val="003342CC"/>
    <w:rsid w:val="00337648"/>
    <w:rsid w:val="00340A3B"/>
    <w:rsid w:val="00343749"/>
    <w:rsid w:val="0034572A"/>
    <w:rsid w:val="0035163F"/>
    <w:rsid w:val="00356C1B"/>
    <w:rsid w:val="00357C22"/>
    <w:rsid w:val="00364B36"/>
    <w:rsid w:val="003660ED"/>
    <w:rsid w:val="003849AE"/>
    <w:rsid w:val="003875F0"/>
    <w:rsid w:val="00391C74"/>
    <w:rsid w:val="003A2701"/>
    <w:rsid w:val="003A6F4B"/>
    <w:rsid w:val="003B0550"/>
    <w:rsid w:val="003B0B81"/>
    <w:rsid w:val="003B3FA1"/>
    <w:rsid w:val="003B694F"/>
    <w:rsid w:val="003B6CB2"/>
    <w:rsid w:val="003C1C8B"/>
    <w:rsid w:val="003C360A"/>
    <w:rsid w:val="003C427D"/>
    <w:rsid w:val="003C49DB"/>
    <w:rsid w:val="003C6A25"/>
    <w:rsid w:val="003D07F7"/>
    <w:rsid w:val="003D0C84"/>
    <w:rsid w:val="003E20F0"/>
    <w:rsid w:val="003E3DEE"/>
    <w:rsid w:val="003E4FB4"/>
    <w:rsid w:val="003F171C"/>
    <w:rsid w:val="004028E9"/>
    <w:rsid w:val="00405C2F"/>
    <w:rsid w:val="00406807"/>
    <w:rsid w:val="00407D68"/>
    <w:rsid w:val="00412FC5"/>
    <w:rsid w:val="00422276"/>
    <w:rsid w:val="004242F1"/>
    <w:rsid w:val="0042644E"/>
    <w:rsid w:val="004265C7"/>
    <w:rsid w:val="00427606"/>
    <w:rsid w:val="00430CFE"/>
    <w:rsid w:val="0043268B"/>
    <w:rsid w:val="004375DB"/>
    <w:rsid w:val="00442DD7"/>
    <w:rsid w:val="00443CFB"/>
    <w:rsid w:val="00444A41"/>
    <w:rsid w:val="0044545D"/>
    <w:rsid w:val="00445A00"/>
    <w:rsid w:val="00445D20"/>
    <w:rsid w:val="004501EB"/>
    <w:rsid w:val="00451B0F"/>
    <w:rsid w:val="0045321B"/>
    <w:rsid w:val="00455013"/>
    <w:rsid w:val="00457764"/>
    <w:rsid w:val="00461B4E"/>
    <w:rsid w:val="00462609"/>
    <w:rsid w:val="00463916"/>
    <w:rsid w:val="00471C4D"/>
    <w:rsid w:val="00472CED"/>
    <w:rsid w:val="00474495"/>
    <w:rsid w:val="00477766"/>
    <w:rsid w:val="00477F54"/>
    <w:rsid w:val="0048017F"/>
    <w:rsid w:val="0048081D"/>
    <w:rsid w:val="00481291"/>
    <w:rsid w:val="0048200C"/>
    <w:rsid w:val="00486421"/>
    <w:rsid w:val="00487947"/>
    <w:rsid w:val="00493CE9"/>
    <w:rsid w:val="004968F8"/>
    <w:rsid w:val="00497624"/>
    <w:rsid w:val="00497E77"/>
    <w:rsid w:val="004A1CBC"/>
    <w:rsid w:val="004A32A0"/>
    <w:rsid w:val="004B46F6"/>
    <w:rsid w:val="004B5076"/>
    <w:rsid w:val="004C2EE3"/>
    <w:rsid w:val="004C3C3A"/>
    <w:rsid w:val="004C75B0"/>
    <w:rsid w:val="004D3EF4"/>
    <w:rsid w:val="004E098A"/>
    <w:rsid w:val="004E4A22"/>
    <w:rsid w:val="004F2F09"/>
    <w:rsid w:val="004F462D"/>
    <w:rsid w:val="004F6F15"/>
    <w:rsid w:val="004F7C0C"/>
    <w:rsid w:val="004F7F14"/>
    <w:rsid w:val="0050042B"/>
    <w:rsid w:val="00502DCB"/>
    <w:rsid w:val="00504250"/>
    <w:rsid w:val="00511968"/>
    <w:rsid w:val="005134C7"/>
    <w:rsid w:val="005258F6"/>
    <w:rsid w:val="00525AB7"/>
    <w:rsid w:val="00530745"/>
    <w:rsid w:val="005319F4"/>
    <w:rsid w:val="005358C6"/>
    <w:rsid w:val="00541127"/>
    <w:rsid w:val="005442B6"/>
    <w:rsid w:val="005505F0"/>
    <w:rsid w:val="00555087"/>
    <w:rsid w:val="00555A80"/>
    <w:rsid w:val="00555B81"/>
    <w:rsid w:val="0055614C"/>
    <w:rsid w:val="00562B55"/>
    <w:rsid w:val="00564A36"/>
    <w:rsid w:val="00564F9B"/>
    <w:rsid w:val="00566D06"/>
    <w:rsid w:val="00571449"/>
    <w:rsid w:val="005736A7"/>
    <w:rsid w:val="0057558B"/>
    <w:rsid w:val="00582329"/>
    <w:rsid w:val="00590594"/>
    <w:rsid w:val="00591959"/>
    <w:rsid w:val="00595C1D"/>
    <w:rsid w:val="005A7B29"/>
    <w:rsid w:val="005B0F9C"/>
    <w:rsid w:val="005B1B5E"/>
    <w:rsid w:val="005C1B20"/>
    <w:rsid w:val="005C5947"/>
    <w:rsid w:val="005D1541"/>
    <w:rsid w:val="005D179F"/>
    <w:rsid w:val="005D552F"/>
    <w:rsid w:val="005D5CB8"/>
    <w:rsid w:val="005E0FE3"/>
    <w:rsid w:val="005E14C2"/>
    <w:rsid w:val="005E2350"/>
    <w:rsid w:val="005E6775"/>
    <w:rsid w:val="005F1FAC"/>
    <w:rsid w:val="005F24D6"/>
    <w:rsid w:val="006029D1"/>
    <w:rsid w:val="00607BA5"/>
    <w:rsid w:val="0061180A"/>
    <w:rsid w:val="0061475F"/>
    <w:rsid w:val="006150BA"/>
    <w:rsid w:val="006201DA"/>
    <w:rsid w:val="00620600"/>
    <w:rsid w:val="0062199A"/>
    <w:rsid w:val="00622EFF"/>
    <w:rsid w:val="00626EB6"/>
    <w:rsid w:val="00642D6B"/>
    <w:rsid w:val="00654F31"/>
    <w:rsid w:val="00655D03"/>
    <w:rsid w:val="0065714D"/>
    <w:rsid w:val="0066545B"/>
    <w:rsid w:val="00671497"/>
    <w:rsid w:val="0067180D"/>
    <w:rsid w:val="00674218"/>
    <w:rsid w:val="00675326"/>
    <w:rsid w:val="006809B7"/>
    <w:rsid w:val="00683388"/>
    <w:rsid w:val="00683F84"/>
    <w:rsid w:val="00686988"/>
    <w:rsid w:val="00687F57"/>
    <w:rsid w:val="006908C9"/>
    <w:rsid w:val="00691D1E"/>
    <w:rsid w:val="006948EC"/>
    <w:rsid w:val="006A1994"/>
    <w:rsid w:val="006A2648"/>
    <w:rsid w:val="006A2D0B"/>
    <w:rsid w:val="006A6A81"/>
    <w:rsid w:val="006A6BD8"/>
    <w:rsid w:val="006A7C6D"/>
    <w:rsid w:val="006B08C2"/>
    <w:rsid w:val="006B22E9"/>
    <w:rsid w:val="006B344D"/>
    <w:rsid w:val="006C5A85"/>
    <w:rsid w:val="006D0E88"/>
    <w:rsid w:val="006D6772"/>
    <w:rsid w:val="006D6B86"/>
    <w:rsid w:val="006D7F79"/>
    <w:rsid w:val="006E1C66"/>
    <w:rsid w:val="006E5DBA"/>
    <w:rsid w:val="006F5585"/>
    <w:rsid w:val="006F68D6"/>
    <w:rsid w:val="006F7393"/>
    <w:rsid w:val="0070224F"/>
    <w:rsid w:val="00703155"/>
    <w:rsid w:val="00703F78"/>
    <w:rsid w:val="007115F7"/>
    <w:rsid w:val="00712AAF"/>
    <w:rsid w:val="0071434B"/>
    <w:rsid w:val="00730EA0"/>
    <w:rsid w:val="0073241C"/>
    <w:rsid w:val="007328BF"/>
    <w:rsid w:val="00743EC9"/>
    <w:rsid w:val="0074544D"/>
    <w:rsid w:val="007509B7"/>
    <w:rsid w:val="00757207"/>
    <w:rsid w:val="00762F73"/>
    <w:rsid w:val="0076307F"/>
    <w:rsid w:val="00770C43"/>
    <w:rsid w:val="00770D94"/>
    <w:rsid w:val="00774BB6"/>
    <w:rsid w:val="007757EF"/>
    <w:rsid w:val="007767C8"/>
    <w:rsid w:val="007820D5"/>
    <w:rsid w:val="00782870"/>
    <w:rsid w:val="00785689"/>
    <w:rsid w:val="00790DC0"/>
    <w:rsid w:val="00792836"/>
    <w:rsid w:val="0079754B"/>
    <w:rsid w:val="007A09EC"/>
    <w:rsid w:val="007A1E6D"/>
    <w:rsid w:val="007A2A38"/>
    <w:rsid w:val="007A6FB6"/>
    <w:rsid w:val="007A7155"/>
    <w:rsid w:val="007B0EB2"/>
    <w:rsid w:val="007B0FF3"/>
    <w:rsid w:val="007B2783"/>
    <w:rsid w:val="007C7D65"/>
    <w:rsid w:val="007D0E61"/>
    <w:rsid w:val="007D2714"/>
    <w:rsid w:val="007D3BC1"/>
    <w:rsid w:val="007D40CD"/>
    <w:rsid w:val="007E4D0A"/>
    <w:rsid w:val="007E6211"/>
    <w:rsid w:val="007F227D"/>
    <w:rsid w:val="00802ADF"/>
    <w:rsid w:val="0080653E"/>
    <w:rsid w:val="00807580"/>
    <w:rsid w:val="00810B6F"/>
    <w:rsid w:val="00810F9A"/>
    <w:rsid w:val="0081397D"/>
    <w:rsid w:val="00822CE0"/>
    <w:rsid w:val="00824D76"/>
    <w:rsid w:val="0082662F"/>
    <w:rsid w:val="0083063B"/>
    <w:rsid w:val="00833F65"/>
    <w:rsid w:val="008374F8"/>
    <w:rsid w:val="00841AB1"/>
    <w:rsid w:val="00842A56"/>
    <w:rsid w:val="00842FA2"/>
    <w:rsid w:val="0084704D"/>
    <w:rsid w:val="008553A5"/>
    <w:rsid w:val="00857834"/>
    <w:rsid w:val="00860793"/>
    <w:rsid w:val="008632FA"/>
    <w:rsid w:val="00863E4B"/>
    <w:rsid w:val="00873A72"/>
    <w:rsid w:val="008820CC"/>
    <w:rsid w:val="00884E53"/>
    <w:rsid w:val="008A154C"/>
    <w:rsid w:val="008A29CE"/>
    <w:rsid w:val="008B2DFF"/>
    <w:rsid w:val="008B3CAB"/>
    <w:rsid w:val="008B59A1"/>
    <w:rsid w:val="008B619D"/>
    <w:rsid w:val="008B775B"/>
    <w:rsid w:val="008C5524"/>
    <w:rsid w:val="008C68F1"/>
    <w:rsid w:val="008D53D4"/>
    <w:rsid w:val="008D743C"/>
    <w:rsid w:val="008E056B"/>
    <w:rsid w:val="008E142B"/>
    <w:rsid w:val="008E2E11"/>
    <w:rsid w:val="008E40E4"/>
    <w:rsid w:val="008E5012"/>
    <w:rsid w:val="008F0019"/>
    <w:rsid w:val="008F0B8F"/>
    <w:rsid w:val="008F3AC6"/>
    <w:rsid w:val="008F55F2"/>
    <w:rsid w:val="008F6525"/>
    <w:rsid w:val="00903A7C"/>
    <w:rsid w:val="00904642"/>
    <w:rsid w:val="0091173E"/>
    <w:rsid w:val="009161B7"/>
    <w:rsid w:val="00920079"/>
    <w:rsid w:val="00921803"/>
    <w:rsid w:val="0092394C"/>
    <w:rsid w:val="00925940"/>
    <w:rsid w:val="00926503"/>
    <w:rsid w:val="00926B38"/>
    <w:rsid w:val="00936874"/>
    <w:rsid w:val="00946E71"/>
    <w:rsid w:val="0094713E"/>
    <w:rsid w:val="00950BAD"/>
    <w:rsid w:val="009514BD"/>
    <w:rsid w:val="00951E01"/>
    <w:rsid w:val="00970D72"/>
    <w:rsid w:val="00971DC9"/>
    <w:rsid w:val="009726D8"/>
    <w:rsid w:val="009840A7"/>
    <w:rsid w:val="00984C46"/>
    <w:rsid w:val="00985E6E"/>
    <w:rsid w:val="00986F4F"/>
    <w:rsid w:val="00987C21"/>
    <w:rsid w:val="0099143E"/>
    <w:rsid w:val="00991552"/>
    <w:rsid w:val="00997A02"/>
    <w:rsid w:val="009A2BB3"/>
    <w:rsid w:val="009A71BB"/>
    <w:rsid w:val="009B7607"/>
    <w:rsid w:val="009D19B8"/>
    <w:rsid w:val="009D5203"/>
    <w:rsid w:val="009D7308"/>
    <w:rsid w:val="009E0FCD"/>
    <w:rsid w:val="009E172F"/>
    <w:rsid w:val="009F4D67"/>
    <w:rsid w:val="009F76DB"/>
    <w:rsid w:val="00A1415D"/>
    <w:rsid w:val="00A226EF"/>
    <w:rsid w:val="00A32957"/>
    <w:rsid w:val="00A32C3B"/>
    <w:rsid w:val="00A339F2"/>
    <w:rsid w:val="00A455AF"/>
    <w:rsid w:val="00A45F4F"/>
    <w:rsid w:val="00A50689"/>
    <w:rsid w:val="00A54092"/>
    <w:rsid w:val="00A54479"/>
    <w:rsid w:val="00A600A9"/>
    <w:rsid w:val="00A60522"/>
    <w:rsid w:val="00A62D41"/>
    <w:rsid w:val="00A6363F"/>
    <w:rsid w:val="00A6466F"/>
    <w:rsid w:val="00A67836"/>
    <w:rsid w:val="00A67F7A"/>
    <w:rsid w:val="00A72AF9"/>
    <w:rsid w:val="00A7664F"/>
    <w:rsid w:val="00A83F02"/>
    <w:rsid w:val="00A83FCC"/>
    <w:rsid w:val="00A842DA"/>
    <w:rsid w:val="00A853B1"/>
    <w:rsid w:val="00A863BC"/>
    <w:rsid w:val="00A90068"/>
    <w:rsid w:val="00A90233"/>
    <w:rsid w:val="00A92DD8"/>
    <w:rsid w:val="00A95C43"/>
    <w:rsid w:val="00A965FB"/>
    <w:rsid w:val="00AA2B3C"/>
    <w:rsid w:val="00AA2EDB"/>
    <w:rsid w:val="00AA4C27"/>
    <w:rsid w:val="00AA55B7"/>
    <w:rsid w:val="00AA5B9E"/>
    <w:rsid w:val="00AB2407"/>
    <w:rsid w:val="00AB32F5"/>
    <w:rsid w:val="00AB4198"/>
    <w:rsid w:val="00AB5075"/>
    <w:rsid w:val="00AB53DF"/>
    <w:rsid w:val="00AB661E"/>
    <w:rsid w:val="00AD11CF"/>
    <w:rsid w:val="00AD2D52"/>
    <w:rsid w:val="00AE0E29"/>
    <w:rsid w:val="00AE1889"/>
    <w:rsid w:val="00AF05BD"/>
    <w:rsid w:val="00AF09B2"/>
    <w:rsid w:val="00AF1EB7"/>
    <w:rsid w:val="00AF5064"/>
    <w:rsid w:val="00B00BF0"/>
    <w:rsid w:val="00B03F05"/>
    <w:rsid w:val="00B0605A"/>
    <w:rsid w:val="00B0643B"/>
    <w:rsid w:val="00B07348"/>
    <w:rsid w:val="00B07E5C"/>
    <w:rsid w:val="00B132A5"/>
    <w:rsid w:val="00B134DF"/>
    <w:rsid w:val="00B13A17"/>
    <w:rsid w:val="00B146F2"/>
    <w:rsid w:val="00B20FE9"/>
    <w:rsid w:val="00B24CC3"/>
    <w:rsid w:val="00B2694B"/>
    <w:rsid w:val="00B27063"/>
    <w:rsid w:val="00B27E56"/>
    <w:rsid w:val="00B35F07"/>
    <w:rsid w:val="00B37870"/>
    <w:rsid w:val="00B40A07"/>
    <w:rsid w:val="00B41D19"/>
    <w:rsid w:val="00B444C1"/>
    <w:rsid w:val="00B4663A"/>
    <w:rsid w:val="00B47C47"/>
    <w:rsid w:val="00B512B8"/>
    <w:rsid w:val="00B52B9A"/>
    <w:rsid w:val="00B532AF"/>
    <w:rsid w:val="00B66B1A"/>
    <w:rsid w:val="00B7459B"/>
    <w:rsid w:val="00B75F82"/>
    <w:rsid w:val="00B77798"/>
    <w:rsid w:val="00B811F7"/>
    <w:rsid w:val="00B81C09"/>
    <w:rsid w:val="00B853BF"/>
    <w:rsid w:val="00B87DDA"/>
    <w:rsid w:val="00B9077C"/>
    <w:rsid w:val="00B9173C"/>
    <w:rsid w:val="00BA5DC6"/>
    <w:rsid w:val="00BA6196"/>
    <w:rsid w:val="00BB1B8B"/>
    <w:rsid w:val="00BB56EB"/>
    <w:rsid w:val="00BB6A53"/>
    <w:rsid w:val="00BC20C2"/>
    <w:rsid w:val="00BC2F5E"/>
    <w:rsid w:val="00BC6D8C"/>
    <w:rsid w:val="00BD1CF1"/>
    <w:rsid w:val="00BD3C41"/>
    <w:rsid w:val="00BD75B1"/>
    <w:rsid w:val="00BE0223"/>
    <w:rsid w:val="00BE19E0"/>
    <w:rsid w:val="00BE2BB7"/>
    <w:rsid w:val="00BE35B0"/>
    <w:rsid w:val="00BF22E0"/>
    <w:rsid w:val="00BF4FE2"/>
    <w:rsid w:val="00C03E13"/>
    <w:rsid w:val="00C05406"/>
    <w:rsid w:val="00C06256"/>
    <w:rsid w:val="00C2128C"/>
    <w:rsid w:val="00C21D12"/>
    <w:rsid w:val="00C22A87"/>
    <w:rsid w:val="00C24773"/>
    <w:rsid w:val="00C31D90"/>
    <w:rsid w:val="00C31F61"/>
    <w:rsid w:val="00C34006"/>
    <w:rsid w:val="00C36B4C"/>
    <w:rsid w:val="00C42084"/>
    <w:rsid w:val="00C426B1"/>
    <w:rsid w:val="00C43F29"/>
    <w:rsid w:val="00C46AAB"/>
    <w:rsid w:val="00C511E9"/>
    <w:rsid w:val="00C631A7"/>
    <w:rsid w:val="00C650B5"/>
    <w:rsid w:val="00C66160"/>
    <w:rsid w:val="00C675B4"/>
    <w:rsid w:val="00C71AA4"/>
    <w:rsid w:val="00C721AC"/>
    <w:rsid w:val="00C74CDA"/>
    <w:rsid w:val="00C75113"/>
    <w:rsid w:val="00C82805"/>
    <w:rsid w:val="00C852EA"/>
    <w:rsid w:val="00C90D6A"/>
    <w:rsid w:val="00C94110"/>
    <w:rsid w:val="00C95B90"/>
    <w:rsid w:val="00C96FF4"/>
    <w:rsid w:val="00CA247E"/>
    <w:rsid w:val="00CA26CB"/>
    <w:rsid w:val="00CA6D21"/>
    <w:rsid w:val="00CB05D5"/>
    <w:rsid w:val="00CB36DF"/>
    <w:rsid w:val="00CB5276"/>
    <w:rsid w:val="00CC0FC2"/>
    <w:rsid w:val="00CC72B6"/>
    <w:rsid w:val="00CD15C7"/>
    <w:rsid w:val="00CD2B05"/>
    <w:rsid w:val="00CD3060"/>
    <w:rsid w:val="00CD5336"/>
    <w:rsid w:val="00CD558B"/>
    <w:rsid w:val="00CD627B"/>
    <w:rsid w:val="00CF17E5"/>
    <w:rsid w:val="00CF6671"/>
    <w:rsid w:val="00CF6890"/>
    <w:rsid w:val="00CF720F"/>
    <w:rsid w:val="00D007FD"/>
    <w:rsid w:val="00D0218D"/>
    <w:rsid w:val="00D05A5B"/>
    <w:rsid w:val="00D12B6A"/>
    <w:rsid w:val="00D13A91"/>
    <w:rsid w:val="00D1463B"/>
    <w:rsid w:val="00D16083"/>
    <w:rsid w:val="00D25FB5"/>
    <w:rsid w:val="00D264CE"/>
    <w:rsid w:val="00D278C8"/>
    <w:rsid w:val="00D30D3D"/>
    <w:rsid w:val="00D34871"/>
    <w:rsid w:val="00D351CB"/>
    <w:rsid w:val="00D36BEE"/>
    <w:rsid w:val="00D416A4"/>
    <w:rsid w:val="00D4384C"/>
    <w:rsid w:val="00D44223"/>
    <w:rsid w:val="00D46691"/>
    <w:rsid w:val="00D47ACE"/>
    <w:rsid w:val="00D510B6"/>
    <w:rsid w:val="00D518EB"/>
    <w:rsid w:val="00D60D27"/>
    <w:rsid w:val="00D619CC"/>
    <w:rsid w:val="00D6275A"/>
    <w:rsid w:val="00D64B5B"/>
    <w:rsid w:val="00D66147"/>
    <w:rsid w:val="00D6677F"/>
    <w:rsid w:val="00D85875"/>
    <w:rsid w:val="00D85C46"/>
    <w:rsid w:val="00D87BB5"/>
    <w:rsid w:val="00D94353"/>
    <w:rsid w:val="00D9749D"/>
    <w:rsid w:val="00DA051A"/>
    <w:rsid w:val="00DA120C"/>
    <w:rsid w:val="00DA16E7"/>
    <w:rsid w:val="00DA2529"/>
    <w:rsid w:val="00DA4394"/>
    <w:rsid w:val="00DA6F20"/>
    <w:rsid w:val="00DA70B6"/>
    <w:rsid w:val="00DA7C6A"/>
    <w:rsid w:val="00DB073D"/>
    <w:rsid w:val="00DB130A"/>
    <w:rsid w:val="00DB2C3F"/>
    <w:rsid w:val="00DB2EBB"/>
    <w:rsid w:val="00DB63B0"/>
    <w:rsid w:val="00DB64FD"/>
    <w:rsid w:val="00DB67E1"/>
    <w:rsid w:val="00DC10A1"/>
    <w:rsid w:val="00DC4292"/>
    <w:rsid w:val="00DC655F"/>
    <w:rsid w:val="00DD0B59"/>
    <w:rsid w:val="00DD7EBD"/>
    <w:rsid w:val="00DE25F2"/>
    <w:rsid w:val="00DE2C6D"/>
    <w:rsid w:val="00DF1C95"/>
    <w:rsid w:val="00DF62B6"/>
    <w:rsid w:val="00E06F5C"/>
    <w:rsid w:val="00E07225"/>
    <w:rsid w:val="00E12FD4"/>
    <w:rsid w:val="00E14456"/>
    <w:rsid w:val="00E1478E"/>
    <w:rsid w:val="00E1609D"/>
    <w:rsid w:val="00E17E3E"/>
    <w:rsid w:val="00E26A77"/>
    <w:rsid w:val="00E3196E"/>
    <w:rsid w:val="00E34187"/>
    <w:rsid w:val="00E35061"/>
    <w:rsid w:val="00E41053"/>
    <w:rsid w:val="00E4234A"/>
    <w:rsid w:val="00E437A5"/>
    <w:rsid w:val="00E467D0"/>
    <w:rsid w:val="00E51254"/>
    <w:rsid w:val="00E5274C"/>
    <w:rsid w:val="00E5409F"/>
    <w:rsid w:val="00E63F15"/>
    <w:rsid w:val="00E64C19"/>
    <w:rsid w:val="00E81D6A"/>
    <w:rsid w:val="00E94453"/>
    <w:rsid w:val="00E95201"/>
    <w:rsid w:val="00E95ACC"/>
    <w:rsid w:val="00E96699"/>
    <w:rsid w:val="00EA0F14"/>
    <w:rsid w:val="00EA2F78"/>
    <w:rsid w:val="00EA4369"/>
    <w:rsid w:val="00EA6A61"/>
    <w:rsid w:val="00EB4698"/>
    <w:rsid w:val="00EB5D70"/>
    <w:rsid w:val="00EC331D"/>
    <w:rsid w:val="00EC3499"/>
    <w:rsid w:val="00EC5A15"/>
    <w:rsid w:val="00EC78B5"/>
    <w:rsid w:val="00ED0394"/>
    <w:rsid w:val="00ED38F9"/>
    <w:rsid w:val="00ED4692"/>
    <w:rsid w:val="00ED7A7B"/>
    <w:rsid w:val="00EE105A"/>
    <w:rsid w:val="00EE2997"/>
    <w:rsid w:val="00EE6488"/>
    <w:rsid w:val="00EF1445"/>
    <w:rsid w:val="00EF6EA7"/>
    <w:rsid w:val="00F021FA"/>
    <w:rsid w:val="00F03F3A"/>
    <w:rsid w:val="00F105D7"/>
    <w:rsid w:val="00F14226"/>
    <w:rsid w:val="00F26A3C"/>
    <w:rsid w:val="00F347CE"/>
    <w:rsid w:val="00F35176"/>
    <w:rsid w:val="00F36A9E"/>
    <w:rsid w:val="00F4065C"/>
    <w:rsid w:val="00F43364"/>
    <w:rsid w:val="00F61843"/>
    <w:rsid w:val="00F62C71"/>
    <w:rsid w:val="00F62E97"/>
    <w:rsid w:val="00F64209"/>
    <w:rsid w:val="00F70F6F"/>
    <w:rsid w:val="00F74F23"/>
    <w:rsid w:val="00F75CFA"/>
    <w:rsid w:val="00F76D80"/>
    <w:rsid w:val="00F82042"/>
    <w:rsid w:val="00F84483"/>
    <w:rsid w:val="00F84DCB"/>
    <w:rsid w:val="00F9363A"/>
    <w:rsid w:val="00F93BF5"/>
    <w:rsid w:val="00F9790B"/>
    <w:rsid w:val="00F97CAE"/>
    <w:rsid w:val="00FD1836"/>
    <w:rsid w:val="00FD7AF5"/>
    <w:rsid w:val="00FE0500"/>
    <w:rsid w:val="00FE57B2"/>
    <w:rsid w:val="00FF2E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8AB009"/>
  <w15:chartTrackingRefBased/>
  <w15:docId w15:val="{E626E506-E60D-47E7-9E32-653520E3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Footnote Text Char1,Footnote Text Char1 Char Char,Footnote Text Char1 Char1 Char Char Char Char,Footnote Text Char2,Footnote Text Char2 Char,Footnote Text Char2 Char Char Char Char,Footnote text,f,fn"/>
    <w:link w:val="FootnoteTextChar"/>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paragraph" w:styleId="Revision">
    <w:name w:val="Revision"/>
    <w:hidden/>
    <w:uiPriority w:val="99"/>
    <w:semiHidden/>
    <w:rsid w:val="00D64B5B"/>
    <w:rPr>
      <w:snapToGrid w:val="0"/>
      <w:kern w:val="28"/>
      <w:sz w:val="22"/>
    </w:rPr>
  </w:style>
  <w:style w:type="character" w:styleId="UnresolvedMention">
    <w:name w:val="Unresolved Mention"/>
    <w:basedOn w:val="DefaultParagraphFont"/>
    <w:uiPriority w:val="99"/>
    <w:semiHidden/>
    <w:unhideWhenUsed/>
    <w:rsid w:val="00340A3B"/>
    <w:rPr>
      <w:color w:val="605E5C"/>
      <w:shd w:val="clear" w:color="auto" w:fill="E1DFDD"/>
    </w:rPr>
  </w:style>
  <w:style w:type="character" w:styleId="CommentReference">
    <w:name w:val="annotation reference"/>
    <w:basedOn w:val="DefaultParagraphFont"/>
    <w:rsid w:val="00B03F05"/>
    <w:rPr>
      <w:sz w:val="16"/>
      <w:szCs w:val="16"/>
    </w:rPr>
  </w:style>
  <w:style w:type="paragraph" w:styleId="CommentText">
    <w:name w:val="annotation text"/>
    <w:basedOn w:val="Normal"/>
    <w:link w:val="CommentTextChar"/>
    <w:rsid w:val="00B03F05"/>
    <w:rPr>
      <w:sz w:val="20"/>
    </w:rPr>
  </w:style>
  <w:style w:type="character" w:customStyle="1" w:styleId="CommentTextChar">
    <w:name w:val="Comment Text Char"/>
    <w:basedOn w:val="DefaultParagraphFont"/>
    <w:link w:val="CommentText"/>
    <w:rsid w:val="00B03F05"/>
    <w:rPr>
      <w:snapToGrid w:val="0"/>
      <w:kern w:val="28"/>
    </w:rPr>
  </w:style>
  <w:style w:type="paragraph" w:styleId="CommentSubject">
    <w:name w:val="annotation subject"/>
    <w:basedOn w:val="CommentText"/>
    <w:next w:val="CommentText"/>
    <w:link w:val="CommentSubjectChar"/>
    <w:rsid w:val="00B03F05"/>
    <w:rPr>
      <w:b/>
      <w:bCs/>
    </w:rPr>
  </w:style>
  <w:style w:type="character" w:customStyle="1" w:styleId="CommentSubjectChar">
    <w:name w:val="Comment Subject Char"/>
    <w:basedOn w:val="CommentTextChar"/>
    <w:link w:val="CommentSubject"/>
    <w:rsid w:val="00B03F05"/>
    <w:rPr>
      <w:b/>
      <w:bCs/>
      <w:snapToGrid w:val="0"/>
      <w:kern w:val="28"/>
    </w:rPr>
  </w:style>
  <w:style w:type="character" w:customStyle="1" w:styleId="FootnoteTextChar">
    <w:name w:val="Footnote Text Char"/>
    <w:aliases w:val="ALTS FOOTNOTE Char,Footnote Text Char Char Char,Footnote Text Char1 Char,Footnote Text Char1 Char Char Char,Footnote Text Char1 Char1 Char Char Char Char Char,Footnote Text Char2 Char1,Footnote Text Char2 Char Char,Footnote text Char"/>
    <w:basedOn w:val="DefaultParagraphFont"/>
    <w:link w:val="FootnoteText"/>
    <w:rsid w:val="00863E4B"/>
  </w:style>
  <w:style w:type="character" w:customStyle="1" w:styleId="ParaNumChar">
    <w:name w:val="ParaNum Char"/>
    <w:link w:val="ParaNum"/>
    <w:locked/>
    <w:rsid w:val="00E94453"/>
    <w:rPr>
      <w:snapToGrid w:val="0"/>
      <w:kern w:val="28"/>
      <w:sz w:val="22"/>
    </w:rPr>
  </w:style>
  <w:style w:type="paragraph" w:customStyle="1" w:styleId="footnotedescription">
    <w:name w:val="footnote description"/>
    <w:next w:val="Normal"/>
    <w:link w:val="footnotedescriptionChar"/>
    <w:hidden/>
    <w:rsid w:val="00E94453"/>
    <w:pPr>
      <w:spacing w:after="28" w:line="216" w:lineRule="auto"/>
      <w:ind w:right="89"/>
    </w:pPr>
    <w:rPr>
      <w:color w:val="0B150E"/>
      <w:kern w:val="2"/>
      <w:szCs w:val="22"/>
      <w14:ligatures w14:val="standardContextual"/>
    </w:rPr>
  </w:style>
  <w:style w:type="character" w:customStyle="1" w:styleId="footnotedescriptionChar">
    <w:name w:val="footnote description Char"/>
    <w:link w:val="footnotedescription"/>
    <w:rsid w:val="00E94453"/>
    <w:rPr>
      <w:color w:val="0B150E"/>
      <w:kern w:val="2"/>
      <w:szCs w:val="22"/>
      <w14:ligatures w14:val="standardContextual"/>
    </w:rPr>
  </w:style>
  <w:style w:type="character" w:customStyle="1" w:styleId="footnotemark">
    <w:name w:val="footnote mark"/>
    <w:hidden/>
    <w:rsid w:val="00E94453"/>
    <w:rPr>
      <w:rFonts w:ascii="Times New Roman" w:eastAsia="Times New Roman" w:hAnsi="Times New Roman" w:cs="Times New Roman"/>
      <w:color w:val="0B150E"/>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