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BA3BA8" w:rsidRPr="00DA552D" w:rsidP="00293629" w14:paraId="7044DB06" w14:textId="418EA690">
      <w:pPr>
        <w:tabs>
          <w:tab w:val="left" w:pos="315"/>
        </w:tabs>
        <w:jc w:val="right"/>
        <w:rPr>
          <w:rFonts w:ascii="Times New Roman Bold" w:hAnsi="Times New Roman Bold"/>
          <w:b/>
          <w:sz w:val="24"/>
        </w:rPr>
      </w:pPr>
      <w:r>
        <w:rPr>
          <w:sz w:val="24"/>
        </w:rPr>
        <w:tab/>
      </w:r>
      <w:r>
        <w:rPr>
          <w:sz w:val="24"/>
        </w:rPr>
        <w:tab/>
      </w:r>
      <w:r>
        <w:rPr>
          <w:sz w:val="24"/>
        </w:rPr>
        <w:tab/>
      </w:r>
      <w:r>
        <w:rPr>
          <w:sz w:val="24"/>
        </w:rPr>
        <w:tab/>
      </w:r>
      <w:r>
        <w:rPr>
          <w:sz w:val="24"/>
        </w:rPr>
        <w:tab/>
      </w:r>
      <w:r>
        <w:rPr>
          <w:sz w:val="24"/>
        </w:rPr>
        <w:tab/>
      </w:r>
      <w:r w:rsidR="00105BE6">
        <w:rPr>
          <w:b/>
          <w:sz w:val="24"/>
        </w:rPr>
        <w:t>DA 2</w:t>
      </w:r>
      <w:r w:rsidR="009A2EA8">
        <w:rPr>
          <w:b/>
          <w:sz w:val="24"/>
        </w:rPr>
        <w:t>6</w:t>
      </w:r>
      <w:r w:rsidR="00105BE6">
        <w:rPr>
          <w:b/>
          <w:sz w:val="24"/>
        </w:rPr>
        <w:t>-</w:t>
      </w:r>
      <w:r w:rsidR="00C158B5">
        <w:rPr>
          <w:b/>
          <w:sz w:val="24"/>
        </w:rPr>
        <w:t>113</w:t>
      </w:r>
    </w:p>
    <w:p w:rsidR="00BA3BA8" w:rsidRPr="00DA552D" w14:paraId="1C937503" w14:textId="371E9580">
      <w:pPr>
        <w:spacing w:before="60"/>
        <w:jc w:val="right"/>
        <w:rPr>
          <w:rFonts w:ascii="Times New Roman Bold" w:hAnsi="Times New Roman Bold"/>
          <w:b/>
          <w:sz w:val="24"/>
        </w:rPr>
      </w:pPr>
      <w:r w:rsidRPr="00DA552D">
        <w:rPr>
          <w:rFonts w:ascii="Times New Roman Bold" w:hAnsi="Times New Roman Bold"/>
          <w:b/>
          <w:sz w:val="24"/>
        </w:rPr>
        <w:t xml:space="preserve">Released:  </w:t>
      </w:r>
      <w:r w:rsidR="000A1C8E">
        <w:rPr>
          <w:rFonts w:ascii="Times New Roman Bold" w:hAnsi="Times New Roman Bold"/>
          <w:b/>
          <w:sz w:val="24"/>
        </w:rPr>
        <w:t xml:space="preserve">February </w:t>
      </w:r>
      <w:r w:rsidR="00077F11">
        <w:rPr>
          <w:rFonts w:ascii="Times New Roman Bold" w:hAnsi="Times New Roman Bold"/>
          <w:b/>
          <w:sz w:val="24"/>
        </w:rPr>
        <w:t>4</w:t>
      </w:r>
      <w:r w:rsidR="00105BE6">
        <w:rPr>
          <w:rFonts w:ascii="Times New Roman Bold" w:hAnsi="Times New Roman Bold"/>
          <w:b/>
          <w:sz w:val="24"/>
        </w:rPr>
        <w:t>, 202</w:t>
      </w:r>
      <w:r w:rsidR="000A1C8E">
        <w:rPr>
          <w:rFonts w:ascii="Times New Roman Bold" w:hAnsi="Times New Roman Bold"/>
          <w:b/>
          <w:sz w:val="24"/>
        </w:rPr>
        <w:t>6</w:t>
      </w:r>
    </w:p>
    <w:p w:rsidR="00BA3BA8" w:rsidP="00935DCC" w14:paraId="5C28C133" w14:textId="77777777">
      <w:pPr>
        <w:rPr>
          <w:rFonts w:ascii="Times New Roman Bold" w:hAnsi="Times New Roman Bold"/>
          <w:b/>
          <w:caps/>
          <w:sz w:val="24"/>
        </w:rPr>
      </w:pPr>
    </w:p>
    <w:p w:rsidR="001C3081" w:rsidP="00935DCC" w14:paraId="6047E9EE" w14:textId="27B012ED">
      <w:pPr>
        <w:jc w:val="center"/>
        <w:rPr>
          <w:rFonts w:ascii="Times New Roman Bold" w:hAnsi="Times New Roman Bold"/>
          <w:b/>
          <w:caps/>
          <w:sz w:val="24"/>
        </w:rPr>
      </w:pPr>
      <w:r>
        <w:rPr>
          <w:rFonts w:ascii="Times New Roman Bold" w:hAnsi="Times New Roman Bold"/>
          <w:b/>
          <w:caps/>
          <w:sz w:val="24"/>
        </w:rPr>
        <w:t>S</w:t>
      </w:r>
      <w:r w:rsidR="007F2C29">
        <w:rPr>
          <w:rFonts w:ascii="Times New Roman Bold" w:hAnsi="Times New Roman Bold"/>
          <w:b/>
          <w:caps/>
          <w:sz w:val="24"/>
        </w:rPr>
        <w:t>PAC</w:t>
      </w:r>
      <w:r w:rsidR="000442B8">
        <w:rPr>
          <w:rFonts w:ascii="Times New Roman Bold" w:hAnsi="Times New Roman Bold"/>
          <w:b/>
          <w:caps/>
          <w:sz w:val="24"/>
        </w:rPr>
        <w:t>E bUREA</w:t>
      </w:r>
      <w:r w:rsidR="005A679B">
        <w:rPr>
          <w:rFonts w:ascii="Times New Roman Bold" w:hAnsi="Times New Roman Bold"/>
          <w:b/>
          <w:caps/>
          <w:sz w:val="24"/>
        </w:rPr>
        <w:t>U</w:t>
      </w:r>
      <w:r w:rsidR="000442B8">
        <w:rPr>
          <w:rFonts w:ascii="Times New Roman Bold" w:hAnsi="Times New Roman Bold"/>
          <w:b/>
          <w:caps/>
          <w:sz w:val="24"/>
        </w:rPr>
        <w:t xml:space="preserve"> ACCEPT</w:t>
      </w:r>
      <w:r w:rsidR="00BB62DA">
        <w:rPr>
          <w:rFonts w:ascii="Times New Roman Bold" w:hAnsi="Times New Roman Bold"/>
          <w:b/>
          <w:caps/>
          <w:sz w:val="24"/>
        </w:rPr>
        <w:t>S</w:t>
      </w:r>
      <w:r w:rsidR="00431469">
        <w:rPr>
          <w:rFonts w:ascii="Times New Roman Bold" w:hAnsi="Times New Roman Bold"/>
          <w:b/>
          <w:caps/>
          <w:sz w:val="24"/>
        </w:rPr>
        <w:t xml:space="preserve"> </w:t>
      </w:r>
      <w:r w:rsidR="000442B8">
        <w:rPr>
          <w:rFonts w:ascii="Times New Roman Bold" w:hAnsi="Times New Roman Bold"/>
          <w:b/>
          <w:caps/>
          <w:sz w:val="24"/>
        </w:rPr>
        <w:t xml:space="preserve">FOR FILING </w:t>
      </w:r>
    </w:p>
    <w:p w:rsidR="001C3081" w:rsidRPr="00F15A09" w:rsidP="666969A3" w14:paraId="05C86A58" w14:textId="076A4FBE">
      <w:pPr>
        <w:jc w:val="center"/>
        <w:rPr>
          <w:rFonts w:ascii="Times New Roman Bold" w:hAnsi="Times New Roman Bold"/>
          <w:b/>
          <w:bCs/>
          <w:caps/>
          <w:sz w:val="24"/>
          <w:szCs w:val="24"/>
        </w:rPr>
      </w:pPr>
      <w:r>
        <w:rPr>
          <w:rFonts w:ascii="Times New Roman Bold" w:hAnsi="Times New Roman Bold"/>
          <w:b/>
          <w:caps/>
          <w:sz w:val="24"/>
        </w:rPr>
        <w:t>SPACE</w:t>
      </w:r>
      <w:r w:rsidR="00293629">
        <w:rPr>
          <w:rFonts w:ascii="Times New Roman Bold" w:hAnsi="Times New Roman Bold"/>
          <w:b/>
          <w:caps/>
          <w:sz w:val="24"/>
        </w:rPr>
        <w:t xml:space="preserve">X’s </w:t>
      </w:r>
      <w:r w:rsidR="000442B8">
        <w:rPr>
          <w:rFonts w:ascii="Times New Roman Bold" w:hAnsi="Times New Roman Bold"/>
          <w:b/>
          <w:caps/>
          <w:sz w:val="24"/>
        </w:rPr>
        <w:t xml:space="preserve">APPLICATION </w:t>
      </w:r>
      <w:r w:rsidRPr="00F15A09" w:rsidR="00426B37">
        <w:rPr>
          <w:rFonts w:ascii="Times New Roman Bold" w:hAnsi="Times New Roman Bold"/>
          <w:b/>
          <w:bCs/>
          <w:caps/>
          <w:sz w:val="24"/>
          <w:szCs w:val="24"/>
        </w:rPr>
        <w:t>FOR ORBITAL DATA CENTER</w:t>
      </w:r>
      <w:r w:rsidRPr="00F15A09">
        <w:rPr>
          <w:rFonts w:ascii="Times New Roman Bold" w:hAnsi="Times New Roman Bold"/>
          <w:b/>
          <w:bCs/>
          <w:caps/>
          <w:sz w:val="24"/>
          <w:szCs w:val="24"/>
        </w:rPr>
        <w:t>S</w:t>
      </w:r>
      <w:r w:rsidRPr="00F15A09">
        <w:rPr>
          <w:rFonts w:ascii="Times New Roman Bold" w:hAnsi="Times New Roman Bold"/>
          <w:b/>
          <w:bCs/>
          <w:caps/>
          <w:sz w:val="24"/>
          <w:szCs w:val="24"/>
        </w:rPr>
        <w:t xml:space="preserve"> </w:t>
      </w:r>
    </w:p>
    <w:p w:rsidR="000442B8" w:rsidRPr="00F15A09" w:rsidP="666969A3" w14:paraId="0CB4549E" w14:textId="706A9C0E">
      <w:pPr>
        <w:jc w:val="center"/>
        <w:rPr>
          <w:rFonts w:ascii="Times New Roman Bold" w:hAnsi="Times New Roman Bold"/>
          <w:b/>
          <w:bCs/>
          <w:caps/>
          <w:sz w:val="24"/>
          <w:szCs w:val="24"/>
        </w:rPr>
      </w:pPr>
    </w:p>
    <w:p w:rsidR="00F2213A" w14:paraId="4EBFD425" w14:textId="66B70D22">
      <w:pPr>
        <w:jc w:val="center"/>
        <w:rPr>
          <w:b/>
          <w:sz w:val="24"/>
        </w:rPr>
      </w:pPr>
      <w:r>
        <w:rPr>
          <w:b/>
          <w:sz w:val="24"/>
        </w:rPr>
        <w:t>ICFS File No. SAT-LOA-202</w:t>
      </w:r>
      <w:r w:rsidR="00F9200B">
        <w:rPr>
          <w:b/>
          <w:sz w:val="24"/>
        </w:rPr>
        <w:t>6</w:t>
      </w:r>
      <w:r w:rsidR="009A2EA8">
        <w:rPr>
          <w:b/>
          <w:sz w:val="24"/>
        </w:rPr>
        <w:t>0108</w:t>
      </w:r>
      <w:r>
        <w:rPr>
          <w:b/>
          <w:sz w:val="24"/>
        </w:rPr>
        <w:t>-00</w:t>
      </w:r>
      <w:r w:rsidR="009A2EA8">
        <w:rPr>
          <w:b/>
          <w:sz w:val="24"/>
        </w:rPr>
        <w:t>016</w:t>
      </w:r>
    </w:p>
    <w:p w:rsidR="00BA3BA8" w14:paraId="69F4D8CE" w14:textId="77777777">
      <w:bookmarkStart w:id="0" w:name="TOChere"/>
    </w:p>
    <w:p w:rsidR="00BA3BA8" w:rsidRPr="00C969EF" w:rsidP="00FD6BCB" w14:paraId="712E4DBF" w14:textId="68BBF74D">
      <w:pPr>
        <w:tabs>
          <w:tab w:val="left" w:pos="7290"/>
        </w:tabs>
        <w:rPr>
          <w:b/>
          <w:bCs/>
        </w:rPr>
      </w:pPr>
      <w:r w:rsidRPr="00C969EF">
        <w:rPr>
          <w:b/>
          <w:bCs/>
        </w:rPr>
        <w:t xml:space="preserve">Comments/Petitions Due: </w:t>
      </w:r>
      <w:r w:rsidR="005F10C3">
        <w:rPr>
          <w:b/>
          <w:bCs/>
        </w:rPr>
        <w:t>March</w:t>
      </w:r>
      <w:r w:rsidR="0044462E">
        <w:rPr>
          <w:b/>
          <w:bCs/>
        </w:rPr>
        <w:t xml:space="preserve"> </w:t>
      </w:r>
      <w:r w:rsidR="005F10C3">
        <w:rPr>
          <w:b/>
          <w:bCs/>
        </w:rPr>
        <w:t>6</w:t>
      </w:r>
      <w:r w:rsidR="0044462E">
        <w:rPr>
          <w:b/>
          <w:bCs/>
        </w:rPr>
        <w:t>, 2026</w:t>
      </w:r>
    </w:p>
    <w:p w:rsidR="00DF0787" w:rsidRPr="00C969EF" w14:paraId="27672238" w14:textId="5BADA879">
      <w:pPr>
        <w:rPr>
          <w:b/>
          <w:bCs/>
        </w:rPr>
      </w:pPr>
      <w:r w:rsidRPr="00C969EF">
        <w:rPr>
          <w:b/>
          <w:bCs/>
        </w:rPr>
        <w:t xml:space="preserve">Response to Comments/Oppositions to Petition Due: </w:t>
      </w:r>
      <w:r w:rsidR="00427475">
        <w:rPr>
          <w:b/>
          <w:bCs/>
        </w:rPr>
        <w:t>March</w:t>
      </w:r>
      <w:r w:rsidR="0044462E">
        <w:rPr>
          <w:b/>
          <w:bCs/>
        </w:rPr>
        <w:t xml:space="preserve"> 1</w:t>
      </w:r>
      <w:r w:rsidR="003E4CD6">
        <w:rPr>
          <w:b/>
          <w:bCs/>
        </w:rPr>
        <w:t>6</w:t>
      </w:r>
      <w:r w:rsidR="0044462E">
        <w:rPr>
          <w:b/>
          <w:bCs/>
        </w:rPr>
        <w:t>, 2026</w:t>
      </w:r>
    </w:p>
    <w:p w:rsidR="00DF0787" w:rsidRPr="00C969EF" w14:paraId="51BC972C" w14:textId="34F23FA6">
      <w:pPr>
        <w:rPr>
          <w:b/>
          <w:bCs/>
        </w:rPr>
      </w:pPr>
      <w:r w:rsidRPr="00C969EF">
        <w:rPr>
          <w:b/>
          <w:bCs/>
        </w:rPr>
        <w:t xml:space="preserve">Replies to Responses/Oppositions Due: </w:t>
      </w:r>
      <w:r w:rsidR="00402049">
        <w:rPr>
          <w:b/>
          <w:bCs/>
        </w:rPr>
        <w:t>March</w:t>
      </w:r>
      <w:r w:rsidR="0044462E">
        <w:rPr>
          <w:b/>
          <w:bCs/>
        </w:rPr>
        <w:t xml:space="preserve"> 2</w:t>
      </w:r>
      <w:r w:rsidR="00402049">
        <w:rPr>
          <w:b/>
          <w:bCs/>
        </w:rPr>
        <w:t>3</w:t>
      </w:r>
      <w:r w:rsidR="0044462E">
        <w:rPr>
          <w:b/>
          <w:bCs/>
        </w:rPr>
        <w:t xml:space="preserve">, 2026 </w:t>
      </w:r>
    </w:p>
    <w:p w:rsidR="009008B2" w14:paraId="454A22FB" w14:textId="77777777"/>
    <w:p w:rsidR="003E55B3" w:rsidP="00122F73" w14:paraId="6846627F" w14:textId="2CF88FD4">
      <w:pPr>
        <w:ind w:firstLine="720"/>
      </w:pPr>
      <w:r>
        <w:t xml:space="preserve">By this Public Notice, </w:t>
      </w:r>
      <w:r w:rsidR="008A2317">
        <w:t xml:space="preserve">the </w:t>
      </w:r>
      <w:r>
        <w:t xml:space="preserve">Space Bureau </w:t>
      </w:r>
      <w:r w:rsidR="0053068B">
        <w:t>(B</w:t>
      </w:r>
      <w:r w:rsidR="00077F11">
        <w:t>ureau</w:t>
      </w:r>
      <w:r w:rsidR="0053068B">
        <w:t xml:space="preserve">) </w:t>
      </w:r>
      <w:r w:rsidR="00741CCB">
        <w:t xml:space="preserve">accepts for filing and </w:t>
      </w:r>
      <w:r>
        <w:t xml:space="preserve">seeks comment on an application by Space Exploration </w:t>
      </w:r>
      <w:r w:rsidR="00C158B5">
        <w:t xml:space="preserve">Holdings, LLC </w:t>
      </w:r>
      <w:r>
        <w:t xml:space="preserve">(SpaceX) </w:t>
      </w:r>
      <w:r>
        <w:t xml:space="preserve">for </w:t>
      </w:r>
      <w:r w:rsidR="00776F17">
        <w:t xml:space="preserve">a </w:t>
      </w:r>
      <w:r w:rsidR="00C16CF0">
        <w:t xml:space="preserve">new </w:t>
      </w:r>
      <w:r w:rsidR="00776F17">
        <w:t xml:space="preserve">non-geostationary orbit (NGSO) system </w:t>
      </w:r>
      <w:r w:rsidR="00AB4CA7">
        <w:t>of up to one million satellites</w:t>
      </w:r>
      <w:r>
        <w:t>.</w:t>
      </w:r>
      <w:r>
        <w:rPr>
          <w:rStyle w:val="FootnoteReference"/>
        </w:rPr>
        <w:footnoteReference w:id="3"/>
      </w:r>
      <w:r w:rsidR="005848F4">
        <w:t xml:space="preserve">  </w:t>
      </w:r>
      <w:r>
        <w:t>This satellite system will represent the “first step towards becoming a Kardashev II-level civilization – one that can harness the Sun’s full power,” according to SpaceX.</w:t>
      </w:r>
      <w:r>
        <w:rPr>
          <w:rStyle w:val="FootnoteReference"/>
        </w:rPr>
        <w:footnoteReference w:id="4"/>
      </w:r>
      <w:r>
        <w:t xml:space="preserve">  </w:t>
      </w:r>
    </w:p>
    <w:p w:rsidR="003E55B3" w:rsidP="00122F73" w14:paraId="2A8F7505" w14:textId="77777777">
      <w:pPr>
        <w:ind w:firstLine="720"/>
      </w:pPr>
    </w:p>
    <w:p w:rsidR="005848F4" w:rsidP="005848F4" w14:paraId="191E04DA" w14:textId="2545CA7C">
      <w:pPr>
        <w:ind w:firstLine="720"/>
      </w:pPr>
      <w:r>
        <w:t xml:space="preserve">On </w:t>
      </w:r>
      <w:r w:rsidR="00F42B71">
        <w:t>January 30</w:t>
      </w:r>
      <w:r>
        <w:t>, 202</w:t>
      </w:r>
      <w:r w:rsidR="00F42B71">
        <w:t>6</w:t>
      </w:r>
      <w:r>
        <w:t>, SpaceX</w:t>
      </w:r>
      <w:r w:rsidR="00F72475">
        <w:t xml:space="preserve"> filed an application seeking</w:t>
      </w:r>
      <w:r w:rsidR="001E22D3">
        <w:t xml:space="preserve"> authority</w:t>
      </w:r>
      <w:r w:rsidR="00F72475">
        <w:t xml:space="preserve"> to launch and operate </w:t>
      </w:r>
      <w:r w:rsidR="00C16CF0">
        <w:t>a new NGSO</w:t>
      </w:r>
      <w:r w:rsidR="00D5204D">
        <w:t xml:space="preserve"> satellite</w:t>
      </w:r>
      <w:r w:rsidR="00C16CF0">
        <w:t xml:space="preserve"> system </w:t>
      </w:r>
      <w:r w:rsidR="00F727F9">
        <w:t xml:space="preserve">of up to </w:t>
      </w:r>
      <w:r w:rsidR="00F42B71">
        <w:t>one million</w:t>
      </w:r>
      <w:r w:rsidR="00F727F9">
        <w:t xml:space="preserve"> satellites</w:t>
      </w:r>
      <w:r w:rsidRPr="00CF1FDF" w:rsidR="00CF1FDF">
        <w:t xml:space="preserve"> </w:t>
      </w:r>
      <w:r w:rsidR="00CF1FDF">
        <w:t xml:space="preserve">to operate as </w:t>
      </w:r>
      <w:r w:rsidR="00E16761">
        <w:t xml:space="preserve">the </w:t>
      </w:r>
      <w:r w:rsidR="00755FF3">
        <w:t>“</w:t>
      </w:r>
      <w:r w:rsidR="00E16761">
        <w:t xml:space="preserve">SpaceX </w:t>
      </w:r>
      <w:r w:rsidR="00CF1FDF">
        <w:t>Orbital Data Center</w:t>
      </w:r>
      <w:r w:rsidR="00755FF3">
        <w:t xml:space="preserve"> system” (System).</w:t>
      </w:r>
      <w:r w:rsidR="00B01484">
        <w:t xml:space="preserve">  The </w:t>
      </w:r>
      <w:r w:rsidR="00755FF3">
        <w:t>S</w:t>
      </w:r>
      <w:r w:rsidR="00B01484">
        <w:t>ystem will</w:t>
      </w:r>
      <w:r w:rsidR="00BD303D">
        <w:t xml:space="preserve"> </w:t>
      </w:r>
      <w:r w:rsidR="53CCE763">
        <w:t>operat</w:t>
      </w:r>
      <w:r w:rsidR="00B01484">
        <w:t xml:space="preserve">e </w:t>
      </w:r>
      <w:r w:rsidR="53CCE763">
        <w:t xml:space="preserve">at altitudes </w:t>
      </w:r>
      <w:r w:rsidR="00ED1602">
        <w:t xml:space="preserve">ranging </w:t>
      </w:r>
      <w:r w:rsidR="003646BB">
        <w:t xml:space="preserve">from </w:t>
      </w:r>
      <w:r w:rsidR="00F42B71">
        <w:t>500</w:t>
      </w:r>
      <w:r w:rsidR="00ED1602">
        <w:t xml:space="preserve"> km to </w:t>
      </w:r>
      <w:r w:rsidR="00F42B71">
        <w:t>2,000</w:t>
      </w:r>
      <w:r w:rsidR="00ED1602">
        <w:t xml:space="preserve"> </w:t>
      </w:r>
      <w:r w:rsidRPr="00F74705" w:rsidR="00ED1602">
        <w:t>km</w:t>
      </w:r>
      <w:r w:rsidR="007B22F6">
        <w:t xml:space="preserve"> </w:t>
      </w:r>
      <w:r w:rsidR="003632A4">
        <w:t>and</w:t>
      </w:r>
      <w:r w:rsidR="001E6EDA">
        <w:t xml:space="preserve"> in</w:t>
      </w:r>
      <w:r w:rsidR="003632A4">
        <w:t xml:space="preserve"> 30 degree</w:t>
      </w:r>
      <w:r w:rsidR="001E6EDA">
        <w:t xml:space="preserve"> and</w:t>
      </w:r>
      <w:r w:rsidR="003632A4">
        <w:t xml:space="preserve"> sun-synchronous orbit</w:t>
      </w:r>
      <w:r w:rsidR="0075254E">
        <w:t xml:space="preserve"> inclinations</w:t>
      </w:r>
      <w:r w:rsidR="003632A4">
        <w:t xml:space="preserve"> within</w:t>
      </w:r>
      <w:r w:rsidR="009B7060">
        <w:t xml:space="preserve"> </w:t>
      </w:r>
      <w:r w:rsidR="003632A4">
        <w:t>orbital shells spanning up to 50 km each.</w:t>
      </w:r>
      <w:r>
        <w:rPr>
          <w:rStyle w:val="FootnoteReference"/>
        </w:rPr>
        <w:footnoteReference w:id="5"/>
      </w:r>
      <w:r w:rsidR="003632A4">
        <w:t xml:space="preserve">  </w:t>
      </w:r>
      <w:r w:rsidR="000A7F12">
        <w:t xml:space="preserve">The </w:t>
      </w:r>
      <w:r w:rsidR="002871B7">
        <w:t xml:space="preserve">proposed satellites </w:t>
      </w:r>
      <w:r>
        <w:t>will use high-bandwidth optical inter-satellite links and conduct telemetry, tracking, and command (TT&amp;C) operations.</w:t>
      </w:r>
      <w:r>
        <w:rPr>
          <w:rStyle w:val="FootnoteReference"/>
        </w:rPr>
        <w:footnoteReference w:id="6"/>
      </w:r>
      <w:r>
        <w:t xml:space="preserve">  The Bureau seeks comment on the application and the associated requests for waiver.</w:t>
      </w:r>
    </w:p>
    <w:p w:rsidR="005848F4" w:rsidP="005848F4" w14:paraId="0ED85948" w14:textId="77777777">
      <w:pPr>
        <w:ind w:firstLine="720"/>
      </w:pPr>
    </w:p>
    <w:p w:rsidR="00763045" w:rsidRPr="003B6866" w:rsidP="00B630C1" w14:paraId="07DEFC1E" w14:textId="0FE2B7F6">
      <w:pPr>
        <w:ind w:firstLine="720"/>
      </w:pPr>
      <w:r>
        <w:t xml:space="preserve">SpaceX’s </w:t>
      </w:r>
      <w:r w:rsidR="00B82DBF">
        <w:t xml:space="preserve">proposed </w:t>
      </w:r>
      <w:r w:rsidR="00755FF3">
        <w:t>S</w:t>
      </w:r>
      <w:r w:rsidR="00B82DBF">
        <w:t>ystem will primarily rely on optical intersatellite-links</w:t>
      </w:r>
      <w:r w:rsidR="008814F6">
        <w:t xml:space="preserve">, which may connect </w:t>
      </w:r>
      <w:r w:rsidR="0001484E">
        <w:t>with</w:t>
      </w:r>
      <w:r w:rsidR="00E84776">
        <w:t xml:space="preserve"> other satellites in the proposed System and with</w:t>
      </w:r>
      <w:r w:rsidR="008814F6">
        <w:t xml:space="preserve"> satellites in SpaceX’s first- and second-generation Starlink system</w:t>
      </w:r>
      <w:r w:rsidR="005C5341">
        <w:t>s</w:t>
      </w:r>
      <w:r w:rsidR="008814F6">
        <w:t>.</w:t>
      </w:r>
      <w:r>
        <w:rPr>
          <w:rStyle w:val="FootnoteReference"/>
        </w:rPr>
        <w:footnoteReference w:id="7"/>
      </w:r>
      <w:r w:rsidR="008814F6">
        <w:t xml:space="preserve"> </w:t>
      </w:r>
      <w:r w:rsidR="00B82DBF">
        <w:t xml:space="preserve"> </w:t>
      </w:r>
      <w:r w:rsidR="00BB36BB">
        <w:t xml:space="preserve">SpaceX </w:t>
      </w:r>
      <w:r w:rsidR="001E6879">
        <w:t>requests authority</w:t>
      </w:r>
      <w:r w:rsidR="00BB36BB">
        <w:t xml:space="preserve"> to</w:t>
      </w:r>
      <w:r w:rsidR="0026744A">
        <w:t xml:space="preserve"> </w:t>
      </w:r>
      <w:r w:rsidR="001E6879">
        <w:t>use</w:t>
      </w:r>
      <w:r w:rsidR="00BB36BB">
        <w:t xml:space="preserve"> the </w:t>
      </w:r>
      <w:r w:rsidR="003E77A0">
        <w:t xml:space="preserve">18.3-19.3 GHz (space-to-Earth) and 28.6-29.1 </w:t>
      </w:r>
      <w:r w:rsidR="003E77A0">
        <w:t xml:space="preserve">GHz (Earth-to-space) </w:t>
      </w:r>
      <w:r>
        <w:t>frequency band</w:t>
      </w:r>
      <w:r w:rsidR="001E6879">
        <w:t>s</w:t>
      </w:r>
      <w:r>
        <w:t xml:space="preserve"> </w:t>
      </w:r>
      <w:r w:rsidR="00B630C1">
        <w:t>on a non-interference, unprotected basis.</w:t>
      </w:r>
    </w:p>
    <w:p w:rsidR="00D20139" w:rsidP="00122F73" w14:paraId="7A9183F9" w14:textId="77777777">
      <w:pPr>
        <w:ind w:firstLine="720"/>
      </w:pPr>
    </w:p>
    <w:p w:rsidR="00C83D8F" w:rsidP="00CD4707" w14:paraId="6886255D" w14:textId="6AA80A3D">
      <w:pPr>
        <w:ind w:firstLine="720"/>
      </w:pPr>
      <w:r>
        <w:t xml:space="preserve">In </w:t>
      </w:r>
      <w:r w:rsidR="00E54FD4">
        <w:t>connection with its</w:t>
      </w:r>
      <w:r>
        <w:t xml:space="preserve"> </w:t>
      </w:r>
      <w:r w:rsidR="00755FF3">
        <w:t>a</w:t>
      </w:r>
      <w:r>
        <w:t xml:space="preserve">pplication, </w:t>
      </w:r>
      <w:r w:rsidR="005B5794">
        <w:t>SpaceX requests</w:t>
      </w:r>
      <w:r w:rsidR="002C2554">
        <w:t xml:space="preserve"> </w:t>
      </w:r>
      <w:r w:rsidR="00755FF3">
        <w:t xml:space="preserve">the following </w:t>
      </w:r>
      <w:r w:rsidR="005B5794">
        <w:t>w</w:t>
      </w:r>
      <w:r w:rsidR="002C2554">
        <w:t>aivers of</w:t>
      </w:r>
      <w:r w:rsidR="00132320">
        <w:t xml:space="preserve"> the</w:t>
      </w:r>
      <w:r w:rsidR="002C2554">
        <w:t xml:space="preserve"> Commission</w:t>
      </w:r>
      <w:r w:rsidR="00132320">
        <w:t>’s</w:t>
      </w:r>
      <w:r w:rsidR="002C2554">
        <w:t xml:space="preserve"> rules</w:t>
      </w:r>
      <w:r>
        <w:rPr>
          <w:rStyle w:val="FootnoteReference"/>
        </w:rPr>
        <w:footnoteReference w:id="8"/>
      </w:r>
      <w:r w:rsidR="00755FF3">
        <w:t xml:space="preserve">: </w:t>
      </w:r>
    </w:p>
    <w:p w:rsidR="00593D7E" w:rsidRPr="00F74705" w:rsidP="00593D7E" w14:paraId="1C2F4D15" w14:textId="592845CB">
      <w:pPr>
        <w:numPr>
          <w:ilvl w:val="0"/>
          <w:numId w:val="8"/>
        </w:numPr>
      </w:pPr>
      <w:r>
        <w:t>W</w:t>
      </w:r>
      <w:r>
        <w:t>aiver of sections 25.156(d) and 25.157 of the NGSO processing and processing round procedure</w:t>
      </w:r>
      <w:r w:rsidR="009061F7">
        <w:t xml:space="preserve">s </w:t>
      </w:r>
      <w:r w:rsidR="00F70EA6">
        <w:t>to allow for consideration</w:t>
      </w:r>
      <w:r w:rsidR="004F01FC">
        <w:t xml:space="preserve"> of its application </w:t>
      </w:r>
      <w:r w:rsidR="00984351">
        <w:t>for the requested</w:t>
      </w:r>
      <w:r w:rsidR="009061F7">
        <w:t xml:space="preserve"> use of the </w:t>
      </w:r>
      <w:r w:rsidR="00203C16">
        <w:t xml:space="preserve">18.3-19.3 GHz and 28.6-29.1 GHz </w:t>
      </w:r>
      <w:r w:rsidR="00445E4C">
        <w:t xml:space="preserve">frequency </w:t>
      </w:r>
      <w:r w:rsidR="00203C16">
        <w:t>band</w:t>
      </w:r>
      <w:r w:rsidR="00445E4C">
        <w:t>s</w:t>
      </w:r>
      <w:r w:rsidR="00984351">
        <w:t xml:space="preserve"> outside of a processing round. </w:t>
      </w:r>
    </w:p>
    <w:p w:rsidR="00C83D8F" w:rsidP="0002293C" w14:paraId="6D5B804F" w14:textId="61AD279D">
      <w:pPr>
        <w:numPr>
          <w:ilvl w:val="0"/>
          <w:numId w:val="8"/>
        </w:numPr>
      </w:pPr>
      <w:r>
        <w:t>W</w:t>
      </w:r>
      <w:r w:rsidR="00EC2F9E">
        <w:t xml:space="preserve">aiver of </w:t>
      </w:r>
      <w:r w:rsidR="00F74972">
        <w:t>section 2</w:t>
      </w:r>
      <w:r w:rsidR="00085DD1">
        <w:t>5.164</w:t>
      </w:r>
      <w:r w:rsidR="0010566B">
        <w:t xml:space="preserve"> to exempt </w:t>
      </w:r>
      <w:r w:rsidR="0048118B">
        <w:t>the</w:t>
      </w:r>
      <w:r w:rsidR="00A855AA">
        <w:t xml:space="preserve"> </w:t>
      </w:r>
      <w:r w:rsidR="00755FF3">
        <w:t>S</w:t>
      </w:r>
      <w:r w:rsidR="00A855AA">
        <w:t xml:space="preserve">ystem from </w:t>
      </w:r>
      <w:r w:rsidR="00593D7E">
        <w:t xml:space="preserve">the NGSO </w:t>
      </w:r>
      <w:r w:rsidR="00476E9A">
        <w:t xml:space="preserve">milestone requirements and deployment </w:t>
      </w:r>
      <w:r w:rsidR="00A855AA">
        <w:t xml:space="preserve">obligations. </w:t>
      </w:r>
    </w:p>
    <w:p w:rsidR="0007668C" w:rsidP="0002293C" w14:paraId="241F300B" w14:textId="561861C9">
      <w:pPr>
        <w:numPr>
          <w:ilvl w:val="0"/>
          <w:numId w:val="8"/>
        </w:numPr>
      </w:pPr>
      <w:r>
        <w:t>W</w:t>
      </w:r>
      <w:r w:rsidR="00C92EA5">
        <w:t xml:space="preserve">aiver of section 25.165 to </w:t>
      </w:r>
      <w:r w:rsidR="0010566B">
        <w:t xml:space="preserve">exempt </w:t>
      </w:r>
      <w:r w:rsidR="0048118B">
        <w:t>the</w:t>
      </w:r>
      <w:r w:rsidR="0010566B">
        <w:t xml:space="preserve"> </w:t>
      </w:r>
      <w:r w:rsidR="00755FF3">
        <w:t>S</w:t>
      </w:r>
      <w:r w:rsidR="0010566B">
        <w:t>ystem f</w:t>
      </w:r>
      <w:r w:rsidR="00476E9A">
        <w:t xml:space="preserve">rom the </w:t>
      </w:r>
      <w:r w:rsidR="00DD34F0">
        <w:t xml:space="preserve">NGSO </w:t>
      </w:r>
      <w:r w:rsidR="00476E9A">
        <w:t>surety bond requirement</w:t>
      </w:r>
      <w:r w:rsidR="00A47BAE">
        <w:t>s and obligations</w:t>
      </w:r>
      <w:r w:rsidR="0010566B">
        <w:t xml:space="preserve">. </w:t>
      </w:r>
    </w:p>
    <w:p w:rsidR="0002293C" w:rsidP="0002293C" w14:paraId="7340669C" w14:textId="4BB9794B">
      <w:pPr>
        <w:numPr>
          <w:ilvl w:val="0"/>
          <w:numId w:val="8"/>
        </w:numPr>
      </w:pPr>
      <w:r>
        <w:t>W</w:t>
      </w:r>
      <w:r w:rsidR="00A669E5">
        <w:t>aiver</w:t>
      </w:r>
      <w:r w:rsidR="00D217A3">
        <w:t>,</w:t>
      </w:r>
      <w:r w:rsidR="00A669E5">
        <w:t xml:space="preserve"> </w:t>
      </w:r>
      <w:r w:rsidR="002A38AB">
        <w:t xml:space="preserve">to the extent necessary, </w:t>
      </w:r>
      <w:r w:rsidR="00A669E5">
        <w:t>of section 25.114(a)(1)</w:t>
      </w:r>
      <w:r w:rsidR="00D217A3">
        <w:t xml:space="preserve"> </w:t>
      </w:r>
      <w:r w:rsidR="002A38AB">
        <w:t>governing information to be submitted on the Commission’s Schedule S form</w:t>
      </w:r>
      <w:r w:rsidR="0068304E">
        <w:t xml:space="preserve">, with specific regard to </w:t>
      </w:r>
      <w:r w:rsidR="00DD6632">
        <w:t>channel</w:t>
      </w:r>
      <w:r w:rsidR="00327860">
        <w:t xml:space="preserve"> plans </w:t>
      </w:r>
      <w:r w:rsidR="009D1F90">
        <w:t>for licensed beams</w:t>
      </w:r>
      <w:r w:rsidR="0033032D">
        <w:t xml:space="preserve">, </w:t>
      </w:r>
      <w:r w:rsidR="009D1F90">
        <w:t>uplink</w:t>
      </w:r>
      <w:r w:rsidR="0033032D">
        <w:t xml:space="preserve"> and downlink</w:t>
      </w:r>
      <w:r w:rsidR="009D1F90">
        <w:t xml:space="preserve"> beams, command beams, </w:t>
      </w:r>
      <w:r w:rsidR="00371694">
        <w:t xml:space="preserve">and orbital </w:t>
      </w:r>
      <w:r w:rsidR="0033032D">
        <w:t xml:space="preserve">plane </w:t>
      </w:r>
      <w:r w:rsidR="00371694">
        <w:t xml:space="preserve">configurations. </w:t>
      </w:r>
    </w:p>
    <w:p w:rsidR="00F253B8" w:rsidP="0002293C" w14:paraId="0CCBBC8B" w14:textId="77777777"/>
    <w:p w:rsidR="00217AC2" w:rsidP="00B433F5" w14:paraId="4F0725DB" w14:textId="3FAC7C9C">
      <w:pPr>
        <w:tabs>
          <w:tab w:val="left" w:pos="-720"/>
        </w:tabs>
        <w:suppressAutoHyphens/>
        <w:spacing w:after="120"/>
        <w:ind w:firstLine="720"/>
      </w:pPr>
      <w:r w:rsidRPr="543D230B">
        <w:rPr>
          <w:i/>
        </w:rPr>
        <w:t>Ex Parte Rules</w:t>
      </w:r>
      <w:r>
        <w:t xml:space="preserve">.  </w:t>
      </w:r>
      <w:r w:rsidRPr="543D230B">
        <w:t>Pursuant to section 1.1200(a) of the Commission’s rules,</w:t>
      </w:r>
      <w:r>
        <w:rPr>
          <w:sz w:val="20"/>
          <w:vertAlign w:val="superscript"/>
        </w:rPr>
        <w:footnoteReference w:id="9"/>
      </w:r>
      <w:r w:rsidRPr="543D230B">
        <w:t xml:space="preserve"> the Commission may adopt modified or more stringent </w:t>
      </w:r>
      <w:r w:rsidRPr="543D230B">
        <w:rPr>
          <w:i/>
        </w:rPr>
        <w:t>ex parte</w:t>
      </w:r>
      <w:r w:rsidRPr="543D230B">
        <w:t xml:space="preserve"> procedures in particular proceedings if the public interest so requires.  We </w:t>
      </w:r>
      <w:r>
        <w:t xml:space="preserve">announce that this proceeding </w:t>
      </w:r>
      <w:r w:rsidRPr="543D230B">
        <w:t xml:space="preserve">will be governed by permit-but-disclose </w:t>
      </w:r>
      <w:r w:rsidRPr="543D230B">
        <w:rPr>
          <w:i/>
        </w:rPr>
        <w:t>ex parte</w:t>
      </w:r>
      <w:r w:rsidRPr="543D230B">
        <w:t xml:space="preserve"> procedures that are applicable to non-restricted proceedings under section 1.1206 of the Commission’s rules.</w:t>
      </w:r>
      <w:r>
        <w:rPr>
          <w:sz w:val="20"/>
          <w:vertAlign w:val="superscript"/>
        </w:rPr>
        <w:footnoteReference w:id="10"/>
      </w:r>
      <w:r>
        <w:t xml:space="preserve">  </w:t>
      </w:r>
      <w:r w:rsidRPr="543D230B">
        <w:t>This proceeding shall be treated as a “permit-but-disclose” proceeding in accordance with the Commission’s</w:t>
      </w:r>
      <w:r w:rsidR="00B433F5">
        <w:t xml:space="preserve"> </w:t>
      </w:r>
      <w:r w:rsidRPr="009203BD">
        <w:rPr>
          <w:i/>
        </w:rPr>
        <w:t>ex parte</w:t>
      </w:r>
      <w:r w:rsidRPr="543D230B">
        <w:t xml:space="preserve"> rules</w:t>
      </w:r>
      <w:r w:rsidRPr="543D230B">
        <w:rPr>
          <w:sz w:val="24"/>
          <w:szCs w:val="24"/>
        </w:rPr>
        <w:t>.</w:t>
      </w:r>
      <w:r>
        <w:rPr>
          <w:vertAlign w:val="superscript"/>
        </w:rPr>
        <w:footnoteReference w:id="11"/>
      </w:r>
      <w:r w:rsidRPr="00BA627B">
        <w:t xml:space="preserve"> </w:t>
      </w:r>
      <w:r w:rsidRPr="543D230B">
        <w:rPr>
          <w:sz w:val="24"/>
          <w:szCs w:val="24"/>
        </w:rPr>
        <w:t xml:space="preserve"> </w:t>
      </w:r>
      <w:r w:rsidRPr="543D230B">
        <w:t xml:space="preserve">Participants in this proceeding should familiarize themselves with the Commission’s </w:t>
      </w:r>
      <w:r w:rsidRPr="543D230B">
        <w:rPr>
          <w:i/>
        </w:rPr>
        <w:t>ex parte</w:t>
      </w:r>
      <w:r w:rsidRPr="543D230B">
        <w:t xml:space="preserve"> rules.</w:t>
      </w:r>
      <w:r w:rsidRPr="543D230B">
        <w:rPr>
          <w:sz w:val="24"/>
          <w:szCs w:val="24"/>
        </w:rPr>
        <w:t xml:space="preserve"> </w:t>
      </w:r>
    </w:p>
    <w:p w:rsidR="00F216DF" w:rsidRPr="00F74705" w:rsidP="000822A6" w14:paraId="14D69CE9" w14:textId="604E44FA">
      <w:pPr>
        <w:spacing w:after="120"/>
        <w:ind w:firstLine="720"/>
        <w:rPr>
          <w:rFonts w:eastAsia="Aptos"/>
          <w:i/>
          <w:snapToGrid/>
        </w:rPr>
      </w:pPr>
      <w:r w:rsidRPr="00F74705">
        <w:rPr>
          <w:rFonts w:eastAsia="Aptos"/>
          <w:i/>
          <w:iCs/>
          <w:snapToGrid/>
        </w:rPr>
        <w:t>Filing Procedures</w:t>
      </w:r>
      <w:r w:rsidRPr="00F74705">
        <w:rPr>
          <w:rFonts w:eastAsia="Aptos"/>
          <w:snapToGrid/>
        </w:rPr>
        <w:t xml:space="preserve">.  Interested parties may file comments and </w:t>
      </w:r>
      <w:r w:rsidR="00F03E76">
        <w:rPr>
          <w:rFonts w:eastAsia="Aptos"/>
          <w:snapToGrid/>
        </w:rPr>
        <w:t xml:space="preserve">petitions </w:t>
      </w:r>
      <w:r w:rsidRPr="00F74705">
        <w:rPr>
          <w:rFonts w:eastAsia="Aptos"/>
          <w:snapToGrid/>
        </w:rPr>
        <w:t xml:space="preserve">on or before </w:t>
      </w:r>
      <w:r w:rsidRPr="00F74705">
        <w:t>the dates indicated on the first page of this document.</w:t>
      </w:r>
      <w:r>
        <w:rPr>
          <w:rStyle w:val="FootnoteReference"/>
        </w:rPr>
        <w:footnoteReference w:id="12"/>
      </w:r>
      <w:r w:rsidRPr="00F74705">
        <w:t xml:space="preserve">  All filings</w:t>
      </w:r>
      <w:r w:rsidR="00CD005E">
        <w:t xml:space="preserve"> must be filed in </w:t>
      </w:r>
      <w:r w:rsidRPr="00F74705" w:rsidR="00A23AFD">
        <w:t xml:space="preserve">the Commission’s </w:t>
      </w:r>
      <w:r w:rsidR="0070494A">
        <w:t xml:space="preserve">International Communications Filing System (ICFS) and </w:t>
      </w:r>
      <w:r w:rsidRPr="00F74705">
        <w:t xml:space="preserve">refer to </w:t>
      </w:r>
      <w:r w:rsidR="000D062D">
        <w:t>I</w:t>
      </w:r>
      <w:r w:rsidRPr="00F74705" w:rsidR="00CB76BB">
        <w:t>CFS File No. SAT-LOA-202</w:t>
      </w:r>
      <w:r w:rsidR="00F9200B">
        <w:t>60108</w:t>
      </w:r>
      <w:r w:rsidRPr="00F74705" w:rsidR="00CB76BB">
        <w:t>-00</w:t>
      </w:r>
      <w:r w:rsidR="00F9200B">
        <w:t>016</w:t>
      </w:r>
      <w:r w:rsidR="001A1351">
        <w:t xml:space="preserve"> </w:t>
      </w:r>
      <w:r w:rsidRPr="00F74705">
        <w:t xml:space="preserve">in accordance with section 25.154 of the Commission’s rules.  </w:t>
      </w:r>
    </w:p>
    <w:p w:rsidR="00217AC2" w:rsidP="00217AC2" w14:paraId="2B5EBE78" w14:textId="77777777">
      <w:pPr>
        <w:spacing w:after="120"/>
        <w:ind w:firstLine="720"/>
        <w:rPr>
          <w:rFonts w:eastAsia="Aptos"/>
          <w:snapToGrid/>
        </w:rPr>
      </w:pPr>
      <w:r w:rsidRPr="008C1172">
        <w:rPr>
          <w:rFonts w:eastAsia="Aptos"/>
          <w:i/>
          <w:iCs/>
          <w:snapToGrid/>
        </w:rPr>
        <w:t>People with Disabilities</w:t>
      </w:r>
      <w:r w:rsidRPr="004E246F">
        <w:rPr>
          <w:rFonts w:eastAsia="Aptos"/>
          <w:snapToGrid/>
        </w:rPr>
        <w:t xml:space="preserve">.  To request materials in accessible formats for people with disabilities (braille, large print, electronic files, audio format), send an e-mail to </w:t>
      </w:r>
      <w:hyperlink r:id="rId6" w:history="1">
        <w:r w:rsidRPr="004E246F">
          <w:rPr>
            <w:rStyle w:val="Hyperlink"/>
            <w:rFonts w:eastAsia="Aptos"/>
            <w:snapToGrid/>
          </w:rPr>
          <w:t>fcc504@fcc.gov</w:t>
        </w:r>
      </w:hyperlink>
      <w:r w:rsidRPr="004E246F">
        <w:rPr>
          <w:rFonts w:eastAsia="Aptos"/>
          <w:snapToGrid/>
        </w:rPr>
        <w:t xml:space="preserve"> or call the Consumer &amp; Governmental Affairs Bureau at 202-418-0530 (voice). </w:t>
      </w:r>
    </w:p>
    <w:p w:rsidR="00217AC2" w:rsidP="00217AC2" w14:paraId="6CBDB9B6" w14:textId="7BE885BA">
      <w:pPr>
        <w:spacing w:after="120"/>
        <w:ind w:firstLine="720"/>
        <w:rPr>
          <w:rFonts w:eastAsia="Aptos"/>
          <w:snapToGrid/>
        </w:rPr>
      </w:pPr>
      <w:r>
        <w:rPr>
          <w:rFonts w:eastAsia="Aptos"/>
          <w:i/>
          <w:iCs/>
          <w:snapToGrid/>
        </w:rPr>
        <w:t>Availability of Documents</w:t>
      </w:r>
      <w:r>
        <w:rPr>
          <w:rFonts w:eastAsia="Aptos"/>
          <w:snapToGrid/>
        </w:rPr>
        <w:t>.  Comments</w:t>
      </w:r>
      <w:r w:rsidR="00146D50">
        <w:rPr>
          <w:rFonts w:eastAsia="Aptos"/>
          <w:snapToGrid/>
        </w:rPr>
        <w:t xml:space="preserve"> and reply comments</w:t>
      </w:r>
      <w:r>
        <w:rPr>
          <w:rFonts w:eastAsia="Aptos"/>
          <w:snapToGrid/>
        </w:rPr>
        <w:t xml:space="preserve">, </w:t>
      </w:r>
      <w:r w:rsidR="00C62370">
        <w:rPr>
          <w:rFonts w:eastAsia="Aptos"/>
          <w:snapToGrid/>
        </w:rPr>
        <w:t>petitions</w:t>
      </w:r>
      <w:r>
        <w:rPr>
          <w:rFonts w:eastAsia="Aptos"/>
          <w:snapToGrid/>
        </w:rPr>
        <w:t xml:space="preserve">, and </w:t>
      </w:r>
      <w:r>
        <w:rPr>
          <w:rFonts w:eastAsia="Aptos"/>
          <w:i/>
          <w:iCs/>
          <w:snapToGrid/>
        </w:rPr>
        <w:t>ex parte</w:t>
      </w:r>
      <w:r>
        <w:rPr>
          <w:rFonts w:eastAsia="Aptos"/>
          <w:snapToGrid/>
        </w:rPr>
        <w:t xml:space="preserve"> submissions will be available vi</w:t>
      </w:r>
      <w:r w:rsidR="00216270">
        <w:rPr>
          <w:rFonts w:eastAsia="Aptos"/>
          <w:snapToGrid/>
        </w:rPr>
        <w:t>a ICFS</w:t>
      </w:r>
      <w:r w:rsidRPr="00F74705">
        <w:rPr>
          <w:rFonts w:eastAsia="Aptos"/>
          <w:snapToGrid/>
        </w:rPr>
        <w:t>.</w:t>
      </w:r>
      <w:r>
        <w:rPr>
          <w:rFonts w:eastAsia="Aptos"/>
          <w:snapToGrid/>
        </w:rPr>
        <w:t xml:space="preserve">  Documents will be available electronically in ASCII, Microsoft Word, and/or Adobe Acrobat.</w:t>
      </w:r>
    </w:p>
    <w:p w:rsidR="00217AC2" w:rsidRPr="002B723A" w:rsidP="00293629" w14:paraId="0DA94187" w14:textId="1BCEDBFC">
      <w:pPr>
        <w:spacing w:after="120"/>
        <w:ind w:firstLine="720"/>
        <w:jc w:val="center"/>
      </w:pPr>
      <w:r w:rsidRPr="00293629">
        <w:rPr>
          <w:rFonts w:eastAsia="Aptos"/>
          <w:b/>
          <w:bCs/>
          <w:snapToGrid/>
        </w:rPr>
        <w:t>-FCC-</w:t>
      </w:r>
      <w:bookmarkEnd w:id="0"/>
    </w:p>
    <w:sectPr>
      <w:headerReference w:type="default" r:id="rId7"/>
      <w:footerReference w:type="even" r:id="rId8"/>
      <w:footerReference w:type="default" r:id="rId9"/>
      <w:headerReference w:type="first" r:id="rId10"/>
      <w:footerReference w:type="first" r:id="rId11"/>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E0AB9" w14:paraId="4B09FB0E" w14:textId="77777777">
      <w:pPr>
        <w:spacing w:line="20" w:lineRule="exact"/>
      </w:pPr>
    </w:p>
  </w:endnote>
  <w:endnote w:type="continuationSeparator" w:id="1">
    <w:p w:rsidR="003E0AB9" w14:paraId="3616CE1D" w14:textId="77777777">
      <w:r>
        <w:t xml:space="preserve"> </w:t>
      </w:r>
    </w:p>
  </w:endnote>
  <w:endnote w:type="continuationNotice" w:id="2">
    <w:p w:rsidR="003E0AB9" w14:paraId="7E765486"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65894B6D" w14:textId="77777777">
    <w:pPr>
      <w:pStyle w:val="Footer"/>
      <w:framePr w:wrap="around" w:vAnchor="text" w:hAnchor="margin" w:xAlign="center" w:y="1"/>
    </w:pPr>
    <w:r>
      <w:fldChar w:fldCharType="begin"/>
    </w:r>
    <w:r>
      <w:instrText xml:space="preserve">PAGE  </w:instrText>
    </w:r>
    <w:r>
      <w:fldChar w:fldCharType="separate"/>
    </w:r>
    <w:r>
      <w:fldChar w:fldCharType="end"/>
    </w:r>
  </w:p>
  <w:p w:rsidR="00BA3BA8" w14:paraId="5F1F766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78C2CB38"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72F43556"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E0AB9" w14:paraId="1D3E0CFC" w14:textId="77777777">
      <w:r>
        <w:separator/>
      </w:r>
    </w:p>
  </w:footnote>
  <w:footnote w:type="continuationSeparator" w:id="1">
    <w:p w:rsidR="003E0AB9" w14:paraId="334FB6F7" w14:textId="77777777">
      <w:pPr>
        <w:rPr>
          <w:sz w:val="20"/>
        </w:rPr>
      </w:pPr>
      <w:r>
        <w:rPr>
          <w:sz w:val="20"/>
        </w:rPr>
        <w:t xml:space="preserve">(Continued from previous page)  </w:t>
      </w:r>
      <w:r>
        <w:rPr>
          <w:sz w:val="20"/>
        </w:rPr>
        <w:separator/>
      </w:r>
    </w:p>
  </w:footnote>
  <w:footnote w:type="continuationNotice" w:id="2">
    <w:p w:rsidR="003E0AB9" w14:paraId="4CC606F5" w14:textId="77777777">
      <w:pPr>
        <w:jc w:val="right"/>
        <w:rPr>
          <w:sz w:val="20"/>
        </w:rPr>
      </w:pPr>
      <w:r>
        <w:rPr>
          <w:sz w:val="20"/>
        </w:rPr>
        <w:t>(continued….)</w:t>
      </w:r>
    </w:p>
  </w:footnote>
  <w:footnote w:id="3">
    <w:p w:rsidR="005848F4" w:rsidP="005848F4" w14:paraId="6A6CD1AF" w14:textId="49DBB268">
      <w:pPr>
        <w:pStyle w:val="FootnoteText"/>
      </w:pPr>
      <w:r>
        <w:rPr>
          <w:rStyle w:val="FootnoteReference"/>
        </w:rPr>
        <w:footnoteRef/>
      </w:r>
      <w:r>
        <w:t xml:space="preserve"> Space Exploration Holdings, LLC, Application for Authority to Launch and Operate the SpaceX Orbital Data Center System, ICFS File No. SAT-LOA-20260108-00016 (Call Sign S00798) (filed Jan. 30, 2026) (Application). </w:t>
      </w:r>
    </w:p>
  </w:footnote>
  <w:footnote w:id="4">
    <w:p w:rsidR="005848F4" w:rsidRPr="00F0730A" w:rsidP="005848F4" w14:paraId="0C31B0DE" w14:textId="77C8550D">
      <w:pPr>
        <w:pStyle w:val="FootnoteText"/>
      </w:pPr>
      <w:r>
        <w:rPr>
          <w:rStyle w:val="FootnoteReference"/>
        </w:rPr>
        <w:footnoteRef/>
      </w:r>
      <w:r>
        <w:t xml:space="preserve"> Application, Narrative at 1.  </w:t>
      </w:r>
      <w:r w:rsidR="00D64CC6">
        <w:t xml:space="preserve">The </w:t>
      </w:r>
      <w:r w:rsidRPr="00D64CC6" w:rsidR="00D64CC6">
        <w:t>Kardashev scale</w:t>
      </w:r>
      <w:r w:rsidR="00D64CC6">
        <w:t xml:space="preserve"> is</w:t>
      </w:r>
      <w:r w:rsidR="00E14693">
        <w:t xml:space="preserve"> a hypothetical method of measuring a civilization’s technological advancement based on its energy consumption; a Type II civilization can harness and utilize all the energy output of its host star.  </w:t>
      </w:r>
      <w:r w:rsidRPr="00E14693" w:rsidR="00E14693">
        <w:rPr>
          <w:i/>
          <w:iCs/>
        </w:rPr>
        <w:t xml:space="preserve">See </w:t>
      </w:r>
      <w:r w:rsidR="00E14693">
        <w:t xml:space="preserve">N.S. Kardashev, </w:t>
      </w:r>
      <w:r w:rsidRPr="00E14693" w:rsidR="00E14693">
        <w:rPr>
          <w:i/>
          <w:iCs/>
        </w:rPr>
        <w:t>Transmission of Information by Extraterrestrial Civilizations</w:t>
      </w:r>
      <w:r w:rsidR="00E14693">
        <w:t>, 8 Soviet Astronomy 217-221 (1964).</w:t>
      </w:r>
    </w:p>
  </w:footnote>
  <w:footnote w:id="5">
    <w:p w:rsidR="00B01484" w14:paraId="763B22A8" w14:textId="2152EFF9">
      <w:pPr>
        <w:pStyle w:val="FootnoteText"/>
      </w:pPr>
      <w:r>
        <w:rPr>
          <w:rStyle w:val="FootnoteReference"/>
        </w:rPr>
        <w:footnoteRef/>
      </w:r>
      <w:r>
        <w:t xml:space="preserve"> Application, Narrative at </w:t>
      </w:r>
      <w:r w:rsidR="00F3458E">
        <w:t>1</w:t>
      </w:r>
      <w:r w:rsidR="00656911">
        <w:t xml:space="preserve">.  </w:t>
      </w:r>
      <w:r w:rsidR="005435F5">
        <w:t>SpaceX plans to design and operate different versions of satellite hardware for its operations across orbital shells.</w:t>
      </w:r>
    </w:p>
  </w:footnote>
  <w:footnote w:id="6">
    <w:p w:rsidR="005848F4" w:rsidP="005848F4" w14:paraId="18BB2CE0" w14:textId="0C581FEB">
      <w:pPr>
        <w:pStyle w:val="FootnoteText"/>
      </w:pPr>
      <w:r>
        <w:rPr>
          <w:rStyle w:val="FootnoteReference"/>
        </w:rPr>
        <w:footnoteRef/>
      </w:r>
      <w:r>
        <w:t xml:space="preserve"> Application, Attachment A at A-1 (Technical Attachment).</w:t>
      </w:r>
    </w:p>
  </w:footnote>
  <w:footnote w:id="7">
    <w:p w:rsidR="008814F6" w14:paraId="1296D265" w14:textId="18A2C0C2">
      <w:pPr>
        <w:pStyle w:val="FootnoteText"/>
      </w:pPr>
      <w:r>
        <w:rPr>
          <w:rStyle w:val="FootnoteReference"/>
        </w:rPr>
        <w:footnoteRef/>
      </w:r>
      <w:r>
        <w:t xml:space="preserve"> </w:t>
      </w:r>
      <w:r w:rsidR="002D487C">
        <w:t>Application</w:t>
      </w:r>
      <w:r w:rsidR="00AA366A">
        <w:t>, Narrative</w:t>
      </w:r>
      <w:r w:rsidR="00E0279A">
        <w:t xml:space="preserve"> at 6. </w:t>
      </w:r>
      <w:r w:rsidR="00AA366A">
        <w:t xml:space="preserve"> </w:t>
      </w:r>
      <w:r w:rsidRPr="002D487C" w:rsidR="00AB2238">
        <w:rPr>
          <w:i/>
          <w:iCs/>
        </w:rPr>
        <w:t>See</w:t>
      </w:r>
      <w:r w:rsidR="005E7437">
        <w:rPr>
          <w:i/>
          <w:iCs/>
        </w:rPr>
        <w:t xml:space="preserve"> e.g.</w:t>
      </w:r>
      <w:r w:rsidR="005E7437">
        <w:t>,</w:t>
      </w:r>
      <w:r w:rsidRPr="002D487C" w:rsidR="00AB2238">
        <w:rPr>
          <w:i/>
          <w:iCs/>
        </w:rPr>
        <w:t xml:space="preserve"> Space Exploration </w:t>
      </w:r>
      <w:r w:rsidRPr="002D487C" w:rsidR="002D487C">
        <w:rPr>
          <w:i/>
          <w:iCs/>
        </w:rPr>
        <w:t>Holdings</w:t>
      </w:r>
      <w:r w:rsidRPr="002D487C" w:rsidR="00AB2238">
        <w:rPr>
          <w:i/>
          <w:iCs/>
        </w:rPr>
        <w:t>, LLC</w:t>
      </w:r>
      <w:r w:rsidR="00D0440D">
        <w:rPr>
          <w:i/>
          <w:iCs/>
        </w:rPr>
        <w:t xml:space="preserve"> Request for Orbital Deployment and Operating Authority for the SpaceX Gen2 NGSO Satellite System</w:t>
      </w:r>
      <w:r w:rsidR="00AB2238">
        <w:t xml:space="preserve">, Order and Authorization, 37 FCC </w:t>
      </w:r>
      <w:r w:rsidR="00AB2238">
        <w:t>Rcd</w:t>
      </w:r>
      <w:r w:rsidR="00AB2238">
        <w:t xml:space="preserve"> 14882, 149</w:t>
      </w:r>
      <w:r w:rsidR="002D487C">
        <w:t>27 (2022) (</w:t>
      </w:r>
      <w:r w:rsidRPr="008D1730" w:rsidR="008D1730">
        <w:rPr>
          <w:i/>
          <w:iCs/>
        </w:rPr>
        <w:t xml:space="preserve">SpaceX </w:t>
      </w:r>
      <w:r w:rsidRPr="008D1730" w:rsidR="002D487C">
        <w:rPr>
          <w:i/>
          <w:iCs/>
        </w:rPr>
        <w:t>Gen2 Authorization</w:t>
      </w:r>
      <w:r w:rsidR="002D487C">
        <w:t xml:space="preserve">); </w:t>
      </w:r>
      <w:r w:rsidRPr="00106C9D" w:rsidR="002D487C">
        <w:rPr>
          <w:i/>
        </w:rPr>
        <w:t>Space Exploration Holdings, LLC</w:t>
      </w:r>
      <w:r w:rsidR="00F84A00">
        <w:rPr>
          <w:i/>
        </w:rPr>
        <w:t xml:space="preserve"> Application for Authority for Modification of the SpaceX NGSO Satellite System</w:t>
      </w:r>
      <w:r w:rsidRPr="00A22901" w:rsidR="002D487C">
        <w:rPr>
          <w:i/>
        </w:rPr>
        <w:t xml:space="preserve">, </w:t>
      </w:r>
      <w:r w:rsidRPr="00DD51D6" w:rsidR="002D487C">
        <w:rPr>
          <w:iCs/>
        </w:rPr>
        <w:t>Order and Authorization</w:t>
      </w:r>
      <w:r w:rsidR="000D210A">
        <w:t>, DA 26-36 (SB rel. Jan 9, 2026) (</w:t>
      </w:r>
      <w:r w:rsidRPr="00A22901" w:rsidR="000D210A">
        <w:rPr>
          <w:i/>
          <w:iCs/>
        </w:rPr>
        <w:t>SpaceX Gen2 Upgrade Authorization</w:t>
      </w:r>
      <w:r w:rsidR="000D210A">
        <w:t xml:space="preserve">); </w:t>
      </w:r>
      <w:r w:rsidRPr="002D487C" w:rsidR="002D487C">
        <w:rPr>
          <w:i/>
          <w:iCs/>
        </w:rPr>
        <w:t>Space Exploration Holdings</w:t>
      </w:r>
      <w:r w:rsidR="00CF26E6">
        <w:rPr>
          <w:i/>
          <w:iCs/>
        </w:rPr>
        <w:t>,</w:t>
      </w:r>
      <w:r w:rsidR="00A30B2A">
        <w:rPr>
          <w:i/>
          <w:iCs/>
        </w:rPr>
        <w:t xml:space="preserve"> LLC</w:t>
      </w:r>
      <w:r w:rsidR="008854E4">
        <w:rPr>
          <w:i/>
          <w:iCs/>
        </w:rPr>
        <w:t>, Application for Approval for Orbital Deployment and Operating Authority for the SpaceX NGSO Satellite</w:t>
      </w:r>
      <w:r w:rsidR="00080EBE">
        <w:rPr>
          <w:i/>
          <w:iCs/>
        </w:rPr>
        <w:t xml:space="preserve"> System</w:t>
      </w:r>
      <w:r w:rsidR="00A30B2A">
        <w:rPr>
          <w:i/>
          <w:iCs/>
        </w:rPr>
        <w:t xml:space="preserve">, </w:t>
      </w:r>
      <w:r w:rsidRPr="00F5273B" w:rsidR="00BA5828">
        <w:rPr>
          <w:i/>
          <w:iCs/>
        </w:rPr>
        <w:t>Memorandum Opinion,</w:t>
      </w:r>
      <w:r w:rsidR="00BA5828">
        <w:rPr>
          <w:i/>
          <w:iCs/>
        </w:rPr>
        <w:t xml:space="preserve"> </w:t>
      </w:r>
      <w:r w:rsidRPr="00F5273B" w:rsidR="00A30B2A">
        <w:rPr>
          <w:i/>
          <w:iCs/>
        </w:rPr>
        <w:t xml:space="preserve">Order and </w:t>
      </w:r>
      <w:r w:rsidRPr="00C269F9" w:rsidR="00A30B2A">
        <w:rPr>
          <w:i/>
          <w:iCs/>
        </w:rPr>
        <w:t>Authorization</w:t>
      </w:r>
      <w:r w:rsidR="00A30B2A">
        <w:t xml:space="preserve">, </w:t>
      </w:r>
      <w:r w:rsidRPr="00B5064B" w:rsidR="00A30B2A">
        <w:rPr>
          <w:szCs w:val="22"/>
        </w:rPr>
        <w:t xml:space="preserve">33 FCC </w:t>
      </w:r>
      <w:r w:rsidRPr="00B5064B" w:rsidR="00A30B2A">
        <w:rPr>
          <w:szCs w:val="22"/>
        </w:rPr>
        <w:t>Rcd</w:t>
      </w:r>
      <w:r w:rsidRPr="00B5064B" w:rsidR="00A30B2A">
        <w:rPr>
          <w:szCs w:val="22"/>
        </w:rPr>
        <w:t xml:space="preserve"> 3391 </w:t>
      </w:r>
      <w:r w:rsidR="00DD0D19">
        <w:rPr>
          <w:szCs w:val="22"/>
        </w:rPr>
        <w:t>(2018) (</w:t>
      </w:r>
      <w:r w:rsidR="00DD0D19">
        <w:rPr>
          <w:i/>
          <w:iCs/>
          <w:szCs w:val="22"/>
        </w:rPr>
        <w:t xml:space="preserve">SpaceX Gen1 </w:t>
      </w:r>
      <w:r w:rsidRPr="00A22901" w:rsidR="00DD0D19">
        <w:rPr>
          <w:i/>
          <w:iCs/>
          <w:szCs w:val="22"/>
        </w:rPr>
        <w:t>Authorization</w:t>
      </w:r>
      <w:r w:rsidR="0058539A">
        <w:rPr>
          <w:szCs w:val="22"/>
        </w:rPr>
        <w:t>);</w:t>
      </w:r>
      <w:r w:rsidR="00CD4707">
        <w:rPr>
          <w:szCs w:val="22"/>
        </w:rPr>
        <w:t xml:space="preserve"> </w:t>
      </w:r>
      <w:r w:rsidR="0058539A">
        <w:rPr>
          <w:i/>
          <w:iCs/>
        </w:rPr>
        <w:t>Space Exploration Holdings LLC</w:t>
      </w:r>
      <w:r w:rsidR="008A1B74">
        <w:rPr>
          <w:i/>
          <w:iCs/>
        </w:rPr>
        <w:t xml:space="preserve">, </w:t>
      </w:r>
      <w:r w:rsidRPr="00026B3F" w:rsidR="004308A7">
        <w:rPr>
          <w:i/>
          <w:iCs/>
        </w:rPr>
        <w:t>Grant Stamp</w:t>
      </w:r>
      <w:r w:rsidR="004308A7">
        <w:t xml:space="preserve">, ICFS File No. </w:t>
      </w:r>
      <w:r w:rsidR="007B609B">
        <w:t>SAT-MOD-202302</w:t>
      </w:r>
      <w:r w:rsidR="001814C2">
        <w:t>15</w:t>
      </w:r>
      <w:r w:rsidR="007B609B">
        <w:t>-000</w:t>
      </w:r>
      <w:r w:rsidR="001814C2">
        <w:t>36</w:t>
      </w:r>
      <w:r w:rsidR="00EA024F">
        <w:t xml:space="preserve"> (Granted Aug. </w:t>
      </w:r>
      <w:r w:rsidR="00497445">
        <w:t>16, 2024) (</w:t>
      </w:r>
      <w:r w:rsidR="00497445">
        <w:rPr>
          <w:i/>
          <w:iCs/>
        </w:rPr>
        <w:t>SpaceX Gen1 Fourth Modification Grant</w:t>
      </w:r>
      <w:r w:rsidR="00497445">
        <w:t>);</w:t>
      </w:r>
      <w:r w:rsidR="005B4F14">
        <w:t xml:space="preserve"> </w:t>
      </w:r>
      <w:r w:rsidR="0058539A">
        <w:rPr>
          <w:i/>
          <w:iCs/>
        </w:rPr>
        <w:t>Space Exploration Holdings</w:t>
      </w:r>
      <w:r w:rsidR="005E7437">
        <w:rPr>
          <w:i/>
          <w:iCs/>
        </w:rPr>
        <w:t>,</w:t>
      </w:r>
      <w:r w:rsidR="0058539A">
        <w:rPr>
          <w:i/>
          <w:iCs/>
        </w:rPr>
        <w:t xml:space="preserve"> LLC</w:t>
      </w:r>
      <w:r w:rsidR="00B87FA1">
        <w:rPr>
          <w:i/>
          <w:iCs/>
        </w:rPr>
        <w:t>, Request for Modification of the Authorization for the SpaceX NGSO Satellite System</w:t>
      </w:r>
      <w:r w:rsidR="008A1B74">
        <w:rPr>
          <w:i/>
          <w:iCs/>
        </w:rPr>
        <w:t xml:space="preserve">, </w:t>
      </w:r>
      <w:r w:rsidRPr="00F95919" w:rsidR="004308A7">
        <w:rPr>
          <w:i/>
          <w:iCs/>
        </w:rPr>
        <w:t>Grant Stamp</w:t>
      </w:r>
      <w:r w:rsidR="004308A7">
        <w:t>, ICFS File No. SAT-MOD-20241104-00251 (</w:t>
      </w:r>
      <w:r w:rsidR="00EF6912">
        <w:t xml:space="preserve">Mar. 17, 2025) </w:t>
      </w:r>
      <w:r w:rsidR="007B609B">
        <w:t>(</w:t>
      </w:r>
      <w:r w:rsidRPr="00A22901" w:rsidR="007B609B">
        <w:rPr>
          <w:i/>
          <w:iCs/>
        </w:rPr>
        <w:t>SpaceX Gen1 Swarm Modification</w:t>
      </w:r>
      <w:r w:rsidR="007B609B">
        <w:t>)</w:t>
      </w:r>
      <w:r w:rsidR="002D487C">
        <w:t xml:space="preserve">. </w:t>
      </w:r>
      <w:r w:rsidR="00C335F3">
        <w:t xml:space="preserve"> SpaceX states that the “optical links will route traffic within the network and to satellites in the Starlink constellation, via its high capacity (petabit) and high reliability laser mesh, which in turn will transmit traffic to authorized earth stations on the ground.”  Application, Narrative at 1. </w:t>
      </w:r>
    </w:p>
  </w:footnote>
  <w:footnote w:id="8">
    <w:p w:rsidR="00880C6D" w14:paraId="5C0AD83A" w14:textId="3280526C">
      <w:pPr>
        <w:pStyle w:val="FootnoteText"/>
      </w:pPr>
      <w:r>
        <w:rPr>
          <w:rStyle w:val="FootnoteReference"/>
        </w:rPr>
        <w:footnoteRef/>
      </w:r>
      <w:r>
        <w:t xml:space="preserve"> Application, </w:t>
      </w:r>
      <w:r w:rsidR="008B33B4">
        <w:t xml:space="preserve">Waiver Requests. </w:t>
      </w:r>
    </w:p>
  </w:footnote>
  <w:footnote w:id="9">
    <w:p w:rsidR="00217AC2" w:rsidRPr="00AA027F" w:rsidP="00217AC2" w14:paraId="3143896C" w14:textId="77777777">
      <w:pPr>
        <w:pStyle w:val="FootnoteText"/>
      </w:pPr>
      <w:r w:rsidRPr="00AA027F">
        <w:rPr>
          <w:rStyle w:val="FootnoteReference"/>
        </w:rPr>
        <w:footnoteRef/>
      </w:r>
      <w:r w:rsidRPr="00AA027F">
        <w:t xml:space="preserve"> 47 CFR § 1.1200(a).</w:t>
      </w:r>
    </w:p>
  </w:footnote>
  <w:footnote w:id="10">
    <w:p w:rsidR="00217AC2" w:rsidRPr="00F15A09" w:rsidP="00217AC2" w14:paraId="06FBC29D" w14:textId="77777777">
      <w:pPr>
        <w:pStyle w:val="FootnoteText"/>
      </w:pPr>
      <w:r w:rsidRPr="00AA027F">
        <w:rPr>
          <w:rStyle w:val="FootnoteReference"/>
        </w:rPr>
        <w:footnoteRef/>
      </w:r>
      <w:r w:rsidRPr="00F15A09">
        <w:t xml:space="preserve"> 47 CFR § 1.1206.  </w:t>
      </w:r>
    </w:p>
  </w:footnote>
  <w:footnote w:id="11">
    <w:p w:rsidR="00217AC2" w:rsidRPr="00F15A09" w:rsidP="00217AC2" w14:paraId="0365B45D" w14:textId="77777777">
      <w:pPr>
        <w:pStyle w:val="FootnoteText"/>
        <w:rPr>
          <w:i/>
          <w:iCs/>
        </w:rPr>
      </w:pPr>
      <w:r w:rsidRPr="00AA027F">
        <w:rPr>
          <w:rStyle w:val="FootnoteReference"/>
        </w:rPr>
        <w:footnoteRef/>
      </w:r>
      <w:r w:rsidRPr="00F15A09">
        <w:t xml:space="preserve"> 47 CFR §§ 1.1200 </w:t>
      </w:r>
      <w:r w:rsidRPr="00F15A09">
        <w:rPr>
          <w:i/>
          <w:iCs/>
        </w:rPr>
        <w:t>et seq.</w:t>
      </w:r>
    </w:p>
  </w:footnote>
  <w:footnote w:id="12">
    <w:p w:rsidR="00217AC2" w:rsidRPr="00DD51D6" w:rsidP="00217AC2" w14:paraId="77242AF2" w14:textId="4E106FB1">
      <w:pPr>
        <w:pStyle w:val="FootnoteText"/>
        <w:rPr>
          <w:lang w:val="nb-NO"/>
        </w:rPr>
      </w:pPr>
      <w:r>
        <w:rPr>
          <w:rStyle w:val="FootnoteReference"/>
        </w:rPr>
        <w:footnoteRef/>
      </w:r>
      <w:r w:rsidRPr="00DD51D6">
        <w:rPr>
          <w:lang w:val="nb-NO"/>
        </w:rPr>
        <w:t xml:space="preserve"> 47 CFR §§ 1.2, 1.405</w:t>
      </w:r>
      <w:r w:rsidRPr="00DD51D6" w:rsidR="00BE117A">
        <w:rPr>
          <w:lang w:val="nb-N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58958152" w14:textId="065EBF96">
    <w:pPr>
      <w:tabs>
        <w:tab w:val="center" w:pos="4680"/>
        <w:tab w:val="right" w:pos="9360"/>
      </w:tabs>
    </w:pPr>
    <w:r>
      <w:rPr>
        <w:b/>
      </w:rPr>
      <w:tab/>
      <w:t>Federal Communications Commission</w:t>
    </w:r>
    <w:r>
      <w:rPr>
        <w:b/>
      </w:rPr>
      <w:tab/>
    </w:r>
    <w:r w:rsidR="00640AD7">
      <w:rPr>
        <w:b/>
      </w:rPr>
      <w:t>DA 2</w:t>
    </w:r>
    <w:r w:rsidR="001C7B93">
      <w:rPr>
        <w:b/>
      </w:rPr>
      <w:t>6</w:t>
    </w:r>
    <w:r w:rsidR="00640AD7">
      <w:rPr>
        <w:b/>
      </w:rPr>
      <w:t>-</w:t>
    </w:r>
    <w:r w:rsidR="00C158B5">
      <w:rPr>
        <w:b/>
      </w:rPr>
      <w:t>113</w:t>
    </w:r>
  </w:p>
  <w:p w:rsidR="00BA3BA8" w14:paraId="7A8F1A1A" w14:textId="00F7788F">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5"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BA3BA8" w14:paraId="5EE94630"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rsidRPr="00F03EA1" w:rsidP="00F03EA1" w14:paraId="3305B566" w14:textId="7E453EF9">
    <w:pPr>
      <w:pStyle w:val="Header"/>
    </w:pPr>
    <w:r>
      <w:rPr>
        <w:noProof/>
      </w:rPr>
      <w:drawing>
        <wp:inline distT="0" distB="0" distL="0" distR="0">
          <wp:extent cx="5958840" cy="1424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58840" cy="14249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0C65425E"/>
    <w:multiLevelType w:val="hybridMultilevel"/>
    <w:tmpl w:val="E2DCA3B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AC662E"/>
    <w:multiLevelType w:val="hybridMultilevel"/>
    <w:tmpl w:val="73A87B6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4">
    <w:nsid w:val="248246F3"/>
    <w:multiLevelType w:val="singleLevel"/>
    <w:tmpl w:val="B1F45678"/>
    <w:lvl w:ilvl="0">
      <w:start w:val="1"/>
      <w:numFmt w:val="decimal"/>
      <w:lvlText w:val="%1."/>
      <w:lvlJc w:val="left"/>
      <w:pPr>
        <w:tabs>
          <w:tab w:val="num" w:pos="1080"/>
        </w:tabs>
        <w:ind w:left="0" w:firstLine="720"/>
      </w:pPr>
    </w:lvl>
  </w:abstractNum>
  <w:abstractNum w:abstractNumId="5">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6">
    <w:nsid w:val="3863650D"/>
    <w:multiLevelType w:val="hybridMultilevel"/>
    <w:tmpl w:val="D1D2DE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9">
    <w:nsid w:val="67B00A91"/>
    <w:multiLevelType w:val="hybridMultilevel"/>
    <w:tmpl w:val="3E7EFC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21173537">
    <w:abstractNumId w:val="3"/>
  </w:num>
  <w:num w:numId="2" w16cid:durableId="148908133">
    <w:abstractNumId w:val="8"/>
  </w:num>
  <w:num w:numId="3" w16cid:durableId="1926717561">
    <w:abstractNumId w:val="5"/>
  </w:num>
  <w:num w:numId="4" w16cid:durableId="1231847383">
    <w:abstractNumId w:val="7"/>
  </w:num>
  <w:num w:numId="5" w16cid:durableId="711005918">
    <w:abstractNumId w:val="4"/>
  </w:num>
  <w:num w:numId="6" w16cid:durableId="2116513760">
    <w:abstractNumId w:val="0"/>
  </w:num>
  <w:num w:numId="7" w16cid:durableId="9914114">
    <w:abstractNumId w:val="9"/>
  </w:num>
  <w:num w:numId="8" w16cid:durableId="1882670372">
    <w:abstractNumId w:val="6"/>
  </w:num>
  <w:num w:numId="9" w16cid:durableId="1660229359">
    <w:abstractNumId w:val="1"/>
  </w:num>
  <w:num w:numId="10" w16cid:durableId="1848866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B92"/>
    <w:rsid w:val="00000028"/>
    <w:rsid w:val="000033B7"/>
    <w:rsid w:val="00004C4C"/>
    <w:rsid w:val="00005D80"/>
    <w:rsid w:val="00011975"/>
    <w:rsid w:val="000133B9"/>
    <w:rsid w:val="0001484E"/>
    <w:rsid w:val="000167F7"/>
    <w:rsid w:val="00016DC8"/>
    <w:rsid w:val="000174FA"/>
    <w:rsid w:val="00022472"/>
    <w:rsid w:val="0002293C"/>
    <w:rsid w:val="00025FFB"/>
    <w:rsid w:val="00026B3F"/>
    <w:rsid w:val="0003141F"/>
    <w:rsid w:val="00031E1A"/>
    <w:rsid w:val="00032481"/>
    <w:rsid w:val="00037F96"/>
    <w:rsid w:val="00041DEA"/>
    <w:rsid w:val="00043899"/>
    <w:rsid w:val="00043FB3"/>
    <w:rsid w:val="000442B8"/>
    <w:rsid w:val="00046388"/>
    <w:rsid w:val="000479DE"/>
    <w:rsid w:val="0005195C"/>
    <w:rsid w:val="00051DC4"/>
    <w:rsid w:val="000520F4"/>
    <w:rsid w:val="00053779"/>
    <w:rsid w:val="00056B86"/>
    <w:rsid w:val="000579E4"/>
    <w:rsid w:val="00060A1F"/>
    <w:rsid w:val="00061096"/>
    <w:rsid w:val="00062A8F"/>
    <w:rsid w:val="00064A35"/>
    <w:rsid w:val="00066A0C"/>
    <w:rsid w:val="00070B48"/>
    <w:rsid w:val="00070DFF"/>
    <w:rsid w:val="00072F55"/>
    <w:rsid w:val="00073A05"/>
    <w:rsid w:val="0007427C"/>
    <w:rsid w:val="00075C4B"/>
    <w:rsid w:val="0007668C"/>
    <w:rsid w:val="00077F11"/>
    <w:rsid w:val="00080EBE"/>
    <w:rsid w:val="000822A6"/>
    <w:rsid w:val="00085DD1"/>
    <w:rsid w:val="00092876"/>
    <w:rsid w:val="00094164"/>
    <w:rsid w:val="000949F5"/>
    <w:rsid w:val="0009716F"/>
    <w:rsid w:val="000A10B3"/>
    <w:rsid w:val="000A188C"/>
    <w:rsid w:val="000A1C8E"/>
    <w:rsid w:val="000A2A87"/>
    <w:rsid w:val="000A5CA7"/>
    <w:rsid w:val="000A5E43"/>
    <w:rsid w:val="000A7F12"/>
    <w:rsid w:val="000B0323"/>
    <w:rsid w:val="000B03ED"/>
    <w:rsid w:val="000B1448"/>
    <w:rsid w:val="000B1CA6"/>
    <w:rsid w:val="000B2C1D"/>
    <w:rsid w:val="000B73CD"/>
    <w:rsid w:val="000B7FD0"/>
    <w:rsid w:val="000C0C28"/>
    <w:rsid w:val="000C1DEE"/>
    <w:rsid w:val="000C2AC6"/>
    <w:rsid w:val="000C38F3"/>
    <w:rsid w:val="000C53DA"/>
    <w:rsid w:val="000C5DA4"/>
    <w:rsid w:val="000C72CE"/>
    <w:rsid w:val="000D062D"/>
    <w:rsid w:val="000D210A"/>
    <w:rsid w:val="000D4632"/>
    <w:rsid w:val="000E2344"/>
    <w:rsid w:val="000E239B"/>
    <w:rsid w:val="000E2803"/>
    <w:rsid w:val="000E2C6E"/>
    <w:rsid w:val="000E2E5C"/>
    <w:rsid w:val="000E63B9"/>
    <w:rsid w:val="000E6A3B"/>
    <w:rsid w:val="000F0976"/>
    <w:rsid w:val="000F2460"/>
    <w:rsid w:val="000F25A2"/>
    <w:rsid w:val="000F3566"/>
    <w:rsid w:val="000F3E07"/>
    <w:rsid w:val="000F44B5"/>
    <w:rsid w:val="000F6281"/>
    <w:rsid w:val="000F6B0C"/>
    <w:rsid w:val="0010060D"/>
    <w:rsid w:val="001030CB"/>
    <w:rsid w:val="00103737"/>
    <w:rsid w:val="0010566B"/>
    <w:rsid w:val="00105720"/>
    <w:rsid w:val="00105BE6"/>
    <w:rsid w:val="00106C9D"/>
    <w:rsid w:val="00107A92"/>
    <w:rsid w:val="0011000B"/>
    <w:rsid w:val="00112E73"/>
    <w:rsid w:val="001157EB"/>
    <w:rsid w:val="00115F61"/>
    <w:rsid w:val="0011727F"/>
    <w:rsid w:val="00120745"/>
    <w:rsid w:val="00121177"/>
    <w:rsid w:val="001225B9"/>
    <w:rsid w:val="0012267D"/>
    <w:rsid w:val="00122F73"/>
    <w:rsid w:val="001233D2"/>
    <w:rsid w:val="0012549F"/>
    <w:rsid w:val="001270C4"/>
    <w:rsid w:val="00127317"/>
    <w:rsid w:val="00131F37"/>
    <w:rsid w:val="00132320"/>
    <w:rsid w:val="00132AB1"/>
    <w:rsid w:val="00132BDA"/>
    <w:rsid w:val="00134396"/>
    <w:rsid w:val="00134A7E"/>
    <w:rsid w:val="001459FB"/>
    <w:rsid w:val="00146D50"/>
    <w:rsid w:val="00147816"/>
    <w:rsid w:val="00153AB7"/>
    <w:rsid w:val="00153FA4"/>
    <w:rsid w:val="00154A6D"/>
    <w:rsid w:val="00154BBE"/>
    <w:rsid w:val="001612C3"/>
    <w:rsid w:val="001620BA"/>
    <w:rsid w:val="0016316C"/>
    <w:rsid w:val="00163579"/>
    <w:rsid w:val="001638CB"/>
    <w:rsid w:val="00172FAA"/>
    <w:rsid w:val="00173D17"/>
    <w:rsid w:val="00174D35"/>
    <w:rsid w:val="00175259"/>
    <w:rsid w:val="00175BD0"/>
    <w:rsid w:val="001814C2"/>
    <w:rsid w:val="0018499F"/>
    <w:rsid w:val="00192DD1"/>
    <w:rsid w:val="001A1303"/>
    <w:rsid w:val="001A1351"/>
    <w:rsid w:val="001A1558"/>
    <w:rsid w:val="001A39BB"/>
    <w:rsid w:val="001A3B04"/>
    <w:rsid w:val="001A3B36"/>
    <w:rsid w:val="001A436F"/>
    <w:rsid w:val="001A654A"/>
    <w:rsid w:val="001A792F"/>
    <w:rsid w:val="001B0192"/>
    <w:rsid w:val="001B1166"/>
    <w:rsid w:val="001B1670"/>
    <w:rsid w:val="001B4A0C"/>
    <w:rsid w:val="001C09FC"/>
    <w:rsid w:val="001C3081"/>
    <w:rsid w:val="001C77E5"/>
    <w:rsid w:val="001C7B93"/>
    <w:rsid w:val="001C7E77"/>
    <w:rsid w:val="001D01D8"/>
    <w:rsid w:val="001D01E4"/>
    <w:rsid w:val="001D08FE"/>
    <w:rsid w:val="001D3432"/>
    <w:rsid w:val="001D3CE6"/>
    <w:rsid w:val="001D5564"/>
    <w:rsid w:val="001E1A3C"/>
    <w:rsid w:val="001E22D3"/>
    <w:rsid w:val="001E6879"/>
    <w:rsid w:val="001E6EDA"/>
    <w:rsid w:val="001F0320"/>
    <w:rsid w:val="001F0BA0"/>
    <w:rsid w:val="001F3626"/>
    <w:rsid w:val="001F41DD"/>
    <w:rsid w:val="001F5952"/>
    <w:rsid w:val="00203C16"/>
    <w:rsid w:val="00203E03"/>
    <w:rsid w:val="002052D6"/>
    <w:rsid w:val="00205C44"/>
    <w:rsid w:val="00207517"/>
    <w:rsid w:val="00210043"/>
    <w:rsid w:val="00211FA8"/>
    <w:rsid w:val="00216270"/>
    <w:rsid w:val="00216E79"/>
    <w:rsid w:val="00217AC2"/>
    <w:rsid w:val="002218FB"/>
    <w:rsid w:val="00221A3F"/>
    <w:rsid w:val="00221ED3"/>
    <w:rsid w:val="002235BE"/>
    <w:rsid w:val="00224B6B"/>
    <w:rsid w:val="00230985"/>
    <w:rsid w:val="0023183F"/>
    <w:rsid w:val="00234C3D"/>
    <w:rsid w:val="002373E3"/>
    <w:rsid w:val="00237C86"/>
    <w:rsid w:val="00240360"/>
    <w:rsid w:val="00251684"/>
    <w:rsid w:val="00252000"/>
    <w:rsid w:val="0025496E"/>
    <w:rsid w:val="00255A19"/>
    <w:rsid w:val="0026371C"/>
    <w:rsid w:val="00263C88"/>
    <w:rsid w:val="002646CC"/>
    <w:rsid w:val="0026470E"/>
    <w:rsid w:val="0026744A"/>
    <w:rsid w:val="002678CD"/>
    <w:rsid w:val="00267BB0"/>
    <w:rsid w:val="00270FFF"/>
    <w:rsid w:val="00271086"/>
    <w:rsid w:val="00272BB0"/>
    <w:rsid w:val="00272D81"/>
    <w:rsid w:val="00274A6C"/>
    <w:rsid w:val="00280AB8"/>
    <w:rsid w:val="00282C57"/>
    <w:rsid w:val="002834FE"/>
    <w:rsid w:val="002848CD"/>
    <w:rsid w:val="00286735"/>
    <w:rsid w:val="002871B7"/>
    <w:rsid w:val="00290B05"/>
    <w:rsid w:val="0029308D"/>
    <w:rsid w:val="00293629"/>
    <w:rsid w:val="002A38AB"/>
    <w:rsid w:val="002A5CD2"/>
    <w:rsid w:val="002A6756"/>
    <w:rsid w:val="002A6C3B"/>
    <w:rsid w:val="002B5AC5"/>
    <w:rsid w:val="002B61BA"/>
    <w:rsid w:val="002B723A"/>
    <w:rsid w:val="002B75D8"/>
    <w:rsid w:val="002C0A46"/>
    <w:rsid w:val="002C0A77"/>
    <w:rsid w:val="002C0B42"/>
    <w:rsid w:val="002C2554"/>
    <w:rsid w:val="002C30CB"/>
    <w:rsid w:val="002C44A7"/>
    <w:rsid w:val="002C5E74"/>
    <w:rsid w:val="002C7EE6"/>
    <w:rsid w:val="002D1C40"/>
    <w:rsid w:val="002D3B57"/>
    <w:rsid w:val="002D487C"/>
    <w:rsid w:val="002E1055"/>
    <w:rsid w:val="002E2ACD"/>
    <w:rsid w:val="002E2D52"/>
    <w:rsid w:val="002E40EB"/>
    <w:rsid w:val="002E46FB"/>
    <w:rsid w:val="002E4A88"/>
    <w:rsid w:val="002E74CB"/>
    <w:rsid w:val="002E758A"/>
    <w:rsid w:val="002F34EB"/>
    <w:rsid w:val="002F50DC"/>
    <w:rsid w:val="002F77F0"/>
    <w:rsid w:val="003014E4"/>
    <w:rsid w:val="00301A72"/>
    <w:rsid w:val="00305F1A"/>
    <w:rsid w:val="00306807"/>
    <w:rsid w:val="003079A3"/>
    <w:rsid w:val="00310CB2"/>
    <w:rsid w:val="00312301"/>
    <w:rsid w:val="00316A01"/>
    <w:rsid w:val="0031708D"/>
    <w:rsid w:val="0032262C"/>
    <w:rsid w:val="003254CB"/>
    <w:rsid w:val="00325CFA"/>
    <w:rsid w:val="00326C5E"/>
    <w:rsid w:val="00327860"/>
    <w:rsid w:val="0033032D"/>
    <w:rsid w:val="00331CF8"/>
    <w:rsid w:val="00332E02"/>
    <w:rsid w:val="00333E6E"/>
    <w:rsid w:val="00335C6D"/>
    <w:rsid w:val="003436A5"/>
    <w:rsid w:val="00356347"/>
    <w:rsid w:val="00356FBB"/>
    <w:rsid w:val="00361EB5"/>
    <w:rsid w:val="003632A4"/>
    <w:rsid w:val="003646BB"/>
    <w:rsid w:val="003659CE"/>
    <w:rsid w:val="003664E1"/>
    <w:rsid w:val="0036651B"/>
    <w:rsid w:val="00371694"/>
    <w:rsid w:val="003739C2"/>
    <w:rsid w:val="003746F4"/>
    <w:rsid w:val="00374D37"/>
    <w:rsid w:val="00375968"/>
    <w:rsid w:val="00375C34"/>
    <w:rsid w:val="00376307"/>
    <w:rsid w:val="003823CD"/>
    <w:rsid w:val="00382794"/>
    <w:rsid w:val="00384C32"/>
    <w:rsid w:val="00390E51"/>
    <w:rsid w:val="00391D6B"/>
    <w:rsid w:val="003A4172"/>
    <w:rsid w:val="003A497C"/>
    <w:rsid w:val="003A69FB"/>
    <w:rsid w:val="003A7975"/>
    <w:rsid w:val="003A7BC5"/>
    <w:rsid w:val="003A7F74"/>
    <w:rsid w:val="003B1EFE"/>
    <w:rsid w:val="003B2E48"/>
    <w:rsid w:val="003B361C"/>
    <w:rsid w:val="003B42B6"/>
    <w:rsid w:val="003B5090"/>
    <w:rsid w:val="003B6084"/>
    <w:rsid w:val="003B6866"/>
    <w:rsid w:val="003C16C8"/>
    <w:rsid w:val="003C20D5"/>
    <w:rsid w:val="003C23CD"/>
    <w:rsid w:val="003C3EE8"/>
    <w:rsid w:val="003C4D26"/>
    <w:rsid w:val="003C4D86"/>
    <w:rsid w:val="003C736C"/>
    <w:rsid w:val="003C7622"/>
    <w:rsid w:val="003C7C4E"/>
    <w:rsid w:val="003D21D8"/>
    <w:rsid w:val="003D315A"/>
    <w:rsid w:val="003D5913"/>
    <w:rsid w:val="003D59A3"/>
    <w:rsid w:val="003D66DE"/>
    <w:rsid w:val="003E01B8"/>
    <w:rsid w:val="003E0294"/>
    <w:rsid w:val="003E0AB9"/>
    <w:rsid w:val="003E0F27"/>
    <w:rsid w:val="003E3A24"/>
    <w:rsid w:val="003E3E8E"/>
    <w:rsid w:val="003E4CD6"/>
    <w:rsid w:val="003E55B3"/>
    <w:rsid w:val="003E6894"/>
    <w:rsid w:val="003E77A0"/>
    <w:rsid w:val="003F1BB5"/>
    <w:rsid w:val="003F23A8"/>
    <w:rsid w:val="003F2850"/>
    <w:rsid w:val="003F28F3"/>
    <w:rsid w:val="00402049"/>
    <w:rsid w:val="004028F1"/>
    <w:rsid w:val="00403D11"/>
    <w:rsid w:val="00406CB8"/>
    <w:rsid w:val="0040728B"/>
    <w:rsid w:val="00422C9E"/>
    <w:rsid w:val="0042481B"/>
    <w:rsid w:val="00424B41"/>
    <w:rsid w:val="00426B37"/>
    <w:rsid w:val="00426DA7"/>
    <w:rsid w:val="00427475"/>
    <w:rsid w:val="00430183"/>
    <w:rsid w:val="004308A7"/>
    <w:rsid w:val="00431469"/>
    <w:rsid w:val="004317CE"/>
    <w:rsid w:val="00433CC8"/>
    <w:rsid w:val="00436C74"/>
    <w:rsid w:val="00440D16"/>
    <w:rsid w:val="00443CA7"/>
    <w:rsid w:val="00444088"/>
    <w:rsid w:val="00444388"/>
    <w:rsid w:val="0044462E"/>
    <w:rsid w:val="00444DA0"/>
    <w:rsid w:val="00445E4C"/>
    <w:rsid w:val="004476FE"/>
    <w:rsid w:val="00447B67"/>
    <w:rsid w:val="00447BED"/>
    <w:rsid w:val="00452BC8"/>
    <w:rsid w:val="004605B2"/>
    <w:rsid w:val="004608E7"/>
    <w:rsid w:val="00461B66"/>
    <w:rsid w:val="004624F4"/>
    <w:rsid w:val="0046266E"/>
    <w:rsid w:val="00463F06"/>
    <w:rsid w:val="00464966"/>
    <w:rsid w:val="004653E2"/>
    <w:rsid w:val="00467B3F"/>
    <w:rsid w:val="00470C6D"/>
    <w:rsid w:val="00470E5C"/>
    <w:rsid w:val="0047166D"/>
    <w:rsid w:val="00472280"/>
    <w:rsid w:val="0047394B"/>
    <w:rsid w:val="004761D1"/>
    <w:rsid w:val="00476E47"/>
    <w:rsid w:val="00476E9A"/>
    <w:rsid w:val="004804C5"/>
    <w:rsid w:val="004808A2"/>
    <w:rsid w:val="0048118B"/>
    <w:rsid w:val="00481299"/>
    <w:rsid w:val="00482672"/>
    <w:rsid w:val="00486DBB"/>
    <w:rsid w:val="0048759B"/>
    <w:rsid w:val="004905AD"/>
    <w:rsid w:val="00494D56"/>
    <w:rsid w:val="00497445"/>
    <w:rsid w:val="00497AEE"/>
    <w:rsid w:val="004A0954"/>
    <w:rsid w:val="004A3C5C"/>
    <w:rsid w:val="004A60F2"/>
    <w:rsid w:val="004A7297"/>
    <w:rsid w:val="004A7C00"/>
    <w:rsid w:val="004B466C"/>
    <w:rsid w:val="004B7004"/>
    <w:rsid w:val="004C3A2B"/>
    <w:rsid w:val="004C3E71"/>
    <w:rsid w:val="004C7006"/>
    <w:rsid w:val="004D049F"/>
    <w:rsid w:val="004D4490"/>
    <w:rsid w:val="004D6C0E"/>
    <w:rsid w:val="004D6D69"/>
    <w:rsid w:val="004D70AD"/>
    <w:rsid w:val="004D74E4"/>
    <w:rsid w:val="004E246F"/>
    <w:rsid w:val="004E34AA"/>
    <w:rsid w:val="004E7A1C"/>
    <w:rsid w:val="004F01FC"/>
    <w:rsid w:val="004F1B37"/>
    <w:rsid w:val="004F68B7"/>
    <w:rsid w:val="00500F99"/>
    <w:rsid w:val="00502FD6"/>
    <w:rsid w:val="00505A06"/>
    <w:rsid w:val="005074C6"/>
    <w:rsid w:val="0050789E"/>
    <w:rsid w:val="00511FA5"/>
    <w:rsid w:val="005139E4"/>
    <w:rsid w:val="00516B8B"/>
    <w:rsid w:val="00517D6B"/>
    <w:rsid w:val="005207D4"/>
    <w:rsid w:val="00522C7F"/>
    <w:rsid w:val="00523B17"/>
    <w:rsid w:val="0053068B"/>
    <w:rsid w:val="0053374A"/>
    <w:rsid w:val="00535353"/>
    <w:rsid w:val="005354A2"/>
    <w:rsid w:val="005379FD"/>
    <w:rsid w:val="005435F5"/>
    <w:rsid w:val="00543D46"/>
    <w:rsid w:val="00545B70"/>
    <w:rsid w:val="005474A1"/>
    <w:rsid w:val="00551536"/>
    <w:rsid w:val="00551F71"/>
    <w:rsid w:val="00553321"/>
    <w:rsid w:val="00555632"/>
    <w:rsid w:val="00560B66"/>
    <w:rsid w:val="0056347A"/>
    <w:rsid w:val="0056490D"/>
    <w:rsid w:val="0056634F"/>
    <w:rsid w:val="00566CCC"/>
    <w:rsid w:val="005670C3"/>
    <w:rsid w:val="005677C8"/>
    <w:rsid w:val="0057009C"/>
    <w:rsid w:val="00570847"/>
    <w:rsid w:val="0057354A"/>
    <w:rsid w:val="005739E0"/>
    <w:rsid w:val="0057676D"/>
    <w:rsid w:val="005848F4"/>
    <w:rsid w:val="0058539A"/>
    <w:rsid w:val="00585DB9"/>
    <w:rsid w:val="00586B21"/>
    <w:rsid w:val="0059028E"/>
    <w:rsid w:val="00592F5D"/>
    <w:rsid w:val="00593172"/>
    <w:rsid w:val="00593D7E"/>
    <w:rsid w:val="00595D89"/>
    <w:rsid w:val="005A15CA"/>
    <w:rsid w:val="005A3D4B"/>
    <w:rsid w:val="005A5D3F"/>
    <w:rsid w:val="005A679B"/>
    <w:rsid w:val="005B2B84"/>
    <w:rsid w:val="005B40BE"/>
    <w:rsid w:val="005B4F14"/>
    <w:rsid w:val="005B5794"/>
    <w:rsid w:val="005B66C6"/>
    <w:rsid w:val="005C1214"/>
    <w:rsid w:val="005C2C24"/>
    <w:rsid w:val="005C3F6C"/>
    <w:rsid w:val="005C5341"/>
    <w:rsid w:val="005C5850"/>
    <w:rsid w:val="005C6736"/>
    <w:rsid w:val="005D4730"/>
    <w:rsid w:val="005D4812"/>
    <w:rsid w:val="005D7971"/>
    <w:rsid w:val="005E1539"/>
    <w:rsid w:val="005E1C5B"/>
    <w:rsid w:val="005E1DBB"/>
    <w:rsid w:val="005E4B85"/>
    <w:rsid w:val="005E538C"/>
    <w:rsid w:val="005E57F6"/>
    <w:rsid w:val="005E6606"/>
    <w:rsid w:val="005E7437"/>
    <w:rsid w:val="005F019A"/>
    <w:rsid w:val="005F10C3"/>
    <w:rsid w:val="005F1A34"/>
    <w:rsid w:val="005F5E14"/>
    <w:rsid w:val="005F61A4"/>
    <w:rsid w:val="005F67B4"/>
    <w:rsid w:val="005F7DC2"/>
    <w:rsid w:val="006020E5"/>
    <w:rsid w:val="00603A48"/>
    <w:rsid w:val="00606B31"/>
    <w:rsid w:val="00606E6C"/>
    <w:rsid w:val="00607B91"/>
    <w:rsid w:val="00612261"/>
    <w:rsid w:val="006124DC"/>
    <w:rsid w:val="00613B39"/>
    <w:rsid w:val="00616F05"/>
    <w:rsid w:val="006200BA"/>
    <w:rsid w:val="00620414"/>
    <w:rsid w:val="0062317C"/>
    <w:rsid w:val="00624611"/>
    <w:rsid w:val="00630447"/>
    <w:rsid w:val="00633BD1"/>
    <w:rsid w:val="0063424D"/>
    <w:rsid w:val="00640AD7"/>
    <w:rsid w:val="00640FD6"/>
    <w:rsid w:val="006414F2"/>
    <w:rsid w:val="00642F1B"/>
    <w:rsid w:val="00646705"/>
    <w:rsid w:val="0064695E"/>
    <w:rsid w:val="006475FA"/>
    <w:rsid w:val="0065584F"/>
    <w:rsid w:val="00656911"/>
    <w:rsid w:val="00656FAF"/>
    <w:rsid w:val="006612FF"/>
    <w:rsid w:val="006644D5"/>
    <w:rsid w:val="006649B2"/>
    <w:rsid w:val="0066607A"/>
    <w:rsid w:val="00666522"/>
    <w:rsid w:val="006727A6"/>
    <w:rsid w:val="006777F3"/>
    <w:rsid w:val="00681F3E"/>
    <w:rsid w:val="00682491"/>
    <w:rsid w:val="0068264D"/>
    <w:rsid w:val="0068304E"/>
    <w:rsid w:val="00695E9D"/>
    <w:rsid w:val="00696D27"/>
    <w:rsid w:val="006A0CC3"/>
    <w:rsid w:val="006A4F6D"/>
    <w:rsid w:val="006A7EC8"/>
    <w:rsid w:val="006B082C"/>
    <w:rsid w:val="006B3254"/>
    <w:rsid w:val="006B34A4"/>
    <w:rsid w:val="006B4270"/>
    <w:rsid w:val="006B5869"/>
    <w:rsid w:val="006C7E55"/>
    <w:rsid w:val="006D043B"/>
    <w:rsid w:val="006D257C"/>
    <w:rsid w:val="006D28B3"/>
    <w:rsid w:val="006D47CE"/>
    <w:rsid w:val="006E0149"/>
    <w:rsid w:val="006E0D10"/>
    <w:rsid w:val="006E1C69"/>
    <w:rsid w:val="006E3499"/>
    <w:rsid w:val="006E3C9A"/>
    <w:rsid w:val="006E47E3"/>
    <w:rsid w:val="006E4FE1"/>
    <w:rsid w:val="006E6E79"/>
    <w:rsid w:val="006E7435"/>
    <w:rsid w:val="006F1942"/>
    <w:rsid w:val="006F4CE0"/>
    <w:rsid w:val="006F5AAF"/>
    <w:rsid w:val="006F5F78"/>
    <w:rsid w:val="006F6AD2"/>
    <w:rsid w:val="007013BD"/>
    <w:rsid w:val="00701CD8"/>
    <w:rsid w:val="00702ADE"/>
    <w:rsid w:val="007034CF"/>
    <w:rsid w:val="00703AFD"/>
    <w:rsid w:val="0070494A"/>
    <w:rsid w:val="00705621"/>
    <w:rsid w:val="00706277"/>
    <w:rsid w:val="00710445"/>
    <w:rsid w:val="00710B0C"/>
    <w:rsid w:val="00711385"/>
    <w:rsid w:val="00714583"/>
    <w:rsid w:val="0071458D"/>
    <w:rsid w:val="00714E6D"/>
    <w:rsid w:val="00717337"/>
    <w:rsid w:val="0072780C"/>
    <w:rsid w:val="0073293F"/>
    <w:rsid w:val="007329F8"/>
    <w:rsid w:val="00732BF1"/>
    <w:rsid w:val="007333B2"/>
    <w:rsid w:val="007350B2"/>
    <w:rsid w:val="0073587B"/>
    <w:rsid w:val="00741CCB"/>
    <w:rsid w:val="007456E5"/>
    <w:rsid w:val="00747076"/>
    <w:rsid w:val="00750BF9"/>
    <w:rsid w:val="00750F80"/>
    <w:rsid w:val="00751756"/>
    <w:rsid w:val="007523E2"/>
    <w:rsid w:val="0075254E"/>
    <w:rsid w:val="007547D6"/>
    <w:rsid w:val="00755FF3"/>
    <w:rsid w:val="0075600F"/>
    <w:rsid w:val="00763045"/>
    <w:rsid w:val="00765F0F"/>
    <w:rsid w:val="007673E1"/>
    <w:rsid w:val="00767649"/>
    <w:rsid w:val="00770337"/>
    <w:rsid w:val="00771415"/>
    <w:rsid w:val="00771882"/>
    <w:rsid w:val="00774E05"/>
    <w:rsid w:val="007764A5"/>
    <w:rsid w:val="00776F17"/>
    <w:rsid w:val="00780549"/>
    <w:rsid w:val="00782DD3"/>
    <w:rsid w:val="00783EEF"/>
    <w:rsid w:val="00785E21"/>
    <w:rsid w:val="00791AEE"/>
    <w:rsid w:val="00791D4D"/>
    <w:rsid w:val="00795428"/>
    <w:rsid w:val="00796B0B"/>
    <w:rsid w:val="0079711A"/>
    <w:rsid w:val="00797D64"/>
    <w:rsid w:val="007A24A1"/>
    <w:rsid w:val="007A2984"/>
    <w:rsid w:val="007A3E37"/>
    <w:rsid w:val="007A4539"/>
    <w:rsid w:val="007A4779"/>
    <w:rsid w:val="007A4853"/>
    <w:rsid w:val="007A5717"/>
    <w:rsid w:val="007B22F6"/>
    <w:rsid w:val="007B609B"/>
    <w:rsid w:val="007C1D80"/>
    <w:rsid w:val="007C2A29"/>
    <w:rsid w:val="007C78AC"/>
    <w:rsid w:val="007D0A15"/>
    <w:rsid w:val="007D1338"/>
    <w:rsid w:val="007D1B40"/>
    <w:rsid w:val="007D5214"/>
    <w:rsid w:val="007D6BF0"/>
    <w:rsid w:val="007D7856"/>
    <w:rsid w:val="007E030D"/>
    <w:rsid w:val="007E1DCB"/>
    <w:rsid w:val="007E2545"/>
    <w:rsid w:val="007E46E7"/>
    <w:rsid w:val="007E7C3B"/>
    <w:rsid w:val="007F2C29"/>
    <w:rsid w:val="008046A2"/>
    <w:rsid w:val="00805C87"/>
    <w:rsid w:val="00807DFB"/>
    <w:rsid w:val="00807ED0"/>
    <w:rsid w:val="00814A10"/>
    <w:rsid w:val="00816CE5"/>
    <w:rsid w:val="008179C0"/>
    <w:rsid w:val="00821630"/>
    <w:rsid w:val="00824CBE"/>
    <w:rsid w:val="00826BC0"/>
    <w:rsid w:val="00826CD9"/>
    <w:rsid w:val="00835B23"/>
    <w:rsid w:val="00835F69"/>
    <w:rsid w:val="008361DA"/>
    <w:rsid w:val="0084031E"/>
    <w:rsid w:val="00843BB5"/>
    <w:rsid w:val="008441BE"/>
    <w:rsid w:val="00846711"/>
    <w:rsid w:val="00852BE8"/>
    <w:rsid w:val="00853AF7"/>
    <w:rsid w:val="00853B90"/>
    <w:rsid w:val="008569AE"/>
    <w:rsid w:val="008622B0"/>
    <w:rsid w:val="00867C40"/>
    <w:rsid w:val="008717AE"/>
    <w:rsid w:val="00872389"/>
    <w:rsid w:val="00872615"/>
    <w:rsid w:val="00874DD2"/>
    <w:rsid w:val="0087592E"/>
    <w:rsid w:val="008761BA"/>
    <w:rsid w:val="00880C6D"/>
    <w:rsid w:val="008814F6"/>
    <w:rsid w:val="008829FD"/>
    <w:rsid w:val="00884B87"/>
    <w:rsid w:val="008854E4"/>
    <w:rsid w:val="008909F5"/>
    <w:rsid w:val="0089550E"/>
    <w:rsid w:val="008955C8"/>
    <w:rsid w:val="00896DF7"/>
    <w:rsid w:val="008A11AC"/>
    <w:rsid w:val="008A1A9A"/>
    <w:rsid w:val="008A1B74"/>
    <w:rsid w:val="008A1C21"/>
    <w:rsid w:val="008A2317"/>
    <w:rsid w:val="008A239A"/>
    <w:rsid w:val="008A27AA"/>
    <w:rsid w:val="008A2D9B"/>
    <w:rsid w:val="008A3DEC"/>
    <w:rsid w:val="008B33B4"/>
    <w:rsid w:val="008B49A7"/>
    <w:rsid w:val="008B5048"/>
    <w:rsid w:val="008B67B6"/>
    <w:rsid w:val="008B6ABF"/>
    <w:rsid w:val="008C0650"/>
    <w:rsid w:val="008C1172"/>
    <w:rsid w:val="008C234D"/>
    <w:rsid w:val="008C6D60"/>
    <w:rsid w:val="008D154F"/>
    <w:rsid w:val="008D1730"/>
    <w:rsid w:val="008D2907"/>
    <w:rsid w:val="008D2942"/>
    <w:rsid w:val="008D3EAD"/>
    <w:rsid w:val="008D70CF"/>
    <w:rsid w:val="008E05A1"/>
    <w:rsid w:val="008E0F63"/>
    <w:rsid w:val="008E2738"/>
    <w:rsid w:val="008E68B7"/>
    <w:rsid w:val="008E6988"/>
    <w:rsid w:val="008F4673"/>
    <w:rsid w:val="008F523B"/>
    <w:rsid w:val="008F562B"/>
    <w:rsid w:val="008F6626"/>
    <w:rsid w:val="009008B2"/>
    <w:rsid w:val="00903A42"/>
    <w:rsid w:val="009061F7"/>
    <w:rsid w:val="009072A2"/>
    <w:rsid w:val="00907A18"/>
    <w:rsid w:val="0091495C"/>
    <w:rsid w:val="00917DE3"/>
    <w:rsid w:val="009201C6"/>
    <w:rsid w:val="009203BD"/>
    <w:rsid w:val="00920AF6"/>
    <w:rsid w:val="00921EC0"/>
    <w:rsid w:val="00922F5F"/>
    <w:rsid w:val="00927418"/>
    <w:rsid w:val="009310AC"/>
    <w:rsid w:val="00932AEE"/>
    <w:rsid w:val="009344FD"/>
    <w:rsid w:val="00935DCC"/>
    <w:rsid w:val="00937072"/>
    <w:rsid w:val="00937D42"/>
    <w:rsid w:val="00940D0B"/>
    <w:rsid w:val="00942AE9"/>
    <w:rsid w:val="00942BEB"/>
    <w:rsid w:val="009469C4"/>
    <w:rsid w:val="00950738"/>
    <w:rsid w:val="009553E5"/>
    <w:rsid w:val="00955D05"/>
    <w:rsid w:val="00957574"/>
    <w:rsid w:val="00960D1E"/>
    <w:rsid w:val="009611A6"/>
    <w:rsid w:val="00962C2C"/>
    <w:rsid w:val="00962DE1"/>
    <w:rsid w:val="00965A8E"/>
    <w:rsid w:val="00966A90"/>
    <w:rsid w:val="00970A7F"/>
    <w:rsid w:val="00971096"/>
    <w:rsid w:val="009712B0"/>
    <w:rsid w:val="00971545"/>
    <w:rsid w:val="0097330F"/>
    <w:rsid w:val="00977EFD"/>
    <w:rsid w:val="00984351"/>
    <w:rsid w:val="00987815"/>
    <w:rsid w:val="00987B29"/>
    <w:rsid w:val="009919E8"/>
    <w:rsid w:val="00991C34"/>
    <w:rsid w:val="00991DBE"/>
    <w:rsid w:val="009928D3"/>
    <w:rsid w:val="00993ABC"/>
    <w:rsid w:val="00996E37"/>
    <w:rsid w:val="00997056"/>
    <w:rsid w:val="009A03AE"/>
    <w:rsid w:val="009A197D"/>
    <w:rsid w:val="009A2787"/>
    <w:rsid w:val="009A2EA8"/>
    <w:rsid w:val="009A36BB"/>
    <w:rsid w:val="009B32B3"/>
    <w:rsid w:val="009B48A1"/>
    <w:rsid w:val="009B6EBE"/>
    <w:rsid w:val="009B7060"/>
    <w:rsid w:val="009C5604"/>
    <w:rsid w:val="009C76B2"/>
    <w:rsid w:val="009C7E6A"/>
    <w:rsid w:val="009D0C03"/>
    <w:rsid w:val="009D0F64"/>
    <w:rsid w:val="009D1F90"/>
    <w:rsid w:val="009D3844"/>
    <w:rsid w:val="009E24CE"/>
    <w:rsid w:val="009E29BC"/>
    <w:rsid w:val="009E2FFA"/>
    <w:rsid w:val="009F06D2"/>
    <w:rsid w:val="009F1591"/>
    <w:rsid w:val="009F3C9D"/>
    <w:rsid w:val="009F4381"/>
    <w:rsid w:val="009F5CF2"/>
    <w:rsid w:val="009F718C"/>
    <w:rsid w:val="009F7350"/>
    <w:rsid w:val="00A003F3"/>
    <w:rsid w:val="00A06595"/>
    <w:rsid w:val="00A15776"/>
    <w:rsid w:val="00A169B9"/>
    <w:rsid w:val="00A20679"/>
    <w:rsid w:val="00A22296"/>
    <w:rsid w:val="00A22901"/>
    <w:rsid w:val="00A23AFD"/>
    <w:rsid w:val="00A240FF"/>
    <w:rsid w:val="00A2417D"/>
    <w:rsid w:val="00A25697"/>
    <w:rsid w:val="00A30B2A"/>
    <w:rsid w:val="00A31256"/>
    <w:rsid w:val="00A324C0"/>
    <w:rsid w:val="00A44A75"/>
    <w:rsid w:val="00A47BAE"/>
    <w:rsid w:val="00A50B2E"/>
    <w:rsid w:val="00A51B71"/>
    <w:rsid w:val="00A5264E"/>
    <w:rsid w:val="00A52948"/>
    <w:rsid w:val="00A56DCA"/>
    <w:rsid w:val="00A5721A"/>
    <w:rsid w:val="00A606AB"/>
    <w:rsid w:val="00A669E5"/>
    <w:rsid w:val="00A70611"/>
    <w:rsid w:val="00A747CA"/>
    <w:rsid w:val="00A75E2B"/>
    <w:rsid w:val="00A7695F"/>
    <w:rsid w:val="00A8091F"/>
    <w:rsid w:val="00A82DA2"/>
    <w:rsid w:val="00A83EC8"/>
    <w:rsid w:val="00A855AA"/>
    <w:rsid w:val="00A87845"/>
    <w:rsid w:val="00A87E22"/>
    <w:rsid w:val="00A87E80"/>
    <w:rsid w:val="00A9197D"/>
    <w:rsid w:val="00A92A65"/>
    <w:rsid w:val="00A9503A"/>
    <w:rsid w:val="00A96CBC"/>
    <w:rsid w:val="00AA027F"/>
    <w:rsid w:val="00AA0E01"/>
    <w:rsid w:val="00AA0EC9"/>
    <w:rsid w:val="00AA272B"/>
    <w:rsid w:val="00AA31AD"/>
    <w:rsid w:val="00AA366A"/>
    <w:rsid w:val="00AA67B8"/>
    <w:rsid w:val="00AB0723"/>
    <w:rsid w:val="00AB0906"/>
    <w:rsid w:val="00AB0B56"/>
    <w:rsid w:val="00AB2115"/>
    <w:rsid w:val="00AB2152"/>
    <w:rsid w:val="00AB2238"/>
    <w:rsid w:val="00AB4CA7"/>
    <w:rsid w:val="00AB53AD"/>
    <w:rsid w:val="00AB59B6"/>
    <w:rsid w:val="00AB608D"/>
    <w:rsid w:val="00AB62AF"/>
    <w:rsid w:val="00AC4142"/>
    <w:rsid w:val="00AC7B92"/>
    <w:rsid w:val="00AD34B6"/>
    <w:rsid w:val="00AD3B92"/>
    <w:rsid w:val="00AD666C"/>
    <w:rsid w:val="00AD7738"/>
    <w:rsid w:val="00AE1C23"/>
    <w:rsid w:val="00AE3EB5"/>
    <w:rsid w:val="00AE43D0"/>
    <w:rsid w:val="00AF18F2"/>
    <w:rsid w:val="00AF20D0"/>
    <w:rsid w:val="00AF2627"/>
    <w:rsid w:val="00AF437D"/>
    <w:rsid w:val="00AF4C4C"/>
    <w:rsid w:val="00AF5BE1"/>
    <w:rsid w:val="00AF61A6"/>
    <w:rsid w:val="00B00B8F"/>
    <w:rsid w:val="00B01484"/>
    <w:rsid w:val="00B01C9E"/>
    <w:rsid w:val="00B0278F"/>
    <w:rsid w:val="00B04C66"/>
    <w:rsid w:val="00B057AE"/>
    <w:rsid w:val="00B07189"/>
    <w:rsid w:val="00B07D40"/>
    <w:rsid w:val="00B10902"/>
    <w:rsid w:val="00B12471"/>
    <w:rsid w:val="00B14488"/>
    <w:rsid w:val="00B20306"/>
    <w:rsid w:val="00B22CFB"/>
    <w:rsid w:val="00B27395"/>
    <w:rsid w:val="00B30F23"/>
    <w:rsid w:val="00B310BD"/>
    <w:rsid w:val="00B31191"/>
    <w:rsid w:val="00B3247F"/>
    <w:rsid w:val="00B33782"/>
    <w:rsid w:val="00B34DAB"/>
    <w:rsid w:val="00B35D2F"/>
    <w:rsid w:val="00B37016"/>
    <w:rsid w:val="00B41651"/>
    <w:rsid w:val="00B433F5"/>
    <w:rsid w:val="00B476E0"/>
    <w:rsid w:val="00B5064B"/>
    <w:rsid w:val="00B5092C"/>
    <w:rsid w:val="00B5161D"/>
    <w:rsid w:val="00B518B5"/>
    <w:rsid w:val="00B52483"/>
    <w:rsid w:val="00B52F53"/>
    <w:rsid w:val="00B53EBD"/>
    <w:rsid w:val="00B554C3"/>
    <w:rsid w:val="00B56FD3"/>
    <w:rsid w:val="00B61C6F"/>
    <w:rsid w:val="00B630C1"/>
    <w:rsid w:val="00B63536"/>
    <w:rsid w:val="00B6501F"/>
    <w:rsid w:val="00B66E9A"/>
    <w:rsid w:val="00B700E6"/>
    <w:rsid w:val="00B70C82"/>
    <w:rsid w:val="00B7166C"/>
    <w:rsid w:val="00B7321E"/>
    <w:rsid w:val="00B738ED"/>
    <w:rsid w:val="00B81016"/>
    <w:rsid w:val="00B813BC"/>
    <w:rsid w:val="00B8175B"/>
    <w:rsid w:val="00B82DBF"/>
    <w:rsid w:val="00B83B34"/>
    <w:rsid w:val="00B85E9D"/>
    <w:rsid w:val="00B87BD3"/>
    <w:rsid w:val="00B87FA1"/>
    <w:rsid w:val="00B903EF"/>
    <w:rsid w:val="00B94291"/>
    <w:rsid w:val="00B945D0"/>
    <w:rsid w:val="00B95763"/>
    <w:rsid w:val="00B95809"/>
    <w:rsid w:val="00B95BA6"/>
    <w:rsid w:val="00B95C71"/>
    <w:rsid w:val="00B97788"/>
    <w:rsid w:val="00BA1EC3"/>
    <w:rsid w:val="00BA3BA8"/>
    <w:rsid w:val="00BA436E"/>
    <w:rsid w:val="00BA5828"/>
    <w:rsid w:val="00BA627B"/>
    <w:rsid w:val="00BB1199"/>
    <w:rsid w:val="00BB22A0"/>
    <w:rsid w:val="00BB2550"/>
    <w:rsid w:val="00BB36BB"/>
    <w:rsid w:val="00BB4E5E"/>
    <w:rsid w:val="00BB5C70"/>
    <w:rsid w:val="00BB62DA"/>
    <w:rsid w:val="00BC2D94"/>
    <w:rsid w:val="00BC4D6A"/>
    <w:rsid w:val="00BC6DB4"/>
    <w:rsid w:val="00BC7B07"/>
    <w:rsid w:val="00BC7DB0"/>
    <w:rsid w:val="00BC7DED"/>
    <w:rsid w:val="00BD1283"/>
    <w:rsid w:val="00BD24AC"/>
    <w:rsid w:val="00BD303D"/>
    <w:rsid w:val="00BD5D5F"/>
    <w:rsid w:val="00BD6CC2"/>
    <w:rsid w:val="00BE117A"/>
    <w:rsid w:val="00BE2BDF"/>
    <w:rsid w:val="00BE7BD2"/>
    <w:rsid w:val="00BF0F2F"/>
    <w:rsid w:val="00BF2A46"/>
    <w:rsid w:val="00BF3085"/>
    <w:rsid w:val="00BF323B"/>
    <w:rsid w:val="00BF3AC1"/>
    <w:rsid w:val="00BF40E1"/>
    <w:rsid w:val="00BF4812"/>
    <w:rsid w:val="00BF542B"/>
    <w:rsid w:val="00BF5567"/>
    <w:rsid w:val="00C00DFE"/>
    <w:rsid w:val="00C05263"/>
    <w:rsid w:val="00C05AED"/>
    <w:rsid w:val="00C07272"/>
    <w:rsid w:val="00C13A59"/>
    <w:rsid w:val="00C158B5"/>
    <w:rsid w:val="00C16286"/>
    <w:rsid w:val="00C16CF0"/>
    <w:rsid w:val="00C209B8"/>
    <w:rsid w:val="00C21467"/>
    <w:rsid w:val="00C223DC"/>
    <w:rsid w:val="00C22C89"/>
    <w:rsid w:val="00C26998"/>
    <w:rsid w:val="00C269F9"/>
    <w:rsid w:val="00C311DA"/>
    <w:rsid w:val="00C335F3"/>
    <w:rsid w:val="00C40441"/>
    <w:rsid w:val="00C410D2"/>
    <w:rsid w:val="00C43AF7"/>
    <w:rsid w:val="00C43E62"/>
    <w:rsid w:val="00C441D6"/>
    <w:rsid w:val="00C46CF1"/>
    <w:rsid w:val="00C47F84"/>
    <w:rsid w:val="00C50C81"/>
    <w:rsid w:val="00C53F48"/>
    <w:rsid w:val="00C541DC"/>
    <w:rsid w:val="00C567FB"/>
    <w:rsid w:val="00C571D8"/>
    <w:rsid w:val="00C57507"/>
    <w:rsid w:val="00C62370"/>
    <w:rsid w:val="00C623C2"/>
    <w:rsid w:val="00C6344E"/>
    <w:rsid w:val="00C63757"/>
    <w:rsid w:val="00C64CEE"/>
    <w:rsid w:val="00C64DD2"/>
    <w:rsid w:val="00C659FE"/>
    <w:rsid w:val="00C66834"/>
    <w:rsid w:val="00C72A55"/>
    <w:rsid w:val="00C765C4"/>
    <w:rsid w:val="00C7794E"/>
    <w:rsid w:val="00C80788"/>
    <w:rsid w:val="00C8156A"/>
    <w:rsid w:val="00C81A0C"/>
    <w:rsid w:val="00C82241"/>
    <w:rsid w:val="00C83D8F"/>
    <w:rsid w:val="00C868DF"/>
    <w:rsid w:val="00C910F0"/>
    <w:rsid w:val="00C91490"/>
    <w:rsid w:val="00C92EA5"/>
    <w:rsid w:val="00C957A9"/>
    <w:rsid w:val="00C969EF"/>
    <w:rsid w:val="00C97646"/>
    <w:rsid w:val="00CA3A6A"/>
    <w:rsid w:val="00CA3C0A"/>
    <w:rsid w:val="00CA45F7"/>
    <w:rsid w:val="00CA6EEF"/>
    <w:rsid w:val="00CA7CC2"/>
    <w:rsid w:val="00CA7FFA"/>
    <w:rsid w:val="00CB0DA2"/>
    <w:rsid w:val="00CB2979"/>
    <w:rsid w:val="00CB49A9"/>
    <w:rsid w:val="00CB5105"/>
    <w:rsid w:val="00CB5655"/>
    <w:rsid w:val="00CB76BB"/>
    <w:rsid w:val="00CB79BB"/>
    <w:rsid w:val="00CB7BB6"/>
    <w:rsid w:val="00CB7D35"/>
    <w:rsid w:val="00CC0E0E"/>
    <w:rsid w:val="00CC218C"/>
    <w:rsid w:val="00CC25E6"/>
    <w:rsid w:val="00CC3543"/>
    <w:rsid w:val="00CC4411"/>
    <w:rsid w:val="00CC7ABB"/>
    <w:rsid w:val="00CD005E"/>
    <w:rsid w:val="00CD331E"/>
    <w:rsid w:val="00CD4707"/>
    <w:rsid w:val="00CD5ADC"/>
    <w:rsid w:val="00CD6B33"/>
    <w:rsid w:val="00CE0316"/>
    <w:rsid w:val="00CE27F9"/>
    <w:rsid w:val="00CE3BEF"/>
    <w:rsid w:val="00CE422A"/>
    <w:rsid w:val="00CE44F7"/>
    <w:rsid w:val="00CE4780"/>
    <w:rsid w:val="00CE5044"/>
    <w:rsid w:val="00CE7C81"/>
    <w:rsid w:val="00CF0662"/>
    <w:rsid w:val="00CF181A"/>
    <w:rsid w:val="00CF1FDF"/>
    <w:rsid w:val="00CF26E6"/>
    <w:rsid w:val="00CF4AC3"/>
    <w:rsid w:val="00CF6244"/>
    <w:rsid w:val="00D005B7"/>
    <w:rsid w:val="00D00761"/>
    <w:rsid w:val="00D00D88"/>
    <w:rsid w:val="00D02793"/>
    <w:rsid w:val="00D0440D"/>
    <w:rsid w:val="00D053DC"/>
    <w:rsid w:val="00D05F43"/>
    <w:rsid w:val="00D06434"/>
    <w:rsid w:val="00D07C9F"/>
    <w:rsid w:val="00D125F1"/>
    <w:rsid w:val="00D14105"/>
    <w:rsid w:val="00D14CEB"/>
    <w:rsid w:val="00D17AF5"/>
    <w:rsid w:val="00D20139"/>
    <w:rsid w:val="00D21061"/>
    <w:rsid w:val="00D217A3"/>
    <w:rsid w:val="00D3015C"/>
    <w:rsid w:val="00D30C07"/>
    <w:rsid w:val="00D32B73"/>
    <w:rsid w:val="00D3303B"/>
    <w:rsid w:val="00D33B92"/>
    <w:rsid w:val="00D35A71"/>
    <w:rsid w:val="00D36561"/>
    <w:rsid w:val="00D401CC"/>
    <w:rsid w:val="00D40C13"/>
    <w:rsid w:val="00D41481"/>
    <w:rsid w:val="00D42135"/>
    <w:rsid w:val="00D44F59"/>
    <w:rsid w:val="00D45B4F"/>
    <w:rsid w:val="00D462AC"/>
    <w:rsid w:val="00D467BC"/>
    <w:rsid w:val="00D46BAA"/>
    <w:rsid w:val="00D47736"/>
    <w:rsid w:val="00D47B50"/>
    <w:rsid w:val="00D50015"/>
    <w:rsid w:val="00D5204D"/>
    <w:rsid w:val="00D53133"/>
    <w:rsid w:val="00D53B4F"/>
    <w:rsid w:val="00D63DDA"/>
    <w:rsid w:val="00D64CC6"/>
    <w:rsid w:val="00D6761B"/>
    <w:rsid w:val="00D731E6"/>
    <w:rsid w:val="00D766A3"/>
    <w:rsid w:val="00D76840"/>
    <w:rsid w:val="00D76C9E"/>
    <w:rsid w:val="00D77727"/>
    <w:rsid w:val="00D847B8"/>
    <w:rsid w:val="00D84AAE"/>
    <w:rsid w:val="00D85FB1"/>
    <w:rsid w:val="00D87375"/>
    <w:rsid w:val="00D9374D"/>
    <w:rsid w:val="00D93750"/>
    <w:rsid w:val="00D93A27"/>
    <w:rsid w:val="00D97224"/>
    <w:rsid w:val="00DA2FDC"/>
    <w:rsid w:val="00DA552D"/>
    <w:rsid w:val="00DA757F"/>
    <w:rsid w:val="00DB103E"/>
    <w:rsid w:val="00DB39EF"/>
    <w:rsid w:val="00DB478D"/>
    <w:rsid w:val="00DB525C"/>
    <w:rsid w:val="00DB54BF"/>
    <w:rsid w:val="00DC0FFF"/>
    <w:rsid w:val="00DC2A66"/>
    <w:rsid w:val="00DC31EA"/>
    <w:rsid w:val="00DC4CD3"/>
    <w:rsid w:val="00DC4E53"/>
    <w:rsid w:val="00DC5F0C"/>
    <w:rsid w:val="00DC6589"/>
    <w:rsid w:val="00DD0AA0"/>
    <w:rsid w:val="00DD0BDE"/>
    <w:rsid w:val="00DD0D19"/>
    <w:rsid w:val="00DD0E49"/>
    <w:rsid w:val="00DD142E"/>
    <w:rsid w:val="00DD2162"/>
    <w:rsid w:val="00DD34F0"/>
    <w:rsid w:val="00DD49DD"/>
    <w:rsid w:val="00DD51D6"/>
    <w:rsid w:val="00DD5AF9"/>
    <w:rsid w:val="00DD6632"/>
    <w:rsid w:val="00DD6E41"/>
    <w:rsid w:val="00DD73CD"/>
    <w:rsid w:val="00DE0C89"/>
    <w:rsid w:val="00DE1833"/>
    <w:rsid w:val="00DE1D15"/>
    <w:rsid w:val="00DE2DD2"/>
    <w:rsid w:val="00DE3406"/>
    <w:rsid w:val="00DE3DCB"/>
    <w:rsid w:val="00DE4F81"/>
    <w:rsid w:val="00DE587D"/>
    <w:rsid w:val="00DE5C31"/>
    <w:rsid w:val="00DE65F1"/>
    <w:rsid w:val="00DE72D7"/>
    <w:rsid w:val="00DE7A57"/>
    <w:rsid w:val="00DF0787"/>
    <w:rsid w:val="00DF11FD"/>
    <w:rsid w:val="00DF22AC"/>
    <w:rsid w:val="00E00739"/>
    <w:rsid w:val="00E016F3"/>
    <w:rsid w:val="00E0279A"/>
    <w:rsid w:val="00E068F7"/>
    <w:rsid w:val="00E10AC6"/>
    <w:rsid w:val="00E1276D"/>
    <w:rsid w:val="00E12D1C"/>
    <w:rsid w:val="00E14693"/>
    <w:rsid w:val="00E16761"/>
    <w:rsid w:val="00E1695C"/>
    <w:rsid w:val="00E17632"/>
    <w:rsid w:val="00E17657"/>
    <w:rsid w:val="00E221DB"/>
    <w:rsid w:val="00E24D00"/>
    <w:rsid w:val="00E24DF3"/>
    <w:rsid w:val="00E24F0F"/>
    <w:rsid w:val="00E266F6"/>
    <w:rsid w:val="00E27C2F"/>
    <w:rsid w:val="00E32866"/>
    <w:rsid w:val="00E330F0"/>
    <w:rsid w:val="00E33A1E"/>
    <w:rsid w:val="00E33AF1"/>
    <w:rsid w:val="00E351F1"/>
    <w:rsid w:val="00E36068"/>
    <w:rsid w:val="00E36456"/>
    <w:rsid w:val="00E365C0"/>
    <w:rsid w:val="00E4527E"/>
    <w:rsid w:val="00E45E43"/>
    <w:rsid w:val="00E46886"/>
    <w:rsid w:val="00E54FD4"/>
    <w:rsid w:val="00E5614D"/>
    <w:rsid w:val="00E56EB2"/>
    <w:rsid w:val="00E5736B"/>
    <w:rsid w:val="00E57E11"/>
    <w:rsid w:val="00E6163B"/>
    <w:rsid w:val="00E61E0A"/>
    <w:rsid w:val="00E65A98"/>
    <w:rsid w:val="00E66BCF"/>
    <w:rsid w:val="00E67874"/>
    <w:rsid w:val="00E732E9"/>
    <w:rsid w:val="00E74033"/>
    <w:rsid w:val="00E754AA"/>
    <w:rsid w:val="00E75EC3"/>
    <w:rsid w:val="00E84776"/>
    <w:rsid w:val="00E862DD"/>
    <w:rsid w:val="00E87CD0"/>
    <w:rsid w:val="00E9068F"/>
    <w:rsid w:val="00E92165"/>
    <w:rsid w:val="00E93080"/>
    <w:rsid w:val="00E9342A"/>
    <w:rsid w:val="00E95C2E"/>
    <w:rsid w:val="00E97871"/>
    <w:rsid w:val="00EA024F"/>
    <w:rsid w:val="00EA0459"/>
    <w:rsid w:val="00EA1AA4"/>
    <w:rsid w:val="00EA4151"/>
    <w:rsid w:val="00EA55DD"/>
    <w:rsid w:val="00EA7BAC"/>
    <w:rsid w:val="00EB33B6"/>
    <w:rsid w:val="00EB5C31"/>
    <w:rsid w:val="00EB5D4C"/>
    <w:rsid w:val="00EB773E"/>
    <w:rsid w:val="00EB7A2D"/>
    <w:rsid w:val="00EC0447"/>
    <w:rsid w:val="00EC0F5C"/>
    <w:rsid w:val="00EC2F9E"/>
    <w:rsid w:val="00EC39B2"/>
    <w:rsid w:val="00EC4DD6"/>
    <w:rsid w:val="00EC5639"/>
    <w:rsid w:val="00EC6109"/>
    <w:rsid w:val="00EC67AE"/>
    <w:rsid w:val="00ED069A"/>
    <w:rsid w:val="00ED1602"/>
    <w:rsid w:val="00ED516F"/>
    <w:rsid w:val="00ED6581"/>
    <w:rsid w:val="00EE00B8"/>
    <w:rsid w:val="00EE1360"/>
    <w:rsid w:val="00EE3357"/>
    <w:rsid w:val="00EE56CB"/>
    <w:rsid w:val="00EE5E31"/>
    <w:rsid w:val="00EE6293"/>
    <w:rsid w:val="00EF1E14"/>
    <w:rsid w:val="00EF2DBD"/>
    <w:rsid w:val="00EF32B3"/>
    <w:rsid w:val="00EF466B"/>
    <w:rsid w:val="00EF4F9D"/>
    <w:rsid w:val="00EF6912"/>
    <w:rsid w:val="00EF6EE7"/>
    <w:rsid w:val="00F03E76"/>
    <w:rsid w:val="00F03EA1"/>
    <w:rsid w:val="00F04B21"/>
    <w:rsid w:val="00F055DB"/>
    <w:rsid w:val="00F0730A"/>
    <w:rsid w:val="00F10A27"/>
    <w:rsid w:val="00F10B25"/>
    <w:rsid w:val="00F1184B"/>
    <w:rsid w:val="00F13B77"/>
    <w:rsid w:val="00F147A4"/>
    <w:rsid w:val="00F15A09"/>
    <w:rsid w:val="00F15F39"/>
    <w:rsid w:val="00F17B9D"/>
    <w:rsid w:val="00F216DF"/>
    <w:rsid w:val="00F2213A"/>
    <w:rsid w:val="00F24525"/>
    <w:rsid w:val="00F253B8"/>
    <w:rsid w:val="00F2542F"/>
    <w:rsid w:val="00F266A1"/>
    <w:rsid w:val="00F27C51"/>
    <w:rsid w:val="00F3458E"/>
    <w:rsid w:val="00F3696C"/>
    <w:rsid w:val="00F36EB6"/>
    <w:rsid w:val="00F41715"/>
    <w:rsid w:val="00F42B71"/>
    <w:rsid w:val="00F4364E"/>
    <w:rsid w:val="00F45E65"/>
    <w:rsid w:val="00F4766E"/>
    <w:rsid w:val="00F47D88"/>
    <w:rsid w:val="00F50F8C"/>
    <w:rsid w:val="00F51193"/>
    <w:rsid w:val="00F5273B"/>
    <w:rsid w:val="00F53983"/>
    <w:rsid w:val="00F5751C"/>
    <w:rsid w:val="00F603C2"/>
    <w:rsid w:val="00F60CC8"/>
    <w:rsid w:val="00F64735"/>
    <w:rsid w:val="00F70020"/>
    <w:rsid w:val="00F70EA6"/>
    <w:rsid w:val="00F72475"/>
    <w:rsid w:val="00F727F9"/>
    <w:rsid w:val="00F74705"/>
    <w:rsid w:val="00F74972"/>
    <w:rsid w:val="00F74F1D"/>
    <w:rsid w:val="00F75E73"/>
    <w:rsid w:val="00F7695F"/>
    <w:rsid w:val="00F7783D"/>
    <w:rsid w:val="00F82038"/>
    <w:rsid w:val="00F82FFA"/>
    <w:rsid w:val="00F83235"/>
    <w:rsid w:val="00F8396A"/>
    <w:rsid w:val="00F848AA"/>
    <w:rsid w:val="00F84A00"/>
    <w:rsid w:val="00F85A68"/>
    <w:rsid w:val="00F9200B"/>
    <w:rsid w:val="00F935C2"/>
    <w:rsid w:val="00F95919"/>
    <w:rsid w:val="00F972D8"/>
    <w:rsid w:val="00FA0BB5"/>
    <w:rsid w:val="00FA1C59"/>
    <w:rsid w:val="00FA4B44"/>
    <w:rsid w:val="00FA5607"/>
    <w:rsid w:val="00FA6E8C"/>
    <w:rsid w:val="00FA709A"/>
    <w:rsid w:val="00FB0525"/>
    <w:rsid w:val="00FB07F4"/>
    <w:rsid w:val="00FB0EB0"/>
    <w:rsid w:val="00FB1673"/>
    <w:rsid w:val="00FB215A"/>
    <w:rsid w:val="00FB4026"/>
    <w:rsid w:val="00FB5542"/>
    <w:rsid w:val="00FB6999"/>
    <w:rsid w:val="00FB7AB1"/>
    <w:rsid w:val="00FC2007"/>
    <w:rsid w:val="00FC2367"/>
    <w:rsid w:val="00FC320C"/>
    <w:rsid w:val="00FC473E"/>
    <w:rsid w:val="00FC4D59"/>
    <w:rsid w:val="00FC5E51"/>
    <w:rsid w:val="00FC617C"/>
    <w:rsid w:val="00FC6935"/>
    <w:rsid w:val="00FC747F"/>
    <w:rsid w:val="00FD016C"/>
    <w:rsid w:val="00FD18BA"/>
    <w:rsid w:val="00FD1941"/>
    <w:rsid w:val="00FD215A"/>
    <w:rsid w:val="00FD33D9"/>
    <w:rsid w:val="00FD3760"/>
    <w:rsid w:val="00FD48A2"/>
    <w:rsid w:val="00FD5402"/>
    <w:rsid w:val="00FD627B"/>
    <w:rsid w:val="00FD6BCB"/>
    <w:rsid w:val="00FD7DA6"/>
    <w:rsid w:val="00FE039F"/>
    <w:rsid w:val="00FE0705"/>
    <w:rsid w:val="00FE11AD"/>
    <w:rsid w:val="00FE1D10"/>
    <w:rsid w:val="00FE2682"/>
    <w:rsid w:val="00FE3521"/>
    <w:rsid w:val="00FE439B"/>
    <w:rsid w:val="00FF0F6A"/>
    <w:rsid w:val="00FF25A4"/>
    <w:rsid w:val="00FF4D5D"/>
    <w:rsid w:val="00FF551D"/>
    <w:rsid w:val="00FF567B"/>
    <w:rsid w:val="00FF6142"/>
    <w:rsid w:val="00FF6950"/>
    <w:rsid w:val="02EFB5BB"/>
    <w:rsid w:val="04724C63"/>
    <w:rsid w:val="0D2ADF69"/>
    <w:rsid w:val="10CBC22B"/>
    <w:rsid w:val="15FFB8A9"/>
    <w:rsid w:val="1722FF7E"/>
    <w:rsid w:val="1891ECDB"/>
    <w:rsid w:val="1B720246"/>
    <w:rsid w:val="1C76CE61"/>
    <w:rsid w:val="1EAE048C"/>
    <w:rsid w:val="239085C5"/>
    <w:rsid w:val="23E1F4DE"/>
    <w:rsid w:val="244B8F58"/>
    <w:rsid w:val="2563380A"/>
    <w:rsid w:val="26FF5AD3"/>
    <w:rsid w:val="2856BB87"/>
    <w:rsid w:val="29F41219"/>
    <w:rsid w:val="2B1C3439"/>
    <w:rsid w:val="2B8DAD12"/>
    <w:rsid w:val="2CB8815E"/>
    <w:rsid w:val="308E40B1"/>
    <w:rsid w:val="32F6A52A"/>
    <w:rsid w:val="340302CE"/>
    <w:rsid w:val="345B8890"/>
    <w:rsid w:val="3533339D"/>
    <w:rsid w:val="36EFA4AB"/>
    <w:rsid w:val="462275FE"/>
    <w:rsid w:val="46CE757F"/>
    <w:rsid w:val="474DB72D"/>
    <w:rsid w:val="498EA3E7"/>
    <w:rsid w:val="4D7E23D6"/>
    <w:rsid w:val="5026A6A3"/>
    <w:rsid w:val="51A59E33"/>
    <w:rsid w:val="5273142F"/>
    <w:rsid w:val="53CCE763"/>
    <w:rsid w:val="543D230B"/>
    <w:rsid w:val="551CE1DF"/>
    <w:rsid w:val="590379C2"/>
    <w:rsid w:val="59682EF5"/>
    <w:rsid w:val="5A223261"/>
    <w:rsid w:val="5C417620"/>
    <w:rsid w:val="5E006CDF"/>
    <w:rsid w:val="661B7D10"/>
    <w:rsid w:val="666969A3"/>
    <w:rsid w:val="67020500"/>
    <w:rsid w:val="6C4D01D9"/>
    <w:rsid w:val="6CA97156"/>
    <w:rsid w:val="700D109F"/>
    <w:rsid w:val="7021343F"/>
    <w:rsid w:val="76A13DAE"/>
    <w:rsid w:val="76CBF4A8"/>
    <w:rsid w:val="7795060D"/>
    <w:rsid w:val="78693411"/>
    <w:rsid w:val="790920ED"/>
    <w:rsid w:val="796F3F5F"/>
    <w:rsid w:val="7978F7FB"/>
    <w:rsid w:val="7A17E285"/>
    <w:rsid w:val="7BB5893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7FE48ED"/>
  <w15:chartTrackingRefBased/>
  <w15:docId w15:val="{82AA6686-1AD4-46FA-96B6-59ADD8F15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kern w:val="28"/>
      <w:sz w:val="22"/>
    </w:rPr>
  </w:style>
  <w:style w:type="paragraph" w:styleId="Heading1">
    <w:name w:val="heading 1"/>
    <w:basedOn w:val="Normal"/>
    <w:next w:val="ParaNum"/>
    <w:qFormat/>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pPr>
      <w:keepNext/>
      <w:numPr>
        <w:ilvl w:val="1"/>
        <w:numId w:val="3"/>
      </w:numPr>
      <w:spacing w:after="120"/>
      <w:outlineLvl w:val="1"/>
    </w:pPr>
    <w:rPr>
      <w:b/>
    </w:rPr>
  </w:style>
  <w:style w:type="paragraph" w:styleId="Heading3">
    <w:name w:val="heading 3"/>
    <w:basedOn w:val="Normal"/>
    <w:next w:val="ParaNum"/>
    <w:qFormat/>
    <w:pPr>
      <w:keepNext/>
      <w:numPr>
        <w:ilvl w:val="2"/>
        <w:numId w:val="3"/>
      </w:numPr>
      <w:tabs>
        <w:tab w:val="left" w:pos="2160"/>
      </w:tabs>
      <w:spacing w:after="120"/>
      <w:outlineLvl w:val="2"/>
    </w:pPr>
    <w:rPr>
      <w:b/>
    </w:rPr>
  </w:style>
  <w:style w:type="paragraph" w:styleId="Heading4">
    <w:name w:val="heading 4"/>
    <w:basedOn w:val="Normal"/>
    <w:next w:val="ParaNum"/>
    <w:qFormat/>
    <w:pPr>
      <w:keepNext/>
      <w:numPr>
        <w:ilvl w:val="3"/>
        <w:numId w:val="3"/>
      </w:numPr>
      <w:tabs>
        <w:tab w:val="left" w:pos="2880"/>
      </w:tabs>
      <w:spacing w:after="120"/>
      <w:outlineLvl w:val="3"/>
    </w:pPr>
    <w:rPr>
      <w:b/>
    </w:rPr>
  </w:style>
  <w:style w:type="paragraph" w:styleId="Heading5">
    <w:name w:val="heading 5"/>
    <w:basedOn w:val="Normal"/>
    <w:next w:val="ParaNum"/>
    <w:qFormat/>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pPr>
      <w:numPr>
        <w:ilvl w:val="5"/>
        <w:numId w:val="3"/>
      </w:numPr>
      <w:tabs>
        <w:tab w:val="left" w:pos="4320"/>
      </w:tabs>
      <w:spacing w:after="120"/>
      <w:outlineLvl w:val="5"/>
    </w:pPr>
    <w:rPr>
      <w:b/>
    </w:rPr>
  </w:style>
  <w:style w:type="paragraph" w:styleId="Heading7">
    <w:name w:val="heading 7"/>
    <w:basedOn w:val="Normal"/>
    <w:next w:val="ParaNum"/>
    <w:qFormat/>
    <w:pPr>
      <w:numPr>
        <w:ilvl w:val="6"/>
        <w:numId w:val="3"/>
      </w:numPr>
      <w:tabs>
        <w:tab w:val="left" w:pos="5040"/>
      </w:tabs>
      <w:spacing w:after="120"/>
      <w:ind w:left="5040" w:hanging="720"/>
      <w:outlineLvl w:val="6"/>
    </w:pPr>
    <w:rPr>
      <w:b/>
    </w:rPr>
  </w:style>
  <w:style w:type="paragraph" w:styleId="Heading8">
    <w:name w:val="heading 8"/>
    <w:basedOn w:val="Normal"/>
    <w:next w:val="ParaNum"/>
    <w:qFormat/>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Footnote Text Char2 Char,Footnote Text Char3 Char Char,Footnote Text Char2 Char Char Char,Footnote Text Char Char Char1 Char Char Char,Footnote Text Char1 Char1 Char Char Char,Footnote Text Char Char Char2 Char Char,fn,f"/>
    <w:link w:val="FootnoteTextChar"/>
    <w:pPr>
      <w:spacing w:after="120"/>
    </w:pPr>
  </w:style>
  <w:style w:type="character" w:styleId="FootnoteReference">
    <w:name w:val="footnote reference"/>
    <w:aliases w:val="o,fr,Style 3,Appel note de bas de p,(NECG) Footnote Reference,Style 17,FR,Style 12,Style 124,Style 13,Style 6,Footnote Reference/,Style 7,Style 4,Footnote Reference1,-E Funotenzeichen,A,Ref,Style 1,Style 20,Style 34,Style 9,callout"/>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pPr>
      <w:jc w:val="center"/>
    </w:pPr>
    <w:rPr>
      <w:rFonts w:ascii="Times New Roman Bold" w:hAnsi="Times New Roman Bold"/>
      <w:b/>
      <w:bCs/>
      <w:caps/>
      <w:szCs w:val="22"/>
    </w:rPr>
  </w:style>
  <w:style w:type="character" w:styleId="Hyperlink">
    <w:name w:val="Hyperlink"/>
    <w:rPr>
      <w:color w:val="0000FF"/>
      <w:u w:val="single"/>
    </w:rPr>
  </w:style>
  <w:style w:type="character" w:customStyle="1" w:styleId="FooterChar">
    <w:name w:val="Footer Char"/>
    <w:link w:val="Footer"/>
    <w:uiPriority w:val="99"/>
    <w:rPr>
      <w:snapToGrid w:val="0"/>
      <w:kern w:val="28"/>
      <w:sz w:val="22"/>
    </w:rPr>
  </w:style>
  <w:style w:type="character" w:styleId="UnresolvedMention">
    <w:name w:val="Unresolved Mention"/>
    <w:uiPriority w:val="99"/>
    <w:semiHidden/>
    <w:unhideWhenUsed/>
    <w:rPr>
      <w:color w:val="605E5C"/>
      <w:shd w:val="clear" w:color="auto" w:fill="E1DFDD"/>
    </w:rPr>
  </w:style>
  <w:style w:type="character" w:styleId="CommentReference">
    <w:name w:val="annotation reference"/>
    <w:uiPriority w:val="99"/>
    <w:semiHidden/>
    <w:unhideWhenUsed/>
    <w:rsid w:val="004D049F"/>
    <w:rPr>
      <w:sz w:val="16"/>
      <w:szCs w:val="16"/>
    </w:rPr>
  </w:style>
  <w:style w:type="paragraph" w:styleId="CommentText">
    <w:name w:val="annotation text"/>
    <w:basedOn w:val="Normal"/>
    <w:link w:val="CommentTextChar"/>
    <w:uiPriority w:val="99"/>
    <w:unhideWhenUsed/>
    <w:rsid w:val="004D049F"/>
    <w:rPr>
      <w:sz w:val="20"/>
    </w:rPr>
  </w:style>
  <w:style w:type="character" w:customStyle="1" w:styleId="CommentTextChar">
    <w:name w:val="Comment Text Char"/>
    <w:link w:val="CommentText"/>
    <w:uiPriority w:val="99"/>
    <w:rsid w:val="004D049F"/>
    <w:rPr>
      <w:snapToGrid w:val="0"/>
      <w:kern w:val="28"/>
    </w:rPr>
  </w:style>
  <w:style w:type="paragraph" w:styleId="CommentSubject">
    <w:name w:val="annotation subject"/>
    <w:basedOn w:val="CommentText"/>
    <w:next w:val="CommentText"/>
    <w:link w:val="CommentSubjectChar"/>
    <w:uiPriority w:val="99"/>
    <w:semiHidden/>
    <w:unhideWhenUsed/>
    <w:rsid w:val="004D049F"/>
    <w:rPr>
      <w:b/>
      <w:bCs/>
    </w:rPr>
  </w:style>
  <w:style w:type="character" w:customStyle="1" w:styleId="CommentSubjectChar">
    <w:name w:val="Comment Subject Char"/>
    <w:link w:val="CommentSubject"/>
    <w:uiPriority w:val="99"/>
    <w:semiHidden/>
    <w:rsid w:val="004D049F"/>
    <w:rPr>
      <w:b/>
      <w:bCs/>
      <w:snapToGrid w:val="0"/>
      <w:kern w:val="28"/>
    </w:rPr>
  </w:style>
  <w:style w:type="character" w:customStyle="1" w:styleId="FootnoteTextChar">
    <w:name w:val="Footnote Text Char"/>
    <w:aliases w:val="Footnote Text Char2 Char Char,Footnote Text Char3 Char Char Char,Footnote Text Char2 Char Char Char Char,Footnote Text Char Char Char1 Char Char Char Char,Footnote Text Char1 Char1 Char Char Char Char,fn Char,f Char"/>
    <w:link w:val="FootnoteText"/>
    <w:rsid w:val="00217AC2"/>
  </w:style>
  <w:style w:type="paragraph" w:styleId="ListParagraph">
    <w:name w:val="List Paragraph"/>
    <w:basedOn w:val="Normal"/>
    <w:uiPriority w:val="34"/>
    <w:qFormat/>
    <w:rsid w:val="00217AC2"/>
    <w:pPr>
      <w:widowControl/>
      <w:ind w:left="720"/>
      <w:contextualSpacing/>
    </w:pPr>
    <w:rPr>
      <w:rFonts w:eastAsia="Calibri"/>
      <w:kern w:val="0"/>
      <w:szCs w:val="22"/>
    </w:rPr>
  </w:style>
  <w:style w:type="paragraph" w:customStyle="1" w:styleId="FCCTagLine">
    <w:name w:val="FCC Tag Line"/>
    <w:basedOn w:val="Normal"/>
    <w:rsid w:val="00217AC2"/>
    <w:pPr>
      <w:widowControl/>
      <w:spacing w:after="240"/>
      <w:jc w:val="center"/>
    </w:pPr>
    <w:rPr>
      <w:rFonts w:eastAsia="Calibri"/>
      <w:b/>
      <w:kern w:val="0"/>
      <w:szCs w:val="22"/>
    </w:rPr>
  </w:style>
  <w:style w:type="paragraph" w:styleId="Revision">
    <w:name w:val="Revision"/>
    <w:hidden/>
    <w:uiPriority w:val="99"/>
    <w:semiHidden/>
    <w:rsid w:val="00BD24AC"/>
    <w:rPr>
      <w:snapToGrid w:val="0"/>
      <w:kern w:val="28"/>
      <w:sz w:val="22"/>
    </w:rPr>
  </w:style>
  <w:style w:type="character" w:styleId="Mention">
    <w:name w:val="Mention"/>
    <w:basedOn w:val="DefaultParagraphFont"/>
    <w:uiPriority w:val="99"/>
    <w:unhideWhenUsed/>
    <w:rsid w:val="00D9375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mailto:fcc504@fcc.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Public Notice Portrait</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