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8A2EBA" w14:paraId="30A67870" w14:textId="77777777">
      <w:pPr>
        <w:jc w:val="right"/>
        <w:rPr>
          <w:b/>
          <w:szCs w:val="22"/>
        </w:rPr>
      </w:pPr>
    </w:p>
    <w:p w:rsidR="009E620D" w:rsidRPr="007665F9" w14:paraId="25A7D6A0" w14:textId="1E8D1316">
      <w:pPr>
        <w:jc w:val="right"/>
        <w:rPr>
          <w:b/>
          <w:szCs w:val="22"/>
        </w:rPr>
      </w:pPr>
      <w:r>
        <w:rPr>
          <w:b/>
          <w:szCs w:val="22"/>
        </w:rPr>
        <w:t>DA 2</w:t>
      </w:r>
      <w:r w:rsidR="001B03EA">
        <w:rPr>
          <w:b/>
          <w:szCs w:val="22"/>
        </w:rPr>
        <w:t>6</w:t>
      </w:r>
      <w:r w:rsidRPr="00EA710C" w:rsidR="00EA710C">
        <w:rPr>
          <w:b/>
          <w:szCs w:val="22"/>
        </w:rPr>
        <w:t>-</w:t>
      </w:r>
      <w:r w:rsidR="000F0F20">
        <w:rPr>
          <w:b/>
          <w:szCs w:val="22"/>
        </w:rPr>
        <w:t>115</w:t>
      </w:r>
    </w:p>
    <w:p w:rsidR="009E620D" w:rsidRPr="007665F9" w14:paraId="25A7D6A1" w14:textId="75D121AD">
      <w:pPr>
        <w:spacing w:before="60"/>
        <w:jc w:val="right"/>
        <w:rPr>
          <w:b/>
          <w:szCs w:val="22"/>
        </w:rPr>
      </w:pPr>
      <w:r w:rsidRPr="007665F9">
        <w:rPr>
          <w:b/>
          <w:szCs w:val="22"/>
        </w:rPr>
        <w:t xml:space="preserve">Released:  </w:t>
      </w:r>
      <w:r w:rsidR="00934C17">
        <w:rPr>
          <w:b/>
          <w:szCs w:val="22"/>
        </w:rPr>
        <w:t>February 5</w:t>
      </w:r>
      <w:r w:rsidR="00AA29E0">
        <w:rPr>
          <w:b/>
          <w:szCs w:val="22"/>
        </w:rPr>
        <w:t>, 202</w:t>
      </w:r>
      <w:r w:rsidR="001B03EA">
        <w:rPr>
          <w:b/>
          <w:szCs w:val="22"/>
        </w:rPr>
        <w:t>6</w:t>
      </w:r>
    </w:p>
    <w:p w:rsidR="009E620D" w14:paraId="25A7D6A2" w14:textId="77777777">
      <w:pPr>
        <w:jc w:val="right"/>
        <w:rPr>
          <w:sz w:val="24"/>
        </w:rPr>
      </w:pPr>
    </w:p>
    <w:p w:rsidR="001A10E7" w:rsidP="004C0325" w14:paraId="41227456" w14:textId="3503BD4A">
      <w:pPr>
        <w:jc w:val="center"/>
        <w:rPr>
          <w:b/>
          <w:bCs/>
          <w:spacing w:val="-2"/>
        </w:rPr>
      </w:pPr>
      <w:r>
        <w:rPr>
          <w:b/>
          <w:bCs/>
          <w:spacing w:val="-2"/>
        </w:rPr>
        <w:t>APPLICATION</w:t>
      </w:r>
      <w:r w:rsidR="00E77E91">
        <w:rPr>
          <w:b/>
          <w:bCs/>
          <w:spacing w:val="-2"/>
        </w:rPr>
        <w:t>S</w:t>
      </w:r>
      <w:r>
        <w:rPr>
          <w:b/>
          <w:bCs/>
          <w:spacing w:val="-2"/>
        </w:rPr>
        <w:t xml:space="preserve"> OF</w:t>
      </w:r>
      <w:r w:rsidR="00E77E91">
        <w:rPr>
          <w:b/>
          <w:bCs/>
          <w:spacing w:val="-2"/>
        </w:rPr>
        <w:t xml:space="preserve"> </w:t>
      </w:r>
      <w:r w:rsidR="004C3842">
        <w:rPr>
          <w:b/>
          <w:bCs/>
          <w:spacing w:val="-2"/>
        </w:rPr>
        <w:t>CELLCO PARTNERSHIP</w:t>
      </w:r>
      <w:r w:rsidR="00E77E91">
        <w:rPr>
          <w:b/>
          <w:bCs/>
          <w:spacing w:val="-2"/>
        </w:rPr>
        <w:t xml:space="preserve"> AND USCELLULAR </w:t>
      </w:r>
      <w:r>
        <w:rPr>
          <w:b/>
          <w:bCs/>
          <w:spacing w:val="-2"/>
        </w:rPr>
        <w:t xml:space="preserve">FOR </w:t>
      </w:r>
      <w:r w:rsidR="004C0325">
        <w:rPr>
          <w:b/>
          <w:bCs/>
          <w:spacing w:val="-2"/>
        </w:rPr>
        <w:t>CONSENT TO ASSIGN</w:t>
      </w:r>
      <w:r>
        <w:rPr>
          <w:b/>
          <w:bCs/>
          <w:spacing w:val="-2"/>
        </w:rPr>
        <w:t xml:space="preserve"> </w:t>
      </w:r>
      <w:r w:rsidR="004C3842">
        <w:rPr>
          <w:b/>
          <w:bCs/>
          <w:spacing w:val="-2"/>
        </w:rPr>
        <w:t>CELLULAR,</w:t>
      </w:r>
      <w:r w:rsidR="008F36E0">
        <w:rPr>
          <w:b/>
          <w:bCs/>
          <w:spacing w:val="-2"/>
        </w:rPr>
        <w:t xml:space="preserve"> </w:t>
      </w:r>
      <w:r w:rsidR="004C3842">
        <w:rPr>
          <w:b/>
          <w:bCs/>
          <w:spacing w:val="-2"/>
        </w:rPr>
        <w:t xml:space="preserve">AWS-1, AWS-3, AND </w:t>
      </w:r>
      <w:r w:rsidR="008F36E0">
        <w:rPr>
          <w:b/>
          <w:bCs/>
          <w:spacing w:val="-2"/>
        </w:rPr>
        <w:t xml:space="preserve">PCS </w:t>
      </w:r>
      <w:r w:rsidR="004C0325">
        <w:rPr>
          <w:b/>
          <w:bCs/>
          <w:spacing w:val="-2"/>
        </w:rPr>
        <w:t>LICENSES</w:t>
      </w:r>
    </w:p>
    <w:p w:rsidR="001A10E7" w:rsidP="001A10E7" w14:paraId="2206CA1E" w14:textId="020381FC">
      <w:pPr>
        <w:jc w:val="center"/>
        <w:rPr>
          <w:b/>
        </w:rPr>
      </w:pPr>
    </w:p>
    <w:p w:rsidR="001A10E7" w:rsidP="004A40E5" w14:paraId="6B6E35F8" w14:textId="48EC1547">
      <w:pPr>
        <w:pStyle w:val="BodyText"/>
        <w:rPr>
          <w:sz w:val="22"/>
        </w:rPr>
      </w:pPr>
      <w:r>
        <w:rPr>
          <w:sz w:val="22"/>
        </w:rPr>
        <w:t xml:space="preserve">NRUF REPORTS AND </w:t>
      </w:r>
      <w:r w:rsidR="000C360B">
        <w:rPr>
          <w:sz w:val="22"/>
        </w:rPr>
        <w:t xml:space="preserve">LNP </w:t>
      </w:r>
      <w:r>
        <w:rPr>
          <w:sz w:val="22"/>
        </w:rPr>
        <w:t xml:space="preserve">REPORTS PLACED INTO THE RECORD, </w:t>
      </w:r>
    </w:p>
    <w:p w:rsidR="001A10E7" w:rsidP="001A10E7" w14:paraId="707EBE8D" w14:textId="44DE7582">
      <w:pPr>
        <w:pStyle w:val="BodyText"/>
        <w:rPr>
          <w:sz w:val="22"/>
        </w:rPr>
      </w:pPr>
      <w:r>
        <w:rPr>
          <w:sz w:val="22"/>
        </w:rPr>
        <w:t xml:space="preserve">SUBJECT TO </w:t>
      </w:r>
      <w:r w:rsidR="00615F54">
        <w:rPr>
          <w:sz w:val="22"/>
        </w:rPr>
        <w:t xml:space="preserve">THE </w:t>
      </w:r>
      <w:r>
        <w:rPr>
          <w:sz w:val="22"/>
        </w:rPr>
        <w:t>PROTECTIVE ORDER</w:t>
      </w:r>
    </w:p>
    <w:p w:rsidR="001A10E7" w:rsidP="001A10E7" w14:paraId="49611059" w14:textId="77777777">
      <w:pPr>
        <w:pStyle w:val="BodyText"/>
      </w:pPr>
    </w:p>
    <w:p w:rsidR="00E77E91" w:rsidP="001A10E7" w14:paraId="18095079" w14:textId="337C644A">
      <w:pPr>
        <w:pStyle w:val="BodyText"/>
        <w:rPr>
          <w:sz w:val="22"/>
          <w:szCs w:val="22"/>
        </w:rPr>
      </w:pPr>
      <w:r>
        <w:rPr>
          <w:sz w:val="22"/>
          <w:szCs w:val="22"/>
        </w:rPr>
        <w:t>WT</w:t>
      </w:r>
      <w:r w:rsidR="00770E2E">
        <w:rPr>
          <w:sz w:val="22"/>
          <w:szCs w:val="22"/>
        </w:rPr>
        <w:t xml:space="preserve"> Docket No. 25-1</w:t>
      </w:r>
      <w:r w:rsidR="004C3842">
        <w:rPr>
          <w:sz w:val="22"/>
          <w:szCs w:val="22"/>
        </w:rPr>
        <w:t>92</w:t>
      </w:r>
    </w:p>
    <w:p w:rsidR="007C2B5A" w:rsidP="001A10E7" w14:paraId="7613F67E" w14:textId="1B161F14">
      <w:pPr>
        <w:pStyle w:val="BodyText"/>
        <w:rPr>
          <w:sz w:val="22"/>
          <w:szCs w:val="22"/>
        </w:rPr>
      </w:pPr>
      <w:r w:rsidRPr="007C2B5A">
        <w:rPr>
          <w:sz w:val="22"/>
          <w:szCs w:val="22"/>
        </w:rPr>
        <w:t>CC Docket No. 99-200</w:t>
      </w:r>
    </w:p>
    <w:p w:rsidR="001A10E7" w:rsidP="003B42CF" w14:paraId="00F06726" w14:textId="77777777">
      <w:pPr>
        <w:spacing w:after="120"/>
        <w:ind w:firstLine="720"/>
        <w:rPr>
          <w:szCs w:val="22"/>
        </w:rPr>
      </w:pPr>
    </w:p>
    <w:p w:rsidR="001A10E7" w:rsidP="001A10E7" w14:paraId="1AF9393E" w14:textId="1662158B">
      <w:pPr>
        <w:spacing w:after="120"/>
        <w:ind w:firstLine="720"/>
      </w:pPr>
      <w:bookmarkStart w:id="0" w:name="_Hlk153883402"/>
      <w:r>
        <w:t xml:space="preserve">In connection with the Commission’s review of </w:t>
      </w:r>
      <w:r w:rsidR="00A05873">
        <w:t xml:space="preserve">the </w:t>
      </w:r>
      <w:r>
        <w:t>application</w:t>
      </w:r>
      <w:r w:rsidR="00A05873">
        <w:t>s</w:t>
      </w:r>
      <w:r>
        <w:t xml:space="preserve"> </w:t>
      </w:r>
      <w:r w:rsidR="00D05977">
        <w:t xml:space="preserve">seeking Commission consent to assign </w:t>
      </w:r>
      <w:r w:rsidRPr="00254D17" w:rsidR="00254D17">
        <w:t>several cellular, AWS-1, AWS-3, and PCS licenses from subsidiaries of United States Cellular Corporation (</w:t>
      </w:r>
      <w:r w:rsidRPr="00254D17" w:rsidR="00254D17">
        <w:t>UScellular</w:t>
      </w:r>
      <w:r w:rsidRPr="00254D17" w:rsidR="00254D17">
        <w:t xml:space="preserve">) to </w:t>
      </w:r>
      <w:r w:rsidR="00254D17">
        <w:t>Cellco</w:t>
      </w:r>
      <w:r w:rsidR="00254D17">
        <w:t xml:space="preserve"> Partnership</w:t>
      </w:r>
      <w:r w:rsidR="007C2B5A">
        <w:t xml:space="preserve">, </w:t>
      </w:r>
      <w:r w:rsidRPr="007C2B5A" w:rsidR="007C2B5A">
        <w:t>an indirect, wholly-owned subsidiary</w:t>
      </w:r>
      <w:r w:rsidR="007C2B5A">
        <w:t xml:space="preserve"> </w:t>
      </w:r>
      <w:r w:rsidRPr="007C2B5A" w:rsidR="007C2B5A">
        <w:t>of Verizon Wireless</w:t>
      </w:r>
      <w:r w:rsidR="00254D17">
        <w:t xml:space="preserve"> (</w:t>
      </w:r>
      <w:r w:rsidRPr="00254D17" w:rsidR="00254D17">
        <w:t>Verizon Wireless</w:t>
      </w:r>
      <w:r w:rsidR="00254D17">
        <w:t>)</w:t>
      </w:r>
      <w:r w:rsidR="004F7816">
        <w:t xml:space="preserve"> </w:t>
      </w:r>
      <w:r>
        <w:t>(collectively, the Applicants), the Commission is examining information contained in the biannual Numbering Resource Utilization and Forecast (NRUF) reports filed by wireless telecommunications carriers</w:t>
      </w:r>
      <w:r w:rsidR="5A63D622">
        <w:t>,</w:t>
      </w:r>
      <w:r>
        <w:rPr>
          <w:rStyle w:val="FootnoteReference"/>
          <w:sz w:val="20"/>
        </w:rPr>
        <w:footnoteReference w:id="3"/>
      </w:r>
      <w:r>
        <w:t xml:space="preserve"> carrier-specific local number portability (LNP) data related to wireless telecommunications carriers, and further disaggregated monthly carrier-specific local number portability data (Carrier-to-Carrier LNP Data) related to wireless telecommunications carriers.  </w:t>
      </w:r>
      <w:bookmarkEnd w:id="0"/>
      <w:r>
        <w:t xml:space="preserve">These data may assist the Commission in assessing the competitive effects of the transaction.  Accordingly, the NRUF reports for all wireless telecommunications carriers for </w:t>
      </w:r>
      <w:r w:rsidR="00CF277E">
        <w:t>December</w:t>
      </w:r>
      <w:r w:rsidR="00E7679D">
        <w:t xml:space="preserve"> </w:t>
      </w:r>
      <w:r w:rsidR="00C37A64">
        <w:t>2024</w:t>
      </w:r>
      <w:r w:rsidR="00CF62A7">
        <w:t xml:space="preserve"> </w:t>
      </w:r>
      <w:r>
        <w:t>and the monthly LNP reports for all wireless telecommunications carriers for January 202</w:t>
      </w:r>
      <w:r w:rsidR="0059759E">
        <w:t>4</w:t>
      </w:r>
      <w:r>
        <w:t xml:space="preserve"> through </w:t>
      </w:r>
      <w:r w:rsidR="0072346E">
        <w:t>December</w:t>
      </w:r>
      <w:r w:rsidR="00DE3B39">
        <w:t xml:space="preserve"> 2024</w:t>
      </w:r>
      <w:r>
        <w:t xml:space="preserve"> are being placed in the record in these proceedings, subject to the provisions of </w:t>
      </w:r>
      <w:r w:rsidR="00675CB9">
        <w:t>a p</w:t>
      </w:r>
      <w:r>
        <w:t xml:space="preserve">rotective </w:t>
      </w:r>
      <w:r w:rsidR="00675CB9">
        <w:t>o</w:t>
      </w:r>
      <w:r>
        <w:t>rder.</w:t>
      </w:r>
      <w:r>
        <w:rPr>
          <w:rStyle w:val="FootnoteReference"/>
        </w:rPr>
        <w:footnoteReference w:id="4"/>
      </w:r>
      <w:r w:rsidR="0066295F">
        <w:t xml:space="preserve">  </w:t>
      </w:r>
      <w:bookmarkStart w:id="1" w:name="_Hlk207188795"/>
      <w:r w:rsidRPr="0066295F" w:rsidR="0066295F">
        <w:t>Future NRUF and LNP reports will be placed in the record in these proceedings, subject to the provisions of a protective order, as they become available.</w:t>
      </w:r>
      <w:bookmarkEnd w:id="1"/>
    </w:p>
    <w:p w:rsidR="009E620D" w:rsidP="003B42CF" w14:paraId="25A7D6AF" w14:textId="77777777">
      <w:pPr>
        <w:spacing w:after="120"/>
        <w:ind w:firstLine="720"/>
      </w:pPr>
      <w:r>
        <w:t>Section 251 of the Communications Act grants the Commission jurisdiction over the North American Numbering Plan (NANP) and related telephone numbering issues.</w:t>
      </w:r>
      <w:r>
        <w:rPr>
          <w:rStyle w:val="FootnoteReference"/>
          <w:sz w:val="20"/>
        </w:rPr>
        <w:footnoteReference w:id="5"/>
      </w:r>
      <w:r>
        <w:t xml:space="preserve">  To monitor better the way numbering resources are used within the NANP and allocate NANP resources efficiently, the Commission requires telecommunications carriers to provide the Commission with a utilization report of their current inventory of telephone numbers and a five-year forecast of their numbering resource requirements.</w:t>
      </w:r>
      <w:r>
        <w:rPr>
          <w:rStyle w:val="FootnoteReference"/>
          <w:sz w:val="20"/>
        </w:rPr>
        <w:footnoteReference w:id="6"/>
      </w:r>
      <w:r>
        <w:t xml:space="preserve">  LNP data are collected by the LNP Administrator and provided to the Commission.</w:t>
      </w:r>
    </w:p>
    <w:p w:rsidR="009E620D" w:rsidP="000009B6" w14:paraId="25A7D6B0" w14:textId="17C4D02C">
      <w:pPr>
        <w:widowControl/>
        <w:spacing w:after="120"/>
        <w:ind w:firstLine="720"/>
      </w:pPr>
      <w:r>
        <w:t>The Commission has recognized that disaggregated, carrier-specific forecast and utilization data should be treated as confidential and should be exempt from public disclosure under 5 U.S.C. § 552(b)(4).</w:t>
      </w:r>
      <w:r>
        <w:rPr>
          <w:rStyle w:val="FootnoteReference"/>
          <w:sz w:val="20"/>
        </w:rPr>
        <w:footnoteReference w:id="7"/>
      </w:r>
      <w:r>
        <w:t xml:space="preserve">  The NRUF and LNP reports </w:t>
      </w:r>
      <w:r w:rsidR="001A10E7">
        <w:t xml:space="preserve">are being </w:t>
      </w:r>
      <w:r>
        <w:t xml:space="preserve">placed into the record subject to the provisions of </w:t>
      </w:r>
      <w:r w:rsidR="001A10E7">
        <w:t xml:space="preserve">a </w:t>
      </w:r>
      <w:r w:rsidR="001A10E7">
        <w:t>p</w:t>
      </w:r>
      <w:r>
        <w:t xml:space="preserve">rotective </w:t>
      </w:r>
      <w:r w:rsidR="001A10E7">
        <w:t>o</w:t>
      </w:r>
      <w:r>
        <w:t xml:space="preserve">rder.  As such, the NRUF and LNP data will not be available to the public except pursuant to the terms of the </w:t>
      </w:r>
      <w:r w:rsidR="00F5136E">
        <w:t>protective</w:t>
      </w:r>
      <w:r w:rsidR="001A10E7">
        <w:t xml:space="preserve"> order</w:t>
      </w:r>
      <w:r>
        <w:t>, as outlined below.</w:t>
      </w:r>
    </w:p>
    <w:p w:rsidR="009E620D" w:rsidRPr="00404B63" w:rsidP="000009B6" w14:paraId="25A7D6B1" w14:textId="505138AA">
      <w:pPr>
        <w:widowControl/>
        <w:spacing w:after="120"/>
        <w:ind w:firstLine="720"/>
      </w:pPr>
      <w:r>
        <w:t xml:space="preserve">Persons seeking to review the NRUF </w:t>
      </w:r>
      <w:r w:rsidR="00EF5892">
        <w:t>and</w:t>
      </w:r>
      <w:r>
        <w:t xml:space="preserve"> LNP data may do so only for purposes of participating in this proceeding.  Pursuant to the </w:t>
      </w:r>
      <w:r w:rsidR="001A10E7">
        <w:t>protective o</w:t>
      </w:r>
      <w:r>
        <w:t xml:space="preserve">rder, outside persons participating or intending to participate in the proceeding who are not involved in competitive decision-making activities and who have signed the Acknowledgment of Confidentiality attached to the </w:t>
      </w:r>
      <w:r w:rsidR="001A10E7">
        <w:t>protective order</w:t>
      </w:r>
      <w:r>
        <w:t xml:space="preserve"> may review the NRUF and LNP data.  We emphasize th</w:t>
      </w:r>
      <w:r w:rsidRPr="00404B63">
        <w:t xml:space="preserve">at persons seeking to review the NRUF </w:t>
      </w:r>
      <w:r w:rsidRPr="00404B63" w:rsidR="00DA10B0">
        <w:t>and</w:t>
      </w:r>
      <w:r w:rsidRPr="00404B63">
        <w:t xml:space="preserve"> LNP data must have adequate protections in place to prevent improper use or disclosure of the information.</w:t>
      </w:r>
    </w:p>
    <w:p w:rsidR="009E620D" w:rsidP="003B42CF" w14:paraId="25A7D6B2" w14:textId="4904D7C4">
      <w:pPr>
        <w:spacing w:after="120"/>
        <w:ind w:firstLine="720"/>
      </w:pPr>
      <w:r w:rsidRPr="00404B63">
        <w:t>Affected parties ha</w:t>
      </w:r>
      <w:r w:rsidRPr="0030553A">
        <w:t xml:space="preserve">ve until </w:t>
      </w:r>
      <w:r w:rsidR="00934C17">
        <w:rPr>
          <w:b/>
          <w:bCs/>
          <w:u w:val="single"/>
        </w:rPr>
        <w:t>February 17</w:t>
      </w:r>
      <w:r w:rsidRPr="00D05977" w:rsidR="0030553A">
        <w:rPr>
          <w:b/>
          <w:bCs/>
          <w:u w:val="single"/>
        </w:rPr>
        <w:t>, 202</w:t>
      </w:r>
      <w:r w:rsidR="001B03EA">
        <w:rPr>
          <w:b/>
          <w:bCs/>
          <w:u w:val="single"/>
        </w:rPr>
        <w:t>6</w:t>
      </w:r>
      <w:r w:rsidRPr="0030553A">
        <w:t xml:space="preserve"> to oppose the limited disclosure of their NRUF and LN</w:t>
      </w:r>
      <w:r w:rsidRPr="00404B63">
        <w:t>P data pursuant to the protective order.</w:t>
      </w:r>
      <w:r>
        <w:rPr>
          <w:rStyle w:val="FootnoteReference"/>
        </w:rPr>
        <w:footnoteReference w:id="8"/>
      </w:r>
      <w:r w:rsidRPr="00404B63">
        <w:t xml:space="preserve">  In addition, affected partie</w:t>
      </w:r>
      <w:r>
        <w:t xml:space="preserve">s will have </w:t>
      </w:r>
      <w:r w:rsidR="001A10E7">
        <w:t xml:space="preserve">five </w:t>
      </w:r>
      <w:r>
        <w:t>business days after the filing of an acknowledgment of confidentiality to object to the release of their data to a particular person who requests permission to review it.</w:t>
      </w:r>
    </w:p>
    <w:p w:rsidR="009E620D" w:rsidP="003B42CF" w14:paraId="25A7D6B4" w14:textId="229BB8E2">
      <w:pPr>
        <w:spacing w:after="120"/>
        <w:ind w:firstLine="720"/>
        <w:rPr>
          <w:szCs w:val="22"/>
        </w:rPr>
      </w:pPr>
      <w:r>
        <w:rPr>
          <w:i/>
          <w:iCs/>
          <w:szCs w:val="22"/>
        </w:rPr>
        <w:t>Filing Requirements</w:t>
      </w:r>
      <w:r>
        <w:rPr>
          <w:szCs w:val="22"/>
        </w:rPr>
        <w:t xml:space="preserve">.  </w:t>
      </w:r>
      <w:r w:rsidR="00D661F3">
        <w:rPr>
          <w:szCs w:val="22"/>
        </w:rPr>
        <w:t xml:space="preserve">Interested parties may </w:t>
      </w:r>
      <w:r w:rsidR="000732EE">
        <w:rPr>
          <w:szCs w:val="22"/>
        </w:rPr>
        <w:t>submit</w:t>
      </w:r>
      <w:r w:rsidR="004D2016">
        <w:rPr>
          <w:szCs w:val="22"/>
        </w:rPr>
        <w:t xml:space="preserve"> of filings and other documents</w:t>
      </w:r>
      <w:r w:rsidR="00B60C5D">
        <w:rPr>
          <w:szCs w:val="22"/>
        </w:rPr>
        <w:t xml:space="preserve">, referencing </w:t>
      </w:r>
      <w:r w:rsidR="00F71B09">
        <w:rPr>
          <w:szCs w:val="22"/>
        </w:rPr>
        <w:t>WT</w:t>
      </w:r>
      <w:r w:rsidR="00B60C5D">
        <w:rPr>
          <w:szCs w:val="22"/>
        </w:rPr>
        <w:t xml:space="preserve"> Docket No. </w:t>
      </w:r>
      <w:r w:rsidR="00F71B09">
        <w:rPr>
          <w:szCs w:val="22"/>
        </w:rPr>
        <w:t>25-</w:t>
      </w:r>
      <w:r w:rsidR="00690838">
        <w:rPr>
          <w:szCs w:val="22"/>
        </w:rPr>
        <w:t>192</w:t>
      </w:r>
      <w:r w:rsidR="00B60C5D">
        <w:rPr>
          <w:szCs w:val="22"/>
        </w:rPr>
        <w:t>,</w:t>
      </w:r>
      <w:r w:rsidR="004D2016">
        <w:rPr>
          <w:szCs w:val="22"/>
        </w:rPr>
        <w:t xml:space="preserve"> </w:t>
      </w:r>
      <w:r w:rsidR="00357355">
        <w:rPr>
          <w:szCs w:val="22"/>
        </w:rPr>
        <w:t xml:space="preserve">on or before the date identified above.  Filings may be submitted </w:t>
      </w:r>
      <w:r w:rsidR="00C448B2">
        <w:rPr>
          <w:szCs w:val="22"/>
        </w:rPr>
        <w:t>using</w:t>
      </w:r>
      <w:r w:rsidR="004D2016">
        <w:rPr>
          <w:szCs w:val="22"/>
        </w:rPr>
        <w:t xml:space="preserve"> the Commission’s</w:t>
      </w:r>
      <w:r w:rsidR="006C4C35">
        <w:rPr>
          <w:szCs w:val="22"/>
        </w:rPr>
        <w:t xml:space="preserve"> Electronic Comment Filing System</w:t>
      </w:r>
      <w:r w:rsidR="004D2016">
        <w:rPr>
          <w:szCs w:val="22"/>
        </w:rPr>
        <w:t xml:space="preserve"> </w:t>
      </w:r>
      <w:r w:rsidR="006C4C35">
        <w:rPr>
          <w:szCs w:val="22"/>
        </w:rPr>
        <w:t>(ECFS</w:t>
      </w:r>
      <w:r w:rsidR="001A10E7">
        <w:rPr>
          <w:szCs w:val="22"/>
        </w:rPr>
        <w:t xml:space="preserve">).  </w:t>
      </w:r>
    </w:p>
    <w:p w:rsidR="00612717" w:rsidP="00612717" w14:paraId="490A74AB" w14:textId="77777777">
      <w:pPr>
        <w:pStyle w:val="ListParagraph"/>
        <w:widowControl/>
        <w:numPr>
          <w:ilvl w:val="0"/>
          <w:numId w:val="17"/>
        </w:numPr>
        <w:spacing w:after="120"/>
        <w:contextualSpacing w:val="0"/>
      </w:pPr>
      <w:r w:rsidRPr="00E06DAD">
        <w:t>Electronic Filers:  Comments may be filed electronically using the Internet by accessing ECFS:</w:t>
      </w:r>
      <w:r>
        <w:t xml:space="preserve">  </w:t>
      </w:r>
      <w:hyperlink r:id="rId5" w:history="1">
        <w:r w:rsidRPr="001756DB">
          <w:rPr>
            <w:rStyle w:val="Hyperlink"/>
          </w:rPr>
          <w:t>https://www.fcc.gov/ecfs/</w:t>
        </w:r>
      </w:hyperlink>
      <w:r w:rsidRPr="00E06DAD">
        <w:t>.</w:t>
      </w:r>
    </w:p>
    <w:p w:rsidR="00612717" w:rsidRPr="003F3136" w:rsidP="00612717" w14:paraId="312AA30E" w14:textId="77777777">
      <w:pPr>
        <w:pStyle w:val="ListParagraph"/>
        <w:widowControl/>
        <w:numPr>
          <w:ilvl w:val="0"/>
          <w:numId w:val="17"/>
        </w:numPr>
        <w:spacing w:after="120"/>
        <w:contextualSpacing w:val="0"/>
      </w:pPr>
      <w:r w:rsidRPr="003F3136">
        <w:t xml:space="preserve">Paper Filers:  Parties who choose to file by paper must file an original and one copy of each filing.  </w:t>
      </w:r>
    </w:p>
    <w:p w:rsidR="00612717" w:rsidRPr="003F3136" w:rsidP="00612717" w14:paraId="4BBE2F3F" w14:textId="03DEA29A">
      <w:pPr>
        <w:pStyle w:val="ListParagraph"/>
        <w:widowControl/>
        <w:numPr>
          <w:ilvl w:val="1"/>
          <w:numId w:val="17"/>
        </w:numPr>
        <w:spacing w:after="120"/>
        <w:contextualSpacing w:val="0"/>
      </w:pPr>
      <w:r w:rsidRPr="003F3136">
        <w:t xml:space="preserve">Filings can be sent by hand or messenger delivery, by commercial courier, or by </w:t>
      </w:r>
      <w:r w:rsidR="00954158">
        <w:t>the</w:t>
      </w:r>
      <w:r w:rsidRPr="003F3136">
        <w:t xml:space="preserve"> U.S. Postal Service. </w:t>
      </w:r>
      <w:r w:rsidR="00954158">
        <w:t xml:space="preserve"> </w:t>
      </w:r>
      <w:r w:rsidRPr="00954158">
        <w:rPr>
          <w:b/>
          <w:bCs/>
        </w:rPr>
        <w:t>All filings must be addressed to the Secretary, Federal Communications Commission.</w:t>
      </w:r>
      <w:r w:rsidRPr="003F3136">
        <w:tab/>
      </w:r>
    </w:p>
    <w:p w:rsidR="00612717" w:rsidRPr="003F3136" w:rsidP="00612717" w14:paraId="5A275196" w14:textId="5B6F18EE">
      <w:pPr>
        <w:pStyle w:val="ListParagraph"/>
        <w:widowControl/>
        <w:numPr>
          <w:ilvl w:val="1"/>
          <w:numId w:val="17"/>
        </w:numPr>
        <w:spacing w:after="120"/>
        <w:contextualSpacing w:val="0"/>
      </w:pPr>
      <w:r>
        <w:t>H</w:t>
      </w:r>
      <w:r w:rsidRPr="003F3136">
        <w:t xml:space="preserve">and-delivered or messenger-delivered paper filings for the Commission’s Secretary are accepted between 8:00 a.m. and 4:00 p.m. at 9050 Junction Drive, Annapolis Junction, MD 20701. </w:t>
      </w:r>
      <w:r w:rsidR="003B5A51">
        <w:t xml:space="preserve"> </w:t>
      </w:r>
      <w:r w:rsidRPr="003F3136">
        <w:t xml:space="preserve">All hand deliveries must be held together with rubber bands or fasteners. Any envelopes and boxes must be disposed of </w:t>
      </w:r>
      <w:r w:rsidRPr="006559DB">
        <w:t xml:space="preserve">before </w:t>
      </w:r>
      <w:r w:rsidRPr="003F3136">
        <w:t>entering the building.</w:t>
      </w:r>
    </w:p>
    <w:p w:rsidR="00612717" w:rsidRPr="003F3136" w:rsidP="001A02C4" w14:paraId="7626739F" w14:textId="6C7530BC">
      <w:pPr>
        <w:pStyle w:val="ListParagraph"/>
        <w:widowControl/>
        <w:numPr>
          <w:ilvl w:val="1"/>
          <w:numId w:val="17"/>
        </w:numPr>
        <w:spacing w:after="120"/>
        <w:contextualSpacing w:val="0"/>
      </w:pPr>
      <w:r w:rsidRPr="003F3136">
        <w:t xml:space="preserve">Commercial </w:t>
      </w:r>
      <w:r w:rsidR="006559DB">
        <w:t>courier</w:t>
      </w:r>
      <w:r w:rsidRPr="003F3136">
        <w:t xml:space="preserve"> deliveries </w:t>
      </w:r>
      <w:r w:rsidRPr="001A02C4" w:rsidR="001A02C4">
        <w:t>(any deliveries not by the U.S. Postal Service) must be sent to 9050 Junction Drive, Annapolis Junction, MD 20701.</w:t>
      </w:r>
    </w:p>
    <w:p w:rsidR="00F0723F" w:rsidRPr="00585193" w:rsidP="00392228" w14:paraId="25EB4742" w14:textId="4818A715">
      <w:pPr>
        <w:pStyle w:val="ParaNum0"/>
        <w:widowControl/>
        <w:numPr>
          <w:ilvl w:val="1"/>
          <w:numId w:val="17"/>
        </w:numPr>
      </w:pPr>
      <w:r w:rsidRPr="00F97995">
        <w:t>Filings sent by U.S. Postal Service First-Class Mail, Priority Mail, and Priority Mail Express must be sent to 45 L Street NE, Washington, DC 20554.</w:t>
      </w:r>
    </w:p>
    <w:p w:rsidR="009E620D" w:rsidRPr="006F6FB1" w:rsidP="003B42CF" w14:paraId="25A7D6B7" w14:textId="3D07A3C8">
      <w:pPr>
        <w:pStyle w:val="ListParagraph"/>
        <w:spacing w:after="120"/>
        <w:ind w:left="0" w:firstLine="720"/>
        <w:contextualSpacing w:val="0"/>
        <w:rPr>
          <w:szCs w:val="22"/>
        </w:rPr>
      </w:pPr>
      <w:r w:rsidRPr="00163B87">
        <w:rPr>
          <w:color w:val="000000"/>
          <w:szCs w:val="22"/>
        </w:rPr>
        <w:t xml:space="preserve">One copy of each </w:t>
      </w:r>
      <w:r>
        <w:rPr>
          <w:color w:val="000000"/>
          <w:szCs w:val="22"/>
        </w:rPr>
        <w:t>filing</w:t>
      </w:r>
      <w:r w:rsidRPr="00163B87">
        <w:rPr>
          <w:color w:val="000000"/>
          <w:szCs w:val="22"/>
        </w:rPr>
        <w:t xml:space="preserve"> must be delivered electronically, by email, or if delivered as paper copy, by messenger delivery, commercial overnight courier</w:t>
      </w:r>
      <w:r w:rsidR="00ED4F70">
        <w:rPr>
          <w:color w:val="000000"/>
          <w:szCs w:val="22"/>
        </w:rPr>
        <w:t>,</w:t>
      </w:r>
      <w:r w:rsidRPr="00163B87">
        <w:rPr>
          <w:color w:val="000000"/>
          <w:szCs w:val="22"/>
        </w:rPr>
        <w:t xml:space="preserve"> or by first-class or overnight U.S. Postal Service mail (according to the procedures set forth above for paper filings), to: </w:t>
      </w:r>
      <w:r w:rsidR="00AF062D">
        <w:rPr>
          <w:color w:val="000000"/>
          <w:szCs w:val="22"/>
        </w:rPr>
        <w:t xml:space="preserve"> </w:t>
      </w:r>
      <w:r>
        <w:rPr>
          <w:color w:val="000000"/>
          <w:szCs w:val="22"/>
        </w:rPr>
        <w:t>(1) </w:t>
      </w:r>
      <w:r w:rsidR="00F5136E">
        <w:rPr>
          <w:color w:val="000000"/>
          <w:szCs w:val="22"/>
        </w:rPr>
        <w:t xml:space="preserve">Susannah Larson, Wireless Telecommunications Bureau, at </w:t>
      </w:r>
      <w:hyperlink r:id="rId6" w:history="1">
        <w:r w:rsidRPr="00E87F93" w:rsidR="004F5ABE">
          <w:rPr>
            <w:rStyle w:val="Hyperlink"/>
          </w:rPr>
          <w:t>Susannah.Larson@fcc.gov</w:t>
        </w:r>
      </w:hyperlink>
      <w:r w:rsidR="004F5ABE">
        <w:rPr>
          <w:color w:val="010101"/>
        </w:rPr>
        <w:t>;</w:t>
      </w:r>
      <w:r w:rsidR="00F5136E">
        <w:rPr>
          <w:szCs w:val="22"/>
        </w:rPr>
        <w:t xml:space="preserve"> </w:t>
      </w:r>
      <w:r>
        <w:rPr>
          <w:szCs w:val="22"/>
        </w:rPr>
        <w:t>(</w:t>
      </w:r>
      <w:r w:rsidR="00F5136E">
        <w:rPr>
          <w:szCs w:val="22"/>
        </w:rPr>
        <w:t>2</w:t>
      </w:r>
      <w:r>
        <w:rPr>
          <w:szCs w:val="22"/>
        </w:rPr>
        <w:t xml:space="preserve">) </w:t>
      </w:r>
      <w:r w:rsidR="007F5522">
        <w:rPr>
          <w:szCs w:val="22"/>
        </w:rPr>
        <w:t>Judith Dempsey</w:t>
      </w:r>
      <w:r>
        <w:rPr>
          <w:szCs w:val="22"/>
        </w:rPr>
        <w:t xml:space="preserve">, </w:t>
      </w:r>
      <w:r w:rsidR="00F5136E">
        <w:rPr>
          <w:szCs w:val="22"/>
        </w:rPr>
        <w:t xml:space="preserve">Office of Economics and Analytics, </w:t>
      </w:r>
      <w:r>
        <w:rPr>
          <w:szCs w:val="22"/>
        </w:rPr>
        <w:t xml:space="preserve">at </w:t>
      </w:r>
      <w:hyperlink r:id="rId7" w:history="1">
        <w:r w:rsidRPr="00790753" w:rsidR="007F5522">
          <w:rPr>
            <w:rStyle w:val="Hyperlink"/>
            <w:rFonts w:cs="TmsRmn"/>
            <w:szCs w:val="22"/>
          </w:rPr>
          <w:t>Judith.Dempsey@fcc.gov</w:t>
        </w:r>
      </w:hyperlink>
      <w:r w:rsidR="004F5ABE">
        <w:rPr>
          <w:rFonts w:cs="TmsRmn"/>
          <w:szCs w:val="22"/>
        </w:rPr>
        <w:t>;</w:t>
      </w:r>
      <w:r>
        <w:rPr>
          <w:szCs w:val="22"/>
        </w:rPr>
        <w:t xml:space="preserve"> and </w:t>
      </w:r>
      <w:r>
        <w:rPr>
          <w:color w:val="000000"/>
          <w:szCs w:val="22"/>
        </w:rPr>
        <w:t>(</w:t>
      </w:r>
      <w:r w:rsidR="00D56F28">
        <w:rPr>
          <w:color w:val="000000"/>
          <w:szCs w:val="22"/>
        </w:rPr>
        <w:t>3</w:t>
      </w:r>
      <w:r>
        <w:rPr>
          <w:color w:val="000000"/>
          <w:szCs w:val="22"/>
        </w:rPr>
        <w:t xml:space="preserve">) </w:t>
      </w:r>
      <w:r w:rsidR="00F5136E">
        <w:rPr>
          <w:color w:val="000000"/>
          <w:szCs w:val="22"/>
        </w:rPr>
        <w:t xml:space="preserve">Joel Rabinovitz, </w:t>
      </w:r>
      <w:r>
        <w:rPr>
          <w:color w:val="000000"/>
          <w:szCs w:val="22"/>
        </w:rPr>
        <w:t xml:space="preserve">Office of General Counsel, at </w:t>
      </w:r>
      <w:hyperlink r:id="rId8" w:history="1">
        <w:r w:rsidRPr="00E87F93" w:rsidR="004F5ABE">
          <w:rPr>
            <w:rStyle w:val="Hyperlink"/>
            <w:szCs w:val="22"/>
          </w:rPr>
          <w:t>Joel.Rabinovitz@fcc.gov</w:t>
        </w:r>
      </w:hyperlink>
      <w:r w:rsidR="004F5ABE">
        <w:rPr>
          <w:color w:val="000000"/>
          <w:szCs w:val="22"/>
        </w:rPr>
        <w:t>.</w:t>
      </w:r>
      <w:r>
        <w:rPr>
          <w:szCs w:val="22"/>
        </w:rPr>
        <w:t xml:space="preserve">  Any submission emailed to these individuals should include in the subject line of the email</w:t>
      </w:r>
      <w:r w:rsidR="001B07BE">
        <w:rPr>
          <w:szCs w:val="22"/>
        </w:rPr>
        <w:t>, for example</w:t>
      </w:r>
      <w:r>
        <w:rPr>
          <w:szCs w:val="22"/>
        </w:rPr>
        <w:t xml:space="preserve">:  (1) </w:t>
      </w:r>
      <w:r w:rsidR="007F5522">
        <w:rPr>
          <w:szCs w:val="22"/>
        </w:rPr>
        <w:t>WT</w:t>
      </w:r>
      <w:r w:rsidR="00357ED7">
        <w:rPr>
          <w:szCs w:val="22"/>
        </w:rPr>
        <w:t xml:space="preserve"> Docket No. </w:t>
      </w:r>
      <w:r w:rsidR="007F5522">
        <w:rPr>
          <w:szCs w:val="22"/>
        </w:rPr>
        <w:t>25-</w:t>
      </w:r>
      <w:r w:rsidR="00690838">
        <w:rPr>
          <w:szCs w:val="22"/>
        </w:rPr>
        <w:t>192</w:t>
      </w:r>
      <w:r w:rsidR="00F5136E">
        <w:t>;</w:t>
      </w:r>
      <w:r>
        <w:rPr>
          <w:szCs w:val="22"/>
        </w:rPr>
        <w:t xml:space="preserve"> (2) the name of the submitting party; and (3) a brief description or title identifying the type of document being submitted (e.g., </w:t>
      </w:r>
      <w:r w:rsidR="007F5522">
        <w:rPr>
          <w:szCs w:val="22"/>
        </w:rPr>
        <w:t>WT</w:t>
      </w:r>
      <w:r w:rsidR="00357ED7">
        <w:rPr>
          <w:szCs w:val="22"/>
        </w:rPr>
        <w:t xml:space="preserve"> Docket No. </w:t>
      </w:r>
      <w:r w:rsidR="007F5522">
        <w:rPr>
          <w:szCs w:val="22"/>
        </w:rPr>
        <w:t>25-</w:t>
      </w:r>
      <w:r w:rsidR="00690838">
        <w:rPr>
          <w:szCs w:val="22"/>
        </w:rPr>
        <w:t>192</w:t>
      </w:r>
      <w:r w:rsidR="00F5136E">
        <w:t>,</w:t>
      </w:r>
      <w:r>
        <w:rPr>
          <w:szCs w:val="22"/>
        </w:rPr>
        <w:t xml:space="preserve"> Widget Corp., NRUF Objection)</w:t>
      </w:r>
      <w:r w:rsidRPr="00163B87">
        <w:rPr>
          <w:color w:val="000000"/>
          <w:szCs w:val="22"/>
        </w:rPr>
        <w:t>.</w:t>
      </w:r>
    </w:p>
    <w:p w:rsidR="00AF715A" w:rsidRPr="00AF715A" w:rsidP="00AF715A" w14:paraId="4F84AD29" w14:textId="080480D6">
      <w:pPr>
        <w:spacing w:after="120"/>
        <w:ind w:firstLine="720"/>
        <w:rPr>
          <w:szCs w:val="22"/>
        </w:rPr>
      </w:pPr>
      <w:r w:rsidRPr="00966035">
        <w:rPr>
          <w:i/>
          <w:iCs/>
          <w:szCs w:val="22"/>
        </w:rPr>
        <w:t xml:space="preserve">People with </w:t>
      </w:r>
      <w:r w:rsidRPr="00966035">
        <w:rPr>
          <w:i/>
          <w:iCs/>
        </w:rPr>
        <w:t>Disabilities</w:t>
      </w:r>
      <w:r w:rsidR="00966035">
        <w:rPr>
          <w:szCs w:val="22"/>
        </w:rPr>
        <w:t>.</w:t>
      </w:r>
      <w:r>
        <w:rPr>
          <w:szCs w:val="22"/>
        </w:rPr>
        <w:t xml:space="preserve">  To request materials in accessible formats for people with disabilities (braille, large print, electronic files, audio format), send an e-mail to </w:t>
      </w:r>
      <w:hyperlink r:id="rId9" w:history="1">
        <w:r>
          <w:rPr>
            <w:rStyle w:val="Hyperlink"/>
            <w:szCs w:val="22"/>
          </w:rPr>
          <w:t>fcc504@fcc.gov</w:t>
        </w:r>
      </w:hyperlink>
      <w:r>
        <w:rPr>
          <w:szCs w:val="22"/>
        </w:rPr>
        <w:t xml:space="preserve"> or call the Consumer &amp; Government Affairs Bureau at (202) 418-0530</w:t>
      </w:r>
      <w:r w:rsidR="000C04E1">
        <w:rPr>
          <w:szCs w:val="22"/>
        </w:rPr>
        <w:t xml:space="preserve"> (voice)</w:t>
      </w:r>
      <w:r>
        <w:rPr>
          <w:szCs w:val="22"/>
        </w:rPr>
        <w:t xml:space="preserve">. </w:t>
      </w:r>
    </w:p>
    <w:p w:rsidR="009E620D" w:rsidP="00391091" w14:paraId="25A7D6B8" w14:textId="1812A790">
      <w:pPr>
        <w:keepNext/>
        <w:widowControl/>
        <w:spacing w:after="120"/>
        <w:ind w:firstLine="720"/>
      </w:pPr>
      <w:r>
        <w:t xml:space="preserve">This action is taken pursuant to </w:t>
      </w:r>
      <w:r w:rsidR="00F0723F">
        <w:t>s</w:t>
      </w:r>
      <w:r>
        <w:t>ections 4(</w:t>
      </w:r>
      <w:r>
        <w:t>i</w:t>
      </w:r>
      <w:r>
        <w:t>) and 310(d) of the Communications Act, 47 U.S.C. §§ 154(</w:t>
      </w:r>
      <w:r>
        <w:t>i</w:t>
      </w:r>
      <w:r>
        <w:t xml:space="preserve">), 310(d), </w:t>
      </w:r>
      <w:r w:rsidR="00F0723F">
        <w:t>s</w:t>
      </w:r>
      <w:r>
        <w:t xml:space="preserve">ection 4 of the Freedom of Information Act, 5 U.S.C. § 552(b)(4), and authority </w:t>
      </w:r>
      <w:r>
        <w:t xml:space="preserve">delegated under </w:t>
      </w:r>
      <w:r w:rsidR="00F0723F">
        <w:t>s</w:t>
      </w:r>
      <w:r>
        <w:t>ection 0.331 of the Commission’s rules, 47 CFR § 0.331, and is effective upon its adoption.</w:t>
      </w:r>
    </w:p>
    <w:p w:rsidR="00AF715A" w:rsidP="00C54CF8" w14:paraId="6CD95A98" w14:textId="2280A925">
      <w:pPr>
        <w:widowControl/>
        <w:autoSpaceDE w:val="0"/>
        <w:autoSpaceDN w:val="0"/>
        <w:adjustRightInd w:val="0"/>
        <w:ind w:firstLine="720"/>
        <w:rPr>
          <w:szCs w:val="22"/>
        </w:rPr>
      </w:pPr>
      <w:r w:rsidRPr="7588C2C2">
        <w:rPr>
          <w:color w:val="010101"/>
        </w:rPr>
        <w:t xml:space="preserve">For further information regarding this proceeding, please contact </w:t>
      </w:r>
      <w:bookmarkStart w:id="2" w:name="_Hlk103934661"/>
      <w:r w:rsidRPr="00F5136E" w:rsidR="00F5136E">
        <w:rPr>
          <w:color w:val="010101"/>
        </w:rPr>
        <w:t>Susannah Larson</w:t>
      </w:r>
      <w:r w:rsidR="00F5136E">
        <w:rPr>
          <w:color w:val="010101"/>
        </w:rPr>
        <w:t>,</w:t>
      </w:r>
      <w:r w:rsidR="005E111E">
        <w:rPr>
          <w:color w:val="010101"/>
        </w:rPr>
        <w:t xml:space="preserve"> </w:t>
      </w:r>
      <w:hyperlink r:id="rId6" w:history="1">
        <w:r w:rsidRPr="00E87F93" w:rsidR="00F0723F">
          <w:rPr>
            <w:rStyle w:val="Hyperlink"/>
          </w:rPr>
          <w:t>Susannah.Larson@fcc.gov</w:t>
        </w:r>
      </w:hyperlink>
      <w:r w:rsidR="00E55497">
        <w:rPr>
          <w:color w:val="010101"/>
        </w:rPr>
        <w:t>;</w:t>
      </w:r>
      <w:r w:rsidRPr="7588C2C2">
        <w:rPr>
          <w:color w:val="010101"/>
        </w:rPr>
        <w:t xml:space="preserve"> </w:t>
      </w:r>
      <w:r w:rsidR="007F5522">
        <w:rPr>
          <w:color w:val="010101"/>
        </w:rPr>
        <w:t>Judith Dempsey</w:t>
      </w:r>
      <w:r w:rsidRPr="7588C2C2">
        <w:rPr>
          <w:color w:val="010101"/>
        </w:rPr>
        <w:t>,</w:t>
      </w:r>
      <w:r w:rsidR="00F0723F">
        <w:rPr>
          <w:color w:val="010101"/>
        </w:rPr>
        <w:t xml:space="preserve"> </w:t>
      </w:r>
      <w:hyperlink r:id="rId7" w:history="1">
        <w:r w:rsidRPr="00790753" w:rsidR="00992790">
          <w:rPr>
            <w:rStyle w:val="Hyperlink"/>
          </w:rPr>
          <w:t>Judith.Dempsey@fcc.gov</w:t>
        </w:r>
      </w:hyperlink>
      <w:r w:rsidR="00E55497">
        <w:t>;</w:t>
      </w:r>
      <w:r w:rsidRPr="7588C2C2">
        <w:rPr>
          <w:color w:val="010101"/>
        </w:rPr>
        <w:t xml:space="preserve"> </w:t>
      </w:r>
      <w:r w:rsidR="00F5136E">
        <w:rPr>
          <w:color w:val="010101"/>
        </w:rPr>
        <w:t xml:space="preserve">or </w:t>
      </w:r>
      <w:r w:rsidRPr="7588C2C2">
        <w:rPr>
          <w:color w:val="010101"/>
        </w:rPr>
        <w:t>Joel Rabinovitz,</w:t>
      </w:r>
      <w:r w:rsidR="005E111E">
        <w:rPr>
          <w:color w:val="010101"/>
        </w:rPr>
        <w:t xml:space="preserve"> </w:t>
      </w:r>
      <w:hyperlink r:id="rId8" w:history="1">
        <w:r w:rsidRPr="00E87F93" w:rsidR="005E111E">
          <w:rPr>
            <w:rStyle w:val="Hyperlink"/>
          </w:rPr>
          <w:t>Joel.Rabinovitz@fcc.gov</w:t>
        </w:r>
      </w:hyperlink>
      <w:bookmarkEnd w:id="2"/>
      <w:r w:rsidR="00E55497">
        <w:t>.</w:t>
      </w:r>
      <w:r w:rsidRPr="7588C2C2">
        <w:rPr>
          <w:color w:val="010101"/>
        </w:rPr>
        <w:t xml:space="preserve"> </w:t>
      </w:r>
      <w:r>
        <w:rPr>
          <w:szCs w:val="22"/>
        </w:rPr>
        <w:t xml:space="preserve"> </w:t>
      </w:r>
    </w:p>
    <w:p w:rsidR="00AF715A" w:rsidRPr="00C9551A" w:rsidP="005031C2" w14:paraId="481AB864" w14:textId="77777777">
      <w:pPr>
        <w:autoSpaceDE w:val="0"/>
        <w:autoSpaceDN w:val="0"/>
        <w:adjustRightInd w:val="0"/>
        <w:rPr>
          <w:color w:val="010101"/>
        </w:rPr>
      </w:pPr>
    </w:p>
    <w:p w:rsidR="009E620D" w:rsidRPr="00BF7452" w:rsidP="003B42CF" w14:paraId="25A7D6BA" w14:textId="77777777">
      <w:pPr>
        <w:spacing w:after="120"/>
        <w:jc w:val="center"/>
        <w:rPr>
          <w:b/>
          <w:szCs w:val="22"/>
        </w:rPr>
      </w:pPr>
      <w:r>
        <w:rPr>
          <w:b/>
          <w:szCs w:val="22"/>
        </w:rPr>
        <w:t>-FCC-</w:t>
      </w:r>
    </w:p>
    <w:sectPr w:rsidSect="003B42CF">
      <w:headerReference w:type="default" r:id="rId10"/>
      <w:footerReference w:type="default" r:id="rId11"/>
      <w:headerReference w:type="first" r:id="rId12"/>
      <w:type w:val="continuous"/>
      <w:pgSz w:w="12240" w:h="15840" w:code="1"/>
      <w:pgMar w:top="1440" w:right="1440" w:bottom="72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Rmn">
    <w:altName w:val="Courier New"/>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20D" w:rsidP="003B42CF" w14:paraId="25A7D6BD"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33BB" w14:paraId="4B9CFC2D" w14:textId="77777777">
      <w:r>
        <w:separator/>
      </w:r>
    </w:p>
  </w:footnote>
  <w:footnote w:type="continuationSeparator" w:id="1">
    <w:p w:rsidR="002933BB" w14:paraId="1FEB0FD0" w14:textId="77777777">
      <w:r>
        <w:continuationSeparator/>
      </w:r>
    </w:p>
  </w:footnote>
  <w:footnote w:type="continuationNotice" w:id="2">
    <w:p w:rsidR="002933BB" w14:paraId="4AA299CF" w14:textId="77777777"/>
  </w:footnote>
  <w:footnote w:id="3">
    <w:p w:rsidR="001A10E7" w:rsidP="001A10E7" w14:paraId="6615B432" w14:textId="6A2444E8">
      <w:pPr>
        <w:pStyle w:val="FootnoteText"/>
        <w:rPr>
          <w:i/>
        </w:rPr>
      </w:pPr>
      <w:r>
        <w:rPr>
          <w:rStyle w:val="FootnoteReference"/>
        </w:rPr>
        <w:footnoteRef/>
      </w:r>
      <w:r>
        <w:t xml:space="preserve"> 47 CFR §§ 1.907, 52.5</w:t>
      </w:r>
      <w:r w:rsidR="00DC56DB">
        <w:t>.</w:t>
      </w:r>
    </w:p>
  </w:footnote>
  <w:footnote w:id="4">
    <w:p w:rsidR="000F464A" w14:paraId="468F2DE1" w14:textId="697518CC">
      <w:pPr>
        <w:pStyle w:val="FootnoteText"/>
      </w:pPr>
      <w:r>
        <w:rPr>
          <w:rStyle w:val="FootnoteReference"/>
        </w:rPr>
        <w:footnoteRef/>
      </w:r>
      <w:r>
        <w:t xml:space="preserve"> A protective order will be adopted shortly.</w:t>
      </w:r>
    </w:p>
  </w:footnote>
  <w:footnote w:id="5">
    <w:p w:rsidR="009E620D" w:rsidP="003B42CF" w14:paraId="25A7D6CC" w14:textId="77777777">
      <w:pPr>
        <w:pStyle w:val="FootnoteText"/>
      </w:pPr>
      <w:r>
        <w:rPr>
          <w:rStyle w:val="FootnoteReference"/>
        </w:rPr>
        <w:footnoteRef/>
      </w:r>
      <w:r>
        <w:t xml:space="preserve"> 47 U.S.C. § 251.</w:t>
      </w:r>
    </w:p>
  </w:footnote>
  <w:footnote w:id="6">
    <w:p w:rsidR="009E620D" w:rsidP="003B42CF" w14:paraId="25A7D6CD" w14:textId="5A458B28">
      <w:pPr>
        <w:pStyle w:val="FootnoteText"/>
      </w:pPr>
      <w:r>
        <w:rPr>
          <w:rStyle w:val="FootnoteReference"/>
        </w:rPr>
        <w:footnoteRef/>
      </w:r>
      <w:r>
        <w:t xml:space="preserve"> 47 CFR § 52.15(f); </w:t>
      </w:r>
      <w:r>
        <w:rPr>
          <w:i/>
        </w:rPr>
        <w:t>see</w:t>
      </w:r>
      <w:r>
        <w:t xml:space="preserve"> </w:t>
      </w:r>
      <w:r w:rsidRPr="001B20B4">
        <w:rPr>
          <w:i/>
        </w:rPr>
        <w:t>Numbering Resource Optimization</w:t>
      </w:r>
      <w:r>
        <w:t xml:space="preserve">, </w:t>
      </w:r>
      <w:r w:rsidRPr="001B20B4">
        <w:t>Report and Order and Further Notice of Proposed Rule</w:t>
      </w:r>
      <w:r w:rsidR="00314291">
        <w:t>m</w:t>
      </w:r>
      <w:r w:rsidRPr="001B20B4">
        <w:t>aking</w:t>
      </w:r>
      <w:r>
        <w:t xml:space="preserve">, 15 FCC </w:t>
      </w:r>
      <w:r>
        <w:t>Rcd</w:t>
      </w:r>
      <w:r>
        <w:t xml:space="preserve"> 7574, 7578-79, para. 5 (2000) (</w:t>
      </w:r>
      <w:r>
        <w:rPr>
          <w:i/>
        </w:rPr>
        <w:t>Numbering Report and Order</w:t>
      </w:r>
      <w:r w:rsidRPr="007B16B0">
        <w:t>)</w:t>
      </w:r>
      <w:r>
        <w:t>.</w:t>
      </w:r>
    </w:p>
  </w:footnote>
  <w:footnote w:id="7">
    <w:p w:rsidR="009E620D" w:rsidP="003B42CF" w14:paraId="25A7D6CE" w14:textId="77777777">
      <w:pPr>
        <w:pStyle w:val="FootnoteText"/>
      </w:pPr>
      <w:r>
        <w:rPr>
          <w:rStyle w:val="FootnoteReference"/>
        </w:rPr>
        <w:footnoteRef/>
      </w:r>
      <w:r>
        <w:t xml:space="preserve"> </w:t>
      </w:r>
      <w:r>
        <w:rPr>
          <w:i/>
        </w:rPr>
        <w:t>Numbering Report and Order</w:t>
      </w:r>
      <w:r w:rsidRPr="00AC0308">
        <w:rPr>
          <w:iCs/>
        </w:rPr>
        <w:t xml:space="preserve">, </w:t>
      </w:r>
      <w:r w:rsidRPr="004401D3">
        <w:t xml:space="preserve">15 FCC </w:t>
      </w:r>
      <w:r w:rsidRPr="004401D3">
        <w:t>Rcd</w:t>
      </w:r>
      <w:r w:rsidRPr="004401D3">
        <w:t xml:space="preserve"> </w:t>
      </w:r>
      <w:r>
        <w:t>at 7607, para. 78.</w:t>
      </w:r>
    </w:p>
  </w:footnote>
  <w:footnote w:id="8">
    <w:p w:rsidR="001A10E7" w14:paraId="3F4FED65" w14:textId="0BFF0ECE">
      <w:pPr>
        <w:pStyle w:val="FootnoteText"/>
      </w:pPr>
      <w:r>
        <w:rPr>
          <w:rStyle w:val="FootnoteReference"/>
        </w:rPr>
        <w:footnoteRef/>
      </w:r>
      <w:r>
        <w:t xml:space="preserve"> If disclosure is opposed, the procedures set forth in 47 CFR § 0.461(</w:t>
      </w:r>
      <w:r>
        <w:t>i</w:t>
      </w:r>
      <w:r>
        <w:t xml:space="preserve">) shall apply.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CD8" w:rsidRPr="00095CD8" w:rsidP="00095CD8" w14:paraId="44A94CE1" w14:textId="4EA9D97D">
    <w:pPr>
      <w:tabs>
        <w:tab w:val="center" w:pos="4680"/>
        <w:tab w:val="right" w:pos="9360"/>
      </w:tabs>
      <w:rPr>
        <w:u w:val="single"/>
      </w:rPr>
    </w:pPr>
    <w:r w:rsidRPr="00095CD8">
      <w:rPr>
        <w:b/>
        <w:u w:val="single"/>
      </w:rPr>
      <w:tab/>
      <w:t>Federal Communications Commission</w:t>
    </w:r>
    <w:r w:rsidRPr="00095CD8">
      <w:rPr>
        <w:b/>
        <w:u w:val="single"/>
      </w:rPr>
      <w:tab/>
    </w:r>
    <w:r>
      <w:rPr>
        <w:b/>
        <w:u w:val="single"/>
      </w:rPr>
      <w:t xml:space="preserve">DA </w:t>
    </w:r>
    <w:r w:rsidR="000F0F20">
      <w:rPr>
        <w:b/>
        <w:u w:val="single"/>
      </w:rPr>
      <w:t>26</w:t>
    </w:r>
    <w:r w:rsidR="006E33DF">
      <w:rPr>
        <w:b/>
        <w:u w:val="single"/>
      </w:rPr>
      <w:t>-</w:t>
    </w:r>
    <w:r w:rsidR="000F0F20">
      <w:rPr>
        <w:b/>
        <w:u w:val="single"/>
      </w:rPr>
      <w:t>115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20D" w:rsidRPr="00CE0778" w:rsidP="00CE0778" w14:paraId="25A7D6BF" w14:textId="19C1B847">
    <w:pPr>
      <w:pStyle w:val="Header"/>
    </w:pPr>
    <w:r>
      <w:rPr>
        <w:noProof/>
      </w:rPr>
      <w:drawing>
        <wp:inline distT="0" distB="0" distL="0" distR="0">
          <wp:extent cx="5943600" cy="1427225"/>
          <wp:effectExtent l="0" t="0" r="0" b="190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63A0E"/>
    <w:multiLevelType w:val="hybridMultilevel"/>
    <w:tmpl w:val="D39CAA58"/>
    <w:lvl w:ilvl="0">
      <w:start w:val="1"/>
      <w:numFmt w:val="bullet"/>
      <w:lvlText w:val=""/>
      <w:lvlJc w:val="left"/>
      <w:pPr>
        <w:tabs>
          <w:tab w:val="num" w:pos="576"/>
        </w:tabs>
        <w:ind w:left="576" w:hanging="288"/>
      </w:pPr>
      <w:rPr>
        <w:rFonts w:ascii="Symbol" w:hAnsi="Symbol" w:hint="default"/>
        <w:color w:val="auto"/>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
    <w:nsid w:val="06094545"/>
    <w:multiLevelType w:val="hybridMultilevel"/>
    <w:tmpl w:val="6B005A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F506BB4"/>
    <w:multiLevelType w:val="hybridMultilevel"/>
    <w:tmpl w:val="167E2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A9009E5"/>
    <w:multiLevelType w:val="multilevel"/>
    <w:tmpl w:val="86A027B6"/>
    <w:lvl w:ilvl="0">
      <w:start w:val="1"/>
      <w:numFmt w:val="decimal"/>
      <w:lvlText w:val="%1."/>
      <w:lvlJc w:val="left"/>
      <w:pPr>
        <w:tabs>
          <w:tab w:val="num" w:pos="720"/>
        </w:tabs>
        <w:ind w:left="720" w:hanging="720"/>
      </w:pPr>
      <w:rPr>
        <w:rFonts w:ascii="Tahoma" w:hAnsi="Tahom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rPr>
        <w:rFonts w:ascii="Times New Roman" w:hAnsi="Times New Roman" w:hint="default"/>
        <w:b/>
        <w:i w:val="0"/>
        <w:sz w:val="22"/>
      </w:r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8">
    <w:nsid w:val="38333CB5"/>
    <w:multiLevelType w:val="hybridMultilevel"/>
    <w:tmpl w:val="5B567CF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D0F1B3D"/>
    <w:multiLevelType w:val="singleLevel"/>
    <w:tmpl w:val="0902D07C"/>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5341241F"/>
    <w:multiLevelType w:val="singleLevel"/>
    <w:tmpl w:val="C0E46C6C"/>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12">
    <w:nsid w:val="541F6B38"/>
    <w:multiLevelType w:val="multilevel"/>
    <w:tmpl w:val="9BCA1692"/>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13">
    <w:nsid w:val="59BA0F8A"/>
    <w:multiLevelType w:val="singleLevel"/>
    <w:tmpl w:val="C03E86D2"/>
    <w:lvl w:ilvl="0">
      <w:start w:val="1"/>
      <w:numFmt w:val="bullet"/>
      <w:lvlText w:val=""/>
      <w:lvlJc w:val="left"/>
      <w:pPr>
        <w:tabs>
          <w:tab w:val="num" w:pos="2520"/>
        </w:tabs>
        <w:ind w:left="2520" w:hanging="360"/>
      </w:pPr>
      <w:rPr>
        <w:rFonts w:ascii="Symbol" w:hAnsi="Symbol" w:hint="default"/>
      </w:rPr>
    </w:lvl>
  </w:abstractNum>
  <w:abstractNum w:abstractNumId="14">
    <w:nsid w:val="5D2B06DD"/>
    <w:multiLevelType w:val="multilevel"/>
    <w:tmpl w:val="E9F88194"/>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1656"/>
        </w:tabs>
        <w:ind w:left="1440" w:hanging="144"/>
      </w:pPr>
      <w:rPr>
        <w:rFonts w:ascii="Times New Roman" w:hAnsi="Times New Roman" w:hint="default"/>
        <w:b/>
        <w:i w:val="0"/>
        <w:sz w:val="22"/>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ascii="Times New Roman" w:hAnsi="Times New Roman" w:hint="default"/>
        <w:b/>
        <w:i w:val="0"/>
        <w:sz w:val="22"/>
      </w:rPr>
    </w:lvl>
    <w:lvl w:ilvl="4">
      <w:start w:val="1"/>
      <w:numFmt w:val="lowerRoman"/>
      <w:lvlText w:val="(%5)"/>
      <w:lvlJc w:val="left"/>
      <w:pPr>
        <w:tabs>
          <w:tab w:val="num" w:pos="3600"/>
        </w:tabs>
        <w:ind w:left="3600" w:hanging="720"/>
      </w:pPr>
      <w:rPr>
        <w:rFonts w:ascii="Times New Roman" w:hAnsi="Times New Roman" w:hint="default"/>
        <w:b/>
        <w:i w:val="0"/>
        <w:caps w:val="0"/>
        <w:strike w:val="0"/>
        <w:dstrike w:val="0"/>
        <w:vanish w:val="0"/>
        <w:sz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i w:val="0"/>
        <w:sz w:val="22"/>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rPr>
        <w:rFonts w:ascii="Times New Roman" w:hAnsi="Times New Roman" w:hint="default"/>
        <w:b/>
        <w:i w:val="0"/>
        <w:sz w:val="22"/>
      </w:rPr>
    </w:lvl>
    <w:lvl w:ilvl="8">
      <w:start w:val="1"/>
      <w:numFmt w:val="lowerRoman"/>
      <w:lvlText w:val="(%9)"/>
      <w:lvlJc w:val="left"/>
      <w:pPr>
        <w:tabs>
          <w:tab w:val="num" w:pos="6480"/>
        </w:tabs>
        <w:ind w:left="5760" w:firstLine="0"/>
      </w:pPr>
      <w:rPr>
        <w:rFonts w:ascii="Times New Roman" w:hAnsi="Times New Roman" w:hint="default"/>
        <w:b/>
        <w:i w:val="0"/>
        <w:sz w:val="22"/>
      </w:rPr>
    </w:lvl>
  </w:abstractNum>
  <w:abstractNum w:abstractNumId="15">
    <w:nsid w:val="61182925"/>
    <w:multiLevelType w:val="singleLevel"/>
    <w:tmpl w:val="D180CED0"/>
    <w:lvl w:ilvl="0">
      <w:start w:val="1"/>
      <w:numFmt w:val="decimal"/>
      <w:pStyle w:val="ParaNum0"/>
      <w:lvlText w:val="%1."/>
      <w:lvlJc w:val="left"/>
      <w:pPr>
        <w:tabs>
          <w:tab w:val="num" w:pos="1080"/>
        </w:tabs>
        <w:ind w:left="0" w:firstLine="720"/>
      </w:pPr>
    </w:lvl>
  </w:abstractNum>
  <w:num w:numId="1" w16cid:durableId="753749506">
    <w:abstractNumId w:val="13"/>
  </w:num>
  <w:num w:numId="2" w16cid:durableId="1372415472">
    <w:abstractNumId w:val="12"/>
  </w:num>
  <w:num w:numId="3" w16cid:durableId="1187215220">
    <w:abstractNumId w:val="14"/>
  </w:num>
  <w:num w:numId="4" w16cid:durableId="247542569">
    <w:abstractNumId w:val="7"/>
  </w:num>
  <w:num w:numId="5" w16cid:durableId="1502889208">
    <w:abstractNumId w:val="14"/>
  </w:num>
  <w:num w:numId="6" w16cid:durableId="549193300">
    <w:abstractNumId w:val="14"/>
  </w:num>
  <w:num w:numId="7" w16cid:durableId="1130443424">
    <w:abstractNumId w:val="14"/>
  </w:num>
  <w:num w:numId="8" w16cid:durableId="496502397">
    <w:abstractNumId w:val="14"/>
  </w:num>
  <w:num w:numId="9" w16cid:durableId="111442248">
    <w:abstractNumId w:val="14"/>
  </w:num>
  <w:num w:numId="10" w16cid:durableId="711878443">
    <w:abstractNumId w:val="14"/>
  </w:num>
  <w:num w:numId="11" w16cid:durableId="874926919">
    <w:abstractNumId w:val="11"/>
  </w:num>
  <w:num w:numId="12" w16cid:durableId="1478304074">
    <w:abstractNumId w:val="9"/>
  </w:num>
  <w:num w:numId="13" w16cid:durableId="1355231494">
    <w:abstractNumId w:val="1"/>
  </w:num>
  <w:num w:numId="14" w16cid:durableId="351300517">
    <w:abstractNumId w:val="0"/>
  </w:num>
  <w:num w:numId="15" w16cid:durableId="1637879650">
    <w:abstractNumId w:val="3"/>
  </w:num>
  <w:num w:numId="16" w16cid:durableId="1804889323">
    <w:abstractNumId w:val="15"/>
  </w:num>
  <w:num w:numId="17" w16cid:durableId="123739831">
    <w:abstractNumId w:val="8"/>
  </w:num>
  <w:num w:numId="18" w16cid:durableId="384721610">
    <w:abstractNumId w:val="4"/>
  </w:num>
  <w:num w:numId="19" w16cid:durableId="1081369440">
    <w:abstractNumId w:val="6"/>
  </w:num>
  <w:num w:numId="20" w16cid:durableId="751509521">
    <w:abstractNumId w:val="10"/>
  </w:num>
  <w:num w:numId="21" w16cid:durableId="1877308995">
    <w:abstractNumId w:val="5"/>
  </w:num>
  <w:num w:numId="22" w16cid:durableId="751660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E7"/>
    <w:rsid w:val="000009B6"/>
    <w:rsid w:val="000022AC"/>
    <w:rsid w:val="00004FD6"/>
    <w:rsid w:val="000149F2"/>
    <w:rsid w:val="000264C8"/>
    <w:rsid w:val="00031C43"/>
    <w:rsid w:val="00054190"/>
    <w:rsid w:val="000604CE"/>
    <w:rsid w:val="0007246D"/>
    <w:rsid w:val="00073062"/>
    <w:rsid w:val="000732EE"/>
    <w:rsid w:val="00093AB0"/>
    <w:rsid w:val="000951BA"/>
    <w:rsid w:val="00095CD8"/>
    <w:rsid w:val="00096097"/>
    <w:rsid w:val="000C04E1"/>
    <w:rsid w:val="000C26FA"/>
    <w:rsid w:val="000C360B"/>
    <w:rsid w:val="000D1F31"/>
    <w:rsid w:val="000E5975"/>
    <w:rsid w:val="000F0F20"/>
    <w:rsid w:val="000F106D"/>
    <w:rsid w:val="000F464A"/>
    <w:rsid w:val="0010558D"/>
    <w:rsid w:val="00105E54"/>
    <w:rsid w:val="0011041A"/>
    <w:rsid w:val="00111B14"/>
    <w:rsid w:val="00112606"/>
    <w:rsid w:val="001139B8"/>
    <w:rsid w:val="00142FFA"/>
    <w:rsid w:val="0014485C"/>
    <w:rsid w:val="00155562"/>
    <w:rsid w:val="00156A84"/>
    <w:rsid w:val="00162FC3"/>
    <w:rsid w:val="00163B87"/>
    <w:rsid w:val="00164389"/>
    <w:rsid w:val="00165127"/>
    <w:rsid w:val="00166191"/>
    <w:rsid w:val="001756DB"/>
    <w:rsid w:val="001760D3"/>
    <w:rsid w:val="00182ED4"/>
    <w:rsid w:val="001A02C4"/>
    <w:rsid w:val="001A10E7"/>
    <w:rsid w:val="001A7F99"/>
    <w:rsid w:val="001B03EA"/>
    <w:rsid w:val="001B07BE"/>
    <w:rsid w:val="001B20B4"/>
    <w:rsid w:val="001C1EE9"/>
    <w:rsid w:val="001D519A"/>
    <w:rsid w:val="001D69E4"/>
    <w:rsid w:val="001E3091"/>
    <w:rsid w:val="001F78AB"/>
    <w:rsid w:val="00207062"/>
    <w:rsid w:val="00207B5C"/>
    <w:rsid w:val="00211126"/>
    <w:rsid w:val="002129B3"/>
    <w:rsid w:val="00213584"/>
    <w:rsid w:val="002261E3"/>
    <w:rsid w:val="00237AB2"/>
    <w:rsid w:val="0024019D"/>
    <w:rsid w:val="00240CFB"/>
    <w:rsid w:val="00241EFD"/>
    <w:rsid w:val="00243FBB"/>
    <w:rsid w:val="00253B99"/>
    <w:rsid w:val="00254D17"/>
    <w:rsid w:val="002557CC"/>
    <w:rsid w:val="002605F2"/>
    <w:rsid w:val="002666CA"/>
    <w:rsid w:val="0027726C"/>
    <w:rsid w:val="002933BB"/>
    <w:rsid w:val="002C5F8B"/>
    <w:rsid w:val="002D051F"/>
    <w:rsid w:val="002F0454"/>
    <w:rsid w:val="002F2EDB"/>
    <w:rsid w:val="002F4AB0"/>
    <w:rsid w:val="0030553A"/>
    <w:rsid w:val="00314291"/>
    <w:rsid w:val="00315919"/>
    <w:rsid w:val="00325385"/>
    <w:rsid w:val="00325872"/>
    <w:rsid w:val="00331C25"/>
    <w:rsid w:val="00343E6E"/>
    <w:rsid w:val="003447AE"/>
    <w:rsid w:val="00354AF7"/>
    <w:rsid w:val="00355FFB"/>
    <w:rsid w:val="00357355"/>
    <w:rsid w:val="00357357"/>
    <w:rsid w:val="00357ED7"/>
    <w:rsid w:val="00361888"/>
    <w:rsid w:val="003638B5"/>
    <w:rsid w:val="00365E1C"/>
    <w:rsid w:val="00367D90"/>
    <w:rsid w:val="003709B7"/>
    <w:rsid w:val="00372014"/>
    <w:rsid w:val="0037240D"/>
    <w:rsid w:val="00390008"/>
    <w:rsid w:val="003909A8"/>
    <w:rsid w:val="00391091"/>
    <w:rsid w:val="00392228"/>
    <w:rsid w:val="003A2067"/>
    <w:rsid w:val="003B1D97"/>
    <w:rsid w:val="003B42CF"/>
    <w:rsid w:val="003B4483"/>
    <w:rsid w:val="003B4F85"/>
    <w:rsid w:val="003B5A51"/>
    <w:rsid w:val="003C0738"/>
    <w:rsid w:val="003C5F83"/>
    <w:rsid w:val="003D036D"/>
    <w:rsid w:val="003D6DF4"/>
    <w:rsid w:val="003F3136"/>
    <w:rsid w:val="00404B63"/>
    <w:rsid w:val="00414DA1"/>
    <w:rsid w:val="0041534B"/>
    <w:rsid w:val="004234C5"/>
    <w:rsid w:val="00423C79"/>
    <w:rsid w:val="00432048"/>
    <w:rsid w:val="00434A1B"/>
    <w:rsid w:val="00434E20"/>
    <w:rsid w:val="004358C0"/>
    <w:rsid w:val="00437853"/>
    <w:rsid w:val="004401D3"/>
    <w:rsid w:val="00446336"/>
    <w:rsid w:val="00447B68"/>
    <w:rsid w:val="00455E39"/>
    <w:rsid w:val="00457000"/>
    <w:rsid w:val="00466CCC"/>
    <w:rsid w:val="00483BBD"/>
    <w:rsid w:val="00483DD8"/>
    <w:rsid w:val="00485CE9"/>
    <w:rsid w:val="00487414"/>
    <w:rsid w:val="00487D15"/>
    <w:rsid w:val="004900C8"/>
    <w:rsid w:val="00491E7C"/>
    <w:rsid w:val="004A40E5"/>
    <w:rsid w:val="004A50B7"/>
    <w:rsid w:val="004B19E3"/>
    <w:rsid w:val="004B2847"/>
    <w:rsid w:val="004B3487"/>
    <w:rsid w:val="004C0325"/>
    <w:rsid w:val="004C14A6"/>
    <w:rsid w:val="004C3842"/>
    <w:rsid w:val="004C59C6"/>
    <w:rsid w:val="004C662C"/>
    <w:rsid w:val="004D2016"/>
    <w:rsid w:val="004F5496"/>
    <w:rsid w:val="004F5ABE"/>
    <w:rsid w:val="004F7816"/>
    <w:rsid w:val="00501AE1"/>
    <w:rsid w:val="0050256D"/>
    <w:rsid w:val="005031C2"/>
    <w:rsid w:val="005228E9"/>
    <w:rsid w:val="00537A23"/>
    <w:rsid w:val="00543D5E"/>
    <w:rsid w:val="005455AB"/>
    <w:rsid w:val="005458A9"/>
    <w:rsid w:val="00552BDC"/>
    <w:rsid w:val="00557892"/>
    <w:rsid w:val="00560A0C"/>
    <w:rsid w:val="005631CC"/>
    <w:rsid w:val="005664C5"/>
    <w:rsid w:val="00585193"/>
    <w:rsid w:val="00594FD7"/>
    <w:rsid w:val="0059759E"/>
    <w:rsid w:val="005A33B2"/>
    <w:rsid w:val="005B1109"/>
    <w:rsid w:val="005B709D"/>
    <w:rsid w:val="005C07AC"/>
    <w:rsid w:val="005C0960"/>
    <w:rsid w:val="005C4E55"/>
    <w:rsid w:val="005D3FFF"/>
    <w:rsid w:val="005D6F2C"/>
    <w:rsid w:val="005E111E"/>
    <w:rsid w:val="005E25A2"/>
    <w:rsid w:val="005E7C51"/>
    <w:rsid w:val="005E7DE9"/>
    <w:rsid w:val="005F3215"/>
    <w:rsid w:val="005F4AA2"/>
    <w:rsid w:val="005F52B6"/>
    <w:rsid w:val="00612717"/>
    <w:rsid w:val="00615F54"/>
    <w:rsid w:val="00646308"/>
    <w:rsid w:val="006559DB"/>
    <w:rsid w:val="0066295F"/>
    <w:rsid w:val="00664C9C"/>
    <w:rsid w:val="0066540B"/>
    <w:rsid w:val="00667712"/>
    <w:rsid w:val="00671EAA"/>
    <w:rsid w:val="00675CB9"/>
    <w:rsid w:val="00690838"/>
    <w:rsid w:val="0069290C"/>
    <w:rsid w:val="006A19FC"/>
    <w:rsid w:val="006A4520"/>
    <w:rsid w:val="006A4AEC"/>
    <w:rsid w:val="006A5A12"/>
    <w:rsid w:val="006C4C35"/>
    <w:rsid w:val="006C5DF2"/>
    <w:rsid w:val="006D0B8E"/>
    <w:rsid w:val="006D7AF6"/>
    <w:rsid w:val="006E02AC"/>
    <w:rsid w:val="006E33DF"/>
    <w:rsid w:val="006F0ECE"/>
    <w:rsid w:val="006F0FAA"/>
    <w:rsid w:val="006F438D"/>
    <w:rsid w:val="006F6FB1"/>
    <w:rsid w:val="00717DF9"/>
    <w:rsid w:val="0072346E"/>
    <w:rsid w:val="007363FD"/>
    <w:rsid w:val="007665F9"/>
    <w:rsid w:val="00770E2E"/>
    <w:rsid w:val="00787EBE"/>
    <w:rsid w:val="00790753"/>
    <w:rsid w:val="007915B3"/>
    <w:rsid w:val="007932AE"/>
    <w:rsid w:val="007B16B0"/>
    <w:rsid w:val="007C0A43"/>
    <w:rsid w:val="007C2B5A"/>
    <w:rsid w:val="007C44CD"/>
    <w:rsid w:val="007C757A"/>
    <w:rsid w:val="007C79A5"/>
    <w:rsid w:val="007D3424"/>
    <w:rsid w:val="007D343C"/>
    <w:rsid w:val="007E6654"/>
    <w:rsid w:val="007F1423"/>
    <w:rsid w:val="007F4468"/>
    <w:rsid w:val="007F5522"/>
    <w:rsid w:val="00807FC6"/>
    <w:rsid w:val="00824207"/>
    <w:rsid w:val="008249A2"/>
    <w:rsid w:val="00826902"/>
    <w:rsid w:val="00830F35"/>
    <w:rsid w:val="00834B8C"/>
    <w:rsid w:val="008372DD"/>
    <w:rsid w:val="00843835"/>
    <w:rsid w:val="008446AF"/>
    <w:rsid w:val="008502ED"/>
    <w:rsid w:val="00872715"/>
    <w:rsid w:val="00874CF3"/>
    <w:rsid w:val="00876025"/>
    <w:rsid w:val="00891F1C"/>
    <w:rsid w:val="008A2EBA"/>
    <w:rsid w:val="008A2F2B"/>
    <w:rsid w:val="008A5E71"/>
    <w:rsid w:val="008A73CD"/>
    <w:rsid w:val="008B11B6"/>
    <w:rsid w:val="008B4414"/>
    <w:rsid w:val="008B732C"/>
    <w:rsid w:val="008D22FD"/>
    <w:rsid w:val="008D23E9"/>
    <w:rsid w:val="008D3300"/>
    <w:rsid w:val="008F36E0"/>
    <w:rsid w:val="0090087E"/>
    <w:rsid w:val="009038D4"/>
    <w:rsid w:val="00914497"/>
    <w:rsid w:val="00922096"/>
    <w:rsid w:val="00934C17"/>
    <w:rsid w:val="0093709F"/>
    <w:rsid w:val="009466AB"/>
    <w:rsid w:val="00954158"/>
    <w:rsid w:val="009608A8"/>
    <w:rsid w:val="00961C41"/>
    <w:rsid w:val="00964DB6"/>
    <w:rsid w:val="00966035"/>
    <w:rsid w:val="00966783"/>
    <w:rsid w:val="00976A39"/>
    <w:rsid w:val="00980F5E"/>
    <w:rsid w:val="00985F96"/>
    <w:rsid w:val="00992790"/>
    <w:rsid w:val="00992FF8"/>
    <w:rsid w:val="009A1787"/>
    <w:rsid w:val="009C06ED"/>
    <w:rsid w:val="009E620D"/>
    <w:rsid w:val="009F0B8F"/>
    <w:rsid w:val="00A05873"/>
    <w:rsid w:val="00A068FC"/>
    <w:rsid w:val="00A06BD1"/>
    <w:rsid w:val="00A127E8"/>
    <w:rsid w:val="00A15206"/>
    <w:rsid w:val="00A36E54"/>
    <w:rsid w:val="00A565BF"/>
    <w:rsid w:val="00A64A54"/>
    <w:rsid w:val="00A70BB7"/>
    <w:rsid w:val="00A769B0"/>
    <w:rsid w:val="00A805B0"/>
    <w:rsid w:val="00A813C3"/>
    <w:rsid w:val="00A9005B"/>
    <w:rsid w:val="00A90C2C"/>
    <w:rsid w:val="00AA0CE3"/>
    <w:rsid w:val="00AA29E0"/>
    <w:rsid w:val="00AA47E1"/>
    <w:rsid w:val="00AC0308"/>
    <w:rsid w:val="00AE4A82"/>
    <w:rsid w:val="00AF062D"/>
    <w:rsid w:val="00AF64A7"/>
    <w:rsid w:val="00AF715A"/>
    <w:rsid w:val="00B028D1"/>
    <w:rsid w:val="00B04C8A"/>
    <w:rsid w:val="00B06BBD"/>
    <w:rsid w:val="00B07A26"/>
    <w:rsid w:val="00B143D3"/>
    <w:rsid w:val="00B36B8E"/>
    <w:rsid w:val="00B522EE"/>
    <w:rsid w:val="00B60C5D"/>
    <w:rsid w:val="00B63F0C"/>
    <w:rsid w:val="00B74164"/>
    <w:rsid w:val="00B75180"/>
    <w:rsid w:val="00BB0038"/>
    <w:rsid w:val="00BB068D"/>
    <w:rsid w:val="00BB2ACB"/>
    <w:rsid w:val="00BD3DCF"/>
    <w:rsid w:val="00BD4636"/>
    <w:rsid w:val="00BF72CE"/>
    <w:rsid w:val="00BF7452"/>
    <w:rsid w:val="00C066DC"/>
    <w:rsid w:val="00C107AC"/>
    <w:rsid w:val="00C218D4"/>
    <w:rsid w:val="00C24B11"/>
    <w:rsid w:val="00C26BE0"/>
    <w:rsid w:val="00C37A64"/>
    <w:rsid w:val="00C429CA"/>
    <w:rsid w:val="00C448B2"/>
    <w:rsid w:val="00C54609"/>
    <w:rsid w:val="00C54CF8"/>
    <w:rsid w:val="00C63F89"/>
    <w:rsid w:val="00C66B04"/>
    <w:rsid w:val="00C72E63"/>
    <w:rsid w:val="00C9315B"/>
    <w:rsid w:val="00C9551A"/>
    <w:rsid w:val="00C95D22"/>
    <w:rsid w:val="00C9729B"/>
    <w:rsid w:val="00CE05F8"/>
    <w:rsid w:val="00CE0778"/>
    <w:rsid w:val="00CE2F8C"/>
    <w:rsid w:val="00CF277E"/>
    <w:rsid w:val="00CF2788"/>
    <w:rsid w:val="00CF62A7"/>
    <w:rsid w:val="00D017E4"/>
    <w:rsid w:val="00D05977"/>
    <w:rsid w:val="00D17C0B"/>
    <w:rsid w:val="00D22B46"/>
    <w:rsid w:val="00D47DF3"/>
    <w:rsid w:val="00D55761"/>
    <w:rsid w:val="00D56F28"/>
    <w:rsid w:val="00D63779"/>
    <w:rsid w:val="00D661F3"/>
    <w:rsid w:val="00D730F5"/>
    <w:rsid w:val="00D73A2D"/>
    <w:rsid w:val="00D803C8"/>
    <w:rsid w:val="00D87672"/>
    <w:rsid w:val="00D93428"/>
    <w:rsid w:val="00DA10B0"/>
    <w:rsid w:val="00DC11A6"/>
    <w:rsid w:val="00DC488A"/>
    <w:rsid w:val="00DC56DB"/>
    <w:rsid w:val="00DD2B79"/>
    <w:rsid w:val="00DE3B39"/>
    <w:rsid w:val="00DE4DD0"/>
    <w:rsid w:val="00DF1406"/>
    <w:rsid w:val="00DF6990"/>
    <w:rsid w:val="00E06DAD"/>
    <w:rsid w:val="00E14726"/>
    <w:rsid w:val="00E22E94"/>
    <w:rsid w:val="00E371D1"/>
    <w:rsid w:val="00E55497"/>
    <w:rsid w:val="00E61A8C"/>
    <w:rsid w:val="00E64902"/>
    <w:rsid w:val="00E67D73"/>
    <w:rsid w:val="00E706E5"/>
    <w:rsid w:val="00E7171C"/>
    <w:rsid w:val="00E71D09"/>
    <w:rsid w:val="00E7679D"/>
    <w:rsid w:val="00E77E91"/>
    <w:rsid w:val="00E87F93"/>
    <w:rsid w:val="00E97571"/>
    <w:rsid w:val="00EA1652"/>
    <w:rsid w:val="00EA58FF"/>
    <w:rsid w:val="00EA710C"/>
    <w:rsid w:val="00EA724C"/>
    <w:rsid w:val="00EB2C29"/>
    <w:rsid w:val="00EC0821"/>
    <w:rsid w:val="00EC0F0C"/>
    <w:rsid w:val="00EC11D2"/>
    <w:rsid w:val="00ED1352"/>
    <w:rsid w:val="00ED2124"/>
    <w:rsid w:val="00ED3423"/>
    <w:rsid w:val="00ED4F70"/>
    <w:rsid w:val="00EF563D"/>
    <w:rsid w:val="00EF5892"/>
    <w:rsid w:val="00F0723F"/>
    <w:rsid w:val="00F27A10"/>
    <w:rsid w:val="00F42819"/>
    <w:rsid w:val="00F5136E"/>
    <w:rsid w:val="00F71B09"/>
    <w:rsid w:val="00F97995"/>
    <w:rsid w:val="00FA1895"/>
    <w:rsid w:val="00FC4F3E"/>
    <w:rsid w:val="00FD539C"/>
    <w:rsid w:val="00FE1F7A"/>
    <w:rsid w:val="00FE24E9"/>
    <w:rsid w:val="00FE699F"/>
    <w:rsid w:val="00FF4DF2"/>
    <w:rsid w:val="056AA50B"/>
    <w:rsid w:val="13986E0E"/>
    <w:rsid w:val="2702F164"/>
    <w:rsid w:val="5A63D622"/>
    <w:rsid w:val="5AA8CD11"/>
    <w:rsid w:val="7588C2C2"/>
    <w:rsid w:val="7D1E584D"/>
    <w:rsid w:val="7F9A7215"/>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25A7D69F"/>
  <w15:docId w15:val="{576BBE1C-AE99-48A8-A67E-D0B9763E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562"/>
    <w:pPr>
      <w:widowControl w:val="0"/>
    </w:pPr>
    <w:rPr>
      <w:snapToGrid w:val="0"/>
      <w:kern w:val="28"/>
      <w:sz w:val="22"/>
    </w:rPr>
  </w:style>
  <w:style w:type="paragraph" w:styleId="Heading1">
    <w:name w:val="heading 1"/>
    <w:basedOn w:val="Normal"/>
    <w:next w:val="ParaNum0"/>
    <w:qFormat/>
    <w:rsid w:val="00155562"/>
    <w:pPr>
      <w:keepNext/>
      <w:numPr>
        <w:numId w:val="19"/>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0"/>
    <w:autoRedefine/>
    <w:qFormat/>
    <w:rsid w:val="00155562"/>
    <w:pPr>
      <w:keepNext/>
      <w:numPr>
        <w:ilvl w:val="1"/>
        <w:numId w:val="19"/>
      </w:numPr>
      <w:spacing w:after="120"/>
      <w:outlineLvl w:val="1"/>
    </w:pPr>
    <w:rPr>
      <w:b/>
    </w:rPr>
  </w:style>
  <w:style w:type="paragraph" w:styleId="Heading3">
    <w:name w:val="heading 3"/>
    <w:basedOn w:val="Normal"/>
    <w:next w:val="ParaNum0"/>
    <w:qFormat/>
    <w:rsid w:val="00155562"/>
    <w:pPr>
      <w:keepNext/>
      <w:numPr>
        <w:ilvl w:val="2"/>
        <w:numId w:val="19"/>
      </w:numPr>
      <w:tabs>
        <w:tab w:val="left" w:pos="2160"/>
      </w:tabs>
      <w:spacing w:after="120"/>
      <w:outlineLvl w:val="2"/>
    </w:pPr>
    <w:rPr>
      <w:b/>
    </w:rPr>
  </w:style>
  <w:style w:type="paragraph" w:styleId="Heading4">
    <w:name w:val="heading 4"/>
    <w:basedOn w:val="Normal"/>
    <w:next w:val="ParaNum0"/>
    <w:qFormat/>
    <w:rsid w:val="00155562"/>
    <w:pPr>
      <w:keepNext/>
      <w:numPr>
        <w:ilvl w:val="3"/>
        <w:numId w:val="19"/>
      </w:numPr>
      <w:tabs>
        <w:tab w:val="left" w:pos="2880"/>
      </w:tabs>
      <w:spacing w:after="120"/>
      <w:outlineLvl w:val="3"/>
    </w:pPr>
    <w:rPr>
      <w:b/>
    </w:rPr>
  </w:style>
  <w:style w:type="paragraph" w:styleId="Heading5">
    <w:name w:val="heading 5"/>
    <w:basedOn w:val="Normal"/>
    <w:next w:val="ParaNum0"/>
    <w:qFormat/>
    <w:rsid w:val="00155562"/>
    <w:pPr>
      <w:keepNext/>
      <w:numPr>
        <w:ilvl w:val="4"/>
        <w:numId w:val="19"/>
      </w:numPr>
      <w:tabs>
        <w:tab w:val="left" w:pos="3600"/>
      </w:tabs>
      <w:suppressAutoHyphens/>
      <w:spacing w:after="120"/>
      <w:outlineLvl w:val="4"/>
    </w:pPr>
    <w:rPr>
      <w:b/>
    </w:rPr>
  </w:style>
  <w:style w:type="paragraph" w:styleId="Heading6">
    <w:name w:val="heading 6"/>
    <w:basedOn w:val="Normal"/>
    <w:next w:val="ParaNum0"/>
    <w:qFormat/>
    <w:rsid w:val="00155562"/>
    <w:pPr>
      <w:numPr>
        <w:ilvl w:val="5"/>
        <w:numId w:val="19"/>
      </w:numPr>
      <w:tabs>
        <w:tab w:val="left" w:pos="4320"/>
      </w:tabs>
      <w:spacing w:after="120"/>
      <w:outlineLvl w:val="5"/>
    </w:pPr>
    <w:rPr>
      <w:b/>
    </w:rPr>
  </w:style>
  <w:style w:type="paragraph" w:styleId="Heading7">
    <w:name w:val="heading 7"/>
    <w:basedOn w:val="Normal"/>
    <w:next w:val="ParaNum0"/>
    <w:qFormat/>
    <w:rsid w:val="00155562"/>
    <w:pPr>
      <w:numPr>
        <w:ilvl w:val="6"/>
        <w:numId w:val="19"/>
      </w:numPr>
      <w:tabs>
        <w:tab w:val="left" w:pos="5040"/>
      </w:tabs>
      <w:spacing w:after="120"/>
      <w:ind w:left="5040" w:hanging="720"/>
      <w:outlineLvl w:val="6"/>
    </w:pPr>
    <w:rPr>
      <w:b/>
    </w:rPr>
  </w:style>
  <w:style w:type="paragraph" w:styleId="Heading8">
    <w:name w:val="heading 8"/>
    <w:basedOn w:val="Normal"/>
    <w:next w:val="ParaNum0"/>
    <w:qFormat/>
    <w:rsid w:val="00155562"/>
    <w:pPr>
      <w:numPr>
        <w:ilvl w:val="7"/>
        <w:numId w:val="19"/>
      </w:numPr>
      <w:tabs>
        <w:tab w:val="clear" w:pos="5400"/>
        <w:tab w:val="left" w:pos="5760"/>
      </w:tabs>
      <w:spacing w:after="120"/>
      <w:ind w:left="5760" w:hanging="720"/>
      <w:outlineLvl w:val="7"/>
    </w:pPr>
    <w:rPr>
      <w:b/>
    </w:rPr>
  </w:style>
  <w:style w:type="paragraph" w:styleId="Heading9">
    <w:name w:val="heading 9"/>
    <w:basedOn w:val="Normal"/>
    <w:next w:val="ParaNum0"/>
    <w:qFormat/>
    <w:rsid w:val="00155562"/>
    <w:pPr>
      <w:numPr>
        <w:ilvl w:val="8"/>
        <w:numId w:val="19"/>
      </w:numPr>
      <w:tabs>
        <w:tab w:val="clear" w:pos="6120"/>
        <w:tab w:val="left" w:pos="6480"/>
      </w:tabs>
      <w:spacing w:after="120"/>
      <w:ind w:left="6480" w:hanging="720"/>
      <w:outlineLvl w:val="8"/>
    </w:pPr>
    <w:rPr>
      <w:b/>
    </w:rPr>
  </w:style>
  <w:style w:type="character" w:default="1" w:styleId="DefaultParagraphFont">
    <w:name w:val="Default Paragraph Font"/>
    <w:semiHidden/>
    <w:rsid w:val="001555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55562"/>
  </w:style>
  <w:style w:type="paragraph" w:styleId="Header">
    <w:name w:val="header"/>
    <w:basedOn w:val="Normal"/>
    <w:autoRedefine/>
    <w:rsid w:val="00155562"/>
    <w:pPr>
      <w:tabs>
        <w:tab w:val="center" w:pos="4680"/>
        <w:tab w:val="right" w:pos="9360"/>
      </w:tabs>
    </w:pPr>
    <w:rPr>
      <w:rFonts w:ascii="Arial" w:hAnsi="Arial" w:cs="Arial"/>
      <w:b/>
      <w:sz w:val="96"/>
      <w:szCs w:val="96"/>
    </w:rPr>
  </w:style>
  <w:style w:type="paragraph" w:styleId="Footer">
    <w:name w:val="footer"/>
    <w:basedOn w:val="Normal"/>
    <w:link w:val="FooterChar"/>
    <w:uiPriority w:val="99"/>
    <w:rsid w:val="00155562"/>
    <w:pPr>
      <w:tabs>
        <w:tab w:val="center" w:pos="4320"/>
        <w:tab w:val="right" w:pos="8640"/>
      </w:tabs>
    </w:pPr>
  </w:style>
  <w:style w:type="character" w:styleId="Hyperlink">
    <w:name w:val="Hyperlink"/>
    <w:rsid w:val="00155562"/>
    <w:rPr>
      <w:color w:val="0000FF"/>
      <w:u w:val="single"/>
    </w:rPr>
  </w:style>
  <w:style w:type="paragraph" w:styleId="BlockText">
    <w:name w:val="Block Text"/>
    <w:basedOn w:val="Normal"/>
    <w:rsid w:val="00155562"/>
    <w:pPr>
      <w:spacing w:after="240"/>
      <w:ind w:left="1440" w:right="1440"/>
    </w:pPr>
  </w:style>
  <w:style w:type="paragraph" w:customStyle="1" w:styleId="Bullet">
    <w:name w:val="Bullet"/>
    <w:basedOn w:val="Normal"/>
    <w:rsid w:val="00155562"/>
    <w:pPr>
      <w:numPr>
        <w:numId w:val="1"/>
      </w:numPr>
      <w:tabs>
        <w:tab w:val="left" w:pos="2160"/>
      </w:tabs>
      <w:spacing w:after="220"/>
      <w:ind w:left="2160" w:hanging="720"/>
    </w:pPr>
  </w:style>
  <w:style w:type="paragraph" w:styleId="Caption">
    <w:name w:val="caption"/>
    <w:basedOn w:val="Normal"/>
    <w:next w:val="Normal"/>
    <w:qFormat/>
    <w:pPr>
      <w:spacing w:before="120" w:after="120"/>
    </w:pPr>
    <w:rPr>
      <w:b/>
    </w:rPr>
  </w:style>
  <w:style w:type="character" w:styleId="FootnoteReference">
    <w:name w:val="footnote reference"/>
    <w:aliases w:val="(NECG) Footnote Reference,Appel note de bas de p,FR,Footnote Reference/,Footnote Reference1,Style 12,Style 124,Style 13,Style 17,Style 3,Style 4,Style 6,Style 7,fr,o"/>
    <w:rsid w:val="00155562"/>
    <w:rPr>
      <w:rFonts w:ascii="Times New Roman" w:hAnsi="Times New Roman"/>
      <w:dstrike w:val="0"/>
      <w:color w:val="auto"/>
      <w:sz w:val="22"/>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rsid w:val="00155562"/>
    <w:pPr>
      <w:spacing w:after="120"/>
    </w:pPr>
  </w:style>
  <w:style w:type="paragraph" w:customStyle="1" w:styleId="NumberedList">
    <w:name w:val="Numbered List"/>
    <w:basedOn w:val="Normal"/>
    <w:pPr>
      <w:numPr>
        <w:numId w:val="11"/>
      </w:numPr>
      <w:tabs>
        <w:tab w:val="clear" w:pos="1080"/>
      </w:tabs>
      <w:spacing w:after="220"/>
      <w:ind w:firstLine="0"/>
    </w:pPr>
  </w:style>
  <w:style w:type="paragraph" w:customStyle="1" w:styleId="Paranum">
    <w:name w:val="Paranum"/>
    <w:basedOn w:val="Normal"/>
    <w:pPr>
      <w:numPr>
        <w:numId w:val="12"/>
      </w:numPr>
      <w:tabs>
        <w:tab w:val="clear" w:pos="1080"/>
      </w:tabs>
      <w:spacing w:after="220"/>
      <w:jc w:val="both"/>
    </w:pPr>
  </w:style>
  <w:style w:type="paragraph" w:customStyle="1" w:styleId="TableFormat">
    <w:name w:val="Table Format"/>
    <w:basedOn w:val="Normal"/>
    <w:pPr>
      <w:tabs>
        <w:tab w:val="left" w:pos="5040"/>
      </w:tabs>
      <w:spacing w:after="220"/>
      <w:ind w:left="5040" w:hanging="3600"/>
      <w:jc w:val="both"/>
    </w:pPr>
  </w:style>
  <w:style w:type="paragraph" w:styleId="TOC1">
    <w:name w:val="toc 1"/>
    <w:basedOn w:val="Normal"/>
    <w:next w:val="Normal"/>
    <w:uiPriority w:val="39"/>
    <w:rsid w:val="00155562"/>
    <w:pPr>
      <w:tabs>
        <w:tab w:val="left" w:pos="360"/>
        <w:tab w:val="right" w:leader="dot" w:pos="9360"/>
      </w:tabs>
      <w:suppressAutoHyphens/>
      <w:ind w:left="360" w:right="720" w:hanging="360"/>
    </w:pPr>
    <w:rPr>
      <w:caps/>
      <w:noProof/>
    </w:rPr>
  </w:style>
  <w:style w:type="character" w:styleId="FollowedHyperlink">
    <w:name w:val="FollowedHyperlink"/>
    <w:semiHidden/>
    <w:rPr>
      <w:color w:val="800080"/>
      <w:u w:val="single"/>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235C25"/>
  </w:style>
  <w:style w:type="character" w:customStyle="1" w:styleId="Normal1">
    <w:name w:val="Normal1"/>
    <w:rsid w:val="008979AB"/>
    <w:rPr>
      <w:rFonts w:ascii="Times New Roman" w:hAnsi="Times New Roman"/>
      <w:noProof w:val="0"/>
      <w:sz w:val="20"/>
      <w:lang w:val="en-US"/>
    </w:rPr>
  </w:style>
  <w:style w:type="paragraph" w:customStyle="1" w:styleId="StyleParaNumTimesNewRoman11pt">
    <w:name w:val="Style ParaNum + Times New Roman 11 pt"/>
    <w:basedOn w:val="Normal"/>
    <w:link w:val="StyleParaNumTimesNewRoman11ptChar"/>
    <w:autoRedefine/>
    <w:rsid w:val="00E86F74"/>
    <w:pPr>
      <w:tabs>
        <w:tab w:val="num" w:pos="360"/>
        <w:tab w:val="left" w:pos="1440"/>
      </w:tabs>
      <w:spacing w:after="120"/>
      <w:ind w:left="360" w:hanging="360"/>
    </w:pPr>
  </w:style>
  <w:style w:type="character" w:customStyle="1" w:styleId="StyleParaNumTimesNewRoman11ptChar">
    <w:name w:val="Style ParaNum + Times New Roman 11 pt Char"/>
    <w:link w:val="StyleParaNumTimesNewRoman11pt"/>
    <w:locked/>
    <w:rsid w:val="00E86F74"/>
    <w:rPr>
      <w:kern w:val="28"/>
      <w:sz w:val="22"/>
    </w:rPr>
  </w:style>
  <w:style w:type="character" w:customStyle="1" w:styleId="Normal10">
    <w:name w:val="Normal1_0"/>
    <w:rsid w:val="00144BD1"/>
    <w:rPr>
      <w:rFonts w:ascii="Times New Roman" w:hAnsi="Times New Roman"/>
      <w:noProof w:val="0"/>
      <w:sz w:val="20"/>
      <w:lang w:val="en-US"/>
    </w:rPr>
  </w:style>
  <w:style w:type="character" w:customStyle="1" w:styleId="StyleTimesNewRomanBold11ptBold">
    <w:name w:val="Style Times New Roman Bold 11 pt Bold"/>
    <w:rsid w:val="00144BD1"/>
    <w:rPr>
      <w:rFonts w:hAnsi="Times New Roman Bold"/>
      <w:b/>
      <w:bCs/>
      <w:caps/>
      <w:sz w:val="22"/>
      <w:szCs w:val="22"/>
    </w:rPr>
  </w:style>
  <w:style w:type="paragraph" w:styleId="BodyText">
    <w:name w:val="Body Text"/>
    <w:basedOn w:val="Normal"/>
    <w:link w:val="BodyTextChar"/>
    <w:rsid w:val="00702185"/>
    <w:pPr>
      <w:tabs>
        <w:tab w:val="center" w:pos="4680"/>
      </w:tabs>
      <w:suppressAutoHyphens/>
      <w:jc w:val="center"/>
    </w:pPr>
    <w:rPr>
      <w:b/>
      <w:bCs/>
      <w:snapToGrid/>
      <w:sz w:val="24"/>
      <w:szCs w:val="24"/>
    </w:rPr>
  </w:style>
  <w:style w:type="character" w:customStyle="1" w:styleId="BodyTextChar">
    <w:name w:val="Body Text Char"/>
    <w:basedOn w:val="DefaultParagraphFont"/>
    <w:link w:val="BodyText"/>
    <w:rsid w:val="00702185"/>
    <w:rPr>
      <w:b/>
      <w:bCs/>
      <w:snapToGrid w:val="0"/>
      <w:sz w:val="24"/>
      <w:szCs w:val="24"/>
    </w:rPr>
  </w:style>
  <w:style w:type="paragraph" w:styleId="ListParagraph">
    <w:name w:val="List Paragraph"/>
    <w:basedOn w:val="Normal"/>
    <w:uiPriority w:val="34"/>
    <w:qFormat/>
    <w:rsid w:val="00A31FC8"/>
    <w:pPr>
      <w:ind w:left="720"/>
      <w:contextualSpacing/>
    </w:pPr>
  </w:style>
  <w:style w:type="paragraph" w:styleId="BalloonText">
    <w:name w:val="Balloon Text"/>
    <w:basedOn w:val="Normal"/>
    <w:link w:val="BalloonTextChar"/>
    <w:uiPriority w:val="99"/>
    <w:semiHidden/>
    <w:unhideWhenUsed/>
    <w:rsid w:val="00927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FFA"/>
    <w:rPr>
      <w:rFonts w:ascii="Segoe UI" w:hAnsi="Segoe UI" w:cs="Segoe UI"/>
      <w:sz w:val="18"/>
      <w:szCs w:val="18"/>
    </w:rPr>
  </w:style>
  <w:style w:type="character" w:styleId="CommentReference">
    <w:name w:val="annotation reference"/>
    <w:basedOn w:val="DefaultParagraphFont"/>
    <w:uiPriority w:val="99"/>
    <w:semiHidden/>
    <w:unhideWhenUsed/>
    <w:rsid w:val="005428D0"/>
    <w:rPr>
      <w:sz w:val="16"/>
      <w:szCs w:val="16"/>
    </w:rPr>
  </w:style>
  <w:style w:type="paragraph" w:styleId="CommentText">
    <w:name w:val="annotation text"/>
    <w:basedOn w:val="Normal"/>
    <w:link w:val="CommentTextChar"/>
    <w:uiPriority w:val="99"/>
    <w:unhideWhenUsed/>
    <w:rsid w:val="005428D0"/>
    <w:rPr>
      <w:sz w:val="20"/>
    </w:rPr>
  </w:style>
  <w:style w:type="character" w:customStyle="1" w:styleId="CommentTextChar">
    <w:name w:val="Comment Text Char"/>
    <w:basedOn w:val="DefaultParagraphFont"/>
    <w:link w:val="CommentText"/>
    <w:uiPriority w:val="99"/>
    <w:rsid w:val="005428D0"/>
  </w:style>
  <w:style w:type="character" w:styleId="UnresolvedMention">
    <w:name w:val="Unresolved Mention"/>
    <w:uiPriority w:val="99"/>
    <w:semiHidden/>
    <w:unhideWhenUsed/>
    <w:rsid w:val="00155562"/>
    <w:rPr>
      <w:color w:val="605E5C"/>
      <w:shd w:val="clear" w:color="auto" w:fill="E1DFDD"/>
    </w:rPr>
  </w:style>
  <w:style w:type="paragraph" w:styleId="Revision">
    <w:name w:val="Revision"/>
    <w:hidden/>
    <w:uiPriority w:val="99"/>
    <w:semiHidden/>
    <w:rsid w:val="008D3300"/>
    <w:rPr>
      <w:sz w:val="22"/>
    </w:rPr>
  </w:style>
  <w:style w:type="paragraph" w:styleId="CommentSubject">
    <w:name w:val="annotation subject"/>
    <w:basedOn w:val="CommentText"/>
    <w:next w:val="CommentText"/>
    <w:link w:val="CommentSubjectChar"/>
    <w:uiPriority w:val="99"/>
    <w:semiHidden/>
    <w:unhideWhenUsed/>
    <w:rsid w:val="006F438D"/>
    <w:rPr>
      <w:b/>
      <w:bCs/>
    </w:rPr>
  </w:style>
  <w:style w:type="character" w:customStyle="1" w:styleId="CommentSubjectChar">
    <w:name w:val="Comment Subject Char"/>
    <w:basedOn w:val="CommentTextChar"/>
    <w:link w:val="CommentSubject"/>
    <w:uiPriority w:val="99"/>
    <w:semiHidden/>
    <w:rsid w:val="006F438D"/>
    <w:rPr>
      <w:b/>
      <w:bCs/>
    </w:rPr>
  </w:style>
  <w:style w:type="paragraph" w:customStyle="1" w:styleId="ParaNum0">
    <w:name w:val="ParaNum"/>
    <w:basedOn w:val="Normal"/>
    <w:rsid w:val="00155562"/>
    <w:pPr>
      <w:numPr>
        <w:numId w:val="16"/>
      </w:numPr>
      <w:tabs>
        <w:tab w:val="clear" w:pos="1080"/>
        <w:tab w:val="num" w:pos="1440"/>
      </w:tabs>
      <w:spacing w:after="120"/>
    </w:pPr>
  </w:style>
  <w:style w:type="character" w:styleId="Mention">
    <w:name w:val="Mention"/>
    <w:basedOn w:val="DefaultParagraphFont"/>
    <w:uiPriority w:val="99"/>
    <w:unhideWhenUsed/>
    <w:rsid w:val="00DE4DD0"/>
    <w:rPr>
      <w:color w:val="2B579A"/>
      <w:shd w:val="clear" w:color="auto" w:fill="E1DFDD"/>
    </w:rPr>
  </w:style>
  <w:style w:type="paragraph" w:styleId="EndnoteText">
    <w:name w:val="endnote text"/>
    <w:basedOn w:val="Normal"/>
    <w:link w:val="EndnoteTextChar"/>
    <w:semiHidden/>
    <w:rsid w:val="00155562"/>
    <w:rPr>
      <w:sz w:val="20"/>
    </w:rPr>
  </w:style>
  <w:style w:type="character" w:customStyle="1" w:styleId="EndnoteTextChar">
    <w:name w:val="Endnote Text Char"/>
    <w:basedOn w:val="DefaultParagraphFont"/>
    <w:link w:val="EndnoteText"/>
    <w:semiHidden/>
    <w:rsid w:val="00A127E8"/>
    <w:rPr>
      <w:snapToGrid w:val="0"/>
      <w:kern w:val="28"/>
    </w:rPr>
  </w:style>
  <w:style w:type="character" w:styleId="EndnoteReference">
    <w:name w:val="endnote reference"/>
    <w:semiHidden/>
    <w:rsid w:val="00155562"/>
    <w:rPr>
      <w:vertAlign w:val="superscript"/>
    </w:rPr>
  </w:style>
  <w:style w:type="paragraph" w:styleId="TOC2">
    <w:name w:val="toc 2"/>
    <w:basedOn w:val="Normal"/>
    <w:next w:val="Normal"/>
    <w:semiHidden/>
    <w:rsid w:val="00155562"/>
    <w:pPr>
      <w:tabs>
        <w:tab w:val="left" w:pos="720"/>
        <w:tab w:val="right" w:leader="dot" w:pos="9360"/>
      </w:tabs>
      <w:suppressAutoHyphens/>
      <w:ind w:left="720" w:right="720" w:hanging="360"/>
    </w:pPr>
    <w:rPr>
      <w:noProof/>
    </w:rPr>
  </w:style>
  <w:style w:type="paragraph" w:styleId="TOC3">
    <w:name w:val="toc 3"/>
    <w:basedOn w:val="Normal"/>
    <w:next w:val="Normal"/>
    <w:semiHidden/>
    <w:rsid w:val="0015556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5556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5556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5556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5556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5556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5556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55562"/>
    <w:pPr>
      <w:tabs>
        <w:tab w:val="right" w:pos="9360"/>
      </w:tabs>
      <w:suppressAutoHyphens/>
    </w:pPr>
  </w:style>
  <w:style w:type="character" w:customStyle="1" w:styleId="EquationCaption">
    <w:name w:val="_Equation Caption"/>
    <w:rsid w:val="00155562"/>
  </w:style>
  <w:style w:type="character" w:styleId="PageNumber">
    <w:name w:val="page number"/>
    <w:basedOn w:val="DefaultParagraphFont"/>
    <w:rsid w:val="00155562"/>
  </w:style>
  <w:style w:type="paragraph" w:customStyle="1" w:styleId="Paratitle">
    <w:name w:val="Para title"/>
    <w:basedOn w:val="Normal"/>
    <w:rsid w:val="00155562"/>
    <w:pPr>
      <w:tabs>
        <w:tab w:val="center" w:pos="9270"/>
      </w:tabs>
      <w:spacing w:after="240"/>
    </w:pPr>
    <w:rPr>
      <w:spacing w:val="-2"/>
    </w:rPr>
  </w:style>
  <w:style w:type="paragraph" w:customStyle="1" w:styleId="TableFormat0">
    <w:name w:val="TableFormat"/>
    <w:basedOn w:val="Bullet"/>
    <w:rsid w:val="00155562"/>
    <w:pPr>
      <w:numPr>
        <w:numId w:val="0"/>
      </w:numPr>
      <w:tabs>
        <w:tab w:val="clear" w:pos="2160"/>
        <w:tab w:val="left" w:pos="5040"/>
      </w:tabs>
      <w:ind w:left="5040" w:hanging="3600"/>
    </w:pPr>
  </w:style>
  <w:style w:type="paragraph" w:customStyle="1" w:styleId="TOCTitle">
    <w:name w:val="TOC Title"/>
    <w:basedOn w:val="Normal"/>
    <w:rsid w:val="0015556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55562"/>
    <w:pPr>
      <w:jc w:val="center"/>
    </w:pPr>
    <w:rPr>
      <w:rFonts w:ascii="Times New Roman Bold" w:hAnsi="Times New Roman Bold"/>
      <w:b/>
      <w:bCs/>
      <w:caps/>
      <w:szCs w:val="22"/>
    </w:rPr>
  </w:style>
  <w:style w:type="character" w:customStyle="1" w:styleId="FooterChar">
    <w:name w:val="Footer Char"/>
    <w:link w:val="Footer"/>
    <w:uiPriority w:val="99"/>
    <w:rsid w:val="00155562"/>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Susannah.Larson@fcc.gov" TargetMode="External" /><Relationship Id="rId7" Type="http://schemas.openxmlformats.org/officeDocument/2006/relationships/hyperlink" Target="mailto:Judith.Dempsey@fcc.gov" TargetMode="External" /><Relationship Id="rId8" Type="http://schemas.openxmlformats.org/officeDocument/2006/relationships/hyperlink" Target="mailto:Joel.Rabinovitz@fcc.gov" TargetMode="External" /><Relationship Id="rId9" Type="http://schemas.openxmlformats.org/officeDocument/2006/relationships/hyperlink" Target="mailto:fcc504@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