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D1509" w:rsidP="002D1509" w14:paraId="558A21DF" w14:textId="77777777">
      <w:pPr>
        <w:jc w:val="right"/>
        <w:rPr>
          <w:sz w:val="24"/>
        </w:rPr>
      </w:pPr>
      <w:bookmarkStart w:id="0" w:name="TOChere"/>
    </w:p>
    <w:p w:rsidR="002D1509" w:rsidP="002D1509" w14:paraId="2F4248E5" w14:textId="77777777">
      <w:pPr>
        <w:jc w:val="right"/>
        <w:rPr>
          <w:b/>
          <w:sz w:val="24"/>
        </w:rPr>
      </w:pPr>
      <w:r>
        <w:rPr>
          <w:b/>
          <w:sz w:val="24"/>
        </w:rPr>
        <w:t>DA 26-133</w:t>
      </w:r>
    </w:p>
    <w:p w:rsidR="002D1509" w:rsidP="002D1509" w14:paraId="1CF34DB7" w14:textId="77777777">
      <w:pPr>
        <w:spacing w:before="60"/>
        <w:jc w:val="right"/>
        <w:rPr>
          <w:b/>
          <w:sz w:val="24"/>
        </w:rPr>
      </w:pPr>
      <w:r>
        <w:rPr>
          <w:b/>
          <w:sz w:val="24"/>
        </w:rPr>
        <w:t>Released:  February 6, 2026</w:t>
      </w:r>
    </w:p>
    <w:p w:rsidR="002D1509" w:rsidP="002D1509" w14:paraId="3CF914C3" w14:textId="77777777">
      <w:pPr>
        <w:jc w:val="right"/>
        <w:rPr>
          <w:sz w:val="24"/>
        </w:rPr>
      </w:pPr>
    </w:p>
    <w:p w:rsidR="002D1509" w:rsidP="002D1509" w14:paraId="3A9E47EB" w14:textId="77777777">
      <w:pPr>
        <w:spacing w:after="240"/>
        <w:jc w:val="center"/>
        <w:rPr>
          <w:rFonts w:ascii="Times New Roman Bold" w:hAnsi="Times New Roman Bold"/>
          <w:b/>
          <w:caps/>
          <w:sz w:val="24"/>
        </w:rPr>
      </w:pPr>
      <w:r w:rsidRPr="00C71E43">
        <w:rPr>
          <w:rFonts w:ascii="Times New Roman Bold" w:hAnsi="Times New Roman Bold"/>
          <w:b/>
          <w:caps/>
          <w:sz w:val="24"/>
        </w:rPr>
        <w:t>WIRELINE COMPETITION BUREAU REMINDS ROBOCALL MITIGATION DATABASE (RMD) FILERS OF INCREASED BASE FORFEITURES FOR SUBMITTING FALSE OR INACCURATE INFORMATION AND FOR FAILURE TO UPDATE RMD FILINGS</w:t>
      </w:r>
    </w:p>
    <w:p w:rsidR="002D1509" w:rsidRPr="00C71E43" w:rsidP="002D1509" w14:paraId="6539DC5C" w14:textId="77777777">
      <w:pPr>
        <w:jc w:val="center"/>
        <w:rPr>
          <w:b/>
          <w:sz w:val="24"/>
        </w:rPr>
      </w:pPr>
      <w:r w:rsidRPr="00C71E43">
        <w:rPr>
          <w:b/>
          <w:sz w:val="24"/>
        </w:rPr>
        <w:t>WC Docket No. 24-213, MD Docket No. 10-234</w:t>
      </w:r>
    </w:p>
    <w:p w:rsidR="002D1509" w:rsidP="002D1509" w14:paraId="77C79507" w14:textId="77777777"/>
    <w:p w:rsidR="002D1509" w:rsidRPr="00C71E43" w:rsidP="002D1509" w14:paraId="3EAD250E" w14:textId="77777777">
      <w:pPr>
        <w:pStyle w:val="ParaNum"/>
      </w:pPr>
      <w:r w:rsidRPr="00C71E43">
        <w:t xml:space="preserve">In this Public Notice, the Wireline Competition Bureau (Bureau) reminds Robocall Mitigation Database (RMD) filers of changes to the base forfeiture amounts that apply only to RMD filers for submitting false or inaccurate information to the RMD and failing to update their RMD filings within 10 business days, as required by the Commission’s rules.  These forfeiture changes </w:t>
      </w:r>
      <w:r w:rsidRPr="00C71E43">
        <w:rPr>
          <w:b/>
          <w:bCs/>
        </w:rPr>
        <w:t>only</w:t>
      </w:r>
      <w:r w:rsidRPr="00C71E43">
        <w:t xml:space="preserve"> apply to violations related to filings in the RMD and not CORES information for non-RMD filers.  </w:t>
      </w:r>
    </w:p>
    <w:p w:rsidR="002D1509" w:rsidRPr="00C71E43" w:rsidP="002D1509" w14:paraId="13735923" w14:textId="77777777">
      <w:pPr>
        <w:pStyle w:val="ParaNum"/>
      </w:pPr>
      <w:r w:rsidRPr="00C71E43">
        <w:t xml:space="preserve">On December 30, 2024, the Commission adopted the </w:t>
      </w:r>
      <w:r w:rsidRPr="00C71E43">
        <w:rPr>
          <w:i/>
        </w:rPr>
        <w:t>Robocall Mitigation Database Report and Order</w:t>
      </w:r>
      <w:r w:rsidRPr="00C71E43">
        <w:t>.</w:t>
      </w:r>
      <w:r>
        <w:rPr>
          <w:vertAlign w:val="superscript"/>
        </w:rPr>
        <w:footnoteReference w:id="3"/>
      </w:r>
      <w:r w:rsidRPr="00C71E43">
        <w:t xml:space="preserve">  On January 22, 2026, the Bureau released a </w:t>
      </w:r>
      <w:r w:rsidRPr="00C71E43">
        <w:rPr>
          <w:i/>
        </w:rPr>
        <w:t>Public Notice</w:t>
      </w:r>
      <w:r w:rsidRPr="00C71E43">
        <w:t xml:space="preserve"> explaining that the rules adopted in the </w:t>
      </w:r>
      <w:r w:rsidRPr="00C71E43">
        <w:rPr>
          <w:i/>
        </w:rPr>
        <w:t>Robocall Mitigation Database Report and Order</w:t>
      </w:r>
      <w:r w:rsidRPr="00C71E43">
        <w:t xml:space="preserve"> would become effective on February 5, 2026.</w:t>
      </w:r>
      <w:r>
        <w:rPr>
          <w:vertAlign w:val="superscript"/>
        </w:rPr>
        <w:footnoteReference w:id="4"/>
      </w:r>
    </w:p>
    <w:p w:rsidR="002D1509" w:rsidRPr="00C71E43" w:rsidP="002D1509" w14:paraId="4B2F5F64" w14:textId="77777777">
      <w:pPr>
        <w:pStyle w:val="ParaNum"/>
      </w:pPr>
      <w:r w:rsidRPr="00C71E43">
        <w:t xml:space="preserve">As stated in the </w:t>
      </w:r>
      <w:r w:rsidRPr="00C71E43">
        <w:rPr>
          <w:i/>
        </w:rPr>
        <w:t>Public Notice</w:t>
      </w:r>
      <w:r w:rsidRPr="00C71E43">
        <w:t xml:space="preserve">, the </w:t>
      </w:r>
      <w:r w:rsidRPr="00C71E43">
        <w:rPr>
          <w:i/>
        </w:rPr>
        <w:t>Robocall Mitigation Database Report and Order</w:t>
      </w:r>
      <w:r w:rsidRPr="00C71E43">
        <w:t xml:space="preserve"> increased base forfeiture amounts </w:t>
      </w:r>
      <w:r w:rsidRPr="00C71E43">
        <w:rPr>
          <w:b/>
          <w:bCs/>
          <w:u w:val="single"/>
        </w:rPr>
        <w:t>for submission</w:t>
      </w:r>
      <w:r w:rsidRPr="00C71E43">
        <w:rPr>
          <w:b/>
          <w:u w:val="single"/>
        </w:rPr>
        <w:t xml:space="preserve"> of false or inaccurate information into the RMD and for failure to update information in the RMD</w:t>
      </w:r>
      <w:r w:rsidRPr="00C71E43">
        <w:t>.</w:t>
      </w:r>
      <w:r>
        <w:rPr>
          <w:vertAlign w:val="superscript"/>
        </w:rPr>
        <w:footnoteReference w:id="5"/>
      </w:r>
      <w:r w:rsidRPr="00C71E43">
        <w:t xml:space="preserve">  Specifically, the </w:t>
      </w:r>
      <w:r w:rsidRPr="00C71E43">
        <w:rPr>
          <w:i/>
        </w:rPr>
        <w:t>Robocall Mitigation Database Report and Order</w:t>
      </w:r>
      <w:r w:rsidRPr="00C71E43">
        <w:t xml:space="preserve"> amended “Table 1 to Paragraph (b)(11)—Base Amounts for Section 503 Forfeitures” in section 1.80 of the Commission rules to:  (1) add an increased base forfeiture amount of $10,000 for each violation for filers that submit false or inaccurate information into the RMD; and (2) add an increased base forfeiture amount of $1,000 for failure to update information in the RMD within 10 business days for information that has changed as required by the Commission’s rules.</w:t>
      </w:r>
      <w:r>
        <w:rPr>
          <w:vertAlign w:val="superscript"/>
        </w:rPr>
        <w:footnoteReference w:id="6"/>
      </w:r>
      <w:r w:rsidRPr="00C71E43">
        <w:t xml:space="preserve">  The amendment also provided that these violations continue until cured, meaning that forfeitures for submission of false or inaccurate </w:t>
      </w:r>
      <w:r w:rsidRPr="00C71E43">
        <w:t>information into the RMD or failure to update information in the RMD would be assessed on a daily basis up to the statutory maximum for continuing violations.</w:t>
      </w:r>
      <w:r>
        <w:rPr>
          <w:vertAlign w:val="superscript"/>
        </w:rPr>
        <w:footnoteReference w:id="7"/>
      </w:r>
      <w:r w:rsidRPr="00C71E43">
        <w:t xml:space="preserve">  These forfeiture changes only apply to violations related to filings in the RMD.</w:t>
      </w:r>
    </w:p>
    <w:p w:rsidR="002D1509" w:rsidRPr="00C71E43" w:rsidP="002D1509" w14:paraId="736B6AB3" w14:textId="77777777">
      <w:pPr>
        <w:pStyle w:val="ParaNum"/>
      </w:pPr>
      <w:r w:rsidRPr="00C71E43">
        <w:t xml:space="preserve">Separately, as stated in the </w:t>
      </w:r>
      <w:r w:rsidRPr="00C71E43">
        <w:rPr>
          <w:i/>
        </w:rPr>
        <w:t>Public Notice</w:t>
      </w:r>
      <w:r w:rsidRPr="00C71E43">
        <w:t xml:space="preserve">, the </w:t>
      </w:r>
      <w:r w:rsidRPr="00C71E43">
        <w:rPr>
          <w:i/>
        </w:rPr>
        <w:t>Robocall Mitigation Database Report and Order</w:t>
      </w:r>
      <w:r w:rsidRPr="00C71E43">
        <w:t xml:space="preserve"> also amended section 1.8002(b)(2) of the Commission’s rules to require that all entities and individuals that register with the Commission to obtain an FCC Registration Number (FRN) in CORES must update designated information in CORES within 10 business days of any change to that information.</w:t>
      </w:r>
      <w:r>
        <w:rPr>
          <w:vertAlign w:val="superscript"/>
        </w:rPr>
        <w:footnoteReference w:id="8"/>
      </w:r>
      <w:r w:rsidRPr="00C71E43">
        <w:t xml:space="preserve">  </w:t>
      </w:r>
      <w:r w:rsidRPr="00C71E43">
        <w:rPr>
          <w:b/>
          <w:u w:val="single"/>
        </w:rPr>
        <w:t xml:space="preserve">The </w:t>
      </w:r>
      <w:r w:rsidRPr="00C71E43">
        <w:rPr>
          <w:b/>
          <w:i/>
          <w:u w:val="single"/>
        </w:rPr>
        <w:t>Robocall Mitigation Database Report and Order</w:t>
      </w:r>
      <w:r w:rsidRPr="00C71E43">
        <w:rPr>
          <w:b/>
          <w:u w:val="single"/>
        </w:rPr>
        <w:t xml:space="preserve"> did not address or change any forfeiture amounts that may be associated with failures to update the CORES information by non-RMD filers.</w:t>
      </w:r>
      <w:r>
        <w:rPr>
          <w:bCs/>
          <w:vertAlign w:val="superscript"/>
        </w:rPr>
        <w:footnoteReference w:id="9"/>
      </w:r>
    </w:p>
    <w:p w:rsidR="002D1509" w:rsidP="002D1509" w14:paraId="7AE93A07" w14:textId="77777777">
      <w:pPr>
        <w:pStyle w:val="ParaNum"/>
      </w:pPr>
      <w:r w:rsidRPr="00C71E43">
        <w:t xml:space="preserve">For further information regarding the RMD rules, please contact Merry Wulff, Wireline Competition Bureau, Competition Policy Division, at (202) 418-1084 or by email at </w:t>
      </w:r>
      <w:hyperlink r:id="rId6" w:history="1">
        <w:r w:rsidRPr="00C71E43">
          <w:rPr>
            <w:rStyle w:val="Hyperlink"/>
          </w:rPr>
          <w:t>Merry.Wulff@fcc.gov</w:t>
        </w:r>
      </w:hyperlink>
      <w:r w:rsidRPr="00C71E43">
        <w:t>.</w:t>
      </w:r>
    </w:p>
    <w:p w:rsidR="002D1509" w:rsidP="002D1509" w14:paraId="6064190D" w14:textId="77777777"/>
    <w:p w:rsidR="00BA3BA8" w14:paraId="4AA0A70A" w14:textId="77777777"/>
    <w:p w:rsidR="00BA3BA8" w14:paraId="10350E11" w14:textId="77777777"/>
    <w:p w:rsidR="00BA3BA8" w14:paraId="5E695713" w14:textId="77777777"/>
    <w:bookmarkEnd w:id="0"/>
    <w:p w:rsidR="00BA3BA8" w14:paraId="0A3E56E3" w14:textId="77777777"/>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D1509" w14:paraId="16257C41" w14:textId="77777777">
      <w:pPr>
        <w:spacing w:line="20" w:lineRule="exact"/>
      </w:pPr>
    </w:p>
  </w:endnote>
  <w:endnote w:type="continuationSeparator" w:id="1">
    <w:p w:rsidR="002D1509" w14:paraId="5D47D262" w14:textId="77777777">
      <w:r>
        <w:t xml:space="preserve"> </w:t>
      </w:r>
    </w:p>
  </w:endnote>
  <w:endnote w:type="continuationNotice" w:id="2">
    <w:p w:rsidR="002D1509" w14:paraId="00D32ED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50489DE"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3A29C4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6FC198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74BF0F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1509" w14:paraId="247553B7" w14:textId="77777777">
      <w:r>
        <w:separator/>
      </w:r>
    </w:p>
  </w:footnote>
  <w:footnote w:type="continuationSeparator" w:id="1">
    <w:p w:rsidR="002D1509" w14:paraId="1DDFDBD6" w14:textId="77777777">
      <w:pPr>
        <w:rPr>
          <w:sz w:val="20"/>
        </w:rPr>
      </w:pPr>
      <w:r>
        <w:rPr>
          <w:sz w:val="20"/>
        </w:rPr>
        <w:t xml:space="preserve">(Continued from previous page)  </w:t>
      </w:r>
      <w:r>
        <w:rPr>
          <w:sz w:val="20"/>
        </w:rPr>
        <w:separator/>
      </w:r>
    </w:p>
  </w:footnote>
  <w:footnote w:type="continuationNotice" w:id="2">
    <w:p w:rsidR="002D1509" w14:paraId="3EAC92A5" w14:textId="77777777">
      <w:pPr>
        <w:jc w:val="right"/>
        <w:rPr>
          <w:sz w:val="20"/>
        </w:rPr>
      </w:pPr>
      <w:r>
        <w:rPr>
          <w:sz w:val="20"/>
        </w:rPr>
        <w:t>(continued….)</w:t>
      </w:r>
    </w:p>
  </w:footnote>
  <w:footnote w:id="3">
    <w:p w:rsidR="002D1509" w:rsidP="002D1509" w14:paraId="7B21E0F5" w14:textId="77777777">
      <w:pPr>
        <w:pStyle w:val="FootnoteText"/>
      </w:pPr>
      <w:r>
        <w:rPr>
          <w:rStyle w:val="FootnoteReference"/>
        </w:rPr>
        <w:footnoteRef/>
      </w:r>
      <w:r>
        <w:t xml:space="preserve"> </w:t>
      </w:r>
      <w:r w:rsidRPr="009F1877">
        <w:rPr>
          <w:i/>
          <w:iCs/>
        </w:rPr>
        <w:t>Imp</w:t>
      </w:r>
      <w:r>
        <w:rPr>
          <w:i/>
          <w:iCs/>
        </w:rPr>
        <w:t>roving the Effectiveness of the Robocall Mitigation Database, Amendment of Part I of the Commission’s Rules Concerning Practice and Procedure, Amendment of CORES Registration System</w:t>
      </w:r>
      <w:r>
        <w:t xml:space="preserve">, WC Docket No. 24-213, MD Docket No. 10-234, Report and Order, 40 FCC </w:t>
      </w:r>
      <w:r>
        <w:t>Rcd</w:t>
      </w:r>
      <w:r>
        <w:t xml:space="preserve"> 599 (2025) (</w:t>
      </w:r>
      <w:r>
        <w:rPr>
          <w:i/>
          <w:iCs/>
        </w:rPr>
        <w:t>Robocall Mitigation Database Report and Order</w:t>
      </w:r>
      <w:r>
        <w:t xml:space="preserve">).  </w:t>
      </w:r>
    </w:p>
  </w:footnote>
  <w:footnote w:id="4">
    <w:p w:rsidR="002D1509" w:rsidP="002D1509" w14:paraId="5DC02404" w14:textId="77777777">
      <w:pPr>
        <w:pStyle w:val="FootnoteText"/>
      </w:pPr>
      <w:r>
        <w:rPr>
          <w:rStyle w:val="FootnoteReference"/>
        </w:rPr>
        <w:footnoteRef/>
      </w:r>
      <w:r>
        <w:t xml:space="preserve"> </w:t>
      </w:r>
      <w:r w:rsidRPr="00CF28EA">
        <w:rPr>
          <w:i/>
          <w:iCs/>
        </w:rPr>
        <w:t>Wireline Competition Bureau Announces OMB Approval and Effective Dates for Robocall Mitigation Database (RMD) Rules, Provides Guidance for Filing in the RMD, Reminds RMD Filers of their March 1, 2026, Annual Recertification Requirement, and Establishes A Reporting Mechanism for RMD Deficiencies</w:t>
      </w:r>
      <w:r>
        <w:t>, WC Docket No. 24-213, MD Docket No. 10-234, Public Notice, DA 26-72 (rel. Jan. 22, 2026) (</w:t>
      </w:r>
      <w:r w:rsidRPr="00CE41F4">
        <w:rPr>
          <w:i/>
          <w:iCs/>
        </w:rPr>
        <w:t>Public Notice</w:t>
      </w:r>
      <w:r>
        <w:t xml:space="preserve">).  The requirement to submit an application fee as required by the amendment to 47 CFR § 1.1105 is not yet effective.  </w:t>
      </w:r>
      <w:r w:rsidRPr="00C80BA1">
        <w:rPr>
          <w:i/>
        </w:rPr>
        <w:t>Id.</w:t>
      </w:r>
      <w:r>
        <w:t xml:space="preserve"> at 3.</w:t>
      </w:r>
    </w:p>
  </w:footnote>
  <w:footnote w:id="5">
    <w:p w:rsidR="002D1509" w:rsidP="002D1509" w14:paraId="2F32A7F6" w14:textId="77777777">
      <w:pPr>
        <w:pStyle w:val="FootnoteText"/>
      </w:pPr>
      <w:r>
        <w:rPr>
          <w:rStyle w:val="FootnoteReference"/>
        </w:rPr>
        <w:footnoteRef/>
      </w:r>
      <w:r>
        <w:t xml:space="preserve"> </w:t>
      </w:r>
      <w:r w:rsidRPr="00CE41F4">
        <w:rPr>
          <w:i/>
          <w:iCs/>
        </w:rPr>
        <w:t>Public Notice</w:t>
      </w:r>
      <w:r>
        <w:t xml:space="preserve"> at 1, 3-4.</w:t>
      </w:r>
    </w:p>
  </w:footnote>
  <w:footnote w:id="6">
    <w:p w:rsidR="002D1509" w:rsidP="002D1509" w14:paraId="45626188" w14:textId="77777777">
      <w:pPr>
        <w:pStyle w:val="FootnoteText"/>
      </w:pPr>
      <w:r>
        <w:rPr>
          <w:rStyle w:val="FootnoteReference"/>
        </w:rPr>
        <w:footnoteRef/>
      </w:r>
      <w:r>
        <w:t xml:space="preserve"> </w:t>
      </w:r>
      <w:r>
        <w:rPr>
          <w:i/>
          <w:iCs/>
        </w:rPr>
        <w:t>See</w:t>
      </w:r>
      <w:r>
        <w:t xml:space="preserve"> </w:t>
      </w:r>
      <w:r w:rsidRPr="00A93708">
        <w:rPr>
          <w:i/>
          <w:iCs/>
        </w:rPr>
        <w:t>id.</w:t>
      </w:r>
      <w:r>
        <w:t xml:space="preserve"> at 3-4, </w:t>
      </w:r>
      <w:r>
        <w:rPr>
          <w:i/>
          <w:iCs/>
        </w:rPr>
        <w:t>Robocall Mitigation Database Report and Order</w:t>
      </w:r>
      <w:r>
        <w:t xml:space="preserve">, 40 FCC </w:t>
      </w:r>
      <w:r>
        <w:t>Rcd</w:t>
      </w:r>
      <w:r>
        <w:t xml:space="preserve"> at 605, para. 14, Appendix A; </w:t>
      </w:r>
      <w:r w:rsidRPr="00DD58F1">
        <w:t xml:space="preserve">47 CFR § </w:t>
      </w:r>
      <w:r>
        <w:t>1.80; s</w:t>
      </w:r>
      <w:r w:rsidRPr="00121F3B">
        <w:rPr>
          <w:i/>
          <w:iCs/>
        </w:rPr>
        <w:t>ee also</w:t>
      </w:r>
      <w:r>
        <w:t xml:space="preserve"> </w:t>
      </w:r>
      <w:r w:rsidRPr="00DD58F1">
        <w:t>47 CFR §§</w:t>
      </w:r>
      <w:r>
        <w:t xml:space="preserve"> 64.6305(d)(5), (e)(5), (f)(5) (setting the requirement for voice service providers, gateway providers, and non-gateway intermediate providers to update their RMD filings within in 10 business days of any change to that information).</w:t>
      </w:r>
    </w:p>
  </w:footnote>
  <w:footnote w:id="7">
    <w:p w:rsidR="002D1509" w:rsidP="002D1509" w14:paraId="6A447E16" w14:textId="77777777">
      <w:pPr>
        <w:pStyle w:val="FootnoteText"/>
      </w:pPr>
      <w:r>
        <w:rPr>
          <w:rStyle w:val="FootnoteReference"/>
        </w:rPr>
        <w:footnoteRef/>
      </w:r>
      <w:r>
        <w:t xml:space="preserve"> </w:t>
      </w:r>
      <w:r>
        <w:rPr>
          <w:i/>
          <w:iCs/>
        </w:rPr>
        <w:t>See</w:t>
      </w:r>
      <w:r>
        <w:t xml:space="preserve"> </w:t>
      </w:r>
      <w:r w:rsidRPr="00CE41F4">
        <w:rPr>
          <w:i/>
          <w:iCs/>
        </w:rPr>
        <w:t>Public Notice</w:t>
      </w:r>
      <w:r>
        <w:t xml:space="preserve"> at 3-4; </w:t>
      </w:r>
      <w:r>
        <w:rPr>
          <w:i/>
          <w:iCs/>
        </w:rPr>
        <w:t>Robocall Mitigation Database Report and Order</w:t>
      </w:r>
      <w:r>
        <w:t xml:space="preserve">, 40 FCC </w:t>
      </w:r>
      <w:r>
        <w:t>Rcd</w:t>
      </w:r>
      <w:r>
        <w:t xml:space="preserve"> at 605, para. 14. </w:t>
      </w:r>
    </w:p>
  </w:footnote>
  <w:footnote w:id="8">
    <w:p w:rsidR="002D1509" w:rsidP="002D1509" w14:paraId="60A61078" w14:textId="77777777">
      <w:pPr>
        <w:pStyle w:val="FootnoteText"/>
      </w:pPr>
      <w:r>
        <w:rPr>
          <w:rStyle w:val="FootnoteReference"/>
        </w:rPr>
        <w:footnoteRef/>
      </w:r>
      <w:r>
        <w:t xml:space="preserve"> </w:t>
      </w:r>
      <w:r>
        <w:rPr>
          <w:i/>
          <w:iCs/>
        </w:rPr>
        <w:t>See</w:t>
      </w:r>
      <w:r>
        <w:t xml:space="preserve"> </w:t>
      </w:r>
      <w:r w:rsidRPr="00CE41F4">
        <w:rPr>
          <w:i/>
          <w:iCs/>
        </w:rPr>
        <w:t>Public Notice</w:t>
      </w:r>
      <w:r>
        <w:t xml:space="preserve"> at 3-4; </w:t>
      </w:r>
      <w:r>
        <w:rPr>
          <w:i/>
          <w:iCs/>
        </w:rPr>
        <w:t>Robocall Mitigation Database Report and Order</w:t>
      </w:r>
      <w:r>
        <w:t xml:space="preserve">, 40 FCC </w:t>
      </w:r>
      <w:r>
        <w:t>Rcd</w:t>
      </w:r>
      <w:r>
        <w:t xml:space="preserve"> at 604, para. 13; </w:t>
      </w:r>
      <w:r w:rsidRPr="00DD58F1">
        <w:t xml:space="preserve">47 CFR § </w:t>
      </w:r>
      <w:r>
        <w:t xml:space="preserve">1.8002(b)(2).  Specifically, providers must update the information </w:t>
      </w:r>
      <w:r w:rsidRPr="00963890">
        <w:t>listed in paragraph (b)(1) of section 1.8002 of the Commission’s rules</w:t>
      </w:r>
      <w:r>
        <w:t xml:space="preserve">.  </w:t>
      </w:r>
      <w:r>
        <w:rPr>
          <w:i/>
          <w:iCs/>
        </w:rPr>
        <w:t>S</w:t>
      </w:r>
      <w:r w:rsidRPr="004158E9">
        <w:rPr>
          <w:i/>
          <w:iCs/>
        </w:rPr>
        <w:t>ee</w:t>
      </w:r>
      <w:r>
        <w:t xml:space="preserve"> </w:t>
      </w:r>
      <w:r w:rsidRPr="00DD58F1">
        <w:t xml:space="preserve">47 CFR § </w:t>
      </w:r>
      <w:r>
        <w:t>1.8002(b)</w:t>
      </w:r>
      <w:r w:rsidRPr="00991F64">
        <w:t xml:space="preserve">(1) </w:t>
      </w:r>
      <w:r>
        <w:t xml:space="preserve">(showing that this information only includes </w:t>
      </w:r>
      <w:r w:rsidRPr="00991F64">
        <w:t>an entity</w:t>
      </w:r>
      <w:r>
        <w:t>’</w:t>
      </w:r>
      <w:r w:rsidRPr="00991F64">
        <w:t>s name, entity type, contact name and title, address, valid email address, and taxpayer identifying number (TIN)).</w:t>
      </w:r>
    </w:p>
  </w:footnote>
  <w:footnote w:id="9">
    <w:p w:rsidR="002D1509" w:rsidRPr="00A1176F" w:rsidP="002D1509" w14:paraId="5DD2BCCF" w14:textId="77777777">
      <w:pPr>
        <w:rPr>
          <w:sz w:val="20"/>
        </w:rPr>
      </w:pPr>
      <w:r>
        <w:rPr>
          <w:rStyle w:val="FootnoteReference"/>
        </w:rPr>
        <w:footnoteRef/>
      </w:r>
      <w:r>
        <w:t xml:space="preserve"> </w:t>
      </w:r>
      <w:r>
        <w:rPr>
          <w:sz w:val="20"/>
        </w:rPr>
        <w:t>For RMD filers, certain information in CORES automatically populates into RMD filings.  I</w:t>
      </w:r>
      <w:r w:rsidRPr="00A1176F">
        <w:rPr>
          <w:sz w:val="20"/>
        </w:rPr>
        <w:t xml:space="preserve">f the information an RMD filer needs to update in CORES is </w:t>
      </w:r>
      <w:r>
        <w:rPr>
          <w:sz w:val="20"/>
        </w:rPr>
        <w:t>the same</w:t>
      </w:r>
      <w:r w:rsidRPr="00A1176F">
        <w:rPr>
          <w:sz w:val="20"/>
        </w:rPr>
        <w:t xml:space="preserve"> information that needs to be updated in the RMD, the RMD filer needs to </w:t>
      </w:r>
      <w:r>
        <w:rPr>
          <w:sz w:val="20"/>
        </w:rPr>
        <w:t xml:space="preserve">update its </w:t>
      </w:r>
      <w:r w:rsidRPr="00A1176F">
        <w:rPr>
          <w:sz w:val="20"/>
        </w:rPr>
        <w:t xml:space="preserve">CORES </w:t>
      </w:r>
      <w:r>
        <w:rPr>
          <w:sz w:val="20"/>
        </w:rPr>
        <w:t xml:space="preserve">information within </w:t>
      </w:r>
      <w:r w:rsidRPr="00A1176F">
        <w:rPr>
          <w:sz w:val="20"/>
        </w:rPr>
        <w:t xml:space="preserve">10 business days </w:t>
      </w:r>
      <w:r>
        <w:rPr>
          <w:sz w:val="20"/>
        </w:rPr>
        <w:t xml:space="preserve">to ensure that its RMD filing is updated within 10 business days, or it may be </w:t>
      </w:r>
      <w:r w:rsidRPr="00A1176F">
        <w:rPr>
          <w:sz w:val="20"/>
        </w:rPr>
        <w:t>subject to the RMD forfeiture.</w:t>
      </w:r>
      <w:r>
        <w:rPr>
          <w:sz w:val="20"/>
        </w:rPr>
        <w:t xml:space="preserve">  Further guidance for updating CORES-related information in the RMD is available in the RMD Filing Instructions at </w:t>
      </w:r>
      <w:hyperlink r:id="rId1" w:history="1">
        <w:r w:rsidRPr="003521A1">
          <w:rPr>
            <w:rStyle w:val="Hyperlink"/>
            <w:sz w:val="20"/>
          </w:rPr>
          <w:t>https://www.fcc.gov/sites/default/files/rmd-instructions.pdf</w:t>
        </w:r>
      </w:hyperlink>
      <w:r>
        <w:rPr>
          <w:sz w:val="20"/>
        </w:rPr>
        <w:t>.</w:t>
      </w:r>
    </w:p>
    <w:p w:rsidR="002D1509" w:rsidRPr="00001264" w:rsidP="002D1509" w14:paraId="78A23CA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847E06" w14:textId="13FECC7E">
    <w:pPr>
      <w:tabs>
        <w:tab w:val="center" w:pos="4680"/>
        <w:tab w:val="right" w:pos="9360"/>
      </w:tabs>
    </w:pPr>
    <w:r>
      <w:rPr>
        <w:b/>
      </w:rPr>
      <w:tab/>
      <w:t>Federal Communications Commission</w:t>
    </w:r>
    <w:r>
      <w:rPr>
        <w:b/>
      </w:rPr>
      <w:tab/>
    </w:r>
    <w:r w:rsidR="002D1509">
      <w:rPr>
        <w:b/>
      </w:rPr>
      <w:t>DA 26-133</w:t>
    </w:r>
  </w:p>
  <w:p w:rsidR="00BA3BA8" w14:paraId="0EE39AC7"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4CB57BAA"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37DAB4F"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5pt;height:112.5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097991286">
    <w:abstractNumId w:val="1"/>
  </w:num>
  <w:num w:numId="2" w16cid:durableId="1482111448">
    <w:abstractNumId w:val="5"/>
  </w:num>
  <w:num w:numId="3" w16cid:durableId="1692561373">
    <w:abstractNumId w:val="3"/>
  </w:num>
  <w:num w:numId="4" w16cid:durableId="769590976">
    <w:abstractNumId w:val="4"/>
  </w:num>
  <w:num w:numId="5" w16cid:durableId="510723347">
    <w:abstractNumId w:val="2"/>
  </w:num>
  <w:num w:numId="6" w16cid:durableId="125917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09"/>
    <w:rsid w:val="00001264"/>
    <w:rsid w:val="00121F3B"/>
    <w:rsid w:val="002D1509"/>
    <w:rsid w:val="003521A1"/>
    <w:rsid w:val="004158E9"/>
    <w:rsid w:val="00430183"/>
    <w:rsid w:val="00963890"/>
    <w:rsid w:val="00991F64"/>
    <w:rsid w:val="009F1877"/>
    <w:rsid w:val="00A1176F"/>
    <w:rsid w:val="00A20679"/>
    <w:rsid w:val="00A93708"/>
    <w:rsid w:val="00BA3BA8"/>
    <w:rsid w:val="00C71E43"/>
    <w:rsid w:val="00C80BA1"/>
    <w:rsid w:val="00CE41F4"/>
    <w:rsid w:val="00CF28EA"/>
    <w:rsid w:val="00DD58F1"/>
    <w:rsid w:val="00EF466B"/>
    <w:rsid w:val="00F03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9D3EA7"/>
  <w15:chartTrackingRefBased/>
  <w15:docId w15:val="{454F90F3-C1C0-418C-AA6E-E874A0CE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509"/>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erry.Wulff@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ites/default/files/rmd-instructions.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