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5EAD2EA3"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34E31555" w14:textId="77777777">
      <w:pPr>
        <w:pStyle w:val="StyleBoldCentered"/>
      </w:pPr>
      <w:r>
        <w:t>F</w:t>
      </w:r>
      <w:r>
        <w:rPr>
          <w:caps w:val="0"/>
        </w:rPr>
        <w:t>ederal Communications Commission</w:t>
      </w:r>
    </w:p>
    <w:p w:rsidR="004C2EE3" w:rsidP="00096D8C" w14:paraId="06B629DC" w14:textId="77777777">
      <w:pPr>
        <w:pStyle w:val="StyleBoldCentered"/>
      </w:pPr>
      <w:r>
        <w:rPr>
          <w:caps w:val="0"/>
        </w:rPr>
        <w:t>Washington, D.C. 20554</w:t>
      </w:r>
    </w:p>
    <w:p w:rsidR="004C2EE3" w:rsidP="0070224F" w14:paraId="15709772" w14:textId="77777777"/>
    <w:p w:rsidR="004C2EE3" w:rsidP="0070224F" w14:paraId="1B6E9E93" w14:textId="77777777"/>
    <w:tbl>
      <w:tblPr>
        <w:tblW w:w="0" w:type="auto"/>
        <w:tblLayout w:type="fixed"/>
        <w:tblLook w:val="0000"/>
      </w:tblPr>
      <w:tblGrid>
        <w:gridCol w:w="4698"/>
        <w:gridCol w:w="630"/>
        <w:gridCol w:w="4248"/>
      </w:tblGrid>
      <w:tr w14:paraId="34FFB6BB" w14:textId="77777777">
        <w:tblPrEx>
          <w:tblW w:w="0" w:type="auto"/>
          <w:tblLayout w:type="fixed"/>
          <w:tblLook w:val="0000"/>
        </w:tblPrEx>
        <w:tc>
          <w:tcPr>
            <w:tcW w:w="4698" w:type="dxa"/>
          </w:tcPr>
          <w:p w:rsidR="004C2EE3" w14:paraId="7DC61CAE" w14:textId="77777777">
            <w:pPr>
              <w:tabs>
                <w:tab w:val="center" w:pos="4680"/>
              </w:tabs>
              <w:suppressAutoHyphens/>
              <w:rPr>
                <w:spacing w:val="-2"/>
              </w:rPr>
            </w:pPr>
            <w:r>
              <w:rPr>
                <w:spacing w:val="-2"/>
              </w:rPr>
              <w:t>In the Matter of</w:t>
            </w:r>
          </w:p>
          <w:p w:rsidR="004C2EE3" w14:paraId="344730A7" w14:textId="77777777">
            <w:pPr>
              <w:tabs>
                <w:tab w:val="center" w:pos="4680"/>
              </w:tabs>
              <w:suppressAutoHyphens/>
              <w:rPr>
                <w:spacing w:val="-2"/>
              </w:rPr>
            </w:pPr>
          </w:p>
          <w:p w:rsidR="00460A07" w:rsidRPr="00460A07" w:rsidP="00460A07" w14:paraId="2A2250CF" w14:textId="77777777">
            <w:pPr>
              <w:tabs>
                <w:tab w:val="center" w:pos="4680"/>
              </w:tabs>
              <w:suppressAutoHyphens/>
              <w:rPr>
                <w:spacing w:val="-2"/>
              </w:rPr>
            </w:pPr>
            <w:r w:rsidRPr="00460A07">
              <w:rPr>
                <w:spacing w:val="-2"/>
              </w:rPr>
              <w:t>Amendment of section 73.202(b)</w:t>
            </w:r>
          </w:p>
          <w:p w:rsidR="00460A07" w:rsidRPr="00460A07" w:rsidP="00460A07" w14:paraId="0182DC63" w14:textId="77777777">
            <w:pPr>
              <w:tabs>
                <w:tab w:val="center" w:pos="4680"/>
              </w:tabs>
              <w:suppressAutoHyphens/>
              <w:rPr>
                <w:spacing w:val="-2"/>
              </w:rPr>
            </w:pPr>
            <w:r w:rsidRPr="00460A07">
              <w:rPr>
                <w:spacing w:val="-2"/>
              </w:rPr>
              <w:t>Table of Allotments,</w:t>
            </w:r>
          </w:p>
          <w:p w:rsidR="00460A07" w:rsidRPr="00460A07" w:rsidP="00460A07" w14:paraId="144D6483" w14:textId="77777777">
            <w:pPr>
              <w:tabs>
                <w:tab w:val="center" w:pos="4680"/>
              </w:tabs>
              <w:suppressAutoHyphens/>
              <w:rPr>
                <w:spacing w:val="-2"/>
              </w:rPr>
            </w:pPr>
            <w:r w:rsidRPr="00460A07">
              <w:rPr>
                <w:spacing w:val="-2"/>
              </w:rPr>
              <w:t>FM Broadcast Stations.</w:t>
            </w:r>
          </w:p>
          <w:p w:rsidR="004C2EE3" w:rsidRPr="007115F7" w:rsidP="00460A07" w14:paraId="78159EF3" w14:textId="77777777">
            <w:pPr>
              <w:tabs>
                <w:tab w:val="center" w:pos="4680"/>
              </w:tabs>
              <w:suppressAutoHyphens/>
              <w:rPr>
                <w:spacing w:val="-2"/>
              </w:rPr>
            </w:pPr>
            <w:r w:rsidRPr="00460A07">
              <w:rPr>
                <w:spacing w:val="-2"/>
              </w:rPr>
              <w:t>(Various Locations)</w:t>
            </w:r>
          </w:p>
        </w:tc>
        <w:tc>
          <w:tcPr>
            <w:tcW w:w="630" w:type="dxa"/>
          </w:tcPr>
          <w:p w:rsidR="004C2EE3" w14:paraId="707FBFCE" w14:textId="77777777">
            <w:pPr>
              <w:tabs>
                <w:tab w:val="center" w:pos="4680"/>
              </w:tabs>
              <w:suppressAutoHyphens/>
              <w:rPr>
                <w:b/>
                <w:spacing w:val="-2"/>
              </w:rPr>
            </w:pPr>
            <w:r>
              <w:rPr>
                <w:b/>
                <w:spacing w:val="-2"/>
              </w:rPr>
              <w:t>)</w:t>
            </w:r>
          </w:p>
          <w:p w:rsidR="004C2EE3" w14:paraId="6FEE3D3E" w14:textId="77777777">
            <w:pPr>
              <w:tabs>
                <w:tab w:val="center" w:pos="4680"/>
              </w:tabs>
              <w:suppressAutoHyphens/>
              <w:rPr>
                <w:b/>
                <w:spacing w:val="-2"/>
              </w:rPr>
            </w:pPr>
            <w:r>
              <w:rPr>
                <w:b/>
                <w:spacing w:val="-2"/>
              </w:rPr>
              <w:t>)</w:t>
            </w:r>
          </w:p>
          <w:p w:rsidR="004C2EE3" w14:paraId="21B053A9" w14:textId="77777777">
            <w:pPr>
              <w:tabs>
                <w:tab w:val="center" w:pos="4680"/>
              </w:tabs>
              <w:suppressAutoHyphens/>
              <w:rPr>
                <w:b/>
                <w:spacing w:val="-2"/>
              </w:rPr>
            </w:pPr>
            <w:r>
              <w:rPr>
                <w:b/>
                <w:spacing w:val="-2"/>
              </w:rPr>
              <w:t>)</w:t>
            </w:r>
          </w:p>
          <w:p w:rsidR="004C2EE3" w14:paraId="04862FAC" w14:textId="77777777">
            <w:pPr>
              <w:tabs>
                <w:tab w:val="center" w:pos="4680"/>
              </w:tabs>
              <w:suppressAutoHyphens/>
              <w:rPr>
                <w:b/>
                <w:spacing w:val="-2"/>
              </w:rPr>
            </w:pPr>
            <w:r>
              <w:rPr>
                <w:b/>
                <w:spacing w:val="-2"/>
              </w:rPr>
              <w:t>)</w:t>
            </w:r>
          </w:p>
          <w:p w:rsidR="004C2EE3" w14:paraId="2ADF9295" w14:textId="77777777">
            <w:pPr>
              <w:tabs>
                <w:tab w:val="center" w:pos="4680"/>
              </w:tabs>
              <w:suppressAutoHyphens/>
              <w:rPr>
                <w:b/>
                <w:spacing w:val="-2"/>
              </w:rPr>
            </w:pPr>
            <w:r>
              <w:rPr>
                <w:b/>
                <w:spacing w:val="-2"/>
              </w:rPr>
              <w:t>)</w:t>
            </w:r>
          </w:p>
          <w:p w:rsidR="004C2EE3" w:rsidRPr="00460A07" w14:paraId="5E072157" w14:textId="77777777">
            <w:pPr>
              <w:tabs>
                <w:tab w:val="center" w:pos="4680"/>
              </w:tabs>
              <w:suppressAutoHyphens/>
              <w:rPr>
                <w:b/>
                <w:spacing w:val="-2"/>
              </w:rPr>
            </w:pPr>
            <w:r>
              <w:rPr>
                <w:b/>
                <w:spacing w:val="-2"/>
              </w:rPr>
              <w:t>)</w:t>
            </w:r>
          </w:p>
        </w:tc>
        <w:tc>
          <w:tcPr>
            <w:tcW w:w="4248" w:type="dxa"/>
          </w:tcPr>
          <w:p w:rsidR="004C2EE3" w14:paraId="5296DDD2" w14:textId="77777777">
            <w:pPr>
              <w:tabs>
                <w:tab w:val="center" w:pos="4680"/>
              </w:tabs>
              <w:suppressAutoHyphens/>
              <w:rPr>
                <w:spacing w:val="-2"/>
              </w:rPr>
            </w:pPr>
          </w:p>
          <w:p w:rsidR="004C2EE3" w14:paraId="00C8AB9E" w14:textId="77777777">
            <w:pPr>
              <w:pStyle w:val="TOAHeading"/>
              <w:tabs>
                <w:tab w:val="center" w:pos="4680"/>
                <w:tab w:val="clear" w:pos="9360"/>
              </w:tabs>
              <w:rPr>
                <w:spacing w:val="-2"/>
              </w:rPr>
            </w:pPr>
          </w:p>
          <w:p w:rsidR="004C2EE3" w14:paraId="2D6C7636" w14:textId="77777777">
            <w:pPr>
              <w:tabs>
                <w:tab w:val="center" w:pos="4680"/>
              </w:tabs>
              <w:suppressAutoHyphens/>
              <w:rPr>
                <w:spacing w:val="-2"/>
              </w:rPr>
            </w:pPr>
            <w:r>
              <w:rPr>
                <w:spacing w:val="-2"/>
              </w:rPr>
              <w:t>MB Docket No. 25-298</w:t>
            </w:r>
          </w:p>
        </w:tc>
      </w:tr>
    </w:tbl>
    <w:p w:rsidR="004C2EE3" w:rsidP="0070224F" w14:paraId="5112035B" w14:textId="77777777"/>
    <w:p w:rsidR="00841AB1" w:rsidP="00F021FA" w14:paraId="3B178CF8" w14:textId="77777777">
      <w:pPr>
        <w:pStyle w:val="StyleBoldCentered"/>
      </w:pPr>
      <w:r>
        <w:t>REPORT AND ORDER</w:t>
      </w:r>
    </w:p>
    <w:p w:rsidR="004C2EE3" w14:paraId="1187CC3B" w14:textId="77777777">
      <w:pPr>
        <w:tabs>
          <w:tab w:val="left" w:pos="-720"/>
        </w:tabs>
        <w:suppressAutoHyphens/>
        <w:spacing w:line="227" w:lineRule="auto"/>
        <w:rPr>
          <w:spacing w:val="-2"/>
        </w:rPr>
      </w:pPr>
    </w:p>
    <w:p w:rsidR="004C2EE3" w:rsidP="00133F79" w14:paraId="21B2A783" w14:textId="3EA7EC42">
      <w:pPr>
        <w:tabs>
          <w:tab w:val="left" w:pos="720"/>
          <w:tab w:val="right" w:pos="9360"/>
        </w:tabs>
        <w:suppressAutoHyphens/>
        <w:spacing w:line="227" w:lineRule="auto"/>
        <w:rPr>
          <w:spacing w:val="-2"/>
        </w:rPr>
      </w:pPr>
      <w:r>
        <w:rPr>
          <w:b/>
          <w:spacing w:val="-2"/>
        </w:rPr>
        <w:t xml:space="preserve">Adopted:  </w:t>
      </w:r>
      <w:r w:rsidR="00480A6B">
        <w:rPr>
          <w:b/>
          <w:spacing w:val="-2"/>
        </w:rPr>
        <w:t>February 9, 2026</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480A6B">
        <w:rPr>
          <w:b/>
          <w:spacing w:val="-2"/>
        </w:rPr>
        <w:t>February 9, 2026</w:t>
      </w:r>
    </w:p>
    <w:p w:rsidR="00822CE0" w14:paraId="5DD10948" w14:textId="77777777"/>
    <w:p w:rsidR="004C2EE3" w14:paraId="375DEDF1" w14:textId="77777777">
      <w:pPr>
        <w:rPr>
          <w:spacing w:val="-2"/>
        </w:rPr>
      </w:pPr>
      <w:r>
        <w:t xml:space="preserve">By </w:t>
      </w:r>
      <w:r w:rsidR="004E4A22">
        <w:t>the</w:t>
      </w:r>
      <w:r w:rsidR="002A2D2E">
        <w:t xml:space="preserve"> </w:t>
      </w:r>
      <w:r w:rsidRPr="00460A07" w:rsidR="00460A07">
        <w:rPr>
          <w:spacing w:val="-2"/>
        </w:rPr>
        <w:t>Assistant Chief, Audio Division, Media Bureau</w:t>
      </w:r>
      <w:r>
        <w:rPr>
          <w:spacing w:val="-2"/>
        </w:rPr>
        <w:t>:</w:t>
      </w:r>
    </w:p>
    <w:p w:rsidR="00822CE0" w14:paraId="297E07C6" w14:textId="77777777">
      <w:pPr>
        <w:rPr>
          <w:spacing w:val="-2"/>
        </w:rPr>
      </w:pPr>
    </w:p>
    <w:p w:rsidR="00412FC5" w:rsidP="00C36B4C" w14:paraId="62FD0CDF" w14:textId="77777777">
      <w:pPr>
        <w:pStyle w:val="Heading1"/>
      </w:pPr>
      <w:r>
        <w:t>INTRODUCTION</w:t>
      </w:r>
    </w:p>
    <w:p w:rsidR="00460A07" w:rsidP="00BC56F8" w14:paraId="20E3ADF7" w14:textId="41F3777F">
      <w:pPr>
        <w:pStyle w:val="ParaNum"/>
      </w:pPr>
      <w:r>
        <w:t xml:space="preserve">The Audio Division has before it the </w:t>
      </w:r>
      <w:r>
        <w:rPr>
          <w:i/>
          <w:iCs/>
        </w:rPr>
        <w:t>Notice of Proposed Rule Making</w:t>
      </w:r>
      <w:r>
        <w:rPr>
          <w:rStyle w:val="FootnoteReference"/>
          <w:i/>
          <w:iCs/>
        </w:rPr>
        <w:footnoteReference w:id="3"/>
      </w:r>
      <w:r w:rsidR="003C1BB5">
        <w:rPr>
          <w:i/>
          <w:iCs/>
        </w:rPr>
        <w:t xml:space="preserve"> </w:t>
      </w:r>
      <w:r w:rsidR="003C1BB5">
        <w:t>proposing to amend the Table of FM Allotments</w:t>
      </w:r>
      <w:r w:rsidR="007155DA">
        <w:t xml:space="preserve"> (FM Table)</w:t>
      </w:r>
      <w:r w:rsidR="003C1BB5">
        <w:t>, section 73.202(b) of the Commission’s rules (Rules),</w:t>
      </w:r>
      <w:r>
        <w:rPr>
          <w:rStyle w:val="FootnoteReference"/>
        </w:rPr>
        <w:footnoteReference w:id="4"/>
      </w:r>
      <w:r w:rsidR="00BC56F8">
        <w:t xml:space="preserve"> by substituting the FM channel or class for five existing vacant FM allotments located in various communities in Alabama, California, and Texas.  </w:t>
      </w:r>
      <w:r w:rsidRPr="00BC56F8" w:rsidR="00BC56F8">
        <w:t>No comments or counterproposals were filed in this proceeding.  For the reasons discussed below, we substitute</w:t>
      </w:r>
      <w:r w:rsidR="00BC56F8">
        <w:t xml:space="preserve"> </w:t>
      </w:r>
      <w:r w:rsidR="00F337E3">
        <w:t>the channels</w:t>
      </w:r>
      <w:r w:rsidR="00932528">
        <w:t xml:space="preserve"> or class</w:t>
      </w:r>
      <w:r w:rsidR="00F337E3">
        <w:t xml:space="preserve"> for those communities.  </w:t>
      </w:r>
    </w:p>
    <w:p w:rsidR="00BC56F8" w:rsidP="00BC56F8" w14:paraId="00FB50C2" w14:textId="1F27DADE">
      <w:pPr>
        <w:pStyle w:val="Heading1"/>
      </w:pPr>
      <w:r>
        <w:t>BACKGROUND</w:t>
      </w:r>
    </w:p>
    <w:p w:rsidR="00FC5FCD" w:rsidP="00B05D9D" w14:paraId="2C21E32B" w14:textId="6693701C">
      <w:pPr>
        <w:pStyle w:val="ParaNum"/>
      </w:pPr>
      <w:r>
        <w:t xml:space="preserve">The Audio Division, on its own motion, proposed the substitution </w:t>
      </w:r>
      <w:r w:rsidR="00610236">
        <w:t>of</w:t>
      </w:r>
      <w:r>
        <w:t xml:space="preserve"> f</w:t>
      </w:r>
      <w:r w:rsidR="00610236">
        <w:t>ive</w:t>
      </w:r>
      <w:r>
        <w:t xml:space="preserve"> vacant FM allotments</w:t>
      </w:r>
      <w:r>
        <w:t xml:space="preserve"> </w:t>
      </w:r>
      <w:r w:rsidRPr="00FC5FCD">
        <w:t>located in various communities in Alabama, California, and Texas</w:t>
      </w:r>
      <w:r>
        <w:t xml:space="preserve">, </w:t>
      </w:r>
      <w:r w:rsidRPr="00FC5FCD">
        <w:t xml:space="preserve">because a </w:t>
      </w:r>
      <w:r w:rsidR="00170BC8">
        <w:t xml:space="preserve">recent </w:t>
      </w:r>
      <w:r w:rsidRPr="00FC5FCD">
        <w:t>staff engineering analysis determined that the</w:t>
      </w:r>
      <w:r w:rsidR="00170BC8">
        <w:t xml:space="preserve">se </w:t>
      </w:r>
      <w:r w:rsidR="00B413A1">
        <w:t xml:space="preserve">vacant </w:t>
      </w:r>
      <w:r w:rsidR="00170BC8">
        <w:t>FM allotments</w:t>
      </w:r>
      <w:r w:rsidRPr="00FC5FCD">
        <w:t xml:space="preserve"> do not comply with the minimum distance separation requirement of section 73.207 of the Rules.</w:t>
      </w:r>
      <w:r>
        <w:rPr>
          <w:rStyle w:val="FootnoteReference"/>
        </w:rPr>
        <w:footnoteReference w:id="5"/>
      </w:r>
      <w:r>
        <w:t xml:space="preserve">  Specifically, t</w:t>
      </w:r>
      <w:r w:rsidRPr="00FC5FCD">
        <w:t xml:space="preserve">he </w:t>
      </w:r>
      <w:r w:rsidRPr="00710F3D">
        <w:rPr>
          <w:i/>
          <w:iCs/>
        </w:rPr>
        <w:t>Notice</w:t>
      </w:r>
      <w:r w:rsidRPr="00FC5FCD">
        <w:t xml:space="preserve"> stated that</w:t>
      </w:r>
      <w:r w:rsidR="00170BC8">
        <w:t>:</w:t>
      </w:r>
      <w:r>
        <w:t xml:space="preserve"> 1)</w:t>
      </w:r>
      <w:r w:rsidRPr="00FC5FCD">
        <w:t xml:space="preserve"> vacant Channel 221A</w:t>
      </w:r>
      <w:r w:rsidR="004D6E9E">
        <w:t xml:space="preserve">, </w:t>
      </w:r>
      <w:r w:rsidRPr="00FC5FCD">
        <w:t>Hamilton</w:t>
      </w:r>
      <w:r w:rsidR="008325E2">
        <w:t>, Alabama</w:t>
      </w:r>
      <w:r w:rsidRPr="00FC5FCD">
        <w:t xml:space="preserve"> is short-spaced by </w:t>
      </w:r>
      <w:r w:rsidR="00B05D9D">
        <w:t xml:space="preserve">8 kilometers to FM station WOWL, Burnsville, Mississippi and by </w:t>
      </w:r>
      <w:r w:rsidRPr="00FC5FCD">
        <w:t>11 kilometers to FM station WMSU, Starkville, Mississippi</w:t>
      </w:r>
      <w:r>
        <w:t xml:space="preserve">; 2) vacant </w:t>
      </w:r>
      <w:r w:rsidRPr="00610236" w:rsidR="00610236">
        <w:t>Channel 261B</w:t>
      </w:r>
      <w:r w:rsidR="004D6E9E">
        <w:t xml:space="preserve">, </w:t>
      </w:r>
      <w:r w:rsidRPr="00610236" w:rsidR="00610236">
        <w:t>Coalinga, California</w:t>
      </w:r>
      <w:r>
        <w:t xml:space="preserve"> is short-spaced by 6 kilometers to FM station KMAK, Orange Cove, California;</w:t>
      </w:r>
      <w:r>
        <w:rPr>
          <w:rStyle w:val="FootnoteReference"/>
        </w:rPr>
        <w:footnoteReference w:id="6"/>
      </w:r>
      <w:r w:rsidR="00710F3D">
        <w:t xml:space="preserve"> 3) vacant C</w:t>
      </w:r>
      <w:r w:rsidR="008325E2">
        <w:t>h</w:t>
      </w:r>
      <w:r w:rsidRPr="00610236" w:rsidR="00610236">
        <w:t>annel 291A, Rocksprings, Texas</w:t>
      </w:r>
      <w:r w:rsidR="00710F3D">
        <w:t xml:space="preserve"> </w:t>
      </w:r>
      <w:r w:rsidRPr="00710F3D" w:rsidR="00710F3D">
        <w:t>is short-spaced by 2 kilometers to FM station KKVR, Kerrville, Texas</w:t>
      </w:r>
      <w:r w:rsidRPr="00610236" w:rsidR="00610236">
        <w:t xml:space="preserve">; </w:t>
      </w:r>
      <w:r w:rsidR="00710F3D">
        <w:t xml:space="preserve">4) vacant </w:t>
      </w:r>
      <w:r w:rsidRPr="00610236" w:rsidR="00610236">
        <w:t>Channel 221A, Silverton, Texas</w:t>
      </w:r>
      <w:r w:rsidR="00710F3D">
        <w:t xml:space="preserve"> is short-spaced by 30 kilometers to vacant Channel 221C2 at Turkey, Texas</w:t>
      </w:r>
      <w:r w:rsidRPr="00610236" w:rsidR="00610236">
        <w:t xml:space="preserve">; </w:t>
      </w:r>
      <w:r w:rsidR="00710F3D">
        <w:t xml:space="preserve">and 5) vacant </w:t>
      </w:r>
      <w:r w:rsidRPr="00610236" w:rsidR="00610236">
        <w:t>Channel 260C2, Spur, Texas</w:t>
      </w:r>
      <w:bookmarkStart w:id="0" w:name="_Hlk218854858"/>
      <w:r w:rsidR="00710F3D">
        <w:t xml:space="preserve"> is short-spaced by 7 kilometers to licensed FM station KCHT, Childress, Texas.</w:t>
      </w:r>
      <w:r>
        <w:rPr>
          <w:rStyle w:val="FootnoteReference"/>
        </w:rPr>
        <w:footnoteReference w:id="7"/>
      </w:r>
    </w:p>
    <w:bookmarkEnd w:id="0"/>
    <w:p w:rsidR="00610236" w:rsidP="00610236" w14:paraId="6D2EBD59" w14:textId="4EBC3346">
      <w:pPr>
        <w:pStyle w:val="Heading1"/>
      </w:pPr>
      <w:r>
        <w:t>DISCUSSION</w:t>
      </w:r>
    </w:p>
    <w:p w:rsidR="00710F3D" w:rsidP="007155DA" w14:paraId="63451163" w14:textId="53C99D7F">
      <w:pPr>
        <w:pStyle w:val="ParaNum"/>
      </w:pPr>
      <w:r>
        <w:t xml:space="preserve">Accordingly, we substitute Channel 277A for vacant Channel 221A at Hamilton, </w:t>
      </w:r>
      <w:r>
        <w:t>Alabama;</w:t>
      </w:r>
      <w:r>
        <w:rPr>
          <w:rStyle w:val="FootnoteReference"/>
        </w:rPr>
        <w:footnoteReference w:id="8"/>
      </w:r>
      <w:r>
        <w:t xml:space="preserve"> Channel 261B1 for vacant Channel 261B at Coalinga, California;</w:t>
      </w:r>
      <w:r>
        <w:rPr>
          <w:rStyle w:val="FootnoteReference"/>
        </w:rPr>
        <w:footnoteReference w:id="9"/>
      </w:r>
      <w:r>
        <w:t xml:space="preserve"> Channel 289A for vacant Channel 291A at Rocksprings, Texas;</w:t>
      </w:r>
      <w:r>
        <w:rPr>
          <w:rStyle w:val="FootnoteReference"/>
        </w:rPr>
        <w:footnoteReference w:id="10"/>
      </w:r>
      <w:r w:rsidR="000242D6">
        <w:t xml:space="preserve"> </w:t>
      </w:r>
      <w:r>
        <w:t>Channel 261A for vacant Channel 221A at Silverton, Texas;</w:t>
      </w:r>
      <w:r>
        <w:rPr>
          <w:rStyle w:val="FootnoteReference"/>
        </w:rPr>
        <w:footnoteReference w:id="11"/>
      </w:r>
      <w:r>
        <w:t xml:space="preserve"> and Channel 281C2 </w:t>
      </w:r>
      <w:r w:rsidRPr="00610236">
        <w:t>for vacant Channel 260C2 at Spur, Texas</w:t>
      </w:r>
      <w:r>
        <w:t>.</w:t>
      </w:r>
      <w:r>
        <w:rPr>
          <w:rStyle w:val="FootnoteReference"/>
        </w:rPr>
        <w:footnoteReference w:id="12"/>
      </w:r>
      <w:r w:rsidR="007155DA">
        <w:t xml:space="preserve">  </w:t>
      </w:r>
      <w:r w:rsidR="001428C8">
        <w:t xml:space="preserve">We find that the FM substitutions </w:t>
      </w:r>
      <w:r w:rsidR="00F337E3">
        <w:t>would be in</w:t>
      </w:r>
      <w:r w:rsidR="001428C8">
        <w:t xml:space="preserve"> the public interest under Priority (4),</w:t>
      </w:r>
      <w:r>
        <w:rPr>
          <w:rStyle w:val="FootnoteReference"/>
        </w:rPr>
        <w:footnoteReference w:id="13"/>
      </w:r>
      <w:r w:rsidR="001428C8">
        <w:t xml:space="preserve"> because it resolves the existing FM spacing conflicts consistent </w:t>
      </w:r>
      <w:r w:rsidRPr="000242D6" w:rsidR="001428C8">
        <w:t xml:space="preserve">with the minimum distance separation requirements </w:t>
      </w:r>
      <w:r w:rsidR="001428C8">
        <w:t xml:space="preserve">pursuant to section 73.207 </w:t>
      </w:r>
      <w:r w:rsidRPr="000242D6" w:rsidR="001428C8">
        <w:t xml:space="preserve">of </w:t>
      </w:r>
      <w:r w:rsidR="001428C8">
        <w:t>the Rules.</w:t>
      </w:r>
      <w:r>
        <w:rPr>
          <w:rStyle w:val="FootnoteReference"/>
        </w:rPr>
        <w:footnoteReference w:id="14"/>
      </w:r>
      <w:r w:rsidR="001428C8">
        <w:t xml:space="preserve">  </w:t>
      </w:r>
      <w:r w:rsidR="007155DA">
        <w:t>The staff engineering analysis indicates that the</w:t>
      </w:r>
      <w:r w:rsidR="00912B36">
        <w:t xml:space="preserve"> </w:t>
      </w:r>
      <w:r w:rsidR="007155DA">
        <w:t>FM substitution</w:t>
      </w:r>
      <w:r w:rsidR="00861C1D">
        <w:t xml:space="preserve">s </w:t>
      </w:r>
      <w:r w:rsidR="001428C8">
        <w:t xml:space="preserve">also </w:t>
      </w:r>
      <w:r w:rsidR="007155DA">
        <w:t>comply with the city-grade coverage requirements pursuant to section 73.315 of the Rules.</w:t>
      </w:r>
      <w:r>
        <w:rPr>
          <w:rStyle w:val="FootnoteReference"/>
        </w:rPr>
        <w:footnoteReference w:id="15"/>
      </w:r>
    </w:p>
    <w:p w:rsidR="007155DA" w:rsidRPr="00645BBA" w:rsidP="007155DA" w14:paraId="37ACD771" w14:textId="77777777">
      <w:pPr>
        <w:pStyle w:val="ParaNum"/>
        <w:tabs>
          <w:tab w:val="left" w:pos="1440"/>
        </w:tabs>
      </w:pPr>
      <w:r w:rsidRPr="008D6791">
        <w:rPr>
          <w:i/>
          <w:iCs/>
        </w:rPr>
        <w:t>Paperwork Reduction and Regulatory Flexibility</w:t>
      </w:r>
      <w:r>
        <w:t>.  The Commission has determined that the relevant provisions of the Regulatory Flexibility Act of 1980, as amended,</w:t>
      </w:r>
      <w:r>
        <w:rPr>
          <w:rStyle w:val="FootnoteReference"/>
        </w:rPr>
        <w:footnoteReference w:id="16"/>
      </w:r>
      <w:r>
        <w:t xml:space="preserve"> do not apply to a rulemaking proceeding to amend the Table of FM Allotments, section </w:t>
      </w:r>
      <w:r w:rsidRPr="005E3497">
        <w:t>73.202(b)</w:t>
      </w:r>
      <w:r>
        <w:t xml:space="preserve"> of the Rules.</w:t>
      </w:r>
      <w:r>
        <w:rPr>
          <w:rStyle w:val="FootnoteReference"/>
        </w:rPr>
        <w:footnoteReference w:id="17"/>
      </w:r>
      <w:r>
        <w:t xml:space="preserve">  This document does not contain information collection requirements subject to the Paperwork Reduction Act of 1995.</w:t>
      </w:r>
      <w:r>
        <w:rPr>
          <w:rStyle w:val="FootnoteReference"/>
        </w:rPr>
        <w:footnoteReference w:id="18"/>
      </w:r>
      <w:r>
        <w:t xml:space="preserve">  In addition, therefore, it does not contain any proposed information collection burden “for small business concerns with fewer than 25 employees,” pursuant to the Small Business Paperwork Relief Act of 2002.</w:t>
      </w:r>
      <w:r>
        <w:rPr>
          <w:rStyle w:val="FootnoteReference"/>
        </w:rPr>
        <w:footnoteReference w:id="19"/>
      </w:r>
    </w:p>
    <w:p w:rsidR="007155DA" w:rsidP="007155DA" w14:paraId="1EB5A195" w14:textId="7DFDDEC9">
      <w:pPr>
        <w:pStyle w:val="Heading1"/>
      </w:pPr>
      <w:r>
        <w:t>ORDERING CLAUSES</w:t>
      </w:r>
    </w:p>
    <w:p w:rsidR="007155DA" w:rsidP="007155DA" w14:paraId="7C45D355" w14:textId="49F505AC">
      <w:pPr>
        <w:pStyle w:val="ParaNum"/>
      </w:pPr>
      <w:r>
        <w:t>IT IS ORDERED that, purs</w:t>
      </w:r>
      <w:r>
        <w:rPr>
          <w:spacing w:val="-3"/>
          <w:szCs w:val="22"/>
        </w:rPr>
        <w:t xml:space="preserve">uant to </w:t>
      </w:r>
      <w:r w:rsidRPr="009F2562">
        <w:t>authority found in 47 U.S.C. sections 4(</w:t>
      </w:r>
      <w:r w:rsidRPr="009F2562">
        <w:t>i</w:t>
      </w:r>
      <w:r w:rsidRPr="009F2562">
        <w:t xml:space="preserve">), 5(c)(1), 303(g) and (r), and 307(b) of the Communications Act of 1934, as amended, </w:t>
      </w:r>
      <w:r w:rsidRPr="00CE5579">
        <w:t>47 U.S.C. §§ 154</w:t>
      </w:r>
      <w:r>
        <w:t>(</w:t>
      </w:r>
      <w:r>
        <w:t>i</w:t>
      </w:r>
      <w:r>
        <w:t>)</w:t>
      </w:r>
      <w:r w:rsidRPr="00CE5579">
        <w:t>, 15</w:t>
      </w:r>
      <w:r>
        <w:t>5(c)(1)</w:t>
      </w:r>
      <w:r w:rsidRPr="00CE5579">
        <w:t>, 303</w:t>
      </w:r>
      <w:r>
        <w:t>(g)</w:t>
      </w:r>
      <w:r w:rsidRPr="00CE5579">
        <w:t>,</w:t>
      </w:r>
      <w:r>
        <w:t xml:space="preserve"> (r), and</w:t>
      </w:r>
      <w:r w:rsidRPr="00CE5579">
        <w:t xml:space="preserve"> 307</w:t>
      </w:r>
      <w:r>
        <w:t>(b)</w:t>
      </w:r>
      <w:r w:rsidRPr="00CE5579">
        <w:t xml:space="preserve"> </w:t>
      </w:r>
      <w:r w:rsidRPr="009F2562">
        <w:t>and sections 0.61, 0.204(b)</w:t>
      </w:r>
      <w:r>
        <w:t>,</w:t>
      </w:r>
      <w:r w:rsidRPr="009F2562">
        <w:t xml:space="preserve"> and 0.283</w:t>
      </w:r>
      <w:r>
        <w:t xml:space="preserve"> of the Rules</w:t>
      </w:r>
      <w:r w:rsidRPr="009F2562">
        <w:t>,</w:t>
      </w:r>
      <w:r>
        <w:t xml:space="preserve"> 47 CFR §§ 0.61, 0.204(b), and 0.283,</w:t>
      </w:r>
      <w:r w:rsidRPr="009F2562">
        <w:t xml:space="preserve"> </w:t>
      </w:r>
      <w:r w:rsidRPr="00480A6B" w:rsidR="00480A6B">
        <w:t>March 26, 2026</w:t>
      </w:r>
      <w:r>
        <w:rPr>
          <w:color w:val="000000"/>
          <w:szCs w:val="22"/>
        </w:rPr>
        <w:t xml:space="preserve">, </w:t>
      </w:r>
      <w:r w:rsidRPr="009F2562">
        <w:t>the</w:t>
      </w:r>
      <w:r>
        <w:t xml:space="preserve"> </w:t>
      </w:r>
      <w:r w:rsidRPr="009F2562">
        <w:t xml:space="preserve">Table of </w:t>
      </w:r>
      <w:r>
        <w:t xml:space="preserve">FM </w:t>
      </w:r>
      <w:r w:rsidRPr="009F2562">
        <w:t xml:space="preserve">Allotments, </w:t>
      </w:r>
      <w:r>
        <w:t>47 CFR § 73.202(b),</w:t>
      </w:r>
      <w:r w:rsidRPr="009F2562">
        <w:t xml:space="preserve"> </w:t>
      </w:r>
      <w:r>
        <w:rPr>
          <w:color w:val="000000"/>
          <w:szCs w:val="22"/>
        </w:rPr>
        <w:t xml:space="preserve">IS AMENDED, </w:t>
      </w:r>
      <w:r>
        <w:rPr>
          <w:color w:val="000000"/>
          <w:szCs w:val="22"/>
        </w:rPr>
        <w:t>with respect to the community listed below, to read</w:t>
      </w:r>
      <w:r>
        <w:t xml:space="preserve"> as follows:</w:t>
      </w:r>
    </w:p>
    <w:p w:rsidR="007155DA" w:rsidP="007155DA" w14:paraId="5B0BD375" w14:textId="072C7898">
      <w:pPr>
        <w:pStyle w:val="ParaNum"/>
        <w:numPr>
          <w:ilvl w:val="0"/>
          <w:numId w:val="0"/>
        </w:numPr>
        <w:tabs>
          <w:tab w:val="left" w:pos="720"/>
        </w:tabs>
        <w:ind w:firstLine="720"/>
        <w:rPr>
          <w:b/>
          <w:bCs/>
          <w:u w:val="single"/>
        </w:rPr>
      </w:pPr>
      <w:r>
        <w:rPr>
          <w:b/>
          <w:bCs/>
        </w:rPr>
        <w:tab/>
      </w:r>
      <w:r>
        <w:rPr>
          <w:b/>
          <w:bCs/>
          <w:u w:val="single"/>
        </w:rPr>
        <w:t>Community</w:t>
      </w:r>
      <w:r>
        <w:rPr>
          <w:b/>
          <w:bCs/>
        </w:rPr>
        <w:tab/>
      </w:r>
      <w:r>
        <w:rPr>
          <w:b/>
          <w:bCs/>
        </w:rPr>
        <w:tab/>
      </w:r>
      <w:r>
        <w:rPr>
          <w:b/>
          <w:bCs/>
        </w:rPr>
        <w:tab/>
      </w:r>
      <w:r>
        <w:rPr>
          <w:b/>
          <w:bCs/>
        </w:rPr>
        <w:tab/>
      </w:r>
      <w:r>
        <w:rPr>
          <w:b/>
          <w:bCs/>
        </w:rPr>
        <w:tab/>
      </w:r>
      <w:r>
        <w:rPr>
          <w:b/>
          <w:bCs/>
        </w:rPr>
        <w:tab/>
      </w:r>
      <w:r>
        <w:rPr>
          <w:b/>
          <w:bCs/>
          <w:u w:val="single"/>
        </w:rPr>
        <w:t>Channel No.</w:t>
      </w:r>
    </w:p>
    <w:p w:rsidR="007155DA" w:rsidP="007155DA" w14:paraId="65136E2E" w14:textId="1FAE0D94">
      <w:pPr>
        <w:widowControl/>
        <w:autoSpaceDE w:val="0"/>
        <w:autoSpaceDN w:val="0"/>
        <w:adjustRightInd w:val="0"/>
        <w:rPr>
          <w:rFonts w:ascii="TimesNewRomanPSMT" w:hAnsi="TimesNewRomanPSMT" w:cs="TimesNewRomanPSMT"/>
          <w:snapToGrid/>
          <w:kern w:val="0"/>
          <w:szCs w:val="22"/>
        </w:rPr>
      </w:pPr>
      <w:r>
        <w:tab/>
      </w:r>
      <w:r>
        <w:tab/>
      </w:r>
      <w:r>
        <w:rPr>
          <w:rFonts w:ascii="TimesNewRomanPSMT" w:hAnsi="TimesNewRomanPSMT" w:cs="TimesNewRomanPSMT"/>
          <w:snapToGrid/>
          <w:kern w:val="0"/>
          <w:szCs w:val="22"/>
        </w:rPr>
        <w:t xml:space="preserve">Hamilton, Alabama </w:t>
      </w:r>
      <w:r>
        <w:rPr>
          <w:rFonts w:ascii="TimesNewRomanPSMT" w:hAnsi="TimesNewRomanPSMT" w:cs="TimesNewRomanPSMT"/>
          <w:snapToGrid/>
          <w:kern w:val="0"/>
          <w:szCs w:val="22"/>
        </w:rPr>
        <w:tab/>
      </w:r>
      <w:r>
        <w:rPr>
          <w:rFonts w:ascii="TimesNewRomanPSMT" w:hAnsi="TimesNewRomanPSMT" w:cs="TimesNewRomanPSMT"/>
          <w:snapToGrid/>
          <w:kern w:val="0"/>
          <w:szCs w:val="22"/>
        </w:rPr>
        <w:tab/>
        <w:t xml:space="preserve"> </w:t>
      </w:r>
      <w:r>
        <w:rPr>
          <w:rFonts w:ascii="TimesNewRomanPSMT" w:hAnsi="TimesNewRomanPSMT" w:cs="TimesNewRomanPSMT"/>
          <w:snapToGrid/>
          <w:kern w:val="0"/>
          <w:szCs w:val="22"/>
        </w:rPr>
        <w:tab/>
      </w:r>
      <w:r>
        <w:rPr>
          <w:rFonts w:ascii="TimesNewRomanPSMT" w:hAnsi="TimesNewRomanPSMT" w:cs="TimesNewRomanPSMT"/>
          <w:snapToGrid/>
          <w:kern w:val="0"/>
          <w:szCs w:val="22"/>
        </w:rPr>
        <w:tab/>
      </w:r>
      <w:r>
        <w:rPr>
          <w:rFonts w:ascii="TimesNewRomanPSMT" w:hAnsi="TimesNewRomanPSMT" w:cs="TimesNewRomanPSMT"/>
          <w:snapToGrid/>
          <w:kern w:val="0"/>
          <w:szCs w:val="22"/>
        </w:rPr>
        <w:tab/>
        <w:t>277A</w:t>
      </w:r>
    </w:p>
    <w:p w:rsidR="007155DA" w:rsidP="007155DA" w14:paraId="4DAF5A10" w14:textId="77777777">
      <w:pPr>
        <w:widowControl/>
        <w:autoSpaceDE w:val="0"/>
        <w:autoSpaceDN w:val="0"/>
        <w:adjustRightInd w:val="0"/>
        <w:rPr>
          <w:rFonts w:ascii="TimesNewRomanPSMT" w:hAnsi="TimesNewRomanPSMT" w:cs="TimesNewRomanPSMT"/>
          <w:snapToGrid/>
          <w:kern w:val="0"/>
          <w:szCs w:val="22"/>
        </w:rPr>
      </w:pPr>
    </w:p>
    <w:p w:rsidR="007155DA" w:rsidP="007155DA" w14:paraId="3576CE40" w14:textId="68F8F9E8">
      <w:pPr>
        <w:widowControl/>
        <w:autoSpaceDE w:val="0"/>
        <w:autoSpaceDN w:val="0"/>
        <w:adjustRightInd w:val="0"/>
        <w:ind w:left="720" w:firstLine="720"/>
        <w:rPr>
          <w:rFonts w:ascii="TimesNewRomanPSMT" w:hAnsi="TimesNewRomanPSMT" w:cs="TimesNewRomanPSMT"/>
          <w:snapToGrid/>
          <w:kern w:val="0"/>
          <w:szCs w:val="22"/>
        </w:rPr>
      </w:pPr>
      <w:r>
        <w:rPr>
          <w:rFonts w:ascii="TimesNewRomanPSMT" w:hAnsi="TimesNewRomanPSMT" w:cs="TimesNewRomanPSMT"/>
          <w:snapToGrid/>
          <w:kern w:val="0"/>
          <w:szCs w:val="22"/>
        </w:rPr>
        <w:t xml:space="preserve">Coalinga, California </w:t>
      </w:r>
      <w:r>
        <w:rPr>
          <w:rFonts w:ascii="TimesNewRomanPSMT" w:hAnsi="TimesNewRomanPSMT" w:cs="TimesNewRomanPSMT"/>
          <w:snapToGrid/>
          <w:kern w:val="0"/>
          <w:szCs w:val="22"/>
        </w:rPr>
        <w:tab/>
      </w:r>
      <w:r>
        <w:rPr>
          <w:rFonts w:ascii="TimesNewRomanPSMT" w:hAnsi="TimesNewRomanPSMT" w:cs="TimesNewRomanPSMT"/>
          <w:snapToGrid/>
          <w:kern w:val="0"/>
          <w:szCs w:val="22"/>
        </w:rPr>
        <w:tab/>
        <w:t xml:space="preserve"> </w:t>
      </w:r>
      <w:r>
        <w:rPr>
          <w:rFonts w:ascii="TimesNewRomanPSMT" w:hAnsi="TimesNewRomanPSMT" w:cs="TimesNewRomanPSMT"/>
          <w:snapToGrid/>
          <w:kern w:val="0"/>
          <w:szCs w:val="22"/>
        </w:rPr>
        <w:tab/>
      </w:r>
      <w:r>
        <w:rPr>
          <w:rFonts w:ascii="TimesNewRomanPSMT" w:hAnsi="TimesNewRomanPSMT" w:cs="TimesNewRomanPSMT"/>
          <w:snapToGrid/>
          <w:kern w:val="0"/>
          <w:szCs w:val="22"/>
        </w:rPr>
        <w:tab/>
      </w:r>
      <w:r>
        <w:rPr>
          <w:rFonts w:ascii="TimesNewRomanPSMT" w:hAnsi="TimesNewRomanPSMT" w:cs="TimesNewRomanPSMT"/>
          <w:snapToGrid/>
          <w:kern w:val="0"/>
          <w:szCs w:val="22"/>
        </w:rPr>
        <w:tab/>
        <w:t>261B1</w:t>
      </w:r>
    </w:p>
    <w:p w:rsidR="007155DA" w:rsidP="007155DA" w14:paraId="33B1B162" w14:textId="77777777">
      <w:pPr>
        <w:widowControl/>
        <w:autoSpaceDE w:val="0"/>
        <w:autoSpaceDN w:val="0"/>
        <w:adjustRightInd w:val="0"/>
        <w:ind w:left="720" w:firstLine="720"/>
        <w:rPr>
          <w:rFonts w:ascii="TimesNewRomanPSMT" w:hAnsi="TimesNewRomanPSMT" w:cs="TimesNewRomanPSMT"/>
          <w:snapToGrid/>
          <w:kern w:val="0"/>
          <w:szCs w:val="22"/>
        </w:rPr>
      </w:pPr>
    </w:p>
    <w:p w:rsidR="007155DA" w:rsidP="007155DA" w14:paraId="29D34A8A" w14:textId="2CF75000">
      <w:pPr>
        <w:widowControl/>
        <w:autoSpaceDE w:val="0"/>
        <w:autoSpaceDN w:val="0"/>
        <w:adjustRightInd w:val="0"/>
        <w:ind w:left="720" w:firstLine="720"/>
        <w:rPr>
          <w:rFonts w:ascii="TimesNewRomanPSMT" w:hAnsi="TimesNewRomanPSMT" w:cs="TimesNewRomanPSMT"/>
          <w:snapToGrid/>
          <w:kern w:val="0"/>
          <w:szCs w:val="22"/>
        </w:rPr>
      </w:pPr>
      <w:r>
        <w:rPr>
          <w:rFonts w:ascii="TimesNewRomanPSMT" w:hAnsi="TimesNewRomanPSMT" w:cs="TimesNewRomanPSMT"/>
          <w:snapToGrid/>
          <w:kern w:val="0"/>
          <w:szCs w:val="22"/>
        </w:rPr>
        <w:t xml:space="preserve">Rocksprings, Texas </w:t>
      </w:r>
      <w:r>
        <w:rPr>
          <w:rFonts w:ascii="TimesNewRomanPSMT" w:hAnsi="TimesNewRomanPSMT" w:cs="TimesNewRomanPSMT"/>
          <w:snapToGrid/>
          <w:kern w:val="0"/>
          <w:szCs w:val="22"/>
        </w:rPr>
        <w:tab/>
      </w:r>
      <w:r>
        <w:rPr>
          <w:rFonts w:ascii="TimesNewRomanPSMT" w:hAnsi="TimesNewRomanPSMT" w:cs="TimesNewRomanPSMT"/>
          <w:snapToGrid/>
          <w:kern w:val="0"/>
          <w:szCs w:val="22"/>
        </w:rPr>
        <w:tab/>
        <w:t xml:space="preserve"> </w:t>
      </w:r>
      <w:r>
        <w:rPr>
          <w:rFonts w:ascii="TimesNewRomanPSMT" w:hAnsi="TimesNewRomanPSMT" w:cs="TimesNewRomanPSMT"/>
          <w:snapToGrid/>
          <w:kern w:val="0"/>
          <w:szCs w:val="22"/>
        </w:rPr>
        <w:tab/>
      </w:r>
      <w:r>
        <w:rPr>
          <w:rFonts w:ascii="TimesNewRomanPSMT" w:hAnsi="TimesNewRomanPSMT" w:cs="TimesNewRomanPSMT"/>
          <w:snapToGrid/>
          <w:kern w:val="0"/>
          <w:szCs w:val="22"/>
        </w:rPr>
        <w:tab/>
      </w:r>
      <w:r>
        <w:rPr>
          <w:rFonts w:ascii="TimesNewRomanPSMT" w:hAnsi="TimesNewRomanPSMT" w:cs="TimesNewRomanPSMT"/>
          <w:snapToGrid/>
          <w:kern w:val="0"/>
          <w:szCs w:val="22"/>
        </w:rPr>
        <w:tab/>
        <w:t>289A</w:t>
      </w:r>
    </w:p>
    <w:p w:rsidR="007155DA" w:rsidP="007155DA" w14:paraId="0FA9A283" w14:textId="77777777">
      <w:pPr>
        <w:widowControl/>
        <w:autoSpaceDE w:val="0"/>
        <w:autoSpaceDN w:val="0"/>
        <w:adjustRightInd w:val="0"/>
        <w:ind w:left="720" w:firstLine="720"/>
        <w:rPr>
          <w:rFonts w:ascii="TimesNewRomanPSMT" w:hAnsi="TimesNewRomanPSMT" w:cs="TimesNewRomanPSMT"/>
          <w:snapToGrid/>
          <w:kern w:val="0"/>
          <w:szCs w:val="22"/>
        </w:rPr>
      </w:pPr>
    </w:p>
    <w:p w:rsidR="007155DA" w:rsidP="007155DA" w14:paraId="29DF4914" w14:textId="17823B08">
      <w:pPr>
        <w:widowControl/>
        <w:autoSpaceDE w:val="0"/>
        <w:autoSpaceDN w:val="0"/>
        <w:adjustRightInd w:val="0"/>
        <w:ind w:left="720" w:firstLine="720"/>
        <w:rPr>
          <w:rFonts w:ascii="TimesNewRomanPSMT" w:hAnsi="TimesNewRomanPSMT" w:cs="TimesNewRomanPSMT"/>
          <w:snapToGrid/>
          <w:kern w:val="0"/>
          <w:szCs w:val="22"/>
        </w:rPr>
      </w:pPr>
      <w:r>
        <w:rPr>
          <w:rFonts w:ascii="TimesNewRomanPSMT" w:hAnsi="TimesNewRomanPSMT" w:cs="TimesNewRomanPSMT"/>
          <w:snapToGrid/>
          <w:kern w:val="0"/>
          <w:szCs w:val="22"/>
        </w:rPr>
        <w:t xml:space="preserve">Silverton, Texas </w:t>
      </w:r>
      <w:r>
        <w:rPr>
          <w:rFonts w:ascii="TimesNewRomanPSMT" w:hAnsi="TimesNewRomanPSMT" w:cs="TimesNewRomanPSMT"/>
          <w:snapToGrid/>
          <w:kern w:val="0"/>
          <w:szCs w:val="22"/>
        </w:rPr>
        <w:tab/>
      </w:r>
      <w:r>
        <w:rPr>
          <w:rFonts w:ascii="TimesNewRomanPSMT" w:hAnsi="TimesNewRomanPSMT" w:cs="TimesNewRomanPSMT"/>
          <w:snapToGrid/>
          <w:kern w:val="0"/>
          <w:szCs w:val="22"/>
        </w:rPr>
        <w:tab/>
        <w:t xml:space="preserve"> </w:t>
      </w:r>
      <w:r>
        <w:rPr>
          <w:rFonts w:ascii="TimesNewRomanPSMT" w:hAnsi="TimesNewRomanPSMT" w:cs="TimesNewRomanPSMT"/>
          <w:snapToGrid/>
          <w:kern w:val="0"/>
          <w:szCs w:val="22"/>
        </w:rPr>
        <w:tab/>
      </w:r>
      <w:r>
        <w:rPr>
          <w:rFonts w:ascii="TimesNewRomanPSMT" w:hAnsi="TimesNewRomanPSMT" w:cs="TimesNewRomanPSMT"/>
          <w:snapToGrid/>
          <w:kern w:val="0"/>
          <w:szCs w:val="22"/>
        </w:rPr>
        <w:tab/>
      </w:r>
      <w:r>
        <w:rPr>
          <w:rFonts w:ascii="TimesNewRomanPSMT" w:hAnsi="TimesNewRomanPSMT" w:cs="TimesNewRomanPSMT"/>
          <w:snapToGrid/>
          <w:kern w:val="0"/>
          <w:szCs w:val="22"/>
        </w:rPr>
        <w:tab/>
        <w:t>261A</w:t>
      </w:r>
    </w:p>
    <w:p w:rsidR="007155DA" w:rsidP="007155DA" w14:paraId="15D87F79" w14:textId="77777777">
      <w:pPr>
        <w:widowControl/>
        <w:autoSpaceDE w:val="0"/>
        <w:autoSpaceDN w:val="0"/>
        <w:adjustRightInd w:val="0"/>
        <w:ind w:left="720" w:firstLine="720"/>
        <w:rPr>
          <w:rFonts w:ascii="TimesNewRomanPSMT" w:hAnsi="TimesNewRomanPSMT" w:cs="TimesNewRomanPSMT"/>
          <w:snapToGrid/>
          <w:kern w:val="0"/>
          <w:szCs w:val="22"/>
        </w:rPr>
      </w:pPr>
    </w:p>
    <w:p w:rsidR="007155DA" w:rsidP="007155DA" w14:paraId="66D0D38A" w14:textId="2AB4A9C2">
      <w:pPr>
        <w:pStyle w:val="ParaNum"/>
        <w:numPr>
          <w:ilvl w:val="0"/>
          <w:numId w:val="0"/>
        </w:numPr>
        <w:tabs>
          <w:tab w:val="left" w:pos="720"/>
        </w:tabs>
        <w:ind w:firstLine="720"/>
        <w:rPr>
          <w:rFonts w:ascii="TimesNewRomanPSMT" w:hAnsi="TimesNewRomanPSMT" w:cs="TimesNewRomanPSMT"/>
          <w:snapToGrid/>
          <w:kern w:val="0"/>
          <w:szCs w:val="22"/>
        </w:rPr>
      </w:pPr>
      <w:r>
        <w:rPr>
          <w:rFonts w:ascii="TimesNewRomanPSMT" w:hAnsi="TimesNewRomanPSMT" w:cs="TimesNewRomanPSMT"/>
          <w:snapToGrid/>
          <w:kern w:val="0"/>
          <w:szCs w:val="22"/>
        </w:rPr>
        <w:tab/>
        <w:t>Spur, Texas</w:t>
      </w:r>
      <w:r>
        <w:rPr>
          <w:rFonts w:ascii="TimesNewRomanPSMT" w:hAnsi="TimesNewRomanPSMT" w:cs="TimesNewRomanPSMT"/>
          <w:snapToGrid/>
          <w:kern w:val="0"/>
          <w:szCs w:val="22"/>
        </w:rPr>
        <w:tab/>
      </w:r>
      <w:r>
        <w:rPr>
          <w:rFonts w:ascii="TimesNewRomanPSMT" w:hAnsi="TimesNewRomanPSMT" w:cs="TimesNewRomanPSMT"/>
          <w:snapToGrid/>
          <w:kern w:val="0"/>
          <w:szCs w:val="22"/>
        </w:rPr>
        <w:tab/>
      </w:r>
      <w:r>
        <w:rPr>
          <w:rFonts w:ascii="TimesNewRomanPSMT" w:hAnsi="TimesNewRomanPSMT" w:cs="TimesNewRomanPSMT"/>
          <w:snapToGrid/>
          <w:kern w:val="0"/>
          <w:szCs w:val="22"/>
        </w:rPr>
        <w:tab/>
        <w:t xml:space="preserve"> </w:t>
      </w:r>
      <w:r>
        <w:rPr>
          <w:rFonts w:ascii="TimesNewRomanPSMT" w:hAnsi="TimesNewRomanPSMT" w:cs="TimesNewRomanPSMT"/>
          <w:snapToGrid/>
          <w:kern w:val="0"/>
          <w:sz w:val="13"/>
          <w:szCs w:val="13"/>
        </w:rPr>
        <w:t xml:space="preserve"> </w:t>
      </w:r>
      <w:r>
        <w:rPr>
          <w:rFonts w:ascii="TimesNewRomanPSMT" w:hAnsi="TimesNewRomanPSMT" w:cs="TimesNewRomanPSMT"/>
          <w:snapToGrid/>
          <w:kern w:val="0"/>
          <w:sz w:val="13"/>
          <w:szCs w:val="13"/>
        </w:rPr>
        <w:tab/>
      </w:r>
      <w:r>
        <w:rPr>
          <w:rFonts w:ascii="TimesNewRomanPSMT" w:hAnsi="TimesNewRomanPSMT" w:cs="TimesNewRomanPSMT"/>
          <w:snapToGrid/>
          <w:kern w:val="0"/>
          <w:sz w:val="13"/>
          <w:szCs w:val="13"/>
        </w:rPr>
        <w:tab/>
      </w:r>
      <w:r>
        <w:rPr>
          <w:rFonts w:ascii="TimesNewRomanPSMT" w:hAnsi="TimesNewRomanPSMT" w:cs="TimesNewRomanPSMT"/>
          <w:snapToGrid/>
          <w:kern w:val="0"/>
          <w:sz w:val="13"/>
          <w:szCs w:val="13"/>
        </w:rPr>
        <w:tab/>
      </w:r>
      <w:r>
        <w:rPr>
          <w:rFonts w:ascii="TimesNewRomanPSMT" w:hAnsi="TimesNewRomanPSMT" w:cs="TimesNewRomanPSMT"/>
          <w:snapToGrid/>
          <w:kern w:val="0"/>
          <w:szCs w:val="22"/>
        </w:rPr>
        <w:t>281C2</w:t>
      </w:r>
    </w:p>
    <w:p w:rsidR="00F374D4" w:rsidP="00F374D4" w14:paraId="0E5D4AD2" w14:textId="5AA0394E">
      <w:pPr>
        <w:pStyle w:val="ParaNum"/>
      </w:pPr>
      <w:r w:rsidRPr="00B30164">
        <w:t xml:space="preserve">The window period for filing applications for </w:t>
      </w:r>
      <w:r>
        <w:t xml:space="preserve">these vacant FM allotments </w:t>
      </w:r>
      <w:r w:rsidRPr="00B30164">
        <w:t>will not be opened at this time.  Instead, the issue of opening th</w:t>
      </w:r>
      <w:r>
        <w:t>e</w:t>
      </w:r>
      <w:r w:rsidR="00EE4160">
        <w:t xml:space="preserve">se </w:t>
      </w:r>
      <w:r w:rsidRPr="00B30164">
        <w:t>allotment</w:t>
      </w:r>
      <w:r>
        <w:t>s</w:t>
      </w:r>
      <w:r w:rsidRPr="00B30164">
        <w:t xml:space="preserve"> for filing will be addressed by the Commission in a subsequent order.</w:t>
      </w:r>
    </w:p>
    <w:p w:rsidR="00F374D4" w:rsidRPr="00B30164" w:rsidP="00F374D4" w14:paraId="60E4F49D" w14:textId="77777777">
      <w:pPr>
        <w:numPr>
          <w:ilvl w:val="0"/>
          <w:numId w:val="2"/>
        </w:numPr>
        <w:tabs>
          <w:tab w:val="clear" w:pos="1080"/>
          <w:tab w:val="num" w:pos="1440"/>
        </w:tabs>
        <w:spacing w:after="120"/>
      </w:pPr>
      <w:r w:rsidRPr="00B30164">
        <w:t xml:space="preserve">IT IS FURTHER ORDERED, That the Commission will send a copy of this </w:t>
      </w:r>
      <w:r w:rsidRPr="00B30164">
        <w:rPr>
          <w:i/>
          <w:iCs/>
        </w:rPr>
        <w:t>Report and Order</w:t>
      </w:r>
      <w:r w:rsidRPr="00B30164">
        <w:t xml:space="preserve"> in a report to Congress and the Government Accountability Office pursuant to the Congressional Review Act, </w:t>
      </w:r>
      <w:r w:rsidRPr="00B30164">
        <w:rPr>
          <w:i/>
          <w:iCs/>
        </w:rPr>
        <w:t>see</w:t>
      </w:r>
      <w:r w:rsidRPr="00B30164">
        <w:t xml:space="preserve"> 5 U.S.C. § 801(a)(1)(A).</w:t>
      </w:r>
    </w:p>
    <w:p w:rsidR="00F374D4" w:rsidRPr="00B30164" w:rsidP="00F374D4" w14:paraId="2629006C" w14:textId="77777777">
      <w:pPr>
        <w:numPr>
          <w:ilvl w:val="0"/>
          <w:numId w:val="2"/>
        </w:numPr>
        <w:tabs>
          <w:tab w:val="clear" w:pos="1080"/>
          <w:tab w:val="num" w:pos="1440"/>
        </w:tabs>
        <w:spacing w:after="120"/>
      </w:pPr>
      <w:r w:rsidRPr="00B30164">
        <w:t xml:space="preserve">IT IS FURTHER ORDERED, That this proceeding IS TERMINATED. </w:t>
      </w:r>
    </w:p>
    <w:p w:rsidR="00F374D4" w:rsidRPr="00B30164" w:rsidP="00F374D4" w14:paraId="66756951" w14:textId="77777777">
      <w:pPr>
        <w:numPr>
          <w:ilvl w:val="0"/>
          <w:numId w:val="2"/>
        </w:numPr>
        <w:tabs>
          <w:tab w:val="clear" w:pos="1080"/>
          <w:tab w:val="num" w:pos="1440"/>
        </w:tabs>
        <w:spacing w:after="120"/>
      </w:pPr>
      <w:r w:rsidRPr="00B30164">
        <w:t>For further information concerning this proceeding, contact Rolanda F. Smith, Media Bureau, (202) 418-2054.</w:t>
      </w:r>
    </w:p>
    <w:p w:rsidR="00F374D4" w:rsidP="00F374D4" w14:paraId="2D251900" w14:textId="77777777">
      <w:pPr>
        <w:pStyle w:val="ParaNum"/>
        <w:numPr>
          <w:ilvl w:val="0"/>
          <w:numId w:val="0"/>
        </w:numPr>
      </w:pPr>
    </w:p>
    <w:p w:rsidR="00F374D4" w:rsidRPr="00B30164" w:rsidP="00F374D4" w14:paraId="76AD9BFD" w14:textId="2E7106E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uppressAutoHyphens/>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0164">
        <w:rPr>
          <w:spacing w:val="-3"/>
          <w:szCs w:val="22"/>
        </w:rPr>
        <w:t>FEDERAL COMMUNICATIONS COMMISSION</w:t>
      </w:r>
    </w:p>
    <w:p w:rsidR="00F374D4" w:rsidRPr="00B30164" w:rsidP="00F374D4" w14:paraId="7D462ED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uppressAutoHyphens/>
        <w:rPr>
          <w:spacing w:val="-3"/>
          <w:szCs w:val="22"/>
        </w:rPr>
      </w:pPr>
    </w:p>
    <w:p w:rsidR="00F374D4" w:rsidRPr="00B30164" w:rsidP="00F374D4" w14:paraId="0880111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uppressAutoHyphens/>
        <w:rPr>
          <w:spacing w:val="-3"/>
          <w:szCs w:val="22"/>
        </w:rPr>
      </w:pPr>
    </w:p>
    <w:p w:rsidR="00F374D4" w:rsidRPr="00B30164" w:rsidP="00F374D4" w14:paraId="341BE27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uppressAutoHyphens/>
        <w:rPr>
          <w:spacing w:val="-3"/>
          <w:szCs w:val="22"/>
        </w:rPr>
      </w:pPr>
    </w:p>
    <w:p w:rsidR="00F374D4" w:rsidRPr="00B30164" w:rsidP="00F374D4" w14:paraId="2CCAC90B" w14:textId="77777777">
      <w:pPr>
        <w:ind w:left="3600" w:firstLine="720"/>
      </w:pPr>
      <w:r w:rsidRPr="00B30164">
        <w:t>Nazifa Sawez</w:t>
      </w:r>
    </w:p>
    <w:p w:rsidR="00F374D4" w:rsidRPr="00B30164" w:rsidP="00F374D4" w14:paraId="7A8F631D" w14:textId="77777777">
      <w:pPr>
        <w:ind w:left="3600" w:firstLine="720"/>
      </w:pPr>
      <w:r w:rsidRPr="00B30164">
        <w:t xml:space="preserve">Assistant Chief, Audio Division </w:t>
      </w:r>
    </w:p>
    <w:p w:rsidR="00F374D4" w:rsidRPr="00B30164" w:rsidP="00F374D4" w14:paraId="69DA519C" w14:textId="77777777">
      <w:pPr>
        <w:ind w:left="3600" w:firstLine="720"/>
      </w:pPr>
      <w:r w:rsidRPr="00B30164">
        <w:t>Media Bureau</w:t>
      </w:r>
    </w:p>
    <w:p w:rsidR="00F374D4" w:rsidRPr="00B30164" w:rsidP="00F374D4" w14:paraId="7779B419" w14:textId="77777777">
      <w:pPr>
        <w:pStyle w:val="ParaNum"/>
        <w:numPr>
          <w:ilvl w:val="0"/>
          <w:numId w:val="0"/>
        </w:numPr>
        <w:ind w:left="720"/>
      </w:pPr>
    </w:p>
    <w:p w:rsidR="00F374D4" w:rsidRPr="007155DA" w:rsidP="00F374D4" w14:paraId="393B7E06" w14:textId="77777777">
      <w:pPr>
        <w:pStyle w:val="ParaNum"/>
        <w:numPr>
          <w:ilvl w:val="0"/>
          <w:numId w:val="0"/>
        </w:numPr>
        <w:ind w:left="4320"/>
      </w:pP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Manifest>
    <wne:toolbarData r:id="rId1"/>
  </wne:toolbars>
  <wne:acds>
    <wne:acd wne:argValue="AgBQAGEAcgBhAE4AdQBtAA==&#10;" wne:acdName="acd0" wne:fciIndexBasedOn="0065"/>
    <wne:acd wne:argValue="AQAAAAAA&#10;"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675DC" w14:paraId="0B50B0E0" w14:textId="77777777">
      <w:pPr>
        <w:spacing w:line="20" w:lineRule="exact"/>
      </w:pPr>
    </w:p>
  </w:endnote>
  <w:endnote w:type="continuationSeparator" w:id="1">
    <w:p w:rsidR="004675DC" w14:paraId="1EF0CEC4" w14:textId="77777777">
      <w:r>
        <w:t xml:space="preserve"> </w:t>
      </w:r>
    </w:p>
  </w:endnote>
  <w:endnote w:type="continuationNotice" w:id="2">
    <w:p w:rsidR="004675DC" w14:paraId="7CF8703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4D9E08EE"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42C96B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22025CE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4FB1F017"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011651FB"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75DC" w14:paraId="59A05676" w14:textId="77777777">
      <w:r>
        <w:separator/>
      </w:r>
    </w:p>
  </w:footnote>
  <w:footnote w:type="continuationSeparator" w:id="1">
    <w:p w:rsidR="004675DC" w:rsidP="00C721AC" w14:paraId="67075175" w14:textId="77777777">
      <w:pPr>
        <w:spacing w:before="120"/>
        <w:rPr>
          <w:sz w:val="20"/>
        </w:rPr>
      </w:pPr>
      <w:r>
        <w:rPr>
          <w:sz w:val="20"/>
        </w:rPr>
        <w:t xml:space="preserve">(Continued from previous page)  </w:t>
      </w:r>
      <w:r>
        <w:rPr>
          <w:sz w:val="20"/>
        </w:rPr>
        <w:separator/>
      </w:r>
    </w:p>
  </w:footnote>
  <w:footnote w:type="continuationNotice" w:id="2">
    <w:p w:rsidR="004675DC" w:rsidP="00C721AC" w14:paraId="347A1AC7" w14:textId="77777777">
      <w:pPr>
        <w:jc w:val="right"/>
        <w:rPr>
          <w:sz w:val="20"/>
        </w:rPr>
      </w:pPr>
      <w:r>
        <w:rPr>
          <w:sz w:val="20"/>
        </w:rPr>
        <w:t>(continued….)</w:t>
      </w:r>
    </w:p>
  </w:footnote>
  <w:footnote w:id="3">
    <w:p w:rsidR="00460A07" w14:paraId="7B9149CA" w14:textId="65A45654">
      <w:pPr>
        <w:pStyle w:val="FootnoteText"/>
      </w:pPr>
      <w:r>
        <w:rPr>
          <w:rStyle w:val="FootnoteReference"/>
        </w:rPr>
        <w:footnoteRef/>
      </w:r>
      <w:r>
        <w:t xml:space="preserve"> </w:t>
      </w:r>
      <w:r w:rsidR="003C1BB5">
        <w:rPr>
          <w:i/>
        </w:rPr>
        <w:t>Various Locations</w:t>
      </w:r>
      <w:r w:rsidRPr="00B30164" w:rsidR="003C1BB5">
        <w:t xml:space="preserve">, Notice of Proposed Rule Making, DA </w:t>
      </w:r>
      <w:r w:rsidR="003C1BB5">
        <w:t>25-911</w:t>
      </w:r>
      <w:r w:rsidRPr="00B30164" w:rsidR="003C1BB5">
        <w:t xml:space="preserve">, rel. </w:t>
      </w:r>
      <w:r w:rsidR="003C1BB5">
        <w:t>September 30, 2025</w:t>
      </w:r>
      <w:r w:rsidRPr="00B30164" w:rsidR="003C1BB5">
        <w:t xml:space="preserve"> (MB 202</w:t>
      </w:r>
      <w:r w:rsidR="003C1BB5">
        <w:t>5</w:t>
      </w:r>
      <w:r w:rsidRPr="00B30164" w:rsidR="003C1BB5">
        <w:t>), (“</w:t>
      </w:r>
      <w:r w:rsidRPr="00B30164" w:rsidR="003C1BB5">
        <w:rPr>
          <w:i/>
        </w:rPr>
        <w:t>Notice</w:t>
      </w:r>
      <w:r w:rsidRPr="00B30164" w:rsidR="003C1BB5">
        <w:t xml:space="preserve">”); </w:t>
      </w:r>
      <w:r w:rsidRPr="00B30164" w:rsidR="003C1BB5">
        <w:rPr>
          <w:i/>
          <w:iCs/>
        </w:rPr>
        <w:t>see also</w:t>
      </w:r>
      <w:r w:rsidRPr="00B30164" w:rsidR="003C1BB5">
        <w:t xml:space="preserve"> </w:t>
      </w:r>
      <w:r w:rsidR="00CF54BD">
        <w:t>90 FR 51630</w:t>
      </w:r>
      <w:r w:rsidRPr="00B30164" w:rsidR="003C1BB5">
        <w:t xml:space="preserve"> (published </w:t>
      </w:r>
      <w:r w:rsidR="00CF54BD">
        <w:t>November 18, 2025</w:t>
      </w:r>
      <w:r w:rsidRPr="00B30164" w:rsidR="003C1BB5">
        <w:t>).</w:t>
      </w:r>
    </w:p>
  </w:footnote>
  <w:footnote w:id="4">
    <w:p w:rsidR="003C1BB5" w14:paraId="0FC8CF62" w14:textId="77777777">
      <w:pPr>
        <w:pStyle w:val="FootnoteText"/>
      </w:pPr>
      <w:r>
        <w:rPr>
          <w:rStyle w:val="FootnoteReference"/>
        </w:rPr>
        <w:footnoteRef/>
      </w:r>
      <w:r>
        <w:t xml:space="preserve"> </w:t>
      </w:r>
      <w:r w:rsidRPr="003C1BB5">
        <w:t>47 CFR § 73.202(b).</w:t>
      </w:r>
    </w:p>
  </w:footnote>
  <w:footnote w:id="5">
    <w:p w:rsidR="00710F3D" w14:paraId="55DF913E" w14:textId="4652993B">
      <w:pPr>
        <w:pStyle w:val="FootnoteText"/>
      </w:pPr>
      <w:r>
        <w:rPr>
          <w:rStyle w:val="FootnoteReference"/>
        </w:rPr>
        <w:footnoteRef/>
      </w:r>
      <w:r>
        <w:t xml:space="preserve"> </w:t>
      </w:r>
      <w:r w:rsidRPr="00710F3D">
        <w:t xml:space="preserve">47 CFR § 73.207.  </w:t>
      </w:r>
    </w:p>
  </w:footnote>
  <w:footnote w:id="6">
    <w:p w:rsidR="00FC5FCD" w:rsidRPr="00B413A1" w14:paraId="4C6A5F87" w14:textId="6ECD788D">
      <w:pPr>
        <w:pStyle w:val="FootnoteText"/>
      </w:pPr>
      <w:r>
        <w:rPr>
          <w:rStyle w:val="FootnoteReference"/>
        </w:rPr>
        <w:footnoteRef/>
      </w:r>
      <w:r>
        <w:t xml:space="preserve"> T</w:t>
      </w:r>
      <w:r w:rsidRPr="00FC5FCD">
        <w:t xml:space="preserve">he staff engineering analysis determined that vacant Channel 261B at Coalinga </w:t>
      </w:r>
      <w:r>
        <w:t xml:space="preserve">also </w:t>
      </w:r>
      <w:r w:rsidRPr="00FC5FCD">
        <w:t>does not comply with the city-grade coverage requirements of</w:t>
      </w:r>
      <w:r w:rsidR="00710F3D">
        <w:t xml:space="preserve"> </w:t>
      </w:r>
      <w:r w:rsidRPr="00710F3D" w:rsidR="00710F3D">
        <w:t>47 CFR § 73.315</w:t>
      </w:r>
      <w:r>
        <w:t>.</w:t>
      </w:r>
      <w:r w:rsidR="000242D6">
        <w:t xml:space="preserve">  </w:t>
      </w:r>
      <w:r w:rsidR="00B413A1">
        <w:rPr>
          <w:i/>
          <w:iCs/>
        </w:rPr>
        <w:t xml:space="preserve">See Notice </w:t>
      </w:r>
      <w:r w:rsidR="00B413A1">
        <w:t>at ¶ 4.  T</w:t>
      </w:r>
      <w:r w:rsidR="000242D6">
        <w:t xml:space="preserve">he </w:t>
      </w:r>
      <w:r w:rsidR="000242D6">
        <w:rPr>
          <w:i/>
          <w:iCs/>
        </w:rPr>
        <w:t xml:space="preserve">Notice </w:t>
      </w:r>
      <w:r w:rsidR="000242D6">
        <w:t xml:space="preserve">proposed the </w:t>
      </w:r>
      <w:r w:rsidRPr="000242D6" w:rsidR="000242D6">
        <w:t xml:space="preserve">downgrade </w:t>
      </w:r>
      <w:r w:rsidR="00B413A1">
        <w:t xml:space="preserve">of </w:t>
      </w:r>
      <w:r w:rsidRPr="000242D6" w:rsidR="000242D6">
        <w:t>the vacant Coalinga allotment from Class B to Class B1, because there are no alternate Class B channels available at Coalinga that would comply with 47 CFR §§ 73.207 and 73.315.</w:t>
      </w:r>
      <w:r w:rsidR="00B413A1">
        <w:t xml:space="preserve">  </w:t>
      </w:r>
      <w:r w:rsidR="00B413A1">
        <w:rPr>
          <w:i/>
          <w:iCs/>
        </w:rPr>
        <w:t xml:space="preserve">See Notice </w:t>
      </w:r>
      <w:r w:rsidR="00B413A1">
        <w:t>at ¶ 8, note 28.</w:t>
      </w:r>
    </w:p>
  </w:footnote>
  <w:footnote w:id="7">
    <w:p w:rsidR="000242D6" w:rsidRPr="000242D6" w14:paraId="4D5475D9" w14:textId="7A5654C4">
      <w:pPr>
        <w:pStyle w:val="FootnoteText"/>
      </w:pPr>
      <w:r>
        <w:rPr>
          <w:rStyle w:val="FootnoteReference"/>
        </w:rPr>
        <w:footnoteRef/>
      </w:r>
      <w:r>
        <w:t xml:space="preserve"> </w:t>
      </w:r>
      <w:r>
        <w:rPr>
          <w:i/>
          <w:iCs/>
        </w:rPr>
        <w:t xml:space="preserve">See Notice </w:t>
      </w:r>
      <w:r>
        <w:t xml:space="preserve">at </w:t>
      </w:r>
      <w:r w:rsidR="00912B36">
        <w:t>¶¶</w:t>
      </w:r>
      <w:r>
        <w:t xml:space="preserve"> 3-7.</w:t>
      </w:r>
    </w:p>
  </w:footnote>
  <w:footnote w:id="8">
    <w:p w:rsidR="00610236" w:rsidP="00710F3D" w14:paraId="37410C6F" w14:textId="66C9002E">
      <w:pPr>
        <w:pStyle w:val="FootnoteText"/>
      </w:pPr>
      <w:r>
        <w:rPr>
          <w:rStyle w:val="FootnoteReference"/>
        </w:rPr>
        <w:footnoteRef/>
      </w:r>
      <w:r>
        <w:t xml:space="preserve"> </w:t>
      </w:r>
      <w:r w:rsidR="00710F3D">
        <w:t>Channel 277A can be allotted to Hamilton, Alabama consistent with the minimum distance separation requirements of 47 CFR § 73.207, provided there is a site restriction of 7 kilometers (4.4 miles) north of the community at reference coordinates 34-11-50 NL and 88-01-37 WL.</w:t>
      </w:r>
    </w:p>
  </w:footnote>
  <w:footnote w:id="9">
    <w:p w:rsidR="00610236" w:rsidP="00F374D4" w14:paraId="4E504820" w14:textId="15C8C6FA">
      <w:pPr>
        <w:pStyle w:val="FootnoteText"/>
      </w:pPr>
      <w:r>
        <w:rPr>
          <w:rStyle w:val="FootnoteReference"/>
        </w:rPr>
        <w:footnoteRef/>
      </w:r>
      <w:r w:rsidR="00F374D4">
        <w:t xml:space="preserve"> </w:t>
      </w:r>
      <w:r w:rsidR="00710F3D">
        <w:t>Channel 261B1 can be allotted to Coalinga, California consistent with the minimum distance separation requirements of 47 CFR § 73.207, without a site restriction at the community’s reference coordinates 36-8-23 NL and 120-21-37 WL.</w:t>
      </w:r>
    </w:p>
  </w:footnote>
  <w:footnote w:id="10">
    <w:p w:rsidR="00610236" w:rsidP="00710F3D" w14:paraId="7A7A4CED" w14:textId="4C6E325E">
      <w:pPr>
        <w:pStyle w:val="FootnoteText"/>
      </w:pPr>
      <w:r>
        <w:rPr>
          <w:rStyle w:val="FootnoteReference"/>
        </w:rPr>
        <w:footnoteRef/>
      </w:r>
      <w:r>
        <w:t xml:space="preserve"> </w:t>
      </w:r>
      <w:r w:rsidR="00710F3D">
        <w:t>Channel 289A can be allotted to Rocksprings, Texas consistent with the minimum distance separation requirements of 47 CFR § 73.207, provided there is a site restriction of 12.1 kilometers (7.5 miles) west of the community at reference coordinates 29-59-52 NL and 100-20-10 WL.</w:t>
      </w:r>
    </w:p>
  </w:footnote>
  <w:footnote w:id="11">
    <w:p w:rsidR="00610236" w:rsidP="00710F3D" w14:paraId="30DF8319" w14:textId="48B1DDCD">
      <w:pPr>
        <w:pStyle w:val="FootnoteText"/>
      </w:pPr>
      <w:r>
        <w:rPr>
          <w:rStyle w:val="FootnoteReference"/>
        </w:rPr>
        <w:footnoteRef/>
      </w:r>
      <w:r>
        <w:t xml:space="preserve"> </w:t>
      </w:r>
      <w:r w:rsidR="00710F3D">
        <w:t>Channel 261A can be allotted to Silverton, Texas consistent with the minimum distance separation requirements of 47 CFR § 73.207, provided there is a site restriction of 11 kilometers (6.8 miles) northwest of the community at reference coordinates 34-33-34 NL and 101-21-13 WL.</w:t>
      </w:r>
    </w:p>
  </w:footnote>
  <w:footnote w:id="12">
    <w:p w:rsidR="00710F3D" w:rsidP="007155DA" w14:paraId="642E6B64" w14:textId="55B6804C">
      <w:pPr>
        <w:pStyle w:val="FootnoteText"/>
      </w:pPr>
      <w:r>
        <w:rPr>
          <w:rStyle w:val="FootnoteReference"/>
        </w:rPr>
        <w:footnoteRef/>
      </w:r>
      <w:r>
        <w:t xml:space="preserve"> </w:t>
      </w:r>
      <w:r w:rsidRPr="00EE1FF2" w:rsidR="00EE1FF2">
        <w:t>Vacant Channel 260C2 at Spur, Texas is not currently listed in the FM Table.</w:t>
      </w:r>
      <w:r w:rsidR="00EE1FF2">
        <w:t xml:space="preserve">  </w:t>
      </w:r>
      <w:r w:rsidR="00EE1FF2">
        <w:rPr>
          <w:i/>
          <w:iCs/>
        </w:rPr>
        <w:t xml:space="preserve">See Notice </w:t>
      </w:r>
      <w:r w:rsidR="00EE1FF2">
        <w:t xml:space="preserve">at note 35.  </w:t>
      </w:r>
      <w:r w:rsidR="007155DA">
        <w:t>Channel 281C2 can be allotted to Spur, Texas consistent with the minimum distance separation requirements of 47 CFR § 73.207, provided there is a site restriction of 22.5 kilometers (14 miles) east of the community at reference coordinates 33-26-51 NL and 100-36-59 WL.</w:t>
      </w:r>
    </w:p>
  </w:footnote>
  <w:footnote w:id="13">
    <w:p w:rsidR="001428C8" w:rsidP="001428C8" w14:paraId="691809F5" w14:textId="77777777">
      <w:pPr>
        <w:widowControl/>
        <w:autoSpaceDE w:val="0"/>
        <w:autoSpaceDN w:val="0"/>
        <w:adjustRightInd w:val="0"/>
        <w:rPr>
          <w:rFonts w:ascii="TimesNewRomanPSMT" w:hAnsi="TimesNewRomanPSMT" w:cs="TimesNewRomanPSMT"/>
          <w:snapToGrid/>
          <w:kern w:val="0"/>
          <w:sz w:val="20"/>
        </w:rPr>
      </w:pPr>
      <w:r>
        <w:rPr>
          <w:rStyle w:val="FootnoteReference"/>
        </w:rPr>
        <w:footnoteRef/>
      </w:r>
      <w:r>
        <w:t xml:space="preserve"> </w:t>
      </w:r>
      <w:r>
        <w:rPr>
          <w:rFonts w:ascii="TimesNewRomanPS-ItalicMT" w:hAnsi="TimesNewRomanPS-ItalicMT" w:cs="TimesNewRomanPS-ItalicMT"/>
          <w:i/>
          <w:iCs/>
          <w:snapToGrid/>
          <w:kern w:val="0"/>
          <w:sz w:val="20"/>
        </w:rPr>
        <w:t xml:space="preserve">See Revision of FM Assignment Policies and Procedures, </w:t>
      </w:r>
      <w:r>
        <w:rPr>
          <w:rFonts w:ascii="TimesNewRomanPSMT" w:hAnsi="TimesNewRomanPSMT" w:cs="TimesNewRomanPSMT"/>
          <w:snapToGrid/>
          <w:kern w:val="0"/>
          <w:sz w:val="20"/>
        </w:rPr>
        <w:t>Second Report and Order, 90 FCC 2d 88 (1982). The</w:t>
      </w:r>
    </w:p>
    <w:p w:rsidR="001428C8" w:rsidP="001428C8" w14:paraId="5A42E7F9" w14:textId="77777777">
      <w:pPr>
        <w:widowControl/>
        <w:autoSpaceDE w:val="0"/>
        <w:autoSpaceDN w:val="0"/>
        <w:adjustRightInd w:val="0"/>
        <w:rPr>
          <w:rFonts w:ascii="TimesNewRomanPSMT" w:hAnsi="TimesNewRomanPSMT" w:cs="TimesNewRomanPSMT"/>
          <w:snapToGrid/>
          <w:kern w:val="0"/>
          <w:sz w:val="20"/>
        </w:rPr>
      </w:pPr>
      <w:r>
        <w:rPr>
          <w:rFonts w:ascii="TimesNewRomanPSMT" w:hAnsi="TimesNewRomanPSMT" w:cs="TimesNewRomanPSMT"/>
          <w:snapToGrid/>
          <w:kern w:val="0"/>
          <w:sz w:val="20"/>
        </w:rPr>
        <w:t>FM allotment priorities are: (1) First fulltime aural service, (2) Second fulltime aural service, (3) First local service</w:t>
      </w:r>
    </w:p>
    <w:p w:rsidR="001428C8" w:rsidP="001428C8" w14:paraId="53CA31D8" w14:textId="77777777">
      <w:pPr>
        <w:pStyle w:val="FootnoteText"/>
      </w:pPr>
      <w:r>
        <w:rPr>
          <w:rFonts w:ascii="TimesNewRomanPSMT" w:hAnsi="TimesNewRomanPSMT" w:cs="TimesNewRomanPSMT"/>
        </w:rPr>
        <w:t>and (4) Other public interest matters. Co-equal weight is given to Priorities (2) and (3).</w:t>
      </w:r>
    </w:p>
  </w:footnote>
  <w:footnote w:id="14">
    <w:p w:rsidR="001428C8" w:rsidP="001428C8" w14:paraId="0EE70503" w14:textId="77777777">
      <w:pPr>
        <w:pStyle w:val="FootnoteText"/>
      </w:pPr>
      <w:r>
        <w:rPr>
          <w:rStyle w:val="FootnoteReference"/>
        </w:rPr>
        <w:footnoteRef/>
      </w:r>
      <w:r>
        <w:t xml:space="preserve"> </w:t>
      </w:r>
      <w:r w:rsidRPr="000242D6">
        <w:t>47 CFR § 73.207</w:t>
      </w:r>
      <w:r>
        <w:t>.</w:t>
      </w:r>
      <w:r w:rsidRPr="000242D6">
        <w:t xml:space="preserve">  </w:t>
      </w:r>
    </w:p>
  </w:footnote>
  <w:footnote w:id="15">
    <w:p w:rsidR="007155DA" w14:paraId="6E2B89E0" w14:textId="633111B1">
      <w:pPr>
        <w:pStyle w:val="FootnoteText"/>
      </w:pPr>
      <w:r>
        <w:rPr>
          <w:rStyle w:val="FootnoteReference"/>
        </w:rPr>
        <w:footnoteRef/>
      </w:r>
      <w:r>
        <w:t xml:space="preserve"> </w:t>
      </w:r>
      <w:r w:rsidRPr="007155DA">
        <w:t>47 CFR § 73.315.</w:t>
      </w:r>
    </w:p>
  </w:footnote>
  <w:footnote w:id="16">
    <w:p w:rsidR="007155DA" w:rsidRPr="00B30164" w:rsidP="007155DA" w14:paraId="7CD1D068" w14:textId="77777777">
      <w:pPr>
        <w:pStyle w:val="FootnoteText"/>
        <w:widowControl w:val="0"/>
      </w:pPr>
      <w:r w:rsidRPr="00B30164">
        <w:rPr>
          <w:rStyle w:val="FootnoteReference"/>
        </w:rPr>
        <w:footnoteRef/>
      </w:r>
      <w:r w:rsidRPr="00B30164">
        <w:t xml:space="preserve"> </w:t>
      </w:r>
      <w:r w:rsidRPr="00B30164">
        <w:rPr>
          <w:color w:val="000000"/>
        </w:rPr>
        <w:t xml:space="preserve">5 U.S.C. § 603.  The RFA, </w:t>
      </w:r>
      <w:r w:rsidRPr="00B30164">
        <w:rPr>
          <w:i/>
          <w:color w:val="000000"/>
        </w:rPr>
        <w:t xml:space="preserve">see </w:t>
      </w:r>
      <w:r w:rsidRPr="00B30164">
        <w:rPr>
          <w:color w:val="000000"/>
        </w:rPr>
        <w:t xml:space="preserve">5 U.S.C. § 601 </w:t>
      </w:r>
      <w:r w:rsidRPr="00B30164">
        <w:rPr>
          <w:i/>
          <w:color w:val="000000"/>
        </w:rPr>
        <w:t>et seq.</w:t>
      </w:r>
      <w:r w:rsidRPr="00B30164">
        <w:rPr>
          <w:color w:val="000000"/>
        </w:rPr>
        <w:t xml:space="preserve">, has been amended by the Small Business Regulatory </w:t>
      </w:r>
      <w:r w:rsidRPr="00B30164">
        <w:rPr>
          <w:color w:val="231F20"/>
        </w:rPr>
        <w:t>Enforcement</w:t>
      </w:r>
      <w:r w:rsidRPr="00B30164">
        <w:rPr>
          <w:color w:val="000000"/>
        </w:rPr>
        <w:t xml:space="preserve"> Fairness Act of 1996 (SBREFA), Pub. L. No. 104-121, Title II, 110 Stat. 857 (1996).  The SBREFA was enacted as Title II of the Contract with America Advancement Act of 1996 (CWAAA).</w:t>
      </w:r>
    </w:p>
  </w:footnote>
  <w:footnote w:id="17">
    <w:p w:rsidR="007155DA" w:rsidRPr="00B30164" w:rsidP="007155DA" w14:paraId="18351521" w14:textId="77777777">
      <w:pPr>
        <w:pStyle w:val="FootnoteText"/>
        <w:widowControl w:val="0"/>
      </w:pPr>
      <w:r w:rsidRPr="00B30164">
        <w:rPr>
          <w:rStyle w:val="FootnoteReference"/>
        </w:rPr>
        <w:footnoteRef/>
      </w:r>
      <w:r w:rsidRPr="00B30164">
        <w:t xml:space="preserve"> 47 CFR § 73.202(b).</w:t>
      </w:r>
    </w:p>
  </w:footnote>
  <w:footnote w:id="18">
    <w:p w:rsidR="007155DA" w:rsidRPr="00B30164" w:rsidP="007155DA" w14:paraId="47784377" w14:textId="77777777">
      <w:pPr>
        <w:pStyle w:val="FootnoteText"/>
        <w:widowControl w:val="0"/>
      </w:pPr>
      <w:r w:rsidRPr="00B30164">
        <w:rPr>
          <w:rStyle w:val="FootnoteReference"/>
        </w:rPr>
        <w:footnoteRef/>
      </w:r>
      <w:r w:rsidRPr="00B30164">
        <w:t xml:space="preserve"> 44 U.S.C. §§ 3501-3520.</w:t>
      </w:r>
    </w:p>
  </w:footnote>
  <w:footnote w:id="19">
    <w:p w:rsidR="007155DA" w:rsidRPr="00B30164" w:rsidP="007155DA" w14:paraId="6BC11A13" w14:textId="77777777">
      <w:pPr>
        <w:pStyle w:val="FootnoteText"/>
        <w:widowControl w:val="0"/>
      </w:pPr>
      <w:r w:rsidRPr="00B30164">
        <w:rPr>
          <w:rStyle w:val="FootnoteReference"/>
        </w:rPr>
        <w:footnoteRef/>
      </w:r>
      <w:r w:rsidRPr="00B30164">
        <w:t xml:space="preserve"> 44 U.S.C. § 3506(c)(4).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352759F4" w14:textId="314D180A">
    <w:pPr>
      <w:pStyle w:val="Header"/>
      <w:rPr>
        <w:b w:val="0"/>
      </w:rPr>
    </w:pPr>
    <w:r>
      <w:tab/>
      <w:t>Federal Communications Commission</w:t>
    </w:r>
    <w:r>
      <w:tab/>
    </w:r>
    <w:r w:rsidR="00F374D4">
      <w:t>DA 26-</w:t>
    </w:r>
    <w:r w:rsidR="006A44EB">
      <w:t>135</w:t>
    </w:r>
  </w:p>
  <w:p w:rsidR="00D25FB5" w14:paraId="41B2B0A5" w14:textId="2D0C76B5">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7F2F7CF5"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CB475C2" w14:textId="2B4361E4">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460A07">
      <w:rPr>
        <w:spacing w:val="-2"/>
      </w:rPr>
      <w:t>DA 26-</w:t>
    </w:r>
    <w:r w:rsidR="006A44EB">
      <w:rPr>
        <w:spacing w:val="-2"/>
      </w:rPr>
      <w:t>135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452094250">
    <w:abstractNumId w:val="1"/>
  </w:num>
  <w:num w:numId="2" w16cid:durableId="1074014040">
    <w:abstractNumId w:val="5"/>
  </w:num>
  <w:num w:numId="3" w16cid:durableId="618073989">
    <w:abstractNumId w:val="3"/>
  </w:num>
  <w:num w:numId="4" w16cid:durableId="271783115">
    <w:abstractNumId w:val="4"/>
  </w:num>
  <w:num w:numId="5" w16cid:durableId="1737506901">
    <w:abstractNumId w:val="2"/>
  </w:num>
  <w:num w:numId="6" w16cid:durableId="83591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97"/>
    <w:rsid w:val="000242D6"/>
    <w:rsid w:val="00036039"/>
    <w:rsid w:val="00037F90"/>
    <w:rsid w:val="000875BF"/>
    <w:rsid w:val="00096D8C"/>
    <w:rsid w:val="000C0B65"/>
    <w:rsid w:val="000D634F"/>
    <w:rsid w:val="000E05FE"/>
    <w:rsid w:val="000E3D42"/>
    <w:rsid w:val="00122BD5"/>
    <w:rsid w:val="00133F79"/>
    <w:rsid w:val="001428C8"/>
    <w:rsid w:val="00170BC8"/>
    <w:rsid w:val="00194A66"/>
    <w:rsid w:val="001D6BCF"/>
    <w:rsid w:val="001E01CA"/>
    <w:rsid w:val="00275CF5"/>
    <w:rsid w:val="0028301F"/>
    <w:rsid w:val="00285017"/>
    <w:rsid w:val="00296A15"/>
    <w:rsid w:val="002A2D2E"/>
    <w:rsid w:val="002C00E8"/>
    <w:rsid w:val="00343749"/>
    <w:rsid w:val="003660ED"/>
    <w:rsid w:val="003B0550"/>
    <w:rsid w:val="003B694F"/>
    <w:rsid w:val="003C1BB5"/>
    <w:rsid w:val="003F171C"/>
    <w:rsid w:val="003F4EA7"/>
    <w:rsid w:val="00412FC5"/>
    <w:rsid w:val="00422276"/>
    <w:rsid w:val="004242F1"/>
    <w:rsid w:val="00440203"/>
    <w:rsid w:val="00445A00"/>
    <w:rsid w:val="00451B0F"/>
    <w:rsid w:val="00460A07"/>
    <w:rsid w:val="004675DC"/>
    <w:rsid w:val="00480A6B"/>
    <w:rsid w:val="004C2EE3"/>
    <w:rsid w:val="004D6E9E"/>
    <w:rsid w:val="004E02ED"/>
    <w:rsid w:val="004E4A22"/>
    <w:rsid w:val="00511968"/>
    <w:rsid w:val="0055614C"/>
    <w:rsid w:val="00566D06"/>
    <w:rsid w:val="005E14C2"/>
    <w:rsid w:val="005E3497"/>
    <w:rsid w:val="00607BA5"/>
    <w:rsid w:val="00610236"/>
    <w:rsid w:val="0061180A"/>
    <w:rsid w:val="00626EB6"/>
    <w:rsid w:val="00645BBA"/>
    <w:rsid w:val="00655D03"/>
    <w:rsid w:val="00683388"/>
    <w:rsid w:val="00683F84"/>
    <w:rsid w:val="006A44EB"/>
    <w:rsid w:val="006A6A81"/>
    <w:rsid w:val="006F7393"/>
    <w:rsid w:val="0070224F"/>
    <w:rsid w:val="00710F3D"/>
    <w:rsid w:val="007115F7"/>
    <w:rsid w:val="007155DA"/>
    <w:rsid w:val="007167E3"/>
    <w:rsid w:val="00785689"/>
    <w:rsid w:val="0079754B"/>
    <w:rsid w:val="007A1E6D"/>
    <w:rsid w:val="007B0EB2"/>
    <w:rsid w:val="007F1562"/>
    <w:rsid w:val="007F2A71"/>
    <w:rsid w:val="00810B6F"/>
    <w:rsid w:val="00822CE0"/>
    <w:rsid w:val="008325E2"/>
    <w:rsid w:val="00841AB1"/>
    <w:rsid w:val="00861C1D"/>
    <w:rsid w:val="008C2BEC"/>
    <w:rsid w:val="008C68F1"/>
    <w:rsid w:val="008D6791"/>
    <w:rsid w:val="00912B36"/>
    <w:rsid w:val="00921803"/>
    <w:rsid w:val="00926503"/>
    <w:rsid w:val="00932528"/>
    <w:rsid w:val="009679F0"/>
    <w:rsid w:val="009726D8"/>
    <w:rsid w:val="009D7308"/>
    <w:rsid w:val="009E2994"/>
    <w:rsid w:val="009F2562"/>
    <w:rsid w:val="009F76DB"/>
    <w:rsid w:val="00A017DB"/>
    <w:rsid w:val="00A32C3B"/>
    <w:rsid w:val="00A45F4F"/>
    <w:rsid w:val="00A57F68"/>
    <w:rsid w:val="00A600A9"/>
    <w:rsid w:val="00AA55B7"/>
    <w:rsid w:val="00AA5B9E"/>
    <w:rsid w:val="00AB2407"/>
    <w:rsid w:val="00AB53DF"/>
    <w:rsid w:val="00B05D9D"/>
    <w:rsid w:val="00B07E5C"/>
    <w:rsid w:val="00B30164"/>
    <w:rsid w:val="00B413A1"/>
    <w:rsid w:val="00B811F7"/>
    <w:rsid w:val="00B856EC"/>
    <w:rsid w:val="00BA5DC6"/>
    <w:rsid w:val="00BA6196"/>
    <w:rsid w:val="00BC56F8"/>
    <w:rsid w:val="00BC6D8C"/>
    <w:rsid w:val="00C34006"/>
    <w:rsid w:val="00C36B4C"/>
    <w:rsid w:val="00C426B1"/>
    <w:rsid w:val="00C66160"/>
    <w:rsid w:val="00C721AC"/>
    <w:rsid w:val="00C77B2D"/>
    <w:rsid w:val="00C90D6A"/>
    <w:rsid w:val="00CA247E"/>
    <w:rsid w:val="00CA6D21"/>
    <w:rsid w:val="00CC72B6"/>
    <w:rsid w:val="00CE5579"/>
    <w:rsid w:val="00CF54BD"/>
    <w:rsid w:val="00D0218D"/>
    <w:rsid w:val="00D25FB5"/>
    <w:rsid w:val="00D44223"/>
    <w:rsid w:val="00DA2529"/>
    <w:rsid w:val="00DB130A"/>
    <w:rsid w:val="00DB2EBB"/>
    <w:rsid w:val="00DC10A1"/>
    <w:rsid w:val="00DC655F"/>
    <w:rsid w:val="00DD0B59"/>
    <w:rsid w:val="00DD7EBD"/>
    <w:rsid w:val="00DF62B6"/>
    <w:rsid w:val="00E07225"/>
    <w:rsid w:val="00E5409F"/>
    <w:rsid w:val="00E7259A"/>
    <w:rsid w:val="00EE1FF2"/>
    <w:rsid w:val="00EE4160"/>
    <w:rsid w:val="00EE6488"/>
    <w:rsid w:val="00F021FA"/>
    <w:rsid w:val="00F337E3"/>
    <w:rsid w:val="00F374D4"/>
    <w:rsid w:val="00F62E97"/>
    <w:rsid w:val="00F64209"/>
    <w:rsid w:val="00F93BF5"/>
    <w:rsid w:val="00FC5F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2B3B40"/>
  <w15:chartTrackingRefBased/>
  <w15:docId w15:val="{751EB5BF-5364-4AD7-B345-0C00E6A4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1"/>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Footnote Text Char Char1 Char,Footnote Text Char Char1 Char Char Char1,Footnote Text Char1,Footnote Text Char1 Char,Footnote Text Char1 Char Char Char1 Char Char,Footnote Text Char2 Char1 Char Char,f,fn,fn Char,fn Char Char"/>
    <w:link w:val="FootnoteTextChar"/>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aliases w:val="FOOTNOTE Char,Footnote Text Char Char1 Char Char,Footnote Text Char Char1 Char Char Char1 Char,Footnote Text Char1 Char1,Footnote Text Char1 Char Char,Footnote Text Char1 Char Char Char1 Char Char Char,f Char,fn Char1,fn Char Char1"/>
    <w:basedOn w:val="DefaultParagraphFont"/>
    <w:link w:val="FootnoteText"/>
    <w:rsid w:val="003C1BB5"/>
  </w:style>
  <w:style w:type="character" w:customStyle="1" w:styleId="ParaNumChar1">
    <w:name w:val="ParaNum Char1"/>
    <w:link w:val="ParaNum"/>
    <w:locked/>
    <w:rsid w:val="007155DA"/>
    <w:rPr>
      <w:snapToGrid w:val="0"/>
      <w:kern w:val="28"/>
      <w:sz w:val="22"/>
    </w:rPr>
  </w:style>
  <w:style w:type="paragraph" w:styleId="Revision">
    <w:name w:val="Revision"/>
    <w:hidden/>
    <w:uiPriority w:val="99"/>
    <w:semiHidden/>
    <w:rsid w:val="00F337E3"/>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microsoft.com/office/2006/relationships/keyMapCustomizations" Target="customizations.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