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4C2EE3" w14:paraId="0A5EED1B" w14:textId="77777777">
      <w:pPr>
        <w:jc w:val="center"/>
        <w:rPr>
          <w:b/>
        </w:rPr>
      </w:pPr>
      <w:r w:rsidRPr="0070224F">
        <w:rPr>
          <w:rFonts w:ascii="Times New Roman Bold" w:hAnsi="Times New Roman Bold"/>
          <w:b/>
          <w:kern w:val="0"/>
          <w:szCs w:val="22"/>
        </w:rPr>
        <w:t>Before</w:t>
      </w:r>
      <w:r>
        <w:rPr>
          <w:b/>
        </w:rPr>
        <w:t xml:space="preserve"> the</w:t>
      </w:r>
    </w:p>
    <w:p w:rsidR="00921803" w:rsidP="00921803" w14:paraId="76BAEC36" w14:textId="77777777">
      <w:pPr>
        <w:pStyle w:val="StyleBoldCentered"/>
      </w:pPr>
      <w:r>
        <w:t>F</w:t>
      </w:r>
      <w:r>
        <w:rPr>
          <w:caps w:val="0"/>
        </w:rPr>
        <w:t>ederal Communications Commission</w:t>
      </w:r>
    </w:p>
    <w:p w:rsidR="004C2EE3" w:rsidP="00096D8C" w14:paraId="7C04D7CA" w14:textId="77777777">
      <w:pPr>
        <w:pStyle w:val="StyleBoldCentered"/>
      </w:pPr>
      <w:r>
        <w:rPr>
          <w:caps w:val="0"/>
        </w:rPr>
        <w:t>Washington, D.C. 20554</w:t>
      </w:r>
    </w:p>
    <w:p w:rsidR="004C2EE3" w:rsidP="0070224F" w14:paraId="60D74A1B" w14:textId="77777777"/>
    <w:p w:rsidR="004C2EE3" w:rsidP="0070224F" w14:paraId="3E42D30A" w14:textId="77777777"/>
    <w:tbl>
      <w:tblPr>
        <w:tblW w:w="0" w:type="auto"/>
        <w:tblLayout w:type="fixed"/>
        <w:tblLook w:val="0000"/>
      </w:tblPr>
      <w:tblGrid>
        <w:gridCol w:w="4698"/>
        <w:gridCol w:w="630"/>
        <w:gridCol w:w="4248"/>
      </w:tblGrid>
      <w:tr w14:paraId="7F9B6AFA" w14:textId="77777777">
        <w:tblPrEx>
          <w:tblW w:w="0" w:type="auto"/>
          <w:tblLayout w:type="fixed"/>
          <w:tblLook w:val="0000"/>
        </w:tblPrEx>
        <w:tc>
          <w:tcPr>
            <w:tcW w:w="4698" w:type="dxa"/>
          </w:tcPr>
          <w:p w:rsidR="004C2EE3" w14:paraId="24A6E952" w14:textId="77777777">
            <w:pPr>
              <w:tabs>
                <w:tab w:val="center" w:pos="4680"/>
              </w:tabs>
              <w:suppressAutoHyphens/>
              <w:rPr>
                <w:spacing w:val="-2"/>
              </w:rPr>
            </w:pPr>
            <w:r>
              <w:rPr>
                <w:spacing w:val="-2"/>
              </w:rPr>
              <w:t>In the Matter of</w:t>
            </w:r>
          </w:p>
          <w:p w:rsidR="004C2EE3" w14:paraId="3251BB97" w14:textId="77777777">
            <w:pPr>
              <w:tabs>
                <w:tab w:val="center" w:pos="4680"/>
              </w:tabs>
              <w:suppressAutoHyphens/>
              <w:rPr>
                <w:spacing w:val="-2"/>
              </w:rPr>
            </w:pPr>
          </w:p>
          <w:p w:rsidR="004C2EE3" w:rsidP="007115F7" w14:paraId="23850D2E" w14:textId="77777777">
            <w:pPr>
              <w:tabs>
                <w:tab w:val="center" w:pos="4680"/>
              </w:tabs>
              <w:suppressAutoHyphens/>
              <w:rPr>
                <w:spacing w:val="-2"/>
              </w:rPr>
            </w:pPr>
            <w:r>
              <w:rPr>
                <w:spacing w:val="-2"/>
              </w:rPr>
              <w:t xml:space="preserve">Request for Review and/or Waiver of Decision </w:t>
            </w:r>
            <w:r>
              <w:rPr>
                <w:spacing w:val="-2"/>
              </w:rPr>
              <w:t>of  the</w:t>
            </w:r>
            <w:r>
              <w:rPr>
                <w:spacing w:val="-2"/>
              </w:rPr>
              <w:t xml:space="preserve"> Universal Service Administrator by</w:t>
            </w:r>
          </w:p>
          <w:p w:rsidR="00B70D80" w:rsidP="007115F7" w14:paraId="2D63FA8C" w14:textId="77777777">
            <w:pPr>
              <w:tabs>
                <w:tab w:val="center" w:pos="4680"/>
              </w:tabs>
              <w:suppressAutoHyphens/>
              <w:rPr>
                <w:spacing w:val="-2"/>
              </w:rPr>
            </w:pPr>
          </w:p>
          <w:p w:rsidR="0015472D" w:rsidP="007115F7" w14:paraId="0BADF46F" w14:textId="77777777">
            <w:pPr>
              <w:tabs>
                <w:tab w:val="center" w:pos="4680"/>
              </w:tabs>
              <w:suppressAutoHyphens/>
              <w:rPr>
                <w:spacing w:val="-2"/>
              </w:rPr>
            </w:pPr>
            <w:r>
              <w:rPr>
                <w:spacing w:val="-2"/>
              </w:rPr>
              <w:t>Child Development Resources of Ventura County, Inc.</w:t>
            </w:r>
            <w:r w:rsidR="009160AF">
              <w:rPr>
                <w:spacing w:val="-2"/>
              </w:rPr>
              <w:t xml:space="preserve">, </w:t>
            </w:r>
          </w:p>
          <w:p w:rsidR="00B70D80" w:rsidP="007115F7" w14:paraId="34ED7739" w14:textId="2816BF19">
            <w:pPr>
              <w:tabs>
                <w:tab w:val="center" w:pos="4680"/>
              </w:tabs>
              <w:suppressAutoHyphens/>
              <w:rPr>
                <w:spacing w:val="-2"/>
              </w:rPr>
            </w:pPr>
            <w:r>
              <w:rPr>
                <w:spacing w:val="-2"/>
              </w:rPr>
              <w:t>Oxnard, CA</w:t>
            </w:r>
          </w:p>
          <w:p w:rsidR="00B70D80" w:rsidP="007115F7" w14:paraId="0301C4D5" w14:textId="77777777">
            <w:pPr>
              <w:tabs>
                <w:tab w:val="center" w:pos="4680"/>
              </w:tabs>
              <w:suppressAutoHyphens/>
              <w:rPr>
                <w:spacing w:val="-2"/>
              </w:rPr>
            </w:pPr>
          </w:p>
          <w:p w:rsidR="00B70D80" w:rsidRPr="007115F7" w:rsidP="007115F7" w14:paraId="049670AB" w14:textId="67AB85EE">
            <w:pPr>
              <w:tabs>
                <w:tab w:val="center" w:pos="4680"/>
              </w:tabs>
              <w:suppressAutoHyphens/>
              <w:rPr>
                <w:spacing w:val="-2"/>
              </w:rPr>
            </w:pPr>
            <w:r>
              <w:rPr>
                <w:spacing w:val="-2"/>
              </w:rPr>
              <w:t>Establishing Emergency Connectivity Fund to Close the Homework Gap</w:t>
            </w:r>
          </w:p>
        </w:tc>
        <w:tc>
          <w:tcPr>
            <w:tcW w:w="630" w:type="dxa"/>
          </w:tcPr>
          <w:p w:rsidR="004C2EE3" w14:paraId="1A6CF750" w14:textId="77777777">
            <w:pPr>
              <w:tabs>
                <w:tab w:val="center" w:pos="4680"/>
              </w:tabs>
              <w:suppressAutoHyphens/>
              <w:rPr>
                <w:b/>
                <w:spacing w:val="-2"/>
              </w:rPr>
            </w:pPr>
            <w:r>
              <w:rPr>
                <w:b/>
                <w:spacing w:val="-2"/>
              </w:rPr>
              <w:t>)</w:t>
            </w:r>
          </w:p>
          <w:p w:rsidR="004C2EE3" w14:paraId="61586B76" w14:textId="77777777">
            <w:pPr>
              <w:tabs>
                <w:tab w:val="center" w:pos="4680"/>
              </w:tabs>
              <w:suppressAutoHyphens/>
              <w:rPr>
                <w:b/>
                <w:spacing w:val="-2"/>
              </w:rPr>
            </w:pPr>
            <w:r>
              <w:rPr>
                <w:b/>
                <w:spacing w:val="-2"/>
              </w:rPr>
              <w:t>)</w:t>
            </w:r>
          </w:p>
          <w:p w:rsidR="004C2EE3" w14:paraId="181F7EF0" w14:textId="77777777">
            <w:pPr>
              <w:tabs>
                <w:tab w:val="center" w:pos="4680"/>
              </w:tabs>
              <w:suppressAutoHyphens/>
              <w:rPr>
                <w:b/>
                <w:spacing w:val="-2"/>
              </w:rPr>
            </w:pPr>
            <w:r>
              <w:rPr>
                <w:b/>
                <w:spacing w:val="-2"/>
              </w:rPr>
              <w:t>)</w:t>
            </w:r>
          </w:p>
          <w:p w:rsidR="004C2EE3" w14:paraId="0B557457" w14:textId="77777777">
            <w:pPr>
              <w:tabs>
                <w:tab w:val="center" w:pos="4680"/>
              </w:tabs>
              <w:suppressAutoHyphens/>
              <w:rPr>
                <w:b/>
                <w:spacing w:val="-2"/>
              </w:rPr>
            </w:pPr>
            <w:r>
              <w:rPr>
                <w:b/>
                <w:spacing w:val="-2"/>
              </w:rPr>
              <w:t>)</w:t>
            </w:r>
          </w:p>
          <w:p w:rsidR="004C2EE3" w14:paraId="685CD517" w14:textId="77777777">
            <w:pPr>
              <w:tabs>
                <w:tab w:val="center" w:pos="4680"/>
              </w:tabs>
              <w:suppressAutoHyphens/>
              <w:rPr>
                <w:b/>
                <w:spacing w:val="-2"/>
              </w:rPr>
            </w:pPr>
            <w:r>
              <w:rPr>
                <w:b/>
                <w:spacing w:val="-2"/>
              </w:rPr>
              <w:t>)</w:t>
            </w:r>
          </w:p>
          <w:p w:rsidR="004C2EE3" w14:paraId="4C67C8FE" w14:textId="77777777">
            <w:pPr>
              <w:tabs>
                <w:tab w:val="center" w:pos="4680"/>
              </w:tabs>
              <w:suppressAutoHyphens/>
              <w:rPr>
                <w:b/>
                <w:spacing w:val="-2"/>
              </w:rPr>
            </w:pPr>
            <w:r>
              <w:rPr>
                <w:b/>
                <w:spacing w:val="-2"/>
              </w:rPr>
              <w:t>)</w:t>
            </w:r>
          </w:p>
          <w:p w:rsidR="004C2EE3" w14:paraId="449698DB" w14:textId="77777777">
            <w:pPr>
              <w:tabs>
                <w:tab w:val="center" w:pos="4680"/>
              </w:tabs>
              <w:suppressAutoHyphens/>
              <w:rPr>
                <w:b/>
                <w:spacing w:val="-2"/>
              </w:rPr>
            </w:pPr>
            <w:r>
              <w:rPr>
                <w:b/>
                <w:spacing w:val="-2"/>
              </w:rPr>
              <w:t>)</w:t>
            </w:r>
          </w:p>
          <w:p w:rsidR="004C2EE3" w14:paraId="6072E891" w14:textId="77777777">
            <w:pPr>
              <w:tabs>
                <w:tab w:val="center" w:pos="4680"/>
              </w:tabs>
              <w:suppressAutoHyphens/>
              <w:rPr>
                <w:b/>
                <w:spacing w:val="-2"/>
              </w:rPr>
            </w:pPr>
            <w:r>
              <w:rPr>
                <w:b/>
                <w:spacing w:val="-2"/>
              </w:rPr>
              <w:t>)</w:t>
            </w:r>
          </w:p>
          <w:p w:rsidR="004C2EE3" w14:paraId="7958AF2B" w14:textId="77777777">
            <w:pPr>
              <w:tabs>
                <w:tab w:val="center" w:pos="4680"/>
              </w:tabs>
              <w:suppressAutoHyphens/>
              <w:rPr>
                <w:b/>
                <w:spacing w:val="-2"/>
              </w:rPr>
            </w:pPr>
            <w:r>
              <w:rPr>
                <w:b/>
                <w:spacing w:val="-2"/>
              </w:rPr>
              <w:t>)</w:t>
            </w:r>
          </w:p>
          <w:p w:rsidR="00B70D80" w14:paraId="579BA507" w14:textId="77777777">
            <w:pPr>
              <w:tabs>
                <w:tab w:val="center" w:pos="4680"/>
              </w:tabs>
              <w:suppressAutoHyphens/>
              <w:rPr>
                <w:b/>
                <w:spacing w:val="-2"/>
              </w:rPr>
            </w:pPr>
            <w:r>
              <w:rPr>
                <w:b/>
                <w:spacing w:val="-2"/>
              </w:rPr>
              <w:t>)</w:t>
            </w:r>
          </w:p>
          <w:p w:rsidR="00B70D80" w14:paraId="698EC3EC" w14:textId="668D9DB7">
            <w:pPr>
              <w:tabs>
                <w:tab w:val="center" w:pos="4680"/>
              </w:tabs>
              <w:suppressAutoHyphens/>
              <w:rPr>
                <w:b/>
                <w:spacing w:val="-2"/>
              </w:rPr>
            </w:pPr>
            <w:r>
              <w:rPr>
                <w:b/>
                <w:spacing w:val="-2"/>
              </w:rPr>
              <w:t>)</w:t>
            </w:r>
          </w:p>
          <w:p w:rsidR="00B70D80" w14:paraId="3350E8CE" w14:textId="24FF1266">
            <w:pPr>
              <w:tabs>
                <w:tab w:val="center" w:pos="4680"/>
              </w:tabs>
              <w:suppressAutoHyphens/>
              <w:rPr>
                <w:spacing w:val="-2"/>
              </w:rPr>
            </w:pPr>
            <w:r>
              <w:rPr>
                <w:b/>
                <w:spacing w:val="-2"/>
              </w:rPr>
              <w:t>)</w:t>
            </w:r>
          </w:p>
        </w:tc>
        <w:tc>
          <w:tcPr>
            <w:tcW w:w="4248" w:type="dxa"/>
          </w:tcPr>
          <w:p w:rsidR="004C2EE3" w14:paraId="41FFF06A" w14:textId="77777777">
            <w:pPr>
              <w:tabs>
                <w:tab w:val="center" w:pos="4680"/>
              </w:tabs>
              <w:suppressAutoHyphens/>
              <w:rPr>
                <w:spacing w:val="-2"/>
              </w:rPr>
            </w:pPr>
          </w:p>
          <w:p w:rsidR="004C2EE3" w14:paraId="12B6FA96" w14:textId="77777777">
            <w:pPr>
              <w:pStyle w:val="TOAHeading"/>
              <w:tabs>
                <w:tab w:val="center" w:pos="4680"/>
                <w:tab w:val="clear" w:pos="9360"/>
              </w:tabs>
              <w:rPr>
                <w:spacing w:val="-2"/>
              </w:rPr>
            </w:pPr>
          </w:p>
          <w:p w:rsidR="00B70D80" w14:paraId="5818A16A" w14:textId="77777777">
            <w:pPr>
              <w:tabs>
                <w:tab w:val="center" w:pos="4680"/>
              </w:tabs>
              <w:suppressAutoHyphens/>
              <w:rPr>
                <w:spacing w:val="-2"/>
              </w:rPr>
            </w:pPr>
          </w:p>
          <w:p w:rsidR="00B70D80" w14:paraId="324F7560" w14:textId="77777777">
            <w:pPr>
              <w:tabs>
                <w:tab w:val="center" w:pos="4680"/>
              </w:tabs>
              <w:suppressAutoHyphens/>
              <w:rPr>
                <w:spacing w:val="-2"/>
              </w:rPr>
            </w:pPr>
          </w:p>
          <w:p w:rsidR="00B70D80" w14:paraId="71B65E4D" w14:textId="77777777">
            <w:pPr>
              <w:tabs>
                <w:tab w:val="center" w:pos="4680"/>
              </w:tabs>
              <w:suppressAutoHyphens/>
              <w:rPr>
                <w:spacing w:val="-2"/>
              </w:rPr>
            </w:pPr>
          </w:p>
          <w:p w:rsidR="00B70D80" w14:paraId="21785E58" w14:textId="77777777">
            <w:pPr>
              <w:tabs>
                <w:tab w:val="center" w:pos="4680"/>
              </w:tabs>
              <w:suppressAutoHyphens/>
              <w:rPr>
                <w:spacing w:val="-2"/>
              </w:rPr>
            </w:pPr>
            <w:r>
              <w:rPr>
                <w:spacing w:val="-2"/>
              </w:rPr>
              <w:t>Application No. ECF202113179</w:t>
            </w:r>
          </w:p>
          <w:p w:rsidR="00B70D80" w14:paraId="13753CB3" w14:textId="77777777">
            <w:pPr>
              <w:tabs>
                <w:tab w:val="center" w:pos="4680"/>
              </w:tabs>
              <w:suppressAutoHyphens/>
              <w:rPr>
                <w:spacing w:val="-2"/>
              </w:rPr>
            </w:pPr>
          </w:p>
          <w:p w:rsidR="00B70D80" w14:paraId="6FE5C2F4" w14:textId="77777777">
            <w:pPr>
              <w:tabs>
                <w:tab w:val="center" w:pos="4680"/>
              </w:tabs>
              <w:suppressAutoHyphens/>
              <w:rPr>
                <w:spacing w:val="-2"/>
              </w:rPr>
            </w:pPr>
          </w:p>
          <w:p w:rsidR="00B70D80" w14:paraId="29574188" w14:textId="77777777">
            <w:pPr>
              <w:tabs>
                <w:tab w:val="center" w:pos="4680"/>
              </w:tabs>
              <w:suppressAutoHyphens/>
              <w:rPr>
                <w:spacing w:val="-2"/>
              </w:rPr>
            </w:pPr>
          </w:p>
          <w:p w:rsidR="00B70D80" w14:paraId="10B80B6F" w14:textId="1DAA76B4">
            <w:pPr>
              <w:tabs>
                <w:tab w:val="center" w:pos="4680"/>
              </w:tabs>
              <w:suppressAutoHyphens/>
              <w:rPr>
                <w:spacing w:val="-2"/>
              </w:rPr>
            </w:pPr>
            <w:r>
              <w:rPr>
                <w:spacing w:val="-2"/>
              </w:rPr>
              <w:t>WC Docket No. 21-93</w:t>
            </w:r>
          </w:p>
        </w:tc>
      </w:tr>
    </w:tbl>
    <w:p w:rsidR="004C2EE3" w:rsidP="0070224F" w14:paraId="0863E7DE" w14:textId="77777777"/>
    <w:p w:rsidR="00841AB1" w:rsidP="00F021FA" w14:paraId="7BC2EA9D" w14:textId="631CA40D">
      <w:pPr>
        <w:pStyle w:val="StyleBoldCentered"/>
      </w:pPr>
      <w:r>
        <w:t>ORDER</w:t>
      </w:r>
    </w:p>
    <w:p w:rsidR="004C2EE3" w14:paraId="7FAF875C" w14:textId="77777777">
      <w:pPr>
        <w:tabs>
          <w:tab w:val="left" w:pos="-720"/>
        </w:tabs>
        <w:suppressAutoHyphens/>
        <w:spacing w:line="227" w:lineRule="auto"/>
        <w:rPr>
          <w:spacing w:val="-2"/>
        </w:rPr>
      </w:pPr>
    </w:p>
    <w:p w:rsidR="004C2EE3" w:rsidP="00133F79" w14:paraId="0BE8DE38" w14:textId="28EA8CAA">
      <w:pPr>
        <w:tabs>
          <w:tab w:val="left" w:pos="720"/>
          <w:tab w:val="right" w:pos="9360"/>
        </w:tabs>
        <w:suppressAutoHyphens/>
        <w:spacing w:line="227" w:lineRule="auto"/>
        <w:rPr>
          <w:spacing w:val="-2"/>
        </w:rPr>
      </w:pPr>
      <w:r>
        <w:rPr>
          <w:b/>
          <w:spacing w:val="-2"/>
        </w:rPr>
        <w:t>Adopted</w:t>
      </w:r>
      <w:r>
        <w:rPr>
          <w:b/>
          <w:spacing w:val="-2"/>
        </w:rPr>
        <w:t xml:space="preserve">:  </w:t>
      </w:r>
      <w:r w:rsidR="00522FE0">
        <w:rPr>
          <w:b/>
          <w:spacing w:val="-2"/>
        </w:rPr>
        <w:t>February</w:t>
      </w:r>
      <w:r w:rsidR="00522FE0">
        <w:rPr>
          <w:b/>
          <w:spacing w:val="-2"/>
        </w:rPr>
        <w:t xml:space="preserve"> 10, </w:t>
      </w:r>
      <w:r w:rsidR="00522FE0">
        <w:rPr>
          <w:b/>
          <w:spacing w:val="-2"/>
        </w:rPr>
        <w:t>2026</w:t>
      </w:r>
      <w:r>
        <w:rPr>
          <w:b/>
          <w:spacing w:val="-2"/>
        </w:rPr>
        <w:tab/>
      </w:r>
      <w:r w:rsidR="00822CE0">
        <w:rPr>
          <w:b/>
          <w:spacing w:val="-2"/>
        </w:rPr>
        <w:t>Released</w:t>
      </w:r>
      <w:r>
        <w:rPr>
          <w:b/>
          <w:spacing w:val="-2"/>
        </w:rPr>
        <w:t>:</w:t>
      </w:r>
      <w:r w:rsidR="00822CE0">
        <w:rPr>
          <w:b/>
          <w:spacing w:val="-2"/>
        </w:rPr>
        <w:t xml:space="preserve"> </w:t>
      </w:r>
      <w:r>
        <w:rPr>
          <w:b/>
          <w:spacing w:val="-2"/>
        </w:rPr>
        <w:t xml:space="preserve"> </w:t>
      </w:r>
      <w:r w:rsidR="00522FE0">
        <w:rPr>
          <w:b/>
          <w:spacing w:val="-2"/>
        </w:rPr>
        <w:t>February</w:t>
      </w:r>
      <w:r w:rsidR="00522FE0">
        <w:rPr>
          <w:b/>
          <w:spacing w:val="-2"/>
        </w:rPr>
        <w:t xml:space="preserve"> 10, 2026</w:t>
      </w:r>
    </w:p>
    <w:p w:rsidR="00822CE0" w14:paraId="7FA1BF51" w14:textId="77777777"/>
    <w:p w:rsidR="004C2EE3" w14:paraId="7B35705F" w14:textId="02DBA669">
      <w:pPr>
        <w:rPr>
          <w:spacing w:val="-2"/>
        </w:rPr>
      </w:pPr>
      <w:r>
        <w:t xml:space="preserve">By </w:t>
      </w:r>
      <w:r w:rsidR="004E4A22">
        <w:t>the</w:t>
      </w:r>
      <w:r w:rsidR="002A2D2E">
        <w:t xml:space="preserve"> </w:t>
      </w:r>
      <w:r w:rsidR="00B70D80">
        <w:rPr>
          <w:spacing w:val="-2"/>
        </w:rPr>
        <w:t>Chief, Wireline Competition Bureau</w:t>
      </w:r>
      <w:r>
        <w:rPr>
          <w:spacing w:val="-2"/>
        </w:rPr>
        <w:t>:</w:t>
      </w:r>
    </w:p>
    <w:p w:rsidR="00822CE0" w14:paraId="4C24E6B8" w14:textId="77777777">
      <w:pPr>
        <w:rPr>
          <w:spacing w:val="-2"/>
        </w:rPr>
      </w:pPr>
    </w:p>
    <w:p w:rsidR="00412FC5" w:rsidP="00C36B4C" w14:paraId="3EB40493" w14:textId="372B700F">
      <w:pPr>
        <w:pStyle w:val="Heading1"/>
      </w:pPr>
      <w:r>
        <w:t>Introduction</w:t>
      </w:r>
    </w:p>
    <w:p w:rsidR="00B70D80" w:rsidP="00B70D80" w14:paraId="20A4A717" w14:textId="38C1E52D">
      <w:pPr>
        <w:pStyle w:val="ParaNum"/>
      </w:pPr>
      <w:r>
        <w:t>In this Order, we deny a request for review and/or waiver filed by Child Development Resources of Ventura County, Inc.</w:t>
      </w:r>
      <w:r w:rsidR="007A167C">
        <w:t xml:space="preserve"> </w:t>
      </w:r>
      <w:r w:rsidR="00E12EF9">
        <w:t>(Child Development Resources)</w:t>
      </w:r>
      <w:r w:rsidRPr="000C078B" w:rsidR="000C078B">
        <w:t xml:space="preserve"> </w:t>
      </w:r>
      <w:r w:rsidR="000C078B">
        <w:t>regarding an Emergency Connectivity Fund (ECF) program decision</w:t>
      </w:r>
      <w:r w:rsidR="00E12EF9">
        <w:t>.</w:t>
      </w:r>
      <w:r>
        <w:rPr>
          <w:rStyle w:val="FootnoteReference"/>
        </w:rPr>
        <w:footnoteReference w:id="3"/>
      </w:r>
      <w:r>
        <w:t xml:space="preserve"> </w:t>
      </w:r>
      <w:r w:rsidR="00B4759E">
        <w:t xml:space="preserve"> </w:t>
      </w:r>
      <w:r w:rsidR="00087DA6">
        <w:t>Specifically, t</w:t>
      </w:r>
      <w:r w:rsidR="00B4759E">
        <w:t xml:space="preserve">he Universal Service Administrative Company (USAC) denied </w:t>
      </w:r>
      <w:r w:rsidR="00DE4DD2">
        <w:t xml:space="preserve">a request for reimbursement and a subsequent </w:t>
      </w:r>
      <w:r w:rsidR="00594A6A">
        <w:t>appeal of the denial for a number of reasons</w:t>
      </w:r>
      <w:r w:rsidR="001F4F05">
        <w:t xml:space="preserve">, including for seeking reimbursement for </w:t>
      </w:r>
      <w:r w:rsidR="00DF21A0">
        <w:t xml:space="preserve">over 1,500 </w:t>
      </w:r>
      <w:r w:rsidR="001F4F05">
        <w:t xml:space="preserve">Wi-Fi hotspots that had not been used.  </w:t>
      </w:r>
      <w:r w:rsidR="00E12EF9">
        <w:t xml:space="preserve">Child Development Resources now seeks review </w:t>
      </w:r>
      <w:r w:rsidR="00604ABC">
        <w:t>and/</w:t>
      </w:r>
      <w:r w:rsidR="00E12EF9">
        <w:t>or a waiver</w:t>
      </w:r>
      <w:r w:rsidR="0040088E">
        <w:t xml:space="preserve"> of the ECF program rules.  </w:t>
      </w:r>
      <w:r w:rsidR="00A14909">
        <w:t xml:space="preserve">We deny the request, finding that </w:t>
      </w:r>
      <w:r w:rsidR="001B2CB8">
        <w:t>denial of the reimbursement was appropriate</w:t>
      </w:r>
      <w:r w:rsidR="00A66809">
        <w:t xml:space="preserve"> and that </w:t>
      </w:r>
      <w:r w:rsidR="005F1236">
        <w:t xml:space="preserve">Child Development Resources has not demonstrated </w:t>
      </w:r>
      <w:r w:rsidR="00A66809">
        <w:t xml:space="preserve">special circumstances </w:t>
      </w:r>
      <w:r w:rsidR="00752C7A">
        <w:t>necessary to justify</w:t>
      </w:r>
      <w:r w:rsidR="00A66809">
        <w:t xml:space="preserve"> a waiver of the ECF program rules</w:t>
      </w:r>
      <w:r w:rsidR="001B2CB8">
        <w:t>.</w:t>
      </w:r>
    </w:p>
    <w:p w:rsidR="001B2CB8" w:rsidP="00CF3E9D" w14:paraId="64EA621C" w14:textId="5AFA87D3">
      <w:pPr>
        <w:pStyle w:val="Heading1"/>
      </w:pPr>
      <w:r>
        <w:t>Background</w:t>
      </w:r>
    </w:p>
    <w:p w:rsidR="00925BAA" w:rsidP="00925BAA" w14:paraId="580AE9F6" w14:textId="0861EA56">
      <w:pPr>
        <w:pStyle w:val="ParaNum"/>
      </w:pPr>
      <w:r w:rsidRPr="008513E7">
        <w:t xml:space="preserve">As part of the American Rescue Plan Act of 2021 (Act), Congress appropriated $7.171 billion and directed the Commission to promulgate rules for distributing funding from the </w:t>
      </w:r>
      <w:r>
        <w:t>ECF</w:t>
      </w:r>
      <w:r w:rsidRPr="008513E7">
        <w:t xml:space="preserve"> to eligible schools and libraries for the purchase of eligible equipment and/or advanced telecommunications and information services</w:t>
      </w:r>
      <w:r w:rsidR="00DD1CD6">
        <w:t>, including Wi-Fi hotspots,</w:t>
      </w:r>
      <w:r w:rsidRPr="008513E7">
        <w:t xml:space="preserve"> for use by students, school staff, and library patrons </w:t>
      </w:r>
      <w:r>
        <w:t xml:space="preserve">for remote learning </w:t>
      </w:r>
      <w:r w:rsidRPr="008513E7">
        <w:t>at locations that include locations other than a school or library.</w:t>
      </w:r>
      <w:r>
        <w:rPr>
          <w:rStyle w:val="FootnoteReference"/>
        </w:rPr>
        <w:footnoteReference w:id="4"/>
      </w:r>
      <w:r w:rsidRPr="008513E7">
        <w:t xml:space="preserve">  On May 10, 2021, the Commission adopted the </w:t>
      </w:r>
      <w:r w:rsidRPr="00EC40C1">
        <w:rPr>
          <w:i/>
        </w:rPr>
        <w:t>Emergency Connectivity Fund</w:t>
      </w:r>
      <w:r w:rsidRPr="008513E7">
        <w:t xml:space="preserve"> </w:t>
      </w:r>
      <w:r w:rsidRPr="00EC40C1">
        <w:rPr>
          <w:i/>
        </w:rPr>
        <w:t>Report and Order</w:t>
      </w:r>
      <w:r w:rsidRPr="008513E7">
        <w:t xml:space="preserve"> establishing rules for the ECF </w:t>
      </w:r>
      <w:r>
        <w:t>p</w:t>
      </w:r>
      <w:r w:rsidRPr="008513E7">
        <w:t>rogram to distribute the funding to eligible schools and libraries.</w:t>
      </w:r>
      <w:r>
        <w:rPr>
          <w:rStyle w:val="FootnoteReference"/>
        </w:rPr>
        <w:footnoteReference w:id="5"/>
      </w:r>
    </w:p>
    <w:p w:rsidR="00B0556B" w:rsidRPr="0003168A" w:rsidP="00B0556B" w14:paraId="3B6EA301" w14:textId="2D45B45B">
      <w:pPr>
        <w:pStyle w:val="ParaNum"/>
        <w:widowControl/>
      </w:pPr>
      <w:r w:rsidRPr="008513E7">
        <w:t xml:space="preserve">The Commission and USAC opened </w:t>
      </w:r>
      <w:r>
        <w:t>three</w:t>
      </w:r>
      <w:r w:rsidRPr="008513E7">
        <w:t xml:space="preserve"> application filing window</w:t>
      </w:r>
      <w:r>
        <w:t>s</w:t>
      </w:r>
      <w:r w:rsidRPr="008513E7">
        <w:t xml:space="preserve">, </w:t>
      </w:r>
      <w:r>
        <w:t>dur</w:t>
      </w:r>
      <w:r w:rsidRPr="008513E7">
        <w:t>in</w:t>
      </w:r>
      <w:r>
        <w:t>g</w:t>
      </w:r>
      <w:r w:rsidRPr="008513E7">
        <w:t xml:space="preserve"> which </w:t>
      </w:r>
      <w:r>
        <w:t>applicants</w:t>
      </w:r>
      <w:r w:rsidRPr="008513E7">
        <w:t xml:space="preserve"> could </w:t>
      </w:r>
      <w:r w:rsidRPr="0EED8EC8">
        <w:t xml:space="preserve">request funding for eligible equipment and services received or delivered </w:t>
      </w:r>
      <w:r>
        <w:t>during the applicable funding periods</w:t>
      </w:r>
      <w:r w:rsidRPr="0EED8EC8">
        <w:t>.</w:t>
      </w:r>
      <w:r>
        <w:rPr>
          <w:rStyle w:val="FootnoteReference"/>
        </w:rPr>
        <w:footnoteReference w:id="6"/>
      </w:r>
      <w:r w:rsidRPr="00FF5072">
        <w:rPr>
          <w:szCs w:val="22"/>
        </w:rPr>
        <w:t xml:space="preserve">  </w:t>
      </w:r>
      <w:r>
        <w:rPr>
          <w:szCs w:val="22"/>
        </w:rPr>
        <w:t>On May 11, 2023, the COVID-19 public health emergency expired, triggering the sunset date of June 30, 2024 for the ECF program.</w:t>
      </w:r>
      <w:r>
        <w:rPr>
          <w:rStyle w:val="FootnoteReference"/>
          <w:szCs w:val="22"/>
        </w:rPr>
        <w:footnoteReference w:id="7"/>
      </w:r>
      <w:r>
        <w:rPr>
          <w:szCs w:val="22"/>
        </w:rPr>
        <w:t xml:space="preserve">  All ECF purchases of eligible equipment and services had to be completed by this date.</w:t>
      </w:r>
      <w:bookmarkStart w:id="0" w:name="_Hlk208912510"/>
      <w:r>
        <w:rPr>
          <w:rStyle w:val="FootnoteReference"/>
          <w:szCs w:val="22"/>
        </w:rPr>
        <w:footnoteReference w:id="8"/>
      </w:r>
      <w:bookmarkEnd w:id="0"/>
    </w:p>
    <w:p w:rsidR="00A9239A" w:rsidP="00C767D7" w14:paraId="648A6EB9" w14:textId="58B426F2">
      <w:pPr>
        <w:pStyle w:val="ParaNum"/>
        <w:widowControl/>
      </w:pPr>
      <w:r>
        <w:rPr>
          <w:szCs w:val="22"/>
        </w:rPr>
        <w:t xml:space="preserve">Pursuant to </w:t>
      </w:r>
      <w:r w:rsidRPr="00DF758F" w:rsidR="00C75068">
        <w:rPr>
          <w:szCs w:val="22"/>
        </w:rPr>
        <w:t xml:space="preserve">the </w:t>
      </w:r>
      <w:r w:rsidRPr="00DF758F" w:rsidR="00C75068">
        <w:rPr>
          <w:i/>
          <w:iCs/>
          <w:szCs w:val="22"/>
        </w:rPr>
        <w:t>Emergency Connectivity Fund Report and Order</w:t>
      </w:r>
      <w:r w:rsidRPr="00DF758F" w:rsidR="00C75068">
        <w:rPr>
          <w:szCs w:val="22"/>
        </w:rPr>
        <w:t xml:space="preserve">, </w:t>
      </w:r>
      <w:r>
        <w:t>ECF program funding was limited to requests for eligible equipment and</w:t>
      </w:r>
      <w:r w:rsidR="00AB437A">
        <w:t xml:space="preserve"> </w:t>
      </w:r>
      <w:r>
        <w:t>services to meet the unmet needs of students, school staff, and library patrons that otherwise lacked access</w:t>
      </w:r>
      <w:r w:rsidR="00AB437A">
        <w:t xml:space="preserve"> </w:t>
      </w:r>
      <w:r>
        <w:t>to equipment and/or Internet access services sufficient to engage in remote learning during the COVID-19</w:t>
      </w:r>
      <w:r w:rsidR="00AB437A">
        <w:t xml:space="preserve"> </w:t>
      </w:r>
      <w:r>
        <w:t>emergency period.</w:t>
      </w:r>
      <w:r>
        <w:rPr>
          <w:rStyle w:val="FootnoteReference"/>
        </w:rPr>
        <w:footnoteReference w:id="9"/>
      </w:r>
      <w:r w:rsidR="00C767D7">
        <w:t xml:space="preserve">  </w:t>
      </w:r>
      <w:r w:rsidR="008F6BDA">
        <w:t>The Commission adopted a maximum support amount of $250 for Wi-Fi hotspots, but explained that reimbursement would be based on the actual costs of the equipment.</w:t>
      </w:r>
      <w:r>
        <w:rPr>
          <w:rStyle w:val="FootnoteReference"/>
        </w:rPr>
        <w:footnoteReference w:id="10"/>
      </w:r>
      <w:r w:rsidR="008F6BDA">
        <w:t xml:space="preserve"> </w:t>
      </w:r>
      <w:r w:rsidR="002420CF">
        <w:t xml:space="preserve"> </w:t>
      </w:r>
      <w:r w:rsidR="00756400">
        <w:t>Applicants were also required to certify to unmet need as part of their funding application</w:t>
      </w:r>
      <w:r w:rsidR="00B15C32">
        <w:t xml:space="preserve"> – specifically </w:t>
      </w:r>
      <w:r w:rsidR="00756400">
        <w:t>that they were only seeking support for equipment or services provided to students and school staff who would otherwise lack access to connected devices or broadband services sufficient to engage in remote learning.</w:t>
      </w:r>
      <w:r>
        <w:rPr>
          <w:rStyle w:val="FootnoteReference"/>
        </w:rPr>
        <w:footnoteReference w:id="11"/>
      </w:r>
      <w:r w:rsidR="00756400">
        <w:t xml:space="preserve">  </w:t>
      </w:r>
      <w:r w:rsidR="0048154D">
        <w:t xml:space="preserve">Eligible </w:t>
      </w:r>
      <w:r w:rsidR="00756400">
        <w:t>school staff</w:t>
      </w:r>
      <w:r w:rsidR="0048154D">
        <w:t xml:space="preserve"> </w:t>
      </w:r>
      <w:r w:rsidR="00A25A04">
        <w:t>is</w:t>
      </w:r>
      <w:r w:rsidR="00F42B9C">
        <w:t xml:space="preserve"> limited to staff who were </w:t>
      </w:r>
      <w:r w:rsidR="00756400">
        <w:t xml:space="preserve"> “providing</w:t>
      </w:r>
      <w:r w:rsidR="00543A04">
        <w:t xml:space="preserve"> . . . </w:t>
      </w:r>
      <w:r w:rsidR="00756400">
        <w:t xml:space="preserve">educational services during the relevant time periods [who] would otherwise lack access to </w:t>
      </w:r>
      <w:r w:rsidR="00543A04">
        <w:t xml:space="preserve">. . . </w:t>
      </w:r>
      <w:r w:rsidR="00756400">
        <w:t>broadband connections sufficient to facilitate remote learning during the pandemic.”</w:t>
      </w:r>
      <w:r>
        <w:rPr>
          <w:rStyle w:val="FootnoteReference"/>
        </w:rPr>
        <w:footnoteReference w:id="12"/>
      </w:r>
      <w:r w:rsidR="002420CF">
        <w:t xml:space="preserve"> </w:t>
      </w:r>
      <w:r w:rsidR="00756400">
        <w:t xml:space="preserve"> </w:t>
      </w:r>
      <w:r w:rsidR="00C767D7">
        <w:t>Due to the emergency nature of the program, applicants were permitted to request ECF</w:t>
      </w:r>
      <w:r w:rsidR="00AB437A">
        <w:t xml:space="preserve"> </w:t>
      </w:r>
      <w:r w:rsidR="00C767D7">
        <w:t>support based on estimates of unmet need, but they were only permitted to request reimbursement for</w:t>
      </w:r>
      <w:r w:rsidR="00AB437A">
        <w:t xml:space="preserve"> </w:t>
      </w:r>
      <w:r w:rsidR="00C767D7">
        <w:t>services or equipment that fulfilled an actual unmet need.</w:t>
      </w:r>
      <w:r>
        <w:rPr>
          <w:rStyle w:val="FootnoteReference"/>
        </w:rPr>
        <w:footnoteReference w:id="13"/>
      </w:r>
      <w:r w:rsidR="00246F67">
        <w:t xml:space="preserve">  </w:t>
      </w:r>
      <w:r w:rsidR="0053148F">
        <w:t>For school districts that provide devices through 1:1 device initiatives to all students regardless of need, t</w:t>
      </w:r>
      <w:r w:rsidR="00236E1B">
        <w:t xml:space="preserve">he Commission </w:t>
      </w:r>
      <w:r w:rsidR="002168B3">
        <w:t xml:space="preserve">limited support to the purchase of devices or services for students that </w:t>
      </w:r>
      <w:r w:rsidR="009012BB">
        <w:t>did not have access to an adequate device</w:t>
      </w:r>
      <w:r w:rsidR="0053148F">
        <w:t>.</w:t>
      </w:r>
      <w:r>
        <w:rPr>
          <w:rStyle w:val="FootnoteReference"/>
        </w:rPr>
        <w:footnoteReference w:id="14"/>
      </w:r>
      <w:r w:rsidR="0053148F">
        <w:t xml:space="preserve">  </w:t>
      </w:r>
      <w:r w:rsidR="008F6BDA">
        <w:t xml:space="preserve">Finally, </w:t>
      </w:r>
      <w:r w:rsidR="009720C2">
        <w:t xml:space="preserve">applicants and </w:t>
      </w:r>
      <w:r w:rsidR="008F6BDA">
        <w:t>s</w:t>
      </w:r>
      <w:r w:rsidR="00DA155C">
        <w:t xml:space="preserve">ervice providers submitting requests for reimbursement were required to certify that </w:t>
      </w:r>
      <w:r w:rsidR="006A488D">
        <w:t>they were</w:t>
      </w:r>
      <w:r w:rsidR="00530451">
        <w:t xml:space="preserve"> “not willfully or knowingly requesting reimbursement for </w:t>
      </w:r>
      <w:r w:rsidR="00DD6CCD">
        <w:t xml:space="preserve">equipment or </w:t>
      </w:r>
      <w:r w:rsidR="00530451">
        <w:t>services that are not being used</w:t>
      </w:r>
      <w:r w:rsidR="00DA155C">
        <w:t>.</w:t>
      </w:r>
      <w:r w:rsidR="00530451">
        <w:t>”</w:t>
      </w:r>
      <w:r>
        <w:rPr>
          <w:rStyle w:val="FootnoteReference"/>
        </w:rPr>
        <w:footnoteReference w:id="15"/>
      </w:r>
      <w:r w:rsidR="001E6A96">
        <w:t xml:space="preserve">  </w:t>
      </w:r>
    </w:p>
    <w:p w:rsidR="00CF3E9D" w:rsidP="00CF3E9D" w14:paraId="363BF37C" w14:textId="5CC6CBBC">
      <w:pPr>
        <w:pStyle w:val="ParaNum"/>
      </w:pPr>
      <w:r>
        <w:t xml:space="preserve">Child Development </w:t>
      </w:r>
      <w:r w:rsidR="00AD181A">
        <w:t>R</w:t>
      </w:r>
      <w:r>
        <w:t xml:space="preserve">esources filed an ECF funding application </w:t>
      </w:r>
      <w:r w:rsidR="009B3FA3">
        <w:t xml:space="preserve">on August 12, 2021 seeking support for </w:t>
      </w:r>
      <w:r w:rsidR="00A67892">
        <w:t>1,502 Wi-Fi hotspots</w:t>
      </w:r>
      <w:r w:rsidR="00064CF1">
        <w:t xml:space="preserve"> at a cost of $249.99 each</w:t>
      </w:r>
      <w:r w:rsidR="00430BB1">
        <w:t>, along with 12 months of service</w:t>
      </w:r>
      <w:r w:rsidR="00187F95">
        <w:t xml:space="preserve">, for </w:t>
      </w:r>
      <w:r w:rsidR="005F3AAA">
        <w:t xml:space="preserve">pre-kindergarten </w:t>
      </w:r>
      <w:r w:rsidR="00187F95">
        <w:t>students and staff in its Head Start centers</w:t>
      </w:r>
      <w:r w:rsidR="00430BB1">
        <w:t>.</w:t>
      </w:r>
      <w:r>
        <w:rPr>
          <w:rStyle w:val="FootnoteReference"/>
        </w:rPr>
        <w:footnoteReference w:id="16"/>
      </w:r>
      <w:r w:rsidR="00A871A6">
        <w:t xml:space="preserve">  </w:t>
      </w:r>
      <w:r w:rsidR="006D6BC8">
        <w:t xml:space="preserve">USAC issued a funding commitment on March 7, 2022 for the </w:t>
      </w:r>
      <w:r w:rsidR="00C22C00">
        <w:t xml:space="preserve">two </w:t>
      </w:r>
      <w:r w:rsidR="006D6BC8">
        <w:t>requests.</w:t>
      </w:r>
      <w:r>
        <w:rPr>
          <w:rStyle w:val="FootnoteReference"/>
        </w:rPr>
        <w:footnoteReference w:id="17"/>
      </w:r>
      <w:r w:rsidR="006D6BC8">
        <w:t xml:space="preserve">  </w:t>
      </w:r>
      <w:r w:rsidR="003E1614">
        <w:t>The service provider</w:t>
      </w:r>
      <w:r w:rsidR="0091542B">
        <w:t>, The Cost Cutters,</w:t>
      </w:r>
      <w:r w:rsidR="003E1614">
        <w:t xml:space="preserve"> </w:t>
      </w:r>
      <w:r w:rsidR="00C30F1F">
        <w:t xml:space="preserve">then </w:t>
      </w:r>
      <w:r w:rsidR="003E1614">
        <w:t xml:space="preserve">submitted two </w:t>
      </w:r>
      <w:r w:rsidR="00E92DED">
        <w:t xml:space="preserve">requests for reimbursement </w:t>
      </w:r>
      <w:r w:rsidR="00D97F97">
        <w:t>in the amounts of $375,484.</w:t>
      </w:r>
      <w:r w:rsidR="00E0226B">
        <w:t>98 for Wi-Fi hotspots and $83,060.60 for services.</w:t>
      </w:r>
      <w:r>
        <w:rPr>
          <w:rStyle w:val="FootnoteReference"/>
        </w:rPr>
        <w:footnoteReference w:id="18"/>
      </w:r>
      <w:r w:rsidR="005A6620">
        <w:t xml:space="preserve">  </w:t>
      </w:r>
      <w:r w:rsidR="00B75C31">
        <w:t xml:space="preserve">During review of the invoices, </w:t>
      </w:r>
      <w:r w:rsidR="005A6620">
        <w:t xml:space="preserve">USAC sent outreach </w:t>
      </w:r>
      <w:r w:rsidR="0062597F">
        <w:t xml:space="preserve">to </w:t>
      </w:r>
      <w:r w:rsidR="00A17F26">
        <w:t xml:space="preserve">Child Development Resources to </w:t>
      </w:r>
      <w:r w:rsidR="0062597F">
        <w:t xml:space="preserve">verify unmet needs, </w:t>
      </w:r>
      <w:r w:rsidR="006C5B47">
        <w:t xml:space="preserve">request </w:t>
      </w:r>
      <w:r w:rsidR="00B75C31">
        <w:t xml:space="preserve">information about </w:t>
      </w:r>
      <w:r w:rsidR="0062597F">
        <w:t xml:space="preserve">the service provider, and </w:t>
      </w:r>
      <w:r w:rsidR="00A051C4">
        <w:t xml:space="preserve">determine </w:t>
      </w:r>
      <w:r w:rsidR="0062597F">
        <w:t>whether the request was for a</w:t>
      </w:r>
      <w:r w:rsidR="00D57DD1">
        <w:t xml:space="preserve"> 1:1 device initiative.</w:t>
      </w:r>
      <w:r w:rsidR="000F36AE">
        <w:t xml:space="preserve">  The two </w:t>
      </w:r>
      <w:r w:rsidR="00340E49">
        <w:t xml:space="preserve">reimbursement </w:t>
      </w:r>
      <w:r w:rsidR="000F36AE">
        <w:t xml:space="preserve">requests were denied on October </w:t>
      </w:r>
      <w:r w:rsidR="00A820C1">
        <w:t>17, 2024.</w:t>
      </w:r>
      <w:r>
        <w:rPr>
          <w:rStyle w:val="FootnoteReference"/>
        </w:rPr>
        <w:footnoteReference w:id="19"/>
      </w:r>
      <w:r w:rsidR="00475FFA">
        <w:t xml:space="preserve">  </w:t>
      </w:r>
      <w:r w:rsidR="0033707B">
        <w:t xml:space="preserve">Child Development Resources appealed </w:t>
      </w:r>
      <w:r w:rsidR="00CD0F8A">
        <w:t xml:space="preserve">the Wi-Fi hotspot related </w:t>
      </w:r>
      <w:r w:rsidR="0033707B">
        <w:t xml:space="preserve">decision to USAC on </w:t>
      </w:r>
      <w:r w:rsidR="00AA052D">
        <w:t>November 14, 2024.</w:t>
      </w:r>
      <w:r>
        <w:rPr>
          <w:rStyle w:val="FootnoteReference"/>
        </w:rPr>
        <w:footnoteReference w:id="20"/>
      </w:r>
      <w:r w:rsidR="00AA052D">
        <w:t xml:space="preserve">  USAC denied the appeal, </w:t>
      </w:r>
      <w:r w:rsidR="00340E49">
        <w:t>stating</w:t>
      </w:r>
      <w:r w:rsidR="00AA052D">
        <w:t xml:space="preserve"> that </w:t>
      </w:r>
      <w:r w:rsidR="006C5B47">
        <w:t>Child Development Resources</w:t>
      </w:r>
      <w:r w:rsidR="00AA052D">
        <w:t xml:space="preserve"> did not justify the cost of the Wi-Fi hotspots as reasonable, did not show how unmet needs were determined, no</w:t>
      </w:r>
      <w:r w:rsidR="00C976FF">
        <w:t xml:space="preserve">r </w:t>
      </w:r>
      <w:r w:rsidR="001A3100">
        <w:t xml:space="preserve">demonstrate that the devices </w:t>
      </w:r>
      <w:r w:rsidR="00C976FF">
        <w:t xml:space="preserve">were </w:t>
      </w:r>
      <w:r w:rsidR="001A3100">
        <w:t xml:space="preserve">not </w:t>
      </w:r>
      <w:r w:rsidR="00C976FF">
        <w:t>part of a 1:1 device initiative, and</w:t>
      </w:r>
      <w:r w:rsidR="004726A5">
        <w:t xml:space="preserve"> finally, </w:t>
      </w:r>
      <w:r w:rsidR="00BB5D3E">
        <w:t>Child Development Resources</w:t>
      </w:r>
      <w:r w:rsidR="000238B4">
        <w:t xml:space="preserve"> </w:t>
      </w:r>
      <w:r w:rsidR="004726A5">
        <w:t xml:space="preserve">made clear that the Wi-Fi hotspots </w:t>
      </w:r>
      <w:r w:rsidR="005A31A3">
        <w:t>had never been connected to a</w:t>
      </w:r>
      <w:r w:rsidR="008F67AA">
        <w:t xml:space="preserve"> mobile service</w:t>
      </w:r>
      <w:r w:rsidR="005A31A3">
        <w:t xml:space="preserve"> and thus</w:t>
      </w:r>
      <w:r w:rsidR="002014F8">
        <w:t>,</w:t>
      </w:r>
      <w:r w:rsidR="005A31A3">
        <w:t xml:space="preserve"> had not been used</w:t>
      </w:r>
      <w:r w:rsidR="00F7776F">
        <w:t xml:space="preserve"> </w:t>
      </w:r>
      <w:r w:rsidR="00196783">
        <w:t xml:space="preserve">by </w:t>
      </w:r>
      <w:r w:rsidR="00F7776F">
        <w:t>student</w:t>
      </w:r>
      <w:r w:rsidR="002014F8">
        <w:t>s</w:t>
      </w:r>
      <w:r w:rsidR="00F7776F">
        <w:t xml:space="preserve"> or school staff</w:t>
      </w:r>
      <w:r w:rsidR="00C976FF">
        <w:t>.</w:t>
      </w:r>
      <w:r>
        <w:rPr>
          <w:rStyle w:val="FootnoteReference"/>
        </w:rPr>
        <w:footnoteReference w:id="21"/>
      </w:r>
    </w:p>
    <w:p w:rsidR="00585ECD" w:rsidP="00CF3E9D" w14:paraId="12D2F882" w14:textId="571967F0">
      <w:pPr>
        <w:pStyle w:val="ParaNum"/>
      </w:pPr>
      <w:r>
        <w:t xml:space="preserve">Child Development Resources </w:t>
      </w:r>
      <w:r w:rsidR="00922925">
        <w:t xml:space="preserve">now </w:t>
      </w:r>
      <w:r w:rsidR="00B82B7D">
        <w:t xml:space="preserve">seeks timely review and/or waiver </w:t>
      </w:r>
      <w:r w:rsidR="007C6210">
        <w:t xml:space="preserve">of USAC’s appeal decision </w:t>
      </w:r>
      <w:r w:rsidR="00B82B7D">
        <w:t>with the Wireline Competition Bureau</w:t>
      </w:r>
      <w:r w:rsidR="00340E49">
        <w:t xml:space="preserve"> (Bureau)</w:t>
      </w:r>
      <w:r>
        <w:t>.</w:t>
      </w:r>
      <w:r>
        <w:rPr>
          <w:rStyle w:val="FootnoteReference"/>
        </w:rPr>
        <w:footnoteReference w:id="22"/>
      </w:r>
      <w:r>
        <w:t xml:space="preserve">  </w:t>
      </w:r>
      <w:r w:rsidR="006018F1">
        <w:t>It s</w:t>
      </w:r>
      <w:r w:rsidR="00087F9B">
        <w:t>tat</w:t>
      </w:r>
      <w:r w:rsidR="00A43356">
        <w:t>e</w:t>
      </w:r>
      <w:r w:rsidR="00922925">
        <w:t>s</w:t>
      </w:r>
      <w:r w:rsidR="00A43356">
        <w:t xml:space="preserve"> first that its “outreach and needs assessment conducted via informal family services surveys identified students without home internet as part of our 1:1 device initiative.”</w:t>
      </w:r>
      <w:r>
        <w:rPr>
          <w:rStyle w:val="FootnoteReference"/>
        </w:rPr>
        <w:footnoteReference w:id="23"/>
      </w:r>
      <w:r w:rsidR="00A43356">
        <w:t xml:space="preserve">  Second, </w:t>
      </w:r>
      <w:r w:rsidR="00836D9A">
        <w:t xml:space="preserve">it </w:t>
      </w:r>
      <w:r w:rsidR="00EC08DA">
        <w:t>says</w:t>
      </w:r>
      <w:r w:rsidR="00836D9A">
        <w:t xml:space="preserve"> that the cost of the Wi-Fi hotspots “represents a good-faith, reasonable expenditure” in light of </w:t>
      </w:r>
      <w:r w:rsidR="0018319A">
        <w:t xml:space="preserve">the public health emergency and </w:t>
      </w:r>
      <w:r w:rsidR="007E1AAA">
        <w:t>supply chain disruptions that resulted in a “a sharp increase in the cost</w:t>
      </w:r>
      <w:r w:rsidR="00A85EE9">
        <w:t xml:space="preserve"> of hardware.”</w:t>
      </w:r>
      <w:r>
        <w:rPr>
          <w:rStyle w:val="FootnoteReference"/>
        </w:rPr>
        <w:footnoteReference w:id="24"/>
      </w:r>
      <w:r w:rsidR="00A85EE9">
        <w:t xml:space="preserve">  Thir</w:t>
      </w:r>
      <w:r w:rsidR="001F04FB">
        <w:t xml:space="preserve">d, it </w:t>
      </w:r>
      <w:r w:rsidR="003A4C91">
        <w:t>states that the intended use was to support students and teaching staff</w:t>
      </w:r>
      <w:r w:rsidR="007B7463">
        <w:t xml:space="preserve">, and that it </w:t>
      </w:r>
      <w:r w:rsidR="003A4C91">
        <w:t>required additional time to develop a compliant distribution plan.</w:t>
      </w:r>
      <w:r>
        <w:rPr>
          <w:rStyle w:val="FootnoteReference"/>
        </w:rPr>
        <w:footnoteReference w:id="25"/>
      </w:r>
      <w:r w:rsidR="003A4C91">
        <w:t xml:space="preserve">  It also provides a future deployment plan for the Wi-Fi hotspots</w:t>
      </w:r>
      <w:r w:rsidR="002A6566">
        <w:t xml:space="preserve"> with its request</w:t>
      </w:r>
      <w:r w:rsidR="003A4C91">
        <w:t>.</w:t>
      </w:r>
      <w:r>
        <w:rPr>
          <w:rStyle w:val="FootnoteReference"/>
        </w:rPr>
        <w:footnoteReference w:id="26"/>
      </w:r>
      <w:r w:rsidR="008C7170">
        <w:t xml:space="preserve">  </w:t>
      </w:r>
      <w:r w:rsidR="00BF59DE">
        <w:t>In the alternative</w:t>
      </w:r>
      <w:r w:rsidR="008C7170">
        <w:t xml:space="preserve">, it asks </w:t>
      </w:r>
      <w:r w:rsidR="00F1060A">
        <w:t xml:space="preserve">for a waiver </w:t>
      </w:r>
      <w:r w:rsidR="002E0650">
        <w:t xml:space="preserve">of the Commission’s rules </w:t>
      </w:r>
      <w:r w:rsidR="00EF7978">
        <w:t xml:space="preserve">because it is </w:t>
      </w:r>
      <w:r w:rsidR="00F1060A">
        <w:t>in the public interest to reinstate the ECF support due to the impact of the denial of funds on the children and families in the region.</w:t>
      </w:r>
      <w:r>
        <w:rPr>
          <w:rStyle w:val="FootnoteReference"/>
        </w:rPr>
        <w:footnoteReference w:id="27"/>
      </w:r>
    </w:p>
    <w:p w:rsidR="00A64100" w:rsidP="00A64100" w14:paraId="6E761A7F" w14:textId="79935A43">
      <w:pPr>
        <w:pStyle w:val="Heading1"/>
      </w:pPr>
      <w:r>
        <w:t>Discussion</w:t>
      </w:r>
    </w:p>
    <w:p w:rsidR="00A64100" w:rsidP="00A64100" w14:paraId="3FD58CA0" w14:textId="2E958A42">
      <w:pPr>
        <w:pStyle w:val="ParaNum"/>
      </w:pPr>
      <w:r>
        <w:t>We deny Child Development Resources’ reques</w:t>
      </w:r>
      <w:r w:rsidR="00230331">
        <w:t>t for review.</w:t>
      </w:r>
      <w:r w:rsidR="00F75F33">
        <w:t xml:space="preserve">  First and foremost, </w:t>
      </w:r>
      <w:r w:rsidR="00327ABD">
        <w:t xml:space="preserve">Child </w:t>
      </w:r>
      <w:r w:rsidR="00327ABD">
        <w:t xml:space="preserve">Development </w:t>
      </w:r>
      <w:r w:rsidR="00CB5A52">
        <w:t>Resources</w:t>
      </w:r>
      <w:r w:rsidR="00F75F33">
        <w:t xml:space="preserve"> made clear in its communications with USAC that</w:t>
      </w:r>
      <w:r w:rsidR="00111AFD">
        <w:t xml:space="preserve"> it had not used the Wi-Fi hots</w:t>
      </w:r>
      <w:r w:rsidR="00CF683E">
        <w:t>pots.</w:t>
      </w:r>
      <w:r>
        <w:rPr>
          <w:rStyle w:val="FootnoteReference"/>
        </w:rPr>
        <w:footnoteReference w:id="28"/>
      </w:r>
      <w:r w:rsidR="00CF683E">
        <w:t xml:space="preserve">  </w:t>
      </w:r>
      <w:r w:rsidR="00B061A5">
        <w:t>ECF participants may not seek reimbursement for equipment and/or services that are not being used,</w:t>
      </w:r>
      <w:r>
        <w:rPr>
          <w:rStyle w:val="FootnoteReference"/>
        </w:rPr>
        <w:footnoteReference w:id="29"/>
      </w:r>
      <w:r w:rsidR="00B061A5">
        <w:t xml:space="preserve"> </w:t>
      </w:r>
      <w:r w:rsidR="0095706A">
        <w:t xml:space="preserve">and as such, </w:t>
      </w:r>
      <w:r w:rsidR="00932DBE">
        <w:t xml:space="preserve">reimbursement for the Wi-Fi hotspots </w:t>
      </w:r>
      <w:r w:rsidR="00AC675F">
        <w:t xml:space="preserve">that had never been </w:t>
      </w:r>
      <w:r w:rsidR="00EE3222">
        <w:t>provided</w:t>
      </w:r>
      <w:r w:rsidR="00AC675F">
        <w:t xml:space="preserve"> with a mobile service</w:t>
      </w:r>
      <w:r w:rsidR="00AB1989">
        <w:t xml:space="preserve">, and could not </w:t>
      </w:r>
      <w:r w:rsidR="00FF5BA0">
        <w:t xml:space="preserve">be </w:t>
      </w:r>
      <w:r w:rsidR="00AB1989">
        <w:t>used</w:t>
      </w:r>
      <w:r w:rsidR="00AC675F">
        <w:t xml:space="preserve"> </w:t>
      </w:r>
      <w:r w:rsidR="00C35DE7">
        <w:t>is</w:t>
      </w:r>
      <w:r w:rsidR="00932DBE">
        <w:t xml:space="preserve"> a violation of program rules.</w:t>
      </w:r>
      <w:r>
        <w:rPr>
          <w:rStyle w:val="FootnoteReference"/>
        </w:rPr>
        <w:footnoteReference w:id="30"/>
      </w:r>
    </w:p>
    <w:p w:rsidR="00BF199E" w:rsidP="00A64100" w14:paraId="30E7AC7E" w14:textId="341C0C29">
      <w:pPr>
        <w:pStyle w:val="ParaNum"/>
      </w:pPr>
      <w:r>
        <w:t xml:space="preserve">While the non-usage of the </w:t>
      </w:r>
      <w:r w:rsidR="004860C1">
        <w:t xml:space="preserve">Wi-Fi </w:t>
      </w:r>
      <w:r>
        <w:t xml:space="preserve">hotspots </w:t>
      </w:r>
      <w:r w:rsidR="00AB3ADF">
        <w:t xml:space="preserve">is sufficient for denial, we also briefly note additional flaws </w:t>
      </w:r>
      <w:r w:rsidR="00981B3A">
        <w:t xml:space="preserve">in </w:t>
      </w:r>
      <w:r w:rsidR="00CA1BF9">
        <w:t xml:space="preserve">Child Development Resources’ </w:t>
      </w:r>
      <w:r w:rsidR="00EC0C2F">
        <w:t>ECF</w:t>
      </w:r>
      <w:r w:rsidR="00981B3A">
        <w:t xml:space="preserve"> request</w:t>
      </w:r>
      <w:r w:rsidR="00445CC3">
        <w:t xml:space="preserve"> and </w:t>
      </w:r>
      <w:r w:rsidR="00CA1BF9">
        <w:t xml:space="preserve">its </w:t>
      </w:r>
      <w:r w:rsidR="00445CC3">
        <w:t>request for review</w:t>
      </w:r>
      <w:r w:rsidR="00981B3A">
        <w:t xml:space="preserve">.  First, the applicant </w:t>
      </w:r>
      <w:r w:rsidR="00D43EC0">
        <w:t>did not provide sufficient evidence that the $249.99 cost of the Wi-Fi hotspots was reasonable</w:t>
      </w:r>
      <w:r w:rsidR="00566FF7">
        <w:t>, nor that it represented the actual costs of the equipment</w:t>
      </w:r>
      <w:r w:rsidR="007C4E00">
        <w:t>.</w:t>
      </w:r>
      <w:r>
        <w:rPr>
          <w:rStyle w:val="FootnoteReference"/>
        </w:rPr>
        <w:footnoteReference w:id="31"/>
      </w:r>
      <w:r w:rsidR="007C4E00">
        <w:t xml:space="preserve">  </w:t>
      </w:r>
      <w:r w:rsidR="00DB47D5">
        <w:t xml:space="preserve">ECF participants </w:t>
      </w:r>
      <w:r w:rsidR="00CE3E28">
        <w:t xml:space="preserve">were </w:t>
      </w:r>
      <w:r w:rsidR="00566FF7">
        <w:t>required</w:t>
      </w:r>
      <w:r w:rsidR="00CE3E28">
        <w:t xml:space="preserve"> to </w:t>
      </w:r>
      <w:r w:rsidR="00DB47D5">
        <w:t xml:space="preserve">be able to </w:t>
      </w:r>
      <w:r w:rsidR="00CE3E28">
        <w:t xml:space="preserve">explain their </w:t>
      </w:r>
      <w:r w:rsidR="00566FF7">
        <w:t>selections and costs</w:t>
      </w:r>
      <w:r w:rsidR="00DB47D5">
        <w:t xml:space="preserve"> to determine reasonability</w:t>
      </w:r>
      <w:r w:rsidR="0070176A">
        <w:t xml:space="preserve"> beyond simply providing an invoice and </w:t>
      </w:r>
      <w:r w:rsidR="00EE0709">
        <w:t>mentioning supply chain issues</w:t>
      </w:r>
      <w:r w:rsidR="00F502C6">
        <w:t>.</w:t>
      </w:r>
      <w:r>
        <w:rPr>
          <w:rStyle w:val="FootnoteReference"/>
        </w:rPr>
        <w:footnoteReference w:id="32"/>
      </w:r>
      <w:r w:rsidR="00716B59">
        <w:t xml:space="preserve">  </w:t>
      </w:r>
      <w:r w:rsidR="00B014A8">
        <w:t>U</w:t>
      </w:r>
      <w:r w:rsidR="002956BD">
        <w:t>nder Bureau guidance, U</w:t>
      </w:r>
      <w:r w:rsidR="00B014A8">
        <w:t xml:space="preserve">SAC could look to pricing for other </w:t>
      </w:r>
      <w:r w:rsidR="002956BD">
        <w:t xml:space="preserve">similar equipment </w:t>
      </w:r>
      <w:r w:rsidR="00CE1ECB">
        <w:t>requested in the ECF program, as well as research public information.</w:t>
      </w:r>
      <w:r>
        <w:rPr>
          <w:rStyle w:val="FootnoteReference"/>
        </w:rPr>
        <w:footnoteReference w:id="33"/>
      </w:r>
      <w:r w:rsidR="00CE1ECB">
        <w:t xml:space="preserve">  </w:t>
      </w:r>
      <w:r w:rsidR="00716B59">
        <w:t xml:space="preserve">The </w:t>
      </w:r>
      <w:r w:rsidR="00E07914">
        <w:t>average</w:t>
      </w:r>
      <w:r w:rsidR="00716B59">
        <w:t xml:space="preserve"> cost of Wi-Fi hotspots funded through the ECF program </w:t>
      </w:r>
      <w:r w:rsidR="00E07914">
        <w:t xml:space="preserve">in Windows 1 and 2 </w:t>
      </w:r>
      <w:r w:rsidR="00216C5F">
        <w:t xml:space="preserve">during this time period </w:t>
      </w:r>
      <w:r w:rsidR="00716B59">
        <w:t>was $</w:t>
      </w:r>
      <w:r w:rsidR="00CD7A94">
        <w:t>107.80</w:t>
      </w:r>
      <w:r w:rsidR="00716B59">
        <w:t xml:space="preserve"> per </w:t>
      </w:r>
      <w:r w:rsidR="005B288C">
        <w:t>hotspot</w:t>
      </w:r>
      <w:r w:rsidR="00760D0F">
        <w:t>,</w:t>
      </w:r>
      <w:r>
        <w:rPr>
          <w:rStyle w:val="FootnoteReference"/>
        </w:rPr>
        <w:footnoteReference w:id="34"/>
      </w:r>
      <w:r w:rsidR="00216C5F">
        <w:t xml:space="preserve"> and a</w:t>
      </w:r>
      <w:r w:rsidR="00760D0F">
        <w:t xml:space="preserve"> review of the</w:t>
      </w:r>
      <w:r w:rsidR="005B288C">
        <w:t xml:space="preserve"> hotspot</w:t>
      </w:r>
      <w:r w:rsidR="00760D0F">
        <w:t xml:space="preserve"> </w:t>
      </w:r>
      <w:r w:rsidR="008E5760">
        <w:t xml:space="preserve">at issue </w:t>
      </w:r>
      <w:r w:rsidR="00760D0F">
        <w:t xml:space="preserve">from June 2020, listed a $90 </w:t>
      </w:r>
      <w:r w:rsidR="0057051B">
        <w:t>manufacturer’s suggested retail</w:t>
      </w:r>
      <w:r w:rsidR="00760D0F">
        <w:t xml:space="preserve"> price</w:t>
      </w:r>
      <w:r w:rsidR="00A31E7B">
        <w:t xml:space="preserve">, which is </w:t>
      </w:r>
      <w:r w:rsidR="00E10C65">
        <w:t>just over a third of</w:t>
      </w:r>
      <w:r w:rsidR="005B288C">
        <w:t xml:space="preserve"> </w:t>
      </w:r>
      <w:r w:rsidR="00A31E7B">
        <w:t xml:space="preserve">the cost </w:t>
      </w:r>
      <w:r w:rsidR="00CD7A94">
        <w:t xml:space="preserve">Child Development Resources </w:t>
      </w:r>
      <w:r w:rsidR="00A31E7B">
        <w:t>sought</w:t>
      </w:r>
      <w:r w:rsidR="00C475FC">
        <w:t xml:space="preserve"> in 202</w:t>
      </w:r>
      <w:r w:rsidR="00565E76">
        <w:t>1 and 202</w:t>
      </w:r>
      <w:r w:rsidR="00C475FC">
        <w:t>2</w:t>
      </w:r>
      <w:r w:rsidR="00A31E7B">
        <w:t xml:space="preserve"> in these funding requests</w:t>
      </w:r>
      <w:r w:rsidR="00760D0F">
        <w:t>.</w:t>
      </w:r>
      <w:r>
        <w:rPr>
          <w:rStyle w:val="FootnoteReference"/>
        </w:rPr>
        <w:footnoteReference w:id="35"/>
      </w:r>
      <w:r w:rsidR="00760D0F">
        <w:t xml:space="preserve">  </w:t>
      </w:r>
      <w:r w:rsidR="00CF3CDF">
        <w:t xml:space="preserve">In sum, </w:t>
      </w:r>
      <w:r w:rsidR="0017434F">
        <w:t>Child Development Resources</w:t>
      </w:r>
      <w:r w:rsidR="00760D0F">
        <w:t xml:space="preserve"> did not </w:t>
      </w:r>
      <w:r w:rsidR="00CF3CDF">
        <w:t>explain</w:t>
      </w:r>
      <w:r w:rsidR="00760D0F">
        <w:t xml:space="preserve"> the </w:t>
      </w:r>
      <w:r w:rsidR="00C469B6">
        <w:t>reasonableness of th</w:t>
      </w:r>
      <w:r w:rsidR="00B820D3">
        <w:t>e</w:t>
      </w:r>
      <w:r w:rsidR="00127E48">
        <w:t xml:space="preserve"> requested</w:t>
      </w:r>
      <w:r w:rsidR="00C469B6">
        <w:t xml:space="preserve"> </w:t>
      </w:r>
      <w:r w:rsidR="00484D02">
        <w:t xml:space="preserve">$249.99 </w:t>
      </w:r>
      <w:r w:rsidR="00760D0F">
        <w:t>cost</w:t>
      </w:r>
      <w:r w:rsidR="00777D98">
        <w:t>.</w:t>
      </w:r>
      <w:r>
        <w:rPr>
          <w:rStyle w:val="FootnoteReference"/>
        </w:rPr>
        <w:footnoteReference w:id="36"/>
      </w:r>
      <w:r w:rsidR="008B78F5">
        <w:t xml:space="preserve">  Second,</w:t>
      </w:r>
      <w:r w:rsidR="00BA7C83">
        <w:t xml:space="preserve"> </w:t>
      </w:r>
      <w:r w:rsidR="002F5056">
        <w:t>Child Development Resources</w:t>
      </w:r>
      <w:r w:rsidR="00BA7C83">
        <w:t xml:space="preserve"> failed to provide evidence of </w:t>
      </w:r>
      <w:r w:rsidR="00941243">
        <w:t xml:space="preserve">how it determined unmet need </w:t>
      </w:r>
      <w:r w:rsidR="003758EF">
        <w:t>for a</w:t>
      </w:r>
      <w:r w:rsidR="00C86ECE">
        <w:t>n In</w:t>
      </w:r>
      <w:r w:rsidR="004B49E0">
        <w:t xml:space="preserve">ternet </w:t>
      </w:r>
      <w:r w:rsidR="003758EF">
        <w:t xml:space="preserve">connection </w:t>
      </w:r>
      <w:r w:rsidR="00941243">
        <w:t>amongst its pre-kindergarten students</w:t>
      </w:r>
      <w:r w:rsidR="000A5A2F">
        <w:t xml:space="preserve"> and</w:t>
      </w:r>
      <w:r w:rsidR="00941243">
        <w:t xml:space="preserve"> its school staff.  In requesting 1,502 </w:t>
      </w:r>
      <w:r w:rsidR="00AB6D48">
        <w:t>Wi-Fi hotspots</w:t>
      </w:r>
      <w:r w:rsidR="00941243">
        <w:t xml:space="preserve"> </w:t>
      </w:r>
      <w:r w:rsidR="00E21D24">
        <w:t xml:space="preserve">for 1,294 enrolled </w:t>
      </w:r>
      <w:r w:rsidR="00643182">
        <w:t xml:space="preserve">pre-kindergarten </w:t>
      </w:r>
      <w:r w:rsidR="00E21D24">
        <w:t>students</w:t>
      </w:r>
      <w:r>
        <w:rPr>
          <w:rStyle w:val="FootnoteReference"/>
        </w:rPr>
        <w:footnoteReference w:id="37"/>
      </w:r>
      <w:r w:rsidR="00642861">
        <w:t xml:space="preserve"> and 208 staff, </w:t>
      </w:r>
      <w:r w:rsidR="00F45467">
        <w:t>the request appears to be part of 1:1 device initiative</w:t>
      </w:r>
      <w:r w:rsidR="00120758">
        <w:t xml:space="preserve"> with no evidence that a survey or other </w:t>
      </w:r>
      <w:r w:rsidR="00C653C4">
        <w:t xml:space="preserve">determination of need for Wi-Fi hotspots </w:t>
      </w:r>
      <w:r w:rsidR="00643182">
        <w:t>was conducted</w:t>
      </w:r>
      <w:r w:rsidR="00F4275B">
        <w:t>.</w:t>
      </w:r>
      <w:r>
        <w:rPr>
          <w:rStyle w:val="FootnoteReference"/>
        </w:rPr>
        <w:footnoteReference w:id="38"/>
      </w:r>
      <w:r w:rsidR="00F4275B">
        <w:t xml:space="preserve">  </w:t>
      </w:r>
      <w:r w:rsidR="006C582B">
        <w:t>In correspondence with USAC, it also appears that</w:t>
      </w:r>
      <w:r w:rsidR="000A5A2F">
        <w:t xml:space="preserve"> Child Development Resources included</w:t>
      </w:r>
      <w:r w:rsidR="006C582B">
        <w:t xml:space="preserve"> many non-teaching school staff in </w:t>
      </w:r>
      <w:r w:rsidR="000D04AA">
        <w:t xml:space="preserve">its </w:t>
      </w:r>
      <w:r w:rsidR="006C582B">
        <w:t>staff recipient list</w:t>
      </w:r>
      <w:r>
        <w:rPr>
          <w:rStyle w:val="FootnoteReference"/>
        </w:rPr>
        <w:footnoteReference w:id="39"/>
      </w:r>
      <w:r w:rsidR="006C582B">
        <w:t xml:space="preserve"> </w:t>
      </w:r>
      <w:r w:rsidR="00E15D3D">
        <w:t xml:space="preserve">while </w:t>
      </w:r>
      <w:r w:rsidR="006C582B">
        <w:t xml:space="preserve">only teachers and assistant teachers (with unmet need) providing educational services </w:t>
      </w:r>
      <w:r w:rsidR="003F506A">
        <w:t>are</w:t>
      </w:r>
      <w:r w:rsidR="006C582B">
        <w:t xml:space="preserve"> eligible for a Wi-Fi hotspot through the ECF program.</w:t>
      </w:r>
      <w:r>
        <w:rPr>
          <w:rStyle w:val="FootnoteReference"/>
        </w:rPr>
        <w:footnoteReference w:id="40"/>
      </w:r>
      <w:r w:rsidR="006C582B">
        <w:t xml:space="preserve">  </w:t>
      </w:r>
      <w:r w:rsidR="003F506A">
        <w:t>Child Development Resources</w:t>
      </w:r>
      <w:r w:rsidR="00CE6817">
        <w:t xml:space="preserve"> </w:t>
      </w:r>
      <w:r w:rsidR="00F4275B">
        <w:t xml:space="preserve">makes clear </w:t>
      </w:r>
      <w:r w:rsidR="0016506C">
        <w:t xml:space="preserve">through its </w:t>
      </w:r>
      <w:r w:rsidR="00A97823">
        <w:t>“U</w:t>
      </w:r>
      <w:r w:rsidR="0016506C">
        <w:t xml:space="preserve">pdated </w:t>
      </w:r>
      <w:r w:rsidR="00A97823">
        <w:t>D</w:t>
      </w:r>
      <w:r w:rsidR="0016506C">
        <w:t xml:space="preserve">eployment </w:t>
      </w:r>
      <w:r w:rsidR="00A97823">
        <w:t>P</w:t>
      </w:r>
      <w:r w:rsidR="0016506C">
        <w:t>lan</w:t>
      </w:r>
      <w:r w:rsidR="00E14C40">
        <w:t>,</w:t>
      </w:r>
      <w:r w:rsidR="00A97823">
        <w:t>”</w:t>
      </w:r>
      <w:r w:rsidR="0016506C">
        <w:t xml:space="preserve"> </w:t>
      </w:r>
      <w:r w:rsidR="00E14C40">
        <w:t xml:space="preserve">included with its request for review, </w:t>
      </w:r>
      <w:r w:rsidR="0016506C">
        <w:t xml:space="preserve">that surveys to </w:t>
      </w:r>
      <w:r w:rsidR="00553025">
        <w:t xml:space="preserve">determine </w:t>
      </w:r>
      <w:r w:rsidR="00DC7C75">
        <w:t xml:space="preserve">actual </w:t>
      </w:r>
      <w:r w:rsidR="00553025">
        <w:t>need w</w:t>
      </w:r>
      <w:r w:rsidR="00A97823">
        <w:t>ould</w:t>
      </w:r>
      <w:r w:rsidR="00553025">
        <w:t xml:space="preserve"> be conducted in the future</w:t>
      </w:r>
      <w:r w:rsidR="00DC7C75">
        <w:t xml:space="preserve">, </w:t>
      </w:r>
      <w:r w:rsidR="00B4104E">
        <w:t xml:space="preserve">well beyond the </w:t>
      </w:r>
      <w:r w:rsidR="00DB7C9B">
        <w:t xml:space="preserve">funding period of these funding requests and the </w:t>
      </w:r>
      <w:r w:rsidR="000C7F70">
        <w:t>June 30, 2024 sunset of the Emergency Connectivity Fund program</w:t>
      </w:r>
      <w:r w:rsidR="00553025">
        <w:t>.</w:t>
      </w:r>
      <w:r>
        <w:rPr>
          <w:rStyle w:val="FootnoteReference"/>
        </w:rPr>
        <w:footnoteReference w:id="41"/>
      </w:r>
      <w:r w:rsidR="00484D02">
        <w:t xml:space="preserve">  </w:t>
      </w:r>
    </w:p>
    <w:p w:rsidR="00230331" w:rsidP="00A64100" w14:paraId="7705F1A1" w14:textId="7A1783B4">
      <w:pPr>
        <w:pStyle w:val="ParaNum"/>
      </w:pPr>
      <w:r>
        <w:t xml:space="preserve">We also deny Child Development Resources’ request for a waiver.  </w:t>
      </w:r>
      <w:r w:rsidRPr="008513E7" w:rsidR="005B7E2C">
        <w:t>Generally, the Commission’s rules may be waived for good cause shown.</w:t>
      </w:r>
      <w:r>
        <w:rPr>
          <w:rStyle w:val="FootnoteReference"/>
        </w:rPr>
        <w:footnoteReference w:id="42"/>
      </w:r>
      <w:r w:rsidRPr="008513E7" w:rsidR="005B7E2C">
        <w:t xml:space="preserve">  The Commission may exercise its discretion to waive a rule where the particular facts make strict compliance inconsistent with the public interest.</w:t>
      </w:r>
      <w:r>
        <w:rPr>
          <w:rStyle w:val="FootnoteReference"/>
        </w:rPr>
        <w:footnoteReference w:id="43"/>
      </w:r>
      <w:r w:rsidRPr="008513E7" w:rsidR="005B7E2C">
        <w:t xml:space="preserve">  </w:t>
      </w:r>
      <w:r w:rsidR="00932DBE">
        <w:t xml:space="preserve">Child Development Resources </w:t>
      </w:r>
      <w:r w:rsidR="00BF199E">
        <w:t xml:space="preserve">states that </w:t>
      </w:r>
      <w:r w:rsidR="00912B9B">
        <w:t>granting a waiver is in the public interest, “as denial of these funds directly impacts vulnerable children and families in our region.”</w:t>
      </w:r>
      <w:r>
        <w:rPr>
          <w:rStyle w:val="FootnoteReference"/>
        </w:rPr>
        <w:footnoteReference w:id="44"/>
      </w:r>
      <w:r w:rsidR="001A1807">
        <w:t xml:space="preserve">  The Commission has consistently held that the assertion of financial need of the applicant and the detrimental impact a denial of support will have on the students who make use of the services does not meet the requirement of special circumstances that warrant a waiver of the Commission’s rules.</w:t>
      </w:r>
      <w:r>
        <w:rPr>
          <w:rStyle w:val="FootnoteReference"/>
        </w:rPr>
        <w:footnoteReference w:id="45"/>
      </w:r>
      <w:r w:rsidRPr="00AB6860" w:rsidR="001A1807">
        <w:t xml:space="preserve">  </w:t>
      </w:r>
      <w:r w:rsidR="00364E1E">
        <w:t>In addition, we</w:t>
      </w:r>
      <w:r w:rsidR="00383DB2">
        <w:t xml:space="preserve"> </w:t>
      </w:r>
      <w:r w:rsidR="00666F2C">
        <w:t xml:space="preserve">find that it is not in the public interest to waive the Commission’s rules when there is evidence </w:t>
      </w:r>
      <w:r w:rsidR="00C244BC">
        <w:t xml:space="preserve">that </w:t>
      </w:r>
      <w:r w:rsidR="00666F2C">
        <w:t xml:space="preserve">the </w:t>
      </w:r>
      <w:r w:rsidR="0048685A">
        <w:t>requested Wi-Fi hotspots were never used.</w:t>
      </w:r>
      <w:r>
        <w:rPr>
          <w:rStyle w:val="FootnoteReference"/>
        </w:rPr>
        <w:footnoteReference w:id="46"/>
      </w:r>
      <w:r w:rsidR="0048685A">
        <w:t xml:space="preserve">  </w:t>
      </w:r>
      <w:r w:rsidR="00F107CE">
        <w:t>Child Development Resources does not otherwise</w:t>
      </w:r>
      <w:r w:rsidRPr="00CD09E7" w:rsidR="001A1807">
        <w:t xml:space="preserve"> demonstrate </w:t>
      </w:r>
      <w:r w:rsidRPr="00147687" w:rsidR="001A1807">
        <w:t xml:space="preserve">any special circumstances that warrant deviation from the </w:t>
      </w:r>
      <w:r w:rsidR="00F107CE">
        <w:t xml:space="preserve">ECF program </w:t>
      </w:r>
      <w:r w:rsidRPr="00147687" w:rsidR="001A1807">
        <w:t>rule</w:t>
      </w:r>
      <w:r w:rsidR="00F107CE">
        <w:t>s</w:t>
      </w:r>
      <w:r w:rsidR="001A1807">
        <w:t>,</w:t>
      </w:r>
      <w:r w:rsidR="00F107CE">
        <w:t xml:space="preserve"> and therefore,</w:t>
      </w:r>
      <w:r w:rsidR="001A1807">
        <w:t xml:space="preserve"> </w:t>
      </w:r>
      <w:r w:rsidR="00AF0690">
        <w:t xml:space="preserve">we deny </w:t>
      </w:r>
      <w:r w:rsidR="001A1807">
        <w:t>the request for a waiver.</w:t>
      </w:r>
    </w:p>
    <w:p w:rsidR="005B7E2C" w:rsidP="005B7E2C" w14:paraId="10D3CA5D" w14:textId="13598CEC">
      <w:pPr>
        <w:pStyle w:val="Heading1"/>
      </w:pPr>
      <w:r>
        <w:t>Ordering Clauses</w:t>
      </w:r>
    </w:p>
    <w:p w:rsidR="00C57062" w:rsidP="00C57062" w14:paraId="35B40C76" w14:textId="7DD5F77C">
      <w:pPr>
        <w:pStyle w:val="ParaNum"/>
      </w:pPr>
      <w:r>
        <w:t xml:space="preserve">ACCORDINGLY, IT IS ORDERED, pursuant to the authority contained in sections 1-4 and 254 of the Communications Act of 1934, as amended, 47 U.S.C. §§ 151-154 and 254, and sections 0.91, 0.291, 1.3, </w:t>
      </w:r>
      <w:r w:rsidR="007D2112">
        <w:t xml:space="preserve">54.1710(a)(1)(vii); </w:t>
      </w:r>
      <w:r>
        <w:t>and 54</w:t>
      </w:r>
      <w:r w:rsidRPr="007D2112">
        <w:t>.171</w:t>
      </w:r>
      <w:r w:rsidRPr="007D2112" w:rsidR="00DA55CB">
        <w:t>1</w:t>
      </w:r>
      <w:r w:rsidRPr="007D2112">
        <w:t>(</w:t>
      </w:r>
      <w:r w:rsidRPr="007D2112" w:rsidR="00DA55CB">
        <w:t>a</w:t>
      </w:r>
      <w:r w:rsidRPr="007D2112">
        <w:t>)</w:t>
      </w:r>
      <w:r w:rsidRPr="007D2112" w:rsidR="00DA55CB">
        <w:t>(2)(vi)</w:t>
      </w:r>
      <w:r w:rsidRPr="007D2112">
        <w:t xml:space="preserve"> of the Commission’s rules, 47 CFR §§ 0.91, 0.291, 1.3, </w:t>
      </w:r>
      <w:r w:rsidRPr="007D2112" w:rsidR="007D2112">
        <w:t xml:space="preserve">54.1710(a)(1)(vii); </w:t>
      </w:r>
      <w:r w:rsidRPr="007D2112">
        <w:t>and 54.171</w:t>
      </w:r>
      <w:r w:rsidRPr="007D2112" w:rsidR="00DA55CB">
        <w:t>1(a)(2)(vi</w:t>
      </w:r>
      <w:r w:rsidRPr="007D2112">
        <w:t>), that</w:t>
      </w:r>
      <w:r>
        <w:t xml:space="preserve"> the Request for Review and/or Waiver filed by Child Development </w:t>
      </w:r>
      <w:r w:rsidR="00365D6D">
        <w:t xml:space="preserve">Resources </w:t>
      </w:r>
      <w:r w:rsidR="00A53E8D">
        <w:t>of Ventura County, Inc.</w:t>
      </w:r>
      <w:r>
        <w:t>, filed June 30, 2025, IS DENIED.</w:t>
      </w:r>
    </w:p>
    <w:p w:rsidR="00C57062" w:rsidP="00C57062" w14:paraId="574EC888" w14:textId="77777777">
      <w:pPr>
        <w:keepNext/>
        <w:widowControl/>
      </w:pPr>
    </w:p>
    <w:p w:rsidR="00C57062" w:rsidP="00C57062" w14:paraId="046FF60E" w14:textId="77777777">
      <w:pPr>
        <w:pStyle w:val="ParaNum"/>
        <w:keepNext/>
        <w:widowControl/>
        <w:numPr>
          <w:ilvl w:val="0"/>
          <w:numId w:val="0"/>
        </w:numPr>
        <w:ind w:left="4320"/>
      </w:pPr>
      <w:r>
        <w:t>FEDERAL COMMUNICATIONS COMMISSION</w:t>
      </w:r>
    </w:p>
    <w:p w:rsidR="0089644A" w:rsidP="00C57062" w14:paraId="43E0028E" w14:textId="77777777">
      <w:pPr>
        <w:pStyle w:val="ParaNum"/>
        <w:keepNext/>
        <w:widowControl/>
        <w:numPr>
          <w:ilvl w:val="0"/>
          <w:numId w:val="0"/>
        </w:numPr>
        <w:spacing w:after="0"/>
        <w:ind w:left="4320"/>
      </w:pPr>
    </w:p>
    <w:p w:rsidR="0089644A" w:rsidP="00C57062" w14:paraId="3357242A" w14:textId="77777777">
      <w:pPr>
        <w:pStyle w:val="ParaNum"/>
        <w:keepNext/>
        <w:widowControl/>
        <w:numPr>
          <w:ilvl w:val="0"/>
          <w:numId w:val="0"/>
        </w:numPr>
        <w:spacing w:after="0"/>
        <w:ind w:left="4320"/>
      </w:pPr>
    </w:p>
    <w:p w:rsidR="0089644A" w:rsidP="00C57062" w14:paraId="4937891E" w14:textId="77777777">
      <w:pPr>
        <w:pStyle w:val="ParaNum"/>
        <w:keepNext/>
        <w:widowControl/>
        <w:numPr>
          <w:ilvl w:val="0"/>
          <w:numId w:val="0"/>
        </w:numPr>
        <w:spacing w:after="0"/>
        <w:ind w:left="4320"/>
      </w:pPr>
    </w:p>
    <w:p w:rsidR="0089644A" w:rsidP="00C57062" w14:paraId="3603BBD1" w14:textId="77777777">
      <w:pPr>
        <w:pStyle w:val="ParaNum"/>
        <w:keepNext/>
        <w:widowControl/>
        <w:numPr>
          <w:ilvl w:val="0"/>
          <w:numId w:val="0"/>
        </w:numPr>
        <w:spacing w:after="0"/>
        <w:ind w:left="4320"/>
      </w:pPr>
    </w:p>
    <w:p w:rsidR="00C57062" w:rsidP="00C57062" w14:paraId="332E57C0" w14:textId="72941558">
      <w:pPr>
        <w:pStyle w:val="ParaNum"/>
        <w:keepNext/>
        <w:widowControl/>
        <w:numPr>
          <w:ilvl w:val="0"/>
          <w:numId w:val="0"/>
        </w:numPr>
        <w:spacing w:after="0"/>
        <w:ind w:left="4320"/>
      </w:pPr>
      <w:r>
        <w:t>Joseph S. Calascione</w:t>
      </w:r>
    </w:p>
    <w:p w:rsidR="00C57062" w:rsidP="00C57062" w14:paraId="13E933D9" w14:textId="77777777">
      <w:pPr>
        <w:pStyle w:val="ParaNum"/>
        <w:keepNext/>
        <w:widowControl/>
        <w:numPr>
          <w:ilvl w:val="0"/>
          <w:numId w:val="0"/>
        </w:numPr>
        <w:spacing w:after="0"/>
        <w:ind w:left="4320"/>
      </w:pPr>
      <w:r>
        <w:t>Chief</w:t>
      </w:r>
    </w:p>
    <w:p w:rsidR="00C57062" w:rsidRPr="005C5470" w:rsidP="00C57062" w14:paraId="7476D02A" w14:textId="77777777">
      <w:pPr>
        <w:pStyle w:val="ParaNum"/>
        <w:keepNext/>
        <w:widowControl/>
        <w:numPr>
          <w:ilvl w:val="0"/>
          <w:numId w:val="0"/>
        </w:numPr>
        <w:spacing w:after="0"/>
        <w:ind w:left="4320"/>
      </w:pPr>
      <w:r>
        <w:t>Wireline Competition Bureau</w:t>
      </w:r>
    </w:p>
    <w:p w:rsidR="00C57062" w:rsidRPr="00A94A1E" w:rsidP="00C57062" w14:paraId="0D1CCE47" w14:textId="77777777">
      <w:pPr>
        <w:keepNext/>
        <w:widowControl/>
      </w:pPr>
    </w:p>
    <w:p w:rsidR="005B7E2C" w:rsidRPr="005B7E2C" w:rsidP="00A43356" w14:paraId="6085393C" w14:textId="77777777">
      <w:pPr>
        <w:pStyle w:val="ParaNum"/>
        <w:numPr>
          <w:ilvl w:val="0"/>
          <w:numId w:val="0"/>
        </w:numPr>
        <w:ind w:left="720"/>
      </w:pPr>
    </w:p>
    <w:sectPr w:rsidSect="0055614C">
      <w:headerReference w:type="default" r:id="rId6"/>
      <w:footerReference w:type="even" r:id="rId7"/>
      <w:footerReference w:type="default" r:id="rId8"/>
      <w:headerReference w:type="first" r:id="rId9"/>
      <w:footerReference w:type="first" r:id="rId10"/>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57E59" w14:paraId="3170EAE9" w14:textId="77777777">
      <w:pPr>
        <w:spacing w:line="20" w:lineRule="exact"/>
      </w:pPr>
    </w:p>
  </w:endnote>
  <w:endnote w:type="continuationSeparator" w:id="1">
    <w:p w:rsidR="00457E59" w14:paraId="568B39C3" w14:textId="77777777">
      <w:r>
        <w:t xml:space="preserve"> </w:t>
      </w:r>
    </w:p>
  </w:endnote>
  <w:endnote w:type="continuationNotice" w:id="2">
    <w:p w:rsidR="00457E59" w14:paraId="7C85C41C"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55614C" w14:paraId="3F4CF8B1" w14:textId="77777777">
    <w:pPr>
      <w:pStyle w:val="Footer"/>
      <w:framePr w:wrap="around" w:vAnchor="text" w:hAnchor="margin" w:xAlign="center" w:y="1"/>
    </w:pPr>
    <w:r>
      <w:fldChar w:fldCharType="begin"/>
    </w:r>
    <w:r>
      <w:instrText xml:space="preserve">PAGE  </w:instrText>
    </w:r>
    <w:r>
      <w:fldChar w:fldCharType="separate"/>
    </w:r>
    <w:r>
      <w:fldChar w:fldCharType="end"/>
    </w:r>
  </w:p>
  <w:p w:rsidR="00D25FB5" w14:paraId="06ED6FE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7308" w14:paraId="0C94F52C"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p w:rsidR="00D25FB5" w14:paraId="498E3E00" w14:textId="77777777">
    <w:pPr>
      <w:suppressAutoHyphens/>
      <w:spacing w:line="227"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14:paraId="48C1D6D1" w14:textId="77777777">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57E59" w14:paraId="7D965B48" w14:textId="77777777">
      <w:r>
        <w:separator/>
      </w:r>
    </w:p>
  </w:footnote>
  <w:footnote w:type="continuationSeparator" w:id="1">
    <w:p w:rsidR="00457E59" w:rsidP="00C721AC" w14:paraId="797F0C9E" w14:textId="77777777">
      <w:pPr>
        <w:spacing w:before="120"/>
        <w:rPr>
          <w:sz w:val="20"/>
        </w:rPr>
      </w:pPr>
      <w:r>
        <w:rPr>
          <w:sz w:val="20"/>
        </w:rPr>
        <w:t xml:space="preserve">(Continued from previous page)  </w:t>
      </w:r>
      <w:r>
        <w:rPr>
          <w:sz w:val="20"/>
        </w:rPr>
        <w:separator/>
      </w:r>
    </w:p>
  </w:footnote>
  <w:footnote w:type="continuationNotice" w:id="2">
    <w:p w:rsidR="00457E59" w:rsidP="00C721AC" w14:paraId="0C9ED7D5" w14:textId="77777777">
      <w:pPr>
        <w:jc w:val="right"/>
        <w:rPr>
          <w:sz w:val="20"/>
        </w:rPr>
      </w:pPr>
      <w:r>
        <w:rPr>
          <w:sz w:val="20"/>
        </w:rPr>
        <w:t>(</w:t>
      </w:r>
      <w:r>
        <w:rPr>
          <w:sz w:val="20"/>
        </w:rPr>
        <w:t>continued</w:t>
      </w:r>
      <w:r>
        <w:rPr>
          <w:sz w:val="20"/>
        </w:rPr>
        <w:t>….)</w:t>
      </w:r>
    </w:p>
  </w:footnote>
  <w:footnote w:id="3">
    <w:p w:rsidR="00B70D80" w14:paraId="5C57EAA3" w14:textId="5C09C979">
      <w:pPr>
        <w:pStyle w:val="FootnoteText"/>
      </w:pPr>
      <w:r>
        <w:rPr>
          <w:rStyle w:val="FootnoteReference"/>
        </w:rPr>
        <w:footnoteRef/>
      </w:r>
      <w:r>
        <w:t xml:space="preserve"> </w:t>
      </w:r>
      <w:r w:rsidR="00B0556B">
        <w:t xml:space="preserve">Request for Review and/or Waiver of Child Development </w:t>
      </w:r>
      <w:r w:rsidR="00A871F6">
        <w:t xml:space="preserve">Resources of Ventura County, Inc., WC Docket No. 21-93 (filed </w:t>
      </w:r>
      <w:r w:rsidR="00C36B2F">
        <w:t>June 30, 2025)</w:t>
      </w:r>
      <w:r w:rsidR="00BC0B4A">
        <w:t xml:space="preserve">, </w:t>
      </w:r>
      <w:hyperlink r:id="rId1" w:history="1">
        <w:r w:rsidRPr="00870B88" w:rsidR="00BC0B4A">
          <w:rPr>
            <w:rStyle w:val="Hyperlink"/>
          </w:rPr>
          <w:t>https://www.fcc.gov/ecfs/search/search-filings/filing/10630895405437</w:t>
        </w:r>
      </w:hyperlink>
      <w:r w:rsidR="00BC0B4A">
        <w:t xml:space="preserve"> (Request for Review and/or Waiver).</w:t>
      </w:r>
    </w:p>
  </w:footnote>
  <w:footnote w:id="4">
    <w:p w:rsidR="00925BAA" w:rsidRPr="008513E7" w:rsidP="00925BAA" w14:paraId="35BE778E" w14:textId="77777777">
      <w:pPr>
        <w:pStyle w:val="FootnoteText"/>
      </w:pPr>
      <w:r w:rsidRPr="008513E7">
        <w:rPr>
          <w:rStyle w:val="FootnoteReference"/>
        </w:rPr>
        <w:footnoteRef/>
      </w:r>
      <w:r w:rsidRPr="008513E7">
        <w:t xml:space="preserve"> American Rescue Plan Act, 2021, H.R. 1319, Pub. L. No. 117-2, 117</w:t>
      </w:r>
      <w:r w:rsidRPr="008513E7">
        <w:rPr>
          <w:vertAlign w:val="superscript"/>
        </w:rPr>
        <w:t>th</w:t>
      </w:r>
      <w:r w:rsidRPr="008513E7">
        <w:t xml:space="preserve"> Cong., tit. VII, § 7402(a)(1)-(2) (2021) (enacted), available at </w:t>
      </w:r>
      <w:hyperlink r:id="rId2" w:history="1">
        <w:r w:rsidRPr="008513E7">
          <w:rPr>
            <w:rStyle w:val="Hyperlink"/>
          </w:rPr>
          <w:t>https://www.congress.gov/bill/117th-congress/house-bill/1319/text</w:t>
        </w:r>
      </w:hyperlink>
      <w:r w:rsidRPr="008513E7">
        <w:t xml:space="preserve"> (American Rescue Plan Act) (enrolled bill).  </w:t>
      </w:r>
    </w:p>
  </w:footnote>
  <w:footnote w:id="5">
    <w:p w:rsidR="00925BAA" w:rsidRPr="008513E7" w:rsidP="00925BAA" w14:paraId="66FD5FB8" w14:textId="77777777">
      <w:pPr>
        <w:pStyle w:val="FootnoteText"/>
      </w:pPr>
      <w:r w:rsidRPr="008513E7">
        <w:rPr>
          <w:rStyle w:val="FootnoteReference"/>
        </w:rPr>
        <w:footnoteRef/>
      </w:r>
      <w:r w:rsidRPr="008513E7">
        <w:t xml:space="preserve"> </w:t>
      </w:r>
      <w:r w:rsidRPr="008513E7">
        <w:rPr>
          <w:i/>
          <w:iCs/>
        </w:rPr>
        <w:t>See generally Establishing the Emergency Connectivity Fund to Close the Homework Gap</w:t>
      </w:r>
      <w:r>
        <w:t>,</w:t>
      </w:r>
      <w:r w:rsidRPr="008513E7">
        <w:t xml:space="preserve"> WC Docket No. 21-93, Report and Order, 36 FCC </w:t>
      </w:r>
      <w:r w:rsidRPr="008513E7">
        <w:t>Rcd</w:t>
      </w:r>
      <w:r w:rsidRPr="008513E7">
        <w:t xml:space="preserve"> 8696 (2021) (</w:t>
      </w:r>
      <w:r w:rsidRPr="008513E7">
        <w:rPr>
          <w:i/>
          <w:iCs/>
        </w:rPr>
        <w:t>Emergency Connectivity Fund Report and Order</w:t>
      </w:r>
      <w:r w:rsidRPr="008513E7">
        <w:t>).</w:t>
      </w:r>
    </w:p>
  </w:footnote>
  <w:footnote w:id="6">
    <w:p w:rsidR="00B0556B" w:rsidRPr="008513E7" w:rsidP="00B0556B" w14:paraId="1E7039AD" w14:textId="77777777">
      <w:pPr>
        <w:pStyle w:val="FootnoteText"/>
      </w:pPr>
      <w:r w:rsidRPr="008513E7">
        <w:rPr>
          <w:rStyle w:val="FootnoteReference"/>
        </w:rPr>
        <w:footnoteRef/>
      </w:r>
      <w:r w:rsidRPr="008513E7">
        <w:t xml:space="preserve"> </w:t>
      </w:r>
      <w:r w:rsidRPr="008513E7">
        <w:rPr>
          <w:i/>
          <w:iCs/>
        </w:rPr>
        <w:t xml:space="preserve">See </w:t>
      </w:r>
      <w:r w:rsidRPr="008513E7">
        <w:t xml:space="preserve">47 CFR § 54.1710; </w:t>
      </w:r>
      <w:r w:rsidRPr="008513E7">
        <w:rPr>
          <w:i/>
          <w:iCs/>
        </w:rPr>
        <w:t>Emergency Connectivity Fund Report and Order</w:t>
      </w:r>
      <w:r w:rsidRPr="008513E7">
        <w:t xml:space="preserve">, 36 FCC </w:t>
      </w:r>
      <w:r w:rsidRPr="008513E7">
        <w:t>Rcd</w:t>
      </w:r>
      <w:r w:rsidRPr="008513E7">
        <w:rPr>
          <w:i/>
          <w:iCs/>
        </w:rPr>
        <w:t xml:space="preserve"> </w:t>
      </w:r>
      <w:r w:rsidRPr="008513E7">
        <w:t>at 8734, 8737, paras. 78, 83.</w:t>
      </w:r>
    </w:p>
  </w:footnote>
  <w:footnote w:id="7">
    <w:p w:rsidR="00B0556B" w:rsidP="00B0556B" w14:paraId="7F90EF17" w14:textId="77777777">
      <w:pPr>
        <w:pStyle w:val="FootnoteText"/>
      </w:pPr>
      <w:r>
        <w:rPr>
          <w:rStyle w:val="FootnoteReference"/>
        </w:rPr>
        <w:footnoteRef/>
      </w:r>
      <w:r>
        <w:t xml:space="preserve"> </w:t>
      </w:r>
      <w:r>
        <w:rPr>
          <w:i/>
          <w:iCs/>
        </w:rPr>
        <w:t xml:space="preserve">See </w:t>
      </w:r>
      <w:r w:rsidRPr="002208C3">
        <w:rPr>
          <w:i/>
          <w:iCs/>
        </w:rPr>
        <w:t>Wireline Competition Bureau and Office of the Managing Director Provide Guidance on Emergency Connectivity Fund Program Upon Termination of the Emergency Period,</w:t>
      </w:r>
      <w:r>
        <w:t xml:space="preserve"> WC Docket No. 21-93, Public Notice, 38 FCC </w:t>
      </w:r>
      <w:r>
        <w:t>Rcd</w:t>
      </w:r>
      <w:r>
        <w:t xml:space="preserve"> 4282, 4284 (WCB 2023) (</w:t>
      </w:r>
      <w:r>
        <w:rPr>
          <w:i/>
          <w:iCs/>
        </w:rPr>
        <w:t>ECF Sunset Public Notice</w:t>
      </w:r>
      <w:r>
        <w:t xml:space="preserve">); </w:t>
      </w:r>
      <w:r w:rsidRPr="0045649D">
        <w:rPr>
          <w:i/>
          <w:iCs/>
        </w:rPr>
        <w:t>see</w:t>
      </w:r>
      <w:r w:rsidRPr="0045649D">
        <w:rPr>
          <w:i/>
        </w:rPr>
        <w:t xml:space="preserve"> also</w:t>
      </w:r>
      <w:r>
        <w:t xml:space="preserve"> H.R. 1319, tit. VII, § 7402(d)(5)(B).</w:t>
      </w:r>
    </w:p>
  </w:footnote>
  <w:footnote w:id="8">
    <w:p w:rsidR="00B0556B" w:rsidP="00B0556B" w14:paraId="7631464E" w14:textId="77777777">
      <w:pPr>
        <w:pStyle w:val="FootnoteText"/>
      </w:pPr>
      <w:r>
        <w:rPr>
          <w:rStyle w:val="FootnoteReference"/>
        </w:rPr>
        <w:footnoteRef/>
      </w:r>
      <w:r>
        <w:t xml:space="preserve"> </w:t>
      </w:r>
      <w:r w:rsidRPr="00F10145">
        <w:rPr>
          <w:i/>
          <w:iCs/>
        </w:rPr>
        <w:t>Id</w:t>
      </w:r>
      <w:r>
        <w:t>.</w:t>
      </w:r>
    </w:p>
  </w:footnote>
  <w:footnote w:id="9">
    <w:p w:rsidR="007F65B9" w14:paraId="44BD35A5" w14:textId="6B40DE1A">
      <w:pPr>
        <w:pStyle w:val="FootnoteText"/>
      </w:pPr>
      <w:r>
        <w:rPr>
          <w:rStyle w:val="FootnoteReference"/>
        </w:rPr>
        <w:footnoteRef/>
      </w:r>
      <w:r>
        <w:t xml:space="preserve"> </w:t>
      </w:r>
      <w:r w:rsidRPr="007F65B9">
        <w:t xml:space="preserve">See </w:t>
      </w:r>
      <w:r w:rsidRPr="008513E7" w:rsidR="00E1692E">
        <w:rPr>
          <w:i/>
          <w:iCs/>
        </w:rPr>
        <w:t>Emergency Connectivity Fund Report and Order</w:t>
      </w:r>
      <w:r w:rsidRPr="008513E7" w:rsidR="00E1692E">
        <w:t xml:space="preserve">, </w:t>
      </w:r>
      <w:r w:rsidR="00E1692E">
        <w:t xml:space="preserve">36 FCC </w:t>
      </w:r>
      <w:r w:rsidR="00E1692E">
        <w:t>Rcd</w:t>
      </w:r>
      <w:r w:rsidRPr="007F65B9">
        <w:t xml:space="preserve"> at 8736-37, para. 81.</w:t>
      </w:r>
    </w:p>
  </w:footnote>
  <w:footnote w:id="10">
    <w:p w:rsidR="008F6BDA" w:rsidP="008F6BDA" w14:paraId="1792669E" w14:textId="47339831">
      <w:pPr>
        <w:pStyle w:val="FootnoteText"/>
      </w:pPr>
      <w:r>
        <w:rPr>
          <w:rStyle w:val="FootnoteReference"/>
        </w:rPr>
        <w:footnoteRef/>
      </w:r>
      <w:r>
        <w:t xml:space="preserve"> </w:t>
      </w:r>
      <w:r w:rsidR="00C775EE">
        <w:t xml:space="preserve">47 CFR </w:t>
      </w:r>
      <w:r w:rsidRPr="008513E7" w:rsidR="00C775EE">
        <w:t xml:space="preserve">§ </w:t>
      </w:r>
      <w:r>
        <w:t xml:space="preserve">54.1707(a); </w:t>
      </w:r>
      <w:r w:rsidR="002F1805">
        <w:rPr>
          <w:i/>
          <w:iCs/>
        </w:rPr>
        <w:t xml:space="preserve">see also </w:t>
      </w:r>
      <w:r w:rsidRPr="008513E7" w:rsidR="002F1805">
        <w:rPr>
          <w:i/>
          <w:iCs/>
        </w:rPr>
        <w:t>Emergency Connectivity Fund Report and Order</w:t>
      </w:r>
      <w:r w:rsidRPr="008513E7" w:rsidR="002F1805">
        <w:t xml:space="preserve">, </w:t>
      </w:r>
      <w:r w:rsidR="002F1805">
        <w:t xml:space="preserve">36 FCC </w:t>
      </w:r>
      <w:r w:rsidR="002F1805">
        <w:t>Rcd</w:t>
      </w:r>
      <w:r w:rsidRPr="007F65B9" w:rsidR="002F1805">
        <w:t xml:space="preserve"> at </w:t>
      </w:r>
      <w:r w:rsidR="00C063BC">
        <w:t>8731, p</w:t>
      </w:r>
      <w:r>
        <w:t>ara. 69</w:t>
      </w:r>
      <w:r w:rsidR="00ED0041">
        <w:t xml:space="preserve">; </w:t>
      </w:r>
      <w:r w:rsidRPr="00E831E0" w:rsidR="00A73DB8">
        <w:rPr>
          <w:i/>
          <w:iCs/>
        </w:rPr>
        <w:t>see also</w:t>
      </w:r>
      <w:r w:rsidR="00A73DB8">
        <w:t xml:space="preserve"> Emergency Connectivity Fund FAQs, Question 5.10, </w:t>
      </w:r>
      <w:hyperlink r:id="rId3" w:history="1">
        <w:r w:rsidRPr="00AB32D7" w:rsidR="00A73DB8">
          <w:rPr>
            <w:rStyle w:val="Hyperlink"/>
          </w:rPr>
          <w:t>https://www.fcc.gov/emergency-connectivity-fund-faqs</w:t>
        </w:r>
      </w:hyperlink>
      <w:r w:rsidR="00A73DB8">
        <w:t xml:space="preserve"> (last visited </w:t>
      </w:r>
      <w:r w:rsidR="00074CD3">
        <w:t>Feb. 10</w:t>
      </w:r>
      <w:r w:rsidR="00A73DB8">
        <w:t xml:space="preserve">, 2026) (explaining that </w:t>
      </w:r>
      <w:r w:rsidR="007B0184">
        <w:t>the reimbursement amount is based on the actual or market-based cost of the requested equipment and not the $</w:t>
      </w:r>
      <w:r w:rsidR="003C091F">
        <w:t>400 or $250 reasonable support amount</w:t>
      </w:r>
      <w:r w:rsidR="009A24E3">
        <w:t xml:space="preserve"> and that the request for reimbursement may be reduced or denied if it is determined to be unreasonable</w:t>
      </w:r>
      <w:r w:rsidR="003C091F">
        <w:t>)</w:t>
      </w:r>
      <w:r>
        <w:t>.</w:t>
      </w:r>
    </w:p>
  </w:footnote>
  <w:footnote w:id="11">
    <w:p w:rsidR="00756400" w:rsidP="00756400" w14:paraId="11444E7C" w14:textId="719E0519">
      <w:pPr>
        <w:pStyle w:val="FootnoteText"/>
      </w:pPr>
      <w:r>
        <w:rPr>
          <w:rStyle w:val="FootnoteReference"/>
        </w:rPr>
        <w:footnoteRef/>
      </w:r>
      <w:r>
        <w:t xml:space="preserve"> </w:t>
      </w:r>
      <w:r w:rsidR="00C775EE">
        <w:t xml:space="preserve">47 CFR </w:t>
      </w:r>
      <w:r w:rsidRPr="008513E7" w:rsidR="00C775EE">
        <w:t xml:space="preserve">§ </w:t>
      </w:r>
      <w:r w:rsidR="00544A61">
        <w:t xml:space="preserve">54.1710(a)(1)(vii); </w:t>
      </w:r>
      <w:r w:rsidRPr="00E831E0" w:rsidR="00E831E0">
        <w:rPr>
          <w:i/>
          <w:iCs/>
        </w:rPr>
        <w:t>see also</w:t>
      </w:r>
      <w:r w:rsidR="00E831E0">
        <w:t xml:space="preserve"> Emergency Connectivity Fund FAQs, Question 6.12, </w:t>
      </w:r>
      <w:hyperlink r:id="rId3" w:history="1">
        <w:r w:rsidRPr="00AB32D7" w:rsidR="00AB32D7">
          <w:rPr>
            <w:rStyle w:val="Hyperlink"/>
          </w:rPr>
          <w:t>https://www.fcc.gov/emergency-connectivity-fund-faqs</w:t>
        </w:r>
      </w:hyperlink>
      <w:r w:rsidR="00AB32D7">
        <w:t xml:space="preserve"> </w:t>
      </w:r>
      <w:r w:rsidR="00E831E0">
        <w:t xml:space="preserve">(last visited </w:t>
      </w:r>
      <w:r w:rsidR="00074CD3">
        <w:t>Feb. 10, 2026</w:t>
      </w:r>
      <w:r w:rsidR="00E831E0">
        <w:t>).</w:t>
      </w:r>
    </w:p>
  </w:footnote>
  <w:footnote w:id="12">
    <w:p w:rsidR="00756400" w:rsidP="00756400" w14:paraId="6578D5BE" w14:textId="1E5D60D7">
      <w:pPr>
        <w:pStyle w:val="FootnoteText"/>
      </w:pPr>
      <w:r>
        <w:rPr>
          <w:rStyle w:val="FootnoteReference"/>
        </w:rPr>
        <w:footnoteRef/>
      </w:r>
      <w:r>
        <w:t xml:space="preserve"> </w:t>
      </w:r>
      <w:r w:rsidRPr="00D32160" w:rsidR="00D32160">
        <w:rPr>
          <w:i/>
          <w:iCs/>
        </w:rPr>
        <w:t xml:space="preserve">See </w:t>
      </w:r>
      <w:r w:rsidRPr="008513E7" w:rsidR="00D32160">
        <w:rPr>
          <w:i/>
          <w:iCs/>
        </w:rPr>
        <w:t>Emergency Connectivity Fund Report and Order</w:t>
      </w:r>
      <w:r w:rsidRPr="008513E7" w:rsidR="00D32160">
        <w:t xml:space="preserve">, </w:t>
      </w:r>
      <w:r w:rsidR="00D32160">
        <w:t xml:space="preserve">36 FCC </w:t>
      </w:r>
      <w:r w:rsidR="00D32160">
        <w:t>Rcd</w:t>
      </w:r>
      <w:r w:rsidRPr="007F65B9" w:rsidR="00D32160">
        <w:t xml:space="preserve"> at </w:t>
      </w:r>
      <w:r w:rsidR="00D32160">
        <w:t>8729, p</w:t>
      </w:r>
      <w:r>
        <w:t>ara. 63</w:t>
      </w:r>
      <w:r w:rsidR="00D32160">
        <w:t>.</w:t>
      </w:r>
    </w:p>
  </w:footnote>
  <w:footnote w:id="13">
    <w:p w:rsidR="00C767D7" w:rsidP="00AB437A" w14:paraId="5E64B367" w14:textId="4573042F">
      <w:pPr>
        <w:pStyle w:val="FootnoteText"/>
      </w:pPr>
      <w:r>
        <w:rPr>
          <w:rStyle w:val="FootnoteReference"/>
        </w:rPr>
        <w:footnoteRef/>
      </w:r>
      <w:r>
        <w:t xml:space="preserve"> </w:t>
      </w:r>
      <w:r w:rsidRPr="00164833" w:rsidR="00AB437A">
        <w:rPr>
          <w:i/>
          <w:iCs/>
        </w:rPr>
        <w:t>See generally Emergency Connectivity Fund Report and Order</w:t>
      </w:r>
      <w:r w:rsidR="00AB437A">
        <w:t xml:space="preserve">, 36 FCC </w:t>
      </w:r>
      <w:r w:rsidR="00AB437A">
        <w:t>Rcd</w:t>
      </w:r>
      <w:r w:rsidR="00AB437A">
        <w:t xml:space="preserve"> at 8704, para. 18; </w:t>
      </w:r>
      <w:r w:rsidRPr="00164833" w:rsidR="00AB437A">
        <w:rPr>
          <w:i/>
          <w:iCs/>
        </w:rPr>
        <w:t>see also</w:t>
      </w:r>
      <w:r w:rsidR="00AB437A">
        <w:t xml:space="preserve"> Emergency</w:t>
      </w:r>
      <w:r w:rsidR="00EE1EA5">
        <w:t xml:space="preserve"> </w:t>
      </w:r>
      <w:r w:rsidR="00AB437A">
        <w:t>Connectivity Fund FAQs, Question 6.1 (outlining how applicants may estimate unmet needs).</w:t>
      </w:r>
    </w:p>
  </w:footnote>
  <w:footnote w:id="14">
    <w:p w:rsidR="0053148F" w14:paraId="1DEED04C" w14:textId="3ACB1BE9">
      <w:pPr>
        <w:pStyle w:val="FootnoteText"/>
      </w:pPr>
      <w:r>
        <w:rPr>
          <w:rStyle w:val="FootnoteReference"/>
        </w:rPr>
        <w:footnoteRef/>
      </w:r>
      <w:r>
        <w:t xml:space="preserve"> </w:t>
      </w:r>
      <w:r w:rsidRPr="00D32160">
        <w:rPr>
          <w:i/>
          <w:iCs/>
        </w:rPr>
        <w:t xml:space="preserve">See </w:t>
      </w:r>
      <w:r w:rsidRPr="008513E7">
        <w:rPr>
          <w:i/>
          <w:iCs/>
        </w:rPr>
        <w:t>Emergency Connectivity Fund Report and Order</w:t>
      </w:r>
      <w:r w:rsidRPr="008513E7">
        <w:t xml:space="preserve">, </w:t>
      </w:r>
      <w:r>
        <w:t xml:space="preserve">36 FCC </w:t>
      </w:r>
      <w:r>
        <w:t>Rcd</w:t>
      </w:r>
      <w:r w:rsidRPr="007F65B9">
        <w:t xml:space="preserve"> at</w:t>
      </w:r>
      <w:r w:rsidR="00131978">
        <w:t xml:space="preserve"> </w:t>
      </w:r>
      <w:r w:rsidRPr="007F65B9" w:rsidR="00131978">
        <w:t xml:space="preserve">8736, </w:t>
      </w:r>
      <w:r w:rsidR="00131978">
        <w:t>n.229 (</w:t>
      </w:r>
      <w:r w:rsidR="00330C7C">
        <w:t xml:space="preserve">addressing 1:1 initiatives </w:t>
      </w:r>
      <w:r w:rsidR="00A33C3A">
        <w:t xml:space="preserve">that provide devices to all students regardless of need </w:t>
      </w:r>
      <w:r w:rsidR="00330C7C">
        <w:t xml:space="preserve">and </w:t>
      </w:r>
      <w:r w:rsidR="00131978">
        <w:t>stating that the Commission did not find “it appropriate to support the purchase of devices or services for students that already have access to an adequate device”)</w:t>
      </w:r>
      <w:r w:rsidR="00EE3F82">
        <w:t xml:space="preserve">; </w:t>
      </w:r>
      <w:r w:rsidRPr="008F2596" w:rsidR="00EE3F82">
        <w:rPr>
          <w:i/>
          <w:iCs/>
        </w:rPr>
        <w:t>see also</w:t>
      </w:r>
      <w:r w:rsidRPr="00EE3F82" w:rsidR="00EE3F82">
        <w:t xml:space="preserve"> </w:t>
      </w:r>
      <w:r w:rsidR="00EE3F82">
        <w:t xml:space="preserve">Emergency Connectivity Fund FAQs, Question </w:t>
      </w:r>
      <w:r w:rsidR="00940FE1">
        <w:t>6.12</w:t>
      </w:r>
      <w:r w:rsidR="00EE3F82">
        <w:t xml:space="preserve">, </w:t>
      </w:r>
      <w:hyperlink r:id="rId3" w:history="1">
        <w:r w:rsidRPr="00AB32D7" w:rsidR="00EE3F82">
          <w:rPr>
            <w:rStyle w:val="Hyperlink"/>
          </w:rPr>
          <w:t>https://www.fcc.gov/emergency-connectivity-fund-faqs</w:t>
        </w:r>
      </w:hyperlink>
      <w:r w:rsidR="00EE3F82">
        <w:t xml:space="preserve"> (last visited </w:t>
      </w:r>
      <w:r w:rsidR="00F04708">
        <w:t>Feb. 10, 2026</w:t>
      </w:r>
      <w:r w:rsidR="00EE3F82">
        <w:t xml:space="preserve">) </w:t>
      </w:r>
      <w:r w:rsidR="00940FE1">
        <w:t>(stating that applicants cannot request funding for all st</w:t>
      </w:r>
      <w:r w:rsidR="008F2596">
        <w:t>u</w:t>
      </w:r>
      <w:r w:rsidR="00940FE1">
        <w:t>dents as part of a 1:1 initiative and must only seek support for students and school staff who lac</w:t>
      </w:r>
      <w:r w:rsidR="008F2596">
        <w:t>ked access to connected devices or services)</w:t>
      </w:r>
      <w:r w:rsidR="00131978">
        <w:t>.</w:t>
      </w:r>
    </w:p>
  </w:footnote>
  <w:footnote w:id="15">
    <w:p w:rsidR="00DA155C" w14:paraId="06E4B06A" w14:textId="38016EC4">
      <w:pPr>
        <w:pStyle w:val="FootnoteText"/>
      </w:pPr>
      <w:r>
        <w:rPr>
          <w:rStyle w:val="FootnoteReference"/>
        </w:rPr>
        <w:footnoteRef/>
      </w:r>
      <w:r>
        <w:t xml:space="preserve"> </w:t>
      </w:r>
      <w:r w:rsidR="00F541E6">
        <w:t xml:space="preserve">47 CFR </w:t>
      </w:r>
      <w:r w:rsidRPr="008513E7" w:rsidR="00F541E6">
        <w:t xml:space="preserve">§ </w:t>
      </w:r>
      <w:r w:rsidR="00122752">
        <w:t>54.1711</w:t>
      </w:r>
      <w:r w:rsidR="000246D3">
        <w:t xml:space="preserve">(a)(1)(viii) and </w:t>
      </w:r>
      <w:r w:rsidR="00122752">
        <w:t>(a)(2)(vi)</w:t>
      </w:r>
      <w:r w:rsidR="00DA55CB">
        <w:t>.</w:t>
      </w:r>
    </w:p>
  </w:footnote>
  <w:footnote w:id="16">
    <w:p w:rsidR="00430BB1" w14:paraId="575C5FAF" w14:textId="597C8B6D">
      <w:pPr>
        <w:pStyle w:val="FootnoteText"/>
      </w:pPr>
      <w:r>
        <w:rPr>
          <w:rStyle w:val="FootnoteReference"/>
        </w:rPr>
        <w:footnoteRef/>
      </w:r>
      <w:r>
        <w:t xml:space="preserve"> </w:t>
      </w:r>
      <w:r w:rsidR="009A0EF1">
        <w:t xml:space="preserve">ECF Application No. </w:t>
      </w:r>
      <w:r>
        <w:t>ECF202113179</w:t>
      </w:r>
      <w:r w:rsidR="00AD181A">
        <w:t xml:space="preserve">, </w:t>
      </w:r>
      <w:r w:rsidR="009A0EF1">
        <w:t>Child Development Resources of Ventura County, Inc.</w:t>
      </w:r>
      <w:r w:rsidR="000B28AF">
        <w:t xml:space="preserve"> Head Start</w:t>
      </w:r>
      <w:r w:rsidR="009A0EF1">
        <w:t xml:space="preserve">, (Aug. 12, 2021).  </w:t>
      </w:r>
    </w:p>
  </w:footnote>
  <w:footnote w:id="17">
    <w:p w:rsidR="006D6BC8" w14:paraId="6D24EF51" w14:textId="5C5A594E">
      <w:pPr>
        <w:pStyle w:val="FootnoteText"/>
      </w:pPr>
      <w:r>
        <w:rPr>
          <w:rStyle w:val="FootnoteReference"/>
        </w:rPr>
        <w:footnoteRef/>
      </w:r>
      <w:r>
        <w:t xml:space="preserve"> </w:t>
      </w:r>
      <w:r w:rsidR="009A0EF1">
        <w:rPr>
          <w:i/>
          <w:iCs/>
        </w:rPr>
        <w:t xml:space="preserve">See </w:t>
      </w:r>
      <w:r w:rsidR="009A0EF1">
        <w:t>Letter from USAC, to Child Development Resources of Ventura County, Inc.</w:t>
      </w:r>
      <w:r w:rsidR="000B28AF">
        <w:t xml:space="preserve"> Head Start</w:t>
      </w:r>
      <w:r w:rsidR="009A0EF1">
        <w:t>, concerning ECF Application No. ECF202113179 (Mar. 7, 2022)</w:t>
      </w:r>
      <w:r w:rsidR="006F4B15">
        <w:t xml:space="preserve"> (Funding Commitment Decision Letter)</w:t>
      </w:r>
      <w:r w:rsidR="009A0EF1">
        <w:t>.</w:t>
      </w:r>
    </w:p>
  </w:footnote>
  <w:footnote w:id="18">
    <w:p w:rsidR="00E0226B" w14:paraId="18C0AC61" w14:textId="612BE0BD">
      <w:pPr>
        <w:pStyle w:val="FootnoteText"/>
      </w:pPr>
      <w:r>
        <w:rPr>
          <w:rStyle w:val="FootnoteReference"/>
        </w:rPr>
        <w:footnoteRef/>
      </w:r>
      <w:r>
        <w:t xml:space="preserve"> </w:t>
      </w:r>
      <w:r w:rsidR="00122021">
        <w:rPr>
          <w:i/>
          <w:iCs/>
        </w:rPr>
        <w:t xml:space="preserve">See </w:t>
      </w:r>
      <w:r w:rsidR="00981747">
        <w:t xml:space="preserve">FCC Form 474 </w:t>
      </w:r>
      <w:r w:rsidR="00122021">
        <w:t>Request for Reimbursement</w:t>
      </w:r>
      <w:r w:rsidR="00981747">
        <w:t xml:space="preserve"> </w:t>
      </w:r>
      <w:r w:rsidRPr="005A6620" w:rsidR="005A6620">
        <w:t>SPI202308189</w:t>
      </w:r>
      <w:r w:rsidR="00966523">
        <w:t xml:space="preserve"> (Oct. 11, 2023)</w:t>
      </w:r>
      <w:r w:rsidR="00F83540">
        <w:t xml:space="preserve"> (Hotspots Invoice)</w:t>
      </w:r>
      <w:r w:rsidR="005A6620">
        <w:t xml:space="preserve">; </w:t>
      </w:r>
      <w:r w:rsidR="00966523">
        <w:t xml:space="preserve">FCC Form 474 Request for Reimbursement </w:t>
      </w:r>
      <w:r w:rsidRPr="005A6620" w:rsidR="005A6620">
        <w:t>SPI2023081</w:t>
      </w:r>
      <w:r w:rsidR="005A6620">
        <w:t>90</w:t>
      </w:r>
      <w:r w:rsidR="00966523">
        <w:t xml:space="preserve"> (Oct. 11, 2023)</w:t>
      </w:r>
      <w:r w:rsidR="00F83540">
        <w:t xml:space="preserve"> (Services Invoice)</w:t>
      </w:r>
      <w:r w:rsidR="00966523">
        <w:t>.</w:t>
      </w:r>
    </w:p>
  </w:footnote>
  <w:footnote w:id="19">
    <w:p w:rsidR="00A820C1" w14:paraId="3568A78B" w14:textId="56B45DF5">
      <w:pPr>
        <w:pStyle w:val="FootnoteText"/>
      </w:pPr>
      <w:r>
        <w:rPr>
          <w:rStyle w:val="FootnoteReference"/>
        </w:rPr>
        <w:footnoteRef/>
      </w:r>
      <w:r>
        <w:t xml:space="preserve"> </w:t>
      </w:r>
      <w:r w:rsidR="005315FB">
        <w:rPr>
          <w:i/>
          <w:iCs/>
        </w:rPr>
        <w:t xml:space="preserve">See </w:t>
      </w:r>
      <w:r w:rsidR="005315FB">
        <w:t xml:space="preserve">Reimbursement Decision Batch Number ECF-IN-FY2024.21 (Oct. </w:t>
      </w:r>
      <w:r w:rsidR="002905D5">
        <w:t>17, 2024) (denying the hotspots and services invoices).</w:t>
      </w:r>
    </w:p>
  </w:footnote>
  <w:footnote w:id="20">
    <w:p w:rsidR="00C30F1F" w14:paraId="12E2E559" w14:textId="0E561F5D">
      <w:pPr>
        <w:pStyle w:val="FootnoteText"/>
      </w:pPr>
      <w:r>
        <w:rPr>
          <w:rStyle w:val="FootnoteReference"/>
        </w:rPr>
        <w:footnoteRef/>
      </w:r>
      <w:r>
        <w:t xml:space="preserve"> </w:t>
      </w:r>
      <w:r w:rsidR="002905D5">
        <w:t>Request for Review</w:t>
      </w:r>
      <w:r w:rsidR="002E1D76">
        <w:t xml:space="preserve"> of Child Development Resources of Ventura County, Inc.,</w:t>
      </w:r>
      <w:r w:rsidR="00C6497F">
        <w:t xml:space="preserve"> to USAC (Nov</w:t>
      </w:r>
      <w:r w:rsidR="002E1D76">
        <w:t>.</w:t>
      </w:r>
      <w:r w:rsidR="00C6497F">
        <w:t xml:space="preserve"> 14, 2024)</w:t>
      </w:r>
      <w:r w:rsidR="00F0241D">
        <w:t xml:space="preserve"> (USAC Appeal)</w:t>
      </w:r>
      <w:r w:rsidR="00C6497F">
        <w:t>.</w:t>
      </w:r>
      <w:r w:rsidR="00CD0F8A">
        <w:t xml:space="preserve">  Child Development Resources informed USAC it was not appealing the decision regarding services. </w:t>
      </w:r>
    </w:p>
  </w:footnote>
  <w:footnote w:id="21">
    <w:p w:rsidR="00967BE7" w14:paraId="51C60E72" w14:textId="3051922B">
      <w:pPr>
        <w:pStyle w:val="FootnoteText"/>
      </w:pPr>
      <w:r>
        <w:rPr>
          <w:rStyle w:val="FootnoteReference"/>
        </w:rPr>
        <w:footnoteRef/>
      </w:r>
      <w:r>
        <w:t xml:space="preserve"> </w:t>
      </w:r>
      <w:r w:rsidR="006F4B15">
        <w:rPr>
          <w:i/>
          <w:iCs/>
        </w:rPr>
        <w:t xml:space="preserve">See </w:t>
      </w:r>
      <w:r w:rsidR="006F4B15">
        <w:t>Letter from USAC, to Child Development Resources of Ventura County, Inc. Head Start, concerning ECF Application No. ECF202113179 (June 4, 2025) (Revised Funding Commitment Decision Letter).</w:t>
      </w:r>
    </w:p>
  </w:footnote>
  <w:footnote w:id="22">
    <w:p w:rsidR="00585ECD" w14:paraId="205C2125" w14:textId="6A2375B1">
      <w:pPr>
        <w:pStyle w:val="FootnoteText"/>
      </w:pPr>
      <w:r>
        <w:rPr>
          <w:rStyle w:val="FootnoteReference"/>
        </w:rPr>
        <w:footnoteRef/>
      </w:r>
      <w:r>
        <w:t xml:space="preserve"> </w:t>
      </w:r>
      <w:r w:rsidRPr="00B51F95" w:rsidR="00C27F50">
        <w:t>Request for Review</w:t>
      </w:r>
      <w:r w:rsidR="00C27F50">
        <w:t xml:space="preserve"> and/or Waiver</w:t>
      </w:r>
      <w:r w:rsidRPr="00B51F95" w:rsidR="00C27F50">
        <w:t>.</w:t>
      </w:r>
    </w:p>
  </w:footnote>
  <w:footnote w:id="23">
    <w:p w:rsidR="00A43356" w14:paraId="468B62C6" w14:textId="44D6091F">
      <w:pPr>
        <w:pStyle w:val="FootnoteText"/>
      </w:pPr>
      <w:r>
        <w:rPr>
          <w:rStyle w:val="FootnoteReference"/>
        </w:rPr>
        <w:footnoteRef/>
      </w:r>
      <w:r>
        <w:t xml:space="preserve"> </w:t>
      </w:r>
      <w:r w:rsidRPr="00CE3267" w:rsidR="006A04A7">
        <w:rPr>
          <w:i/>
          <w:iCs/>
        </w:rPr>
        <w:t>Id.</w:t>
      </w:r>
      <w:r w:rsidRPr="00CE3267">
        <w:rPr>
          <w:i/>
          <w:iCs/>
        </w:rPr>
        <w:t xml:space="preserve"> </w:t>
      </w:r>
      <w:r>
        <w:t>at 1.</w:t>
      </w:r>
    </w:p>
  </w:footnote>
  <w:footnote w:id="24">
    <w:p w:rsidR="00A85EE9" w14:paraId="2888A7B6" w14:textId="6228C200">
      <w:pPr>
        <w:pStyle w:val="FootnoteText"/>
      </w:pPr>
      <w:r>
        <w:rPr>
          <w:rStyle w:val="FootnoteReference"/>
        </w:rPr>
        <w:footnoteRef/>
      </w:r>
      <w:r>
        <w:t xml:space="preserve"> </w:t>
      </w:r>
      <w:r w:rsidRPr="00127DBA" w:rsidR="006A04A7">
        <w:rPr>
          <w:i/>
          <w:iCs/>
        </w:rPr>
        <w:t xml:space="preserve">Id. </w:t>
      </w:r>
      <w:r>
        <w:t>at 1-2.</w:t>
      </w:r>
    </w:p>
  </w:footnote>
  <w:footnote w:id="25">
    <w:p w:rsidR="003A4C91" w14:paraId="35137A34" w14:textId="50A76EBD">
      <w:pPr>
        <w:pStyle w:val="FootnoteText"/>
      </w:pPr>
      <w:r>
        <w:rPr>
          <w:rStyle w:val="FootnoteReference"/>
        </w:rPr>
        <w:footnoteRef/>
      </w:r>
      <w:r>
        <w:t xml:space="preserve"> </w:t>
      </w:r>
      <w:r w:rsidRPr="00127DBA" w:rsidR="006A04A7">
        <w:rPr>
          <w:i/>
          <w:iCs/>
        </w:rPr>
        <w:t xml:space="preserve">Id. </w:t>
      </w:r>
      <w:r>
        <w:t>at 2.</w:t>
      </w:r>
    </w:p>
  </w:footnote>
  <w:footnote w:id="26">
    <w:p w:rsidR="003A4C91" w14:paraId="49729CE4" w14:textId="42502259">
      <w:pPr>
        <w:pStyle w:val="FootnoteText"/>
      </w:pPr>
      <w:r>
        <w:rPr>
          <w:rStyle w:val="FootnoteReference"/>
        </w:rPr>
        <w:footnoteRef/>
      </w:r>
      <w:r>
        <w:t xml:space="preserve"> </w:t>
      </w:r>
      <w:r w:rsidRPr="00127DBA" w:rsidR="006A04A7">
        <w:rPr>
          <w:i/>
          <w:iCs/>
        </w:rPr>
        <w:t xml:space="preserve">Id. </w:t>
      </w:r>
      <w:r w:rsidR="008C7170">
        <w:t>at 2-3.</w:t>
      </w:r>
    </w:p>
  </w:footnote>
  <w:footnote w:id="27">
    <w:p w:rsidR="00F1060A" w14:paraId="627A8E6E" w14:textId="17429A6F">
      <w:pPr>
        <w:pStyle w:val="FootnoteText"/>
      </w:pPr>
      <w:r>
        <w:rPr>
          <w:rStyle w:val="FootnoteReference"/>
        </w:rPr>
        <w:footnoteRef/>
      </w:r>
      <w:r>
        <w:t xml:space="preserve"> </w:t>
      </w:r>
      <w:r w:rsidRPr="00127DBA" w:rsidR="006A04A7">
        <w:rPr>
          <w:i/>
          <w:iCs/>
        </w:rPr>
        <w:t xml:space="preserve">Id. </w:t>
      </w:r>
      <w:r>
        <w:t>at 3.</w:t>
      </w:r>
    </w:p>
  </w:footnote>
  <w:footnote w:id="28">
    <w:p w:rsidR="00111AFD" w:rsidRPr="003A0B3E" w14:paraId="6CF5CF4A" w14:textId="14746962">
      <w:pPr>
        <w:pStyle w:val="FootnoteText"/>
      </w:pPr>
      <w:r>
        <w:rPr>
          <w:rStyle w:val="FootnoteReference"/>
        </w:rPr>
        <w:footnoteRef/>
      </w:r>
      <w:r>
        <w:t xml:space="preserve"> Initially, Child Development Resources stated</w:t>
      </w:r>
      <w:r w:rsidR="00E311A1">
        <w:t xml:space="preserve"> as part of its USAC</w:t>
      </w:r>
      <w:r>
        <w:t xml:space="preserve"> </w:t>
      </w:r>
      <w:r w:rsidR="00F8541D">
        <w:t xml:space="preserve">Appeal </w:t>
      </w:r>
      <w:r>
        <w:t xml:space="preserve">that it was “not requesting reimbursement for </w:t>
      </w:r>
      <w:r w:rsidR="006D007E">
        <w:t xml:space="preserve">[the services] FRN.”  After USAC </w:t>
      </w:r>
      <w:r w:rsidR="00E311A1">
        <w:t xml:space="preserve">sought </w:t>
      </w:r>
      <w:r w:rsidR="00530A65">
        <w:t>to confirm this</w:t>
      </w:r>
      <w:r w:rsidR="00E311A1">
        <w:t xml:space="preserve"> information</w:t>
      </w:r>
      <w:r w:rsidR="006D007E">
        <w:t>,</w:t>
      </w:r>
      <w:r w:rsidRPr="00530A65" w:rsidR="00530A65">
        <w:t xml:space="preserve"> </w:t>
      </w:r>
      <w:r w:rsidR="00530A65">
        <w:t xml:space="preserve">Child Development Resources </w:t>
      </w:r>
      <w:r w:rsidR="006D007E">
        <w:t xml:space="preserve">replied that </w:t>
      </w:r>
      <w:r>
        <w:t>“We received the hotspots without service and only realized this upon distribution</w:t>
      </w:r>
      <w:r w:rsidR="006D007E">
        <w:t>.”</w:t>
      </w:r>
      <w:r w:rsidR="003A0B3E">
        <w:t xml:space="preserve">  </w:t>
      </w:r>
      <w:r w:rsidR="003A0B3E">
        <w:rPr>
          <w:i/>
          <w:iCs/>
        </w:rPr>
        <w:t xml:space="preserve">See </w:t>
      </w:r>
      <w:r w:rsidR="003A0B3E">
        <w:t>Response to USAC from Child Development Resources (filed Mar. 18, 2025).</w:t>
      </w:r>
    </w:p>
  </w:footnote>
  <w:footnote w:id="29">
    <w:p w:rsidR="0095706A" w14:paraId="22BC5709" w14:textId="030C5829">
      <w:pPr>
        <w:pStyle w:val="FootnoteText"/>
      </w:pPr>
      <w:r>
        <w:rPr>
          <w:rStyle w:val="FootnoteReference"/>
        </w:rPr>
        <w:footnoteRef/>
      </w:r>
      <w:r>
        <w:t xml:space="preserve"> </w:t>
      </w:r>
      <w:r w:rsidR="008432B1">
        <w:t xml:space="preserve">47 CFR </w:t>
      </w:r>
      <w:r w:rsidRPr="008513E7" w:rsidR="008432B1">
        <w:t>§</w:t>
      </w:r>
      <w:r w:rsidR="008432B1">
        <w:t xml:space="preserve"> </w:t>
      </w:r>
      <w:r>
        <w:t>54.1711(a)(2)(vi).</w:t>
      </w:r>
    </w:p>
  </w:footnote>
  <w:footnote w:id="30">
    <w:p w:rsidR="004860C1" w14:paraId="7EF27D42" w14:textId="0E605617">
      <w:pPr>
        <w:pStyle w:val="FootnoteText"/>
      </w:pPr>
      <w:r>
        <w:rPr>
          <w:rStyle w:val="FootnoteReference"/>
        </w:rPr>
        <w:footnoteRef/>
      </w:r>
      <w:r>
        <w:t xml:space="preserve"> </w:t>
      </w:r>
      <w:r w:rsidRPr="00B74EDF" w:rsidR="002B7819">
        <w:rPr>
          <w:i/>
          <w:iCs/>
        </w:rPr>
        <w:t>See</w:t>
      </w:r>
      <w:r w:rsidR="002B7819">
        <w:t xml:space="preserve"> </w:t>
      </w:r>
      <w:r w:rsidR="004A7F21">
        <w:t xml:space="preserve">47 CFR </w:t>
      </w:r>
      <w:r w:rsidRPr="008513E7" w:rsidR="004A7F21">
        <w:t xml:space="preserve">§ </w:t>
      </w:r>
      <w:r w:rsidR="004A7F21">
        <w:t>54.1711(a)(1)(viii) and (a)(2)(vi).</w:t>
      </w:r>
    </w:p>
  </w:footnote>
  <w:footnote w:id="31">
    <w:p w:rsidR="00AA1D5D" w:rsidRPr="00AA1D5D" w14:paraId="24DBB535" w14:textId="5C7C630E">
      <w:pPr>
        <w:pStyle w:val="FootnoteText"/>
      </w:pPr>
      <w:r>
        <w:rPr>
          <w:rStyle w:val="FootnoteReference"/>
        </w:rPr>
        <w:footnoteRef/>
      </w:r>
      <w:r>
        <w:t xml:space="preserve"> </w:t>
      </w:r>
      <w:r>
        <w:rPr>
          <w:i/>
          <w:iCs/>
        </w:rPr>
        <w:t xml:space="preserve">See, e.g., </w:t>
      </w:r>
      <w:r w:rsidRPr="008513E7" w:rsidR="008432B1">
        <w:rPr>
          <w:i/>
          <w:iCs/>
        </w:rPr>
        <w:t>Emergency Connectivity Fund Report and Order</w:t>
      </w:r>
      <w:r w:rsidRPr="008513E7" w:rsidR="008432B1">
        <w:t xml:space="preserve">, </w:t>
      </w:r>
      <w:r w:rsidR="008432B1">
        <w:t xml:space="preserve">36 FCC </w:t>
      </w:r>
      <w:r w:rsidR="008432B1">
        <w:t>Rcd</w:t>
      </w:r>
      <w:r w:rsidRPr="007F65B9" w:rsidR="008432B1">
        <w:t xml:space="preserve"> at </w:t>
      </w:r>
      <w:r w:rsidR="008432B1">
        <w:t>8731, para. 69.</w:t>
      </w:r>
    </w:p>
  </w:footnote>
  <w:footnote w:id="32">
    <w:p w:rsidR="008E5760" w:rsidRPr="000E03BF" w14:paraId="7E8A944F" w14:textId="7D1B1F6E">
      <w:pPr>
        <w:pStyle w:val="FootnoteText"/>
        <w:rPr>
          <w:i/>
          <w:iCs/>
        </w:rPr>
      </w:pPr>
      <w:r>
        <w:rPr>
          <w:rStyle w:val="FootnoteReference"/>
        </w:rPr>
        <w:footnoteRef/>
      </w:r>
      <w:r>
        <w:t xml:space="preserve"> </w:t>
      </w:r>
      <w:r w:rsidR="000E03BF">
        <w:rPr>
          <w:i/>
          <w:iCs/>
        </w:rPr>
        <w:t xml:space="preserve">See </w:t>
      </w:r>
      <w:r w:rsidR="00CE3267">
        <w:rPr>
          <w:i/>
          <w:iCs/>
        </w:rPr>
        <w:t>i</w:t>
      </w:r>
      <w:r w:rsidRPr="00127DBA" w:rsidR="00CE3267">
        <w:rPr>
          <w:i/>
          <w:iCs/>
        </w:rPr>
        <w:t xml:space="preserve">d. </w:t>
      </w:r>
      <w:r w:rsidRPr="007F65B9" w:rsidR="000E03BF">
        <w:t xml:space="preserve">at </w:t>
      </w:r>
      <w:r w:rsidR="000E03BF">
        <w:t>8732, para. 72.</w:t>
      </w:r>
    </w:p>
  </w:footnote>
  <w:footnote w:id="33">
    <w:p w:rsidR="00B367C5" w14:paraId="31DA8B4F" w14:textId="7D37BA3E">
      <w:pPr>
        <w:pStyle w:val="FootnoteText"/>
      </w:pPr>
      <w:r>
        <w:rPr>
          <w:rStyle w:val="FootnoteReference"/>
        </w:rPr>
        <w:footnoteRef/>
      </w:r>
      <w:r>
        <w:t xml:space="preserve"> </w:t>
      </w:r>
      <w:r w:rsidRPr="00C51417">
        <w:rPr>
          <w:i/>
          <w:iCs/>
        </w:rPr>
        <w:t>See, e.g</w:t>
      </w:r>
      <w:r>
        <w:t xml:space="preserve">., Emergency Connectivity Fund FAQs, Question 5.10, </w:t>
      </w:r>
      <w:hyperlink r:id="rId3" w:history="1">
        <w:r w:rsidRPr="00AB32D7">
          <w:rPr>
            <w:rStyle w:val="Hyperlink"/>
          </w:rPr>
          <w:t>https://www.fcc.gov/emergency-connectivity-fund-faqs</w:t>
        </w:r>
      </w:hyperlink>
      <w:r>
        <w:t xml:space="preserve"> (last visited </w:t>
      </w:r>
      <w:r w:rsidR="00F9073D">
        <w:t>Feb. 10, 2026</w:t>
      </w:r>
      <w:r>
        <w:t xml:space="preserve">) (explaining that the reimbursement amount is based on the actual or market-based cost of the requested equipment and not the $400 or $250 reasonable support amount and that the request for reimbursement may be reduced or denied if it is determined to be unreasonable).  </w:t>
      </w:r>
    </w:p>
  </w:footnote>
  <w:footnote w:id="34">
    <w:p w:rsidR="00760D0F" w:rsidP="00510784" w14:paraId="7C12D9FE" w14:textId="7BB2845A">
      <w:pPr>
        <w:pStyle w:val="FootnoteText"/>
      </w:pPr>
      <w:r>
        <w:rPr>
          <w:rStyle w:val="FootnoteReference"/>
        </w:rPr>
        <w:footnoteRef/>
      </w:r>
      <w:r>
        <w:t xml:space="preserve"> </w:t>
      </w:r>
      <w:r w:rsidRPr="00C51417" w:rsidR="00510784">
        <w:rPr>
          <w:i/>
          <w:iCs/>
        </w:rPr>
        <w:t>See</w:t>
      </w:r>
      <w:r w:rsidR="00510784">
        <w:t xml:space="preserve"> Universal Service Administrative Company, Emergency Connectivity Fund FCC Form 471,</w:t>
      </w:r>
      <w:r w:rsidR="003A461E">
        <w:t xml:space="preserve"> </w:t>
      </w:r>
      <w:hyperlink r:id="rId4" w:history="1">
        <w:r w:rsidRPr="00BE7D44" w:rsidR="00510784">
          <w:rPr>
            <w:rStyle w:val="Hyperlink"/>
          </w:rPr>
          <w:t>https://opendata.usac.org/Emergency-Connectivity-Fund/Emergency-Connectivity-Fund-FCC-Form-471/i5j4-3rvr</w:t>
        </w:r>
      </w:hyperlink>
      <w:r w:rsidR="00510784">
        <w:t xml:space="preserve"> (last visited </w:t>
      </w:r>
      <w:r w:rsidR="00F9073D">
        <w:t>Feb. 10, 2026</w:t>
      </w:r>
      <w:r w:rsidR="00510784">
        <w:t>) (reporting data on Wi-Fi hotspot devices and services that have been requested in the ECF program).</w:t>
      </w:r>
    </w:p>
  </w:footnote>
  <w:footnote w:id="35">
    <w:p w:rsidR="0091065F" w14:paraId="4DDC026D" w14:textId="352593DA">
      <w:pPr>
        <w:pStyle w:val="FootnoteText"/>
      </w:pPr>
      <w:r>
        <w:rPr>
          <w:rStyle w:val="FootnoteReference"/>
        </w:rPr>
        <w:footnoteRef/>
      </w:r>
      <w:r>
        <w:t xml:space="preserve"> </w:t>
      </w:r>
      <w:r w:rsidR="00C4460C">
        <w:rPr>
          <w:i/>
          <w:iCs/>
        </w:rPr>
        <w:t xml:space="preserve">See </w:t>
      </w:r>
      <w:r w:rsidR="00C4460C">
        <w:t>Sa</w:t>
      </w:r>
      <w:r w:rsidR="00F2287A">
        <w:t>s</w:t>
      </w:r>
      <w:r w:rsidR="00C4460C">
        <w:t xml:space="preserve">cha Segan, </w:t>
      </w:r>
      <w:r w:rsidR="00C4460C">
        <w:rPr>
          <w:i/>
          <w:iCs/>
        </w:rPr>
        <w:t xml:space="preserve">Alcatel </w:t>
      </w:r>
      <w:r w:rsidR="00C4460C">
        <w:rPr>
          <w:i/>
          <w:iCs/>
        </w:rPr>
        <w:t>LinkZone</w:t>
      </w:r>
      <w:r w:rsidR="00C4460C">
        <w:rPr>
          <w:i/>
          <w:iCs/>
        </w:rPr>
        <w:t xml:space="preserve"> 2 Review: An affordable hotspot</w:t>
      </w:r>
      <w:r w:rsidR="00F614E3">
        <w:rPr>
          <w:i/>
          <w:iCs/>
        </w:rPr>
        <w:t>,</w:t>
      </w:r>
      <w:r w:rsidR="00C4460C">
        <w:rPr>
          <w:i/>
          <w:iCs/>
        </w:rPr>
        <w:t xml:space="preserve"> b</w:t>
      </w:r>
      <w:r w:rsidR="00CE54BD">
        <w:rPr>
          <w:i/>
          <w:iCs/>
        </w:rPr>
        <w:t>ut</w:t>
      </w:r>
      <w:r w:rsidR="00C4460C">
        <w:rPr>
          <w:i/>
          <w:iCs/>
        </w:rPr>
        <w:t xml:space="preserve"> far from fast</w:t>
      </w:r>
      <w:r w:rsidR="00C4460C">
        <w:t xml:space="preserve">, </w:t>
      </w:r>
      <w:r w:rsidRPr="005E4DD1" w:rsidR="00C4460C">
        <w:t>PCMag</w:t>
      </w:r>
      <w:r w:rsidRPr="005E4DD1" w:rsidR="005E4DD1">
        <w:t>.com</w:t>
      </w:r>
      <w:r w:rsidR="005E4DD1">
        <w:rPr>
          <w:i/>
          <w:iCs/>
        </w:rPr>
        <w:t xml:space="preserve"> </w:t>
      </w:r>
      <w:r w:rsidR="005E4DD1">
        <w:t xml:space="preserve">(June 11, 2020), </w:t>
      </w:r>
      <w:hyperlink r:id="rId5" w:history="1">
        <w:r w:rsidRPr="005E4DD1">
          <w:rPr>
            <w:rStyle w:val="Hyperlink"/>
          </w:rPr>
          <w:t>https://www.pcmag.com/reviews/alcatel-linkzone-2#</w:t>
        </w:r>
      </w:hyperlink>
      <w:r w:rsidR="005E4DD1">
        <w:t>.</w:t>
      </w:r>
    </w:p>
  </w:footnote>
  <w:footnote w:id="36">
    <w:p w:rsidR="00AF579B" w14:paraId="011AC908" w14:textId="70738233">
      <w:pPr>
        <w:pStyle w:val="FootnoteText"/>
      </w:pPr>
      <w:r>
        <w:rPr>
          <w:rStyle w:val="FootnoteReference"/>
        </w:rPr>
        <w:footnoteRef/>
      </w:r>
      <w:r>
        <w:t xml:space="preserve"> For example, applicants </w:t>
      </w:r>
      <w:r w:rsidR="00604783">
        <w:t xml:space="preserve">and/or service providers </w:t>
      </w:r>
      <w:r>
        <w:t xml:space="preserve">should provide evidence </w:t>
      </w:r>
      <w:r w:rsidR="00D24987">
        <w:t>that the price of the device at the time it was purchased, rather than requested, was higher than normal, or cost comparisons that include similar</w:t>
      </w:r>
      <w:r w:rsidR="00604783">
        <w:t xml:space="preserve"> or identical features.</w:t>
      </w:r>
    </w:p>
  </w:footnote>
  <w:footnote w:id="37">
    <w:p w:rsidR="00E21D24" w14:paraId="70DD4316" w14:textId="261F57F4">
      <w:pPr>
        <w:pStyle w:val="FootnoteText"/>
      </w:pPr>
      <w:r>
        <w:rPr>
          <w:rStyle w:val="FootnoteReference"/>
        </w:rPr>
        <w:footnoteRef/>
      </w:r>
      <w:r>
        <w:t xml:space="preserve"> In </w:t>
      </w:r>
      <w:r w:rsidR="00762BF5">
        <w:t>its appeal to</w:t>
      </w:r>
      <w:r>
        <w:t xml:space="preserve"> USAC, the enrolled population was </w:t>
      </w:r>
      <w:r w:rsidR="004942B8">
        <w:t>stated as</w:t>
      </w:r>
      <w:r>
        <w:t xml:space="preserve"> </w:t>
      </w:r>
      <w:r w:rsidR="00EC6B54">
        <w:t>1,072.</w:t>
      </w:r>
      <w:r w:rsidR="005F22F5">
        <w:t xml:space="preserve">  </w:t>
      </w:r>
      <w:r w:rsidR="005F22F5">
        <w:rPr>
          <w:i/>
          <w:iCs/>
        </w:rPr>
        <w:t xml:space="preserve">See </w:t>
      </w:r>
      <w:r w:rsidR="005F22F5">
        <w:t>USAC Appeal.</w:t>
      </w:r>
    </w:p>
  </w:footnote>
  <w:footnote w:id="38">
    <w:p w:rsidR="00AB6D48" w:rsidRPr="000F1653" w14:paraId="6B18598F" w14:textId="6234EC6D">
      <w:pPr>
        <w:pStyle w:val="FootnoteText"/>
      </w:pPr>
      <w:r>
        <w:rPr>
          <w:rStyle w:val="FootnoteReference"/>
        </w:rPr>
        <w:footnoteRef/>
      </w:r>
      <w:r>
        <w:t xml:space="preserve"> </w:t>
      </w:r>
      <w:r w:rsidR="000F1653">
        <w:rPr>
          <w:i/>
          <w:iCs/>
        </w:rPr>
        <w:t xml:space="preserve">See also </w:t>
      </w:r>
      <w:r w:rsidR="000F1653">
        <w:t xml:space="preserve">Request for Review and/or Waiver at 1 (stating that </w:t>
      </w:r>
      <w:r w:rsidR="008E223F">
        <w:t>their needs assessment of students without home internet was part of its 1:1 device initiative).</w:t>
      </w:r>
    </w:p>
  </w:footnote>
  <w:footnote w:id="39">
    <w:p w:rsidR="00A42666" w14:paraId="093DD692" w14:textId="218A87EB">
      <w:pPr>
        <w:pStyle w:val="FootnoteText"/>
      </w:pPr>
      <w:r>
        <w:rPr>
          <w:rStyle w:val="FootnoteReference"/>
        </w:rPr>
        <w:footnoteRef/>
      </w:r>
      <w:r>
        <w:t xml:space="preserve"> USAC Appeal (suggesting that 230 staff were eligible, including Classroom Aides, Site Supervisors, Health &amp; Nutrition Coordinators as potential recipients of the ECF-requested Wi-Fi hotspots). </w:t>
      </w:r>
    </w:p>
  </w:footnote>
  <w:footnote w:id="40">
    <w:p w:rsidR="006C582B" w:rsidP="006C582B" w14:paraId="16697BC9" w14:textId="6B329C55">
      <w:pPr>
        <w:pStyle w:val="FootnoteText"/>
      </w:pPr>
      <w:r>
        <w:rPr>
          <w:rStyle w:val="FootnoteReference"/>
        </w:rPr>
        <w:footnoteRef/>
      </w:r>
      <w:r w:rsidR="00F0241D">
        <w:t xml:space="preserve"> </w:t>
      </w:r>
      <w:r w:rsidRPr="00CC72D0" w:rsidR="00626406">
        <w:rPr>
          <w:i/>
          <w:iCs/>
        </w:rPr>
        <w:t>See</w:t>
      </w:r>
      <w:r w:rsidRPr="00725B05" w:rsidR="00725B05">
        <w:rPr>
          <w:i/>
          <w:iCs/>
        </w:rPr>
        <w:t xml:space="preserve"> </w:t>
      </w:r>
      <w:r w:rsidRPr="008513E7" w:rsidR="00725B05">
        <w:rPr>
          <w:i/>
          <w:iCs/>
        </w:rPr>
        <w:t>Emergency Connectivity Fund Report and Order</w:t>
      </w:r>
      <w:r w:rsidRPr="008513E7" w:rsidR="00725B05">
        <w:t xml:space="preserve">, </w:t>
      </w:r>
      <w:r w:rsidR="00725B05">
        <w:t xml:space="preserve">36 FCC </w:t>
      </w:r>
      <w:r w:rsidR="00725B05">
        <w:t>Rcd</w:t>
      </w:r>
      <w:r w:rsidRPr="007F65B9" w:rsidR="00725B05">
        <w:t xml:space="preserve"> at </w:t>
      </w:r>
      <w:r w:rsidR="00725B05">
        <w:t xml:space="preserve">8729, para. 63; </w:t>
      </w:r>
      <w:r w:rsidR="00626406">
        <w:t xml:space="preserve">Emergency Connectivity Fund FAQs, Question </w:t>
      </w:r>
      <w:r w:rsidR="00AF7B08">
        <w:t>4.1</w:t>
      </w:r>
      <w:r w:rsidR="00626406">
        <w:t xml:space="preserve">, </w:t>
      </w:r>
      <w:hyperlink r:id="rId3" w:history="1">
        <w:r w:rsidRPr="00AB32D7" w:rsidR="00626406">
          <w:rPr>
            <w:rStyle w:val="Hyperlink"/>
          </w:rPr>
          <w:t>https://www.fcc.gov/emergency-connectivity-fund-faqs</w:t>
        </w:r>
      </w:hyperlink>
      <w:r w:rsidR="00626406">
        <w:t xml:space="preserve"> (last visited </w:t>
      </w:r>
      <w:r w:rsidR="00370887">
        <w:t>Feb. 10, 2026</w:t>
      </w:r>
      <w:r w:rsidR="00626406">
        <w:t>)</w:t>
      </w:r>
      <w:r w:rsidR="00AF7B08">
        <w:t xml:space="preserve"> (explaining that only school staff</w:t>
      </w:r>
      <w:r w:rsidR="008D7219">
        <w:t>,</w:t>
      </w:r>
      <w:r w:rsidR="00AF7B08">
        <w:t xml:space="preserve"> </w:t>
      </w:r>
      <w:r w:rsidR="008D7219">
        <w:t xml:space="preserve">such as teachers and para-professionals, </w:t>
      </w:r>
      <w:r w:rsidR="00AF7B08">
        <w:t xml:space="preserve">that provide educational services </w:t>
      </w:r>
      <w:r w:rsidR="00F94CFD">
        <w:t xml:space="preserve">to students </w:t>
      </w:r>
      <w:r w:rsidR="00CE3777">
        <w:t>are eligible to receive ECF-funded equipment and services)</w:t>
      </w:r>
      <w:r w:rsidR="00A42666">
        <w:t>.</w:t>
      </w:r>
      <w:r w:rsidR="00626406">
        <w:t xml:space="preserve"> </w:t>
      </w:r>
    </w:p>
  </w:footnote>
  <w:footnote w:id="41">
    <w:p w:rsidR="00553025" w14:paraId="67F9D387" w14:textId="54852B68">
      <w:pPr>
        <w:pStyle w:val="FootnoteText"/>
      </w:pPr>
      <w:r>
        <w:rPr>
          <w:rStyle w:val="FootnoteReference"/>
        </w:rPr>
        <w:footnoteRef/>
      </w:r>
      <w:r>
        <w:t xml:space="preserve"> Request for Review and/or Waiver at 2.</w:t>
      </w:r>
    </w:p>
  </w:footnote>
  <w:footnote w:id="42">
    <w:p w:rsidR="005B7E2C" w:rsidRPr="00C87F21" w:rsidP="005B7E2C" w14:paraId="3BE3B10E" w14:textId="77777777">
      <w:pPr>
        <w:pStyle w:val="FootnoteText"/>
      </w:pPr>
      <w:r w:rsidRPr="008513E7">
        <w:rPr>
          <w:rStyle w:val="FootnoteReference"/>
        </w:rPr>
        <w:footnoteRef/>
      </w:r>
      <w:r w:rsidRPr="008513E7">
        <w:t xml:space="preserve"> </w:t>
      </w:r>
      <w:r>
        <w:t>47 CFR § 1.3.</w:t>
      </w:r>
    </w:p>
  </w:footnote>
  <w:footnote w:id="43">
    <w:p w:rsidR="005B7E2C" w:rsidRPr="008513E7" w:rsidP="005B7E2C" w14:paraId="290C4326" w14:textId="77777777">
      <w:pPr>
        <w:pStyle w:val="FootnoteText"/>
      </w:pPr>
      <w:r w:rsidRPr="008513E7">
        <w:rPr>
          <w:rStyle w:val="FootnoteReference"/>
        </w:rPr>
        <w:footnoteRef/>
      </w:r>
      <w:r w:rsidRPr="008513E7">
        <w:t xml:space="preserve"> </w:t>
      </w:r>
      <w:r w:rsidRPr="008513E7">
        <w:rPr>
          <w:i/>
        </w:rPr>
        <w:t>Northeast Cellular Telephone Co. v. FCC</w:t>
      </w:r>
      <w:r w:rsidRPr="008513E7">
        <w:t xml:space="preserve">, 897 F.2d 1164, 1166 (D.C. Cir. 1990).  </w:t>
      </w:r>
    </w:p>
  </w:footnote>
  <w:footnote w:id="44">
    <w:p w:rsidR="00912B9B" w14:paraId="5F307F99" w14:textId="694DAC2C">
      <w:pPr>
        <w:pStyle w:val="FootnoteText"/>
      </w:pPr>
      <w:r>
        <w:rPr>
          <w:rStyle w:val="FootnoteReference"/>
        </w:rPr>
        <w:footnoteRef/>
      </w:r>
      <w:r>
        <w:t xml:space="preserve"> Request for Review and/or Waiver at 3.</w:t>
      </w:r>
    </w:p>
  </w:footnote>
  <w:footnote w:id="45">
    <w:p w:rsidR="001A1807" w:rsidP="001A1807" w14:paraId="12B03428" w14:textId="28E5603C">
      <w:pPr>
        <w:pStyle w:val="FootnoteText"/>
      </w:pPr>
      <w:r w:rsidRPr="00976324">
        <w:rPr>
          <w:rStyle w:val="FootnoteReference"/>
        </w:rPr>
        <w:footnoteRef/>
      </w:r>
      <w:r w:rsidRPr="00976324">
        <w:t xml:space="preserve"> </w:t>
      </w:r>
      <w:r w:rsidRPr="00976324">
        <w:rPr>
          <w:rStyle w:val="Emphasis"/>
        </w:rPr>
        <w:t>See, e.g.</w:t>
      </w:r>
      <w:r w:rsidRPr="0003336C">
        <w:rPr>
          <w:rStyle w:val="Emphasis"/>
        </w:rPr>
        <w:t>,</w:t>
      </w:r>
      <w:r w:rsidRPr="00976324">
        <w:rPr>
          <w:rStyle w:val="Emphasis"/>
        </w:rPr>
        <w:t> Application for Review of a Decision of the Wireline Competition Bureau by Mescalero Apache School</w:t>
      </w:r>
      <w:r>
        <w:rPr>
          <w:rStyle w:val="Emphasis"/>
        </w:rPr>
        <w:t>;</w:t>
      </w:r>
      <w:r w:rsidRPr="00976324">
        <w:rPr>
          <w:rStyle w:val="Emphasis"/>
        </w:rPr>
        <w:t xml:space="preserve"> Schools and Libraries Universal Support</w:t>
      </w:r>
      <w:r w:rsidRPr="002F7ADF">
        <w:rPr>
          <w:rStyle w:val="Emphasis"/>
        </w:rPr>
        <w:t xml:space="preserve"> Mechanism</w:t>
      </w:r>
      <w:r w:rsidRPr="002F7ADF">
        <w:t>, CC Docket No. </w:t>
      </w:r>
      <w:r w:rsidRPr="002F7ADF">
        <w:rPr>
          <w:rStyle w:val="cosearchterm"/>
          <w:bCs/>
        </w:rPr>
        <w:t>02</w:t>
      </w:r>
      <w:r w:rsidRPr="002F7ADF">
        <w:t>-</w:t>
      </w:r>
      <w:r w:rsidRPr="002F7ADF">
        <w:rPr>
          <w:rStyle w:val="cosearchterm"/>
          <w:bCs/>
        </w:rPr>
        <w:t>6</w:t>
      </w:r>
      <w:r w:rsidRPr="002F7ADF">
        <w:t xml:space="preserve">, Order, 20 FCC </w:t>
      </w:r>
      <w:r w:rsidRPr="002F7ADF">
        <w:t>Rcd</w:t>
      </w:r>
      <w:r w:rsidRPr="002F7ADF">
        <w:t xml:space="preserve"> 5848, 5850, para. 5 (2005); </w:t>
      </w:r>
      <w:r w:rsidRPr="002F7ADF">
        <w:rPr>
          <w:rStyle w:val="Emphasis"/>
        </w:rPr>
        <w:t>Request for Review by Northern Waters Library Service, Federal-State Joint Board on Universal Service, Changes to the Board of Directors of the National Exchange Carrier Association, Inc.</w:t>
      </w:r>
      <w:r w:rsidRPr="002F7ADF">
        <w:t xml:space="preserve">, CC Docket Nos. 96-45 and 97-21, Order, 17 FCC </w:t>
      </w:r>
      <w:r w:rsidRPr="002F7ADF">
        <w:t>Rcd</w:t>
      </w:r>
      <w:r w:rsidRPr="002F7ADF">
        <w:t xml:space="preserve"> 1756, para. 7 (CCB 2002) (</w:t>
      </w:r>
      <w:r w:rsidR="00C77982">
        <w:t>finding</w:t>
      </w:r>
      <w:r w:rsidRPr="002F7ADF">
        <w:t xml:space="preserve"> that </w:t>
      </w:r>
      <w:r w:rsidRPr="002F7ADF">
        <w:rPr>
          <w:rStyle w:val="cosearchterm"/>
          <w:bCs/>
        </w:rPr>
        <w:t>financial</w:t>
      </w:r>
      <w:r w:rsidRPr="002F7ADF">
        <w:t> need does not meet the requirement of special circumstances that warrant a </w:t>
      </w:r>
      <w:r w:rsidRPr="002F7ADF">
        <w:rPr>
          <w:rStyle w:val="cosearchterm"/>
          <w:bCs/>
        </w:rPr>
        <w:t>waiver</w:t>
      </w:r>
      <w:r w:rsidRPr="002F7ADF">
        <w:t> of the Commission</w:t>
      </w:r>
      <w:r w:rsidR="00C77982">
        <w:t>’</w:t>
      </w:r>
      <w:r w:rsidRPr="002F7ADF">
        <w:t>s rules).</w:t>
      </w:r>
    </w:p>
  </w:footnote>
  <w:footnote w:id="46">
    <w:p w:rsidR="00813FFD" w:rsidRPr="00CF408C" w:rsidP="00813FFD" w14:paraId="10D219ED" w14:textId="353BCDDF">
      <w:pPr>
        <w:pStyle w:val="FootnoteText"/>
      </w:pPr>
      <w:r>
        <w:rPr>
          <w:rStyle w:val="FootnoteReference"/>
        </w:rPr>
        <w:footnoteRef/>
      </w:r>
      <w:r>
        <w:t xml:space="preserve"> </w:t>
      </w:r>
      <w:r w:rsidRPr="003C5952" w:rsidR="0048414D">
        <w:rPr>
          <w:i/>
          <w:iCs/>
        </w:rPr>
        <w:t>See supra</w:t>
      </w:r>
      <w:r w:rsidR="0048414D">
        <w:t xml:space="preserve"> </w:t>
      </w:r>
      <w:r w:rsidR="00013BAC">
        <w:t>para. 7 and note 26 (explaining that the Wi-</w:t>
      </w:r>
      <w:r w:rsidR="00442188">
        <w:t xml:space="preserve">Fi </w:t>
      </w:r>
      <w:r w:rsidR="00013BAC">
        <w:t>hotspots di</w:t>
      </w:r>
      <w:r w:rsidR="00826736">
        <w:t>d</w:t>
      </w:r>
      <w:r w:rsidR="00013BAC">
        <w:t xml:space="preserve"> not include an associated mobile service and </w:t>
      </w:r>
      <w:r w:rsidR="0079217D">
        <w:t xml:space="preserve">the devices therefore </w:t>
      </w:r>
      <w:r w:rsidR="004A7F21">
        <w:t>could not be</w:t>
      </w:r>
      <w:r w:rsidR="0079217D">
        <w:t xml:space="preserve"> used</w:t>
      </w:r>
      <w:r w:rsidR="006D03C2">
        <w:t>); s</w:t>
      </w:r>
      <w:r w:rsidRPr="0044715E">
        <w:rPr>
          <w:i/>
          <w:iCs/>
        </w:rPr>
        <w:t>ee</w:t>
      </w:r>
      <w:r w:rsidR="00470604">
        <w:rPr>
          <w:i/>
          <w:iCs/>
        </w:rPr>
        <w:t xml:space="preserve"> also</w:t>
      </w:r>
      <w:r w:rsidR="00484588">
        <w:rPr>
          <w:i/>
          <w:iCs/>
        </w:rPr>
        <w:t>,</w:t>
      </w:r>
      <w:r w:rsidR="00E67606">
        <w:rPr>
          <w:i/>
          <w:iCs/>
        </w:rPr>
        <w:t xml:space="preserve"> </w:t>
      </w:r>
      <w:r>
        <w:rPr>
          <w:i/>
          <w:iCs/>
        </w:rPr>
        <w:t>e.g.,</w:t>
      </w:r>
      <w:r>
        <w:t xml:space="preserve"> </w:t>
      </w:r>
      <w:r w:rsidRPr="00CF408C">
        <w:rPr>
          <w:i/>
          <w:iCs/>
        </w:rPr>
        <w:t>Request for Review of Decisions of the Universal Serv</w:t>
      </w:r>
      <w:r>
        <w:rPr>
          <w:i/>
          <w:iCs/>
        </w:rPr>
        <w:t>ice</w:t>
      </w:r>
      <w:r w:rsidRPr="00CF408C">
        <w:rPr>
          <w:i/>
          <w:iCs/>
        </w:rPr>
        <w:t xml:space="preserve"> Administrator by Joseph M. Hill Trustee in Bankruptcy for </w:t>
      </w:r>
      <w:r w:rsidRPr="00CF408C">
        <w:rPr>
          <w:i/>
          <w:iCs/>
        </w:rPr>
        <w:t>Lakehills</w:t>
      </w:r>
      <w:r w:rsidRPr="00CF408C">
        <w:rPr>
          <w:i/>
          <w:iCs/>
        </w:rPr>
        <w:t xml:space="preserve"> Consulting, LP; Schools and Libraries Universal Service Support Mechanism</w:t>
      </w:r>
      <w:r w:rsidRPr="00CF408C">
        <w:t xml:space="preserve">, </w:t>
      </w:r>
      <w:r w:rsidR="0049047B">
        <w:t xml:space="preserve">CC Docket No. 02-6, </w:t>
      </w:r>
      <w:r w:rsidR="002A398F">
        <w:t xml:space="preserve">Order, </w:t>
      </w:r>
      <w:r w:rsidRPr="00CF408C">
        <w:t xml:space="preserve">26 FCC </w:t>
      </w:r>
      <w:r w:rsidRPr="00CF408C">
        <w:t>Rcd</w:t>
      </w:r>
      <w:r w:rsidRPr="00CF408C">
        <w:t xml:space="preserve"> 16586, 16602, para 30 (2011) (</w:t>
      </w:r>
      <w:r w:rsidRPr="00CF408C">
        <w:rPr>
          <w:i/>
          <w:iCs/>
        </w:rPr>
        <w:t>Lakehills</w:t>
      </w:r>
      <w:r w:rsidRPr="00CF408C">
        <w:rPr>
          <w:i/>
          <w:iCs/>
        </w:rPr>
        <w:t xml:space="preserve"> Order</w:t>
      </w:r>
      <w:r w:rsidRPr="00CF408C">
        <w:t>)</w:t>
      </w:r>
      <w:r w:rsidRPr="000C4592" w:rsidR="000C4592">
        <w:t xml:space="preserve"> </w:t>
      </w:r>
      <w:r w:rsidR="000C4592">
        <w:t>(finding that it is not in the public interest to waive the Commission’s rules when there is evidence of waste</w:t>
      </w:r>
      <w:r w:rsidR="00595B29">
        <w:t>)</w:t>
      </w:r>
      <w:r w:rsidRPr="00CF408C">
        <w:t>.</w:t>
      </w:r>
    </w:p>
    <w:p w:rsidR="0048685A" w14:paraId="6803F433" w14:textId="673947A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489E568C" w14:textId="78261E45">
    <w:pPr>
      <w:pStyle w:val="Header"/>
      <w:rPr>
        <w:b w:val="0"/>
      </w:rPr>
    </w:pPr>
    <w:r>
      <w:tab/>
      <w:t>Federal Communications Commission</w:t>
    </w:r>
    <w:r>
      <w:tab/>
    </w:r>
    <w:r w:rsidR="00522FE0">
      <w:t>DA 26-138</w:t>
    </w:r>
  </w:p>
  <w:p w:rsidR="00D25FB5" w14:paraId="7D6B1B76" w14:textId="77777777">
    <w:pPr>
      <w:tabs>
        <w:tab w:val="left" w:pos="-720"/>
      </w:tabs>
      <w:suppressAutoHyphens/>
      <w:spacing w:line="19" w:lineRule="exact"/>
      <w:rPr>
        <w:spacing w:val="-2"/>
      </w:rPr>
    </w:pPr>
    <w:r>
      <w:rPr>
        <w:noProof/>
      </w:rPr>
      <w:pict>
        <v:rect id="Rectangle 1" o:spid="_x0000_s2049" style="width:468pt;height:0.95pt;margin-top:0;margin-left:0;mso-position-horizontal-relative:margin;position:absolute;visibility:visible;z-index:-251658240" o:allowincell="f" fillcolor="black" stroked="f" strokeweight="0.05pt">
          <w10:wrap anchorx="margin"/>
        </v:rect>
      </w:pict>
    </w:r>
  </w:p>
  <w:p w:rsidR="00D25FB5" w14:paraId="11097F92" w14:textId="77777777">
    <w:pPr>
      <w:spacing w:after="389" w:line="100" w:lineRule="exact"/>
      <w:rPr>
        <w:sz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5FB5" w:rsidP="00810B6F" w14:paraId="5BF5DE9F" w14:textId="4C026F4B">
    <w:pPr>
      <w:pStyle w:val="Header"/>
      <w:rPr>
        <w:b w:val="0"/>
      </w:rPr>
    </w:pPr>
    <w:r>
      <w:rPr>
        <w:noProof/>
      </w:rPr>
      <w:pict>
        <v:rect id="Rectangle 3" o:spid="_x0000_s2050" style="width:468pt;height:0.95pt;margin-top:12.65pt;margin-left:0.6pt;mso-position-horizontal-relative:margin;position:absolute;visibility:visible;z-index:-251657216" o:allowincell="f" fillcolor="black" stroked="f" strokeweight="0.05pt">
          <w10:wrap anchorx="margin"/>
        </v:rect>
      </w:pict>
    </w:r>
    <w:r>
      <w:tab/>
      <w:t>Federal Communications Commission</w:t>
    </w:r>
    <w:r>
      <w:tab/>
    </w:r>
    <w:r w:rsidR="00B70D80">
      <w:rPr>
        <w:spacing w:val="-2"/>
      </w:rPr>
      <w:t>DA 26-</w:t>
    </w:r>
    <w:r w:rsidR="00D47CBB">
      <w:rPr>
        <w:spacing w:val="-2"/>
      </w:rPr>
      <w:t>138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4B453C"/>
    <w:multiLevelType w:val="singleLevel"/>
    <w:tmpl w:val="40A8E97A"/>
    <w:lvl w:ilvl="0">
      <w:start w:val="1"/>
      <w:numFmt w:val="decimal"/>
      <w:lvlText w:val="%1."/>
      <w:lvlJc w:val="left"/>
      <w:pPr>
        <w:tabs>
          <w:tab w:val="num" w:pos="1080"/>
        </w:tabs>
        <w:ind w:left="0" w:firstLine="720"/>
      </w:pPr>
    </w:lvl>
  </w:abstractNum>
  <w:abstractNum w:abstractNumId="1">
    <w:nsid w:val="23F40A0F"/>
    <w:multiLevelType w:val="singleLevel"/>
    <w:tmpl w:val="3244DD0A"/>
    <w:lvl w:ilvl="0">
      <w:start w:val="1"/>
      <w:numFmt w:val="bullet"/>
      <w:lvlText w:val=""/>
      <w:lvlJc w:val="left"/>
      <w:pPr>
        <w:tabs>
          <w:tab w:val="num" w:pos="360"/>
        </w:tabs>
        <w:ind w:left="360" w:hanging="360"/>
      </w:pPr>
      <w:rPr>
        <w:rFonts w:ascii="Symbol" w:hAnsi="Symbol" w:hint="default"/>
      </w:rPr>
    </w:lvl>
  </w:abstractNum>
  <w:abstractNum w:abstractNumId="2">
    <w:nsid w:val="248246F3"/>
    <w:multiLevelType w:val="singleLevel"/>
    <w:tmpl w:val="B1F45678"/>
    <w:lvl w:ilvl="0">
      <w:start w:val="1"/>
      <w:numFmt w:val="decimal"/>
      <w:lvlText w:val="%1."/>
      <w:lvlJc w:val="left"/>
      <w:pPr>
        <w:tabs>
          <w:tab w:val="num" w:pos="1080"/>
        </w:tabs>
        <w:ind w:left="0" w:firstLine="720"/>
      </w:pPr>
    </w:lvl>
  </w:abstractNum>
  <w:abstractNum w:abstractNumId="3">
    <w:nsid w:val="27E06CBB"/>
    <w:multiLevelType w:val="multilevel"/>
    <w:tmpl w:val="F1A86982"/>
    <w:lvl w:ilvl="0">
      <w:start w:val="1"/>
      <w:numFmt w:val="upperRoman"/>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lowerRoman"/>
      <w:pStyle w:val="Heading7"/>
      <w:lvlText w:val="(%7)"/>
      <w:lvlJc w:val="left"/>
      <w:pPr>
        <w:tabs>
          <w:tab w:val="num" w:pos="504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4">
    <w:nsid w:val="4DF61CE4"/>
    <w:multiLevelType w:val="multilevel"/>
    <w:tmpl w:val="F1A86982"/>
    <w:lvl w:ilvl="0">
      <w:start w:val="1"/>
      <w:numFmt w:val="upperRoman"/>
      <w:lvlText w:val="%1."/>
      <w:lvlJc w:val="left"/>
      <w:pPr>
        <w:tabs>
          <w:tab w:val="num" w:pos="720"/>
        </w:tabs>
        <w:ind w:left="720" w:hanging="720"/>
      </w:pPr>
    </w:lvl>
    <w:lvl w:ilvl="1">
      <w:start w:val="1"/>
      <w:numFmt w:val="upp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lowerRoman"/>
      <w:lvlText w:val="(%5)"/>
      <w:lvlJc w:val="left"/>
      <w:pPr>
        <w:tabs>
          <w:tab w:val="num" w:pos="3600"/>
        </w:tabs>
        <w:ind w:left="3600" w:hanging="720"/>
      </w:pPr>
    </w:lvl>
    <w:lvl w:ilvl="5">
      <w:start w:val="1"/>
      <w:numFmt w:val="lowerLetter"/>
      <w:lvlText w:val="(%6)"/>
      <w:lvlJc w:val="left"/>
      <w:pPr>
        <w:tabs>
          <w:tab w:val="num" w:pos="4320"/>
        </w:tabs>
        <w:ind w:left="4320" w:hanging="72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nsid w:val="61182925"/>
    <w:multiLevelType w:val="singleLevel"/>
    <w:tmpl w:val="A9EE9842"/>
    <w:lvl w:ilvl="0">
      <w:start w:val="1"/>
      <w:numFmt w:val="decimal"/>
      <w:pStyle w:val="ParaNum"/>
      <w:lvlText w:val="%1."/>
      <w:lvlJc w:val="left"/>
      <w:pPr>
        <w:tabs>
          <w:tab w:val="num" w:pos="1080"/>
        </w:tabs>
        <w:ind w:left="0" w:firstLine="720"/>
      </w:pPr>
    </w:lvl>
  </w:abstractNum>
  <w:num w:numId="1" w16cid:durableId="1588611897">
    <w:abstractNumId w:val="1"/>
  </w:num>
  <w:num w:numId="2" w16cid:durableId="199782935">
    <w:abstractNumId w:val="5"/>
  </w:num>
  <w:num w:numId="3" w16cid:durableId="530801159">
    <w:abstractNumId w:val="3"/>
  </w:num>
  <w:num w:numId="4" w16cid:durableId="2106487691">
    <w:abstractNumId w:val="4"/>
  </w:num>
  <w:num w:numId="5" w16cid:durableId="1503473993">
    <w:abstractNumId w:val="2"/>
  </w:num>
  <w:num w:numId="6" w16cid:durableId="1797870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0"/>
    <w:footnote w:id="1"/>
    <w:footnote w:id="2"/>
  </w:footnotePr>
  <w:endnotePr>
    <w:numFmt w:val="decimal"/>
    <w:endnote w:id="0"/>
    <w:endnote w:id="1"/>
    <w:endnote w:id="2"/>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D80"/>
    <w:rsid w:val="00000038"/>
    <w:rsid w:val="00006FD3"/>
    <w:rsid w:val="00013BAC"/>
    <w:rsid w:val="00016723"/>
    <w:rsid w:val="000238B4"/>
    <w:rsid w:val="000246D3"/>
    <w:rsid w:val="0003168A"/>
    <w:rsid w:val="0003336C"/>
    <w:rsid w:val="00036039"/>
    <w:rsid w:val="00037F90"/>
    <w:rsid w:val="00052C46"/>
    <w:rsid w:val="000536F4"/>
    <w:rsid w:val="000556DA"/>
    <w:rsid w:val="000559A6"/>
    <w:rsid w:val="00064CF1"/>
    <w:rsid w:val="00074CD3"/>
    <w:rsid w:val="0008145C"/>
    <w:rsid w:val="0008692E"/>
    <w:rsid w:val="000875BF"/>
    <w:rsid w:val="00087DA6"/>
    <w:rsid w:val="00087F9B"/>
    <w:rsid w:val="00096D8C"/>
    <w:rsid w:val="00096FA1"/>
    <w:rsid w:val="000A5A2F"/>
    <w:rsid w:val="000B1E6B"/>
    <w:rsid w:val="000B28AF"/>
    <w:rsid w:val="000C078B"/>
    <w:rsid w:val="000C0B65"/>
    <w:rsid w:val="000C4592"/>
    <w:rsid w:val="000C7F70"/>
    <w:rsid w:val="000D04AA"/>
    <w:rsid w:val="000E03BF"/>
    <w:rsid w:val="000E05FE"/>
    <w:rsid w:val="000E3D42"/>
    <w:rsid w:val="000F1653"/>
    <w:rsid w:val="000F36AE"/>
    <w:rsid w:val="00111AFD"/>
    <w:rsid w:val="001128CE"/>
    <w:rsid w:val="00120758"/>
    <w:rsid w:val="00122021"/>
    <w:rsid w:val="00122752"/>
    <w:rsid w:val="00122BD5"/>
    <w:rsid w:val="0012402D"/>
    <w:rsid w:val="00127DBA"/>
    <w:rsid w:val="00127E48"/>
    <w:rsid w:val="00131978"/>
    <w:rsid w:val="00133F79"/>
    <w:rsid w:val="00143FC1"/>
    <w:rsid w:val="00147687"/>
    <w:rsid w:val="0015472D"/>
    <w:rsid w:val="00164833"/>
    <w:rsid w:val="0016506C"/>
    <w:rsid w:val="0017434F"/>
    <w:rsid w:val="0018319A"/>
    <w:rsid w:val="00187F95"/>
    <w:rsid w:val="00194A66"/>
    <w:rsid w:val="00196783"/>
    <w:rsid w:val="00196A83"/>
    <w:rsid w:val="001A1807"/>
    <w:rsid w:val="001A3100"/>
    <w:rsid w:val="001A6C2B"/>
    <w:rsid w:val="001B099F"/>
    <w:rsid w:val="001B23C7"/>
    <w:rsid w:val="001B2CB8"/>
    <w:rsid w:val="001B637E"/>
    <w:rsid w:val="001C033F"/>
    <w:rsid w:val="001D6BCF"/>
    <w:rsid w:val="001E01CA"/>
    <w:rsid w:val="001E6A96"/>
    <w:rsid w:val="001F04FB"/>
    <w:rsid w:val="001F4F05"/>
    <w:rsid w:val="002014F8"/>
    <w:rsid w:val="00207133"/>
    <w:rsid w:val="002168B3"/>
    <w:rsid w:val="00216C5F"/>
    <w:rsid w:val="002207DC"/>
    <w:rsid w:val="002208C3"/>
    <w:rsid w:val="00221749"/>
    <w:rsid w:val="002226D5"/>
    <w:rsid w:val="002302EF"/>
    <w:rsid w:val="00230331"/>
    <w:rsid w:val="00236E1B"/>
    <w:rsid w:val="002420CF"/>
    <w:rsid w:val="00246F67"/>
    <w:rsid w:val="00275CF5"/>
    <w:rsid w:val="0028301F"/>
    <w:rsid w:val="00284E8C"/>
    <w:rsid w:val="00285017"/>
    <w:rsid w:val="0028553A"/>
    <w:rsid w:val="002905D5"/>
    <w:rsid w:val="002956BD"/>
    <w:rsid w:val="002A2D2E"/>
    <w:rsid w:val="002A398F"/>
    <w:rsid w:val="002A6566"/>
    <w:rsid w:val="002B7819"/>
    <w:rsid w:val="002C00E8"/>
    <w:rsid w:val="002C0C85"/>
    <w:rsid w:val="002C4BAE"/>
    <w:rsid w:val="002C7B2F"/>
    <w:rsid w:val="002E0650"/>
    <w:rsid w:val="002E1D76"/>
    <w:rsid w:val="002F1805"/>
    <w:rsid w:val="002F19B7"/>
    <w:rsid w:val="002F5056"/>
    <w:rsid w:val="002F5FBF"/>
    <w:rsid w:val="002F7ADF"/>
    <w:rsid w:val="002F7EF5"/>
    <w:rsid w:val="00300D3E"/>
    <w:rsid w:val="00312E44"/>
    <w:rsid w:val="0031454C"/>
    <w:rsid w:val="003157D4"/>
    <w:rsid w:val="00327ABD"/>
    <w:rsid w:val="00330C7C"/>
    <w:rsid w:val="00331DED"/>
    <w:rsid w:val="00332434"/>
    <w:rsid w:val="0033707B"/>
    <w:rsid w:val="00340E49"/>
    <w:rsid w:val="00343749"/>
    <w:rsid w:val="003630E5"/>
    <w:rsid w:val="00364E1E"/>
    <w:rsid w:val="00365D6D"/>
    <w:rsid w:val="003660ED"/>
    <w:rsid w:val="00370887"/>
    <w:rsid w:val="003758EF"/>
    <w:rsid w:val="00383DB2"/>
    <w:rsid w:val="003A0B3E"/>
    <w:rsid w:val="003A461E"/>
    <w:rsid w:val="003A4C91"/>
    <w:rsid w:val="003B0550"/>
    <w:rsid w:val="003B564C"/>
    <w:rsid w:val="003B694F"/>
    <w:rsid w:val="003C091F"/>
    <w:rsid w:val="003C5952"/>
    <w:rsid w:val="003E1614"/>
    <w:rsid w:val="003E7529"/>
    <w:rsid w:val="003E7A63"/>
    <w:rsid w:val="003F171C"/>
    <w:rsid w:val="003F506A"/>
    <w:rsid w:val="0040088E"/>
    <w:rsid w:val="00406800"/>
    <w:rsid w:val="0040749A"/>
    <w:rsid w:val="00411115"/>
    <w:rsid w:val="00412FC5"/>
    <w:rsid w:val="00420FFD"/>
    <w:rsid w:val="00422276"/>
    <w:rsid w:val="004242F1"/>
    <w:rsid w:val="004267A3"/>
    <w:rsid w:val="00430BB1"/>
    <w:rsid w:val="004343D1"/>
    <w:rsid w:val="00442188"/>
    <w:rsid w:val="00445A00"/>
    <w:rsid w:val="00445CC3"/>
    <w:rsid w:val="0044715E"/>
    <w:rsid w:val="00451017"/>
    <w:rsid w:val="00451B0F"/>
    <w:rsid w:val="0045649D"/>
    <w:rsid w:val="00457E59"/>
    <w:rsid w:val="00470604"/>
    <w:rsid w:val="004726A5"/>
    <w:rsid w:val="004727F9"/>
    <w:rsid w:val="0047408B"/>
    <w:rsid w:val="004742D6"/>
    <w:rsid w:val="00475FFA"/>
    <w:rsid w:val="0048154D"/>
    <w:rsid w:val="0048414D"/>
    <w:rsid w:val="00484588"/>
    <w:rsid w:val="00484D02"/>
    <w:rsid w:val="004860C1"/>
    <w:rsid w:val="0048685A"/>
    <w:rsid w:val="0049047B"/>
    <w:rsid w:val="00490D1F"/>
    <w:rsid w:val="004942B8"/>
    <w:rsid w:val="004A69C9"/>
    <w:rsid w:val="004A7F21"/>
    <w:rsid w:val="004B04B3"/>
    <w:rsid w:val="004B133D"/>
    <w:rsid w:val="004B49E0"/>
    <w:rsid w:val="004B572F"/>
    <w:rsid w:val="004C2EE3"/>
    <w:rsid w:val="004D2A46"/>
    <w:rsid w:val="004D58A5"/>
    <w:rsid w:val="004E4A22"/>
    <w:rsid w:val="004F36CC"/>
    <w:rsid w:val="00500A71"/>
    <w:rsid w:val="00500F25"/>
    <w:rsid w:val="005037A8"/>
    <w:rsid w:val="00510480"/>
    <w:rsid w:val="00510784"/>
    <w:rsid w:val="00511968"/>
    <w:rsid w:val="00516726"/>
    <w:rsid w:val="00522FE0"/>
    <w:rsid w:val="00530451"/>
    <w:rsid w:val="00530A65"/>
    <w:rsid w:val="0053148F"/>
    <w:rsid w:val="005314B7"/>
    <w:rsid w:val="005315FB"/>
    <w:rsid w:val="0053343E"/>
    <w:rsid w:val="00543021"/>
    <w:rsid w:val="00543A04"/>
    <w:rsid w:val="00544A61"/>
    <w:rsid w:val="00553025"/>
    <w:rsid w:val="0055614C"/>
    <w:rsid w:val="00562179"/>
    <w:rsid w:val="005650F6"/>
    <w:rsid w:val="00565E76"/>
    <w:rsid w:val="00566D06"/>
    <w:rsid w:val="00566FF7"/>
    <w:rsid w:val="0057051B"/>
    <w:rsid w:val="00585ECD"/>
    <w:rsid w:val="00594A6A"/>
    <w:rsid w:val="00595B29"/>
    <w:rsid w:val="005A31A3"/>
    <w:rsid w:val="005A6620"/>
    <w:rsid w:val="005B288C"/>
    <w:rsid w:val="005B7E2C"/>
    <w:rsid w:val="005C5470"/>
    <w:rsid w:val="005C63D7"/>
    <w:rsid w:val="005E14C2"/>
    <w:rsid w:val="005E4DD1"/>
    <w:rsid w:val="005F1236"/>
    <w:rsid w:val="005F22F5"/>
    <w:rsid w:val="005F3AAA"/>
    <w:rsid w:val="006018F1"/>
    <w:rsid w:val="00604783"/>
    <w:rsid w:val="00604ABC"/>
    <w:rsid w:val="00607BA5"/>
    <w:rsid w:val="0061180A"/>
    <w:rsid w:val="00611E39"/>
    <w:rsid w:val="00620A86"/>
    <w:rsid w:val="0062597F"/>
    <w:rsid w:val="00626406"/>
    <w:rsid w:val="00626EB6"/>
    <w:rsid w:val="00627C72"/>
    <w:rsid w:val="00642861"/>
    <w:rsid w:val="00643182"/>
    <w:rsid w:val="00655D03"/>
    <w:rsid w:val="00666F2C"/>
    <w:rsid w:val="00683388"/>
    <w:rsid w:val="00683F84"/>
    <w:rsid w:val="006A04A7"/>
    <w:rsid w:val="006A488D"/>
    <w:rsid w:val="006A5CE7"/>
    <w:rsid w:val="006A6A81"/>
    <w:rsid w:val="006B0746"/>
    <w:rsid w:val="006B3F66"/>
    <w:rsid w:val="006C2D8A"/>
    <w:rsid w:val="006C582B"/>
    <w:rsid w:val="006C5B47"/>
    <w:rsid w:val="006D007E"/>
    <w:rsid w:val="006D03C2"/>
    <w:rsid w:val="006D6BC8"/>
    <w:rsid w:val="006F1B15"/>
    <w:rsid w:val="006F2913"/>
    <w:rsid w:val="006F4B15"/>
    <w:rsid w:val="006F7393"/>
    <w:rsid w:val="0070176A"/>
    <w:rsid w:val="0070224F"/>
    <w:rsid w:val="007115F7"/>
    <w:rsid w:val="00714053"/>
    <w:rsid w:val="00714E28"/>
    <w:rsid w:val="00716679"/>
    <w:rsid w:val="00716B59"/>
    <w:rsid w:val="00725B05"/>
    <w:rsid w:val="00735A9D"/>
    <w:rsid w:val="0074693F"/>
    <w:rsid w:val="00746D22"/>
    <w:rsid w:val="00752C7A"/>
    <w:rsid w:val="00756400"/>
    <w:rsid w:val="00760D0F"/>
    <w:rsid w:val="00762BF5"/>
    <w:rsid w:val="00777D98"/>
    <w:rsid w:val="00785689"/>
    <w:rsid w:val="0079217D"/>
    <w:rsid w:val="0079754B"/>
    <w:rsid w:val="007A12E7"/>
    <w:rsid w:val="007A167C"/>
    <w:rsid w:val="007A1E6D"/>
    <w:rsid w:val="007B0184"/>
    <w:rsid w:val="007B0EB2"/>
    <w:rsid w:val="007B7463"/>
    <w:rsid w:val="007C4E00"/>
    <w:rsid w:val="007C6210"/>
    <w:rsid w:val="007D2112"/>
    <w:rsid w:val="007D5BDF"/>
    <w:rsid w:val="007E1AAA"/>
    <w:rsid w:val="007F65B9"/>
    <w:rsid w:val="00806255"/>
    <w:rsid w:val="00810B6F"/>
    <w:rsid w:val="00813C6E"/>
    <w:rsid w:val="00813FFD"/>
    <w:rsid w:val="008228E0"/>
    <w:rsid w:val="00822CE0"/>
    <w:rsid w:val="00826736"/>
    <w:rsid w:val="00836D9A"/>
    <w:rsid w:val="00841AB1"/>
    <w:rsid w:val="008432B1"/>
    <w:rsid w:val="00843B5E"/>
    <w:rsid w:val="008513E7"/>
    <w:rsid w:val="0086645C"/>
    <w:rsid w:val="00870258"/>
    <w:rsid w:val="00870B88"/>
    <w:rsid w:val="00871085"/>
    <w:rsid w:val="00875626"/>
    <w:rsid w:val="008831F4"/>
    <w:rsid w:val="0089644A"/>
    <w:rsid w:val="008B3D02"/>
    <w:rsid w:val="008B78F5"/>
    <w:rsid w:val="008C68F1"/>
    <w:rsid w:val="008C7170"/>
    <w:rsid w:val="008D4C27"/>
    <w:rsid w:val="008D6E08"/>
    <w:rsid w:val="008D7219"/>
    <w:rsid w:val="008E223F"/>
    <w:rsid w:val="008E5760"/>
    <w:rsid w:val="008E5BFD"/>
    <w:rsid w:val="008F2596"/>
    <w:rsid w:val="008F67AA"/>
    <w:rsid w:val="008F6BDA"/>
    <w:rsid w:val="009012BB"/>
    <w:rsid w:val="0090306F"/>
    <w:rsid w:val="0091065F"/>
    <w:rsid w:val="00912B9B"/>
    <w:rsid w:val="00914AFD"/>
    <w:rsid w:val="0091542B"/>
    <w:rsid w:val="009160AF"/>
    <w:rsid w:val="00921803"/>
    <w:rsid w:val="00922925"/>
    <w:rsid w:val="009250FD"/>
    <w:rsid w:val="00925BAA"/>
    <w:rsid w:val="00926503"/>
    <w:rsid w:val="00932DBE"/>
    <w:rsid w:val="00936126"/>
    <w:rsid w:val="00940FE1"/>
    <w:rsid w:val="00941243"/>
    <w:rsid w:val="0094318E"/>
    <w:rsid w:val="0095320B"/>
    <w:rsid w:val="0095706A"/>
    <w:rsid w:val="0095770B"/>
    <w:rsid w:val="009612C8"/>
    <w:rsid w:val="00966523"/>
    <w:rsid w:val="00967BE7"/>
    <w:rsid w:val="009700DB"/>
    <w:rsid w:val="009720C2"/>
    <w:rsid w:val="009726D8"/>
    <w:rsid w:val="00976324"/>
    <w:rsid w:val="00980E11"/>
    <w:rsid w:val="00981747"/>
    <w:rsid w:val="00981B3A"/>
    <w:rsid w:val="00983105"/>
    <w:rsid w:val="00983142"/>
    <w:rsid w:val="009903C1"/>
    <w:rsid w:val="00991EA9"/>
    <w:rsid w:val="00991F7B"/>
    <w:rsid w:val="009968A6"/>
    <w:rsid w:val="009A0EF1"/>
    <w:rsid w:val="009A24E3"/>
    <w:rsid w:val="009A2FA8"/>
    <w:rsid w:val="009B3FA3"/>
    <w:rsid w:val="009C487D"/>
    <w:rsid w:val="009D7308"/>
    <w:rsid w:val="009F76DB"/>
    <w:rsid w:val="009F7E27"/>
    <w:rsid w:val="00A03D20"/>
    <w:rsid w:val="00A051C4"/>
    <w:rsid w:val="00A14909"/>
    <w:rsid w:val="00A17F26"/>
    <w:rsid w:val="00A21C62"/>
    <w:rsid w:val="00A252E6"/>
    <w:rsid w:val="00A25A04"/>
    <w:rsid w:val="00A31E7B"/>
    <w:rsid w:val="00A32C3B"/>
    <w:rsid w:val="00A33C3A"/>
    <w:rsid w:val="00A42666"/>
    <w:rsid w:val="00A43356"/>
    <w:rsid w:val="00A4470B"/>
    <w:rsid w:val="00A45F4F"/>
    <w:rsid w:val="00A5114D"/>
    <w:rsid w:val="00A52D98"/>
    <w:rsid w:val="00A5314F"/>
    <w:rsid w:val="00A53E8D"/>
    <w:rsid w:val="00A600A9"/>
    <w:rsid w:val="00A64100"/>
    <w:rsid w:val="00A65D9F"/>
    <w:rsid w:val="00A66809"/>
    <w:rsid w:val="00A66928"/>
    <w:rsid w:val="00A67892"/>
    <w:rsid w:val="00A73DB8"/>
    <w:rsid w:val="00A820C1"/>
    <w:rsid w:val="00A85EE9"/>
    <w:rsid w:val="00A871A6"/>
    <w:rsid w:val="00A871F6"/>
    <w:rsid w:val="00A922C9"/>
    <w:rsid w:val="00A9239A"/>
    <w:rsid w:val="00A937C2"/>
    <w:rsid w:val="00A94A1E"/>
    <w:rsid w:val="00A97823"/>
    <w:rsid w:val="00AA052D"/>
    <w:rsid w:val="00AA1D5D"/>
    <w:rsid w:val="00AA2C84"/>
    <w:rsid w:val="00AA55B7"/>
    <w:rsid w:val="00AA5B9E"/>
    <w:rsid w:val="00AB1989"/>
    <w:rsid w:val="00AB2407"/>
    <w:rsid w:val="00AB32D7"/>
    <w:rsid w:val="00AB3ADF"/>
    <w:rsid w:val="00AB437A"/>
    <w:rsid w:val="00AB53DF"/>
    <w:rsid w:val="00AB6860"/>
    <w:rsid w:val="00AB6D48"/>
    <w:rsid w:val="00AC4654"/>
    <w:rsid w:val="00AC675F"/>
    <w:rsid w:val="00AD181A"/>
    <w:rsid w:val="00AD310B"/>
    <w:rsid w:val="00AD5A09"/>
    <w:rsid w:val="00AD682D"/>
    <w:rsid w:val="00AE6BB2"/>
    <w:rsid w:val="00AE7EB4"/>
    <w:rsid w:val="00AF0690"/>
    <w:rsid w:val="00AF18F5"/>
    <w:rsid w:val="00AF2F67"/>
    <w:rsid w:val="00AF322F"/>
    <w:rsid w:val="00AF579B"/>
    <w:rsid w:val="00AF7B08"/>
    <w:rsid w:val="00B014A8"/>
    <w:rsid w:val="00B0556B"/>
    <w:rsid w:val="00B061A5"/>
    <w:rsid w:val="00B07E5C"/>
    <w:rsid w:val="00B15C32"/>
    <w:rsid w:val="00B33672"/>
    <w:rsid w:val="00B367C5"/>
    <w:rsid w:val="00B37335"/>
    <w:rsid w:val="00B4104E"/>
    <w:rsid w:val="00B4759E"/>
    <w:rsid w:val="00B50D93"/>
    <w:rsid w:val="00B51F95"/>
    <w:rsid w:val="00B55CDA"/>
    <w:rsid w:val="00B70D80"/>
    <w:rsid w:val="00B74EDF"/>
    <w:rsid w:val="00B75C31"/>
    <w:rsid w:val="00B76D3F"/>
    <w:rsid w:val="00B811F7"/>
    <w:rsid w:val="00B820D3"/>
    <w:rsid w:val="00B82B7D"/>
    <w:rsid w:val="00B86090"/>
    <w:rsid w:val="00B87614"/>
    <w:rsid w:val="00B92B3D"/>
    <w:rsid w:val="00BA5DC6"/>
    <w:rsid w:val="00BA6196"/>
    <w:rsid w:val="00BA7C83"/>
    <w:rsid w:val="00BB5D3E"/>
    <w:rsid w:val="00BC0B4A"/>
    <w:rsid w:val="00BC6D8C"/>
    <w:rsid w:val="00BD68D9"/>
    <w:rsid w:val="00BE7D44"/>
    <w:rsid w:val="00BF199E"/>
    <w:rsid w:val="00BF59DE"/>
    <w:rsid w:val="00C034CB"/>
    <w:rsid w:val="00C063BC"/>
    <w:rsid w:val="00C12A1D"/>
    <w:rsid w:val="00C22C00"/>
    <w:rsid w:val="00C23A84"/>
    <w:rsid w:val="00C244BC"/>
    <w:rsid w:val="00C27F50"/>
    <w:rsid w:val="00C30F1F"/>
    <w:rsid w:val="00C34006"/>
    <w:rsid w:val="00C35DE7"/>
    <w:rsid w:val="00C36B2F"/>
    <w:rsid w:val="00C36B4C"/>
    <w:rsid w:val="00C3795E"/>
    <w:rsid w:val="00C426B1"/>
    <w:rsid w:val="00C4460C"/>
    <w:rsid w:val="00C469B6"/>
    <w:rsid w:val="00C475FC"/>
    <w:rsid w:val="00C4789F"/>
    <w:rsid w:val="00C5075D"/>
    <w:rsid w:val="00C51417"/>
    <w:rsid w:val="00C527C6"/>
    <w:rsid w:val="00C57062"/>
    <w:rsid w:val="00C643A5"/>
    <w:rsid w:val="00C6497F"/>
    <w:rsid w:val="00C653C4"/>
    <w:rsid w:val="00C66160"/>
    <w:rsid w:val="00C70217"/>
    <w:rsid w:val="00C721AC"/>
    <w:rsid w:val="00C75068"/>
    <w:rsid w:val="00C767D7"/>
    <w:rsid w:val="00C775EE"/>
    <w:rsid w:val="00C77982"/>
    <w:rsid w:val="00C86ECE"/>
    <w:rsid w:val="00C87F21"/>
    <w:rsid w:val="00C90D6A"/>
    <w:rsid w:val="00C976FF"/>
    <w:rsid w:val="00CA1BF9"/>
    <w:rsid w:val="00CA247E"/>
    <w:rsid w:val="00CA67B8"/>
    <w:rsid w:val="00CA6D21"/>
    <w:rsid w:val="00CB5A52"/>
    <w:rsid w:val="00CC1B6C"/>
    <w:rsid w:val="00CC72B6"/>
    <w:rsid w:val="00CC72D0"/>
    <w:rsid w:val="00CD09E7"/>
    <w:rsid w:val="00CD0F8A"/>
    <w:rsid w:val="00CD7A94"/>
    <w:rsid w:val="00CE1D68"/>
    <w:rsid w:val="00CE1ECB"/>
    <w:rsid w:val="00CE3267"/>
    <w:rsid w:val="00CE3777"/>
    <w:rsid w:val="00CE3E28"/>
    <w:rsid w:val="00CE54BD"/>
    <w:rsid w:val="00CE6817"/>
    <w:rsid w:val="00CF3CDF"/>
    <w:rsid w:val="00CF3E9D"/>
    <w:rsid w:val="00CF408C"/>
    <w:rsid w:val="00CF683E"/>
    <w:rsid w:val="00D0218D"/>
    <w:rsid w:val="00D15313"/>
    <w:rsid w:val="00D15E8F"/>
    <w:rsid w:val="00D21D15"/>
    <w:rsid w:val="00D24987"/>
    <w:rsid w:val="00D25FB5"/>
    <w:rsid w:val="00D31738"/>
    <w:rsid w:val="00D32160"/>
    <w:rsid w:val="00D33055"/>
    <w:rsid w:val="00D43EC0"/>
    <w:rsid w:val="00D44223"/>
    <w:rsid w:val="00D47CBB"/>
    <w:rsid w:val="00D57DD1"/>
    <w:rsid w:val="00D625D7"/>
    <w:rsid w:val="00D72DA6"/>
    <w:rsid w:val="00D75916"/>
    <w:rsid w:val="00D86BBD"/>
    <w:rsid w:val="00D965F4"/>
    <w:rsid w:val="00D97F97"/>
    <w:rsid w:val="00DA155C"/>
    <w:rsid w:val="00DA2529"/>
    <w:rsid w:val="00DA55CB"/>
    <w:rsid w:val="00DB130A"/>
    <w:rsid w:val="00DB271B"/>
    <w:rsid w:val="00DB2EBB"/>
    <w:rsid w:val="00DB47D5"/>
    <w:rsid w:val="00DB7C9B"/>
    <w:rsid w:val="00DC10A1"/>
    <w:rsid w:val="00DC558E"/>
    <w:rsid w:val="00DC655F"/>
    <w:rsid w:val="00DC6AB1"/>
    <w:rsid w:val="00DC7C75"/>
    <w:rsid w:val="00DD0B59"/>
    <w:rsid w:val="00DD1CD6"/>
    <w:rsid w:val="00DD1E89"/>
    <w:rsid w:val="00DD2217"/>
    <w:rsid w:val="00DD6CCD"/>
    <w:rsid w:val="00DD7EBD"/>
    <w:rsid w:val="00DE4DD2"/>
    <w:rsid w:val="00DF21A0"/>
    <w:rsid w:val="00DF62B6"/>
    <w:rsid w:val="00DF67CB"/>
    <w:rsid w:val="00DF758F"/>
    <w:rsid w:val="00E0226B"/>
    <w:rsid w:val="00E04F7B"/>
    <w:rsid w:val="00E07225"/>
    <w:rsid w:val="00E07914"/>
    <w:rsid w:val="00E10C65"/>
    <w:rsid w:val="00E12EF9"/>
    <w:rsid w:val="00E14C40"/>
    <w:rsid w:val="00E15D3D"/>
    <w:rsid w:val="00E15E58"/>
    <w:rsid w:val="00E1692E"/>
    <w:rsid w:val="00E21D24"/>
    <w:rsid w:val="00E22528"/>
    <w:rsid w:val="00E311A1"/>
    <w:rsid w:val="00E311A5"/>
    <w:rsid w:val="00E35DA4"/>
    <w:rsid w:val="00E5409F"/>
    <w:rsid w:val="00E67606"/>
    <w:rsid w:val="00E831E0"/>
    <w:rsid w:val="00E92DED"/>
    <w:rsid w:val="00EC08DA"/>
    <w:rsid w:val="00EC0C2F"/>
    <w:rsid w:val="00EC40C1"/>
    <w:rsid w:val="00EC6B54"/>
    <w:rsid w:val="00EC7920"/>
    <w:rsid w:val="00ED0041"/>
    <w:rsid w:val="00EE0709"/>
    <w:rsid w:val="00EE1EA5"/>
    <w:rsid w:val="00EE3222"/>
    <w:rsid w:val="00EE3F82"/>
    <w:rsid w:val="00EE6488"/>
    <w:rsid w:val="00EF7978"/>
    <w:rsid w:val="00F021FA"/>
    <w:rsid w:val="00F0241D"/>
    <w:rsid w:val="00F03959"/>
    <w:rsid w:val="00F04708"/>
    <w:rsid w:val="00F10145"/>
    <w:rsid w:val="00F1060A"/>
    <w:rsid w:val="00F107CE"/>
    <w:rsid w:val="00F2287A"/>
    <w:rsid w:val="00F343A8"/>
    <w:rsid w:val="00F4275B"/>
    <w:rsid w:val="00F42B9C"/>
    <w:rsid w:val="00F45467"/>
    <w:rsid w:val="00F502C6"/>
    <w:rsid w:val="00F541E6"/>
    <w:rsid w:val="00F56DC2"/>
    <w:rsid w:val="00F614E3"/>
    <w:rsid w:val="00F62D36"/>
    <w:rsid w:val="00F62E97"/>
    <w:rsid w:val="00F635A9"/>
    <w:rsid w:val="00F64209"/>
    <w:rsid w:val="00F64475"/>
    <w:rsid w:val="00F75F33"/>
    <w:rsid w:val="00F7776F"/>
    <w:rsid w:val="00F80AE4"/>
    <w:rsid w:val="00F83540"/>
    <w:rsid w:val="00F8541D"/>
    <w:rsid w:val="00F9073D"/>
    <w:rsid w:val="00F93BF5"/>
    <w:rsid w:val="00F94CFD"/>
    <w:rsid w:val="00FC68F9"/>
    <w:rsid w:val="00FC6F59"/>
    <w:rsid w:val="00FE53E7"/>
    <w:rsid w:val="00FF5072"/>
    <w:rsid w:val="00FF5BA0"/>
    <w:rsid w:val="0EED8EC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C5DA91E"/>
  <w15:chartTrackingRefBased/>
  <w15:docId w15:val="{CC031445-32C4-4D39-A7FB-FF7AFCAB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qFormat="1"/>
    <w:lsdException w:name="footer" w:uiPriority="99"/>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5FB5"/>
    <w:pPr>
      <w:widowControl w:val="0"/>
    </w:pPr>
    <w:rPr>
      <w:snapToGrid w:val="0"/>
      <w:kern w:val="28"/>
      <w:sz w:val="22"/>
    </w:rPr>
  </w:style>
  <w:style w:type="paragraph" w:styleId="Heading1">
    <w:name w:val="heading 1"/>
    <w:basedOn w:val="Normal"/>
    <w:next w:val="ParaNum"/>
    <w:qFormat/>
    <w:rsid w:val="00626EB6"/>
    <w:pPr>
      <w:keepNext/>
      <w:numPr>
        <w:numId w:val="3"/>
      </w:numPr>
      <w:tabs>
        <w:tab w:val="left" w:pos="720"/>
      </w:tabs>
      <w:suppressAutoHyphens/>
      <w:spacing w:after="120"/>
      <w:outlineLvl w:val="0"/>
    </w:pPr>
    <w:rPr>
      <w:rFonts w:ascii="Times New Roman Bold" w:hAnsi="Times New Roman Bold"/>
      <w:b/>
      <w:caps/>
    </w:rPr>
  </w:style>
  <w:style w:type="paragraph" w:styleId="Heading2">
    <w:name w:val="heading 2"/>
    <w:basedOn w:val="Normal"/>
    <w:next w:val="ParaNum"/>
    <w:autoRedefine/>
    <w:qFormat/>
    <w:rsid w:val="007A1E6D"/>
    <w:pPr>
      <w:keepNext/>
      <w:numPr>
        <w:ilvl w:val="1"/>
        <w:numId w:val="3"/>
      </w:numPr>
      <w:spacing w:after="120"/>
      <w:outlineLvl w:val="1"/>
    </w:pPr>
    <w:rPr>
      <w:b/>
    </w:rPr>
  </w:style>
  <w:style w:type="paragraph" w:styleId="Heading3">
    <w:name w:val="heading 3"/>
    <w:basedOn w:val="Normal"/>
    <w:next w:val="ParaNum"/>
    <w:qFormat/>
    <w:rsid w:val="00BA6196"/>
    <w:pPr>
      <w:keepNext/>
      <w:numPr>
        <w:ilvl w:val="2"/>
        <w:numId w:val="3"/>
      </w:numPr>
      <w:tabs>
        <w:tab w:val="left" w:pos="2160"/>
      </w:tabs>
      <w:spacing w:after="120"/>
      <w:outlineLvl w:val="2"/>
    </w:pPr>
    <w:rPr>
      <w:b/>
    </w:rPr>
  </w:style>
  <w:style w:type="paragraph" w:styleId="Heading4">
    <w:name w:val="heading 4"/>
    <w:basedOn w:val="Normal"/>
    <w:next w:val="ParaNum"/>
    <w:qFormat/>
    <w:rsid w:val="00C426B1"/>
    <w:pPr>
      <w:keepNext/>
      <w:numPr>
        <w:ilvl w:val="3"/>
        <w:numId w:val="3"/>
      </w:numPr>
      <w:tabs>
        <w:tab w:val="left" w:pos="2880"/>
      </w:tabs>
      <w:spacing w:after="120"/>
      <w:outlineLvl w:val="3"/>
    </w:pPr>
    <w:rPr>
      <w:b/>
    </w:rPr>
  </w:style>
  <w:style w:type="paragraph" w:styleId="Heading5">
    <w:name w:val="heading 5"/>
    <w:basedOn w:val="Normal"/>
    <w:next w:val="ParaNum"/>
    <w:qFormat/>
    <w:rsid w:val="00511968"/>
    <w:pPr>
      <w:keepNext/>
      <w:numPr>
        <w:ilvl w:val="4"/>
        <w:numId w:val="3"/>
      </w:numPr>
      <w:tabs>
        <w:tab w:val="left" w:pos="3600"/>
      </w:tabs>
      <w:suppressAutoHyphens/>
      <w:spacing w:after="120"/>
      <w:outlineLvl w:val="4"/>
    </w:pPr>
    <w:rPr>
      <w:b/>
    </w:rPr>
  </w:style>
  <w:style w:type="paragraph" w:styleId="Heading6">
    <w:name w:val="heading 6"/>
    <w:basedOn w:val="Normal"/>
    <w:next w:val="ParaNum"/>
    <w:qFormat/>
    <w:rsid w:val="00036039"/>
    <w:pPr>
      <w:numPr>
        <w:ilvl w:val="5"/>
        <w:numId w:val="3"/>
      </w:numPr>
      <w:tabs>
        <w:tab w:val="left" w:pos="4320"/>
      </w:tabs>
      <w:spacing w:after="120"/>
      <w:outlineLvl w:val="5"/>
    </w:pPr>
    <w:rPr>
      <w:b/>
    </w:rPr>
  </w:style>
  <w:style w:type="paragraph" w:styleId="Heading7">
    <w:name w:val="heading 7"/>
    <w:basedOn w:val="Normal"/>
    <w:next w:val="ParaNum"/>
    <w:qFormat/>
    <w:rsid w:val="00036039"/>
    <w:pPr>
      <w:numPr>
        <w:ilvl w:val="6"/>
        <w:numId w:val="3"/>
      </w:numPr>
      <w:tabs>
        <w:tab w:val="left" w:pos="5040"/>
      </w:tabs>
      <w:spacing w:after="120"/>
      <w:ind w:left="5040" w:hanging="720"/>
      <w:outlineLvl w:val="6"/>
    </w:pPr>
    <w:rPr>
      <w:b/>
    </w:rPr>
  </w:style>
  <w:style w:type="paragraph" w:styleId="Heading8">
    <w:name w:val="heading 8"/>
    <w:basedOn w:val="Normal"/>
    <w:next w:val="ParaNum"/>
    <w:qFormat/>
    <w:rsid w:val="001E01CA"/>
    <w:pPr>
      <w:numPr>
        <w:ilvl w:val="7"/>
        <w:numId w:val="3"/>
      </w:numPr>
      <w:tabs>
        <w:tab w:val="clear" w:pos="5400"/>
        <w:tab w:val="left" w:pos="5760"/>
      </w:tabs>
      <w:spacing w:after="120"/>
      <w:ind w:left="5760" w:hanging="720"/>
      <w:outlineLvl w:val="7"/>
    </w:pPr>
    <w:rPr>
      <w:b/>
    </w:rPr>
  </w:style>
  <w:style w:type="paragraph" w:styleId="Heading9">
    <w:name w:val="heading 9"/>
    <w:basedOn w:val="Normal"/>
    <w:next w:val="ParaNum"/>
    <w:qFormat/>
    <w:rsid w:val="001E01CA"/>
    <w:pPr>
      <w:numPr>
        <w:ilvl w:val="8"/>
        <w:numId w:val="3"/>
      </w:numPr>
      <w:tabs>
        <w:tab w:val="clear" w:pos="6120"/>
        <w:tab w:val="left" w:pos="6480"/>
      </w:tabs>
      <w:spacing w:after="120"/>
      <w:ind w:left="6480" w:hanging="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Num">
    <w:name w:val="ParaNum"/>
    <w:basedOn w:val="Normal"/>
    <w:link w:val="ParaNumChar"/>
    <w:rsid w:val="00E07225"/>
    <w:pPr>
      <w:numPr>
        <w:numId w:val="2"/>
      </w:numPr>
      <w:tabs>
        <w:tab w:val="clear" w:pos="1080"/>
        <w:tab w:val="num" w:pos="1440"/>
      </w:tabs>
      <w:spacing w:after="120"/>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FootnoteText">
    <w:name w:val="footnote text"/>
    <w:aliases w:val="ALTS FOOTNOTE,ALTS FOOTNOTE Char,Footnote Text Char Char Char,Footnote Text Char Char Char Char Char Char,Footnote Text Char1 Char,Footnote Text Char1 Char1 Char Char Char,Footnote Text Char2 Char Char Char,f,fn,fn Ch,fn Char,fn Char1 Char"/>
    <w:link w:val="FootnoteTextChar"/>
    <w:qFormat/>
    <w:rsid w:val="000E3D42"/>
    <w:pPr>
      <w:spacing w:after="120"/>
    </w:p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qFormat/>
    <w:rsid w:val="00A32C3B"/>
    <w:rPr>
      <w:rFonts w:ascii="Times New Roman" w:hAnsi="Times New Roman"/>
      <w:dstrike w:val="0"/>
      <w:color w:val="auto"/>
      <w:sz w:val="20"/>
      <w:vertAlign w:val="superscript"/>
    </w:rPr>
  </w:style>
  <w:style w:type="paragraph" w:styleId="TOC1">
    <w:name w:val="toc 1"/>
    <w:basedOn w:val="Normal"/>
    <w:next w:val="Normal"/>
    <w:semiHidden/>
    <w:pPr>
      <w:tabs>
        <w:tab w:val="left" w:pos="360"/>
        <w:tab w:val="right" w:leader="dot" w:pos="9360"/>
      </w:tabs>
      <w:suppressAutoHyphens/>
      <w:ind w:left="360" w:right="720" w:hanging="360"/>
    </w:pPr>
    <w:rPr>
      <w:caps/>
      <w:noProof/>
    </w:rPr>
  </w:style>
  <w:style w:type="paragraph" w:styleId="TOC2">
    <w:name w:val="toc 2"/>
    <w:basedOn w:val="Normal"/>
    <w:next w:val="Normal"/>
    <w:semiHidden/>
    <w:pPr>
      <w:tabs>
        <w:tab w:val="left" w:pos="720"/>
        <w:tab w:val="right" w:leader="dot" w:pos="9360"/>
      </w:tabs>
      <w:suppressAutoHyphens/>
      <w:ind w:left="720" w:right="720" w:hanging="360"/>
    </w:pPr>
    <w:rPr>
      <w:noProof/>
    </w:rPr>
  </w:style>
  <w:style w:type="paragraph" w:styleId="TOC3">
    <w:name w:val="toc 3"/>
    <w:basedOn w:val="Normal"/>
    <w:next w:val="Normal"/>
    <w:semiHidden/>
    <w:pPr>
      <w:tabs>
        <w:tab w:val="left" w:pos="1080"/>
        <w:tab w:val="right" w:leader="dot" w:pos="9360"/>
      </w:tabs>
      <w:suppressAutoHyphens/>
      <w:ind w:left="1080" w:right="720" w:hanging="360"/>
    </w:pPr>
    <w:rPr>
      <w:noProof/>
    </w:rPr>
  </w:style>
  <w:style w:type="paragraph" w:styleId="TOC4">
    <w:name w:val="toc 4"/>
    <w:basedOn w:val="Normal"/>
    <w:next w:val="Normal"/>
    <w:autoRedefine/>
    <w:semiHidden/>
    <w:pPr>
      <w:tabs>
        <w:tab w:val="left" w:pos="1440"/>
        <w:tab w:val="right" w:leader="dot" w:pos="9360"/>
      </w:tabs>
      <w:suppressAutoHyphens/>
      <w:ind w:left="1440" w:right="720" w:hanging="360"/>
    </w:pPr>
    <w:rPr>
      <w:noProof/>
    </w:rPr>
  </w:style>
  <w:style w:type="paragraph" w:styleId="TOC5">
    <w:name w:val="toc 5"/>
    <w:basedOn w:val="Normal"/>
    <w:next w:val="Normal"/>
    <w:autoRedefine/>
    <w:semiHidden/>
    <w:pPr>
      <w:tabs>
        <w:tab w:val="left" w:pos="1800"/>
        <w:tab w:val="right" w:leader="dot" w:pos="9360"/>
      </w:tabs>
      <w:suppressAutoHyphens/>
      <w:ind w:left="1800" w:right="720" w:hanging="360"/>
    </w:pPr>
    <w:rPr>
      <w:noProof/>
    </w:rPr>
  </w:style>
  <w:style w:type="paragraph" w:styleId="TOC6">
    <w:name w:val="toc 6"/>
    <w:basedOn w:val="Normal"/>
    <w:next w:val="Normal"/>
    <w:autoRedefine/>
    <w:semiHidden/>
    <w:pPr>
      <w:tabs>
        <w:tab w:val="left" w:pos="2160"/>
        <w:tab w:val="right" w:leader="dot" w:pos="9360"/>
      </w:tabs>
      <w:suppressAutoHyphens/>
      <w:ind w:left="2160" w:hanging="360"/>
    </w:pPr>
    <w:rPr>
      <w:noProof/>
    </w:rPr>
  </w:style>
  <w:style w:type="paragraph" w:styleId="TOC7">
    <w:name w:val="toc 7"/>
    <w:basedOn w:val="Normal"/>
    <w:next w:val="Normal"/>
    <w:autoRedefine/>
    <w:semiHidden/>
    <w:pPr>
      <w:tabs>
        <w:tab w:val="left" w:pos="2520"/>
        <w:tab w:val="right" w:leader="dot" w:pos="9360"/>
      </w:tabs>
      <w:suppressAutoHyphens/>
      <w:ind w:left="2520" w:hanging="360"/>
    </w:pPr>
    <w:rPr>
      <w:noProof/>
    </w:rPr>
  </w:style>
  <w:style w:type="paragraph" w:styleId="TOC8">
    <w:name w:val="toc 8"/>
    <w:basedOn w:val="Normal"/>
    <w:next w:val="Normal"/>
    <w:autoRedefine/>
    <w:semiHidden/>
    <w:pPr>
      <w:tabs>
        <w:tab w:val="left" w:pos="2880"/>
        <w:tab w:val="right" w:leader="dot" w:pos="9360"/>
      </w:tabs>
      <w:suppressAutoHyphens/>
      <w:ind w:left="2880" w:hanging="360"/>
    </w:pPr>
    <w:rPr>
      <w:noProof/>
    </w:rPr>
  </w:style>
  <w:style w:type="paragraph" w:styleId="TOC9">
    <w:name w:val="toc 9"/>
    <w:basedOn w:val="Normal"/>
    <w:next w:val="Normal"/>
    <w:autoRedefine/>
    <w:semiHidden/>
    <w:pPr>
      <w:tabs>
        <w:tab w:val="left" w:pos="3240"/>
        <w:tab w:val="right" w:leader="dot" w:pos="9360"/>
      </w:tabs>
      <w:suppressAutoHyphens/>
      <w:ind w:left="3240" w:hanging="360"/>
    </w:pPr>
    <w:rPr>
      <w:noProof/>
    </w:rPr>
  </w:style>
  <w:style w:type="paragraph" w:styleId="TOAHeading">
    <w:name w:val="toa heading"/>
    <w:basedOn w:val="Normal"/>
    <w:next w:val="Normal"/>
    <w:semiHidden/>
    <w:pPr>
      <w:tabs>
        <w:tab w:val="right" w:pos="9360"/>
      </w:tabs>
      <w:suppressAutoHyphens/>
    </w:pPr>
  </w:style>
  <w:style w:type="character" w:customStyle="1" w:styleId="EquationCaption">
    <w:name w:val="_Equation Caption"/>
  </w:style>
  <w:style w:type="paragraph" w:styleId="Header">
    <w:name w:val="header"/>
    <w:basedOn w:val="Normal"/>
    <w:autoRedefine/>
    <w:pPr>
      <w:tabs>
        <w:tab w:val="center" w:pos="4680"/>
        <w:tab w:val="right" w:pos="9360"/>
      </w:tabs>
    </w:pPr>
    <w:rPr>
      <w:b/>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lockText">
    <w:name w:val="Block Text"/>
    <w:basedOn w:val="Normal"/>
    <w:pPr>
      <w:spacing w:after="240"/>
      <w:ind w:left="1440" w:right="1440"/>
    </w:pPr>
  </w:style>
  <w:style w:type="paragraph" w:customStyle="1" w:styleId="Paratitle">
    <w:name w:val="Para title"/>
    <w:basedOn w:val="Normal"/>
    <w:pPr>
      <w:tabs>
        <w:tab w:val="center" w:pos="9270"/>
      </w:tabs>
      <w:spacing w:after="240"/>
    </w:pPr>
    <w:rPr>
      <w:spacing w:val="-2"/>
    </w:rPr>
  </w:style>
  <w:style w:type="paragraph" w:customStyle="1" w:styleId="Bullet">
    <w:name w:val="Bullet"/>
    <w:basedOn w:val="Normal"/>
    <w:pPr>
      <w:tabs>
        <w:tab w:val="left" w:pos="2160"/>
      </w:tabs>
      <w:spacing w:after="220"/>
      <w:ind w:left="2160" w:hanging="720"/>
    </w:pPr>
  </w:style>
  <w:style w:type="paragraph" w:customStyle="1" w:styleId="TableFormat">
    <w:name w:val="TableFormat"/>
    <w:basedOn w:val="Bullet"/>
    <w:pPr>
      <w:tabs>
        <w:tab w:val="clear" w:pos="2160"/>
        <w:tab w:val="left" w:pos="5040"/>
      </w:tabs>
      <w:ind w:left="5040" w:hanging="3600"/>
    </w:pPr>
  </w:style>
  <w:style w:type="paragraph" w:customStyle="1" w:styleId="TOCTitle">
    <w:name w:val="TOC Title"/>
    <w:basedOn w:val="Normal"/>
    <w:pPr>
      <w:spacing w:before="240" w:after="240"/>
      <w:jc w:val="center"/>
    </w:pPr>
    <w:rPr>
      <w:rFonts w:ascii="Times New Roman Bold" w:hAnsi="Times New Roman Bold"/>
      <w:b/>
      <w:caps/>
      <w:spacing w:val="-2"/>
    </w:rPr>
  </w:style>
  <w:style w:type="paragraph" w:customStyle="1" w:styleId="StyleBoldCentered">
    <w:name w:val="Style Bold Centered"/>
    <w:basedOn w:val="Normal"/>
    <w:rsid w:val="00096D8C"/>
    <w:pPr>
      <w:jc w:val="center"/>
    </w:pPr>
    <w:rPr>
      <w:rFonts w:ascii="Times New Roman Bold" w:hAnsi="Times New Roman Bold"/>
      <w:b/>
      <w:bCs/>
      <w:caps/>
      <w:szCs w:val="22"/>
    </w:rPr>
  </w:style>
  <w:style w:type="character" w:styleId="Hyperlink">
    <w:name w:val="Hyperlink"/>
    <w:uiPriority w:val="99"/>
    <w:rsid w:val="002A2D2E"/>
    <w:rPr>
      <w:color w:val="0000FF"/>
      <w:u w:val="single"/>
    </w:rPr>
  </w:style>
  <w:style w:type="character" w:customStyle="1" w:styleId="FooterChar">
    <w:name w:val="Footer Char"/>
    <w:link w:val="Footer"/>
    <w:uiPriority w:val="99"/>
    <w:rsid w:val="009D7308"/>
    <w:rPr>
      <w:snapToGrid w:val="0"/>
      <w:kern w:val="28"/>
      <w:sz w:val="22"/>
    </w:rPr>
  </w:style>
  <w:style w:type="character" w:customStyle="1" w:styleId="FootnoteTextChar">
    <w:name w:val="Footnote Text Char"/>
    <w:aliases w:val="ALTS FOOTNOTE Char1,ALTS FOOTNOTE Char Char,Footnote Text Char Char Char Char,Footnote Text Char Char Char Char Char Char Char,Footnote Text Char1 Char Char,Footnote Text Char1 Char1 Char Char Char Char,f Char,fn Char1,fn Ch Char"/>
    <w:basedOn w:val="DefaultParagraphFont"/>
    <w:link w:val="FootnoteText"/>
    <w:rsid w:val="00925BAA"/>
  </w:style>
  <w:style w:type="character" w:customStyle="1" w:styleId="ParaNumChar">
    <w:name w:val="ParaNum Char"/>
    <w:link w:val="ParaNum"/>
    <w:locked/>
    <w:rsid w:val="00925BAA"/>
    <w:rPr>
      <w:snapToGrid w:val="0"/>
      <w:kern w:val="28"/>
      <w:sz w:val="22"/>
    </w:rPr>
  </w:style>
  <w:style w:type="character" w:styleId="UnresolvedMention">
    <w:name w:val="Unresolved Mention"/>
    <w:uiPriority w:val="99"/>
    <w:semiHidden/>
    <w:unhideWhenUsed/>
    <w:rsid w:val="00BC0B4A"/>
    <w:rPr>
      <w:color w:val="605E5C"/>
      <w:shd w:val="clear" w:color="auto" w:fill="E1DFDD"/>
    </w:rPr>
  </w:style>
  <w:style w:type="character" w:styleId="CommentReference">
    <w:name w:val="annotation reference"/>
    <w:rsid w:val="00AD181A"/>
    <w:rPr>
      <w:sz w:val="16"/>
      <w:szCs w:val="16"/>
    </w:rPr>
  </w:style>
  <w:style w:type="paragraph" w:styleId="CommentText">
    <w:name w:val="annotation text"/>
    <w:basedOn w:val="Normal"/>
    <w:link w:val="CommentTextChar"/>
    <w:rsid w:val="00AD181A"/>
    <w:rPr>
      <w:sz w:val="20"/>
    </w:rPr>
  </w:style>
  <w:style w:type="character" w:customStyle="1" w:styleId="CommentTextChar">
    <w:name w:val="Comment Text Char"/>
    <w:link w:val="CommentText"/>
    <w:rsid w:val="00AD181A"/>
    <w:rPr>
      <w:snapToGrid w:val="0"/>
      <w:kern w:val="28"/>
    </w:rPr>
  </w:style>
  <w:style w:type="paragraph" w:styleId="CommentSubject">
    <w:name w:val="annotation subject"/>
    <w:basedOn w:val="CommentText"/>
    <w:next w:val="CommentText"/>
    <w:link w:val="CommentSubjectChar"/>
    <w:rsid w:val="00AD181A"/>
    <w:rPr>
      <w:b/>
      <w:bCs/>
    </w:rPr>
  </w:style>
  <w:style w:type="character" w:customStyle="1" w:styleId="CommentSubjectChar">
    <w:name w:val="Comment Subject Char"/>
    <w:link w:val="CommentSubject"/>
    <w:rsid w:val="00AD181A"/>
    <w:rPr>
      <w:b/>
      <w:bCs/>
      <w:snapToGrid w:val="0"/>
      <w:kern w:val="28"/>
    </w:rPr>
  </w:style>
  <w:style w:type="character" w:styleId="Emphasis">
    <w:name w:val="Emphasis"/>
    <w:uiPriority w:val="20"/>
    <w:qFormat/>
    <w:rsid w:val="001A1807"/>
    <w:rPr>
      <w:i/>
      <w:iCs/>
    </w:rPr>
  </w:style>
  <w:style w:type="character" w:customStyle="1" w:styleId="cosearchterm">
    <w:name w:val="co_searchterm"/>
    <w:rsid w:val="001A1807"/>
  </w:style>
  <w:style w:type="paragraph" w:styleId="Revision">
    <w:name w:val="Revision"/>
    <w:hidden/>
    <w:uiPriority w:val="99"/>
    <w:semiHidden/>
    <w:rsid w:val="00C527C6"/>
    <w:rPr>
      <w:snapToGrid w:val="0"/>
      <w:kern w:val="28"/>
      <w:sz w:val="22"/>
    </w:rPr>
  </w:style>
  <w:style w:type="character" w:styleId="FollowedHyperlink">
    <w:name w:val="FollowedHyperlink"/>
    <w:rsid w:val="00D31738"/>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_rels/footnotes.xml.rels><?xml version="1.0" encoding="utf-8" standalone="yes"?><Relationships xmlns="http://schemas.openxmlformats.org/package/2006/relationships"><Relationship Id="rId1" Type="http://schemas.openxmlformats.org/officeDocument/2006/relationships/hyperlink" Target="https://www.fcc.gov/ecfs/search/search-filings/filing/10630895405437" TargetMode="External" /><Relationship Id="rId2" Type="http://schemas.openxmlformats.org/officeDocument/2006/relationships/hyperlink" Target="https://www.congress.gov/bill/117th-congress/house-bill/1319/text" TargetMode="External" /><Relationship Id="rId3" Type="http://schemas.openxmlformats.org/officeDocument/2006/relationships/hyperlink" Target="https://www.fcc.gov/emergency-connectivity-fund-faqs" TargetMode="External" /><Relationship Id="rId4" Type="http://schemas.openxmlformats.org/officeDocument/2006/relationships/hyperlink" Target="https://opendata.usac.org/Emergency-Connectivity-Fund/Emergency-Connectivity-Fund-FCC-Form-471/i5j4-3rvr" TargetMode="External" /><Relationship Id="rId5" Type="http://schemas.openxmlformats.org/officeDocument/2006/relationships/hyperlink" Target="https://www.pcmag.com/reviews/alcatel-linkzone-2%23" TargetMode="External" /></Relationships>
</file>

<file path=word/_rels/settings.xml.rels><?xml version="1.0" encoding="utf-8" standalone="yes"?><Relationships xmlns="http://schemas.openxmlformats.org/package/2006/relationships"><Relationship Id="rId1" Type="http://schemas.openxmlformats.org/officeDocument/2006/relationships/attachedTemplate" Target="file:///M:\Form\OS%20Process\Order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Orders</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