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145705" w:rsidRPr="00102B65" w:rsidP="17279E2D" w14:paraId="252B3161" w14:textId="77777777">
      <w:pPr>
        <w:spacing w:before="120"/>
        <w:jc w:val="center"/>
        <w:rPr>
          <w:b/>
          <w:bCs/>
        </w:rPr>
      </w:pPr>
      <w:r w:rsidRPr="00102B65">
        <w:rPr>
          <w:b/>
          <w:bCs/>
          <w:kern w:val="0"/>
        </w:rPr>
        <w:t>Before</w:t>
      </w:r>
      <w:r w:rsidRPr="00102B65">
        <w:rPr>
          <w:b/>
          <w:bCs/>
        </w:rPr>
        <w:t xml:space="preserve"> the</w:t>
      </w:r>
    </w:p>
    <w:p w:rsidR="00145705" w:rsidRPr="00102B65" w:rsidP="00145705" w14:paraId="05122511" w14:textId="77777777">
      <w:pPr>
        <w:pStyle w:val="StyleBoldCentered"/>
        <w:rPr>
          <w:rFonts w:ascii="Times New Roman" w:hAnsi="Times New Roman"/>
        </w:rPr>
      </w:pPr>
      <w:r w:rsidRPr="00102B65">
        <w:rPr>
          <w:rFonts w:ascii="Times New Roman" w:hAnsi="Times New Roman"/>
        </w:rPr>
        <w:t>F</w:t>
      </w:r>
      <w:r w:rsidRPr="00102B65">
        <w:rPr>
          <w:rFonts w:ascii="Times New Roman" w:hAnsi="Times New Roman"/>
          <w:caps w:val="0"/>
        </w:rPr>
        <w:t>ederal Communications Commission</w:t>
      </w:r>
    </w:p>
    <w:p w:rsidR="00145705" w:rsidRPr="00102B65" w:rsidP="00145705" w14:paraId="2424B3F3" w14:textId="77777777">
      <w:pPr>
        <w:pStyle w:val="StyleBoldCentered"/>
        <w:rPr>
          <w:rFonts w:ascii="Times New Roman" w:hAnsi="Times New Roman"/>
        </w:rPr>
      </w:pPr>
      <w:r w:rsidRPr="00102B65">
        <w:rPr>
          <w:rFonts w:ascii="Times New Roman" w:hAnsi="Times New Roman"/>
          <w:caps w:val="0"/>
        </w:rPr>
        <w:t>Washington, D.C. 20554</w:t>
      </w:r>
    </w:p>
    <w:p w:rsidR="00145705" w:rsidRPr="00102B65" w:rsidP="00145705" w14:paraId="50C1BE2F" w14:textId="77777777"/>
    <w:tbl>
      <w:tblPr>
        <w:tblW w:w="0" w:type="auto"/>
        <w:tblLayout w:type="fixed"/>
        <w:tblLook w:val="0000"/>
      </w:tblPr>
      <w:tblGrid>
        <w:gridCol w:w="4698"/>
        <w:gridCol w:w="630"/>
        <w:gridCol w:w="4248"/>
      </w:tblGrid>
      <w:tr w14:paraId="15316C32" w14:textId="77777777" w:rsidTr="17279E2D">
        <w:tblPrEx>
          <w:tblW w:w="0" w:type="auto"/>
          <w:tblLayout w:type="fixed"/>
          <w:tblLook w:val="0000"/>
        </w:tblPrEx>
        <w:tc>
          <w:tcPr>
            <w:tcW w:w="4698" w:type="dxa"/>
          </w:tcPr>
          <w:p w:rsidR="00145705" w:rsidRPr="00102B65" w14:paraId="33A9EFC9" w14:textId="77777777">
            <w:pPr>
              <w:tabs>
                <w:tab w:val="center" w:pos="4680"/>
              </w:tabs>
              <w:suppressAutoHyphens/>
              <w:rPr>
                <w:spacing w:val="-2"/>
              </w:rPr>
            </w:pPr>
            <w:r w:rsidRPr="00102B65">
              <w:rPr>
                <w:spacing w:val="-2"/>
              </w:rPr>
              <w:t>In the Matter of</w:t>
            </w:r>
          </w:p>
          <w:p w:rsidR="00145705" w:rsidRPr="00102B65" w14:paraId="4B92DBD6" w14:textId="773917F0">
            <w:pPr>
              <w:tabs>
                <w:tab w:val="center" w:pos="4680"/>
              </w:tabs>
              <w:suppressAutoHyphens/>
            </w:pPr>
            <w:r w:rsidRPr="00102B65">
              <w:t xml:space="preserve">TUV </w:t>
            </w:r>
            <w:r w:rsidRPr="00102B65">
              <w:t>Rheinland</w:t>
            </w:r>
            <w:r w:rsidRPr="00102B65">
              <w:t>/CCIC (Ningbo) Co., Ltd.</w:t>
            </w:r>
          </w:p>
          <w:p w:rsidR="00145705" w:rsidRPr="00102B65" w:rsidP="17279E2D" w14:paraId="0543FF5B" w14:textId="35B88231">
            <w:pPr>
              <w:tabs>
                <w:tab w:val="center" w:pos="4680"/>
              </w:tabs>
              <w:suppressAutoHyphens/>
              <w:rPr>
                <w:b/>
                <w:bCs/>
              </w:rPr>
            </w:pPr>
            <w:r w:rsidRPr="00102B65">
              <w:t>Designation No. CN1237</w:t>
            </w:r>
          </w:p>
        </w:tc>
        <w:tc>
          <w:tcPr>
            <w:tcW w:w="630" w:type="dxa"/>
          </w:tcPr>
          <w:p w:rsidR="00145705" w:rsidRPr="00102B65" w14:paraId="1CA7ECB9" w14:textId="77777777">
            <w:pPr>
              <w:tabs>
                <w:tab w:val="center" w:pos="4680"/>
              </w:tabs>
              <w:suppressAutoHyphens/>
              <w:rPr>
                <w:b/>
                <w:spacing w:val="-2"/>
              </w:rPr>
            </w:pPr>
            <w:r w:rsidRPr="00102B65">
              <w:rPr>
                <w:b/>
                <w:spacing w:val="-2"/>
              </w:rPr>
              <w:t>)</w:t>
            </w:r>
          </w:p>
          <w:p w:rsidR="00145705" w:rsidRPr="00102B65" w14:paraId="7131448E" w14:textId="77777777">
            <w:pPr>
              <w:tabs>
                <w:tab w:val="center" w:pos="4680"/>
              </w:tabs>
              <w:suppressAutoHyphens/>
              <w:rPr>
                <w:b/>
                <w:spacing w:val="-2"/>
              </w:rPr>
            </w:pPr>
            <w:r w:rsidRPr="00102B65">
              <w:rPr>
                <w:b/>
                <w:spacing w:val="-2"/>
              </w:rPr>
              <w:t>)</w:t>
            </w:r>
          </w:p>
          <w:p w:rsidR="00145705" w:rsidRPr="00102B65" w14:paraId="247AB79E" w14:textId="76F1622E">
            <w:pPr>
              <w:tabs>
                <w:tab w:val="center" w:pos="4680"/>
              </w:tabs>
              <w:suppressAutoHyphens/>
              <w:rPr>
                <w:b/>
                <w:spacing w:val="-2"/>
              </w:rPr>
            </w:pPr>
            <w:r w:rsidRPr="00102B65">
              <w:rPr>
                <w:b/>
                <w:spacing w:val="-2"/>
              </w:rPr>
              <w:t>)</w:t>
            </w:r>
          </w:p>
          <w:p w:rsidR="00145705" w:rsidRPr="00102B65" w14:paraId="12E2FCB2" w14:textId="77777777">
            <w:pPr>
              <w:tabs>
                <w:tab w:val="center" w:pos="4680"/>
              </w:tabs>
              <w:suppressAutoHyphens/>
              <w:rPr>
                <w:b/>
                <w:spacing w:val="-2"/>
              </w:rPr>
            </w:pPr>
          </w:p>
        </w:tc>
        <w:tc>
          <w:tcPr>
            <w:tcW w:w="4248" w:type="dxa"/>
          </w:tcPr>
          <w:p w:rsidR="00145705" w:rsidRPr="00102B65" w14:paraId="2904F967" w14:textId="77777777">
            <w:pPr>
              <w:tabs>
                <w:tab w:val="center" w:pos="4680"/>
              </w:tabs>
              <w:suppressAutoHyphens/>
              <w:rPr>
                <w:spacing w:val="-2"/>
              </w:rPr>
            </w:pPr>
          </w:p>
          <w:p w:rsidR="00145705" w:rsidRPr="00102B65" w14:paraId="3EE0BBDC" w14:textId="77777777">
            <w:pPr>
              <w:pStyle w:val="TOAHeading"/>
              <w:tabs>
                <w:tab w:val="center" w:pos="4680"/>
                <w:tab w:val="clear" w:pos="9360"/>
              </w:tabs>
              <w:rPr>
                <w:spacing w:val="-2"/>
              </w:rPr>
            </w:pPr>
          </w:p>
          <w:p w:rsidR="00145705" w:rsidRPr="00102B65" w14:paraId="4E93BFC9" w14:textId="0C7311D6">
            <w:pPr>
              <w:tabs>
                <w:tab w:val="center" w:pos="4680"/>
              </w:tabs>
              <w:suppressAutoHyphens/>
              <w:rPr>
                <w:spacing w:val="-2"/>
              </w:rPr>
            </w:pPr>
            <w:r w:rsidRPr="00102B65">
              <w:rPr>
                <w:spacing w:val="-2"/>
              </w:rPr>
              <w:t>ET Docket No. 25-26</w:t>
            </w:r>
            <w:r w:rsidRPr="00102B65" w:rsidR="0085467E">
              <w:rPr>
                <w:spacing w:val="-2"/>
              </w:rPr>
              <w:t>9</w:t>
            </w:r>
          </w:p>
        </w:tc>
      </w:tr>
    </w:tbl>
    <w:p w:rsidR="00145705" w:rsidRPr="00102B65" w:rsidP="00145705" w14:paraId="24107C67" w14:textId="55A8877C">
      <w:pPr>
        <w:pStyle w:val="StyleBoldCentered"/>
        <w:widowControl/>
        <w:rPr>
          <w:rFonts w:ascii="Times New Roman" w:hAnsi="Times New Roman"/>
          <w:color w:val="000000"/>
        </w:rPr>
      </w:pPr>
      <w:r w:rsidRPr="00102B65">
        <w:rPr>
          <w:rFonts w:ascii="Times New Roman" w:hAnsi="Times New Roman"/>
          <w:color w:val="000000"/>
        </w:rPr>
        <w:t xml:space="preserve">ORDER Withdrawing recognition </w:t>
      </w:r>
    </w:p>
    <w:p w:rsidR="00145705" w:rsidRPr="00102B65" w:rsidP="00145705" w14:paraId="278144C6" w14:textId="77777777">
      <w:pPr>
        <w:pStyle w:val="StyleBoldCentered"/>
        <w:widowControl/>
        <w:rPr>
          <w:rFonts w:ascii="Times New Roman" w:hAnsi="Times New Roman"/>
        </w:rPr>
      </w:pPr>
      <w:r w:rsidRPr="00102B65">
        <w:rPr>
          <w:rFonts w:ascii="Times New Roman" w:hAnsi="Times New Roman"/>
          <w:color w:val="000000"/>
        </w:rPr>
        <w:t>as An accredited Test la</w:t>
      </w:r>
      <w:r w:rsidRPr="00102B65">
        <w:rPr>
          <w:rFonts w:ascii="Times New Roman" w:hAnsi="Times New Roman"/>
        </w:rPr>
        <w:t>boratory</w:t>
      </w:r>
    </w:p>
    <w:p w:rsidR="00145705" w:rsidRPr="00102B65" w:rsidP="00145705" w14:paraId="2538331A" w14:textId="77777777">
      <w:pPr>
        <w:tabs>
          <w:tab w:val="left" w:pos="-720"/>
        </w:tabs>
        <w:suppressAutoHyphens/>
        <w:spacing w:line="227" w:lineRule="auto"/>
        <w:rPr>
          <w:spacing w:val="-2"/>
        </w:rPr>
      </w:pPr>
    </w:p>
    <w:p w:rsidR="00145705" w:rsidRPr="00102B65" w:rsidP="00145705" w14:paraId="780D37BF" w14:textId="03374F76">
      <w:pPr>
        <w:tabs>
          <w:tab w:val="left" w:pos="720"/>
          <w:tab w:val="right" w:pos="9360"/>
        </w:tabs>
        <w:suppressAutoHyphens/>
        <w:spacing w:line="227" w:lineRule="auto"/>
        <w:rPr>
          <w:spacing w:val="-2"/>
        </w:rPr>
      </w:pPr>
      <w:r w:rsidRPr="00102B65">
        <w:rPr>
          <w:b/>
          <w:spacing w:val="-2"/>
        </w:rPr>
        <w:t xml:space="preserve">Adopted:  </w:t>
      </w:r>
      <w:r w:rsidRPr="00102B65" w:rsidR="00BD7D50">
        <w:rPr>
          <w:b/>
          <w:spacing w:val="-2"/>
        </w:rPr>
        <w:t xml:space="preserve">February </w:t>
      </w:r>
      <w:r w:rsidRPr="00102B65" w:rsidR="00BF300D">
        <w:rPr>
          <w:b/>
          <w:spacing w:val="-2"/>
        </w:rPr>
        <w:t>12</w:t>
      </w:r>
      <w:r w:rsidRPr="00102B65" w:rsidR="00BD7D50">
        <w:rPr>
          <w:b/>
          <w:spacing w:val="-2"/>
        </w:rPr>
        <w:t>, 2026</w:t>
      </w:r>
      <w:r w:rsidRPr="00102B65">
        <w:rPr>
          <w:b/>
          <w:spacing w:val="-2"/>
        </w:rPr>
        <w:tab/>
        <w:t xml:space="preserve">Released:  </w:t>
      </w:r>
      <w:r w:rsidRPr="00102B65" w:rsidR="00BD7D50">
        <w:rPr>
          <w:b/>
          <w:spacing w:val="-2"/>
        </w:rPr>
        <w:t xml:space="preserve">February </w:t>
      </w:r>
      <w:r w:rsidRPr="00102B65" w:rsidR="00BF300D">
        <w:rPr>
          <w:b/>
          <w:spacing w:val="-2"/>
        </w:rPr>
        <w:t>12</w:t>
      </w:r>
      <w:r w:rsidRPr="00102B65" w:rsidR="00BD7D50">
        <w:rPr>
          <w:b/>
          <w:spacing w:val="-2"/>
        </w:rPr>
        <w:t>, 2026</w:t>
      </w:r>
    </w:p>
    <w:p w:rsidR="00145705" w:rsidRPr="00102B65" w:rsidP="00145705" w14:paraId="2E208948" w14:textId="77777777"/>
    <w:p w:rsidR="00145705" w:rsidRPr="00102B65" w:rsidP="00145705" w14:paraId="313F6267" w14:textId="7B6AE931">
      <w:pPr>
        <w:rPr>
          <w:spacing w:val="-2"/>
        </w:rPr>
      </w:pPr>
      <w:r w:rsidRPr="00102B65">
        <w:t xml:space="preserve">By the </w:t>
      </w:r>
      <w:r w:rsidRPr="00102B65">
        <w:rPr>
          <w:spacing w:val="-2"/>
        </w:rPr>
        <w:t>Chief</w:t>
      </w:r>
      <w:r w:rsidRPr="00102B65">
        <w:rPr>
          <w:spacing w:val="-2"/>
          <w:szCs w:val="22"/>
        </w:rPr>
        <w:t xml:space="preserve">, </w:t>
      </w:r>
      <w:r w:rsidRPr="00102B65">
        <w:rPr>
          <w:spacing w:val="-2"/>
        </w:rPr>
        <w:t>Office of Engineering and Technology:</w:t>
      </w:r>
    </w:p>
    <w:p w:rsidR="00145705" w:rsidRPr="00102B65" w:rsidP="00145705" w14:paraId="67AEDBB0" w14:textId="77777777">
      <w:pPr>
        <w:rPr>
          <w:spacing w:val="-2"/>
        </w:rPr>
      </w:pPr>
    </w:p>
    <w:p w:rsidR="00145705" w:rsidRPr="00102B65" w:rsidP="00622505" w14:paraId="3A2ED9B6" w14:textId="3F49BC57">
      <w:pPr>
        <w:pStyle w:val="Heading1"/>
        <w:numPr>
          <w:ilvl w:val="0"/>
          <w:numId w:val="10"/>
        </w:numPr>
        <w:ind w:left="720"/>
        <w:rPr>
          <w:rFonts w:ascii="Times New Roman" w:hAnsi="Times New Roman"/>
        </w:rPr>
      </w:pPr>
      <w:r w:rsidRPr="00102B65">
        <w:rPr>
          <w:rFonts w:ascii="Times New Roman" w:hAnsi="Times New Roman"/>
        </w:rPr>
        <w:t>INTRODUCTION</w:t>
      </w:r>
    </w:p>
    <w:p w:rsidR="00145705" w:rsidRPr="00102B65" w:rsidP="00145705" w14:paraId="3262EEBD" w14:textId="753BEDEB">
      <w:pPr>
        <w:pStyle w:val="ParaNum"/>
      </w:pPr>
      <w:r w:rsidRPr="00102B65">
        <w:t>In this Order, the Office of Engineering and Technology (OET) withdraw</w:t>
      </w:r>
      <w:r w:rsidRPr="00102B65" w:rsidR="00946354">
        <w:t>s</w:t>
      </w:r>
      <w:r w:rsidRPr="00102B65" w:rsidR="00DB2A05">
        <w:t xml:space="preserve"> the </w:t>
      </w:r>
      <w:r w:rsidRPr="00102B65">
        <w:t xml:space="preserve">recognition of </w:t>
      </w:r>
      <w:r w:rsidRPr="00102B65" w:rsidR="00C1412D">
        <w:t xml:space="preserve">TUV </w:t>
      </w:r>
      <w:r w:rsidRPr="00102B65" w:rsidR="00C1412D">
        <w:t>Rheinland</w:t>
      </w:r>
      <w:r w:rsidRPr="00102B65" w:rsidR="00C1412D">
        <w:t>/CCIC (Ningbo) Co., Ltd. (TUV/Ningbo or Company)</w:t>
      </w:r>
      <w:r w:rsidRPr="00102B65">
        <w:t xml:space="preserve"> as an accredited test laboratory pursuant to section 302(e) of the Communications Act of 1934, as amended (the Act), and sections 2.951(d)</w:t>
      </w:r>
      <w:r w:rsidRPr="00102B65" w:rsidR="008D169B">
        <w:t xml:space="preserve"> </w:t>
      </w:r>
      <w:r w:rsidRPr="00102B65">
        <w:t>of the Commission’s rules.</w:t>
      </w:r>
      <w:r>
        <w:rPr>
          <w:rStyle w:val="FootnoteReference"/>
        </w:rPr>
        <w:footnoteReference w:id="2"/>
      </w:r>
      <w:r w:rsidRPr="00102B65">
        <w:t xml:space="preserve">  </w:t>
      </w:r>
    </w:p>
    <w:p w:rsidR="00145705" w:rsidRPr="00102B65" w:rsidP="00622505" w14:paraId="186D976A" w14:textId="600159D3">
      <w:pPr>
        <w:pStyle w:val="Heading1"/>
        <w:numPr>
          <w:ilvl w:val="0"/>
          <w:numId w:val="10"/>
        </w:numPr>
        <w:ind w:left="720"/>
        <w:rPr>
          <w:rFonts w:ascii="Times New Roman" w:hAnsi="Times New Roman"/>
        </w:rPr>
      </w:pPr>
      <w:r w:rsidRPr="00102B65">
        <w:rPr>
          <w:rFonts w:ascii="Times New Roman" w:hAnsi="Times New Roman"/>
        </w:rPr>
        <w:t>BACKGROUND</w:t>
      </w:r>
    </w:p>
    <w:p w:rsidR="00145705" w:rsidRPr="00102B65" w:rsidP="00145705" w14:paraId="3F566D50" w14:textId="74077B0A">
      <w:pPr>
        <w:pStyle w:val="ParaNum"/>
      </w:pPr>
      <w:r w:rsidRPr="00102B65">
        <w:rPr>
          <w:i/>
          <w:iCs/>
        </w:rPr>
        <w:t xml:space="preserve">Legal Framework.  </w:t>
      </w:r>
      <w:r w:rsidRPr="00102B65">
        <w:t>Section 302 of the Act authorizes the Federal Communications Commission (Commission or FCC) to adopt rules, consistent with the public interest, governing the interference potential of equipment capable of emitting radio frequency (RF) energy.</w:t>
      </w:r>
      <w:r>
        <w:rPr>
          <w:rStyle w:val="FootnoteReference"/>
        </w:rPr>
        <w:footnoteReference w:id="3"/>
      </w:r>
      <w:r w:rsidRPr="00102B65">
        <w:t xml:space="preserve">  The Act also allows the Commission to authorize the use of private organizations (test labs) to test for compliance with those rules, and to establish appropriate qualifications and standards for such test labs.</w:t>
      </w:r>
      <w:r>
        <w:rPr>
          <w:rStyle w:val="FootnoteReference"/>
        </w:rPr>
        <w:footnoteReference w:id="4"/>
      </w:r>
      <w:r w:rsidRPr="00102B65">
        <w:t xml:space="preserve">  The Commission will not recognize any test lab that fails to meet all of the appropriate standards, including standards that concern the integrity and trustworthiness of the test lab.  </w:t>
      </w:r>
      <w:r w:rsidRPr="00102B65">
        <w:rPr>
          <w:szCs w:val="22"/>
        </w:rPr>
        <w:t>T</w:t>
      </w:r>
      <w:r w:rsidRPr="00102B65">
        <w:t>he Commission’s rules, in part, “ensure that [test labs] that participate in [the FCC’s] equipment authorization program are not subject to ownership, direction, or control by untrustworthy actors that pose a risk to national security.”</w:t>
      </w:r>
      <w:r>
        <w:rPr>
          <w:rStyle w:val="FootnoteReference"/>
        </w:rPr>
        <w:footnoteReference w:id="5"/>
      </w:r>
    </w:p>
    <w:p w:rsidR="00145705" w:rsidRPr="00102B65" w:rsidP="00145705" w14:paraId="71AC6B8E" w14:textId="0E17893D">
      <w:pPr>
        <w:pStyle w:val="ParaNum"/>
        <w:widowControl/>
      </w:pPr>
      <w:r w:rsidRPr="00102B65">
        <w:rPr>
          <w:szCs w:val="22"/>
        </w:rPr>
        <w:t xml:space="preserve">Section </w:t>
      </w:r>
      <w:r w:rsidRPr="00102B65">
        <w:t>2.951(d)</w:t>
      </w:r>
      <w:r w:rsidRPr="00102B65" w:rsidR="003245B1">
        <w:t>(1</w:t>
      </w:r>
      <w:r w:rsidRPr="00102B65">
        <w:t>)</w:t>
      </w:r>
      <w:r w:rsidRPr="00102B65">
        <w:rPr>
          <w:szCs w:val="22"/>
        </w:rPr>
        <w:t xml:space="preserve"> of the Commission’s rules provides that the Commission will withdraw its recognition of any laboratory that </w:t>
      </w:r>
      <w:r w:rsidRPr="00102B65">
        <w:t>is owned by, controlled by, or subject to the direction of a prohibited entity, as defined by section 2.902 of the Commission’s rules.</w:t>
      </w:r>
      <w:r>
        <w:rPr>
          <w:rStyle w:val="FootnoteReference"/>
        </w:rPr>
        <w:footnoteReference w:id="6"/>
      </w:r>
      <w:r w:rsidRPr="00102B65">
        <w:rPr>
          <w:szCs w:val="22"/>
        </w:rPr>
        <w:t xml:space="preserve">  Section 2.902 defines “owned by, controlled by, or subject to the direction of” to mean any entity:</w:t>
      </w:r>
    </w:p>
    <w:p w:rsidR="00145705" w:rsidRPr="00102B65" w:rsidP="00145705" w14:paraId="7EA70A16" w14:textId="77777777">
      <w:pPr>
        <w:pStyle w:val="ParaNum"/>
        <w:numPr>
          <w:ilvl w:val="0"/>
          <w:numId w:val="0"/>
        </w:numPr>
        <w:ind w:left="360" w:right="360"/>
        <w:jc w:val="both"/>
        <w:rPr>
          <w:snapToGrid/>
          <w:kern w:val="0"/>
          <w:sz w:val="24"/>
        </w:rPr>
      </w:pPr>
      <w:r w:rsidRPr="00102B65">
        <w:rPr>
          <w:rStyle w:val="paren"/>
        </w:rPr>
        <w:t>(</w:t>
      </w:r>
      <w:r w:rsidRPr="00102B65">
        <w:rPr>
          <w:rStyle w:val="paragraph-hierarchy"/>
        </w:rPr>
        <w:t>1</w:t>
      </w:r>
      <w:r w:rsidRPr="00102B65">
        <w:rPr>
          <w:rStyle w:val="paren"/>
        </w:rPr>
        <w:t>)</w:t>
      </w:r>
      <w:r w:rsidRPr="00102B65">
        <w:t xml:space="preserve"> In which any other entity has direct or indirect ownership or control of 10% or more equity, voting interest, or stock;</w:t>
      </w:r>
    </w:p>
    <w:p w:rsidR="00145705" w:rsidRPr="00102B65" w:rsidP="0066363C" w14:paraId="693AF696" w14:textId="77777777">
      <w:pPr>
        <w:pStyle w:val="ParaNum"/>
        <w:keepNext/>
        <w:widowControl/>
        <w:numPr>
          <w:ilvl w:val="0"/>
          <w:numId w:val="0"/>
        </w:numPr>
        <w:ind w:left="360" w:right="360"/>
        <w:jc w:val="both"/>
      </w:pPr>
      <w:r w:rsidRPr="00102B65">
        <w:rPr>
          <w:rStyle w:val="paren"/>
        </w:rPr>
        <w:t>(</w:t>
      </w:r>
      <w:r w:rsidRPr="00102B65">
        <w:rPr>
          <w:rStyle w:val="paragraph-hierarchy"/>
        </w:rPr>
        <w:t>2</w:t>
      </w:r>
      <w:r w:rsidRPr="00102B65">
        <w:rPr>
          <w:rStyle w:val="paren"/>
        </w:rPr>
        <w:t>)</w:t>
      </w:r>
      <w:r w:rsidRPr="00102B65">
        <w:t xml:space="preserve"> In which any other entity directly or indirectly possesses or has the power (whether or not exercised) to determine, direct, or decide important matters affecting the subject entity; or</w:t>
      </w:r>
    </w:p>
    <w:p w:rsidR="00145705" w:rsidRPr="00102B65" w:rsidP="00145705" w14:paraId="1612B76E" w14:textId="77777777">
      <w:pPr>
        <w:pStyle w:val="ParaNum"/>
        <w:numPr>
          <w:ilvl w:val="0"/>
          <w:numId w:val="0"/>
        </w:numPr>
        <w:ind w:left="360" w:right="360"/>
        <w:jc w:val="both"/>
      </w:pPr>
      <w:r w:rsidRPr="00102B65">
        <w:rPr>
          <w:rStyle w:val="paren"/>
        </w:rPr>
        <w:t>(</w:t>
      </w:r>
      <w:r w:rsidRPr="00102B65">
        <w:rPr>
          <w:rStyle w:val="paragraph-hierarchy"/>
        </w:rPr>
        <w:t>3</w:t>
      </w:r>
      <w:r w:rsidRPr="00102B65">
        <w:rPr>
          <w:rStyle w:val="paren"/>
        </w:rPr>
        <w:t>)</w:t>
      </w:r>
      <w:r w:rsidRPr="00102B65">
        <w:t xml:space="preserve"> That acts as an agent or representative of another entity or acts in any other capacity at the order or request of another entity or whose activities are directly or indirectly supervised, directed, controlled, financed, or subsidized in whole or in majority part, including being part of a governmental structure or hierarchy.</w:t>
      </w:r>
      <w:r>
        <w:rPr>
          <w:rStyle w:val="FootnoteReference"/>
        </w:rPr>
        <w:footnoteReference w:id="7"/>
      </w:r>
      <w:r w:rsidRPr="00102B65">
        <w:t xml:space="preserve"> </w:t>
      </w:r>
    </w:p>
    <w:p w:rsidR="00145705" w:rsidRPr="00102B65" w:rsidP="00145705" w14:paraId="6713AFC1" w14:textId="1F7C2446">
      <w:pPr>
        <w:pStyle w:val="ParaNum"/>
        <w:widowControl/>
        <w:numPr>
          <w:ilvl w:val="0"/>
          <w:numId w:val="0"/>
        </w:numPr>
      </w:pPr>
      <w:r w:rsidRPr="00102B65">
        <w:t xml:space="preserve">Section 2.902 </w:t>
      </w:r>
      <w:r w:rsidRPr="00102B65" w:rsidR="00732089">
        <w:t xml:space="preserve">of the Commission’s rules </w:t>
      </w:r>
      <w:r w:rsidRPr="00102B65">
        <w:t xml:space="preserve">defines “prohibited entities” to include entities identified as “foreign adversaries” by the </w:t>
      </w:r>
      <w:r w:rsidRPr="00102B65" w:rsidR="005501C1">
        <w:t xml:space="preserve">U.S. </w:t>
      </w:r>
      <w:r w:rsidRPr="00102B65">
        <w:t>Department of Commerce pursuant to 15 CFR § 791.4.</w:t>
      </w:r>
      <w:r>
        <w:rPr>
          <w:rStyle w:val="FootnoteReference"/>
        </w:rPr>
        <w:footnoteReference w:id="8"/>
      </w:r>
      <w:r w:rsidRPr="00102B65" w:rsidR="005501C1">
        <w:t xml:space="preserve">  The </w:t>
      </w:r>
      <w:r w:rsidRPr="00102B65" w:rsidR="00732089">
        <w:t xml:space="preserve">U.S. </w:t>
      </w:r>
      <w:r w:rsidRPr="00102B65" w:rsidR="005501C1">
        <w:t xml:space="preserve">Department of Commerce, based on numerous Executive Branch sources, has determined that the </w:t>
      </w:r>
      <w:r w:rsidRPr="00102B65" w:rsidR="00A54C64">
        <w:t>People’s Republic of China</w:t>
      </w:r>
      <w:r w:rsidRPr="00102B65" w:rsidR="000F0D56">
        <w:t xml:space="preserve"> (PRC or China)</w:t>
      </w:r>
      <w:r w:rsidRPr="00102B65" w:rsidR="005501C1">
        <w:t xml:space="preserve"> is a foreign adversary.</w:t>
      </w:r>
      <w:r>
        <w:rPr>
          <w:rStyle w:val="FootnoteReference"/>
        </w:rPr>
        <w:footnoteReference w:id="9"/>
      </w:r>
    </w:p>
    <w:p w:rsidR="006D7970" w:rsidRPr="00102B65" w:rsidP="00FE1013" w14:paraId="439B9FB1" w14:textId="3159430E">
      <w:pPr>
        <w:pStyle w:val="ParaNum"/>
      </w:pPr>
      <w:r w:rsidRPr="00102B65">
        <w:rPr>
          <w:i/>
          <w:iCs/>
        </w:rPr>
        <w:t>Factual Background.</w:t>
      </w:r>
      <w:r w:rsidRPr="00102B65">
        <w:t xml:space="preserve">  </w:t>
      </w:r>
      <w:r w:rsidRPr="00102B65" w:rsidR="00AC229D">
        <w:t xml:space="preserve">TUV/Ningbo is an accredited test laboratory based in Ningbo, Zhejiang, China that </w:t>
      </w:r>
      <w:r w:rsidRPr="00102B65" w:rsidR="00B078DD">
        <w:t xml:space="preserve">was last </w:t>
      </w:r>
      <w:r w:rsidRPr="00102B65" w:rsidR="00AC229D">
        <w:t xml:space="preserve">recognized by the FCC to test a wide range of RF devices for compliance with applicable FCC </w:t>
      </w:r>
      <w:r w:rsidRPr="00102B65" w:rsidR="00BE6021">
        <w:t xml:space="preserve">technical </w:t>
      </w:r>
      <w:r w:rsidRPr="00102B65" w:rsidR="00AC229D">
        <w:t>rules</w:t>
      </w:r>
      <w:r w:rsidRPr="00102B65" w:rsidR="00BE6021">
        <w:t xml:space="preserve"> in </w:t>
      </w:r>
      <w:r w:rsidRPr="00102B65" w:rsidR="0029176F">
        <w:t>March</w:t>
      </w:r>
      <w:r w:rsidRPr="00102B65" w:rsidR="00BE6021">
        <w:t xml:space="preserve"> of 202</w:t>
      </w:r>
      <w:r w:rsidRPr="00102B65" w:rsidR="0029176F">
        <w:t>5</w:t>
      </w:r>
      <w:r w:rsidRPr="00102B65" w:rsidR="00AC229D">
        <w:t>.</w:t>
      </w:r>
      <w:r>
        <w:rPr>
          <w:sz w:val="20"/>
          <w:vertAlign w:val="superscript"/>
        </w:rPr>
        <w:footnoteReference w:id="10"/>
      </w:r>
      <w:r w:rsidRPr="00102B65" w:rsidR="00AC229D">
        <w:t xml:space="preserve">  Since its initial accreditation, TUV/Ningbo has performed testing that contributed to hundreds of equipment certifications.  TUV/Ningbo is connected to the Chinese government through its partnership with the China Certification &amp; Inspection Group Co., Ltd. (CCIC Group).</w:t>
      </w:r>
      <w:r>
        <w:rPr>
          <w:sz w:val="20"/>
          <w:vertAlign w:val="superscript"/>
        </w:rPr>
        <w:footnoteReference w:id="11"/>
      </w:r>
      <w:r w:rsidRPr="00102B65" w:rsidR="00AC229D">
        <w:t xml:space="preserve">  </w:t>
      </w:r>
      <w:r w:rsidRPr="00102B65" w:rsidR="00BC18FE">
        <w:t>The CCIC Group is a state-owned enterprise</w:t>
      </w:r>
      <w:r w:rsidRPr="00102B65" w:rsidR="00B964CA">
        <w:t xml:space="preserve">, </w:t>
      </w:r>
      <w:r w:rsidRPr="00102B65" w:rsidR="00746C48">
        <w:t>established with the approval of the State Council of the PRC and under the supervision of the State-owned Assets Supervision and Administration Commission of the State Council (SASAC)</w:t>
      </w:r>
      <w:r w:rsidRPr="00102B65" w:rsidR="00BC18FE">
        <w:t>.</w:t>
      </w:r>
      <w:r>
        <w:rPr>
          <w:rStyle w:val="FootnoteReference"/>
        </w:rPr>
        <w:footnoteReference w:id="12"/>
      </w:r>
      <w:r w:rsidRPr="00102B65" w:rsidR="00BC18FE">
        <w:t xml:space="preserve"> </w:t>
      </w:r>
      <w:r w:rsidRPr="00102B65" w:rsidR="00461518">
        <w:t xml:space="preserve"> </w:t>
      </w:r>
      <w:r w:rsidRPr="00102B65" w:rsidR="00BC18FE">
        <w:t>SASAC exercises comprehensive control and oversight over state-owned assets and enterprises, with its functions directly mandated by the Central committee of the Chinese Communist Party.</w:t>
      </w:r>
      <w:r>
        <w:rPr>
          <w:rStyle w:val="FootnoteReference"/>
        </w:rPr>
        <w:footnoteReference w:id="13"/>
      </w:r>
      <w:r w:rsidRPr="00102B65" w:rsidR="00AC229D">
        <w:t xml:space="preserve"> </w:t>
      </w:r>
    </w:p>
    <w:p w:rsidR="00145705" w:rsidRPr="00102B65" w:rsidP="0066363C" w14:paraId="597EAE22" w14:textId="3F461C11">
      <w:pPr>
        <w:pStyle w:val="ParaNum"/>
        <w:keepNext/>
        <w:widowControl/>
        <w:rPr>
          <w:snapToGrid/>
        </w:rPr>
      </w:pPr>
      <w:r w:rsidRPr="00102B65">
        <w:t xml:space="preserve">On September 8, 2025, OET provided </w:t>
      </w:r>
      <w:r w:rsidRPr="00102B65" w:rsidR="00BB5EA8">
        <w:t xml:space="preserve">TUV/Ningbo </w:t>
      </w:r>
      <w:r w:rsidRPr="00102B65" w:rsidR="008D7438">
        <w:t xml:space="preserve">with </w:t>
      </w:r>
      <w:r w:rsidRPr="00102B65" w:rsidR="00AD52B2">
        <w:t xml:space="preserve">notice of the Commission’s intent </w:t>
      </w:r>
      <w:r w:rsidRPr="00102B65" w:rsidR="003F7449">
        <w:t>to commence proceedings concerning</w:t>
      </w:r>
      <w:r w:rsidRPr="00102B65" w:rsidR="00F7179D">
        <w:t xml:space="preserve"> </w:t>
      </w:r>
      <w:r w:rsidRPr="00102B65" w:rsidR="001A623F">
        <w:t>the</w:t>
      </w:r>
      <w:r w:rsidRPr="00102B65" w:rsidR="00490790">
        <w:t xml:space="preserve"> potential withdraw</w:t>
      </w:r>
      <w:r w:rsidRPr="00102B65" w:rsidR="00254192">
        <w:t>al</w:t>
      </w:r>
      <w:r w:rsidRPr="00102B65" w:rsidR="00490790">
        <w:t xml:space="preserve"> of </w:t>
      </w:r>
      <w:r w:rsidRPr="00102B65" w:rsidR="00FE1013">
        <w:t>r</w:t>
      </w:r>
      <w:r w:rsidRPr="00102B65" w:rsidR="00F7179D">
        <w:t xml:space="preserve">ecognition </w:t>
      </w:r>
      <w:r w:rsidRPr="00102B65" w:rsidR="00FE1013">
        <w:t xml:space="preserve">of </w:t>
      </w:r>
      <w:r w:rsidRPr="00102B65" w:rsidR="002A5400">
        <w:t>TUV/Ningbo</w:t>
      </w:r>
      <w:r w:rsidRPr="00102B65" w:rsidR="00FE1013">
        <w:t xml:space="preserve"> </w:t>
      </w:r>
      <w:r w:rsidRPr="00102B65" w:rsidR="00490790">
        <w:t>a</w:t>
      </w:r>
      <w:r w:rsidRPr="00102B65" w:rsidR="00F7179D">
        <w:t xml:space="preserve">s </w:t>
      </w:r>
      <w:r w:rsidRPr="00102B65" w:rsidR="00490790">
        <w:t>a</w:t>
      </w:r>
      <w:r w:rsidRPr="00102B65" w:rsidR="00F7179D">
        <w:t xml:space="preserve">n </w:t>
      </w:r>
      <w:r w:rsidRPr="00102B65" w:rsidR="00490790">
        <w:t>a</w:t>
      </w:r>
      <w:r w:rsidRPr="00102B65" w:rsidR="00F7179D">
        <w:t xml:space="preserve">ccredited </w:t>
      </w:r>
      <w:r w:rsidRPr="00102B65" w:rsidR="00490790">
        <w:t>t</w:t>
      </w:r>
      <w:r w:rsidRPr="00102B65" w:rsidR="00F7179D">
        <w:t>est</w:t>
      </w:r>
      <w:r w:rsidRPr="00102B65" w:rsidR="00490790">
        <w:t xml:space="preserve"> l</w:t>
      </w:r>
      <w:r w:rsidRPr="00102B65" w:rsidR="00F7179D">
        <w:t>aboratory</w:t>
      </w:r>
      <w:r w:rsidRPr="00102B65" w:rsidR="00771A04">
        <w:t>.</w:t>
      </w:r>
      <w:r>
        <w:rPr>
          <w:rStyle w:val="FootnoteReference"/>
        </w:rPr>
        <w:footnoteReference w:id="14"/>
      </w:r>
      <w:r w:rsidRPr="00102B65" w:rsidR="00FE1013">
        <w:t xml:space="preserve">  </w:t>
      </w:r>
      <w:r w:rsidRPr="00102B65" w:rsidR="006E4D4D">
        <w:t>In t</w:t>
      </w:r>
      <w:r w:rsidRPr="00102B65" w:rsidR="00910F42">
        <w:t xml:space="preserve">he </w:t>
      </w:r>
      <w:r w:rsidRPr="00102B65" w:rsidR="00910F42">
        <w:rPr>
          <w:i/>
          <w:iCs/>
        </w:rPr>
        <w:t>Notice</w:t>
      </w:r>
      <w:r w:rsidRPr="00102B65" w:rsidR="00B0294A">
        <w:t>,</w:t>
      </w:r>
      <w:r w:rsidRPr="00102B65" w:rsidR="00910F42">
        <w:t xml:space="preserve"> </w:t>
      </w:r>
      <w:r w:rsidRPr="00102B65" w:rsidR="006E4D4D">
        <w:t>OET tentatively determined that</w:t>
      </w:r>
      <w:r w:rsidRPr="00102B65" w:rsidR="00110547">
        <w:t xml:space="preserve"> the</w:t>
      </w:r>
      <w:r w:rsidRPr="00102B65" w:rsidR="00424D19">
        <w:t xml:space="preserve"> Company</w:t>
      </w:r>
      <w:r w:rsidRPr="00102B65" w:rsidR="00110547">
        <w:t xml:space="preserve"> </w:t>
      </w:r>
      <w:r w:rsidRPr="00102B65" w:rsidR="00F86854">
        <w:t>is</w:t>
      </w:r>
      <w:r w:rsidRPr="00102B65" w:rsidR="00AA0DAC">
        <w:t xml:space="preserve"> owned by, controlled by, or subject to the direction of a prohibited entity</w:t>
      </w:r>
      <w:r w:rsidRPr="00102B65" w:rsidR="00110547">
        <w:t>.</w:t>
      </w:r>
      <w:r>
        <w:rPr>
          <w:rStyle w:val="FootnoteReference"/>
        </w:rPr>
        <w:footnoteReference w:id="15"/>
      </w:r>
      <w:r w:rsidRPr="00102B65" w:rsidR="002D65F7">
        <w:t xml:space="preserve"> </w:t>
      </w:r>
      <w:r w:rsidRPr="00102B65" w:rsidR="0014269B">
        <w:t xml:space="preserve"> </w:t>
      </w:r>
      <w:r w:rsidRPr="00102B65" w:rsidR="00941EFB">
        <w:t xml:space="preserve">Because the PRC controls </w:t>
      </w:r>
      <w:r w:rsidRPr="00102B65" w:rsidR="00136592">
        <w:t xml:space="preserve">the State Council and </w:t>
      </w:r>
      <w:r w:rsidRPr="00102B65" w:rsidR="00391471">
        <w:t xml:space="preserve">the </w:t>
      </w:r>
      <w:r w:rsidRPr="00102B65" w:rsidR="00DE055A">
        <w:t>SASAC</w:t>
      </w:r>
      <w:r w:rsidRPr="00102B65" w:rsidR="00C3311B">
        <w:t xml:space="preserve">, which in turn </w:t>
      </w:r>
      <w:r w:rsidRPr="00102B65" w:rsidR="00AA00BE">
        <w:t>controls</w:t>
      </w:r>
      <w:r w:rsidRPr="00102B65" w:rsidR="00C3311B">
        <w:t xml:space="preserve"> the </w:t>
      </w:r>
      <w:r w:rsidRPr="00102B65" w:rsidR="00235C19">
        <w:t>CCIC Group</w:t>
      </w:r>
      <w:r w:rsidRPr="00102B65" w:rsidR="00941EFB">
        <w:t>,</w:t>
      </w:r>
      <w:r>
        <w:rPr>
          <w:rStyle w:val="FootnoteReference"/>
        </w:rPr>
        <w:footnoteReference w:id="16"/>
      </w:r>
      <w:r w:rsidRPr="00102B65" w:rsidR="00941EFB">
        <w:t xml:space="preserve"> t</w:t>
      </w:r>
      <w:r w:rsidRPr="00102B65" w:rsidR="003A400A">
        <w:t xml:space="preserve">he </w:t>
      </w:r>
      <w:r w:rsidRPr="00102B65" w:rsidR="003A400A">
        <w:rPr>
          <w:i/>
          <w:iCs/>
        </w:rPr>
        <w:t>Notice</w:t>
      </w:r>
      <w:r w:rsidRPr="00102B65" w:rsidR="003A400A">
        <w:t xml:space="preserve"> </w:t>
      </w:r>
      <w:r w:rsidRPr="00102B65">
        <w:t>tentatively determine</w:t>
      </w:r>
      <w:r w:rsidRPr="00102B65" w:rsidR="003A400A">
        <w:t>d</w:t>
      </w:r>
      <w:r w:rsidRPr="00102B65">
        <w:t xml:space="preserve"> that the PRC directly or indirectly has the power</w:t>
      </w:r>
      <w:r w:rsidRPr="00102B65" w:rsidR="00EA2ED6">
        <w:t xml:space="preserve"> (whether or not exercised)</w:t>
      </w:r>
      <w:r w:rsidRPr="00102B65">
        <w:t xml:space="preserve"> </w:t>
      </w:r>
      <w:r w:rsidRPr="00102B65" w:rsidR="004A3AE0">
        <w:t>“</w:t>
      </w:r>
      <w:r w:rsidRPr="00102B65">
        <w:t>to determine, direct, or decide important matters</w:t>
      </w:r>
      <w:r w:rsidRPr="00102B65" w:rsidR="004A3AE0">
        <w:t>”</w:t>
      </w:r>
      <w:r w:rsidRPr="00102B65" w:rsidR="00991787">
        <w:t xml:space="preserve"> </w:t>
      </w:r>
      <w:r w:rsidRPr="00102B65">
        <w:t xml:space="preserve">that affect </w:t>
      </w:r>
      <w:r w:rsidRPr="00102B65" w:rsidR="00C0498D">
        <w:t>TUV/Ningbo</w:t>
      </w:r>
      <w:r w:rsidRPr="00102B65" w:rsidR="00941EFB">
        <w:t>.</w:t>
      </w:r>
      <w:r w:rsidRPr="00102B65" w:rsidR="009503D8">
        <w:t xml:space="preserve"> </w:t>
      </w:r>
      <w:r w:rsidRPr="00102B65" w:rsidR="00941EFB">
        <w:t xml:space="preserve"> </w:t>
      </w:r>
      <w:r w:rsidRPr="00102B65" w:rsidR="001F1F13">
        <w:t xml:space="preserve">OET also tentatively determined that </w:t>
      </w:r>
      <w:r w:rsidRPr="00102B65" w:rsidR="00C0498D">
        <w:t>TUV/Ningbo</w:t>
      </w:r>
      <w:r w:rsidRPr="00102B65">
        <w:t xml:space="preserve"> acts “at the order or request of another entity,” or is an entity “whose activities are </w:t>
      </w:r>
      <w:r w:rsidRPr="00102B65" w:rsidR="005932EC">
        <w:t xml:space="preserve">directly </w:t>
      </w:r>
      <w:r w:rsidRPr="00102B65">
        <w:t>or indirectly supervised, directed, controlled, financed, or subsidized in whole or in majority part, including being part of a governmental structure or hierarchy.”</w:t>
      </w:r>
      <w:r>
        <w:rPr>
          <w:rStyle w:val="FootnoteReference"/>
        </w:rPr>
        <w:footnoteReference w:id="17"/>
      </w:r>
      <w:r w:rsidRPr="00102B65">
        <w:t xml:space="preserve">  </w:t>
      </w:r>
      <w:r w:rsidRPr="00102B65" w:rsidR="008D3EFE">
        <w:t>T</w:t>
      </w:r>
      <w:r w:rsidRPr="00102B65" w:rsidR="00796389">
        <w:t xml:space="preserve">he </w:t>
      </w:r>
      <w:r w:rsidRPr="00102B65" w:rsidR="00796389">
        <w:rPr>
          <w:i/>
          <w:iCs/>
        </w:rPr>
        <w:t>Notice</w:t>
      </w:r>
      <w:r w:rsidRPr="00102B65" w:rsidR="00796389">
        <w:t xml:space="preserve"> </w:t>
      </w:r>
      <w:r w:rsidRPr="00102B65" w:rsidR="00D441D6">
        <w:t xml:space="preserve">thus </w:t>
      </w:r>
      <w:r w:rsidRPr="00102B65" w:rsidR="00564F13">
        <w:t xml:space="preserve">tentatively determined that </w:t>
      </w:r>
      <w:r w:rsidRPr="00102B65" w:rsidR="00EE4303">
        <w:t>TUV/</w:t>
      </w:r>
      <w:r w:rsidRPr="00102B65" w:rsidR="00C0498D">
        <w:t>Ningbo</w:t>
      </w:r>
      <w:r w:rsidRPr="00102B65" w:rsidR="00564F13">
        <w:t xml:space="preserve"> is</w:t>
      </w:r>
      <w:r w:rsidRPr="00102B65">
        <w:t xml:space="preserve"> </w:t>
      </w:r>
      <w:r w:rsidRPr="00102B65" w:rsidR="008D3EFE">
        <w:t xml:space="preserve">owned by, controlled by, or subject to </w:t>
      </w:r>
      <w:r w:rsidRPr="00102B65">
        <w:t xml:space="preserve">control by and </w:t>
      </w:r>
      <w:r w:rsidRPr="00102B65" w:rsidR="00F24BF1">
        <w:t xml:space="preserve">at </w:t>
      </w:r>
      <w:r w:rsidRPr="00102B65" w:rsidR="00082B62">
        <w:t xml:space="preserve">the </w:t>
      </w:r>
      <w:r w:rsidRPr="00102B65">
        <w:t xml:space="preserve">direction of </w:t>
      </w:r>
      <w:r w:rsidRPr="00102B65" w:rsidR="00600744">
        <w:t>the PRC</w:t>
      </w:r>
      <w:r w:rsidRPr="00102B65" w:rsidR="00C826D4">
        <w:t xml:space="preserve"> (</w:t>
      </w:r>
      <w:r w:rsidRPr="00102B65" w:rsidR="008D3EFE">
        <w:t>a prohibited entity</w:t>
      </w:r>
      <w:r w:rsidRPr="00102B65" w:rsidR="00C826D4">
        <w:t>)</w:t>
      </w:r>
      <w:r w:rsidRPr="00102B65" w:rsidR="00565E9D">
        <w:t xml:space="preserve"> and provided the Company with an opportunity to respond</w:t>
      </w:r>
      <w:r w:rsidRPr="00102B65" w:rsidR="004E171E">
        <w:t xml:space="preserve"> to </w:t>
      </w:r>
      <w:r w:rsidRPr="00102B65" w:rsidR="00C57895">
        <w:t>th</w:t>
      </w:r>
      <w:r w:rsidRPr="00102B65" w:rsidR="00976568">
        <w:t xml:space="preserve">e </w:t>
      </w:r>
      <w:r w:rsidRPr="00102B65" w:rsidR="00976568">
        <w:rPr>
          <w:i/>
          <w:iCs/>
        </w:rPr>
        <w:t xml:space="preserve">Notice </w:t>
      </w:r>
      <w:r w:rsidRPr="00102B65" w:rsidR="00674BE1">
        <w:t xml:space="preserve">by October </w:t>
      </w:r>
      <w:r w:rsidRPr="00102B65" w:rsidR="00F90690">
        <w:t>14, 2025</w:t>
      </w:r>
      <w:r w:rsidRPr="00102B65">
        <w:t>.</w:t>
      </w:r>
      <w:r>
        <w:rPr>
          <w:rStyle w:val="FootnoteReference"/>
        </w:rPr>
        <w:footnoteReference w:id="18"/>
      </w:r>
    </w:p>
    <w:p w:rsidR="00AD778D" w:rsidRPr="00102B65" w:rsidP="00FA5FFF" w14:paraId="67FC3AD9" w14:textId="77777777">
      <w:pPr>
        <w:pStyle w:val="ParaNum"/>
      </w:pPr>
      <w:r w:rsidRPr="00102B65">
        <w:t>On October 1</w:t>
      </w:r>
      <w:r w:rsidRPr="00102B65" w:rsidR="007343C1">
        <w:t>1</w:t>
      </w:r>
      <w:r w:rsidRPr="00102B65">
        <w:t xml:space="preserve">, 2025, </w:t>
      </w:r>
      <w:r w:rsidRPr="00102B65" w:rsidR="007343C1">
        <w:t>TUV/Ningbo</w:t>
      </w:r>
      <w:r w:rsidRPr="00102B65">
        <w:t xml:space="preserve"> submitted </w:t>
      </w:r>
      <w:r w:rsidRPr="00102B65" w:rsidR="00B96D31">
        <w:t>its</w:t>
      </w:r>
      <w:r w:rsidRPr="00102B65">
        <w:t xml:space="preserve"> response </w:t>
      </w:r>
      <w:r w:rsidRPr="00102B65" w:rsidR="00B96D31">
        <w:t xml:space="preserve">to the </w:t>
      </w:r>
      <w:r w:rsidRPr="00102B65" w:rsidR="00B96D31">
        <w:rPr>
          <w:i/>
          <w:iCs/>
        </w:rPr>
        <w:t>Notice.</w:t>
      </w:r>
      <w:r>
        <w:rPr>
          <w:rStyle w:val="FootnoteReference"/>
        </w:rPr>
        <w:footnoteReference w:id="19"/>
      </w:r>
      <w:r w:rsidRPr="00102B65" w:rsidR="00B96D31">
        <w:rPr>
          <w:i/>
          <w:iCs/>
        </w:rPr>
        <w:t xml:space="preserve">  </w:t>
      </w:r>
      <w:r w:rsidRPr="00102B65" w:rsidR="000B27EF">
        <w:t xml:space="preserve">TUV/Ningbo </w:t>
      </w:r>
      <w:r w:rsidRPr="00102B65" w:rsidR="004F45F8">
        <w:t>oppos</w:t>
      </w:r>
      <w:r w:rsidRPr="00102B65" w:rsidR="0003624C">
        <w:t>ed</w:t>
      </w:r>
      <w:r w:rsidRPr="00102B65" w:rsidR="008408E0">
        <w:t xml:space="preserve"> </w:t>
      </w:r>
      <w:r w:rsidRPr="00102B65" w:rsidR="00E1432D">
        <w:t>the Commission</w:t>
      </w:r>
      <w:r w:rsidRPr="00102B65" w:rsidR="000E49CF">
        <w:t xml:space="preserve">’s </w:t>
      </w:r>
      <w:r w:rsidRPr="00102B65" w:rsidR="0003624C">
        <w:t>action</w:t>
      </w:r>
      <w:r w:rsidRPr="00102B65" w:rsidR="00156417">
        <w:t>, stating that</w:t>
      </w:r>
      <w:r w:rsidRPr="00102B65">
        <w:t>:</w:t>
      </w:r>
    </w:p>
    <w:p w:rsidR="00CF2D15" w:rsidRPr="00102B65" w:rsidP="006E2F4F" w14:paraId="473E0295" w14:textId="6DA58970">
      <w:pPr>
        <w:widowControl/>
        <w:autoSpaceDE w:val="0"/>
        <w:autoSpaceDN w:val="0"/>
        <w:adjustRightInd w:val="0"/>
        <w:ind w:left="720" w:right="720"/>
        <w:jc w:val="both"/>
      </w:pPr>
      <w:r w:rsidRPr="00102B65">
        <w:rPr>
          <w:rFonts w:eastAsiaTheme="minorHAnsi"/>
          <w:snapToGrid/>
          <w:kern w:val="0"/>
          <w:szCs w:val="22"/>
          <w14:ligatures w14:val="standardContextual"/>
        </w:rPr>
        <w:t>[T]he requirements for withdrawal under Sect. 2[.]951 (d)(1) and (e) of the FCC Rules are not</w:t>
      </w:r>
      <w:r w:rsidRPr="00102B65" w:rsidR="00BD5C90">
        <w:rPr>
          <w:rFonts w:eastAsiaTheme="minorHAnsi"/>
          <w:snapToGrid/>
          <w:kern w:val="0"/>
          <w:szCs w:val="22"/>
          <w14:ligatures w14:val="standardContextual"/>
        </w:rPr>
        <w:t xml:space="preserve"> </w:t>
      </w:r>
      <w:r w:rsidRPr="00102B65">
        <w:rPr>
          <w:rFonts w:eastAsiaTheme="minorHAnsi"/>
          <w:snapToGrid/>
          <w:kern w:val="0"/>
          <w:szCs w:val="22"/>
          <w14:ligatures w14:val="standardContextual"/>
        </w:rPr>
        <w:t xml:space="preserve">satisfied as the company controlling the accredited laboratory is TÜV </w:t>
      </w:r>
      <w:r w:rsidRPr="00102B65">
        <w:rPr>
          <w:rFonts w:eastAsiaTheme="minorHAnsi"/>
          <w:snapToGrid/>
          <w:kern w:val="0"/>
          <w:szCs w:val="22"/>
          <w14:ligatures w14:val="standardContextual"/>
        </w:rPr>
        <w:t>Rheinland</w:t>
      </w:r>
      <w:r w:rsidRPr="00102B65">
        <w:rPr>
          <w:rFonts w:eastAsiaTheme="minorHAnsi"/>
          <w:snapToGrid/>
          <w:kern w:val="0"/>
          <w:szCs w:val="22"/>
          <w14:ligatures w14:val="standardContextual"/>
        </w:rPr>
        <w:t xml:space="preserve"> (China) Ltd.</w:t>
      </w:r>
      <w:r w:rsidRPr="00102B65" w:rsidR="00BD5C90">
        <w:rPr>
          <w:rFonts w:eastAsiaTheme="minorHAnsi"/>
          <w:snapToGrid/>
          <w:kern w:val="0"/>
          <w:szCs w:val="22"/>
          <w14:ligatures w14:val="standardContextual"/>
        </w:rPr>
        <w:t xml:space="preserve"> </w:t>
      </w:r>
      <w:r w:rsidRPr="00102B65">
        <w:rPr>
          <w:rFonts w:eastAsiaTheme="minorHAnsi"/>
          <w:snapToGrid/>
          <w:kern w:val="0"/>
          <w:szCs w:val="22"/>
          <w14:ligatures w14:val="standardContextual"/>
        </w:rPr>
        <w:t>(“TR”) rather than China Certification &amp; Inspection Group Co., Ltd. (“CCIC”). TR is a Chinese</w:t>
      </w:r>
      <w:r w:rsidRPr="00102B65" w:rsidR="00BD5C90">
        <w:rPr>
          <w:rFonts w:eastAsiaTheme="minorHAnsi"/>
          <w:snapToGrid/>
          <w:kern w:val="0"/>
          <w:szCs w:val="22"/>
          <w14:ligatures w14:val="standardContextual"/>
        </w:rPr>
        <w:t xml:space="preserve"> </w:t>
      </w:r>
      <w:r w:rsidRPr="00102B65">
        <w:rPr>
          <w:rFonts w:eastAsiaTheme="minorHAnsi"/>
          <w:snapToGrid/>
          <w:kern w:val="0"/>
          <w:szCs w:val="22"/>
          <w14:ligatures w14:val="standardContextual"/>
        </w:rPr>
        <w:t xml:space="preserve">entity indirectly controlled by TÜV </w:t>
      </w:r>
      <w:r w:rsidRPr="00102B65">
        <w:rPr>
          <w:rFonts w:eastAsiaTheme="minorHAnsi"/>
          <w:snapToGrid/>
          <w:kern w:val="0"/>
          <w:szCs w:val="22"/>
          <w14:ligatures w14:val="standardContextual"/>
        </w:rPr>
        <w:t>Rheinland</w:t>
      </w:r>
      <w:r w:rsidRPr="00102B65">
        <w:rPr>
          <w:rFonts w:eastAsiaTheme="minorHAnsi"/>
          <w:snapToGrid/>
          <w:kern w:val="0"/>
          <w:szCs w:val="22"/>
          <w14:ligatures w14:val="standardContextual"/>
        </w:rPr>
        <w:t xml:space="preserve"> AG, a company organized under the laws of and</w:t>
      </w:r>
      <w:r w:rsidRPr="00102B65" w:rsidR="00BD5C90">
        <w:rPr>
          <w:rFonts w:eastAsiaTheme="minorHAnsi"/>
          <w:snapToGrid/>
          <w:kern w:val="0"/>
          <w:szCs w:val="22"/>
          <w14:ligatures w14:val="standardContextual"/>
        </w:rPr>
        <w:t xml:space="preserve"> </w:t>
      </w:r>
      <w:r w:rsidRPr="00102B65">
        <w:rPr>
          <w:rFonts w:eastAsiaTheme="minorHAnsi"/>
          <w:snapToGrid/>
          <w:kern w:val="0"/>
          <w:szCs w:val="22"/>
          <w14:ligatures w14:val="standardContextual"/>
        </w:rPr>
        <w:t>domiciled in the Federal Republic of Germany. In this respect, the Company is not under the control or direction of a prohibited entity in the sense of Sect. 2[.]902 of the FCC Rules</w:t>
      </w:r>
      <w:r w:rsidRPr="00102B65" w:rsidR="006E5B4B">
        <w:t>.</w:t>
      </w:r>
      <w:r>
        <w:rPr>
          <w:rStyle w:val="FootnoteReference"/>
        </w:rPr>
        <w:footnoteReference w:id="20"/>
      </w:r>
      <w:r w:rsidRPr="00102B65" w:rsidR="006E5B4B">
        <w:t xml:space="preserve">  </w:t>
      </w:r>
    </w:p>
    <w:p w:rsidR="00FC6412" w:rsidRPr="00102B65" w:rsidP="006E2F4F" w14:paraId="79DB73A2" w14:textId="77777777">
      <w:pPr>
        <w:widowControl/>
        <w:autoSpaceDE w:val="0"/>
        <w:autoSpaceDN w:val="0"/>
        <w:adjustRightInd w:val="0"/>
        <w:ind w:left="720"/>
      </w:pPr>
    </w:p>
    <w:p w:rsidR="00CB5E97" w:rsidRPr="00102B65" w:rsidP="00E517E8" w14:paraId="15D5D5F1" w14:textId="11C6A5FD">
      <w:pPr>
        <w:pStyle w:val="ParaNum"/>
      </w:pPr>
      <w:r w:rsidRPr="00102B65">
        <w:t>TUV/Ningbo also submitted an unofficial English-language translation of its Articles of Association.</w:t>
      </w:r>
      <w:r w:rsidRPr="00102B65" w:rsidR="00E517E8">
        <w:t xml:space="preserve"> </w:t>
      </w:r>
      <w:r w:rsidRPr="00102B65">
        <w:t xml:space="preserve"> According to the submitted document, CCIC was one of two shareholders in the </w:t>
      </w:r>
      <w:r w:rsidRPr="00102B65" w:rsidR="00BD12C9">
        <w:t>C</w:t>
      </w:r>
      <w:r w:rsidRPr="00102B65">
        <w:t>ompany, and CCIC’s capital contribution to establishing the Company “account[ed] for 49% of the registered capital[.]”</w:t>
      </w:r>
      <w:r>
        <w:rPr>
          <w:rStyle w:val="FootnoteReference"/>
        </w:rPr>
        <w:footnoteReference w:id="21"/>
      </w:r>
      <w:r w:rsidRPr="00102B65">
        <w:t xml:space="preserve">  The document also states that CCIC was required to appoint two of the five directors on the</w:t>
      </w:r>
      <w:r w:rsidRPr="00102B65" w:rsidR="002F6BA1">
        <w:t xml:space="preserve"> </w:t>
      </w:r>
      <w:r w:rsidRPr="00102B65">
        <w:t>Company’s board, and required certain matters to be decided by a unanimous vote of the board.</w:t>
      </w:r>
      <w:r>
        <w:rPr>
          <w:rStyle w:val="FootnoteReference"/>
        </w:rPr>
        <w:footnoteReference w:id="22"/>
      </w:r>
      <w:r w:rsidRPr="00102B65">
        <w:t xml:space="preserve"> </w:t>
      </w:r>
      <w:r w:rsidRPr="00102B65" w:rsidR="00E517E8">
        <w:t xml:space="preserve"> </w:t>
      </w:r>
      <w:r w:rsidRPr="00102B65">
        <w:t>The</w:t>
      </w:r>
      <w:r w:rsidRPr="00102B65" w:rsidR="002F6BA1">
        <w:t xml:space="preserve"> </w:t>
      </w:r>
      <w:r w:rsidRPr="00102B65">
        <w:t>document further states that the interpretation and dispute resolution of Articles of Association “shall be</w:t>
      </w:r>
      <w:r w:rsidRPr="00102B65" w:rsidR="00E517E8">
        <w:t xml:space="preserve"> </w:t>
      </w:r>
      <w:r w:rsidRPr="00102B65">
        <w:t>governed by the relevant laws and regulations of the People’s Republic of China.”</w:t>
      </w:r>
      <w:r>
        <w:rPr>
          <w:rStyle w:val="FootnoteReference"/>
        </w:rPr>
        <w:footnoteReference w:id="23"/>
      </w:r>
    </w:p>
    <w:p w:rsidR="00CC7AB7" w:rsidRPr="00102B65" w:rsidP="006E2F4F" w14:paraId="4F0B1FE6" w14:textId="07BA6C35">
      <w:pPr>
        <w:pStyle w:val="ParaNum"/>
        <w:widowControl/>
      </w:pPr>
      <w:r w:rsidRPr="00102B65">
        <w:t>O</w:t>
      </w:r>
      <w:r w:rsidRPr="00102B65" w:rsidR="00426393">
        <w:t>n</w:t>
      </w:r>
      <w:r w:rsidRPr="00102B65" w:rsidR="00722AE3">
        <w:t xml:space="preserve"> October 24, 2025,</w:t>
      </w:r>
      <w:r w:rsidRPr="00102B65" w:rsidR="00C77604">
        <w:t xml:space="preserve"> OET</w:t>
      </w:r>
      <w:r w:rsidRPr="00102B65" w:rsidR="007936AA">
        <w:t xml:space="preserve"> </w:t>
      </w:r>
      <w:r w:rsidRPr="00102B65" w:rsidR="00AD2001">
        <w:t xml:space="preserve">commenced </w:t>
      </w:r>
      <w:r w:rsidRPr="00102B65" w:rsidR="003104CE">
        <w:t xml:space="preserve">a </w:t>
      </w:r>
      <w:r w:rsidRPr="00102B65" w:rsidR="00AD2001">
        <w:t xml:space="preserve">proceeding to withdraw recognition of </w:t>
      </w:r>
      <w:r w:rsidRPr="00102B65" w:rsidR="004E38B6">
        <w:t xml:space="preserve">TUV/Ningbo </w:t>
      </w:r>
      <w:r w:rsidRPr="00102B65" w:rsidR="00AD2001">
        <w:t>as an accredited test laboratory</w:t>
      </w:r>
      <w:r w:rsidRPr="00102B65" w:rsidR="0058618C">
        <w:t>.</w:t>
      </w:r>
      <w:r>
        <w:rPr>
          <w:rStyle w:val="FootnoteReference"/>
        </w:rPr>
        <w:footnoteReference w:id="24"/>
      </w:r>
      <w:r w:rsidRPr="00102B65" w:rsidR="004E59ED">
        <w:t xml:space="preserve"> </w:t>
      </w:r>
      <w:r w:rsidRPr="00102B65" w:rsidR="00722AE3">
        <w:t xml:space="preserve"> </w:t>
      </w:r>
      <w:r w:rsidRPr="00102B65" w:rsidR="00232F77">
        <w:t xml:space="preserve">OET </w:t>
      </w:r>
      <w:r w:rsidRPr="00102B65" w:rsidR="00675383">
        <w:t xml:space="preserve">considered </w:t>
      </w:r>
      <w:r w:rsidRPr="00102B65" w:rsidR="008D76D1">
        <w:t xml:space="preserve">the Company’s </w:t>
      </w:r>
      <w:r w:rsidRPr="00102B65">
        <w:t xml:space="preserve">Response, </w:t>
      </w:r>
      <w:r w:rsidRPr="00102B65" w:rsidR="008F6BEF">
        <w:t xml:space="preserve">including </w:t>
      </w:r>
      <w:r w:rsidRPr="00102B65" w:rsidR="008B45F9">
        <w:t xml:space="preserve">the </w:t>
      </w:r>
      <w:r w:rsidRPr="00102B65" w:rsidR="008B45F9">
        <w:t xml:space="preserve">Company’s </w:t>
      </w:r>
      <w:r w:rsidRPr="00102B65" w:rsidR="00CF00E6">
        <w:t xml:space="preserve">opposition to the proceeding and its </w:t>
      </w:r>
      <w:r w:rsidRPr="00102B65" w:rsidR="000E4F37">
        <w:t xml:space="preserve">assertion that it is not under the control </w:t>
      </w:r>
      <w:r w:rsidRPr="00102B65" w:rsidR="009E5F01">
        <w:t>or direction of a prohibited entity because of its corporate govern</w:t>
      </w:r>
      <w:r w:rsidRPr="00102B65" w:rsidR="0067292B">
        <w:t>ance structure.</w:t>
      </w:r>
      <w:r>
        <w:rPr>
          <w:rStyle w:val="FootnoteReference"/>
        </w:rPr>
        <w:footnoteReference w:id="25"/>
      </w:r>
      <w:r w:rsidRPr="00102B65" w:rsidR="009E2D94">
        <w:t xml:space="preserve">  </w:t>
      </w:r>
      <w:r w:rsidRPr="00102B65" w:rsidR="008D3C90">
        <w:t xml:space="preserve">OET </w:t>
      </w:r>
      <w:r w:rsidRPr="00102B65" w:rsidR="00E77747">
        <w:t xml:space="preserve">noted </w:t>
      </w:r>
      <w:r w:rsidRPr="00102B65" w:rsidR="00E33C9A">
        <w:t xml:space="preserve">that TUV/Ningbo’s </w:t>
      </w:r>
      <w:r w:rsidRPr="00102B65" w:rsidR="00B951FD">
        <w:t xml:space="preserve">corporate governance document </w:t>
      </w:r>
      <w:r w:rsidRPr="00102B65" w:rsidR="001A0A2E">
        <w:t>indicates that CCIC is a shareholder in the joint venture and contributed 49% of the founding capital</w:t>
      </w:r>
      <w:r w:rsidRPr="00102B65" w:rsidR="009D4948">
        <w:t xml:space="preserve">, </w:t>
      </w:r>
      <w:r w:rsidRPr="00102B65" w:rsidR="00F4386F">
        <w:t>CCIC was required to appoint two of the five directors</w:t>
      </w:r>
      <w:r w:rsidRPr="00102B65" w:rsidR="00B74CE7">
        <w:t xml:space="preserve"> on the Company’s board</w:t>
      </w:r>
      <w:r w:rsidRPr="00102B65" w:rsidR="00F4386F">
        <w:t>,</w:t>
      </w:r>
      <w:r w:rsidRPr="00102B65" w:rsidR="00965F52">
        <w:t xml:space="preserve"> and that</w:t>
      </w:r>
      <w:r w:rsidRPr="00102B65" w:rsidR="004359E5">
        <w:t xml:space="preserve"> the document specifies </w:t>
      </w:r>
      <w:r w:rsidRPr="00102B65" w:rsidR="00B951FD">
        <w:t>certain matters that must be decided by a unanimous vote of the board of directors.</w:t>
      </w:r>
      <w:r>
        <w:rPr>
          <w:rStyle w:val="FootnoteReference"/>
        </w:rPr>
        <w:footnoteReference w:id="26"/>
      </w:r>
      <w:r w:rsidRPr="00102B65" w:rsidR="00F4386F">
        <w:t xml:space="preserve">  Finally, OET </w:t>
      </w:r>
      <w:r w:rsidRPr="00102B65" w:rsidR="003E2A0D">
        <w:t>indicated that</w:t>
      </w:r>
      <w:r w:rsidRPr="00102B65" w:rsidR="00431D09">
        <w:t xml:space="preserve"> the document </w:t>
      </w:r>
      <w:r w:rsidRPr="00102B65" w:rsidR="00CC6E29">
        <w:t xml:space="preserve">states that interpretation and dispute resolution of the Articles of Association “shall be governed by the relevant laws and regulations of the People’s </w:t>
      </w:r>
      <w:r w:rsidRPr="00102B65" w:rsidR="00D02846">
        <w:t>R</w:t>
      </w:r>
      <w:r w:rsidRPr="00102B65" w:rsidR="00CC6E29">
        <w:t>epublic of China.”</w:t>
      </w:r>
      <w:r>
        <w:rPr>
          <w:rStyle w:val="FootnoteReference"/>
        </w:rPr>
        <w:footnoteReference w:id="27"/>
      </w:r>
    </w:p>
    <w:p w:rsidR="00D20F99" w:rsidRPr="00102B65" w:rsidP="00FA5FFF" w14:paraId="47C92065" w14:textId="7992185C">
      <w:pPr>
        <w:pStyle w:val="ParaNum"/>
      </w:pPr>
      <w:r w:rsidRPr="00102B65">
        <w:t>OET</w:t>
      </w:r>
      <w:r w:rsidRPr="00102B65" w:rsidR="00C44125">
        <w:t xml:space="preserve"> </w:t>
      </w:r>
      <w:r w:rsidRPr="00102B65" w:rsidR="00AD2001">
        <w:t xml:space="preserve">concluded that </w:t>
      </w:r>
      <w:r w:rsidRPr="00102B65" w:rsidR="00E86CF3">
        <w:t xml:space="preserve">TUV/Ningbo </w:t>
      </w:r>
      <w:r w:rsidRPr="00102B65" w:rsidR="00AD2001">
        <w:t xml:space="preserve">failed to demonstrate why the Commission should not begin </w:t>
      </w:r>
      <w:r w:rsidRPr="00102B65" w:rsidR="007A7218">
        <w:t xml:space="preserve">a </w:t>
      </w:r>
      <w:r w:rsidRPr="00102B65" w:rsidR="00AD2001">
        <w:t>proceeding to withdraw recognition of the Company as an accredited test laboratory</w:t>
      </w:r>
      <w:r w:rsidRPr="00102B65" w:rsidR="003104CE">
        <w:t>.</w:t>
      </w:r>
      <w:r>
        <w:rPr>
          <w:rStyle w:val="FootnoteReference"/>
        </w:rPr>
        <w:footnoteReference w:id="28"/>
      </w:r>
      <w:r w:rsidRPr="00102B65" w:rsidR="001A4894">
        <w:t xml:space="preserve">  </w:t>
      </w:r>
      <w:r w:rsidRPr="00102B65" w:rsidR="0064345F">
        <w:t xml:space="preserve">Accordingly, </w:t>
      </w:r>
      <w:r w:rsidRPr="00102B65" w:rsidR="00AB014B">
        <w:t>OET initiated a</w:t>
      </w:r>
      <w:r w:rsidRPr="00102B65" w:rsidR="009F0823">
        <w:t xml:space="preserve"> </w:t>
      </w:r>
      <w:r w:rsidRPr="00102B65" w:rsidR="001B5798">
        <w:t xml:space="preserve">proceeding pursuant to section 302(e) of the Act and sections 2.951(d) and (e) of the Commission’s rules to reach a final determination on whether to withdraw recognition of </w:t>
      </w:r>
      <w:r w:rsidRPr="00102B65" w:rsidR="00192AD6">
        <w:t>TUV/Ningbo</w:t>
      </w:r>
      <w:r w:rsidRPr="00102B65" w:rsidR="001B5798">
        <w:t xml:space="preserve"> as an accredited test laboratory.</w:t>
      </w:r>
      <w:r>
        <w:rPr>
          <w:sz w:val="20"/>
          <w:vertAlign w:val="superscript"/>
        </w:rPr>
        <w:footnoteReference w:id="29"/>
      </w:r>
      <w:r w:rsidRPr="00102B65" w:rsidR="001B5798">
        <w:t xml:space="preserve">  </w:t>
      </w:r>
      <w:r w:rsidRPr="00102B65" w:rsidR="004C7769">
        <w:t xml:space="preserve">The </w:t>
      </w:r>
      <w:r w:rsidRPr="00102B65" w:rsidR="004C7769">
        <w:rPr>
          <w:i/>
          <w:iCs/>
        </w:rPr>
        <w:t>Order Instituting Proceeding</w:t>
      </w:r>
      <w:r w:rsidRPr="00102B65" w:rsidR="004C7769">
        <w:t xml:space="preserve"> </w:t>
      </w:r>
      <w:r w:rsidRPr="00102B65" w:rsidR="00FB79DD">
        <w:t>provided</w:t>
      </w:r>
      <w:r w:rsidRPr="00102B65" w:rsidR="00901B3E">
        <w:t xml:space="preserve"> the Company </w:t>
      </w:r>
      <w:r w:rsidRPr="00102B65" w:rsidR="00DE4933">
        <w:t xml:space="preserve">an </w:t>
      </w:r>
      <w:r w:rsidRPr="00102B65" w:rsidR="00901B3E">
        <w:t xml:space="preserve">opportunity to </w:t>
      </w:r>
      <w:r w:rsidRPr="00102B65" w:rsidR="00A61D12">
        <w:t>file a response</w:t>
      </w:r>
      <w:r w:rsidRPr="00102B65" w:rsidR="00FD13F4">
        <w:t xml:space="preserve"> within thirty-five</w:t>
      </w:r>
      <w:r w:rsidRPr="00102B65" w:rsidR="00AC5CFD">
        <w:t xml:space="preserve"> (35)</w:t>
      </w:r>
      <w:r w:rsidRPr="00102B65" w:rsidR="00FD13F4">
        <w:t xml:space="preserve"> </w:t>
      </w:r>
      <w:r w:rsidRPr="00102B65" w:rsidR="002E098F">
        <w:t xml:space="preserve">days </w:t>
      </w:r>
      <w:r w:rsidRPr="00102B65" w:rsidR="00AC5CFD">
        <w:t>after the release of the order,</w:t>
      </w:r>
      <w:r w:rsidRPr="00102B65" w:rsidR="00A61D12">
        <w:t xml:space="preserve"> </w:t>
      </w:r>
      <w:r w:rsidRPr="00102B65" w:rsidR="007A3E46">
        <w:t xml:space="preserve">permitting </w:t>
      </w:r>
      <w:r w:rsidRPr="00102B65" w:rsidR="00192AD6">
        <w:t xml:space="preserve">TUV/Ningbo </w:t>
      </w:r>
      <w:r w:rsidRPr="00102B65" w:rsidR="007A3E46">
        <w:t xml:space="preserve">an </w:t>
      </w:r>
      <w:r w:rsidRPr="00102B65" w:rsidR="00156427">
        <w:t xml:space="preserve">additional </w:t>
      </w:r>
      <w:r w:rsidRPr="00102B65" w:rsidR="007A3E46">
        <w:t>opportunity to demonstrate</w:t>
      </w:r>
      <w:r w:rsidRPr="00102B65" w:rsidR="00525CD0">
        <w:t xml:space="preserve"> why the Commission should not withdraw its recognition</w:t>
      </w:r>
      <w:r w:rsidRPr="00102B65" w:rsidR="00AA638F">
        <w:t>.</w:t>
      </w:r>
      <w:r>
        <w:rPr>
          <w:rStyle w:val="FootnoteReference"/>
        </w:rPr>
        <w:footnoteReference w:id="30"/>
      </w:r>
      <w:r w:rsidRPr="00102B65" w:rsidR="0067788E">
        <w:t xml:space="preserve">  </w:t>
      </w:r>
    </w:p>
    <w:p w:rsidR="00D03C55" w:rsidRPr="00102B65" w:rsidP="002A1B2E" w14:paraId="7038E257" w14:textId="4B17E10F">
      <w:pPr>
        <w:pStyle w:val="ParaNum"/>
      </w:pPr>
      <w:r w:rsidRPr="00102B65">
        <w:t xml:space="preserve">On November </w:t>
      </w:r>
      <w:r w:rsidRPr="00102B65" w:rsidR="00C939D7">
        <w:t>2</w:t>
      </w:r>
      <w:r w:rsidRPr="00102B65" w:rsidR="00573B4D">
        <w:t>5</w:t>
      </w:r>
      <w:r w:rsidRPr="00102B65" w:rsidR="00C939D7">
        <w:t xml:space="preserve">, 2025, </w:t>
      </w:r>
      <w:r w:rsidRPr="00102B65" w:rsidR="006D0EA4">
        <w:t>TUV/Ningbo</w:t>
      </w:r>
      <w:r w:rsidRPr="00102B65" w:rsidR="00C939D7">
        <w:t xml:space="preserve"> </w:t>
      </w:r>
      <w:r w:rsidRPr="00102B65" w:rsidR="002665F1">
        <w:t xml:space="preserve">filed </w:t>
      </w:r>
      <w:r w:rsidRPr="00102B65" w:rsidR="008226A7">
        <w:t>its</w:t>
      </w:r>
      <w:r w:rsidRPr="00102B65" w:rsidR="004D4FAB">
        <w:t xml:space="preserve"> </w:t>
      </w:r>
      <w:r w:rsidRPr="00102B65" w:rsidR="00C939D7">
        <w:t xml:space="preserve">response to the </w:t>
      </w:r>
      <w:r w:rsidRPr="00102B65" w:rsidR="00BC618F">
        <w:rPr>
          <w:i/>
          <w:iCs/>
        </w:rPr>
        <w:t>Order Instituting Proceeding</w:t>
      </w:r>
      <w:r w:rsidRPr="00102B65" w:rsidR="00C939D7">
        <w:t>.</w:t>
      </w:r>
      <w:r>
        <w:rPr>
          <w:rStyle w:val="FootnoteReference"/>
        </w:rPr>
        <w:footnoteReference w:id="31"/>
      </w:r>
      <w:r w:rsidRPr="00102B65" w:rsidR="007252EB">
        <w:t xml:space="preserve">  </w:t>
      </w:r>
      <w:r w:rsidRPr="00102B65" w:rsidR="00B35112">
        <w:t>TUV/Ningbo</w:t>
      </w:r>
      <w:r w:rsidRPr="00102B65">
        <w:t xml:space="preserve"> asserts that it maintains a long-standing and unblemished record of professional testing</w:t>
      </w:r>
      <w:r w:rsidRPr="00102B65" w:rsidR="002A1B2E">
        <w:t>.</w:t>
      </w:r>
      <w:r>
        <w:rPr>
          <w:rStyle w:val="FootnoteReference"/>
        </w:rPr>
        <w:footnoteReference w:id="32"/>
      </w:r>
      <w:r w:rsidRPr="00102B65" w:rsidR="002A1B2E">
        <w:t xml:space="preserve">  TUV/Ningbo</w:t>
      </w:r>
      <w:r w:rsidRPr="00102B65">
        <w:t xml:space="preserve"> acknowledges the </w:t>
      </w:r>
      <w:r w:rsidRPr="00102B65" w:rsidR="002429F8">
        <w:t>Commission</w:t>
      </w:r>
      <w:r w:rsidRPr="00102B65">
        <w:t xml:space="preserve">’s 10% ownership threshold under </w:t>
      </w:r>
      <w:r w:rsidRPr="00102B65" w:rsidR="00846242">
        <w:t>s</w:t>
      </w:r>
      <w:r w:rsidRPr="00102B65">
        <w:t>ection 2.902 but argues that an exception is legally appropriate when the entity in question lacks the structural capacity to exercise actual control over business operations.</w:t>
      </w:r>
      <w:r>
        <w:rPr>
          <w:rStyle w:val="FootnoteReference"/>
        </w:rPr>
        <w:footnoteReference w:id="33"/>
      </w:r>
      <w:r w:rsidRPr="00102B65">
        <w:t xml:space="preserve"> </w:t>
      </w:r>
      <w:r w:rsidRPr="00102B65" w:rsidR="00461331">
        <w:t xml:space="preserve"> </w:t>
      </w:r>
      <w:r w:rsidRPr="00102B65" w:rsidR="002429F8">
        <w:t>TUV/</w:t>
      </w:r>
      <w:r w:rsidRPr="00102B65" w:rsidR="00780085">
        <w:t>Ningbo</w:t>
      </w:r>
      <w:r w:rsidRPr="00102B65">
        <w:t xml:space="preserve"> </w:t>
      </w:r>
      <w:r w:rsidRPr="00102B65" w:rsidR="008A2B16">
        <w:t>counters</w:t>
      </w:r>
      <w:r w:rsidRPr="00102B65" w:rsidR="00E6501E">
        <w:t xml:space="preserve"> that</w:t>
      </w:r>
      <w:r w:rsidRPr="00102B65" w:rsidR="002376AD">
        <w:t xml:space="preserve"> </w:t>
      </w:r>
      <w:r w:rsidRPr="00102B65">
        <w:t>the Commission’s focus on unanimous voting requirements by clarifying that such provisions are standard corporate safeguards.</w:t>
      </w:r>
      <w:r>
        <w:rPr>
          <w:rStyle w:val="FootnoteReference"/>
        </w:rPr>
        <w:footnoteReference w:id="34"/>
      </w:r>
      <w:r w:rsidRPr="00102B65">
        <w:t xml:space="preserve"> </w:t>
      </w:r>
      <w:r w:rsidRPr="00102B65" w:rsidR="006904DE">
        <w:t xml:space="preserve"> </w:t>
      </w:r>
      <w:r w:rsidRPr="00102B65">
        <w:t xml:space="preserve">Finally, the </w:t>
      </w:r>
      <w:r w:rsidRPr="00102B65" w:rsidR="002429F8">
        <w:t>TUV/Ningbo</w:t>
      </w:r>
      <w:r w:rsidRPr="00102B65">
        <w:t xml:space="preserve"> requests that the Commission disclose any specific national security risks that remain so they may be addressed.</w:t>
      </w:r>
      <w:r>
        <w:rPr>
          <w:rStyle w:val="FootnoteReference"/>
        </w:rPr>
        <w:footnoteReference w:id="35"/>
      </w:r>
    </w:p>
    <w:p w:rsidR="00145705" w:rsidRPr="00102B65" w:rsidP="00EC084A" w14:paraId="38B0C31E" w14:textId="0E2FED66">
      <w:pPr>
        <w:pStyle w:val="Heading1"/>
        <w:numPr>
          <w:ilvl w:val="0"/>
          <w:numId w:val="0"/>
        </w:numPr>
        <w:rPr>
          <w:rFonts w:ascii="Times New Roman" w:hAnsi="Times New Roman"/>
        </w:rPr>
      </w:pPr>
      <w:r w:rsidRPr="00102B65">
        <w:rPr>
          <w:rFonts w:ascii="Times New Roman" w:hAnsi="Times New Roman"/>
        </w:rPr>
        <w:t>III.</w:t>
      </w:r>
      <w:r w:rsidRPr="00102B65">
        <w:rPr>
          <w:rFonts w:ascii="Times New Roman" w:hAnsi="Times New Roman"/>
        </w:rPr>
        <w:tab/>
      </w:r>
      <w:r w:rsidRPr="00102B65">
        <w:rPr>
          <w:rFonts w:ascii="Times New Roman" w:hAnsi="Times New Roman"/>
        </w:rPr>
        <w:t>DISCUSSIO</w:t>
      </w:r>
      <w:r w:rsidRPr="00102B65" w:rsidR="00582A7A">
        <w:rPr>
          <w:rFonts w:ascii="Times New Roman" w:hAnsi="Times New Roman"/>
        </w:rPr>
        <w:t>n</w:t>
      </w:r>
      <w:r w:rsidRPr="00102B65" w:rsidR="00926F72">
        <w:rPr>
          <w:rFonts w:ascii="Times New Roman" w:hAnsi="Times New Roman"/>
        </w:rPr>
        <w:t xml:space="preserve">  </w:t>
      </w:r>
    </w:p>
    <w:p w:rsidR="00C62731" w:rsidRPr="00102B65" w:rsidP="00FA5FFF" w14:paraId="7C67FD2D" w14:textId="6F3739D4">
      <w:pPr>
        <w:pStyle w:val="ParaNum"/>
      </w:pPr>
      <w:r w:rsidRPr="00102B65">
        <w:t xml:space="preserve">Based on the </w:t>
      </w:r>
      <w:r w:rsidRPr="00102B65" w:rsidR="006D5A16">
        <w:t xml:space="preserve">information in the record, including </w:t>
      </w:r>
      <w:r w:rsidRPr="00102B65" w:rsidR="00B44802">
        <w:t xml:space="preserve">TUV/Ningbo’s </w:t>
      </w:r>
      <w:r w:rsidRPr="00102B65" w:rsidR="006D5A16">
        <w:rPr>
          <w:iCs/>
        </w:rPr>
        <w:t>Response to the Order Instituting Proceeding</w:t>
      </w:r>
      <w:r w:rsidRPr="00102B65" w:rsidR="006D5A16">
        <w:t xml:space="preserve">, </w:t>
      </w:r>
      <w:r w:rsidRPr="00102B65" w:rsidR="00145705">
        <w:t>OET concludes that</w:t>
      </w:r>
      <w:r w:rsidRPr="00102B65" w:rsidR="001F08B5">
        <w:t xml:space="preserve"> </w:t>
      </w:r>
      <w:r w:rsidRPr="00102B65" w:rsidR="00B44802">
        <w:t>TUV/Ningbo</w:t>
      </w:r>
      <w:r w:rsidRPr="00102B65" w:rsidR="00145705">
        <w:t xml:space="preserve"> has </w:t>
      </w:r>
      <w:r w:rsidRPr="00102B65" w:rsidR="000140AB">
        <w:t>failed to</w:t>
      </w:r>
      <w:r w:rsidRPr="00102B65" w:rsidR="00145705">
        <w:t xml:space="preserve"> demonstrate why the Commission should not withdraw recognition</w:t>
      </w:r>
      <w:r w:rsidRPr="00102B65" w:rsidR="00B9393A">
        <w:t xml:space="preserve"> of</w:t>
      </w:r>
      <w:r w:rsidRPr="00102B65" w:rsidR="00B44802">
        <w:t xml:space="preserve"> TUV/Ningbo</w:t>
      </w:r>
      <w:r w:rsidRPr="00102B65" w:rsidR="00145705">
        <w:t xml:space="preserve"> as an accredited test laboratory</w:t>
      </w:r>
      <w:r w:rsidRPr="00102B65" w:rsidR="008D3F0C">
        <w:t xml:space="preserve"> pursuant to section 2.951</w:t>
      </w:r>
      <w:r w:rsidRPr="00102B65" w:rsidR="009234FF">
        <w:t>(d)(1)</w:t>
      </w:r>
      <w:r w:rsidRPr="00102B65" w:rsidR="008D3F0C">
        <w:t xml:space="preserve"> of the Commission’s rules</w:t>
      </w:r>
      <w:r w:rsidRPr="00102B65" w:rsidR="00145705">
        <w:t>.</w:t>
      </w:r>
      <w:r>
        <w:rPr>
          <w:rStyle w:val="FootnoteReference"/>
        </w:rPr>
        <w:footnoteReference w:id="36"/>
      </w:r>
      <w:r w:rsidRPr="00102B65" w:rsidR="00145705">
        <w:t xml:space="preserve">  </w:t>
      </w:r>
    </w:p>
    <w:p w:rsidR="00C3288E" w:rsidRPr="00102B65" w:rsidP="00C3288E" w14:paraId="13C94151" w14:textId="7D4A3B3E">
      <w:pPr>
        <w:pStyle w:val="ParaNum"/>
      </w:pPr>
      <w:r w:rsidRPr="00102B65">
        <w:t>Section 2.951(d)</w:t>
      </w:r>
      <w:r w:rsidRPr="00102B65" w:rsidR="00C84300">
        <w:t>(1)</w:t>
      </w:r>
      <w:r w:rsidRPr="00102B65">
        <w:t xml:space="preserve"> of the Commission’s rules provides that</w:t>
      </w:r>
      <w:r w:rsidRPr="00102B65" w:rsidR="007D4579">
        <w:t xml:space="preserve"> the Commission will withdraw </w:t>
      </w:r>
      <w:r w:rsidRPr="00102B65" w:rsidR="000719D0">
        <w:t xml:space="preserve">its </w:t>
      </w:r>
      <w:r w:rsidRPr="00102B65" w:rsidR="007D4579">
        <w:t xml:space="preserve">recognition of any laboratory that </w:t>
      </w:r>
      <w:r w:rsidRPr="00102B65" w:rsidR="000719D0">
        <w:t>i</w:t>
      </w:r>
      <w:r w:rsidRPr="00102B65" w:rsidR="007D4579">
        <w:t xml:space="preserve">s owned by, controlled by, or subject to the direction of a </w:t>
      </w:r>
      <w:r w:rsidRPr="00102B65" w:rsidR="007D4579">
        <w:t xml:space="preserve">prohibited </w:t>
      </w:r>
      <w:r w:rsidRPr="00102B65" w:rsidR="000719D0">
        <w:t>e</w:t>
      </w:r>
      <w:r w:rsidRPr="00102B65" w:rsidR="007D4579">
        <w:t xml:space="preserve">ntity pursuant to </w:t>
      </w:r>
      <w:r w:rsidRPr="00102B65" w:rsidR="00A8431A">
        <w:t>section</w:t>
      </w:r>
      <w:r w:rsidRPr="00102B65" w:rsidR="007D4579">
        <w:t xml:space="preserve"> 2.902</w:t>
      </w:r>
      <w:r w:rsidRPr="00102B65" w:rsidR="00A8431A">
        <w:t xml:space="preserve"> of the Commission’s rules</w:t>
      </w:r>
      <w:r w:rsidRPr="00102B65" w:rsidR="00920C49">
        <w:t>.</w:t>
      </w:r>
      <w:r>
        <w:rPr>
          <w:rStyle w:val="FootnoteReference"/>
        </w:rPr>
        <w:footnoteReference w:id="37"/>
      </w:r>
      <w:r w:rsidRPr="00102B65" w:rsidR="005A25BA">
        <w:t xml:space="preserve"> </w:t>
      </w:r>
      <w:r w:rsidRPr="00102B65" w:rsidR="00920C49">
        <w:t xml:space="preserve"> The </w:t>
      </w:r>
      <w:r w:rsidRPr="00102B65" w:rsidR="008414E6">
        <w:rPr>
          <w:i/>
          <w:iCs/>
        </w:rPr>
        <w:t>Order Instituting Proceeding</w:t>
      </w:r>
      <w:r w:rsidRPr="00102B65" w:rsidR="008414E6">
        <w:t xml:space="preserve"> </w:t>
      </w:r>
      <w:r w:rsidRPr="00102B65" w:rsidR="005A25BA">
        <w:t xml:space="preserve">directed </w:t>
      </w:r>
      <w:r w:rsidRPr="00102B65" w:rsidR="00216EDE">
        <w:t>TUV/Ningbo</w:t>
      </w:r>
      <w:r w:rsidRPr="00102B65" w:rsidR="005A25BA">
        <w:t xml:space="preserve"> to provide a reasonable basis </w:t>
      </w:r>
      <w:r w:rsidRPr="00102B65" w:rsidR="004B2C08">
        <w:t xml:space="preserve">for </w:t>
      </w:r>
      <w:r w:rsidRPr="00102B65" w:rsidR="005A25BA">
        <w:t>why the Commission should not withdraw its recognition.</w:t>
      </w:r>
      <w:r>
        <w:rPr>
          <w:rStyle w:val="FootnoteReference"/>
        </w:rPr>
        <w:footnoteReference w:id="38"/>
      </w:r>
      <w:r w:rsidRPr="00102B65" w:rsidR="004670F5">
        <w:t xml:space="preserve"> </w:t>
      </w:r>
      <w:r w:rsidRPr="00102B65" w:rsidR="006E4911">
        <w:t xml:space="preserve"> </w:t>
      </w:r>
      <w:r w:rsidRPr="00102B65">
        <w:t xml:space="preserve">The </w:t>
      </w:r>
      <w:r w:rsidRPr="00102B65">
        <w:rPr>
          <w:i/>
          <w:iCs/>
        </w:rPr>
        <w:t>Order Instituting Proceeding</w:t>
      </w:r>
      <w:r w:rsidRPr="00102B65">
        <w:t xml:space="preserve"> recognized TUV/Ningbo’s acknowledgment that </w:t>
      </w:r>
      <w:r w:rsidRPr="00102B65" w:rsidR="00AF0A73">
        <w:t xml:space="preserve">the </w:t>
      </w:r>
      <w:r w:rsidRPr="00102B65">
        <w:t>CCIC Group, a Chinese state-owned enterprise, is a shareholder in the joint venture, contributed 49% of the founding capital, appoints two of the five directors, and that some corporate matters require a unanimous vote of the board.</w:t>
      </w:r>
      <w:r>
        <w:rPr>
          <w:rStyle w:val="FootnoteReference"/>
        </w:rPr>
        <w:footnoteReference w:id="39"/>
      </w:r>
      <w:r w:rsidRPr="00102B65">
        <w:t xml:space="preserve">  These facts were </w:t>
      </w:r>
      <w:r w:rsidRPr="00102B65" w:rsidR="00C8555A">
        <w:t>re</w:t>
      </w:r>
      <w:r w:rsidRPr="00102B65">
        <w:t>affirmed in TUV/Ningbo’s corporate governance document</w:t>
      </w:r>
      <w:r w:rsidRPr="00102B65" w:rsidR="00D3000D">
        <w:t xml:space="preserve">, which </w:t>
      </w:r>
      <w:r w:rsidRPr="00102B65" w:rsidR="00232C93">
        <w:t>the Company</w:t>
      </w:r>
      <w:r w:rsidRPr="00102B65" w:rsidR="00D3000D">
        <w:t xml:space="preserve"> provided</w:t>
      </w:r>
      <w:r w:rsidRPr="00102B65" w:rsidR="005C63AC">
        <w:t xml:space="preserve"> in its Response to the </w:t>
      </w:r>
      <w:r w:rsidRPr="00102B65" w:rsidR="00075E46">
        <w:rPr>
          <w:i/>
          <w:iCs/>
        </w:rPr>
        <w:t>Notice</w:t>
      </w:r>
      <w:r w:rsidRPr="00102B65" w:rsidR="005F013C">
        <w:t>.</w:t>
      </w:r>
      <w:r>
        <w:rPr>
          <w:rStyle w:val="FootnoteReference"/>
        </w:rPr>
        <w:footnoteReference w:id="40"/>
      </w:r>
      <w:r w:rsidRPr="00102B65">
        <w:t xml:space="preserve">  </w:t>
      </w:r>
      <w:r w:rsidRPr="00102B65" w:rsidR="002834E1">
        <w:t xml:space="preserve">This document also contained a choice of law provision that specifies the laws and regulations of the PRC govern </w:t>
      </w:r>
      <w:r w:rsidRPr="00102B65" w:rsidR="003241A6">
        <w:t>its</w:t>
      </w:r>
      <w:r w:rsidRPr="00102B65" w:rsidR="002834E1">
        <w:t xml:space="preserve"> establishment, validity, interpretation, performance, and settlement of disputes.</w:t>
      </w:r>
      <w:r>
        <w:rPr>
          <w:rStyle w:val="FootnoteReference"/>
        </w:rPr>
        <w:footnoteReference w:id="41"/>
      </w:r>
      <w:r w:rsidRPr="00102B65" w:rsidR="002834E1">
        <w:t xml:space="preserve">  </w:t>
      </w:r>
      <w:r w:rsidRPr="00102B65">
        <w:t>The U.S. Department of Commerce has designated the PRC as a foreign adversary of the United States,</w:t>
      </w:r>
      <w:r>
        <w:rPr>
          <w:rStyle w:val="FootnoteReference"/>
        </w:rPr>
        <w:footnoteReference w:id="42"/>
      </w:r>
      <w:r w:rsidRPr="00102B65">
        <w:t xml:space="preserve"> and section 2.902 of the Commission’s rules provides that entities designated as foreign adversaries in this manner are considered “prohibited entities.”</w:t>
      </w:r>
      <w:r>
        <w:rPr>
          <w:rStyle w:val="FootnoteReference"/>
        </w:rPr>
        <w:footnoteReference w:id="43"/>
      </w:r>
      <w:r w:rsidRPr="00102B65">
        <w:t xml:space="preserve">  TUV/Ningbo, thus, “is owned by, controlled by, or subject to the direction of a prohibited entity.”</w:t>
      </w:r>
      <w:r>
        <w:rPr>
          <w:rStyle w:val="FootnoteReference"/>
        </w:rPr>
        <w:footnoteReference w:id="44"/>
      </w:r>
      <w:r w:rsidRPr="00102B65">
        <w:t xml:space="preserve">  The Commission’s rules explicitly state that it will not recognize, and will withdraw recognition of, any laboratory that is owned by, or subject to the direction of a prohibited entity.</w:t>
      </w:r>
      <w:r>
        <w:rPr>
          <w:rStyle w:val="FootnoteReference"/>
        </w:rPr>
        <w:footnoteReference w:id="45"/>
      </w:r>
      <w:r w:rsidRPr="00102B65">
        <w:t xml:space="preserve">  </w:t>
      </w:r>
    </w:p>
    <w:p w:rsidR="00BE3D3C" w:rsidRPr="00102B65" w:rsidP="00BE3D3C" w14:paraId="4B55E21E" w14:textId="753C33ED">
      <w:pPr>
        <w:pStyle w:val="ParaNum"/>
        <w:widowControl/>
      </w:pPr>
      <w:r w:rsidRPr="00102B65">
        <w:t>TUV/Ningbo</w:t>
      </w:r>
      <w:r w:rsidRPr="00102B65" w:rsidR="00FB732B">
        <w:t>’s</w:t>
      </w:r>
      <w:r w:rsidRPr="00102B65" w:rsidR="004D54A1">
        <w:t xml:space="preserve"> </w:t>
      </w:r>
      <w:r w:rsidRPr="00102B65" w:rsidR="00FB732B">
        <w:t xml:space="preserve">Response to the Order Instituting Proceeding </w:t>
      </w:r>
      <w:r w:rsidRPr="00102B65" w:rsidR="001702D2">
        <w:t xml:space="preserve">concedes </w:t>
      </w:r>
      <w:r w:rsidRPr="00102B65" w:rsidR="00E32166">
        <w:t>the factual predicate for withdrawal of recognition but</w:t>
      </w:r>
      <w:r w:rsidRPr="00102B65" w:rsidR="00FB732B">
        <w:t xml:space="preserve"> argues </w:t>
      </w:r>
      <w:r w:rsidRPr="00102B65" w:rsidR="00C76A96">
        <w:t xml:space="preserve">that the laboratory is effectively controlled by </w:t>
      </w:r>
      <w:r w:rsidRPr="00102B65" w:rsidR="00232C93">
        <w:t>TR</w:t>
      </w:r>
      <w:r w:rsidRPr="00102B65" w:rsidR="00042268">
        <w:t xml:space="preserve">, an entity </w:t>
      </w:r>
      <w:r w:rsidRPr="00102B65" w:rsidR="00A9360D">
        <w:t xml:space="preserve">whose indirect corporate parent is </w:t>
      </w:r>
      <w:r w:rsidRPr="00102B65" w:rsidR="00042268">
        <w:t xml:space="preserve">the German-domiciled </w:t>
      </w:r>
      <w:r w:rsidRPr="00102B65" w:rsidR="00742F1C">
        <w:t>T</w:t>
      </w:r>
      <w:r w:rsidRPr="00102B65" w:rsidR="00232C93">
        <w:t xml:space="preserve">UV </w:t>
      </w:r>
      <w:r w:rsidRPr="00102B65" w:rsidR="00742F1C">
        <w:t>R</w:t>
      </w:r>
      <w:r w:rsidRPr="00102B65" w:rsidR="00232C93">
        <w:t>heinland</w:t>
      </w:r>
      <w:r w:rsidRPr="00102B65" w:rsidR="00232C93">
        <w:t xml:space="preserve"> AG</w:t>
      </w:r>
      <w:r w:rsidRPr="00102B65" w:rsidR="00F9525D">
        <w:t>,</w:t>
      </w:r>
      <w:r w:rsidRPr="00102B65" w:rsidR="00C76A96">
        <w:t xml:space="preserve"> and tha</w:t>
      </w:r>
      <w:r w:rsidRPr="00102B65" w:rsidR="00F9525D">
        <w:t>t</w:t>
      </w:r>
      <w:r w:rsidRPr="00102B65" w:rsidR="00142BFA">
        <w:t xml:space="preserve"> the </w:t>
      </w:r>
      <w:r w:rsidRPr="00102B65" w:rsidR="004D1A5D">
        <w:t xml:space="preserve">Chinese </w:t>
      </w:r>
      <w:r w:rsidRPr="00102B65" w:rsidR="00142BFA">
        <w:t>state</w:t>
      </w:r>
      <w:r w:rsidRPr="00102B65" w:rsidR="00742F1C">
        <w:t>-</w:t>
      </w:r>
      <w:r w:rsidRPr="00102B65" w:rsidR="00142BFA">
        <w:t>owned CCIC Group lacks any actual power to direct business operations</w:t>
      </w:r>
      <w:r w:rsidRPr="00102B65" w:rsidR="00855A11">
        <w:t>.</w:t>
      </w:r>
      <w:r>
        <w:rPr>
          <w:rStyle w:val="FootnoteReference"/>
        </w:rPr>
        <w:footnoteReference w:id="46"/>
      </w:r>
      <w:r w:rsidRPr="00102B65" w:rsidR="00855A11">
        <w:t xml:space="preserve">  TUV/Ningbo acknowledges </w:t>
      </w:r>
      <w:r w:rsidRPr="00102B65" w:rsidR="00BC1B83">
        <w:t xml:space="preserve">the FCC’s presumption of ownership </w:t>
      </w:r>
      <w:r w:rsidRPr="00102B65" w:rsidR="004A29EC">
        <w:t>at</w:t>
      </w:r>
      <w:r w:rsidRPr="00102B65" w:rsidR="00BC1B83">
        <w:t xml:space="preserve"> </w:t>
      </w:r>
      <w:r w:rsidRPr="00102B65" w:rsidR="00582A8B">
        <w:t xml:space="preserve">a </w:t>
      </w:r>
      <w:r w:rsidRPr="00102B65" w:rsidR="00BC1B83">
        <w:t xml:space="preserve">10% </w:t>
      </w:r>
      <w:r w:rsidRPr="00102B65" w:rsidR="00582A8B">
        <w:t xml:space="preserve">threshold </w:t>
      </w:r>
      <w:r w:rsidRPr="00102B65" w:rsidR="00BC1B83">
        <w:t xml:space="preserve">but requests </w:t>
      </w:r>
      <w:r w:rsidRPr="00102B65" w:rsidR="00F10CAF">
        <w:t xml:space="preserve">that the Commission grant TUV/Ningbo </w:t>
      </w:r>
      <w:r w:rsidRPr="00102B65" w:rsidR="004A29EC">
        <w:t xml:space="preserve">an exception </w:t>
      </w:r>
      <w:r w:rsidRPr="00102B65" w:rsidR="007018FA">
        <w:t>“where a party deemed a foreign adversary does not and cannot exercise any actual control over the targeted company.”</w:t>
      </w:r>
      <w:r>
        <w:rPr>
          <w:rStyle w:val="FootnoteReference"/>
        </w:rPr>
        <w:footnoteReference w:id="47"/>
      </w:r>
      <w:r w:rsidRPr="00102B65" w:rsidR="00323F7F">
        <w:t xml:space="preserve">  </w:t>
      </w:r>
      <w:r w:rsidRPr="00102B65" w:rsidR="00727AC1">
        <w:t>However</w:t>
      </w:r>
      <w:r w:rsidRPr="00102B65" w:rsidR="00187943">
        <w:t xml:space="preserve">, </w:t>
      </w:r>
      <w:r w:rsidRPr="00102B65" w:rsidR="009A0DD6">
        <w:t xml:space="preserve">in </w:t>
      </w:r>
      <w:r w:rsidRPr="00102B65" w:rsidR="005E6548">
        <w:t xml:space="preserve">the </w:t>
      </w:r>
      <w:r w:rsidRPr="00102B65" w:rsidR="001A7DE0">
        <w:rPr>
          <w:i/>
          <w:iCs/>
        </w:rPr>
        <w:t>EA Integrity</w:t>
      </w:r>
      <w:r w:rsidRPr="00102B65" w:rsidR="00506E8A">
        <w:rPr>
          <w:i/>
          <w:iCs/>
        </w:rPr>
        <w:t xml:space="preserve"> Order</w:t>
      </w:r>
      <w:r w:rsidRPr="00102B65" w:rsidR="009A0DD6">
        <w:t xml:space="preserve">, the </w:t>
      </w:r>
      <w:r w:rsidRPr="00102B65" w:rsidR="005E6548">
        <w:t>Commission</w:t>
      </w:r>
      <w:r w:rsidRPr="00102B65" w:rsidR="006952E9">
        <w:t xml:space="preserve"> </w:t>
      </w:r>
      <w:r w:rsidRPr="00102B65" w:rsidR="00304E08">
        <w:t xml:space="preserve">already </w:t>
      </w:r>
      <w:r w:rsidRPr="00102B65" w:rsidR="006952E9">
        <w:t xml:space="preserve">considered </w:t>
      </w:r>
      <w:r w:rsidRPr="00102B65" w:rsidR="00714DB6">
        <w:t>the</w:t>
      </w:r>
      <w:r w:rsidRPr="00102B65" w:rsidR="006952E9">
        <w:t xml:space="preserve"> policy issues a</w:t>
      </w:r>
      <w:r w:rsidRPr="00102B65" w:rsidR="00714DB6">
        <w:t>t stake a</w:t>
      </w:r>
      <w:r w:rsidRPr="00102B65" w:rsidR="006952E9">
        <w:t>nd determined that</w:t>
      </w:r>
      <w:r w:rsidRPr="00102B65" w:rsidR="005E6548">
        <w:t xml:space="preserve"> “</w:t>
      </w:r>
      <w:r w:rsidRPr="00102B65" w:rsidR="00B127CD">
        <w:t>it is critical for national security and the integrity of the supply chain that we prohibit from</w:t>
      </w:r>
      <w:r w:rsidRPr="00102B65" w:rsidR="005E6548">
        <w:t xml:space="preserve"> </w:t>
      </w:r>
      <w:r w:rsidRPr="00102B65" w:rsidR="00B127CD">
        <w:t>recognition or participation in the equipment authorization program of TCBs, test labs, or laboratory</w:t>
      </w:r>
      <w:r w:rsidRPr="00102B65" w:rsidR="005E6548">
        <w:t xml:space="preserve"> </w:t>
      </w:r>
      <w:r w:rsidRPr="00102B65" w:rsidR="00B127CD">
        <w:t>accreditation bodies that are owned by, controlled by, or subject to the direction of a prohibited entity</w:t>
      </w:r>
      <w:r w:rsidRPr="00102B65" w:rsidR="005E6548">
        <w:t>.”</w:t>
      </w:r>
      <w:r>
        <w:rPr>
          <w:rStyle w:val="FootnoteReference"/>
        </w:rPr>
        <w:footnoteReference w:id="48"/>
      </w:r>
      <w:r w:rsidRPr="00102B65" w:rsidR="00471CDF">
        <w:t xml:space="preserve">  </w:t>
      </w:r>
      <w:r w:rsidRPr="00102B65">
        <w:t>W</w:t>
      </w:r>
      <w:r w:rsidRPr="00102B65" w:rsidR="004B0097">
        <w:t xml:space="preserve">hile TUV/Ningbo argues that TR maintains </w:t>
      </w:r>
      <w:r w:rsidRPr="00102B65" w:rsidR="004B0097">
        <w:t>majority control,</w:t>
      </w:r>
      <w:r>
        <w:rPr>
          <w:rStyle w:val="FootnoteReference"/>
        </w:rPr>
        <w:footnoteReference w:id="49"/>
      </w:r>
      <w:r w:rsidRPr="00102B65" w:rsidR="004B0097">
        <w:t xml:space="preserve"> the Commission’s standard </w:t>
      </w:r>
      <w:r w:rsidRPr="00102B65" w:rsidR="00FD442C">
        <w:t>set forth by</w:t>
      </w:r>
      <w:r w:rsidRPr="00102B65" w:rsidR="004B0097">
        <w:t xml:space="preserve"> section 2.902 </w:t>
      </w:r>
      <w:r w:rsidRPr="00102B65" w:rsidR="00652C02">
        <w:t>prohibits ownership of 10% or more</w:t>
      </w:r>
      <w:r w:rsidRPr="00102B65" w:rsidR="004B0097">
        <w:t>.</w:t>
      </w:r>
      <w:r>
        <w:rPr>
          <w:rStyle w:val="FootnoteReference"/>
        </w:rPr>
        <w:footnoteReference w:id="50"/>
      </w:r>
      <w:r w:rsidRPr="00102B65" w:rsidR="004B0097">
        <w:t xml:space="preserve">  </w:t>
      </w:r>
    </w:p>
    <w:p w:rsidR="0048759A" w:rsidRPr="00102B65" w:rsidP="00DE4F30" w14:paraId="67EDC607" w14:textId="18225704">
      <w:pPr>
        <w:pStyle w:val="ParaNum"/>
        <w:widowControl/>
      </w:pPr>
      <w:r w:rsidRPr="00102B65">
        <w:t xml:space="preserve">Even aside from </w:t>
      </w:r>
      <w:r w:rsidRPr="00102B65" w:rsidR="005913F1">
        <w:t xml:space="preserve">the specific size of </w:t>
      </w:r>
      <w:r w:rsidRPr="00102B65">
        <w:t>CCIC’s ownership</w:t>
      </w:r>
      <w:r w:rsidRPr="00102B65" w:rsidR="005913F1">
        <w:t xml:space="preserve"> interest</w:t>
      </w:r>
      <w:r w:rsidRPr="00102B65">
        <w:t xml:space="preserve">, the Commission’s </w:t>
      </w:r>
      <w:r w:rsidRPr="00102B65" w:rsidR="004B0097">
        <w:t>rule</w:t>
      </w:r>
      <w:r w:rsidRPr="00102B65">
        <w:t>s</w:t>
      </w:r>
      <w:r w:rsidRPr="00102B65" w:rsidR="004B0097">
        <w:t xml:space="preserve"> also captures entities that are "subject to the direction" of a prohibited entity</w:t>
      </w:r>
      <w:r w:rsidRPr="00102B65" w:rsidR="00BE3D3C">
        <w:t xml:space="preserve"> and therefore cover TUV/Ningbo based on TUV/Ningbo’s own submissions</w:t>
      </w:r>
      <w:r w:rsidRPr="00102B65" w:rsidR="004B0097">
        <w:t>.</w:t>
      </w:r>
      <w:r>
        <w:rPr>
          <w:rStyle w:val="FootnoteReference"/>
        </w:rPr>
        <w:footnoteReference w:id="51"/>
      </w:r>
      <w:r w:rsidRPr="00102B65" w:rsidR="004B0097">
        <w:t xml:space="preserve">  Based on TUV/Ningbo’s corporate governance document, </w:t>
      </w:r>
      <w:r w:rsidRPr="00102B65" w:rsidR="00C27F48">
        <w:t xml:space="preserve">CCIC Group </w:t>
      </w:r>
      <w:r w:rsidRPr="00102B65" w:rsidR="004B0097">
        <w:t>holds significant control by exclusively appointing the Vice-Chairman of the Board, two out of five directors, and one of two Vice-General Managers.</w:t>
      </w:r>
      <w:r>
        <w:rPr>
          <w:rStyle w:val="FootnoteReference"/>
        </w:rPr>
        <w:footnoteReference w:id="52"/>
      </w:r>
      <w:r w:rsidRPr="00102B65" w:rsidR="004B0097">
        <w:t xml:space="preserve">  Through these appointments, CCIC</w:t>
      </w:r>
      <w:r w:rsidRPr="00102B65" w:rsidR="00484F11">
        <w:t xml:space="preserve"> Group</w:t>
      </w:r>
      <w:r w:rsidRPr="00102B65" w:rsidR="004B0097">
        <w:t xml:space="preserve"> is positioned to exert direction over core operational plans, investments, and management systems.</w:t>
      </w:r>
      <w:r>
        <w:rPr>
          <w:rStyle w:val="FootnoteReference"/>
        </w:rPr>
        <w:footnoteReference w:id="53"/>
      </w:r>
      <w:r w:rsidRPr="00102B65" w:rsidR="004B0097">
        <w:t xml:space="preserve">  Furthermore, specific resolutions regarding the scope of management authority and amendments to the corporate governance document require unanimous consent, granting CCIC</w:t>
      </w:r>
      <w:r w:rsidRPr="00102B65" w:rsidR="00484F11">
        <w:t xml:space="preserve"> Group</w:t>
      </w:r>
      <w:r w:rsidRPr="00102B65" w:rsidR="004B0097">
        <w:t xml:space="preserve"> substantial influence over the </w:t>
      </w:r>
      <w:r w:rsidRPr="00102B65" w:rsidR="00FD442C">
        <w:t>C</w:t>
      </w:r>
      <w:r w:rsidRPr="00102B65" w:rsidR="004B0097">
        <w:t>ompany's strategic direction.</w:t>
      </w:r>
      <w:r>
        <w:rPr>
          <w:rStyle w:val="FootnoteReference"/>
        </w:rPr>
        <w:footnoteReference w:id="54"/>
      </w:r>
      <w:r w:rsidRPr="00102B65" w:rsidR="004B0097">
        <w:t xml:space="preserve">  </w:t>
      </w:r>
      <w:r w:rsidRPr="00102B65" w:rsidR="00AE74D8">
        <w:t>In particular</w:t>
      </w:r>
      <w:r w:rsidRPr="00102B65" w:rsidR="002850B8">
        <w:t>,</w:t>
      </w:r>
      <w:r w:rsidRPr="00102B65" w:rsidR="00AE74D8">
        <w:t xml:space="preserve"> we note that the Company’s Articles of </w:t>
      </w:r>
      <w:r w:rsidRPr="00102B65" w:rsidR="00134B15">
        <w:t>Association</w:t>
      </w:r>
      <w:r w:rsidRPr="00102B65" w:rsidR="00AE74D8">
        <w:t xml:space="preserve"> require unanimous consent </w:t>
      </w:r>
      <w:r w:rsidRPr="00102B65" w:rsidR="00500C66">
        <w:t>in connection with the “establishment of the internal management organizations of the Company” and any “determination of the authorities of the general manager and vice general manager of the Company.”</w:t>
      </w:r>
      <w:r>
        <w:rPr>
          <w:rStyle w:val="FootnoteReference"/>
        </w:rPr>
        <w:footnoteReference w:id="55"/>
      </w:r>
      <w:r w:rsidRPr="00102B65" w:rsidR="00500C66">
        <w:t xml:space="preserve">  </w:t>
      </w:r>
      <w:r w:rsidRPr="00102B65" w:rsidR="00CE141D">
        <w:t>By addressing internal structure and managers’ scope of duties, t</w:t>
      </w:r>
      <w:r w:rsidRPr="00102B65" w:rsidR="00762148">
        <w:t xml:space="preserve">he unanimity requirements </w:t>
      </w:r>
      <w:r w:rsidRPr="00102B65" w:rsidR="00BA7FDC">
        <w:t>provide CCIC further mechanisms to control the Company’s operations.</w:t>
      </w:r>
      <w:r>
        <w:rPr>
          <w:rStyle w:val="FootnoteReference"/>
        </w:rPr>
        <w:footnoteReference w:id="56"/>
      </w:r>
      <w:r w:rsidRPr="00102B65" w:rsidR="00BA7FDC">
        <w:t xml:space="preserve">  </w:t>
      </w:r>
      <w:r w:rsidRPr="00102B65">
        <w:t xml:space="preserve">We therefore reject the Company’s arguments why OET should not withdraw its recognition of </w:t>
      </w:r>
      <w:r w:rsidRPr="00102B65" w:rsidR="00D0338E">
        <w:t>TUV/Ningbo</w:t>
      </w:r>
      <w:r w:rsidRPr="00102B65">
        <w:t xml:space="preserve"> as an accredited test laboratory.</w:t>
      </w:r>
    </w:p>
    <w:p w:rsidR="00145705" w:rsidRPr="00102B65" w:rsidP="00BE58A9" w14:paraId="03A7F2F0" w14:textId="0C02AEC0">
      <w:pPr>
        <w:pStyle w:val="ParaNum"/>
      </w:pPr>
      <w:r w:rsidRPr="00102B65">
        <w:t xml:space="preserve">After fully considering </w:t>
      </w:r>
      <w:r w:rsidRPr="00102B65" w:rsidR="002849AA">
        <w:t>TUV/Ningbo</w:t>
      </w:r>
      <w:r w:rsidRPr="00102B65">
        <w:t xml:space="preserve">’s arguments in its Response to the Order Instituting Proceeding, and </w:t>
      </w:r>
      <w:r w:rsidRPr="00102B65">
        <w:t>pursuant to section 302(e) of the Act and section 2.951(d) of the Commission’s rules</w:t>
      </w:r>
      <w:r w:rsidRPr="00102B65" w:rsidR="00DC0D11">
        <w:t xml:space="preserve">, OET </w:t>
      </w:r>
      <w:r w:rsidRPr="00102B65" w:rsidR="00E96868">
        <w:t>hereby</w:t>
      </w:r>
      <w:r w:rsidRPr="00102B65" w:rsidR="006A658E">
        <w:t xml:space="preserve"> </w:t>
      </w:r>
      <w:r w:rsidRPr="00102B65">
        <w:t>withdraw</w:t>
      </w:r>
      <w:r w:rsidRPr="00102B65" w:rsidR="00E96868">
        <w:t xml:space="preserve">s </w:t>
      </w:r>
      <w:r w:rsidRPr="00102B65">
        <w:t xml:space="preserve">recognition of </w:t>
      </w:r>
      <w:r w:rsidRPr="00102B65" w:rsidR="0001685A">
        <w:t>TUV/Ningbo</w:t>
      </w:r>
      <w:r w:rsidRPr="00102B65">
        <w:t xml:space="preserve"> as an accredited test laboratory.</w:t>
      </w:r>
      <w:r>
        <w:rPr>
          <w:rStyle w:val="FootnoteReference"/>
        </w:rPr>
        <w:footnoteReference w:id="57"/>
      </w:r>
      <w:r w:rsidRPr="00102B65">
        <w:t xml:space="preserve">  </w:t>
      </w:r>
      <w:r w:rsidRPr="00102B65" w:rsidR="0000320C">
        <w:t>Th</w:t>
      </w:r>
      <w:r w:rsidRPr="00102B65" w:rsidR="00EF47E6">
        <w:t xml:space="preserve">is action becomes effective </w:t>
      </w:r>
      <w:r w:rsidRPr="00102B65" w:rsidR="00A17555">
        <w:t xml:space="preserve">immediately upon release of this </w:t>
      </w:r>
      <w:r w:rsidRPr="00102B65" w:rsidR="00C301DD">
        <w:t>O</w:t>
      </w:r>
      <w:r w:rsidRPr="00102B65" w:rsidR="00A17555">
        <w:t>rder</w:t>
      </w:r>
      <w:r w:rsidRPr="00102B65" w:rsidR="00D438E3">
        <w:t xml:space="preserve">.  </w:t>
      </w:r>
      <w:r w:rsidRPr="00102B65" w:rsidR="001F0E59">
        <w:t>T</w:t>
      </w:r>
      <w:r w:rsidRPr="00102B65" w:rsidR="00202648">
        <w:t xml:space="preserve">he Commission will no longer recognize </w:t>
      </w:r>
      <w:r w:rsidRPr="00102B65" w:rsidR="00503EA7">
        <w:t xml:space="preserve">within its equipment authorization program </w:t>
      </w:r>
      <w:r w:rsidRPr="00102B65" w:rsidR="00202648">
        <w:t xml:space="preserve">test </w:t>
      </w:r>
      <w:r w:rsidRPr="00102B65" w:rsidR="005D46B4">
        <w:t xml:space="preserve">data </w:t>
      </w:r>
      <w:r w:rsidRPr="00102B65" w:rsidR="002146B5">
        <w:t>or</w:t>
      </w:r>
      <w:r w:rsidRPr="00102B65" w:rsidR="00202648">
        <w:t xml:space="preserve"> measurements </w:t>
      </w:r>
      <w:r w:rsidRPr="00102B65" w:rsidR="002146B5">
        <w:t xml:space="preserve">that </w:t>
      </w:r>
      <w:r w:rsidRPr="00102B65" w:rsidR="00CB5C1A">
        <w:t>are</w:t>
      </w:r>
      <w:r w:rsidRPr="00102B65" w:rsidR="002146B5">
        <w:t xml:space="preserve"> performed </w:t>
      </w:r>
      <w:r w:rsidRPr="00102B65" w:rsidR="005F2DD5">
        <w:t xml:space="preserve">after this date </w:t>
      </w:r>
      <w:r w:rsidRPr="00102B65" w:rsidR="002146B5">
        <w:t>by</w:t>
      </w:r>
      <w:r w:rsidRPr="00102B65" w:rsidR="009F387A">
        <w:t xml:space="preserve"> the Company.</w:t>
      </w:r>
    </w:p>
    <w:p w:rsidR="00145705" w:rsidRPr="00102B65" w:rsidP="006C6172" w14:paraId="21857930" w14:textId="7E8C3CF8">
      <w:pPr>
        <w:pStyle w:val="Heading1"/>
        <w:numPr>
          <w:ilvl w:val="0"/>
          <w:numId w:val="11"/>
        </w:numPr>
        <w:tabs>
          <w:tab w:val="left" w:pos="720"/>
        </w:tabs>
        <w:ind w:hanging="1080"/>
        <w:rPr>
          <w:rFonts w:ascii="Times New Roman" w:hAnsi="Times New Roman"/>
        </w:rPr>
      </w:pPr>
      <w:r w:rsidRPr="00102B65">
        <w:rPr>
          <w:rFonts w:ascii="Times New Roman" w:hAnsi="Times New Roman"/>
        </w:rPr>
        <w:t>ORDERING CLAUSES</w:t>
      </w:r>
    </w:p>
    <w:p w:rsidR="008032ED" w:rsidRPr="00102B65" w:rsidP="00FA5FFF" w14:paraId="1DB8A3EB" w14:textId="4889EFC6">
      <w:pPr>
        <w:pStyle w:val="ParaNum"/>
      </w:pPr>
      <w:r w:rsidRPr="00102B65">
        <w:t xml:space="preserve">Accordingly, </w:t>
      </w:r>
      <w:r w:rsidRPr="00102B65">
        <w:rPr>
          <w:b/>
        </w:rPr>
        <w:t xml:space="preserve">IT IS </w:t>
      </w:r>
      <w:r w:rsidRPr="00102B65">
        <w:rPr>
          <w:b/>
          <w:color w:val="000000"/>
        </w:rPr>
        <w:t>ORDERED</w:t>
      </w:r>
      <w:r w:rsidRPr="00102B65">
        <w:t xml:space="preserve"> that, pursuant to section 302(e) of the Act, 47 U.S.C. § 302a(e), and section</w:t>
      </w:r>
      <w:r w:rsidRPr="00102B65" w:rsidR="00005167">
        <w:t>s 0.31, 0.241, and</w:t>
      </w:r>
      <w:r w:rsidRPr="00102B65">
        <w:t xml:space="preserve"> 2.951(d) of the Commission’s rules, 47 CFR §</w:t>
      </w:r>
      <w:r w:rsidRPr="00102B65" w:rsidR="00005167">
        <w:t>§</w:t>
      </w:r>
      <w:r w:rsidRPr="00102B65">
        <w:t xml:space="preserve"> </w:t>
      </w:r>
      <w:r w:rsidRPr="00102B65" w:rsidR="008A6C9A">
        <w:t xml:space="preserve">0.31, 0.241, </w:t>
      </w:r>
      <w:r w:rsidRPr="00102B65">
        <w:t xml:space="preserve">2.951(d), </w:t>
      </w:r>
      <w:r w:rsidRPr="00102B65">
        <w:rPr>
          <w:szCs w:val="22"/>
        </w:rPr>
        <w:t xml:space="preserve">the Commission </w:t>
      </w:r>
      <w:r w:rsidRPr="00102B65" w:rsidR="00084691">
        <w:rPr>
          <w:b/>
          <w:bCs/>
          <w:szCs w:val="22"/>
        </w:rPr>
        <w:t>HEREBY WITHDRAWS ITS RECOGNITION</w:t>
      </w:r>
      <w:r w:rsidRPr="00102B65">
        <w:rPr>
          <w:szCs w:val="22"/>
        </w:rPr>
        <w:t xml:space="preserve"> of </w:t>
      </w:r>
      <w:r w:rsidRPr="00102B65" w:rsidR="0068004F">
        <w:rPr>
          <w:szCs w:val="22"/>
        </w:rPr>
        <w:t xml:space="preserve">TUV </w:t>
      </w:r>
      <w:r w:rsidRPr="00102B65" w:rsidR="0068004F">
        <w:rPr>
          <w:szCs w:val="22"/>
        </w:rPr>
        <w:t>Rheinland</w:t>
      </w:r>
      <w:r w:rsidRPr="00102B65" w:rsidR="0068004F">
        <w:rPr>
          <w:szCs w:val="22"/>
        </w:rPr>
        <w:t>/CCIC (Ningbo) Co., Ltd.,</w:t>
      </w:r>
      <w:r w:rsidRPr="00102B65" w:rsidR="00F35830">
        <w:rPr>
          <w:szCs w:val="22"/>
        </w:rPr>
        <w:t xml:space="preserve"> </w:t>
      </w:r>
      <w:r w:rsidRPr="00102B65" w:rsidR="0068004F">
        <w:rPr>
          <w:szCs w:val="22"/>
        </w:rPr>
        <w:t>Designation No. CN1237</w:t>
      </w:r>
      <w:r w:rsidRPr="00102B65" w:rsidR="00580265">
        <w:rPr>
          <w:szCs w:val="22"/>
        </w:rPr>
        <w:t xml:space="preserve"> </w:t>
      </w:r>
      <w:r w:rsidRPr="00102B65" w:rsidR="005E62DE">
        <w:t>as an accredited test laboratory.</w:t>
      </w:r>
    </w:p>
    <w:p w:rsidR="00145705" w:rsidRPr="00102B65" w:rsidP="0066363C" w14:paraId="0B53D5CD" w14:textId="14937D81">
      <w:pPr>
        <w:pStyle w:val="ParaNum"/>
        <w:keepNext/>
        <w:keepLines/>
        <w:widowControl/>
      </w:pPr>
      <w:r w:rsidRPr="00102B65">
        <w:rPr>
          <w:b/>
        </w:rPr>
        <w:t>IT IS FURTHER ORDERED</w:t>
      </w:r>
      <w:r w:rsidRPr="00102B65">
        <w:t xml:space="preserve"> that a copy of this Order shall be sent by e</w:t>
      </w:r>
      <w:r w:rsidRPr="00102B65" w:rsidR="00F526ED">
        <w:t>-</w:t>
      </w:r>
      <w:r w:rsidRPr="00102B65">
        <w:t xml:space="preserve">mail to </w:t>
      </w:r>
      <w:hyperlink r:id="rId5" w:history="1">
        <w:r w:rsidRPr="00102B65" w:rsidR="0068004F">
          <w:rPr>
            <w:rStyle w:val="Hyperlink"/>
          </w:rPr>
          <w:t>Thorsten.Keiter@tuv.com</w:t>
        </w:r>
      </w:hyperlink>
      <w:r w:rsidRPr="00102B65" w:rsidR="00084691">
        <w:t xml:space="preserve"> </w:t>
      </w:r>
      <w:r w:rsidRPr="00102B65">
        <w:t xml:space="preserve">on the release date of this Order and a copy sent by regular first-class mail and certified mail, return receipt requested, to </w:t>
      </w:r>
      <w:r w:rsidRPr="00102B65" w:rsidR="00D21A25">
        <w:t>Thorsten Keiter</w:t>
      </w:r>
      <w:r w:rsidRPr="00102B65">
        <w:t xml:space="preserve">, </w:t>
      </w:r>
      <w:r w:rsidRPr="00102B65" w:rsidR="001F5A55">
        <w:t xml:space="preserve">TÜV </w:t>
      </w:r>
      <w:r w:rsidRPr="00102B65" w:rsidR="001F5A55">
        <w:t>Rheinland</w:t>
      </w:r>
      <w:r w:rsidRPr="00102B65" w:rsidR="001F5A55">
        <w:t xml:space="preserve"> / CCIC (Ningbo) Co. Ltd.</w:t>
      </w:r>
      <w:r w:rsidRPr="00102B65" w:rsidR="00D21A25">
        <w:t xml:space="preserve">, </w:t>
      </w:r>
      <w:r w:rsidRPr="00102B65" w:rsidR="001F5A55">
        <w:t>Building C13 R&amp;D Park No. 32 Lane 299 Guanghua Road National Hi-Tech Zone</w:t>
      </w:r>
      <w:r w:rsidRPr="00102B65" w:rsidR="00D21A25">
        <w:t xml:space="preserve">, </w:t>
      </w:r>
      <w:r w:rsidRPr="00102B65" w:rsidR="001F5A55">
        <w:t>Ningbo, China.</w:t>
      </w:r>
    </w:p>
    <w:p w:rsidR="00145705" w:rsidRPr="00102B65" w:rsidP="00145705" w14:paraId="2A3DC6F5" w14:textId="77777777">
      <w:pPr>
        <w:keepNext/>
        <w:keepLines/>
        <w:ind w:left="4320"/>
      </w:pPr>
    </w:p>
    <w:p w:rsidR="00145705" w:rsidRPr="00102B65" w:rsidP="00145705" w14:paraId="1F06624C" w14:textId="77777777">
      <w:pPr>
        <w:keepNext/>
        <w:keepLines/>
        <w:ind w:left="4320"/>
      </w:pPr>
      <w:r w:rsidRPr="00102B65">
        <w:t>FEDERAL COMMUNICATIONS COMMISSION</w:t>
      </w:r>
    </w:p>
    <w:p w:rsidR="00145705" w:rsidRPr="00102B65" w:rsidP="00145705" w14:paraId="52F5C76A" w14:textId="2FB57987">
      <w:pPr>
        <w:keepNext/>
        <w:keepLines/>
      </w:pPr>
      <w:r>
        <w:tab/>
      </w:r>
      <w:r>
        <w:tab/>
      </w:r>
      <w:r>
        <w:tab/>
      </w:r>
      <w:r>
        <w:tab/>
      </w:r>
      <w:r>
        <w:tab/>
      </w:r>
      <w:r>
        <w:tab/>
      </w:r>
    </w:p>
    <w:p w:rsidR="00145705" w:rsidRPr="00102B65" w:rsidP="00145705" w14:paraId="39F00420" w14:textId="1D5DDA0A">
      <w:pPr>
        <w:keepNext/>
        <w:keepLines/>
      </w:pPr>
      <w:r>
        <w:tab/>
      </w:r>
      <w:r>
        <w:tab/>
      </w:r>
      <w:r>
        <w:tab/>
      </w:r>
      <w:r>
        <w:tab/>
      </w:r>
      <w:r>
        <w:tab/>
      </w:r>
      <w:r>
        <w:tab/>
      </w:r>
    </w:p>
    <w:p w:rsidR="00145705" w:rsidRPr="00102B65" w:rsidP="0066363C" w14:paraId="47DB1891" w14:textId="655ABCFE">
      <w:pPr>
        <w:keepNext/>
        <w:keepLines/>
      </w:pPr>
      <w:r>
        <w:tab/>
      </w:r>
      <w:r>
        <w:tab/>
      </w:r>
      <w:r>
        <w:tab/>
      </w:r>
      <w:r>
        <w:tab/>
      </w:r>
      <w:r>
        <w:tab/>
      </w:r>
      <w:r>
        <w:tab/>
      </w:r>
    </w:p>
    <w:p w:rsidR="00145705" w:rsidRPr="00102B65" w:rsidP="00145705" w14:paraId="3B4A3D74" w14:textId="3ABB94B9">
      <w:pPr>
        <w:keepNext/>
        <w:keepLines/>
      </w:pPr>
      <w:r>
        <w:tab/>
      </w:r>
      <w:r>
        <w:tab/>
      </w:r>
      <w:r>
        <w:tab/>
      </w:r>
      <w:r>
        <w:tab/>
      </w:r>
      <w:r>
        <w:tab/>
      </w:r>
      <w:r>
        <w:tab/>
      </w:r>
    </w:p>
    <w:p w:rsidR="00145705" w:rsidRPr="00102B65" w:rsidP="00145705" w14:paraId="2A246F9F" w14:textId="77777777">
      <w:pPr>
        <w:keepNext/>
        <w:keepLines/>
        <w:ind w:left="4320"/>
        <w:rPr>
          <w:szCs w:val="22"/>
        </w:rPr>
      </w:pPr>
      <w:r w:rsidRPr="00102B65">
        <w:rPr>
          <w:szCs w:val="22"/>
        </w:rPr>
        <w:t>Andrew C. Hendrickson</w:t>
      </w:r>
    </w:p>
    <w:p w:rsidR="00145705" w:rsidRPr="00102B65" w:rsidP="00145705" w14:paraId="52DAF07E" w14:textId="2430E322">
      <w:pPr>
        <w:keepNext/>
        <w:keepLines/>
        <w:ind w:left="4320"/>
      </w:pPr>
      <w:r w:rsidRPr="00102B65">
        <w:t xml:space="preserve">Chief </w:t>
      </w:r>
    </w:p>
    <w:p w:rsidR="00674CC1" w:rsidRPr="00C4770D" w:rsidP="00C4770D" w14:paraId="6C5A761A" w14:textId="449335DC">
      <w:pPr>
        <w:keepNext/>
        <w:keepLines/>
        <w:ind w:left="3600" w:firstLine="720"/>
        <w:rPr>
          <w:szCs w:val="22"/>
        </w:rPr>
      </w:pPr>
      <w:r w:rsidRPr="00102B65">
        <w:rPr>
          <w:szCs w:val="22"/>
        </w:rPr>
        <w:t>Office of Engineering and Technology</w:t>
      </w:r>
    </w:p>
    <w:sectPr w:rsidSect="00145705">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14:paraId="2B4BCDD5" w14:textId="77777777">
    <w:pPr>
      <w:pStyle w:val="Footer"/>
      <w:framePr w:wrap="around" w:vAnchor="text" w:hAnchor="margin" w:xAlign="center" w:y="1"/>
    </w:pPr>
    <w:r>
      <w:fldChar w:fldCharType="begin"/>
    </w:r>
    <w:r>
      <w:instrText xml:space="preserve">PAGE  </w:instrText>
    </w:r>
    <w:r>
      <w:fldChar w:fldCharType="separate"/>
    </w:r>
    <w:r>
      <w:fldChar w:fldCharType="end"/>
    </w:r>
  </w:p>
  <w:p w:rsidR="00145705" w14:paraId="162430A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14:paraId="0637E0A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6A0"/>
    </w:tblPr>
    <w:tblGrid>
      <w:gridCol w:w="3120"/>
      <w:gridCol w:w="3120"/>
      <w:gridCol w:w="3120"/>
    </w:tblGrid>
    <w:tr w14:paraId="2FF1D629" w14:textId="77777777" w:rsidTr="17279E2D">
      <w:tblPrEx>
        <w:tblW w:w="0" w:type="auto"/>
        <w:tblLook w:val="06A0"/>
      </w:tblPrEx>
      <w:trPr>
        <w:trHeight w:val="300"/>
      </w:trPr>
      <w:tc>
        <w:tcPr>
          <w:tcW w:w="3120" w:type="dxa"/>
        </w:tcPr>
        <w:p w:rsidR="17279E2D" w:rsidP="00330054" w14:paraId="786F0F60" w14:textId="79C02E7B">
          <w:pPr>
            <w:pStyle w:val="Header"/>
          </w:pPr>
        </w:p>
      </w:tc>
      <w:tc>
        <w:tcPr>
          <w:tcW w:w="3120" w:type="dxa"/>
        </w:tcPr>
        <w:p w:rsidR="17279E2D" w:rsidP="00330054" w14:paraId="7B372269" w14:textId="5C4E3AA5">
          <w:pPr>
            <w:pStyle w:val="Header"/>
          </w:pPr>
        </w:p>
      </w:tc>
      <w:tc>
        <w:tcPr>
          <w:tcW w:w="3120" w:type="dxa"/>
        </w:tcPr>
        <w:p w:rsidR="17279E2D" w:rsidP="00330054" w14:paraId="6B82ACF6" w14:textId="435A0324">
          <w:pPr>
            <w:pStyle w:val="Header"/>
          </w:pPr>
        </w:p>
      </w:tc>
    </w:tr>
  </w:tbl>
  <w:p w:rsidR="17279E2D" w:rsidP="17279E2D" w14:paraId="11C68FFE" w14:textId="660D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0B9C" w:rsidP="00145705" w14:paraId="752A6B9A" w14:textId="77777777">
      <w:r>
        <w:separator/>
      </w:r>
    </w:p>
  </w:footnote>
  <w:footnote w:type="continuationSeparator" w:id="1">
    <w:p w:rsidR="00DE0B9C" w:rsidP="00145705" w14:paraId="76618B53" w14:textId="77777777">
      <w:r>
        <w:continuationSeparator/>
      </w:r>
    </w:p>
  </w:footnote>
  <w:footnote w:id="2">
    <w:p w:rsidR="00145705" w:rsidRPr="002B1263" w:rsidP="00461194" w14:paraId="1B594AA3" w14:textId="12F24AA0">
      <w:pPr>
        <w:pStyle w:val="FootnoteText"/>
      </w:pPr>
      <w:r>
        <w:rPr>
          <w:rStyle w:val="FootnoteReference"/>
        </w:rPr>
        <w:footnoteRef/>
      </w:r>
      <w:r>
        <w:t xml:space="preserve"> 47 U.S.C. § 302a(e); 47 CFR § 2.951(d)</w:t>
      </w:r>
      <w:r w:rsidR="00D94870">
        <w:t>.</w:t>
      </w:r>
    </w:p>
  </w:footnote>
  <w:footnote w:id="3">
    <w:p w:rsidR="00145705" w:rsidP="00461194" w14:paraId="4B911FD6" w14:textId="77777777">
      <w:pPr>
        <w:pStyle w:val="FootnoteText"/>
      </w:pPr>
      <w:r>
        <w:rPr>
          <w:rStyle w:val="FootnoteReference"/>
        </w:rPr>
        <w:footnoteRef/>
      </w:r>
      <w:r>
        <w:t xml:space="preserve"> 47 U.S.C. § 302a(a); </w:t>
      </w:r>
      <w:r>
        <w:rPr>
          <w:i/>
          <w:iCs/>
        </w:rPr>
        <w:t xml:space="preserve">see generally </w:t>
      </w:r>
      <w:r>
        <w:t xml:space="preserve">47 CFR pt. 2 </w:t>
      </w:r>
      <w:r>
        <w:t>subpt</w:t>
      </w:r>
      <w:r>
        <w:t>. J (equipment authorization procedures).</w:t>
      </w:r>
    </w:p>
  </w:footnote>
  <w:footnote w:id="4">
    <w:p w:rsidR="00145705" w:rsidP="00461194" w14:paraId="197F3FAB" w14:textId="760ADC47">
      <w:pPr>
        <w:pStyle w:val="FootnoteText"/>
      </w:pPr>
      <w:r>
        <w:rPr>
          <w:rStyle w:val="FootnoteReference"/>
        </w:rPr>
        <w:footnoteRef/>
      </w:r>
      <w:r>
        <w:t xml:space="preserve"> 47 U.S.C. § 302a(e)(1), (3); </w:t>
      </w:r>
      <w:r>
        <w:rPr>
          <w:i/>
          <w:iCs/>
        </w:rPr>
        <w:t xml:space="preserve">see </w:t>
      </w:r>
      <w:r>
        <w:t>47 CFR §</w:t>
      </w:r>
      <w:r w:rsidR="006E1F93">
        <w:t>§</w:t>
      </w:r>
      <w:r>
        <w:t> 2.948, 2.951.</w:t>
      </w:r>
    </w:p>
  </w:footnote>
  <w:footnote w:id="5">
    <w:p w:rsidR="00145705" w:rsidP="00461194" w14:paraId="41BA3E51" w14:textId="60401560">
      <w:pPr>
        <w:pStyle w:val="FootnoteText"/>
      </w:pPr>
      <w:r>
        <w:rPr>
          <w:rStyle w:val="FootnoteReference"/>
        </w:rPr>
        <w:footnoteRef/>
      </w:r>
      <w:r>
        <w:t xml:space="preserve"> </w:t>
      </w:r>
      <w:r w:rsidRPr="00CA7F9C">
        <w:rPr>
          <w:i/>
          <w:iCs/>
        </w:rPr>
        <w:t>Promoting the Integrity and Security of Telecommunications Certification Bodies, Measurement Facilities, and the Equipment Authorization Program</w:t>
      </w:r>
      <w:r>
        <w:t xml:space="preserve">, Report and Order and Further Notice of Proposed Rulemaking, ET Docket No. 24-136, </w:t>
      </w:r>
      <w:r w:rsidRPr="00FF7218" w:rsidR="00FF7218">
        <w:t>40 FCC Rcd 3616</w:t>
      </w:r>
      <w:r>
        <w:t xml:space="preserve">, </w:t>
      </w:r>
      <w:r w:rsidR="00C57BCE">
        <w:t>3</w:t>
      </w:r>
      <w:r w:rsidR="0075038C">
        <w:t>617,</w:t>
      </w:r>
      <w:r w:rsidR="002E060F">
        <w:t xml:space="preserve"> </w:t>
      </w:r>
      <w:r>
        <w:t>para. 1 (2025)</w:t>
      </w:r>
      <w:r w:rsidR="003F6D4D">
        <w:t xml:space="preserve"> (</w:t>
      </w:r>
      <w:r w:rsidR="001A7DE0">
        <w:rPr>
          <w:i/>
          <w:iCs/>
        </w:rPr>
        <w:t>EA Integrity</w:t>
      </w:r>
      <w:r w:rsidRPr="003B4161" w:rsidR="003F6D4D">
        <w:rPr>
          <w:i/>
          <w:iCs/>
        </w:rPr>
        <w:t xml:space="preserve"> Order</w:t>
      </w:r>
      <w:r w:rsidR="003F6D4D">
        <w:t>)</w:t>
      </w:r>
      <w:r w:rsidRPr="0094761F" w:rsidR="003F6D4D">
        <w:t>.</w:t>
      </w:r>
    </w:p>
  </w:footnote>
  <w:footnote w:id="6">
    <w:p w:rsidR="00145705" w:rsidP="00461194" w14:paraId="20F56FEF" w14:textId="48FA591F">
      <w:pPr>
        <w:pStyle w:val="FootnoteText"/>
      </w:pPr>
      <w:r>
        <w:rPr>
          <w:rStyle w:val="FootnoteReference"/>
        </w:rPr>
        <w:footnoteRef/>
      </w:r>
      <w:r>
        <w:t xml:space="preserve"> 47 CFR § 2.951(d)(1).</w:t>
      </w:r>
    </w:p>
  </w:footnote>
  <w:footnote w:id="7">
    <w:p w:rsidR="00145705" w:rsidP="00461194" w14:paraId="02D3FABF" w14:textId="77777777">
      <w:pPr>
        <w:pStyle w:val="FootnoteText"/>
      </w:pPr>
      <w:r>
        <w:rPr>
          <w:rStyle w:val="FootnoteReference"/>
        </w:rPr>
        <w:footnoteRef/>
      </w:r>
      <w:r>
        <w:t xml:space="preserve"> 47 CFR § 2.902.</w:t>
      </w:r>
    </w:p>
  </w:footnote>
  <w:footnote w:id="8">
    <w:p w:rsidR="00145705" w:rsidRPr="00A55EDB" w:rsidP="00461194" w14:paraId="1947197A" w14:textId="3FD96BF8">
      <w:pPr>
        <w:pStyle w:val="FootnoteText"/>
      </w:pPr>
      <w:r>
        <w:rPr>
          <w:rStyle w:val="FootnoteReference"/>
        </w:rPr>
        <w:footnoteRef/>
      </w:r>
      <w:r>
        <w:t xml:space="preserve"> </w:t>
      </w:r>
      <w:r>
        <w:rPr>
          <w:i/>
          <w:iCs/>
        </w:rPr>
        <w:t>Id</w:t>
      </w:r>
      <w:r>
        <w:t>.</w:t>
      </w:r>
      <w:r w:rsidR="00D87E50">
        <w:t xml:space="preserve">  </w:t>
      </w:r>
      <w:r w:rsidR="00512FAF">
        <w:t xml:space="preserve">Prohibited entities </w:t>
      </w:r>
      <w:r w:rsidR="00B80BD7">
        <w:t>are further defined to</w:t>
      </w:r>
      <w:r w:rsidR="00512FAF">
        <w:t xml:space="preserve"> include </w:t>
      </w:r>
      <w:r w:rsidR="00B96376">
        <w:t xml:space="preserve">entities identified on the </w:t>
      </w:r>
      <w:r w:rsidR="00512FAF">
        <w:t>Covered List as well as entities identified</w:t>
      </w:r>
      <w:r w:rsidR="00DC04ED">
        <w:t xml:space="preserve"> by </w:t>
      </w:r>
      <w:r w:rsidR="00A55EDB">
        <w:t xml:space="preserve">specified sources. </w:t>
      </w:r>
      <w:r w:rsidR="00F4617D">
        <w:t xml:space="preserve"> </w:t>
      </w:r>
      <w:r w:rsidR="00A55EDB">
        <w:rPr>
          <w:i/>
          <w:iCs/>
        </w:rPr>
        <w:t>Id.</w:t>
      </w:r>
      <w:r w:rsidR="00A55EDB">
        <w:t xml:space="preserve"> </w:t>
      </w:r>
    </w:p>
  </w:footnote>
  <w:footnote w:id="9">
    <w:p w:rsidR="00A54C64" w:rsidP="00461194" w14:paraId="0E944698" w14:textId="73AE3777">
      <w:pPr>
        <w:pStyle w:val="FootnoteText"/>
      </w:pPr>
      <w:r>
        <w:rPr>
          <w:rStyle w:val="FootnoteReference"/>
        </w:rPr>
        <w:footnoteRef/>
      </w:r>
      <w:r>
        <w:t xml:space="preserve"> </w:t>
      </w:r>
      <w:r w:rsidR="000838AD">
        <w:t>“</w:t>
      </w:r>
      <w:r w:rsidR="00C94756">
        <w:t>The Secretary has determined that the following foreign governments or foreign non-government persons have engaged in a long-term pattern or serious instances of conduct significantly adverse to the national security of the United States or security and safety of United States persons and, therefore, constitute foreign adversaries solely for the purposes of the Executive Order, this rule, and any subsequent rule:</w:t>
      </w:r>
      <w:r w:rsidR="000838AD">
        <w:t xml:space="preserve">  </w:t>
      </w:r>
      <w:r w:rsidR="00C94756">
        <w:t>(1) The People</w:t>
      </w:r>
      <w:r w:rsidR="00B513D5">
        <w:t>’</w:t>
      </w:r>
      <w:r w:rsidR="00C94756">
        <w:t>s Republic of China, including the Hong Kong Special Administrative Region and the Macau Special Administrative Region (China)</w:t>
      </w:r>
      <w:r w:rsidR="000838AD">
        <w:t xml:space="preserve">….”  </w:t>
      </w:r>
      <w:r w:rsidRPr="003C5B5A" w:rsidR="006843E4">
        <w:t>15 CFR § 791.4</w:t>
      </w:r>
      <w:r w:rsidR="006843E4">
        <w:t>(a)(1)</w:t>
      </w:r>
      <w:r w:rsidR="00317D08">
        <w:t>;</w:t>
      </w:r>
      <w:r w:rsidR="00610A5E">
        <w:t xml:space="preserve"> </w:t>
      </w:r>
      <w:r w:rsidR="00317D08">
        <w:rPr>
          <w:i/>
          <w:iCs/>
        </w:rPr>
        <w:t>s</w:t>
      </w:r>
      <w:r w:rsidR="00610A5E">
        <w:rPr>
          <w:i/>
          <w:iCs/>
        </w:rPr>
        <w:t xml:space="preserve">ee also </w:t>
      </w:r>
      <w:r w:rsidRPr="004A7EAC" w:rsidR="00610A5E">
        <w:rPr>
          <w:i/>
          <w:iCs/>
        </w:rPr>
        <w:t xml:space="preserve">TUV </w:t>
      </w:r>
      <w:r w:rsidRPr="004A7EAC" w:rsidR="00610A5E">
        <w:rPr>
          <w:i/>
          <w:iCs/>
        </w:rPr>
        <w:t>Rheinland</w:t>
      </w:r>
      <w:r w:rsidRPr="004A7EAC" w:rsidR="00610A5E">
        <w:rPr>
          <w:i/>
          <w:iCs/>
        </w:rPr>
        <w:t>/CCIC (Ningbo) Co., Ltd</w:t>
      </w:r>
      <w:r w:rsidR="00610A5E">
        <w:t>.</w:t>
      </w:r>
      <w:r w:rsidRPr="00FA4416" w:rsidR="00610A5E">
        <w:rPr>
          <w:i/>
          <w:iCs/>
        </w:rPr>
        <w:t>, Designation No. CN1</w:t>
      </w:r>
      <w:r w:rsidR="00610A5E">
        <w:rPr>
          <w:i/>
          <w:iCs/>
        </w:rPr>
        <w:t>237</w:t>
      </w:r>
      <w:r w:rsidRPr="00977602" w:rsidR="00610A5E">
        <w:t xml:space="preserve">, </w:t>
      </w:r>
      <w:r w:rsidRPr="00FA4416" w:rsidR="00610A5E">
        <w:t>ET Docket No. 25-26</w:t>
      </w:r>
      <w:r w:rsidR="00610A5E">
        <w:t>9</w:t>
      </w:r>
      <w:r w:rsidRPr="00FA4416" w:rsidR="00610A5E">
        <w:t>, Notice of Intent to Begin Proceedings to Withdraw Recognition as an Accredited Test Laboratory, DA 25-79</w:t>
      </w:r>
      <w:r w:rsidR="00610A5E">
        <w:t xml:space="preserve">6 (OET Sept. 8, 2025) </w:t>
      </w:r>
      <w:r w:rsidRPr="00893A3A" w:rsidR="00610A5E">
        <w:t>(</w:t>
      </w:r>
      <w:r w:rsidR="00610A5E">
        <w:rPr>
          <w:i/>
          <w:iCs/>
        </w:rPr>
        <w:t>Notice</w:t>
      </w:r>
      <w:r w:rsidRPr="00893A3A" w:rsidR="00610A5E">
        <w:t>)</w:t>
      </w:r>
      <w:r w:rsidRPr="00B74377" w:rsidR="00610A5E">
        <w:t>.</w:t>
      </w:r>
    </w:p>
  </w:footnote>
  <w:footnote w:id="10">
    <w:p w:rsidR="00AC229D" w:rsidRPr="00255407" w:rsidP="0042508F" w14:paraId="19A95C3C" w14:textId="0AD78407">
      <w:pPr>
        <w:pStyle w:val="FootnoteText"/>
        <w:rPr>
          <w:i/>
          <w:iCs/>
        </w:rPr>
      </w:pPr>
      <w:r>
        <w:rPr>
          <w:rStyle w:val="footnotemark"/>
        </w:rPr>
        <w:footnoteRef/>
      </w:r>
      <w:r>
        <w:t xml:space="preserve"> TUV/Ningbo (FCC designation number CN1237) was last recognized by the FCC on March 28, 2025, with a recognition expiration date of June 30, 2026.  </w:t>
      </w:r>
    </w:p>
  </w:footnote>
  <w:footnote w:id="11">
    <w:p w:rsidR="008C5A88" w:rsidRPr="008C5A88" w:rsidP="0042508F" w14:paraId="4C491F96" w14:textId="38043F27">
      <w:pPr>
        <w:pStyle w:val="FootnoteText"/>
      </w:pPr>
      <w:r>
        <w:rPr>
          <w:rStyle w:val="footnotemark"/>
        </w:rPr>
        <w:footnoteRef/>
      </w:r>
      <w:r>
        <w:t xml:space="preserve"> China Certification &amp; Inspection Group, </w:t>
      </w:r>
      <w:r>
        <w:rPr>
          <w:i/>
        </w:rPr>
        <w:t>Group Introduction</w:t>
      </w:r>
      <w:r>
        <w:t xml:space="preserve">, </w:t>
      </w:r>
      <w:hyperlink r:id="rId1">
        <w:r>
          <w:rPr>
            <w:color w:val="0000FF"/>
            <w:u w:val="single" w:color="0000FF"/>
          </w:rPr>
          <w:t>https://www.ccic.com/gywm/jtjj/index.html</w:t>
        </w:r>
      </w:hyperlink>
      <w:r>
        <w:t xml:space="preserve"> (last visited Sept. 4, 2025).  According to its website, the CCIC Group provides inspection, verification, certification, and testing services that are intended to ensure the quality, safety, and compliance of telecommunications equipment.  </w:t>
      </w:r>
    </w:p>
  </w:footnote>
  <w:footnote w:id="12">
    <w:p w:rsidR="00A520C0" w:rsidRPr="00A520C0" w:rsidP="0042508F" w14:paraId="1A62D093" w14:textId="672225C6">
      <w:pPr>
        <w:pStyle w:val="FootnoteText"/>
        <w:widowControl w:val="0"/>
        <w:spacing w:after="0"/>
      </w:pPr>
      <w:r>
        <w:rPr>
          <w:rStyle w:val="FootnoteReference"/>
        </w:rPr>
        <w:footnoteRef/>
      </w:r>
      <w:r>
        <w:t xml:space="preserve"> </w:t>
      </w:r>
      <w:r w:rsidRPr="00A520C0">
        <w:t xml:space="preserve">China Certification &amp; Inspection Group, </w:t>
      </w:r>
      <w:r w:rsidRPr="00A520C0">
        <w:rPr>
          <w:i/>
          <w:iCs/>
        </w:rPr>
        <w:t>Group Introduction</w:t>
      </w:r>
      <w:r w:rsidRPr="00A520C0">
        <w:t xml:space="preserve">, </w:t>
      </w:r>
      <w:hyperlink r:id="rId1" w:history="1">
        <w:r w:rsidRPr="00774E9B">
          <w:rPr>
            <w:rStyle w:val="Hyperlink"/>
          </w:rPr>
          <w:t>https://www.ccic.com/gywm/jtjj/index.html</w:t>
        </w:r>
      </w:hyperlink>
      <w:r w:rsidRPr="00A520C0">
        <w:t xml:space="preserve"> (last</w:t>
      </w:r>
    </w:p>
    <w:p w:rsidR="00A520C0" w:rsidRPr="00A520C0" w:rsidP="006F273D" w14:paraId="5BE86088" w14:textId="77777777">
      <w:pPr>
        <w:pStyle w:val="FootnoteText"/>
        <w:spacing w:after="0"/>
      </w:pPr>
      <w:r w:rsidRPr="00A520C0">
        <w:t>visited Sept. 4, 2025) (“China Inspection and Certification Group (referred to as China Inspection, English</w:t>
      </w:r>
    </w:p>
    <w:p w:rsidR="00A520C0" w:rsidRPr="00A520C0" w:rsidP="006F273D" w14:paraId="7CCC2608" w14:textId="77777777">
      <w:pPr>
        <w:pStyle w:val="FootnoteText"/>
        <w:spacing w:after="0"/>
      </w:pPr>
      <w:r w:rsidRPr="00A520C0">
        <w:t>abbreviation CCIC) is a central enterprise approved by the State Council and managed by the SASAC of the State</w:t>
      </w:r>
    </w:p>
    <w:p w:rsidR="00A520C0" w:rsidRPr="00A520C0" w:rsidP="006F273D" w14:paraId="3EDBFEF0" w14:textId="77777777">
      <w:pPr>
        <w:pStyle w:val="FootnoteText"/>
        <w:spacing w:after="0"/>
      </w:pPr>
      <w:r w:rsidRPr="00A520C0">
        <w:t>Council, and is a comprehensive quality service organization with ‘inspection, testing, certification, standards, and</w:t>
      </w:r>
    </w:p>
    <w:p w:rsidR="00A520C0" w:rsidRPr="00A520C0" w:rsidP="006F273D" w14:paraId="18D004BF" w14:textId="77777777">
      <w:pPr>
        <w:pStyle w:val="FootnoteText"/>
        <w:spacing w:after="0"/>
      </w:pPr>
      <w:r w:rsidRPr="00A520C0">
        <w:t xml:space="preserve">measurement’ as the main industry, which was created in 1980.”); </w:t>
      </w:r>
      <w:r w:rsidRPr="00A520C0">
        <w:rPr>
          <w:i/>
          <w:iCs/>
        </w:rPr>
        <w:t xml:space="preserve">see also </w:t>
      </w:r>
      <w:r w:rsidRPr="00A520C0">
        <w:t>State-owned Assets Supervision and</w:t>
      </w:r>
    </w:p>
    <w:p w:rsidR="00A520C0" w:rsidRPr="00A520C0" w:rsidP="006F273D" w14:paraId="7F52D8C4" w14:textId="5E7710D2">
      <w:pPr>
        <w:pStyle w:val="FootnoteText"/>
        <w:spacing w:after="0"/>
      </w:pPr>
      <w:r w:rsidRPr="00A520C0">
        <w:t xml:space="preserve">Administration Commission of the State Council, </w:t>
      </w:r>
      <w:r w:rsidRPr="00A520C0">
        <w:rPr>
          <w:i/>
          <w:iCs/>
        </w:rPr>
        <w:t>About Us</w:t>
      </w:r>
      <w:r w:rsidRPr="00A520C0">
        <w:t xml:space="preserve">, </w:t>
      </w:r>
      <w:hyperlink r:id="rId2" w:history="1">
        <w:r w:rsidRPr="00D4514F">
          <w:rPr>
            <w:rStyle w:val="Hyperlink"/>
          </w:rPr>
          <w:t>http://en.sasac.gov.cn/sasacaboutus.html</w:t>
        </w:r>
      </w:hyperlink>
      <w:r w:rsidRPr="00A520C0">
        <w:t xml:space="preserve"> (last visited</w:t>
      </w:r>
    </w:p>
    <w:p w:rsidR="00B41A34" w:rsidP="006F273D" w14:paraId="22B6E06D" w14:textId="2852DF0D">
      <w:pPr>
        <w:pStyle w:val="FootnoteText"/>
      </w:pPr>
      <w:r w:rsidRPr="00A520C0">
        <w:t>Sept. 4, 2025).</w:t>
      </w:r>
    </w:p>
  </w:footnote>
  <w:footnote w:id="13">
    <w:p w:rsidR="00CD2B17" w:rsidP="0042508F" w14:paraId="2CC6E262" w14:textId="77777777">
      <w:pPr>
        <w:pStyle w:val="FootnoteText"/>
        <w:widowControl w:val="0"/>
        <w:spacing w:after="0"/>
      </w:pPr>
      <w:r>
        <w:rPr>
          <w:rStyle w:val="FootnoteReference"/>
        </w:rPr>
        <w:footnoteRef/>
      </w:r>
      <w:r>
        <w:t xml:space="preserve"> State-owned Assets and Supervision and Administrative Commission of the State Council, </w:t>
      </w:r>
      <w:r w:rsidRPr="006F273D">
        <w:rPr>
          <w:i/>
          <w:iCs/>
        </w:rPr>
        <w:t>About Us</w:t>
      </w:r>
      <w:r>
        <w:t>,</w:t>
      </w:r>
    </w:p>
    <w:p w:rsidR="00CD2B17" w:rsidP="00CD2B17" w14:paraId="195C0D66" w14:textId="2EA18D06">
      <w:pPr>
        <w:pStyle w:val="FootnoteText"/>
      </w:pPr>
      <w:hyperlink r:id="rId3" w:history="1">
        <w:r w:rsidRPr="00CD2B17">
          <w:rPr>
            <w:rStyle w:val="Hyperlink"/>
          </w:rPr>
          <w:t>http://en.sasac.gov.cn/aboutus.html</w:t>
        </w:r>
      </w:hyperlink>
      <w:r>
        <w:t xml:space="preserve"> (last visited Sept. 4, 2025).</w:t>
      </w:r>
    </w:p>
  </w:footnote>
  <w:footnote w:id="14">
    <w:p w:rsidR="00771A04" w:rsidP="00461194" w14:paraId="27DD43AC" w14:textId="4D86EAC5">
      <w:pPr>
        <w:pStyle w:val="FootnoteText"/>
      </w:pPr>
      <w:r>
        <w:rPr>
          <w:rStyle w:val="FootnoteReference"/>
        </w:rPr>
        <w:footnoteRef/>
      </w:r>
      <w:r>
        <w:t xml:space="preserve"> </w:t>
      </w:r>
      <w:r w:rsidR="001641F6">
        <w:rPr>
          <w:i/>
          <w:iCs/>
        </w:rPr>
        <w:t xml:space="preserve">See </w:t>
      </w:r>
      <w:r w:rsidRPr="00255407" w:rsidR="001641F6">
        <w:rPr>
          <w:i/>
          <w:iCs/>
        </w:rPr>
        <w:t>Notice.</w:t>
      </w:r>
    </w:p>
  </w:footnote>
  <w:footnote w:id="15">
    <w:p w:rsidR="00AE6688" w:rsidRPr="00AE6688" w:rsidP="00461194" w14:paraId="183B3F8F" w14:textId="757B82BB">
      <w:pPr>
        <w:pStyle w:val="FootnoteText"/>
      </w:pPr>
      <w:r>
        <w:rPr>
          <w:rStyle w:val="FootnoteReference"/>
        </w:rPr>
        <w:footnoteRef/>
      </w:r>
      <w:r>
        <w:t xml:space="preserve"> </w:t>
      </w:r>
      <w:r>
        <w:rPr>
          <w:i/>
          <w:iCs/>
        </w:rPr>
        <w:t>Id</w:t>
      </w:r>
      <w:r>
        <w:t>.</w:t>
      </w:r>
    </w:p>
  </w:footnote>
  <w:footnote w:id="16">
    <w:p w:rsidR="00941EFB" w:rsidP="00941EFB" w14:paraId="5A4D1A94" w14:textId="77777777">
      <w:pPr>
        <w:pStyle w:val="FootnoteText"/>
      </w:pPr>
      <w:r>
        <w:rPr>
          <w:rStyle w:val="FootnoteReference"/>
        </w:rPr>
        <w:footnoteRef/>
      </w:r>
      <w:r>
        <w:t xml:space="preserve"> </w:t>
      </w:r>
      <w:r>
        <w:rPr>
          <w:i/>
          <w:iCs/>
        </w:rPr>
        <w:t>Id.</w:t>
      </w:r>
      <w:r>
        <w:t xml:space="preserve"> at para. 7 (internal citations omitted).</w:t>
      </w:r>
    </w:p>
  </w:footnote>
  <w:footnote w:id="17">
    <w:p w:rsidR="009944AE" w:rsidRPr="007B4C0B" w:rsidP="00461194" w14:paraId="69C3061B" w14:textId="117F104C">
      <w:pPr>
        <w:pStyle w:val="FootnoteText"/>
      </w:pPr>
      <w:r>
        <w:rPr>
          <w:rStyle w:val="FootnoteReference"/>
        </w:rPr>
        <w:footnoteRef/>
      </w:r>
      <w:r>
        <w:t xml:space="preserve"> </w:t>
      </w:r>
      <w:r>
        <w:rPr>
          <w:i/>
          <w:iCs/>
        </w:rPr>
        <w:t>Id.</w:t>
      </w:r>
      <w:r>
        <w:t xml:space="preserve"> at para. 7</w:t>
      </w:r>
      <w:r w:rsidR="00082B62">
        <w:t xml:space="preserve"> (internal citations omitted)</w:t>
      </w:r>
      <w:r w:rsidR="007B4C0B">
        <w:t xml:space="preserve">; </w:t>
      </w:r>
      <w:r w:rsidR="007B4C0B">
        <w:rPr>
          <w:i/>
          <w:iCs/>
        </w:rPr>
        <w:t xml:space="preserve">see also </w:t>
      </w:r>
      <w:r w:rsidR="007B4C0B">
        <w:t xml:space="preserve">47 CFR § </w:t>
      </w:r>
      <w:r w:rsidR="00B31D36">
        <w:t>2.902</w:t>
      </w:r>
      <w:r w:rsidR="00AA55C1">
        <w:t>.</w:t>
      </w:r>
    </w:p>
  </w:footnote>
  <w:footnote w:id="18">
    <w:p w:rsidR="00145705" w:rsidRPr="00F05025" w:rsidP="00461194" w14:paraId="35A77565" w14:textId="63BFCF3E">
      <w:pPr>
        <w:pStyle w:val="FootnoteText"/>
      </w:pPr>
      <w:r>
        <w:rPr>
          <w:rStyle w:val="FootnoteReference"/>
        </w:rPr>
        <w:footnoteRef/>
      </w:r>
      <w:r>
        <w:t xml:space="preserve"> </w:t>
      </w:r>
      <w:r>
        <w:rPr>
          <w:i/>
          <w:iCs/>
        </w:rPr>
        <w:t>Id</w:t>
      </w:r>
      <w:r>
        <w:t>.</w:t>
      </w:r>
      <w:r w:rsidR="005B2391">
        <w:t xml:space="preserve"> </w:t>
      </w:r>
      <w:r w:rsidR="003801FC">
        <w:t>at</w:t>
      </w:r>
      <w:r w:rsidR="005B2391">
        <w:t xml:space="preserve"> paras. 7-8</w:t>
      </w:r>
      <w:r w:rsidR="00C71B62">
        <w:t>; 47 CFR § 2.951(e) (</w:t>
      </w:r>
      <w:r w:rsidR="002B0AD5">
        <w:t>“</w:t>
      </w:r>
      <w:r w:rsidRPr="001E0AE5" w:rsidR="002B0AD5">
        <w:t>The Commission will notify a laboratory in writing of its intention to withdraw the laboratory’s recognition and provide at least 30 days for the lab to respond.</w:t>
      </w:r>
      <w:r w:rsidR="002B0AD5">
        <w:t>”</w:t>
      </w:r>
      <w:r w:rsidR="00C71B62">
        <w:t>)</w:t>
      </w:r>
      <w:r w:rsidR="002B0AD5">
        <w:rPr>
          <w:i/>
          <w:iCs/>
        </w:rPr>
        <w:t>.</w:t>
      </w:r>
    </w:p>
  </w:footnote>
  <w:footnote w:id="19">
    <w:p w:rsidR="00B96D31" w:rsidRPr="00BD5C90" w:rsidP="00461194" w14:paraId="4CAAAD52" w14:textId="4D3D1E56">
      <w:pPr>
        <w:pStyle w:val="FootnoteText"/>
      </w:pPr>
      <w:r>
        <w:rPr>
          <w:rStyle w:val="FootnoteReference"/>
        </w:rPr>
        <w:footnoteRef/>
      </w:r>
      <w:r>
        <w:t xml:space="preserve"> </w:t>
      </w:r>
      <w:r w:rsidRPr="004A7EAC" w:rsidR="005404A2">
        <w:rPr>
          <w:i/>
          <w:iCs/>
        </w:rPr>
        <w:t xml:space="preserve">TUV </w:t>
      </w:r>
      <w:r w:rsidRPr="004A7EAC" w:rsidR="005404A2">
        <w:rPr>
          <w:i/>
          <w:iCs/>
        </w:rPr>
        <w:t>Rheinland</w:t>
      </w:r>
      <w:r w:rsidRPr="004A7EAC" w:rsidR="005404A2">
        <w:rPr>
          <w:i/>
          <w:iCs/>
        </w:rPr>
        <w:t>/CCIC (Ningbo) Co., Ltd</w:t>
      </w:r>
      <w:r w:rsidR="005404A2">
        <w:t>.</w:t>
      </w:r>
      <w:r w:rsidRPr="00825F3B">
        <w:rPr>
          <w:i/>
          <w:iCs/>
        </w:rPr>
        <w:t>, Designation No. CN1</w:t>
      </w:r>
      <w:r w:rsidR="007343C1">
        <w:rPr>
          <w:i/>
          <w:iCs/>
        </w:rPr>
        <w:t>237</w:t>
      </w:r>
      <w:r>
        <w:t xml:space="preserve">, </w:t>
      </w:r>
      <w:r w:rsidRPr="00825F3B">
        <w:t>ET Docket No. 25-26</w:t>
      </w:r>
      <w:r w:rsidR="005404A2">
        <w:t>9</w:t>
      </w:r>
      <w:r w:rsidRPr="007B7715">
        <w:t>,</w:t>
      </w:r>
      <w:r w:rsidRPr="00825F3B">
        <w:t xml:space="preserve"> </w:t>
      </w:r>
      <w:r w:rsidR="005404A2">
        <w:t>TUV/Ningbo</w:t>
      </w:r>
      <w:r>
        <w:t xml:space="preserve"> Response to Notice of Intent to Begin Proceeding to Withdraw Recognition as an Accredited Test Laboratory (filed Oct. 1</w:t>
      </w:r>
      <w:r w:rsidR="00A417A7">
        <w:t>1</w:t>
      </w:r>
      <w:r>
        <w:t xml:space="preserve">, 2025) </w:t>
      </w:r>
      <w:r w:rsidRPr="00893A3A">
        <w:t>(</w:t>
      </w:r>
      <w:r w:rsidRPr="00255407">
        <w:t>Response</w:t>
      </w:r>
      <w:r w:rsidRPr="00893A3A">
        <w:t>)</w:t>
      </w:r>
      <w:r w:rsidRPr="00B74377">
        <w:t>.</w:t>
      </w:r>
      <w:r w:rsidR="00BD5C90">
        <w:t xml:space="preserve">  The </w:t>
      </w:r>
      <w:r w:rsidR="00BD5C90">
        <w:rPr>
          <w:i/>
          <w:iCs/>
        </w:rPr>
        <w:t>Instituting Order</w:t>
      </w:r>
      <w:r w:rsidR="00BD5C90">
        <w:t xml:space="preserve"> incorrectly stated that the Response was dated October 14, 2025. </w:t>
      </w:r>
      <w:r w:rsidR="00BD5C90">
        <w:rPr>
          <w:i/>
          <w:iCs/>
        </w:rPr>
        <w:t xml:space="preserve"> </w:t>
      </w:r>
      <w:r w:rsidRPr="006E2F4F" w:rsidR="002850B8">
        <w:rPr>
          <w:i/>
          <w:iCs/>
        </w:rPr>
        <w:t>See</w:t>
      </w:r>
      <w:r w:rsidR="002850B8">
        <w:t xml:space="preserve"> </w:t>
      </w:r>
      <w:r w:rsidR="00BD5C90">
        <w:rPr>
          <w:i/>
          <w:iCs/>
        </w:rPr>
        <w:t>Instituting Order</w:t>
      </w:r>
      <w:r w:rsidR="00BD5C90">
        <w:t xml:space="preserve"> at para. </w:t>
      </w:r>
      <w:r w:rsidR="00AD0700">
        <w:t>7.</w:t>
      </w:r>
    </w:p>
  </w:footnote>
  <w:footnote w:id="20">
    <w:p w:rsidR="008040DB" w:rsidRPr="008040DB" w14:paraId="3A5862AA" w14:textId="3143A81A">
      <w:pPr>
        <w:pStyle w:val="FootnoteText"/>
      </w:pPr>
      <w:r>
        <w:rPr>
          <w:rStyle w:val="FootnoteReference"/>
        </w:rPr>
        <w:footnoteRef/>
      </w:r>
      <w:r>
        <w:t xml:space="preserve"> </w:t>
      </w:r>
      <w:r w:rsidRPr="00255407">
        <w:rPr>
          <w:i/>
          <w:iCs/>
        </w:rPr>
        <w:t>Id.</w:t>
      </w:r>
      <w:r>
        <w:t xml:space="preserve"> at </w:t>
      </w:r>
      <w:r w:rsidR="00242D73">
        <w:t>1.</w:t>
      </w:r>
    </w:p>
  </w:footnote>
  <w:footnote w:id="21">
    <w:p w:rsidR="00506937" w:rsidP="00506937" w14:paraId="4CFCAD1B" w14:textId="30D07F57">
      <w:pPr>
        <w:pStyle w:val="FootnoteText"/>
      </w:pPr>
      <w:r>
        <w:rPr>
          <w:rStyle w:val="FootnoteReference"/>
        </w:rPr>
        <w:footnoteRef/>
      </w:r>
      <w:r>
        <w:t xml:space="preserve"> </w:t>
      </w:r>
      <w:r w:rsidRPr="00904D42">
        <w:t>Response</w:t>
      </w:r>
      <w:r w:rsidRPr="00506937">
        <w:t xml:space="preserve">, Articles of Association, TÜV </w:t>
      </w:r>
      <w:r w:rsidRPr="00506937">
        <w:t>Rheinland</w:t>
      </w:r>
      <w:r w:rsidRPr="00506937">
        <w:t xml:space="preserve"> / CCIC (Ningbo) Co., Ltd. (English translation), Chapter V, at</w:t>
      </w:r>
      <w:r w:rsidR="00CF2D15">
        <w:t xml:space="preserve"> </w:t>
      </w:r>
      <w:r w:rsidRPr="00506937">
        <w:t>2 (“Chapter V. Name of Shareholders and Method and Amount of Capital Contribution, Article 6”).</w:t>
      </w:r>
    </w:p>
  </w:footnote>
  <w:footnote w:id="22">
    <w:p w:rsidR="00A3055C" w14:paraId="4F604DB3" w14:textId="1006F329">
      <w:pPr>
        <w:pStyle w:val="FootnoteText"/>
      </w:pPr>
      <w:r>
        <w:rPr>
          <w:rStyle w:val="FootnoteReference"/>
        </w:rPr>
        <w:footnoteRef/>
      </w:r>
      <w:r>
        <w:t xml:space="preserve"> </w:t>
      </w:r>
      <w:r w:rsidRPr="00184343" w:rsidR="00184343">
        <w:rPr>
          <w:i/>
          <w:iCs/>
        </w:rPr>
        <w:t xml:space="preserve">Id. </w:t>
      </w:r>
      <w:r w:rsidRPr="00184343" w:rsidR="00184343">
        <w:t>at 5-7 (Articles 18 and 23).</w:t>
      </w:r>
    </w:p>
  </w:footnote>
  <w:footnote w:id="23">
    <w:p w:rsidR="00184343" w14:paraId="77F2A96F" w14:textId="5427984D">
      <w:pPr>
        <w:pStyle w:val="FootnoteText"/>
      </w:pPr>
      <w:r>
        <w:rPr>
          <w:rStyle w:val="FootnoteReference"/>
        </w:rPr>
        <w:footnoteRef/>
      </w:r>
      <w:r>
        <w:t xml:space="preserve"> </w:t>
      </w:r>
      <w:r w:rsidRPr="006166F9" w:rsidR="006166F9">
        <w:rPr>
          <w:i/>
          <w:iCs/>
        </w:rPr>
        <w:t xml:space="preserve">Id. </w:t>
      </w:r>
      <w:r w:rsidRPr="006166F9" w:rsidR="006166F9">
        <w:t>at 11 (Article 41).</w:t>
      </w:r>
    </w:p>
  </w:footnote>
  <w:footnote w:id="24">
    <w:p w:rsidR="0058618C" w:rsidP="00461194" w14:paraId="0D4C12E1" w14:textId="121A9656">
      <w:pPr>
        <w:pStyle w:val="FootnoteText"/>
      </w:pPr>
      <w:r>
        <w:rPr>
          <w:rStyle w:val="FootnoteReference"/>
        </w:rPr>
        <w:footnoteRef/>
      </w:r>
      <w:r>
        <w:t xml:space="preserve"> </w:t>
      </w:r>
      <w:r w:rsidR="004E38B6">
        <w:rPr>
          <w:i/>
          <w:iCs/>
        </w:rPr>
        <w:t xml:space="preserve">TUV </w:t>
      </w:r>
      <w:r w:rsidR="004E38B6">
        <w:rPr>
          <w:i/>
          <w:iCs/>
        </w:rPr>
        <w:t>Rheinland</w:t>
      </w:r>
      <w:r w:rsidR="004E38B6">
        <w:rPr>
          <w:i/>
          <w:iCs/>
        </w:rPr>
        <w:t>/CCIC (Ningbo) Co., Ltd.</w:t>
      </w:r>
      <w:r w:rsidR="00E72040">
        <w:rPr>
          <w:i/>
          <w:iCs/>
        </w:rPr>
        <w:t>,</w:t>
      </w:r>
      <w:r w:rsidRPr="00C51C93" w:rsidR="00C51C93">
        <w:rPr>
          <w:i/>
          <w:iCs/>
        </w:rPr>
        <w:t xml:space="preserve"> Designation No. CN1</w:t>
      </w:r>
      <w:r w:rsidR="004E38B6">
        <w:rPr>
          <w:i/>
          <w:iCs/>
        </w:rPr>
        <w:t>237</w:t>
      </w:r>
      <w:r w:rsidRPr="00C51C93" w:rsidR="00C51C93">
        <w:t>, ET Docket No. 25-26</w:t>
      </w:r>
      <w:r w:rsidR="008560A5">
        <w:t>9</w:t>
      </w:r>
      <w:r w:rsidRPr="00C51C93" w:rsidR="00C51C93">
        <w:t xml:space="preserve">, </w:t>
      </w:r>
      <w:r w:rsidR="00AB127D">
        <w:t>Order Instituting</w:t>
      </w:r>
      <w:r w:rsidRPr="00C51C93" w:rsidR="00C51C93">
        <w:t xml:space="preserve"> Proceeding to Withdraw Recognition </w:t>
      </w:r>
      <w:r w:rsidR="0078518F">
        <w:t>A</w:t>
      </w:r>
      <w:r w:rsidRPr="00C51C93" w:rsidR="00C51C93">
        <w:t xml:space="preserve">s </w:t>
      </w:r>
      <w:r w:rsidR="0078518F">
        <w:t>A</w:t>
      </w:r>
      <w:r w:rsidRPr="00C51C93" w:rsidR="00C51C93">
        <w:t>n Accredited Test Laboratory, DA 25-</w:t>
      </w:r>
      <w:r w:rsidR="003C6F8E">
        <w:t>9</w:t>
      </w:r>
      <w:r w:rsidR="00B21D93">
        <w:t>31</w:t>
      </w:r>
      <w:r w:rsidRPr="00C51C93" w:rsidR="00C51C93">
        <w:t xml:space="preserve"> (OET </w:t>
      </w:r>
      <w:r w:rsidR="003C6F8E">
        <w:t>Oct</w:t>
      </w:r>
      <w:r w:rsidRPr="00C51C93" w:rsidR="00C51C93">
        <w:t xml:space="preserve">. </w:t>
      </w:r>
      <w:r w:rsidR="003C6F8E">
        <w:t>24</w:t>
      </w:r>
      <w:r w:rsidRPr="00C51C93" w:rsidR="00C51C93">
        <w:t>, 2025) (</w:t>
      </w:r>
      <w:r w:rsidRPr="00DF22E0" w:rsidR="003C6F8E">
        <w:rPr>
          <w:i/>
          <w:iCs/>
        </w:rPr>
        <w:t>Order Instituting Proceeding</w:t>
      </w:r>
      <w:r w:rsidRPr="00C51C93" w:rsidR="00C51C93">
        <w:t>).</w:t>
      </w:r>
    </w:p>
  </w:footnote>
  <w:footnote w:id="25">
    <w:p w:rsidR="00F80EC6" w:rsidRPr="00AA3603" w:rsidP="00461194" w14:paraId="3C1C43D5" w14:textId="21061A1D">
      <w:pPr>
        <w:pStyle w:val="FootnoteText"/>
      </w:pPr>
      <w:r>
        <w:rPr>
          <w:rStyle w:val="FootnoteReference"/>
        </w:rPr>
        <w:footnoteRef/>
      </w:r>
      <w:r>
        <w:t xml:space="preserve"> </w:t>
      </w:r>
      <w:r w:rsidR="00A346ED">
        <w:rPr>
          <w:i/>
          <w:iCs/>
        </w:rPr>
        <w:t xml:space="preserve">See </w:t>
      </w:r>
      <w:r w:rsidR="00C63B05">
        <w:rPr>
          <w:i/>
          <w:iCs/>
        </w:rPr>
        <w:t>id</w:t>
      </w:r>
      <w:r w:rsidR="001816F6">
        <w:rPr>
          <w:i/>
          <w:iCs/>
        </w:rPr>
        <w:t xml:space="preserve">. </w:t>
      </w:r>
      <w:r w:rsidR="00AA3603">
        <w:t xml:space="preserve">at para. </w:t>
      </w:r>
      <w:r w:rsidR="00DD3C3F">
        <w:t>9</w:t>
      </w:r>
      <w:r w:rsidR="00AA3603">
        <w:t>.</w:t>
      </w:r>
    </w:p>
  </w:footnote>
  <w:footnote w:id="26">
    <w:p w:rsidR="002C0F8E" w:rsidRPr="00E13878" w:rsidP="00461194" w14:paraId="594DA310" w14:textId="47DD924C">
      <w:pPr>
        <w:pStyle w:val="FootnoteText"/>
      </w:pPr>
      <w:r>
        <w:rPr>
          <w:rStyle w:val="FootnoteReference"/>
        </w:rPr>
        <w:footnoteRef/>
      </w:r>
      <w:r>
        <w:t xml:space="preserve"> </w:t>
      </w:r>
      <w:r w:rsidR="006A0DCD">
        <w:rPr>
          <w:i/>
          <w:iCs/>
        </w:rPr>
        <w:t>Id.</w:t>
      </w:r>
      <w:r w:rsidR="00E955C7">
        <w:t xml:space="preserve"> </w:t>
      </w:r>
      <w:r w:rsidR="00E062CE">
        <w:t>at para</w:t>
      </w:r>
      <w:r w:rsidR="00CC7AB7">
        <w:t>. 8</w:t>
      </w:r>
      <w:r w:rsidR="00E062CE">
        <w:t xml:space="preserve"> (</w:t>
      </w:r>
      <w:r w:rsidR="00C855F6">
        <w:t>internal</w:t>
      </w:r>
      <w:r w:rsidR="006F47C6">
        <w:t xml:space="preserve"> citations omitted</w:t>
      </w:r>
      <w:r w:rsidR="00FD29D1">
        <w:t>)</w:t>
      </w:r>
      <w:r w:rsidRPr="00F81E71" w:rsidR="00F81E71">
        <w:t>.</w:t>
      </w:r>
    </w:p>
  </w:footnote>
  <w:footnote w:id="27">
    <w:p w:rsidR="00CC7AB7" w:rsidRPr="00CC7AB7" w14:paraId="4748DC23" w14:textId="349520B3">
      <w:pPr>
        <w:pStyle w:val="FootnoteText"/>
      </w:pPr>
      <w:r>
        <w:rPr>
          <w:rStyle w:val="FootnoteReference"/>
        </w:rPr>
        <w:footnoteRef/>
      </w:r>
      <w:r>
        <w:t xml:space="preserve"> </w:t>
      </w:r>
      <w:r>
        <w:rPr>
          <w:i/>
          <w:iCs/>
        </w:rPr>
        <w:t>Id.</w:t>
      </w:r>
    </w:p>
  </w:footnote>
  <w:footnote w:id="28">
    <w:p w:rsidR="001A4894" w:rsidRPr="00347386" w:rsidP="00461194" w14:paraId="69B7AF24" w14:textId="38BF7107">
      <w:pPr>
        <w:pStyle w:val="FootnoteText"/>
      </w:pPr>
      <w:r>
        <w:rPr>
          <w:rStyle w:val="FootnoteReference"/>
        </w:rPr>
        <w:footnoteRef/>
      </w:r>
      <w:r>
        <w:t xml:space="preserve"> </w:t>
      </w:r>
      <w:r w:rsidR="006A0DCD">
        <w:rPr>
          <w:i/>
          <w:iCs/>
        </w:rPr>
        <w:t xml:space="preserve">Id. </w:t>
      </w:r>
      <w:r>
        <w:t xml:space="preserve">at para. </w:t>
      </w:r>
      <w:r w:rsidR="00B97E7A">
        <w:t>9</w:t>
      </w:r>
      <w:r>
        <w:t>.</w:t>
      </w:r>
    </w:p>
  </w:footnote>
  <w:footnote w:id="29">
    <w:p w:rsidR="001B5798" w:rsidP="00461194" w14:paraId="4B530070" w14:textId="235FEA2B">
      <w:pPr>
        <w:pStyle w:val="FootnoteText"/>
      </w:pPr>
      <w:r>
        <w:rPr>
          <w:rStyle w:val="FootnoteReference"/>
        </w:rPr>
        <w:footnoteRef/>
      </w:r>
      <w:r>
        <w:t xml:space="preserve"> </w:t>
      </w:r>
      <w:r w:rsidRPr="00FA5FFF" w:rsidR="009F0823">
        <w:rPr>
          <w:i/>
          <w:iCs/>
        </w:rPr>
        <w:t xml:space="preserve">Id. </w:t>
      </w:r>
      <w:r w:rsidR="009F0823">
        <w:t xml:space="preserve">at </w:t>
      </w:r>
      <w:r w:rsidR="006E44A0">
        <w:t xml:space="preserve">para. </w:t>
      </w:r>
      <w:r w:rsidR="0083283E">
        <w:t>10</w:t>
      </w:r>
      <w:r w:rsidR="00926A69">
        <w:t>.</w:t>
      </w:r>
    </w:p>
  </w:footnote>
  <w:footnote w:id="30">
    <w:p w:rsidR="00A64DB9" w:rsidP="00461194" w14:paraId="3D2EC045" w14:textId="31A7382F">
      <w:pPr>
        <w:pStyle w:val="FootnoteText"/>
      </w:pPr>
      <w:r>
        <w:rPr>
          <w:rStyle w:val="FootnoteReference"/>
        </w:rPr>
        <w:footnoteRef/>
      </w:r>
      <w:r>
        <w:t xml:space="preserve"> </w:t>
      </w:r>
      <w:r w:rsidR="006A0DCD">
        <w:rPr>
          <w:i/>
          <w:iCs/>
        </w:rPr>
        <w:t>Id.</w:t>
      </w:r>
      <w:r w:rsidR="006A0DCD">
        <w:t xml:space="preserve"> </w:t>
      </w:r>
      <w:r w:rsidR="008C40D1">
        <w:t xml:space="preserve">at para. </w:t>
      </w:r>
      <w:r w:rsidR="002B7F0B">
        <w:t>1</w:t>
      </w:r>
      <w:r w:rsidR="0083283E">
        <w:t>1</w:t>
      </w:r>
      <w:r w:rsidR="008C40D1">
        <w:t>.</w:t>
      </w:r>
    </w:p>
  </w:footnote>
  <w:footnote w:id="31">
    <w:p w:rsidR="00C939D7" w:rsidP="00461194" w14:paraId="79E4D166" w14:textId="0414416E">
      <w:pPr>
        <w:pStyle w:val="FootnoteText"/>
      </w:pPr>
      <w:r>
        <w:rPr>
          <w:rStyle w:val="FootnoteReference"/>
        </w:rPr>
        <w:footnoteRef/>
      </w:r>
      <w:r>
        <w:t xml:space="preserve"> </w:t>
      </w:r>
      <w:r w:rsidR="006D0EA4">
        <w:rPr>
          <w:i/>
          <w:iCs/>
        </w:rPr>
        <w:t xml:space="preserve">TUV </w:t>
      </w:r>
      <w:r w:rsidR="006D0EA4">
        <w:rPr>
          <w:i/>
          <w:iCs/>
        </w:rPr>
        <w:t>Rheinland</w:t>
      </w:r>
      <w:r w:rsidR="006D0EA4">
        <w:rPr>
          <w:i/>
          <w:iCs/>
        </w:rPr>
        <w:t>/CCIC (Ningbo) Co., Ltd.,</w:t>
      </w:r>
      <w:r w:rsidRPr="00825F3B">
        <w:rPr>
          <w:i/>
          <w:iCs/>
        </w:rPr>
        <w:t>, Designation No. CN1</w:t>
      </w:r>
      <w:r w:rsidR="006D0EA4">
        <w:rPr>
          <w:i/>
          <w:iCs/>
        </w:rPr>
        <w:t>237</w:t>
      </w:r>
      <w:r w:rsidRPr="00825F3B">
        <w:rPr>
          <w:i/>
          <w:iCs/>
        </w:rPr>
        <w:t>,</w:t>
      </w:r>
      <w:r w:rsidRPr="00825F3B">
        <w:t xml:space="preserve"> </w:t>
      </w:r>
      <w:r w:rsidRPr="00825F3B" w:rsidR="00BC618F">
        <w:t>ET Docket No. 25-26</w:t>
      </w:r>
      <w:r w:rsidR="006D0EA4">
        <w:t>9</w:t>
      </w:r>
      <w:r w:rsidR="00BC618F">
        <w:t xml:space="preserve">, </w:t>
      </w:r>
      <w:r w:rsidR="00B35112">
        <w:t>TUV/Ningbo</w:t>
      </w:r>
      <w:r>
        <w:t xml:space="preserve"> Response </w:t>
      </w:r>
      <w:r w:rsidR="00DC23DD">
        <w:t xml:space="preserve">to </w:t>
      </w:r>
      <w:r w:rsidR="00BC618F">
        <w:t>Order Instituting</w:t>
      </w:r>
      <w:r w:rsidRPr="00C51C93" w:rsidR="00BC618F">
        <w:t xml:space="preserve"> Proceeding to Withdraw Recognition </w:t>
      </w:r>
      <w:r w:rsidR="00BC618F">
        <w:t>A</w:t>
      </w:r>
      <w:r w:rsidRPr="00C51C93" w:rsidR="00BC618F">
        <w:t xml:space="preserve">s </w:t>
      </w:r>
      <w:r w:rsidR="00BC618F">
        <w:t>A</w:t>
      </w:r>
      <w:r w:rsidRPr="00C51C93" w:rsidR="00BC618F">
        <w:t>n Accredited Test Laboratory</w:t>
      </w:r>
      <w:r w:rsidR="00BC618F">
        <w:t xml:space="preserve"> </w:t>
      </w:r>
      <w:r>
        <w:t>(filed Nov. 2</w:t>
      </w:r>
      <w:r w:rsidR="00994AAE">
        <w:t>5</w:t>
      </w:r>
      <w:r>
        <w:t xml:space="preserve">, 2025) </w:t>
      </w:r>
      <w:r w:rsidRPr="00893A3A">
        <w:t>(</w:t>
      </w:r>
      <w:r w:rsidRPr="00255407">
        <w:t>Response</w:t>
      </w:r>
      <w:r w:rsidRPr="00255407" w:rsidR="00BC618F">
        <w:t xml:space="preserve"> to </w:t>
      </w:r>
      <w:r w:rsidRPr="00255407" w:rsidR="007A72B2">
        <w:t xml:space="preserve">the </w:t>
      </w:r>
      <w:r w:rsidRPr="00255407" w:rsidR="00BC618F">
        <w:t>Order</w:t>
      </w:r>
      <w:r w:rsidRPr="00255407" w:rsidR="00DB1F9B">
        <w:t xml:space="preserve"> Instituting Proceeding</w:t>
      </w:r>
      <w:r w:rsidRPr="00893A3A">
        <w:t>)</w:t>
      </w:r>
      <w:r w:rsidRPr="00B74377">
        <w:t>.</w:t>
      </w:r>
    </w:p>
  </w:footnote>
  <w:footnote w:id="32">
    <w:p w:rsidR="0035588B" w:rsidRPr="0035588B" w14:paraId="322BA06F" w14:textId="749126A8">
      <w:pPr>
        <w:pStyle w:val="FootnoteText"/>
      </w:pPr>
      <w:r>
        <w:rPr>
          <w:rStyle w:val="FootnoteReference"/>
        </w:rPr>
        <w:footnoteRef/>
      </w:r>
      <w:r>
        <w:t xml:space="preserve"> </w:t>
      </w:r>
      <w:r>
        <w:rPr>
          <w:i/>
          <w:iCs/>
        </w:rPr>
        <w:t xml:space="preserve">Id. </w:t>
      </w:r>
      <w:r>
        <w:t>at 1</w:t>
      </w:r>
      <w:r w:rsidR="00461331">
        <w:t>.</w:t>
      </w:r>
    </w:p>
  </w:footnote>
  <w:footnote w:id="33">
    <w:p w:rsidR="00461331" w:rsidRPr="00461331" w14:paraId="123292E3" w14:textId="42B43190">
      <w:pPr>
        <w:pStyle w:val="FootnoteText"/>
      </w:pPr>
      <w:r>
        <w:rPr>
          <w:rStyle w:val="FootnoteReference"/>
        </w:rPr>
        <w:footnoteRef/>
      </w:r>
      <w:r>
        <w:t xml:space="preserve"> </w:t>
      </w:r>
      <w:r>
        <w:rPr>
          <w:i/>
          <w:iCs/>
        </w:rPr>
        <w:t xml:space="preserve">Id. </w:t>
      </w:r>
      <w:r>
        <w:t>at 2.</w:t>
      </w:r>
    </w:p>
  </w:footnote>
  <w:footnote w:id="34">
    <w:p w:rsidR="00356C39" w:rsidRPr="00356C39" w14:paraId="74D30E0C" w14:textId="7E310C7D">
      <w:pPr>
        <w:pStyle w:val="FootnoteText"/>
      </w:pPr>
      <w:r>
        <w:rPr>
          <w:rStyle w:val="FootnoteReference"/>
        </w:rPr>
        <w:footnoteRef/>
      </w:r>
      <w:r>
        <w:t xml:space="preserve"> </w:t>
      </w:r>
      <w:r>
        <w:rPr>
          <w:i/>
          <w:iCs/>
        </w:rPr>
        <w:t>Id.</w:t>
      </w:r>
    </w:p>
  </w:footnote>
  <w:footnote w:id="35">
    <w:p w:rsidR="00E40A69" w:rsidRPr="00B44802" w14:paraId="0DCC09B5" w14:textId="7C08CB51">
      <w:pPr>
        <w:pStyle w:val="FootnoteText"/>
      </w:pPr>
      <w:r>
        <w:rPr>
          <w:rStyle w:val="FootnoteReference"/>
        </w:rPr>
        <w:footnoteRef/>
      </w:r>
      <w:r>
        <w:t xml:space="preserve"> </w:t>
      </w:r>
      <w:r w:rsidR="00B44802">
        <w:rPr>
          <w:i/>
          <w:iCs/>
        </w:rPr>
        <w:t>Id.</w:t>
      </w:r>
      <w:r w:rsidR="00B44802">
        <w:t xml:space="preserve"> at 3.</w:t>
      </w:r>
    </w:p>
  </w:footnote>
  <w:footnote w:id="36">
    <w:p w:rsidR="00F9250C" w:rsidP="00461194" w14:paraId="15E76AD5" w14:textId="19907E46">
      <w:pPr>
        <w:pStyle w:val="FootnoteText"/>
      </w:pPr>
      <w:r>
        <w:rPr>
          <w:rStyle w:val="FootnoteReference"/>
        </w:rPr>
        <w:footnoteRef/>
      </w:r>
      <w:r>
        <w:t xml:space="preserve"> </w:t>
      </w:r>
      <w:r w:rsidR="00C84300">
        <w:t>47 CFR § 2.951(d)(1).</w:t>
      </w:r>
    </w:p>
  </w:footnote>
  <w:footnote w:id="37">
    <w:p w:rsidR="005A25BA" w:rsidP="00461194" w14:paraId="66E40D35" w14:textId="46DB9CE4">
      <w:pPr>
        <w:pStyle w:val="FootnoteText"/>
      </w:pPr>
      <w:r>
        <w:rPr>
          <w:rStyle w:val="FootnoteReference"/>
        </w:rPr>
        <w:footnoteRef/>
      </w:r>
      <w:r>
        <w:t xml:space="preserve"> </w:t>
      </w:r>
      <w:r w:rsidR="00F86C38">
        <w:rPr>
          <w:i/>
          <w:iCs/>
        </w:rPr>
        <w:t>I</w:t>
      </w:r>
      <w:r w:rsidR="00961D7A">
        <w:rPr>
          <w:i/>
          <w:iCs/>
        </w:rPr>
        <w:t>d.</w:t>
      </w:r>
    </w:p>
  </w:footnote>
  <w:footnote w:id="38">
    <w:p w:rsidR="00D64AE0" w:rsidP="00461194" w14:paraId="1810FB5B" w14:textId="41C095A7">
      <w:pPr>
        <w:pStyle w:val="FootnoteText"/>
      </w:pPr>
      <w:r>
        <w:rPr>
          <w:rStyle w:val="FootnoteReference"/>
        </w:rPr>
        <w:footnoteRef/>
      </w:r>
      <w:r>
        <w:t xml:space="preserve"> </w:t>
      </w:r>
      <w:r w:rsidRPr="00D64AE0">
        <w:rPr>
          <w:i/>
          <w:iCs/>
        </w:rPr>
        <w:t>Order Instituting Proceeding</w:t>
      </w:r>
      <w:r w:rsidRPr="00D64AE0">
        <w:t xml:space="preserve"> at para. 10</w:t>
      </w:r>
      <w:r>
        <w:t>.</w:t>
      </w:r>
    </w:p>
  </w:footnote>
  <w:footnote w:id="39">
    <w:p w:rsidR="00C3288E" w:rsidP="00C3288E" w14:paraId="3E73482E" w14:textId="14E74ED7">
      <w:pPr>
        <w:pStyle w:val="FootnoteText"/>
      </w:pPr>
      <w:r>
        <w:rPr>
          <w:rStyle w:val="FootnoteReference"/>
        </w:rPr>
        <w:footnoteRef/>
      </w:r>
      <w:r>
        <w:t xml:space="preserve"> </w:t>
      </w:r>
      <w:r w:rsidR="0068029F">
        <w:rPr>
          <w:i/>
          <w:iCs/>
        </w:rPr>
        <w:t xml:space="preserve">Id. </w:t>
      </w:r>
      <w:r w:rsidR="0068029F">
        <w:t xml:space="preserve">at </w:t>
      </w:r>
      <w:r w:rsidR="007A785C">
        <w:t xml:space="preserve">para. </w:t>
      </w:r>
      <w:r>
        <w:t>8-9.</w:t>
      </w:r>
    </w:p>
  </w:footnote>
  <w:footnote w:id="40">
    <w:p w:rsidR="00C3288E" w:rsidRPr="00542822" w:rsidP="00C3288E" w14:paraId="67A4D71D" w14:textId="2A7B3519">
      <w:pPr>
        <w:pStyle w:val="FootnoteText"/>
      </w:pPr>
      <w:r>
        <w:rPr>
          <w:rStyle w:val="FootnoteReference"/>
        </w:rPr>
        <w:footnoteRef/>
      </w:r>
      <w:r>
        <w:t xml:space="preserve"> </w:t>
      </w:r>
      <w:r w:rsidRPr="00FB732B" w:rsidR="00E50929">
        <w:t>Response,</w:t>
      </w:r>
      <w:r w:rsidRPr="00F81E71" w:rsidR="00E50929">
        <w:t xml:space="preserve"> Articles of Association, TÜV </w:t>
      </w:r>
      <w:r w:rsidRPr="00F81E71" w:rsidR="00E50929">
        <w:t>Rheinland</w:t>
      </w:r>
      <w:r w:rsidRPr="00F81E71" w:rsidR="00E50929">
        <w:t xml:space="preserve"> / CCIC (Ningbo) Co., Ltd. (English translation), Chapter V, at 2 (“Chapter V. Name of Shareholders and Method and Amount of Capital Contribution, Article 6”)</w:t>
      </w:r>
      <w:r w:rsidR="00E50929">
        <w:t>, Chapter VII</w:t>
      </w:r>
      <w:r w:rsidR="00CA3B13">
        <w:t>I</w:t>
      </w:r>
      <w:r w:rsidR="00E50929">
        <w:t xml:space="preserve">, at </w:t>
      </w:r>
      <w:r w:rsidR="00D03A91">
        <w:t>5-</w:t>
      </w:r>
      <w:r w:rsidR="00C15D93">
        <w:t>7</w:t>
      </w:r>
      <w:r w:rsidR="00E50929">
        <w:t xml:space="preserve"> (“Chapter VII</w:t>
      </w:r>
      <w:r w:rsidR="00CA3B13">
        <w:t>I</w:t>
      </w:r>
      <w:r w:rsidR="00803240">
        <w:t xml:space="preserve">. </w:t>
      </w:r>
      <w:r w:rsidR="00D87F49">
        <w:t>Organizations, Method of Formation, Authorities and Rules of Procedures</w:t>
      </w:r>
      <w:r w:rsidR="00E50929">
        <w:t>, Articles 18 and 23”</w:t>
      </w:r>
      <w:r w:rsidR="00232C93">
        <w:t>).</w:t>
      </w:r>
    </w:p>
  </w:footnote>
  <w:footnote w:id="41">
    <w:p w:rsidR="00D0228B" w14:paraId="18ADC593" w14:textId="23E65F56">
      <w:pPr>
        <w:pStyle w:val="FootnoteText"/>
      </w:pPr>
      <w:r>
        <w:rPr>
          <w:rStyle w:val="FootnoteReference"/>
        </w:rPr>
        <w:footnoteRef/>
      </w:r>
      <w:r>
        <w:t xml:space="preserve"> </w:t>
      </w:r>
      <w:r w:rsidRPr="00FB732B">
        <w:t>Response,</w:t>
      </w:r>
      <w:r w:rsidRPr="00F81E71">
        <w:t xml:space="preserve"> Articles of Association, TÜV </w:t>
      </w:r>
      <w:r w:rsidRPr="00F81E71">
        <w:t>Rheinland</w:t>
      </w:r>
      <w:r w:rsidRPr="00F81E71">
        <w:t xml:space="preserve"> / CCIC (Ningbo) Co., Ltd. (English translation), Chapter </w:t>
      </w:r>
      <w:r w:rsidR="00FA4B7B">
        <w:t>XI</w:t>
      </w:r>
      <w:r w:rsidR="00A73F35">
        <w:t>, at 11 (Chapter XI. Miscellaneous</w:t>
      </w:r>
      <w:r w:rsidR="00314543">
        <w:t>, Article 41)</w:t>
      </w:r>
      <w:r w:rsidR="00DD686C">
        <w:t>.</w:t>
      </w:r>
    </w:p>
  </w:footnote>
  <w:footnote w:id="42">
    <w:p w:rsidR="00C3288E" w:rsidP="00C3288E" w14:paraId="39DD5B89" w14:textId="77777777">
      <w:pPr>
        <w:pStyle w:val="FootnoteText"/>
      </w:pPr>
      <w:r>
        <w:rPr>
          <w:rStyle w:val="FootnoteReference"/>
        </w:rPr>
        <w:footnoteRef/>
      </w:r>
      <w:r>
        <w:t xml:space="preserve"> </w:t>
      </w:r>
      <w:r w:rsidRPr="003C5B5A">
        <w:t>15 CFR § 791.4</w:t>
      </w:r>
      <w:r>
        <w:t>.</w:t>
      </w:r>
    </w:p>
  </w:footnote>
  <w:footnote w:id="43">
    <w:p w:rsidR="00C3288E" w:rsidP="00C3288E" w14:paraId="7C0D751A" w14:textId="77777777">
      <w:pPr>
        <w:pStyle w:val="FootnoteText"/>
      </w:pPr>
      <w:r>
        <w:rPr>
          <w:rStyle w:val="FootnoteReference"/>
        </w:rPr>
        <w:footnoteRef/>
      </w:r>
      <w:r>
        <w:t xml:space="preserve"> 47 CFR § 2.902.</w:t>
      </w:r>
    </w:p>
  </w:footnote>
  <w:footnote w:id="44">
    <w:p w:rsidR="00C3288E" w:rsidP="00C3288E" w14:paraId="2B525A96" w14:textId="77777777">
      <w:pPr>
        <w:pStyle w:val="FootnoteText"/>
      </w:pPr>
      <w:r>
        <w:rPr>
          <w:rStyle w:val="FootnoteReference"/>
        </w:rPr>
        <w:footnoteRef/>
      </w:r>
      <w:r>
        <w:t xml:space="preserve"> 47 CFR § 2.951(d)(1).</w:t>
      </w:r>
    </w:p>
  </w:footnote>
  <w:footnote w:id="45">
    <w:p w:rsidR="00C3288E" w:rsidP="00C3288E" w14:paraId="1169F4F3" w14:textId="77777777">
      <w:pPr>
        <w:pStyle w:val="FootnoteText"/>
      </w:pPr>
      <w:r>
        <w:rPr>
          <w:rStyle w:val="FootnoteReference"/>
        </w:rPr>
        <w:footnoteRef/>
      </w:r>
      <w:r>
        <w:t xml:space="preserve"> 47 CFR § 2.951(b), (d). </w:t>
      </w:r>
    </w:p>
  </w:footnote>
  <w:footnote w:id="46">
    <w:p w:rsidR="00F9525D" w:rsidRPr="00881D89" w14:paraId="207226F4" w14:textId="79253EE4">
      <w:pPr>
        <w:pStyle w:val="FootnoteText"/>
      </w:pPr>
      <w:r>
        <w:rPr>
          <w:rStyle w:val="FootnoteReference"/>
        </w:rPr>
        <w:footnoteRef/>
      </w:r>
      <w:r>
        <w:t xml:space="preserve"> </w:t>
      </w:r>
      <w:r w:rsidRPr="00255407" w:rsidR="00881D89">
        <w:t xml:space="preserve">Response </w:t>
      </w:r>
      <w:r w:rsidR="00881D89">
        <w:t xml:space="preserve">at </w:t>
      </w:r>
      <w:r w:rsidR="0075370B">
        <w:t>1.</w:t>
      </w:r>
    </w:p>
  </w:footnote>
  <w:footnote w:id="47">
    <w:p w:rsidR="00DB01C1" w14:paraId="5CA61CF1" w14:textId="6385978E">
      <w:pPr>
        <w:pStyle w:val="FootnoteText"/>
      </w:pPr>
      <w:r>
        <w:rPr>
          <w:rStyle w:val="FootnoteReference"/>
        </w:rPr>
        <w:footnoteRef/>
      </w:r>
      <w:r>
        <w:t xml:space="preserve"> </w:t>
      </w:r>
      <w:r w:rsidRPr="00255407" w:rsidR="009D5E00">
        <w:t>Response to the Order Instituting Proceeding</w:t>
      </w:r>
      <w:r w:rsidR="00BD0F57">
        <w:t xml:space="preserve"> at 2</w:t>
      </w:r>
      <w:r w:rsidR="00D87F49">
        <w:t>; Response</w:t>
      </w:r>
      <w:r w:rsidR="002A4082">
        <w:t xml:space="preserve">, </w:t>
      </w:r>
      <w:r w:rsidRPr="00F81E71" w:rsidR="002A4082">
        <w:t xml:space="preserve">Articles of Association, TÜV </w:t>
      </w:r>
      <w:r w:rsidRPr="00F81E71" w:rsidR="002A4082">
        <w:t>Rheinland</w:t>
      </w:r>
      <w:r w:rsidRPr="00F81E71" w:rsidR="002A4082">
        <w:t xml:space="preserve"> / CCIC (Ningbo) Co., Ltd. (English translation), Chapter V, at 2 (“Chapter V. Name of Shareholders and Method and Amount of Capital Contribution, Article 6”)</w:t>
      </w:r>
      <w:r w:rsidR="00FD29D1">
        <w:t>, Chapter VI</w:t>
      </w:r>
      <w:r w:rsidR="006E6D6A">
        <w:t>I</w:t>
      </w:r>
      <w:r w:rsidR="00FD29D1">
        <w:t xml:space="preserve">I, at </w:t>
      </w:r>
      <w:r w:rsidR="00025109">
        <w:t>5-7</w:t>
      </w:r>
      <w:r w:rsidR="00FD29D1">
        <w:t xml:space="preserve"> (“Chapter VI</w:t>
      </w:r>
      <w:r w:rsidR="00E11B0F">
        <w:t>I</w:t>
      </w:r>
      <w:r w:rsidR="00FD29D1">
        <w:t>I</w:t>
      </w:r>
      <w:r w:rsidR="00803240">
        <w:t>.</w:t>
      </w:r>
      <w:r w:rsidR="00FD29D1">
        <w:t xml:space="preserve"> </w:t>
      </w:r>
      <w:r w:rsidR="00D87F49">
        <w:t>Organizations, Method of Formation, Authorities and Rules of Procedures</w:t>
      </w:r>
      <w:r w:rsidR="00FD29D1">
        <w:t>, Articles 18 and 23”).</w:t>
      </w:r>
    </w:p>
  </w:footnote>
  <w:footnote w:id="48">
    <w:p w:rsidR="005E6548" w:rsidP="00461194" w14:paraId="5B7D20E6" w14:textId="1580F8C4">
      <w:pPr>
        <w:pStyle w:val="FootnoteText"/>
      </w:pPr>
      <w:r>
        <w:rPr>
          <w:rStyle w:val="FootnoteReference"/>
        </w:rPr>
        <w:footnoteRef/>
      </w:r>
      <w:r>
        <w:t xml:space="preserve"> </w:t>
      </w:r>
      <w:r w:rsidR="001A7DE0">
        <w:rPr>
          <w:i/>
          <w:iCs/>
        </w:rPr>
        <w:t>EA Integrity</w:t>
      </w:r>
      <w:r w:rsidRPr="003B4161" w:rsidR="003B4161">
        <w:rPr>
          <w:i/>
          <w:iCs/>
        </w:rPr>
        <w:t xml:space="preserve"> Order</w:t>
      </w:r>
      <w:r w:rsidR="003F6D4D">
        <w:t xml:space="preserve"> at </w:t>
      </w:r>
      <w:r w:rsidRPr="004657BA" w:rsidR="004657BA">
        <w:t>3617, para. 1</w:t>
      </w:r>
      <w:r w:rsidR="004657BA">
        <w:t>.</w:t>
      </w:r>
    </w:p>
  </w:footnote>
  <w:footnote w:id="49">
    <w:p w:rsidR="004B0097" w:rsidP="004B0097" w14:paraId="47A106B3" w14:textId="44E34184">
      <w:pPr>
        <w:pStyle w:val="FootnoteText"/>
      </w:pPr>
      <w:r>
        <w:rPr>
          <w:rStyle w:val="FootnoteReference"/>
        </w:rPr>
        <w:footnoteRef/>
      </w:r>
      <w:r>
        <w:t xml:space="preserve"> Response at </w:t>
      </w:r>
      <w:r w:rsidR="003B42DF">
        <w:t>1</w:t>
      </w:r>
      <w:r>
        <w:t>.</w:t>
      </w:r>
    </w:p>
  </w:footnote>
  <w:footnote w:id="50">
    <w:p w:rsidR="004B0097" w:rsidP="004B0097" w14:paraId="078ACBCF" w14:textId="77777777">
      <w:pPr>
        <w:pStyle w:val="FootnoteText"/>
      </w:pPr>
      <w:r>
        <w:rPr>
          <w:rStyle w:val="FootnoteReference"/>
        </w:rPr>
        <w:footnoteRef/>
      </w:r>
      <w:r>
        <w:t xml:space="preserve"> 47 CFR § 2.902.</w:t>
      </w:r>
    </w:p>
  </w:footnote>
  <w:footnote w:id="51">
    <w:p w:rsidR="004B0097" w:rsidRPr="009317CF" w:rsidP="004B0097" w14:paraId="72B98250" w14:textId="6F4AE53C">
      <w:pPr>
        <w:pStyle w:val="FootnoteText"/>
      </w:pPr>
      <w:r>
        <w:rPr>
          <w:rStyle w:val="FootnoteReference"/>
        </w:rPr>
        <w:footnoteRef/>
      </w:r>
      <w:r>
        <w:t xml:space="preserve"> </w:t>
      </w:r>
      <w:r>
        <w:rPr>
          <w:i/>
          <w:iCs/>
        </w:rPr>
        <w:t>Id.</w:t>
      </w:r>
      <w:r w:rsidR="009317CF">
        <w:rPr>
          <w:i/>
          <w:iCs/>
        </w:rPr>
        <w:t xml:space="preserve">  See generally </w:t>
      </w:r>
      <w:r w:rsidR="009317CF">
        <w:t>Response, Articles of Association,</w:t>
      </w:r>
      <w:r w:rsidR="0025735D">
        <w:t xml:space="preserve"> </w:t>
      </w:r>
      <w:r w:rsidRPr="00F81E71" w:rsidR="0025735D">
        <w:t xml:space="preserve">TÜV </w:t>
      </w:r>
      <w:r w:rsidRPr="00F81E71" w:rsidR="0025735D">
        <w:t>Rheinland</w:t>
      </w:r>
      <w:r w:rsidRPr="00F81E71" w:rsidR="0025735D">
        <w:t xml:space="preserve"> / CCIC (Ningbo) Co., Ltd. (English translation)</w:t>
      </w:r>
      <w:r w:rsidR="0025735D">
        <w:t>.</w:t>
      </w:r>
    </w:p>
  </w:footnote>
  <w:footnote w:id="52">
    <w:p w:rsidR="004B0097" w:rsidRPr="00D263FE" w:rsidP="004B0097" w14:paraId="51C92728" w14:textId="79344050">
      <w:pPr>
        <w:pStyle w:val="FootnoteText"/>
        <w:rPr>
          <w:i/>
          <w:iCs/>
        </w:rPr>
      </w:pPr>
      <w:r>
        <w:rPr>
          <w:rStyle w:val="FootnoteReference"/>
        </w:rPr>
        <w:footnoteRef/>
      </w:r>
      <w:r>
        <w:t xml:space="preserve"> </w:t>
      </w:r>
      <w:r w:rsidRPr="00FB732B">
        <w:t>Response,</w:t>
      </w:r>
      <w:r w:rsidRPr="00F81E71">
        <w:t xml:space="preserve"> Articles of Association, TÜV </w:t>
      </w:r>
      <w:r w:rsidRPr="00F81E71">
        <w:t>Rheinland</w:t>
      </w:r>
      <w:r w:rsidRPr="00F81E71">
        <w:t xml:space="preserve"> / CCIC (Ningbo) Co., Ltd. (English translation), Chapter V, at 2 (“Chapter V. Name of Shareholders and Method and Amount of Capital Contribution, Article 6”)</w:t>
      </w:r>
      <w:r>
        <w:t>, Chapter VII</w:t>
      </w:r>
      <w:r w:rsidR="00B81CBC">
        <w:t>I</w:t>
      </w:r>
      <w:r>
        <w:t>, at 5-7,  (“Chapter VII</w:t>
      </w:r>
      <w:r w:rsidR="00B81CBC">
        <w:t>I</w:t>
      </w:r>
      <w:r w:rsidR="00803240">
        <w:t>.</w:t>
      </w:r>
      <w:r>
        <w:t xml:space="preserve"> </w:t>
      </w:r>
      <w:r w:rsidR="00803240">
        <w:t>Organizations, Method of Formation, Authorities and Rules of Procedures</w:t>
      </w:r>
      <w:r>
        <w:t>, Articles 18, 23, and 25”).</w:t>
      </w:r>
    </w:p>
  </w:footnote>
  <w:footnote w:id="53">
    <w:p w:rsidR="004B0097" w:rsidRPr="009A4707" w:rsidP="004B0097" w14:paraId="2CEFF92E" w14:textId="77777777">
      <w:pPr>
        <w:pStyle w:val="FootnoteText"/>
      </w:pPr>
      <w:r>
        <w:rPr>
          <w:rStyle w:val="FootnoteReference"/>
        </w:rPr>
        <w:footnoteRef/>
      </w:r>
      <w:r>
        <w:t xml:space="preserve"> </w:t>
      </w:r>
      <w:r>
        <w:rPr>
          <w:i/>
          <w:iCs/>
        </w:rPr>
        <w:t>Id.</w:t>
      </w:r>
    </w:p>
  </w:footnote>
  <w:footnote w:id="54">
    <w:p w:rsidR="004B0097" w:rsidRPr="00D263FE" w:rsidP="004B0097" w14:paraId="0D3736C6" w14:textId="77777777">
      <w:pPr>
        <w:pStyle w:val="FootnoteText"/>
        <w:rPr>
          <w:i/>
          <w:iCs/>
        </w:rPr>
      </w:pPr>
      <w:r>
        <w:rPr>
          <w:rStyle w:val="FootnoteReference"/>
        </w:rPr>
        <w:footnoteRef/>
      </w:r>
      <w:r>
        <w:t xml:space="preserve"> </w:t>
      </w:r>
      <w:r>
        <w:rPr>
          <w:i/>
          <w:iCs/>
        </w:rPr>
        <w:t>Id.</w:t>
      </w:r>
    </w:p>
  </w:footnote>
  <w:footnote w:id="55">
    <w:p w:rsidR="00500C66" w:rsidRPr="00B81CBC" w14:paraId="43832692" w14:textId="64943060">
      <w:pPr>
        <w:pStyle w:val="FootnoteText"/>
      </w:pPr>
      <w:r>
        <w:rPr>
          <w:rStyle w:val="FootnoteReference"/>
        </w:rPr>
        <w:footnoteRef/>
      </w:r>
      <w:r>
        <w:t xml:space="preserve"> </w:t>
      </w:r>
      <w:r w:rsidR="0064714C">
        <w:rPr>
          <w:i/>
          <w:iCs/>
        </w:rPr>
        <w:t>Id.</w:t>
      </w:r>
      <w:r w:rsidR="00B81CBC">
        <w:t xml:space="preserve"> at 6.</w:t>
      </w:r>
    </w:p>
  </w:footnote>
  <w:footnote w:id="56">
    <w:p w:rsidR="00FA0D19" w14:paraId="185E229D" w14:textId="45386E7C">
      <w:pPr>
        <w:pStyle w:val="FootnoteText"/>
      </w:pPr>
      <w:r>
        <w:rPr>
          <w:rStyle w:val="FootnoteReference"/>
        </w:rPr>
        <w:footnoteRef/>
      </w:r>
      <w:r>
        <w:t xml:space="preserve"> We also note that the text of Article 23 is difficult to reconcile with the Company’s</w:t>
      </w:r>
      <w:r w:rsidR="0087674D">
        <w:t xml:space="preserve"> arguments in the </w:t>
      </w:r>
      <w:r w:rsidR="00B46AC0">
        <w:t>Response to Order Initiating Proceeding</w:t>
      </w:r>
      <w:r w:rsidR="0087674D">
        <w:t>, in which the Company represents to the Commission that unanimity of the board is limited to “cases which are absolutely exceptional in nature, including such matters as filing insolvency or dissolving the company” and that those requirements are “commonplace in any corporate venture agreement.”</w:t>
      </w:r>
      <w:r w:rsidR="00B46AC0">
        <w:t xml:space="preserve"> </w:t>
      </w:r>
      <w:r w:rsidR="0087674D">
        <w:t xml:space="preserve"> Response to Order Initiating Proceeding at 2</w:t>
      </w:r>
      <w:r w:rsidR="00B9616E">
        <w:t xml:space="preserve">; </w:t>
      </w:r>
      <w:r w:rsidR="00B9616E">
        <w:rPr>
          <w:i/>
          <w:iCs/>
        </w:rPr>
        <w:t>see also</w:t>
      </w:r>
      <w:r w:rsidR="00B9616E">
        <w:t xml:space="preserve"> </w:t>
      </w:r>
      <w:r w:rsidRPr="00FB732B" w:rsidR="00B9616E">
        <w:t>Response,</w:t>
      </w:r>
      <w:r w:rsidRPr="00F81E71" w:rsidR="00B9616E">
        <w:t xml:space="preserve"> Articles of Association, TÜV </w:t>
      </w:r>
      <w:r w:rsidRPr="00F81E71" w:rsidR="00B9616E">
        <w:t>Rheinland</w:t>
      </w:r>
      <w:r w:rsidRPr="00F81E71" w:rsidR="00B9616E">
        <w:t xml:space="preserve"> / CCIC (Ningbo) Co., Ltd. (English translation)</w:t>
      </w:r>
      <w:r w:rsidR="00B9616E">
        <w:t>, Chapter VIII, at 6-7</w:t>
      </w:r>
      <w:r w:rsidR="00F968AD">
        <w:t>, (“Chapter VIII. Organizations, Method of Formation, Authorities and Rules of Procedures, Article 23”)</w:t>
      </w:r>
      <w:r w:rsidR="0087674D">
        <w:t xml:space="preserve">. </w:t>
      </w:r>
    </w:p>
  </w:footnote>
  <w:footnote w:id="57">
    <w:p w:rsidR="00145705" w:rsidP="00461194" w14:paraId="7094D3FE" w14:textId="4081EE94">
      <w:pPr>
        <w:pStyle w:val="FootnoteText"/>
      </w:pPr>
      <w:r>
        <w:rPr>
          <w:rStyle w:val="FootnoteReference"/>
        </w:rPr>
        <w:footnoteRef/>
      </w:r>
      <w:r>
        <w:t xml:space="preserve"> 47 U.S.C. § 302a(e); 47 CFR § 2.951(d).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2B65" w:rsidRPr="00932521" w:rsidP="00102B65" w14:paraId="6CE63D41" w14:textId="77777777">
    <w:pPr>
      <w:pStyle w:val="Header"/>
    </w:pPr>
    <w:r w:rsidRPr="00932521">
      <w:rPr>
        <w:bCs/>
        <w:noProof/>
      </w:rPr>
      <mc:AlternateContent>
        <mc:Choice Requires="wps">
          <w:drawing>
            <wp:anchor distT="0" distB="0" distL="114300" distR="114300" simplePos="0" relativeHeight="251662336"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205053320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strokeweight="0.05pt">
              <w10:wrap anchorx="margin"/>
            </v:rect>
          </w:pict>
        </mc:Fallback>
      </mc:AlternateContent>
    </w:r>
    <w:r w:rsidRPr="00932521">
      <w:rPr>
        <w:bCs/>
      </w:rPr>
      <w:tab/>
    </w:r>
    <w:r w:rsidRPr="17279E2D">
      <w:t>Federal Communications Commission</w:t>
    </w:r>
    <w:r w:rsidRPr="00932521">
      <w:rPr>
        <w:bCs/>
      </w:rPr>
      <w:tab/>
    </w:r>
    <w:r w:rsidRPr="17279E2D">
      <w:rPr>
        <w:spacing w:val="-2"/>
      </w:rPr>
      <w:t>DA 26-148</w:t>
    </w:r>
  </w:p>
  <w:p w:rsidR="00145705" w:rsidP="17279E2D" w14:paraId="3A011E24" w14:textId="77777777">
    <w:pPr>
      <w:suppressAutoHyphens/>
      <w:spacing w:line="19" w:lineRule="exact"/>
    </w:pPr>
    <w:r>
      <w:rPr>
        <w:noProof/>
      </w:rPr>
      <mc:AlternateContent>
        <mc:Choice Requires="wps">
          <w:drawing>
            <wp:anchor distT="0" distB="0" distL="114300" distR="114300" simplePos="0" relativeHeight="251660288"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5705" w:rsidRPr="00932521" w:rsidP="00330054" w14:paraId="3C3B5CA1" w14:textId="454C2E56">
    <w:pPr>
      <w:pStyle w:val="Header"/>
    </w:pPr>
    <w:r w:rsidRPr="00932521">
      <w:rPr>
        <w:bCs/>
        <w:noProof/>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1"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r w:rsidRPr="00932521">
      <w:rPr>
        <w:bCs/>
      </w:rPr>
      <w:tab/>
    </w:r>
    <w:r w:rsidRPr="17279E2D" w:rsidR="17279E2D">
      <w:t>Federal Communications Commission</w:t>
    </w:r>
    <w:r w:rsidRPr="00932521">
      <w:rPr>
        <w:bCs/>
      </w:rPr>
      <w:tab/>
    </w:r>
    <w:r w:rsidRPr="17279E2D" w:rsidR="17279E2D">
      <w:rPr>
        <w:spacing w:val="-2"/>
      </w:rPr>
      <w:t>DA 26-148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C7F0580"/>
    <w:multiLevelType w:val="hybridMultilevel"/>
    <w:tmpl w:val="3976DB54"/>
    <w:lvl w:ilvl="0">
      <w:start w:val="1"/>
      <w:numFmt w:val="decimal"/>
      <w:pStyle w:val="LOIInquiry"/>
      <w:lvlText w:val="%1."/>
      <w:lvlJc w:val="left"/>
      <w:pPr>
        <w:ind w:left="720" w:hanging="360"/>
      </w:pPr>
    </w:lvl>
    <w:lvl w:ilvl="1">
      <w:start w:val="1"/>
      <w:numFmt w:val="lowerLetter"/>
      <w:pStyle w:val="LOIInqLevel2"/>
      <w:lvlText w:val="%2."/>
      <w:lvlJc w:val="left"/>
      <w:pPr>
        <w:ind w:left="1440" w:hanging="360"/>
      </w:pPr>
    </w:lvl>
    <w:lvl w:ilvl="2">
      <w:start w:val="1"/>
      <w:numFmt w:val="lowerRoman"/>
      <w:pStyle w:val="LOIinqLevel3"/>
      <w:lvlText w:val="%3."/>
      <w:lvlJc w:val="right"/>
      <w:pPr>
        <w:ind w:left="2160" w:hanging="180"/>
      </w:pPr>
    </w:lvl>
    <w:lvl w:ilvl="3" w:tentative="1">
      <w:start w:val="1"/>
      <w:numFmt w:val="decimal"/>
      <w:pStyle w:val="LOIInqLevel4"/>
      <w:lvlText w:val="%4."/>
      <w:lvlJc w:val="left"/>
      <w:pPr>
        <w:ind w:left="2880" w:hanging="360"/>
      </w:pPr>
    </w:lvl>
    <w:lvl w:ilvl="4" w:tentative="1">
      <w:start w:val="1"/>
      <w:numFmt w:val="lowerLetter"/>
      <w:pStyle w:val="LOIInqLevel5"/>
      <w:lvlText w:val="%5."/>
      <w:lvlJc w:val="left"/>
      <w:pPr>
        <w:ind w:left="3600" w:hanging="360"/>
      </w:pPr>
    </w:lvl>
    <w:lvl w:ilvl="5" w:tentative="1">
      <w:start w:val="1"/>
      <w:numFmt w:val="lowerRoman"/>
      <w:pStyle w:val="LOIInqLevel6"/>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E464A3"/>
    <w:multiLevelType w:val="hybridMultilevel"/>
    <w:tmpl w:val="E6E464CC"/>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2A11B0"/>
    <w:multiLevelType w:val="hybridMultilevel"/>
    <w:tmpl w:val="9EA01110"/>
    <w:lvl w:ilvl="0">
      <w:start w:val="5"/>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34027951"/>
    <w:multiLevelType w:val="hybridMultilevel"/>
    <w:tmpl w:val="607AC22C"/>
    <w:lvl w:ilvl="0">
      <w:start w:val="4"/>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0">
    <w:nsid w:val="64A3196F"/>
    <w:multiLevelType w:val="hybridMultilevel"/>
    <w:tmpl w:val="36D28CB0"/>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D0D5F4E"/>
    <w:multiLevelType w:val="multilevel"/>
    <w:tmpl w:val="301E48DA"/>
    <w:styleLink w:val="LOIInquiriesLevelList"/>
    <w:lvl w:ilvl="0">
      <w:start w:val="1"/>
      <w:numFmt w:val="decimal"/>
      <w:lvlText w:val="%1)"/>
      <w:lvlJc w:val="left"/>
      <w:pPr>
        <w:ind w:left="936" w:hanging="57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0AF3BA1"/>
    <w:multiLevelType w:val="hybridMultilevel"/>
    <w:tmpl w:val="55F0445C"/>
    <w:lvl w:ilvl="0">
      <w:start w:val="1"/>
      <w:numFmt w:val="upperRoman"/>
      <w:lvlText w:val="%1."/>
      <w:lvlJc w:val="left"/>
      <w:pPr>
        <w:ind w:left="1080" w:hanging="720"/>
      </w:pPr>
      <w:rPr>
        <w:rFonts w:ascii="Times New Roman Bold" w:eastAsia="Times New Roman" w:hAnsi="Times New Roman Bold" w:cs="Times New Roman" w:hint="default"/>
        <w:b/>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0298465">
    <w:abstractNumId w:val="11"/>
  </w:num>
  <w:num w:numId="2" w16cid:durableId="1545098873">
    <w:abstractNumId w:val="1"/>
  </w:num>
  <w:num w:numId="3" w16cid:durableId="1550995302">
    <w:abstractNumId w:val="9"/>
  </w:num>
  <w:num w:numId="4" w16cid:durableId="1643541289">
    <w:abstractNumId w:val="9"/>
  </w:num>
  <w:num w:numId="5" w16cid:durableId="1105463259">
    <w:abstractNumId w:val="9"/>
  </w:num>
  <w:num w:numId="6" w16cid:durableId="923565935">
    <w:abstractNumId w:val="9"/>
    <w:lvlOverride w:ilvl="0">
      <w:startOverride w:val="1"/>
    </w:lvlOverride>
  </w:num>
  <w:num w:numId="7" w16cid:durableId="182479911">
    <w:abstractNumId w:val="9"/>
  </w:num>
  <w:num w:numId="8" w16cid:durableId="133957980">
    <w:abstractNumId w:val="12"/>
  </w:num>
  <w:num w:numId="9" w16cid:durableId="976566633">
    <w:abstractNumId w:val="2"/>
  </w:num>
  <w:num w:numId="10" w16cid:durableId="1697274874">
    <w:abstractNumId w:val="10"/>
  </w:num>
  <w:num w:numId="11" w16cid:durableId="1920139824">
    <w:abstractNumId w:val="7"/>
  </w:num>
  <w:num w:numId="12" w16cid:durableId="1323197542">
    <w:abstractNumId w:val="9"/>
  </w:num>
  <w:num w:numId="13" w16cid:durableId="569190635">
    <w:abstractNumId w:val="9"/>
  </w:num>
  <w:num w:numId="14" w16cid:durableId="57411430">
    <w:abstractNumId w:val="9"/>
  </w:num>
  <w:num w:numId="15" w16cid:durableId="735860606">
    <w:abstractNumId w:val="9"/>
  </w:num>
  <w:num w:numId="16" w16cid:durableId="1373460914">
    <w:abstractNumId w:val="9"/>
  </w:num>
  <w:num w:numId="17" w16cid:durableId="1078134125">
    <w:abstractNumId w:val="9"/>
  </w:num>
  <w:num w:numId="18" w16cid:durableId="136150173">
    <w:abstractNumId w:val="9"/>
  </w:num>
  <w:num w:numId="19" w16cid:durableId="1452556956">
    <w:abstractNumId w:val="9"/>
  </w:num>
  <w:num w:numId="20" w16cid:durableId="1230962759">
    <w:abstractNumId w:val="9"/>
  </w:num>
  <w:num w:numId="21" w16cid:durableId="175316235">
    <w:abstractNumId w:val="9"/>
  </w:num>
  <w:num w:numId="22" w16cid:durableId="252590674">
    <w:abstractNumId w:val="9"/>
  </w:num>
  <w:num w:numId="23" w16cid:durableId="189077536">
    <w:abstractNumId w:val="3"/>
  </w:num>
  <w:num w:numId="24" w16cid:durableId="621502149">
    <w:abstractNumId w:val="4"/>
  </w:num>
  <w:num w:numId="25" w16cid:durableId="72433736">
    <w:abstractNumId w:val="6"/>
  </w:num>
  <w:num w:numId="26" w16cid:durableId="1288972459">
    <w:abstractNumId w:val="8"/>
  </w:num>
  <w:num w:numId="27" w16cid:durableId="1423377254">
    <w:abstractNumId w:val="5"/>
  </w:num>
  <w:num w:numId="28" w16cid:durableId="124130058">
    <w:abstractNumId w:val="0"/>
  </w:num>
  <w:num w:numId="29" w16cid:durableId="76678872">
    <w:abstractNumId w:val="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attachedTemplate r:id="rId1"/>
  <w:linkStyles/>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type"/>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05"/>
    <w:rsid w:val="00000388"/>
    <w:rsid w:val="00001E0D"/>
    <w:rsid w:val="00002B52"/>
    <w:rsid w:val="00002FD6"/>
    <w:rsid w:val="0000320C"/>
    <w:rsid w:val="00004372"/>
    <w:rsid w:val="00004EAB"/>
    <w:rsid w:val="00005167"/>
    <w:rsid w:val="00005CFF"/>
    <w:rsid w:val="00006681"/>
    <w:rsid w:val="00006ADB"/>
    <w:rsid w:val="000079A6"/>
    <w:rsid w:val="00011687"/>
    <w:rsid w:val="00011942"/>
    <w:rsid w:val="00011990"/>
    <w:rsid w:val="0001283E"/>
    <w:rsid w:val="00012868"/>
    <w:rsid w:val="000132A9"/>
    <w:rsid w:val="0001365C"/>
    <w:rsid w:val="00013E13"/>
    <w:rsid w:val="000140AB"/>
    <w:rsid w:val="000155D2"/>
    <w:rsid w:val="0001685A"/>
    <w:rsid w:val="00016C8F"/>
    <w:rsid w:val="000176F6"/>
    <w:rsid w:val="000209CB"/>
    <w:rsid w:val="00025109"/>
    <w:rsid w:val="00026367"/>
    <w:rsid w:val="00030E65"/>
    <w:rsid w:val="00033DF5"/>
    <w:rsid w:val="00033EA8"/>
    <w:rsid w:val="00034198"/>
    <w:rsid w:val="0003485B"/>
    <w:rsid w:val="00034DFE"/>
    <w:rsid w:val="0003624C"/>
    <w:rsid w:val="000363C4"/>
    <w:rsid w:val="0004055C"/>
    <w:rsid w:val="00042268"/>
    <w:rsid w:val="000438B0"/>
    <w:rsid w:val="00044176"/>
    <w:rsid w:val="00044BF9"/>
    <w:rsid w:val="00045128"/>
    <w:rsid w:val="0004516A"/>
    <w:rsid w:val="00046DDA"/>
    <w:rsid w:val="00047C05"/>
    <w:rsid w:val="000508EC"/>
    <w:rsid w:val="00051159"/>
    <w:rsid w:val="00051AC9"/>
    <w:rsid w:val="00051D1B"/>
    <w:rsid w:val="00053694"/>
    <w:rsid w:val="00053B75"/>
    <w:rsid w:val="0005411E"/>
    <w:rsid w:val="000547A8"/>
    <w:rsid w:val="000548AB"/>
    <w:rsid w:val="00054E2C"/>
    <w:rsid w:val="000552BE"/>
    <w:rsid w:val="00055FFF"/>
    <w:rsid w:val="00056C51"/>
    <w:rsid w:val="0006153B"/>
    <w:rsid w:val="00061B97"/>
    <w:rsid w:val="00061CEB"/>
    <w:rsid w:val="00061E8A"/>
    <w:rsid w:val="00062556"/>
    <w:rsid w:val="00062AB8"/>
    <w:rsid w:val="00062E68"/>
    <w:rsid w:val="00063A66"/>
    <w:rsid w:val="00065A49"/>
    <w:rsid w:val="00065D60"/>
    <w:rsid w:val="000664E4"/>
    <w:rsid w:val="00067726"/>
    <w:rsid w:val="00067BB0"/>
    <w:rsid w:val="000703BA"/>
    <w:rsid w:val="000719D0"/>
    <w:rsid w:val="00071E0A"/>
    <w:rsid w:val="00072A22"/>
    <w:rsid w:val="0007365F"/>
    <w:rsid w:val="00075E46"/>
    <w:rsid w:val="0007616F"/>
    <w:rsid w:val="00076B3F"/>
    <w:rsid w:val="000803B1"/>
    <w:rsid w:val="000809E4"/>
    <w:rsid w:val="0008109B"/>
    <w:rsid w:val="00081860"/>
    <w:rsid w:val="00081D72"/>
    <w:rsid w:val="00082B62"/>
    <w:rsid w:val="000836F6"/>
    <w:rsid w:val="000838AD"/>
    <w:rsid w:val="00083E24"/>
    <w:rsid w:val="000845F6"/>
    <w:rsid w:val="00084691"/>
    <w:rsid w:val="0008737A"/>
    <w:rsid w:val="000873C0"/>
    <w:rsid w:val="00091AA7"/>
    <w:rsid w:val="0009385B"/>
    <w:rsid w:val="00094409"/>
    <w:rsid w:val="00095186"/>
    <w:rsid w:val="00095E60"/>
    <w:rsid w:val="000963D1"/>
    <w:rsid w:val="00096812"/>
    <w:rsid w:val="000979E0"/>
    <w:rsid w:val="000A03A4"/>
    <w:rsid w:val="000A09C1"/>
    <w:rsid w:val="000A1063"/>
    <w:rsid w:val="000A1617"/>
    <w:rsid w:val="000A308B"/>
    <w:rsid w:val="000A462E"/>
    <w:rsid w:val="000A4C29"/>
    <w:rsid w:val="000A6328"/>
    <w:rsid w:val="000A63BA"/>
    <w:rsid w:val="000A6811"/>
    <w:rsid w:val="000A68A0"/>
    <w:rsid w:val="000A6DE2"/>
    <w:rsid w:val="000A712B"/>
    <w:rsid w:val="000B128C"/>
    <w:rsid w:val="000B13B1"/>
    <w:rsid w:val="000B14EC"/>
    <w:rsid w:val="000B153E"/>
    <w:rsid w:val="000B16D8"/>
    <w:rsid w:val="000B1BE7"/>
    <w:rsid w:val="000B25A8"/>
    <w:rsid w:val="000B27EF"/>
    <w:rsid w:val="000B2B2F"/>
    <w:rsid w:val="000B5055"/>
    <w:rsid w:val="000B5BAB"/>
    <w:rsid w:val="000B65BE"/>
    <w:rsid w:val="000B6CBB"/>
    <w:rsid w:val="000B7BA3"/>
    <w:rsid w:val="000C0C55"/>
    <w:rsid w:val="000C0EF0"/>
    <w:rsid w:val="000C23B2"/>
    <w:rsid w:val="000C387D"/>
    <w:rsid w:val="000C3D06"/>
    <w:rsid w:val="000C49A1"/>
    <w:rsid w:val="000C7C2F"/>
    <w:rsid w:val="000C7E81"/>
    <w:rsid w:val="000D0779"/>
    <w:rsid w:val="000D286C"/>
    <w:rsid w:val="000D2FF6"/>
    <w:rsid w:val="000D3269"/>
    <w:rsid w:val="000D3B07"/>
    <w:rsid w:val="000D6C27"/>
    <w:rsid w:val="000D6F60"/>
    <w:rsid w:val="000D7270"/>
    <w:rsid w:val="000D754A"/>
    <w:rsid w:val="000E2DEF"/>
    <w:rsid w:val="000E2FF6"/>
    <w:rsid w:val="000E36CD"/>
    <w:rsid w:val="000E49CF"/>
    <w:rsid w:val="000E4A2A"/>
    <w:rsid w:val="000E4CEB"/>
    <w:rsid w:val="000E4E7C"/>
    <w:rsid w:val="000E4F37"/>
    <w:rsid w:val="000E535B"/>
    <w:rsid w:val="000E5D7E"/>
    <w:rsid w:val="000E772F"/>
    <w:rsid w:val="000E7947"/>
    <w:rsid w:val="000E7A85"/>
    <w:rsid w:val="000E7E79"/>
    <w:rsid w:val="000F0D56"/>
    <w:rsid w:val="000F12ED"/>
    <w:rsid w:val="000F2E25"/>
    <w:rsid w:val="000F4312"/>
    <w:rsid w:val="00100ED8"/>
    <w:rsid w:val="001027CD"/>
    <w:rsid w:val="00102B65"/>
    <w:rsid w:val="001072F1"/>
    <w:rsid w:val="00110547"/>
    <w:rsid w:val="00112029"/>
    <w:rsid w:val="001120E2"/>
    <w:rsid w:val="00113853"/>
    <w:rsid w:val="00113BCE"/>
    <w:rsid w:val="00114B6F"/>
    <w:rsid w:val="001157F2"/>
    <w:rsid w:val="0011678F"/>
    <w:rsid w:val="001208AD"/>
    <w:rsid w:val="00124541"/>
    <w:rsid w:val="001249FA"/>
    <w:rsid w:val="0012501D"/>
    <w:rsid w:val="0013299B"/>
    <w:rsid w:val="00133DDD"/>
    <w:rsid w:val="00134B15"/>
    <w:rsid w:val="00135747"/>
    <w:rsid w:val="00136592"/>
    <w:rsid w:val="0014098C"/>
    <w:rsid w:val="00140A78"/>
    <w:rsid w:val="0014269B"/>
    <w:rsid w:val="00142BFA"/>
    <w:rsid w:val="00142CFB"/>
    <w:rsid w:val="00142E2A"/>
    <w:rsid w:val="00145705"/>
    <w:rsid w:val="00147983"/>
    <w:rsid w:val="00147D30"/>
    <w:rsid w:val="001509AB"/>
    <w:rsid w:val="0015116A"/>
    <w:rsid w:val="00151CFC"/>
    <w:rsid w:val="00151EB7"/>
    <w:rsid w:val="00154428"/>
    <w:rsid w:val="00156417"/>
    <w:rsid w:val="00156427"/>
    <w:rsid w:val="001569AE"/>
    <w:rsid w:val="001573EF"/>
    <w:rsid w:val="00157B1E"/>
    <w:rsid w:val="00163E8C"/>
    <w:rsid w:val="001641F6"/>
    <w:rsid w:val="001646FA"/>
    <w:rsid w:val="00165926"/>
    <w:rsid w:val="00165E03"/>
    <w:rsid w:val="001675B5"/>
    <w:rsid w:val="001702D2"/>
    <w:rsid w:val="00170D12"/>
    <w:rsid w:val="00171844"/>
    <w:rsid w:val="001756B9"/>
    <w:rsid w:val="001766FD"/>
    <w:rsid w:val="001816F6"/>
    <w:rsid w:val="00184343"/>
    <w:rsid w:val="00184B80"/>
    <w:rsid w:val="00186239"/>
    <w:rsid w:val="00187943"/>
    <w:rsid w:val="00187983"/>
    <w:rsid w:val="00190268"/>
    <w:rsid w:val="001916D3"/>
    <w:rsid w:val="0019259E"/>
    <w:rsid w:val="00192AD6"/>
    <w:rsid w:val="00193531"/>
    <w:rsid w:val="001942E0"/>
    <w:rsid w:val="0019526C"/>
    <w:rsid w:val="00195929"/>
    <w:rsid w:val="00195C20"/>
    <w:rsid w:val="00196CE8"/>
    <w:rsid w:val="00197703"/>
    <w:rsid w:val="00197C39"/>
    <w:rsid w:val="00197CEB"/>
    <w:rsid w:val="001A01F4"/>
    <w:rsid w:val="001A0A2E"/>
    <w:rsid w:val="001A1304"/>
    <w:rsid w:val="001A2AF0"/>
    <w:rsid w:val="001A2F75"/>
    <w:rsid w:val="001A4894"/>
    <w:rsid w:val="001A5C77"/>
    <w:rsid w:val="001A5C95"/>
    <w:rsid w:val="001A623F"/>
    <w:rsid w:val="001A62AD"/>
    <w:rsid w:val="001A7198"/>
    <w:rsid w:val="001A7DE0"/>
    <w:rsid w:val="001B09FC"/>
    <w:rsid w:val="001B10EA"/>
    <w:rsid w:val="001B19D8"/>
    <w:rsid w:val="001B1BCF"/>
    <w:rsid w:val="001B34FC"/>
    <w:rsid w:val="001B4886"/>
    <w:rsid w:val="001B553C"/>
    <w:rsid w:val="001B5798"/>
    <w:rsid w:val="001B6323"/>
    <w:rsid w:val="001B7779"/>
    <w:rsid w:val="001C0663"/>
    <w:rsid w:val="001C0DED"/>
    <w:rsid w:val="001C19EB"/>
    <w:rsid w:val="001C23F9"/>
    <w:rsid w:val="001C27BD"/>
    <w:rsid w:val="001C2F13"/>
    <w:rsid w:val="001C3756"/>
    <w:rsid w:val="001C4741"/>
    <w:rsid w:val="001C5466"/>
    <w:rsid w:val="001C57D6"/>
    <w:rsid w:val="001C5D47"/>
    <w:rsid w:val="001C5DB7"/>
    <w:rsid w:val="001C7AB4"/>
    <w:rsid w:val="001D0E60"/>
    <w:rsid w:val="001D1126"/>
    <w:rsid w:val="001D4167"/>
    <w:rsid w:val="001D4C1A"/>
    <w:rsid w:val="001D514F"/>
    <w:rsid w:val="001D7791"/>
    <w:rsid w:val="001E0AE5"/>
    <w:rsid w:val="001E21A1"/>
    <w:rsid w:val="001E26A9"/>
    <w:rsid w:val="001E3B15"/>
    <w:rsid w:val="001E3ECF"/>
    <w:rsid w:val="001E58FF"/>
    <w:rsid w:val="001F05CC"/>
    <w:rsid w:val="001F08B5"/>
    <w:rsid w:val="001F0E59"/>
    <w:rsid w:val="001F1F13"/>
    <w:rsid w:val="001F28B2"/>
    <w:rsid w:val="001F4BBF"/>
    <w:rsid w:val="001F5A55"/>
    <w:rsid w:val="001F6C53"/>
    <w:rsid w:val="001F758E"/>
    <w:rsid w:val="0020061E"/>
    <w:rsid w:val="00202648"/>
    <w:rsid w:val="00203312"/>
    <w:rsid w:val="00203465"/>
    <w:rsid w:val="00203A7F"/>
    <w:rsid w:val="0020548F"/>
    <w:rsid w:val="00205B30"/>
    <w:rsid w:val="00206715"/>
    <w:rsid w:val="00206762"/>
    <w:rsid w:val="002071A5"/>
    <w:rsid w:val="002078E3"/>
    <w:rsid w:val="00210C7C"/>
    <w:rsid w:val="002120E1"/>
    <w:rsid w:val="002126FC"/>
    <w:rsid w:val="00213A71"/>
    <w:rsid w:val="00213AAD"/>
    <w:rsid w:val="002146B5"/>
    <w:rsid w:val="00214CF7"/>
    <w:rsid w:val="002150C1"/>
    <w:rsid w:val="0021589F"/>
    <w:rsid w:val="00215F94"/>
    <w:rsid w:val="00216015"/>
    <w:rsid w:val="00216232"/>
    <w:rsid w:val="00216421"/>
    <w:rsid w:val="002166DC"/>
    <w:rsid w:val="00216EDE"/>
    <w:rsid w:val="002214D5"/>
    <w:rsid w:val="002218EC"/>
    <w:rsid w:val="00222475"/>
    <w:rsid w:val="00222711"/>
    <w:rsid w:val="00222C5E"/>
    <w:rsid w:val="00223924"/>
    <w:rsid w:val="002279B7"/>
    <w:rsid w:val="0023051F"/>
    <w:rsid w:val="002320B0"/>
    <w:rsid w:val="00232B90"/>
    <w:rsid w:val="00232C93"/>
    <w:rsid w:val="00232CDB"/>
    <w:rsid w:val="00232F77"/>
    <w:rsid w:val="002338CC"/>
    <w:rsid w:val="00233FBA"/>
    <w:rsid w:val="00235C19"/>
    <w:rsid w:val="00235E2C"/>
    <w:rsid w:val="0023697C"/>
    <w:rsid w:val="002376AD"/>
    <w:rsid w:val="00237A36"/>
    <w:rsid w:val="0024056B"/>
    <w:rsid w:val="002421BA"/>
    <w:rsid w:val="002423A8"/>
    <w:rsid w:val="002425E1"/>
    <w:rsid w:val="002429F8"/>
    <w:rsid w:val="00242D73"/>
    <w:rsid w:val="00244CF8"/>
    <w:rsid w:val="00245D34"/>
    <w:rsid w:val="00245FAE"/>
    <w:rsid w:val="0024752C"/>
    <w:rsid w:val="0025035D"/>
    <w:rsid w:val="002508CF"/>
    <w:rsid w:val="00251F09"/>
    <w:rsid w:val="00254192"/>
    <w:rsid w:val="00255407"/>
    <w:rsid w:val="00255722"/>
    <w:rsid w:val="0025638F"/>
    <w:rsid w:val="0025735D"/>
    <w:rsid w:val="00257719"/>
    <w:rsid w:val="00260B6D"/>
    <w:rsid w:val="00260D51"/>
    <w:rsid w:val="00262CD9"/>
    <w:rsid w:val="002646A0"/>
    <w:rsid w:val="002665F1"/>
    <w:rsid w:val="00266F39"/>
    <w:rsid w:val="00267685"/>
    <w:rsid w:val="00271872"/>
    <w:rsid w:val="00271D9A"/>
    <w:rsid w:val="002741A4"/>
    <w:rsid w:val="00274739"/>
    <w:rsid w:val="00276542"/>
    <w:rsid w:val="002773A7"/>
    <w:rsid w:val="00282B1A"/>
    <w:rsid w:val="00283234"/>
    <w:rsid w:val="002834E1"/>
    <w:rsid w:val="002836C0"/>
    <w:rsid w:val="002840A8"/>
    <w:rsid w:val="002849AA"/>
    <w:rsid w:val="002850B8"/>
    <w:rsid w:val="002853FE"/>
    <w:rsid w:val="00285811"/>
    <w:rsid w:val="00286D8D"/>
    <w:rsid w:val="00291460"/>
    <w:rsid w:val="0029176F"/>
    <w:rsid w:val="002923FC"/>
    <w:rsid w:val="00295C05"/>
    <w:rsid w:val="00297C6E"/>
    <w:rsid w:val="002A0306"/>
    <w:rsid w:val="002A06C1"/>
    <w:rsid w:val="002A0B1C"/>
    <w:rsid w:val="002A0D29"/>
    <w:rsid w:val="002A1B2E"/>
    <w:rsid w:val="002A2D7A"/>
    <w:rsid w:val="002A3519"/>
    <w:rsid w:val="002A3C22"/>
    <w:rsid w:val="002A4082"/>
    <w:rsid w:val="002A5400"/>
    <w:rsid w:val="002B040B"/>
    <w:rsid w:val="002B0AD5"/>
    <w:rsid w:val="002B0F33"/>
    <w:rsid w:val="002B1263"/>
    <w:rsid w:val="002B146B"/>
    <w:rsid w:val="002B1BC4"/>
    <w:rsid w:val="002B2C80"/>
    <w:rsid w:val="002B6AA2"/>
    <w:rsid w:val="002B7F0B"/>
    <w:rsid w:val="002C0E5F"/>
    <w:rsid w:val="002C0F2F"/>
    <w:rsid w:val="002C0F8E"/>
    <w:rsid w:val="002C37A4"/>
    <w:rsid w:val="002C42BF"/>
    <w:rsid w:val="002C6116"/>
    <w:rsid w:val="002C62D4"/>
    <w:rsid w:val="002C6D2F"/>
    <w:rsid w:val="002D2644"/>
    <w:rsid w:val="002D2C32"/>
    <w:rsid w:val="002D3D19"/>
    <w:rsid w:val="002D4E46"/>
    <w:rsid w:val="002D65F7"/>
    <w:rsid w:val="002D6CA1"/>
    <w:rsid w:val="002D7A24"/>
    <w:rsid w:val="002E060F"/>
    <w:rsid w:val="002E098F"/>
    <w:rsid w:val="002E0D32"/>
    <w:rsid w:val="002E1B38"/>
    <w:rsid w:val="002E3C4F"/>
    <w:rsid w:val="002E662E"/>
    <w:rsid w:val="002F2722"/>
    <w:rsid w:val="002F2851"/>
    <w:rsid w:val="002F2D26"/>
    <w:rsid w:val="002F3521"/>
    <w:rsid w:val="002F5809"/>
    <w:rsid w:val="002F6A5E"/>
    <w:rsid w:val="002F6A68"/>
    <w:rsid w:val="002F6BA1"/>
    <w:rsid w:val="002F7D73"/>
    <w:rsid w:val="003007AC"/>
    <w:rsid w:val="00300B03"/>
    <w:rsid w:val="00303089"/>
    <w:rsid w:val="00304E08"/>
    <w:rsid w:val="0030644D"/>
    <w:rsid w:val="00306AD4"/>
    <w:rsid w:val="003104CE"/>
    <w:rsid w:val="00310F41"/>
    <w:rsid w:val="0031107E"/>
    <w:rsid w:val="00313583"/>
    <w:rsid w:val="0031375B"/>
    <w:rsid w:val="00314543"/>
    <w:rsid w:val="0031486D"/>
    <w:rsid w:val="003153D0"/>
    <w:rsid w:val="003154B0"/>
    <w:rsid w:val="00316D54"/>
    <w:rsid w:val="00317D08"/>
    <w:rsid w:val="003205F4"/>
    <w:rsid w:val="003209C1"/>
    <w:rsid w:val="00321671"/>
    <w:rsid w:val="0032195F"/>
    <w:rsid w:val="00322F44"/>
    <w:rsid w:val="00323F7F"/>
    <w:rsid w:val="003241A6"/>
    <w:rsid w:val="003245B1"/>
    <w:rsid w:val="0032480C"/>
    <w:rsid w:val="00324CA3"/>
    <w:rsid w:val="003267D8"/>
    <w:rsid w:val="00326803"/>
    <w:rsid w:val="00326CA7"/>
    <w:rsid w:val="00330054"/>
    <w:rsid w:val="0033058E"/>
    <w:rsid w:val="003316B6"/>
    <w:rsid w:val="00331BA1"/>
    <w:rsid w:val="0033230A"/>
    <w:rsid w:val="00332795"/>
    <w:rsid w:val="00332E92"/>
    <w:rsid w:val="00334135"/>
    <w:rsid w:val="00334C69"/>
    <w:rsid w:val="0034013D"/>
    <w:rsid w:val="00341887"/>
    <w:rsid w:val="00341919"/>
    <w:rsid w:val="00343508"/>
    <w:rsid w:val="00345020"/>
    <w:rsid w:val="00345071"/>
    <w:rsid w:val="00345300"/>
    <w:rsid w:val="00347386"/>
    <w:rsid w:val="003508C2"/>
    <w:rsid w:val="00351046"/>
    <w:rsid w:val="00352177"/>
    <w:rsid w:val="003524E7"/>
    <w:rsid w:val="00352A7D"/>
    <w:rsid w:val="00354052"/>
    <w:rsid w:val="00355839"/>
    <w:rsid w:val="00355866"/>
    <w:rsid w:val="0035588B"/>
    <w:rsid w:val="00356C39"/>
    <w:rsid w:val="003573D5"/>
    <w:rsid w:val="003601CE"/>
    <w:rsid w:val="00360437"/>
    <w:rsid w:val="00360623"/>
    <w:rsid w:val="003612BC"/>
    <w:rsid w:val="0036212C"/>
    <w:rsid w:val="00362794"/>
    <w:rsid w:val="0036399F"/>
    <w:rsid w:val="003647BC"/>
    <w:rsid w:val="0036513D"/>
    <w:rsid w:val="00366166"/>
    <w:rsid w:val="00366FCA"/>
    <w:rsid w:val="00367159"/>
    <w:rsid w:val="003704A5"/>
    <w:rsid w:val="00370CF6"/>
    <w:rsid w:val="003717A4"/>
    <w:rsid w:val="00371DDB"/>
    <w:rsid w:val="00371E57"/>
    <w:rsid w:val="003753AB"/>
    <w:rsid w:val="00375B71"/>
    <w:rsid w:val="00375C8E"/>
    <w:rsid w:val="00375FCB"/>
    <w:rsid w:val="00376060"/>
    <w:rsid w:val="00376324"/>
    <w:rsid w:val="00377285"/>
    <w:rsid w:val="003779DF"/>
    <w:rsid w:val="00377A5F"/>
    <w:rsid w:val="003801FC"/>
    <w:rsid w:val="0038038E"/>
    <w:rsid w:val="00380946"/>
    <w:rsid w:val="0038131F"/>
    <w:rsid w:val="0038133D"/>
    <w:rsid w:val="00383719"/>
    <w:rsid w:val="00383C25"/>
    <w:rsid w:val="00385395"/>
    <w:rsid w:val="00386670"/>
    <w:rsid w:val="00391471"/>
    <w:rsid w:val="003914E1"/>
    <w:rsid w:val="00391926"/>
    <w:rsid w:val="00395B08"/>
    <w:rsid w:val="00395D67"/>
    <w:rsid w:val="003A189E"/>
    <w:rsid w:val="003A19DA"/>
    <w:rsid w:val="003A1FE5"/>
    <w:rsid w:val="003A3219"/>
    <w:rsid w:val="003A400A"/>
    <w:rsid w:val="003A4D44"/>
    <w:rsid w:val="003A6BAD"/>
    <w:rsid w:val="003A7D0D"/>
    <w:rsid w:val="003B08D9"/>
    <w:rsid w:val="003B16B6"/>
    <w:rsid w:val="003B2C54"/>
    <w:rsid w:val="003B3266"/>
    <w:rsid w:val="003B32D3"/>
    <w:rsid w:val="003B40D8"/>
    <w:rsid w:val="003B4161"/>
    <w:rsid w:val="003B42DF"/>
    <w:rsid w:val="003B52BE"/>
    <w:rsid w:val="003B63EF"/>
    <w:rsid w:val="003B6794"/>
    <w:rsid w:val="003B6797"/>
    <w:rsid w:val="003C14F5"/>
    <w:rsid w:val="003C21DE"/>
    <w:rsid w:val="003C2753"/>
    <w:rsid w:val="003C452A"/>
    <w:rsid w:val="003C5B5A"/>
    <w:rsid w:val="003C6821"/>
    <w:rsid w:val="003C6F6A"/>
    <w:rsid w:val="003C6F8E"/>
    <w:rsid w:val="003D131C"/>
    <w:rsid w:val="003D22D2"/>
    <w:rsid w:val="003D270D"/>
    <w:rsid w:val="003D57B0"/>
    <w:rsid w:val="003D728A"/>
    <w:rsid w:val="003E2A0D"/>
    <w:rsid w:val="003E2AEB"/>
    <w:rsid w:val="003E5218"/>
    <w:rsid w:val="003E5E3A"/>
    <w:rsid w:val="003E6BA8"/>
    <w:rsid w:val="003F09BD"/>
    <w:rsid w:val="003F136B"/>
    <w:rsid w:val="003F3834"/>
    <w:rsid w:val="003F39CF"/>
    <w:rsid w:val="003F6740"/>
    <w:rsid w:val="003F6ADF"/>
    <w:rsid w:val="003F6D4D"/>
    <w:rsid w:val="003F7449"/>
    <w:rsid w:val="003F7BCB"/>
    <w:rsid w:val="00400665"/>
    <w:rsid w:val="00401030"/>
    <w:rsid w:val="004013F0"/>
    <w:rsid w:val="00401CB0"/>
    <w:rsid w:val="0040319C"/>
    <w:rsid w:val="004046B7"/>
    <w:rsid w:val="00406690"/>
    <w:rsid w:val="00410082"/>
    <w:rsid w:val="00412B41"/>
    <w:rsid w:val="00416FCB"/>
    <w:rsid w:val="00417CC2"/>
    <w:rsid w:val="00420CE3"/>
    <w:rsid w:val="0042254C"/>
    <w:rsid w:val="004232CB"/>
    <w:rsid w:val="00423BC9"/>
    <w:rsid w:val="004244C7"/>
    <w:rsid w:val="00424D19"/>
    <w:rsid w:val="0042508F"/>
    <w:rsid w:val="00426393"/>
    <w:rsid w:val="004271FF"/>
    <w:rsid w:val="0043092F"/>
    <w:rsid w:val="00431D09"/>
    <w:rsid w:val="004342F4"/>
    <w:rsid w:val="00434311"/>
    <w:rsid w:val="0043509F"/>
    <w:rsid w:val="004350B9"/>
    <w:rsid w:val="004359E5"/>
    <w:rsid w:val="00435FBE"/>
    <w:rsid w:val="00436356"/>
    <w:rsid w:val="00437082"/>
    <w:rsid w:val="00440CAC"/>
    <w:rsid w:val="004416F0"/>
    <w:rsid w:val="00441D3D"/>
    <w:rsid w:val="0044295D"/>
    <w:rsid w:val="00443545"/>
    <w:rsid w:val="00443559"/>
    <w:rsid w:val="004469FC"/>
    <w:rsid w:val="00446D5C"/>
    <w:rsid w:val="00447EC9"/>
    <w:rsid w:val="00450571"/>
    <w:rsid w:val="00451177"/>
    <w:rsid w:val="004532A1"/>
    <w:rsid w:val="00453DA3"/>
    <w:rsid w:val="00455A61"/>
    <w:rsid w:val="00455D48"/>
    <w:rsid w:val="00457FF1"/>
    <w:rsid w:val="004604DD"/>
    <w:rsid w:val="00461194"/>
    <w:rsid w:val="00461331"/>
    <w:rsid w:val="00461518"/>
    <w:rsid w:val="0046154C"/>
    <w:rsid w:val="00462899"/>
    <w:rsid w:val="00462BA0"/>
    <w:rsid w:val="00462F06"/>
    <w:rsid w:val="00463242"/>
    <w:rsid w:val="004636B6"/>
    <w:rsid w:val="00463DB7"/>
    <w:rsid w:val="0046497F"/>
    <w:rsid w:val="00465731"/>
    <w:rsid w:val="004657BA"/>
    <w:rsid w:val="00466602"/>
    <w:rsid w:val="00466FF1"/>
    <w:rsid w:val="004670F5"/>
    <w:rsid w:val="00471CDF"/>
    <w:rsid w:val="00472E4C"/>
    <w:rsid w:val="00473678"/>
    <w:rsid w:val="00475933"/>
    <w:rsid w:val="004773EB"/>
    <w:rsid w:val="00477938"/>
    <w:rsid w:val="00477BEA"/>
    <w:rsid w:val="00477C3F"/>
    <w:rsid w:val="00480C96"/>
    <w:rsid w:val="00482B2B"/>
    <w:rsid w:val="00482B8E"/>
    <w:rsid w:val="00484F11"/>
    <w:rsid w:val="0048533B"/>
    <w:rsid w:val="0048759A"/>
    <w:rsid w:val="00490790"/>
    <w:rsid w:val="0049087B"/>
    <w:rsid w:val="00490F2E"/>
    <w:rsid w:val="004919D1"/>
    <w:rsid w:val="00492D1E"/>
    <w:rsid w:val="0049425A"/>
    <w:rsid w:val="00496ACF"/>
    <w:rsid w:val="00496BE1"/>
    <w:rsid w:val="004A10B0"/>
    <w:rsid w:val="004A2946"/>
    <w:rsid w:val="004A29EC"/>
    <w:rsid w:val="004A3AE0"/>
    <w:rsid w:val="004A3EB1"/>
    <w:rsid w:val="004A4210"/>
    <w:rsid w:val="004A64D3"/>
    <w:rsid w:val="004A74D7"/>
    <w:rsid w:val="004A7E58"/>
    <w:rsid w:val="004A7EAC"/>
    <w:rsid w:val="004B0097"/>
    <w:rsid w:val="004B0AB0"/>
    <w:rsid w:val="004B1530"/>
    <w:rsid w:val="004B22D8"/>
    <w:rsid w:val="004B2C08"/>
    <w:rsid w:val="004B2DA9"/>
    <w:rsid w:val="004B3AE4"/>
    <w:rsid w:val="004B49D5"/>
    <w:rsid w:val="004B593D"/>
    <w:rsid w:val="004B709C"/>
    <w:rsid w:val="004B711B"/>
    <w:rsid w:val="004B725F"/>
    <w:rsid w:val="004C2AE7"/>
    <w:rsid w:val="004C53C6"/>
    <w:rsid w:val="004C6BA4"/>
    <w:rsid w:val="004C7769"/>
    <w:rsid w:val="004D1A5D"/>
    <w:rsid w:val="004D3209"/>
    <w:rsid w:val="004D3BCF"/>
    <w:rsid w:val="004D3E14"/>
    <w:rsid w:val="004D48D6"/>
    <w:rsid w:val="004D4FAB"/>
    <w:rsid w:val="004D54A1"/>
    <w:rsid w:val="004D5520"/>
    <w:rsid w:val="004D5C07"/>
    <w:rsid w:val="004E06EF"/>
    <w:rsid w:val="004E171E"/>
    <w:rsid w:val="004E1CD2"/>
    <w:rsid w:val="004E38A7"/>
    <w:rsid w:val="004E38B6"/>
    <w:rsid w:val="004E47D8"/>
    <w:rsid w:val="004E59ED"/>
    <w:rsid w:val="004E5A0D"/>
    <w:rsid w:val="004E5C92"/>
    <w:rsid w:val="004E62E7"/>
    <w:rsid w:val="004E7597"/>
    <w:rsid w:val="004E75E2"/>
    <w:rsid w:val="004E7F7F"/>
    <w:rsid w:val="004F08C8"/>
    <w:rsid w:val="004F152A"/>
    <w:rsid w:val="004F2922"/>
    <w:rsid w:val="004F4477"/>
    <w:rsid w:val="004F45F8"/>
    <w:rsid w:val="004F4DE2"/>
    <w:rsid w:val="004F53E0"/>
    <w:rsid w:val="004F5DEF"/>
    <w:rsid w:val="004F635B"/>
    <w:rsid w:val="004F6536"/>
    <w:rsid w:val="00500215"/>
    <w:rsid w:val="00500C66"/>
    <w:rsid w:val="00502C74"/>
    <w:rsid w:val="00503046"/>
    <w:rsid w:val="00503EA7"/>
    <w:rsid w:val="00503F30"/>
    <w:rsid w:val="00504CA3"/>
    <w:rsid w:val="005067A9"/>
    <w:rsid w:val="00506937"/>
    <w:rsid w:val="00506E8A"/>
    <w:rsid w:val="00512DD7"/>
    <w:rsid w:val="00512FAF"/>
    <w:rsid w:val="00513B1C"/>
    <w:rsid w:val="00513B89"/>
    <w:rsid w:val="005143A3"/>
    <w:rsid w:val="00514906"/>
    <w:rsid w:val="00516637"/>
    <w:rsid w:val="0051710B"/>
    <w:rsid w:val="0051735B"/>
    <w:rsid w:val="00523FAB"/>
    <w:rsid w:val="0052406C"/>
    <w:rsid w:val="0052422C"/>
    <w:rsid w:val="00524C27"/>
    <w:rsid w:val="00525CD0"/>
    <w:rsid w:val="0053043E"/>
    <w:rsid w:val="00530BEC"/>
    <w:rsid w:val="00531D34"/>
    <w:rsid w:val="00531D76"/>
    <w:rsid w:val="0053320D"/>
    <w:rsid w:val="0053429D"/>
    <w:rsid w:val="0053581D"/>
    <w:rsid w:val="0053734F"/>
    <w:rsid w:val="005404A2"/>
    <w:rsid w:val="005405D9"/>
    <w:rsid w:val="00540F43"/>
    <w:rsid w:val="0054114B"/>
    <w:rsid w:val="00541E0C"/>
    <w:rsid w:val="00542822"/>
    <w:rsid w:val="005433FF"/>
    <w:rsid w:val="00543B66"/>
    <w:rsid w:val="00544030"/>
    <w:rsid w:val="005450E3"/>
    <w:rsid w:val="00547297"/>
    <w:rsid w:val="005501C1"/>
    <w:rsid w:val="00552276"/>
    <w:rsid w:val="00552837"/>
    <w:rsid w:val="00553D82"/>
    <w:rsid w:val="005552F9"/>
    <w:rsid w:val="00555482"/>
    <w:rsid w:val="005605BE"/>
    <w:rsid w:val="00561D49"/>
    <w:rsid w:val="00562575"/>
    <w:rsid w:val="005625FA"/>
    <w:rsid w:val="0056308A"/>
    <w:rsid w:val="005640BE"/>
    <w:rsid w:val="00564F13"/>
    <w:rsid w:val="00565253"/>
    <w:rsid w:val="00565E9D"/>
    <w:rsid w:val="00567DA1"/>
    <w:rsid w:val="0057053D"/>
    <w:rsid w:val="0057146B"/>
    <w:rsid w:val="00572270"/>
    <w:rsid w:val="00573223"/>
    <w:rsid w:val="00573B4D"/>
    <w:rsid w:val="00575AEB"/>
    <w:rsid w:val="00576B75"/>
    <w:rsid w:val="00580265"/>
    <w:rsid w:val="00582A7A"/>
    <w:rsid w:val="00582A8B"/>
    <w:rsid w:val="00582D12"/>
    <w:rsid w:val="00583996"/>
    <w:rsid w:val="00583AE7"/>
    <w:rsid w:val="0058618C"/>
    <w:rsid w:val="0058736F"/>
    <w:rsid w:val="00587407"/>
    <w:rsid w:val="0058789B"/>
    <w:rsid w:val="005913F1"/>
    <w:rsid w:val="005932EC"/>
    <w:rsid w:val="00594201"/>
    <w:rsid w:val="005945D8"/>
    <w:rsid w:val="0059492F"/>
    <w:rsid w:val="00595FCA"/>
    <w:rsid w:val="00596621"/>
    <w:rsid w:val="0059678F"/>
    <w:rsid w:val="00596892"/>
    <w:rsid w:val="00597265"/>
    <w:rsid w:val="005972DE"/>
    <w:rsid w:val="005A25BA"/>
    <w:rsid w:val="005A363B"/>
    <w:rsid w:val="005A39E8"/>
    <w:rsid w:val="005A3C79"/>
    <w:rsid w:val="005A48B6"/>
    <w:rsid w:val="005A5D41"/>
    <w:rsid w:val="005A6953"/>
    <w:rsid w:val="005A7481"/>
    <w:rsid w:val="005A7863"/>
    <w:rsid w:val="005B01B4"/>
    <w:rsid w:val="005B0C78"/>
    <w:rsid w:val="005B2391"/>
    <w:rsid w:val="005B488F"/>
    <w:rsid w:val="005B6278"/>
    <w:rsid w:val="005B6DBF"/>
    <w:rsid w:val="005B79B6"/>
    <w:rsid w:val="005B7AC8"/>
    <w:rsid w:val="005C0D4F"/>
    <w:rsid w:val="005C36EC"/>
    <w:rsid w:val="005C63AC"/>
    <w:rsid w:val="005C6E7F"/>
    <w:rsid w:val="005C7CFF"/>
    <w:rsid w:val="005D04B4"/>
    <w:rsid w:val="005D0852"/>
    <w:rsid w:val="005D169E"/>
    <w:rsid w:val="005D2059"/>
    <w:rsid w:val="005D46B4"/>
    <w:rsid w:val="005D498D"/>
    <w:rsid w:val="005D4BF0"/>
    <w:rsid w:val="005D503F"/>
    <w:rsid w:val="005D584D"/>
    <w:rsid w:val="005D6C4E"/>
    <w:rsid w:val="005E01F7"/>
    <w:rsid w:val="005E0BD3"/>
    <w:rsid w:val="005E0C86"/>
    <w:rsid w:val="005E17E8"/>
    <w:rsid w:val="005E1BF9"/>
    <w:rsid w:val="005E47CF"/>
    <w:rsid w:val="005E62DE"/>
    <w:rsid w:val="005E6548"/>
    <w:rsid w:val="005F013C"/>
    <w:rsid w:val="005F1467"/>
    <w:rsid w:val="005F16FC"/>
    <w:rsid w:val="005F1C7D"/>
    <w:rsid w:val="005F2DD5"/>
    <w:rsid w:val="005F32A5"/>
    <w:rsid w:val="005F5E91"/>
    <w:rsid w:val="005F5FE2"/>
    <w:rsid w:val="005F6144"/>
    <w:rsid w:val="00600744"/>
    <w:rsid w:val="00601548"/>
    <w:rsid w:val="0060208B"/>
    <w:rsid w:val="00602340"/>
    <w:rsid w:val="0060256C"/>
    <w:rsid w:val="00602D3D"/>
    <w:rsid w:val="006031F3"/>
    <w:rsid w:val="00603C6F"/>
    <w:rsid w:val="006042A8"/>
    <w:rsid w:val="00604C99"/>
    <w:rsid w:val="00610A5E"/>
    <w:rsid w:val="00611989"/>
    <w:rsid w:val="0061319E"/>
    <w:rsid w:val="006131D6"/>
    <w:rsid w:val="006149D2"/>
    <w:rsid w:val="00614C5B"/>
    <w:rsid w:val="006166F9"/>
    <w:rsid w:val="00616CF2"/>
    <w:rsid w:val="0062085B"/>
    <w:rsid w:val="00620B5F"/>
    <w:rsid w:val="00622505"/>
    <w:rsid w:val="0062300E"/>
    <w:rsid w:val="00623359"/>
    <w:rsid w:val="00623963"/>
    <w:rsid w:val="00626B48"/>
    <w:rsid w:val="00631DB1"/>
    <w:rsid w:val="00633E58"/>
    <w:rsid w:val="00634C47"/>
    <w:rsid w:val="0063687C"/>
    <w:rsid w:val="00640B43"/>
    <w:rsid w:val="0064136A"/>
    <w:rsid w:val="0064281D"/>
    <w:rsid w:val="006433F4"/>
    <w:rsid w:val="0064345F"/>
    <w:rsid w:val="00646182"/>
    <w:rsid w:val="00646741"/>
    <w:rsid w:val="00646893"/>
    <w:rsid w:val="00646EE0"/>
    <w:rsid w:val="0064714C"/>
    <w:rsid w:val="0065122E"/>
    <w:rsid w:val="00652C02"/>
    <w:rsid w:val="00653895"/>
    <w:rsid w:val="0065399C"/>
    <w:rsid w:val="00654D88"/>
    <w:rsid w:val="006568B6"/>
    <w:rsid w:val="00656C1B"/>
    <w:rsid w:val="00657167"/>
    <w:rsid w:val="006573E2"/>
    <w:rsid w:val="00657A74"/>
    <w:rsid w:val="00660D08"/>
    <w:rsid w:val="0066216C"/>
    <w:rsid w:val="006623D4"/>
    <w:rsid w:val="0066363C"/>
    <w:rsid w:val="00664A2C"/>
    <w:rsid w:val="00665F23"/>
    <w:rsid w:val="00670DBE"/>
    <w:rsid w:val="00670EBB"/>
    <w:rsid w:val="0067292B"/>
    <w:rsid w:val="00674165"/>
    <w:rsid w:val="006744EF"/>
    <w:rsid w:val="00674BE1"/>
    <w:rsid w:val="00674C44"/>
    <w:rsid w:val="00674CC1"/>
    <w:rsid w:val="00675383"/>
    <w:rsid w:val="00675C69"/>
    <w:rsid w:val="00675DA6"/>
    <w:rsid w:val="00676F42"/>
    <w:rsid w:val="0067788E"/>
    <w:rsid w:val="00677F8A"/>
    <w:rsid w:val="0068004F"/>
    <w:rsid w:val="0068029F"/>
    <w:rsid w:val="00680E6E"/>
    <w:rsid w:val="00683669"/>
    <w:rsid w:val="00683C5B"/>
    <w:rsid w:val="006843E4"/>
    <w:rsid w:val="00684641"/>
    <w:rsid w:val="00684A30"/>
    <w:rsid w:val="00684CEB"/>
    <w:rsid w:val="0068531F"/>
    <w:rsid w:val="00685A6C"/>
    <w:rsid w:val="006878A8"/>
    <w:rsid w:val="006904DE"/>
    <w:rsid w:val="00693E36"/>
    <w:rsid w:val="006952E9"/>
    <w:rsid w:val="00695B5C"/>
    <w:rsid w:val="006A02D8"/>
    <w:rsid w:val="006A0325"/>
    <w:rsid w:val="006A0564"/>
    <w:rsid w:val="006A0DCD"/>
    <w:rsid w:val="006A1A99"/>
    <w:rsid w:val="006A4388"/>
    <w:rsid w:val="006A5123"/>
    <w:rsid w:val="006A57D4"/>
    <w:rsid w:val="006A5D01"/>
    <w:rsid w:val="006A658E"/>
    <w:rsid w:val="006A66BE"/>
    <w:rsid w:val="006A73A5"/>
    <w:rsid w:val="006B23E5"/>
    <w:rsid w:val="006B2C28"/>
    <w:rsid w:val="006B3B38"/>
    <w:rsid w:val="006B4460"/>
    <w:rsid w:val="006B4DD9"/>
    <w:rsid w:val="006B5BE4"/>
    <w:rsid w:val="006B754D"/>
    <w:rsid w:val="006B7BEA"/>
    <w:rsid w:val="006C0E45"/>
    <w:rsid w:val="006C0FBD"/>
    <w:rsid w:val="006C18E9"/>
    <w:rsid w:val="006C1E5C"/>
    <w:rsid w:val="006C362D"/>
    <w:rsid w:val="006C5742"/>
    <w:rsid w:val="006C5C70"/>
    <w:rsid w:val="006C5D37"/>
    <w:rsid w:val="006C6172"/>
    <w:rsid w:val="006D09E5"/>
    <w:rsid w:val="006D0EA4"/>
    <w:rsid w:val="006D1D0A"/>
    <w:rsid w:val="006D311B"/>
    <w:rsid w:val="006D3E81"/>
    <w:rsid w:val="006D4690"/>
    <w:rsid w:val="006D5A16"/>
    <w:rsid w:val="006D78DD"/>
    <w:rsid w:val="006D7970"/>
    <w:rsid w:val="006E1F93"/>
    <w:rsid w:val="006E2F4F"/>
    <w:rsid w:val="006E3237"/>
    <w:rsid w:val="006E33E0"/>
    <w:rsid w:val="006E3C4D"/>
    <w:rsid w:val="006E3E8F"/>
    <w:rsid w:val="006E44A0"/>
    <w:rsid w:val="006E4911"/>
    <w:rsid w:val="006E4D4D"/>
    <w:rsid w:val="006E504E"/>
    <w:rsid w:val="006E5A9C"/>
    <w:rsid w:val="006E5B4B"/>
    <w:rsid w:val="006E5BCA"/>
    <w:rsid w:val="006E6D6A"/>
    <w:rsid w:val="006E7EA7"/>
    <w:rsid w:val="006F07E0"/>
    <w:rsid w:val="006F1073"/>
    <w:rsid w:val="006F273D"/>
    <w:rsid w:val="006F2776"/>
    <w:rsid w:val="006F3216"/>
    <w:rsid w:val="006F3DB1"/>
    <w:rsid w:val="006F47C6"/>
    <w:rsid w:val="006F6E21"/>
    <w:rsid w:val="006F7FE5"/>
    <w:rsid w:val="0070076E"/>
    <w:rsid w:val="007018FA"/>
    <w:rsid w:val="00701F69"/>
    <w:rsid w:val="00701FB1"/>
    <w:rsid w:val="0071243E"/>
    <w:rsid w:val="00712516"/>
    <w:rsid w:val="00713500"/>
    <w:rsid w:val="00714CE1"/>
    <w:rsid w:val="00714DB6"/>
    <w:rsid w:val="0072069F"/>
    <w:rsid w:val="00721141"/>
    <w:rsid w:val="00722AE3"/>
    <w:rsid w:val="00722B1F"/>
    <w:rsid w:val="007252EB"/>
    <w:rsid w:val="0072573A"/>
    <w:rsid w:val="00727AC1"/>
    <w:rsid w:val="00727E8E"/>
    <w:rsid w:val="00730997"/>
    <w:rsid w:val="00730F1E"/>
    <w:rsid w:val="00731B55"/>
    <w:rsid w:val="00732089"/>
    <w:rsid w:val="0073399A"/>
    <w:rsid w:val="007343C1"/>
    <w:rsid w:val="00736465"/>
    <w:rsid w:val="00736E8E"/>
    <w:rsid w:val="007414D8"/>
    <w:rsid w:val="00741FAA"/>
    <w:rsid w:val="0074240D"/>
    <w:rsid w:val="00742F1C"/>
    <w:rsid w:val="00743C84"/>
    <w:rsid w:val="0074436B"/>
    <w:rsid w:val="007454F1"/>
    <w:rsid w:val="00746C48"/>
    <w:rsid w:val="00747513"/>
    <w:rsid w:val="0074776E"/>
    <w:rsid w:val="00747EE7"/>
    <w:rsid w:val="0075038C"/>
    <w:rsid w:val="00752F00"/>
    <w:rsid w:val="007533E5"/>
    <w:rsid w:val="0075370B"/>
    <w:rsid w:val="00754383"/>
    <w:rsid w:val="00755008"/>
    <w:rsid w:val="00757675"/>
    <w:rsid w:val="0076111F"/>
    <w:rsid w:val="007612A0"/>
    <w:rsid w:val="00762148"/>
    <w:rsid w:val="00762A78"/>
    <w:rsid w:val="00763243"/>
    <w:rsid w:val="007632F8"/>
    <w:rsid w:val="00764AE4"/>
    <w:rsid w:val="007662DF"/>
    <w:rsid w:val="00770184"/>
    <w:rsid w:val="00770BFD"/>
    <w:rsid w:val="00770D14"/>
    <w:rsid w:val="00771A04"/>
    <w:rsid w:val="00773F65"/>
    <w:rsid w:val="00774E9B"/>
    <w:rsid w:val="007759CF"/>
    <w:rsid w:val="00776225"/>
    <w:rsid w:val="00776CD0"/>
    <w:rsid w:val="00780085"/>
    <w:rsid w:val="007801BF"/>
    <w:rsid w:val="00782C97"/>
    <w:rsid w:val="007837D9"/>
    <w:rsid w:val="0078518F"/>
    <w:rsid w:val="0078564D"/>
    <w:rsid w:val="00785ABD"/>
    <w:rsid w:val="00787A08"/>
    <w:rsid w:val="007922AD"/>
    <w:rsid w:val="00792CF0"/>
    <w:rsid w:val="007936AA"/>
    <w:rsid w:val="00793736"/>
    <w:rsid w:val="00793FAE"/>
    <w:rsid w:val="00793FDA"/>
    <w:rsid w:val="00794A37"/>
    <w:rsid w:val="00796389"/>
    <w:rsid w:val="007A003C"/>
    <w:rsid w:val="007A11DE"/>
    <w:rsid w:val="007A16DB"/>
    <w:rsid w:val="007A1E72"/>
    <w:rsid w:val="007A1FF7"/>
    <w:rsid w:val="007A308F"/>
    <w:rsid w:val="007A3E46"/>
    <w:rsid w:val="007A455C"/>
    <w:rsid w:val="007A4566"/>
    <w:rsid w:val="007A7218"/>
    <w:rsid w:val="007A72B2"/>
    <w:rsid w:val="007A785C"/>
    <w:rsid w:val="007A7CE3"/>
    <w:rsid w:val="007B05B1"/>
    <w:rsid w:val="007B27B6"/>
    <w:rsid w:val="007B3839"/>
    <w:rsid w:val="007B4C0B"/>
    <w:rsid w:val="007B5701"/>
    <w:rsid w:val="007B70DD"/>
    <w:rsid w:val="007B7715"/>
    <w:rsid w:val="007B79A0"/>
    <w:rsid w:val="007C07EF"/>
    <w:rsid w:val="007C1055"/>
    <w:rsid w:val="007C1DF5"/>
    <w:rsid w:val="007C2B0F"/>
    <w:rsid w:val="007C3C32"/>
    <w:rsid w:val="007C635A"/>
    <w:rsid w:val="007D00E3"/>
    <w:rsid w:val="007D1DC8"/>
    <w:rsid w:val="007D4579"/>
    <w:rsid w:val="007D4BB4"/>
    <w:rsid w:val="007D4FEA"/>
    <w:rsid w:val="007D57B8"/>
    <w:rsid w:val="007D6C05"/>
    <w:rsid w:val="007D707E"/>
    <w:rsid w:val="007D7F08"/>
    <w:rsid w:val="007E0E71"/>
    <w:rsid w:val="007E2660"/>
    <w:rsid w:val="007E4222"/>
    <w:rsid w:val="007E4CF5"/>
    <w:rsid w:val="007E6331"/>
    <w:rsid w:val="007F0F0E"/>
    <w:rsid w:val="007F4435"/>
    <w:rsid w:val="007F49D7"/>
    <w:rsid w:val="007F4AE5"/>
    <w:rsid w:val="007F4BEE"/>
    <w:rsid w:val="007F60CE"/>
    <w:rsid w:val="007F6A5B"/>
    <w:rsid w:val="007F78DB"/>
    <w:rsid w:val="007F7E6E"/>
    <w:rsid w:val="0080046B"/>
    <w:rsid w:val="008008CC"/>
    <w:rsid w:val="00802354"/>
    <w:rsid w:val="00803240"/>
    <w:rsid w:val="008032ED"/>
    <w:rsid w:val="0080392C"/>
    <w:rsid w:val="008040DB"/>
    <w:rsid w:val="00805158"/>
    <w:rsid w:val="0080583F"/>
    <w:rsid w:val="00806155"/>
    <w:rsid w:val="0080640E"/>
    <w:rsid w:val="008125C0"/>
    <w:rsid w:val="008131F7"/>
    <w:rsid w:val="0081380D"/>
    <w:rsid w:val="00813D12"/>
    <w:rsid w:val="00816641"/>
    <w:rsid w:val="0082146D"/>
    <w:rsid w:val="008226A7"/>
    <w:rsid w:val="008227A1"/>
    <w:rsid w:val="00822938"/>
    <w:rsid w:val="00822F1D"/>
    <w:rsid w:val="00825F3B"/>
    <w:rsid w:val="0082749A"/>
    <w:rsid w:val="00827FE6"/>
    <w:rsid w:val="00830210"/>
    <w:rsid w:val="0083067A"/>
    <w:rsid w:val="00830AF4"/>
    <w:rsid w:val="008318CE"/>
    <w:rsid w:val="0083283E"/>
    <w:rsid w:val="00834FC1"/>
    <w:rsid w:val="00835367"/>
    <w:rsid w:val="00837DAB"/>
    <w:rsid w:val="008401C7"/>
    <w:rsid w:val="008408E0"/>
    <w:rsid w:val="008414E6"/>
    <w:rsid w:val="0084160C"/>
    <w:rsid w:val="0084447C"/>
    <w:rsid w:val="00846242"/>
    <w:rsid w:val="00846D41"/>
    <w:rsid w:val="008472CD"/>
    <w:rsid w:val="008473B8"/>
    <w:rsid w:val="008502DF"/>
    <w:rsid w:val="008516F2"/>
    <w:rsid w:val="00853AEE"/>
    <w:rsid w:val="0085467E"/>
    <w:rsid w:val="0085522D"/>
    <w:rsid w:val="00855A11"/>
    <w:rsid w:val="00856006"/>
    <w:rsid w:val="008560A5"/>
    <w:rsid w:val="00856566"/>
    <w:rsid w:val="00856FBE"/>
    <w:rsid w:val="00857D11"/>
    <w:rsid w:val="0086049D"/>
    <w:rsid w:val="00860D6A"/>
    <w:rsid w:val="0086110B"/>
    <w:rsid w:val="008619C3"/>
    <w:rsid w:val="008624F9"/>
    <w:rsid w:val="00863055"/>
    <w:rsid w:val="00863E6F"/>
    <w:rsid w:val="00866B2C"/>
    <w:rsid w:val="0087169B"/>
    <w:rsid w:val="00872024"/>
    <w:rsid w:val="00872FF8"/>
    <w:rsid w:val="008731BE"/>
    <w:rsid w:val="00874B14"/>
    <w:rsid w:val="008764F8"/>
    <w:rsid w:val="0087674D"/>
    <w:rsid w:val="00877001"/>
    <w:rsid w:val="00877596"/>
    <w:rsid w:val="00880A58"/>
    <w:rsid w:val="00881D89"/>
    <w:rsid w:val="00882E39"/>
    <w:rsid w:val="00883A3C"/>
    <w:rsid w:val="0088416C"/>
    <w:rsid w:val="00884EED"/>
    <w:rsid w:val="0088677D"/>
    <w:rsid w:val="00887678"/>
    <w:rsid w:val="00891206"/>
    <w:rsid w:val="00891468"/>
    <w:rsid w:val="008923A7"/>
    <w:rsid w:val="008935DA"/>
    <w:rsid w:val="00893A3A"/>
    <w:rsid w:val="008958D8"/>
    <w:rsid w:val="00895BA3"/>
    <w:rsid w:val="0089773D"/>
    <w:rsid w:val="008A0AD5"/>
    <w:rsid w:val="008A1430"/>
    <w:rsid w:val="008A20C4"/>
    <w:rsid w:val="008A2B16"/>
    <w:rsid w:val="008A32B0"/>
    <w:rsid w:val="008A3522"/>
    <w:rsid w:val="008A3874"/>
    <w:rsid w:val="008A3F58"/>
    <w:rsid w:val="008A463E"/>
    <w:rsid w:val="008A4AD6"/>
    <w:rsid w:val="008A6C9A"/>
    <w:rsid w:val="008A75C4"/>
    <w:rsid w:val="008A76B3"/>
    <w:rsid w:val="008A7B8F"/>
    <w:rsid w:val="008B225C"/>
    <w:rsid w:val="008B3E94"/>
    <w:rsid w:val="008B3FC4"/>
    <w:rsid w:val="008B42AC"/>
    <w:rsid w:val="008B438A"/>
    <w:rsid w:val="008B45F9"/>
    <w:rsid w:val="008B4634"/>
    <w:rsid w:val="008C06DE"/>
    <w:rsid w:val="008C1A51"/>
    <w:rsid w:val="008C2A33"/>
    <w:rsid w:val="008C40D1"/>
    <w:rsid w:val="008C58C7"/>
    <w:rsid w:val="008C5A88"/>
    <w:rsid w:val="008C5D46"/>
    <w:rsid w:val="008D102C"/>
    <w:rsid w:val="008D169B"/>
    <w:rsid w:val="008D2C7D"/>
    <w:rsid w:val="008D3365"/>
    <w:rsid w:val="008D3C90"/>
    <w:rsid w:val="008D3EFE"/>
    <w:rsid w:val="008D3F0C"/>
    <w:rsid w:val="008D4A3E"/>
    <w:rsid w:val="008D6742"/>
    <w:rsid w:val="008D7438"/>
    <w:rsid w:val="008D76D1"/>
    <w:rsid w:val="008D7B16"/>
    <w:rsid w:val="008E213D"/>
    <w:rsid w:val="008E7062"/>
    <w:rsid w:val="008E7D3B"/>
    <w:rsid w:val="008E7D6B"/>
    <w:rsid w:val="008F134E"/>
    <w:rsid w:val="008F1B1F"/>
    <w:rsid w:val="008F25E3"/>
    <w:rsid w:val="008F29FA"/>
    <w:rsid w:val="008F2BFE"/>
    <w:rsid w:val="008F2D58"/>
    <w:rsid w:val="008F3FE1"/>
    <w:rsid w:val="008F419A"/>
    <w:rsid w:val="008F4509"/>
    <w:rsid w:val="008F495A"/>
    <w:rsid w:val="008F4E53"/>
    <w:rsid w:val="008F6BEF"/>
    <w:rsid w:val="008F6DF1"/>
    <w:rsid w:val="008F7C74"/>
    <w:rsid w:val="00901B3E"/>
    <w:rsid w:val="00902F90"/>
    <w:rsid w:val="00904D1A"/>
    <w:rsid w:val="00904D42"/>
    <w:rsid w:val="00905E34"/>
    <w:rsid w:val="00910956"/>
    <w:rsid w:val="00910EC2"/>
    <w:rsid w:val="00910F42"/>
    <w:rsid w:val="009144EA"/>
    <w:rsid w:val="00916670"/>
    <w:rsid w:val="009168A7"/>
    <w:rsid w:val="00916EFB"/>
    <w:rsid w:val="00920C49"/>
    <w:rsid w:val="00922901"/>
    <w:rsid w:val="009230AF"/>
    <w:rsid w:val="00923436"/>
    <w:rsid w:val="009234FF"/>
    <w:rsid w:val="00923B83"/>
    <w:rsid w:val="00924028"/>
    <w:rsid w:val="00925096"/>
    <w:rsid w:val="0092696B"/>
    <w:rsid w:val="00926A69"/>
    <w:rsid w:val="00926AB9"/>
    <w:rsid w:val="00926F72"/>
    <w:rsid w:val="009317CF"/>
    <w:rsid w:val="00931B94"/>
    <w:rsid w:val="00931BD7"/>
    <w:rsid w:val="00932521"/>
    <w:rsid w:val="00934F47"/>
    <w:rsid w:val="009357A0"/>
    <w:rsid w:val="00936368"/>
    <w:rsid w:val="00936CB3"/>
    <w:rsid w:val="009414CC"/>
    <w:rsid w:val="00941EFB"/>
    <w:rsid w:val="00943003"/>
    <w:rsid w:val="009446DB"/>
    <w:rsid w:val="00946354"/>
    <w:rsid w:val="0094761F"/>
    <w:rsid w:val="009503D8"/>
    <w:rsid w:val="00950749"/>
    <w:rsid w:val="0095167F"/>
    <w:rsid w:val="0095258A"/>
    <w:rsid w:val="00955D18"/>
    <w:rsid w:val="009560C9"/>
    <w:rsid w:val="0095625D"/>
    <w:rsid w:val="00956A0E"/>
    <w:rsid w:val="00956CE3"/>
    <w:rsid w:val="00956F67"/>
    <w:rsid w:val="00957C34"/>
    <w:rsid w:val="00961035"/>
    <w:rsid w:val="00961488"/>
    <w:rsid w:val="00961D7A"/>
    <w:rsid w:val="0096340E"/>
    <w:rsid w:val="009649DF"/>
    <w:rsid w:val="00965F52"/>
    <w:rsid w:val="0096665A"/>
    <w:rsid w:val="00970488"/>
    <w:rsid w:val="00972284"/>
    <w:rsid w:val="0097243D"/>
    <w:rsid w:val="0097318B"/>
    <w:rsid w:val="00975445"/>
    <w:rsid w:val="00975770"/>
    <w:rsid w:val="00976568"/>
    <w:rsid w:val="00977322"/>
    <w:rsid w:val="00977508"/>
    <w:rsid w:val="00977602"/>
    <w:rsid w:val="009843F8"/>
    <w:rsid w:val="009850E1"/>
    <w:rsid w:val="00990789"/>
    <w:rsid w:val="00991787"/>
    <w:rsid w:val="00991D99"/>
    <w:rsid w:val="00993F19"/>
    <w:rsid w:val="009944AE"/>
    <w:rsid w:val="00994AAE"/>
    <w:rsid w:val="00995D73"/>
    <w:rsid w:val="009968A2"/>
    <w:rsid w:val="009A0DD6"/>
    <w:rsid w:val="009A1666"/>
    <w:rsid w:val="009A1996"/>
    <w:rsid w:val="009A2B20"/>
    <w:rsid w:val="009A4707"/>
    <w:rsid w:val="009A6463"/>
    <w:rsid w:val="009A68F4"/>
    <w:rsid w:val="009B0EFF"/>
    <w:rsid w:val="009B248D"/>
    <w:rsid w:val="009B3CAC"/>
    <w:rsid w:val="009B3F71"/>
    <w:rsid w:val="009B427B"/>
    <w:rsid w:val="009B5711"/>
    <w:rsid w:val="009B71A2"/>
    <w:rsid w:val="009B723F"/>
    <w:rsid w:val="009B76A4"/>
    <w:rsid w:val="009C40C5"/>
    <w:rsid w:val="009C4569"/>
    <w:rsid w:val="009C52CF"/>
    <w:rsid w:val="009C74E3"/>
    <w:rsid w:val="009C7825"/>
    <w:rsid w:val="009D11E6"/>
    <w:rsid w:val="009D1C47"/>
    <w:rsid w:val="009D4948"/>
    <w:rsid w:val="009D5E00"/>
    <w:rsid w:val="009D6ABB"/>
    <w:rsid w:val="009D6AF9"/>
    <w:rsid w:val="009D6D9B"/>
    <w:rsid w:val="009E0381"/>
    <w:rsid w:val="009E051E"/>
    <w:rsid w:val="009E0C29"/>
    <w:rsid w:val="009E1582"/>
    <w:rsid w:val="009E231F"/>
    <w:rsid w:val="009E25D1"/>
    <w:rsid w:val="009E2D94"/>
    <w:rsid w:val="009E47BB"/>
    <w:rsid w:val="009E4F37"/>
    <w:rsid w:val="009E57D7"/>
    <w:rsid w:val="009E5F01"/>
    <w:rsid w:val="009F044F"/>
    <w:rsid w:val="009F0823"/>
    <w:rsid w:val="009F111A"/>
    <w:rsid w:val="009F387A"/>
    <w:rsid w:val="009F3A96"/>
    <w:rsid w:val="009F5A53"/>
    <w:rsid w:val="009F5F3C"/>
    <w:rsid w:val="009F7BFB"/>
    <w:rsid w:val="009F7F12"/>
    <w:rsid w:val="00A000CD"/>
    <w:rsid w:val="00A003E2"/>
    <w:rsid w:val="00A006E9"/>
    <w:rsid w:val="00A00A45"/>
    <w:rsid w:val="00A011F9"/>
    <w:rsid w:val="00A01568"/>
    <w:rsid w:val="00A01BEC"/>
    <w:rsid w:val="00A061CA"/>
    <w:rsid w:val="00A076E6"/>
    <w:rsid w:val="00A07C52"/>
    <w:rsid w:val="00A10EB0"/>
    <w:rsid w:val="00A11E37"/>
    <w:rsid w:val="00A1315E"/>
    <w:rsid w:val="00A143F3"/>
    <w:rsid w:val="00A16149"/>
    <w:rsid w:val="00A16D48"/>
    <w:rsid w:val="00A17555"/>
    <w:rsid w:val="00A202C2"/>
    <w:rsid w:val="00A21694"/>
    <w:rsid w:val="00A21B5B"/>
    <w:rsid w:val="00A233C7"/>
    <w:rsid w:val="00A24DCF"/>
    <w:rsid w:val="00A25448"/>
    <w:rsid w:val="00A26F3C"/>
    <w:rsid w:val="00A275A0"/>
    <w:rsid w:val="00A2790A"/>
    <w:rsid w:val="00A3055C"/>
    <w:rsid w:val="00A31474"/>
    <w:rsid w:val="00A323F9"/>
    <w:rsid w:val="00A33773"/>
    <w:rsid w:val="00A339F0"/>
    <w:rsid w:val="00A34449"/>
    <w:rsid w:val="00A346ED"/>
    <w:rsid w:val="00A34923"/>
    <w:rsid w:val="00A34AD0"/>
    <w:rsid w:val="00A35A81"/>
    <w:rsid w:val="00A35D86"/>
    <w:rsid w:val="00A36A3C"/>
    <w:rsid w:val="00A405F2"/>
    <w:rsid w:val="00A417A7"/>
    <w:rsid w:val="00A41A3B"/>
    <w:rsid w:val="00A42FFE"/>
    <w:rsid w:val="00A443CF"/>
    <w:rsid w:val="00A4506D"/>
    <w:rsid w:val="00A462A4"/>
    <w:rsid w:val="00A4646F"/>
    <w:rsid w:val="00A47120"/>
    <w:rsid w:val="00A4791E"/>
    <w:rsid w:val="00A47B3D"/>
    <w:rsid w:val="00A47B82"/>
    <w:rsid w:val="00A5093D"/>
    <w:rsid w:val="00A50FB1"/>
    <w:rsid w:val="00A51EF1"/>
    <w:rsid w:val="00A520C0"/>
    <w:rsid w:val="00A53A9B"/>
    <w:rsid w:val="00A54C64"/>
    <w:rsid w:val="00A54F30"/>
    <w:rsid w:val="00A55065"/>
    <w:rsid w:val="00A551BF"/>
    <w:rsid w:val="00A55EDB"/>
    <w:rsid w:val="00A561DD"/>
    <w:rsid w:val="00A61D12"/>
    <w:rsid w:val="00A620B9"/>
    <w:rsid w:val="00A62D5A"/>
    <w:rsid w:val="00A6349C"/>
    <w:rsid w:val="00A64DB9"/>
    <w:rsid w:val="00A65401"/>
    <w:rsid w:val="00A67B36"/>
    <w:rsid w:val="00A67C40"/>
    <w:rsid w:val="00A67F1B"/>
    <w:rsid w:val="00A7082E"/>
    <w:rsid w:val="00A713DC"/>
    <w:rsid w:val="00A718D1"/>
    <w:rsid w:val="00A735F0"/>
    <w:rsid w:val="00A73F35"/>
    <w:rsid w:val="00A74733"/>
    <w:rsid w:val="00A75306"/>
    <w:rsid w:val="00A755E6"/>
    <w:rsid w:val="00A75E52"/>
    <w:rsid w:val="00A811FA"/>
    <w:rsid w:val="00A823C8"/>
    <w:rsid w:val="00A83C34"/>
    <w:rsid w:val="00A8431A"/>
    <w:rsid w:val="00A870E6"/>
    <w:rsid w:val="00A87431"/>
    <w:rsid w:val="00A87B0F"/>
    <w:rsid w:val="00A900D5"/>
    <w:rsid w:val="00A9031E"/>
    <w:rsid w:val="00A9360D"/>
    <w:rsid w:val="00A93F0C"/>
    <w:rsid w:val="00A9564D"/>
    <w:rsid w:val="00A9590C"/>
    <w:rsid w:val="00A95EFE"/>
    <w:rsid w:val="00AA00BE"/>
    <w:rsid w:val="00AA0DAC"/>
    <w:rsid w:val="00AA175C"/>
    <w:rsid w:val="00AA21E9"/>
    <w:rsid w:val="00AA2F93"/>
    <w:rsid w:val="00AA3603"/>
    <w:rsid w:val="00AA3B3B"/>
    <w:rsid w:val="00AA5555"/>
    <w:rsid w:val="00AA55C1"/>
    <w:rsid w:val="00AA638F"/>
    <w:rsid w:val="00AA704E"/>
    <w:rsid w:val="00AA7ACD"/>
    <w:rsid w:val="00AB014B"/>
    <w:rsid w:val="00AB127D"/>
    <w:rsid w:val="00AB245C"/>
    <w:rsid w:val="00AB2739"/>
    <w:rsid w:val="00AB3F3E"/>
    <w:rsid w:val="00AB58E9"/>
    <w:rsid w:val="00AB5CBE"/>
    <w:rsid w:val="00AB67CF"/>
    <w:rsid w:val="00AC0252"/>
    <w:rsid w:val="00AC1D60"/>
    <w:rsid w:val="00AC1E44"/>
    <w:rsid w:val="00AC219E"/>
    <w:rsid w:val="00AC229D"/>
    <w:rsid w:val="00AC3172"/>
    <w:rsid w:val="00AC3E06"/>
    <w:rsid w:val="00AC4594"/>
    <w:rsid w:val="00AC5CFD"/>
    <w:rsid w:val="00AC6189"/>
    <w:rsid w:val="00AD0700"/>
    <w:rsid w:val="00AD084B"/>
    <w:rsid w:val="00AD1D1C"/>
    <w:rsid w:val="00AD2001"/>
    <w:rsid w:val="00AD46CA"/>
    <w:rsid w:val="00AD52B2"/>
    <w:rsid w:val="00AD5C74"/>
    <w:rsid w:val="00AD6A03"/>
    <w:rsid w:val="00AD778D"/>
    <w:rsid w:val="00AE0A0C"/>
    <w:rsid w:val="00AE10FC"/>
    <w:rsid w:val="00AE3693"/>
    <w:rsid w:val="00AE6688"/>
    <w:rsid w:val="00AE74D8"/>
    <w:rsid w:val="00AF0A73"/>
    <w:rsid w:val="00AF6A89"/>
    <w:rsid w:val="00B0294A"/>
    <w:rsid w:val="00B0349B"/>
    <w:rsid w:val="00B056B8"/>
    <w:rsid w:val="00B05B86"/>
    <w:rsid w:val="00B078DD"/>
    <w:rsid w:val="00B11ACA"/>
    <w:rsid w:val="00B127CD"/>
    <w:rsid w:val="00B160D0"/>
    <w:rsid w:val="00B16877"/>
    <w:rsid w:val="00B16970"/>
    <w:rsid w:val="00B21D93"/>
    <w:rsid w:val="00B224E4"/>
    <w:rsid w:val="00B22755"/>
    <w:rsid w:val="00B24A77"/>
    <w:rsid w:val="00B24AEF"/>
    <w:rsid w:val="00B25E16"/>
    <w:rsid w:val="00B31D36"/>
    <w:rsid w:val="00B32120"/>
    <w:rsid w:val="00B32294"/>
    <w:rsid w:val="00B32319"/>
    <w:rsid w:val="00B33015"/>
    <w:rsid w:val="00B34B5A"/>
    <w:rsid w:val="00B35112"/>
    <w:rsid w:val="00B3533A"/>
    <w:rsid w:val="00B37153"/>
    <w:rsid w:val="00B3729F"/>
    <w:rsid w:val="00B402CC"/>
    <w:rsid w:val="00B40E8B"/>
    <w:rsid w:val="00B41A34"/>
    <w:rsid w:val="00B41F07"/>
    <w:rsid w:val="00B4235F"/>
    <w:rsid w:val="00B427CD"/>
    <w:rsid w:val="00B44052"/>
    <w:rsid w:val="00B446FF"/>
    <w:rsid w:val="00B44802"/>
    <w:rsid w:val="00B456D9"/>
    <w:rsid w:val="00B46452"/>
    <w:rsid w:val="00B46AC0"/>
    <w:rsid w:val="00B50B3F"/>
    <w:rsid w:val="00B513D5"/>
    <w:rsid w:val="00B53076"/>
    <w:rsid w:val="00B5335C"/>
    <w:rsid w:val="00B55A1C"/>
    <w:rsid w:val="00B55F04"/>
    <w:rsid w:val="00B61363"/>
    <w:rsid w:val="00B62075"/>
    <w:rsid w:val="00B6237E"/>
    <w:rsid w:val="00B65085"/>
    <w:rsid w:val="00B657A6"/>
    <w:rsid w:val="00B65F8D"/>
    <w:rsid w:val="00B673D5"/>
    <w:rsid w:val="00B72302"/>
    <w:rsid w:val="00B735E0"/>
    <w:rsid w:val="00B73B6B"/>
    <w:rsid w:val="00B74377"/>
    <w:rsid w:val="00B74CE7"/>
    <w:rsid w:val="00B7626E"/>
    <w:rsid w:val="00B76C4C"/>
    <w:rsid w:val="00B7717A"/>
    <w:rsid w:val="00B77E33"/>
    <w:rsid w:val="00B80B69"/>
    <w:rsid w:val="00B80BD7"/>
    <w:rsid w:val="00B81CBC"/>
    <w:rsid w:val="00B836F0"/>
    <w:rsid w:val="00B83EB9"/>
    <w:rsid w:val="00B85B50"/>
    <w:rsid w:val="00B900B4"/>
    <w:rsid w:val="00B90697"/>
    <w:rsid w:val="00B922CD"/>
    <w:rsid w:val="00B92ED3"/>
    <w:rsid w:val="00B9393A"/>
    <w:rsid w:val="00B940A3"/>
    <w:rsid w:val="00B94D80"/>
    <w:rsid w:val="00B94EAA"/>
    <w:rsid w:val="00B951FD"/>
    <w:rsid w:val="00B957E0"/>
    <w:rsid w:val="00B95897"/>
    <w:rsid w:val="00B9616E"/>
    <w:rsid w:val="00B96376"/>
    <w:rsid w:val="00B964CA"/>
    <w:rsid w:val="00B96D31"/>
    <w:rsid w:val="00B9704E"/>
    <w:rsid w:val="00B97E7A"/>
    <w:rsid w:val="00BA0CF4"/>
    <w:rsid w:val="00BA1845"/>
    <w:rsid w:val="00BA285E"/>
    <w:rsid w:val="00BA3132"/>
    <w:rsid w:val="00BA4597"/>
    <w:rsid w:val="00BA60BA"/>
    <w:rsid w:val="00BA622C"/>
    <w:rsid w:val="00BA6E6C"/>
    <w:rsid w:val="00BA76AC"/>
    <w:rsid w:val="00BA7E3F"/>
    <w:rsid w:val="00BA7FDC"/>
    <w:rsid w:val="00BB00B1"/>
    <w:rsid w:val="00BB211A"/>
    <w:rsid w:val="00BB4667"/>
    <w:rsid w:val="00BB4C2E"/>
    <w:rsid w:val="00BB5465"/>
    <w:rsid w:val="00BB578C"/>
    <w:rsid w:val="00BB5EA8"/>
    <w:rsid w:val="00BB5ED6"/>
    <w:rsid w:val="00BB752A"/>
    <w:rsid w:val="00BC15EB"/>
    <w:rsid w:val="00BC18FE"/>
    <w:rsid w:val="00BC1B83"/>
    <w:rsid w:val="00BC24A9"/>
    <w:rsid w:val="00BC27F7"/>
    <w:rsid w:val="00BC4086"/>
    <w:rsid w:val="00BC4F00"/>
    <w:rsid w:val="00BC618F"/>
    <w:rsid w:val="00BD0F57"/>
    <w:rsid w:val="00BD12C9"/>
    <w:rsid w:val="00BD22C6"/>
    <w:rsid w:val="00BD2426"/>
    <w:rsid w:val="00BD27E4"/>
    <w:rsid w:val="00BD33C5"/>
    <w:rsid w:val="00BD52D5"/>
    <w:rsid w:val="00BD5C90"/>
    <w:rsid w:val="00BD634D"/>
    <w:rsid w:val="00BD7D50"/>
    <w:rsid w:val="00BE2A7F"/>
    <w:rsid w:val="00BE2E93"/>
    <w:rsid w:val="00BE3D3C"/>
    <w:rsid w:val="00BE4B6D"/>
    <w:rsid w:val="00BE58A9"/>
    <w:rsid w:val="00BE6021"/>
    <w:rsid w:val="00BE743B"/>
    <w:rsid w:val="00BE76EA"/>
    <w:rsid w:val="00BE7E46"/>
    <w:rsid w:val="00BF0A53"/>
    <w:rsid w:val="00BF300D"/>
    <w:rsid w:val="00BF31F4"/>
    <w:rsid w:val="00BF3334"/>
    <w:rsid w:val="00BF405E"/>
    <w:rsid w:val="00BF408D"/>
    <w:rsid w:val="00BF4D93"/>
    <w:rsid w:val="00BF6CD6"/>
    <w:rsid w:val="00BF73FD"/>
    <w:rsid w:val="00BF748B"/>
    <w:rsid w:val="00C0498D"/>
    <w:rsid w:val="00C04BA8"/>
    <w:rsid w:val="00C05205"/>
    <w:rsid w:val="00C06E96"/>
    <w:rsid w:val="00C07017"/>
    <w:rsid w:val="00C118AF"/>
    <w:rsid w:val="00C11AD2"/>
    <w:rsid w:val="00C11BF2"/>
    <w:rsid w:val="00C122DF"/>
    <w:rsid w:val="00C1278A"/>
    <w:rsid w:val="00C1412D"/>
    <w:rsid w:val="00C159C3"/>
    <w:rsid w:val="00C15D93"/>
    <w:rsid w:val="00C179A7"/>
    <w:rsid w:val="00C17A90"/>
    <w:rsid w:val="00C17BF4"/>
    <w:rsid w:val="00C230B9"/>
    <w:rsid w:val="00C23C7B"/>
    <w:rsid w:val="00C2683D"/>
    <w:rsid w:val="00C27918"/>
    <w:rsid w:val="00C27A3B"/>
    <w:rsid w:val="00C27F48"/>
    <w:rsid w:val="00C301DD"/>
    <w:rsid w:val="00C30550"/>
    <w:rsid w:val="00C317C1"/>
    <w:rsid w:val="00C3194D"/>
    <w:rsid w:val="00C3288E"/>
    <w:rsid w:val="00C3311B"/>
    <w:rsid w:val="00C3383D"/>
    <w:rsid w:val="00C34496"/>
    <w:rsid w:val="00C34697"/>
    <w:rsid w:val="00C36050"/>
    <w:rsid w:val="00C3626F"/>
    <w:rsid w:val="00C36308"/>
    <w:rsid w:val="00C3642D"/>
    <w:rsid w:val="00C4000D"/>
    <w:rsid w:val="00C4004C"/>
    <w:rsid w:val="00C4065F"/>
    <w:rsid w:val="00C40A4E"/>
    <w:rsid w:val="00C40EEB"/>
    <w:rsid w:val="00C411F2"/>
    <w:rsid w:val="00C417E6"/>
    <w:rsid w:val="00C43159"/>
    <w:rsid w:val="00C438AC"/>
    <w:rsid w:val="00C44125"/>
    <w:rsid w:val="00C44DF3"/>
    <w:rsid w:val="00C46557"/>
    <w:rsid w:val="00C46A59"/>
    <w:rsid w:val="00C46D9F"/>
    <w:rsid w:val="00C473FE"/>
    <w:rsid w:val="00C4770D"/>
    <w:rsid w:val="00C4798C"/>
    <w:rsid w:val="00C51C93"/>
    <w:rsid w:val="00C51D3D"/>
    <w:rsid w:val="00C5261B"/>
    <w:rsid w:val="00C527D3"/>
    <w:rsid w:val="00C52F39"/>
    <w:rsid w:val="00C52FB0"/>
    <w:rsid w:val="00C532E0"/>
    <w:rsid w:val="00C5348B"/>
    <w:rsid w:val="00C57895"/>
    <w:rsid w:val="00C57BCE"/>
    <w:rsid w:val="00C618A6"/>
    <w:rsid w:val="00C62731"/>
    <w:rsid w:val="00C62C7C"/>
    <w:rsid w:val="00C63ABB"/>
    <w:rsid w:val="00C63B05"/>
    <w:rsid w:val="00C64594"/>
    <w:rsid w:val="00C71A22"/>
    <w:rsid w:val="00C71B62"/>
    <w:rsid w:val="00C720EF"/>
    <w:rsid w:val="00C742CE"/>
    <w:rsid w:val="00C748CE"/>
    <w:rsid w:val="00C74FDF"/>
    <w:rsid w:val="00C75897"/>
    <w:rsid w:val="00C761B6"/>
    <w:rsid w:val="00C76A96"/>
    <w:rsid w:val="00C77604"/>
    <w:rsid w:val="00C77D16"/>
    <w:rsid w:val="00C80332"/>
    <w:rsid w:val="00C80A2C"/>
    <w:rsid w:val="00C826D4"/>
    <w:rsid w:val="00C83DBA"/>
    <w:rsid w:val="00C84300"/>
    <w:rsid w:val="00C84788"/>
    <w:rsid w:val="00C84843"/>
    <w:rsid w:val="00C84F9C"/>
    <w:rsid w:val="00C8555A"/>
    <w:rsid w:val="00C855F6"/>
    <w:rsid w:val="00C85ED6"/>
    <w:rsid w:val="00C868B0"/>
    <w:rsid w:val="00C86950"/>
    <w:rsid w:val="00C86E1D"/>
    <w:rsid w:val="00C87313"/>
    <w:rsid w:val="00C912F5"/>
    <w:rsid w:val="00C91344"/>
    <w:rsid w:val="00C9268E"/>
    <w:rsid w:val="00C92778"/>
    <w:rsid w:val="00C9312F"/>
    <w:rsid w:val="00C939D7"/>
    <w:rsid w:val="00C9411A"/>
    <w:rsid w:val="00C94756"/>
    <w:rsid w:val="00C94944"/>
    <w:rsid w:val="00C949E0"/>
    <w:rsid w:val="00C9622B"/>
    <w:rsid w:val="00C96318"/>
    <w:rsid w:val="00C96CDF"/>
    <w:rsid w:val="00C97280"/>
    <w:rsid w:val="00CA00FA"/>
    <w:rsid w:val="00CA1314"/>
    <w:rsid w:val="00CA37F6"/>
    <w:rsid w:val="00CA3B13"/>
    <w:rsid w:val="00CA4672"/>
    <w:rsid w:val="00CA47ED"/>
    <w:rsid w:val="00CA5E07"/>
    <w:rsid w:val="00CA6DC3"/>
    <w:rsid w:val="00CA7F9C"/>
    <w:rsid w:val="00CB026F"/>
    <w:rsid w:val="00CB071C"/>
    <w:rsid w:val="00CB201B"/>
    <w:rsid w:val="00CB2ACA"/>
    <w:rsid w:val="00CB3873"/>
    <w:rsid w:val="00CB5C1A"/>
    <w:rsid w:val="00CB5E97"/>
    <w:rsid w:val="00CB6861"/>
    <w:rsid w:val="00CB7358"/>
    <w:rsid w:val="00CB7929"/>
    <w:rsid w:val="00CC089C"/>
    <w:rsid w:val="00CC09BB"/>
    <w:rsid w:val="00CC2E2A"/>
    <w:rsid w:val="00CC4C5F"/>
    <w:rsid w:val="00CC565B"/>
    <w:rsid w:val="00CC6939"/>
    <w:rsid w:val="00CC6E29"/>
    <w:rsid w:val="00CC7AB7"/>
    <w:rsid w:val="00CD0000"/>
    <w:rsid w:val="00CD070F"/>
    <w:rsid w:val="00CD09C3"/>
    <w:rsid w:val="00CD282F"/>
    <w:rsid w:val="00CD28DA"/>
    <w:rsid w:val="00CD2B17"/>
    <w:rsid w:val="00CD3D9A"/>
    <w:rsid w:val="00CD6029"/>
    <w:rsid w:val="00CD641E"/>
    <w:rsid w:val="00CD6D50"/>
    <w:rsid w:val="00CD74F6"/>
    <w:rsid w:val="00CE07D2"/>
    <w:rsid w:val="00CE084F"/>
    <w:rsid w:val="00CE141D"/>
    <w:rsid w:val="00CE33E5"/>
    <w:rsid w:val="00CE63D7"/>
    <w:rsid w:val="00CE667A"/>
    <w:rsid w:val="00CE6E4A"/>
    <w:rsid w:val="00CE71BC"/>
    <w:rsid w:val="00CE7B0A"/>
    <w:rsid w:val="00CE7F5C"/>
    <w:rsid w:val="00CF00E6"/>
    <w:rsid w:val="00CF2462"/>
    <w:rsid w:val="00CF2D15"/>
    <w:rsid w:val="00CF2E20"/>
    <w:rsid w:val="00CF35DC"/>
    <w:rsid w:val="00CF57B1"/>
    <w:rsid w:val="00CF71F0"/>
    <w:rsid w:val="00CF754D"/>
    <w:rsid w:val="00D0007F"/>
    <w:rsid w:val="00D00E18"/>
    <w:rsid w:val="00D01011"/>
    <w:rsid w:val="00D01339"/>
    <w:rsid w:val="00D0228B"/>
    <w:rsid w:val="00D02846"/>
    <w:rsid w:val="00D032C9"/>
    <w:rsid w:val="00D0338E"/>
    <w:rsid w:val="00D03A91"/>
    <w:rsid w:val="00D03C55"/>
    <w:rsid w:val="00D04A76"/>
    <w:rsid w:val="00D04CF4"/>
    <w:rsid w:val="00D062B7"/>
    <w:rsid w:val="00D06700"/>
    <w:rsid w:val="00D06CCC"/>
    <w:rsid w:val="00D07B88"/>
    <w:rsid w:val="00D12F3A"/>
    <w:rsid w:val="00D132AE"/>
    <w:rsid w:val="00D14512"/>
    <w:rsid w:val="00D151C3"/>
    <w:rsid w:val="00D16CDD"/>
    <w:rsid w:val="00D202A7"/>
    <w:rsid w:val="00D20B7A"/>
    <w:rsid w:val="00D20F99"/>
    <w:rsid w:val="00D20FBC"/>
    <w:rsid w:val="00D21A25"/>
    <w:rsid w:val="00D21EE2"/>
    <w:rsid w:val="00D23CAF"/>
    <w:rsid w:val="00D24036"/>
    <w:rsid w:val="00D251FC"/>
    <w:rsid w:val="00D263FE"/>
    <w:rsid w:val="00D2715C"/>
    <w:rsid w:val="00D3000D"/>
    <w:rsid w:val="00D3281E"/>
    <w:rsid w:val="00D34D8F"/>
    <w:rsid w:val="00D35409"/>
    <w:rsid w:val="00D355B6"/>
    <w:rsid w:val="00D3642C"/>
    <w:rsid w:val="00D36B8C"/>
    <w:rsid w:val="00D3783A"/>
    <w:rsid w:val="00D41661"/>
    <w:rsid w:val="00D43308"/>
    <w:rsid w:val="00D438E3"/>
    <w:rsid w:val="00D441D6"/>
    <w:rsid w:val="00D4514F"/>
    <w:rsid w:val="00D46E50"/>
    <w:rsid w:val="00D47A40"/>
    <w:rsid w:val="00D47E5E"/>
    <w:rsid w:val="00D50783"/>
    <w:rsid w:val="00D50A33"/>
    <w:rsid w:val="00D52D05"/>
    <w:rsid w:val="00D531F6"/>
    <w:rsid w:val="00D5334C"/>
    <w:rsid w:val="00D53791"/>
    <w:rsid w:val="00D551B2"/>
    <w:rsid w:val="00D566A1"/>
    <w:rsid w:val="00D60730"/>
    <w:rsid w:val="00D613B1"/>
    <w:rsid w:val="00D61416"/>
    <w:rsid w:val="00D6333C"/>
    <w:rsid w:val="00D63512"/>
    <w:rsid w:val="00D64125"/>
    <w:rsid w:val="00D64A52"/>
    <w:rsid w:val="00D64AE0"/>
    <w:rsid w:val="00D6551E"/>
    <w:rsid w:val="00D663B4"/>
    <w:rsid w:val="00D665AA"/>
    <w:rsid w:val="00D70005"/>
    <w:rsid w:val="00D70415"/>
    <w:rsid w:val="00D71DEA"/>
    <w:rsid w:val="00D73BA9"/>
    <w:rsid w:val="00D751A7"/>
    <w:rsid w:val="00D80190"/>
    <w:rsid w:val="00D83FA1"/>
    <w:rsid w:val="00D843DF"/>
    <w:rsid w:val="00D84C1A"/>
    <w:rsid w:val="00D85121"/>
    <w:rsid w:val="00D85D5D"/>
    <w:rsid w:val="00D8632E"/>
    <w:rsid w:val="00D872A2"/>
    <w:rsid w:val="00D876E4"/>
    <w:rsid w:val="00D878FF"/>
    <w:rsid w:val="00D87E50"/>
    <w:rsid w:val="00D87F49"/>
    <w:rsid w:val="00D90128"/>
    <w:rsid w:val="00D91FBE"/>
    <w:rsid w:val="00D92A21"/>
    <w:rsid w:val="00D94870"/>
    <w:rsid w:val="00D95360"/>
    <w:rsid w:val="00D95636"/>
    <w:rsid w:val="00D96397"/>
    <w:rsid w:val="00DA1E3E"/>
    <w:rsid w:val="00DA207C"/>
    <w:rsid w:val="00DA2D68"/>
    <w:rsid w:val="00DA34C7"/>
    <w:rsid w:val="00DA3881"/>
    <w:rsid w:val="00DA6EAC"/>
    <w:rsid w:val="00DA71C4"/>
    <w:rsid w:val="00DB01C1"/>
    <w:rsid w:val="00DB0B7C"/>
    <w:rsid w:val="00DB1F9B"/>
    <w:rsid w:val="00DB2325"/>
    <w:rsid w:val="00DB2A05"/>
    <w:rsid w:val="00DB56DB"/>
    <w:rsid w:val="00DB5ACF"/>
    <w:rsid w:val="00DC04ED"/>
    <w:rsid w:val="00DC05DD"/>
    <w:rsid w:val="00DC08C0"/>
    <w:rsid w:val="00DC0D11"/>
    <w:rsid w:val="00DC23DD"/>
    <w:rsid w:val="00DC46F2"/>
    <w:rsid w:val="00DD187C"/>
    <w:rsid w:val="00DD3263"/>
    <w:rsid w:val="00DD3C3F"/>
    <w:rsid w:val="00DD44C8"/>
    <w:rsid w:val="00DD686C"/>
    <w:rsid w:val="00DD772B"/>
    <w:rsid w:val="00DE0366"/>
    <w:rsid w:val="00DE055A"/>
    <w:rsid w:val="00DE09EE"/>
    <w:rsid w:val="00DE0B9C"/>
    <w:rsid w:val="00DE2F86"/>
    <w:rsid w:val="00DE352B"/>
    <w:rsid w:val="00DE3C35"/>
    <w:rsid w:val="00DE4933"/>
    <w:rsid w:val="00DE4F30"/>
    <w:rsid w:val="00DE6B8C"/>
    <w:rsid w:val="00DF0AFE"/>
    <w:rsid w:val="00DF1886"/>
    <w:rsid w:val="00DF1C07"/>
    <w:rsid w:val="00DF1DB6"/>
    <w:rsid w:val="00DF2018"/>
    <w:rsid w:val="00DF22E0"/>
    <w:rsid w:val="00DF2481"/>
    <w:rsid w:val="00DF29E5"/>
    <w:rsid w:val="00DF2C4B"/>
    <w:rsid w:val="00DF39AA"/>
    <w:rsid w:val="00DF5A5F"/>
    <w:rsid w:val="00E0048F"/>
    <w:rsid w:val="00E009B3"/>
    <w:rsid w:val="00E00F4F"/>
    <w:rsid w:val="00E0106E"/>
    <w:rsid w:val="00E01406"/>
    <w:rsid w:val="00E02F2F"/>
    <w:rsid w:val="00E062CE"/>
    <w:rsid w:val="00E06BBF"/>
    <w:rsid w:val="00E100B2"/>
    <w:rsid w:val="00E10320"/>
    <w:rsid w:val="00E10E45"/>
    <w:rsid w:val="00E11B0F"/>
    <w:rsid w:val="00E1371D"/>
    <w:rsid w:val="00E13878"/>
    <w:rsid w:val="00E1432D"/>
    <w:rsid w:val="00E15F06"/>
    <w:rsid w:val="00E17441"/>
    <w:rsid w:val="00E20FE8"/>
    <w:rsid w:val="00E2141B"/>
    <w:rsid w:val="00E22F4C"/>
    <w:rsid w:val="00E25911"/>
    <w:rsid w:val="00E263C9"/>
    <w:rsid w:val="00E27CD7"/>
    <w:rsid w:val="00E30ECE"/>
    <w:rsid w:val="00E311AA"/>
    <w:rsid w:val="00E32166"/>
    <w:rsid w:val="00E3331A"/>
    <w:rsid w:val="00E33B4C"/>
    <w:rsid w:val="00E33C9A"/>
    <w:rsid w:val="00E34B52"/>
    <w:rsid w:val="00E35824"/>
    <w:rsid w:val="00E3607F"/>
    <w:rsid w:val="00E370AB"/>
    <w:rsid w:val="00E40A69"/>
    <w:rsid w:val="00E4289E"/>
    <w:rsid w:val="00E45E96"/>
    <w:rsid w:val="00E46CE2"/>
    <w:rsid w:val="00E50267"/>
    <w:rsid w:val="00E50929"/>
    <w:rsid w:val="00E517E8"/>
    <w:rsid w:val="00E51B34"/>
    <w:rsid w:val="00E51C07"/>
    <w:rsid w:val="00E51E3E"/>
    <w:rsid w:val="00E538A9"/>
    <w:rsid w:val="00E5440A"/>
    <w:rsid w:val="00E57FAE"/>
    <w:rsid w:val="00E605F8"/>
    <w:rsid w:val="00E60B9F"/>
    <w:rsid w:val="00E60C0D"/>
    <w:rsid w:val="00E60DBF"/>
    <w:rsid w:val="00E61999"/>
    <w:rsid w:val="00E6501E"/>
    <w:rsid w:val="00E70A1F"/>
    <w:rsid w:val="00E7110D"/>
    <w:rsid w:val="00E7159F"/>
    <w:rsid w:val="00E72040"/>
    <w:rsid w:val="00E72F20"/>
    <w:rsid w:val="00E74DB4"/>
    <w:rsid w:val="00E7704F"/>
    <w:rsid w:val="00E77747"/>
    <w:rsid w:val="00E77803"/>
    <w:rsid w:val="00E80FE2"/>
    <w:rsid w:val="00E82E46"/>
    <w:rsid w:val="00E844BE"/>
    <w:rsid w:val="00E84A4A"/>
    <w:rsid w:val="00E854A3"/>
    <w:rsid w:val="00E85E10"/>
    <w:rsid w:val="00E86CF3"/>
    <w:rsid w:val="00E87734"/>
    <w:rsid w:val="00E90715"/>
    <w:rsid w:val="00E91AA3"/>
    <w:rsid w:val="00E9276E"/>
    <w:rsid w:val="00E95353"/>
    <w:rsid w:val="00E955C7"/>
    <w:rsid w:val="00E95CC6"/>
    <w:rsid w:val="00E9603B"/>
    <w:rsid w:val="00E96544"/>
    <w:rsid w:val="00E96868"/>
    <w:rsid w:val="00E96938"/>
    <w:rsid w:val="00E97DA3"/>
    <w:rsid w:val="00E97DBA"/>
    <w:rsid w:val="00EA0815"/>
    <w:rsid w:val="00EA0B27"/>
    <w:rsid w:val="00EA10E3"/>
    <w:rsid w:val="00EA1784"/>
    <w:rsid w:val="00EA1957"/>
    <w:rsid w:val="00EA268F"/>
    <w:rsid w:val="00EA2ED6"/>
    <w:rsid w:val="00EA38DA"/>
    <w:rsid w:val="00EA7A24"/>
    <w:rsid w:val="00EB025E"/>
    <w:rsid w:val="00EB3994"/>
    <w:rsid w:val="00EC0486"/>
    <w:rsid w:val="00EC084A"/>
    <w:rsid w:val="00EC1020"/>
    <w:rsid w:val="00EC31E3"/>
    <w:rsid w:val="00EC36B3"/>
    <w:rsid w:val="00EC5A17"/>
    <w:rsid w:val="00EC7764"/>
    <w:rsid w:val="00EC7D6C"/>
    <w:rsid w:val="00ED166E"/>
    <w:rsid w:val="00ED16CE"/>
    <w:rsid w:val="00ED2C93"/>
    <w:rsid w:val="00ED324B"/>
    <w:rsid w:val="00ED78EA"/>
    <w:rsid w:val="00EE0072"/>
    <w:rsid w:val="00EE02B8"/>
    <w:rsid w:val="00EE0730"/>
    <w:rsid w:val="00EE14DE"/>
    <w:rsid w:val="00EE227E"/>
    <w:rsid w:val="00EE2964"/>
    <w:rsid w:val="00EE2974"/>
    <w:rsid w:val="00EE2D12"/>
    <w:rsid w:val="00EE2F24"/>
    <w:rsid w:val="00EE4303"/>
    <w:rsid w:val="00EE4E12"/>
    <w:rsid w:val="00EE54CC"/>
    <w:rsid w:val="00EE6B6D"/>
    <w:rsid w:val="00EE7CD4"/>
    <w:rsid w:val="00EF0B43"/>
    <w:rsid w:val="00EF28C1"/>
    <w:rsid w:val="00EF3E54"/>
    <w:rsid w:val="00EF47E6"/>
    <w:rsid w:val="00EF4EF9"/>
    <w:rsid w:val="00EF5C83"/>
    <w:rsid w:val="00EF62F9"/>
    <w:rsid w:val="00EF6567"/>
    <w:rsid w:val="00F02660"/>
    <w:rsid w:val="00F05025"/>
    <w:rsid w:val="00F050F4"/>
    <w:rsid w:val="00F05A47"/>
    <w:rsid w:val="00F072F8"/>
    <w:rsid w:val="00F1054D"/>
    <w:rsid w:val="00F10CAF"/>
    <w:rsid w:val="00F14CFF"/>
    <w:rsid w:val="00F1543D"/>
    <w:rsid w:val="00F15D3F"/>
    <w:rsid w:val="00F20A8A"/>
    <w:rsid w:val="00F22166"/>
    <w:rsid w:val="00F22299"/>
    <w:rsid w:val="00F240D8"/>
    <w:rsid w:val="00F24BF1"/>
    <w:rsid w:val="00F24F4C"/>
    <w:rsid w:val="00F256D9"/>
    <w:rsid w:val="00F25D0E"/>
    <w:rsid w:val="00F26094"/>
    <w:rsid w:val="00F27438"/>
    <w:rsid w:val="00F278E5"/>
    <w:rsid w:val="00F3084D"/>
    <w:rsid w:val="00F315F4"/>
    <w:rsid w:val="00F35053"/>
    <w:rsid w:val="00F357C3"/>
    <w:rsid w:val="00F35830"/>
    <w:rsid w:val="00F37C4F"/>
    <w:rsid w:val="00F37C93"/>
    <w:rsid w:val="00F40D73"/>
    <w:rsid w:val="00F40F01"/>
    <w:rsid w:val="00F4386F"/>
    <w:rsid w:val="00F4617D"/>
    <w:rsid w:val="00F46B0F"/>
    <w:rsid w:val="00F46BC9"/>
    <w:rsid w:val="00F47EAE"/>
    <w:rsid w:val="00F515CA"/>
    <w:rsid w:val="00F526ED"/>
    <w:rsid w:val="00F53228"/>
    <w:rsid w:val="00F57436"/>
    <w:rsid w:val="00F57B8A"/>
    <w:rsid w:val="00F60611"/>
    <w:rsid w:val="00F60C4C"/>
    <w:rsid w:val="00F61247"/>
    <w:rsid w:val="00F61788"/>
    <w:rsid w:val="00F63003"/>
    <w:rsid w:val="00F63400"/>
    <w:rsid w:val="00F64889"/>
    <w:rsid w:val="00F667AD"/>
    <w:rsid w:val="00F66904"/>
    <w:rsid w:val="00F66FF2"/>
    <w:rsid w:val="00F673DD"/>
    <w:rsid w:val="00F706F0"/>
    <w:rsid w:val="00F70EA7"/>
    <w:rsid w:val="00F7179D"/>
    <w:rsid w:val="00F71A6A"/>
    <w:rsid w:val="00F8035F"/>
    <w:rsid w:val="00F805A7"/>
    <w:rsid w:val="00F80EC6"/>
    <w:rsid w:val="00F81E71"/>
    <w:rsid w:val="00F86854"/>
    <w:rsid w:val="00F86C38"/>
    <w:rsid w:val="00F86DE2"/>
    <w:rsid w:val="00F877AB"/>
    <w:rsid w:val="00F90150"/>
    <w:rsid w:val="00F90690"/>
    <w:rsid w:val="00F9250C"/>
    <w:rsid w:val="00F92D73"/>
    <w:rsid w:val="00F93D5C"/>
    <w:rsid w:val="00F94598"/>
    <w:rsid w:val="00F95024"/>
    <w:rsid w:val="00F9525D"/>
    <w:rsid w:val="00F9547D"/>
    <w:rsid w:val="00F968AD"/>
    <w:rsid w:val="00F977A3"/>
    <w:rsid w:val="00FA0D19"/>
    <w:rsid w:val="00FA1C03"/>
    <w:rsid w:val="00FA4416"/>
    <w:rsid w:val="00FA456E"/>
    <w:rsid w:val="00FA4B3C"/>
    <w:rsid w:val="00FA4B7B"/>
    <w:rsid w:val="00FA5D0B"/>
    <w:rsid w:val="00FA5FFF"/>
    <w:rsid w:val="00FA6540"/>
    <w:rsid w:val="00FA74A0"/>
    <w:rsid w:val="00FA755E"/>
    <w:rsid w:val="00FA7FEC"/>
    <w:rsid w:val="00FB292B"/>
    <w:rsid w:val="00FB5F61"/>
    <w:rsid w:val="00FB66B9"/>
    <w:rsid w:val="00FB6F03"/>
    <w:rsid w:val="00FB732B"/>
    <w:rsid w:val="00FB794A"/>
    <w:rsid w:val="00FB79DD"/>
    <w:rsid w:val="00FC09DD"/>
    <w:rsid w:val="00FC0B16"/>
    <w:rsid w:val="00FC0D10"/>
    <w:rsid w:val="00FC1D66"/>
    <w:rsid w:val="00FC21C1"/>
    <w:rsid w:val="00FC3AC5"/>
    <w:rsid w:val="00FC417C"/>
    <w:rsid w:val="00FC4389"/>
    <w:rsid w:val="00FC5081"/>
    <w:rsid w:val="00FC5FE8"/>
    <w:rsid w:val="00FC6412"/>
    <w:rsid w:val="00FD04B5"/>
    <w:rsid w:val="00FD13F4"/>
    <w:rsid w:val="00FD1E2B"/>
    <w:rsid w:val="00FD254C"/>
    <w:rsid w:val="00FD2561"/>
    <w:rsid w:val="00FD29D1"/>
    <w:rsid w:val="00FD3089"/>
    <w:rsid w:val="00FD3CB7"/>
    <w:rsid w:val="00FD442C"/>
    <w:rsid w:val="00FD57AD"/>
    <w:rsid w:val="00FD65ED"/>
    <w:rsid w:val="00FD7B7F"/>
    <w:rsid w:val="00FE002B"/>
    <w:rsid w:val="00FE017A"/>
    <w:rsid w:val="00FE0B45"/>
    <w:rsid w:val="00FE0DB4"/>
    <w:rsid w:val="00FE1013"/>
    <w:rsid w:val="00FE24AE"/>
    <w:rsid w:val="00FE7859"/>
    <w:rsid w:val="00FE7B1E"/>
    <w:rsid w:val="00FF03D4"/>
    <w:rsid w:val="00FF1C02"/>
    <w:rsid w:val="00FF2819"/>
    <w:rsid w:val="00FF4E6E"/>
    <w:rsid w:val="00FF7218"/>
    <w:rsid w:val="17279E2D"/>
    <w:rsid w:val="1C052ED5"/>
    <w:rsid w:val="50AC296D"/>
    <w:rsid w:val="7B7DBB6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70586DCE"/>
  <w15:chartTrackingRefBased/>
  <w15:docId w15:val="{6A859DAF-E148-4ED3-9900-1D9E3894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08F"/>
    <w:pPr>
      <w:widowControl w:val="0"/>
      <w:spacing w:after="0" w:line="240" w:lineRule="auto"/>
    </w:pPr>
    <w:rPr>
      <w:rFonts w:ascii="Times New Roman" w:eastAsia="Times New Roman" w:hAnsi="Times New Roman" w:cs="Times New Roman"/>
      <w:snapToGrid w:val="0"/>
      <w:kern w:val="28"/>
      <w:sz w:val="22"/>
      <w:szCs w:val="20"/>
      <w14:ligatures w14:val="none"/>
    </w:rPr>
  </w:style>
  <w:style w:type="paragraph" w:styleId="Heading1">
    <w:name w:val="heading 1"/>
    <w:basedOn w:val="Normal"/>
    <w:next w:val="ParaNum"/>
    <w:link w:val="Heading1Char"/>
    <w:qFormat/>
    <w:rsid w:val="0042508F"/>
    <w:pPr>
      <w:keepNext/>
      <w:numPr>
        <w:numId w:val="25"/>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2508F"/>
    <w:pPr>
      <w:keepNext/>
      <w:numPr>
        <w:ilvl w:val="1"/>
        <w:numId w:val="25"/>
      </w:numPr>
      <w:spacing w:after="120"/>
      <w:outlineLvl w:val="1"/>
    </w:pPr>
    <w:rPr>
      <w:b/>
    </w:rPr>
  </w:style>
  <w:style w:type="paragraph" w:styleId="Heading3">
    <w:name w:val="heading 3"/>
    <w:basedOn w:val="Normal"/>
    <w:next w:val="ParaNum"/>
    <w:link w:val="Heading3Char"/>
    <w:qFormat/>
    <w:rsid w:val="0042508F"/>
    <w:pPr>
      <w:keepNext/>
      <w:numPr>
        <w:ilvl w:val="2"/>
        <w:numId w:val="25"/>
      </w:numPr>
      <w:tabs>
        <w:tab w:val="left" w:pos="2160"/>
      </w:tabs>
      <w:spacing w:after="120"/>
      <w:outlineLvl w:val="2"/>
    </w:pPr>
    <w:rPr>
      <w:b/>
    </w:rPr>
  </w:style>
  <w:style w:type="paragraph" w:styleId="Heading4">
    <w:name w:val="heading 4"/>
    <w:basedOn w:val="Normal"/>
    <w:next w:val="ParaNum"/>
    <w:link w:val="Heading4Char"/>
    <w:qFormat/>
    <w:rsid w:val="0042508F"/>
    <w:pPr>
      <w:keepNext/>
      <w:numPr>
        <w:ilvl w:val="3"/>
        <w:numId w:val="25"/>
      </w:numPr>
      <w:tabs>
        <w:tab w:val="left" w:pos="2880"/>
      </w:tabs>
      <w:spacing w:after="120"/>
      <w:outlineLvl w:val="3"/>
    </w:pPr>
    <w:rPr>
      <w:b/>
    </w:rPr>
  </w:style>
  <w:style w:type="paragraph" w:styleId="Heading5">
    <w:name w:val="heading 5"/>
    <w:basedOn w:val="Normal"/>
    <w:next w:val="ParaNum"/>
    <w:link w:val="Heading5Char"/>
    <w:qFormat/>
    <w:rsid w:val="0042508F"/>
    <w:pPr>
      <w:keepNext/>
      <w:numPr>
        <w:ilvl w:val="4"/>
        <w:numId w:val="25"/>
      </w:numPr>
      <w:tabs>
        <w:tab w:val="left" w:pos="3600"/>
      </w:tabs>
      <w:suppressAutoHyphens/>
      <w:spacing w:after="120"/>
      <w:outlineLvl w:val="4"/>
    </w:pPr>
    <w:rPr>
      <w:b/>
    </w:rPr>
  </w:style>
  <w:style w:type="paragraph" w:styleId="Heading6">
    <w:name w:val="heading 6"/>
    <w:basedOn w:val="Normal"/>
    <w:next w:val="ParaNum"/>
    <w:link w:val="Heading6Char"/>
    <w:qFormat/>
    <w:rsid w:val="0042508F"/>
    <w:pPr>
      <w:numPr>
        <w:ilvl w:val="5"/>
        <w:numId w:val="25"/>
      </w:numPr>
      <w:tabs>
        <w:tab w:val="left" w:pos="4320"/>
      </w:tabs>
      <w:spacing w:after="120"/>
      <w:outlineLvl w:val="5"/>
    </w:pPr>
    <w:rPr>
      <w:b/>
    </w:rPr>
  </w:style>
  <w:style w:type="paragraph" w:styleId="Heading7">
    <w:name w:val="heading 7"/>
    <w:basedOn w:val="Normal"/>
    <w:next w:val="ParaNum"/>
    <w:link w:val="Heading7Char"/>
    <w:qFormat/>
    <w:rsid w:val="0042508F"/>
    <w:pPr>
      <w:numPr>
        <w:ilvl w:val="6"/>
        <w:numId w:val="25"/>
      </w:numPr>
      <w:tabs>
        <w:tab w:val="left" w:pos="5040"/>
      </w:tabs>
      <w:spacing w:after="120"/>
      <w:ind w:left="5040" w:hanging="720"/>
      <w:outlineLvl w:val="6"/>
    </w:pPr>
    <w:rPr>
      <w:b/>
    </w:rPr>
  </w:style>
  <w:style w:type="paragraph" w:styleId="Heading8">
    <w:name w:val="heading 8"/>
    <w:basedOn w:val="Normal"/>
    <w:next w:val="ParaNum"/>
    <w:link w:val="Heading8Char"/>
    <w:qFormat/>
    <w:rsid w:val="0042508F"/>
    <w:pPr>
      <w:numPr>
        <w:ilvl w:val="7"/>
        <w:numId w:val="25"/>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2508F"/>
    <w:pPr>
      <w:numPr>
        <w:ilvl w:val="8"/>
        <w:numId w:val="25"/>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4250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508F"/>
  </w:style>
  <w:style w:type="paragraph" w:customStyle="1" w:styleId="LOIInq-Level2">
    <w:name w:val="LOI Inq. - Level 2"/>
    <w:basedOn w:val="Normal"/>
    <w:autoRedefine/>
    <w:qFormat/>
    <w:rsid w:val="00EA0815"/>
    <w:pPr>
      <w:spacing w:after="120"/>
    </w:pPr>
  </w:style>
  <w:style w:type="paragraph" w:customStyle="1" w:styleId="LOIInqLevel5">
    <w:name w:val="LOI Inq Level 5"/>
    <w:basedOn w:val="LOIInqLevel4"/>
    <w:autoRedefine/>
    <w:qFormat/>
    <w:rsid w:val="00B32319"/>
    <w:pPr>
      <w:numPr>
        <w:ilvl w:val="4"/>
      </w:numPr>
    </w:pPr>
  </w:style>
  <w:style w:type="paragraph" w:customStyle="1" w:styleId="LOIInaLevel6">
    <w:name w:val="LOI Ina Level 6"/>
    <w:basedOn w:val="LOIInqLevel5"/>
    <w:autoRedefine/>
    <w:qFormat/>
    <w:rsid w:val="00EA0815"/>
  </w:style>
  <w:style w:type="paragraph" w:customStyle="1" w:styleId="LOIInqLevel2">
    <w:name w:val="LOI Inq. Level 2"/>
    <w:basedOn w:val="LOIInquiry"/>
    <w:autoRedefine/>
    <w:qFormat/>
    <w:rsid w:val="00616CF2"/>
    <w:pPr>
      <w:numPr>
        <w:ilvl w:val="1"/>
      </w:numPr>
      <w:spacing w:line="240" w:lineRule="auto"/>
    </w:pPr>
  </w:style>
  <w:style w:type="paragraph" w:customStyle="1" w:styleId="LOIinqLevel3">
    <w:name w:val="LOI inq. Level 3"/>
    <w:basedOn w:val="LOIInqLevel2"/>
    <w:autoRedefine/>
    <w:qFormat/>
    <w:rsid w:val="00B32319"/>
    <w:pPr>
      <w:numPr>
        <w:ilvl w:val="2"/>
      </w:numPr>
    </w:pPr>
  </w:style>
  <w:style w:type="paragraph" w:customStyle="1" w:styleId="LOIInqLevel4">
    <w:name w:val="LOI Inq. Level 4"/>
    <w:basedOn w:val="LOIinqLevel3"/>
    <w:autoRedefine/>
    <w:qFormat/>
    <w:rsid w:val="00B32319"/>
    <w:pPr>
      <w:numPr>
        <w:ilvl w:val="3"/>
      </w:numPr>
    </w:pPr>
  </w:style>
  <w:style w:type="paragraph" w:customStyle="1" w:styleId="LOIInquiry">
    <w:name w:val="LOI Inquiry"/>
    <w:autoRedefine/>
    <w:qFormat/>
    <w:rsid w:val="00B32319"/>
    <w:pPr>
      <w:numPr>
        <w:numId w:val="2"/>
      </w:numPr>
      <w:spacing w:after="240"/>
    </w:pPr>
    <w:rPr>
      <w:rFonts w:ascii="Times New Roman" w:eastAsia="Times New Roman" w:hAnsi="Times New Roman" w:cs="Times New Roman"/>
      <w:snapToGrid w:val="0"/>
      <w:kern w:val="28"/>
      <w:sz w:val="22"/>
      <w:szCs w:val="20"/>
      <w14:ligatures w14:val="none"/>
    </w:rPr>
  </w:style>
  <w:style w:type="numbering" w:customStyle="1" w:styleId="LOIInquiriesLevelList">
    <w:name w:val="LOI Inquiries Level List"/>
    <w:basedOn w:val="NoList"/>
    <w:uiPriority w:val="99"/>
    <w:rsid w:val="00B32319"/>
    <w:pPr>
      <w:numPr>
        <w:numId w:val="1"/>
      </w:numPr>
    </w:pPr>
  </w:style>
  <w:style w:type="character" w:customStyle="1" w:styleId="Style2">
    <w:name w:val="Style2"/>
    <w:basedOn w:val="DefaultParagraphFont"/>
    <w:uiPriority w:val="1"/>
    <w:rsid w:val="00B32319"/>
    <w:rPr>
      <w:rFonts w:ascii="Times New Roman" w:hAnsi="Times New Roman"/>
      <w:sz w:val="22"/>
    </w:rPr>
  </w:style>
  <w:style w:type="paragraph" w:customStyle="1" w:styleId="Inquiryheader">
    <w:name w:val="Inquiry header"/>
    <w:autoRedefine/>
    <w:qFormat/>
    <w:rsid w:val="00B32319"/>
    <w:pPr>
      <w:autoSpaceDE w:val="0"/>
      <w:autoSpaceDN w:val="0"/>
      <w:adjustRightInd w:val="0"/>
      <w:spacing w:after="120" w:line="240" w:lineRule="auto"/>
    </w:pPr>
    <w:rPr>
      <w:rFonts w:ascii="Times New Roman" w:hAnsi="Times New Roman" w:cs="Times New Roman"/>
      <w:b/>
      <w:bCs/>
      <w:color w:val="000000"/>
      <w:kern w:val="0"/>
      <w:u w:val="single"/>
      <w14:ligatures w14:val="none"/>
    </w:rPr>
  </w:style>
  <w:style w:type="paragraph" w:customStyle="1" w:styleId="Address">
    <w:name w:val="Address"/>
    <w:qFormat/>
    <w:rsid w:val="00B32319"/>
    <w:pPr>
      <w:spacing w:after="0" w:line="259" w:lineRule="auto"/>
    </w:pPr>
    <w:rPr>
      <w:rFonts w:ascii="Times New Roman" w:eastAsia="Times New Roman" w:hAnsi="Times New Roman" w:cs="Times New Roman"/>
      <w:snapToGrid w:val="0"/>
      <w:kern w:val="28"/>
      <w:sz w:val="22"/>
      <w:szCs w:val="20"/>
      <w14:ligatures w14:val="none"/>
    </w:rPr>
  </w:style>
  <w:style w:type="paragraph" w:customStyle="1" w:styleId="CertifiedMail">
    <w:name w:val="Certified Mail"/>
    <w:next w:val="Address"/>
    <w:qFormat/>
    <w:rsid w:val="00B32319"/>
    <w:pPr>
      <w:spacing w:after="0" w:line="259" w:lineRule="auto"/>
    </w:pPr>
    <w:rPr>
      <w:rFonts w:ascii="Times New Roman" w:eastAsia="Times New Roman" w:hAnsi="Times New Roman" w:cs="Times New Roman"/>
      <w:b/>
      <w:bCs/>
      <w:snapToGrid w:val="0"/>
      <w:kern w:val="28"/>
      <w:sz w:val="22"/>
      <w:szCs w:val="20"/>
      <w:u w:val="single"/>
      <w14:ligatures w14:val="none"/>
    </w:rPr>
  </w:style>
  <w:style w:type="paragraph" w:customStyle="1" w:styleId="Default">
    <w:name w:val="Default"/>
    <w:rsid w:val="00B32319"/>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LOIsubpara">
    <w:name w:val="LOI subpara"/>
    <w:basedOn w:val="Normal"/>
    <w:autoRedefine/>
    <w:rsid w:val="00B32319"/>
    <w:pPr>
      <w:ind w:left="720"/>
    </w:pPr>
  </w:style>
  <w:style w:type="character" w:customStyle="1" w:styleId="normaltextrun">
    <w:name w:val="normaltextrun"/>
    <w:basedOn w:val="DefaultParagraphFont"/>
    <w:rsid w:val="00B32319"/>
  </w:style>
  <w:style w:type="character" w:customStyle="1" w:styleId="cf01">
    <w:name w:val="cf01"/>
    <w:basedOn w:val="DefaultParagraphFont"/>
    <w:rsid w:val="00B32319"/>
    <w:rPr>
      <w:rFonts w:ascii="Segoe UI" w:hAnsi="Segoe UI" w:cs="Segoe UI" w:hint="default"/>
      <w:sz w:val="18"/>
      <w:szCs w:val="18"/>
    </w:rPr>
  </w:style>
  <w:style w:type="character" w:customStyle="1" w:styleId="cf11">
    <w:name w:val="cf11"/>
    <w:basedOn w:val="DefaultParagraphFont"/>
    <w:rsid w:val="00B32319"/>
    <w:rPr>
      <w:rFonts w:ascii="Segoe UI" w:hAnsi="Segoe UI" w:cs="Segoe UI" w:hint="default"/>
      <w:sz w:val="18"/>
      <w:szCs w:val="18"/>
    </w:rPr>
  </w:style>
  <w:style w:type="character" w:customStyle="1" w:styleId="eop">
    <w:name w:val="eop"/>
    <w:basedOn w:val="DefaultParagraphFont"/>
    <w:rsid w:val="00B32319"/>
  </w:style>
  <w:style w:type="character" w:customStyle="1" w:styleId="advancedproofingissue">
    <w:name w:val="advancedproofingissue"/>
    <w:basedOn w:val="DefaultParagraphFont"/>
    <w:rsid w:val="00B32319"/>
  </w:style>
  <w:style w:type="paragraph" w:customStyle="1" w:styleId="paragraph">
    <w:name w:val="paragraph"/>
    <w:basedOn w:val="Normal"/>
    <w:rsid w:val="00B32319"/>
    <w:pPr>
      <w:widowControl/>
      <w:spacing w:before="100" w:beforeAutospacing="1" w:after="100" w:afterAutospacing="1" w:line="278" w:lineRule="auto"/>
    </w:pPr>
    <w:rPr>
      <w:rFonts w:asciiTheme="minorHAnsi" w:hAnsiTheme="minorHAnsi"/>
      <w:snapToGrid/>
      <w:kern w:val="2"/>
      <w:sz w:val="24"/>
      <w:szCs w:val="24"/>
      <w14:ligatures w14:val="standardContextual"/>
    </w:rPr>
  </w:style>
  <w:style w:type="character" w:customStyle="1" w:styleId="contextualspellingandgrammarerror">
    <w:name w:val="contextualspellingandgrammarerror"/>
    <w:basedOn w:val="DefaultParagraphFont"/>
    <w:rsid w:val="00B32319"/>
  </w:style>
  <w:style w:type="paragraph" w:customStyle="1" w:styleId="LOIInqLevel6">
    <w:name w:val="LOI Inq Level 6"/>
    <w:basedOn w:val="LOIInqLevel5"/>
    <w:autoRedefine/>
    <w:qFormat/>
    <w:rsid w:val="00B32319"/>
    <w:pPr>
      <w:numPr>
        <w:ilvl w:val="5"/>
      </w:numPr>
    </w:pPr>
  </w:style>
  <w:style w:type="character" w:customStyle="1" w:styleId="Heading1Char">
    <w:name w:val="Heading 1 Char"/>
    <w:basedOn w:val="DefaultParagraphFont"/>
    <w:link w:val="Heading1"/>
    <w:rsid w:val="00B32319"/>
    <w:rPr>
      <w:rFonts w:ascii="Times New Roman Bold" w:eastAsia="Times New Roman" w:hAnsi="Times New Roman Bold" w:cs="Times New Roman"/>
      <w:b/>
      <w:caps/>
      <w:snapToGrid w:val="0"/>
      <w:kern w:val="28"/>
      <w:sz w:val="22"/>
      <w:szCs w:val="20"/>
      <w14:ligatures w14:val="none"/>
    </w:rPr>
  </w:style>
  <w:style w:type="character" w:customStyle="1" w:styleId="Heading2Char">
    <w:name w:val="Heading 2 Char"/>
    <w:basedOn w:val="DefaultParagraphFont"/>
    <w:link w:val="Heading2"/>
    <w:rsid w:val="00B32319"/>
    <w:rPr>
      <w:rFonts w:ascii="Times New Roman" w:eastAsia="Times New Roman" w:hAnsi="Times New Roman" w:cs="Times New Roman"/>
      <w:b/>
      <w:snapToGrid w:val="0"/>
      <w:kern w:val="28"/>
      <w:sz w:val="22"/>
      <w:szCs w:val="20"/>
      <w14:ligatures w14:val="none"/>
    </w:rPr>
  </w:style>
  <w:style w:type="character" w:customStyle="1" w:styleId="Heading3Char">
    <w:name w:val="Heading 3 Char"/>
    <w:basedOn w:val="DefaultParagraphFont"/>
    <w:link w:val="Heading3"/>
    <w:rsid w:val="00B32319"/>
    <w:rPr>
      <w:rFonts w:ascii="Times New Roman" w:eastAsia="Times New Roman" w:hAnsi="Times New Roman" w:cs="Times New Roman"/>
      <w:b/>
      <w:snapToGrid w:val="0"/>
      <w:kern w:val="28"/>
      <w:sz w:val="22"/>
      <w:szCs w:val="20"/>
      <w14:ligatures w14:val="none"/>
    </w:rPr>
  </w:style>
  <w:style w:type="character" w:customStyle="1" w:styleId="Heading4Char">
    <w:name w:val="Heading 4 Char"/>
    <w:basedOn w:val="DefaultParagraphFont"/>
    <w:link w:val="Heading4"/>
    <w:rsid w:val="00B32319"/>
    <w:rPr>
      <w:rFonts w:ascii="Times New Roman" w:eastAsia="Times New Roman" w:hAnsi="Times New Roman" w:cs="Times New Roman"/>
      <w:b/>
      <w:snapToGrid w:val="0"/>
      <w:kern w:val="28"/>
      <w:sz w:val="22"/>
      <w:szCs w:val="20"/>
      <w14:ligatures w14:val="none"/>
    </w:rPr>
  </w:style>
  <w:style w:type="character" w:customStyle="1" w:styleId="Heading5Char">
    <w:name w:val="Heading 5 Char"/>
    <w:basedOn w:val="DefaultParagraphFont"/>
    <w:link w:val="Heading5"/>
    <w:rsid w:val="00B32319"/>
    <w:rPr>
      <w:rFonts w:ascii="Times New Roman" w:eastAsia="Times New Roman" w:hAnsi="Times New Roman" w:cs="Times New Roman"/>
      <w:b/>
      <w:snapToGrid w:val="0"/>
      <w:kern w:val="28"/>
      <w:sz w:val="22"/>
      <w:szCs w:val="20"/>
      <w14:ligatures w14:val="none"/>
    </w:rPr>
  </w:style>
  <w:style w:type="character" w:customStyle="1" w:styleId="Heading6Char">
    <w:name w:val="Heading 6 Char"/>
    <w:basedOn w:val="DefaultParagraphFont"/>
    <w:link w:val="Heading6"/>
    <w:rsid w:val="00B32319"/>
    <w:rPr>
      <w:rFonts w:ascii="Times New Roman" w:eastAsia="Times New Roman" w:hAnsi="Times New Roman" w:cs="Times New Roman"/>
      <w:b/>
      <w:snapToGrid w:val="0"/>
      <w:kern w:val="28"/>
      <w:sz w:val="22"/>
      <w:szCs w:val="20"/>
      <w14:ligatures w14:val="none"/>
    </w:rPr>
  </w:style>
  <w:style w:type="character" w:customStyle="1" w:styleId="Heading7Char">
    <w:name w:val="Heading 7 Char"/>
    <w:basedOn w:val="DefaultParagraphFont"/>
    <w:link w:val="Heading7"/>
    <w:rsid w:val="00B32319"/>
    <w:rPr>
      <w:rFonts w:ascii="Times New Roman" w:eastAsia="Times New Roman" w:hAnsi="Times New Roman" w:cs="Times New Roman"/>
      <w:b/>
      <w:snapToGrid w:val="0"/>
      <w:kern w:val="28"/>
      <w:sz w:val="22"/>
      <w:szCs w:val="20"/>
      <w14:ligatures w14:val="none"/>
    </w:rPr>
  </w:style>
  <w:style w:type="character" w:customStyle="1" w:styleId="Heading8Char">
    <w:name w:val="Heading 8 Char"/>
    <w:basedOn w:val="DefaultParagraphFont"/>
    <w:link w:val="Heading8"/>
    <w:rsid w:val="00B32319"/>
    <w:rPr>
      <w:rFonts w:ascii="Times New Roman" w:eastAsia="Times New Roman" w:hAnsi="Times New Roman" w:cs="Times New Roman"/>
      <w:b/>
      <w:snapToGrid w:val="0"/>
      <w:kern w:val="28"/>
      <w:sz w:val="22"/>
      <w:szCs w:val="20"/>
      <w14:ligatures w14:val="none"/>
    </w:rPr>
  </w:style>
  <w:style w:type="character" w:customStyle="1" w:styleId="Heading9Char">
    <w:name w:val="Heading 9 Char"/>
    <w:basedOn w:val="DefaultParagraphFont"/>
    <w:link w:val="Heading9"/>
    <w:rsid w:val="00B32319"/>
    <w:rPr>
      <w:rFonts w:ascii="Times New Roman" w:eastAsia="Times New Roman" w:hAnsi="Times New Roman" w:cs="Times New Roman"/>
      <w:b/>
      <w:snapToGrid w:val="0"/>
      <w:kern w:val="28"/>
      <w:sz w:val="22"/>
      <w:szCs w:val="20"/>
      <w14:ligatures w14:val="none"/>
    </w:rPr>
  </w:style>
  <w:style w:type="paragraph" w:styleId="FootnoteText">
    <w:name w:val="footnote text"/>
    <w:aliases w:val="Footnote Text Char1 Char,Footnote Text Char Char Char,rrfootnote Char Char Char,Footnote Text Char1 Char Char Char,Footnote Text Char Char Char Char Char,Footnote Text Char1 Char Char Char Char Char,Footnote Text Char1,fn,Styl,f,fn Char,St"/>
    <w:link w:val="FootnoteTextChar"/>
    <w:rsid w:val="0042508F"/>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1 Char Char,Footnote Text Char Char Char Char,rrfootnote Char Char Char Char,Footnote Text Char1 Char Char Char Char,Footnote Text Char Char Char Char Char Char,Footnote Text Char1 Char Char Char Char Char Char"/>
    <w:basedOn w:val="DefaultParagraphFont"/>
    <w:link w:val="FootnoteText"/>
    <w:rsid w:val="00B32319"/>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B32319"/>
    <w:rPr>
      <w:sz w:val="20"/>
    </w:rPr>
  </w:style>
  <w:style w:type="character" w:customStyle="1" w:styleId="CommentTextChar">
    <w:name w:val="Comment Text Char"/>
    <w:basedOn w:val="DefaultParagraphFont"/>
    <w:link w:val="CommentText"/>
    <w:uiPriority w:val="99"/>
    <w:rsid w:val="00B32319"/>
    <w:rPr>
      <w:rFonts w:ascii="Times New Roman" w:eastAsia="Times New Roman" w:hAnsi="Times New Roman" w:cs="Times New Roman"/>
      <w:snapToGrid w:val="0"/>
      <w:kern w:val="28"/>
      <w:sz w:val="20"/>
      <w:szCs w:val="20"/>
      <w14:ligatures w14:val="none"/>
    </w:rPr>
  </w:style>
  <w:style w:type="paragraph" w:styleId="Header">
    <w:name w:val="header"/>
    <w:basedOn w:val="Normal"/>
    <w:link w:val="HeaderChar"/>
    <w:autoRedefine/>
    <w:rsid w:val="0042508F"/>
    <w:pPr>
      <w:tabs>
        <w:tab w:val="center" w:pos="4680"/>
        <w:tab w:val="right" w:pos="9360"/>
      </w:tabs>
    </w:pPr>
    <w:rPr>
      <w:b/>
    </w:rPr>
  </w:style>
  <w:style w:type="character" w:customStyle="1" w:styleId="HeaderChar">
    <w:name w:val="Header Char"/>
    <w:basedOn w:val="DefaultParagraphFont"/>
    <w:link w:val="Header"/>
    <w:rsid w:val="00330054"/>
    <w:rPr>
      <w:rFonts w:ascii="Times New Roman" w:eastAsia="Times New Roman" w:hAnsi="Times New Roman" w:cs="Times New Roman"/>
      <w:b/>
      <w:snapToGrid w:val="0"/>
      <w:kern w:val="28"/>
      <w:sz w:val="22"/>
      <w:szCs w:val="20"/>
      <w14:ligatures w14:val="none"/>
    </w:rPr>
  </w:style>
  <w:style w:type="paragraph" w:styleId="Footer">
    <w:name w:val="footer"/>
    <w:basedOn w:val="Normal"/>
    <w:link w:val="FooterChar"/>
    <w:uiPriority w:val="99"/>
    <w:rsid w:val="0042508F"/>
    <w:pPr>
      <w:tabs>
        <w:tab w:val="center" w:pos="4320"/>
        <w:tab w:val="right" w:pos="8640"/>
      </w:tabs>
    </w:pPr>
  </w:style>
  <w:style w:type="character" w:customStyle="1" w:styleId="FooterChar">
    <w:name w:val="Footer Char"/>
    <w:link w:val="Footer"/>
    <w:uiPriority w:val="99"/>
    <w:rsid w:val="0042508F"/>
    <w:rPr>
      <w:rFonts w:ascii="Times New Roman" w:eastAsia="Times New Roman" w:hAnsi="Times New Roman" w:cs="Times New Roman"/>
      <w:snapToGrid w:val="0"/>
      <w:kern w:val="28"/>
      <w:sz w:val="22"/>
      <w:szCs w:val="20"/>
      <w14:ligatures w14:val="none"/>
    </w:rPr>
  </w:style>
  <w:style w:type="character" w:styleId="FootnoteReference">
    <w:name w:val="footnote reference"/>
    <w:aliases w:val="Style 12,(NECG) Footnote Reference,Appel note de bas de p,Style 124,Style 4,Style 13,o,fr,Style 3,FR,Style 17,Style 6,Footnote Reference/,Footnote Reference1,Style 7,-E Funotenzeichen,A,Style 20,Style 34,Style 9,callout,Ref,Style 1"/>
    <w:rsid w:val="0042508F"/>
    <w:rPr>
      <w:rFonts w:ascii="Times New Roman" w:hAnsi="Times New Roman"/>
      <w:dstrike w:val="0"/>
      <w:color w:val="auto"/>
      <w:sz w:val="20"/>
      <w:vertAlign w:val="superscript"/>
    </w:rPr>
  </w:style>
  <w:style w:type="character" w:styleId="CommentReference">
    <w:name w:val="annotation reference"/>
    <w:basedOn w:val="DefaultParagraphFont"/>
    <w:uiPriority w:val="99"/>
    <w:semiHidden/>
    <w:unhideWhenUsed/>
    <w:rsid w:val="00B32319"/>
    <w:rPr>
      <w:sz w:val="16"/>
      <w:szCs w:val="16"/>
    </w:rPr>
  </w:style>
  <w:style w:type="paragraph" w:styleId="Title">
    <w:name w:val="Title"/>
    <w:basedOn w:val="Normal"/>
    <w:next w:val="Normal"/>
    <w:link w:val="TitleChar"/>
    <w:uiPriority w:val="10"/>
    <w:qFormat/>
    <w:rsid w:val="00B32319"/>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32319"/>
    <w:rPr>
      <w:rFonts w:asciiTheme="majorHAnsi" w:eastAsiaTheme="majorEastAsia" w:hAnsiTheme="majorHAnsi" w:cstheme="majorBidi"/>
      <w:snapToGrid w:val="0"/>
      <w:spacing w:val="-10"/>
      <w:kern w:val="28"/>
      <w:sz w:val="56"/>
      <w:szCs w:val="56"/>
      <w14:ligatures w14:val="none"/>
    </w:rPr>
  </w:style>
  <w:style w:type="paragraph" w:styleId="BodyText">
    <w:name w:val="Body Text"/>
    <w:basedOn w:val="Normal"/>
    <w:link w:val="BodyTextChar"/>
    <w:rsid w:val="00B32319"/>
    <w:rPr>
      <w:b/>
      <w:u w:val="single"/>
    </w:rPr>
  </w:style>
  <w:style w:type="character" w:customStyle="1" w:styleId="BodyTextChar">
    <w:name w:val="Body Text Char"/>
    <w:basedOn w:val="DefaultParagraphFont"/>
    <w:link w:val="BodyText"/>
    <w:rsid w:val="00B32319"/>
    <w:rPr>
      <w:rFonts w:ascii="Times New Roman" w:eastAsia="Times New Roman" w:hAnsi="Times New Roman" w:cs="Times New Roman"/>
      <w:b/>
      <w:snapToGrid w:val="0"/>
      <w:kern w:val="28"/>
      <w:sz w:val="22"/>
      <w:szCs w:val="20"/>
      <w:u w:val="single"/>
      <w14:ligatures w14:val="none"/>
    </w:rPr>
  </w:style>
  <w:style w:type="paragraph" w:styleId="Subtitle">
    <w:name w:val="Subtitle"/>
    <w:basedOn w:val="Normal"/>
    <w:next w:val="Normal"/>
    <w:link w:val="SubtitleChar"/>
    <w:uiPriority w:val="11"/>
    <w:qFormat/>
    <w:rsid w:val="00B32319"/>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319"/>
    <w:rPr>
      <w:rFonts w:ascii="Times New Roman" w:hAnsi="Times New Roman" w:eastAsiaTheme="majorEastAsia" w:cstheme="majorBidi"/>
      <w:snapToGrid w:val="0"/>
      <w:color w:val="595959" w:themeColor="text1" w:themeTint="A6"/>
      <w:spacing w:val="15"/>
      <w:kern w:val="28"/>
      <w:sz w:val="28"/>
      <w:szCs w:val="28"/>
      <w14:ligatures w14:val="none"/>
    </w:rPr>
  </w:style>
  <w:style w:type="character" w:styleId="Hyperlink">
    <w:name w:val="Hyperlink"/>
    <w:rsid w:val="0042508F"/>
    <w:rPr>
      <w:color w:val="0000FF"/>
      <w:u w:val="single"/>
    </w:rPr>
  </w:style>
  <w:style w:type="character" w:styleId="FollowedHyperlink">
    <w:name w:val="FollowedHyperlink"/>
    <w:basedOn w:val="DefaultParagraphFont"/>
    <w:uiPriority w:val="99"/>
    <w:semiHidden/>
    <w:unhideWhenUsed/>
    <w:rsid w:val="00B32319"/>
    <w:rPr>
      <w:color w:val="96607D" w:themeColor="followedHyperlink"/>
      <w:u w:val="single"/>
    </w:rPr>
  </w:style>
  <w:style w:type="paragraph" w:styleId="NormalWeb">
    <w:name w:val="Normal (Web)"/>
    <w:basedOn w:val="Normal"/>
    <w:uiPriority w:val="99"/>
    <w:semiHidden/>
    <w:unhideWhenUsed/>
    <w:rsid w:val="00B32319"/>
    <w:rPr>
      <w:sz w:val="24"/>
      <w:szCs w:val="24"/>
    </w:rPr>
  </w:style>
  <w:style w:type="paragraph" w:styleId="CommentSubject">
    <w:name w:val="annotation subject"/>
    <w:basedOn w:val="CommentText"/>
    <w:next w:val="CommentText"/>
    <w:link w:val="CommentSubjectChar"/>
    <w:uiPriority w:val="99"/>
    <w:semiHidden/>
    <w:unhideWhenUsed/>
    <w:rsid w:val="00B32319"/>
    <w:rPr>
      <w:b/>
      <w:bCs/>
    </w:rPr>
  </w:style>
  <w:style w:type="character" w:customStyle="1" w:styleId="CommentSubjectChar">
    <w:name w:val="Comment Subject Char"/>
    <w:basedOn w:val="CommentTextChar"/>
    <w:link w:val="CommentSubject"/>
    <w:uiPriority w:val="99"/>
    <w:semiHidden/>
    <w:rsid w:val="00B32319"/>
    <w:rPr>
      <w:rFonts w:ascii="Times New Roman" w:eastAsia="Times New Roman" w:hAnsi="Times New Roman" w:cs="Times New Roman"/>
      <w:b/>
      <w:bCs/>
      <w:snapToGrid w:val="0"/>
      <w:kern w:val="28"/>
      <w:sz w:val="20"/>
      <w:szCs w:val="20"/>
      <w14:ligatures w14:val="none"/>
    </w:rPr>
  </w:style>
  <w:style w:type="paragraph" w:styleId="ListParagraph">
    <w:name w:val="List Paragraph"/>
    <w:basedOn w:val="Normal"/>
    <w:link w:val="ListParagraphChar"/>
    <w:uiPriority w:val="34"/>
    <w:qFormat/>
    <w:rsid w:val="00B32319"/>
    <w:pPr>
      <w:ind w:left="720"/>
      <w:contextualSpacing/>
    </w:pPr>
  </w:style>
  <w:style w:type="character" w:customStyle="1" w:styleId="ListParagraphChar">
    <w:name w:val="List Paragraph Char"/>
    <w:basedOn w:val="DefaultParagraphFont"/>
    <w:link w:val="ListParagraph"/>
    <w:uiPriority w:val="34"/>
    <w:rsid w:val="00B32319"/>
    <w:rPr>
      <w:rFonts w:ascii="Times New Roman" w:eastAsia="Times New Roman" w:hAnsi="Times New Roman" w:cs="Times New Roman"/>
      <w:snapToGrid w:val="0"/>
      <w:kern w:val="28"/>
      <w:sz w:val="22"/>
      <w:szCs w:val="20"/>
      <w14:ligatures w14:val="none"/>
    </w:rPr>
  </w:style>
  <w:style w:type="paragraph" w:styleId="Quote">
    <w:name w:val="Quote"/>
    <w:basedOn w:val="Normal"/>
    <w:next w:val="Normal"/>
    <w:link w:val="QuoteChar"/>
    <w:uiPriority w:val="29"/>
    <w:qFormat/>
    <w:rsid w:val="00B32319"/>
    <w:pPr>
      <w:spacing w:before="160"/>
      <w:jc w:val="center"/>
    </w:pPr>
    <w:rPr>
      <w:i/>
      <w:iCs/>
      <w:color w:val="404040" w:themeColor="text1" w:themeTint="BF"/>
    </w:rPr>
  </w:style>
  <w:style w:type="character" w:customStyle="1" w:styleId="QuoteChar">
    <w:name w:val="Quote Char"/>
    <w:basedOn w:val="DefaultParagraphFont"/>
    <w:link w:val="Quote"/>
    <w:uiPriority w:val="29"/>
    <w:rsid w:val="00B32319"/>
    <w:rPr>
      <w:rFonts w:ascii="Times New Roman" w:eastAsia="Times New Roman" w:hAnsi="Times New Roman" w:cs="Times New Roman"/>
      <w:i/>
      <w:iCs/>
      <w:snapToGrid w:val="0"/>
      <w:color w:val="404040" w:themeColor="text1" w:themeTint="BF"/>
      <w:kern w:val="28"/>
      <w:sz w:val="22"/>
      <w:szCs w:val="20"/>
      <w14:ligatures w14:val="none"/>
    </w:rPr>
  </w:style>
  <w:style w:type="paragraph" w:styleId="IntenseQuote">
    <w:name w:val="Intense Quote"/>
    <w:basedOn w:val="Normal"/>
    <w:next w:val="Normal"/>
    <w:link w:val="IntenseQuoteChar"/>
    <w:uiPriority w:val="30"/>
    <w:qFormat/>
    <w:rsid w:val="00B32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319"/>
    <w:rPr>
      <w:rFonts w:ascii="Times New Roman" w:eastAsia="Times New Roman" w:hAnsi="Times New Roman" w:cs="Times New Roman"/>
      <w:i/>
      <w:iCs/>
      <w:snapToGrid w:val="0"/>
      <w:color w:val="0F4761" w:themeColor="accent1" w:themeShade="BF"/>
      <w:kern w:val="28"/>
      <w:sz w:val="22"/>
      <w:szCs w:val="20"/>
      <w14:ligatures w14:val="none"/>
    </w:rPr>
  </w:style>
  <w:style w:type="character" w:styleId="IntenseEmphasis">
    <w:name w:val="Intense Emphasis"/>
    <w:basedOn w:val="DefaultParagraphFont"/>
    <w:uiPriority w:val="21"/>
    <w:qFormat/>
    <w:rsid w:val="00B32319"/>
    <w:rPr>
      <w:i/>
      <w:iCs/>
      <w:color w:val="0F4761" w:themeColor="accent1" w:themeShade="BF"/>
    </w:rPr>
  </w:style>
  <w:style w:type="character" w:styleId="IntenseReference">
    <w:name w:val="Intense Reference"/>
    <w:basedOn w:val="DefaultParagraphFont"/>
    <w:uiPriority w:val="32"/>
    <w:qFormat/>
    <w:rsid w:val="00B32319"/>
    <w:rPr>
      <w:b/>
      <w:bCs/>
      <w:smallCaps/>
      <w:color w:val="0F4761" w:themeColor="accent1" w:themeShade="BF"/>
      <w:spacing w:val="5"/>
    </w:rPr>
  </w:style>
  <w:style w:type="character" w:styleId="Mention">
    <w:name w:val="Mention"/>
    <w:basedOn w:val="DefaultParagraphFont"/>
    <w:uiPriority w:val="99"/>
    <w:unhideWhenUsed/>
    <w:rsid w:val="00B32319"/>
    <w:rPr>
      <w:color w:val="2B579A"/>
      <w:shd w:val="clear" w:color="auto" w:fill="E1DFDD"/>
    </w:rPr>
  </w:style>
  <w:style w:type="character" w:styleId="UnresolvedMention">
    <w:name w:val="Unresolved Mention"/>
    <w:basedOn w:val="DefaultParagraphFont"/>
    <w:uiPriority w:val="99"/>
    <w:unhideWhenUsed/>
    <w:rsid w:val="00B32319"/>
    <w:rPr>
      <w:color w:val="605E5C"/>
      <w:shd w:val="clear" w:color="auto" w:fill="E1DFDD"/>
    </w:rPr>
  </w:style>
  <w:style w:type="paragraph" w:customStyle="1" w:styleId="ParaNum">
    <w:name w:val="ParaNum"/>
    <w:basedOn w:val="Normal"/>
    <w:link w:val="ParaNumChar"/>
    <w:rsid w:val="0042508F"/>
    <w:pPr>
      <w:numPr>
        <w:numId w:val="3"/>
      </w:numPr>
      <w:tabs>
        <w:tab w:val="clear" w:pos="1080"/>
        <w:tab w:val="num" w:pos="1440"/>
      </w:tabs>
      <w:spacing w:after="120"/>
    </w:pPr>
  </w:style>
  <w:style w:type="paragraph" w:styleId="TOAHeading">
    <w:name w:val="toa heading"/>
    <w:basedOn w:val="Normal"/>
    <w:next w:val="Normal"/>
    <w:semiHidden/>
    <w:rsid w:val="0042508F"/>
    <w:pPr>
      <w:tabs>
        <w:tab w:val="right" w:pos="9360"/>
      </w:tabs>
      <w:suppressAutoHyphens/>
    </w:pPr>
  </w:style>
  <w:style w:type="paragraph" w:customStyle="1" w:styleId="StyleBoldCentered">
    <w:name w:val="Style Bold Centered"/>
    <w:basedOn w:val="Normal"/>
    <w:rsid w:val="0042508F"/>
    <w:pPr>
      <w:jc w:val="center"/>
    </w:pPr>
    <w:rPr>
      <w:rFonts w:ascii="Times New Roman Bold" w:hAnsi="Times New Roman Bold"/>
      <w:b/>
      <w:bCs/>
      <w:caps/>
      <w:szCs w:val="22"/>
    </w:rPr>
  </w:style>
  <w:style w:type="character" w:customStyle="1" w:styleId="ParaNumChar">
    <w:name w:val="ParaNum Char"/>
    <w:link w:val="ParaNum"/>
    <w:locked/>
    <w:rsid w:val="00145705"/>
    <w:rPr>
      <w:rFonts w:ascii="Times New Roman" w:eastAsia="Times New Roman" w:hAnsi="Times New Roman" w:cs="Times New Roman"/>
      <w:snapToGrid w:val="0"/>
      <w:kern w:val="28"/>
      <w:sz w:val="22"/>
      <w:szCs w:val="20"/>
      <w14:ligatures w14:val="none"/>
    </w:rPr>
  </w:style>
  <w:style w:type="character" w:customStyle="1" w:styleId="paragraph-hierarchy">
    <w:name w:val="paragraph-hierarchy"/>
    <w:basedOn w:val="DefaultParagraphFont"/>
    <w:rsid w:val="00145705"/>
  </w:style>
  <w:style w:type="character" w:customStyle="1" w:styleId="paren">
    <w:name w:val="paren"/>
    <w:basedOn w:val="DefaultParagraphFont"/>
    <w:rsid w:val="00145705"/>
  </w:style>
  <w:style w:type="paragraph" w:styleId="Revision">
    <w:name w:val="Revision"/>
    <w:hidden/>
    <w:uiPriority w:val="99"/>
    <w:semiHidden/>
    <w:rsid w:val="00561D49"/>
    <w:pPr>
      <w:spacing w:after="0" w:line="240" w:lineRule="auto"/>
    </w:pPr>
    <w:rPr>
      <w:rFonts w:ascii="Times New Roman" w:eastAsia="Times New Roman" w:hAnsi="Times New Roman" w:cs="Times New Roman"/>
      <w:snapToGrid w:val="0"/>
      <w:kern w:val="28"/>
      <w:sz w:val="22"/>
      <w:szCs w:val="20"/>
      <w14:ligatures w14:val="none"/>
    </w:rPr>
  </w:style>
  <w:style w:type="paragraph" w:customStyle="1" w:styleId="footnotedescription">
    <w:name w:val="footnote description"/>
    <w:next w:val="Normal"/>
    <w:link w:val="footnotedescriptionChar"/>
    <w:hidden/>
    <w:rsid w:val="00AC229D"/>
    <w:pPr>
      <w:spacing w:after="112"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AC229D"/>
    <w:rPr>
      <w:rFonts w:ascii="Times New Roman" w:eastAsia="Times New Roman" w:hAnsi="Times New Roman" w:cs="Times New Roman"/>
      <w:color w:val="000000"/>
      <w:sz w:val="20"/>
    </w:rPr>
  </w:style>
  <w:style w:type="character" w:customStyle="1" w:styleId="footnotemark">
    <w:name w:val="footnote mark"/>
    <w:hidden/>
    <w:rsid w:val="00AC229D"/>
    <w:rPr>
      <w:rFonts w:ascii="Times New Roman" w:eastAsia="Times New Roman" w:hAnsi="Times New Roman" w:cs="Times New Roman"/>
      <w:color w:val="000000"/>
      <w:sz w:val="20"/>
      <w:vertAlign w:val="superscript"/>
    </w:rPr>
  </w:style>
  <w:style w:type="paragraph" w:styleId="EndnoteText">
    <w:name w:val="endnote text"/>
    <w:basedOn w:val="Normal"/>
    <w:link w:val="EndnoteTextChar"/>
    <w:semiHidden/>
    <w:rsid w:val="0042508F"/>
    <w:rPr>
      <w:sz w:val="20"/>
    </w:rPr>
  </w:style>
  <w:style w:type="character" w:customStyle="1" w:styleId="EndnoteTextChar">
    <w:name w:val="Endnote Text Char"/>
    <w:basedOn w:val="DefaultParagraphFont"/>
    <w:link w:val="EndnoteText"/>
    <w:semiHidden/>
    <w:rsid w:val="00D665AA"/>
    <w:rPr>
      <w:rFonts w:ascii="Times New Roman" w:eastAsia="Times New Roman" w:hAnsi="Times New Roman" w:cs="Times New Roman"/>
      <w:snapToGrid w:val="0"/>
      <w:kern w:val="28"/>
      <w:sz w:val="20"/>
      <w:szCs w:val="20"/>
      <w14:ligatures w14:val="none"/>
    </w:rPr>
  </w:style>
  <w:style w:type="character" w:styleId="EndnoteReference">
    <w:name w:val="endnote reference"/>
    <w:semiHidden/>
    <w:rsid w:val="0042508F"/>
    <w:rPr>
      <w:vertAlign w:val="superscript"/>
    </w:rPr>
  </w:style>
  <w:style w:type="paragraph" w:styleId="TOC1">
    <w:name w:val="toc 1"/>
    <w:basedOn w:val="Normal"/>
    <w:next w:val="Normal"/>
    <w:semiHidden/>
    <w:rsid w:val="0042508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2508F"/>
    <w:pPr>
      <w:tabs>
        <w:tab w:val="left" w:pos="720"/>
        <w:tab w:val="right" w:leader="dot" w:pos="9360"/>
      </w:tabs>
      <w:suppressAutoHyphens/>
      <w:ind w:left="720" w:right="720" w:hanging="360"/>
    </w:pPr>
    <w:rPr>
      <w:noProof/>
    </w:rPr>
  </w:style>
  <w:style w:type="paragraph" w:styleId="TOC3">
    <w:name w:val="toc 3"/>
    <w:basedOn w:val="Normal"/>
    <w:next w:val="Normal"/>
    <w:semiHidden/>
    <w:rsid w:val="0042508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2508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2508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2508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2508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2508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2508F"/>
    <w:pPr>
      <w:tabs>
        <w:tab w:val="left" w:pos="3240"/>
        <w:tab w:val="right" w:leader="dot" w:pos="9360"/>
      </w:tabs>
      <w:suppressAutoHyphens/>
      <w:ind w:left="3240" w:hanging="360"/>
    </w:pPr>
    <w:rPr>
      <w:noProof/>
    </w:rPr>
  </w:style>
  <w:style w:type="character" w:customStyle="1" w:styleId="EquationCaption">
    <w:name w:val="_Equation Caption"/>
    <w:rsid w:val="0042508F"/>
  </w:style>
  <w:style w:type="character" w:styleId="PageNumber">
    <w:name w:val="page number"/>
    <w:basedOn w:val="DefaultParagraphFont"/>
    <w:rsid w:val="0042508F"/>
  </w:style>
  <w:style w:type="paragraph" w:styleId="BlockText">
    <w:name w:val="Block Text"/>
    <w:basedOn w:val="Normal"/>
    <w:rsid w:val="0042508F"/>
    <w:pPr>
      <w:spacing w:after="240"/>
      <w:ind w:left="1440" w:right="1440"/>
    </w:pPr>
  </w:style>
  <w:style w:type="paragraph" w:customStyle="1" w:styleId="Paratitle">
    <w:name w:val="Para title"/>
    <w:basedOn w:val="Normal"/>
    <w:rsid w:val="0042508F"/>
    <w:pPr>
      <w:tabs>
        <w:tab w:val="center" w:pos="9270"/>
      </w:tabs>
      <w:spacing w:after="240"/>
    </w:pPr>
    <w:rPr>
      <w:spacing w:val="-2"/>
    </w:rPr>
  </w:style>
  <w:style w:type="paragraph" w:customStyle="1" w:styleId="Bullet">
    <w:name w:val="Bullet"/>
    <w:basedOn w:val="Normal"/>
    <w:rsid w:val="0042508F"/>
    <w:pPr>
      <w:tabs>
        <w:tab w:val="left" w:pos="2160"/>
      </w:tabs>
      <w:spacing w:after="220"/>
      <w:ind w:left="2160" w:hanging="720"/>
    </w:pPr>
  </w:style>
  <w:style w:type="paragraph" w:customStyle="1" w:styleId="TableFormat">
    <w:name w:val="TableFormat"/>
    <w:basedOn w:val="Bullet"/>
    <w:rsid w:val="0042508F"/>
    <w:pPr>
      <w:tabs>
        <w:tab w:val="clear" w:pos="2160"/>
        <w:tab w:val="left" w:pos="5040"/>
      </w:tabs>
      <w:ind w:left="5040" w:hanging="3600"/>
    </w:pPr>
  </w:style>
  <w:style w:type="paragraph" w:customStyle="1" w:styleId="TOCTitle">
    <w:name w:val="TOC Title"/>
    <w:basedOn w:val="Normal"/>
    <w:rsid w:val="0042508F"/>
    <w:pPr>
      <w:spacing w:before="240" w:after="240"/>
      <w:jc w:val="center"/>
    </w:pPr>
    <w:rPr>
      <w:rFonts w:ascii="Times New Roman Bold" w:hAnsi="Times New Roman Bold"/>
      <w:b/>
      <w:caps/>
      <w:spacing w:val="-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Thorsten.Keiter@tuv.co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ccic.com/gywm/jtjj/index.html" TargetMode="External" /><Relationship Id="rId2" Type="http://schemas.openxmlformats.org/officeDocument/2006/relationships/hyperlink" Target="http://en.sasac.gov.cn/sasacaboutus.html" TargetMode="External" /><Relationship Id="rId3" Type="http://schemas.openxmlformats.org/officeDocument/2006/relationships/hyperlink" Target="http://en.sasac.gov.cn/aboutus.htm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