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145705" w:rsidP="00145705" w14:paraId="252B3161" w14:textId="77777777">
      <w:pPr>
        <w:spacing w:before="120"/>
        <w:jc w:val="center"/>
        <w:rPr>
          <w:b/>
        </w:rPr>
      </w:pPr>
      <w:r w:rsidRPr="0070224F">
        <w:rPr>
          <w:rFonts w:ascii="Times New Roman Bold" w:hAnsi="Times New Roman Bold"/>
          <w:b/>
          <w:kern w:val="0"/>
          <w:szCs w:val="22"/>
        </w:rPr>
        <w:t>Before</w:t>
      </w:r>
      <w:r>
        <w:rPr>
          <w:b/>
        </w:rPr>
        <w:t xml:space="preserve"> the</w:t>
      </w:r>
    </w:p>
    <w:p w:rsidR="00145705" w:rsidP="00145705" w14:paraId="05122511" w14:textId="77777777">
      <w:pPr>
        <w:pStyle w:val="StyleBoldCentered"/>
      </w:pPr>
      <w:r>
        <w:t>F</w:t>
      </w:r>
      <w:r>
        <w:rPr>
          <w:caps w:val="0"/>
        </w:rPr>
        <w:t>ederal Communications Commission</w:t>
      </w:r>
    </w:p>
    <w:p w:rsidR="00145705" w:rsidP="00145705" w14:paraId="2424B3F3" w14:textId="77777777">
      <w:pPr>
        <w:pStyle w:val="StyleBoldCentered"/>
      </w:pPr>
      <w:r>
        <w:rPr>
          <w:caps w:val="0"/>
        </w:rPr>
        <w:t>Washington, D.C. 20554</w:t>
      </w:r>
    </w:p>
    <w:p w:rsidR="00145705" w:rsidP="00145705" w14:paraId="50C1BE2F" w14:textId="77777777"/>
    <w:tbl>
      <w:tblPr>
        <w:tblW w:w="0" w:type="auto"/>
        <w:tblLayout w:type="fixed"/>
        <w:tblLook w:val="0000"/>
      </w:tblPr>
      <w:tblGrid>
        <w:gridCol w:w="4698"/>
        <w:gridCol w:w="630"/>
        <w:gridCol w:w="4248"/>
      </w:tblGrid>
      <w:tr w14:paraId="15316C32" w14:textId="77777777" w:rsidTr="3695C6E7">
        <w:tblPrEx>
          <w:tblW w:w="0" w:type="auto"/>
          <w:tblLayout w:type="fixed"/>
          <w:tblLook w:val="0000"/>
        </w:tblPrEx>
        <w:tc>
          <w:tcPr>
            <w:tcW w:w="4698" w:type="dxa"/>
          </w:tcPr>
          <w:p w:rsidR="00145705" w:rsidRPr="00FA4416" w14:paraId="33A9EFC9" w14:textId="77777777">
            <w:pPr>
              <w:tabs>
                <w:tab w:val="center" w:pos="4680"/>
              </w:tabs>
              <w:suppressAutoHyphens/>
              <w:rPr>
                <w:spacing w:val="-2"/>
              </w:rPr>
            </w:pPr>
            <w:r w:rsidRPr="00FA4416">
              <w:rPr>
                <w:spacing w:val="-2"/>
              </w:rPr>
              <w:t>In the Matter of</w:t>
            </w:r>
          </w:p>
          <w:p w:rsidR="00145705" w:rsidRPr="00FA4416" w14:paraId="1960BC47" w14:textId="77777777">
            <w:pPr>
              <w:tabs>
                <w:tab w:val="center" w:pos="4680"/>
              </w:tabs>
              <w:suppressAutoHyphens/>
              <w:rPr>
                <w:spacing w:val="-2"/>
              </w:rPr>
            </w:pPr>
          </w:p>
          <w:p w:rsidR="00145705" w:rsidRPr="00FA4416" w14:paraId="2F23A37F" w14:textId="77777777">
            <w:pPr>
              <w:tabs>
                <w:tab w:val="center" w:pos="4680"/>
              </w:tabs>
              <w:suppressAutoHyphens/>
            </w:pPr>
            <w:r w:rsidRPr="00FA4416">
              <w:t>Telecommunication Technology Labs, CAICT</w:t>
            </w:r>
          </w:p>
          <w:p w:rsidR="00145705" w:rsidRPr="00FA4416" w14:paraId="0543FF5B" w14:textId="77777777">
            <w:pPr>
              <w:tabs>
                <w:tab w:val="center" w:pos="4680"/>
              </w:tabs>
              <w:suppressAutoHyphens/>
            </w:pPr>
            <w:r w:rsidRPr="00FA4416">
              <w:t>Designation No. CN1349</w:t>
            </w:r>
          </w:p>
        </w:tc>
        <w:tc>
          <w:tcPr>
            <w:tcW w:w="630" w:type="dxa"/>
          </w:tcPr>
          <w:p w:rsidR="00145705" w:rsidRPr="00FA4416" w14:paraId="1CA7ECB9" w14:textId="77777777">
            <w:pPr>
              <w:tabs>
                <w:tab w:val="center" w:pos="4680"/>
              </w:tabs>
              <w:suppressAutoHyphens/>
              <w:rPr>
                <w:b/>
                <w:spacing w:val="-2"/>
              </w:rPr>
            </w:pPr>
            <w:r w:rsidRPr="00FA4416">
              <w:rPr>
                <w:b/>
                <w:spacing w:val="-2"/>
              </w:rPr>
              <w:t>)</w:t>
            </w:r>
          </w:p>
          <w:p w:rsidR="00145705" w:rsidRPr="00FA4416" w14:paraId="7131448E" w14:textId="77777777">
            <w:pPr>
              <w:tabs>
                <w:tab w:val="center" w:pos="4680"/>
              </w:tabs>
              <w:suppressAutoHyphens/>
              <w:rPr>
                <w:b/>
                <w:spacing w:val="-2"/>
              </w:rPr>
            </w:pPr>
            <w:r w:rsidRPr="00FA4416">
              <w:rPr>
                <w:b/>
                <w:spacing w:val="-2"/>
              </w:rPr>
              <w:t>)</w:t>
            </w:r>
          </w:p>
          <w:p w:rsidR="00145705" w:rsidRPr="00FA4416" w14:paraId="0A1FE324" w14:textId="77777777">
            <w:pPr>
              <w:tabs>
                <w:tab w:val="center" w:pos="4680"/>
              </w:tabs>
              <w:suppressAutoHyphens/>
              <w:rPr>
                <w:b/>
                <w:spacing w:val="-2"/>
              </w:rPr>
            </w:pPr>
            <w:r w:rsidRPr="00FA4416">
              <w:rPr>
                <w:b/>
                <w:spacing w:val="-2"/>
              </w:rPr>
              <w:t>)</w:t>
            </w:r>
          </w:p>
          <w:p w:rsidR="00145705" w:rsidRPr="00FA4416" w:rsidP="3695C6E7" w14:paraId="247AB79E" w14:textId="77777777">
            <w:pPr>
              <w:tabs>
                <w:tab w:val="center" w:pos="4680"/>
              </w:tabs>
              <w:suppressAutoHyphens/>
              <w:rPr>
                <w:b/>
                <w:bCs/>
                <w:spacing w:val="-2"/>
              </w:rPr>
            </w:pPr>
            <w:r w:rsidRPr="3695C6E7">
              <w:rPr>
                <w:b/>
                <w:bCs/>
                <w:spacing w:val="-2"/>
              </w:rPr>
              <w:t>)</w:t>
            </w:r>
          </w:p>
          <w:p w:rsidR="00145705" w:rsidRPr="00FA4416" w14:paraId="12E2FCB2" w14:textId="77777777">
            <w:pPr>
              <w:tabs>
                <w:tab w:val="center" w:pos="4680"/>
              </w:tabs>
              <w:suppressAutoHyphens/>
              <w:rPr>
                <w:b/>
                <w:spacing w:val="-2"/>
              </w:rPr>
            </w:pPr>
          </w:p>
        </w:tc>
        <w:tc>
          <w:tcPr>
            <w:tcW w:w="4248" w:type="dxa"/>
          </w:tcPr>
          <w:p w:rsidR="00145705" w:rsidRPr="00FA4416" w14:paraId="2904F967" w14:textId="77777777">
            <w:pPr>
              <w:tabs>
                <w:tab w:val="center" w:pos="4680"/>
              </w:tabs>
              <w:suppressAutoHyphens/>
              <w:rPr>
                <w:spacing w:val="-2"/>
              </w:rPr>
            </w:pPr>
          </w:p>
          <w:p w:rsidR="00145705" w:rsidRPr="00FA4416" w14:paraId="3EE0BBDC" w14:textId="77777777">
            <w:pPr>
              <w:pStyle w:val="TOAHeading"/>
              <w:tabs>
                <w:tab w:val="center" w:pos="4680"/>
                <w:tab w:val="clear" w:pos="9360"/>
              </w:tabs>
              <w:rPr>
                <w:spacing w:val="-2"/>
              </w:rPr>
            </w:pPr>
          </w:p>
          <w:p w:rsidR="00145705" w:rsidRPr="00FA4416" w14:paraId="4E93BFC9" w14:textId="77777777">
            <w:pPr>
              <w:tabs>
                <w:tab w:val="center" w:pos="4680"/>
              </w:tabs>
              <w:suppressAutoHyphens/>
              <w:rPr>
                <w:spacing w:val="-2"/>
              </w:rPr>
            </w:pPr>
            <w:r w:rsidRPr="00FA4416">
              <w:rPr>
                <w:spacing w:val="-2"/>
              </w:rPr>
              <w:t>ET Docket No. 25-267</w:t>
            </w:r>
          </w:p>
        </w:tc>
      </w:tr>
    </w:tbl>
    <w:p w:rsidR="00145705" w:rsidP="00145705" w14:paraId="24107C67" w14:textId="55A8877C">
      <w:pPr>
        <w:pStyle w:val="StyleBoldCentered"/>
        <w:widowControl/>
        <w:rPr>
          <w:rFonts w:ascii="Times New Roman" w:hAnsi="Times New Roman"/>
          <w:color w:val="000000"/>
        </w:rPr>
      </w:pPr>
      <w:r>
        <w:rPr>
          <w:rFonts w:ascii="Times New Roman" w:hAnsi="Times New Roman"/>
          <w:color w:val="000000"/>
        </w:rPr>
        <w:t xml:space="preserve">ORDER Withdrawing recognition </w:t>
      </w:r>
    </w:p>
    <w:p w:rsidR="00145705" w:rsidP="00145705" w14:paraId="278144C6" w14:textId="77777777">
      <w:pPr>
        <w:pStyle w:val="StyleBoldCentered"/>
        <w:widowControl/>
      </w:pPr>
      <w:r>
        <w:rPr>
          <w:rFonts w:ascii="Times New Roman" w:hAnsi="Times New Roman"/>
          <w:color w:val="000000"/>
        </w:rPr>
        <w:t>as An accredited Test la</w:t>
      </w:r>
      <w:r>
        <w:t>boratory</w:t>
      </w:r>
    </w:p>
    <w:p w:rsidR="00145705" w:rsidP="00145705" w14:paraId="2538331A" w14:textId="77777777">
      <w:pPr>
        <w:tabs>
          <w:tab w:val="left" w:pos="-720"/>
        </w:tabs>
        <w:suppressAutoHyphens/>
        <w:spacing w:line="227" w:lineRule="auto"/>
        <w:rPr>
          <w:spacing w:val="-2"/>
        </w:rPr>
      </w:pPr>
    </w:p>
    <w:p w:rsidR="00145705" w:rsidP="00145705" w14:paraId="780D37BF" w14:textId="3F064DB5">
      <w:pPr>
        <w:tabs>
          <w:tab w:val="left" w:pos="720"/>
          <w:tab w:val="right" w:pos="9360"/>
        </w:tabs>
        <w:suppressAutoHyphens/>
        <w:spacing w:line="227" w:lineRule="auto"/>
        <w:rPr>
          <w:spacing w:val="-2"/>
        </w:rPr>
      </w:pPr>
      <w:r>
        <w:rPr>
          <w:b/>
          <w:spacing w:val="-2"/>
        </w:rPr>
        <w:t xml:space="preserve">Adopted:  </w:t>
      </w:r>
      <w:r w:rsidR="00BD7D50">
        <w:rPr>
          <w:b/>
          <w:spacing w:val="-2"/>
        </w:rPr>
        <w:t xml:space="preserve">February </w:t>
      </w:r>
      <w:r w:rsidR="00D54016">
        <w:rPr>
          <w:b/>
          <w:spacing w:val="-2"/>
        </w:rPr>
        <w:t>12</w:t>
      </w:r>
      <w:r w:rsidR="00BD7D50">
        <w:rPr>
          <w:b/>
          <w:spacing w:val="-2"/>
        </w:rPr>
        <w:t>, 2026</w:t>
      </w:r>
      <w:r w:rsidRPr="004416F4">
        <w:rPr>
          <w:b/>
          <w:spacing w:val="-2"/>
        </w:rPr>
        <w:tab/>
        <w:t xml:space="preserve">Released:  </w:t>
      </w:r>
      <w:r w:rsidR="00BD7D50">
        <w:rPr>
          <w:b/>
          <w:spacing w:val="-2"/>
        </w:rPr>
        <w:t xml:space="preserve">February </w:t>
      </w:r>
      <w:r w:rsidR="00D54016">
        <w:rPr>
          <w:b/>
          <w:spacing w:val="-2"/>
        </w:rPr>
        <w:t>12</w:t>
      </w:r>
      <w:r w:rsidR="00BD7D50">
        <w:rPr>
          <w:b/>
          <w:spacing w:val="-2"/>
        </w:rPr>
        <w:t>, 2026</w:t>
      </w:r>
    </w:p>
    <w:p w:rsidR="00145705" w:rsidP="00145705" w14:paraId="2E208948" w14:textId="77777777"/>
    <w:p w:rsidR="00145705" w:rsidP="00145705" w14:paraId="313F6267" w14:textId="087E845A">
      <w:pPr>
        <w:rPr>
          <w:spacing w:val="-2"/>
        </w:rPr>
      </w:pPr>
      <w:r>
        <w:t xml:space="preserve">By the </w:t>
      </w:r>
      <w:r w:rsidRPr="018E56C2">
        <w:rPr>
          <w:spacing w:val="-2"/>
        </w:rPr>
        <w:t>Chief</w:t>
      </w:r>
      <w:r w:rsidRPr="006D73F2">
        <w:rPr>
          <w:spacing w:val="-2"/>
          <w:szCs w:val="22"/>
        </w:rPr>
        <w:t xml:space="preserve">, </w:t>
      </w:r>
      <w:r w:rsidRPr="018E56C2">
        <w:rPr>
          <w:spacing w:val="-2"/>
        </w:rPr>
        <w:t>Office of Engineering and Technology:</w:t>
      </w:r>
    </w:p>
    <w:p w:rsidR="00145705" w:rsidP="00145705" w14:paraId="67AEDBB0" w14:textId="77777777">
      <w:pPr>
        <w:rPr>
          <w:spacing w:val="-2"/>
        </w:rPr>
      </w:pPr>
    </w:p>
    <w:p w:rsidR="00145705" w:rsidP="00622505" w14:paraId="3A2ED9B6" w14:textId="3F49BC57">
      <w:pPr>
        <w:pStyle w:val="Heading1"/>
        <w:numPr>
          <w:ilvl w:val="0"/>
          <w:numId w:val="10"/>
        </w:numPr>
        <w:ind w:left="720"/>
      </w:pPr>
      <w:r w:rsidRPr="00622505">
        <w:t>INTRODUCTION</w:t>
      </w:r>
    </w:p>
    <w:p w:rsidR="00145705" w:rsidP="00145705" w14:paraId="3262EEBD" w14:textId="70B11741">
      <w:pPr>
        <w:pStyle w:val="ParaNum"/>
      </w:pPr>
      <w:r>
        <w:t>In this Order, the Office of Engineering and Technology (OET) withdraw</w:t>
      </w:r>
      <w:r w:rsidR="00946354">
        <w:t>s</w:t>
      </w:r>
      <w:r w:rsidR="00DB2A05">
        <w:t xml:space="preserve"> the</w:t>
      </w:r>
      <w:r>
        <w:t xml:space="preserve"> recognition of </w:t>
      </w:r>
      <w:r w:rsidRPr="00FA4416">
        <w:t>Telecommunication Technology Labs CAICT (CTTL or Company)</w:t>
      </w:r>
      <w:r>
        <w:t xml:space="preserve"> as an accredited test laboratory pursuant to section 302(e) of the Communications Act of 1934, as amended (the Act), and section 2.951(d)</w:t>
      </w:r>
      <w:r w:rsidR="008D169B">
        <w:t xml:space="preserve"> </w:t>
      </w:r>
      <w:r>
        <w:t>of the Commission’s rules.</w:t>
      </w:r>
      <w:r>
        <w:rPr>
          <w:rStyle w:val="FootnoteReference"/>
          <w:sz w:val="22"/>
          <w:szCs w:val="22"/>
        </w:rPr>
        <w:footnoteReference w:id="2"/>
      </w:r>
      <w:r>
        <w:t xml:space="preserve">  </w:t>
      </w:r>
    </w:p>
    <w:p w:rsidR="00145705" w:rsidRPr="005E0AFC" w:rsidP="00622505" w14:paraId="186D976A" w14:textId="600159D3">
      <w:pPr>
        <w:pStyle w:val="Heading1"/>
        <w:numPr>
          <w:ilvl w:val="0"/>
          <w:numId w:val="10"/>
        </w:numPr>
        <w:ind w:left="720"/>
        <w:rPr>
          <w:rFonts w:ascii="Times New Roman" w:hAnsi="Times New Roman"/>
          <w:szCs w:val="22"/>
        </w:rPr>
      </w:pPr>
      <w:r w:rsidRPr="005E0AFC">
        <w:rPr>
          <w:rFonts w:ascii="Times New Roman" w:hAnsi="Times New Roman"/>
          <w:szCs w:val="22"/>
        </w:rPr>
        <w:t>BACKGROUND</w:t>
      </w:r>
    </w:p>
    <w:p w:rsidR="00145705" w:rsidP="00145705" w14:paraId="3F566D50" w14:textId="74077B0A">
      <w:pPr>
        <w:pStyle w:val="ParaNum"/>
      </w:pPr>
      <w:r>
        <w:rPr>
          <w:i/>
        </w:rPr>
        <w:t xml:space="preserve">Legal Framework.  </w:t>
      </w:r>
      <w:r>
        <w:t>S</w:t>
      </w:r>
      <w:r w:rsidRPr="00F639F2">
        <w:t>ection 302 of the Act</w:t>
      </w:r>
      <w:r>
        <w:t xml:space="preserve"> authorizes</w:t>
      </w:r>
      <w:r w:rsidRPr="00F639F2">
        <w:t xml:space="preserve"> the </w:t>
      </w:r>
      <w:r>
        <w:t xml:space="preserve">Federal Communications </w:t>
      </w:r>
      <w:r w:rsidRPr="00F639F2">
        <w:t>Commission</w:t>
      </w:r>
      <w:r>
        <w:t xml:space="preserve"> (Commission or FCC)</w:t>
      </w:r>
      <w:r w:rsidRPr="00F639F2">
        <w:t xml:space="preserve"> </w:t>
      </w:r>
      <w:r>
        <w:t>to adopt rules, consistent with the public interest, governing the interference potential of equipment capable of emitting radio frequency (RF) energy.</w:t>
      </w:r>
      <w:r>
        <w:rPr>
          <w:rStyle w:val="FootnoteReference"/>
          <w:sz w:val="22"/>
          <w:szCs w:val="22"/>
        </w:rPr>
        <w:footnoteReference w:id="3"/>
      </w:r>
      <w:r w:rsidRPr="00F639F2">
        <w:t xml:space="preserve"> </w:t>
      </w:r>
      <w:r>
        <w:t xml:space="preserve"> The Act also allows the Commission to authorize the use of private organizations (test labs) to test for compliance with those rules, and to establish appropriate qualifications and standards for such test labs.</w:t>
      </w:r>
      <w:r>
        <w:rPr>
          <w:rStyle w:val="FootnoteReference"/>
          <w:sz w:val="22"/>
          <w:szCs w:val="22"/>
        </w:rPr>
        <w:footnoteReference w:id="4"/>
      </w:r>
      <w:r>
        <w:t xml:space="preserve">  The Commission will not recognize any test lab that fails to meet all of the appropriate standards, including standards that concern the integrity and trustworthiness of the test lab.  </w:t>
      </w:r>
      <w:r w:rsidRPr="005E0AFC">
        <w:rPr>
          <w:szCs w:val="22"/>
        </w:rPr>
        <w:t>T</w:t>
      </w:r>
      <w:r>
        <w:t>he Commission’s rules, in part, “ensure that [test labs] that participate in [the FCC’s] equipment authorization program are not subject to ownership, direction, or control by untrustworthy actors that pose a risk to national security.”</w:t>
      </w:r>
      <w:r>
        <w:rPr>
          <w:rStyle w:val="FootnoteReference"/>
          <w:sz w:val="22"/>
          <w:szCs w:val="22"/>
        </w:rPr>
        <w:footnoteReference w:id="5"/>
      </w:r>
    </w:p>
    <w:p w:rsidR="00145705" w:rsidRPr="005A2D5D" w:rsidP="00145705" w14:paraId="71AC6B8E" w14:textId="0E17893D">
      <w:pPr>
        <w:pStyle w:val="ParaNum"/>
        <w:widowControl/>
      </w:pPr>
      <w:r w:rsidRPr="005E0AFC">
        <w:rPr>
          <w:szCs w:val="22"/>
        </w:rPr>
        <w:t xml:space="preserve">Section </w:t>
      </w:r>
      <w:r w:rsidRPr="00B45560">
        <w:t>2.951(d)</w:t>
      </w:r>
      <w:r w:rsidR="003245B1">
        <w:t>(1</w:t>
      </w:r>
      <w:r w:rsidRPr="00B45560">
        <w:t>)</w:t>
      </w:r>
      <w:r w:rsidRPr="005E0AFC">
        <w:rPr>
          <w:szCs w:val="22"/>
        </w:rPr>
        <w:t xml:space="preserve"> of the Commission’s rules provides that the Commission will withdraw its recognition of any laboratory that </w:t>
      </w:r>
      <w:r>
        <w:t>i</w:t>
      </w:r>
      <w:r w:rsidRPr="004969E2">
        <w:t>s owned by, controlled by, or subject to the direction of a prohibited entity</w:t>
      </w:r>
      <w:r>
        <w:t>,</w:t>
      </w:r>
      <w:r w:rsidRPr="004969E2">
        <w:t xml:space="preserve"> </w:t>
      </w:r>
      <w:r>
        <w:t>as defined by section</w:t>
      </w:r>
      <w:r w:rsidRPr="004969E2">
        <w:t xml:space="preserve"> 2.902</w:t>
      </w:r>
      <w:r>
        <w:t xml:space="preserve"> of the Commission’s rules.</w:t>
      </w:r>
      <w:r>
        <w:rPr>
          <w:rStyle w:val="FootnoteReference"/>
          <w:sz w:val="22"/>
          <w:szCs w:val="22"/>
        </w:rPr>
        <w:footnoteReference w:id="6"/>
      </w:r>
      <w:r w:rsidRPr="005E0AFC">
        <w:rPr>
          <w:szCs w:val="22"/>
        </w:rPr>
        <w:t xml:space="preserve">  Section 2.902 defines “owned by, controlled by, or subject to the direction of” to mean any entity:</w:t>
      </w:r>
    </w:p>
    <w:p w:rsidR="00145705" w:rsidRPr="005E0AFC" w:rsidP="00145705" w14:paraId="7EA70A16" w14:textId="77777777">
      <w:pPr>
        <w:pStyle w:val="ParaNum"/>
        <w:numPr>
          <w:ilvl w:val="0"/>
          <w:numId w:val="0"/>
        </w:numPr>
        <w:ind w:left="360" w:right="360"/>
        <w:jc w:val="both"/>
        <w:rPr>
          <w:snapToGrid/>
          <w:kern w:val="0"/>
          <w:szCs w:val="22"/>
        </w:rPr>
      </w:pPr>
      <w:r>
        <w:rPr>
          <w:rStyle w:val="paren"/>
        </w:rPr>
        <w:t>(</w:t>
      </w:r>
      <w:r>
        <w:rPr>
          <w:rStyle w:val="paragraph-hierarchy"/>
        </w:rPr>
        <w:t>1</w:t>
      </w:r>
      <w:r>
        <w:rPr>
          <w:rStyle w:val="paren"/>
        </w:rPr>
        <w:t>)</w:t>
      </w:r>
      <w:r>
        <w:t xml:space="preserve"> In which any other entity has direct or indirect ownership or control of 10% or more equity, voting interest, or stock;</w:t>
      </w:r>
    </w:p>
    <w:p w:rsidR="00145705" w:rsidP="00A400A4" w14:paraId="693AF696" w14:textId="77777777">
      <w:pPr>
        <w:pStyle w:val="ParaNum"/>
        <w:widowControl/>
        <w:numPr>
          <w:ilvl w:val="0"/>
          <w:numId w:val="0"/>
        </w:numPr>
        <w:ind w:left="360" w:right="360"/>
        <w:jc w:val="both"/>
      </w:pPr>
      <w:r>
        <w:rPr>
          <w:rStyle w:val="paren"/>
        </w:rPr>
        <w:t>(</w:t>
      </w:r>
      <w:r>
        <w:rPr>
          <w:rStyle w:val="paragraph-hierarchy"/>
        </w:rPr>
        <w:t>2</w:t>
      </w:r>
      <w:r>
        <w:rPr>
          <w:rStyle w:val="paren"/>
        </w:rPr>
        <w:t>)</w:t>
      </w:r>
      <w:r>
        <w:t xml:space="preserve"> In which any other entity directly or indirectly possesses or has the power (whether or not exercised) to determine, direct, or decide important matters affecting the subject entity; or</w:t>
      </w:r>
    </w:p>
    <w:p w:rsidR="00145705" w:rsidP="00145705" w14:paraId="1612B76E" w14:textId="77777777">
      <w:pPr>
        <w:pStyle w:val="ParaNum"/>
        <w:numPr>
          <w:ilvl w:val="0"/>
          <w:numId w:val="0"/>
        </w:numPr>
        <w:ind w:left="360" w:right="360"/>
        <w:jc w:val="both"/>
      </w:pPr>
      <w:r>
        <w:rPr>
          <w:rStyle w:val="paren"/>
        </w:rPr>
        <w:t>(</w:t>
      </w:r>
      <w:r>
        <w:rPr>
          <w:rStyle w:val="paragraph-hierarchy"/>
        </w:rPr>
        <w:t>3</w:t>
      </w:r>
      <w:r>
        <w:rPr>
          <w:rStyle w:val="paren"/>
        </w:rPr>
        <w:t>)</w:t>
      </w:r>
      <w:r>
        <w:t xml:space="preserve"> That acts as an agent or representative of another entity or acts in any other capacity at the order or request of another entity or whose activities are directly or indirectly supervised, directed, controlled, financed, or subsidized in whole or in majority part, including being part of a governmental structure or hierarchy.</w:t>
      </w:r>
      <w:r>
        <w:rPr>
          <w:rStyle w:val="FootnoteReference"/>
          <w:sz w:val="22"/>
          <w:szCs w:val="22"/>
        </w:rPr>
        <w:footnoteReference w:id="7"/>
      </w:r>
      <w:r>
        <w:t xml:space="preserve"> </w:t>
      </w:r>
    </w:p>
    <w:p w:rsidR="00145705" w:rsidRPr="009B6F11" w:rsidP="00145705" w14:paraId="6713AFC1" w14:textId="6924AD0B">
      <w:pPr>
        <w:pStyle w:val="ParaNum"/>
        <w:widowControl/>
        <w:numPr>
          <w:ilvl w:val="0"/>
          <w:numId w:val="0"/>
        </w:numPr>
      </w:pPr>
      <w:r>
        <w:t xml:space="preserve">Section 2.902 </w:t>
      </w:r>
      <w:r w:rsidR="00732089">
        <w:t xml:space="preserve">of the Commission’s rules </w:t>
      </w:r>
      <w:r>
        <w:t xml:space="preserve">defines “prohibited entities” to include entities </w:t>
      </w:r>
      <w:r w:rsidRPr="00F21C12">
        <w:t xml:space="preserve">identified as “foreign adversaries” by the </w:t>
      </w:r>
      <w:r w:rsidRPr="005501C1" w:rsidR="005501C1">
        <w:t xml:space="preserve">U.S. </w:t>
      </w:r>
      <w:r w:rsidRPr="00F21C12">
        <w:t xml:space="preserve">Department of Commerce pursuant to </w:t>
      </w:r>
      <w:r w:rsidRPr="003C5B5A">
        <w:t>15 CFR § 791.4</w:t>
      </w:r>
      <w:r>
        <w:t>.</w:t>
      </w:r>
      <w:r>
        <w:rPr>
          <w:rStyle w:val="FootnoteReference"/>
          <w:sz w:val="22"/>
          <w:szCs w:val="22"/>
        </w:rPr>
        <w:footnoteReference w:id="8"/>
      </w:r>
      <w:r w:rsidR="005501C1">
        <w:t xml:space="preserve">  </w:t>
      </w:r>
      <w:r w:rsidRPr="005501C1" w:rsidR="005501C1">
        <w:t xml:space="preserve">The </w:t>
      </w:r>
      <w:r w:rsidR="00732089">
        <w:t xml:space="preserve">U.S. </w:t>
      </w:r>
      <w:r w:rsidRPr="005501C1" w:rsidR="005501C1">
        <w:t xml:space="preserve">Department of Commerce, based on numerous Executive Branch sources, has determined that the </w:t>
      </w:r>
      <w:r w:rsidR="00A54C64">
        <w:t>People’s Republic of China</w:t>
      </w:r>
      <w:r w:rsidR="008C53DC">
        <w:t xml:space="preserve"> (PRC or China)</w:t>
      </w:r>
      <w:r w:rsidRPr="005501C1" w:rsidR="005501C1">
        <w:t xml:space="preserve"> is a foreign adversary.</w:t>
      </w:r>
      <w:r>
        <w:rPr>
          <w:rStyle w:val="FootnoteReference"/>
          <w:sz w:val="22"/>
          <w:szCs w:val="22"/>
        </w:rPr>
        <w:footnoteReference w:id="9"/>
      </w:r>
    </w:p>
    <w:p w:rsidR="006D7970" w:rsidP="00FE1013" w14:paraId="439B9FB1" w14:textId="48749BC4">
      <w:pPr>
        <w:pStyle w:val="ParaNum"/>
      </w:pPr>
      <w:r w:rsidRPr="00CF2E20">
        <w:rPr>
          <w:i/>
        </w:rPr>
        <w:t>Factual Background.</w:t>
      </w:r>
      <w:r w:rsidRPr="00A1315E">
        <w:t xml:space="preserve">  </w:t>
      </w:r>
      <w:r w:rsidR="00A1315E">
        <w:t>CTTL is an accredited test laboratory based in Beijing that</w:t>
      </w:r>
      <w:r w:rsidR="00CA47ED">
        <w:t xml:space="preserve"> </w:t>
      </w:r>
      <w:r w:rsidR="002078E3">
        <w:t>w</w:t>
      </w:r>
      <w:r w:rsidR="00BA0CF4">
        <w:t>as last</w:t>
      </w:r>
      <w:r w:rsidR="00A1315E">
        <w:t xml:space="preserve"> recognized by the FCC to test a wide range of RF devices for compliance with applicable FCC </w:t>
      </w:r>
      <w:r w:rsidR="004244C7">
        <w:t xml:space="preserve">technical </w:t>
      </w:r>
      <w:r w:rsidR="00A1315E">
        <w:t>rules</w:t>
      </w:r>
      <w:r w:rsidR="00BA0CF4">
        <w:t xml:space="preserve"> in July of </w:t>
      </w:r>
      <w:r w:rsidR="004F4477">
        <w:t>2024</w:t>
      </w:r>
      <w:r w:rsidR="00A1315E">
        <w:t>.</w:t>
      </w:r>
      <w:r>
        <w:rPr>
          <w:rStyle w:val="FootnoteReference"/>
          <w:sz w:val="22"/>
          <w:szCs w:val="22"/>
        </w:rPr>
        <w:footnoteReference w:id="10"/>
      </w:r>
      <w:r w:rsidR="00A1315E">
        <w:t xml:space="preserve">  </w:t>
      </w:r>
      <w:r w:rsidRPr="00A10EB0" w:rsidR="00A10EB0">
        <w:t>Since its initial accreditation in 2007, CTTL has performed testing that contributed to thousands of equipment certifications.</w:t>
      </w:r>
      <w:r w:rsidR="00D3783A">
        <w:t xml:space="preserve">  </w:t>
      </w:r>
      <w:r w:rsidRPr="00D3783A" w:rsidR="00D3783A">
        <w:t>CTTL</w:t>
      </w:r>
      <w:r w:rsidR="00D3783A">
        <w:t xml:space="preserve"> </w:t>
      </w:r>
      <w:r w:rsidRPr="00D3783A" w:rsidR="00D3783A">
        <w:t>is also a department within the China Academy of Information and Communications Technology (CAICT).</w:t>
      </w:r>
      <w:r>
        <w:rPr>
          <w:rStyle w:val="FootnoteReference"/>
          <w:sz w:val="22"/>
          <w:szCs w:val="22"/>
        </w:rPr>
        <w:footnoteReference w:id="11"/>
      </w:r>
      <w:r w:rsidRPr="00D3783A" w:rsidR="00D3783A">
        <w:t xml:space="preserve">  CAICT is a “scientific research institute directly under the Ministry of Industry and Information Technology (MIIT),”</w:t>
      </w:r>
      <w:r>
        <w:rPr>
          <w:rStyle w:val="FootnoteReference"/>
          <w:sz w:val="22"/>
          <w:szCs w:val="22"/>
        </w:rPr>
        <w:footnoteReference w:id="12"/>
      </w:r>
      <w:r w:rsidRPr="00D3783A" w:rsidR="00D3783A">
        <w:t xml:space="preserve"> which itself is an agency under the State Council of the PRC.</w:t>
      </w:r>
      <w:r>
        <w:rPr>
          <w:rStyle w:val="FootnoteReference"/>
          <w:sz w:val="22"/>
          <w:szCs w:val="22"/>
        </w:rPr>
        <w:footnoteReference w:id="13"/>
      </w:r>
      <w:r w:rsidRPr="00D3783A" w:rsidR="00D3783A">
        <w:t xml:space="preserve">  </w:t>
      </w:r>
    </w:p>
    <w:p w:rsidR="00145705" w:rsidRPr="00806155" w:rsidP="003914E1" w14:paraId="597EAE22" w14:textId="339DCC1F">
      <w:pPr>
        <w:pStyle w:val="ParaNum"/>
        <w:rPr>
          <w:snapToGrid/>
        </w:rPr>
      </w:pPr>
      <w:r w:rsidRPr="009129BD">
        <w:t xml:space="preserve">On September 8, 2025, </w:t>
      </w:r>
      <w:r>
        <w:t>OET</w:t>
      </w:r>
      <w:r w:rsidRPr="009129BD">
        <w:t xml:space="preserve"> </w:t>
      </w:r>
      <w:r>
        <w:t xml:space="preserve">provided </w:t>
      </w:r>
      <w:r w:rsidR="0064136A">
        <w:t>CTTL</w:t>
      </w:r>
      <w:r w:rsidR="008D7438">
        <w:t xml:space="preserve"> with </w:t>
      </w:r>
      <w:r w:rsidR="00AD52B2">
        <w:t xml:space="preserve">notice of the Commission’s intent </w:t>
      </w:r>
      <w:r w:rsidR="003F7449">
        <w:t>to commence proceedings concerning</w:t>
      </w:r>
      <w:r w:rsidRPr="00F7179D" w:rsidR="00F7179D">
        <w:t xml:space="preserve"> </w:t>
      </w:r>
      <w:r w:rsidR="001A623F">
        <w:t>the</w:t>
      </w:r>
      <w:r w:rsidR="00490790">
        <w:t xml:space="preserve"> potential withdraw</w:t>
      </w:r>
      <w:r w:rsidR="00254192">
        <w:t>al</w:t>
      </w:r>
      <w:r w:rsidR="00490790">
        <w:t xml:space="preserve"> of </w:t>
      </w:r>
      <w:r w:rsidR="00FE1013">
        <w:t>r</w:t>
      </w:r>
      <w:r w:rsidRPr="00F7179D" w:rsidR="00F7179D">
        <w:t xml:space="preserve">ecognition </w:t>
      </w:r>
      <w:r w:rsidR="00FE1013">
        <w:t xml:space="preserve">of CTTL </w:t>
      </w:r>
      <w:r w:rsidR="00490790">
        <w:t>a</w:t>
      </w:r>
      <w:r w:rsidRPr="00F7179D" w:rsidR="00F7179D">
        <w:t xml:space="preserve">s </w:t>
      </w:r>
      <w:r w:rsidR="00490790">
        <w:t>a</w:t>
      </w:r>
      <w:r w:rsidRPr="00F7179D" w:rsidR="00F7179D">
        <w:t xml:space="preserve">n </w:t>
      </w:r>
      <w:r w:rsidR="00490790">
        <w:t>a</w:t>
      </w:r>
      <w:r w:rsidRPr="00F7179D" w:rsidR="00F7179D">
        <w:t xml:space="preserve">ccredited </w:t>
      </w:r>
      <w:r w:rsidR="00490790">
        <w:t>t</w:t>
      </w:r>
      <w:r w:rsidRPr="00F7179D" w:rsidR="00F7179D">
        <w:t>est</w:t>
      </w:r>
      <w:r w:rsidR="00490790">
        <w:t xml:space="preserve"> l</w:t>
      </w:r>
      <w:r w:rsidRPr="00F7179D" w:rsidR="00F7179D">
        <w:t>aboratory</w:t>
      </w:r>
      <w:r w:rsidR="00771A04">
        <w:t>.</w:t>
      </w:r>
      <w:r>
        <w:rPr>
          <w:rStyle w:val="FootnoteReference"/>
          <w:sz w:val="22"/>
          <w:szCs w:val="22"/>
        </w:rPr>
        <w:footnoteReference w:id="14"/>
      </w:r>
      <w:r w:rsidR="00FE1013">
        <w:t xml:space="preserve">  </w:t>
      </w:r>
      <w:r w:rsidR="006E4D4D">
        <w:t>In t</w:t>
      </w:r>
      <w:r w:rsidR="00910F42">
        <w:t xml:space="preserve">he </w:t>
      </w:r>
      <w:r w:rsidRPr="00806155" w:rsidR="00910F42">
        <w:rPr>
          <w:i/>
        </w:rPr>
        <w:t>Notice</w:t>
      </w:r>
      <w:r w:rsidR="00B0294A">
        <w:t>,</w:t>
      </w:r>
      <w:r w:rsidR="00910F42">
        <w:t xml:space="preserve"> </w:t>
      </w:r>
      <w:r w:rsidR="006E4D4D">
        <w:t>OET tentatively determined that</w:t>
      </w:r>
      <w:r w:rsidR="00110547">
        <w:t xml:space="preserve"> the</w:t>
      </w:r>
      <w:r w:rsidR="00424D19">
        <w:t xml:space="preserve"> Company</w:t>
      </w:r>
      <w:r w:rsidR="00110547">
        <w:t xml:space="preserve"> </w:t>
      </w:r>
      <w:r w:rsidR="00F86854">
        <w:t>is</w:t>
      </w:r>
      <w:r w:rsidRPr="00AA0DAC" w:rsidR="00AA0DAC">
        <w:t xml:space="preserve"> owned by, controlled by, or subject to the direction of a prohibited entity</w:t>
      </w:r>
      <w:r w:rsidR="00110547">
        <w:t>.</w:t>
      </w:r>
      <w:r>
        <w:rPr>
          <w:rStyle w:val="FootnoteReference"/>
          <w:sz w:val="22"/>
          <w:szCs w:val="22"/>
        </w:rPr>
        <w:footnoteReference w:id="15"/>
      </w:r>
      <w:r w:rsidR="002D65F7">
        <w:t xml:space="preserve"> </w:t>
      </w:r>
      <w:r w:rsidR="0014269B">
        <w:t xml:space="preserve"> </w:t>
      </w:r>
      <w:r w:rsidR="00941EFB">
        <w:t xml:space="preserve">Because the PRC controls MIIT, which in turn controls </w:t>
      </w:r>
      <w:r w:rsidR="00941EFB">
        <w:t>CAICT,</w:t>
      </w:r>
      <w:r>
        <w:rPr>
          <w:rStyle w:val="FootnoteReference"/>
          <w:sz w:val="22"/>
          <w:szCs w:val="22"/>
        </w:rPr>
        <w:footnoteReference w:id="16"/>
      </w:r>
      <w:r w:rsidR="00941EFB">
        <w:t xml:space="preserve"> t</w:t>
      </w:r>
      <w:r w:rsidR="003A400A">
        <w:t xml:space="preserve">he </w:t>
      </w:r>
      <w:r w:rsidRPr="00806155" w:rsidR="003A400A">
        <w:rPr>
          <w:i/>
        </w:rPr>
        <w:t>Notice</w:t>
      </w:r>
      <w:r w:rsidR="003A400A">
        <w:t xml:space="preserve"> </w:t>
      </w:r>
      <w:r w:rsidRPr="00FA4416">
        <w:t>tentatively determine</w:t>
      </w:r>
      <w:r w:rsidR="003A400A">
        <w:t>d</w:t>
      </w:r>
      <w:r w:rsidRPr="00FA4416">
        <w:t xml:space="preserve"> that the PRC directly or indirectly has the power</w:t>
      </w:r>
      <w:r w:rsidR="00EA2ED6">
        <w:t xml:space="preserve"> (whether or not exercised)</w:t>
      </w:r>
      <w:r w:rsidRPr="00FA4416">
        <w:t xml:space="preserve"> </w:t>
      </w:r>
      <w:r w:rsidR="004A3AE0">
        <w:t>“</w:t>
      </w:r>
      <w:r w:rsidRPr="00FA4416">
        <w:t>to determine, direct, or decide important matters</w:t>
      </w:r>
      <w:r w:rsidR="004A3AE0">
        <w:t>”</w:t>
      </w:r>
      <w:r w:rsidR="00991787">
        <w:t xml:space="preserve"> </w:t>
      </w:r>
      <w:r w:rsidRPr="00FA4416">
        <w:t>that affect CTTL</w:t>
      </w:r>
      <w:r w:rsidR="00941EFB">
        <w:t>.</w:t>
      </w:r>
      <w:r w:rsidR="009503D8">
        <w:t xml:space="preserve"> </w:t>
      </w:r>
      <w:r w:rsidR="00941EFB">
        <w:t xml:space="preserve"> </w:t>
      </w:r>
      <w:r w:rsidR="001F1F13">
        <w:t xml:space="preserve">OET also tentatively determined that </w:t>
      </w:r>
      <w:r w:rsidRPr="00FA4416">
        <w:t xml:space="preserve">CTTL acts “at the order or request of another entity,” or is an entity “whose activities are </w:t>
      </w:r>
      <w:r w:rsidR="005932EC">
        <w:t xml:space="preserve">directly </w:t>
      </w:r>
      <w:r w:rsidRPr="00FA4416">
        <w:t>or indirectly supervised, directed, controlled, financed, or subsidized in whole or in majority part, including being part of a governmental structure or hierarchy.”</w:t>
      </w:r>
      <w:r>
        <w:rPr>
          <w:rStyle w:val="FootnoteReference"/>
          <w:sz w:val="22"/>
          <w:szCs w:val="22"/>
        </w:rPr>
        <w:footnoteReference w:id="17"/>
      </w:r>
      <w:r w:rsidRPr="00FA4416">
        <w:t xml:space="preserve">  </w:t>
      </w:r>
      <w:r w:rsidR="008D3EFE">
        <w:t>T</w:t>
      </w:r>
      <w:r w:rsidR="00796389">
        <w:t xml:space="preserve">he </w:t>
      </w:r>
      <w:r w:rsidRPr="00806155" w:rsidR="00796389">
        <w:rPr>
          <w:i/>
        </w:rPr>
        <w:t>Notice</w:t>
      </w:r>
      <w:r w:rsidR="00796389">
        <w:t xml:space="preserve"> </w:t>
      </w:r>
      <w:r w:rsidR="00D441D6">
        <w:t xml:space="preserve">thus </w:t>
      </w:r>
      <w:r w:rsidR="00564F13">
        <w:t>tentatively determined that CTTL is</w:t>
      </w:r>
      <w:r w:rsidRPr="00FA4416">
        <w:t xml:space="preserve"> </w:t>
      </w:r>
      <w:r w:rsidRPr="008D3EFE" w:rsidR="008D3EFE">
        <w:t xml:space="preserve">owned by, controlled by, or subject to </w:t>
      </w:r>
      <w:r w:rsidR="00082B62">
        <w:t xml:space="preserve">the </w:t>
      </w:r>
      <w:r w:rsidRPr="00FA4416">
        <w:t xml:space="preserve">direction of </w:t>
      </w:r>
      <w:r w:rsidR="00600744">
        <w:t>the PRC</w:t>
      </w:r>
      <w:r w:rsidR="00C826D4">
        <w:t xml:space="preserve"> (</w:t>
      </w:r>
      <w:r w:rsidR="008D3EFE">
        <w:t>a prohibited entity</w:t>
      </w:r>
      <w:r w:rsidR="00C826D4">
        <w:t>)</w:t>
      </w:r>
      <w:r w:rsidR="00565E9D">
        <w:t xml:space="preserve"> and provided the Company with an opportunity to respond</w:t>
      </w:r>
      <w:r w:rsidR="004E171E">
        <w:t xml:space="preserve"> to </w:t>
      </w:r>
      <w:r w:rsidR="00C57895">
        <w:t>th</w:t>
      </w:r>
      <w:r w:rsidR="00976568">
        <w:t xml:space="preserve">e </w:t>
      </w:r>
      <w:r w:rsidRPr="00806155" w:rsidR="00976568">
        <w:rPr>
          <w:i/>
        </w:rPr>
        <w:t xml:space="preserve">Notice </w:t>
      </w:r>
      <w:r w:rsidR="00674BE1">
        <w:t xml:space="preserve">by October </w:t>
      </w:r>
      <w:r w:rsidR="00F90690">
        <w:t>14, 2025</w:t>
      </w:r>
      <w:r w:rsidRPr="00FA4416">
        <w:t>.</w:t>
      </w:r>
      <w:r>
        <w:rPr>
          <w:rStyle w:val="FootnoteReference"/>
          <w:sz w:val="22"/>
          <w:szCs w:val="22"/>
        </w:rPr>
        <w:footnoteReference w:id="18"/>
      </w:r>
    </w:p>
    <w:p w:rsidR="00145705" w:rsidP="00FA5FFF" w14:paraId="6BEB3081" w14:textId="28F41018">
      <w:pPr>
        <w:pStyle w:val="ParaNum"/>
      </w:pPr>
      <w:r>
        <w:t xml:space="preserve">On October 14, 2025, CTTL submitted </w:t>
      </w:r>
      <w:r w:rsidR="00B96D31">
        <w:t>its</w:t>
      </w:r>
      <w:r>
        <w:t xml:space="preserve"> response </w:t>
      </w:r>
      <w:r w:rsidR="00B96D31">
        <w:t xml:space="preserve">to the </w:t>
      </w:r>
      <w:r w:rsidR="00B96D31">
        <w:rPr>
          <w:i/>
        </w:rPr>
        <w:t>Notice.</w:t>
      </w:r>
      <w:r>
        <w:rPr>
          <w:rStyle w:val="FootnoteReference"/>
          <w:sz w:val="22"/>
          <w:szCs w:val="22"/>
        </w:rPr>
        <w:footnoteReference w:id="19"/>
      </w:r>
      <w:r w:rsidR="00B96D31">
        <w:rPr>
          <w:i/>
        </w:rPr>
        <w:t xml:space="preserve">  </w:t>
      </w:r>
      <w:r w:rsidR="00DA0C1C">
        <w:t xml:space="preserve">CTTL </w:t>
      </w:r>
      <w:r w:rsidR="007F7609">
        <w:t>oppos</w:t>
      </w:r>
      <w:r w:rsidR="0091667B">
        <w:t>ed</w:t>
      </w:r>
      <w:r w:rsidR="007F7609">
        <w:t xml:space="preserve"> the Commission’s </w:t>
      </w:r>
      <w:r w:rsidR="007878A0">
        <w:t xml:space="preserve">action, but </w:t>
      </w:r>
      <w:r w:rsidR="00DA0C1C">
        <w:t>stat</w:t>
      </w:r>
      <w:r w:rsidR="0091667B">
        <w:t>ed</w:t>
      </w:r>
      <w:r w:rsidR="00DA0C1C">
        <w:t xml:space="preserve"> in relevant part</w:t>
      </w:r>
      <w:r w:rsidR="00535BCC">
        <w:t xml:space="preserve"> that it “</w:t>
      </w:r>
      <w:r w:rsidRPr="00535BCC" w:rsidR="00535BCC">
        <w:t xml:space="preserve">is a 100% state-owned institution owned by the People’s Republic of China, jointly established by the China Academy of Information and Communications Technology (CAICT), the Chongqing Economic and Information Technology Commission, and the </w:t>
      </w:r>
      <w:r w:rsidRPr="00535BCC" w:rsidR="00535BCC">
        <w:t>Nan’an</w:t>
      </w:r>
      <w:r w:rsidRPr="00535BCC" w:rsidR="00535BCC">
        <w:t xml:space="preserve"> District People’s Government.</w:t>
      </w:r>
      <w:r w:rsidR="00535BCC">
        <w:t>”</w:t>
      </w:r>
      <w:r>
        <w:rPr>
          <w:rStyle w:val="FootnoteReference"/>
          <w:sz w:val="22"/>
          <w:szCs w:val="22"/>
        </w:rPr>
        <w:footnoteReference w:id="20"/>
      </w:r>
      <w:r w:rsidR="00095E60">
        <w:rPr>
          <w:i/>
        </w:rPr>
        <w:t xml:space="preserve"> </w:t>
      </w:r>
    </w:p>
    <w:p w:rsidR="00D20F99" w:rsidP="00FA5FFF" w14:paraId="47C92065" w14:textId="2236A81B">
      <w:pPr>
        <w:pStyle w:val="ParaNum"/>
      </w:pPr>
      <w:r>
        <w:t>O</w:t>
      </w:r>
      <w:r w:rsidR="00426393">
        <w:t>n</w:t>
      </w:r>
      <w:r w:rsidR="00722AE3">
        <w:t xml:space="preserve"> October 24, 2025,</w:t>
      </w:r>
      <w:r w:rsidR="00C77604">
        <w:t xml:space="preserve"> OET</w:t>
      </w:r>
      <w:r w:rsidRPr="007936AA" w:rsidR="007936AA">
        <w:t xml:space="preserve"> </w:t>
      </w:r>
      <w:r w:rsidR="00AD2001">
        <w:t xml:space="preserve">commenced </w:t>
      </w:r>
      <w:r w:rsidR="003104CE">
        <w:t xml:space="preserve">a </w:t>
      </w:r>
      <w:r w:rsidR="00AD2001">
        <w:t>proceeding to withdraw recognition of CTTL as an accredited test laboratory</w:t>
      </w:r>
      <w:r w:rsidR="0058618C">
        <w:t>.</w:t>
      </w:r>
      <w:r>
        <w:rPr>
          <w:rStyle w:val="FootnoteReference"/>
          <w:sz w:val="22"/>
          <w:szCs w:val="22"/>
        </w:rPr>
        <w:footnoteReference w:id="21"/>
      </w:r>
      <w:r w:rsidR="004E59ED">
        <w:t xml:space="preserve"> </w:t>
      </w:r>
      <w:r w:rsidR="00722AE3">
        <w:t xml:space="preserve"> </w:t>
      </w:r>
      <w:r w:rsidR="00232F77">
        <w:t xml:space="preserve">OET </w:t>
      </w:r>
      <w:r w:rsidR="00675383">
        <w:t xml:space="preserve">considered </w:t>
      </w:r>
      <w:r w:rsidR="008D76D1">
        <w:t xml:space="preserve">the Company’s </w:t>
      </w:r>
      <w:r w:rsidRPr="00A4598E">
        <w:t>Response</w:t>
      </w:r>
      <w:r>
        <w:t xml:space="preserve">, </w:t>
      </w:r>
      <w:r w:rsidR="008F6BEF">
        <w:t xml:space="preserve">including </w:t>
      </w:r>
      <w:r w:rsidR="008B45F9">
        <w:t xml:space="preserve">the Company’s </w:t>
      </w:r>
      <w:r w:rsidR="00CF00E6">
        <w:t xml:space="preserve">opposition to the proceeding and its </w:t>
      </w:r>
      <w:r w:rsidR="00B94EAA">
        <w:t xml:space="preserve">recitation </w:t>
      </w:r>
      <w:r w:rsidR="00531D76">
        <w:t xml:space="preserve">of </w:t>
      </w:r>
      <w:r w:rsidR="009E2D94">
        <w:t xml:space="preserve">a history of </w:t>
      </w:r>
      <w:r w:rsidR="00406690">
        <w:t xml:space="preserve">international </w:t>
      </w:r>
      <w:r w:rsidR="009E2D94">
        <w:t>conformity testing</w:t>
      </w:r>
      <w:r w:rsidR="00406690">
        <w:t xml:space="preserve"> and other related activities</w:t>
      </w:r>
      <w:r w:rsidR="009E2D94">
        <w:t>.</w:t>
      </w:r>
      <w:r>
        <w:rPr>
          <w:rStyle w:val="FootnoteReference"/>
          <w:sz w:val="22"/>
          <w:szCs w:val="22"/>
        </w:rPr>
        <w:footnoteReference w:id="22"/>
      </w:r>
      <w:r w:rsidR="009E2D94">
        <w:t xml:space="preserve">  </w:t>
      </w:r>
      <w:r w:rsidR="008D3C90">
        <w:t>OET also</w:t>
      </w:r>
      <w:r w:rsidR="00680E6E">
        <w:t xml:space="preserve"> </w:t>
      </w:r>
      <w:r w:rsidR="00FA1C03">
        <w:t xml:space="preserve">recited </w:t>
      </w:r>
      <w:r w:rsidR="009E57D7">
        <w:t xml:space="preserve">CTTL’s </w:t>
      </w:r>
      <w:r w:rsidR="004A2EAE">
        <w:t xml:space="preserve">statement </w:t>
      </w:r>
      <w:r w:rsidR="009E57D7">
        <w:t xml:space="preserve">that </w:t>
      </w:r>
      <w:r w:rsidR="00926F72">
        <w:t>the laboratory</w:t>
      </w:r>
      <w:r w:rsidR="009E57D7">
        <w:t xml:space="preserve"> is </w:t>
      </w:r>
      <w:r w:rsidR="00541E0C">
        <w:t>“</w:t>
      </w:r>
      <w:r w:rsidR="009E57D7">
        <w:t>100</w:t>
      </w:r>
      <w:r w:rsidR="00926F72">
        <w:t>% owned by the PRC</w:t>
      </w:r>
      <w:r w:rsidR="007F0F0E">
        <w:t>.</w:t>
      </w:r>
      <w:r w:rsidR="00541E0C">
        <w:t>”</w:t>
      </w:r>
      <w:r>
        <w:rPr>
          <w:rStyle w:val="FootnoteReference"/>
          <w:sz w:val="22"/>
          <w:szCs w:val="22"/>
        </w:rPr>
        <w:footnoteReference w:id="23"/>
      </w:r>
      <w:r w:rsidR="00926F72">
        <w:t xml:space="preserve">  </w:t>
      </w:r>
      <w:r w:rsidR="00004372">
        <w:t>OET</w:t>
      </w:r>
      <w:r w:rsidR="00C44125">
        <w:t xml:space="preserve"> </w:t>
      </w:r>
      <w:r w:rsidRPr="007936AA" w:rsidR="00AD2001">
        <w:t>conclude</w:t>
      </w:r>
      <w:r w:rsidR="00AD2001">
        <w:t>d</w:t>
      </w:r>
      <w:r w:rsidRPr="007936AA" w:rsidR="00AD2001">
        <w:t xml:space="preserve"> that CTTL </w:t>
      </w:r>
      <w:r w:rsidR="00AD2001">
        <w:t>failed to</w:t>
      </w:r>
      <w:r w:rsidRPr="007936AA" w:rsidR="00AD2001">
        <w:t xml:space="preserve"> demonstrate why the Commission should not begin </w:t>
      </w:r>
      <w:r w:rsidR="007A7218">
        <w:t xml:space="preserve">a </w:t>
      </w:r>
      <w:r w:rsidRPr="007936AA" w:rsidR="00AD2001">
        <w:t>proceeding to withdraw recognition</w:t>
      </w:r>
      <w:r w:rsidR="00AD2001">
        <w:t xml:space="preserve"> of the Company</w:t>
      </w:r>
      <w:r w:rsidRPr="007936AA" w:rsidR="00AD2001">
        <w:t xml:space="preserve"> as an accredited test laboratory</w:t>
      </w:r>
      <w:r w:rsidR="003104CE">
        <w:t>.</w:t>
      </w:r>
      <w:r>
        <w:rPr>
          <w:rStyle w:val="FootnoteReference"/>
          <w:sz w:val="22"/>
          <w:szCs w:val="22"/>
        </w:rPr>
        <w:footnoteReference w:id="24"/>
      </w:r>
      <w:r w:rsidR="001A4894">
        <w:t xml:space="preserve">  </w:t>
      </w:r>
      <w:r w:rsidR="0064345F">
        <w:t xml:space="preserve">Accordingly, </w:t>
      </w:r>
      <w:r w:rsidR="00AB014B">
        <w:t>OET initiated a</w:t>
      </w:r>
      <w:r w:rsidR="009F0823">
        <w:t xml:space="preserve"> </w:t>
      </w:r>
      <w:r w:rsidRPr="001B5798" w:rsidR="001B5798">
        <w:t>proceeding pursuant to section 302(e) of the Act and sections 2.951(d) and (e) of the Commission’s rules to reach a final determination on whether to withdraw recognition of CTTL as an accredited test laboratory.</w:t>
      </w:r>
      <w:r>
        <w:rPr>
          <w:szCs w:val="22"/>
          <w:vertAlign w:val="superscript"/>
        </w:rPr>
        <w:footnoteReference w:id="25"/>
      </w:r>
      <w:r w:rsidRPr="001B5798" w:rsidR="001B5798">
        <w:t xml:space="preserve">  </w:t>
      </w:r>
      <w:r w:rsidR="004C7769">
        <w:t xml:space="preserve">The </w:t>
      </w:r>
      <w:r w:rsidRPr="00E51B34" w:rsidR="004C7769">
        <w:rPr>
          <w:i/>
        </w:rPr>
        <w:t>Order Instituting Proceeding</w:t>
      </w:r>
      <w:r w:rsidR="004C7769">
        <w:t xml:space="preserve"> </w:t>
      </w:r>
      <w:r w:rsidR="00FB79DD">
        <w:t>provided</w:t>
      </w:r>
      <w:r w:rsidR="00901B3E">
        <w:t xml:space="preserve"> the Company </w:t>
      </w:r>
      <w:r w:rsidR="00DE4933">
        <w:t xml:space="preserve">an </w:t>
      </w:r>
      <w:r w:rsidR="00901B3E">
        <w:t xml:space="preserve">opportunity to </w:t>
      </w:r>
      <w:r w:rsidR="00A61D12">
        <w:t>file a response</w:t>
      </w:r>
      <w:r w:rsidR="00FD13F4">
        <w:t xml:space="preserve"> within thirty-five</w:t>
      </w:r>
      <w:r w:rsidR="00AC5CFD">
        <w:t xml:space="preserve"> (35)</w:t>
      </w:r>
      <w:r w:rsidR="00FD13F4">
        <w:t xml:space="preserve"> </w:t>
      </w:r>
      <w:r w:rsidR="002E098F">
        <w:t xml:space="preserve">days </w:t>
      </w:r>
      <w:r w:rsidR="00AC5CFD">
        <w:t>after the release of the order,</w:t>
      </w:r>
      <w:r w:rsidR="00A61D12">
        <w:t xml:space="preserve"> </w:t>
      </w:r>
      <w:r w:rsidR="007A3E46">
        <w:t xml:space="preserve">permitting CTTL an </w:t>
      </w:r>
      <w:r w:rsidR="00156427">
        <w:t xml:space="preserve">additional </w:t>
      </w:r>
      <w:r w:rsidR="007A3E46">
        <w:t>opportunity to demonstrate</w:t>
      </w:r>
      <w:r w:rsidR="00525CD0">
        <w:t xml:space="preserve"> why the Commission should not withdraw its recognition</w:t>
      </w:r>
      <w:r w:rsidR="00AA638F">
        <w:t>.</w:t>
      </w:r>
      <w:r>
        <w:rPr>
          <w:rStyle w:val="FootnoteReference"/>
          <w:sz w:val="22"/>
          <w:szCs w:val="22"/>
        </w:rPr>
        <w:footnoteReference w:id="26"/>
      </w:r>
      <w:r w:rsidR="0067788E">
        <w:t xml:space="preserve">  </w:t>
      </w:r>
    </w:p>
    <w:p w:rsidR="00002B52" w:rsidP="005C0D4F" w14:paraId="7DED23E3" w14:textId="3D2891C6">
      <w:pPr>
        <w:pStyle w:val="ParaNum"/>
      </w:pPr>
      <w:r>
        <w:t xml:space="preserve">On November </w:t>
      </w:r>
      <w:r w:rsidR="00C939D7">
        <w:t xml:space="preserve">27, 2025, CTTL </w:t>
      </w:r>
      <w:r w:rsidR="002665F1">
        <w:t xml:space="preserve">filed </w:t>
      </w:r>
      <w:r w:rsidR="008226A7">
        <w:t>its</w:t>
      </w:r>
      <w:r w:rsidR="004D4FAB">
        <w:t xml:space="preserve"> </w:t>
      </w:r>
      <w:r w:rsidR="00C939D7">
        <w:t xml:space="preserve">response to the </w:t>
      </w:r>
      <w:r w:rsidRPr="004D5C07" w:rsidR="00BC618F">
        <w:rPr>
          <w:i/>
        </w:rPr>
        <w:t>Order Instituting Proceeding</w:t>
      </w:r>
      <w:r w:rsidRPr="0020548F" w:rsidR="00C939D7">
        <w:t>.</w:t>
      </w:r>
      <w:r>
        <w:rPr>
          <w:rStyle w:val="FootnoteReference"/>
          <w:sz w:val="22"/>
          <w:szCs w:val="22"/>
        </w:rPr>
        <w:footnoteReference w:id="27"/>
      </w:r>
      <w:r w:rsidR="007252EB">
        <w:t xml:space="preserve">  </w:t>
      </w:r>
      <w:r w:rsidR="00BA285E">
        <w:t>CTTL initially “reiterate[s] that CTTL’s legal entity is the China Academy of Information and Communications Technology (CAICT),</w:t>
      </w:r>
      <w:r w:rsidR="008226A7">
        <w:t xml:space="preserve"> </w:t>
      </w:r>
      <w:r w:rsidR="00BA285E">
        <w:t xml:space="preserve">which is a public institution wholly owned by the People’s </w:t>
      </w:r>
      <w:r w:rsidR="00BA285E">
        <w:t>Republic of China.”</w:t>
      </w:r>
      <w:r>
        <w:rPr>
          <w:rStyle w:val="FootnoteReference"/>
          <w:sz w:val="22"/>
          <w:szCs w:val="22"/>
        </w:rPr>
        <w:footnoteReference w:id="28"/>
      </w:r>
      <w:r w:rsidR="00C30550">
        <w:t xml:space="preserve">  </w:t>
      </w:r>
      <w:r w:rsidR="001C7AB4">
        <w:t>CTTL again note</w:t>
      </w:r>
      <w:r w:rsidR="00EF3E54">
        <w:t>s</w:t>
      </w:r>
      <w:r w:rsidR="001C7AB4">
        <w:t xml:space="preserve"> its </w:t>
      </w:r>
      <w:r w:rsidR="004F635B">
        <w:t xml:space="preserve">broader </w:t>
      </w:r>
      <w:r w:rsidR="001C7AB4">
        <w:t xml:space="preserve">objection </w:t>
      </w:r>
      <w:r w:rsidR="00D751A7">
        <w:t xml:space="preserve">to </w:t>
      </w:r>
      <w:r w:rsidR="007252EB">
        <w:t>the Commission’s</w:t>
      </w:r>
      <w:r w:rsidR="00646893">
        <w:t xml:space="preserve"> </w:t>
      </w:r>
      <w:r w:rsidR="00F256D9">
        <w:t>review of</w:t>
      </w:r>
      <w:r w:rsidR="007252EB">
        <w:t xml:space="preserve"> </w:t>
      </w:r>
      <w:r w:rsidR="00D062B7">
        <w:t>the</w:t>
      </w:r>
      <w:r w:rsidR="00646893">
        <w:t xml:space="preserve"> recognition</w:t>
      </w:r>
      <w:r w:rsidR="007252EB">
        <w:t xml:space="preserve"> </w:t>
      </w:r>
      <w:r w:rsidR="00D062B7">
        <w:t xml:space="preserve">status </w:t>
      </w:r>
      <w:r w:rsidR="007252EB">
        <w:t>of Chinese state-owned laboratories</w:t>
      </w:r>
      <w:r w:rsidR="000A4C29">
        <w:t>,</w:t>
      </w:r>
      <w:r w:rsidR="00360623">
        <w:t xml:space="preserve"> asserting that the action</w:t>
      </w:r>
      <w:r w:rsidR="007252EB">
        <w:t xml:space="preserve"> </w:t>
      </w:r>
      <w:r w:rsidR="00360623">
        <w:t>“</w:t>
      </w:r>
      <w:r w:rsidR="007252EB">
        <w:t>is primarily driven by political considerations rather than the</w:t>
      </w:r>
      <w:r w:rsidR="005C0D4F">
        <w:t xml:space="preserve"> </w:t>
      </w:r>
      <w:r w:rsidR="007252EB">
        <w:t>purported</w:t>
      </w:r>
      <w:r w:rsidR="00360623">
        <w:t xml:space="preserve"> </w:t>
      </w:r>
      <w:r w:rsidR="00383C25">
        <w:t>‘</w:t>
      </w:r>
      <w:r w:rsidR="00360623">
        <w:t>security</w:t>
      </w:r>
      <w:r w:rsidR="00383C25">
        <w:t>’</w:t>
      </w:r>
      <w:r w:rsidR="007252EB">
        <w:t xml:space="preserve"> concerns, and that it is unsupported by any evidence relating to quality or technical competence</w:t>
      </w:r>
      <w:r w:rsidR="009A2B20">
        <w:t>.</w:t>
      </w:r>
      <w:r w:rsidR="00383C25">
        <w:t>”</w:t>
      </w:r>
      <w:r w:rsidRPr="005E0AFC" w:rsidR="009A2B20">
        <w:rPr>
          <w:rStyle w:val="FootnoteReference"/>
          <w:sz w:val="22"/>
          <w:szCs w:val="22"/>
        </w:rPr>
        <w:t xml:space="preserve"> </w:t>
      </w:r>
      <w:r>
        <w:rPr>
          <w:rStyle w:val="FootnoteReference"/>
          <w:sz w:val="22"/>
          <w:szCs w:val="22"/>
        </w:rPr>
        <w:footnoteReference w:id="29"/>
      </w:r>
      <w:r w:rsidRPr="005E0AFC" w:rsidR="00C86E1D">
        <w:rPr>
          <w:rStyle w:val="FootnoteReference"/>
          <w:sz w:val="22"/>
          <w:szCs w:val="22"/>
        </w:rPr>
        <w:t xml:space="preserve"> </w:t>
      </w:r>
      <w:r w:rsidR="0038133D">
        <w:t xml:space="preserve"> </w:t>
      </w:r>
      <w:r w:rsidR="009A2B20">
        <w:t>CTTL</w:t>
      </w:r>
      <w:r w:rsidR="00466602">
        <w:t xml:space="preserve"> contends that the Commission</w:t>
      </w:r>
      <w:r w:rsidR="0038133D">
        <w:t xml:space="preserve"> is </w:t>
      </w:r>
      <w:r w:rsidR="00CE667A">
        <w:t xml:space="preserve">adopting </w:t>
      </w:r>
      <w:r w:rsidR="00C1278A">
        <w:t>“</w:t>
      </w:r>
      <w:r w:rsidR="007252EB">
        <w:t>a discriminatory and stigmatizing approach</w:t>
      </w:r>
      <w:r w:rsidR="008F6DF1">
        <w:t>.</w:t>
      </w:r>
      <w:r w:rsidR="0038133D">
        <w:t>”</w:t>
      </w:r>
      <w:r>
        <w:rPr>
          <w:rStyle w:val="FootnoteReference"/>
          <w:sz w:val="22"/>
          <w:szCs w:val="22"/>
        </w:rPr>
        <w:footnoteReference w:id="30"/>
      </w:r>
      <w:r w:rsidR="00CF71F0">
        <w:t xml:space="preserve"> </w:t>
      </w:r>
      <w:r w:rsidR="00C23C7B">
        <w:t xml:space="preserve"> </w:t>
      </w:r>
      <w:r w:rsidR="0007365F">
        <w:t xml:space="preserve">CTTL states </w:t>
      </w:r>
      <w:r w:rsidR="000836F6">
        <w:t>it “believes that a Chinese state-owne</w:t>
      </w:r>
      <w:r w:rsidR="00DA71C4">
        <w:t>d laboratory operating strictly under th</w:t>
      </w:r>
      <w:r w:rsidR="00B73B6B">
        <w:t xml:space="preserve">e </w:t>
      </w:r>
      <w:r w:rsidR="00DA71C4">
        <w:t>ISO/IEC 170</w:t>
      </w:r>
      <w:r w:rsidR="00F165DE">
        <w:t>2</w:t>
      </w:r>
      <w:r w:rsidR="00DA71C4">
        <w:t xml:space="preserve">5 </w:t>
      </w:r>
      <w:r w:rsidR="00B73B6B">
        <w:t>quality framework has neither posed nor will pose any threat to the national security of the United States.”</w:t>
      </w:r>
      <w:r>
        <w:rPr>
          <w:rStyle w:val="FootnoteReference"/>
          <w:sz w:val="22"/>
          <w:szCs w:val="22"/>
        </w:rPr>
        <w:footnoteReference w:id="31"/>
      </w:r>
      <w:r w:rsidR="008C06DE">
        <w:t xml:space="preserve">  CTTL</w:t>
      </w:r>
      <w:r w:rsidR="004E7597">
        <w:t xml:space="preserve"> asserts </w:t>
      </w:r>
      <w:r w:rsidR="00AC6189">
        <w:t>i</w:t>
      </w:r>
      <w:r w:rsidR="008C06DE">
        <w:t>t “has consistently fulfilled its professional responsibilities” and again asserts that its testing activities have not “resulted in a breach of client trust or any information security incident.”</w:t>
      </w:r>
      <w:r>
        <w:rPr>
          <w:rStyle w:val="FootnoteReference"/>
          <w:sz w:val="22"/>
          <w:szCs w:val="22"/>
        </w:rPr>
        <w:footnoteReference w:id="32"/>
      </w:r>
      <w:r w:rsidR="008C06DE">
        <w:t xml:space="preserve">  </w:t>
      </w:r>
      <w:r w:rsidR="00213A71">
        <w:t xml:space="preserve">CTTL </w:t>
      </w:r>
      <w:r w:rsidR="009B71A2">
        <w:t xml:space="preserve">further contends </w:t>
      </w:r>
      <w:r w:rsidR="00DC05DD">
        <w:t xml:space="preserve">that </w:t>
      </w:r>
      <w:r w:rsidR="007C635A">
        <w:t xml:space="preserve">the Commission’s </w:t>
      </w:r>
      <w:r w:rsidR="005605BE">
        <w:t>decision to re</w:t>
      </w:r>
      <w:r w:rsidR="00567DA1">
        <w:t xml:space="preserve">voke </w:t>
      </w:r>
      <w:r w:rsidR="0092696B">
        <w:t>the accred</w:t>
      </w:r>
      <w:r w:rsidR="00547297">
        <w:t xml:space="preserve">itations </w:t>
      </w:r>
      <w:r w:rsidR="0092696B">
        <w:t>of several C</w:t>
      </w:r>
      <w:r w:rsidR="00547297">
        <w:t>hinese state-owned laboratories, including CTTL,</w:t>
      </w:r>
      <w:r w:rsidR="007C635A">
        <w:t xml:space="preserve"> will ultimately harm</w:t>
      </w:r>
      <w:r w:rsidR="004773EB">
        <w:t xml:space="preserve"> the</w:t>
      </w:r>
      <w:r w:rsidR="005B01B4">
        <w:t xml:space="preserve"> </w:t>
      </w:r>
      <w:r w:rsidR="004773EB">
        <w:t>global tr</w:t>
      </w:r>
      <w:r w:rsidR="00BD33C5">
        <w:t>a</w:t>
      </w:r>
      <w:r w:rsidR="004773EB">
        <w:t>de in telecommunications equipment</w:t>
      </w:r>
      <w:r w:rsidR="00BD33C5">
        <w:t xml:space="preserve"> and “</w:t>
      </w:r>
      <w:r w:rsidR="0046497F">
        <w:t>undermine the legitimate interests of relevant industries and consumers, including those in the United States.”</w:t>
      </w:r>
      <w:r>
        <w:rPr>
          <w:rStyle w:val="FootnoteReference"/>
          <w:sz w:val="22"/>
          <w:szCs w:val="22"/>
        </w:rPr>
        <w:footnoteReference w:id="33"/>
      </w:r>
      <w:r w:rsidR="00FA5D0B">
        <w:t xml:space="preserve">  </w:t>
      </w:r>
    </w:p>
    <w:p w:rsidR="00145705" w:rsidRPr="005E0AFC" w:rsidP="00A4598E" w14:paraId="38B0C31E" w14:textId="65C955E9">
      <w:pPr>
        <w:pStyle w:val="Heading1"/>
        <w:numPr>
          <w:ilvl w:val="0"/>
          <w:numId w:val="10"/>
        </w:numPr>
        <w:ind w:left="720"/>
        <w:rPr>
          <w:rFonts w:ascii="Times New Roman" w:hAnsi="Times New Roman"/>
          <w:szCs w:val="22"/>
        </w:rPr>
      </w:pPr>
      <w:r w:rsidRPr="005E0AFC">
        <w:rPr>
          <w:rFonts w:ascii="Times New Roman" w:hAnsi="Times New Roman"/>
          <w:szCs w:val="22"/>
        </w:rPr>
        <w:t>DISCUSSIO</w:t>
      </w:r>
      <w:r w:rsidRPr="005E0AFC" w:rsidR="00582A7A">
        <w:rPr>
          <w:rFonts w:ascii="Times New Roman" w:hAnsi="Times New Roman"/>
          <w:szCs w:val="22"/>
        </w:rPr>
        <w:t>n</w:t>
      </w:r>
      <w:r w:rsidRPr="005E0AFC" w:rsidR="00926F72">
        <w:rPr>
          <w:rFonts w:ascii="Times New Roman" w:hAnsi="Times New Roman"/>
          <w:szCs w:val="22"/>
        </w:rPr>
        <w:t xml:space="preserve">  </w:t>
      </w:r>
    </w:p>
    <w:p w:rsidR="00C62731" w:rsidP="00FA5FFF" w14:paraId="7C67FD2D" w14:textId="4F803E9B">
      <w:pPr>
        <w:pStyle w:val="ParaNum"/>
      </w:pPr>
      <w:r>
        <w:t xml:space="preserve">Based on the </w:t>
      </w:r>
      <w:r w:rsidR="006D5A16">
        <w:t xml:space="preserve">information in the record, including CTTL’s </w:t>
      </w:r>
      <w:r w:rsidRPr="00A4598E" w:rsidR="006D5A16">
        <w:t>Response to the Order Instituting Proceeding</w:t>
      </w:r>
      <w:r w:rsidR="006D5A16">
        <w:t xml:space="preserve">, </w:t>
      </w:r>
      <w:r w:rsidR="00145705">
        <w:t xml:space="preserve">OET concludes that </w:t>
      </w:r>
      <w:r w:rsidRPr="0068296E" w:rsidR="00145705">
        <w:t>CTTL</w:t>
      </w:r>
      <w:r w:rsidR="00145705">
        <w:t xml:space="preserve"> has </w:t>
      </w:r>
      <w:r w:rsidR="000140AB">
        <w:t>failed to</w:t>
      </w:r>
      <w:r w:rsidR="00145705">
        <w:t xml:space="preserve"> demonstrate why the Commission should not withdraw recognition</w:t>
      </w:r>
      <w:r w:rsidR="00B9393A">
        <w:t xml:space="preserve"> of CTTL</w:t>
      </w:r>
      <w:r w:rsidR="00145705">
        <w:t xml:space="preserve"> as an accredited test laboratory</w:t>
      </w:r>
      <w:r w:rsidR="008D3F0C">
        <w:t xml:space="preserve"> pursuant to section 2.951</w:t>
      </w:r>
      <w:r w:rsidR="009234FF">
        <w:t>(d)(1)</w:t>
      </w:r>
      <w:r w:rsidR="008D3F0C">
        <w:t xml:space="preserve"> of the Commission’s rules</w:t>
      </w:r>
      <w:r w:rsidR="00145705">
        <w:t>.</w:t>
      </w:r>
      <w:r>
        <w:rPr>
          <w:rStyle w:val="FootnoteReference"/>
          <w:sz w:val="22"/>
          <w:szCs w:val="22"/>
        </w:rPr>
        <w:footnoteReference w:id="34"/>
      </w:r>
      <w:r w:rsidR="00145705">
        <w:t xml:space="preserve">  </w:t>
      </w:r>
    </w:p>
    <w:p w:rsidR="009D086F" w:rsidP="009D086F" w14:paraId="372CD0B2" w14:textId="242A7A39">
      <w:pPr>
        <w:pStyle w:val="ParaNum"/>
      </w:pPr>
      <w:r>
        <w:t>Section 2.951(d)</w:t>
      </w:r>
      <w:r w:rsidR="00C84300">
        <w:t>(1)</w:t>
      </w:r>
      <w:r>
        <w:t xml:space="preserve"> of the Commission’s rules provides that</w:t>
      </w:r>
      <w:r w:rsidR="007D4579">
        <w:t xml:space="preserve"> the Commission will withdraw </w:t>
      </w:r>
      <w:r w:rsidR="000719D0">
        <w:t xml:space="preserve">its </w:t>
      </w:r>
      <w:r w:rsidR="007D4579">
        <w:t xml:space="preserve">recognition of any laboratory that </w:t>
      </w:r>
      <w:r w:rsidR="000719D0">
        <w:t>i</w:t>
      </w:r>
      <w:r w:rsidR="007D4579">
        <w:t xml:space="preserve">s owned by, controlled by, or subject to the direction of a prohibited </w:t>
      </w:r>
      <w:r w:rsidR="000719D0">
        <w:t>e</w:t>
      </w:r>
      <w:r w:rsidR="007D4579">
        <w:t xml:space="preserve">ntity pursuant to </w:t>
      </w:r>
      <w:r w:rsidR="00A8431A">
        <w:t>section</w:t>
      </w:r>
      <w:r w:rsidR="007D4579">
        <w:t xml:space="preserve"> 2.902</w:t>
      </w:r>
      <w:r w:rsidR="00A8431A">
        <w:t xml:space="preserve"> of the Commission’s rules</w:t>
      </w:r>
      <w:r w:rsidR="00920C49">
        <w:t>.</w:t>
      </w:r>
      <w:r>
        <w:rPr>
          <w:rStyle w:val="FootnoteReference"/>
          <w:sz w:val="22"/>
          <w:szCs w:val="22"/>
        </w:rPr>
        <w:footnoteReference w:id="35"/>
      </w:r>
      <w:r w:rsidR="005A25BA">
        <w:t xml:space="preserve"> </w:t>
      </w:r>
      <w:r w:rsidR="00920C49">
        <w:t xml:space="preserve"> The </w:t>
      </w:r>
      <w:r w:rsidR="008414E6">
        <w:rPr>
          <w:i/>
        </w:rPr>
        <w:t>Order Instituting Proceeding</w:t>
      </w:r>
      <w:r w:rsidR="008414E6">
        <w:t xml:space="preserve"> </w:t>
      </w:r>
      <w:r w:rsidR="005A25BA">
        <w:t xml:space="preserve">directed CTTL to provide a reasonable basis </w:t>
      </w:r>
      <w:r w:rsidR="004B2C08">
        <w:t xml:space="preserve">for </w:t>
      </w:r>
      <w:r w:rsidR="005A25BA">
        <w:t>why the Commission should not withdraw its recognition.</w:t>
      </w:r>
      <w:r>
        <w:rPr>
          <w:rStyle w:val="FootnoteReference"/>
          <w:sz w:val="22"/>
          <w:szCs w:val="22"/>
        </w:rPr>
        <w:footnoteReference w:id="36"/>
      </w:r>
      <w:r w:rsidR="004670F5">
        <w:t xml:space="preserve"> </w:t>
      </w:r>
      <w:r w:rsidR="006E4911">
        <w:t xml:space="preserve"> </w:t>
      </w:r>
      <w:r>
        <w:t xml:space="preserve">The </w:t>
      </w:r>
      <w:r w:rsidRPr="005E6548">
        <w:rPr>
          <w:i/>
        </w:rPr>
        <w:t>Order Instituting Proceeding</w:t>
      </w:r>
      <w:r>
        <w:t xml:space="preserve"> recognized CTTL’s admission that it is an entity that is wholly owned by the PRC,</w:t>
      </w:r>
      <w:r>
        <w:rPr>
          <w:rStyle w:val="FootnoteReference"/>
          <w:sz w:val="22"/>
          <w:szCs w:val="22"/>
        </w:rPr>
        <w:footnoteReference w:id="37"/>
      </w:r>
      <w:r>
        <w:t xml:space="preserve"> a fact that CTTL reaffirmed in its Response to the Order Instituting Proceedings.</w:t>
      </w:r>
      <w:r>
        <w:rPr>
          <w:rStyle w:val="FootnoteReference"/>
          <w:sz w:val="22"/>
          <w:szCs w:val="22"/>
        </w:rPr>
        <w:footnoteReference w:id="38"/>
      </w:r>
      <w:r>
        <w:t xml:space="preserve">  The U.S. Department of Commerce has designated the PRC as a foreign adversary of the United States,</w:t>
      </w:r>
      <w:r>
        <w:rPr>
          <w:rStyle w:val="FootnoteReference"/>
          <w:sz w:val="22"/>
          <w:szCs w:val="22"/>
        </w:rPr>
        <w:footnoteReference w:id="39"/>
      </w:r>
      <w:r>
        <w:t xml:space="preserve"> and section 2.902 of the Commission’s rules provides that entities designated as foreign adversaries in this manner are considered “prohibited entities.”</w:t>
      </w:r>
      <w:r>
        <w:rPr>
          <w:rStyle w:val="FootnoteReference"/>
          <w:sz w:val="22"/>
          <w:szCs w:val="22"/>
        </w:rPr>
        <w:footnoteReference w:id="40"/>
      </w:r>
      <w:r>
        <w:t xml:space="preserve">  CTTL, thus, “i</w:t>
      </w:r>
      <w:r w:rsidRPr="00BB211A">
        <w:t>s owned by, controlled by, or subject to the direction of a prohibited entity</w:t>
      </w:r>
      <w:r>
        <w:t>.”</w:t>
      </w:r>
      <w:r>
        <w:rPr>
          <w:rStyle w:val="FootnoteReference"/>
          <w:sz w:val="22"/>
          <w:szCs w:val="22"/>
        </w:rPr>
        <w:footnoteReference w:id="41"/>
      </w:r>
      <w:r w:rsidRPr="00DC0D11">
        <w:t xml:space="preserve"> </w:t>
      </w:r>
      <w:r>
        <w:t xml:space="preserve"> The Commission’s rules explicitly state that it will not recognize, and will withdraw recognition of, any laboratory that is owned by, or subject to the direction of a prohibited entity.</w:t>
      </w:r>
      <w:r>
        <w:rPr>
          <w:rStyle w:val="FootnoteReference"/>
          <w:sz w:val="22"/>
          <w:szCs w:val="22"/>
        </w:rPr>
        <w:footnoteReference w:id="42"/>
      </w:r>
      <w:r>
        <w:t xml:space="preserve">  </w:t>
      </w:r>
    </w:p>
    <w:p w:rsidR="00BB752A" w:rsidP="00FA5FFF" w14:paraId="19D75122" w14:textId="6A8EEC9A">
      <w:pPr>
        <w:pStyle w:val="ParaNum"/>
      </w:pPr>
      <w:r>
        <w:t>CTTL’s</w:t>
      </w:r>
      <w:r w:rsidR="004D54A1">
        <w:t xml:space="preserve"> </w:t>
      </w:r>
      <w:r w:rsidRPr="00A4598E" w:rsidR="00B9393A">
        <w:t>Response to the Order Instituting Proceeding</w:t>
      </w:r>
      <w:r>
        <w:t xml:space="preserve"> </w:t>
      </w:r>
      <w:r w:rsidR="007B4E4E">
        <w:t>concedes the factual predicate for withdrawal of recognition</w:t>
      </w:r>
      <w:r w:rsidR="00BE6386">
        <w:t xml:space="preserve"> and </w:t>
      </w:r>
      <w:r>
        <w:t xml:space="preserve">argues </w:t>
      </w:r>
      <w:r w:rsidR="007C3C32">
        <w:t>a</w:t>
      </w:r>
      <w:r w:rsidR="00B940A3">
        <w:t xml:space="preserve"> </w:t>
      </w:r>
      <w:r w:rsidR="000F2E25">
        <w:t>policy position oppos</w:t>
      </w:r>
      <w:r w:rsidR="007C3C32">
        <w:t>ing</w:t>
      </w:r>
      <w:r w:rsidR="000F2E25">
        <w:t xml:space="preserve"> </w:t>
      </w:r>
      <w:r w:rsidR="0025638F">
        <w:t xml:space="preserve">the </w:t>
      </w:r>
      <w:r w:rsidR="004D54A1">
        <w:t>Commission</w:t>
      </w:r>
      <w:r w:rsidR="00776CD0">
        <w:t>’s</w:t>
      </w:r>
      <w:r w:rsidR="004D54A1">
        <w:t xml:space="preserve"> </w:t>
      </w:r>
      <w:r w:rsidR="008F7C74">
        <w:t>initiative</w:t>
      </w:r>
      <w:r w:rsidR="0025638F">
        <w:t xml:space="preserve"> </w:t>
      </w:r>
      <w:r w:rsidR="00F357C3">
        <w:t xml:space="preserve">to </w:t>
      </w:r>
      <w:r w:rsidR="006E3E8F">
        <w:t>withdraw its</w:t>
      </w:r>
      <w:r w:rsidR="007D707E">
        <w:t xml:space="preserve"> recognition of</w:t>
      </w:r>
      <w:r w:rsidR="00AC1E44">
        <w:t xml:space="preserve"> “bad labs”</w:t>
      </w:r>
      <w:r w:rsidR="00657167">
        <w:t xml:space="preserve"> </w:t>
      </w:r>
      <w:r w:rsidR="00853E38">
        <w:t xml:space="preserve">and the Commission’s </w:t>
      </w:r>
      <w:r w:rsidR="00386D2F">
        <w:t>underlying regulations</w:t>
      </w:r>
      <w:r w:rsidR="002A0D29">
        <w:t>.</w:t>
      </w:r>
      <w:r>
        <w:rPr>
          <w:rStyle w:val="FootnoteReference"/>
          <w:sz w:val="22"/>
          <w:szCs w:val="22"/>
        </w:rPr>
        <w:footnoteReference w:id="43"/>
      </w:r>
      <w:r w:rsidR="00B6237E">
        <w:t xml:space="preserve"> </w:t>
      </w:r>
      <w:r w:rsidR="004F08C8">
        <w:t xml:space="preserve"> </w:t>
      </w:r>
      <w:r w:rsidR="00727AC1">
        <w:t>However</w:t>
      </w:r>
      <w:r w:rsidR="00187943">
        <w:t xml:space="preserve">, </w:t>
      </w:r>
      <w:r w:rsidR="009A0DD6">
        <w:t xml:space="preserve">in </w:t>
      </w:r>
      <w:r w:rsidR="005E6548">
        <w:t xml:space="preserve">the </w:t>
      </w:r>
      <w:r w:rsidR="003379EC">
        <w:rPr>
          <w:i/>
        </w:rPr>
        <w:t>EA Integrity</w:t>
      </w:r>
      <w:r w:rsidR="00506E8A">
        <w:rPr>
          <w:i/>
        </w:rPr>
        <w:t xml:space="preserve"> Order</w:t>
      </w:r>
      <w:r w:rsidR="009A0DD6">
        <w:t xml:space="preserve">, the </w:t>
      </w:r>
      <w:r w:rsidR="005E6548">
        <w:t>Commission</w:t>
      </w:r>
      <w:r w:rsidR="006952E9">
        <w:t xml:space="preserve"> </w:t>
      </w:r>
      <w:r w:rsidR="00BF320C">
        <w:t xml:space="preserve">already </w:t>
      </w:r>
      <w:r w:rsidR="006952E9">
        <w:t xml:space="preserve">considered </w:t>
      </w:r>
      <w:r w:rsidR="00714DB6">
        <w:t>the</w:t>
      </w:r>
      <w:r w:rsidR="006952E9">
        <w:t xml:space="preserve"> policy issues a</w:t>
      </w:r>
      <w:r w:rsidR="00714DB6">
        <w:t>t stake a</w:t>
      </w:r>
      <w:r w:rsidR="006952E9">
        <w:t>nd determined that</w:t>
      </w:r>
      <w:r w:rsidR="005E6548">
        <w:t xml:space="preserve"> “</w:t>
      </w:r>
      <w:r w:rsidR="00B127CD">
        <w:t>it is critical for national security and the integrity of the supply chain that we prohibit from</w:t>
      </w:r>
      <w:r w:rsidR="005E6548">
        <w:t xml:space="preserve"> </w:t>
      </w:r>
      <w:r w:rsidR="00B127CD">
        <w:t>recognition or participation in the equipment authorization program of TCBs, test labs, or laboratory</w:t>
      </w:r>
      <w:r w:rsidR="005E6548">
        <w:t xml:space="preserve"> </w:t>
      </w:r>
      <w:r w:rsidR="00B127CD">
        <w:t>accreditation bodies that are owned by, controlled by, or subject to the direction of a prohibited entity</w:t>
      </w:r>
      <w:r w:rsidR="005E6548">
        <w:t>.”</w:t>
      </w:r>
      <w:r>
        <w:rPr>
          <w:rStyle w:val="FootnoteReference"/>
          <w:sz w:val="22"/>
          <w:szCs w:val="22"/>
        </w:rPr>
        <w:footnoteReference w:id="44"/>
      </w:r>
      <w:r w:rsidR="00471CDF">
        <w:t xml:space="preserve">  </w:t>
      </w:r>
      <w:r w:rsidR="006604D3">
        <w:t xml:space="preserve">We therefore reject </w:t>
      </w:r>
      <w:r w:rsidR="000D52A0">
        <w:t xml:space="preserve">the Company’s </w:t>
      </w:r>
      <w:r w:rsidR="006604D3">
        <w:t xml:space="preserve">policy arguments why </w:t>
      </w:r>
      <w:r w:rsidR="000D52A0">
        <w:t xml:space="preserve">OET </w:t>
      </w:r>
      <w:r w:rsidR="006604D3">
        <w:t xml:space="preserve">should not withdraw </w:t>
      </w:r>
      <w:r w:rsidR="000D52A0">
        <w:t>its recognition of CTTL as an accredited test laboratory.</w:t>
      </w:r>
    </w:p>
    <w:p w:rsidR="00145705" w:rsidP="00BE58A9" w14:paraId="03A7F2F0" w14:textId="0607A7D2">
      <w:pPr>
        <w:pStyle w:val="ParaNum"/>
      </w:pPr>
      <w:r>
        <w:t xml:space="preserve">After fully considering CTTL’s arguments in its Response to the Order Instituting Proceeding, </w:t>
      </w:r>
      <w:r w:rsidR="008B0A3A">
        <w:t xml:space="preserve">and </w:t>
      </w:r>
      <w:r>
        <w:t>pursuant to section 302(e) of the Act and section 2.951(d) of the Commission’s rules</w:t>
      </w:r>
      <w:r w:rsidR="00DC0D11">
        <w:t xml:space="preserve">, OET </w:t>
      </w:r>
      <w:r w:rsidR="00E96868">
        <w:t>hereby</w:t>
      </w:r>
      <w:r w:rsidR="006A658E">
        <w:t xml:space="preserve"> </w:t>
      </w:r>
      <w:r>
        <w:t>withdraw</w:t>
      </w:r>
      <w:r w:rsidR="00E96868">
        <w:t xml:space="preserve">s </w:t>
      </w:r>
      <w:r>
        <w:t xml:space="preserve">recognition of </w:t>
      </w:r>
      <w:r w:rsidRPr="0068296E">
        <w:t>CTTL</w:t>
      </w:r>
      <w:r>
        <w:t xml:space="preserve"> as an accredited test laboratory.</w:t>
      </w:r>
      <w:r>
        <w:rPr>
          <w:rStyle w:val="FootnoteReference"/>
          <w:sz w:val="22"/>
          <w:szCs w:val="22"/>
        </w:rPr>
        <w:footnoteReference w:id="45"/>
      </w:r>
      <w:r>
        <w:t xml:space="preserve">  </w:t>
      </w:r>
      <w:r w:rsidR="0000320C">
        <w:t>Th</w:t>
      </w:r>
      <w:r w:rsidR="00EF47E6">
        <w:t xml:space="preserve">is action becomes effective </w:t>
      </w:r>
      <w:r w:rsidR="00A17555">
        <w:t xml:space="preserve">immediately upon release of this </w:t>
      </w:r>
      <w:r w:rsidR="00C301DD">
        <w:t>O</w:t>
      </w:r>
      <w:r w:rsidR="00A17555">
        <w:t>rde</w:t>
      </w:r>
      <w:r w:rsidRPr="00D47A40" w:rsidR="00A17555">
        <w:t>r</w:t>
      </w:r>
      <w:r w:rsidR="00D438E3">
        <w:t xml:space="preserve">.  </w:t>
      </w:r>
      <w:r w:rsidR="001F0E59">
        <w:t>T</w:t>
      </w:r>
      <w:r w:rsidR="00202648">
        <w:t xml:space="preserve">he Commission will no longer recognize </w:t>
      </w:r>
      <w:r w:rsidR="00503EA7">
        <w:t xml:space="preserve">within its equipment authorization program </w:t>
      </w:r>
      <w:r w:rsidR="00202648">
        <w:t xml:space="preserve">test </w:t>
      </w:r>
      <w:r w:rsidR="005D46B4">
        <w:t xml:space="preserve">data </w:t>
      </w:r>
      <w:r w:rsidR="002146B5">
        <w:t>or</w:t>
      </w:r>
      <w:r w:rsidR="00202648">
        <w:t xml:space="preserve"> measurements </w:t>
      </w:r>
      <w:r w:rsidR="002146B5">
        <w:t xml:space="preserve">that </w:t>
      </w:r>
      <w:r w:rsidR="00CB5C1A">
        <w:t>are</w:t>
      </w:r>
      <w:r w:rsidR="002146B5">
        <w:t xml:space="preserve"> performed </w:t>
      </w:r>
      <w:r w:rsidR="005F2DD5">
        <w:t>a</w:t>
      </w:r>
      <w:r w:rsidRPr="002120E1" w:rsidR="005F2DD5">
        <w:t>fter</w:t>
      </w:r>
      <w:r w:rsidR="005F2DD5">
        <w:t xml:space="preserve"> this date </w:t>
      </w:r>
      <w:r w:rsidR="002146B5">
        <w:t>by</w:t>
      </w:r>
      <w:r w:rsidR="009F387A">
        <w:t xml:space="preserve"> the Company.</w:t>
      </w:r>
    </w:p>
    <w:p w:rsidR="00145705" w:rsidRPr="005E0AFC" w:rsidP="006C6172" w14:paraId="21857930" w14:textId="7E8C3CF8">
      <w:pPr>
        <w:pStyle w:val="Heading1"/>
        <w:numPr>
          <w:ilvl w:val="0"/>
          <w:numId w:val="11"/>
        </w:numPr>
        <w:tabs>
          <w:tab w:val="left" w:pos="720"/>
        </w:tabs>
        <w:ind w:hanging="1080"/>
        <w:rPr>
          <w:rFonts w:ascii="Times New Roman" w:hAnsi="Times New Roman"/>
          <w:szCs w:val="22"/>
        </w:rPr>
      </w:pPr>
      <w:r w:rsidRPr="005E0AFC">
        <w:rPr>
          <w:rFonts w:ascii="Times New Roman" w:hAnsi="Times New Roman"/>
          <w:szCs w:val="22"/>
        </w:rPr>
        <w:t>ORDERING CLAUSES</w:t>
      </w:r>
    </w:p>
    <w:p w:rsidR="008032ED" w:rsidRPr="00FA4416" w:rsidP="00FA5FFF" w14:paraId="1DB8A3EB" w14:textId="4EB5AF1C">
      <w:pPr>
        <w:pStyle w:val="ParaNum"/>
      </w:pPr>
      <w:r w:rsidRPr="00BB3C31">
        <w:t xml:space="preserve">Accordingly, </w:t>
      </w:r>
      <w:r w:rsidRPr="0098753D">
        <w:rPr>
          <w:b/>
        </w:rPr>
        <w:t xml:space="preserve">IT IS </w:t>
      </w:r>
      <w:r w:rsidRPr="0098753D">
        <w:rPr>
          <w:b/>
          <w:color w:val="000000"/>
        </w:rPr>
        <w:t>ORDERED</w:t>
      </w:r>
      <w:r w:rsidRPr="00BB3C31">
        <w:t xml:space="preserve"> that, pur</w:t>
      </w:r>
      <w:r>
        <w:t xml:space="preserve">suant to section </w:t>
      </w:r>
      <w:r w:rsidRPr="002C53AD">
        <w:t>302</w:t>
      </w:r>
      <w:r>
        <w:t>(e)</w:t>
      </w:r>
      <w:r w:rsidRPr="002C53AD">
        <w:t xml:space="preserve"> of the Act</w:t>
      </w:r>
      <w:r>
        <w:t>, 47 U.S.C. § 302a(e),</w:t>
      </w:r>
      <w:r w:rsidRPr="002C53AD">
        <w:t xml:space="preserve"> </w:t>
      </w:r>
      <w:r>
        <w:t>and section</w:t>
      </w:r>
      <w:r w:rsidR="00B737AB">
        <w:t>s</w:t>
      </w:r>
      <w:r>
        <w:t xml:space="preserve"> </w:t>
      </w:r>
      <w:r w:rsidR="00FC5E01">
        <w:t xml:space="preserve">0.31, </w:t>
      </w:r>
      <w:r w:rsidR="00C72B86">
        <w:t xml:space="preserve">0.241, and </w:t>
      </w:r>
      <w:r>
        <w:t>2.951(d) of the Commission’s rules, 47 CFR §</w:t>
      </w:r>
      <w:r w:rsidR="00C72B86">
        <w:t>§</w:t>
      </w:r>
      <w:r>
        <w:t xml:space="preserve"> </w:t>
      </w:r>
      <w:r w:rsidR="00C72B86">
        <w:t>0.31, 0.241,</w:t>
      </w:r>
      <w:r>
        <w:t xml:space="preserve"> 2.951(d), </w:t>
      </w:r>
      <w:r w:rsidRPr="005E0AFC">
        <w:rPr>
          <w:szCs w:val="22"/>
        </w:rPr>
        <w:t xml:space="preserve">the Commission </w:t>
      </w:r>
      <w:r w:rsidRPr="005E0AFC" w:rsidR="00084691">
        <w:rPr>
          <w:b/>
          <w:bCs/>
          <w:szCs w:val="22"/>
        </w:rPr>
        <w:t>HEREBY WITHDRAWS ITS RECOGNITION</w:t>
      </w:r>
      <w:r w:rsidRPr="005E0AFC">
        <w:rPr>
          <w:szCs w:val="22"/>
        </w:rPr>
        <w:t xml:space="preserve"> of </w:t>
      </w:r>
      <w:r w:rsidRPr="00FA4416">
        <w:t>Telecommunication Technology Labs, CAICT</w:t>
      </w:r>
      <w:r w:rsidR="005E62DE">
        <w:t xml:space="preserve"> </w:t>
      </w:r>
      <w:r w:rsidR="008619C3">
        <w:t>(</w:t>
      </w:r>
      <w:r w:rsidRPr="00FA4416" w:rsidR="008619C3">
        <w:t>Designation No. CN1349</w:t>
      </w:r>
      <w:r w:rsidR="008619C3">
        <w:t xml:space="preserve">) </w:t>
      </w:r>
      <w:r w:rsidR="005E62DE">
        <w:t>as an accredited test laboratory.</w:t>
      </w:r>
    </w:p>
    <w:p w:rsidR="00145705" w:rsidP="00EE30AF" w14:paraId="0B53D5CD" w14:textId="194C3A13">
      <w:pPr>
        <w:pStyle w:val="ParaNum"/>
      </w:pPr>
      <w:r w:rsidRPr="008831E2">
        <w:rPr>
          <w:b/>
        </w:rPr>
        <w:t>IT IS FURTHER ORDERED</w:t>
      </w:r>
      <w:r w:rsidRPr="002C53AD">
        <w:t xml:space="preserve"> </w:t>
      </w:r>
      <w:r>
        <w:t>that a copy of this Order shall be sent by e</w:t>
      </w:r>
      <w:r w:rsidR="00F526ED">
        <w:t>-</w:t>
      </w:r>
      <w:r>
        <w:t xml:space="preserve">mail to </w:t>
      </w:r>
      <w:hyperlink r:id="rId5" w:history="1">
        <w:r w:rsidRPr="00FE2782" w:rsidR="00084691">
          <w:rPr>
            <w:rStyle w:val="Hyperlink"/>
          </w:rPr>
          <w:t>zhujiyang@caict.ac.cn</w:t>
        </w:r>
      </w:hyperlink>
      <w:r w:rsidR="00084691">
        <w:t xml:space="preserve"> </w:t>
      </w:r>
      <w:r w:rsidRPr="00263DDB">
        <w:t xml:space="preserve">on the release date of this Order and a copy sent by regular first-class mail and certified mail, return receipt requested, to </w:t>
      </w:r>
      <w:r w:rsidRPr="00263DDB">
        <w:t>Jiyang</w:t>
      </w:r>
      <w:r w:rsidRPr="00263DDB">
        <w:t xml:space="preserve"> Zhu, Telecommunications Technology Labs, No. 52 Huayuan North Road, </w:t>
      </w:r>
      <w:r w:rsidRPr="00263DDB">
        <w:t>Haidian</w:t>
      </w:r>
      <w:r w:rsidRPr="00263DDB">
        <w:t xml:space="preserve"> District, Beijing, People’s Republic of China, 100191.</w:t>
      </w:r>
      <w:r>
        <w:t xml:space="preserve"> </w:t>
      </w:r>
    </w:p>
    <w:p w:rsidR="00145705" w:rsidP="00145705" w14:paraId="2A3DC6F5" w14:textId="77777777">
      <w:pPr>
        <w:keepNext/>
        <w:keepLines/>
        <w:ind w:left="4320"/>
      </w:pPr>
    </w:p>
    <w:p w:rsidR="00145705" w:rsidRPr="00BB3C31" w:rsidP="00145705" w14:paraId="1F06624C" w14:textId="77777777">
      <w:pPr>
        <w:keepNext/>
        <w:keepLines/>
        <w:ind w:left="4320"/>
      </w:pPr>
      <w:r w:rsidRPr="00BB3C31">
        <w:t>FEDERAL COMMUNICATIONS COMMISSION</w:t>
      </w:r>
    </w:p>
    <w:p w:rsidR="00145705" w:rsidP="00145705" w14:paraId="52F5C76A" w14:textId="2C2E206F">
      <w:pPr>
        <w:keepNext/>
        <w:keepLines/>
      </w:pPr>
      <w:r>
        <w:tab/>
      </w:r>
      <w:r>
        <w:tab/>
      </w:r>
      <w:r>
        <w:tab/>
      </w:r>
      <w:r>
        <w:tab/>
      </w:r>
      <w:r>
        <w:tab/>
      </w:r>
      <w:r>
        <w:tab/>
      </w:r>
    </w:p>
    <w:p w:rsidR="00145705" w:rsidP="00145705" w14:paraId="39F00420" w14:textId="7FAF7701">
      <w:pPr>
        <w:keepNext/>
        <w:keepLines/>
      </w:pPr>
      <w:r>
        <w:tab/>
      </w:r>
      <w:r>
        <w:tab/>
      </w:r>
      <w:r>
        <w:tab/>
      </w:r>
      <w:r>
        <w:tab/>
      </w:r>
      <w:r>
        <w:tab/>
      </w:r>
      <w:r>
        <w:tab/>
      </w:r>
    </w:p>
    <w:p w:rsidR="00145705" w:rsidP="00A21E4A" w14:paraId="47DB1891" w14:textId="4AAC2BD8">
      <w:pPr>
        <w:keepNext/>
        <w:keepLines/>
      </w:pPr>
      <w:r>
        <w:tab/>
      </w:r>
      <w:r>
        <w:tab/>
      </w:r>
      <w:r>
        <w:tab/>
      </w:r>
      <w:r>
        <w:tab/>
      </w:r>
      <w:r>
        <w:tab/>
      </w:r>
      <w:r>
        <w:tab/>
      </w:r>
    </w:p>
    <w:p w:rsidR="00145705" w:rsidRPr="00724AD5" w:rsidP="00145705" w14:paraId="3B4A3D74" w14:textId="30F60CDA">
      <w:pPr>
        <w:keepNext/>
        <w:keepLines/>
      </w:pPr>
      <w:r>
        <w:tab/>
      </w:r>
      <w:r>
        <w:tab/>
      </w:r>
      <w:r>
        <w:tab/>
      </w:r>
      <w:r>
        <w:tab/>
      </w:r>
      <w:r>
        <w:tab/>
      </w:r>
      <w:r>
        <w:tab/>
      </w:r>
    </w:p>
    <w:p w:rsidR="00145705" w:rsidRPr="005E0AFC" w:rsidP="00145705" w14:paraId="2A246F9F" w14:textId="77777777">
      <w:pPr>
        <w:keepNext/>
        <w:keepLines/>
        <w:ind w:left="4320"/>
        <w:rPr>
          <w:szCs w:val="22"/>
        </w:rPr>
      </w:pPr>
      <w:r w:rsidRPr="005E0AFC">
        <w:rPr>
          <w:szCs w:val="22"/>
        </w:rPr>
        <w:t>Andrew C. Hendrickson</w:t>
      </w:r>
    </w:p>
    <w:p w:rsidR="00145705" w:rsidRPr="009F0A5B" w:rsidP="00145705" w14:paraId="52DAF07E" w14:textId="21D8AC50">
      <w:pPr>
        <w:keepNext/>
        <w:keepLines/>
        <w:ind w:left="4320"/>
      </w:pPr>
      <w:r w:rsidRPr="009F0A5B">
        <w:t>Chief</w:t>
      </w:r>
      <w:r>
        <w:t xml:space="preserve"> </w:t>
      </w:r>
    </w:p>
    <w:p w:rsidR="00674CC1" w:rsidRPr="00A21E4A" w:rsidP="00A21E4A" w14:paraId="6C5A761A" w14:textId="4C0571AD">
      <w:pPr>
        <w:keepNext/>
        <w:keepLines/>
        <w:ind w:left="3600" w:firstLine="720"/>
        <w:rPr>
          <w:szCs w:val="22"/>
        </w:rPr>
      </w:pPr>
      <w:r w:rsidRPr="005E0AFC">
        <w:rPr>
          <w:szCs w:val="22"/>
        </w:rPr>
        <w:t>Office of Engineering and Technology</w:t>
      </w:r>
    </w:p>
    <w:sectPr w:rsidSect="00145705">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705" w14:paraId="2B4BCDD5" w14:textId="77777777">
    <w:pPr>
      <w:pStyle w:val="Footer"/>
      <w:framePr w:wrap="around" w:vAnchor="text" w:hAnchor="margin" w:xAlign="center" w:y="1"/>
    </w:pPr>
    <w:r>
      <w:fldChar w:fldCharType="begin"/>
    </w:r>
    <w:r>
      <w:instrText xml:space="preserve">PAGE  </w:instrText>
    </w:r>
    <w:r>
      <w:fldChar w:fldCharType="separate"/>
    </w:r>
    <w:r>
      <w:fldChar w:fldCharType="end"/>
    </w:r>
  </w:p>
  <w:p w:rsidR="00145705" w14:paraId="162430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705" w14:paraId="0637E0A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50FB504B" w14:textId="77777777" w:rsidTr="3695C6E7">
      <w:tblPrEx>
        <w:tblW w:w="0" w:type="auto"/>
        <w:tblLook w:val="06A0"/>
      </w:tblPrEx>
      <w:trPr>
        <w:trHeight w:val="300"/>
      </w:trPr>
      <w:tc>
        <w:tcPr>
          <w:tcW w:w="3120" w:type="dxa"/>
        </w:tcPr>
        <w:p w:rsidR="3695C6E7" w:rsidP="005E0AFC" w14:paraId="4F4713D8" w14:textId="3D1FF48E">
          <w:pPr>
            <w:pStyle w:val="Header"/>
          </w:pPr>
        </w:p>
      </w:tc>
      <w:tc>
        <w:tcPr>
          <w:tcW w:w="3120" w:type="dxa"/>
        </w:tcPr>
        <w:p w:rsidR="3695C6E7" w:rsidP="005E0AFC" w14:paraId="273A7FCE" w14:textId="1AAC1589">
          <w:pPr>
            <w:pStyle w:val="Header"/>
          </w:pPr>
        </w:p>
      </w:tc>
      <w:tc>
        <w:tcPr>
          <w:tcW w:w="3120" w:type="dxa"/>
        </w:tcPr>
        <w:p w:rsidR="3695C6E7" w:rsidP="005E0AFC" w14:paraId="2ABFDB58" w14:textId="5125193E">
          <w:pPr>
            <w:pStyle w:val="Header"/>
          </w:pPr>
        </w:p>
      </w:tc>
    </w:tr>
  </w:tbl>
  <w:p w:rsidR="3695C6E7" w:rsidP="3695C6E7" w14:paraId="1AC67335" w14:textId="34402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6B5B" w:rsidP="00145705" w14:paraId="635245C3" w14:textId="77777777">
      <w:r>
        <w:separator/>
      </w:r>
    </w:p>
  </w:footnote>
  <w:footnote w:type="continuationSeparator" w:id="1">
    <w:p w:rsidR="00A36B5B" w:rsidP="00145705" w14:paraId="6F0E7491" w14:textId="77777777">
      <w:r>
        <w:continuationSeparator/>
      </w:r>
    </w:p>
  </w:footnote>
  <w:footnote w:id="2">
    <w:p w:rsidR="00145705" w:rsidRPr="002B1263" w:rsidP="00461194" w14:paraId="1B594AA3" w14:textId="12F24AA0">
      <w:pPr>
        <w:pStyle w:val="FootnoteText"/>
      </w:pPr>
      <w:r>
        <w:rPr>
          <w:rStyle w:val="FootnoteReference"/>
        </w:rPr>
        <w:footnoteRef/>
      </w:r>
      <w:r>
        <w:t xml:space="preserve"> 47 U.S.C. § 302a(e); 47 CFR § 2.951(d)</w:t>
      </w:r>
      <w:r w:rsidR="00D94870">
        <w:t>.</w:t>
      </w:r>
    </w:p>
  </w:footnote>
  <w:footnote w:id="3">
    <w:p w:rsidR="00145705" w:rsidP="00461194" w14:paraId="4B911FD6" w14:textId="77777777">
      <w:pPr>
        <w:pStyle w:val="FootnoteText"/>
      </w:pPr>
      <w:r>
        <w:rPr>
          <w:rStyle w:val="FootnoteReference"/>
        </w:rPr>
        <w:footnoteRef/>
      </w:r>
      <w:r>
        <w:t xml:space="preserve"> 47 U.S.C. § 302a(a); </w:t>
      </w:r>
      <w:r>
        <w:rPr>
          <w:i/>
          <w:iCs/>
        </w:rPr>
        <w:t xml:space="preserve">see generally </w:t>
      </w:r>
      <w:r>
        <w:t xml:space="preserve">47 CFR pt. 2 </w:t>
      </w:r>
      <w:r>
        <w:t>subpt</w:t>
      </w:r>
      <w:r>
        <w:t>. J (equipment authorization procedures).</w:t>
      </w:r>
    </w:p>
  </w:footnote>
  <w:footnote w:id="4">
    <w:p w:rsidR="00145705" w:rsidP="00461194" w14:paraId="197F3FAB" w14:textId="760ADC47">
      <w:pPr>
        <w:pStyle w:val="FootnoteText"/>
      </w:pPr>
      <w:r>
        <w:rPr>
          <w:rStyle w:val="FootnoteReference"/>
        </w:rPr>
        <w:footnoteRef/>
      </w:r>
      <w:r>
        <w:t xml:space="preserve"> 47 U.S.C. § 302a(e)(1), (3); </w:t>
      </w:r>
      <w:r>
        <w:rPr>
          <w:i/>
          <w:iCs/>
        </w:rPr>
        <w:t xml:space="preserve">see </w:t>
      </w:r>
      <w:r>
        <w:t>47 CFR §</w:t>
      </w:r>
      <w:r w:rsidR="006E1F93">
        <w:t>§</w:t>
      </w:r>
      <w:r>
        <w:t> 2.948, 2.951.</w:t>
      </w:r>
    </w:p>
  </w:footnote>
  <w:footnote w:id="5">
    <w:p w:rsidR="00145705" w:rsidP="00461194" w14:paraId="41BA3E51" w14:textId="3B4C46CD">
      <w:pPr>
        <w:pStyle w:val="FootnoteText"/>
      </w:pPr>
      <w:r>
        <w:rPr>
          <w:rStyle w:val="FootnoteReference"/>
        </w:rPr>
        <w:footnoteRef/>
      </w:r>
      <w:r>
        <w:t xml:space="preserve"> </w:t>
      </w:r>
      <w:r w:rsidRPr="00CA7F9C">
        <w:rPr>
          <w:i/>
          <w:iCs/>
        </w:rPr>
        <w:t>Promoting the Integrity and Security of Telecommunications Certification Bodies, Measurement Facilities, and the Equipment Authorization Program</w:t>
      </w:r>
      <w:r>
        <w:t xml:space="preserve">, Report and Order and Further Notice of Proposed Rulemaking, ET Docket No. 24-136, </w:t>
      </w:r>
      <w:r w:rsidRPr="00FF7218" w:rsidR="00FF7218">
        <w:t>40 FCC Rcd 3616</w:t>
      </w:r>
      <w:r>
        <w:t xml:space="preserve">, </w:t>
      </w:r>
      <w:r w:rsidR="00C57BCE">
        <w:t>3</w:t>
      </w:r>
      <w:r w:rsidR="0075038C">
        <w:t>617,</w:t>
      </w:r>
      <w:r w:rsidR="002E060F">
        <w:t xml:space="preserve"> </w:t>
      </w:r>
      <w:r>
        <w:t>para. 1 (2025)</w:t>
      </w:r>
      <w:r w:rsidR="003F6D4D">
        <w:t xml:space="preserve"> (</w:t>
      </w:r>
      <w:r w:rsidR="003379EC">
        <w:rPr>
          <w:i/>
          <w:iCs/>
        </w:rPr>
        <w:t>EA Integrity</w:t>
      </w:r>
      <w:r w:rsidRPr="003B4161" w:rsidR="003F6D4D">
        <w:rPr>
          <w:i/>
          <w:iCs/>
        </w:rPr>
        <w:t xml:space="preserve"> Order</w:t>
      </w:r>
      <w:r w:rsidR="003F6D4D">
        <w:t>)</w:t>
      </w:r>
      <w:r w:rsidRPr="0094761F" w:rsidR="003F6D4D">
        <w:t>.</w:t>
      </w:r>
    </w:p>
  </w:footnote>
  <w:footnote w:id="6">
    <w:p w:rsidR="00145705" w:rsidP="00461194" w14:paraId="20F56FEF" w14:textId="48FA591F">
      <w:pPr>
        <w:pStyle w:val="FootnoteText"/>
      </w:pPr>
      <w:r>
        <w:rPr>
          <w:rStyle w:val="FootnoteReference"/>
        </w:rPr>
        <w:footnoteRef/>
      </w:r>
      <w:r>
        <w:t xml:space="preserve"> 47 CFR § 2.951(d)(1).</w:t>
      </w:r>
    </w:p>
  </w:footnote>
  <w:footnote w:id="7">
    <w:p w:rsidR="00145705" w:rsidP="00461194" w14:paraId="02D3FABF" w14:textId="77777777">
      <w:pPr>
        <w:pStyle w:val="FootnoteText"/>
      </w:pPr>
      <w:r>
        <w:rPr>
          <w:rStyle w:val="FootnoteReference"/>
        </w:rPr>
        <w:footnoteRef/>
      </w:r>
      <w:r>
        <w:t xml:space="preserve"> 47 CFR § 2.902.</w:t>
      </w:r>
    </w:p>
  </w:footnote>
  <w:footnote w:id="8">
    <w:p w:rsidR="00145705" w:rsidRPr="00A55EDB" w:rsidP="00461194" w14:paraId="1947197A" w14:textId="5651DA0B">
      <w:pPr>
        <w:pStyle w:val="FootnoteText"/>
      </w:pPr>
      <w:r>
        <w:rPr>
          <w:rStyle w:val="FootnoteReference"/>
        </w:rPr>
        <w:footnoteRef/>
      </w:r>
      <w:r>
        <w:t xml:space="preserve"> </w:t>
      </w:r>
      <w:r>
        <w:rPr>
          <w:i/>
          <w:iCs/>
        </w:rPr>
        <w:t>Id</w:t>
      </w:r>
      <w:r>
        <w:t>.</w:t>
      </w:r>
      <w:r w:rsidR="00D87E50">
        <w:t xml:space="preserve">  </w:t>
      </w:r>
      <w:r w:rsidR="00512FAF">
        <w:t xml:space="preserve">Prohibited entities </w:t>
      </w:r>
      <w:r w:rsidR="00B80BD7">
        <w:t>are further defined to</w:t>
      </w:r>
      <w:r w:rsidR="00512FAF">
        <w:t xml:space="preserve"> include </w:t>
      </w:r>
      <w:r w:rsidR="00B96376">
        <w:t xml:space="preserve">entities identified on the </w:t>
      </w:r>
      <w:r w:rsidR="00512FAF">
        <w:t>Covered List as well as entities identified</w:t>
      </w:r>
      <w:r w:rsidR="00DC04ED">
        <w:t xml:space="preserve"> by </w:t>
      </w:r>
      <w:r w:rsidR="00A55EDB">
        <w:t xml:space="preserve">specified sources. </w:t>
      </w:r>
      <w:r w:rsidR="00A55EDB">
        <w:rPr>
          <w:i/>
          <w:iCs/>
        </w:rPr>
        <w:t>Id.</w:t>
      </w:r>
      <w:r w:rsidR="00A55EDB">
        <w:t xml:space="preserve"> </w:t>
      </w:r>
    </w:p>
  </w:footnote>
  <w:footnote w:id="9">
    <w:p w:rsidR="00A54C64" w:rsidP="00461194" w14:paraId="0E944698" w14:textId="0EF9F396">
      <w:pPr>
        <w:pStyle w:val="FootnoteText"/>
      </w:pPr>
      <w:r>
        <w:rPr>
          <w:rStyle w:val="FootnoteReference"/>
        </w:rPr>
        <w:footnoteRef/>
      </w:r>
      <w:r>
        <w:t xml:space="preserve"> </w:t>
      </w:r>
      <w:r w:rsidR="000838AD">
        <w:t>“</w:t>
      </w:r>
      <w:r w:rsidR="00C94756">
        <w:t>The Secretary has determined that the following foreign governments or foreign non-government persons have engaged in a long-term pattern or serious instances of conduct significantly adverse to the national security of the United States or security and safety of United States persons and, therefore, constitute foreign adversaries solely for the purposes of the Executive Order, this rule, and any subsequent rule:</w:t>
      </w:r>
      <w:r w:rsidR="000838AD">
        <w:t xml:space="preserve">  </w:t>
      </w:r>
      <w:r w:rsidR="00C94756">
        <w:t>(1) The People</w:t>
      </w:r>
      <w:r w:rsidR="00B513D5">
        <w:t>’</w:t>
      </w:r>
      <w:r w:rsidR="00C94756">
        <w:t>s Republic of China, including the Hong Kong Special Administrative Region and the Macau Special Administrative Region (China)</w:t>
      </w:r>
      <w:r w:rsidR="000838AD">
        <w:t xml:space="preserve">….”  </w:t>
      </w:r>
      <w:r w:rsidRPr="003C5B5A" w:rsidR="006843E4">
        <w:t>15 CFR § 791.4</w:t>
      </w:r>
      <w:r w:rsidR="006843E4">
        <w:t>(a)(1)</w:t>
      </w:r>
      <w:r w:rsidR="009D086F">
        <w:t xml:space="preserve">; </w:t>
      </w:r>
      <w:r w:rsidR="009D086F">
        <w:rPr>
          <w:i/>
          <w:iCs/>
        </w:rPr>
        <w:t xml:space="preserve">see also </w:t>
      </w:r>
      <w:r w:rsidRPr="00FA4416" w:rsidR="009D086F">
        <w:rPr>
          <w:i/>
          <w:iCs/>
        </w:rPr>
        <w:t>Telecommunication Technology Labs, CAICT, Designation No. CN1349</w:t>
      </w:r>
      <w:r w:rsidRPr="00977602" w:rsidR="009D086F">
        <w:t xml:space="preserve">, </w:t>
      </w:r>
      <w:r w:rsidRPr="00FA4416" w:rsidR="009D086F">
        <w:t>ET Docket No. 25-267, Notice of Intent to Begin Proceedings to Withdraw Recognition as an Accredited Test Laboratory, DA 25-794</w:t>
      </w:r>
      <w:r w:rsidR="009D086F">
        <w:t xml:space="preserve">, para. 4 (OET Sept. 8, 2025) </w:t>
      </w:r>
      <w:r w:rsidRPr="00893A3A" w:rsidR="009D086F">
        <w:t>(</w:t>
      </w:r>
      <w:r w:rsidR="009D086F">
        <w:rPr>
          <w:i/>
          <w:iCs/>
        </w:rPr>
        <w:t>Notice</w:t>
      </w:r>
      <w:r w:rsidRPr="00893A3A" w:rsidR="009D086F">
        <w:t>)</w:t>
      </w:r>
      <w:r w:rsidRPr="00B74377" w:rsidR="009D086F">
        <w:t>.</w:t>
      </w:r>
    </w:p>
  </w:footnote>
  <w:footnote w:id="10">
    <w:p w:rsidR="00676F42" w:rsidP="00461194" w14:paraId="7ED6491E" w14:textId="3B48FE08">
      <w:pPr>
        <w:pStyle w:val="FootnoteText"/>
      </w:pPr>
      <w:r>
        <w:rPr>
          <w:rStyle w:val="FootnoteReference"/>
        </w:rPr>
        <w:footnoteRef/>
      </w:r>
      <w:r>
        <w:t xml:space="preserve"> </w:t>
      </w:r>
      <w:r w:rsidR="00051159">
        <w:t>C</w:t>
      </w:r>
      <w:r>
        <w:t>TTL (FCC designation number CN1349) was last recognized by the FCC on July 31, 2024, with a recognition expiration date of July 23, 2026.</w:t>
      </w:r>
    </w:p>
  </w:footnote>
  <w:footnote w:id="11">
    <w:p w:rsidR="003F09BD" w:rsidP="003F09BD" w14:paraId="5EF4362B" w14:textId="207FA8AE">
      <w:pPr>
        <w:pStyle w:val="FootnoteText"/>
      </w:pPr>
      <w:r>
        <w:rPr>
          <w:rStyle w:val="FootnoteReference"/>
        </w:rPr>
        <w:footnoteRef/>
      </w:r>
      <w:r>
        <w:t xml:space="preserve"> </w:t>
      </w:r>
      <w:r w:rsidRPr="00354052">
        <w:rPr>
          <w:i/>
          <w:iCs/>
        </w:rPr>
        <w:t>See, e.g</w:t>
      </w:r>
      <w:r>
        <w:t xml:space="preserve">., CAICT, </w:t>
      </w:r>
      <w:r w:rsidRPr="009E051E">
        <w:rPr>
          <w:i/>
          <w:iCs/>
        </w:rPr>
        <w:t>About Us</w:t>
      </w:r>
      <w:r>
        <w:t xml:space="preserve">, </w:t>
      </w:r>
      <w:hyperlink r:id="rId1" w:history="1">
        <w:r w:rsidRPr="0029753C" w:rsidR="000B25A8">
          <w:rPr>
            <w:rStyle w:val="Hyperlink"/>
          </w:rPr>
          <w:t>https://www.caict.ac.cn/english/about/dept/202003/t20200312_276685.html</w:t>
        </w:r>
      </w:hyperlink>
      <w:r w:rsidR="000B25A8">
        <w:t xml:space="preserve"> </w:t>
      </w:r>
      <w:r>
        <w:t xml:space="preserve">(listing CTTL Terminal Labs as a </w:t>
      </w:r>
      <w:r w:rsidR="000B25A8">
        <w:t>unit of</w:t>
      </w:r>
      <w:r>
        <w:t xml:space="preserve"> CAICT) (last </w:t>
      </w:r>
      <w:r w:rsidR="003D270D">
        <w:t>visited</w:t>
      </w:r>
      <w:r w:rsidR="00E844BE">
        <w:t xml:space="preserve"> Feb.</w:t>
      </w:r>
      <w:r w:rsidR="00F20A8A">
        <w:t xml:space="preserve"> 4, 2026</w:t>
      </w:r>
      <w:r>
        <w:t>)</w:t>
      </w:r>
      <w:r w:rsidR="008F4E53">
        <w:t>;</w:t>
      </w:r>
      <w:r w:rsidR="007837D9">
        <w:t xml:space="preserve"> </w:t>
      </w:r>
      <w:r w:rsidR="00DF29E5">
        <w:t xml:space="preserve">CAICT, </w:t>
      </w:r>
      <w:r w:rsidRPr="009E051E" w:rsidR="00DF29E5">
        <w:rPr>
          <w:i/>
          <w:iCs/>
        </w:rPr>
        <w:t>About Us</w:t>
      </w:r>
      <w:r w:rsidR="00DF29E5">
        <w:t xml:space="preserve">, </w:t>
      </w:r>
      <w:hyperlink r:id="rId1" w:history="1">
        <w:r w:rsidRPr="0029753C" w:rsidR="00271D9A">
          <w:rPr>
            <w:rStyle w:val="Hyperlink"/>
          </w:rPr>
          <w:t>https://www.caict.ac.cn/english/about/dept/202003/t20200312_276685.html</w:t>
        </w:r>
      </w:hyperlink>
      <w:r w:rsidR="00271D9A">
        <w:t xml:space="preserve"> </w:t>
      </w:r>
      <w:r w:rsidR="00E84A4A">
        <w:t>(</w:t>
      </w:r>
      <w:r w:rsidR="00EF4EF9">
        <w:t>listing CTTL</w:t>
      </w:r>
      <w:r w:rsidR="00846D41">
        <w:t>-</w:t>
      </w:r>
      <w:r w:rsidR="0072069F">
        <w:t>System</w:t>
      </w:r>
      <w:r w:rsidR="00EF4EF9">
        <w:t xml:space="preserve"> Labor</w:t>
      </w:r>
      <w:r w:rsidR="0072069F">
        <w:t>atory</w:t>
      </w:r>
      <w:r w:rsidR="0062300E">
        <w:t xml:space="preserve"> as a unit of CA</w:t>
      </w:r>
      <w:r w:rsidR="00FB5F61">
        <w:t>I</w:t>
      </w:r>
      <w:r w:rsidR="0062300E">
        <w:t>CT</w:t>
      </w:r>
      <w:r w:rsidR="00FB5F61">
        <w:t>)</w:t>
      </w:r>
      <w:r w:rsidR="005E0C86">
        <w:t xml:space="preserve"> (last visited Feb. 4, 2026)</w:t>
      </w:r>
      <w:r>
        <w:t>.</w:t>
      </w:r>
      <w:r w:rsidR="00CB026F">
        <w:t xml:space="preserve"> </w:t>
      </w:r>
    </w:p>
  </w:footnote>
  <w:footnote w:id="12">
    <w:p w:rsidR="00360437" w:rsidRPr="00A21E4A" w:rsidP="00A21E4A" w14:paraId="1C15436D" w14:textId="6601CDC2">
      <w:pPr>
        <w:pStyle w:val="FootnoteText"/>
        <w:widowControl w:val="0"/>
        <w:rPr>
          <w:rFonts w:ascii="TimesNewRomanPSMT" w:hAnsi="TimesNewRomanPSMT" w:eastAsiaTheme="minorHAnsi" w:cs="TimesNewRomanPSMT"/>
          <w:color w:val="000000"/>
          <w14:ligatures w14:val="standardContextual"/>
        </w:rPr>
      </w:pPr>
      <w:r>
        <w:rPr>
          <w:rStyle w:val="FootnoteReference"/>
        </w:rPr>
        <w:footnoteRef/>
      </w:r>
      <w:r>
        <w:t xml:space="preserve"> </w:t>
      </w:r>
      <w:r w:rsidR="0095258A">
        <w:rPr>
          <w:rFonts w:ascii="TimesNewRomanPS-ItalicMT" w:hAnsi="TimesNewRomanPS-ItalicMT" w:eastAsiaTheme="minorHAnsi" w:cs="TimesNewRomanPS-ItalicMT"/>
          <w:i/>
          <w:iCs/>
          <w:color w:val="000000"/>
          <w14:ligatures w14:val="standardContextual"/>
        </w:rPr>
        <w:t xml:space="preserve">See, </w:t>
      </w:r>
      <w:r w:rsidRPr="006A02D8" w:rsidR="0095258A">
        <w:rPr>
          <w:rFonts w:ascii="TimesNewRomanPS-ItalicMT" w:hAnsi="TimesNewRomanPS-ItalicMT" w:eastAsiaTheme="minorHAnsi" w:cs="TimesNewRomanPS-ItalicMT"/>
          <w:i/>
          <w:iCs/>
          <w:color w:val="000000"/>
          <w14:ligatures w14:val="standardContextual"/>
        </w:rPr>
        <w:t>e.g.</w:t>
      </w:r>
      <w:r w:rsidR="00A7082E">
        <w:rPr>
          <w:rFonts w:ascii="TimesNewRomanPS-ItalicMT" w:hAnsi="TimesNewRomanPS-ItalicMT" w:eastAsiaTheme="minorHAnsi" w:cs="TimesNewRomanPS-ItalicMT"/>
          <w:color w:val="000000"/>
          <w14:ligatures w14:val="standardContextual"/>
        </w:rPr>
        <w:t>,</w:t>
      </w:r>
      <w:r w:rsidR="0095258A">
        <w:rPr>
          <w:rFonts w:ascii="TimesNewRomanPS-ItalicMT" w:hAnsi="TimesNewRomanPS-ItalicMT" w:eastAsiaTheme="minorHAnsi" w:cs="TimesNewRomanPS-ItalicMT"/>
          <w:i/>
          <w:iCs/>
          <w:color w:val="000000"/>
          <w14:ligatures w14:val="standardContextual"/>
        </w:rPr>
        <w:t xml:space="preserve"> </w:t>
      </w:r>
      <w:r w:rsidR="0095258A">
        <w:rPr>
          <w:rFonts w:ascii="TimesNewRomanPSMT" w:hAnsi="TimesNewRomanPSMT" w:eastAsiaTheme="minorHAnsi" w:cs="TimesNewRomanPSMT"/>
          <w:color w:val="000000"/>
          <w14:ligatures w14:val="standardContextual"/>
        </w:rPr>
        <w:t xml:space="preserve">CAICT, </w:t>
      </w:r>
      <w:r w:rsidR="0095258A">
        <w:rPr>
          <w:rFonts w:ascii="TimesNewRomanPS-ItalicMT" w:hAnsi="TimesNewRomanPS-ItalicMT" w:eastAsiaTheme="minorHAnsi" w:cs="TimesNewRomanPS-ItalicMT"/>
          <w:i/>
          <w:iCs/>
          <w:color w:val="000000"/>
          <w14:ligatures w14:val="standardContextual"/>
        </w:rPr>
        <w:t>About Us</w:t>
      </w:r>
      <w:r w:rsidR="0095258A">
        <w:rPr>
          <w:rFonts w:ascii="TimesNewRomanPSMT" w:hAnsi="TimesNewRomanPSMT" w:eastAsiaTheme="minorHAnsi" w:cs="TimesNewRomanPSMT"/>
          <w:color w:val="000000"/>
          <w14:ligatures w14:val="standardContextual"/>
        </w:rPr>
        <w:t xml:space="preserve">, </w:t>
      </w:r>
      <w:hyperlink r:id="rId2" w:history="1">
        <w:r w:rsidRPr="0029753C" w:rsidR="00EF28C1">
          <w:rPr>
            <w:rStyle w:val="Hyperlink"/>
            <w:rFonts w:ascii="TimesNewRomanPSMT" w:hAnsi="TimesNewRomanPSMT" w:eastAsiaTheme="minorHAnsi" w:cs="TimesNewRomanPSMT"/>
            <w14:ligatures w14:val="standardContextual"/>
          </w:rPr>
          <w:t>http://www.caict.ac.cn/english/about/202004/t20200413_279063.html</w:t>
        </w:r>
      </w:hyperlink>
      <w:r w:rsidR="00EF28C1">
        <w:rPr>
          <w:rFonts w:ascii="TimesNewRomanPSMT" w:hAnsi="TimesNewRomanPSMT" w:eastAsiaTheme="minorHAnsi" w:cs="TimesNewRomanPSMT"/>
          <w:color w:val="0000FF"/>
          <w14:ligatures w14:val="standardContextual"/>
        </w:rPr>
        <w:t xml:space="preserve"> </w:t>
      </w:r>
      <w:r w:rsidR="0095258A">
        <w:rPr>
          <w:rFonts w:ascii="TimesNewRomanPSMT" w:hAnsi="TimesNewRomanPSMT" w:eastAsiaTheme="minorHAnsi" w:cs="TimesNewRomanPSMT"/>
          <w:color w:val="000000"/>
          <w14:ligatures w14:val="standardContextual"/>
        </w:rPr>
        <w:t>(last visited</w:t>
      </w:r>
      <w:r w:rsidR="00A21E4A">
        <w:rPr>
          <w:rFonts w:ascii="TimesNewRomanPSMT" w:hAnsi="TimesNewRomanPSMT" w:eastAsiaTheme="minorHAnsi" w:cs="TimesNewRomanPSMT"/>
          <w:color w:val="000000"/>
          <w14:ligatures w14:val="standardContextual"/>
        </w:rPr>
        <w:t xml:space="preserve"> </w:t>
      </w:r>
      <w:r w:rsidR="008502DF">
        <w:rPr>
          <w:rFonts w:ascii="TimesNewRomanPSMT" w:hAnsi="TimesNewRomanPSMT" w:eastAsiaTheme="minorHAnsi" w:cs="TimesNewRomanPSMT"/>
          <w:color w:val="000000"/>
          <w14:ligatures w14:val="standardContextual"/>
        </w:rPr>
        <w:t>Feb</w:t>
      </w:r>
      <w:r w:rsidR="0095258A">
        <w:rPr>
          <w:rFonts w:ascii="TimesNewRomanPSMT" w:hAnsi="TimesNewRomanPSMT" w:eastAsiaTheme="minorHAnsi" w:cs="TimesNewRomanPSMT"/>
          <w:color w:val="000000"/>
          <w14:ligatures w14:val="standardContextual"/>
        </w:rPr>
        <w:t>. 4, 202</w:t>
      </w:r>
      <w:r w:rsidR="008502DF">
        <w:rPr>
          <w:rFonts w:ascii="TimesNewRomanPSMT" w:hAnsi="TimesNewRomanPSMT" w:eastAsiaTheme="minorHAnsi" w:cs="TimesNewRomanPSMT"/>
          <w:color w:val="000000"/>
          <w14:ligatures w14:val="standardContextual"/>
        </w:rPr>
        <w:t>6</w:t>
      </w:r>
      <w:r w:rsidR="0095258A">
        <w:rPr>
          <w:rFonts w:ascii="TimesNewRomanPSMT" w:hAnsi="TimesNewRomanPSMT" w:eastAsiaTheme="minorHAnsi" w:cs="TimesNewRomanPSMT"/>
          <w:color w:val="000000"/>
          <w14:ligatures w14:val="standardContextual"/>
        </w:rPr>
        <w:t>).</w:t>
      </w:r>
    </w:p>
  </w:footnote>
  <w:footnote w:id="13">
    <w:p w:rsidR="00B224E4" w:rsidP="00A21E4A" w14:paraId="1D8EE225" w14:textId="77777777">
      <w:pPr>
        <w:pStyle w:val="FootnoteText"/>
        <w:widowControl w:val="0"/>
        <w:spacing w:after="0"/>
        <w:rPr>
          <w:rFonts w:ascii="TimesNewRomanPSMT" w:hAnsi="TimesNewRomanPSMT" w:eastAsiaTheme="minorHAnsi" w:cs="TimesNewRomanPSMT"/>
          <w:color w:val="000000"/>
          <w14:ligatures w14:val="standardContextual"/>
        </w:rPr>
      </w:pPr>
      <w:r>
        <w:rPr>
          <w:rStyle w:val="FootnoteReference"/>
        </w:rPr>
        <w:footnoteRef/>
      </w:r>
      <w:r>
        <w:t xml:space="preserve"> </w:t>
      </w:r>
      <w:r>
        <w:rPr>
          <w:rFonts w:ascii="TimesNewRomanPSMT" w:hAnsi="TimesNewRomanPSMT" w:eastAsiaTheme="minorHAnsi" w:cs="TimesNewRomanPSMT"/>
          <w:color w:val="000000"/>
          <w14:ligatures w14:val="standardContextual"/>
        </w:rPr>
        <w:t>“The Ministry of Industry and Information Technology of the People’s Republic of China was founded in 2008 as</w:t>
      </w:r>
    </w:p>
    <w:p w:rsidR="00B224E4" w:rsidP="00B224E4" w14:paraId="0D86716C" w14:textId="1C43E14B">
      <w:pPr>
        <w:widowControl/>
        <w:autoSpaceDE w:val="0"/>
        <w:autoSpaceDN w:val="0"/>
        <w:adjustRightInd w:val="0"/>
        <w:rPr>
          <w:rFonts w:ascii="TimesNewRomanPSMT" w:hAnsi="TimesNewRomanPSMT" w:eastAsiaTheme="minorHAnsi" w:cs="TimesNewRomanPSMT"/>
          <w:snapToGrid/>
          <w:color w:val="000000"/>
          <w:kern w:val="0"/>
          <w:sz w:val="20"/>
          <w14:ligatures w14:val="standardContextual"/>
        </w:rPr>
      </w:pPr>
      <w:r>
        <w:rPr>
          <w:rFonts w:ascii="TimesNewRomanPSMT" w:hAnsi="TimesNewRomanPSMT" w:eastAsiaTheme="minorHAnsi" w:cs="TimesNewRomanPSMT"/>
          <w:snapToGrid/>
          <w:color w:val="000000"/>
          <w:kern w:val="0"/>
          <w:sz w:val="20"/>
          <w14:ligatures w14:val="standardContextual"/>
        </w:rPr>
        <w:t xml:space="preserve">a department of the State Council responsible for the country’s industrial branches and information industry.” </w:t>
      </w:r>
      <w:r w:rsidR="00DB32AA">
        <w:rPr>
          <w:rFonts w:ascii="TimesNewRomanPSMT" w:hAnsi="TimesNewRomanPSMT" w:eastAsiaTheme="minorHAnsi" w:cs="TimesNewRomanPSMT"/>
          <w:snapToGrid/>
          <w:color w:val="000000"/>
          <w:kern w:val="0"/>
          <w:sz w:val="20"/>
          <w14:ligatures w14:val="standardContextual"/>
        </w:rPr>
        <w:t xml:space="preserve"> </w:t>
      </w:r>
      <w:r>
        <w:rPr>
          <w:rFonts w:ascii="TimesNewRomanPSMT" w:hAnsi="TimesNewRomanPSMT" w:eastAsiaTheme="minorHAnsi" w:cs="TimesNewRomanPSMT"/>
          <w:snapToGrid/>
          <w:color w:val="000000"/>
          <w:kern w:val="0"/>
          <w:sz w:val="20"/>
          <w14:ligatures w14:val="standardContextual"/>
        </w:rPr>
        <w:t>State</w:t>
      </w:r>
    </w:p>
    <w:p w:rsidR="00B224E4" w:rsidP="00B224E4" w14:paraId="79B9F6C0" w14:textId="77777777">
      <w:pPr>
        <w:widowControl/>
        <w:autoSpaceDE w:val="0"/>
        <w:autoSpaceDN w:val="0"/>
        <w:adjustRightInd w:val="0"/>
        <w:rPr>
          <w:rFonts w:ascii="TimesNewRomanPSMT" w:hAnsi="TimesNewRomanPSMT" w:eastAsiaTheme="minorHAnsi" w:cs="TimesNewRomanPSMT"/>
          <w:snapToGrid/>
          <w:color w:val="000000"/>
          <w:kern w:val="0"/>
          <w:sz w:val="20"/>
          <w14:ligatures w14:val="standardContextual"/>
        </w:rPr>
      </w:pPr>
      <w:r>
        <w:rPr>
          <w:rFonts w:ascii="TimesNewRomanPSMT" w:hAnsi="TimesNewRomanPSMT" w:eastAsiaTheme="minorHAnsi" w:cs="TimesNewRomanPSMT"/>
          <w:snapToGrid/>
          <w:color w:val="000000"/>
          <w:kern w:val="0"/>
          <w:sz w:val="20"/>
          <w14:ligatures w14:val="standardContextual"/>
        </w:rPr>
        <w:t xml:space="preserve">Council, People’s Republic of China, </w:t>
      </w:r>
      <w:r>
        <w:rPr>
          <w:rFonts w:ascii="TimesNewRomanPS-ItalicMT" w:hAnsi="TimesNewRomanPS-ItalicMT" w:eastAsiaTheme="minorHAnsi" w:cs="TimesNewRomanPS-ItalicMT"/>
          <w:i/>
          <w:iCs/>
          <w:snapToGrid/>
          <w:color w:val="000000"/>
          <w:kern w:val="0"/>
          <w:sz w:val="20"/>
          <w14:ligatures w14:val="standardContextual"/>
        </w:rPr>
        <w:t>Ministry of Industry and Information Technology</w:t>
      </w:r>
      <w:r>
        <w:rPr>
          <w:rFonts w:ascii="TimesNewRomanPSMT" w:hAnsi="TimesNewRomanPSMT" w:eastAsiaTheme="minorHAnsi" w:cs="TimesNewRomanPSMT"/>
          <w:snapToGrid/>
          <w:color w:val="000000"/>
          <w:kern w:val="0"/>
          <w:sz w:val="20"/>
          <w14:ligatures w14:val="standardContextual"/>
        </w:rPr>
        <w:t>,</w:t>
      </w:r>
    </w:p>
    <w:p w:rsidR="00360437" w:rsidP="00B224E4" w14:paraId="31A317C3" w14:textId="669BD0C3">
      <w:pPr>
        <w:pStyle w:val="FootnoteText"/>
      </w:pPr>
      <w:hyperlink r:id="rId3" w:history="1">
        <w:r w:rsidRPr="0029753C">
          <w:rPr>
            <w:rStyle w:val="Hyperlink"/>
            <w:rFonts w:ascii="TimesNewRomanPSMT" w:hAnsi="TimesNewRomanPSMT" w:eastAsiaTheme="minorHAnsi" w:cs="TimesNewRomanPSMT"/>
            <w14:ligatures w14:val="standardContextual"/>
          </w:rPr>
          <w:t>https://english.www.gov.cn/state_council/2014/08/23/content_281474983035940.htm</w:t>
        </w:r>
      </w:hyperlink>
      <w:r>
        <w:rPr>
          <w:rFonts w:ascii="TimesNewRomanPSMT" w:hAnsi="TimesNewRomanPSMT" w:eastAsiaTheme="minorHAnsi" w:cs="TimesNewRomanPSMT"/>
          <w:color w:val="0000FF"/>
          <w14:ligatures w14:val="standardContextual"/>
        </w:rPr>
        <w:t xml:space="preserve"> </w:t>
      </w:r>
      <w:r w:rsidR="00B224E4">
        <w:rPr>
          <w:rFonts w:ascii="TimesNewRomanPSMT" w:hAnsi="TimesNewRomanPSMT" w:eastAsiaTheme="minorHAnsi" w:cs="TimesNewRomanPSMT"/>
          <w:color w:val="000000"/>
          <w14:ligatures w14:val="standardContextual"/>
        </w:rPr>
        <w:t>(last visited Sept. 4, 2025).</w:t>
      </w:r>
    </w:p>
  </w:footnote>
  <w:footnote w:id="14">
    <w:p w:rsidR="00771A04" w:rsidP="00461194" w14:paraId="27DD43AC" w14:textId="7931BC8D">
      <w:pPr>
        <w:pStyle w:val="FootnoteText"/>
      </w:pPr>
      <w:r>
        <w:rPr>
          <w:rStyle w:val="FootnoteReference"/>
        </w:rPr>
        <w:footnoteRef/>
      </w:r>
      <w:r>
        <w:t xml:space="preserve"> </w:t>
      </w:r>
      <w:r w:rsidR="00980B80">
        <w:rPr>
          <w:i/>
          <w:iCs/>
        </w:rPr>
        <w:t xml:space="preserve">See </w:t>
      </w:r>
      <w:r w:rsidRPr="00091BF5" w:rsidR="00980B80">
        <w:rPr>
          <w:i/>
          <w:iCs/>
        </w:rPr>
        <w:t>Notice</w:t>
      </w:r>
      <w:r w:rsidR="00980B80">
        <w:t xml:space="preserve">. </w:t>
      </w:r>
    </w:p>
  </w:footnote>
  <w:footnote w:id="15">
    <w:p w:rsidR="00AE6688" w:rsidRPr="00AE6688" w:rsidP="00461194" w14:paraId="183B3F8F" w14:textId="757B82BB">
      <w:pPr>
        <w:pStyle w:val="FootnoteText"/>
      </w:pPr>
      <w:r>
        <w:rPr>
          <w:rStyle w:val="FootnoteReference"/>
        </w:rPr>
        <w:footnoteRef/>
      </w:r>
      <w:r>
        <w:t xml:space="preserve"> </w:t>
      </w:r>
      <w:r>
        <w:rPr>
          <w:i/>
          <w:iCs/>
        </w:rPr>
        <w:t>Id</w:t>
      </w:r>
      <w:r>
        <w:t>.</w:t>
      </w:r>
    </w:p>
  </w:footnote>
  <w:footnote w:id="16">
    <w:p w:rsidR="00941EFB" w:rsidP="00941EFB" w14:paraId="5A4D1A94" w14:textId="77777777">
      <w:pPr>
        <w:pStyle w:val="FootnoteText"/>
      </w:pPr>
      <w:r>
        <w:rPr>
          <w:rStyle w:val="FootnoteReference"/>
        </w:rPr>
        <w:footnoteRef/>
      </w:r>
      <w:r>
        <w:t xml:space="preserve"> </w:t>
      </w:r>
      <w:r>
        <w:rPr>
          <w:i/>
          <w:iCs/>
        </w:rPr>
        <w:t>Id.</w:t>
      </w:r>
      <w:r>
        <w:t xml:space="preserve"> at para. 7 (internal citations omitted).</w:t>
      </w:r>
    </w:p>
  </w:footnote>
  <w:footnote w:id="17">
    <w:p w:rsidR="009944AE" w:rsidRPr="007B4C0B" w:rsidP="00461194" w14:paraId="69C3061B" w14:textId="117F104C">
      <w:pPr>
        <w:pStyle w:val="FootnoteText"/>
      </w:pPr>
      <w:r>
        <w:rPr>
          <w:rStyle w:val="FootnoteReference"/>
        </w:rPr>
        <w:footnoteRef/>
      </w:r>
      <w:r>
        <w:t xml:space="preserve"> </w:t>
      </w:r>
      <w:r>
        <w:rPr>
          <w:i/>
          <w:iCs/>
        </w:rPr>
        <w:t>Id.</w:t>
      </w:r>
      <w:r>
        <w:t xml:space="preserve"> at para. 7</w:t>
      </w:r>
      <w:r w:rsidR="00082B62">
        <w:t xml:space="preserve"> (internal citations omitted)</w:t>
      </w:r>
      <w:r w:rsidR="007B4C0B">
        <w:t xml:space="preserve">; </w:t>
      </w:r>
      <w:r w:rsidR="007B4C0B">
        <w:rPr>
          <w:i/>
          <w:iCs/>
        </w:rPr>
        <w:t xml:space="preserve">see also </w:t>
      </w:r>
      <w:r w:rsidR="007B4C0B">
        <w:t xml:space="preserve">47 CFR § </w:t>
      </w:r>
      <w:r w:rsidR="00B31D36">
        <w:t>2.902</w:t>
      </w:r>
      <w:r w:rsidR="00AA55C1">
        <w:t>.</w:t>
      </w:r>
    </w:p>
  </w:footnote>
  <w:footnote w:id="18">
    <w:p w:rsidR="00145705" w:rsidRPr="00F05025" w:rsidP="00461194" w14:paraId="35A77565" w14:textId="63BFCF3E">
      <w:pPr>
        <w:pStyle w:val="FootnoteText"/>
      </w:pPr>
      <w:r>
        <w:rPr>
          <w:rStyle w:val="FootnoteReference"/>
        </w:rPr>
        <w:footnoteRef/>
      </w:r>
      <w:r>
        <w:t xml:space="preserve"> </w:t>
      </w:r>
      <w:r>
        <w:rPr>
          <w:i/>
          <w:iCs/>
        </w:rPr>
        <w:t>Id</w:t>
      </w:r>
      <w:r>
        <w:t>.</w:t>
      </w:r>
      <w:r w:rsidR="005B2391">
        <w:t xml:space="preserve"> </w:t>
      </w:r>
      <w:r w:rsidR="003801FC">
        <w:t>at</w:t>
      </w:r>
      <w:r w:rsidR="005B2391">
        <w:t xml:space="preserve"> paras. 7-8</w:t>
      </w:r>
      <w:r w:rsidR="00C71B62">
        <w:t>; 47 CFR § 2.951(e) (</w:t>
      </w:r>
      <w:r w:rsidR="002B0AD5">
        <w:t>“</w:t>
      </w:r>
      <w:r w:rsidRPr="001E0AE5" w:rsidR="002B0AD5">
        <w:t>The Commission will notify a laboratory in writing of its intention to withdraw the laboratory’s recognition and provide at least 30 days for the lab to respond.</w:t>
      </w:r>
      <w:r w:rsidR="002B0AD5">
        <w:t>”</w:t>
      </w:r>
      <w:r w:rsidR="00C71B62">
        <w:t>)</w:t>
      </w:r>
      <w:r w:rsidR="002B0AD5">
        <w:rPr>
          <w:i/>
          <w:iCs/>
        </w:rPr>
        <w:t>.</w:t>
      </w:r>
    </w:p>
  </w:footnote>
  <w:footnote w:id="19">
    <w:p w:rsidR="00B96D31" w:rsidP="00461194" w14:paraId="4CAAAD52" w14:textId="1E29E5A4">
      <w:pPr>
        <w:pStyle w:val="FootnoteText"/>
      </w:pPr>
      <w:r>
        <w:rPr>
          <w:rStyle w:val="FootnoteReference"/>
        </w:rPr>
        <w:footnoteRef/>
      </w:r>
      <w:r>
        <w:t xml:space="preserve"> </w:t>
      </w:r>
      <w:r w:rsidRPr="00825F3B">
        <w:rPr>
          <w:i/>
          <w:iCs/>
        </w:rPr>
        <w:t>Telecommunication Technology Labs, CAICT, Designation No. CN1349</w:t>
      </w:r>
      <w:r>
        <w:t xml:space="preserve">, </w:t>
      </w:r>
      <w:r w:rsidRPr="00825F3B">
        <w:t>ET Docket No. 25-267</w:t>
      </w:r>
      <w:r w:rsidRPr="007B7715">
        <w:t>,</w:t>
      </w:r>
      <w:r w:rsidRPr="00825F3B">
        <w:t xml:space="preserve"> </w:t>
      </w:r>
      <w:r>
        <w:t xml:space="preserve">CTTL Response to Notice of Intent to Begin Proceeding to Withdraw Recognition as an Accredited Test Laboratory (filed Oct. 14, 2025) </w:t>
      </w:r>
      <w:r w:rsidRPr="00893A3A">
        <w:t>(</w:t>
      </w:r>
      <w:r w:rsidRPr="00A4598E">
        <w:t>Response</w:t>
      </w:r>
      <w:r w:rsidRPr="00893A3A">
        <w:t>)</w:t>
      </w:r>
      <w:r w:rsidRPr="00B74377">
        <w:t>.</w:t>
      </w:r>
    </w:p>
  </w:footnote>
  <w:footnote w:id="20">
    <w:p w:rsidR="007F7609" w:rsidRPr="007878A0" w14:paraId="6BE8D786" w14:textId="0C7AE829">
      <w:pPr>
        <w:pStyle w:val="FootnoteText"/>
      </w:pPr>
      <w:r>
        <w:rPr>
          <w:rStyle w:val="FootnoteReference"/>
        </w:rPr>
        <w:footnoteRef/>
      </w:r>
      <w:r>
        <w:t xml:space="preserve"> </w:t>
      </w:r>
      <w:r w:rsidR="007878A0">
        <w:rPr>
          <w:i/>
          <w:iCs/>
        </w:rPr>
        <w:t>Id</w:t>
      </w:r>
      <w:r w:rsidR="007878A0">
        <w:t xml:space="preserve">. at 1 </w:t>
      </w:r>
      <w:r w:rsidRPr="004A2EAE" w:rsidR="004A2EAE">
        <w:t>(“Chongqing Information and Communications Technology [sic] is a 100% state-owned institution”)</w:t>
      </w:r>
      <w:r w:rsidR="004A2EAE">
        <w:t>.</w:t>
      </w:r>
    </w:p>
  </w:footnote>
  <w:footnote w:id="21">
    <w:p w:rsidR="0058618C" w:rsidP="00461194" w14:paraId="0D4C12E1" w14:textId="49B42662">
      <w:pPr>
        <w:pStyle w:val="FootnoteText"/>
      </w:pPr>
      <w:r>
        <w:rPr>
          <w:rStyle w:val="FootnoteReference"/>
        </w:rPr>
        <w:footnoteRef/>
      </w:r>
      <w:r>
        <w:t xml:space="preserve"> </w:t>
      </w:r>
      <w:r w:rsidRPr="00C51C93" w:rsidR="00C51C93">
        <w:rPr>
          <w:i/>
          <w:iCs/>
        </w:rPr>
        <w:t>Telecommunication Technology Labs, CAICT, Designation No. CN1349</w:t>
      </w:r>
      <w:r w:rsidRPr="00C51C93" w:rsidR="00C51C93">
        <w:t xml:space="preserve">, ET Docket No. 25-267, </w:t>
      </w:r>
      <w:r w:rsidR="00AB127D">
        <w:t>Order Instituting</w:t>
      </w:r>
      <w:r w:rsidRPr="00C51C93" w:rsidR="00C51C93">
        <w:t xml:space="preserve"> Proceeding to Withdraw Recognition </w:t>
      </w:r>
      <w:r w:rsidR="0078518F">
        <w:t>A</w:t>
      </w:r>
      <w:r w:rsidRPr="00C51C93" w:rsidR="00C51C93">
        <w:t xml:space="preserve">s </w:t>
      </w:r>
      <w:r w:rsidR="0078518F">
        <w:t>A</w:t>
      </w:r>
      <w:r w:rsidRPr="00C51C93" w:rsidR="00C51C93">
        <w:t>n Accredited Test Laboratory, DA 25-</w:t>
      </w:r>
      <w:r w:rsidR="003C6F8E">
        <w:t>929</w:t>
      </w:r>
      <w:r w:rsidRPr="00C51C93" w:rsidR="00C51C93">
        <w:t xml:space="preserve"> (OET </w:t>
      </w:r>
      <w:r w:rsidR="003C6F8E">
        <w:t>Oct</w:t>
      </w:r>
      <w:r w:rsidRPr="00C51C93" w:rsidR="00C51C93">
        <w:t xml:space="preserve">. </w:t>
      </w:r>
      <w:r w:rsidR="003C6F8E">
        <w:t>24</w:t>
      </w:r>
      <w:r w:rsidRPr="00C51C93" w:rsidR="00C51C93">
        <w:t>, 2025) (</w:t>
      </w:r>
      <w:r w:rsidRPr="00DF22E0" w:rsidR="003C6F8E">
        <w:rPr>
          <w:i/>
          <w:iCs/>
        </w:rPr>
        <w:t>Order Instituting Proceeding</w:t>
      </w:r>
      <w:r w:rsidRPr="00C51C93" w:rsidR="00C51C93">
        <w:t>).</w:t>
      </w:r>
    </w:p>
  </w:footnote>
  <w:footnote w:id="22">
    <w:p w:rsidR="00F80EC6" w:rsidRPr="00AA3603" w:rsidP="00461194" w14:paraId="3C1C43D5" w14:textId="27416B7E">
      <w:pPr>
        <w:pStyle w:val="FootnoteText"/>
      </w:pPr>
      <w:r>
        <w:rPr>
          <w:rStyle w:val="FootnoteReference"/>
        </w:rPr>
        <w:footnoteRef/>
      </w:r>
      <w:r>
        <w:t xml:space="preserve"> </w:t>
      </w:r>
      <w:r w:rsidR="00A346ED">
        <w:rPr>
          <w:i/>
          <w:iCs/>
        </w:rPr>
        <w:t xml:space="preserve">See </w:t>
      </w:r>
      <w:r w:rsidR="00C63B05">
        <w:rPr>
          <w:i/>
          <w:iCs/>
        </w:rPr>
        <w:t>id</w:t>
      </w:r>
      <w:r w:rsidR="001816F6">
        <w:rPr>
          <w:i/>
          <w:iCs/>
        </w:rPr>
        <w:t xml:space="preserve">. </w:t>
      </w:r>
      <w:r w:rsidR="00AA3603">
        <w:t>at para. 8.</w:t>
      </w:r>
    </w:p>
  </w:footnote>
  <w:footnote w:id="23">
    <w:p w:rsidR="002C0F8E" w:rsidRPr="00E13878" w:rsidP="00461194" w14:paraId="594DA310" w14:textId="6DB53779">
      <w:pPr>
        <w:pStyle w:val="FootnoteText"/>
      </w:pPr>
      <w:r>
        <w:rPr>
          <w:rStyle w:val="FootnoteReference"/>
        </w:rPr>
        <w:footnoteRef/>
      </w:r>
      <w:r>
        <w:t xml:space="preserve"> </w:t>
      </w:r>
      <w:r w:rsidR="006A0DCD">
        <w:rPr>
          <w:i/>
          <w:iCs/>
        </w:rPr>
        <w:t>Id.</w:t>
      </w:r>
      <w:r w:rsidR="006A0DCD">
        <w:t xml:space="preserve"> </w:t>
      </w:r>
      <w:r w:rsidR="00E955C7">
        <w:t xml:space="preserve">at para. </w:t>
      </w:r>
      <w:r w:rsidR="00AB2739">
        <w:t>8</w:t>
      </w:r>
      <w:r w:rsidR="00A47B82">
        <w:t xml:space="preserve"> </w:t>
      </w:r>
      <w:r w:rsidR="009B723F">
        <w:t xml:space="preserve">(citing </w:t>
      </w:r>
      <w:r w:rsidRPr="00A4598E" w:rsidR="009B723F">
        <w:t>Response</w:t>
      </w:r>
      <w:r w:rsidR="009B723F">
        <w:rPr>
          <w:i/>
          <w:iCs/>
        </w:rPr>
        <w:t xml:space="preserve"> </w:t>
      </w:r>
      <w:r w:rsidR="00E13878">
        <w:t>at 1).</w:t>
      </w:r>
    </w:p>
  </w:footnote>
  <w:footnote w:id="24">
    <w:p w:rsidR="001A4894" w:rsidRPr="00347386" w:rsidP="00461194" w14:paraId="69B7AF24" w14:textId="2DF1C711">
      <w:pPr>
        <w:pStyle w:val="FootnoteText"/>
      </w:pPr>
      <w:r>
        <w:rPr>
          <w:rStyle w:val="FootnoteReference"/>
        </w:rPr>
        <w:footnoteRef/>
      </w:r>
      <w:r>
        <w:t xml:space="preserve"> </w:t>
      </w:r>
      <w:r w:rsidR="006A0DCD">
        <w:rPr>
          <w:i/>
          <w:iCs/>
        </w:rPr>
        <w:t xml:space="preserve">Id. </w:t>
      </w:r>
      <w:r>
        <w:t>at para. 8.</w:t>
      </w:r>
    </w:p>
  </w:footnote>
  <w:footnote w:id="25">
    <w:p w:rsidR="001B5798" w:rsidP="00461194" w14:paraId="4B530070" w14:textId="2F3D4024">
      <w:pPr>
        <w:pStyle w:val="FootnoteText"/>
      </w:pPr>
      <w:r>
        <w:rPr>
          <w:rStyle w:val="FootnoteReference"/>
        </w:rPr>
        <w:footnoteRef/>
      </w:r>
      <w:r>
        <w:t xml:space="preserve"> </w:t>
      </w:r>
      <w:r w:rsidRPr="00FA5FFF" w:rsidR="009F0823">
        <w:rPr>
          <w:i/>
          <w:iCs/>
        </w:rPr>
        <w:t xml:space="preserve">Id. </w:t>
      </w:r>
      <w:r w:rsidR="009F0823">
        <w:t xml:space="preserve">at </w:t>
      </w:r>
      <w:r w:rsidR="006E44A0">
        <w:t xml:space="preserve">para. </w:t>
      </w:r>
      <w:r w:rsidR="00926A69">
        <w:t>9.</w:t>
      </w:r>
    </w:p>
  </w:footnote>
  <w:footnote w:id="26">
    <w:p w:rsidR="00A64DB9" w:rsidP="00461194" w14:paraId="3D2EC045" w14:textId="298E551B">
      <w:pPr>
        <w:pStyle w:val="FootnoteText"/>
      </w:pPr>
      <w:r>
        <w:rPr>
          <w:rStyle w:val="FootnoteReference"/>
        </w:rPr>
        <w:footnoteRef/>
      </w:r>
      <w:r>
        <w:t xml:space="preserve"> </w:t>
      </w:r>
      <w:r w:rsidR="006A0DCD">
        <w:rPr>
          <w:i/>
          <w:iCs/>
        </w:rPr>
        <w:t>Id.</w:t>
      </w:r>
      <w:r w:rsidR="006A0DCD">
        <w:t xml:space="preserve"> </w:t>
      </w:r>
      <w:r w:rsidR="008C40D1">
        <w:t xml:space="preserve">at para. </w:t>
      </w:r>
      <w:r w:rsidR="002B7F0B">
        <w:t>10</w:t>
      </w:r>
      <w:r w:rsidR="008C40D1">
        <w:t>.</w:t>
      </w:r>
    </w:p>
  </w:footnote>
  <w:footnote w:id="27">
    <w:p w:rsidR="00C939D7" w:rsidP="00461194" w14:paraId="79E4D166" w14:textId="62D832A4">
      <w:pPr>
        <w:pStyle w:val="FootnoteText"/>
      </w:pPr>
      <w:r>
        <w:rPr>
          <w:rStyle w:val="FootnoteReference"/>
        </w:rPr>
        <w:footnoteRef/>
      </w:r>
      <w:r>
        <w:t xml:space="preserve"> </w:t>
      </w:r>
      <w:r w:rsidRPr="00825F3B">
        <w:rPr>
          <w:i/>
          <w:iCs/>
        </w:rPr>
        <w:t>Telecommunication Technology Labs, CAICT, Designation No. CN1349,</w:t>
      </w:r>
      <w:r w:rsidRPr="00825F3B">
        <w:t xml:space="preserve"> </w:t>
      </w:r>
      <w:r w:rsidRPr="00825F3B" w:rsidR="00BC618F">
        <w:t>ET Docket No. 25-267</w:t>
      </w:r>
      <w:r w:rsidR="00BC618F">
        <w:t xml:space="preserve">, </w:t>
      </w:r>
      <w:r>
        <w:t xml:space="preserve">CTTL Response </w:t>
      </w:r>
      <w:r w:rsidR="00DC23DD">
        <w:t xml:space="preserve">to </w:t>
      </w:r>
      <w:r w:rsidR="00BC618F">
        <w:t>Order Instituting</w:t>
      </w:r>
      <w:r w:rsidRPr="00C51C93" w:rsidR="00BC618F">
        <w:t xml:space="preserve"> Proceeding to Withdraw Recognition </w:t>
      </w:r>
      <w:r w:rsidR="00BC618F">
        <w:t>A</w:t>
      </w:r>
      <w:r w:rsidRPr="00C51C93" w:rsidR="00BC618F">
        <w:t xml:space="preserve">s </w:t>
      </w:r>
      <w:r w:rsidR="00BC618F">
        <w:t>A</w:t>
      </w:r>
      <w:r w:rsidRPr="00C51C93" w:rsidR="00BC618F">
        <w:t>n Accredited Test Laboratory</w:t>
      </w:r>
      <w:r w:rsidR="00BC618F">
        <w:t xml:space="preserve"> </w:t>
      </w:r>
      <w:r>
        <w:t xml:space="preserve">(filed Nov. 27, 2025) </w:t>
      </w:r>
      <w:r w:rsidRPr="00893A3A">
        <w:t>(</w:t>
      </w:r>
      <w:r w:rsidRPr="00A4598E">
        <w:t>Response</w:t>
      </w:r>
      <w:r w:rsidRPr="00A4598E" w:rsidR="00BC618F">
        <w:t xml:space="preserve"> to </w:t>
      </w:r>
      <w:r w:rsidRPr="00A4598E" w:rsidR="007A72B2">
        <w:t xml:space="preserve">the </w:t>
      </w:r>
      <w:r w:rsidRPr="00A4598E" w:rsidR="00BC618F">
        <w:t>Order</w:t>
      </w:r>
      <w:r w:rsidRPr="00A4598E" w:rsidR="00DB1F9B">
        <w:t xml:space="preserve"> Instituting Proceeding</w:t>
      </w:r>
      <w:r w:rsidRPr="00893A3A">
        <w:t>)</w:t>
      </w:r>
      <w:r w:rsidRPr="00B74377">
        <w:t>.</w:t>
      </w:r>
    </w:p>
  </w:footnote>
  <w:footnote w:id="28">
    <w:p w:rsidR="00BA285E" w:rsidP="00461194" w14:paraId="52C34AD5" w14:textId="2E466545">
      <w:pPr>
        <w:pStyle w:val="FootnoteText"/>
      </w:pPr>
      <w:r>
        <w:rPr>
          <w:rStyle w:val="FootnoteReference"/>
        </w:rPr>
        <w:footnoteRef/>
      </w:r>
      <w:r>
        <w:t xml:space="preserve"> </w:t>
      </w:r>
      <w:r>
        <w:rPr>
          <w:i/>
          <w:iCs/>
        </w:rPr>
        <w:t>Id</w:t>
      </w:r>
      <w:r>
        <w:t>. at 1.</w:t>
      </w:r>
    </w:p>
  </w:footnote>
  <w:footnote w:id="29">
    <w:p w:rsidR="009A2B20" w:rsidRPr="00955D18" w:rsidP="00461194" w14:paraId="31D71D04" w14:textId="3665B375">
      <w:pPr>
        <w:pStyle w:val="FootnoteText"/>
      </w:pPr>
      <w:r>
        <w:rPr>
          <w:rStyle w:val="FootnoteReference"/>
        </w:rPr>
        <w:footnoteRef/>
      </w:r>
      <w:r>
        <w:t xml:space="preserve"> </w:t>
      </w:r>
      <w:r w:rsidR="0007616F">
        <w:rPr>
          <w:i/>
          <w:iCs/>
        </w:rPr>
        <w:t xml:space="preserve">Id. </w:t>
      </w:r>
    </w:p>
  </w:footnote>
  <w:footnote w:id="30">
    <w:p w:rsidR="00B55F04" w:rsidP="00461194" w14:paraId="16F66C7A" w14:textId="50195292">
      <w:pPr>
        <w:pStyle w:val="FootnoteText"/>
      </w:pPr>
      <w:r>
        <w:rPr>
          <w:rStyle w:val="FootnoteReference"/>
        </w:rPr>
        <w:footnoteRef/>
      </w:r>
      <w:r>
        <w:t xml:space="preserve"> </w:t>
      </w:r>
      <w:r w:rsidRPr="00FA5FFF">
        <w:rPr>
          <w:i/>
          <w:iCs/>
        </w:rPr>
        <w:t>Id.</w:t>
      </w:r>
    </w:p>
  </w:footnote>
  <w:footnote w:id="31">
    <w:p w:rsidR="00B73B6B" w:rsidP="00461194" w14:paraId="346EBF55" w14:textId="5BD929EA">
      <w:pPr>
        <w:pStyle w:val="FootnoteText"/>
      </w:pPr>
      <w:r>
        <w:rPr>
          <w:rStyle w:val="FootnoteReference"/>
        </w:rPr>
        <w:footnoteRef/>
      </w:r>
      <w:r>
        <w:t xml:space="preserve"> </w:t>
      </w:r>
      <w:r w:rsidRPr="00FA5FFF">
        <w:rPr>
          <w:i/>
          <w:iCs/>
        </w:rPr>
        <w:t>Id.</w:t>
      </w:r>
    </w:p>
  </w:footnote>
  <w:footnote w:id="32">
    <w:p w:rsidR="008C06DE" w:rsidP="00461194" w14:paraId="3B6F7441" w14:textId="12F6ED42">
      <w:pPr>
        <w:pStyle w:val="FootnoteText"/>
      </w:pPr>
      <w:r>
        <w:rPr>
          <w:rStyle w:val="FootnoteReference"/>
        </w:rPr>
        <w:footnoteRef/>
      </w:r>
      <w:r>
        <w:t xml:space="preserve"> </w:t>
      </w:r>
      <w:r>
        <w:rPr>
          <w:i/>
          <w:iCs/>
        </w:rPr>
        <w:t>Id</w:t>
      </w:r>
      <w:r>
        <w:t xml:space="preserve">. </w:t>
      </w:r>
    </w:p>
  </w:footnote>
  <w:footnote w:id="33">
    <w:p w:rsidR="00466602" w:rsidRPr="0046497F" w:rsidP="00461194" w14:paraId="24F67DB4" w14:textId="42D4A14E">
      <w:pPr>
        <w:pStyle w:val="FootnoteText"/>
      </w:pPr>
      <w:r>
        <w:rPr>
          <w:rStyle w:val="FootnoteReference"/>
        </w:rPr>
        <w:footnoteRef/>
      </w:r>
      <w:r>
        <w:t xml:space="preserve"> </w:t>
      </w:r>
      <w:r>
        <w:rPr>
          <w:i/>
          <w:iCs/>
        </w:rPr>
        <w:t>Id.</w:t>
      </w:r>
      <w:r w:rsidR="0046497F">
        <w:t xml:space="preserve"> at </w:t>
      </w:r>
      <w:r w:rsidR="0038038E">
        <w:t>1-</w:t>
      </w:r>
      <w:r w:rsidR="0046497F">
        <w:t>2.</w:t>
      </w:r>
    </w:p>
  </w:footnote>
  <w:footnote w:id="34">
    <w:p w:rsidR="00F9250C" w:rsidP="00461194" w14:paraId="15E76AD5" w14:textId="19907E46">
      <w:pPr>
        <w:pStyle w:val="FootnoteText"/>
      </w:pPr>
      <w:r>
        <w:rPr>
          <w:rStyle w:val="FootnoteReference"/>
        </w:rPr>
        <w:footnoteRef/>
      </w:r>
      <w:r>
        <w:t xml:space="preserve"> </w:t>
      </w:r>
      <w:r w:rsidR="00C84300">
        <w:t>47 CFR § 2.951(d)(1).</w:t>
      </w:r>
    </w:p>
  </w:footnote>
  <w:footnote w:id="35">
    <w:p w:rsidR="005A25BA" w:rsidP="00461194" w14:paraId="66E40D35" w14:textId="46DB9CE4">
      <w:pPr>
        <w:pStyle w:val="FootnoteText"/>
      </w:pPr>
      <w:r>
        <w:rPr>
          <w:rStyle w:val="FootnoteReference"/>
        </w:rPr>
        <w:footnoteRef/>
      </w:r>
      <w:r>
        <w:t xml:space="preserve"> </w:t>
      </w:r>
      <w:r w:rsidR="00F86C38">
        <w:rPr>
          <w:i/>
          <w:iCs/>
        </w:rPr>
        <w:t>I</w:t>
      </w:r>
      <w:r w:rsidR="00961D7A">
        <w:rPr>
          <w:i/>
          <w:iCs/>
        </w:rPr>
        <w:t>d.</w:t>
      </w:r>
    </w:p>
  </w:footnote>
  <w:footnote w:id="36">
    <w:p w:rsidR="00D64AE0" w:rsidP="00461194" w14:paraId="1810FB5B" w14:textId="41C095A7">
      <w:pPr>
        <w:pStyle w:val="FootnoteText"/>
      </w:pPr>
      <w:r>
        <w:rPr>
          <w:rStyle w:val="FootnoteReference"/>
        </w:rPr>
        <w:footnoteRef/>
      </w:r>
      <w:r>
        <w:t xml:space="preserve"> </w:t>
      </w:r>
      <w:r w:rsidRPr="00D64AE0">
        <w:rPr>
          <w:i/>
          <w:iCs/>
        </w:rPr>
        <w:t>Order Instituting Proceeding</w:t>
      </w:r>
      <w:r w:rsidRPr="00D64AE0">
        <w:t xml:space="preserve"> at para. 10</w:t>
      </w:r>
      <w:r>
        <w:t>.</w:t>
      </w:r>
    </w:p>
  </w:footnote>
  <w:footnote w:id="37">
    <w:p w:rsidR="009D086F" w:rsidRPr="00420143" w:rsidP="009D086F" w14:paraId="31CA8C6A" w14:textId="718C6298">
      <w:pPr>
        <w:pStyle w:val="FootnoteText"/>
      </w:pPr>
      <w:r>
        <w:rPr>
          <w:rStyle w:val="FootnoteReference"/>
        </w:rPr>
        <w:footnoteRef/>
      </w:r>
      <w:r>
        <w:t xml:space="preserve"> </w:t>
      </w:r>
      <w:r>
        <w:rPr>
          <w:i/>
          <w:iCs/>
        </w:rPr>
        <w:t>See</w:t>
      </w:r>
      <w:r>
        <w:t xml:space="preserve"> </w:t>
      </w:r>
      <w:r w:rsidR="00DB32AA">
        <w:rPr>
          <w:i/>
          <w:iCs/>
        </w:rPr>
        <w:t>id.</w:t>
      </w:r>
      <w:r w:rsidRPr="00A4598E" w:rsidR="00DB32AA">
        <w:t xml:space="preserve"> at para. 8</w:t>
      </w:r>
      <w:r>
        <w:t>.</w:t>
      </w:r>
    </w:p>
  </w:footnote>
  <w:footnote w:id="38">
    <w:p w:rsidR="009D086F" w:rsidRPr="00542822" w:rsidP="009D086F" w14:paraId="4279846B" w14:textId="77777777">
      <w:pPr>
        <w:pStyle w:val="FootnoteText"/>
      </w:pPr>
      <w:r>
        <w:rPr>
          <w:rStyle w:val="FootnoteReference"/>
        </w:rPr>
        <w:footnoteRef/>
      </w:r>
      <w:r>
        <w:t xml:space="preserve"> </w:t>
      </w:r>
      <w:r>
        <w:rPr>
          <w:i/>
          <w:iCs/>
        </w:rPr>
        <w:t xml:space="preserve">See </w:t>
      </w:r>
      <w:r w:rsidRPr="00A4598E">
        <w:t>Response to the Order Instituting Proceeding</w:t>
      </w:r>
      <w:r>
        <w:t xml:space="preserve"> at 1.</w:t>
      </w:r>
    </w:p>
  </w:footnote>
  <w:footnote w:id="39">
    <w:p w:rsidR="009D086F" w:rsidP="009D086F" w14:paraId="4AD9C267" w14:textId="77777777">
      <w:pPr>
        <w:pStyle w:val="FootnoteText"/>
      </w:pPr>
      <w:r>
        <w:rPr>
          <w:rStyle w:val="FootnoteReference"/>
        </w:rPr>
        <w:footnoteRef/>
      </w:r>
      <w:r>
        <w:t xml:space="preserve"> </w:t>
      </w:r>
      <w:r w:rsidRPr="003C5B5A">
        <w:t>15 CFR § 791.4</w:t>
      </w:r>
      <w:r>
        <w:t>.</w:t>
      </w:r>
    </w:p>
  </w:footnote>
  <w:footnote w:id="40">
    <w:p w:rsidR="009D086F" w:rsidP="009D086F" w14:paraId="1F03D8D7" w14:textId="77777777">
      <w:pPr>
        <w:pStyle w:val="FootnoteText"/>
      </w:pPr>
      <w:r>
        <w:rPr>
          <w:rStyle w:val="FootnoteReference"/>
        </w:rPr>
        <w:footnoteRef/>
      </w:r>
      <w:r>
        <w:t xml:space="preserve"> 47 CFR § 2.902.</w:t>
      </w:r>
    </w:p>
  </w:footnote>
  <w:footnote w:id="41">
    <w:p w:rsidR="009D086F" w:rsidP="009D086F" w14:paraId="71A26766" w14:textId="77777777">
      <w:pPr>
        <w:pStyle w:val="FootnoteText"/>
      </w:pPr>
      <w:r>
        <w:rPr>
          <w:rStyle w:val="FootnoteReference"/>
        </w:rPr>
        <w:footnoteRef/>
      </w:r>
      <w:r>
        <w:t xml:space="preserve"> 47 CFR § 2.951(d)(1).</w:t>
      </w:r>
    </w:p>
  </w:footnote>
  <w:footnote w:id="42">
    <w:p w:rsidR="009D086F" w:rsidP="009D086F" w14:paraId="7E65B634" w14:textId="77777777">
      <w:pPr>
        <w:pStyle w:val="FootnoteText"/>
      </w:pPr>
      <w:r>
        <w:rPr>
          <w:rStyle w:val="FootnoteReference"/>
        </w:rPr>
        <w:footnoteRef/>
      </w:r>
      <w:r>
        <w:t xml:space="preserve"> 47 CFR § 2.951(b), (d). </w:t>
      </w:r>
    </w:p>
  </w:footnote>
  <w:footnote w:id="43">
    <w:p w:rsidR="00A900D5" w:rsidRPr="00A4598E" w:rsidP="00461194" w14:paraId="7BDD9676" w14:textId="3C36FDBF">
      <w:pPr>
        <w:pStyle w:val="FootnoteText"/>
      </w:pPr>
      <w:r>
        <w:rPr>
          <w:rStyle w:val="FootnoteReference"/>
        </w:rPr>
        <w:footnoteRef/>
      </w:r>
      <w:r>
        <w:t xml:space="preserve"> </w:t>
      </w:r>
      <w:r w:rsidR="0049087B">
        <w:rPr>
          <w:i/>
          <w:iCs/>
        </w:rPr>
        <w:t xml:space="preserve">See </w:t>
      </w:r>
      <w:r w:rsidR="002C0F2F">
        <w:rPr>
          <w:i/>
          <w:iCs/>
        </w:rPr>
        <w:t>generally</w:t>
      </w:r>
      <w:r w:rsidRPr="00C118AF" w:rsidR="00E46CE2">
        <w:t>,</w:t>
      </w:r>
      <w:r w:rsidR="002C0F2F">
        <w:rPr>
          <w:i/>
          <w:iCs/>
        </w:rPr>
        <w:t xml:space="preserve"> </w:t>
      </w:r>
      <w:r w:rsidRPr="00A4598E">
        <w:t>Response to the Order Instituting Proceeding.</w:t>
      </w:r>
    </w:p>
  </w:footnote>
  <w:footnote w:id="44">
    <w:p w:rsidR="005E6548" w:rsidP="00461194" w14:paraId="5B7D20E6" w14:textId="4CF41298">
      <w:pPr>
        <w:pStyle w:val="FootnoteText"/>
      </w:pPr>
      <w:r>
        <w:rPr>
          <w:rStyle w:val="FootnoteReference"/>
        </w:rPr>
        <w:footnoteRef/>
      </w:r>
      <w:r>
        <w:t xml:space="preserve"> </w:t>
      </w:r>
      <w:r w:rsidRPr="003B4161" w:rsidR="003B4161">
        <w:rPr>
          <w:i/>
          <w:iCs/>
        </w:rPr>
        <w:t>Bad Labs Order</w:t>
      </w:r>
      <w:r w:rsidR="003F6D4D">
        <w:t xml:space="preserve"> at </w:t>
      </w:r>
      <w:r w:rsidRPr="004657BA" w:rsidR="004657BA">
        <w:t>3617, para. 1</w:t>
      </w:r>
      <w:r w:rsidR="004657BA">
        <w:t>.</w:t>
      </w:r>
    </w:p>
  </w:footnote>
  <w:footnote w:id="45">
    <w:p w:rsidR="00145705" w:rsidP="00461194" w14:paraId="7094D3FE" w14:textId="4081EE94">
      <w:pPr>
        <w:pStyle w:val="FootnoteText"/>
      </w:pPr>
      <w:r>
        <w:rPr>
          <w:rStyle w:val="FootnoteReference"/>
        </w:rPr>
        <w:footnoteRef/>
      </w:r>
      <w:r>
        <w:t xml:space="preserve"> 47 U.S.C. § 302a(e); 47 CFR § 2.951(d).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2B3" w:rsidRPr="00932521" w:rsidP="008F42B3" w14:paraId="211FFB25" w14:textId="77777777">
    <w:pPr>
      <w:pStyle w:val="Header"/>
    </w:pPr>
    <w:r w:rsidRPr="00932521">
      <w:rPr>
        <w:bCs/>
        <w:noProof/>
      </w:rPr>
      <mc:AlternateContent>
        <mc:Choice Requires="wps">
          <w:drawing>
            <wp:anchor distT="0" distB="0" distL="114300" distR="114300" simplePos="0" relativeHeight="251662336"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87907419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3120" o:allowincell="f" fillcolor="black" stroked="f" strokeweight="0.05pt">
              <w10:wrap anchorx="margin"/>
            </v:rect>
          </w:pict>
        </mc:Fallback>
      </mc:AlternateContent>
    </w:r>
    <w:r w:rsidRPr="00932521">
      <w:rPr>
        <w:bCs/>
      </w:rPr>
      <w:tab/>
    </w:r>
    <w:r w:rsidRPr="3695C6E7">
      <w:t>Federal Communications Commission</w:t>
    </w:r>
    <w:r w:rsidRPr="00932521">
      <w:rPr>
        <w:bCs/>
      </w:rPr>
      <w:tab/>
    </w:r>
    <w:r w:rsidRPr="3695C6E7">
      <w:rPr>
        <w:spacing w:val="-2"/>
      </w:rPr>
      <w:t>DA 26-150</w:t>
    </w:r>
  </w:p>
  <w:p w:rsidR="00145705" w:rsidP="3695C6E7" w14:paraId="3A011E24" w14:textId="230B920D">
    <w:pPr>
      <w:suppressAutoHyphens/>
      <w:spacing w:line="19" w:lineRule="exact"/>
    </w:pPr>
    <w:r>
      <w:rPr>
        <w:noProof/>
      </w:rPr>
      <mc:AlternateContent>
        <mc:Choice Requires="wps">
          <w:drawing>
            <wp:anchor distT="0" distB="0" distL="114300" distR="114300" simplePos="0" relativeHeight="251660288"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50"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705" w:rsidRPr="00932521" w:rsidP="005E0AFC" w14:paraId="3C3B5CA1" w14:textId="3AD5F510">
    <w:pPr>
      <w:pStyle w:val="Header"/>
    </w:pPr>
    <w:r w:rsidRPr="00932521">
      <w:rPr>
        <w:bCs/>
        <w:noProof/>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1"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Pr="00932521">
      <w:rPr>
        <w:bCs/>
      </w:rPr>
      <w:tab/>
    </w:r>
    <w:r w:rsidRPr="3695C6E7" w:rsidR="3695C6E7">
      <w:t>Federal Communications Commission</w:t>
    </w:r>
    <w:r w:rsidRPr="00932521">
      <w:rPr>
        <w:bCs/>
      </w:rPr>
      <w:tab/>
    </w:r>
    <w:r w:rsidRPr="3695C6E7" w:rsidR="3695C6E7">
      <w:rPr>
        <w:spacing w:val="-2"/>
      </w:rPr>
      <w:t>DA 26-150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C7F0580"/>
    <w:multiLevelType w:val="hybridMultilevel"/>
    <w:tmpl w:val="3976DB54"/>
    <w:lvl w:ilvl="0">
      <w:start w:val="1"/>
      <w:numFmt w:val="decimal"/>
      <w:pStyle w:val="LOIInquiry"/>
      <w:lvlText w:val="%1."/>
      <w:lvlJc w:val="left"/>
      <w:pPr>
        <w:ind w:left="720" w:hanging="360"/>
      </w:pPr>
    </w:lvl>
    <w:lvl w:ilvl="1">
      <w:start w:val="1"/>
      <w:numFmt w:val="lowerLetter"/>
      <w:pStyle w:val="LOIInqLevel2"/>
      <w:lvlText w:val="%2."/>
      <w:lvlJc w:val="left"/>
      <w:pPr>
        <w:ind w:left="1440" w:hanging="360"/>
      </w:pPr>
    </w:lvl>
    <w:lvl w:ilvl="2">
      <w:start w:val="1"/>
      <w:numFmt w:val="lowerRoman"/>
      <w:pStyle w:val="LOIinqLevel3"/>
      <w:lvlText w:val="%3."/>
      <w:lvlJc w:val="right"/>
      <w:pPr>
        <w:ind w:left="2160" w:hanging="180"/>
      </w:pPr>
    </w:lvl>
    <w:lvl w:ilvl="3" w:tentative="1">
      <w:start w:val="1"/>
      <w:numFmt w:val="decimal"/>
      <w:pStyle w:val="LOIInqLevel4"/>
      <w:lvlText w:val="%4."/>
      <w:lvlJc w:val="left"/>
      <w:pPr>
        <w:ind w:left="2880" w:hanging="360"/>
      </w:pPr>
    </w:lvl>
    <w:lvl w:ilvl="4" w:tentative="1">
      <w:start w:val="1"/>
      <w:numFmt w:val="lowerLetter"/>
      <w:pStyle w:val="LOIInqLevel5"/>
      <w:lvlText w:val="%5."/>
      <w:lvlJc w:val="left"/>
      <w:pPr>
        <w:ind w:left="3600" w:hanging="360"/>
      </w:pPr>
    </w:lvl>
    <w:lvl w:ilvl="5" w:tentative="1">
      <w:start w:val="1"/>
      <w:numFmt w:val="lowerRoman"/>
      <w:pStyle w:val="LOIInqLevel6"/>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E464A3"/>
    <w:multiLevelType w:val="hybridMultilevel"/>
    <w:tmpl w:val="E6E464CC"/>
    <w:lvl w:ilvl="0">
      <w:start w:val="1"/>
      <w:numFmt w:val="upperRoman"/>
      <w:lvlText w:val="%1."/>
      <w:lvlJc w:val="left"/>
      <w:pPr>
        <w:ind w:left="1080" w:hanging="720"/>
      </w:pPr>
      <w:rPr>
        <w:rFonts w:ascii="Times New Roman Bold" w:eastAsia="Times New Roman" w:hAnsi="Times New Roman Bold" w:cs="Times New Roman" w:hint="default"/>
        <w:b/>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4">
    <w:nsid w:val="248246F3"/>
    <w:multiLevelType w:val="singleLevel"/>
    <w:tmpl w:val="B1F45678"/>
    <w:lvl w:ilvl="0">
      <w:start w:val="1"/>
      <w:numFmt w:val="decimal"/>
      <w:lvlText w:val="%1."/>
      <w:lvlJc w:val="left"/>
      <w:pPr>
        <w:tabs>
          <w:tab w:val="num" w:pos="1080"/>
        </w:tabs>
        <w:ind w:left="0" w:firstLine="72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34027951"/>
    <w:multiLevelType w:val="hybridMultilevel"/>
    <w:tmpl w:val="607AC22C"/>
    <w:lvl w:ilvl="0">
      <w:start w:val="4"/>
      <w:numFmt w:val="upperRoman"/>
      <w:lvlText w:val="%1."/>
      <w:lvlJc w:val="left"/>
      <w:pPr>
        <w:ind w:left="1080" w:hanging="720"/>
      </w:pPr>
      <w:rPr>
        <w:rFonts w:ascii="Times New Roman Bold" w:eastAsia="Times New Roman" w:hAnsi="Times New Roman Bold" w:cs="Times New Roman" w:hint="default"/>
        <w:b/>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9">
    <w:nsid w:val="64A3196F"/>
    <w:multiLevelType w:val="hybridMultilevel"/>
    <w:tmpl w:val="36D28CB0"/>
    <w:lvl w:ilvl="0">
      <w:start w:val="1"/>
      <w:numFmt w:val="upperRoman"/>
      <w:lvlText w:val="%1."/>
      <w:lvlJc w:val="left"/>
      <w:pPr>
        <w:ind w:left="1080" w:hanging="720"/>
      </w:pPr>
      <w:rPr>
        <w:rFonts w:ascii="Times New Roman Bold" w:eastAsia="Times New Roman" w:hAnsi="Times New Roman Bold" w:cs="Times New Roman" w:hint="default"/>
        <w:b/>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0D5F4E"/>
    <w:multiLevelType w:val="multilevel"/>
    <w:tmpl w:val="301E48DA"/>
    <w:styleLink w:val="LOIInquiriesLevelList"/>
    <w:lvl w:ilvl="0">
      <w:start w:val="1"/>
      <w:numFmt w:val="decimal"/>
      <w:lvlText w:val="%1)"/>
      <w:lvlJc w:val="left"/>
      <w:pPr>
        <w:ind w:left="936" w:hanging="57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0AF3BA1"/>
    <w:multiLevelType w:val="hybridMultilevel"/>
    <w:tmpl w:val="55F0445C"/>
    <w:lvl w:ilvl="0">
      <w:start w:val="1"/>
      <w:numFmt w:val="upperRoman"/>
      <w:lvlText w:val="%1."/>
      <w:lvlJc w:val="left"/>
      <w:pPr>
        <w:ind w:left="1080" w:hanging="720"/>
      </w:pPr>
      <w:rPr>
        <w:rFonts w:ascii="Times New Roman Bold" w:eastAsia="Times New Roman" w:hAnsi="Times New Roman Bold" w:cs="Times New Roman" w:hint="default"/>
        <w:b/>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298465">
    <w:abstractNumId w:val="10"/>
  </w:num>
  <w:num w:numId="2" w16cid:durableId="1545098873">
    <w:abstractNumId w:val="1"/>
  </w:num>
  <w:num w:numId="3" w16cid:durableId="1550995302">
    <w:abstractNumId w:val="8"/>
  </w:num>
  <w:num w:numId="4" w16cid:durableId="1643541289">
    <w:abstractNumId w:val="8"/>
  </w:num>
  <w:num w:numId="5" w16cid:durableId="1105463259">
    <w:abstractNumId w:val="8"/>
  </w:num>
  <w:num w:numId="6" w16cid:durableId="923565935">
    <w:abstractNumId w:val="8"/>
    <w:lvlOverride w:ilvl="0">
      <w:startOverride w:val="1"/>
    </w:lvlOverride>
  </w:num>
  <w:num w:numId="7" w16cid:durableId="182479911">
    <w:abstractNumId w:val="8"/>
  </w:num>
  <w:num w:numId="8" w16cid:durableId="133957980">
    <w:abstractNumId w:val="11"/>
  </w:num>
  <w:num w:numId="9" w16cid:durableId="976566633">
    <w:abstractNumId w:val="2"/>
  </w:num>
  <w:num w:numId="10" w16cid:durableId="1697274874">
    <w:abstractNumId w:val="9"/>
  </w:num>
  <w:num w:numId="11" w16cid:durableId="1920139824">
    <w:abstractNumId w:val="6"/>
  </w:num>
  <w:num w:numId="12" w16cid:durableId="1323197542">
    <w:abstractNumId w:val="8"/>
  </w:num>
  <w:num w:numId="13" w16cid:durableId="569190635">
    <w:abstractNumId w:val="8"/>
  </w:num>
  <w:num w:numId="14" w16cid:durableId="57411430">
    <w:abstractNumId w:val="8"/>
  </w:num>
  <w:num w:numId="15" w16cid:durableId="735860606">
    <w:abstractNumId w:val="8"/>
  </w:num>
  <w:num w:numId="16" w16cid:durableId="1373460914">
    <w:abstractNumId w:val="8"/>
  </w:num>
  <w:num w:numId="17" w16cid:durableId="1078134125">
    <w:abstractNumId w:val="8"/>
  </w:num>
  <w:num w:numId="18" w16cid:durableId="136150173">
    <w:abstractNumId w:val="8"/>
  </w:num>
  <w:num w:numId="19" w16cid:durableId="1452556956">
    <w:abstractNumId w:val="8"/>
  </w:num>
  <w:num w:numId="20" w16cid:durableId="1230962759">
    <w:abstractNumId w:val="8"/>
  </w:num>
  <w:num w:numId="21" w16cid:durableId="175316235">
    <w:abstractNumId w:val="8"/>
  </w:num>
  <w:num w:numId="22" w16cid:durableId="252590674">
    <w:abstractNumId w:val="8"/>
  </w:num>
  <w:num w:numId="23" w16cid:durableId="494340987">
    <w:abstractNumId w:val="8"/>
  </w:num>
  <w:num w:numId="24" w16cid:durableId="761923133">
    <w:abstractNumId w:val="3"/>
  </w:num>
  <w:num w:numId="25" w16cid:durableId="105663403">
    <w:abstractNumId w:val="5"/>
  </w:num>
  <w:num w:numId="26" w16cid:durableId="531578111">
    <w:abstractNumId w:val="7"/>
  </w:num>
  <w:num w:numId="27" w16cid:durableId="1027952306">
    <w:abstractNumId w:val="4"/>
  </w:num>
  <w:num w:numId="28" w16cid:durableId="1138885649">
    <w:abstractNumId w:val="0"/>
  </w:num>
  <w:num w:numId="29" w16cid:durableId="57431667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linkStyles/>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type"/>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05"/>
    <w:rsid w:val="00000388"/>
    <w:rsid w:val="00001E0D"/>
    <w:rsid w:val="00002B52"/>
    <w:rsid w:val="00002FD6"/>
    <w:rsid w:val="0000320C"/>
    <w:rsid w:val="00004372"/>
    <w:rsid w:val="0000468F"/>
    <w:rsid w:val="00006681"/>
    <w:rsid w:val="00006ADB"/>
    <w:rsid w:val="000079A6"/>
    <w:rsid w:val="00011687"/>
    <w:rsid w:val="00011942"/>
    <w:rsid w:val="00011990"/>
    <w:rsid w:val="00012868"/>
    <w:rsid w:val="00013010"/>
    <w:rsid w:val="000132A9"/>
    <w:rsid w:val="000140AB"/>
    <w:rsid w:val="000155D2"/>
    <w:rsid w:val="00016C8F"/>
    <w:rsid w:val="000176F6"/>
    <w:rsid w:val="000204C8"/>
    <w:rsid w:val="000209CB"/>
    <w:rsid w:val="000247D7"/>
    <w:rsid w:val="00026367"/>
    <w:rsid w:val="00027335"/>
    <w:rsid w:val="00030E65"/>
    <w:rsid w:val="00033DF5"/>
    <w:rsid w:val="00033EA8"/>
    <w:rsid w:val="0003485B"/>
    <w:rsid w:val="00034DFE"/>
    <w:rsid w:val="000363C4"/>
    <w:rsid w:val="0004055C"/>
    <w:rsid w:val="000438B0"/>
    <w:rsid w:val="00044176"/>
    <w:rsid w:val="00044BF9"/>
    <w:rsid w:val="00045128"/>
    <w:rsid w:val="0004516A"/>
    <w:rsid w:val="000508EC"/>
    <w:rsid w:val="00051159"/>
    <w:rsid w:val="00051AC9"/>
    <w:rsid w:val="00051D1B"/>
    <w:rsid w:val="0005272B"/>
    <w:rsid w:val="00053694"/>
    <w:rsid w:val="00053B75"/>
    <w:rsid w:val="0005411E"/>
    <w:rsid w:val="000548AB"/>
    <w:rsid w:val="00054E2C"/>
    <w:rsid w:val="000552BE"/>
    <w:rsid w:val="00055FFF"/>
    <w:rsid w:val="00056C51"/>
    <w:rsid w:val="00060107"/>
    <w:rsid w:val="0006153B"/>
    <w:rsid w:val="00061B97"/>
    <w:rsid w:val="00061CEB"/>
    <w:rsid w:val="00062AB8"/>
    <w:rsid w:val="00062E68"/>
    <w:rsid w:val="00063A66"/>
    <w:rsid w:val="00065A49"/>
    <w:rsid w:val="00065D60"/>
    <w:rsid w:val="000664E4"/>
    <w:rsid w:val="00067726"/>
    <w:rsid w:val="00067BB0"/>
    <w:rsid w:val="000703BA"/>
    <w:rsid w:val="000719D0"/>
    <w:rsid w:val="00071E0A"/>
    <w:rsid w:val="00072A22"/>
    <w:rsid w:val="0007365F"/>
    <w:rsid w:val="0007459D"/>
    <w:rsid w:val="0007559C"/>
    <w:rsid w:val="0007616F"/>
    <w:rsid w:val="00076B3F"/>
    <w:rsid w:val="000772EF"/>
    <w:rsid w:val="000803B1"/>
    <w:rsid w:val="000809E4"/>
    <w:rsid w:val="0008109B"/>
    <w:rsid w:val="00081D72"/>
    <w:rsid w:val="00082B62"/>
    <w:rsid w:val="000836F6"/>
    <w:rsid w:val="000838AD"/>
    <w:rsid w:val="00083E24"/>
    <w:rsid w:val="000845F6"/>
    <w:rsid w:val="00084691"/>
    <w:rsid w:val="0008737A"/>
    <w:rsid w:val="000873C0"/>
    <w:rsid w:val="00091AA7"/>
    <w:rsid w:val="00091BF5"/>
    <w:rsid w:val="00094787"/>
    <w:rsid w:val="00095186"/>
    <w:rsid w:val="00095E60"/>
    <w:rsid w:val="000963D1"/>
    <w:rsid w:val="00096812"/>
    <w:rsid w:val="000979E0"/>
    <w:rsid w:val="000A03A4"/>
    <w:rsid w:val="000A1063"/>
    <w:rsid w:val="000A1617"/>
    <w:rsid w:val="000A308B"/>
    <w:rsid w:val="000A3FF4"/>
    <w:rsid w:val="000A405B"/>
    <w:rsid w:val="000A4C29"/>
    <w:rsid w:val="000A6328"/>
    <w:rsid w:val="000A6811"/>
    <w:rsid w:val="000A68A0"/>
    <w:rsid w:val="000A6DE2"/>
    <w:rsid w:val="000A712B"/>
    <w:rsid w:val="000B00BB"/>
    <w:rsid w:val="000B13B1"/>
    <w:rsid w:val="000B14EC"/>
    <w:rsid w:val="000B153E"/>
    <w:rsid w:val="000B16D8"/>
    <w:rsid w:val="000B25A8"/>
    <w:rsid w:val="000B2B2F"/>
    <w:rsid w:val="000B5055"/>
    <w:rsid w:val="000B5BAB"/>
    <w:rsid w:val="000B65BE"/>
    <w:rsid w:val="000B6CBB"/>
    <w:rsid w:val="000B7BA3"/>
    <w:rsid w:val="000C0C55"/>
    <w:rsid w:val="000C23B2"/>
    <w:rsid w:val="000C36A3"/>
    <w:rsid w:val="000C387D"/>
    <w:rsid w:val="000C3D06"/>
    <w:rsid w:val="000C49A1"/>
    <w:rsid w:val="000C7C2F"/>
    <w:rsid w:val="000C7E81"/>
    <w:rsid w:val="000D0779"/>
    <w:rsid w:val="000D286C"/>
    <w:rsid w:val="000D2FF6"/>
    <w:rsid w:val="000D3269"/>
    <w:rsid w:val="000D3B07"/>
    <w:rsid w:val="000D52A0"/>
    <w:rsid w:val="000D6C27"/>
    <w:rsid w:val="000D7270"/>
    <w:rsid w:val="000D754A"/>
    <w:rsid w:val="000E0732"/>
    <w:rsid w:val="000E2DEF"/>
    <w:rsid w:val="000E2FF6"/>
    <w:rsid w:val="000E36CD"/>
    <w:rsid w:val="000E49CF"/>
    <w:rsid w:val="000E4A2A"/>
    <w:rsid w:val="000E4CEB"/>
    <w:rsid w:val="000E4E7C"/>
    <w:rsid w:val="000E535B"/>
    <w:rsid w:val="000E5D7E"/>
    <w:rsid w:val="000E772F"/>
    <w:rsid w:val="000E7947"/>
    <w:rsid w:val="000E7A85"/>
    <w:rsid w:val="000E7E79"/>
    <w:rsid w:val="000F12ED"/>
    <w:rsid w:val="000F2E25"/>
    <w:rsid w:val="000F2EC2"/>
    <w:rsid w:val="000F4312"/>
    <w:rsid w:val="000F60F4"/>
    <w:rsid w:val="001027CD"/>
    <w:rsid w:val="001072F1"/>
    <w:rsid w:val="00110547"/>
    <w:rsid w:val="001120E2"/>
    <w:rsid w:val="00112543"/>
    <w:rsid w:val="0011277B"/>
    <w:rsid w:val="00113853"/>
    <w:rsid w:val="00113BCE"/>
    <w:rsid w:val="00114B6F"/>
    <w:rsid w:val="001157F2"/>
    <w:rsid w:val="0011678F"/>
    <w:rsid w:val="001208AD"/>
    <w:rsid w:val="00121929"/>
    <w:rsid w:val="00123E60"/>
    <w:rsid w:val="00124541"/>
    <w:rsid w:val="001249FA"/>
    <w:rsid w:val="0012501D"/>
    <w:rsid w:val="00133DDD"/>
    <w:rsid w:val="00135747"/>
    <w:rsid w:val="00140499"/>
    <w:rsid w:val="00140A78"/>
    <w:rsid w:val="0014269B"/>
    <w:rsid w:val="00142CFB"/>
    <w:rsid w:val="00142E2A"/>
    <w:rsid w:val="001445E1"/>
    <w:rsid w:val="00145705"/>
    <w:rsid w:val="00147983"/>
    <w:rsid w:val="00147D30"/>
    <w:rsid w:val="001502C4"/>
    <w:rsid w:val="001509AB"/>
    <w:rsid w:val="0015116A"/>
    <w:rsid w:val="00151CFC"/>
    <w:rsid w:val="00151EB7"/>
    <w:rsid w:val="00154428"/>
    <w:rsid w:val="00156427"/>
    <w:rsid w:val="001569AE"/>
    <w:rsid w:val="001573EF"/>
    <w:rsid w:val="00157B1E"/>
    <w:rsid w:val="00163E8C"/>
    <w:rsid w:val="001646FA"/>
    <w:rsid w:val="00165E03"/>
    <w:rsid w:val="00166ADD"/>
    <w:rsid w:val="001675B5"/>
    <w:rsid w:val="00170D12"/>
    <w:rsid w:val="00171844"/>
    <w:rsid w:val="001756B9"/>
    <w:rsid w:val="001766FD"/>
    <w:rsid w:val="001816F6"/>
    <w:rsid w:val="0018215C"/>
    <w:rsid w:val="00184B80"/>
    <w:rsid w:val="00186239"/>
    <w:rsid w:val="00187943"/>
    <w:rsid w:val="00190268"/>
    <w:rsid w:val="001916D3"/>
    <w:rsid w:val="0019259E"/>
    <w:rsid w:val="001942E0"/>
    <w:rsid w:val="0019526C"/>
    <w:rsid w:val="00195929"/>
    <w:rsid w:val="00195C20"/>
    <w:rsid w:val="00196CE8"/>
    <w:rsid w:val="00197703"/>
    <w:rsid w:val="00197CEB"/>
    <w:rsid w:val="001A01F4"/>
    <w:rsid w:val="001A1304"/>
    <w:rsid w:val="001A2AF0"/>
    <w:rsid w:val="001A2F75"/>
    <w:rsid w:val="001A4894"/>
    <w:rsid w:val="001A5C95"/>
    <w:rsid w:val="001A623F"/>
    <w:rsid w:val="001A7198"/>
    <w:rsid w:val="001B10EA"/>
    <w:rsid w:val="001B19D8"/>
    <w:rsid w:val="001B1BCF"/>
    <w:rsid w:val="001B34FC"/>
    <w:rsid w:val="001B4886"/>
    <w:rsid w:val="001B553C"/>
    <w:rsid w:val="001B5798"/>
    <w:rsid w:val="001B6323"/>
    <w:rsid w:val="001B7446"/>
    <w:rsid w:val="001B7779"/>
    <w:rsid w:val="001C0663"/>
    <w:rsid w:val="001C0DED"/>
    <w:rsid w:val="001C19EB"/>
    <w:rsid w:val="001C27BD"/>
    <w:rsid w:val="001C2F13"/>
    <w:rsid w:val="001C3756"/>
    <w:rsid w:val="001C4741"/>
    <w:rsid w:val="001C57D6"/>
    <w:rsid w:val="001C5DB7"/>
    <w:rsid w:val="001C7AB4"/>
    <w:rsid w:val="001D1126"/>
    <w:rsid w:val="001D4C1A"/>
    <w:rsid w:val="001D514F"/>
    <w:rsid w:val="001D7791"/>
    <w:rsid w:val="001E0AE5"/>
    <w:rsid w:val="001E21A1"/>
    <w:rsid w:val="001E3B15"/>
    <w:rsid w:val="001E3ECF"/>
    <w:rsid w:val="001E4DE4"/>
    <w:rsid w:val="001E58FF"/>
    <w:rsid w:val="001F05CC"/>
    <w:rsid w:val="001F0E59"/>
    <w:rsid w:val="001F1F13"/>
    <w:rsid w:val="001F2095"/>
    <w:rsid w:val="001F28B2"/>
    <w:rsid w:val="001F758E"/>
    <w:rsid w:val="001F75A6"/>
    <w:rsid w:val="0020061E"/>
    <w:rsid w:val="00202648"/>
    <w:rsid w:val="00203312"/>
    <w:rsid w:val="00203465"/>
    <w:rsid w:val="0020548F"/>
    <w:rsid w:val="00205B30"/>
    <w:rsid w:val="00205D95"/>
    <w:rsid w:val="00206715"/>
    <w:rsid w:val="00206762"/>
    <w:rsid w:val="002071A5"/>
    <w:rsid w:val="0020773F"/>
    <w:rsid w:val="002078E3"/>
    <w:rsid w:val="002120E1"/>
    <w:rsid w:val="002126FC"/>
    <w:rsid w:val="00213A71"/>
    <w:rsid w:val="00213AAD"/>
    <w:rsid w:val="002141B4"/>
    <w:rsid w:val="002146B5"/>
    <w:rsid w:val="002150C1"/>
    <w:rsid w:val="00215F94"/>
    <w:rsid w:val="00216015"/>
    <w:rsid w:val="00216232"/>
    <w:rsid w:val="00216421"/>
    <w:rsid w:val="00217492"/>
    <w:rsid w:val="002214D5"/>
    <w:rsid w:val="00222475"/>
    <w:rsid w:val="00222711"/>
    <w:rsid w:val="0022273B"/>
    <w:rsid w:val="00223924"/>
    <w:rsid w:val="002279B7"/>
    <w:rsid w:val="00232B90"/>
    <w:rsid w:val="00232CDB"/>
    <w:rsid w:val="00232F77"/>
    <w:rsid w:val="002338CC"/>
    <w:rsid w:val="00233FBA"/>
    <w:rsid w:val="00235E2C"/>
    <w:rsid w:val="00237A36"/>
    <w:rsid w:val="0024056B"/>
    <w:rsid w:val="002423A8"/>
    <w:rsid w:val="002425E1"/>
    <w:rsid w:val="00243283"/>
    <w:rsid w:val="00244CF8"/>
    <w:rsid w:val="00245D34"/>
    <w:rsid w:val="00245FAE"/>
    <w:rsid w:val="0024752C"/>
    <w:rsid w:val="002508CF"/>
    <w:rsid w:val="00251F09"/>
    <w:rsid w:val="00254192"/>
    <w:rsid w:val="00255057"/>
    <w:rsid w:val="00255722"/>
    <w:rsid w:val="0025638F"/>
    <w:rsid w:val="00257719"/>
    <w:rsid w:val="00260B6D"/>
    <w:rsid w:val="00260D51"/>
    <w:rsid w:val="00263DDB"/>
    <w:rsid w:val="002665F1"/>
    <w:rsid w:val="00266F39"/>
    <w:rsid w:val="00267685"/>
    <w:rsid w:val="00271872"/>
    <w:rsid w:val="00271D9A"/>
    <w:rsid w:val="002741A4"/>
    <w:rsid w:val="00276542"/>
    <w:rsid w:val="002773A7"/>
    <w:rsid w:val="00282B1A"/>
    <w:rsid w:val="00283234"/>
    <w:rsid w:val="002836C0"/>
    <w:rsid w:val="002840A8"/>
    <w:rsid w:val="002853FE"/>
    <w:rsid w:val="00285811"/>
    <w:rsid w:val="00286270"/>
    <w:rsid w:val="00286D8D"/>
    <w:rsid w:val="00291460"/>
    <w:rsid w:val="002923FC"/>
    <w:rsid w:val="00295C05"/>
    <w:rsid w:val="0029753C"/>
    <w:rsid w:val="002A0306"/>
    <w:rsid w:val="002A0B1C"/>
    <w:rsid w:val="002A0D29"/>
    <w:rsid w:val="002A3519"/>
    <w:rsid w:val="002A3C22"/>
    <w:rsid w:val="002B040B"/>
    <w:rsid w:val="002B0AD5"/>
    <w:rsid w:val="002B0F33"/>
    <w:rsid w:val="002B1263"/>
    <w:rsid w:val="002B1BC4"/>
    <w:rsid w:val="002B2C80"/>
    <w:rsid w:val="002B43A4"/>
    <w:rsid w:val="002B6AA2"/>
    <w:rsid w:val="002B7F0B"/>
    <w:rsid w:val="002C0F2F"/>
    <w:rsid w:val="002C0F8E"/>
    <w:rsid w:val="002C37A4"/>
    <w:rsid w:val="002C42BF"/>
    <w:rsid w:val="002C53AD"/>
    <w:rsid w:val="002C6116"/>
    <w:rsid w:val="002C6D2F"/>
    <w:rsid w:val="002C79D1"/>
    <w:rsid w:val="002D2C32"/>
    <w:rsid w:val="002D3D19"/>
    <w:rsid w:val="002D4E46"/>
    <w:rsid w:val="002D65F7"/>
    <w:rsid w:val="002D6CA1"/>
    <w:rsid w:val="002D7A24"/>
    <w:rsid w:val="002E060F"/>
    <w:rsid w:val="002E098F"/>
    <w:rsid w:val="002E0D32"/>
    <w:rsid w:val="002E1B38"/>
    <w:rsid w:val="002E3C4F"/>
    <w:rsid w:val="002E5014"/>
    <w:rsid w:val="002E55C6"/>
    <w:rsid w:val="002E662E"/>
    <w:rsid w:val="002F0766"/>
    <w:rsid w:val="002F21B1"/>
    <w:rsid w:val="002F2722"/>
    <w:rsid w:val="002F2851"/>
    <w:rsid w:val="002F3521"/>
    <w:rsid w:val="002F5809"/>
    <w:rsid w:val="002F6A5E"/>
    <w:rsid w:val="002F6A68"/>
    <w:rsid w:val="002F7D73"/>
    <w:rsid w:val="003007AC"/>
    <w:rsid w:val="00300B03"/>
    <w:rsid w:val="00303089"/>
    <w:rsid w:val="0030644D"/>
    <w:rsid w:val="00306AD4"/>
    <w:rsid w:val="00307105"/>
    <w:rsid w:val="00307AE5"/>
    <w:rsid w:val="003104CE"/>
    <w:rsid w:val="00310F41"/>
    <w:rsid w:val="0031375B"/>
    <w:rsid w:val="0031486D"/>
    <w:rsid w:val="003153D0"/>
    <w:rsid w:val="00316DD8"/>
    <w:rsid w:val="003205F4"/>
    <w:rsid w:val="00321671"/>
    <w:rsid w:val="0032195F"/>
    <w:rsid w:val="00322F44"/>
    <w:rsid w:val="003245B1"/>
    <w:rsid w:val="0032480C"/>
    <w:rsid w:val="00324CA3"/>
    <w:rsid w:val="003267D8"/>
    <w:rsid w:val="00326803"/>
    <w:rsid w:val="00326CA7"/>
    <w:rsid w:val="0033058E"/>
    <w:rsid w:val="00331BA1"/>
    <w:rsid w:val="0033230A"/>
    <w:rsid w:val="00332E92"/>
    <w:rsid w:val="00334135"/>
    <w:rsid w:val="003379EC"/>
    <w:rsid w:val="00341919"/>
    <w:rsid w:val="00343508"/>
    <w:rsid w:val="00345020"/>
    <w:rsid w:val="00345071"/>
    <w:rsid w:val="00345300"/>
    <w:rsid w:val="00347386"/>
    <w:rsid w:val="003508C2"/>
    <w:rsid w:val="00351046"/>
    <w:rsid w:val="00352177"/>
    <w:rsid w:val="003524E7"/>
    <w:rsid w:val="00352A7D"/>
    <w:rsid w:val="00354029"/>
    <w:rsid w:val="00354052"/>
    <w:rsid w:val="00354C22"/>
    <w:rsid w:val="00355839"/>
    <w:rsid w:val="00355866"/>
    <w:rsid w:val="003573D5"/>
    <w:rsid w:val="003601CE"/>
    <w:rsid w:val="00360437"/>
    <w:rsid w:val="00360623"/>
    <w:rsid w:val="003612BC"/>
    <w:rsid w:val="0036212C"/>
    <w:rsid w:val="00362794"/>
    <w:rsid w:val="0036399F"/>
    <w:rsid w:val="003647BC"/>
    <w:rsid w:val="00366166"/>
    <w:rsid w:val="00366FCA"/>
    <w:rsid w:val="00367159"/>
    <w:rsid w:val="003679B0"/>
    <w:rsid w:val="003704A5"/>
    <w:rsid w:val="00370CF6"/>
    <w:rsid w:val="00371DDB"/>
    <w:rsid w:val="00371E57"/>
    <w:rsid w:val="003753AB"/>
    <w:rsid w:val="00375B71"/>
    <w:rsid w:val="00375C8E"/>
    <w:rsid w:val="00375FCB"/>
    <w:rsid w:val="00376060"/>
    <w:rsid w:val="00376324"/>
    <w:rsid w:val="00377285"/>
    <w:rsid w:val="00377A5F"/>
    <w:rsid w:val="003801FC"/>
    <w:rsid w:val="0038038E"/>
    <w:rsid w:val="00380946"/>
    <w:rsid w:val="0038131F"/>
    <w:rsid w:val="0038133D"/>
    <w:rsid w:val="00381BF8"/>
    <w:rsid w:val="00383719"/>
    <w:rsid w:val="00383C25"/>
    <w:rsid w:val="00385395"/>
    <w:rsid w:val="00386773"/>
    <w:rsid w:val="00386D2F"/>
    <w:rsid w:val="003904D5"/>
    <w:rsid w:val="003914E1"/>
    <w:rsid w:val="00395B08"/>
    <w:rsid w:val="00395D67"/>
    <w:rsid w:val="003A19DA"/>
    <w:rsid w:val="003A1FE5"/>
    <w:rsid w:val="003A400A"/>
    <w:rsid w:val="003A4D44"/>
    <w:rsid w:val="003A7D0D"/>
    <w:rsid w:val="003B08D9"/>
    <w:rsid w:val="003B3266"/>
    <w:rsid w:val="003B32D3"/>
    <w:rsid w:val="003B40D8"/>
    <w:rsid w:val="003B4161"/>
    <w:rsid w:val="003B52BE"/>
    <w:rsid w:val="003B63EF"/>
    <w:rsid w:val="003B6794"/>
    <w:rsid w:val="003C14F5"/>
    <w:rsid w:val="003C21DE"/>
    <w:rsid w:val="003C2753"/>
    <w:rsid w:val="003C3226"/>
    <w:rsid w:val="003C452A"/>
    <w:rsid w:val="003C5AE1"/>
    <w:rsid w:val="003C5B5A"/>
    <w:rsid w:val="003C6821"/>
    <w:rsid w:val="003C6C8C"/>
    <w:rsid w:val="003C6F6A"/>
    <w:rsid w:val="003C6F8E"/>
    <w:rsid w:val="003D131C"/>
    <w:rsid w:val="003D22D2"/>
    <w:rsid w:val="003D270D"/>
    <w:rsid w:val="003D6077"/>
    <w:rsid w:val="003D728A"/>
    <w:rsid w:val="003E2AEB"/>
    <w:rsid w:val="003E5218"/>
    <w:rsid w:val="003F09BD"/>
    <w:rsid w:val="003F136B"/>
    <w:rsid w:val="003F1C2F"/>
    <w:rsid w:val="003F3834"/>
    <w:rsid w:val="003F6740"/>
    <w:rsid w:val="003F6ADF"/>
    <w:rsid w:val="003F6D4D"/>
    <w:rsid w:val="003F7449"/>
    <w:rsid w:val="00400665"/>
    <w:rsid w:val="00400B11"/>
    <w:rsid w:val="004013F0"/>
    <w:rsid w:val="00401CB0"/>
    <w:rsid w:val="0040319C"/>
    <w:rsid w:val="00406690"/>
    <w:rsid w:val="00410082"/>
    <w:rsid w:val="00412B41"/>
    <w:rsid w:val="00416FCB"/>
    <w:rsid w:val="00417CC2"/>
    <w:rsid w:val="00420143"/>
    <w:rsid w:val="004202EB"/>
    <w:rsid w:val="00420CE3"/>
    <w:rsid w:val="004232CB"/>
    <w:rsid w:val="00423BC9"/>
    <w:rsid w:val="004244C7"/>
    <w:rsid w:val="00424D19"/>
    <w:rsid w:val="00426393"/>
    <w:rsid w:val="004271F4"/>
    <w:rsid w:val="004271FF"/>
    <w:rsid w:val="0043092F"/>
    <w:rsid w:val="00432507"/>
    <w:rsid w:val="0043509F"/>
    <w:rsid w:val="004350B9"/>
    <w:rsid w:val="0043521B"/>
    <w:rsid w:val="00435FBE"/>
    <w:rsid w:val="00436356"/>
    <w:rsid w:val="00437082"/>
    <w:rsid w:val="00440CAC"/>
    <w:rsid w:val="004416F0"/>
    <w:rsid w:val="004416F4"/>
    <w:rsid w:val="00441D3D"/>
    <w:rsid w:val="0044295D"/>
    <w:rsid w:val="00443545"/>
    <w:rsid w:val="00443559"/>
    <w:rsid w:val="004469FC"/>
    <w:rsid w:val="00446D5C"/>
    <w:rsid w:val="00447EC9"/>
    <w:rsid w:val="00450571"/>
    <w:rsid w:val="00450929"/>
    <w:rsid w:val="00451177"/>
    <w:rsid w:val="004532A1"/>
    <w:rsid w:val="00453DA3"/>
    <w:rsid w:val="00455A61"/>
    <w:rsid w:val="00457FF1"/>
    <w:rsid w:val="004604DD"/>
    <w:rsid w:val="00461194"/>
    <w:rsid w:val="0046154C"/>
    <w:rsid w:val="00462899"/>
    <w:rsid w:val="00462BA0"/>
    <w:rsid w:val="00463242"/>
    <w:rsid w:val="00463DB7"/>
    <w:rsid w:val="0046497F"/>
    <w:rsid w:val="00465731"/>
    <w:rsid w:val="004657BA"/>
    <w:rsid w:val="00466602"/>
    <w:rsid w:val="00466FF1"/>
    <w:rsid w:val="004670F5"/>
    <w:rsid w:val="00471CDF"/>
    <w:rsid w:val="00472977"/>
    <w:rsid w:val="00475933"/>
    <w:rsid w:val="004773EB"/>
    <w:rsid w:val="00477938"/>
    <w:rsid w:val="00477BEA"/>
    <w:rsid w:val="00477C3F"/>
    <w:rsid w:val="00480C96"/>
    <w:rsid w:val="00482B2B"/>
    <w:rsid w:val="00482B8E"/>
    <w:rsid w:val="00490790"/>
    <w:rsid w:val="0049087B"/>
    <w:rsid w:val="00490F2E"/>
    <w:rsid w:val="00491215"/>
    <w:rsid w:val="004919D1"/>
    <w:rsid w:val="00492D1E"/>
    <w:rsid w:val="004969E2"/>
    <w:rsid w:val="00496ACF"/>
    <w:rsid w:val="0049707E"/>
    <w:rsid w:val="004A10B0"/>
    <w:rsid w:val="004A2EAE"/>
    <w:rsid w:val="004A3AE0"/>
    <w:rsid w:val="004A3EB1"/>
    <w:rsid w:val="004A4210"/>
    <w:rsid w:val="004A64D3"/>
    <w:rsid w:val="004A74D7"/>
    <w:rsid w:val="004A7E58"/>
    <w:rsid w:val="004B0AB0"/>
    <w:rsid w:val="004B22D8"/>
    <w:rsid w:val="004B2C08"/>
    <w:rsid w:val="004B3AE4"/>
    <w:rsid w:val="004B49D5"/>
    <w:rsid w:val="004B593D"/>
    <w:rsid w:val="004B709C"/>
    <w:rsid w:val="004B725F"/>
    <w:rsid w:val="004C1C31"/>
    <w:rsid w:val="004C445B"/>
    <w:rsid w:val="004C53C6"/>
    <w:rsid w:val="004C6BA4"/>
    <w:rsid w:val="004C7769"/>
    <w:rsid w:val="004D3209"/>
    <w:rsid w:val="004D48D6"/>
    <w:rsid w:val="004D4FAB"/>
    <w:rsid w:val="004D54A1"/>
    <w:rsid w:val="004D5520"/>
    <w:rsid w:val="004D5C07"/>
    <w:rsid w:val="004E06EF"/>
    <w:rsid w:val="004E171E"/>
    <w:rsid w:val="004E1CD2"/>
    <w:rsid w:val="004E38A7"/>
    <w:rsid w:val="004E47D8"/>
    <w:rsid w:val="004E59ED"/>
    <w:rsid w:val="004E5A0D"/>
    <w:rsid w:val="004E5C92"/>
    <w:rsid w:val="004E62E7"/>
    <w:rsid w:val="004E7597"/>
    <w:rsid w:val="004E75E2"/>
    <w:rsid w:val="004E7F7F"/>
    <w:rsid w:val="004F08C8"/>
    <w:rsid w:val="004F152A"/>
    <w:rsid w:val="004F2922"/>
    <w:rsid w:val="004F29C6"/>
    <w:rsid w:val="004F4477"/>
    <w:rsid w:val="004F45F8"/>
    <w:rsid w:val="004F4DE2"/>
    <w:rsid w:val="004F53E0"/>
    <w:rsid w:val="004F5DEF"/>
    <w:rsid w:val="004F635B"/>
    <w:rsid w:val="004F6536"/>
    <w:rsid w:val="00500215"/>
    <w:rsid w:val="00500D2D"/>
    <w:rsid w:val="00502C74"/>
    <w:rsid w:val="00503046"/>
    <w:rsid w:val="00503EA7"/>
    <w:rsid w:val="00503F30"/>
    <w:rsid w:val="005067A9"/>
    <w:rsid w:val="00506E8A"/>
    <w:rsid w:val="005078C7"/>
    <w:rsid w:val="00512DD7"/>
    <w:rsid w:val="00512FAF"/>
    <w:rsid w:val="00513B89"/>
    <w:rsid w:val="005143A3"/>
    <w:rsid w:val="00515DD7"/>
    <w:rsid w:val="0051710B"/>
    <w:rsid w:val="00522E0D"/>
    <w:rsid w:val="00523FAB"/>
    <w:rsid w:val="0052406C"/>
    <w:rsid w:val="0052422C"/>
    <w:rsid w:val="00524C27"/>
    <w:rsid w:val="00525CD0"/>
    <w:rsid w:val="00527097"/>
    <w:rsid w:val="0053043E"/>
    <w:rsid w:val="00530BEC"/>
    <w:rsid w:val="00531D34"/>
    <w:rsid w:val="00531D76"/>
    <w:rsid w:val="00531FDB"/>
    <w:rsid w:val="0053429D"/>
    <w:rsid w:val="00535BCC"/>
    <w:rsid w:val="0053734F"/>
    <w:rsid w:val="005405D9"/>
    <w:rsid w:val="00540F43"/>
    <w:rsid w:val="0054114B"/>
    <w:rsid w:val="00541E0C"/>
    <w:rsid w:val="00542822"/>
    <w:rsid w:val="00543033"/>
    <w:rsid w:val="005433FF"/>
    <w:rsid w:val="00543B66"/>
    <w:rsid w:val="005450E3"/>
    <w:rsid w:val="00547297"/>
    <w:rsid w:val="005501C1"/>
    <w:rsid w:val="00552276"/>
    <w:rsid w:val="00552837"/>
    <w:rsid w:val="00553D82"/>
    <w:rsid w:val="005552F9"/>
    <w:rsid w:val="00555482"/>
    <w:rsid w:val="005605BE"/>
    <w:rsid w:val="00561D49"/>
    <w:rsid w:val="00562575"/>
    <w:rsid w:val="005625FA"/>
    <w:rsid w:val="005640BE"/>
    <w:rsid w:val="00564BE6"/>
    <w:rsid w:val="00564F13"/>
    <w:rsid w:val="00565253"/>
    <w:rsid w:val="00565E9D"/>
    <w:rsid w:val="00567DA1"/>
    <w:rsid w:val="0057053D"/>
    <w:rsid w:val="0057146B"/>
    <w:rsid w:val="00573223"/>
    <w:rsid w:val="00574C18"/>
    <w:rsid w:val="005760C4"/>
    <w:rsid w:val="00576B75"/>
    <w:rsid w:val="00582A7A"/>
    <w:rsid w:val="00582D12"/>
    <w:rsid w:val="00583AE7"/>
    <w:rsid w:val="0058618C"/>
    <w:rsid w:val="00586E43"/>
    <w:rsid w:val="0058736F"/>
    <w:rsid w:val="00587407"/>
    <w:rsid w:val="0058789B"/>
    <w:rsid w:val="005932EC"/>
    <w:rsid w:val="00594201"/>
    <w:rsid w:val="005945D8"/>
    <w:rsid w:val="0059492F"/>
    <w:rsid w:val="00594CF3"/>
    <w:rsid w:val="00596621"/>
    <w:rsid w:val="0059678F"/>
    <w:rsid w:val="00596892"/>
    <w:rsid w:val="00596ED7"/>
    <w:rsid w:val="00597265"/>
    <w:rsid w:val="005972DE"/>
    <w:rsid w:val="005A25BA"/>
    <w:rsid w:val="005A2D5D"/>
    <w:rsid w:val="005A363B"/>
    <w:rsid w:val="005A39E8"/>
    <w:rsid w:val="005A3C79"/>
    <w:rsid w:val="005A48B6"/>
    <w:rsid w:val="005A5D41"/>
    <w:rsid w:val="005A6953"/>
    <w:rsid w:val="005A7481"/>
    <w:rsid w:val="005A7863"/>
    <w:rsid w:val="005B01B4"/>
    <w:rsid w:val="005B0C78"/>
    <w:rsid w:val="005B2391"/>
    <w:rsid w:val="005B488F"/>
    <w:rsid w:val="005B5B28"/>
    <w:rsid w:val="005B6278"/>
    <w:rsid w:val="005B6DBF"/>
    <w:rsid w:val="005B79B6"/>
    <w:rsid w:val="005B7AC8"/>
    <w:rsid w:val="005C0D4F"/>
    <w:rsid w:val="005C6E7F"/>
    <w:rsid w:val="005C7120"/>
    <w:rsid w:val="005C7CFF"/>
    <w:rsid w:val="005D0852"/>
    <w:rsid w:val="005D169E"/>
    <w:rsid w:val="005D46B4"/>
    <w:rsid w:val="005D498D"/>
    <w:rsid w:val="005D4BF0"/>
    <w:rsid w:val="005D503F"/>
    <w:rsid w:val="005D584D"/>
    <w:rsid w:val="005E01F7"/>
    <w:rsid w:val="005E0AFC"/>
    <w:rsid w:val="005E0BD3"/>
    <w:rsid w:val="005E0C86"/>
    <w:rsid w:val="005E1BF9"/>
    <w:rsid w:val="005E47CF"/>
    <w:rsid w:val="005E4D52"/>
    <w:rsid w:val="005E62DE"/>
    <w:rsid w:val="005E6548"/>
    <w:rsid w:val="005F16FC"/>
    <w:rsid w:val="005F2DD5"/>
    <w:rsid w:val="005F32A5"/>
    <w:rsid w:val="005F5E91"/>
    <w:rsid w:val="005F5FE2"/>
    <w:rsid w:val="00600744"/>
    <w:rsid w:val="0060208B"/>
    <w:rsid w:val="00602340"/>
    <w:rsid w:val="00602D3D"/>
    <w:rsid w:val="006031F3"/>
    <w:rsid w:val="00603C6F"/>
    <w:rsid w:val="00604C99"/>
    <w:rsid w:val="00606899"/>
    <w:rsid w:val="00611989"/>
    <w:rsid w:val="0061319E"/>
    <w:rsid w:val="00614C5B"/>
    <w:rsid w:val="00614F08"/>
    <w:rsid w:val="00616CF2"/>
    <w:rsid w:val="0062085B"/>
    <w:rsid w:val="00620B5F"/>
    <w:rsid w:val="00622505"/>
    <w:rsid w:val="0062300E"/>
    <w:rsid w:val="00623359"/>
    <w:rsid w:val="00623963"/>
    <w:rsid w:val="00626B48"/>
    <w:rsid w:val="00631715"/>
    <w:rsid w:val="00631DB1"/>
    <w:rsid w:val="00633951"/>
    <w:rsid w:val="0063687C"/>
    <w:rsid w:val="00640B43"/>
    <w:rsid w:val="0064136A"/>
    <w:rsid w:val="0064281D"/>
    <w:rsid w:val="006433F4"/>
    <w:rsid w:val="0064345F"/>
    <w:rsid w:val="00646182"/>
    <w:rsid w:val="00646741"/>
    <w:rsid w:val="00646893"/>
    <w:rsid w:val="00646EE0"/>
    <w:rsid w:val="0065122E"/>
    <w:rsid w:val="00652D6B"/>
    <w:rsid w:val="00653895"/>
    <w:rsid w:val="0065399C"/>
    <w:rsid w:val="00654D88"/>
    <w:rsid w:val="00656C1B"/>
    <w:rsid w:val="00657167"/>
    <w:rsid w:val="006573E2"/>
    <w:rsid w:val="00657A74"/>
    <w:rsid w:val="006604D3"/>
    <w:rsid w:val="00660A07"/>
    <w:rsid w:val="00660D08"/>
    <w:rsid w:val="0066216C"/>
    <w:rsid w:val="006623D4"/>
    <w:rsid w:val="00664A2C"/>
    <w:rsid w:val="00665F23"/>
    <w:rsid w:val="0066612B"/>
    <w:rsid w:val="00670337"/>
    <w:rsid w:val="00670DBE"/>
    <w:rsid w:val="00674165"/>
    <w:rsid w:val="006744EF"/>
    <w:rsid w:val="00674BE1"/>
    <w:rsid w:val="00674CC1"/>
    <w:rsid w:val="00675383"/>
    <w:rsid w:val="00675C69"/>
    <w:rsid w:val="00675DA6"/>
    <w:rsid w:val="00676F42"/>
    <w:rsid w:val="0067788E"/>
    <w:rsid w:val="00677F8A"/>
    <w:rsid w:val="00680E6E"/>
    <w:rsid w:val="0068296E"/>
    <w:rsid w:val="00683C5B"/>
    <w:rsid w:val="006843E4"/>
    <w:rsid w:val="00684641"/>
    <w:rsid w:val="00684A30"/>
    <w:rsid w:val="00684CEB"/>
    <w:rsid w:val="0068531F"/>
    <w:rsid w:val="00685A6C"/>
    <w:rsid w:val="00686848"/>
    <w:rsid w:val="006878A8"/>
    <w:rsid w:val="006952E9"/>
    <w:rsid w:val="00695327"/>
    <w:rsid w:val="00695B5C"/>
    <w:rsid w:val="006A02D8"/>
    <w:rsid w:val="006A0325"/>
    <w:rsid w:val="006A0564"/>
    <w:rsid w:val="006A0DCD"/>
    <w:rsid w:val="006A1A99"/>
    <w:rsid w:val="006A1CCB"/>
    <w:rsid w:val="006A4388"/>
    <w:rsid w:val="006A5123"/>
    <w:rsid w:val="006A57D4"/>
    <w:rsid w:val="006A5D01"/>
    <w:rsid w:val="006A658E"/>
    <w:rsid w:val="006A66BE"/>
    <w:rsid w:val="006A7763"/>
    <w:rsid w:val="006B23E5"/>
    <w:rsid w:val="006B3B38"/>
    <w:rsid w:val="006B4460"/>
    <w:rsid w:val="006B4DD9"/>
    <w:rsid w:val="006B5BE4"/>
    <w:rsid w:val="006B7BEA"/>
    <w:rsid w:val="006C0E45"/>
    <w:rsid w:val="006C0FBD"/>
    <w:rsid w:val="006C18E9"/>
    <w:rsid w:val="006C1E5C"/>
    <w:rsid w:val="006C5742"/>
    <w:rsid w:val="006C5C70"/>
    <w:rsid w:val="006C6172"/>
    <w:rsid w:val="006C773F"/>
    <w:rsid w:val="006C7E2C"/>
    <w:rsid w:val="006D09E5"/>
    <w:rsid w:val="006D1D0A"/>
    <w:rsid w:val="006D311B"/>
    <w:rsid w:val="006D3E81"/>
    <w:rsid w:val="006D4690"/>
    <w:rsid w:val="006D4A3C"/>
    <w:rsid w:val="006D5A16"/>
    <w:rsid w:val="006D73F2"/>
    <w:rsid w:val="006D78DD"/>
    <w:rsid w:val="006D7970"/>
    <w:rsid w:val="006E0902"/>
    <w:rsid w:val="006E15A5"/>
    <w:rsid w:val="006E1F93"/>
    <w:rsid w:val="006E3237"/>
    <w:rsid w:val="006E33E0"/>
    <w:rsid w:val="006E3C4D"/>
    <w:rsid w:val="006E3E8F"/>
    <w:rsid w:val="006E44A0"/>
    <w:rsid w:val="006E4911"/>
    <w:rsid w:val="006E4D4D"/>
    <w:rsid w:val="006E504E"/>
    <w:rsid w:val="006E5A9C"/>
    <w:rsid w:val="006E5BCA"/>
    <w:rsid w:val="006E7EA7"/>
    <w:rsid w:val="006F07E0"/>
    <w:rsid w:val="006F1073"/>
    <w:rsid w:val="006F3216"/>
    <w:rsid w:val="006F3DB1"/>
    <w:rsid w:val="006F60CD"/>
    <w:rsid w:val="006F6E21"/>
    <w:rsid w:val="006F7FE5"/>
    <w:rsid w:val="0070076E"/>
    <w:rsid w:val="00701F69"/>
    <w:rsid w:val="00701FB1"/>
    <w:rsid w:val="0070224F"/>
    <w:rsid w:val="00706717"/>
    <w:rsid w:val="0071243E"/>
    <w:rsid w:val="00712516"/>
    <w:rsid w:val="00714CE1"/>
    <w:rsid w:val="00714DB6"/>
    <w:rsid w:val="0072069F"/>
    <w:rsid w:val="00722AE3"/>
    <w:rsid w:val="00724AD5"/>
    <w:rsid w:val="007252EB"/>
    <w:rsid w:val="0072573A"/>
    <w:rsid w:val="007278F5"/>
    <w:rsid w:val="00727AC1"/>
    <w:rsid w:val="00727E8E"/>
    <w:rsid w:val="00730997"/>
    <w:rsid w:val="00730F1E"/>
    <w:rsid w:val="00731B55"/>
    <w:rsid w:val="00732089"/>
    <w:rsid w:val="00736465"/>
    <w:rsid w:val="00736E8E"/>
    <w:rsid w:val="007414D8"/>
    <w:rsid w:val="0074240D"/>
    <w:rsid w:val="00743C84"/>
    <w:rsid w:val="007454F1"/>
    <w:rsid w:val="00747513"/>
    <w:rsid w:val="00747EE7"/>
    <w:rsid w:val="0075038C"/>
    <w:rsid w:val="00752F00"/>
    <w:rsid w:val="007533E5"/>
    <w:rsid w:val="00754383"/>
    <w:rsid w:val="00755008"/>
    <w:rsid w:val="0075669D"/>
    <w:rsid w:val="00757675"/>
    <w:rsid w:val="0076111F"/>
    <w:rsid w:val="007612A0"/>
    <w:rsid w:val="00762A78"/>
    <w:rsid w:val="007632F8"/>
    <w:rsid w:val="00764AE4"/>
    <w:rsid w:val="0076682A"/>
    <w:rsid w:val="00770184"/>
    <w:rsid w:val="00770BFD"/>
    <w:rsid w:val="00771A04"/>
    <w:rsid w:val="007759CF"/>
    <w:rsid w:val="00775A63"/>
    <w:rsid w:val="00776225"/>
    <w:rsid w:val="00776CD0"/>
    <w:rsid w:val="0077777E"/>
    <w:rsid w:val="007801BF"/>
    <w:rsid w:val="00781C84"/>
    <w:rsid w:val="00782C68"/>
    <w:rsid w:val="00782C97"/>
    <w:rsid w:val="007837D9"/>
    <w:rsid w:val="0078518F"/>
    <w:rsid w:val="0078564D"/>
    <w:rsid w:val="007878A0"/>
    <w:rsid w:val="00787A08"/>
    <w:rsid w:val="00790352"/>
    <w:rsid w:val="007922AD"/>
    <w:rsid w:val="00792CF0"/>
    <w:rsid w:val="007936AA"/>
    <w:rsid w:val="00793736"/>
    <w:rsid w:val="00793FAE"/>
    <w:rsid w:val="00794A37"/>
    <w:rsid w:val="00796389"/>
    <w:rsid w:val="007A003C"/>
    <w:rsid w:val="007A16DB"/>
    <w:rsid w:val="007A1E72"/>
    <w:rsid w:val="007A1FF7"/>
    <w:rsid w:val="007A308F"/>
    <w:rsid w:val="007A3E46"/>
    <w:rsid w:val="007A455C"/>
    <w:rsid w:val="007A4566"/>
    <w:rsid w:val="007A7218"/>
    <w:rsid w:val="007A72B2"/>
    <w:rsid w:val="007B05B1"/>
    <w:rsid w:val="007B27B6"/>
    <w:rsid w:val="007B3839"/>
    <w:rsid w:val="007B4C0B"/>
    <w:rsid w:val="007B4E4E"/>
    <w:rsid w:val="007B5701"/>
    <w:rsid w:val="007B7715"/>
    <w:rsid w:val="007B79A0"/>
    <w:rsid w:val="007C0034"/>
    <w:rsid w:val="007C07EF"/>
    <w:rsid w:val="007C1055"/>
    <w:rsid w:val="007C1DF5"/>
    <w:rsid w:val="007C2B0F"/>
    <w:rsid w:val="007C3C32"/>
    <w:rsid w:val="007C635A"/>
    <w:rsid w:val="007D00E3"/>
    <w:rsid w:val="007D1DC8"/>
    <w:rsid w:val="007D4579"/>
    <w:rsid w:val="007D4BB4"/>
    <w:rsid w:val="007D4FEA"/>
    <w:rsid w:val="007D57B8"/>
    <w:rsid w:val="007D6C05"/>
    <w:rsid w:val="007D707E"/>
    <w:rsid w:val="007D7F08"/>
    <w:rsid w:val="007E2660"/>
    <w:rsid w:val="007E4222"/>
    <w:rsid w:val="007E4CF5"/>
    <w:rsid w:val="007E6331"/>
    <w:rsid w:val="007E7282"/>
    <w:rsid w:val="007F0F0E"/>
    <w:rsid w:val="007F4435"/>
    <w:rsid w:val="007F49D7"/>
    <w:rsid w:val="007F4AE5"/>
    <w:rsid w:val="007F4BEE"/>
    <w:rsid w:val="007F60CE"/>
    <w:rsid w:val="007F6A5B"/>
    <w:rsid w:val="007F6C55"/>
    <w:rsid w:val="007F7609"/>
    <w:rsid w:val="007F78DB"/>
    <w:rsid w:val="007F7E6E"/>
    <w:rsid w:val="0080046B"/>
    <w:rsid w:val="008008CC"/>
    <w:rsid w:val="008032ED"/>
    <w:rsid w:val="0080392C"/>
    <w:rsid w:val="0080394E"/>
    <w:rsid w:val="00805158"/>
    <w:rsid w:val="0080583F"/>
    <w:rsid w:val="00806155"/>
    <w:rsid w:val="008125C0"/>
    <w:rsid w:val="008131F7"/>
    <w:rsid w:val="0081380D"/>
    <w:rsid w:val="00813D12"/>
    <w:rsid w:val="00820B5D"/>
    <w:rsid w:val="0082146D"/>
    <w:rsid w:val="008226A7"/>
    <w:rsid w:val="00822938"/>
    <w:rsid w:val="00822F1D"/>
    <w:rsid w:val="00825F3B"/>
    <w:rsid w:val="0082749A"/>
    <w:rsid w:val="00830210"/>
    <w:rsid w:val="0083067A"/>
    <w:rsid w:val="00830AF4"/>
    <w:rsid w:val="008318CE"/>
    <w:rsid w:val="00832F71"/>
    <w:rsid w:val="00835367"/>
    <w:rsid w:val="00837DAB"/>
    <w:rsid w:val="008401C7"/>
    <w:rsid w:val="008408E0"/>
    <w:rsid w:val="008414E6"/>
    <w:rsid w:val="0084160C"/>
    <w:rsid w:val="0084447C"/>
    <w:rsid w:val="00846D41"/>
    <w:rsid w:val="008472CD"/>
    <w:rsid w:val="008473B8"/>
    <w:rsid w:val="008502DF"/>
    <w:rsid w:val="008516F2"/>
    <w:rsid w:val="00853AEE"/>
    <w:rsid w:val="00853E38"/>
    <w:rsid w:val="0085522D"/>
    <w:rsid w:val="00856006"/>
    <w:rsid w:val="00856566"/>
    <w:rsid w:val="00856EB5"/>
    <w:rsid w:val="00856FBE"/>
    <w:rsid w:val="00857D11"/>
    <w:rsid w:val="0086049D"/>
    <w:rsid w:val="00860D6A"/>
    <w:rsid w:val="0086110B"/>
    <w:rsid w:val="00861352"/>
    <w:rsid w:val="008619C3"/>
    <w:rsid w:val="00861DCB"/>
    <w:rsid w:val="008624F9"/>
    <w:rsid w:val="00863055"/>
    <w:rsid w:val="00863E6F"/>
    <w:rsid w:val="00866B2C"/>
    <w:rsid w:val="0087169B"/>
    <w:rsid w:val="00871C65"/>
    <w:rsid w:val="00872024"/>
    <w:rsid w:val="00874B14"/>
    <w:rsid w:val="00876487"/>
    <w:rsid w:val="008764F8"/>
    <w:rsid w:val="00877001"/>
    <w:rsid w:val="00880A58"/>
    <w:rsid w:val="00882E39"/>
    <w:rsid w:val="008831E2"/>
    <w:rsid w:val="00883A3C"/>
    <w:rsid w:val="0088416C"/>
    <w:rsid w:val="00884C62"/>
    <w:rsid w:val="00884EED"/>
    <w:rsid w:val="00887678"/>
    <w:rsid w:val="00891206"/>
    <w:rsid w:val="00891468"/>
    <w:rsid w:val="008935DA"/>
    <w:rsid w:val="00893A3A"/>
    <w:rsid w:val="008958D8"/>
    <w:rsid w:val="00895BA3"/>
    <w:rsid w:val="0089773D"/>
    <w:rsid w:val="008A0AD5"/>
    <w:rsid w:val="008A11BE"/>
    <w:rsid w:val="008A1430"/>
    <w:rsid w:val="008A20C4"/>
    <w:rsid w:val="008A32B0"/>
    <w:rsid w:val="008A3874"/>
    <w:rsid w:val="008A3F58"/>
    <w:rsid w:val="008A463E"/>
    <w:rsid w:val="008A4AD6"/>
    <w:rsid w:val="008A6035"/>
    <w:rsid w:val="008A61E3"/>
    <w:rsid w:val="008A75C4"/>
    <w:rsid w:val="008A76B3"/>
    <w:rsid w:val="008B0A3A"/>
    <w:rsid w:val="008B225C"/>
    <w:rsid w:val="008B42AC"/>
    <w:rsid w:val="008B438A"/>
    <w:rsid w:val="008B45F9"/>
    <w:rsid w:val="008B4634"/>
    <w:rsid w:val="008C06DE"/>
    <w:rsid w:val="008C1A51"/>
    <w:rsid w:val="008C2A33"/>
    <w:rsid w:val="008C40D1"/>
    <w:rsid w:val="008C53DC"/>
    <w:rsid w:val="008C58C7"/>
    <w:rsid w:val="008C5D46"/>
    <w:rsid w:val="008D169B"/>
    <w:rsid w:val="008D3365"/>
    <w:rsid w:val="008D3C90"/>
    <w:rsid w:val="008D3EFE"/>
    <w:rsid w:val="008D3F0C"/>
    <w:rsid w:val="008D430C"/>
    <w:rsid w:val="008D4A3E"/>
    <w:rsid w:val="008D5E70"/>
    <w:rsid w:val="008D6742"/>
    <w:rsid w:val="008D7438"/>
    <w:rsid w:val="008D76D1"/>
    <w:rsid w:val="008E213D"/>
    <w:rsid w:val="008E5007"/>
    <w:rsid w:val="008E7D3B"/>
    <w:rsid w:val="008E7D6B"/>
    <w:rsid w:val="008F134E"/>
    <w:rsid w:val="008F25E3"/>
    <w:rsid w:val="008F29FA"/>
    <w:rsid w:val="008F2BFE"/>
    <w:rsid w:val="008F3FE1"/>
    <w:rsid w:val="008F419A"/>
    <w:rsid w:val="008F42B3"/>
    <w:rsid w:val="008F4509"/>
    <w:rsid w:val="008F495A"/>
    <w:rsid w:val="008F4E53"/>
    <w:rsid w:val="008F6BEF"/>
    <w:rsid w:val="008F6DF1"/>
    <w:rsid w:val="008F7C74"/>
    <w:rsid w:val="00901B3E"/>
    <w:rsid w:val="0090297D"/>
    <w:rsid w:val="00902F90"/>
    <w:rsid w:val="00904D1A"/>
    <w:rsid w:val="00905E34"/>
    <w:rsid w:val="00910F42"/>
    <w:rsid w:val="009129BD"/>
    <w:rsid w:val="009144EA"/>
    <w:rsid w:val="00916670"/>
    <w:rsid w:val="0091667B"/>
    <w:rsid w:val="009168A7"/>
    <w:rsid w:val="00916EFB"/>
    <w:rsid w:val="00920C49"/>
    <w:rsid w:val="009224F3"/>
    <w:rsid w:val="00922901"/>
    <w:rsid w:val="00923436"/>
    <w:rsid w:val="009234FF"/>
    <w:rsid w:val="00923B83"/>
    <w:rsid w:val="00924028"/>
    <w:rsid w:val="0092696B"/>
    <w:rsid w:val="00926A69"/>
    <w:rsid w:val="00926AB9"/>
    <w:rsid w:val="00926F72"/>
    <w:rsid w:val="00927645"/>
    <w:rsid w:val="00931B94"/>
    <w:rsid w:val="00931BD7"/>
    <w:rsid w:val="009320F7"/>
    <w:rsid w:val="00932521"/>
    <w:rsid w:val="00932D90"/>
    <w:rsid w:val="00934F47"/>
    <w:rsid w:val="009357A0"/>
    <w:rsid w:val="00936368"/>
    <w:rsid w:val="00936CB3"/>
    <w:rsid w:val="009414CC"/>
    <w:rsid w:val="00941542"/>
    <w:rsid w:val="00941EFB"/>
    <w:rsid w:val="00943003"/>
    <w:rsid w:val="009446DB"/>
    <w:rsid w:val="00946354"/>
    <w:rsid w:val="0094761F"/>
    <w:rsid w:val="009503D8"/>
    <w:rsid w:val="0095167F"/>
    <w:rsid w:val="0095258A"/>
    <w:rsid w:val="00955D18"/>
    <w:rsid w:val="0095625D"/>
    <w:rsid w:val="00956A0E"/>
    <w:rsid w:val="00956CE3"/>
    <w:rsid w:val="00956F67"/>
    <w:rsid w:val="00961488"/>
    <w:rsid w:val="00961D7A"/>
    <w:rsid w:val="0096340E"/>
    <w:rsid w:val="009649DF"/>
    <w:rsid w:val="0096665A"/>
    <w:rsid w:val="00972284"/>
    <w:rsid w:val="0097243D"/>
    <w:rsid w:val="00972909"/>
    <w:rsid w:val="0097318B"/>
    <w:rsid w:val="00975445"/>
    <w:rsid w:val="00975770"/>
    <w:rsid w:val="00976568"/>
    <w:rsid w:val="00977322"/>
    <w:rsid w:val="009775D5"/>
    <w:rsid w:val="00977602"/>
    <w:rsid w:val="0097775C"/>
    <w:rsid w:val="00980B80"/>
    <w:rsid w:val="009843F8"/>
    <w:rsid w:val="009850E1"/>
    <w:rsid w:val="0098753D"/>
    <w:rsid w:val="00990789"/>
    <w:rsid w:val="00991787"/>
    <w:rsid w:val="00991D99"/>
    <w:rsid w:val="009944AE"/>
    <w:rsid w:val="00994CF1"/>
    <w:rsid w:val="00995F8B"/>
    <w:rsid w:val="009968A2"/>
    <w:rsid w:val="00997E27"/>
    <w:rsid w:val="009A0DD6"/>
    <w:rsid w:val="009A1666"/>
    <w:rsid w:val="009A1996"/>
    <w:rsid w:val="009A2B20"/>
    <w:rsid w:val="009A303F"/>
    <w:rsid w:val="009A61EB"/>
    <w:rsid w:val="009A6463"/>
    <w:rsid w:val="009A68F4"/>
    <w:rsid w:val="009B0EFF"/>
    <w:rsid w:val="009B3CAC"/>
    <w:rsid w:val="009B3F71"/>
    <w:rsid w:val="009B5711"/>
    <w:rsid w:val="009B6F11"/>
    <w:rsid w:val="009B71A2"/>
    <w:rsid w:val="009B723F"/>
    <w:rsid w:val="009B76A4"/>
    <w:rsid w:val="009C4569"/>
    <w:rsid w:val="009C52CF"/>
    <w:rsid w:val="009C5B51"/>
    <w:rsid w:val="009D086F"/>
    <w:rsid w:val="009D11E6"/>
    <w:rsid w:val="009D1C47"/>
    <w:rsid w:val="009D3889"/>
    <w:rsid w:val="009D69A6"/>
    <w:rsid w:val="009D6ABB"/>
    <w:rsid w:val="009D6AF9"/>
    <w:rsid w:val="009D6D9B"/>
    <w:rsid w:val="009E0381"/>
    <w:rsid w:val="009E051E"/>
    <w:rsid w:val="009E0C29"/>
    <w:rsid w:val="009E1582"/>
    <w:rsid w:val="009E25D1"/>
    <w:rsid w:val="009E2D94"/>
    <w:rsid w:val="009E47BB"/>
    <w:rsid w:val="009E4F37"/>
    <w:rsid w:val="009E57D7"/>
    <w:rsid w:val="009F044F"/>
    <w:rsid w:val="009F0823"/>
    <w:rsid w:val="009F0A5B"/>
    <w:rsid w:val="009F111A"/>
    <w:rsid w:val="009F2060"/>
    <w:rsid w:val="009F387A"/>
    <w:rsid w:val="009F5446"/>
    <w:rsid w:val="009F5A53"/>
    <w:rsid w:val="009F5F3C"/>
    <w:rsid w:val="009F5F48"/>
    <w:rsid w:val="009F7BFB"/>
    <w:rsid w:val="009F7F12"/>
    <w:rsid w:val="00A000CD"/>
    <w:rsid w:val="00A003E2"/>
    <w:rsid w:val="00A006E9"/>
    <w:rsid w:val="00A00A45"/>
    <w:rsid w:val="00A011F9"/>
    <w:rsid w:val="00A01BEC"/>
    <w:rsid w:val="00A01CBB"/>
    <w:rsid w:val="00A061CA"/>
    <w:rsid w:val="00A076E6"/>
    <w:rsid w:val="00A07C52"/>
    <w:rsid w:val="00A10EB0"/>
    <w:rsid w:val="00A1315E"/>
    <w:rsid w:val="00A16149"/>
    <w:rsid w:val="00A16D48"/>
    <w:rsid w:val="00A172E2"/>
    <w:rsid w:val="00A17555"/>
    <w:rsid w:val="00A202C2"/>
    <w:rsid w:val="00A21B5B"/>
    <w:rsid w:val="00A21E4A"/>
    <w:rsid w:val="00A233C7"/>
    <w:rsid w:val="00A24DCF"/>
    <w:rsid w:val="00A25448"/>
    <w:rsid w:val="00A261D0"/>
    <w:rsid w:val="00A26F3C"/>
    <w:rsid w:val="00A275A0"/>
    <w:rsid w:val="00A2790A"/>
    <w:rsid w:val="00A323F9"/>
    <w:rsid w:val="00A33773"/>
    <w:rsid w:val="00A34449"/>
    <w:rsid w:val="00A346ED"/>
    <w:rsid w:val="00A34923"/>
    <w:rsid w:val="00A35A81"/>
    <w:rsid w:val="00A35D86"/>
    <w:rsid w:val="00A36A3C"/>
    <w:rsid w:val="00A36B5B"/>
    <w:rsid w:val="00A400A4"/>
    <w:rsid w:val="00A405F2"/>
    <w:rsid w:val="00A42FFE"/>
    <w:rsid w:val="00A4396E"/>
    <w:rsid w:val="00A443CF"/>
    <w:rsid w:val="00A4506D"/>
    <w:rsid w:val="00A4598E"/>
    <w:rsid w:val="00A4646F"/>
    <w:rsid w:val="00A47120"/>
    <w:rsid w:val="00A47B3D"/>
    <w:rsid w:val="00A47B82"/>
    <w:rsid w:val="00A5093D"/>
    <w:rsid w:val="00A51EF1"/>
    <w:rsid w:val="00A54C64"/>
    <w:rsid w:val="00A55065"/>
    <w:rsid w:val="00A551BF"/>
    <w:rsid w:val="00A55EDB"/>
    <w:rsid w:val="00A561DD"/>
    <w:rsid w:val="00A61D12"/>
    <w:rsid w:val="00A620B9"/>
    <w:rsid w:val="00A64DB9"/>
    <w:rsid w:val="00A65401"/>
    <w:rsid w:val="00A67C40"/>
    <w:rsid w:val="00A67F1B"/>
    <w:rsid w:val="00A7082E"/>
    <w:rsid w:val="00A713DC"/>
    <w:rsid w:val="00A718D1"/>
    <w:rsid w:val="00A72B4C"/>
    <w:rsid w:val="00A74733"/>
    <w:rsid w:val="00A75306"/>
    <w:rsid w:val="00A755E6"/>
    <w:rsid w:val="00A75E52"/>
    <w:rsid w:val="00A76407"/>
    <w:rsid w:val="00A823C8"/>
    <w:rsid w:val="00A83C34"/>
    <w:rsid w:val="00A8431A"/>
    <w:rsid w:val="00A870E6"/>
    <w:rsid w:val="00A87431"/>
    <w:rsid w:val="00A900D5"/>
    <w:rsid w:val="00A9031E"/>
    <w:rsid w:val="00A90A35"/>
    <w:rsid w:val="00A93DD6"/>
    <w:rsid w:val="00A93F0C"/>
    <w:rsid w:val="00A95050"/>
    <w:rsid w:val="00A9564D"/>
    <w:rsid w:val="00A9590C"/>
    <w:rsid w:val="00AA0DAC"/>
    <w:rsid w:val="00AA0F40"/>
    <w:rsid w:val="00AA175C"/>
    <w:rsid w:val="00AA21E9"/>
    <w:rsid w:val="00AA2F93"/>
    <w:rsid w:val="00AA3603"/>
    <w:rsid w:val="00AA5555"/>
    <w:rsid w:val="00AA55C1"/>
    <w:rsid w:val="00AA638F"/>
    <w:rsid w:val="00AA704E"/>
    <w:rsid w:val="00AA7ACD"/>
    <w:rsid w:val="00AB014B"/>
    <w:rsid w:val="00AB127D"/>
    <w:rsid w:val="00AB245C"/>
    <w:rsid w:val="00AB2739"/>
    <w:rsid w:val="00AB37E3"/>
    <w:rsid w:val="00AB383F"/>
    <w:rsid w:val="00AB3F3E"/>
    <w:rsid w:val="00AB58E9"/>
    <w:rsid w:val="00AB5CBE"/>
    <w:rsid w:val="00AB67CF"/>
    <w:rsid w:val="00AC0252"/>
    <w:rsid w:val="00AC1D60"/>
    <w:rsid w:val="00AC1E44"/>
    <w:rsid w:val="00AC3172"/>
    <w:rsid w:val="00AC3E06"/>
    <w:rsid w:val="00AC3F42"/>
    <w:rsid w:val="00AC5CFD"/>
    <w:rsid w:val="00AC6189"/>
    <w:rsid w:val="00AD1D1C"/>
    <w:rsid w:val="00AD2001"/>
    <w:rsid w:val="00AD46CA"/>
    <w:rsid w:val="00AD52B2"/>
    <w:rsid w:val="00AD5C74"/>
    <w:rsid w:val="00AD605A"/>
    <w:rsid w:val="00AD6267"/>
    <w:rsid w:val="00AD6A03"/>
    <w:rsid w:val="00AE0A0C"/>
    <w:rsid w:val="00AE10FC"/>
    <w:rsid w:val="00AE3693"/>
    <w:rsid w:val="00AE6688"/>
    <w:rsid w:val="00AF4656"/>
    <w:rsid w:val="00B0141B"/>
    <w:rsid w:val="00B0294A"/>
    <w:rsid w:val="00B0349B"/>
    <w:rsid w:val="00B049F7"/>
    <w:rsid w:val="00B050AE"/>
    <w:rsid w:val="00B056B8"/>
    <w:rsid w:val="00B05B86"/>
    <w:rsid w:val="00B127CD"/>
    <w:rsid w:val="00B13100"/>
    <w:rsid w:val="00B15F41"/>
    <w:rsid w:val="00B160D0"/>
    <w:rsid w:val="00B16877"/>
    <w:rsid w:val="00B205A5"/>
    <w:rsid w:val="00B224E4"/>
    <w:rsid w:val="00B22706"/>
    <w:rsid w:val="00B22755"/>
    <w:rsid w:val="00B24A77"/>
    <w:rsid w:val="00B316CB"/>
    <w:rsid w:val="00B31D36"/>
    <w:rsid w:val="00B32294"/>
    <w:rsid w:val="00B32319"/>
    <w:rsid w:val="00B33015"/>
    <w:rsid w:val="00B34B5A"/>
    <w:rsid w:val="00B3533A"/>
    <w:rsid w:val="00B37153"/>
    <w:rsid w:val="00B3729F"/>
    <w:rsid w:val="00B402CC"/>
    <w:rsid w:val="00B40E8B"/>
    <w:rsid w:val="00B4235F"/>
    <w:rsid w:val="00B427CD"/>
    <w:rsid w:val="00B44052"/>
    <w:rsid w:val="00B446FF"/>
    <w:rsid w:val="00B45560"/>
    <w:rsid w:val="00B456D9"/>
    <w:rsid w:val="00B45E14"/>
    <w:rsid w:val="00B46452"/>
    <w:rsid w:val="00B50B3F"/>
    <w:rsid w:val="00B513D5"/>
    <w:rsid w:val="00B520ED"/>
    <w:rsid w:val="00B53076"/>
    <w:rsid w:val="00B5335C"/>
    <w:rsid w:val="00B55A1C"/>
    <w:rsid w:val="00B55F04"/>
    <w:rsid w:val="00B568BF"/>
    <w:rsid w:val="00B61363"/>
    <w:rsid w:val="00B62075"/>
    <w:rsid w:val="00B6237E"/>
    <w:rsid w:val="00B65085"/>
    <w:rsid w:val="00B657A6"/>
    <w:rsid w:val="00B65F8D"/>
    <w:rsid w:val="00B67B0A"/>
    <w:rsid w:val="00B70CC9"/>
    <w:rsid w:val="00B71590"/>
    <w:rsid w:val="00B72302"/>
    <w:rsid w:val="00B735E0"/>
    <w:rsid w:val="00B737AB"/>
    <w:rsid w:val="00B73B6B"/>
    <w:rsid w:val="00B74377"/>
    <w:rsid w:val="00B74DF1"/>
    <w:rsid w:val="00B76C4C"/>
    <w:rsid w:val="00B76EF0"/>
    <w:rsid w:val="00B7717A"/>
    <w:rsid w:val="00B80B69"/>
    <w:rsid w:val="00B80BD7"/>
    <w:rsid w:val="00B836F0"/>
    <w:rsid w:val="00B83EB9"/>
    <w:rsid w:val="00B85527"/>
    <w:rsid w:val="00B85B50"/>
    <w:rsid w:val="00B86409"/>
    <w:rsid w:val="00B900B4"/>
    <w:rsid w:val="00B90697"/>
    <w:rsid w:val="00B922CD"/>
    <w:rsid w:val="00B92ED3"/>
    <w:rsid w:val="00B9393A"/>
    <w:rsid w:val="00B940A3"/>
    <w:rsid w:val="00B94D80"/>
    <w:rsid w:val="00B94EAA"/>
    <w:rsid w:val="00B957E0"/>
    <w:rsid w:val="00B95897"/>
    <w:rsid w:val="00B96376"/>
    <w:rsid w:val="00B96D31"/>
    <w:rsid w:val="00B9704E"/>
    <w:rsid w:val="00BA0CF4"/>
    <w:rsid w:val="00BA1845"/>
    <w:rsid w:val="00BA285E"/>
    <w:rsid w:val="00BA2FC5"/>
    <w:rsid w:val="00BA3132"/>
    <w:rsid w:val="00BA4597"/>
    <w:rsid w:val="00BA4A2B"/>
    <w:rsid w:val="00BA60BA"/>
    <w:rsid w:val="00BA622C"/>
    <w:rsid w:val="00BA6E6C"/>
    <w:rsid w:val="00BA76AC"/>
    <w:rsid w:val="00BB00B1"/>
    <w:rsid w:val="00BB211A"/>
    <w:rsid w:val="00BB3C31"/>
    <w:rsid w:val="00BB3E43"/>
    <w:rsid w:val="00BB4667"/>
    <w:rsid w:val="00BB4C2E"/>
    <w:rsid w:val="00BB5465"/>
    <w:rsid w:val="00BB578C"/>
    <w:rsid w:val="00BB5ED6"/>
    <w:rsid w:val="00BB752A"/>
    <w:rsid w:val="00BB75AE"/>
    <w:rsid w:val="00BC15EB"/>
    <w:rsid w:val="00BC24BA"/>
    <w:rsid w:val="00BC27F7"/>
    <w:rsid w:val="00BC4086"/>
    <w:rsid w:val="00BC4F00"/>
    <w:rsid w:val="00BC618F"/>
    <w:rsid w:val="00BD22C6"/>
    <w:rsid w:val="00BD2426"/>
    <w:rsid w:val="00BD27E4"/>
    <w:rsid w:val="00BD33C5"/>
    <w:rsid w:val="00BD634D"/>
    <w:rsid w:val="00BD7D50"/>
    <w:rsid w:val="00BE2E93"/>
    <w:rsid w:val="00BE4B6D"/>
    <w:rsid w:val="00BE58A9"/>
    <w:rsid w:val="00BE6386"/>
    <w:rsid w:val="00BE76EA"/>
    <w:rsid w:val="00BE7E46"/>
    <w:rsid w:val="00BF0A53"/>
    <w:rsid w:val="00BF320C"/>
    <w:rsid w:val="00BF405E"/>
    <w:rsid w:val="00BF408D"/>
    <w:rsid w:val="00BF4639"/>
    <w:rsid w:val="00BF4D93"/>
    <w:rsid w:val="00BF6CD6"/>
    <w:rsid w:val="00BF73FD"/>
    <w:rsid w:val="00BF748B"/>
    <w:rsid w:val="00C03617"/>
    <w:rsid w:val="00C04BA8"/>
    <w:rsid w:val="00C05205"/>
    <w:rsid w:val="00C06E96"/>
    <w:rsid w:val="00C07017"/>
    <w:rsid w:val="00C07512"/>
    <w:rsid w:val="00C118AF"/>
    <w:rsid w:val="00C11AD2"/>
    <w:rsid w:val="00C11BF2"/>
    <w:rsid w:val="00C11EBE"/>
    <w:rsid w:val="00C122DF"/>
    <w:rsid w:val="00C1278A"/>
    <w:rsid w:val="00C159C3"/>
    <w:rsid w:val="00C179A7"/>
    <w:rsid w:val="00C17BF4"/>
    <w:rsid w:val="00C201F0"/>
    <w:rsid w:val="00C230B9"/>
    <w:rsid w:val="00C23C7B"/>
    <w:rsid w:val="00C2683D"/>
    <w:rsid w:val="00C27918"/>
    <w:rsid w:val="00C301DD"/>
    <w:rsid w:val="00C30550"/>
    <w:rsid w:val="00C317C1"/>
    <w:rsid w:val="00C3194D"/>
    <w:rsid w:val="00C3383D"/>
    <w:rsid w:val="00C34496"/>
    <w:rsid w:val="00C34697"/>
    <w:rsid w:val="00C36050"/>
    <w:rsid w:val="00C3626F"/>
    <w:rsid w:val="00C36308"/>
    <w:rsid w:val="00C3642D"/>
    <w:rsid w:val="00C4000D"/>
    <w:rsid w:val="00C4065F"/>
    <w:rsid w:val="00C40EEB"/>
    <w:rsid w:val="00C411F2"/>
    <w:rsid w:val="00C417E6"/>
    <w:rsid w:val="00C43058"/>
    <w:rsid w:val="00C43159"/>
    <w:rsid w:val="00C438AC"/>
    <w:rsid w:val="00C44125"/>
    <w:rsid w:val="00C44DF3"/>
    <w:rsid w:val="00C46557"/>
    <w:rsid w:val="00C46A59"/>
    <w:rsid w:val="00C46D9F"/>
    <w:rsid w:val="00C473FE"/>
    <w:rsid w:val="00C51C93"/>
    <w:rsid w:val="00C5261B"/>
    <w:rsid w:val="00C52F39"/>
    <w:rsid w:val="00C52FB0"/>
    <w:rsid w:val="00C532E0"/>
    <w:rsid w:val="00C5348B"/>
    <w:rsid w:val="00C57895"/>
    <w:rsid w:val="00C57BCE"/>
    <w:rsid w:val="00C618A6"/>
    <w:rsid w:val="00C62731"/>
    <w:rsid w:val="00C63ABB"/>
    <w:rsid w:val="00C63B05"/>
    <w:rsid w:val="00C64594"/>
    <w:rsid w:val="00C71A22"/>
    <w:rsid w:val="00C71B62"/>
    <w:rsid w:val="00C720EF"/>
    <w:rsid w:val="00C72B86"/>
    <w:rsid w:val="00C742CE"/>
    <w:rsid w:val="00C748CE"/>
    <w:rsid w:val="00C74FDF"/>
    <w:rsid w:val="00C75897"/>
    <w:rsid w:val="00C761B6"/>
    <w:rsid w:val="00C77604"/>
    <w:rsid w:val="00C77D16"/>
    <w:rsid w:val="00C80332"/>
    <w:rsid w:val="00C826D4"/>
    <w:rsid w:val="00C83DBA"/>
    <w:rsid w:val="00C84300"/>
    <w:rsid w:val="00C84788"/>
    <w:rsid w:val="00C84843"/>
    <w:rsid w:val="00C84F9C"/>
    <w:rsid w:val="00C85ED6"/>
    <w:rsid w:val="00C86950"/>
    <w:rsid w:val="00C86E1D"/>
    <w:rsid w:val="00C87313"/>
    <w:rsid w:val="00C912F5"/>
    <w:rsid w:val="00C91344"/>
    <w:rsid w:val="00C9268E"/>
    <w:rsid w:val="00C9312F"/>
    <w:rsid w:val="00C939D7"/>
    <w:rsid w:val="00C9411A"/>
    <w:rsid w:val="00C94756"/>
    <w:rsid w:val="00C94944"/>
    <w:rsid w:val="00C949E0"/>
    <w:rsid w:val="00C9622B"/>
    <w:rsid w:val="00C96318"/>
    <w:rsid w:val="00C96CDF"/>
    <w:rsid w:val="00C97280"/>
    <w:rsid w:val="00CA1314"/>
    <w:rsid w:val="00CA37F6"/>
    <w:rsid w:val="00CA4672"/>
    <w:rsid w:val="00CA47ED"/>
    <w:rsid w:val="00CA5E07"/>
    <w:rsid w:val="00CA6DC3"/>
    <w:rsid w:val="00CA7F9C"/>
    <w:rsid w:val="00CB026F"/>
    <w:rsid w:val="00CB071C"/>
    <w:rsid w:val="00CB201B"/>
    <w:rsid w:val="00CB3873"/>
    <w:rsid w:val="00CB5C1A"/>
    <w:rsid w:val="00CB6861"/>
    <w:rsid w:val="00CB7358"/>
    <w:rsid w:val="00CB7929"/>
    <w:rsid w:val="00CC4C5F"/>
    <w:rsid w:val="00CC565B"/>
    <w:rsid w:val="00CC6939"/>
    <w:rsid w:val="00CD0000"/>
    <w:rsid w:val="00CD0487"/>
    <w:rsid w:val="00CD070F"/>
    <w:rsid w:val="00CD09C3"/>
    <w:rsid w:val="00CD1101"/>
    <w:rsid w:val="00CD282F"/>
    <w:rsid w:val="00CD28DA"/>
    <w:rsid w:val="00CD3D9A"/>
    <w:rsid w:val="00CD6029"/>
    <w:rsid w:val="00CD641E"/>
    <w:rsid w:val="00CD6D50"/>
    <w:rsid w:val="00CD74F6"/>
    <w:rsid w:val="00CE07D2"/>
    <w:rsid w:val="00CE63D7"/>
    <w:rsid w:val="00CE667A"/>
    <w:rsid w:val="00CE6E4A"/>
    <w:rsid w:val="00CE71BC"/>
    <w:rsid w:val="00CE7B0A"/>
    <w:rsid w:val="00CE7F5C"/>
    <w:rsid w:val="00CF00E6"/>
    <w:rsid w:val="00CF2462"/>
    <w:rsid w:val="00CF2E20"/>
    <w:rsid w:val="00CF57B1"/>
    <w:rsid w:val="00CF71F0"/>
    <w:rsid w:val="00CF754D"/>
    <w:rsid w:val="00D0007F"/>
    <w:rsid w:val="00D00E18"/>
    <w:rsid w:val="00D01011"/>
    <w:rsid w:val="00D019D6"/>
    <w:rsid w:val="00D032C9"/>
    <w:rsid w:val="00D04A76"/>
    <w:rsid w:val="00D062B7"/>
    <w:rsid w:val="00D06700"/>
    <w:rsid w:val="00D06CCC"/>
    <w:rsid w:val="00D07B88"/>
    <w:rsid w:val="00D12F3A"/>
    <w:rsid w:val="00D1401B"/>
    <w:rsid w:val="00D14512"/>
    <w:rsid w:val="00D151C3"/>
    <w:rsid w:val="00D16CDD"/>
    <w:rsid w:val="00D202A7"/>
    <w:rsid w:val="00D20B7A"/>
    <w:rsid w:val="00D20F99"/>
    <w:rsid w:val="00D214C0"/>
    <w:rsid w:val="00D23CAF"/>
    <w:rsid w:val="00D24036"/>
    <w:rsid w:val="00D24EB3"/>
    <w:rsid w:val="00D251FC"/>
    <w:rsid w:val="00D2715C"/>
    <w:rsid w:val="00D34D8F"/>
    <w:rsid w:val="00D35409"/>
    <w:rsid w:val="00D355B6"/>
    <w:rsid w:val="00D3642C"/>
    <w:rsid w:val="00D36B8C"/>
    <w:rsid w:val="00D3783A"/>
    <w:rsid w:val="00D41661"/>
    <w:rsid w:val="00D43308"/>
    <w:rsid w:val="00D438E3"/>
    <w:rsid w:val="00D441D6"/>
    <w:rsid w:val="00D46426"/>
    <w:rsid w:val="00D46E50"/>
    <w:rsid w:val="00D47A40"/>
    <w:rsid w:val="00D47E5E"/>
    <w:rsid w:val="00D50783"/>
    <w:rsid w:val="00D52D05"/>
    <w:rsid w:val="00D531F6"/>
    <w:rsid w:val="00D5334C"/>
    <w:rsid w:val="00D534D6"/>
    <w:rsid w:val="00D53791"/>
    <w:rsid w:val="00D54016"/>
    <w:rsid w:val="00D551B2"/>
    <w:rsid w:val="00D566A1"/>
    <w:rsid w:val="00D60730"/>
    <w:rsid w:val="00D613B1"/>
    <w:rsid w:val="00D61416"/>
    <w:rsid w:val="00D6333C"/>
    <w:rsid w:val="00D64125"/>
    <w:rsid w:val="00D64A52"/>
    <w:rsid w:val="00D64AE0"/>
    <w:rsid w:val="00D64B92"/>
    <w:rsid w:val="00D6551E"/>
    <w:rsid w:val="00D663B4"/>
    <w:rsid w:val="00D70005"/>
    <w:rsid w:val="00D70415"/>
    <w:rsid w:val="00D73BA9"/>
    <w:rsid w:val="00D751A7"/>
    <w:rsid w:val="00D80190"/>
    <w:rsid w:val="00D85121"/>
    <w:rsid w:val="00D85D5D"/>
    <w:rsid w:val="00D8632E"/>
    <w:rsid w:val="00D872A2"/>
    <w:rsid w:val="00D876E4"/>
    <w:rsid w:val="00D87E50"/>
    <w:rsid w:val="00D90128"/>
    <w:rsid w:val="00D906F5"/>
    <w:rsid w:val="00D91FBE"/>
    <w:rsid w:val="00D9276C"/>
    <w:rsid w:val="00D94870"/>
    <w:rsid w:val="00D95360"/>
    <w:rsid w:val="00D95636"/>
    <w:rsid w:val="00D96397"/>
    <w:rsid w:val="00D97547"/>
    <w:rsid w:val="00D9787E"/>
    <w:rsid w:val="00DA0C1C"/>
    <w:rsid w:val="00DA1E3E"/>
    <w:rsid w:val="00DA207C"/>
    <w:rsid w:val="00DA21B9"/>
    <w:rsid w:val="00DA2D68"/>
    <w:rsid w:val="00DA34C7"/>
    <w:rsid w:val="00DA3881"/>
    <w:rsid w:val="00DA4104"/>
    <w:rsid w:val="00DA6EAC"/>
    <w:rsid w:val="00DA71C4"/>
    <w:rsid w:val="00DB0B7C"/>
    <w:rsid w:val="00DB139D"/>
    <w:rsid w:val="00DB1F9B"/>
    <w:rsid w:val="00DB2325"/>
    <w:rsid w:val="00DB2A05"/>
    <w:rsid w:val="00DB32AA"/>
    <w:rsid w:val="00DB56DB"/>
    <w:rsid w:val="00DB5ACF"/>
    <w:rsid w:val="00DC04ED"/>
    <w:rsid w:val="00DC05DD"/>
    <w:rsid w:val="00DC08C0"/>
    <w:rsid w:val="00DC0A61"/>
    <w:rsid w:val="00DC0D11"/>
    <w:rsid w:val="00DC23DD"/>
    <w:rsid w:val="00DC46F2"/>
    <w:rsid w:val="00DD187C"/>
    <w:rsid w:val="00DD315C"/>
    <w:rsid w:val="00DD44C8"/>
    <w:rsid w:val="00DD73EC"/>
    <w:rsid w:val="00DD772B"/>
    <w:rsid w:val="00DE0366"/>
    <w:rsid w:val="00DE09EE"/>
    <w:rsid w:val="00DE0B50"/>
    <w:rsid w:val="00DE2F86"/>
    <w:rsid w:val="00DE352B"/>
    <w:rsid w:val="00DE3C35"/>
    <w:rsid w:val="00DE4933"/>
    <w:rsid w:val="00DE6B8C"/>
    <w:rsid w:val="00DF064C"/>
    <w:rsid w:val="00DF1886"/>
    <w:rsid w:val="00DF1C07"/>
    <w:rsid w:val="00DF2018"/>
    <w:rsid w:val="00DF22E0"/>
    <w:rsid w:val="00DF2481"/>
    <w:rsid w:val="00DF29E5"/>
    <w:rsid w:val="00DF2C4B"/>
    <w:rsid w:val="00DF3910"/>
    <w:rsid w:val="00DF39AA"/>
    <w:rsid w:val="00E0048F"/>
    <w:rsid w:val="00E009B3"/>
    <w:rsid w:val="00E00F4F"/>
    <w:rsid w:val="00E0106E"/>
    <w:rsid w:val="00E01406"/>
    <w:rsid w:val="00E025B6"/>
    <w:rsid w:val="00E02F2F"/>
    <w:rsid w:val="00E047B2"/>
    <w:rsid w:val="00E061A9"/>
    <w:rsid w:val="00E06BBF"/>
    <w:rsid w:val="00E100B2"/>
    <w:rsid w:val="00E10320"/>
    <w:rsid w:val="00E11BFA"/>
    <w:rsid w:val="00E13878"/>
    <w:rsid w:val="00E1432D"/>
    <w:rsid w:val="00E15F06"/>
    <w:rsid w:val="00E17441"/>
    <w:rsid w:val="00E2035C"/>
    <w:rsid w:val="00E20FE8"/>
    <w:rsid w:val="00E2141B"/>
    <w:rsid w:val="00E22F4C"/>
    <w:rsid w:val="00E25911"/>
    <w:rsid w:val="00E263C9"/>
    <w:rsid w:val="00E27CD7"/>
    <w:rsid w:val="00E30B31"/>
    <w:rsid w:val="00E30ECE"/>
    <w:rsid w:val="00E311AA"/>
    <w:rsid w:val="00E3331A"/>
    <w:rsid w:val="00E33B4C"/>
    <w:rsid w:val="00E34B52"/>
    <w:rsid w:val="00E35824"/>
    <w:rsid w:val="00E3607F"/>
    <w:rsid w:val="00E370AB"/>
    <w:rsid w:val="00E4289E"/>
    <w:rsid w:val="00E45E96"/>
    <w:rsid w:val="00E461C4"/>
    <w:rsid w:val="00E46CE2"/>
    <w:rsid w:val="00E51B34"/>
    <w:rsid w:val="00E51C07"/>
    <w:rsid w:val="00E51E3E"/>
    <w:rsid w:val="00E538A9"/>
    <w:rsid w:val="00E53B03"/>
    <w:rsid w:val="00E5440A"/>
    <w:rsid w:val="00E57FAE"/>
    <w:rsid w:val="00E605F8"/>
    <w:rsid w:val="00E60B9F"/>
    <w:rsid w:val="00E60C0D"/>
    <w:rsid w:val="00E60DBF"/>
    <w:rsid w:val="00E61999"/>
    <w:rsid w:val="00E7110D"/>
    <w:rsid w:val="00E7159F"/>
    <w:rsid w:val="00E72F20"/>
    <w:rsid w:val="00E7704F"/>
    <w:rsid w:val="00E77803"/>
    <w:rsid w:val="00E80FE2"/>
    <w:rsid w:val="00E82E46"/>
    <w:rsid w:val="00E844BE"/>
    <w:rsid w:val="00E84A4A"/>
    <w:rsid w:val="00E854A3"/>
    <w:rsid w:val="00E87734"/>
    <w:rsid w:val="00E90715"/>
    <w:rsid w:val="00E91AA3"/>
    <w:rsid w:val="00E94388"/>
    <w:rsid w:val="00E955C7"/>
    <w:rsid w:val="00E95CC6"/>
    <w:rsid w:val="00E9603B"/>
    <w:rsid w:val="00E96868"/>
    <w:rsid w:val="00E96938"/>
    <w:rsid w:val="00E97DA3"/>
    <w:rsid w:val="00E97DBA"/>
    <w:rsid w:val="00EA0815"/>
    <w:rsid w:val="00EA0B27"/>
    <w:rsid w:val="00EA10E3"/>
    <w:rsid w:val="00EA1784"/>
    <w:rsid w:val="00EA268F"/>
    <w:rsid w:val="00EA2ED6"/>
    <w:rsid w:val="00EA38DA"/>
    <w:rsid w:val="00EA597F"/>
    <w:rsid w:val="00EA7805"/>
    <w:rsid w:val="00EA7A24"/>
    <w:rsid w:val="00EB025E"/>
    <w:rsid w:val="00EB1213"/>
    <w:rsid w:val="00EB3994"/>
    <w:rsid w:val="00EB3AC9"/>
    <w:rsid w:val="00EC0486"/>
    <w:rsid w:val="00EC1020"/>
    <w:rsid w:val="00EC31E3"/>
    <w:rsid w:val="00EC36B3"/>
    <w:rsid w:val="00EC5A17"/>
    <w:rsid w:val="00EC7764"/>
    <w:rsid w:val="00EC7D6C"/>
    <w:rsid w:val="00ED166E"/>
    <w:rsid w:val="00ED16CE"/>
    <w:rsid w:val="00ED1C1B"/>
    <w:rsid w:val="00ED22E5"/>
    <w:rsid w:val="00ED2C93"/>
    <w:rsid w:val="00ED324B"/>
    <w:rsid w:val="00ED3436"/>
    <w:rsid w:val="00ED41E0"/>
    <w:rsid w:val="00ED78EA"/>
    <w:rsid w:val="00EE0072"/>
    <w:rsid w:val="00EE02B8"/>
    <w:rsid w:val="00EE0730"/>
    <w:rsid w:val="00EE14DE"/>
    <w:rsid w:val="00EE227E"/>
    <w:rsid w:val="00EE2964"/>
    <w:rsid w:val="00EE2974"/>
    <w:rsid w:val="00EE2D12"/>
    <w:rsid w:val="00EE2F24"/>
    <w:rsid w:val="00EE30AF"/>
    <w:rsid w:val="00EE54CC"/>
    <w:rsid w:val="00EE6B6D"/>
    <w:rsid w:val="00EE7CD4"/>
    <w:rsid w:val="00EF0B43"/>
    <w:rsid w:val="00EF28C1"/>
    <w:rsid w:val="00EF3E54"/>
    <w:rsid w:val="00EF47E6"/>
    <w:rsid w:val="00EF4EF9"/>
    <w:rsid w:val="00EF5C83"/>
    <w:rsid w:val="00EF62F9"/>
    <w:rsid w:val="00F02660"/>
    <w:rsid w:val="00F02928"/>
    <w:rsid w:val="00F05025"/>
    <w:rsid w:val="00F050F4"/>
    <w:rsid w:val="00F05A47"/>
    <w:rsid w:val="00F072F8"/>
    <w:rsid w:val="00F112BB"/>
    <w:rsid w:val="00F123AC"/>
    <w:rsid w:val="00F1304D"/>
    <w:rsid w:val="00F14CFF"/>
    <w:rsid w:val="00F1543D"/>
    <w:rsid w:val="00F15D3F"/>
    <w:rsid w:val="00F165DE"/>
    <w:rsid w:val="00F20377"/>
    <w:rsid w:val="00F20A8A"/>
    <w:rsid w:val="00F21C12"/>
    <w:rsid w:val="00F22299"/>
    <w:rsid w:val="00F240D8"/>
    <w:rsid w:val="00F24BF1"/>
    <w:rsid w:val="00F24F4C"/>
    <w:rsid w:val="00F256D9"/>
    <w:rsid w:val="00F26094"/>
    <w:rsid w:val="00F278E5"/>
    <w:rsid w:val="00F3084D"/>
    <w:rsid w:val="00F315F4"/>
    <w:rsid w:val="00F35053"/>
    <w:rsid w:val="00F357C3"/>
    <w:rsid w:val="00F36416"/>
    <w:rsid w:val="00F37C4F"/>
    <w:rsid w:val="00F4019B"/>
    <w:rsid w:val="00F40D73"/>
    <w:rsid w:val="00F46B0F"/>
    <w:rsid w:val="00F46BC9"/>
    <w:rsid w:val="00F47EAE"/>
    <w:rsid w:val="00F50601"/>
    <w:rsid w:val="00F515CA"/>
    <w:rsid w:val="00F526ED"/>
    <w:rsid w:val="00F53228"/>
    <w:rsid w:val="00F5477D"/>
    <w:rsid w:val="00F57B8A"/>
    <w:rsid w:val="00F60611"/>
    <w:rsid w:val="00F60C4C"/>
    <w:rsid w:val="00F61247"/>
    <w:rsid w:val="00F63003"/>
    <w:rsid w:val="00F63400"/>
    <w:rsid w:val="00F639F2"/>
    <w:rsid w:val="00F643F4"/>
    <w:rsid w:val="00F64889"/>
    <w:rsid w:val="00F64968"/>
    <w:rsid w:val="00F667AD"/>
    <w:rsid w:val="00F66FF2"/>
    <w:rsid w:val="00F673DD"/>
    <w:rsid w:val="00F706F0"/>
    <w:rsid w:val="00F709F6"/>
    <w:rsid w:val="00F70EA7"/>
    <w:rsid w:val="00F712AF"/>
    <w:rsid w:val="00F7179D"/>
    <w:rsid w:val="00F71A6A"/>
    <w:rsid w:val="00F77332"/>
    <w:rsid w:val="00F805A7"/>
    <w:rsid w:val="00F80EC6"/>
    <w:rsid w:val="00F846CF"/>
    <w:rsid w:val="00F84F25"/>
    <w:rsid w:val="00F86854"/>
    <w:rsid w:val="00F86C38"/>
    <w:rsid w:val="00F86DE2"/>
    <w:rsid w:val="00F90150"/>
    <w:rsid w:val="00F90690"/>
    <w:rsid w:val="00F9250C"/>
    <w:rsid w:val="00F92D73"/>
    <w:rsid w:val="00F93D5C"/>
    <w:rsid w:val="00F94598"/>
    <w:rsid w:val="00F95024"/>
    <w:rsid w:val="00F9547D"/>
    <w:rsid w:val="00F977A3"/>
    <w:rsid w:val="00FA1C03"/>
    <w:rsid w:val="00FA4416"/>
    <w:rsid w:val="00FA5CC8"/>
    <w:rsid w:val="00FA5D0B"/>
    <w:rsid w:val="00FA5FFF"/>
    <w:rsid w:val="00FA74A0"/>
    <w:rsid w:val="00FA7FEC"/>
    <w:rsid w:val="00FB292B"/>
    <w:rsid w:val="00FB5F61"/>
    <w:rsid w:val="00FB66B9"/>
    <w:rsid w:val="00FB79DD"/>
    <w:rsid w:val="00FC0B16"/>
    <w:rsid w:val="00FC0D10"/>
    <w:rsid w:val="00FC1D66"/>
    <w:rsid w:val="00FC3AC5"/>
    <w:rsid w:val="00FC417C"/>
    <w:rsid w:val="00FC4B2A"/>
    <w:rsid w:val="00FC5081"/>
    <w:rsid w:val="00FC5E01"/>
    <w:rsid w:val="00FC5FE8"/>
    <w:rsid w:val="00FD04B5"/>
    <w:rsid w:val="00FD13F4"/>
    <w:rsid w:val="00FD1E2B"/>
    <w:rsid w:val="00FD2289"/>
    <w:rsid w:val="00FD254C"/>
    <w:rsid w:val="00FD3089"/>
    <w:rsid w:val="00FD31AF"/>
    <w:rsid w:val="00FD3CB7"/>
    <w:rsid w:val="00FD57AD"/>
    <w:rsid w:val="00FD65ED"/>
    <w:rsid w:val="00FD7349"/>
    <w:rsid w:val="00FE002B"/>
    <w:rsid w:val="00FE017A"/>
    <w:rsid w:val="00FE0B45"/>
    <w:rsid w:val="00FE0DB4"/>
    <w:rsid w:val="00FE1013"/>
    <w:rsid w:val="00FE24AE"/>
    <w:rsid w:val="00FE2782"/>
    <w:rsid w:val="00FE3F4E"/>
    <w:rsid w:val="00FE7859"/>
    <w:rsid w:val="00FE7B1E"/>
    <w:rsid w:val="00FF03D4"/>
    <w:rsid w:val="00FF10F7"/>
    <w:rsid w:val="00FF1C02"/>
    <w:rsid w:val="00FF1EC3"/>
    <w:rsid w:val="00FF2819"/>
    <w:rsid w:val="00FF7218"/>
    <w:rsid w:val="018E56C2"/>
    <w:rsid w:val="3695C6E7"/>
    <w:rsid w:val="3A75D09B"/>
    <w:rsid w:val="6AC3EDC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70586DCE"/>
  <w15:chartTrackingRefBased/>
  <w15:docId w15:val="{86C1B29A-FCDA-498C-8AE2-1D0BECEC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E4A"/>
    <w:pPr>
      <w:widowControl w:val="0"/>
      <w:spacing w:after="0" w:line="240" w:lineRule="auto"/>
    </w:pPr>
    <w:rPr>
      <w:rFonts w:ascii="Times New Roman" w:eastAsia="Times New Roman" w:hAnsi="Times New Roman" w:cs="Times New Roman"/>
      <w:snapToGrid w:val="0"/>
      <w:kern w:val="28"/>
      <w:sz w:val="22"/>
      <w:szCs w:val="20"/>
      <w14:ligatures w14:val="none"/>
    </w:rPr>
  </w:style>
  <w:style w:type="paragraph" w:styleId="Heading1">
    <w:name w:val="heading 1"/>
    <w:basedOn w:val="Normal"/>
    <w:next w:val="ParaNum"/>
    <w:link w:val="Heading1Char"/>
    <w:qFormat/>
    <w:rsid w:val="00A21E4A"/>
    <w:pPr>
      <w:keepNext/>
      <w:numPr>
        <w:numId w:val="25"/>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A21E4A"/>
    <w:pPr>
      <w:keepNext/>
      <w:numPr>
        <w:ilvl w:val="1"/>
        <w:numId w:val="25"/>
      </w:numPr>
      <w:spacing w:after="120"/>
      <w:outlineLvl w:val="1"/>
    </w:pPr>
    <w:rPr>
      <w:b/>
    </w:rPr>
  </w:style>
  <w:style w:type="paragraph" w:styleId="Heading3">
    <w:name w:val="heading 3"/>
    <w:basedOn w:val="Normal"/>
    <w:next w:val="ParaNum"/>
    <w:link w:val="Heading3Char"/>
    <w:qFormat/>
    <w:rsid w:val="00A21E4A"/>
    <w:pPr>
      <w:keepNext/>
      <w:numPr>
        <w:ilvl w:val="2"/>
        <w:numId w:val="25"/>
      </w:numPr>
      <w:tabs>
        <w:tab w:val="left" w:pos="2160"/>
      </w:tabs>
      <w:spacing w:after="120"/>
      <w:outlineLvl w:val="2"/>
    </w:pPr>
    <w:rPr>
      <w:b/>
    </w:rPr>
  </w:style>
  <w:style w:type="paragraph" w:styleId="Heading4">
    <w:name w:val="heading 4"/>
    <w:basedOn w:val="Normal"/>
    <w:next w:val="ParaNum"/>
    <w:link w:val="Heading4Char"/>
    <w:qFormat/>
    <w:rsid w:val="00A21E4A"/>
    <w:pPr>
      <w:keepNext/>
      <w:numPr>
        <w:ilvl w:val="3"/>
        <w:numId w:val="25"/>
      </w:numPr>
      <w:tabs>
        <w:tab w:val="left" w:pos="2880"/>
      </w:tabs>
      <w:spacing w:after="120"/>
      <w:outlineLvl w:val="3"/>
    </w:pPr>
    <w:rPr>
      <w:b/>
    </w:rPr>
  </w:style>
  <w:style w:type="paragraph" w:styleId="Heading5">
    <w:name w:val="heading 5"/>
    <w:basedOn w:val="Normal"/>
    <w:next w:val="ParaNum"/>
    <w:link w:val="Heading5Char"/>
    <w:qFormat/>
    <w:rsid w:val="00A21E4A"/>
    <w:pPr>
      <w:keepNext/>
      <w:numPr>
        <w:ilvl w:val="4"/>
        <w:numId w:val="25"/>
      </w:numPr>
      <w:tabs>
        <w:tab w:val="left" w:pos="3600"/>
      </w:tabs>
      <w:suppressAutoHyphens/>
      <w:spacing w:after="120"/>
      <w:outlineLvl w:val="4"/>
    </w:pPr>
    <w:rPr>
      <w:b/>
    </w:rPr>
  </w:style>
  <w:style w:type="paragraph" w:styleId="Heading6">
    <w:name w:val="heading 6"/>
    <w:basedOn w:val="Normal"/>
    <w:next w:val="ParaNum"/>
    <w:link w:val="Heading6Char"/>
    <w:qFormat/>
    <w:rsid w:val="00A21E4A"/>
    <w:pPr>
      <w:numPr>
        <w:ilvl w:val="5"/>
        <w:numId w:val="25"/>
      </w:numPr>
      <w:tabs>
        <w:tab w:val="left" w:pos="4320"/>
      </w:tabs>
      <w:spacing w:after="120"/>
      <w:outlineLvl w:val="5"/>
    </w:pPr>
    <w:rPr>
      <w:b/>
    </w:rPr>
  </w:style>
  <w:style w:type="paragraph" w:styleId="Heading7">
    <w:name w:val="heading 7"/>
    <w:basedOn w:val="Normal"/>
    <w:next w:val="ParaNum"/>
    <w:link w:val="Heading7Char"/>
    <w:qFormat/>
    <w:rsid w:val="00A21E4A"/>
    <w:pPr>
      <w:numPr>
        <w:ilvl w:val="6"/>
        <w:numId w:val="25"/>
      </w:numPr>
      <w:tabs>
        <w:tab w:val="left" w:pos="5040"/>
      </w:tabs>
      <w:spacing w:after="120"/>
      <w:ind w:left="5040" w:hanging="720"/>
      <w:outlineLvl w:val="6"/>
    </w:pPr>
    <w:rPr>
      <w:b/>
    </w:rPr>
  </w:style>
  <w:style w:type="paragraph" w:styleId="Heading8">
    <w:name w:val="heading 8"/>
    <w:basedOn w:val="Normal"/>
    <w:next w:val="ParaNum"/>
    <w:link w:val="Heading8Char"/>
    <w:qFormat/>
    <w:rsid w:val="00A21E4A"/>
    <w:pPr>
      <w:numPr>
        <w:ilvl w:val="7"/>
        <w:numId w:val="25"/>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A21E4A"/>
    <w:pPr>
      <w:numPr>
        <w:ilvl w:val="8"/>
        <w:numId w:val="25"/>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A21E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1E4A"/>
  </w:style>
  <w:style w:type="paragraph" w:customStyle="1" w:styleId="LOIInq-Level2">
    <w:name w:val="LOI Inq. - Level 2"/>
    <w:basedOn w:val="Normal"/>
    <w:autoRedefine/>
    <w:qFormat/>
    <w:rsid w:val="00EA0815"/>
    <w:pPr>
      <w:spacing w:after="120"/>
    </w:pPr>
  </w:style>
  <w:style w:type="paragraph" w:customStyle="1" w:styleId="LOIInqLevel5">
    <w:name w:val="LOI Inq Level 5"/>
    <w:basedOn w:val="LOIInqLevel4"/>
    <w:autoRedefine/>
    <w:qFormat/>
    <w:rsid w:val="00B32319"/>
    <w:pPr>
      <w:numPr>
        <w:ilvl w:val="4"/>
      </w:numPr>
    </w:pPr>
  </w:style>
  <w:style w:type="paragraph" w:customStyle="1" w:styleId="LOIInaLevel6">
    <w:name w:val="LOI Ina Level 6"/>
    <w:basedOn w:val="LOIInqLevel5"/>
    <w:autoRedefine/>
    <w:qFormat/>
    <w:rsid w:val="00EA0815"/>
  </w:style>
  <w:style w:type="paragraph" w:customStyle="1" w:styleId="LOIInqLevel2">
    <w:name w:val="LOI Inq. Level 2"/>
    <w:basedOn w:val="LOIInquiry"/>
    <w:autoRedefine/>
    <w:qFormat/>
    <w:rsid w:val="00616CF2"/>
    <w:pPr>
      <w:numPr>
        <w:ilvl w:val="1"/>
      </w:numPr>
      <w:spacing w:line="240" w:lineRule="auto"/>
    </w:pPr>
  </w:style>
  <w:style w:type="paragraph" w:customStyle="1" w:styleId="LOIinqLevel3">
    <w:name w:val="LOI inq. Level 3"/>
    <w:basedOn w:val="LOIInqLevel2"/>
    <w:autoRedefine/>
    <w:qFormat/>
    <w:rsid w:val="00B32319"/>
    <w:pPr>
      <w:numPr>
        <w:ilvl w:val="2"/>
      </w:numPr>
    </w:pPr>
  </w:style>
  <w:style w:type="paragraph" w:customStyle="1" w:styleId="LOIInqLevel4">
    <w:name w:val="LOI Inq. Level 4"/>
    <w:basedOn w:val="LOIinqLevel3"/>
    <w:autoRedefine/>
    <w:qFormat/>
    <w:rsid w:val="00B32319"/>
    <w:pPr>
      <w:numPr>
        <w:ilvl w:val="3"/>
      </w:numPr>
    </w:pPr>
  </w:style>
  <w:style w:type="paragraph" w:customStyle="1" w:styleId="LOIInquiry">
    <w:name w:val="LOI Inquiry"/>
    <w:autoRedefine/>
    <w:qFormat/>
    <w:rsid w:val="00B32319"/>
    <w:pPr>
      <w:numPr>
        <w:numId w:val="2"/>
      </w:numPr>
      <w:spacing w:after="240"/>
    </w:pPr>
    <w:rPr>
      <w:rFonts w:ascii="Times New Roman" w:eastAsia="Times New Roman" w:hAnsi="Times New Roman" w:cs="Times New Roman"/>
      <w:snapToGrid w:val="0"/>
      <w:kern w:val="28"/>
      <w:sz w:val="22"/>
      <w:szCs w:val="20"/>
      <w14:ligatures w14:val="none"/>
    </w:rPr>
  </w:style>
  <w:style w:type="numbering" w:customStyle="1" w:styleId="LOIInquiriesLevelList">
    <w:name w:val="LOI Inquiries Level List"/>
    <w:basedOn w:val="NoList"/>
    <w:uiPriority w:val="99"/>
    <w:rsid w:val="00B32319"/>
    <w:pPr>
      <w:numPr>
        <w:numId w:val="1"/>
      </w:numPr>
    </w:pPr>
  </w:style>
  <w:style w:type="character" w:customStyle="1" w:styleId="Style2">
    <w:name w:val="Style2"/>
    <w:basedOn w:val="DefaultParagraphFont"/>
    <w:uiPriority w:val="1"/>
    <w:rsid w:val="00B32319"/>
    <w:rPr>
      <w:rFonts w:ascii="Times New Roman" w:hAnsi="Times New Roman"/>
      <w:sz w:val="22"/>
    </w:rPr>
  </w:style>
  <w:style w:type="paragraph" w:customStyle="1" w:styleId="Inquiryheader">
    <w:name w:val="Inquiry header"/>
    <w:autoRedefine/>
    <w:qFormat/>
    <w:rsid w:val="00B32319"/>
    <w:pPr>
      <w:autoSpaceDE w:val="0"/>
      <w:autoSpaceDN w:val="0"/>
      <w:adjustRightInd w:val="0"/>
      <w:spacing w:after="120" w:line="240" w:lineRule="auto"/>
    </w:pPr>
    <w:rPr>
      <w:rFonts w:ascii="Times New Roman" w:hAnsi="Times New Roman" w:cs="Times New Roman"/>
      <w:b/>
      <w:bCs/>
      <w:color w:val="000000"/>
      <w:kern w:val="0"/>
      <w:u w:val="single"/>
      <w14:ligatures w14:val="none"/>
    </w:rPr>
  </w:style>
  <w:style w:type="paragraph" w:customStyle="1" w:styleId="Address">
    <w:name w:val="Address"/>
    <w:qFormat/>
    <w:rsid w:val="00B32319"/>
    <w:pPr>
      <w:spacing w:after="0" w:line="259" w:lineRule="auto"/>
    </w:pPr>
    <w:rPr>
      <w:rFonts w:ascii="Times New Roman" w:eastAsia="Times New Roman" w:hAnsi="Times New Roman" w:cs="Times New Roman"/>
      <w:snapToGrid w:val="0"/>
      <w:kern w:val="28"/>
      <w:sz w:val="22"/>
      <w:szCs w:val="20"/>
      <w14:ligatures w14:val="none"/>
    </w:rPr>
  </w:style>
  <w:style w:type="paragraph" w:customStyle="1" w:styleId="CertifiedMail">
    <w:name w:val="Certified Mail"/>
    <w:next w:val="Address"/>
    <w:qFormat/>
    <w:rsid w:val="00B32319"/>
    <w:pPr>
      <w:spacing w:after="0" w:line="259" w:lineRule="auto"/>
    </w:pPr>
    <w:rPr>
      <w:rFonts w:ascii="Times New Roman" w:eastAsia="Times New Roman" w:hAnsi="Times New Roman" w:cs="Times New Roman"/>
      <w:b/>
      <w:bCs/>
      <w:snapToGrid w:val="0"/>
      <w:kern w:val="28"/>
      <w:sz w:val="22"/>
      <w:szCs w:val="20"/>
      <w:u w:val="single"/>
      <w14:ligatures w14:val="none"/>
    </w:rPr>
  </w:style>
  <w:style w:type="paragraph" w:customStyle="1" w:styleId="Default">
    <w:name w:val="Default"/>
    <w:rsid w:val="00B32319"/>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LOIsubpara">
    <w:name w:val="LOI subpara"/>
    <w:basedOn w:val="Normal"/>
    <w:autoRedefine/>
    <w:rsid w:val="00B32319"/>
    <w:pPr>
      <w:ind w:left="720"/>
    </w:pPr>
  </w:style>
  <w:style w:type="character" w:customStyle="1" w:styleId="normaltextrun">
    <w:name w:val="normaltextrun"/>
    <w:basedOn w:val="DefaultParagraphFont"/>
    <w:rsid w:val="00B32319"/>
  </w:style>
  <w:style w:type="character" w:customStyle="1" w:styleId="cf01">
    <w:name w:val="cf01"/>
    <w:basedOn w:val="DefaultParagraphFont"/>
    <w:rsid w:val="00B32319"/>
    <w:rPr>
      <w:rFonts w:ascii="Segoe UI" w:hAnsi="Segoe UI" w:cs="Segoe UI" w:hint="default"/>
      <w:sz w:val="18"/>
      <w:szCs w:val="18"/>
    </w:rPr>
  </w:style>
  <w:style w:type="character" w:customStyle="1" w:styleId="cf11">
    <w:name w:val="cf11"/>
    <w:basedOn w:val="DefaultParagraphFont"/>
    <w:rsid w:val="00B32319"/>
    <w:rPr>
      <w:rFonts w:ascii="Segoe UI" w:hAnsi="Segoe UI" w:cs="Segoe UI" w:hint="default"/>
      <w:sz w:val="18"/>
      <w:szCs w:val="18"/>
    </w:rPr>
  </w:style>
  <w:style w:type="character" w:customStyle="1" w:styleId="eop">
    <w:name w:val="eop"/>
    <w:basedOn w:val="DefaultParagraphFont"/>
    <w:rsid w:val="00B32319"/>
  </w:style>
  <w:style w:type="character" w:customStyle="1" w:styleId="advancedproofingissue">
    <w:name w:val="advancedproofingissue"/>
    <w:basedOn w:val="DefaultParagraphFont"/>
    <w:rsid w:val="00B32319"/>
  </w:style>
  <w:style w:type="paragraph" w:customStyle="1" w:styleId="paragraph">
    <w:name w:val="paragraph"/>
    <w:basedOn w:val="Normal"/>
    <w:rsid w:val="00B32319"/>
    <w:pPr>
      <w:widowControl/>
      <w:spacing w:before="100" w:beforeAutospacing="1" w:after="100" w:afterAutospacing="1" w:line="278" w:lineRule="auto"/>
    </w:pPr>
    <w:rPr>
      <w:rFonts w:asciiTheme="minorHAnsi" w:hAnsiTheme="minorHAnsi"/>
      <w:snapToGrid/>
      <w:kern w:val="2"/>
      <w:sz w:val="24"/>
      <w:szCs w:val="24"/>
      <w14:ligatures w14:val="standardContextual"/>
    </w:rPr>
  </w:style>
  <w:style w:type="character" w:customStyle="1" w:styleId="contextualspellingandgrammarerror">
    <w:name w:val="contextualspellingandgrammarerror"/>
    <w:basedOn w:val="DefaultParagraphFont"/>
    <w:rsid w:val="00B32319"/>
  </w:style>
  <w:style w:type="paragraph" w:customStyle="1" w:styleId="LOIInqLevel6">
    <w:name w:val="LOI Inq Level 6"/>
    <w:basedOn w:val="LOIInqLevel5"/>
    <w:autoRedefine/>
    <w:qFormat/>
    <w:rsid w:val="00B32319"/>
    <w:pPr>
      <w:numPr>
        <w:ilvl w:val="5"/>
      </w:numPr>
    </w:pPr>
  </w:style>
  <w:style w:type="character" w:customStyle="1" w:styleId="Heading1Char">
    <w:name w:val="Heading 1 Char"/>
    <w:basedOn w:val="DefaultParagraphFont"/>
    <w:link w:val="Heading1"/>
    <w:rsid w:val="00B32319"/>
    <w:rPr>
      <w:rFonts w:ascii="Times New Roman Bold" w:eastAsia="Times New Roman" w:hAnsi="Times New Roman Bold" w:cs="Times New Roman"/>
      <w:b/>
      <w:caps/>
      <w:snapToGrid w:val="0"/>
      <w:kern w:val="28"/>
      <w:sz w:val="22"/>
      <w:szCs w:val="20"/>
      <w14:ligatures w14:val="none"/>
    </w:rPr>
  </w:style>
  <w:style w:type="character" w:customStyle="1" w:styleId="Heading2Char">
    <w:name w:val="Heading 2 Char"/>
    <w:basedOn w:val="DefaultParagraphFont"/>
    <w:link w:val="Heading2"/>
    <w:rsid w:val="00B32319"/>
    <w:rPr>
      <w:rFonts w:ascii="Times New Roman" w:eastAsia="Times New Roman" w:hAnsi="Times New Roman" w:cs="Times New Roman"/>
      <w:b/>
      <w:snapToGrid w:val="0"/>
      <w:kern w:val="28"/>
      <w:sz w:val="22"/>
      <w:szCs w:val="20"/>
      <w14:ligatures w14:val="none"/>
    </w:rPr>
  </w:style>
  <w:style w:type="character" w:customStyle="1" w:styleId="Heading3Char">
    <w:name w:val="Heading 3 Char"/>
    <w:basedOn w:val="DefaultParagraphFont"/>
    <w:link w:val="Heading3"/>
    <w:rsid w:val="00B32319"/>
    <w:rPr>
      <w:rFonts w:ascii="Times New Roman" w:eastAsia="Times New Roman" w:hAnsi="Times New Roman" w:cs="Times New Roman"/>
      <w:b/>
      <w:snapToGrid w:val="0"/>
      <w:kern w:val="28"/>
      <w:sz w:val="22"/>
      <w:szCs w:val="20"/>
      <w14:ligatures w14:val="none"/>
    </w:rPr>
  </w:style>
  <w:style w:type="character" w:customStyle="1" w:styleId="Heading4Char">
    <w:name w:val="Heading 4 Char"/>
    <w:basedOn w:val="DefaultParagraphFont"/>
    <w:link w:val="Heading4"/>
    <w:rsid w:val="00B32319"/>
    <w:rPr>
      <w:rFonts w:ascii="Times New Roman" w:eastAsia="Times New Roman" w:hAnsi="Times New Roman" w:cs="Times New Roman"/>
      <w:b/>
      <w:snapToGrid w:val="0"/>
      <w:kern w:val="28"/>
      <w:sz w:val="22"/>
      <w:szCs w:val="20"/>
      <w14:ligatures w14:val="none"/>
    </w:rPr>
  </w:style>
  <w:style w:type="character" w:customStyle="1" w:styleId="Heading5Char">
    <w:name w:val="Heading 5 Char"/>
    <w:basedOn w:val="DefaultParagraphFont"/>
    <w:link w:val="Heading5"/>
    <w:rsid w:val="00B32319"/>
    <w:rPr>
      <w:rFonts w:ascii="Times New Roman" w:eastAsia="Times New Roman" w:hAnsi="Times New Roman" w:cs="Times New Roman"/>
      <w:b/>
      <w:snapToGrid w:val="0"/>
      <w:kern w:val="28"/>
      <w:sz w:val="22"/>
      <w:szCs w:val="20"/>
      <w14:ligatures w14:val="none"/>
    </w:rPr>
  </w:style>
  <w:style w:type="character" w:customStyle="1" w:styleId="Heading6Char">
    <w:name w:val="Heading 6 Char"/>
    <w:basedOn w:val="DefaultParagraphFont"/>
    <w:link w:val="Heading6"/>
    <w:rsid w:val="00B32319"/>
    <w:rPr>
      <w:rFonts w:ascii="Times New Roman" w:eastAsia="Times New Roman" w:hAnsi="Times New Roman" w:cs="Times New Roman"/>
      <w:b/>
      <w:snapToGrid w:val="0"/>
      <w:kern w:val="28"/>
      <w:sz w:val="22"/>
      <w:szCs w:val="20"/>
      <w14:ligatures w14:val="none"/>
    </w:rPr>
  </w:style>
  <w:style w:type="character" w:customStyle="1" w:styleId="Heading7Char">
    <w:name w:val="Heading 7 Char"/>
    <w:basedOn w:val="DefaultParagraphFont"/>
    <w:link w:val="Heading7"/>
    <w:rsid w:val="00B32319"/>
    <w:rPr>
      <w:rFonts w:ascii="Times New Roman" w:eastAsia="Times New Roman" w:hAnsi="Times New Roman" w:cs="Times New Roman"/>
      <w:b/>
      <w:snapToGrid w:val="0"/>
      <w:kern w:val="28"/>
      <w:sz w:val="22"/>
      <w:szCs w:val="20"/>
      <w14:ligatures w14:val="none"/>
    </w:rPr>
  </w:style>
  <w:style w:type="character" w:customStyle="1" w:styleId="Heading8Char">
    <w:name w:val="Heading 8 Char"/>
    <w:basedOn w:val="DefaultParagraphFont"/>
    <w:link w:val="Heading8"/>
    <w:rsid w:val="00B32319"/>
    <w:rPr>
      <w:rFonts w:ascii="Times New Roman" w:eastAsia="Times New Roman" w:hAnsi="Times New Roman" w:cs="Times New Roman"/>
      <w:b/>
      <w:snapToGrid w:val="0"/>
      <w:kern w:val="28"/>
      <w:sz w:val="22"/>
      <w:szCs w:val="20"/>
      <w14:ligatures w14:val="none"/>
    </w:rPr>
  </w:style>
  <w:style w:type="character" w:customStyle="1" w:styleId="Heading9Char">
    <w:name w:val="Heading 9 Char"/>
    <w:basedOn w:val="DefaultParagraphFont"/>
    <w:link w:val="Heading9"/>
    <w:rsid w:val="00B32319"/>
    <w:rPr>
      <w:rFonts w:ascii="Times New Roman" w:eastAsia="Times New Roman" w:hAnsi="Times New Roman" w:cs="Times New Roman"/>
      <w:b/>
      <w:snapToGrid w:val="0"/>
      <w:kern w:val="28"/>
      <w:sz w:val="22"/>
      <w:szCs w:val="20"/>
      <w14:ligatures w14:val="none"/>
    </w:rPr>
  </w:style>
  <w:style w:type="paragraph" w:styleId="FootnoteText">
    <w:name w:val="footnote text"/>
    <w:aliases w:val="Footnote Text Char1 Char,Footnote Text Char Char Char,rrfootnote Char Char Char,Footnote Text Char1 Char Char Char,Footnote Text Char Char Char Char Char,Footnote Text Char1 Char Char Char Char Char,Footnote Text Char1,fn,Styl,f,fn Char,St"/>
    <w:link w:val="FootnoteTextChar"/>
    <w:rsid w:val="00A21E4A"/>
    <w:pPr>
      <w:spacing w:after="12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1 Char Char,Footnote Text Char Char Char Char,rrfootnote Char Char Char Char,Footnote Text Char1 Char Char Char Char,Footnote Text Char Char Char Char Char Char,Footnote Text Char1 Char Char Char Char Char Char"/>
    <w:basedOn w:val="DefaultParagraphFont"/>
    <w:link w:val="FootnoteText"/>
    <w:rsid w:val="00B32319"/>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unhideWhenUsed/>
    <w:rsid w:val="00B32319"/>
    <w:rPr>
      <w:sz w:val="20"/>
    </w:rPr>
  </w:style>
  <w:style w:type="character" w:customStyle="1" w:styleId="CommentTextChar">
    <w:name w:val="Comment Text Char"/>
    <w:basedOn w:val="DefaultParagraphFont"/>
    <w:link w:val="CommentText"/>
    <w:uiPriority w:val="99"/>
    <w:rsid w:val="00B32319"/>
    <w:rPr>
      <w:rFonts w:ascii="Times New Roman" w:eastAsia="Times New Roman" w:hAnsi="Times New Roman" w:cs="Times New Roman"/>
      <w:snapToGrid w:val="0"/>
      <w:kern w:val="28"/>
      <w:sz w:val="20"/>
      <w:szCs w:val="20"/>
      <w14:ligatures w14:val="none"/>
    </w:rPr>
  </w:style>
  <w:style w:type="paragraph" w:styleId="Header">
    <w:name w:val="header"/>
    <w:basedOn w:val="Normal"/>
    <w:link w:val="HeaderChar"/>
    <w:autoRedefine/>
    <w:rsid w:val="00A21E4A"/>
    <w:pPr>
      <w:tabs>
        <w:tab w:val="center" w:pos="4680"/>
        <w:tab w:val="right" w:pos="9360"/>
      </w:tabs>
    </w:pPr>
    <w:rPr>
      <w:b/>
    </w:rPr>
  </w:style>
  <w:style w:type="character" w:customStyle="1" w:styleId="HeaderChar">
    <w:name w:val="Header Char"/>
    <w:basedOn w:val="DefaultParagraphFont"/>
    <w:link w:val="Header"/>
    <w:rsid w:val="005E0AFC"/>
    <w:rPr>
      <w:rFonts w:ascii="Times New Roman" w:eastAsia="Times New Roman" w:hAnsi="Times New Roman" w:cs="Times New Roman"/>
      <w:b/>
      <w:snapToGrid w:val="0"/>
      <w:kern w:val="28"/>
      <w:sz w:val="22"/>
      <w:szCs w:val="20"/>
      <w14:ligatures w14:val="none"/>
    </w:rPr>
  </w:style>
  <w:style w:type="paragraph" w:styleId="Footer">
    <w:name w:val="footer"/>
    <w:basedOn w:val="Normal"/>
    <w:link w:val="FooterChar"/>
    <w:uiPriority w:val="99"/>
    <w:rsid w:val="00A21E4A"/>
    <w:pPr>
      <w:tabs>
        <w:tab w:val="center" w:pos="4320"/>
        <w:tab w:val="right" w:pos="8640"/>
      </w:tabs>
    </w:pPr>
  </w:style>
  <w:style w:type="character" w:customStyle="1" w:styleId="FooterChar">
    <w:name w:val="Footer Char"/>
    <w:link w:val="Footer"/>
    <w:uiPriority w:val="99"/>
    <w:rsid w:val="00A21E4A"/>
    <w:rPr>
      <w:rFonts w:ascii="Times New Roman" w:eastAsia="Times New Roman" w:hAnsi="Times New Roman" w:cs="Times New Roman"/>
      <w:snapToGrid w:val="0"/>
      <w:kern w:val="28"/>
      <w:sz w:val="22"/>
      <w:szCs w:val="20"/>
      <w14:ligatures w14:val="none"/>
    </w:rPr>
  </w:style>
  <w:style w:type="character" w:styleId="FootnoteReference">
    <w:name w:val="footnote reference"/>
    <w:aliases w:val="Style 12,(NECG) Footnote Reference,Appel note de bas de p,Style 124,Style 4,Style 13,o,fr,Style 3,FR,Style 17,Style 6,Footnote Reference/,Footnote Reference1,Style 7,-E Funotenzeichen,A,Style 20,Style 34,Style 9,callout,Ref,Style 1"/>
    <w:rsid w:val="00A21E4A"/>
    <w:rPr>
      <w:rFonts w:ascii="Times New Roman" w:hAnsi="Times New Roman"/>
      <w:dstrike w:val="0"/>
      <w:color w:val="auto"/>
      <w:sz w:val="20"/>
      <w:vertAlign w:val="superscript"/>
    </w:rPr>
  </w:style>
  <w:style w:type="character" w:styleId="CommentReference">
    <w:name w:val="annotation reference"/>
    <w:basedOn w:val="DefaultParagraphFont"/>
    <w:uiPriority w:val="99"/>
    <w:semiHidden/>
    <w:unhideWhenUsed/>
    <w:rsid w:val="00B32319"/>
    <w:rPr>
      <w:sz w:val="16"/>
      <w:szCs w:val="16"/>
    </w:rPr>
  </w:style>
  <w:style w:type="paragraph" w:styleId="Title">
    <w:name w:val="Title"/>
    <w:basedOn w:val="Normal"/>
    <w:next w:val="Normal"/>
    <w:link w:val="TitleChar"/>
    <w:uiPriority w:val="10"/>
    <w:qFormat/>
    <w:rsid w:val="00B32319"/>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32319"/>
    <w:rPr>
      <w:rFonts w:asciiTheme="majorHAnsi" w:eastAsiaTheme="majorEastAsia" w:hAnsiTheme="majorHAnsi" w:cstheme="majorBidi"/>
      <w:snapToGrid w:val="0"/>
      <w:spacing w:val="-10"/>
      <w:kern w:val="28"/>
      <w:sz w:val="56"/>
      <w:szCs w:val="56"/>
      <w14:ligatures w14:val="none"/>
    </w:rPr>
  </w:style>
  <w:style w:type="paragraph" w:styleId="BodyText">
    <w:name w:val="Body Text"/>
    <w:basedOn w:val="Normal"/>
    <w:link w:val="BodyTextChar"/>
    <w:rsid w:val="00B32319"/>
    <w:rPr>
      <w:b/>
      <w:u w:val="single"/>
    </w:rPr>
  </w:style>
  <w:style w:type="character" w:customStyle="1" w:styleId="BodyTextChar">
    <w:name w:val="Body Text Char"/>
    <w:basedOn w:val="DefaultParagraphFont"/>
    <w:link w:val="BodyText"/>
    <w:rsid w:val="00B32319"/>
    <w:rPr>
      <w:rFonts w:ascii="Times New Roman" w:eastAsia="Times New Roman" w:hAnsi="Times New Roman" w:cs="Times New Roman"/>
      <w:b/>
      <w:snapToGrid w:val="0"/>
      <w:kern w:val="28"/>
      <w:sz w:val="22"/>
      <w:szCs w:val="20"/>
      <w:u w:val="single"/>
      <w14:ligatures w14:val="none"/>
    </w:rPr>
  </w:style>
  <w:style w:type="paragraph" w:styleId="Subtitle">
    <w:name w:val="Subtitle"/>
    <w:basedOn w:val="Normal"/>
    <w:next w:val="Normal"/>
    <w:link w:val="SubtitleChar"/>
    <w:uiPriority w:val="11"/>
    <w:qFormat/>
    <w:rsid w:val="00B32319"/>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319"/>
    <w:rPr>
      <w:rFonts w:ascii="Times New Roman" w:hAnsi="Times New Roman" w:eastAsiaTheme="majorEastAsia" w:cstheme="majorBidi"/>
      <w:snapToGrid w:val="0"/>
      <w:color w:val="595959" w:themeColor="text1" w:themeTint="A6"/>
      <w:spacing w:val="15"/>
      <w:kern w:val="28"/>
      <w:sz w:val="28"/>
      <w:szCs w:val="28"/>
      <w14:ligatures w14:val="none"/>
    </w:rPr>
  </w:style>
  <w:style w:type="character" w:styleId="Hyperlink">
    <w:name w:val="Hyperlink"/>
    <w:rsid w:val="00A21E4A"/>
    <w:rPr>
      <w:color w:val="0000FF"/>
      <w:u w:val="single"/>
    </w:rPr>
  </w:style>
  <w:style w:type="character" w:styleId="FollowedHyperlink">
    <w:name w:val="FollowedHyperlink"/>
    <w:basedOn w:val="DefaultParagraphFont"/>
    <w:uiPriority w:val="99"/>
    <w:semiHidden/>
    <w:unhideWhenUsed/>
    <w:rsid w:val="00B32319"/>
    <w:rPr>
      <w:color w:val="96607D" w:themeColor="followedHyperlink"/>
      <w:u w:val="single"/>
    </w:rPr>
  </w:style>
  <w:style w:type="paragraph" w:styleId="NormalWeb">
    <w:name w:val="Normal (Web)"/>
    <w:basedOn w:val="Normal"/>
    <w:uiPriority w:val="99"/>
    <w:semiHidden/>
    <w:unhideWhenUsed/>
    <w:rsid w:val="00B32319"/>
    <w:rPr>
      <w:sz w:val="24"/>
      <w:szCs w:val="24"/>
    </w:rPr>
  </w:style>
  <w:style w:type="paragraph" w:styleId="CommentSubject">
    <w:name w:val="annotation subject"/>
    <w:basedOn w:val="CommentText"/>
    <w:next w:val="CommentText"/>
    <w:link w:val="CommentSubjectChar"/>
    <w:uiPriority w:val="99"/>
    <w:semiHidden/>
    <w:unhideWhenUsed/>
    <w:rsid w:val="00B32319"/>
    <w:rPr>
      <w:b/>
      <w:bCs/>
    </w:rPr>
  </w:style>
  <w:style w:type="character" w:customStyle="1" w:styleId="CommentSubjectChar">
    <w:name w:val="Comment Subject Char"/>
    <w:basedOn w:val="CommentTextChar"/>
    <w:link w:val="CommentSubject"/>
    <w:uiPriority w:val="99"/>
    <w:semiHidden/>
    <w:rsid w:val="00B32319"/>
    <w:rPr>
      <w:rFonts w:ascii="Times New Roman" w:eastAsia="Times New Roman" w:hAnsi="Times New Roman" w:cs="Times New Roman"/>
      <w:b/>
      <w:bCs/>
      <w:snapToGrid w:val="0"/>
      <w:kern w:val="28"/>
      <w:sz w:val="20"/>
      <w:szCs w:val="20"/>
      <w14:ligatures w14:val="none"/>
    </w:rPr>
  </w:style>
  <w:style w:type="paragraph" w:styleId="ListParagraph">
    <w:name w:val="List Paragraph"/>
    <w:basedOn w:val="Normal"/>
    <w:link w:val="ListParagraphChar"/>
    <w:uiPriority w:val="34"/>
    <w:qFormat/>
    <w:rsid w:val="00B32319"/>
    <w:pPr>
      <w:ind w:left="720"/>
      <w:contextualSpacing/>
    </w:pPr>
  </w:style>
  <w:style w:type="character" w:customStyle="1" w:styleId="ListParagraphChar">
    <w:name w:val="List Paragraph Char"/>
    <w:basedOn w:val="DefaultParagraphFont"/>
    <w:link w:val="ListParagraph"/>
    <w:uiPriority w:val="34"/>
    <w:rsid w:val="00B32319"/>
    <w:rPr>
      <w:rFonts w:ascii="Times New Roman" w:eastAsia="Times New Roman" w:hAnsi="Times New Roman" w:cs="Times New Roman"/>
      <w:snapToGrid w:val="0"/>
      <w:kern w:val="28"/>
      <w:sz w:val="22"/>
      <w:szCs w:val="20"/>
      <w14:ligatures w14:val="none"/>
    </w:rPr>
  </w:style>
  <w:style w:type="paragraph" w:styleId="Quote">
    <w:name w:val="Quote"/>
    <w:basedOn w:val="Normal"/>
    <w:next w:val="Normal"/>
    <w:link w:val="QuoteChar"/>
    <w:uiPriority w:val="29"/>
    <w:qFormat/>
    <w:rsid w:val="00B32319"/>
    <w:pPr>
      <w:spacing w:before="160"/>
      <w:jc w:val="center"/>
    </w:pPr>
    <w:rPr>
      <w:i/>
      <w:iCs/>
      <w:color w:val="404040" w:themeColor="text1" w:themeTint="BF"/>
    </w:rPr>
  </w:style>
  <w:style w:type="character" w:customStyle="1" w:styleId="QuoteChar">
    <w:name w:val="Quote Char"/>
    <w:basedOn w:val="DefaultParagraphFont"/>
    <w:link w:val="Quote"/>
    <w:uiPriority w:val="29"/>
    <w:rsid w:val="00B32319"/>
    <w:rPr>
      <w:rFonts w:ascii="Times New Roman" w:eastAsia="Times New Roman" w:hAnsi="Times New Roman" w:cs="Times New Roman"/>
      <w:i/>
      <w:iCs/>
      <w:snapToGrid w:val="0"/>
      <w:color w:val="404040" w:themeColor="text1" w:themeTint="BF"/>
      <w:kern w:val="28"/>
      <w:sz w:val="22"/>
      <w:szCs w:val="20"/>
      <w14:ligatures w14:val="none"/>
    </w:rPr>
  </w:style>
  <w:style w:type="paragraph" w:styleId="IntenseQuote">
    <w:name w:val="Intense Quote"/>
    <w:basedOn w:val="Normal"/>
    <w:next w:val="Normal"/>
    <w:link w:val="IntenseQuoteChar"/>
    <w:uiPriority w:val="30"/>
    <w:qFormat/>
    <w:rsid w:val="00B32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319"/>
    <w:rPr>
      <w:rFonts w:ascii="Times New Roman" w:eastAsia="Times New Roman" w:hAnsi="Times New Roman" w:cs="Times New Roman"/>
      <w:i/>
      <w:iCs/>
      <w:snapToGrid w:val="0"/>
      <w:color w:val="0F4761" w:themeColor="accent1" w:themeShade="BF"/>
      <w:kern w:val="28"/>
      <w:sz w:val="22"/>
      <w:szCs w:val="20"/>
      <w14:ligatures w14:val="none"/>
    </w:rPr>
  </w:style>
  <w:style w:type="character" w:styleId="IntenseEmphasis">
    <w:name w:val="Intense Emphasis"/>
    <w:basedOn w:val="DefaultParagraphFont"/>
    <w:uiPriority w:val="21"/>
    <w:qFormat/>
    <w:rsid w:val="00B32319"/>
    <w:rPr>
      <w:i/>
      <w:iCs/>
      <w:color w:val="0F4761" w:themeColor="accent1" w:themeShade="BF"/>
    </w:rPr>
  </w:style>
  <w:style w:type="character" w:styleId="IntenseReference">
    <w:name w:val="Intense Reference"/>
    <w:basedOn w:val="DefaultParagraphFont"/>
    <w:uiPriority w:val="32"/>
    <w:qFormat/>
    <w:rsid w:val="00B32319"/>
    <w:rPr>
      <w:b/>
      <w:bCs/>
      <w:smallCaps/>
      <w:color w:val="0F4761" w:themeColor="accent1" w:themeShade="BF"/>
      <w:spacing w:val="5"/>
    </w:rPr>
  </w:style>
  <w:style w:type="character" w:styleId="Mention">
    <w:name w:val="Mention"/>
    <w:basedOn w:val="DefaultParagraphFont"/>
    <w:uiPriority w:val="99"/>
    <w:unhideWhenUsed/>
    <w:rsid w:val="00B32319"/>
    <w:rPr>
      <w:color w:val="2B579A"/>
      <w:shd w:val="clear" w:color="auto" w:fill="E1DFDD"/>
    </w:rPr>
  </w:style>
  <w:style w:type="character" w:styleId="UnresolvedMention">
    <w:name w:val="Unresolved Mention"/>
    <w:basedOn w:val="DefaultParagraphFont"/>
    <w:uiPriority w:val="99"/>
    <w:unhideWhenUsed/>
    <w:rsid w:val="00B32319"/>
    <w:rPr>
      <w:color w:val="605E5C"/>
      <w:shd w:val="clear" w:color="auto" w:fill="E1DFDD"/>
    </w:rPr>
  </w:style>
  <w:style w:type="paragraph" w:customStyle="1" w:styleId="ParaNum">
    <w:name w:val="ParaNum"/>
    <w:basedOn w:val="Normal"/>
    <w:link w:val="ParaNumChar"/>
    <w:rsid w:val="00A21E4A"/>
    <w:pPr>
      <w:numPr>
        <w:numId w:val="3"/>
      </w:numPr>
      <w:tabs>
        <w:tab w:val="clear" w:pos="1080"/>
        <w:tab w:val="num" w:pos="1440"/>
      </w:tabs>
      <w:spacing w:after="120"/>
    </w:pPr>
  </w:style>
  <w:style w:type="paragraph" w:styleId="TOAHeading">
    <w:name w:val="toa heading"/>
    <w:basedOn w:val="Normal"/>
    <w:next w:val="Normal"/>
    <w:semiHidden/>
    <w:rsid w:val="00A21E4A"/>
    <w:pPr>
      <w:tabs>
        <w:tab w:val="right" w:pos="9360"/>
      </w:tabs>
      <w:suppressAutoHyphens/>
    </w:pPr>
  </w:style>
  <w:style w:type="paragraph" w:customStyle="1" w:styleId="StyleBoldCentered">
    <w:name w:val="Style Bold Centered"/>
    <w:basedOn w:val="Normal"/>
    <w:rsid w:val="00A21E4A"/>
    <w:pPr>
      <w:jc w:val="center"/>
    </w:pPr>
    <w:rPr>
      <w:rFonts w:ascii="Times New Roman Bold" w:hAnsi="Times New Roman Bold"/>
      <w:b/>
      <w:bCs/>
      <w:caps/>
      <w:szCs w:val="22"/>
    </w:rPr>
  </w:style>
  <w:style w:type="character" w:customStyle="1" w:styleId="ParaNumChar">
    <w:name w:val="ParaNum Char"/>
    <w:link w:val="ParaNum"/>
    <w:locked/>
    <w:rsid w:val="00145705"/>
    <w:rPr>
      <w:rFonts w:ascii="Times New Roman" w:eastAsia="Times New Roman" w:hAnsi="Times New Roman" w:cs="Times New Roman"/>
      <w:snapToGrid w:val="0"/>
      <w:kern w:val="28"/>
      <w:sz w:val="22"/>
      <w:szCs w:val="20"/>
      <w14:ligatures w14:val="none"/>
    </w:rPr>
  </w:style>
  <w:style w:type="character" w:customStyle="1" w:styleId="paragraph-hierarchy">
    <w:name w:val="paragraph-hierarchy"/>
    <w:basedOn w:val="DefaultParagraphFont"/>
    <w:rsid w:val="00145705"/>
  </w:style>
  <w:style w:type="character" w:customStyle="1" w:styleId="paren">
    <w:name w:val="paren"/>
    <w:basedOn w:val="DefaultParagraphFont"/>
    <w:rsid w:val="00145705"/>
  </w:style>
  <w:style w:type="paragraph" w:styleId="Revision">
    <w:name w:val="Revision"/>
    <w:hidden/>
    <w:uiPriority w:val="99"/>
    <w:semiHidden/>
    <w:rsid w:val="00561D49"/>
    <w:pPr>
      <w:spacing w:after="0" w:line="240" w:lineRule="auto"/>
    </w:pPr>
    <w:rPr>
      <w:rFonts w:ascii="Times New Roman" w:eastAsia="Times New Roman" w:hAnsi="Times New Roman" w:cs="Times New Roman"/>
      <w:snapToGrid w:val="0"/>
      <w:kern w:val="28"/>
      <w:sz w:val="22"/>
      <w:szCs w:val="20"/>
      <w14:ligatures w14:val="none"/>
    </w:rPr>
  </w:style>
  <w:style w:type="paragraph" w:styleId="EndnoteText">
    <w:name w:val="endnote text"/>
    <w:basedOn w:val="Normal"/>
    <w:link w:val="EndnoteTextChar"/>
    <w:semiHidden/>
    <w:rsid w:val="00A21E4A"/>
    <w:rPr>
      <w:sz w:val="20"/>
    </w:rPr>
  </w:style>
  <w:style w:type="character" w:customStyle="1" w:styleId="EndnoteTextChar">
    <w:name w:val="Endnote Text Char"/>
    <w:basedOn w:val="DefaultParagraphFont"/>
    <w:link w:val="EndnoteText"/>
    <w:semiHidden/>
    <w:rsid w:val="00994CF1"/>
    <w:rPr>
      <w:rFonts w:ascii="Times New Roman" w:eastAsia="Times New Roman" w:hAnsi="Times New Roman" w:cs="Times New Roman"/>
      <w:snapToGrid w:val="0"/>
      <w:kern w:val="28"/>
      <w:sz w:val="20"/>
      <w:szCs w:val="20"/>
      <w14:ligatures w14:val="none"/>
    </w:rPr>
  </w:style>
  <w:style w:type="character" w:styleId="EndnoteReference">
    <w:name w:val="endnote reference"/>
    <w:semiHidden/>
    <w:rsid w:val="00A21E4A"/>
    <w:rPr>
      <w:vertAlign w:val="superscript"/>
    </w:rPr>
  </w:style>
  <w:style w:type="paragraph" w:styleId="TOC1">
    <w:name w:val="toc 1"/>
    <w:basedOn w:val="Normal"/>
    <w:next w:val="Normal"/>
    <w:semiHidden/>
    <w:rsid w:val="00A21E4A"/>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A21E4A"/>
    <w:pPr>
      <w:tabs>
        <w:tab w:val="left" w:pos="720"/>
        <w:tab w:val="right" w:leader="dot" w:pos="9360"/>
      </w:tabs>
      <w:suppressAutoHyphens/>
      <w:ind w:left="720" w:right="720" w:hanging="360"/>
    </w:pPr>
    <w:rPr>
      <w:noProof/>
    </w:rPr>
  </w:style>
  <w:style w:type="paragraph" w:styleId="TOC3">
    <w:name w:val="toc 3"/>
    <w:basedOn w:val="Normal"/>
    <w:next w:val="Normal"/>
    <w:semiHidden/>
    <w:rsid w:val="00A21E4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21E4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21E4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21E4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21E4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21E4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21E4A"/>
    <w:pPr>
      <w:tabs>
        <w:tab w:val="left" w:pos="3240"/>
        <w:tab w:val="right" w:leader="dot" w:pos="9360"/>
      </w:tabs>
      <w:suppressAutoHyphens/>
      <w:ind w:left="3240" w:hanging="360"/>
    </w:pPr>
    <w:rPr>
      <w:noProof/>
    </w:rPr>
  </w:style>
  <w:style w:type="character" w:customStyle="1" w:styleId="EquationCaption">
    <w:name w:val="_Equation Caption"/>
    <w:rsid w:val="00A21E4A"/>
  </w:style>
  <w:style w:type="character" w:styleId="PageNumber">
    <w:name w:val="page number"/>
    <w:basedOn w:val="DefaultParagraphFont"/>
    <w:rsid w:val="00A21E4A"/>
  </w:style>
  <w:style w:type="paragraph" w:styleId="BlockText">
    <w:name w:val="Block Text"/>
    <w:basedOn w:val="Normal"/>
    <w:rsid w:val="00A21E4A"/>
    <w:pPr>
      <w:spacing w:after="240"/>
      <w:ind w:left="1440" w:right="1440"/>
    </w:pPr>
  </w:style>
  <w:style w:type="paragraph" w:customStyle="1" w:styleId="Paratitle">
    <w:name w:val="Para title"/>
    <w:basedOn w:val="Normal"/>
    <w:rsid w:val="00A21E4A"/>
    <w:pPr>
      <w:tabs>
        <w:tab w:val="center" w:pos="9270"/>
      </w:tabs>
      <w:spacing w:after="240"/>
    </w:pPr>
    <w:rPr>
      <w:spacing w:val="-2"/>
    </w:rPr>
  </w:style>
  <w:style w:type="paragraph" w:customStyle="1" w:styleId="Bullet">
    <w:name w:val="Bullet"/>
    <w:basedOn w:val="Normal"/>
    <w:rsid w:val="00A21E4A"/>
    <w:pPr>
      <w:tabs>
        <w:tab w:val="left" w:pos="2160"/>
      </w:tabs>
      <w:spacing w:after="220"/>
      <w:ind w:left="2160" w:hanging="720"/>
    </w:pPr>
  </w:style>
  <w:style w:type="paragraph" w:customStyle="1" w:styleId="TableFormat">
    <w:name w:val="TableFormat"/>
    <w:basedOn w:val="Bullet"/>
    <w:rsid w:val="00A21E4A"/>
    <w:pPr>
      <w:tabs>
        <w:tab w:val="clear" w:pos="2160"/>
        <w:tab w:val="left" w:pos="5040"/>
      </w:tabs>
      <w:ind w:left="5040" w:hanging="3600"/>
    </w:pPr>
  </w:style>
  <w:style w:type="paragraph" w:customStyle="1" w:styleId="TOCTitle">
    <w:name w:val="TOC Title"/>
    <w:basedOn w:val="Normal"/>
    <w:rsid w:val="00A21E4A"/>
    <w:pPr>
      <w:spacing w:before="240" w:after="240"/>
      <w:jc w:val="center"/>
    </w:pPr>
    <w:rPr>
      <w:rFonts w:ascii="Times New Roman Bold" w:hAnsi="Times New Roman Bold"/>
      <w:b/>
      <w:caps/>
      <w:spacing w:val="-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zhujiyang@caict.ac.cn"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caict.ac.cn/english/about/dept/202003/t20200312_276685.html" TargetMode="External" /><Relationship Id="rId2" Type="http://schemas.openxmlformats.org/officeDocument/2006/relationships/hyperlink" Target="http://www.caict.ac.cn/english/about/202004/t20200413_279063.html" TargetMode="External" /><Relationship Id="rId3" Type="http://schemas.openxmlformats.org/officeDocument/2006/relationships/hyperlink" Target="https://english.www.gov.cn/state_council/2014/08/23/content_281474983035940.ht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