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D413AB" w:rsidP="00D413AB" w14:paraId="2F232230" w14:textId="6D893E50">
      <w:pPr>
        <w:rPr>
          <w:b/>
          <w:szCs w:val="22"/>
        </w:rPr>
      </w:pPr>
      <w:bookmarkStart w:id="0" w:name="_Hlk132727033"/>
      <w:bookmarkStart w:id="1" w:name="_Hlk99101894"/>
    </w:p>
    <w:p w:rsidR="00D413AB" w:rsidRPr="006519D3" w:rsidP="00D413AB" w14:paraId="71E3474D" w14:textId="77777777">
      <w:pPr>
        <w:jc w:val="center"/>
        <w:rPr>
          <w:b/>
          <w:szCs w:val="22"/>
        </w:rPr>
      </w:pPr>
      <w:r w:rsidRPr="006519D3">
        <w:rPr>
          <w:b/>
          <w:szCs w:val="22"/>
        </w:rPr>
        <w:t>Before the</w:t>
      </w:r>
    </w:p>
    <w:p w:rsidR="00D413AB" w:rsidRPr="006519D3" w:rsidP="00D413AB" w14:paraId="37335A32" w14:textId="77777777">
      <w:pPr>
        <w:jc w:val="center"/>
        <w:rPr>
          <w:b/>
          <w:szCs w:val="22"/>
        </w:rPr>
      </w:pPr>
      <w:r w:rsidRPr="006519D3">
        <w:rPr>
          <w:b/>
          <w:szCs w:val="22"/>
        </w:rPr>
        <w:t>Federal Communications Commission</w:t>
      </w:r>
    </w:p>
    <w:p w:rsidR="00D413AB" w:rsidRPr="006519D3" w:rsidP="00D413AB" w14:paraId="48180881" w14:textId="77777777">
      <w:pPr>
        <w:jc w:val="center"/>
        <w:rPr>
          <w:b/>
          <w:szCs w:val="22"/>
        </w:rPr>
      </w:pPr>
      <w:r w:rsidRPr="006519D3">
        <w:rPr>
          <w:b/>
          <w:szCs w:val="22"/>
        </w:rPr>
        <w:t>Washington, D.C. 20554</w:t>
      </w:r>
    </w:p>
    <w:p w:rsidR="00D413AB" w:rsidRPr="006519D3" w:rsidP="00D413AB" w14:paraId="5D0B1C9F" w14:textId="77777777">
      <w:pPr>
        <w:rPr>
          <w:szCs w:val="22"/>
        </w:rPr>
      </w:pPr>
    </w:p>
    <w:p w:rsidR="00D413AB" w:rsidRPr="006519D3" w:rsidP="00D413AB" w14:paraId="0E55DED9" w14:textId="77777777">
      <w:pPr>
        <w:rPr>
          <w:szCs w:val="22"/>
        </w:rPr>
      </w:pPr>
    </w:p>
    <w:tbl>
      <w:tblPr>
        <w:tblW w:w="0" w:type="auto"/>
        <w:tblLayout w:type="fixed"/>
        <w:tblLook w:val="0000"/>
      </w:tblPr>
      <w:tblGrid>
        <w:gridCol w:w="4698"/>
        <w:gridCol w:w="720"/>
        <w:gridCol w:w="4230"/>
      </w:tblGrid>
      <w:tr w14:paraId="6F8CD2CE" w14:textId="77777777" w:rsidTr="00087A34">
        <w:tblPrEx>
          <w:tblW w:w="0" w:type="auto"/>
          <w:tblLayout w:type="fixed"/>
          <w:tblLook w:val="0000"/>
        </w:tblPrEx>
        <w:tc>
          <w:tcPr>
            <w:tcW w:w="4698" w:type="dxa"/>
          </w:tcPr>
          <w:p w:rsidR="00D413AB" w:rsidP="00087A34" w14:paraId="0F52F191" w14:textId="77777777">
            <w:pPr>
              <w:ind w:right="-18"/>
              <w:rPr>
                <w:szCs w:val="22"/>
              </w:rPr>
            </w:pPr>
            <w:r w:rsidRPr="006519D3">
              <w:rPr>
                <w:szCs w:val="22"/>
              </w:rPr>
              <w:t xml:space="preserve">In the </w:t>
            </w:r>
            <w:r>
              <w:rPr>
                <w:szCs w:val="22"/>
              </w:rPr>
              <w:t>M</w:t>
            </w:r>
            <w:r w:rsidRPr="006519D3">
              <w:rPr>
                <w:szCs w:val="22"/>
              </w:rPr>
              <w:t>atter of</w:t>
            </w:r>
          </w:p>
          <w:p w:rsidR="004547FD" w:rsidRPr="006519D3" w:rsidP="00087A34" w14:paraId="4CA8FBE8" w14:textId="77777777">
            <w:pPr>
              <w:ind w:right="-18"/>
              <w:rPr>
                <w:szCs w:val="22"/>
              </w:rPr>
            </w:pPr>
          </w:p>
          <w:p w:rsidR="00D413AB" w:rsidRPr="005C2320" w:rsidP="00087A34" w14:paraId="7C0A0D22" w14:textId="2AA2F5EE">
            <w:pPr>
              <w:ind w:right="-18"/>
              <w:rPr>
                <w:szCs w:val="22"/>
              </w:rPr>
            </w:pPr>
            <w:r>
              <w:rPr>
                <w:szCs w:val="22"/>
              </w:rPr>
              <w:t>Tesla, Inc.’s Request for Waiver of Section</w:t>
            </w:r>
            <w:r w:rsidR="003770B2">
              <w:rPr>
                <w:szCs w:val="22"/>
              </w:rPr>
              <w:t>s</w:t>
            </w:r>
            <w:r>
              <w:rPr>
                <w:szCs w:val="22"/>
              </w:rPr>
              <w:t xml:space="preserve"> 15.519(a) and 15.519(a)(2) of the Commission’s Rules</w:t>
            </w:r>
          </w:p>
        </w:tc>
        <w:tc>
          <w:tcPr>
            <w:tcW w:w="720" w:type="dxa"/>
          </w:tcPr>
          <w:p w:rsidR="00D413AB" w:rsidP="00087A34" w14:paraId="28A6B9CE" w14:textId="77777777">
            <w:pPr>
              <w:rPr>
                <w:b/>
                <w:szCs w:val="22"/>
              </w:rPr>
            </w:pPr>
            <w:r>
              <w:rPr>
                <w:b/>
                <w:szCs w:val="22"/>
              </w:rPr>
              <w:t>)</w:t>
            </w:r>
          </w:p>
          <w:p w:rsidR="00D413AB" w:rsidP="00087A34" w14:paraId="1F32CF68" w14:textId="77777777">
            <w:pPr>
              <w:rPr>
                <w:b/>
                <w:szCs w:val="22"/>
              </w:rPr>
            </w:pPr>
            <w:r>
              <w:rPr>
                <w:b/>
                <w:szCs w:val="22"/>
              </w:rPr>
              <w:t>)</w:t>
            </w:r>
          </w:p>
          <w:p w:rsidR="00D413AB" w:rsidP="00087A34" w14:paraId="7B4B8BC4" w14:textId="77777777">
            <w:pPr>
              <w:rPr>
                <w:b/>
                <w:szCs w:val="22"/>
              </w:rPr>
            </w:pPr>
            <w:r>
              <w:rPr>
                <w:b/>
                <w:szCs w:val="22"/>
              </w:rPr>
              <w:t>)</w:t>
            </w:r>
          </w:p>
          <w:p w:rsidR="00D413AB" w:rsidP="00087A34" w14:paraId="1C3DC6E1" w14:textId="77777777">
            <w:pPr>
              <w:rPr>
                <w:b/>
                <w:szCs w:val="22"/>
              </w:rPr>
            </w:pPr>
            <w:r>
              <w:rPr>
                <w:b/>
                <w:szCs w:val="22"/>
              </w:rPr>
              <w:t>)</w:t>
            </w:r>
          </w:p>
          <w:p w:rsidR="00D413AB" w:rsidRPr="005C2320" w:rsidP="00087A34" w14:paraId="09037624" w14:textId="77777777">
            <w:pPr>
              <w:rPr>
                <w:b/>
                <w:szCs w:val="22"/>
              </w:rPr>
            </w:pPr>
            <w:r>
              <w:rPr>
                <w:b/>
                <w:szCs w:val="22"/>
              </w:rPr>
              <w:t>)</w:t>
            </w:r>
          </w:p>
        </w:tc>
        <w:tc>
          <w:tcPr>
            <w:tcW w:w="4230" w:type="dxa"/>
          </w:tcPr>
          <w:p w:rsidR="00D413AB" w:rsidRPr="005C2320" w:rsidP="00087A34" w14:paraId="64D7F2BB" w14:textId="77777777">
            <w:pPr>
              <w:rPr>
                <w:szCs w:val="22"/>
              </w:rPr>
            </w:pPr>
          </w:p>
          <w:p w:rsidR="004547FD" w:rsidP="00087A34" w14:paraId="042016AC" w14:textId="77777777">
            <w:pPr>
              <w:rPr>
                <w:szCs w:val="22"/>
              </w:rPr>
            </w:pPr>
          </w:p>
          <w:p w:rsidR="00D413AB" w:rsidP="00087A34" w14:paraId="3656DFF1" w14:textId="016F38B7">
            <w:pPr>
              <w:rPr>
                <w:szCs w:val="22"/>
              </w:rPr>
            </w:pPr>
            <w:r>
              <w:rPr>
                <w:szCs w:val="22"/>
              </w:rPr>
              <w:t>ET Docket No. 2</w:t>
            </w:r>
            <w:r w:rsidR="00E323B7">
              <w:rPr>
                <w:szCs w:val="22"/>
              </w:rPr>
              <w:t>5</w:t>
            </w:r>
            <w:r>
              <w:rPr>
                <w:szCs w:val="22"/>
              </w:rPr>
              <w:t>-</w:t>
            </w:r>
            <w:r w:rsidR="000048E7">
              <w:rPr>
                <w:szCs w:val="22"/>
              </w:rPr>
              <w:t>101</w:t>
            </w:r>
          </w:p>
          <w:p w:rsidR="000048E7" w:rsidP="00087A34" w14:paraId="729C5D14" w14:textId="77777777">
            <w:pPr>
              <w:rPr>
                <w:szCs w:val="22"/>
              </w:rPr>
            </w:pPr>
          </w:p>
          <w:p w:rsidR="00D413AB" w:rsidRPr="005C2320" w:rsidP="00087A34" w14:paraId="3DDA0208" w14:textId="77777777">
            <w:pPr>
              <w:rPr>
                <w:szCs w:val="22"/>
              </w:rPr>
            </w:pPr>
          </w:p>
        </w:tc>
      </w:tr>
    </w:tbl>
    <w:p w:rsidR="00D413AB" w:rsidP="00D413AB" w14:paraId="08802A3E" w14:textId="77777777">
      <w:pPr>
        <w:spacing w:before="120"/>
        <w:jc w:val="center"/>
        <w:rPr>
          <w:b/>
          <w:spacing w:val="-2"/>
          <w:szCs w:val="22"/>
        </w:rPr>
      </w:pPr>
    </w:p>
    <w:p w:rsidR="00D413AB" w:rsidRPr="005C2320" w:rsidP="00D413AB" w14:paraId="37E13450" w14:textId="77777777">
      <w:pPr>
        <w:spacing w:before="120"/>
        <w:jc w:val="center"/>
        <w:rPr>
          <w:b/>
          <w:szCs w:val="22"/>
        </w:rPr>
      </w:pPr>
      <w:r w:rsidRPr="005C2320">
        <w:rPr>
          <w:b/>
          <w:spacing w:val="-2"/>
          <w:szCs w:val="22"/>
        </w:rPr>
        <w:t>ORDER</w:t>
      </w:r>
    </w:p>
    <w:p w:rsidR="00D413AB" w:rsidRPr="005C2320" w:rsidP="00D413AB" w14:paraId="55A0A5D8" w14:textId="77777777">
      <w:pPr>
        <w:rPr>
          <w:szCs w:val="22"/>
        </w:rPr>
      </w:pPr>
    </w:p>
    <w:p w:rsidR="00D413AB" w:rsidRPr="005C2320" w:rsidP="00F84599" w14:paraId="0F0745EF" w14:textId="3C801DB9">
      <w:pPr>
        <w:tabs>
          <w:tab w:val="left" w:pos="6840"/>
        </w:tabs>
        <w:rPr>
          <w:b/>
          <w:szCs w:val="22"/>
        </w:rPr>
      </w:pPr>
      <w:r w:rsidRPr="005C2320">
        <w:rPr>
          <w:b/>
          <w:szCs w:val="22"/>
        </w:rPr>
        <w:t xml:space="preserve">Adopted:  </w:t>
      </w:r>
      <w:r w:rsidR="00AC0F41">
        <w:rPr>
          <w:b/>
          <w:szCs w:val="22"/>
        </w:rPr>
        <w:t xml:space="preserve">February 18, 2026                                                                     </w:t>
      </w:r>
      <w:r w:rsidRPr="005C2320">
        <w:rPr>
          <w:b/>
          <w:szCs w:val="22"/>
        </w:rPr>
        <w:t xml:space="preserve">Released: </w:t>
      </w:r>
      <w:r>
        <w:rPr>
          <w:b/>
          <w:szCs w:val="22"/>
        </w:rPr>
        <w:t xml:space="preserve"> </w:t>
      </w:r>
      <w:r w:rsidR="00AC0F41">
        <w:rPr>
          <w:b/>
          <w:szCs w:val="22"/>
        </w:rPr>
        <w:t>February 18, 2026</w:t>
      </w:r>
    </w:p>
    <w:p w:rsidR="00D413AB" w:rsidP="00D413AB" w14:paraId="25129BF8" w14:textId="77777777">
      <w:pPr>
        <w:tabs>
          <w:tab w:val="left" w:pos="5760"/>
        </w:tabs>
        <w:rPr>
          <w:szCs w:val="22"/>
        </w:rPr>
      </w:pPr>
    </w:p>
    <w:p w:rsidR="00D413AB" w:rsidP="00D413AB" w14:paraId="55F65122" w14:textId="36871D70">
      <w:pPr>
        <w:tabs>
          <w:tab w:val="left" w:pos="5760"/>
        </w:tabs>
        <w:rPr>
          <w:spacing w:val="-2"/>
          <w:szCs w:val="22"/>
        </w:rPr>
      </w:pPr>
      <w:r w:rsidRPr="005C2320">
        <w:rPr>
          <w:szCs w:val="22"/>
        </w:rPr>
        <w:t xml:space="preserve">By </w:t>
      </w:r>
      <w:r w:rsidRPr="005C2320">
        <w:rPr>
          <w:spacing w:val="-2"/>
          <w:szCs w:val="22"/>
        </w:rPr>
        <w:t>Chief, Office of Engineering and Technology:</w:t>
      </w:r>
    </w:p>
    <w:p w:rsidR="00D413AB" w:rsidP="00D413AB" w14:paraId="65936F99" w14:textId="77777777">
      <w:pPr>
        <w:tabs>
          <w:tab w:val="left" w:pos="5760"/>
        </w:tabs>
        <w:rPr>
          <w:spacing w:val="-2"/>
          <w:szCs w:val="22"/>
        </w:rPr>
      </w:pPr>
    </w:p>
    <w:p w:rsidR="00D413AB" w:rsidRPr="007A2280" w:rsidP="00D413AB" w14:paraId="642D3026" w14:textId="77777777">
      <w:pPr>
        <w:pStyle w:val="ListParagraph"/>
        <w:numPr>
          <w:ilvl w:val="0"/>
          <w:numId w:val="3"/>
        </w:numPr>
        <w:tabs>
          <w:tab w:val="left" w:pos="5760"/>
        </w:tabs>
        <w:rPr>
          <w:b/>
          <w:spacing w:val="-2"/>
          <w:szCs w:val="22"/>
        </w:rPr>
      </w:pPr>
      <w:r>
        <w:rPr>
          <w:b/>
          <w:spacing w:val="-2"/>
          <w:szCs w:val="22"/>
        </w:rPr>
        <w:t>INTRODUCTION</w:t>
      </w:r>
    </w:p>
    <w:p w:rsidR="00D413AB" w:rsidRPr="005C2320" w:rsidP="00D413AB" w14:paraId="349D0D67" w14:textId="77777777">
      <w:pPr>
        <w:tabs>
          <w:tab w:val="left" w:pos="5760"/>
        </w:tabs>
        <w:rPr>
          <w:spacing w:val="-2"/>
          <w:szCs w:val="22"/>
        </w:rPr>
      </w:pPr>
    </w:p>
    <w:p w:rsidR="00D413AB" w:rsidP="00D413AB" w14:paraId="0817FBF7" w14:textId="513E6072">
      <w:pPr>
        <w:pStyle w:val="ParaNum"/>
        <w:tabs>
          <w:tab w:val="clear" w:pos="1080"/>
        </w:tabs>
      </w:pPr>
      <w:r w:rsidRPr="005C2320">
        <w:t xml:space="preserve">By this </w:t>
      </w:r>
      <w:r>
        <w:t xml:space="preserve">order, we grant </w:t>
      </w:r>
      <w:r w:rsidRPr="005C2320">
        <w:t>a request by</w:t>
      </w:r>
      <w:r>
        <w:t xml:space="preserve"> </w:t>
      </w:r>
      <w:r w:rsidR="00D079A7">
        <w:t>Tesla, Inc.</w:t>
      </w:r>
      <w:r w:rsidRPr="6F61F293">
        <w:t xml:space="preserve"> (</w:t>
      </w:r>
      <w:r w:rsidR="00D079A7">
        <w:t>Tesla</w:t>
      </w:r>
      <w:r w:rsidRPr="6F61F293">
        <w:t>) to waive Section 15.519(a) and 15.519(a)(2) of our rules governing ultrawideband (UWB) devices.</w:t>
      </w:r>
      <w:r>
        <w:rPr>
          <w:rStyle w:val="FootnoteReference"/>
        </w:rPr>
        <w:footnoteReference w:id="2"/>
      </w:r>
      <w:r w:rsidRPr="6F61F293">
        <w:t xml:space="preserve">  These rules require UWB devices to be hand</w:t>
      </w:r>
      <w:r w:rsidR="009B76C6">
        <w:t>-</w:t>
      </w:r>
      <w:r w:rsidRPr="6F61F293">
        <w:t>held while operating and prohibit use of antennas mounted on outdoor infrastructure, respectively.</w:t>
      </w:r>
      <w:r>
        <w:rPr>
          <w:rStyle w:val="FootnoteReference"/>
        </w:rPr>
        <w:footnoteReference w:id="3"/>
      </w:r>
      <w:r>
        <w:t xml:space="preserve">  For the reasons discussed below, we</w:t>
      </w:r>
      <w:r w:rsidRPr="005C2320">
        <w:t xml:space="preserve"> find </w:t>
      </w:r>
      <w:r>
        <w:t xml:space="preserve">there is good cause to grant </w:t>
      </w:r>
      <w:r w:rsidR="00D079A7">
        <w:t>Tesla</w:t>
      </w:r>
      <w:r>
        <w:t xml:space="preserve">’s request. </w:t>
      </w:r>
      <w:r w:rsidRPr="005C2320">
        <w:t xml:space="preserve"> </w:t>
      </w:r>
    </w:p>
    <w:p w:rsidR="00D413AB" w:rsidRPr="00E975AD" w:rsidP="00D413AB" w14:paraId="1B29FA84" w14:textId="77777777">
      <w:pPr>
        <w:pStyle w:val="ParaNum"/>
        <w:numPr>
          <w:ilvl w:val="0"/>
          <w:numId w:val="3"/>
        </w:numPr>
        <w:rPr>
          <w:b/>
        </w:rPr>
      </w:pPr>
      <w:r>
        <w:rPr>
          <w:b/>
        </w:rPr>
        <w:t>BACKGROUND</w:t>
      </w:r>
    </w:p>
    <w:p w:rsidR="00201008" w:rsidP="00D413AB" w14:paraId="459987B1" w14:textId="589BB839">
      <w:pPr>
        <w:pStyle w:val="ParaNum"/>
        <w:tabs>
          <w:tab w:val="clear" w:pos="1080"/>
        </w:tabs>
      </w:pPr>
      <w:r>
        <w:t xml:space="preserve">The </w:t>
      </w:r>
      <w:r w:rsidR="00D079A7">
        <w:t>Tesla</w:t>
      </w:r>
      <w:r>
        <w:t xml:space="preserve"> </w:t>
      </w:r>
      <w:r w:rsidR="00D079A7">
        <w:t>positioning</w:t>
      </w:r>
      <w:r>
        <w:t xml:space="preserve"> system is </w:t>
      </w:r>
      <w:r w:rsidRPr="00BF584E">
        <w:t xml:space="preserve">an impulse UWB </w:t>
      </w:r>
      <w:r w:rsidRPr="00BF584E" w:rsidR="00C022EB">
        <w:t xml:space="preserve">radio </w:t>
      </w:r>
      <w:r w:rsidRPr="00BF584E">
        <w:t xml:space="preserve">system </w:t>
      </w:r>
      <w:r w:rsidR="00C022EB">
        <w:t xml:space="preserve">that </w:t>
      </w:r>
      <w:r w:rsidRPr="00BF584E">
        <w:t>enable</w:t>
      </w:r>
      <w:r w:rsidR="00C022EB">
        <w:t>s</w:t>
      </w:r>
      <w:r w:rsidRPr="00BF584E">
        <w:t xml:space="preserve"> peer-to-peer communications between a UWB transceiver installed on an electric vehicle </w:t>
      </w:r>
      <w:r w:rsidR="00DA23CA">
        <w:t xml:space="preserve">(EV) </w:t>
      </w:r>
      <w:r w:rsidRPr="00BF584E">
        <w:t>and a</w:t>
      </w:r>
      <w:r>
        <w:t xml:space="preserve"> second</w:t>
      </w:r>
      <w:r w:rsidRPr="00BF584E">
        <w:t xml:space="preserve"> UWB transceiver installed on a ground-level pad</w:t>
      </w:r>
      <w:r w:rsidR="00A178DE">
        <w:t xml:space="preserve"> </w:t>
      </w:r>
      <w:r w:rsidR="005E626C">
        <w:t xml:space="preserve">— </w:t>
      </w:r>
      <w:r w:rsidR="00DA23CA">
        <w:t>which could be located outdoors</w:t>
      </w:r>
      <w:r w:rsidR="00053787">
        <w:t xml:space="preserve"> — </w:t>
      </w:r>
      <w:r w:rsidR="00DA23CA">
        <w:t>to achieve</w:t>
      </w:r>
      <w:r w:rsidRPr="00BF584E" w:rsidR="00DA23CA">
        <w:t xml:space="preserve"> optimal positioning</w:t>
      </w:r>
      <w:r w:rsidR="00DA23CA">
        <w:t xml:space="preserve"> for the EV to charge</w:t>
      </w:r>
      <w:r w:rsidR="009C65AD">
        <w:t xml:space="preserve"> wirelessly</w:t>
      </w:r>
      <w:r w:rsidRPr="00BF584E" w:rsidR="00DA23CA">
        <w:t>.</w:t>
      </w:r>
      <w:r>
        <w:rPr>
          <w:rStyle w:val="FootnoteReference"/>
        </w:rPr>
        <w:footnoteReference w:id="4"/>
      </w:r>
      <w:r w:rsidR="00224729">
        <w:t xml:space="preserve">  </w:t>
      </w:r>
      <w:r w:rsidRPr="00BF584E" w:rsidR="00CE1178">
        <w:t xml:space="preserve">Prior to the UWB operation, the </w:t>
      </w:r>
      <w:r w:rsidR="00C022EB">
        <w:t xml:space="preserve">vehicular </w:t>
      </w:r>
      <w:r w:rsidRPr="00BF584E" w:rsidR="00CE1178">
        <w:t xml:space="preserve">system uses Bluetooth technology for the vehicle to discover the </w:t>
      </w:r>
      <w:r w:rsidR="00CE1178">
        <w:t xml:space="preserve">location of the </w:t>
      </w:r>
      <w:r w:rsidRPr="00BF584E" w:rsidR="00CE1178">
        <w:t>ground pad and engage in data exchange activities (which is not subject to the waiver).</w:t>
      </w:r>
      <w:r>
        <w:rPr>
          <w:rStyle w:val="FootnoteReference"/>
        </w:rPr>
        <w:footnoteReference w:id="5"/>
      </w:r>
      <w:r w:rsidRPr="00BF584E" w:rsidR="00CE1178">
        <w:t xml:space="preserve">  </w:t>
      </w:r>
      <w:r w:rsidR="001813CE">
        <w:t xml:space="preserve">When the vehicle approaches </w:t>
      </w:r>
      <w:r w:rsidR="00B52B4F">
        <w:t xml:space="preserve">the ground pad, </w:t>
      </w:r>
      <w:r w:rsidRPr="00BF584E" w:rsidR="00CE1178">
        <w:t>the UWB transceivers will operate to track the position of the vehicle to determine whe</w:t>
      </w:r>
      <w:r w:rsidR="006053CD">
        <w:t>n</w:t>
      </w:r>
      <w:r w:rsidRPr="00BF584E" w:rsidR="00CE1178">
        <w:t xml:space="preserve"> the optimal position has been achieved </w:t>
      </w:r>
      <w:r w:rsidR="00B52B4F">
        <w:t xml:space="preserve">over the pad </w:t>
      </w:r>
      <w:r w:rsidR="00CE1178">
        <w:t xml:space="preserve">before </w:t>
      </w:r>
      <w:r w:rsidRPr="00BF584E" w:rsidR="00CE1178">
        <w:t>enabl</w:t>
      </w:r>
      <w:r w:rsidR="00CE1178">
        <w:t>ing</w:t>
      </w:r>
      <w:r w:rsidRPr="00BF584E" w:rsidR="00CE1178">
        <w:t xml:space="preserve"> wireless power charging.</w:t>
      </w:r>
      <w:r>
        <w:rPr>
          <w:rStyle w:val="FootnoteReference"/>
        </w:rPr>
        <w:footnoteReference w:id="6"/>
      </w:r>
    </w:p>
    <w:p w:rsidR="00831B87" w:rsidP="00D413AB" w14:paraId="18219B36" w14:textId="5EF43181">
      <w:pPr>
        <w:pStyle w:val="ParaNum"/>
        <w:tabs>
          <w:tab w:val="clear" w:pos="1080"/>
        </w:tabs>
      </w:pPr>
      <w:r>
        <w:t xml:space="preserve">In its waiver request, </w:t>
      </w:r>
      <w:r w:rsidR="00D079A7">
        <w:t>Tesla</w:t>
      </w:r>
      <w:r>
        <w:t xml:space="preserve"> </w:t>
      </w:r>
      <w:r w:rsidRPr="00BF584E">
        <w:t xml:space="preserve">states that the UWB signals </w:t>
      </w:r>
      <w:r>
        <w:t>occur</w:t>
      </w:r>
      <w:r w:rsidRPr="00BF584E">
        <w:t xml:space="preserve"> </w:t>
      </w:r>
      <w:r>
        <w:t xml:space="preserve">only </w:t>
      </w:r>
      <w:r w:rsidR="00533951">
        <w:t xml:space="preserve">briefly </w:t>
      </w:r>
      <w:r w:rsidR="0068430D">
        <w:t>when the vehicle approaches the ground pad</w:t>
      </w:r>
      <w:r w:rsidR="00C360C4">
        <w:t>;</w:t>
      </w:r>
      <w:r w:rsidR="0068430D">
        <w:t xml:space="preserve"> and mostly </w:t>
      </w:r>
      <w:r>
        <w:t xml:space="preserve">at ground level between the vehicle and the pad, </w:t>
      </w:r>
      <w:r w:rsidRPr="00F2461D" w:rsidR="00F2461D">
        <w:t>and that the UWB signals</w:t>
      </w:r>
      <w:r w:rsidR="00C360C4">
        <w:t xml:space="preserve"> </w:t>
      </w:r>
      <w:r>
        <w:t xml:space="preserve">are </w:t>
      </w:r>
      <w:r w:rsidR="006B5429">
        <w:t>then</w:t>
      </w:r>
      <w:r w:rsidRPr="00BF584E" w:rsidR="006B5429">
        <w:t xml:space="preserve"> </w:t>
      </w:r>
      <w:r w:rsidRPr="00BF584E">
        <w:t>significantly attenuated by the body of the vehicle positioned over the pad</w:t>
      </w:r>
      <w:r w:rsidR="009B4FE5">
        <w:t>.</w:t>
      </w:r>
      <w:r>
        <w:rPr>
          <w:rStyle w:val="FootnoteReference"/>
        </w:rPr>
        <w:footnoteReference w:id="7"/>
      </w:r>
      <w:r w:rsidR="00C73EBC">
        <w:t xml:space="preserve"> </w:t>
      </w:r>
      <w:r w:rsidR="009B4FE5">
        <w:t>T</w:t>
      </w:r>
      <w:r w:rsidR="00C73EBC">
        <w:t xml:space="preserve">hus, </w:t>
      </w:r>
      <w:r w:rsidR="00D377D3">
        <w:t xml:space="preserve">Tesla asserts, </w:t>
      </w:r>
      <w:r w:rsidRPr="00000063" w:rsidR="0001314A">
        <w:rPr>
          <w:szCs w:val="22"/>
        </w:rPr>
        <w:t xml:space="preserve">there is no practical ability to utilize </w:t>
      </w:r>
      <w:r w:rsidR="0032113C">
        <w:rPr>
          <w:szCs w:val="22"/>
        </w:rPr>
        <w:t>its</w:t>
      </w:r>
      <w:r w:rsidRPr="00000063" w:rsidR="0001314A">
        <w:rPr>
          <w:szCs w:val="22"/>
        </w:rPr>
        <w:t xml:space="preserve"> UWB sensors in the development of large </w:t>
      </w:r>
      <w:r w:rsidRPr="00000063" w:rsidR="0001314A">
        <w:rPr>
          <w:szCs w:val="22"/>
        </w:rPr>
        <w:t>communications systems</w:t>
      </w:r>
      <w:r w:rsidR="000A1E62">
        <w:rPr>
          <w:szCs w:val="22"/>
        </w:rPr>
        <w:t xml:space="preserve"> </w:t>
      </w:r>
      <w:r w:rsidRPr="00BF584E" w:rsidR="00C73EBC">
        <w:t>that the rule on fixed outdoor infrastructure is clearly designed to prohibit</w:t>
      </w:r>
      <w:r w:rsidR="00C73EBC">
        <w:t>.</w:t>
      </w:r>
      <w:r>
        <w:rPr>
          <w:rStyle w:val="FootnoteReference"/>
        </w:rPr>
        <w:footnoteReference w:id="8"/>
      </w:r>
      <w:r w:rsidRPr="00BF584E">
        <w:t xml:space="preserve">  It </w:t>
      </w:r>
      <w:r>
        <w:t xml:space="preserve">also </w:t>
      </w:r>
      <w:r w:rsidRPr="00BF584E">
        <w:t>asserts that grant of a waiver will serve the public interest by</w:t>
      </w:r>
      <w:r w:rsidRPr="000874E2" w:rsidR="000874E2">
        <w:t xml:space="preserve"> unleash</w:t>
      </w:r>
      <w:r w:rsidR="000874E2">
        <w:t>ing</w:t>
      </w:r>
      <w:r w:rsidRPr="000874E2" w:rsidR="000874E2">
        <w:t xml:space="preserve"> innovation and benefit</w:t>
      </w:r>
      <w:r w:rsidR="000874E2">
        <w:t>ing</w:t>
      </w:r>
      <w:r w:rsidRPr="000874E2" w:rsidR="000874E2">
        <w:t xml:space="preserve"> consumers</w:t>
      </w:r>
      <w:r w:rsidRPr="00BF584E">
        <w:t>.</w:t>
      </w:r>
      <w:r>
        <w:rPr>
          <w:rStyle w:val="FootnoteReference"/>
        </w:rPr>
        <w:footnoteReference w:id="9"/>
      </w:r>
    </w:p>
    <w:p w:rsidR="00567116" w:rsidP="00567116" w14:paraId="7E2BF51E" w14:textId="168D048D">
      <w:pPr>
        <w:pStyle w:val="ParaNum"/>
        <w:tabs>
          <w:tab w:val="clear" w:pos="1080"/>
        </w:tabs>
      </w:pPr>
      <w:r>
        <w:t>Tesla’s positioning system will operate under the Commission’s Part 15 rules governing the operation of UWB devices</w:t>
      </w:r>
      <w:r w:rsidR="00012D5C">
        <w:t xml:space="preserve">, which </w:t>
      </w:r>
      <w:r>
        <w:t xml:space="preserve"> permits low-power radio frequency devices to operate without an individual license from the Commission.</w:t>
      </w:r>
      <w:r>
        <w:rPr>
          <w:rStyle w:val="FootnoteReference"/>
        </w:rPr>
        <w:footnoteReference w:id="10"/>
      </w:r>
      <w:r>
        <w:t xml:space="preserve">  Unlicensed transmitters using UWB technology, which are governed by Subpart F of Part 15, employ very narrow or short-duration pulses that result in very large transmission bandwidths.</w:t>
      </w:r>
      <w:r>
        <w:rPr>
          <w:rStyle w:val="FootnoteReference"/>
        </w:rPr>
        <w:footnoteReference w:id="11"/>
      </w:r>
      <w:r>
        <w:t xml:space="preserve">  </w:t>
      </w:r>
      <w:r w:rsidRPr="005C2320">
        <w:t>UWB devices share frequency bands with authorized radio services</w:t>
      </w:r>
      <w:r>
        <w:t xml:space="preserve"> </w:t>
      </w:r>
      <w:r w:rsidRPr="005C2320">
        <w:t>and</w:t>
      </w:r>
      <w:r>
        <w:t>, like all unlicensed devices,</w:t>
      </w:r>
      <w:r w:rsidRPr="005C2320">
        <w:t xml:space="preserve"> may not cause harmful interference to authorized radio services</w:t>
      </w:r>
      <w:r>
        <w:t xml:space="preserve"> and must accept interference that may be caused by the operation of other stations and devices</w:t>
      </w:r>
      <w:r w:rsidRPr="005C2320">
        <w:t>.</w:t>
      </w:r>
      <w:r>
        <w:rPr>
          <w:rStyle w:val="FootnoteReference"/>
        </w:rPr>
        <w:footnoteReference w:id="12"/>
      </w:r>
      <w:r>
        <w:t xml:space="preserve">  </w:t>
      </w:r>
    </w:p>
    <w:p w:rsidR="00D413AB" w:rsidP="00876593" w14:paraId="1FC485DC" w14:textId="707B2264">
      <w:pPr>
        <w:pStyle w:val="ParaNum"/>
        <w:widowControl/>
        <w:tabs>
          <w:tab w:val="clear" w:pos="1080"/>
        </w:tabs>
      </w:pPr>
      <w:r>
        <w:t xml:space="preserve">To </w:t>
      </w:r>
      <w:r w:rsidR="000874E2">
        <w:t>enable its positioning system to obtain</w:t>
      </w:r>
      <w:r>
        <w:t xml:space="preserve"> certification and </w:t>
      </w:r>
      <w:r w:rsidR="000874E2">
        <w:t xml:space="preserve">conduct </w:t>
      </w:r>
      <w:r>
        <w:t>marketing</w:t>
      </w:r>
      <w:r w:rsidRPr="00223636">
        <w:t xml:space="preserve">, </w:t>
      </w:r>
      <w:r w:rsidR="00D079A7">
        <w:t>Tesla</w:t>
      </w:r>
      <w:r>
        <w:t xml:space="preserve"> requests </w:t>
      </w:r>
      <w:r w:rsidR="00CB3BBF">
        <w:t>that we</w:t>
      </w:r>
      <w:r>
        <w:t xml:space="preserve"> waive Section 15.519(a) and 15.519(a)(2) of the Commission’s rules.</w:t>
      </w:r>
      <w:r>
        <w:rPr>
          <w:rStyle w:val="FootnoteReference"/>
        </w:rPr>
        <w:footnoteReference w:id="13"/>
      </w:r>
      <w:r>
        <w:t xml:space="preserve">  </w:t>
      </w:r>
      <w:r w:rsidRPr="65EDF2DE">
        <w:t>Section 15.519(a</w:t>
      </w:r>
      <w:r w:rsidRPr="004145A2">
        <w:rPr>
          <w:szCs w:val="22"/>
        </w:rPr>
        <w:t xml:space="preserve">) </w:t>
      </w:r>
      <w:r w:rsidRPr="65EDF2DE">
        <w:t>requires UWB devices to be hand-held and not employ a fixed infrastructure.</w:t>
      </w:r>
      <w:r>
        <w:rPr>
          <w:rStyle w:val="FootnoteReference"/>
        </w:rPr>
        <w:footnoteReference w:id="14"/>
      </w:r>
      <w:r w:rsidRPr="65EDF2DE">
        <w:t xml:space="preserve"> </w:t>
      </w:r>
      <w:r>
        <w:t xml:space="preserve"> </w:t>
      </w:r>
      <w:r w:rsidRPr="65EDF2DE">
        <w:t xml:space="preserve">Section 15.519(a)(2) prohibits the use of antennas mounted on outdoor infrastructure </w:t>
      </w:r>
      <w:r w:rsidR="000874E2">
        <w:t>such as</w:t>
      </w:r>
      <w:r w:rsidRPr="65EDF2DE" w:rsidR="000874E2">
        <w:t xml:space="preserve"> </w:t>
      </w:r>
      <w:r>
        <w:t xml:space="preserve">the </w:t>
      </w:r>
      <w:r w:rsidRPr="65EDF2DE">
        <w:t>outside of a building, telephone pole, or any fixed infrastructure</w:t>
      </w:r>
      <w:r w:rsidRPr="004145A2">
        <w:rPr>
          <w:szCs w:val="22"/>
        </w:rPr>
        <w:t>.</w:t>
      </w:r>
      <w:r>
        <w:rPr>
          <w:rStyle w:val="FootnoteReference"/>
        </w:rPr>
        <w:footnoteReference w:id="15"/>
      </w:r>
      <w:r w:rsidRPr="65EDF2DE">
        <w:t xml:space="preserve">  According to </w:t>
      </w:r>
      <w:r w:rsidR="00D079A7">
        <w:t>Tesla</w:t>
      </w:r>
      <w:r>
        <w:t xml:space="preserve">, its system will employ directional planar antennas designed for frequencies ranging from </w:t>
      </w:r>
      <w:r w:rsidRPr="00847CF1" w:rsidR="000024BC">
        <w:t>7.</w:t>
      </w:r>
      <w:r w:rsidRPr="0014702E" w:rsidR="001847D3">
        <w:t>7</w:t>
      </w:r>
      <w:r>
        <w:t xml:space="preserve"> GHz to </w:t>
      </w:r>
      <w:r w:rsidRPr="00847CF1" w:rsidR="00200AA1">
        <w:t>8.</w:t>
      </w:r>
      <w:r w:rsidRPr="0014702E" w:rsidR="001847D3">
        <w:t>3</w:t>
      </w:r>
      <w:r>
        <w:t xml:space="preserve"> GHz</w:t>
      </w:r>
      <w:r w:rsidR="009F3C16">
        <w:t>.</w:t>
      </w:r>
      <w:r>
        <w:rPr>
          <w:rStyle w:val="FootnoteReference"/>
        </w:rPr>
        <w:footnoteReference w:id="16"/>
      </w:r>
      <w:r>
        <w:t xml:space="preserve">  </w:t>
      </w:r>
      <w:r w:rsidRPr="65EDF2DE">
        <w:t xml:space="preserve">Because </w:t>
      </w:r>
      <w:r w:rsidR="003012E9">
        <w:t xml:space="preserve">some of </w:t>
      </w:r>
      <w:r w:rsidR="00D079A7">
        <w:t>Tesla</w:t>
      </w:r>
      <w:r>
        <w:t xml:space="preserve">’s UWB </w:t>
      </w:r>
      <w:r w:rsidR="00B10698">
        <w:t>positioning</w:t>
      </w:r>
      <w:r w:rsidR="003012E9">
        <w:t xml:space="preserve"> devices</w:t>
      </w:r>
      <w:r>
        <w:t xml:space="preserve"> will be installed on </w:t>
      </w:r>
      <w:r w:rsidR="003012E9">
        <w:t>ground pads located outdoors</w:t>
      </w:r>
      <w:r>
        <w:t xml:space="preserve">, </w:t>
      </w:r>
      <w:r w:rsidR="00D079A7">
        <w:t>Tesla</w:t>
      </w:r>
      <w:r w:rsidRPr="65EDF2DE">
        <w:t xml:space="preserve"> seeks a waiver of th</w:t>
      </w:r>
      <w:r>
        <w:t>ese</w:t>
      </w:r>
      <w:r w:rsidRPr="65EDF2DE">
        <w:t xml:space="preserve"> rule</w:t>
      </w:r>
      <w:r>
        <w:t>s</w:t>
      </w:r>
      <w:r w:rsidRPr="65EDF2DE">
        <w:t>.</w:t>
      </w:r>
      <w:r>
        <w:rPr>
          <w:rStyle w:val="FootnoteReference"/>
        </w:rPr>
        <w:footnoteReference w:id="17"/>
      </w:r>
      <w:r>
        <w:t xml:space="preserve"> </w:t>
      </w:r>
      <w:bookmarkStart w:id="2" w:name="_Hlk214270049"/>
      <w:r w:rsidR="00D67625">
        <w:t xml:space="preserve"> </w:t>
      </w:r>
      <w:r w:rsidR="00E72D73">
        <w:t>We note</w:t>
      </w:r>
      <w:r w:rsidR="00EB11DF">
        <w:t xml:space="preserve"> that the 7.7</w:t>
      </w:r>
      <w:r w:rsidR="00823A7F">
        <w:t xml:space="preserve"> to </w:t>
      </w:r>
      <w:r w:rsidR="004B7191">
        <w:t>8.3 GHz band segment</w:t>
      </w:r>
      <w:r w:rsidR="00D67625">
        <w:t xml:space="preserve"> contains </w:t>
      </w:r>
      <w:r w:rsidR="004D26EB">
        <w:t>various federal government frequency assignments.  More specifically</w:t>
      </w:r>
      <w:r w:rsidR="00E00EDB">
        <w:t>,</w:t>
      </w:r>
      <w:r w:rsidR="004D26EB">
        <w:t xml:space="preserve"> there </w:t>
      </w:r>
      <w:r w:rsidR="004B7191">
        <w:t xml:space="preserve">are </w:t>
      </w:r>
      <w:r w:rsidR="000B601B">
        <w:t>3</w:t>
      </w:r>
      <w:r w:rsidR="00D67625">
        <w:t>,</w:t>
      </w:r>
      <w:r w:rsidR="000B601B">
        <w:t>528</w:t>
      </w:r>
      <w:r w:rsidR="001D3730">
        <w:t xml:space="preserve"> </w:t>
      </w:r>
      <w:r w:rsidR="004D26EB">
        <w:t>government frequency</w:t>
      </w:r>
      <w:r w:rsidR="004B7191">
        <w:t xml:space="preserve"> assignments in the Government Master File.  Approximately </w:t>
      </w:r>
      <w:r w:rsidR="0049162E">
        <w:t xml:space="preserve">eighty </w:t>
      </w:r>
      <w:r w:rsidR="00656CBB">
        <w:t>percent</w:t>
      </w:r>
      <w:r w:rsidR="004B7191">
        <w:t xml:space="preserve"> of those assignments are for</w:t>
      </w:r>
      <w:r w:rsidR="00E76C94">
        <w:t xml:space="preserve"> Fixed</w:t>
      </w:r>
      <w:r w:rsidR="004B7191">
        <w:t xml:space="preserve"> systems used to support the missions of the federal agencies.</w:t>
      </w:r>
      <w:bookmarkEnd w:id="2"/>
    </w:p>
    <w:p w:rsidR="00D413AB" w:rsidRPr="005F508C" w:rsidP="00D413AB" w14:paraId="068C8FF8" w14:textId="6B1B1923">
      <w:pPr>
        <w:pStyle w:val="ParaNum"/>
        <w:tabs>
          <w:tab w:val="clear" w:pos="1080"/>
        </w:tabs>
      </w:pPr>
      <w:r w:rsidRPr="00691F7E">
        <w:t xml:space="preserve">The Office of Engineering and Technology </w:t>
      </w:r>
      <w:r>
        <w:t xml:space="preserve">(OET) </w:t>
      </w:r>
      <w:r w:rsidRPr="00691F7E">
        <w:t xml:space="preserve">issued a Public Notice on </w:t>
      </w:r>
      <w:r w:rsidRPr="005F0EBC" w:rsidR="00E323B7">
        <w:t>February</w:t>
      </w:r>
      <w:r w:rsidRPr="005F0EBC">
        <w:t xml:space="preserve"> </w:t>
      </w:r>
      <w:r w:rsidR="00E323B7">
        <w:t>2</w:t>
      </w:r>
      <w:r w:rsidR="005F0EBC">
        <w:t>5</w:t>
      </w:r>
      <w:r>
        <w:t>, 202</w:t>
      </w:r>
      <w:r w:rsidR="00E323B7">
        <w:t>5</w:t>
      </w:r>
      <w:r>
        <w:t xml:space="preserve">, seeking comment on </w:t>
      </w:r>
      <w:r w:rsidR="00D079A7">
        <w:t>Tesla</w:t>
      </w:r>
      <w:r>
        <w:t>’s waiver request.</w:t>
      </w:r>
      <w:r>
        <w:rPr>
          <w:rStyle w:val="FootnoteReference"/>
        </w:rPr>
        <w:footnoteReference w:id="18"/>
      </w:r>
      <w:r>
        <w:t xml:space="preserve">  In response, the Commission received </w:t>
      </w:r>
      <w:r w:rsidR="00142522">
        <w:t>three</w:t>
      </w:r>
      <w:r>
        <w:t xml:space="preserve"> </w:t>
      </w:r>
      <w:r>
        <w:t>comments</w:t>
      </w:r>
      <w:r w:rsidR="0006321B">
        <w:t>,</w:t>
      </w:r>
      <w:r>
        <w:t xml:space="preserve"> all of which support granting the waiver request.</w:t>
      </w:r>
      <w:r>
        <w:rPr>
          <w:rStyle w:val="FootnoteReference"/>
        </w:rPr>
        <w:footnoteReference w:id="19"/>
      </w:r>
      <w:r w:rsidR="00142522">
        <w:t xml:space="preserve">  No commenter other than Tesla filed reply comments.</w:t>
      </w:r>
      <w:r>
        <w:rPr>
          <w:rStyle w:val="FootnoteReference"/>
        </w:rPr>
        <w:footnoteReference w:id="20"/>
      </w:r>
      <w:r w:rsidR="00142522">
        <w:t xml:space="preserve"> </w:t>
      </w:r>
    </w:p>
    <w:p w:rsidR="00D413AB" w:rsidRPr="00691F7E" w:rsidP="00D413AB" w14:paraId="597BD3B7" w14:textId="77777777">
      <w:pPr>
        <w:pStyle w:val="ParaNum"/>
        <w:numPr>
          <w:ilvl w:val="0"/>
          <w:numId w:val="3"/>
        </w:numPr>
        <w:rPr>
          <w:b/>
        </w:rPr>
      </w:pPr>
      <w:r w:rsidRPr="00691F7E">
        <w:rPr>
          <w:b/>
        </w:rPr>
        <w:t>DISCUSSION</w:t>
      </w:r>
    </w:p>
    <w:p w:rsidR="00D413AB" w:rsidRPr="00004F3D" w:rsidP="00D413AB" w14:paraId="7E75FD47" w14:textId="77777777">
      <w:pPr>
        <w:pStyle w:val="ParaNum"/>
        <w:tabs>
          <w:tab w:val="clear" w:pos="1080"/>
        </w:tabs>
      </w:pPr>
      <w:r w:rsidRPr="00004F3D">
        <w:t>We are authorized to grant a waiver under Section 1.3 of the Commission's rules if the petitioner demonstrates good cause for such action.</w:t>
      </w:r>
      <w:r>
        <w:rPr>
          <w:vertAlign w:val="superscript"/>
        </w:rPr>
        <w:footnoteReference w:id="21"/>
      </w:r>
      <w:r w:rsidRPr="00004F3D">
        <w:t xml:space="preserve">  Good cause, in turn, may be found and a waiver granted “where particular facts would make strict compliance inconsistent with the public interest.”</w:t>
      </w:r>
      <w:r>
        <w:rPr>
          <w:vertAlign w:val="superscript"/>
        </w:rPr>
        <w:footnoteReference w:id="22"/>
      </w:r>
      <w:r w:rsidRPr="00004F3D">
        <w:t xml:space="preserve">  To make this public interest determination, the waiver cannot undermine the purpose of the rule and there must be a stronger public interest benefit in granting the waiver than in applying the rule.</w:t>
      </w:r>
      <w:r>
        <w:rPr>
          <w:vertAlign w:val="superscript"/>
        </w:rPr>
        <w:footnoteReference w:id="23"/>
      </w:r>
      <w:r w:rsidRPr="00004F3D">
        <w:t xml:space="preserve">  </w:t>
      </w:r>
    </w:p>
    <w:p w:rsidR="00D413AB" w:rsidP="00F150C7" w14:paraId="0F8278EB" w14:textId="23FC06F4">
      <w:pPr>
        <w:pStyle w:val="ParaNum"/>
        <w:widowControl/>
        <w:tabs>
          <w:tab w:val="clear" w:pos="1080"/>
        </w:tabs>
      </w:pPr>
      <w:r w:rsidRPr="6F61F293">
        <w:t xml:space="preserve">The </w:t>
      </w:r>
      <w:r w:rsidRPr="00004F3D">
        <w:t>technical and operational standards in Part 15 were adopted to ensure that UWB devices do not cause harmful interference to authorized radio services.</w:t>
      </w:r>
      <w:r>
        <w:rPr>
          <w:rStyle w:val="FootnoteReference"/>
        </w:rPr>
        <w:footnoteReference w:id="24"/>
      </w:r>
      <w:r w:rsidRPr="00004F3D">
        <w:t xml:space="preserve">  </w:t>
      </w:r>
      <w:r>
        <w:t>As discussed below, w</w:t>
      </w:r>
      <w:r w:rsidRPr="00004F3D">
        <w:t xml:space="preserve">e find nothing in the </w:t>
      </w:r>
      <w:r w:rsidR="00531FB7">
        <w:t>waiver request</w:t>
      </w:r>
      <w:r w:rsidRPr="00004F3D">
        <w:t xml:space="preserve"> to indicate that </w:t>
      </w:r>
      <w:r w:rsidR="00D079A7">
        <w:t>Tesla</w:t>
      </w:r>
      <w:r>
        <w:t>’s</w:t>
      </w:r>
      <w:r w:rsidRPr="00004F3D">
        <w:t xml:space="preserve"> devices would differ from other UWB devices such that they would pose an increased risk of causing harmful interference to authorized radio services.</w:t>
      </w:r>
      <w:r>
        <w:t xml:space="preserve">  As an initial matter, w</w:t>
      </w:r>
      <w:r w:rsidRPr="6F61F293">
        <w:t>e also note that</w:t>
      </w:r>
      <w:r w:rsidR="00590FCC">
        <w:t>, similar to</w:t>
      </w:r>
      <w:r w:rsidRPr="6F61F293">
        <w:t xml:space="preserve"> all UWB devices, </w:t>
      </w:r>
      <w:r w:rsidR="00D079A7">
        <w:t>Tesla</w:t>
      </w:r>
      <w:r w:rsidRPr="6F61F293">
        <w:t xml:space="preserve"> </w:t>
      </w:r>
      <w:r>
        <w:t xml:space="preserve">plans to design its </w:t>
      </w:r>
      <w:r w:rsidR="00CC0340">
        <w:t>positioning devices</w:t>
      </w:r>
      <w:r w:rsidRPr="6F61F293">
        <w:t xml:space="preserve"> </w:t>
      </w:r>
      <w:r>
        <w:t xml:space="preserve">to </w:t>
      </w:r>
      <w:r w:rsidRPr="6F61F293">
        <w:t xml:space="preserve">emit a </w:t>
      </w:r>
      <w:r>
        <w:t>significantly</w:t>
      </w:r>
      <w:r w:rsidRPr="6F61F293">
        <w:t xml:space="preserve"> low power signal.</w:t>
      </w:r>
      <w:r>
        <w:rPr>
          <w:vertAlign w:val="superscript"/>
        </w:rPr>
        <w:footnoteReference w:id="25"/>
      </w:r>
      <w:r w:rsidRPr="6F61F293">
        <w:t xml:space="preserve"> </w:t>
      </w:r>
      <w:r w:rsidR="006330B2">
        <w:t xml:space="preserve"> </w:t>
      </w:r>
      <w:r w:rsidRPr="6F61F293">
        <w:t xml:space="preserve">The current rules allow power levels of -41.3 dBm in the </w:t>
      </w:r>
      <w:r w:rsidR="001F7488">
        <w:t>7.</w:t>
      </w:r>
      <w:r w:rsidR="001847D3">
        <w:t>7</w:t>
      </w:r>
      <w:r w:rsidRPr="6F61F293">
        <w:t xml:space="preserve"> to </w:t>
      </w:r>
      <w:r w:rsidR="001F7488">
        <w:t>8.</w:t>
      </w:r>
      <w:r w:rsidR="001847D3">
        <w:t>3</w:t>
      </w:r>
      <w:r w:rsidRPr="6F61F293">
        <w:t xml:space="preserve"> GHz range in which this device is requesting to operate</w:t>
      </w:r>
      <w:r>
        <w:t xml:space="preserve">, and </w:t>
      </w:r>
      <w:r w:rsidR="00D079A7">
        <w:t>Tesla</w:t>
      </w:r>
      <w:r>
        <w:t xml:space="preserve"> is not seeking a waiver of these requirements.</w:t>
      </w:r>
      <w:r>
        <w:rPr>
          <w:rStyle w:val="FootnoteReference"/>
        </w:rPr>
        <w:footnoteReference w:id="26"/>
      </w:r>
      <w:r w:rsidRPr="009E15FE">
        <w:rPr>
          <w:szCs w:val="22"/>
        </w:rPr>
        <w:t xml:space="preserve"> </w:t>
      </w:r>
    </w:p>
    <w:p w:rsidR="00D413AB" w:rsidRPr="005E7CF0" w:rsidP="00AC0F41" w14:paraId="20FA8944" w14:textId="1590F77F">
      <w:pPr>
        <w:pStyle w:val="ParaNum"/>
        <w:widowControl/>
        <w:tabs>
          <w:tab w:val="clear" w:pos="1080"/>
        </w:tabs>
        <w:rPr>
          <w:vertAlign w:val="superscript"/>
        </w:rPr>
      </w:pPr>
      <w:bookmarkStart w:id="3" w:name="_Hlk214452705"/>
      <w:r>
        <w:t xml:space="preserve">With respect to the rules for which it seeks a waiver, </w:t>
      </w:r>
      <w:r w:rsidR="00D079A7">
        <w:t>Tesla</w:t>
      </w:r>
      <w:r>
        <w:t xml:space="preserve"> states that its system does not share the characteristics of a wide-area communications system – instead, it is designed to produce singular communications sessions between a </w:t>
      </w:r>
      <w:r w:rsidR="004F63EB">
        <w:t>driven vehicle</w:t>
      </w:r>
      <w:r>
        <w:t xml:space="preserve"> and the associated </w:t>
      </w:r>
      <w:r w:rsidR="00E550A5">
        <w:t xml:space="preserve">parking ground </w:t>
      </w:r>
      <w:r w:rsidR="006B5777">
        <w:t>pad</w:t>
      </w:r>
      <w:r>
        <w:t xml:space="preserve">.  Moreover, the nature of the </w:t>
      </w:r>
      <w:r w:rsidR="00D079A7">
        <w:t>Tesla</w:t>
      </w:r>
      <w:r>
        <w:t xml:space="preserve"> devices involve </w:t>
      </w:r>
      <w:r w:rsidRPr="6F61F293" w:rsidR="00D67625">
        <w:t>short range</w:t>
      </w:r>
      <w:r w:rsidR="00D67625">
        <w:t xml:space="preserve"> </w:t>
      </w:r>
      <w:r>
        <w:t>communications</w:t>
      </w:r>
      <w:r w:rsidRPr="6F61F293">
        <w:t xml:space="preserve">, </w:t>
      </w:r>
      <w:r w:rsidR="00DD3AFB">
        <w:t>during vehicle positioning over the pad</w:t>
      </w:r>
      <w:r w:rsidRPr="0062729E">
        <w:t>,</w:t>
      </w:r>
      <w:r w:rsidRPr="6F61F293">
        <w:t xml:space="preserve"> and primarily operates close to the</w:t>
      </w:r>
      <w:r>
        <w:t xml:space="preserve"> ground.</w:t>
      </w:r>
      <w:r>
        <w:rPr>
          <w:rStyle w:val="FootnoteReference"/>
        </w:rPr>
        <w:footnoteReference w:id="27"/>
      </w:r>
      <w:r>
        <w:t xml:space="preserve">  T</w:t>
      </w:r>
      <w:r w:rsidRPr="6F61F293">
        <w:t xml:space="preserve">he UWB feature </w:t>
      </w:r>
      <w:r>
        <w:t xml:space="preserve">of these devices </w:t>
      </w:r>
      <w:r w:rsidRPr="6F61F293">
        <w:t xml:space="preserve">would only operate when in close proximity of a </w:t>
      </w:r>
      <w:r w:rsidR="00C7606A">
        <w:t>ground pad</w:t>
      </w:r>
      <w:r>
        <w:t>.</w:t>
      </w:r>
      <w:r>
        <w:rPr>
          <w:rStyle w:val="FootnoteReference"/>
        </w:rPr>
        <w:footnoteReference w:id="28"/>
      </w:r>
      <w:r>
        <w:t xml:space="preserve">  The </w:t>
      </w:r>
      <w:r w:rsidR="00043AB3">
        <w:t>acknowledgement</w:t>
      </w:r>
      <w:r>
        <w:t xml:space="preserve"> </w:t>
      </w:r>
      <w:r w:rsidR="00043AB3">
        <w:t xml:space="preserve">communications </w:t>
      </w:r>
      <w:r>
        <w:t xml:space="preserve">occur prior to any UWB </w:t>
      </w:r>
      <w:r w:rsidR="00D67625">
        <w:t xml:space="preserve">emissions </w:t>
      </w:r>
      <w:r>
        <w:t>and utilize</w:t>
      </w:r>
      <w:r w:rsidR="00E550A5">
        <w:t xml:space="preserve"> </w:t>
      </w:r>
      <w:r>
        <w:t>the Bluetooth Low Energy (BLE) protocol</w:t>
      </w:r>
      <w:r w:rsidRPr="6F61F293">
        <w:t>.</w:t>
      </w:r>
      <w:r>
        <w:rPr>
          <w:rStyle w:val="FootnoteReference"/>
        </w:rPr>
        <w:footnoteReference w:id="29"/>
      </w:r>
      <w:r>
        <w:t xml:space="preserve">  The device does not emit a </w:t>
      </w:r>
      <w:r>
        <w:t xml:space="preserve">UWB signal unless a valid </w:t>
      </w:r>
      <w:r w:rsidR="0029534B">
        <w:t>acknowledgment</w:t>
      </w:r>
      <w:r>
        <w:t xml:space="preserve"> is first exchanged over BLE.</w:t>
      </w:r>
      <w:r>
        <w:rPr>
          <w:rStyle w:val="FootnoteReference"/>
        </w:rPr>
        <w:footnoteReference w:id="30"/>
      </w:r>
      <w:r w:rsidRPr="6F61F293">
        <w:t xml:space="preserve"> </w:t>
      </w:r>
      <w:r>
        <w:t xml:space="preserve"> The emitted UWB signal is extremely brief </w:t>
      </w:r>
      <w:r w:rsidR="0037718D">
        <w:t xml:space="preserve">(sub 150 millisecond) </w:t>
      </w:r>
      <w:r w:rsidR="00C04491">
        <w:t>and completely cease</w:t>
      </w:r>
      <w:r w:rsidR="003141CC">
        <w:t>s</w:t>
      </w:r>
      <w:r w:rsidR="00C04491">
        <w:t xml:space="preserve"> after the vehicle has parked</w:t>
      </w:r>
      <w:r>
        <w:t>.</w:t>
      </w:r>
      <w:r>
        <w:rPr>
          <w:rStyle w:val="FootnoteReference"/>
        </w:rPr>
        <w:footnoteReference w:id="31"/>
      </w:r>
      <w:r>
        <w:t xml:space="preserve">  </w:t>
      </w:r>
    </w:p>
    <w:p w:rsidR="00D413AB" w:rsidRPr="00DA6D61" w:rsidP="00D413AB" w14:paraId="4670A821" w14:textId="0CF5B282">
      <w:pPr>
        <w:pStyle w:val="ParaNum"/>
        <w:tabs>
          <w:tab w:val="num" w:pos="990"/>
          <w:tab w:val="clear" w:pos="1080"/>
          <w:tab w:val="num" w:pos="1440"/>
        </w:tabs>
        <w:rPr>
          <w:vertAlign w:val="superscript"/>
        </w:rPr>
      </w:pPr>
      <w:r w:rsidRPr="00DD559A">
        <w:t xml:space="preserve">Tesla’s </w:t>
      </w:r>
      <w:r w:rsidR="00167532">
        <w:t xml:space="preserve">UWB ground pad </w:t>
      </w:r>
      <w:r w:rsidRPr="00DD559A">
        <w:t xml:space="preserve">devices only </w:t>
      </w:r>
      <w:r w:rsidR="00167532">
        <w:t xml:space="preserve">perform </w:t>
      </w:r>
      <w:r w:rsidRPr="00DD559A">
        <w:t>communicat</w:t>
      </w:r>
      <w:r w:rsidR="002F753E">
        <w:t>ions</w:t>
      </w:r>
      <w:r w:rsidRPr="00DD559A">
        <w:t xml:space="preserve"> with </w:t>
      </w:r>
      <w:r w:rsidR="002F753E">
        <w:t>a single</w:t>
      </w:r>
      <w:r w:rsidRPr="00DD559A">
        <w:t xml:space="preserve"> </w:t>
      </w:r>
      <w:r w:rsidRPr="00DD559A" w:rsidR="00257764">
        <w:t>vehicle</w:t>
      </w:r>
      <w:r w:rsidRPr="00DD559A">
        <w:t xml:space="preserve"> </w:t>
      </w:r>
      <w:r w:rsidR="002F753E">
        <w:t>at a time</w:t>
      </w:r>
      <w:r w:rsidR="003141CC">
        <w:t>;</w:t>
      </w:r>
      <w:r w:rsidR="002F753E">
        <w:t xml:space="preserve"> </w:t>
      </w:r>
      <w:r w:rsidRPr="00DD559A" w:rsidR="003141CC">
        <w:t>communicat</w:t>
      </w:r>
      <w:r w:rsidR="003141CC">
        <w:t>ions</w:t>
      </w:r>
      <w:r w:rsidRPr="00DD559A" w:rsidR="003141CC">
        <w:t xml:space="preserve"> </w:t>
      </w:r>
      <w:r w:rsidR="003141CC">
        <w:t xml:space="preserve">between </w:t>
      </w:r>
      <w:r w:rsidRPr="00DD559A">
        <w:t xml:space="preserve">UWB devices </w:t>
      </w:r>
      <w:r w:rsidRPr="00DD559A" w:rsidR="00257764">
        <w:t xml:space="preserve">installed on </w:t>
      </w:r>
      <w:r w:rsidR="003141CC">
        <w:t xml:space="preserve">nearby </w:t>
      </w:r>
      <w:r w:rsidRPr="00DD559A" w:rsidR="00257764">
        <w:t>ground pads</w:t>
      </w:r>
      <w:r w:rsidR="003141CC">
        <w:t xml:space="preserve"> would not be permitted</w:t>
      </w:r>
      <w:r w:rsidR="001A5F9D">
        <w:t xml:space="preserve"> </w:t>
      </w:r>
      <w:r w:rsidR="007D6FC4">
        <w:t>under Tesla’s system design</w:t>
      </w:r>
      <w:r w:rsidRPr="00DD559A" w:rsidR="007D6FC4">
        <w:t>.</w:t>
      </w:r>
      <w:r>
        <w:rPr>
          <w:rStyle w:val="FootnoteReference"/>
        </w:rPr>
        <w:footnoteReference w:id="32"/>
      </w:r>
      <w:r w:rsidR="007D6FC4">
        <w:t xml:space="preserve">  </w:t>
      </w:r>
      <w:r w:rsidR="00BE2AF0">
        <w:t>Thus, e</w:t>
      </w:r>
      <w:r>
        <w:t xml:space="preserve">ven if multiple adjacent </w:t>
      </w:r>
      <w:r w:rsidR="00257764">
        <w:t>ground pads</w:t>
      </w:r>
      <w:r>
        <w:t xml:space="preserve"> use the same Tesla products, the devices will not communicate over UWB with each other.</w:t>
      </w:r>
      <w:r>
        <w:rPr>
          <w:rStyle w:val="FootnoteReference"/>
        </w:rPr>
        <w:footnoteReference w:id="33"/>
      </w:r>
      <w:r>
        <w:t xml:space="preserve">  Based on these reasons, </w:t>
      </w:r>
      <w:r w:rsidR="003141CC">
        <w:t xml:space="preserve">we find that each UWB ground pad would operate independently and </w:t>
      </w:r>
      <w:r>
        <w:t>that this implementation will not create a large-area communication system and thus will not raise the potential for causing harmful interference to authorized users of the band that had prompted the Commission to adopt the rules we are now being asked to waive.</w:t>
      </w:r>
    </w:p>
    <w:p w:rsidR="00D413AB" w:rsidRPr="00B363AE" w:rsidP="00D413AB" w14:paraId="254A16BD" w14:textId="4DD8D53F">
      <w:pPr>
        <w:pStyle w:val="ParaNum"/>
        <w:widowControl/>
        <w:tabs>
          <w:tab w:val="clear" w:pos="1080"/>
          <w:tab w:val="num" w:pos="1440"/>
        </w:tabs>
        <w:rPr>
          <w:vertAlign w:val="superscript"/>
        </w:rPr>
      </w:pPr>
      <w:r>
        <w:t xml:space="preserve">We also note that </w:t>
      </w:r>
      <w:r w:rsidR="00756197">
        <w:t xml:space="preserve">a </w:t>
      </w:r>
      <w:r>
        <w:t xml:space="preserve">grant of this waiver does not relieve </w:t>
      </w:r>
      <w:r w:rsidR="00D079A7">
        <w:t>Tesla</w:t>
      </w:r>
      <w:r w:rsidRPr="65EDF2DE">
        <w:t xml:space="preserve"> </w:t>
      </w:r>
      <w:r>
        <w:t xml:space="preserve">of its obligation to ensure that its </w:t>
      </w:r>
      <w:r w:rsidRPr="65EDF2DE">
        <w:t>device</w:t>
      </w:r>
      <w:r>
        <w:t xml:space="preserve">s operate consistent with the rules applicable to all </w:t>
      </w:r>
      <w:r w:rsidR="003141CC">
        <w:t xml:space="preserve">unlicensed </w:t>
      </w:r>
      <w:r>
        <w:t>devices, including the requirement that they do not cause harmful interference to other users</w:t>
      </w:r>
      <w:r w:rsidRPr="6F61F293">
        <w:t>.</w:t>
      </w:r>
      <w:r>
        <w:rPr>
          <w:rStyle w:val="FootnoteReference"/>
        </w:rPr>
        <w:footnoteReference w:id="34"/>
      </w:r>
      <w:r>
        <w:t xml:space="preserve">  </w:t>
      </w:r>
    </w:p>
    <w:p w:rsidR="00D413AB" w:rsidRPr="00FB0BEA" w:rsidP="00D413AB" w14:paraId="265707F6" w14:textId="38A2742D">
      <w:pPr>
        <w:pStyle w:val="ParaNum"/>
        <w:tabs>
          <w:tab w:val="num" w:pos="990"/>
          <w:tab w:val="clear" w:pos="1080"/>
          <w:tab w:val="num" w:pos="1440"/>
        </w:tabs>
        <w:rPr>
          <w:szCs w:val="22"/>
          <w:vertAlign w:val="superscript"/>
        </w:rPr>
      </w:pPr>
      <w:r>
        <w:t>For the</w:t>
      </w:r>
      <w:r w:rsidR="000352D3">
        <w:t xml:space="preserve"> above</w:t>
      </w:r>
      <w:r>
        <w:t xml:space="preserve"> reasons, w</w:t>
      </w:r>
      <w:r w:rsidRPr="6F61F293">
        <w:t xml:space="preserve">e </w:t>
      </w:r>
      <w:r>
        <w:t>conclude</w:t>
      </w:r>
      <w:r w:rsidRPr="6F61F293">
        <w:t xml:space="preserve"> that </w:t>
      </w:r>
      <w:r w:rsidR="00D079A7">
        <w:t>Tesla</w:t>
      </w:r>
      <w:r w:rsidRPr="6F61F293">
        <w:t xml:space="preserve"> has adequately demonstrated that its product </w:t>
      </w:r>
      <w:r>
        <w:t>will not undermine the purpose of the</w:t>
      </w:r>
      <w:r w:rsidRPr="6F61F293">
        <w:t xml:space="preserve"> rule as it will not create </w:t>
      </w:r>
      <w:r>
        <w:t>the type of</w:t>
      </w:r>
      <w:r w:rsidRPr="6F61F293">
        <w:t xml:space="preserve"> </w:t>
      </w:r>
      <w:r>
        <w:t>wide-area</w:t>
      </w:r>
      <w:r w:rsidRPr="6F61F293">
        <w:t xml:space="preserve"> communications system</w:t>
      </w:r>
      <w:r>
        <w:t xml:space="preserve"> that the Commission was concerned could</w:t>
      </w:r>
      <w:r w:rsidRPr="6F61F293">
        <w:t xml:space="preserve"> cause harmful interference to authorized users of the band</w:t>
      </w:r>
      <w:r>
        <w:t xml:space="preserve"> when it adopted the rules</w:t>
      </w:r>
      <w:r w:rsidRPr="6F61F293">
        <w:t>.</w:t>
      </w:r>
      <w:r>
        <w:t xml:space="preserve">  Accordingly, even though </w:t>
      </w:r>
      <w:r w:rsidR="00E526A7">
        <w:t>the Tesla</w:t>
      </w:r>
      <w:r>
        <w:t xml:space="preserve"> system would not be hand</w:t>
      </w:r>
      <w:r w:rsidR="00E15452">
        <w:t>-</w:t>
      </w:r>
      <w:r>
        <w:t xml:space="preserve">held, and the system would include devices installed on fixed outdoor infrastructure (i.e., </w:t>
      </w:r>
      <w:r w:rsidR="002A78F3">
        <w:t>outdoor parking</w:t>
      </w:r>
      <w:r w:rsidR="005864FE">
        <w:t xml:space="preserve"> garages</w:t>
      </w:r>
      <w:r>
        <w:t xml:space="preserve">), a limited waiver of </w:t>
      </w:r>
      <w:r w:rsidRPr="6F61F293">
        <w:t>Sections 15.519(a) and 15.519(a)(2) of our rules</w:t>
      </w:r>
      <w:r>
        <w:t xml:space="preserve"> is warranted.</w:t>
      </w:r>
      <w:r>
        <w:rPr>
          <w:rStyle w:val="FootnoteReference"/>
        </w:rPr>
        <w:footnoteReference w:id="35"/>
      </w:r>
      <w:r w:rsidRPr="6F61F293">
        <w:t xml:space="preserve">  </w:t>
      </w:r>
      <w:r w:rsidR="003141CC">
        <w:t xml:space="preserve">As </w:t>
      </w:r>
      <w:r w:rsidRPr="001F6548" w:rsidR="00297701">
        <w:t>Tesla does not request a waiver of any other Part 15 rule</w:t>
      </w:r>
      <w:r w:rsidRPr="001F6548" w:rsidR="003141CC">
        <w:t xml:space="preserve">, the </w:t>
      </w:r>
      <w:r w:rsidRPr="001F6548">
        <w:t xml:space="preserve">product </w:t>
      </w:r>
      <w:r w:rsidRPr="001F6548" w:rsidR="007D5F78">
        <w:t>must be</w:t>
      </w:r>
      <w:r w:rsidRPr="001F6548" w:rsidR="003141CC">
        <w:t xml:space="preserve"> </w:t>
      </w:r>
      <w:r w:rsidRPr="001F6548">
        <w:t xml:space="preserve">designed to comply with all other </w:t>
      </w:r>
      <w:r w:rsidRPr="001F6548" w:rsidR="003141CC">
        <w:t xml:space="preserve">UWB </w:t>
      </w:r>
      <w:r w:rsidRPr="001F6548">
        <w:t>technical limits in our rules, except for those we are waiving</w:t>
      </w:r>
      <w:r w:rsidRPr="00273FA8">
        <w:t>.</w:t>
      </w:r>
      <w:r>
        <w:t xml:space="preserve">  </w:t>
      </w:r>
      <w:r w:rsidRPr="6F61F293">
        <w:t xml:space="preserve">We also note that based on the description of </w:t>
      </w:r>
      <w:r w:rsidR="00D079A7">
        <w:t>Tesla</w:t>
      </w:r>
      <w:r w:rsidR="00756197">
        <w:t xml:space="preserve"> UWB device</w:t>
      </w:r>
      <w:r w:rsidRPr="6F61F293">
        <w:t xml:space="preserve"> in its waiver request, certain aspects are </w:t>
      </w:r>
      <w:r>
        <w:t>consistent</w:t>
      </w:r>
      <w:r w:rsidRPr="6F61F293">
        <w:t xml:space="preserve"> with previous waiver requests granted by OET.</w:t>
      </w:r>
      <w:r>
        <w:rPr>
          <w:rStyle w:val="FootnoteReference"/>
        </w:rPr>
        <w:footnoteReference w:id="36"/>
      </w:r>
      <w:r w:rsidRPr="00FB0BEA">
        <w:rPr>
          <w:szCs w:val="22"/>
        </w:rPr>
        <w:t xml:space="preserve">  </w:t>
      </w:r>
    </w:p>
    <w:bookmarkEnd w:id="3"/>
    <w:p w:rsidR="000E7C0C" w:rsidP="004364C8" w14:paraId="32606113" w14:textId="364380BC">
      <w:pPr>
        <w:pStyle w:val="ParaNum"/>
        <w:widowControl/>
        <w:tabs>
          <w:tab w:val="num" w:pos="990"/>
          <w:tab w:val="clear" w:pos="1080"/>
        </w:tabs>
      </w:pPr>
      <w:r w:rsidRPr="001847D3">
        <w:t xml:space="preserve">The Tesla positioning system mitigates the interference potential </w:t>
      </w:r>
      <w:r w:rsidR="00B90CF7">
        <w:t>through several mechanisms.</w:t>
      </w:r>
      <w:r w:rsidR="00B443C7">
        <w:t xml:space="preserve">  </w:t>
      </w:r>
      <w:r w:rsidRPr="001847D3">
        <w:t xml:space="preserve">First, rapid signal attenuation due to propagation characteristics </w:t>
      </w:r>
      <w:r w:rsidR="00971CB8">
        <w:t xml:space="preserve">in </w:t>
      </w:r>
      <w:r w:rsidR="00EF32B8">
        <w:t xml:space="preserve">the </w:t>
      </w:r>
      <w:r w:rsidRPr="001847D3" w:rsidR="00EF32B8">
        <w:t>7</w:t>
      </w:r>
      <w:r w:rsidR="003141CC">
        <w:t>.</w:t>
      </w:r>
      <w:r w:rsidRPr="001847D3" w:rsidR="00EF32B8">
        <w:t>7</w:t>
      </w:r>
      <w:r w:rsidRPr="001847D3">
        <w:t>–8</w:t>
      </w:r>
      <w:r w:rsidR="003141CC">
        <w:t>.</w:t>
      </w:r>
      <w:r w:rsidRPr="001847D3">
        <w:t xml:space="preserve">3 </w:t>
      </w:r>
      <w:r w:rsidR="003141CC">
        <w:t>G</w:t>
      </w:r>
      <w:r w:rsidRPr="001847D3" w:rsidR="003141CC">
        <w:t>Hz</w:t>
      </w:r>
      <w:r w:rsidR="003141CC">
        <w:t xml:space="preserve"> </w:t>
      </w:r>
      <w:r w:rsidR="00971CB8">
        <w:t>band</w:t>
      </w:r>
      <w:r w:rsidRPr="001847D3">
        <w:t>, coupled with relatively low EIRP limits, will help to mitigate any potential for interference.</w:t>
      </w:r>
      <w:r>
        <w:rPr>
          <w:rStyle w:val="FootnoteReference"/>
        </w:rPr>
        <w:footnoteReference w:id="37"/>
      </w:r>
      <w:r w:rsidRPr="001847D3">
        <w:t xml:space="preserve"> </w:t>
      </w:r>
      <w:r w:rsidR="00E40D9C">
        <w:t>Second</w:t>
      </w:r>
      <w:r w:rsidR="00D37CEF">
        <w:t>ly</w:t>
      </w:r>
      <w:r w:rsidRPr="001847D3" w:rsidR="00D37CEF">
        <w:t xml:space="preserve">, </w:t>
      </w:r>
      <w:r w:rsidRPr="001847D3" w:rsidR="00D37CEF">
        <w:t xml:space="preserve">the nature and operation of the Tesla positioning system for </w:t>
      </w:r>
      <w:r w:rsidR="00D37CEF">
        <w:t>charging</w:t>
      </w:r>
      <w:r w:rsidRPr="001847D3" w:rsidR="00D37CEF">
        <w:t xml:space="preserve"> </w:t>
      </w:r>
      <w:r w:rsidR="00D37CEF">
        <w:t>stations will be relatively</w:t>
      </w:r>
      <w:r w:rsidRPr="001847D3" w:rsidR="00D37CEF">
        <w:t xml:space="preserve"> infrequent and</w:t>
      </w:r>
      <w:r w:rsidR="00D37CEF">
        <w:t xml:space="preserve"> only occur for a short duration.  </w:t>
      </w:r>
      <w:r w:rsidRPr="001847D3" w:rsidR="00D37CEF">
        <w:t>Systems installed at the</w:t>
      </w:r>
      <w:r w:rsidR="00D37CEF">
        <w:t xml:space="preserve"> charging</w:t>
      </w:r>
      <w:r w:rsidRPr="001847D3" w:rsidR="00D37CEF">
        <w:t xml:space="preserve"> locations will not operate continuously, instead only operating during </w:t>
      </w:r>
      <w:r w:rsidR="00D37CEF">
        <w:t xml:space="preserve">the instances where a positioning event </w:t>
      </w:r>
      <w:r w:rsidRPr="001847D3" w:rsidR="00D37CEF">
        <w:t>occurs.</w:t>
      </w:r>
      <w:r w:rsidR="00927347">
        <w:t xml:space="preserve"> </w:t>
      </w:r>
      <w:r w:rsidR="00662D35">
        <w:t>Finally</w:t>
      </w:r>
      <w:r w:rsidRPr="001847D3">
        <w:t xml:space="preserve">, the structure </w:t>
      </w:r>
      <w:r>
        <w:t xml:space="preserve">of the vehicle being charged </w:t>
      </w:r>
      <w:r w:rsidR="009D1437">
        <w:t xml:space="preserve">and the </w:t>
      </w:r>
      <w:r w:rsidR="001B51F7">
        <w:t>s</w:t>
      </w:r>
      <w:r w:rsidR="00272786">
        <w:t xml:space="preserve">urrounding </w:t>
      </w:r>
      <w:r w:rsidR="00FB2924">
        <w:t xml:space="preserve">environmental </w:t>
      </w:r>
      <w:r w:rsidR="00EA00E8">
        <w:t xml:space="preserve">clutter </w:t>
      </w:r>
      <w:r>
        <w:t>introduces further</w:t>
      </w:r>
      <w:r w:rsidRPr="001847D3">
        <w:t xml:space="preserve"> attenuation</w:t>
      </w:r>
      <w:r>
        <w:t>,</w:t>
      </w:r>
      <w:r w:rsidRPr="001847D3">
        <w:t xml:space="preserve"> </w:t>
      </w:r>
      <w:r w:rsidR="009C4106">
        <w:t>both</w:t>
      </w:r>
      <w:r w:rsidRPr="001847D3">
        <w:t xml:space="preserve"> in the horizontal </w:t>
      </w:r>
      <w:r w:rsidR="00DD559A">
        <w:t xml:space="preserve">and vertical </w:t>
      </w:r>
      <w:r w:rsidRPr="001847D3">
        <w:t>direction</w:t>
      </w:r>
      <w:r w:rsidR="00DD559A">
        <w:t>s</w:t>
      </w:r>
      <w:r w:rsidR="006B1A74">
        <w:t>,</w:t>
      </w:r>
      <w:r w:rsidRPr="001847D3">
        <w:t xml:space="preserve"> which will </w:t>
      </w:r>
      <w:r w:rsidR="006B1A74">
        <w:t>correspondingly</w:t>
      </w:r>
      <w:r>
        <w:t xml:space="preserve"> </w:t>
      </w:r>
      <w:r w:rsidRPr="001847D3">
        <w:t xml:space="preserve">reduce the potential </w:t>
      </w:r>
      <w:r w:rsidR="00DD559A">
        <w:t xml:space="preserve">for </w:t>
      </w:r>
      <w:r w:rsidR="00FB2924">
        <w:t xml:space="preserve">harmful </w:t>
      </w:r>
      <w:r w:rsidRPr="001847D3">
        <w:t>interference to a victim receiver outside of the</w:t>
      </w:r>
      <w:r w:rsidR="009C4106">
        <w:t xml:space="preserve"> charging station area</w:t>
      </w:r>
      <w:r w:rsidRPr="001847D3">
        <w:t xml:space="preserve">. </w:t>
      </w:r>
      <w:r w:rsidR="004364C8">
        <w:t xml:space="preserve"> </w:t>
      </w:r>
      <w:r w:rsidRPr="001847D3">
        <w:t xml:space="preserve"> </w:t>
      </w:r>
    </w:p>
    <w:p w:rsidR="000F35DE" w:rsidP="000F35DE" w14:paraId="290D7B83" w14:textId="77777777">
      <w:pPr>
        <w:pStyle w:val="ParaNum"/>
        <w:widowControl/>
        <w:tabs>
          <w:tab w:val="num" w:pos="990"/>
          <w:tab w:val="clear" w:pos="1080"/>
        </w:tabs>
      </w:pPr>
      <w:r w:rsidRPr="00951CE2">
        <w:t xml:space="preserve">To ensure that the UWB transmissions do not continue indefinitely or pose an increased risk of harmful interference, we are imposing certain operational conditions that constrain Tesla’s UWB positioning system to parameters that limit the timing, direction, and duration of the system’s emissions. </w:t>
      </w:r>
      <w:r>
        <w:t xml:space="preserve"> </w:t>
      </w:r>
      <w:r w:rsidRPr="00951CE2">
        <w:t>As outlined in Tesla’s request,</w:t>
      </w:r>
      <w:r>
        <w:rPr>
          <w:rStyle w:val="FootnoteReference"/>
        </w:rPr>
        <w:footnoteReference w:id="38"/>
      </w:r>
      <w:r w:rsidRPr="00CA335B">
        <w:rPr>
          <w:rStyle w:val="FootnoteReference"/>
        </w:rPr>
        <w:t xml:space="preserve"> </w:t>
      </w:r>
      <w:r w:rsidRPr="00951CE2">
        <w:t>these are the operational parameters that were evaluated by Tesla, the FCC, and NTIA as both acceptable and necessary to permit efficient operation of the UWB positioning system while providing sufficient interference protection for incumbent and federal systems operating in the band.</w:t>
      </w:r>
      <w:r w:rsidR="00297701">
        <w:t xml:space="preserve"> </w:t>
      </w:r>
      <w:r w:rsidRPr="00884AEF">
        <w:t>These conditions, originally proposed by Tesla</w:t>
      </w:r>
      <w:r w:rsidR="00297701">
        <w:t xml:space="preserve"> outlining</w:t>
      </w:r>
      <w:r w:rsidRPr="00884AEF">
        <w:t xml:space="preserve"> </w:t>
      </w:r>
      <w:r w:rsidR="00297701">
        <w:t>several</w:t>
      </w:r>
      <w:r w:rsidRPr="00884AEF">
        <w:t xml:space="preserve"> operational requirements and restrictions</w:t>
      </w:r>
      <w:r w:rsidR="00297701">
        <w:t xml:space="preserve"> are specified below.</w:t>
      </w:r>
    </w:p>
    <w:p w:rsidR="005E778A" w:rsidP="000F35DE" w14:paraId="12918830" w14:textId="6F123879">
      <w:pPr>
        <w:pStyle w:val="ParaNum"/>
        <w:widowControl/>
        <w:tabs>
          <w:tab w:val="num" w:pos="990"/>
          <w:tab w:val="clear" w:pos="1080"/>
        </w:tabs>
      </w:pPr>
      <w:r w:rsidRPr="001807F8">
        <w:t xml:space="preserve">Lastly, </w:t>
      </w:r>
      <w:r>
        <w:t xml:space="preserve">in recognition of </w:t>
      </w:r>
      <w:r w:rsidRPr="001807F8">
        <w:t>the Earth Exploration-Satellite Service and the passive Radio Astronomy Service that operate in the frequency bands used by the Tesla positioning system</w:t>
      </w:r>
      <w:r>
        <w:t>,</w:t>
      </w:r>
      <w:r w:rsidRPr="001807F8">
        <w:t xml:space="preserve"> we are conditioning this waiver to include</w:t>
      </w:r>
      <w:r>
        <w:t xml:space="preserve"> </w:t>
      </w:r>
      <w:r w:rsidRPr="001807F8">
        <w:t xml:space="preserve">notification </w:t>
      </w:r>
      <w:r w:rsidR="000F35DE">
        <w:t xml:space="preserve">and coordination </w:t>
      </w:r>
      <w:r w:rsidRPr="001807F8">
        <w:t>requirement</w:t>
      </w:r>
      <w:r w:rsidR="00BD47F3">
        <w:t>s</w:t>
      </w:r>
      <w:r>
        <w:t xml:space="preserve"> when</w:t>
      </w:r>
      <w:r w:rsidRPr="001807F8">
        <w:t xml:space="preserve"> commercial outdoor charging stations utilizing Telsa’s UWB positioning system operated charging stations</w:t>
      </w:r>
      <w:r>
        <w:t xml:space="preserve"> are deployed</w:t>
      </w:r>
      <w:r w:rsidRPr="001807F8">
        <w:t>.</w:t>
      </w:r>
      <w:r>
        <w:rPr>
          <w:rStyle w:val="FootnoteReference"/>
        </w:rPr>
        <w:footnoteReference w:id="39"/>
      </w:r>
      <w:r>
        <w:t xml:space="preserve">  While the design of the device – e.g., </w:t>
      </w:r>
      <w:r w:rsidRPr="001807F8">
        <w:t xml:space="preserve">UWB transmissions </w:t>
      </w:r>
      <w:r>
        <w:t>occurring only</w:t>
      </w:r>
      <w:r w:rsidRPr="001807F8">
        <w:t xml:space="preserve"> when communications have already been established by a BLE connection</w:t>
      </w:r>
      <w:r>
        <w:t>,</w:t>
      </w:r>
      <w:r w:rsidRPr="001807F8">
        <w:t xml:space="preserve"> the shielding provided by the associated vehicle</w:t>
      </w:r>
      <w:r>
        <w:t xml:space="preserve">, and </w:t>
      </w:r>
      <w:r w:rsidRPr="001807F8">
        <w:t>the positioning system’s low power levels</w:t>
      </w:r>
      <w:r>
        <w:t xml:space="preserve"> – coupled with </w:t>
      </w:r>
      <w:r w:rsidRPr="001807F8">
        <w:t>the remote location of radio astronomy observatories</w:t>
      </w:r>
      <w:r>
        <w:t xml:space="preserve"> give us confidence that </w:t>
      </w:r>
      <w:r w:rsidRPr="001807F8">
        <w:t>harmful interference to Radio Astronomy observations</w:t>
      </w:r>
      <w:r>
        <w:t xml:space="preserve"> is extremely unlikely to occur, we also recognize that </w:t>
      </w:r>
      <w:r w:rsidR="00221DFB">
        <w:t>commercial</w:t>
      </w:r>
      <w:r>
        <w:t xml:space="preserve"> applications, such as, but not limited to, public charging points or fleet charging facilities, have the potential to be used much more frequently than typical at-home use.  Accordingly, and out of an abundance of caution, we adopt this limited commercial </w:t>
      </w:r>
      <w:r w:rsidRPr="001807F8">
        <w:t>deployment notification requirement</w:t>
      </w:r>
      <w:r>
        <w:t>.</w:t>
      </w:r>
    </w:p>
    <w:p w:rsidR="00D413AB" w:rsidP="000C015F" w14:paraId="6B58BBC7" w14:textId="2970ACF8">
      <w:pPr>
        <w:pStyle w:val="ParaNum"/>
        <w:widowControl/>
        <w:tabs>
          <w:tab w:val="num" w:pos="990"/>
          <w:tab w:val="clear" w:pos="1080"/>
        </w:tabs>
      </w:pPr>
      <w:r>
        <w:t xml:space="preserve"> </w:t>
      </w:r>
      <w:r w:rsidRPr="00CA335B" w:rsidR="00657C87">
        <w:t xml:space="preserve">For these reasons, we conclude that there </w:t>
      </w:r>
      <w:r w:rsidRPr="00CA335B" w:rsidR="00942B84">
        <w:t xml:space="preserve">is good </w:t>
      </w:r>
      <w:r w:rsidRPr="00CA335B" w:rsidR="00657C87">
        <w:t xml:space="preserve">cause to waive </w:t>
      </w:r>
      <w:r w:rsidR="00657C87">
        <w:t xml:space="preserve">Section </w:t>
      </w:r>
      <w:r w:rsidRPr="65EDF2DE" w:rsidR="00657C87">
        <w:t>15.519(a</w:t>
      </w:r>
      <w:r w:rsidRPr="6F61F293" w:rsidR="00657C87">
        <w:t>)</w:t>
      </w:r>
      <w:r w:rsidR="00657C87">
        <w:t xml:space="preserve"> </w:t>
      </w:r>
      <w:r w:rsidRPr="6F61F293" w:rsidR="00657C87">
        <w:t>and 15.519(a)(2)</w:t>
      </w:r>
      <w:r w:rsidR="00657C87">
        <w:t xml:space="preserve"> of Commission’s rules to permit </w:t>
      </w:r>
      <w:r w:rsidR="00FC557B">
        <w:t xml:space="preserve">Tesla to obtain </w:t>
      </w:r>
      <w:r w:rsidR="00657C87">
        <w:t xml:space="preserve">certification, market and </w:t>
      </w:r>
      <w:r w:rsidR="00FC557B">
        <w:t xml:space="preserve">operate its </w:t>
      </w:r>
      <w:r w:rsidR="00657C87">
        <w:t xml:space="preserve">UWB </w:t>
      </w:r>
      <w:r w:rsidR="00B10698">
        <w:t>positioning</w:t>
      </w:r>
      <w:r w:rsidR="00657C87">
        <w:t xml:space="preserve"> </w:t>
      </w:r>
      <w:r w:rsidR="00E15452">
        <w:t>system</w:t>
      </w:r>
      <w:r w:rsidR="00657C87">
        <w:t>.  This waiver is conditioned on the following conditions:</w:t>
      </w:r>
    </w:p>
    <w:p w:rsidR="00D413AB" w:rsidRPr="001A51B0" w:rsidP="00984F0F" w14:paraId="4628A2A0" w14:textId="3635232B">
      <w:pPr>
        <w:numPr>
          <w:ilvl w:val="0"/>
          <w:numId w:val="2"/>
        </w:numPr>
        <w:spacing w:before="60" w:after="60"/>
        <w:rPr>
          <w:color w:val="141414"/>
          <w:szCs w:val="22"/>
        </w:rPr>
      </w:pPr>
      <w:r w:rsidRPr="00471229">
        <w:rPr>
          <w:szCs w:val="22"/>
        </w:rPr>
        <w:t>The Tesla UWB devices may be certified as a modular grant by the Commission via an</w:t>
      </w:r>
      <w:r>
        <w:t xml:space="preserve"> </w:t>
      </w:r>
      <w:r w:rsidRPr="00471229">
        <w:rPr>
          <w:szCs w:val="22"/>
        </w:rPr>
        <w:t>accredited Telecommunication Certification Body, and the certification application shall</w:t>
      </w:r>
      <w:r>
        <w:t xml:space="preserve"> </w:t>
      </w:r>
      <w:r w:rsidRPr="00471229">
        <w:rPr>
          <w:szCs w:val="22"/>
        </w:rPr>
        <w:t>include a copy of this waiver order;</w:t>
      </w:r>
    </w:p>
    <w:p w:rsidR="00D413AB" w:rsidRPr="00102BDE" w:rsidP="00984F0F" w14:paraId="1FF3AC2B" w14:textId="4C4CA797">
      <w:pPr>
        <w:numPr>
          <w:ilvl w:val="0"/>
          <w:numId w:val="2"/>
        </w:numPr>
        <w:spacing w:before="60" w:after="60"/>
        <w:rPr>
          <w:color w:val="141414"/>
          <w:szCs w:val="22"/>
        </w:rPr>
      </w:pPr>
      <w:r w:rsidRPr="00471229">
        <w:rPr>
          <w:szCs w:val="22"/>
        </w:rPr>
        <w:t>UWB operations subject to this waiver shall be initiated only after a Bluetooth (or similar</w:t>
      </w:r>
      <w:r>
        <w:t xml:space="preserve"> </w:t>
      </w:r>
      <w:r w:rsidRPr="00471229">
        <w:rPr>
          <w:szCs w:val="22"/>
        </w:rPr>
        <w:t>technology) connection between the EV and the pad has been made</w:t>
      </w:r>
      <w:r>
        <w:t>;</w:t>
      </w:r>
    </w:p>
    <w:p w:rsidR="00D413AB" w:rsidRPr="008B47F3" w:rsidP="00984F0F" w14:paraId="6220B181" w14:textId="0499F440">
      <w:pPr>
        <w:numPr>
          <w:ilvl w:val="0"/>
          <w:numId w:val="2"/>
        </w:numPr>
        <w:spacing w:before="60" w:after="60"/>
        <w:rPr>
          <w:color w:val="141414"/>
          <w:szCs w:val="22"/>
        </w:rPr>
      </w:pPr>
      <w:r w:rsidRPr="00471229">
        <w:rPr>
          <w:szCs w:val="22"/>
        </w:rPr>
        <w:t>UWB sessions subject to this waiver shall continue only until the vehicle is properly</w:t>
      </w:r>
      <w:r>
        <w:t xml:space="preserve"> </w:t>
      </w:r>
      <w:r w:rsidRPr="00471229">
        <w:rPr>
          <w:szCs w:val="22"/>
        </w:rPr>
        <w:t>positioned over the pad</w:t>
      </w:r>
      <w:r>
        <w:t>;</w:t>
      </w:r>
    </w:p>
    <w:p w:rsidR="00D413AB" w:rsidP="00984F0F" w14:paraId="1B46916F" w14:textId="2D24A0AE">
      <w:pPr>
        <w:numPr>
          <w:ilvl w:val="0"/>
          <w:numId w:val="2"/>
        </w:numPr>
        <w:spacing w:before="60" w:after="60"/>
        <w:rPr>
          <w:color w:val="141414"/>
          <w:szCs w:val="22"/>
        </w:rPr>
      </w:pPr>
      <w:r w:rsidRPr="00471229">
        <w:rPr>
          <w:szCs w:val="22"/>
        </w:rPr>
        <w:t xml:space="preserve">The UWB session subject to this waiver shall be terminated when the </w:t>
      </w:r>
      <w:r w:rsidR="001B1BD1">
        <w:rPr>
          <w:szCs w:val="22"/>
        </w:rPr>
        <w:t>electric vehicle</w:t>
      </w:r>
      <w:r w:rsidRPr="00471229">
        <w:rPr>
          <w:szCs w:val="22"/>
        </w:rPr>
        <w:t xml:space="preserve"> is parked or when</w:t>
      </w:r>
      <w:r>
        <w:t xml:space="preserve"> </w:t>
      </w:r>
      <w:r w:rsidRPr="00471229">
        <w:rPr>
          <w:szCs w:val="22"/>
        </w:rPr>
        <w:t>the user leaves the area by driving away from the pad</w:t>
      </w:r>
      <w:r>
        <w:t>;</w:t>
      </w:r>
    </w:p>
    <w:p w:rsidR="00D413AB" w:rsidRPr="00566D50" w:rsidP="00984F0F" w14:paraId="7D46148E" w14:textId="2E427F32">
      <w:pPr>
        <w:numPr>
          <w:ilvl w:val="0"/>
          <w:numId w:val="2"/>
        </w:numPr>
        <w:spacing w:before="60" w:after="60"/>
        <w:rPr>
          <w:color w:val="141414"/>
          <w:szCs w:val="22"/>
        </w:rPr>
      </w:pPr>
      <w:r w:rsidRPr="00471229">
        <w:rPr>
          <w:szCs w:val="22"/>
        </w:rPr>
        <w:t>The ranging cycle occurs no more frequently than once every 100 milliseconds</w:t>
      </w:r>
      <w:r>
        <w:t>;</w:t>
      </w:r>
    </w:p>
    <w:p w:rsidR="00D413AB" w:rsidRPr="00566D50" w:rsidP="00984F0F" w14:paraId="048F8580" w14:textId="62D08A8E">
      <w:pPr>
        <w:numPr>
          <w:ilvl w:val="0"/>
          <w:numId w:val="2"/>
        </w:numPr>
        <w:spacing w:before="60" w:after="60"/>
        <w:rPr>
          <w:color w:val="141414"/>
          <w:szCs w:val="22"/>
        </w:rPr>
      </w:pPr>
      <w:r w:rsidRPr="00471229">
        <w:rPr>
          <w:szCs w:val="22"/>
        </w:rPr>
        <w:t>The UWB system subject to this waiver shall transmit only when sending information to</w:t>
      </w:r>
      <w:r>
        <w:t xml:space="preserve"> </w:t>
      </w:r>
      <w:r w:rsidRPr="00471229">
        <w:rPr>
          <w:szCs w:val="22"/>
        </w:rPr>
        <w:t>an associated receiver</w:t>
      </w:r>
      <w:r w:rsidR="00C5340F">
        <w:rPr>
          <w:szCs w:val="22"/>
        </w:rPr>
        <w:t xml:space="preserve"> as described in condition 2</w:t>
      </w:r>
      <w:r>
        <w:t>;</w:t>
      </w:r>
    </w:p>
    <w:p w:rsidR="00D413AB" w:rsidRPr="00740DD6" w:rsidP="00984F0F" w14:paraId="110120FF" w14:textId="170FCCE1">
      <w:pPr>
        <w:numPr>
          <w:ilvl w:val="0"/>
          <w:numId w:val="2"/>
        </w:numPr>
        <w:spacing w:before="60" w:after="120"/>
        <w:ind w:left="1166"/>
        <w:rPr>
          <w:color w:val="141414"/>
          <w:szCs w:val="22"/>
        </w:rPr>
      </w:pPr>
      <w:r w:rsidRPr="00471229">
        <w:rPr>
          <w:szCs w:val="22"/>
        </w:rPr>
        <w:t xml:space="preserve">UWB operations subject to this waiver shall be confined to the </w:t>
      </w:r>
      <w:r w:rsidRPr="00A058F6">
        <w:rPr>
          <w:szCs w:val="22"/>
        </w:rPr>
        <w:t>7.</w:t>
      </w:r>
      <w:r w:rsidRPr="000E6E37" w:rsidR="00960D2C">
        <w:rPr>
          <w:szCs w:val="22"/>
        </w:rPr>
        <w:t>7</w:t>
      </w:r>
      <w:r w:rsidRPr="000E6E37">
        <w:rPr>
          <w:szCs w:val="22"/>
        </w:rPr>
        <w:t>-8.</w:t>
      </w:r>
      <w:r w:rsidRPr="000E6E37" w:rsidR="00960D2C">
        <w:rPr>
          <w:szCs w:val="22"/>
        </w:rPr>
        <w:t>3</w:t>
      </w:r>
      <w:r w:rsidRPr="000E6E37">
        <w:rPr>
          <w:szCs w:val="22"/>
        </w:rPr>
        <w:t xml:space="preserve"> </w:t>
      </w:r>
      <w:r w:rsidRPr="00A058F6">
        <w:rPr>
          <w:szCs w:val="22"/>
        </w:rPr>
        <w:t>GHz</w:t>
      </w:r>
      <w:r w:rsidRPr="00471229">
        <w:rPr>
          <w:szCs w:val="22"/>
        </w:rPr>
        <w:t xml:space="preserve"> frequency</w:t>
      </w:r>
      <w:r>
        <w:t xml:space="preserve"> </w:t>
      </w:r>
      <w:r w:rsidRPr="00471229">
        <w:rPr>
          <w:szCs w:val="22"/>
        </w:rPr>
        <w:t xml:space="preserve">range with a center </w:t>
      </w:r>
      <w:r w:rsidRPr="000B1290">
        <w:rPr>
          <w:szCs w:val="22"/>
        </w:rPr>
        <w:t xml:space="preserve">frequency of </w:t>
      </w:r>
      <w:r w:rsidRPr="00A058F6">
        <w:rPr>
          <w:szCs w:val="22"/>
        </w:rPr>
        <w:t>7,987.2 MHz</w:t>
      </w:r>
      <w:r w:rsidR="000B1290">
        <w:rPr>
          <w:szCs w:val="22"/>
        </w:rPr>
        <w:t>;</w:t>
      </w:r>
    </w:p>
    <w:p w:rsidR="00592720" w:rsidP="00984F0F" w14:paraId="1A05E030" w14:textId="5375782C">
      <w:pPr>
        <w:numPr>
          <w:ilvl w:val="0"/>
          <w:numId w:val="2"/>
        </w:numPr>
        <w:spacing w:before="60" w:after="120"/>
        <w:ind w:left="1166"/>
        <w:rPr>
          <w:color w:val="141414"/>
          <w:szCs w:val="22"/>
        </w:rPr>
      </w:pPr>
      <w:r>
        <w:rPr>
          <w:color w:val="141414"/>
          <w:szCs w:val="22"/>
        </w:rPr>
        <w:t xml:space="preserve">Deployment </w:t>
      </w:r>
      <w:r w:rsidR="00EA533C">
        <w:rPr>
          <w:color w:val="141414"/>
          <w:szCs w:val="22"/>
        </w:rPr>
        <w:t xml:space="preserve">of </w:t>
      </w:r>
      <w:r w:rsidR="00756EC9">
        <w:rPr>
          <w:color w:val="141414"/>
          <w:szCs w:val="22"/>
        </w:rPr>
        <w:t xml:space="preserve">commercial outdoor </w:t>
      </w:r>
      <w:r w:rsidR="0054013C">
        <w:rPr>
          <w:color w:val="141414"/>
          <w:szCs w:val="22"/>
        </w:rPr>
        <w:t xml:space="preserve">charging stations </w:t>
      </w:r>
      <w:r>
        <w:rPr>
          <w:color w:val="141414"/>
          <w:szCs w:val="22"/>
        </w:rPr>
        <w:t xml:space="preserve">within 800 m of the </w:t>
      </w:r>
      <w:r w:rsidR="0041614E">
        <w:rPr>
          <w:color w:val="141414"/>
          <w:szCs w:val="22"/>
        </w:rPr>
        <w:t xml:space="preserve">EESS </w:t>
      </w:r>
      <w:r>
        <w:rPr>
          <w:color w:val="141414"/>
          <w:szCs w:val="22"/>
        </w:rPr>
        <w:t>sites listed below require</w:t>
      </w:r>
      <w:r w:rsidR="00FF520E">
        <w:rPr>
          <w:color w:val="141414"/>
          <w:szCs w:val="22"/>
        </w:rPr>
        <w:t>s</w:t>
      </w:r>
      <w:r>
        <w:rPr>
          <w:color w:val="141414"/>
          <w:szCs w:val="22"/>
        </w:rPr>
        <w:t xml:space="preserve"> Tesla to notify N</w:t>
      </w:r>
      <w:r w:rsidR="00C7036A">
        <w:rPr>
          <w:color w:val="141414"/>
          <w:szCs w:val="22"/>
        </w:rPr>
        <w:t>ASA</w:t>
      </w:r>
      <w:r w:rsidR="00684AC8">
        <w:rPr>
          <w:color w:val="141414"/>
          <w:szCs w:val="22"/>
        </w:rPr>
        <w:t>:</w:t>
      </w:r>
      <w:r>
        <w:rPr>
          <w:rStyle w:val="FootnoteReference"/>
          <w:szCs w:val="22"/>
        </w:rPr>
        <w:footnoteReference w:id="40"/>
      </w:r>
    </w:p>
    <w:tbl>
      <w:tblPr>
        <w:tblStyle w:val="TableGrid"/>
        <w:tblW w:w="7920" w:type="dxa"/>
        <w:tblInd w:w="1440" w:type="dxa"/>
        <w:tblLook w:val="04A0"/>
      </w:tblPr>
      <w:tblGrid>
        <w:gridCol w:w="3849"/>
        <w:gridCol w:w="1641"/>
        <w:gridCol w:w="2430"/>
      </w:tblGrid>
      <w:tr w14:paraId="32EE7004" w14:textId="7890CCEA" w:rsidTr="00F11D73">
        <w:tblPrEx>
          <w:tblW w:w="7920" w:type="dxa"/>
          <w:tblInd w:w="1440" w:type="dxa"/>
          <w:tblLook w:val="04A0"/>
        </w:tblPrEx>
        <w:trPr>
          <w:trHeight w:val="227"/>
        </w:trPr>
        <w:tc>
          <w:tcPr>
            <w:tcW w:w="3849" w:type="dxa"/>
            <w:tcBorders>
              <w:top w:val="nil"/>
              <w:left w:val="nil"/>
              <w:bottom w:val="nil"/>
              <w:right w:val="nil"/>
            </w:tcBorders>
          </w:tcPr>
          <w:p w:rsidR="00DB37B0" w:rsidP="00D716FE" w14:paraId="0258A3B2" w14:textId="77777777">
            <w:pPr>
              <w:spacing w:line="259" w:lineRule="auto"/>
            </w:pPr>
            <w:r>
              <w:t>Fairbanks, AK…………….…..................</w:t>
            </w:r>
          </w:p>
        </w:tc>
        <w:tc>
          <w:tcPr>
            <w:tcW w:w="1641" w:type="dxa"/>
            <w:vAlign w:val="bottom"/>
          </w:tcPr>
          <w:p w:rsidR="00DB37B0" w:rsidRPr="00DB37B0" w:rsidP="00D716FE" w14:paraId="4CA157E2" w14:textId="43E2D938">
            <w:pPr>
              <w:spacing w:line="259" w:lineRule="auto"/>
            </w:pPr>
            <w:r w:rsidRPr="00F11D73">
              <w:rPr>
                <w:snapToGrid/>
                <w:color w:val="000000"/>
                <w:kern w:val="0"/>
                <w:szCs w:val="22"/>
              </w:rPr>
              <w:t>64°</w:t>
            </w:r>
            <w:r w:rsidRPr="00F11D73">
              <w:t>51</w:t>
            </w:r>
            <w:r w:rsidRPr="00F11D73">
              <w:rPr>
                <w:snapToGrid/>
                <w:color w:val="000000"/>
                <w:kern w:val="0"/>
                <w:szCs w:val="22"/>
              </w:rPr>
              <w:t>′32.4″ N</w:t>
            </w:r>
          </w:p>
        </w:tc>
        <w:tc>
          <w:tcPr>
            <w:tcW w:w="2430" w:type="dxa"/>
            <w:vAlign w:val="bottom"/>
          </w:tcPr>
          <w:p w:rsidR="00DB37B0" w:rsidRPr="00DB37B0" w:rsidP="00D716FE" w14:paraId="661214EF" w14:textId="6F3407AB">
            <w:pPr>
              <w:spacing w:line="259" w:lineRule="auto"/>
            </w:pPr>
            <w:r w:rsidRPr="00F11D73">
              <w:rPr>
                <w:snapToGrid/>
                <w:color w:val="000000"/>
                <w:kern w:val="0"/>
                <w:szCs w:val="22"/>
              </w:rPr>
              <w:t>147°51′28.8″ W</w:t>
            </w:r>
          </w:p>
        </w:tc>
      </w:tr>
      <w:tr w14:paraId="56D74F2D" w14:textId="6B68E902" w:rsidTr="00F11D73">
        <w:tblPrEx>
          <w:tblW w:w="7920" w:type="dxa"/>
          <w:tblInd w:w="1440" w:type="dxa"/>
          <w:tblLook w:val="04A0"/>
        </w:tblPrEx>
        <w:trPr>
          <w:trHeight w:val="253"/>
        </w:trPr>
        <w:tc>
          <w:tcPr>
            <w:tcW w:w="3849" w:type="dxa"/>
            <w:tcBorders>
              <w:top w:val="nil"/>
              <w:left w:val="nil"/>
              <w:bottom w:val="nil"/>
              <w:right w:val="nil"/>
            </w:tcBorders>
          </w:tcPr>
          <w:p w:rsidR="00DB37B0" w:rsidP="00D716FE" w14:paraId="004C18BB" w14:textId="002F023E">
            <w:pPr>
              <w:spacing w:line="259" w:lineRule="auto"/>
            </w:pPr>
            <w:r>
              <w:t>Fairbanks, AK…..………………………..</w:t>
            </w:r>
          </w:p>
        </w:tc>
        <w:tc>
          <w:tcPr>
            <w:tcW w:w="1641" w:type="dxa"/>
            <w:vAlign w:val="bottom"/>
          </w:tcPr>
          <w:p w:rsidR="00DB37B0" w:rsidRPr="00DB37B0" w:rsidP="00D716FE" w14:paraId="4AA76CDA" w14:textId="70B4138E">
            <w:pPr>
              <w:spacing w:line="259" w:lineRule="auto"/>
            </w:pPr>
            <w:r w:rsidRPr="00F11D73">
              <w:rPr>
                <w:snapToGrid/>
                <w:color w:val="000000"/>
                <w:kern w:val="0"/>
                <w:szCs w:val="22"/>
              </w:rPr>
              <w:t>64°51′36.0″ N</w:t>
            </w:r>
          </w:p>
        </w:tc>
        <w:tc>
          <w:tcPr>
            <w:tcW w:w="2430" w:type="dxa"/>
            <w:vAlign w:val="bottom"/>
          </w:tcPr>
          <w:p w:rsidR="00DB37B0" w:rsidRPr="00DB37B0" w:rsidP="00D716FE" w14:paraId="32BFEDA9" w14:textId="3A1713A6">
            <w:pPr>
              <w:spacing w:line="259" w:lineRule="auto"/>
            </w:pPr>
            <w:r w:rsidRPr="00F11D73">
              <w:rPr>
                <w:snapToGrid/>
                <w:color w:val="000000"/>
                <w:kern w:val="0"/>
                <w:szCs w:val="22"/>
              </w:rPr>
              <w:t>147°50′49.2″ W</w:t>
            </w:r>
          </w:p>
        </w:tc>
      </w:tr>
      <w:tr w14:paraId="58FDED27" w14:textId="78A7DD78" w:rsidTr="00F11D73">
        <w:tblPrEx>
          <w:tblW w:w="7920" w:type="dxa"/>
          <w:tblInd w:w="1440" w:type="dxa"/>
          <w:tblLook w:val="04A0"/>
        </w:tblPrEx>
        <w:trPr>
          <w:trHeight w:val="253"/>
        </w:trPr>
        <w:tc>
          <w:tcPr>
            <w:tcW w:w="3849" w:type="dxa"/>
            <w:tcBorders>
              <w:top w:val="nil"/>
              <w:left w:val="nil"/>
              <w:bottom w:val="nil"/>
              <w:right w:val="nil"/>
            </w:tcBorders>
          </w:tcPr>
          <w:p w:rsidR="00DB37B0" w:rsidP="00D716FE" w14:paraId="1D0565DA" w14:textId="55CF2A3F">
            <w:pPr>
              <w:spacing w:line="259" w:lineRule="auto"/>
            </w:pPr>
            <w:r>
              <w:t>Fairbanks, AK…..………………………..</w:t>
            </w:r>
          </w:p>
        </w:tc>
        <w:tc>
          <w:tcPr>
            <w:tcW w:w="1641" w:type="dxa"/>
            <w:vAlign w:val="bottom"/>
          </w:tcPr>
          <w:p w:rsidR="00DB37B0" w:rsidRPr="00DB37B0" w:rsidP="00D716FE" w14:paraId="62177A2D" w14:textId="475F2319">
            <w:pPr>
              <w:spacing w:line="259" w:lineRule="auto"/>
            </w:pPr>
            <w:r w:rsidRPr="00F11D73">
              <w:rPr>
                <w:snapToGrid/>
                <w:color w:val="000000"/>
                <w:kern w:val="0"/>
                <w:szCs w:val="22"/>
              </w:rPr>
              <w:t>64°51′32.4″ N</w:t>
            </w:r>
          </w:p>
        </w:tc>
        <w:tc>
          <w:tcPr>
            <w:tcW w:w="2430" w:type="dxa"/>
            <w:vAlign w:val="bottom"/>
          </w:tcPr>
          <w:p w:rsidR="00DB37B0" w:rsidRPr="00DB37B0" w:rsidP="00D716FE" w14:paraId="5AE84073" w14:textId="225989C5">
            <w:pPr>
              <w:spacing w:line="259" w:lineRule="auto"/>
            </w:pPr>
            <w:r w:rsidRPr="00F11D73">
              <w:rPr>
                <w:snapToGrid/>
                <w:color w:val="000000"/>
                <w:kern w:val="0"/>
                <w:szCs w:val="22"/>
              </w:rPr>
              <w:t>147°51′14.4″ W</w:t>
            </w:r>
          </w:p>
        </w:tc>
      </w:tr>
      <w:tr w14:paraId="35704F82" w14:textId="059631B8" w:rsidTr="00F11D73">
        <w:tblPrEx>
          <w:tblW w:w="7920" w:type="dxa"/>
          <w:tblInd w:w="1440" w:type="dxa"/>
          <w:tblLook w:val="04A0"/>
        </w:tblPrEx>
        <w:trPr>
          <w:trHeight w:val="253"/>
        </w:trPr>
        <w:tc>
          <w:tcPr>
            <w:tcW w:w="3849" w:type="dxa"/>
            <w:tcBorders>
              <w:top w:val="nil"/>
              <w:left w:val="nil"/>
              <w:bottom w:val="nil"/>
              <w:right w:val="nil"/>
            </w:tcBorders>
          </w:tcPr>
          <w:p w:rsidR="00DB37B0" w:rsidP="00D716FE" w14:paraId="207FCDB5" w14:textId="06B49BD9">
            <w:pPr>
              <w:spacing w:line="259" w:lineRule="auto"/>
            </w:pPr>
            <w:r>
              <w:t>Fairbanks, AK…..……………………….</w:t>
            </w:r>
          </w:p>
        </w:tc>
        <w:tc>
          <w:tcPr>
            <w:tcW w:w="1641" w:type="dxa"/>
            <w:vAlign w:val="bottom"/>
          </w:tcPr>
          <w:p w:rsidR="00DB37B0" w:rsidRPr="00DB37B0" w:rsidP="00D716FE" w14:paraId="3C3C27AE" w14:textId="27D2614E">
            <w:pPr>
              <w:spacing w:line="259" w:lineRule="auto"/>
            </w:pPr>
            <w:r w:rsidRPr="00F11D73">
              <w:rPr>
                <w:snapToGrid/>
                <w:color w:val="000000"/>
                <w:kern w:val="0"/>
                <w:szCs w:val="22"/>
              </w:rPr>
              <w:t>64°47′42.0″ N</w:t>
            </w:r>
          </w:p>
        </w:tc>
        <w:tc>
          <w:tcPr>
            <w:tcW w:w="2430" w:type="dxa"/>
            <w:vAlign w:val="bottom"/>
          </w:tcPr>
          <w:p w:rsidR="00DB37B0" w:rsidRPr="00DB37B0" w:rsidP="00D716FE" w14:paraId="6DFE120B" w14:textId="60070276">
            <w:pPr>
              <w:spacing w:line="259" w:lineRule="auto"/>
            </w:pPr>
            <w:r w:rsidRPr="00F11D73">
              <w:rPr>
                <w:snapToGrid/>
                <w:color w:val="000000"/>
                <w:kern w:val="0"/>
                <w:szCs w:val="22"/>
              </w:rPr>
              <w:t>147°32′16.8″ W</w:t>
            </w:r>
          </w:p>
        </w:tc>
      </w:tr>
      <w:tr w14:paraId="787DC67C" w14:textId="07C338A1" w:rsidTr="00F11D73">
        <w:tblPrEx>
          <w:tblW w:w="7920" w:type="dxa"/>
          <w:tblInd w:w="1440" w:type="dxa"/>
          <w:tblLook w:val="04A0"/>
        </w:tblPrEx>
        <w:trPr>
          <w:trHeight w:val="253"/>
        </w:trPr>
        <w:tc>
          <w:tcPr>
            <w:tcW w:w="3849" w:type="dxa"/>
            <w:tcBorders>
              <w:top w:val="nil"/>
              <w:left w:val="nil"/>
              <w:bottom w:val="nil"/>
              <w:right w:val="nil"/>
            </w:tcBorders>
          </w:tcPr>
          <w:p w:rsidR="00DB37B0" w:rsidP="00D716FE" w14:paraId="30A709F1" w14:textId="710AC929">
            <w:pPr>
              <w:spacing w:line="259" w:lineRule="auto"/>
            </w:pPr>
            <w:r>
              <w:t>Fairbanks, AK…..……………………….</w:t>
            </w:r>
          </w:p>
        </w:tc>
        <w:tc>
          <w:tcPr>
            <w:tcW w:w="1641" w:type="dxa"/>
            <w:vAlign w:val="bottom"/>
          </w:tcPr>
          <w:p w:rsidR="00DB37B0" w:rsidRPr="00DB37B0" w:rsidP="00D716FE" w14:paraId="2BD3B58D" w14:textId="4CEBC467">
            <w:pPr>
              <w:spacing w:line="259" w:lineRule="auto"/>
            </w:pPr>
            <w:r w:rsidRPr="00F11D73">
              <w:rPr>
                <w:snapToGrid/>
                <w:color w:val="000000"/>
                <w:kern w:val="0"/>
                <w:szCs w:val="22"/>
              </w:rPr>
              <w:t>64°58′26.4″ N</w:t>
            </w:r>
          </w:p>
        </w:tc>
        <w:tc>
          <w:tcPr>
            <w:tcW w:w="2430" w:type="dxa"/>
            <w:vAlign w:val="bottom"/>
          </w:tcPr>
          <w:p w:rsidR="00DB37B0" w:rsidRPr="00DB37B0" w:rsidP="00D716FE" w14:paraId="67602F42" w14:textId="07F6560B">
            <w:pPr>
              <w:spacing w:line="259" w:lineRule="auto"/>
            </w:pPr>
            <w:r w:rsidRPr="00F11D73">
              <w:rPr>
                <w:snapToGrid/>
                <w:color w:val="000000"/>
                <w:kern w:val="0"/>
                <w:szCs w:val="22"/>
              </w:rPr>
              <w:t>147°30′36.0″ W</w:t>
            </w:r>
          </w:p>
        </w:tc>
      </w:tr>
      <w:tr w14:paraId="70785146" w14:textId="5F19D86B" w:rsidTr="00F11D73">
        <w:tblPrEx>
          <w:tblW w:w="7920" w:type="dxa"/>
          <w:tblInd w:w="1440" w:type="dxa"/>
          <w:tblLook w:val="04A0"/>
        </w:tblPrEx>
        <w:trPr>
          <w:trHeight w:val="253"/>
        </w:trPr>
        <w:tc>
          <w:tcPr>
            <w:tcW w:w="3849" w:type="dxa"/>
            <w:tcBorders>
              <w:top w:val="nil"/>
              <w:left w:val="nil"/>
              <w:bottom w:val="nil"/>
              <w:right w:val="nil"/>
            </w:tcBorders>
          </w:tcPr>
          <w:p w:rsidR="00DB37B0" w:rsidP="00D716FE" w14:paraId="0C348101" w14:textId="41A419FA">
            <w:pPr>
              <w:spacing w:line="259" w:lineRule="auto"/>
            </w:pPr>
            <w:r>
              <w:t>Fairbanks, AK…..……………………</w:t>
            </w:r>
            <w:r w:rsidR="00F11D73">
              <w:t>..</w:t>
            </w:r>
            <w:r>
              <w:t>...</w:t>
            </w:r>
          </w:p>
        </w:tc>
        <w:tc>
          <w:tcPr>
            <w:tcW w:w="1641" w:type="dxa"/>
            <w:vAlign w:val="bottom"/>
          </w:tcPr>
          <w:p w:rsidR="00DB37B0" w:rsidRPr="00DB37B0" w:rsidP="00D716FE" w14:paraId="03C68598" w14:textId="0BDA7FCF">
            <w:pPr>
              <w:spacing w:line="259" w:lineRule="auto"/>
            </w:pPr>
            <w:r w:rsidRPr="00F11D73">
              <w:rPr>
                <w:snapToGrid/>
                <w:color w:val="000000"/>
                <w:kern w:val="0"/>
                <w:szCs w:val="22"/>
              </w:rPr>
              <w:t>64°58′26.4″ N</w:t>
            </w:r>
          </w:p>
        </w:tc>
        <w:tc>
          <w:tcPr>
            <w:tcW w:w="2430" w:type="dxa"/>
            <w:vAlign w:val="bottom"/>
          </w:tcPr>
          <w:p w:rsidR="00DB37B0" w:rsidRPr="00DB37B0" w:rsidP="00D716FE" w14:paraId="7D907874" w14:textId="104F8A10">
            <w:pPr>
              <w:spacing w:line="259" w:lineRule="auto"/>
            </w:pPr>
            <w:r w:rsidRPr="00F11D73">
              <w:rPr>
                <w:snapToGrid/>
                <w:color w:val="000000"/>
                <w:kern w:val="0"/>
                <w:szCs w:val="22"/>
              </w:rPr>
              <w:t>147°30′21.6″ W</w:t>
            </w:r>
          </w:p>
        </w:tc>
      </w:tr>
      <w:tr w14:paraId="3A84574D" w14:textId="7A3A7185" w:rsidTr="00F11D73">
        <w:tblPrEx>
          <w:tblW w:w="7920" w:type="dxa"/>
          <w:tblInd w:w="1440" w:type="dxa"/>
          <w:tblLook w:val="04A0"/>
        </w:tblPrEx>
        <w:trPr>
          <w:trHeight w:val="253"/>
        </w:trPr>
        <w:tc>
          <w:tcPr>
            <w:tcW w:w="3849" w:type="dxa"/>
            <w:tcBorders>
              <w:top w:val="nil"/>
              <w:left w:val="nil"/>
              <w:bottom w:val="nil"/>
              <w:right w:val="nil"/>
            </w:tcBorders>
          </w:tcPr>
          <w:p w:rsidR="00DB37B0" w:rsidP="00D716FE" w14:paraId="52D2CFA8" w14:textId="2D75E0A8">
            <w:pPr>
              <w:spacing w:line="259" w:lineRule="auto"/>
            </w:pPr>
            <w:r>
              <w:t>Fairbanks, AK…..……………</w:t>
            </w:r>
            <w:r w:rsidR="00F11D73">
              <w:t>...</w:t>
            </w:r>
            <w:r>
              <w:t>………..</w:t>
            </w:r>
          </w:p>
        </w:tc>
        <w:tc>
          <w:tcPr>
            <w:tcW w:w="1641" w:type="dxa"/>
            <w:vAlign w:val="bottom"/>
          </w:tcPr>
          <w:p w:rsidR="00DB37B0" w:rsidRPr="00DB37B0" w:rsidP="00D716FE" w14:paraId="1B31F5AD" w14:textId="5865DA40">
            <w:pPr>
              <w:spacing w:line="259" w:lineRule="auto"/>
            </w:pPr>
            <w:r w:rsidRPr="00F11D73">
              <w:rPr>
                <w:snapToGrid/>
                <w:color w:val="000000"/>
                <w:kern w:val="0"/>
                <w:szCs w:val="22"/>
              </w:rPr>
              <w:t>64°58′22.8″ N</w:t>
            </w:r>
          </w:p>
        </w:tc>
        <w:tc>
          <w:tcPr>
            <w:tcW w:w="2430" w:type="dxa"/>
            <w:vAlign w:val="bottom"/>
          </w:tcPr>
          <w:p w:rsidR="00DB37B0" w:rsidRPr="00DB37B0" w:rsidP="00D716FE" w14:paraId="2F21FEAB" w14:textId="567045C7">
            <w:pPr>
              <w:spacing w:line="259" w:lineRule="auto"/>
            </w:pPr>
            <w:r w:rsidRPr="00F11D73">
              <w:rPr>
                <w:snapToGrid/>
                <w:color w:val="000000"/>
                <w:kern w:val="0"/>
                <w:szCs w:val="22"/>
              </w:rPr>
              <w:t>147°30′7.2″ W</w:t>
            </w:r>
          </w:p>
        </w:tc>
      </w:tr>
      <w:tr w14:paraId="1E69B9D1" w14:textId="51C19F9B" w:rsidTr="00F11D73">
        <w:tblPrEx>
          <w:tblW w:w="7920" w:type="dxa"/>
          <w:tblInd w:w="1440" w:type="dxa"/>
          <w:tblLook w:val="04A0"/>
        </w:tblPrEx>
        <w:trPr>
          <w:trHeight w:val="253"/>
        </w:trPr>
        <w:tc>
          <w:tcPr>
            <w:tcW w:w="3849" w:type="dxa"/>
            <w:tcBorders>
              <w:top w:val="nil"/>
              <w:left w:val="nil"/>
              <w:bottom w:val="nil"/>
              <w:right w:val="nil"/>
            </w:tcBorders>
          </w:tcPr>
          <w:p w:rsidR="00DB37B0" w:rsidP="00D716FE" w14:paraId="021601D0" w14:textId="31D84AD8">
            <w:pPr>
              <w:spacing w:line="259" w:lineRule="auto"/>
            </w:pPr>
            <w:r>
              <w:t>Sioux Falls, SD………………………</w:t>
            </w:r>
            <w:r w:rsidR="00F11D73">
              <w:t>.</w:t>
            </w:r>
            <w:r>
              <w:t>…</w:t>
            </w:r>
          </w:p>
        </w:tc>
        <w:tc>
          <w:tcPr>
            <w:tcW w:w="1641" w:type="dxa"/>
            <w:vAlign w:val="bottom"/>
          </w:tcPr>
          <w:p w:rsidR="00DB37B0" w:rsidRPr="00DB37B0" w:rsidP="00D716FE" w14:paraId="214F2458" w14:textId="5672AFFA">
            <w:pPr>
              <w:spacing w:line="259" w:lineRule="auto"/>
            </w:pPr>
            <w:r w:rsidRPr="00F11D73">
              <w:rPr>
                <w:snapToGrid/>
                <w:color w:val="000000"/>
                <w:kern w:val="0"/>
                <w:szCs w:val="22"/>
              </w:rPr>
              <w:t>43°44′10.0″ N</w:t>
            </w:r>
          </w:p>
        </w:tc>
        <w:tc>
          <w:tcPr>
            <w:tcW w:w="2430" w:type="dxa"/>
            <w:vAlign w:val="bottom"/>
          </w:tcPr>
          <w:p w:rsidR="00DB37B0" w:rsidRPr="00DB37B0" w:rsidP="00D716FE" w14:paraId="0C14CEFC" w14:textId="2C31C573">
            <w:pPr>
              <w:spacing w:line="259" w:lineRule="auto"/>
            </w:pPr>
            <w:r w:rsidRPr="00F11D73">
              <w:rPr>
                <w:snapToGrid/>
                <w:color w:val="000000"/>
                <w:kern w:val="0"/>
                <w:szCs w:val="22"/>
              </w:rPr>
              <w:t>96°37′21.0″ W</w:t>
            </w:r>
          </w:p>
        </w:tc>
      </w:tr>
      <w:tr w14:paraId="02A50C43" w14:textId="0F7EF93E" w:rsidTr="00F11D73">
        <w:tblPrEx>
          <w:tblW w:w="7920" w:type="dxa"/>
          <w:tblInd w:w="1440" w:type="dxa"/>
          <w:tblLook w:val="04A0"/>
        </w:tblPrEx>
        <w:trPr>
          <w:trHeight w:val="253"/>
        </w:trPr>
        <w:tc>
          <w:tcPr>
            <w:tcW w:w="3849" w:type="dxa"/>
            <w:tcBorders>
              <w:top w:val="nil"/>
              <w:left w:val="nil"/>
              <w:bottom w:val="nil"/>
              <w:right w:val="nil"/>
            </w:tcBorders>
          </w:tcPr>
          <w:p w:rsidR="00DB37B0" w:rsidP="00D716FE" w14:paraId="590A54C6" w14:textId="4C29A349">
            <w:pPr>
              <w:spacing w:line="259" w:lineRule="auto"/>
            </w:pPr>
            <w:r>
              <w:t>Wallops Island, VA……………………..</w:t>
            </w:r>
          </w:p>
        </w:tc>
        <w:tc>
          <w:tcPr>
            <w:tcW w:w="1641" w:type="dxa"/>
            <w:vAlign w:val="bottom"/>
          </w:tcPr>
          <w:p w:rsidR="00DB37B0" w:rsidRPr="00DB37B0" w:rsidP="00D716FE" w14:paraId="61744F50" w14:textId="08D5E4C9">
            <w:pPr>
              <w:spacing w:line="259" w:lineRule="auto"/>
            </w:pPr>
            <w:r w:rsidRPr="00F11D73">
              <w:rPr>
                <w:snapToGrid/>
                <w:color w:val="000000"/>
                <w:kern w:val="0"/>
                <w:szCs w:val="22"/>
              </w:rPr>
              <w:t>37°56′45.0″ N</w:t>
            </w:r>
          </w:p>
        </w:tc>
        <w:tc>
          <w:tcPr>
            <w:tcW w:w="2430" w:type="dxa"/>
            <w:vAlign w:val="bottom"/>
          </w:tcPr>
          <w:p w:rsidR="00DB37B0" w:rsidRPr="00DB37B0" w:rsidP="00D716FE" w14:paraId="152C8B81" w14:textId="0C70A4AC">
            <w:pPr>
              <w:spacing w:line="259" w:lineRule="auto"/>
            </w:pPr>
            <w:r w:rsidRPr="00F11D73">
              <w:rPr>
                <w:snapToGrid/>
                <w:color w:val="000000"/>
                <w:kern w:val="0"/>
                <w:szCs w:val="22"/>
              </w:rPr>
              <w:t>75°27′43.9″ W</w:t>
            </w:r>
          </w:p>
        </w:tc>
      </w:tr>
      <w:tr w14:paraId="229C2A53" w14:textId="795DECE7" w:rsidTr="00F11D73">
        <w:tblPrEx>
          <w:tblW w:w="7920" w:type="dxa"/>
          <w:tblInd w:w="1440" w:type="dxa"/>
          <w:tblLook w:val="04A0"/>
        </w:tblPrEx>
        <w:trPr>
          <w:trHeight w:val="253"/>
        </w:trPr>
        <w:tc>
          <w:tcPr>
            <w:tcW w:w="3849" w:type="dxa"/>
            <w:tcBorders>
              <w:top w:val="nil"/>
              <w:left w:val="nil"/>
              <w:bottom w:val="nil"/>
              <w:right w:val="nil"/>
            </w:tcBorders>
          </w:tcPr>
          <w:p w:rsidR="00DB37B0" w:rsidP="00D716FE" w14:paraId="10D41F10" w14:textId="044ED912">
            <w:pPr>
              <w:spacing w:line="259" w:lineRule="auto"/>
            </w:pPr>
            <w:r>
              <w:t>Wallops Island, VA……………………</w:t>
            </w:r>
            <w:r w:rsidR="00F11D73">
              <w:t>.</w:t>
            </w:r>
            <w:r>
              <w:t>.</w:t>
            </w:r>
          </w:p>
        </w:tc>
        <w:tc>
          <w:tcPr>
            <w:tcW w:w="1641" w:type="dxa"/>
            <w:vAlign w:val="bottom"/>
          </w:tcPr>
          <w:p w:rsidR="00DB37B0" w:rsidRPr="00DB37B0" w:rsidP="00D716FE" w14:paraId="570AEA20" w14:textId="10B6BA21">
            <w:pPr>
              <w:spacing w:line="259" w:lineRule="auto"/>
            </w:pPr>
            <w:r w:rsidRPr="00F11D73">
              <w:rPr>
                <w:snapToGrid/>
                <w:color w:val="000000"/>
                <w:kern w:val="0"/>
                <w:szCs w:val="22"/>
              </w:rPr>
              <w:t>37°55′30.0″ N</w:t>
            </w:r>
          </w:p>
        </w:tc>
        <w:tc>
          <w:tcPr>
            <w:tcW w:w="2430" w:type="dxa"/>
            <w:vAlign w:val="bottom"/>
          </w:tcPr>
          <w:p w:rsidR="00DB37B0" w:rsidRPr="00DB37B0" w:rsidP="00D716FE" w14:paraId="23564B70" w14:textId="586A106E">
            <w:pPr>
              <w:spacing w:line="259" w:lineRule="auto"/>
            </w:pPr>
            <w:r w:rsidRPr="00F11D73">
              <w:rPr>
                <w:snapToGrid/>
                <w:color w:val="000000"/>
                <w:kern w:val="0"/>
                <w:szCs w:val="22"/>
              </w:rPr>
              <w:t>75°28′37.2″ W</w:t>
            </w:r>
          </w:p>
        </w:tc>
      </w:tr>
      <w:tr w14:paraId="1235D132" w14:textId="20AB385B" w:rsidTr="00F11D73">
        <w:tblPrEx>
          <w:tblW w:w="7920" w:type="dxa"/>
          <w:tblInd w:w="1440" w:type="dxa"/>
          <w:tblLook w:val="04A0"/>
        </w:tblPrEx>
        <w:trPr>
          <w:trHeight w:val="253"/>
        </w:trPr>
        <w:tc>
          <w:tcPr>
            <w:tcW w:w="3849" w:type="dxa"/>
            <w:tcBorders>
              <w:top w:val="nil"/>
              <w:left w:val="nil"/>
              <w:bottom w:val="nil"/>
              <w:right w:val="nil"/>
            </w:tcBorders>
          </w:tcPr>
          <w:p w:rsidR="00DB37B0" w:rsidP="00D716FE" w14:paraId="5C106B2C" w14:textId="2089A631">
            <w:pPr>
              <w:spacing w:line="259" w:lineRule="auto"/>
            </w:pPr>
            <w:r>
              <w:t>Wallops Island, VA……………………..</w:t>
            </w:r>
          </w:p>
        </w:tc>
        <w:tc>
          <w:tcPr>
            <w:tcW w:w="1641" w:type="dxa"/>
            <w:vAlign w:val="bottom"/>
          </w:tcPr>
          <w:p w:rsidR="00DB37B0" w:rsidRPr="00DB37B0" w:rsidP="00D716FE" w14:paraId="4B0B4794" w14:textId="4D0F45ED">
            <w:pPr>
              <w:spacing w:line="259" w:lineRule="auto"/>
            </w:pPr>
            <w:r w:rsidRPr="00F11D73">
              <w:rPr>
                <w:snapToGrid/>
                <w:color w:val="000000"/>
                <w:kern w:val="0"/>
                <w:szCs w:val="22"/>
              </w:rPr>
              <w:t>37°55′33.6″ N</w:t>
            </w:r>
          </w:p>
        </w:tc>
        <w:tc>
          <w:tcPr>
            <w:tcW w:w="2430" w:type="dxa"/>
            <w:vAlign w:val="bottom"/>
          </w:tcPr>
          <w:p w:rsidR="00DB37B0" w:rsidRPr="00DB37B0" w:rsidP="00D716FE" w14:paraId="639DC6E2" w14:textId="780543C5">
            <w:pPr>
              <w:spacing w:line="259" w:lineRule="auto"/>
            </w:pPr>
            <w:r w:rsidRPr="00F11D73">
              <w:rPr>
                <w:snapToGrid/>
                <w:color w:val="000000"/>
                <w:kern w:val="0"/>
                <w:szCs w:val="22"/>
              </w:rPr>
              <w:t>75°28′33.6″ W</w:t>
            </w:r>
          </w:p>
        </w:tc>
      </w:tr>
    </w:tbl>
    <w:p w:rsidR="00445F92" w:rsidP="005A221A" w14:paraId="4CFF27DF" w14:textId="652707B7">
      <w:pPr>
        <w:spacing w:before="60" w:after="120"/>
        <w:ind w:left="1166"/>
        <w:rPr>
          <w:color w:val="141414"/>
          <w:szCs w:val="22"/>
        </w:rPr>
      </w:pPr>
      <w:r w:rsidRPr="005A221A">
        <w:rPr>
          <w:color w:val="141414"/>
          <w:szCs w:val="22"/>
        </w:rPr>
        <w:t>Please notify NASA prior to deployment at Mr. Michael Evans, Frequency Assignment</w:t>
      </w:r>
      <w:r>
        <w:rPr>
          <w:color w:val="141414"/>
          <w:szCs w:val="22"/>
        </w:rPr>
        <w:t xml:space="preserve"> </w:t>
      </w:r>
      <w:r w:rsidRPr="005A221A">
        <w:rPr>
          <w:color w:val="141414"/>
          <w:szCs w:val="22"/>
        </w:rPr>
        <w:t xml:space="preserve">Program Manager, </w:t>
      </w:r>
      <w:hyperlink r:id="rId5" w:history="1">
        <w:r w:rsidRPr="005F0230" w:rsidR="003B33FE">
          <w:rPr>
            <w:rStyle w:val="Hyperlink"/>
            <w:szCs w:val="22"/>
          </w:rPr>
          <w:t>michael.a.evans-1@nasa.gov</w:t>
        </w:r>
      </w:hyperlink>
      <w:r w:rsidR="00E00DAC">
        <w:rPr>
          <w:color w:val="141414"/>
          <w:szCs w:val="22"/>
        </w:rPr>
        <w:t>;</w:t>
      </w:r>
    </w:p>
    <w:p w:rsidR="00EF05A1" w:rsidP="00984F0F" w14:paraId="3F37EC5A" w14:textId="255FE7BA">
      <w:pPr>
        <w:numPr>
          <w:ilvl w:val="0"/>
          <w:numId w:val="2"/>
        </w:numPr>
        <w:spacing w:before="60" w:after="120"/>
        <w:ind w:left="1166"/>
        <w:rPr>
          <w:color w:val="141414"/>
          <w:szCs w:val="22"/>
        </w:rPr>
      </w:pPr>
      <w:r>
        <w:rPr>
          <w:color w:val="141414"/>
          <w:szCs w:val="22"/>
        </w:rPr>
        <w:t xml:space="preserve">Deployment </w:t>
      </w:r>
      <w:r w:rsidR="00E853DE">
        <w:rPr>
          <w:color w:val="141414"/>
          <w:szCs w:val="22"/>
        </w:rPr>
        <w:t xml:space="preserve">of </w:t>
      </w:r>
      <w:r w:rsidR="00896257">
        <w:rPr>
          <w:color w:val="141414"/>
          <w:szCs w:val="22"/>
        </w:rPr>
        <w:t>commercial outdoor</w:t>
      </w:r>
      <w:r w:rsidR="000F7BD0">
        <w:rPr>
          <w:color w:val="141414"/>
          <w:szCs w:val="22"/>
        </w:rPr>
        <w:t xml:space="preserve"> charging stations </w:t>
      </w:r>
      <w:r>
        <w:rPr>
          <w:color w:val="141414"/>
          <w:szCs w:val="22"/>
        </w:rPr>
        <w:t xml:space="preserve">within 5 km of the </w:t>
      </w:r>
      <w:r w:rsidR="0041614E">
        <w:rPr>
          <w:color w:val="141414"/>
          <w:szCs w:val="22"/>
        </w:rPr>
        <w:t xml:space="preserve">RAS </w:t>
      </w:r>
      <w:r>
        <w:rPr>
          <w:color w:val="141414"/>
          <w:szCs w:val="22"/>
        </w:rPr>
        <w:t>sites listed below require</w:t>
      </w:r>
      <w:r w:rsidR="00FF520E">
        <w:rPr>
          <w:color w:val="141414"/>
          <w:szCs w:val="22"/>
        </w:rPr>
        <w:t>s</w:t>
      </w:r>
      <w:r>
        <w:rPr>
          <w:color w:val="141414"/>
          <w:szCs w:val="22"/>
        </w:rPr>
        <w:t xml:space="preserve"> Tesla to </w:t>
      </w:r>
      <w:r w:rsidR="00684AC8">
        <w:rPr>
          <w:color w:val="141414"/>
          <w:szCs w:val="22"/>
        </w:rPr>
        <w:t xml:space="preserve">notify </w:t>
      </w:r>
      <w:r w:rsidR="004509F1">
        <w:rPr>
          <w:color w:val="141414"/>
          <w:szCs w:val="22"/>
        </w:rPr>
        <w:t>NSF</w:t>
      </w:r>
      <w:r w:rsidR="00C17A15">
        <w:rPr>
          <w:color w:val="141414"/>
          <w:szCs w:val="22"/>
        </w:rPr>
        <w:t xml:space="preserve"> and NASA.</w:t>
      </w:r>
      <w:r>
        <w:rPr>
          <w:rStyle w:val="FootnoteReference"/>
          <w:szCs w:val="22"/>
        </w:rPr>
        <w:footnoteReference w:id="41"/>
      </w:r>
    </w:p>
    <w:tbl>
      <w:tblPr>
        <w:tblStyle w:val="TableGrid"/>
        <w:tblW w:w="7920" w:type="dxa"/>
        <w:tblInd w:w="1440" w:type="dxa"/>
        <w:tblLook w:val="04A0"/>
      </w:tblPr>
      <w:tblGrid>
        <w:gridCol w:w="3801"/>
        <w:gridCol w:w="1689"/>
        <w:gridCol w:w="2430"/>
      </w:tblGrid>
      <w:tr w14:paraId="54A5B53A" w14:textId="4494DF29" w:rsidTr="00F11D73">
        <w:tblPrEx>
          <w:tblW w:w="7920" w:type="dxa"/>
          <w:tblInd w:w="1440" w:type="dxa"/>
          <w:tblLook w:val="04A0"/>
        </w:tblPrEx>
        <w:trPr>
          <w:trHeight w:val="253"/>
        </w:trPr>
        <w:tc>
          <w:tcPr>
            <w:tcW w:w="3801" w:type="dxa"/>
            <w:tcBorders>
              <w:top w:val="nil"/>
              <w:left w:val="nil"/>
              <w:bottom w:val="nil"/>
              <w:right w:val="nil"/>
            </w:tcBorders>
          </w:tcPr>
          <w:p w:rsidR="001B63CC" w:rsidP="00657C87" w14:paraId="35D5AF58" w14:textId="77777777">
            <w:pPr>
              <w:spacing w:line="259" w:lineRule="auto"/>
            </w:pPr>
            <w:bookmarkStart w:id="5" w:name="_Hlk208578002"/>
          </w:p>
          <w:p w:rsidR="001B63CC" w:rsidP="00657C87" w14:paraId="2923D77E" w14:textId="657ADF4E">
            <w:pPr>
              <w:spacing w:line="259" w:lineRule="auto"/>
            </w:pPr>
            <w:r>
              <w:t>VLBI Global Observing System (VGOS)</w:t>
            </w:r>
          </w:p>
        </w:tc>
        <w:tc>
          <w:tcPr>
            <w:tcW w:w="1689" w:type="dxa"/>
            <w:tcBorders>
              <w:top w:val="nil"/>
              <w:left w:val="nil"/>
              <w:bottom w:val="nil"/>
              <w:right w:val="nil"/>
            </w:tcBorders>
          </w:tcPr>
          <w:p w:rsidR="001B63CC" w:rsidRPr="002F0BDA" w:rsidP="00657C87" w14:paraId="5F0EC4EE" w14:textId="77777777">
            <w:pPr>
              <w:spacing w:line="259" w:lineRule="auto"/>
            </w:pPr>
          </w:p>
        </w:tc>
        <w:tc>
          <w:tcPr>
            <w:tcW w:w="2430" w:type="dxa"/>
          </w:tcPr>
          <w:p w:rsidR="001B63CC" w:rsidRPr="002F0BDA" w:rsidP="00657C87" w14:paraId="1E4209D4" w14:textId="77777777">
            <w:pPr>
              <w:spacing w:line="259" w:lineRule="auto"/>
            </w:pPr>
          </w:p>
        </w:tc>
      </w:tr>
      <w:tr w14:paraId="4DDF3224" w14:textId="20F7FA2C" w:rsidTr="00F11D73">
        <w:tblPrEx>
          <w:tblW w:w="7920" w:type="dxa"/>
          <w:tblInd w:w="1440" w:type="dxa"/>
          <w:tblLook w:val="04A0"/>
        </w:tblPrEx>
        <w:trPr>
          <w:trHeight w:val="253"/>
        </w:trPr>
        <w:tc>
          <w:tcPr>
            <w:tcW w:w="3801" w:type="dxa"/>
            <w:tcBorders>
              <w:top w:val="nil"/>
              <w:left w:val="nil"/>
              <w:bottom w:val="nil"/>
              <w:right w:val="nil"/>
            </w:tcBorders>
          </w:tcPr>
          <w:p w:rsidR="00A46CC2" w:rsidP="00A46CC2" w14:paraId="66BB3371" w14:textId="0B5D7921">
            <w:pPr>
              <w:spacing w:line="259" w:lineRule="auto"/>
            </w:pPr>
            <w:r>
              <w:t>VGOS - Goddard, MD…...……………...</w:t>
            </w:r>
          </w:p>
        </w:tc>
        <w:tc>
          <w:tcPr>
            <w:tcW w:w="1689" w:type="dxa"/>
            <w:tcBorders>
              <w:top w:val="nil"/>
              <w:left w:val="nil"/>
              <w:bottom w:val="nil"/>
              <w:right w:val="nil"/>
            </w:tcBorders>
            <w:vAlign w:val="bottom"/>
          </w:tcPr>
          <w:p w:rsidR="00A46CC2" w:rsidRPr="002F0BDA" w:rsidP="00A46CC2" w14:paraId="36B160E6" w14:textId="6059C69A">
            <w:pPr>
              <w:spacing w:line="259" w:lineRule="auto"/>
            </w:pPr>
            <w:r w:rsidRPr="002F0BDA">
              <w:rPr>
                <w:color w:val="000000"/>
                <w:szCs w:val="22"/>
              </w:rPr>
              <w:t>39°1′19.2″ N</w:t>
            </w:r>
          </w:p>
        </w:tc>
        <w:tc>
          <w:tcPr>
            <w:tcW w:w="2430" w:type="dxa"/>
            <w:vAlign w:val="bottom"/>
          </w:tcPr>
          <w:p w:rsidR="00A46CC2" w:rsidRPr="002F0BDA" w:rsidP="00A46CC2" w14:paraId="64453908" w14:textId="0872FD8C">
            <w:pPr>
              <w:spacing w:line="259" w:lineRule="auto"/>
            </w:pPr>
            <w:r w:rsidRPr="002F0BDA">
              <w:rPr>
                <w:color w:val="000000"/>
                <w:szCs w:val="22"/>
              </w:rPr>
              <w:t>76°49′38.3″ W</w:t>
            </w:r>
          </w:p>
        </w:tc>
      </w:tr>
      <w:tr w14:paraId="4D5A3C9A" w14:textId="58804986" w:rsidTr="00F11D73">
        <w:tblPrEx>
          <w:tblW w:w="7920" w:type="dxa"/>
          <w:tblInd w:w="1440" w:type="dxa"/>
          <w:tblLook w:val="04A0"/>
        </w:tblPrEx>
        <w:trPr>
          <w:trHeight w:val="253"/>
        </w:trPr>
        <w:tc>
          <w:tcPr>
            <w:tcW w:w="3801" w:type="dxa"/>
            <w:tcBorders>
              <w:top w:val="nil"/>
              <w:left w:val="nil"/>
              <w:bottom w:val="nil"/>
              <w:right w:val="nil"/>
            </w:tcBorders>
          </w:tcPr>
          <w:p w:rsidR="00A46CC2" w:rsidP="00A46CC2" w14:paraId="06938013" w14:textId="7FB5F66B">
            <w:pPr>
              <w:spacing w:line="259" w:lineRule="auto"/>
            </w:pPr>
            <w:r w:rsidRPr="00BB7560">
              <w:t xml:space="preserve">VGOS – </w:t>
            </w:r>
            <w:r w:rsidRPr="00BB7560">
              <w:t>Kokee</w:t>
            </w:r>
            <w:r w:rsidRPr="00BB7560">
              <w:t>, HI</w:t>
            </w:r>
            <w:r>
              <w:t>…..…………</w:t>
            </w:r>
            <w:r w:rsidR="00F11D73">
              <w:t>.</w:t>
            </w:r>
            <w:r>
              <w:t>……....</w:t>
            </w:r>
          </w:p>
        </w:tc>
        <w:tc>
          <w:tcPr>
            <w:tcW w:w="1689" w:type="dxa"/>
            <w:tcBorders>
              <w:top w:val="nil"/>
              <w:left w:val="nil"/>
              <w:bottom w:val="nil"/>
              <w:right w:val="nil"/>
            </w:tcBorders>
            <w:vAlign w:val="bottom"/>
          </w:tcPr>
          <w:p w:rsidR="00A46CC2" w:rsidRPr="002F0BDA" w:rsidP="00A46CC2" w14:paraId="63A50914" w14:textId="4DA5FE09">
            <w:pPr>
              <w:spacing w:line="259" w:lineRule="auto"/>
            </w:pPr>
            <w:r w:rsidRPr="002F0BDA">
              <w:rPr>
                <w:color w:val="000000"/>
                <w:szCs w:val="22"/>
              </w:rPr>
              <w:t>22°7′35.3″ N</w:t>
            </w:r>
          </w:p>
        </w:tc>
        <w:tc>
          <w:tcPr>
            <w:tcW w:w="2430" w:type="dxa"/>
            <w:vAlign w:val="bottom"/>
          </w:tcPr>
          <w:p w:rsidR="00A46CC2" w:rsidRPr="002F0BDA" w:rsidP="00A46CC2" w14:paraId="4C916DD3" w14:textId="2B196D31">
            <w:pPr>
              <w:spacing w:line="259" w:lineRule="auto"/>
            </w:pPr>
            <w:r w:rsidRPr="002F0BDA">
              <w:rPr>
                <w:color w:val="000000"/>
                <w:szCs w:val="22"/>
              </w:rPr>
              <w:t>159°39′53.9″ W</w:t>
            </w:r>
          </w:p>
        </w:tc>
      </w:tr>
      <w:tr w14:paraId="13096CA8" w14:textId="6F3B95CA" w:rsidTr="00F11D73">
        <w:tblPrEx>
          <w:tblW w:w="7920" w:type="dxa"/>
          <w:tblInd w:w="1440" w:type="dxa"/>
          <w:tblLook w:val="04A0"/>
        </w:tblPrEx>
        <w:trPr>
          <w:trHeight w:val="253"/>
        </w:trPr>
        <w:tc>
          <w:tcPr>
            <w:tcW w:w="3801" w:type="dxa"/>
            <w:tcBorders>
              <w:top w:val="nil"/>
              <w:left w:val="nil"/>
              <w:bottom w:val="nil"/>
              <w:right w:val="nil"/>
            </w:tcBorders>
          </w:tcPr>
          <w:p w:rsidR="00A46CC2" w:rsidP="00A46CC2" w14:paraId="19D3AED9" w14:textId="5A777264">
            <w:pPr>
              <w:spacing w:line="259" w:lineRule="auto"/>
            </w:pPr>
            <w:r w:rsidRPr="00BB7560">
              <w:t>VGOS – Westford, MA</w:t>
            </w:r>
            <w:r>
              <w:t>…..…………</w:t>
            </w:r>
            <w:r w:rsidR="00F11D73">
              <w:t>.</w:t>
            </w:r>
            <w:r>
              <w:t>….</w:t>
            </w:r>
          </w:p>
        </w:tc>
        <w:tc>
          <w:tcPr>
            <w:tcW w:w="1689" w:type="dxa"/>
            <w:tcBorders>
              <w:top w:val="nil"/>
              <w:left w:val="nil"/>
              <w:bottom w:val="nil"/>
              <w:right w:val="nil"/>
            </w:tcBorders>
            <w:vAlign w:val="bottom"/>
          </w:tcPr>
          <w:p w:rsidR="00A46CC2" w:rsidRPr="002F0BDA" w:rsidP="00A46CC2" w14:paraId="68E77892" w14:textId="602D0590">
            <w:pPr>
              <w:spacing w:line="259" w:lineRule="auto"/>
            </w:pPr>
            <w:r w:rsidRPr="002F0BDA">
              <w:rPr>
                <w:color w:val="000000"/>
                <w:szCs w:val="22"/>
              </w:rPr>
              <w:t>42°36′46.8″ N</w:t>
            </w:r>
          </w:p>
        </w:tc>
        <w:tc>
          <w:tcPr>
            <w:tcW w:w="2430" w:type="dxa"/>
            <w:vAlign w:val="bottom"/>
          </w:tcPr>
          <w:p w:rsidR="00A46CC2" w:rsidRPr="002F0BDA" w:rsidP="00A46CC2" w14:paraId="5BEE483D" w14:textId="7FF0ADE1">
            <w:pPr>
              <w:spacing w:line="259" w:lineRule="auto"/>
            </w:pPr>
            <w:r w:rsidRPr="002F0BDA">
              <w:rPr>
                <w:color w:val="000000"/>
                <w:szCs w:val="22"/>
              </w:rPr>
              <w:t>71°29′37.7″ W</w:t>
            </w:r>
          </w:p>
        </w:tc>
      </w:tr>
      <w:tr w14:paraId="481A67D2" w14:textId="1C6E5E31" w:rsidTr="00F11D73">
        <w:tblPrEx>
          <w:tblW w:w="7920" w:type="dxa"/>
          <w:tblInd w:w="1440" w:type="dxa"/>
          <w:tblLook w:val="04A0"/>
        </w:tblPrEx>
        <w:trPr>
          <w:trHeight w:val="253"/>
        </w:trPr>
        <w:tc>
          <w:tcPr>
            <w:tcW w:w="3801" w:type="dxa"/>
            <w:tcBorders>
              <w:top w:val="nil"/>
              <w:left w:val="nil"/>
              <w:bottom w:val="nil"/>
              <w:right w:val="nil"/>
            </w:tcBorders>
          </w:tcPr>
          <w:p w:rsidR="00A46CC2" w:rsidP="00A46CC2" w14:paraId="6B9A26EB" w14:textId="235A191B">
            <w:pPr>
              <w:spacing w:line="259" w:lineRule="auto"/>
            </w:pPr>
            <w:r w:rsidRPr="00BB7560">
              <w:t>VGOS – McDonald, TX</w:t>
            </w:r>
            <w:r>
              <w:t>…..…………….</w:t>
            </w:r>
          </w:p>
        </w:tc>
        <w:tc>
          <w:tcPr>
            <w:tcW w:w="1689" w:type="dxa"/>
            <w:tcBorders>
              <w:top w:val="nil"/>
              <w:left w:val="nil"/>
              <w:bottom w:val="nil"/>
              <w:right w:val="nil"/>
            </w:tcBorders>
            <w:vAlign w:val="bottom"/>
          </w:tcPr>
          <w:p w:rsidR="00A46CC2" w:rsidRPr="002F0BDA" w:rsidP="00A46CC2" w14:paraId="13D406ED" w14:textId="0EB7DBF0">
            <w:pPr>
              <w:spacing w:line="259" w:lineRule="auto"/>
            </w:pPr>
            <w:r w:rsidRPr="002F0BDA">
              <w:rPr>
                <w:color w:val="000000"/>
                <w:szCs w:val="22"/>
              </w:rPr>
              <w:t>30°40′49.4″ N</w:t>
            </w:r>
          </w:p>
        </w:tc>
        <w:tc>
          <w:tcPr>
            <w:tcW w:w="2430" w:type="dxa"/>
            <w:vAlign w:val="bottom"/>
          </w:tcPr>
          <w:p w:rsidR="00A46CC2" w:rsidRPr="002F0BDA" w:rsidP="00A46CC2" w14:paraId="5120511F" w14:textId="56A7D867">
            <w:pPr>
              <w:spacing w:line="259" w:lineRule="auto"/>
            </w:pPr>
            <w:r w:rsidRPr="002F0BDA">
              <w:rPr>
                <w:color w:val="000000"/>
                <w:szCs w:val="22"/>
              </w:rPr>
              <w:t>104°1′25.1″ W</w:t>
            </w:r>
          </w:p>
        </w:tc>
      </w:tr>
      <w:tr w14:paraId="7F216942" w14:textId="7D83D029" w:rsidTr="00F11D73">
        <w:tblPrEx>
          <w:tblW w:w="7920" w:type="dxa"/>
          <w:tblInd w:w="1440" w:type="dxa"/>
          <w:tblLook w:val="04A0"/>
        </w:tblPrEx>
        <w:trPr>
          <w:trHeight w:val="253"/>
        </w:trPr>
        <w:tc>
          <w:tcPr>
            <w:tcW w:w="3801" w:type="dxa"/>
            <w:tcBorders>
              <w:top w:val="nil"/>
              <w:left w:val="nil"/>
              <w:bottom w:val="nil"/>
              <w:right w:val="nil"/>
            </w:tcBorders>
          </w:tcPr>
          <w:p w:rsidR="001B63CC" w:rsidP="00657C87" w14:paraId="077A1F0E" w14:textId="77777777">
            <w:pPr>
              <w:spacing w:line="259" w:lineRule="auto"/>
            </w:pPr>
          </w:p>
          <w:p w:rsidR="001B63CC" w:rsidRPr="00BB7560" w:rsidP="00657C87" w14:paraId="7EA7990E" w14:textId="73C27E74">
            <w:pPr>
              <w:spacing w:line="259" w:lineRule="auto"/>
            </w:pPr>
            <w:r>
              <w:t>Hat Creek Radio Observatory</w:t>
            </w:r>
          </w:p>
        </w:tc>
        <w:tc>
          <w:tcPr>
            <w:tcW w:w="1689" w:type="dxa"/>
            <w:tcBorders>
              <w:top w:val="nil"/>
              <w:left w:val="nil"/>
              <w:bottom w:val="nil"/>
              <w:right w:val="nil"/>
            </w:tcBorders>
          </w:tcPr>
          <w:p w:rsidR="001B63CC" w:rsidRPr="002F0BDA" w:rsidP="00657C87" w14:paraId="7EA79C3A" w14:textId="77777777">
            <w:pPr>
              <w:spacing w:line="259" w:lineRule="auto"/>
            </w:pPr>
          </w:p>
        </w:tc>
        <w:tc>
          <w:tcPr>
            <w:tcW w:w="2430" w:type="dxa"/>
          </w:tcPr>
          <w:p w:rsidR="001B63CC" w:rsidRPr="002F0BDA" w:rsidP="00657C87" w14:paraId="44D5A67C" w14:textId="77777777">
            <w:pPr>
              <w:spacing w:line="259" w:lineRule="auto"/>
            </w:pPr>
          </w:p>
        </w:tc>
      </w:tr>
      <w:tr w14:paraId="5D26758E" w14:textId="104F358D" w:rsidTr="00F11D73">
        <w:tblPrEx>
          <w:tblW w:w="7920" w:type="dxa"/>
          <w:tblInd w:w="1440" w:type="dxa"/>
          <w:tblLook w:val="04A0"/>
        </w:tblPrEx>
        <w:trPr>
          <w:trHeight w:val="253"/>
        </w:trPr>
        <w:tc>
          <w:tcPr>
            <w:tcW w:w="3801" w:type="dxa"/>
            <w:tcBorders>
              <w:top w:val="nil"/>
              <w:left w:val="nil"/>
              <w:bottom w:val="nil"/>
              <w:right w:val="nil"/>
            </w:tcBorders>
          </w:tcPr>
          <w:p w:rsidR="00343C46" w:rsidP="00343C46" w14:paraId="380DC632" w14:textId="5BB97419">
            <w:pPr>
              <w:spacing w:line="259" w:lineRule="auto"/>
            </w:pPr>
            <w:r w:rsidRPr="00BB7560">
              <w:t>Hat Creek, CA</w:t>
            </w:r>
            <w:r>
              <w:t>..........................................</w:t>
            </w:r>
          </w:p>
        </w:tc>
        <w:tc>
          <w:tcPr>
            <w:tcW w:w="1689" w:type="dxa"/>
            <w:tcBorders>
              <w:top w:val="nil"/>
              <w:left w:val="nil"/>
              <w:bottom w:val="nil"/>
              <w:right w:val="nil"/>
            </w:tcBorders>
            <w:vAlign w:val="bottom"/>
          </w:tcPr>
          <w:p w:rsidR="00343C46" w:rsidRPr="002F0BDA" w:rsidP="00343C46" w14:paraId="03793D04" w14:textId="0671663F">
            <w:pPr>
              <w:spacing w:line="259" w:lineRule="auto"/>
              <w:rPr>
                <w:i/>
                <w:iCs/>
              </w:rPr>
            </w:pPr>
            <w:r w:rsidRPr="002F0BDA">
              <w:rPr>
                <w:color w:val="000000"/>
                <w:szCs w:val="22"/>
              </w:rPr>
              <w:t>40°49′4.0″ N</w:t>
            </w:r>
          </w:p>
        </w:tc>
        <w:tc>
          <w:tcPr>
            <w:tcW w:w="2430" w:type="dxa"/>
            <w:vAlign w:val="bottom"/>
          </w:tcPr>
          <w:p w:rsidR="00343C46" w:rsidRPr="002F0BDA" w:rsidP="00343C46" w14:paraId="49C62A27" w14:textId="354BFE31">
            <w:pPr>
              <w:spacing w:line="259" w:lineRule="auto"/>
            </w:pPr>
            <w:r w:rsidRPr="002F0BDA">
              <w:rPr>
                <w:color w:val="000000"/>
                <w:szCs w:val="22"/>
              </w:rPr>
              <w:t>121°28′24.0″ E</w:t>
            </w:r>
          </w:p>
        </w:tc>
      </w:tr>
      <w:tr w14:paraId="505DD782" w14:textId="52EA0773" w:rsidTr="00F11D73">
        <w:tblPrEx>
          <w:tblW w:w="7920" w:type="dxa"/>
          <w:tblInd w:w="1440" w:type="dxa"/>
          <w:tblLook w:val="04A0"/>
        </w:tblPrEx>
        <w:trPr>
          <w:trHeight w:val="253"/>
        </w:trPr>
        <w:tc>
          <w:tcPr>
            <w:tcW w:w="3801" w:type="dxa"/>
            <w:tcBorders>
              <w:top w:val="nil"/>
              <w:left w:val="nil"/>
              <w:bottom w:val="nil"/>
              <w:right w:val="nil"/>
            </w:tcBorders>
          </w:tcPr>
          <w:p w:rsidR="001B63CC" w:rsidP="00657C87" w14:paraId="244FB068" w14:textId="77777777">
            <w:pPr>
              <w:spacing w:line="259" w:lineRule="auto"/>
            </w:pPr>
          </w:p>
        </w:tc>
        <w:tc>
          <w:tcPr>
            <w:tcW w:w="1689" w:type="dxa"/>
            <w:tcBorders>
              <w:top w:val="nil"/>
              <w:left w:val="nil"/>
              <w:bottom w:val="nil"/>
              <w:right w:val="nil"/>
            </w:tcBorders>
          </w:tcPr>
          <w:p w:rsidR="001B63CC" w:rsidRPr="002F0BDA" w:rsidP="00657C87" w14:paraId="202F4459" w14:textId="77777777">
            <w:pPr>
              <w:spacing w:line="259" w:lineRule="auto"/>
            </w:pPr>
          </w:p>
        </w:tc>
        <w:tc>
          <w:tcPr>
            <w:tcW w:w="2430" w:type="dxa"/>
          </w:tcPr>
          <w:p w:rsidR="001B63CC" w:rsidRPr="002F0BDA" w:rsidP="00657C87" w14:paraId="772CB691" w14:textId="77777777">
            <w:pPr>
              <w:spacing w:line="259" w:lineRule="auto"/>
            </w:pPr>
          </w:p>
        </w:tc>
      </w:tr>
      <w:tr w14:paraId="5FCF0812" w14:textId="181C79F8" w:rsidTr="00F11D73">
        <w:tblPrEx>
          <w:tblW w:w="7920" w:type="dxa"/>
          <w:tblInd w:w="1440" w:type="dxa"/>
          <w:tblLook w:val="04A0"/>
        </w:tblPrEx>
        <w:trPr>
          <w:trHeight w:val="253"/>
        </w:trPr>
        <w:tc>
          <w:tcPr>
            <w:tcW w:w="3801" w:type="dxa"/>
            <w:tcBorders>
              <w:top w:val="nil"/>
              <w:left w:val="nil"/>
              <w:bottom w:val="nil"/>
              <w:right w:val="nil"/>
            </w:tcBorders>
          </w:tcPr>
          <w:p w:rsidR="001B63CC" w:rsidP="00657C87" w14:paraId="27DF2F12" w14:textId="1D8EB8F2">
            <w:pPr>
              <w:spacing w:line="259" w:lineRule="auto"/>
            </w:pPr>
            <w:r>
              <w:t>Very Long Baseline Array (VLBA) Stations</w:t>
            </w:r>
          </w:p>
        </w:tc>
        <w:tc>
          <w:tcPr>
            <w:tcW w:w="1689" w:type="dxa"/>
            <w:tcBorders>
              <w:top w:val="nil"/>
              <w:left w:val="nil"/>
              <w:bottom w:val="nil"/>
              <w:right w:val="nil"/>
            </w:tcBorders>
          </w:tcPr>
          <w:p w:rsidR="001B63CC" w:rsidRPr="002F0BDA" w:rsidP="00657C87" w14:paraId="381D86F4" w14:textId="77777777">
            <w:pPr>
              <w:spacing w:line="259" w:lineRule="auto"/>
            </w:pPr>
          </w:p>
        </w:tc>
        <w:tc>
          <w:tcPr>
            <w:tcW w:w="2430" w:type="dxa"/>
          </w:tcPr>
          <w:p w:rsidR="001B63CC" w:rsidRPr="002F0BDA" w:rsidP="00657C87" w14:paraId="177FEAD9" w14:textId="77777777">
            <w:pPr>
              <w:spacing w:line="259" w:lineRule="auto"/>
            </w:pPr>
          </w:p>
        </w:tc>
      </w:tr>
      <w:tr w14:paraId="73856191" w14:textId="3B19EA26" w:rsidTr="00F11D73">
        <w:tblPrEx>
          <w:tblW w:w="7920" w:type="dxa"/>
          <w:tblInd w:w="1440" w:type="dxa"/>
          <w:tblLook w:val="04A0"/>
        </w:tblPrEx>
        <w:trPr>
          <w:trHeight w:val="253"/>
        </w:trPr>
        <w:tc>
          <w:tcPr>
            <w:tcW w:w="3801" w:type="dxa"/>
            <w:tcBorders>
              <w:top w:val="nil"/>
              <w:left w:val="nil"/>
              <w:bottom w:val="nil"/>
              <w:right w:val="nil"/>
            </w:tcBorders>
          </w:tcPr>
          <w:p w:rsidR="001B63CC" w:rsidP="00657C87" w14:paraId="375860BF" w14:textId="77777777">
            <w:pPr>
              <w:spacing w:line="259" w:lineRule="auto"/>
            </w:pPr>
          </w:p>
        </w:tc>
        <w:tc>
          <w:tcPr>
            <w:tcW w:w="1689" w:type="dxa"/>
            <w:tcBorders>
              <w:top w:val="nil"/>
              <w:left w:val="nil"/>
              <w:bottom w:val="nil"/>
              <w:right w:val="nil"/>
            </w:tcBorders>
          </w:tcPr>
          <w:p w:rsidR="001B63CC" w:rsidRPr="0041614E" w:rsidP="00657C87" w14:paraId="54845388" w14:textId="77777777">
            <w:pPr>
              <w:spacing w:line="259" w:lineRule="auto"/>
            </w:pPr>
          </w:p>
        </w:tc>
        <w:tc>
          <w:tcPr>
            <w:tcW w:w="2430" w:type="dxa"/>
          </w:tcPr>
          <w:p w:rsidR="001B63CC" w:rsidRPr="0041614E" w:rsidP="00657C87" w14:paraId="6C388972" w14:textId="77777777">
            <w:pPr>
              <w:spacing w:line="259" w:lineRule="auto"/>
            </w:pPr>
          </w:p>
        </w:tc>
      </w:tr>
      <w:bookmarkEnd w:id="5"/>
      <w:tr w14:paraId="7EBBE83B" w14:textId="64441C35" w:rsidTr="00F11D73">
        <w:tblPrEx>
          <w:tblW w:w="7920" w:type="dxa"/>
          <w:tblInd w:w="1440" w:type="dxa"/>
          <w:tblLook w:val="04A0"/>
        </w:tblPrEx>
        <w:trPr>
          <w:trHeight w:val="253"/>
        </w:trPr>
        <w:tc>
          <w:tcPr>
            <w:tcW w:w="3801" w:type="dxa"/>
            <w:tcBorders>
              <w:top w:val="nil"/>
              <w:left w:val="nil"/>
              <w:bottom w:val="nil"/>
              <w:right w:val="nil"/>
            </w:tcBorders>
          </w:tcPr>
          <w:p w:rsidR="002242F9" w:rsidRPr="00E37095" w:rsidP="002242F9" w14:paraId="27789DC8" w14:textId="3CFD0592">
            <w:pPr>
              <w:spacing w:line="259" w:lineRule="auto"/>
            </w:pPr>
            <w:r w:rsidRPr="00E37095">
              <w:t>VLBA – Brewster, WA……………….</w:t>
            </w:r>
            <w:r w:rsidR="00F11D73">
              <w:t>.</w:t>
            </w:r>
            <w:r w:rsidRPr="00E37095">
              <w:t>..</w:t>
            </w:r>
          </w:p>
        </w:tc>
        <w:tc>
          <w:tcPr>
            <w:tcW w:w="1689" w:type="dxa"/>
            <w:tcBorders>
              <w:top w:val="nil"/>
              <w:left w:val="nil"/>
              <w:bottom w:val="nil"/>
              <w:right w:val="nil"/>
            </w:tcBorders>
            <w:vAlign w:val="bottom"/>
          </w:tcPr>
          <w:p w:rsidR="002242F9" w:rsidRPr="00E37095" w:rsidP="002242F9" w14:paraId="5949C949" w14:textId="5A18DB28">
            <w:pPr>
              <w:spacing w:line="259" w:lineRule="auto"/>
            </w:pPr>
            <w:r w:rsidRPr="00F11D73">
              <w:rPr>
                <w:color w:val="000000"/>
                <w:szCs w:val="22"/>
              </w:rPr>
              <w:t>48°7′52.0″ N</w:t>
            </w:r>
          </w:p>
        </w:tc>
        <w:tc>
          <w:tcPr>
            <w:tcW w:w="2430" w:type="dxa"/>
            <w:vAlign w:val="bottom"/>
          </w:tcPr>
          <w:p w:rsidR="002242F9" w:rsidRPr="00E37095" w:rsidP="002242F9" w14:paraId="23FB0C86" w14:textId="086F8E68">
            <w:pPr>
              <w:spacing w:line="259" w:lineRule="auto"/>
            </w:pPr>
            <w:r w:rsidRPr="00F11D73">
              <w:rPr>
                <w:color w:val="000000"/>
                <w:szCs w:val="22"/>
              </w:rPr>
              <w:t>119°40′59.9″ W</w:t>
            </w:r>
          </w:p>
        </w:tc>
      </w:tr>
      <w:tr w14:paraId="09A9EB76" w14:textId="13286923" w:rsidTr="00F11D73">
        <w:tblPrEx>
          <w:tblW w:w="7920" w:type="dxa"/>
          <w:tblInd w:w="1440" w:type="dxa"/>
          <w:tblLook w:val="04A0"/>
        </w:tblPrEx>
        <w:trPr>
          <w:trHeight w:val="253"/>
        </w:trPr>
        <w:tc>
          <w:tcPr>
            <w:tcW w:w="3801" w:type="dxa"/>
            <w:tcBorders>
              <w:top w:val="nil"/>
              <w:left w:val="nil"/>
              <w:bottom w:val="nil"/>
              <w:right w:val="nil"/>
            </w:tcBorders>
          </w:tcPr>
          <w:p w:rsidR="002242F9" w:rsidRPr="00E37095" w:rsidP="002242F9" w14:paraId="09C92329" w14:textId="30F860D2">
            <w:pPr>
              <w:spacing w:line="259" w:lineRule="auto"/>
            </w:pPr>
            <w:r w:rsidRPr="00E37095">
              <w:t>VLBA – Hancock, NH………………….</w:t>
            </w:r>
          </w:p>
        </w:tc>
        <w:tc>
          <w:tcPr>
            <w:tcW w:w="1689" w:type="dxa"/>
            <w:tcBorders>
              <w:top w:val="nil"/>
              <w:left w:val="nil"/>
              <w:bottom w:val="nil"/>
              <w:right w:val="nil"/>
            </w:tcBorders>
            <w:vAlign w:val="bottom"/>
          </w:tcPr>
          <w:p w:rsidR="002242F9" w:rsidRPr="00E37095" w:rsidP="002242F9" w14:paraId="04569BF6" w14:textId="5A2E755F">
            <w:pPr>
              <w:spacing w:line="259" w:lineRule="auto"/>
            </w:pPr>
            <w:r w:rsidRPr="00F11D73">
              <w:rPr>
                <w:color w:val="000000"/>
                <w:szCs w:val="22"/>
              </w:rPr>
              <w:t>42°56′1.0″ N</w:t>
            </w:r>
          </w:p>
        </w:tc>
        <w:tc>
          <w:tcPr>
            <w:tcW w:w="2430" w:type="dxa"/>
            <w:vAlign w:val="bottom"/>
          </w:tcPr>
          <w:p w:rsidR="002242F9" w:rsidRPr="00E37095" w:rsidP="002242F9" w14:paraId="10562CB3" w14:textId="62268BC3">
            <w:pPr>
              <w:spacing w:line="259" w:lineRule="auto"/>
            </w:pPr>
            <w:r w:rsidRPr="00F11D73">
              <w:rPr>
                <w:color w:val="000000"/>
                <w:szCs w:val="22"/>
              </w:rPr>
              <w:t>71°59′12.1″ W</w:t>
            </w:r>
          </w:p>
        </w:tc>
      </w:tr>
      <w:tr w14:paraId="5B9BEA3F" w14:textId="05EAE1C1" w:rsidTr="00F11D73">
        <w:tblPrEx>
          <w:tblW w:w="7920" w:type="dxa"/>
          <w:tblInd w:w="1440" w:type="dxa"/>
          <w:tblLook w:val="04A0"/>
        </w:tblPrEx>
        <w:trPr>
          <w:trHeight w:val="253"/>
        </w:trPr>
        <w:tc>
          <w:tcPr>
            <w:tcW w:w="3801" w:type="dxa"/>
            <w:tcBorders>
              <w:top w:val="nil"/>
              <w:left w:val="nil"/>
              <w:bottom w:val="nil"/>
              <w:right w:val="nil"/>
            </w:tcBorders>
          </w:tcPr>
          <w:p w:rsidR="002242F9" w:rsidRPr="00E37095" w:rsidP="002242F9" w14:paraId="56BABF18" w14:textId="71D1DFF8">
            <w:pPr>
              <w:spacing w:line="259" w:lineRule="auto"/>
            </w:pPr>
            <w:r w:rsidRPr="00E37095">
              <w:t>VLBA – Kitt Peak, AZ………………….</w:t>
            </w:r>
          </w:p>
        </w:tc>
        <w:tc>
          <w:tcPr>
            <w:tcW w:w="1689" w:type="dxa"/>
            <w:tcBorders>
              <w:top w:val="nil"/>
              <w:left w:val="nil"/>
              <w:bottom w:val="nil"/>
              <w:right w:val="nil"/>
            </w:tcBorders>
            <w:vAlign w:val="bottom"/>
          </w:tcPr>
          <w:p w:rsidR="002242F9" w:rsidRPr="00E37095" w:rsidP="002242F9" w14:paraId="5541E285" w14:textId="2732C308">
            <w:pPr>
              <w:spacing w:line="259" w:lineRule="auto"/>
            </w:pPr>
            <w:r w:rsidRPr="00F11D73">
              <w:rPr>
                <w:color w:val="000000"/>
                <w:szCs w:val="22"/>
              </w:rPr>
              <w:t>31°57′23.0″ N</w:t>
            </w:r>
          </w:p>
        </w:tc>
        <w:tc>
          <w:tcPr>
            <w:tcW w:w="2430" w:type="dxa"/>
            <w:vAlign w:val="bottom"/>
          </w:tcPr>
          <w:p w:rsidR="002242F9" w:rsidRPr="00E37095" w:rsidP="002242F9" w14:paraId="1EE3679B" w14:textId="245C7252">
            <w:pPr>
              <w:spacing w:line="259" w:lineRule="auto"/>
            </w:pPr>
            <w:r w:rsidRPr="00F11D73">
              <w:rPr>
                <w:color w:val="000000"/>
                <w:szCs w:val="22"/>
              </w:rPr>
              <w:t>111°36′45.0″ W</w:t>
            </w:r>
          </w:p>
        </w:tc>
      </w:tr>
      <w:tr w14:paraId="1411BC48" w14:textId="5A3B105B" w:rsidTr="00F11D73">
        <w:tblPrEx>
          <w:tblW w:w="7920" w:type="dxa"/>
          <w:tblInd w:w="1440" w:type="dxa"/>
          <w:tblLook w:val="04A0"/>
        </w:tblPrEx>
        <w:trPr>
          <w:trHeight w:val="253"/>
        </w:trPr>
        <w:tc>
          <w:tcPr>
            <w:tcW w:w="3801" w:type="dxa"/>
            <w:tcBorders>
              <w:top w:val="nil"/>
              <w:left w:val="nil"/>
              <w:bottom w:val="nil"/>
              <w:right w:val="nil"/>
            </w:tcBorders>
          </w:tcPr>
          <w:p w:rsidR="002242F9" w:rsidRPr="00E37095" w:rsidP="002242F9" w14:paraId="07765C3D" w14:textId="3AAFC508">
            <w:pPr>
              <w:spacing w:line="259" w:lineRule="auto"/>
            </w:pPr>
            <w:r w:rsidRPr="00E37095">
              <w:t>VLBA – Los Alamos, NM………………</w:t>
            </w:r>
          </w:p>
        </w:tc>
        <w:tc>
          <w:tcPr>
            <w:tcW w:w="1689" w:type="dxa"/>
            <w:tcBorders>
              <w:top w:val="nil"/>
              <w:left w:val="nil"/>
              <w:bottom w:val="nil"/>
              <w:right w:val="nil"/>
            </w:tcBorders>
            <w:vAlign w:val="bottom"/>
          </w:tcPr>
          <w:p w:rsidR="002242F9" w:rsidRPr="00E37095" w:rsidP="002242F9" w14:paraId="62BD5278" w14:textId="09815C37">
            <w:pPr>
              <w:spacing w:line="259" w:lineRule="auto"/>
            </w:pPr>
            <w:r w:rsidRPr="00F11D73">
              <w:rPr>
                <w:color w:val="000000"/>
                <w:szCs w:val="22"/>
              </w:rPr>
              <w:t>35°46′30.0″ N</w:t>
            </w:r>
          </w:p>
        </w:tc>
        <w:tc>
          <w:tcPr>
            <w:tcW w:w="2430" w:type="dxa"/>
            <w:vAlign w:val="bottom"/>
          </w:tcPr>
          <w:p w:rsidR="002242F9" w:rsidRPr="00E37095" w:rsidP="002242F9" w14:paraId="26EF5238" w14:textId="11C637C4">
            <w:pPr>
              <w:spacing w:line="259" w:lineRule="auto"/>
            </w:pPr>
            <w:r w:rsidRPr="00F11D73">
              <w:rPr>
                <w:color w:val="000000"/>
                <w:szCs w:val="22"/>
              </w:rPr>
              <w:t>106°14′44.2″ W</w:t>
            </w:r>
          </w:p>
        </w:tc>
      </w:tr>
      <w:tr w14:paraId="1155AED6" w14:textId="20A9AA7E" w:rsidTr="00F11D73">
        <w:tblPrEx>
          <w:tblW w:w="7920" w:type="dxa"/>
          <w:tblInd w:w="1440" w:type="dxa"/>
          <w:tblLook w:val="04A0"/>
        </w:tblPrEx>
        <w:trPr>
          <w:trHeight w:val="253"/>
        </w:trPr>
        <w:tc>
          <w:tcPr>
            <w:tcW w:w="3801" w:type="dxa"/>
            <w:tcBorders>
              <w:top w:val="nil"/>
              <w:left w:val="nil"/>
              <w:bottom w:val="nil"/>
              <w:right w:val="nil"/>
            </w:tcBorders>
          </w:tcPr>
          <w:p w:rsidR="002242F9" w:rsidRPr="00E37095" w:rsidP="002242F9" w14:paraId="0770E536" w14:textId="11C42C7C">
            <w:pPr>
              <w:spacing w:line="259" w:lineRule="auto"/>
            </w:pPr>
            <w:r w:rsidRPr="00E37095">
              <w:t>VLBA – Mauna Kea, HI………………...</w:t>
            </w:r>
          </w:p>
        </w:tc>
        <w:tc>
          <w:tcPr>
            <w:tcW w:w="1689" w:type="dxa"/>
            <w:tcBorders>
              <w:top w:val="nil"/>
              <w:left w:val="nil"/>
              <w:bottom w:val="nil"/>
              <w:right w:val="nil"/>
            </w:tcBorders>
            <w:vAlign w:val="bottom"/>
          </w:tcPr>
          <w:p w:rsidR="002242F9" w:rsidRPr="00E37095" w:rsidP="002242F9" w14:paraId="1115EDEF" w14:textId="5B65E28F">
            <w:pPr>
              <w:spacing w:line="259" w:lineRule="auto"/>
            </w:pPr>
            <w:r w:rsidRPr="00F11D73">
              <w:rPr>
                <w:color w:val="000000"/>
                <w:szCs w:val="22"/>
              </w:rPr>
              <w:t>19°48′5.0″ N</w:t>
            </w:r>
          </w:p>
        </w:tc>
        <w:tc>
          <w:tcPr>
            <w:tcW w:w="2430" w:type="dxa"/>
            <w:vAlign w:val="bottom"/>
          </w:tcPr>
          <w:p w:rsidR="002242F9" w:rsidRPr="00E37095" w:rsidP="002242F9" w14:paraId="27FE5BAC" w14:textId="27536CBD">
            <w:pPr>
              <w:spacing w:line="259" w:lineRule="auto"/>
            </w:pPr>
            <w:r w:rsidRPr="00F11D73">
              <w:rPr>
                <w:color w:val="000000"/>
                <w:szCs w:val="22"/>
              </w:rPr>
              <w:t>155°27′20.2″ W</w:t>
            </w:r>
          </w:p>
        </w:tc>
      </w:tr>
      <w:tr w14:paraId="071D46FF" w14:textId="7EA56BCF" w:rsidTr="00F11D73">
        <w:tblPrEx>
          <w:tblW w:w="7920" w:type="dxa"/>
          <w:tblInd w:w="1440" w:type="dxa"/>
          <w:tblLook w:val="04A0"/>
        </w:tblPrEx>
        <w:trPr>
          <w:trHeight w:val="253"/>
        </w:trPr>
        <w:tc>
          <w:tcPr>
            <w:tcW w:w="3801" w:type="dxa"/>
            <w:tcBorders>
              <w:top w:val="nil"/>
              <w:left w:val="nil"/>
              <w:bottom w:val="nil"/>
              <w:right w:val="nil"/>
            </w:tcBorders>
          </w:tcPr>
          <w:p w:rsidR="002242F9" w:rsidRPr="00E37095" w:rsidP="002242F9" w14:paraId="3D622999" w14:textId="364DDB79">
            <w:pPr>
              <w:spacing w:line="259" w:lineRule="auto"/>
            </w:pPr>
            <w:r w:rsidRPr="00E37095">
              <w:t>VLBA – North Liberty, IA……………....</w:t>
            </w:r>
          </w:p>
        </w:tc>
        <w:tc>
          <w:tcPr>
            <w:tcW w:w="1689" w:type="dxa"/>
            <w:tcBorders>
              <w:top w:val="nil"/>
              <w:left w:val="nil"/>
              <w:bottom w:val="nil"/>
              <w:right w:val="nil"/>
            </w:tcBorders>
            <w:vAlign w:val="bottom"/>
          </w:tcPr>
          <w:p w:rsidR="002242F9" w:rsidRPr="00E37095" w:rsidP="002242F9" w14:paraId="79E2A693" w14:textId="5EDCCC92">
            <w:pPr>
              <w:spacing w:line="259" w:lineRule="auto"/>
            </w:pPr>
            <w:r w:rsidRPr="00F11D73">
              <w:rPr>
                <w:color w:val="000000"/>
                <w:szCs w:val="22"/>
              </w:rPr>
              <w:t>41°46′17.9″ N</w:t>
            </w:r>
          </w:p>
        </w:tc>
        <w:tc>
          <w:tcPr>
            <w:tcW w:w="2430" w:type="dxa"/>
            <w:vAlign w:val="bottom"/>
          </w:tcPr>
          <w:p w:rsidR="002242F9" w:rsidRPr="00E37095" w:rsidP="002242F9" w14:paraId="2B25ECB8" w14:textId="163CACCB">
            <w:pPr>
              <w:spacing w:line="259" w:lineRule="auto"/>
            </w:pPr>
            <w:r w:rsidRPr="00F11D73">
              <w:rPr>
                <w:color w:val="000000"/>
                <w:szCs w:val="22"/>
              </w:rPr>
              <w:t>91°34′26.9″ W</w:t>
            </w:r>
          </w:p>
        </w:tc>
      </w:tr>
      <w:tr w14:paraId="59AAF27B" w14:textId="27E3C3E7" w:rsidTr="00F11D73">
        <w:tblPrEx>
          <w:tblW w:w="7920" w:type="dxa"/>
          <w:tblInd w:w="1440" w:type="dxa"/>
          <w:tblLook w:val="04A0"/>
        </w:tblPrEx>
        <w:trPr>
          <w:trHeight w:val="253"/>
        </w:trPr>
        <w:tc>
          <w:tcPr>
            <w:tcW w:w="3801" w:type="dxa"/>
            <w:tcBorders>
              <w:top w:val="nil"/>
              <w:left w:val="nil"/>
              <w:bottom w:val="nil"/>
              <w:right w:val="nil"/>
            </w:tcBorders>
          </w:tcPr>
          <w:p w:rsidR="002242F9" w:rsidRPr="00E37095" w:rsidP="002242F9" w14:paraId="3F307DAB" w14:textId="0F99B824">
            <w:pPr>
              <w:spacing w:line="259" w:lineRule="auto"/>
            </w:pPr>
            <w:r w:rsidRPr="00E37095">
              <w:t>VLBA – Owens Valley, CA…………</w:t>
            </w:r>
            <w:r w:rsidR="00F11D73">
              <w:t>...</w:t>
            </w:r>
            <w:r w:rsidRPr="00E37095">
              <w:t>...</w:t>
            </w:r>
          </w:p>
        </w:tc>
        <w:tc>
          <w:tcPr>
            <w:tcW w:w="1689" w:type="dxa"/>
            <w:tcBorders>
              <w:top w:val="nil"/>
              <w:left w:val="nil"/>
              <w:bottom w:val="nil"/>
              <w:right w:val="nil"/>
            </w:tcBorders>
            <w:vAlign w:val="bottom"/>
          </w:tcPr>
          <w:p w:rsidR="002242F9" w:rsidRPr="00E37095" w:rsidP="002242F9" w14:paraId="4251DD7E" w14:textId="2241F1F6">
            <w:pPr>
              <w:spacing w:line="259" w:lineRule="auto"/>
            </w:pPr>
            <w:r w:rsidRPr="00F11D73">
              <w:rPr>
                <w:color w:val="000000"/>
                <w:szCs w:val="22"/>
              </w:rPr>
              <w:t>37°13′54.1″ N</w:t>
            </w:r>
          </w:p>
        </w:tc>
        <w:tc>
          <w:tcPr>
            <w:tcW w:w="2430" w:type="dxa"/>
            <w:vAlign w:val="bottom"/>
          </w:tcPr>
          <w:p w:rsidR="002242F9" w:rsidRPr="00E37095" w:rsidP="002242F9" w14:paraId="67DF3A39" w14:textId="10A7A295">
            <w:pPr>
              <w:spacing w:line="259" w:lineRule="auto"/>
            </w:pPr>
            <w:r w:rsidRPr="00F11D73">
              <w:rPr>
                <w:color w:val="000000"/>
                <w:szCs w:val="22"/>
              </w:rPr>
              <w:t>118°16′36.8″ W</w:t>
            </w:r>
          </w:p>
        </w:tc>
      </w:tr>
      <w:tr w14:paraId="0A7AB152" w14:textId="4D497DE8" w:rsidTr="00F11D73">
        <w:tblPrEx>
          <w:tblW w:w="7920" w:type="dxa"/>
          <w:tblInd w:w="1440" w:type="dxa"/>
          <w:tblLook w:val="04A0"/>
        </w:tblPrEx>
        <w:trPr>
          <w:trHeight w:val="253"/>
        </w:trPr>
        <w:tc>
          <w:tcPr>
            <w:tcW w:w="3801" w:type="dxa"/>
            <w:tcBorders>
              <w:top w:val="nil"/>
              <w:left w:val="nil"/>
              <w:bottom w:val="nil"/>
              <w:right w:val="nil"/>
            </w:tcBorders>
          </w:tcPr>
          <w:p w:rsidR="002242F9" w:rsidRPr="00E37095" w:rsidP="002242F9" w14:paraId="110AF8D2" w14:textId="37BE4EAD">
            <w:pPr>
              <w:spacing w:line="259" w:lineRule="auto"/>
            </w:pPr>
            <w:r w:rsidRPr="00E37095">
              <w:t>VLBA – Pie Town, NM…………………</w:t>
            </w:r>
          </w:p>
        </w:tc>
        <w:tc>
          <w:tcPr>
            <w:tcW w:w="1689" w:type="dxa"/>
            <w:tcBorders>
              <w:top w:val="nil"/>
              <w:left w:val="nil"/>
              <w:bottom w:val="nil"/>
              <w:right w:val="nil"/>
            </w:tcBorders>
            <w:vAlign w:val="bottom"/>
          </w:tcPr>
          <w:p w:rsidR="002242F9" w:rsidRPr="00E37095" w:rsidP="002242F9" w14:paraId="6CF83E4B" w14:textId="4EEE2D8C">
            <w:pPr>
              <w:spacing w:line="259" w:lineRule="auto"/>
            </w:pPr>
            <w:r w:rsidRPr="00F11D73">
              <w:rPr>
                <w:color w:val="000000"/>
                <w:szCs w:val="22"/>
              </w:rPr>
              <w:t>34°18′4.0″ N</w:t>
            </w:r>
          </w:p>
        </w:tc>
        <w:tc>
          <w:tcPr>
            <w:tcW w:w="2430" w:type="dxa"/>
            <w:vAlign w:val="bottom"/>
          </w:tcPr>
          <w:p w:rsidR="002242F9" w:rsidRPr="00E37095" w:rsidP="002242F9" w14:paraId="177005D9" w14:textId="39574E25">
            <w:pPr>
              <w:spacing w:line="259" w:lineRule="auto"/>
            </w:pPr>
            <w:r w:rsidRPr="00F11D73">
              <w:rPr>
                <w:color w:val="000000"/>
                <w:szCs w:val="22"/>
              </w:rPr>
              <w:t>108°7′9.1″ W</w:t>
            </w:r>
          </w:p>
        </w:tc>
      </w:tr>
      <w:tr w14:paraId="18974BD3" w14:textId="6B6943C2" w:rsidTr="00F11D73">
        <w:tblPrEx>
          <w:tblW w:w="7920" w:type="dxa"/>
          <w:tblInd w:w="1440" w:type="dxa"/>
          <w:tblLook w:val="04A0"/>
        </w:tblPrEx>
        <w:trPr>
          <w:trHeight w:val="253"/>
        </w:trPr>
        <w:tc>
          <w:tcPr>
            <w:tcW w:w="3801" w:type="dxa"/>
            <w:tcBorders>
              <w:top w:val="nil"/>
              <w:left w:val="nil"/>
              <w:bottom w:val="nil"/>
              <w:right w:val="nil"/>
            </w:tcBorders>
          </w:tcPr>
          <w:p w:rsidR="002242F9" w:rsidRPr="00E37095" w:rsidP="002242F9" w14:paraId="647BABF3" w14:textId="328E63E1">
            <w:pPr>
              <w:spacing w:line="259" w:lineRule="auto"/>
            </w:pPr>
            <w:r w:rsidRPr="00E37095">
              <w:t>VLBA – St. Croix, VI……………………</w:t>
            </w:r>
          </w:p>
        </w:tc>
        <w:tc>
          <w:tcPr>
            <w:tcW w:w="1689" w:type="dxa"/>
            <w:tcBorders>
              <w:top w:val="nil"/>
              <w:left w:val="nil"/>
              <w:bottom w:val="nil"/>
              <w:right w:val="nil"/>
            </w:tcBorders>
            <w:vAlign w:val="bottom"/>
          </w:tcPr>
          <w:p w:rsidR="002242F9" w:rsidRPr="00E37095" w:rsidP="002242F9" w14:paraId="778085BB" w14:textId="2473FAAE">
            <w:pPr>
              <w:spacing w:line="259" w:lineRule="auto"/>
            </w:pPr>
            <w:r w:rsidRPr="00F11D73">
              <w:rPr>
                <w:color w:val="000000"/>
                <w:szCs w:val="22"/>
              </w:rPr>
              <w:t>17°45′24.1″ N</w:t>
            </w:r>
          </w:p>
        </w:tc>
        <w:tc>
          <w:tcPr>
            <w:tcW w:w="2430" w:type="dxa"/>
            <w:vAlign w:val="bottom"/>
          </w:tcPr>
          <w:p w:rsidR="002242F9" w:rsidRPr="00E37095" w:rsidP="002242F9" w14:paraId="40594ABC" w14:textId="1C97C1CE">
            <w:pPr>
              <w:spacing w:line="259" w:lineRule="auto"/>
            </w:pPr>
            <w:r w:rsidRPr="00F11D73">
              <w:rPr>
                <w:color w:val="000000"/>
                <w:szCs w:val="22"/>
              </w:rPr>
              <w:t>64°35′1.0″ W</w:t>
            </w:r>
          </w:p>
        </w:tc>
      </w:tr>
      <w:tr w14:paraId="4FA513B7" w14:textId="77777777" w:rsidTr="00F11D73">
        <w:tblPrEx>
          <w:tblW w:w="7920" w:type="dxa"/>
          <w:tblInd w:w="1440" w:type="dxa"/>
          <w:tblLook w:val="04A0"/>
        </w:tblPrEx>
        <w:trPr>
          <w:trHeight w:val="253"/>
        </w:trPr>
        <w:tc>
          <w:tcPr>
            <w:tcW w:w="3801" w:type="dxa"/>
            <w:tcBorders>
              <w:top w:val="nil"/>
              <w:left w:val="nil"/>
              <w:bottom w:val="nil"/>
              <w:right w:val="nil"/>
            </w:tcBorders>
          </w:tcPr>
          <w:p w:rsidR="00555DE8" w:rsidRPr="00E37095" w:rsidP="00555DE8" w14:paraId="673FB4D1" w14:textId="2E0649F9">
            <w:pPr>
              <w:spacing w:line="259" w:lineRule="auto"/>
            </w:pPr>
            <w:r w:rsidRPr="00E37095">
              <w:t>VLBA – Fort Davis, TX…………………</w:t>
            </w:r>
          </w:p>
        </w:tc>
        <w:tc>
          <w:tcPr>
            <w:tcW w:w="1689" w:type="dxa"/>
            <w:tcBorders>
              <w:top w:val="nil"/>
              <w:left w:val="nil"/>
              <w:bottom w:val="nil"/>
              <w:right w:val="nil"/>
            </w:tcBorders>
            <w:vAlign w:val="bottom"/>
          </w:tcPr>
          <w:p w:rsidR="00555DE8" w:rsidRPr="00F11D73" w:rsidP="00555DE8" w14:paraId="1208A9D8" w14:textId="7B0D3E63">
            <w:pPr>
              <w:spacing w:line="259" w:lineRule="auto"/>
              <w:rPr>
                <w:color w:val="000000"/>
                <w:szCs w:val="22"/>
              </w:rPr>
            </w:pPr>
            <w:r w:rsidRPr="00F11D73">
              <w:rPr>
                <w:color w:val="000000"/>
                <w:szCs w:val="22"/>
              </w:rPr>
              <w:t>30°38′6.0″ N</w:t>
            </w:r>
          </w:p>
        </w:tc>
        <w:tc>
          <w:tcPr>
            <w:tcW w:w="2430" w:type="dxa"/>
            <w:vAlign w:val="bottom"/>
          </w:tcPr>
          <w:p w:rsidR="00555DE8" w:rsidRPr="00F11D73" w:rsidP="00555DE8" w14:paraId="716876DE" w14:textId="461F4B29">
            <w:pPr>
              <w:spacing w:line="259" w:lineRule="auto"/>
              <w:rPr>
                <w:color w:val="000000"/>
                <w:szCs w:val="22"/>
              </w:rPr>
            </w:pPr>
            <w:r w:rsidRPr="00F11D73">
              <w:rPr>
                <w:color w:val="000000"/>
                <w:szCs w:val="22"/>
              </w:rPr>
              <w:t>103°56′40.9″ W</w:t>
            </w:r>
          </w:p>
        </w:tc>
      </w:tr>
    </w:tbl>
    <w:p w:rsidR="00CF2BEA" w:rsidP="00CF2BEA" w14:paraId="1C0E9A89" w14:textId="5F8B7364">
      <w:pPr>
        <w:spacing w:before="60" w:after="120"/>
        <w:ind w:left="1166"/>
      </w:pPr>
      <w:r>
        <w:t xml:space="preserve">Contact: </w:t>
      </w:r>
    </w:p>
    <w:p w:rsidR="00BA3A0C" w:rsidRPr="00BA3A0C" w:rsidP="006A4775" w14:paraId="44C346AC" w14:textId="0D61582E">
      <w:pPr>
        <w:spacing w:before="60" w:after="120"/>
        <w:ind w:left="1166" w:firstLine="274"/>
      </w:pPr>
      <w:r w:rsidRPr="00BA3A0C">
        <w:t xml:space="preserve">• NSF contact: </w:t>
      </w:r>
      <w:hyperlink r:id="rId6" w:history="1">
        <w:r w:rsidRPr="005F0230" w:rsidR="003B33FE">
          <w:rPr>
            <w:rStyle w:val="Hyperlink"/>
          </w:rPr>
          <w:t>esm@nsf.gov</w:t>
        </w:r>
      </w:hyperlink>
    </w:p>
    <w:p w:rsidR="00BA3A0C" w:rsidP="006A4775" w14:paraId="3C63E4A7" w14:textId="605F1C29">
      <w:pPr>
        <w:spacing w:before="60" w:after="120"/>
        <w:ind w:left="1440"/>
      </w:pPr>
      <w:r w:rsidRPr="00BA3A0C">
        <w:t>• NASA POC: Mr. Michael Evans, Frequency Assignment Program</w:t>
      </w:r>
      <w:r w:rsidR="009344E4">
        <w:t xml:space="preserve"> </w:t>
      </w:r>
      <w:r w:rsidRPr="00BA3A0C">
        <w:t>Manager,</w:t>
      </w:r>
      <w:r w:rsidR="00631011">
        <w:t xml:space="preserve"> </w:t>
      </w:r>
      <w:hyperlink r:id="rId5" w:history="1">
        <w:r w:rsidRPr="005F0230" w:rsidR="003B33FE">
          <w:rPr>
            <w:rStyle w:val="Hyperlink"/>
          </w:rPr>
          <w:t>michael.a.evans-1@nasa.gov</w:t>
        </w:r>
      </w:hyperlink>
      <w:r w:rsidR="00E00DAC">
        <w:t>;</w:t>
      </w:r>
    </w:p>
    <w:p w:rsidR="00EF05A1" w:rsidP="00984F0F" w14:paraId="55BD43D4" w14:textId="065B9B9A">
      <w:pPr>
        <w:numPr>
          <w:ilvl w:val="0"/>
          <w:numId w:val="2"/>
        </w:numPr>
        <w:spacing w:before="60" w:after="120"/>
        <w:ind w:left="1166"/>
        <w:rPr>
          <w:color w:val="141414"/>
          <w:szCs w:val="22"/>
        </w:rPr>
      </w:pPr>
      <w:r>
        <w:rPr>
          <w:color w:val="141414"/>
          <w:szCs w:val="22"/>
        </w:rPr>
        <w:t xml:space="preserve">Deployment </w:t>
      </w:r>
      <w:r w:rsidR="00E853DE">
        <w:rPr>
          <w:color w:val="141414"/>
          <w:szCs w:val="22"/>
        </w:rPr>
        <w:t xml:space="preserve">of </w:t>
      </w:r>
      <w:r w:rsidR="00896257">
        <w:rPr>
          <w:color w:val="141414"/>
          <w:szCs w:val="22"/>
        </w:rPr>
        <w:t>commercial</w:t>
      </w:r>
      <w:r w:rsidR="00621BD9">
        <w:rPr>
          <w:color w:val="141414"/>
          <w:szCs w:val="22"/>
        </w:rPr>
        <w:t xml:space="preserve"> charging stations </w:t>
      </w:r>
      <w:r>
        <w:rPr>
          <w:color w:val="141414"/>
          <w:szCs w:val="22"/>
        </w:rPr>
        <w:t>within 20 km of th</w:t>
      </w:r>
      <w:r w:rsidR="00BD709A">
        <w:rPr>
          <w:color w:val="141414"/>
          <w:szCs w:val="22"/>
        </w:rPr>
        <w:t>e RAS Deep Synoptic Array</w:t>
      </w:r>
      <w:r>
        <w:rPr>
          <w:color w:val="141414"/>
          <w:szCs w:val="22"/>
        </w:rPr>
        <w:t xml:space="preserve"> sites listed below require</w:t>
      </w:r>
      <w:r w:rsidR="00FF520E">
        <w:rPr>
          <w:color w:val="141414"/>
          <w:szCs w:val="22"/>
        </w:rPr>
        <w:t>s</w:t>
      </w:r>
      <w:r>
        <w:rPr>
          <w:color w:val="141414"/>
          <w:szCs w:val="22"/>
        </w:rPr>
        <w:t xml:space="preserve"> Tesla to notify N</w:t>
      </w:r>
      <w:r w:rsidR="004509F1">
        <w:rPr>
          <w:color w:val="141414"/>
          <w:szCs w:val="22"/>
        </w:rPr>
        <w:t>SF</w:t>
      </w:r>
      <w:r w:rsidR="00684AC8">
        <w:rPr>
          <w:color w:val="141414"/>
          <w:szCs w:val="22"/>
        </w:rPr>
        <w:t>:</w:t>
      </w:r>
      <w:r>
        <w:rPr>
          <w:rStyle w:val="FootnoteReference"/>
          <w:szCs w:val="22"/>
        </w:rPr>
        <w:footnoteReference w:id="42"/>
      </w:r>
    </w:p>
    <w:tbl>
      <w:tblPr>
        <w:tblStyle w:val="TableGrid"/>
        <w:tblW w:w="7920" w:type="dxa"/>
        <w:tblInd w:w="1440" w:type="dxa"/>
        <w:tblLook w:val="04A0"/>
      </w:tblPr>
      <w:tblGrid>
        <w:gridCol w:w="4050"/>
        <w:gridCol w:w="2023"/>
        <w:gridCol w:w="1847"/>
      </w:tblGrid>
      <w:tr w14:paraId="5B7B80EB" w14:textId="722187FA" w:rsidTr="00F11D73">
        <w:tblPrEx>
          <w:tblW w:w="7920" w:type="dxa"/>
          <w:tblInd w:w="1440" w:type="dxa"/>
          <w:tblLook w:val="04A0"/>
        </w:tblPrEx>
        <w:trPr>
          <w:trHeight w:val="227"/>
        </w:trPr>
        <w:tc>
          <w:tcPr>
            <w:tcW w:w="4050" w:type="dxa"/>
            <w:tcBorders>
              <w:top w:val="nil"/>
              <w:left w:val="nil"/>
              <w:bottom w:val="nil"/>
              <w:right w:val="nil"/>
            </w:tcBorders>
          </w:tcPr>
          <w:p w:rsidR="00622564" w:rsidP="00657C87" w14:paraId="35AB95E0" w14:textId="1CB4078D">
            <w:pPr>
              <w:spacing w:line="259" w:lineRule="auto"/>
            </w:pPr>
            <w:bookmarkStart w:id="6" w:name="_Hlk208579418"/>
            <w:r>
              <w:t>Deep Synoptic Array (DSA-2000) sites</w:t>
            </w:r>
          </w:p>
        </w:tc>
        <w:tc>
          <w:tcPr>
            <w:tcW w:w="2023" w:type="dxa"/>
            <w:tcBorders>
              <w:top w:val="nil"/>
              <w:left w:val="nil"/>
              <w:bottom w:val="nil"/>
              <w:right w:val="nil"/>
            </w:tcBorders>
          </w:tcPr>
          <w:p w:rsidR="00622564" w:rsidP="00657C87" w14:paraId="12A19270" w14:textId="36F01322">
            <w:pPr>
              <w:spacing w:line="259" w:lineRule="auto"/>
            </w:pPr>
          </w:p>
        </w:tc>
        <w:tc>
          <w:tcPr>
            <w:tcW w:w="1847" w:type="dxa"/>
          </w:tcPr>
          <w:p w:rsidR="00622564" w:rsidP="00657C87" w14:paraId="0B6A846D" w14:textId="77777777">
            <w:pPr>
              <w:spacing w:line="259" w:lineRule="auto"/>
            </w:pPr>
          </w:p>
        </w:tc>
      </w:tr>
      <w:bookmarkEnd w:id="6"/>
      <w:tr w14:paraId="21B0AE15" w14:textId="0F98E61A" w:rsidTr="00F11D73">
        <w:tblPrEx>
          <w:tblW w:w="7920" w:type="dxa"/>
          <w:tblInd w:w="1440" w:type="dxa"/>
          <w:tblLook w:val="04A0"/>
        </w:tblPrEx>
        <w:trPr>
          <w:trHeight w:val="227"/>
        </w:trPr>
        <w:tc>
          <w:tcPr>
            <w:tcW w:w="4050" w:type="dxa"/>
            <w:tcBorders>
              <w:top w:val="nil"/>
              <w:left w:val="nil"/>
              <w:bottom w:val="nil"/>
              <w:right w:val="nil"/>
            </w:tcBorders>
          </w:tcPr>
          <w:p w:rsidR="007B16F3" w:rsidP="007B16F3" w14:paraId="4D6F042F" w14:textId="5C9FDF13">
            <w:pPr>
              <w:spacing w:line="259" w:lineRule="auto"/>
            </w:pPr>
            <w:r>
              <w:t>Spring Valley, NV, …………………...</w:t>
            </w:r>
            <w:r w:rsidR="003B41A6">
              <w:t>.....</w:t>
            </w:r>
          </w:p>
        </w:tc>
        <w:tc>
          <w:tcPr>
            <w:tcW w:w="2023" w:type="dxa"/>
            <w:tcBorders>
              <w:top w:val="nil"/>
              <w:left w:val="nil"/>
              <w:bottom w:val="nil"/>
              <w:right w:val="nil"/>
            </w:tcBorders>
            <w:vAlign w:val="bottom"/>
          </w:tcPr>
          <w:p w:rsidR="007B16F3" w:rsidRPr="00302E93" w:rsidP="007B16F3" w14:paraId="37004DAD" w14:textId="338F42C9">
            <w:pPr>
              <w:spacing w:line="259" w:lineRule="auto"/>
            </w:pPr>
            <w:r w:rsidRPr="00832DD2">
              <w:rPr>
                <w:color w:val="000000"/>
                <w:szCs w:val="22"/>
              </w:rPr>
              <w:t>39°33′23.8″ N</w:t>
            </w:r>
          </w:p>
        </w:tc>
        <w:tc>
          <w:tcPr>
            <w:tcW w:w="1847" w:type="dxa"/>
            <w:vAlign w:val="bottom"/>
          </w:tcPr>
          <w:p w:rsidR="007B16F3" w:rsidRPr="00302E93" w:rsidP="007B16F3" w14:paraId="77C01B9B" w14:textId="2C97AF8D">
            <w:pPr>
              <w:spacing w:line="259" w:lineRule="auto"/>
            </w:pPr>
            <w:r w:rsidRPr="00832DD2">
              <w:rPr>
                <w:color w:val="000000"/>
                <w:szCs w:val="22"/>
              </w:rPr>
              <w:t>114°25′44.4″ W</w:t>
            </w:r>
          </w:p>
        </w:tc>
      </w:tr>
      <w:tr w14:paraId="4627BC3A" w14:textId="7DD9EF76" w:rsidTr="00F11D73">
        <w:tblPrEx>
          <w:tblW w:w="7920" w:type="dxa"/>
          <w:tblInd w:w="1440" w:type="dxa"/>
          <w:tblLook w:val="04A0"/>
        </w:tblPrEx>
        <w:trPr>
          <w:trHeight w:val="253"/>
        </w:trPr>
        <w:tc>
          <w:tcPr>
            <w:tcW w:w="4050" w:type="dxa"/>
            <w:tcBorders>
              <w:top w:val="nil"/>
              <w:left w:val="nil"/>
              <w:bottom w:val="nil"/>
              <w:right w:val="nil"/>
            </w:tcBorders>
          </w:tcPr>
          <w:p w:rsidR="007B16F3" w:rsidP="007B16F3" w14:paraId="2C0D93FC" w14:textId="2CD234CF">
            <w:pPr>
              <w:spacing w:line="259" w:lineRule="auto"/>
            </w:pPr>
            <w:r>
              <w:t>Hot Creek Valley, NV ……………………</w:t>
            </w:r>
          </w:p>
        </w:tc>
        <w:tc>
          <w:tcPr>
            <w:tcW w:w="2023" w:type="dxa"/>
            <w:tcBorders>
              <w:top w:val="nil"/>
              <w:left w:val="nil"/>
              <w:bottom w:val="nil"/>
              <w:right w:val="nil"/>
            </w:tcBorders>
            <w:vAlign w:val="bottom"/>
          </w:tcPr>
          <w:p w:rsidR="007B16F3" w:rsidRPr="00302E93" w:rsidP="007B16F3" w14:paraId="1FF2F182" w14:textId="717AC847">
            <w:pPr>
              <w:spacing w:line="259" w:lineRule="auto"/>
            </w:pPr>
            <w:r w:rsidRPr="00832DD2">
              <w:rPr>
                <w:color w:val="000000"/>
                <w:szCs w:val="22"/>
              </w:rPr>
              <w:t>38°28′6.2″ N</w:t>
            </w:r>
          </w:p>
        </w:tc>
        <w:tc>
          <w:tcPr>
            <w:tcW w:w="1847" w:type="dxa"/>
            <w:vAlign w:val="bottom"/>
          </w:tcPr>
          <w:p w:rsidR="007B16F3" w:rsidRPr="00302E93" w:rsidP="007B16F3" w14:paraId="2CC46A8B" w14:textId="3E9BF9D5">
            <w:pPr>
              <w:spacing w:line="259" w:lineRule="auto"/>
            </w:pPr>
            <w:r w:rsidRPr="00832DD2">
              <w:rPr>
                <w:color w:val="000000"/>
                <w:szCs w:val="22"/>
              </w:rPr>
              <w:t>116°15′37.4″ W</w:t>
            </w:r>
          </w:p>
        </w:tc>
      </w:tr>
      <w:tr w14:paraId="7C0AB788" w14:textId="2B23E02D" w:rsidTr="00F11D73">
        <w:tblPrEx>
          <w:tblW w:w="7920" w:type="dxa"/>
          <w:tblInd w:w="1440" w:type="dxa"/>
          <w:tblLook w:val="04A0"/>
        </w:tblPrEx>
        <w:trPr>
          <w:trHeight w:val="253"/>
        </w:trPr>
        <w:tc>
          <w:tcPr>
            <w:tcW w:w="4050" w:type="dxa"/>
            <w:tcBorders>
              <w:top w:val="nil"/>
              <w:left w:val="nil"/>
              <w:bottom w:val="nil"/>
              <w:right w:val="nil"/>
            </w:tcBorders>
          </w:tcPr>
          <w:p w:rsidR="007B16F3" w:rsidP="007B16F3" w14:paraId="7D6CD927" w14:textId="5AA122C0">
            <w:pPr>
              <w:spacing w:line="259" w:lineRule="auto"/>
            </w:pPr>
            <w:r>
              <w:t>Big Smoky Valley, NV ...…….....</w:t>
            </w:r>
            <w:r w:rsidR="003B41A6">
              <w:t>.............</w:t>
            </w:r>
            <w:r>
              <w:t>.</w:t>
            </w:r>
          </w:p>
        </w:tc>
        <w:tc>
          <w:tcPr>
            <w:tcW w:w="2023" w:type="dxa"/>
            <w:tcBorders>
              <w:top w:val="nil"/>
              <w:left w:val="nil"/>
              <w:bottom w:val="nil"/>
              <w:right w:val="nil"/>
            </w:tcBorders>
            <w:vAlign w:val="bottom"/>
          </w:tcPr>
          <w:p w:rsidR="007B16F3" w:rsidRPr="00302E93" w:rsidP="007B16F3" w14:paraId="53D3B670" w14:textId="1872217C">
            <w:pPr>
              <w:spacing w:line="259" w:lineRule="auto"/>
            </w:pPr>
            <w:r w:rsidRPr="00832DD2">
              <w:rPr>
                <w:color w:val="000000"/>
                <w:szCs w:val="22"/>
              </w:rPr>
              <w:t>38°59′33.0″ N</w:t>
            </w:r>
          </w:p>
        </w:tc>
        <w:tc>
          <w:tcPr>
            <w:tcW w:w="1847" w:type="dxa"/>
            <w:vAlign w:val="bottom"/>
          </w:tcPr>
          <w:p w:rsidR="007B16F3" w:rsidRPr="00302E93" w:rsidP="007B16F3" w14:paraId="1A5BE3BC" w14:textId="2D978021">
            <w:pPr>
              <w:spacing w:line="259" w:lineRule="auto"/>
            </w:pPr>
            <w:r w:rsidRPr="00832DD2">
              <w:rPr>
                <w:color w:val="000000"/>
                <w:szCs w:val="22"/>
              </w:rPr>
              <w:t>117°3′54.7″ W</w:t>
            </w:r>
          </w:p>
        </w:tc>
      </w:tr>
      <w:tr w14:paraId="20519DA6" w14:textId="7F0D0D2E" w:rsidTr="00F11D73">
        <w:tblPrEx>
          <w:tblW w:w="7920" w:type="dxa"/>
          <w:tblInd w:w="1440" w:type="dxa"/>
          <w:tblLook w:val="04A0"/>
        </w:tblPrEx>
        <w:trPr>
          <w:trHeight w:val="253"/>
        </w:trPr>
        <w:tc>
          <w:tcPr>
            <w:tcW w:w="4050" w:type="dxa"/>
            <w:tcBorders>
              <w:top w:val="nil"/>
              <w:left w:val="nil"/>
              <w:bottom w:val="nil"/>
              <w:right w:val="nil"/>
            </w:tcBorders>
          </w:tcPr>
          <w:p w:rsidR="007B16F3" w:rsidP="007B16F3" w14:paraId="422FDC3C" w14:textId="308376F6">
            <w:pPr>
              <w:spacing w:line="259" w:lineRule="auto"/>
            </w:pPr>
            <w:r>
              <w:t>Burbank, NV…...…………………………</w:t>
            </w:r>
          </w:p>
        </w:tc>
        <w:tc>
          <w:tcPr>
            <w:tcW w:w="2023" w:type="dxa"/>
            <w:tcBorders>
              <w:top w:val="nil"/>
              <w:left w:val="nil"/>
              <w:bottom w:val="nil"/>
              <w:right w:val="nil"/>
            </w:tcBorders>
            <w:vAlign w:val="bottom"/>
          </w:tcPr>
          <w:p w:rsidR="007B16F3" w:rsidRPr="00302E93" w:rsidP="007B16F3" w14:paraId="4120BF24" w14:textId="763907EB">
            <w:pPr>
              <w:spacing w:line="259" w:lineRule="auto"/>
            </w:pPr>
            <w:r w:rsidRPr="00832DD2">
              <w:rPr>
                <w:color w:val="000000"/>
                <w:szCs w:val="22"/>
              </w:rPr>
              <w:t>38°34′45.5″ N</w:t>
            </w:r>
          </w:p>
        </w:tc>
        <w:tc>
          <w:tcPr>
            <w:tcW w:w="1847" w:type="dxa"/>
            <w:vAlign w:val="bottom"/>
          </w:tcPr>
          <w:p w:rsidR="007B16F3" w:rsidRPr="00302E93" w:rsidP="007B16F3" w14:paraId="32BF923A" w14:textId="6846659E">
            <w:pPr>
              <w:spacing w:line="259" w:lineRule="auto"/>
            </w:pPr>
            <w:r w:rsidRPr="00832DD2">
              <w:rPr>
                <w:color w:val="000000"/>
                <w:szCs w:val="22"/>
              </w:rPr>
              <w:t>114°8′34.1″ W</w:t>
            </w:r>
          </w:p>
        </w:tc>
      </w:tr>
      <w:tr w14:paraId="7AF821A1" w14:textId="12EDAB95" w:rsidTr="00F11D73">
        <w:tblPrEx>
          <w:tblW w:w="7920" w:type="dxa"/>
          <w:tblInd w:w="1440" w:type="dxa"/>
          <w:tblLook w:val="04A0"/>
        </w:tblPrEx>
        <w:trPr>
          <w:trHeight w:val="253"/>
        </w:trPr>
        <w:tc>
          <w:tcPr>
            <w:tcW w:w="4050" w:type="dxa"/>
            <w:tcBorders>
              <w:top w:val="nil"/>
              <w:left w:val="nil"/>
              <w:bottom w:val="nil"/>
              <w:right w:val="nil"/>
            </w:tcBorders>
          </w:tcPr>
          <w:p w:rsidR="007B16F3" w:rsidP="007B16F3" w14:paraId="7619AD69" w14:textId="3F58B4F9">
            <w:pPr>
              <w:spacing w:line="259" w:lineRule="auto"/>
            </w:pPr>
            <w:r>
              <w:t>Rock House, NV ………………………….</w:t>
            </w:r>
          </w:p>
        </w:tc>
        <w:tc>
          <w:tcPr>
            <w:tcW w:w="2023" w:type="dxa"/>
            <w:tcBorders>
              <w:top w:val="nil"/>
              <w:left w:val="nil"/>
              <w:bottom w:val="nil"/>
              <w:right w:val="nil"/>
            </w:tcBorders>
            <w:vAlign w:val="bottom"/>
          </w:tcPr>
          <w:p w:rsidR="007B16F3" w:rsidRPr="00302E93" w:rsidP="007B16F3" w14:paraId="521E999E" w14:textId="72073D15">
            <w:pPr>
              <w:spacing w:line="259" w:lineRule="auto"/>
            </w:pPr>
            <w:r w:rsidRPr="00832DD2">
              <w:rPr>
                <w:color w:val="000000"/>
                <w:szCs w:val="22"/>
              </w:rPr>
              <w:t>40°26′8.2″ N</w:t>
            </w:r>
          </w:p>
        </w:tc>
        <w:tc>
          <w:tcPr>
            <w:tcW w:w="1847" w:type="dxa"/>
            <w:vAlign w:val="bottom"/>
          </w:tcPr>
          <w:p w:rsidR="007B16F3" w:rsidRPr="00302E93" w:rsidP="007B16F3" w14:paraId="42DC331E" w14:textId="3D97468F">
            <w:pPr>
              <w:spacing w:line="259" w:lineRule="auto"/>
            </w:pPr>
            <w:r w:rsidRPr="00832DD2">
              <w:rPr>
                <w:color w:val="000000"/>
                <w:szCs w:val="22"/>
              </w:rPr>
              <w:t>115°11′7.1″ W</w:t>
            </w:r>
          </w:p>
        </w:tc>
      </w:tr>
      <w:tr w14:paraId="22D8BF22" w14:textId="5F2C667D" w:rsidTr="00F11D73">
        <w:tblPrEx>
          <w:tblW w:w="7920" w:type="dxa"/>
          <w:tblInd w:w="1440" w:type="dxa"/>
          <w:tblLook w:val="04A0"/>
        </w:tblPrEx>
        <w:trPr>
          <w:trHeight w:val="253"/>
        </w:trPr>
        <w:tc>
          <w:tcPr>
            <w:tcW w:w="4050" w:type="dxa"/>
            <w:tcBorders>
              <w:top w:val="nil"/>
              <w:left w:val="nil"/>
              <w:bottom w:val="nil"/>
              <w:right w:val="nil"/>
            </w:tcBorders>
          </w:tcPr>
          <w:p w:rsidR="007B16F3" w:rsidP="007B16F3" w14:paraId="1C2F1886" w14:textId="4936CE36">
            <w:pPr>
              <w:spacing w:line="259" w:lineRule="auto"/>
            </w:pPr>
            <w:r>
              <w:t xml:space="preserve">Dolly Warden North, NV………………… </w:t>
            </w:r>
          </w:p>
        </w:tc>
        <w:tc>
          <w:tcPr>
            <w:tcW w:w="2023" w:type="dxa"/>
            <w:tcBorders>
              <w:top w:val="nil"/>
              <w:left w:val="nil"/>
              <w:bottom w:val="nil"/>
              <w:right w:val="nil"/>
            </w:tcBorders>
            <w:vAlign w:val="bottom"/>
          </w:tcPr>
          <w:p w:rsidR="007B16F3" w:rsidRPr="00302E93" w:rsidP="007B16F3" w14:paraId="55CC8A0C" w14:textId="58996230">
            <w:pPr>
              <w:spacing w:line="259" w:lineRule="auto"/>
            </w:pPr>
            <w:r w:rsidRPr="00832DD2">
              <w:rPr>
                <w:color w:val="000000"/>
                <w:szCs w:val="22"/>
              </w:rPr>
              <w:t>40°40′41.5″ N</w:t>
            </w:r>
          </w:p>
        </w:tc>
        <w:tc>
          <w:tcPr>
            <w:tcW w:w="1847" w:type="dxa"/>
            <w:vAlign w:val="bottom"/>
          </w:tcPr>
          <w:p w:rsidR="007B16F3" w:rsidRPr="00302E93" w:rsidP="007B16F3" w14:paraId="4564AEDD" w14:textId="6147A4D5">
            <w:pPr>
              <w:spacing w:line="259" w:lineRule="auto"/>
            </w:pPr>
            <w:r w:rsidRPr="00832DD2">
              <w:rPr>
                <w:color w:val="000000"/>
                <w:szCs w:val="22"/>
              </w:rPr>
              <w:t>114°26′15.4″ W</w:t>
            </w:r>
          </w:p>
        </w:tc>
      </w:tr>
      <w:tr w14:paraId="37C81410" w14:textId="5DA2FB47" w:rsidTr="00F11D73">
        <w:tblPrEx>
          <w:tblW w:w="7920" w:type="dxa"/>
          <w:tblInd w:w="1440" w:type="dxa"/>
          <w:tblLook w:val="04A0"/>
        </w:tblPrEx>
        <w:trPr>
          <w:trHeight w:val="253"/>
        </w:trPr>
        <w:tc>
          <w:tcPr>
            <w:tcW w:w="4050" w:type="dxa"/>
            <w:tcBorders>
              <w:top w:val="nil"/>
              <w:left w:val="nil"/>
              <w:bottom w:val="nil"/>
              <w:right w:val="nil"/>
            </w:tcBorders>
          </w:tcPr>
          <w:p w:rsidR="007B16F3" w:rsidP="007B16F3" w14:paraId="70294DD8" w14:textId="27F2FB08">
            <w:pPr>
              <w:spacing w:line="259" w:lineRule="auto"/>
            </w:pPr>
            <w:r>
              <w:t>Pine Valley, NV…………………………...</w:t>
            </w:r>
          </w:p>
        </w:tc>
        <w:tc>
          <w:tcPr>
            <w:tcW w:w="2023" w:type="dxa"/>
            <w:tcBorders>
              <w:top w:val="nil"/>
              <w:left w:val="nil"/>
              <w:bottom w:val="nil"/>
              <w:right w:val="nil"/>
            </w:tcBorders>
            <w:vAlign w:val="bottom"/>
          </w:tcPr>
          <w:p w:rsidR="007B16F3" w:rsidRPr="00302E93" w:rsidP="007B16F3" w14:paraId="7B9C5725" w14:textId="3E230BB1">
            <w:pPr>
              <w:spacing w:line="259" w:lineRule="auto"/>
            </w:pPr>
            <w:r w:rsidRPr="00832DD2">
              <w:rPr>
                <w:color w:val="000000"/>
                <w:szCs w:val="22"/>
              </w:rPr>
              <w:t>38°26′46.0″ N</w:t>
            </w:r>
          </w:p>
        </w:tc>
        <w:tc>
          <w:tcPr>
            <w:tcW w:w="1847" w:type="dxa"/>
            <w:vAlign w:val="bottom"/>
          </w:tcPr>
          <w:p w:rsidR="007B16F3" w:rsidRPr="00302E93" w:rsidP="007B16F3" w14:paraId="508EBC37" w14:textId="1FB2B5A5">
            <w:pPr>
              <w:spacing w:line="259" w:lineRule="auto"/>
            </w:pPr>
            <w:r w:rsidRPr="00832DD2">
              <w:rPr>
                <w:color w:val="000000"/>
                <w:szCs w:val="22"/>
              </w:rPr>
              <w:t>113°43′49.4″ W</w:t>
            </w:r>
          </w:p>
        </w:tc>
      </w:tr>
    </w:tbl>
    <w:p w:rsidR="00BD709A" w:rsidP="00BD709A" w14:paraId="3ABEACFD" w14:textId="0DC95602">
      <w:pPr>
        <w:spacing w:before="60" w:after="120"/>
        <w:ind w:left="1166"/>
      </w:pPr>
      <w:r>
        <w:t>Contact:</w:t>
      </w:r>
      <w:r w:rsidR="003C675B">
        <w:t xml:space="preserve"> </w:t>
      </w:r>
      <w:hyperlink r:id="rId6" w:history="1">
        <w:r w:rsidRPr="005F0230" w:rsidR="005076FB">
          <w:rPr>
            <w:rStyle w:val="Hyperlink"/>
          </w:rPr>
          <w:t>esm@nsf.gov</w:t>
        </w:r>
      </w:hyperlink>
      <w:r w:rsidR="005F584A">
        <w:t>;</w:t>
      </w:r>
    </w:p>
    <w:p w:rsidR="00EF05A1" w:rsidP="00984F0F" w14:paraId="12351580" w14:textId="3D0F7A99">
      <w:pPr>
        <w:numPr>
          <w:ilvl w:val="0"/>
          <w:numId w:val="2"/>
        </w:numPr>
        <w:spacing w:before="60" w:after="120"/>
        <w:ind w:left="1166"/>
        <w:rPr>
          <w:color w:val="141414"/>
          <w:szCs w:val="22"/>
        </w:rPr>
      </w:pPr>
      <w:r>
        <w:rPr>
          <w:color w:val="141414"/>
          <w:szCs w:val="22"/>
        </w:rPr>
        <w:t xml:space="preserve">Deployment </w:t>
      </w:r>
      <w:r w:rsidR="00E853DE">
        <w:rPr>
          <w:color w:val="141414"/>
          <w:szCs w:val="22"/>
        </w:rPr>
        <w:t xml:space="preserve">of </w:t>
      </w:r>
      <w:r w:rsidR="003115B1">
        <w:rPr>
          <w:color w:val="141414"/>
          <w:szCs w:val="22"/>
        </w:rPr>
        <w:t>commercial</w:t>
      </w:r>
      <w:r w:rsidR="00621BD9">
        <w:rPr>
          <w:color w:val="141414"/>
          <w:szCs w:val="22"/>
        </w:rPr>
        <w:t xml:space="preserve"> charging stations </w:t>
      </w:r>
      <w:r>
        <w:rPr>
          <w:color w:val="141414"/>
          <w:szCs w:val="22"/>
        </w:rPr>
        <w:t xml:space="preserve">within 30 km of the </w:t>
      </w:r>
      <w:r w:rsidR="00332F9B">
        <w:rPr>
          <w:color w:val="141414"/>
          <w:szCs w:val="22"/>
        </w:rPr>
        <w:t xml:space="preserve">Very Large Array / Next Generation Very Large Array </w:t>
      </w:r>
      <w:r>
        <w:rPr>
          <w:color w:val="141414"/>
          <w:szCs w:val="22"/>
        </w:rPr>
        <w:t>site listed below require</w:t>
      </w:r>
      <w:r w:rsidR="00AC43E6">
        <w:rPr>
          <w:color w:val="141414"/>
          <w:szCs w:val="22"/>
        </w:rPr>
        <w:t>s</w:t>
      </w:r>
      <w:r>
        <w:rPr>
          <w:color w:val="141414"/>
          <w:szCs w:val="22"/>
        </w:rPr>
        <w:t xml:space="preserve"> Tesla to notify N</w:t>
      </w:r>
      <w:r w:rsidR="004509F1">
        <w:rPr>
          <w:color w:val="141414"/>
          <w:szCs w:val="22"/>
        </w:rPr>
        <w:t>SF</w:t>
      </w:r>
      <w:r w:rsidR="00684AC8">
        <w:rPr>
          <w:color w:val="141414"/>
          <w:szCs w:val="22"/>
        </w:rPr>
        <w:t>:</w:t>
      </w:r>
      <w:r>
        <w:rPr>
          <w:rStyle w:val="FootnoteReference"/>
          <w:szCs w:val="22"/>
        </w:rPr>
        <w:footnoteReference w:id="43"/>
      </w:r>
    </w:p>
    <w:tbl>
      <w:tblPr>
        <w:tblStyle w:val="TableGrid"/>
        <w:tblW w:w="7920" w:type="dxa"/>
        <w:tblInd w:w="1440" w:type="dxa"/>
        <w:tblLook w:val="04A0"/>
      </w:tblPr>
      <w:tblGrid>
        <w:gridCol w:w="4050"/>
        <w:gridCol w:w="2023"/>
        <w:gridCol w:w="1847"/>
      </w:tblGrid>
      <w:tr w14:paraId="17863004" w14:textId="77777777" w:rsidTr="002A0923">
        <w:tblPrEx>
          <w:tblW w:w="7920" w:type="dxa"/>
          <w:tblInd w:w="1440" w:type="dxa"/>
          <w:tblLook w:val="04A0"/>
        </w:tblPrEx>
        <w:trPr>
          <w:trHeight w:val="253"/>
        </w:trPr>
        <w:tc>
          <w:tcPr>
            <w:tcW w:w="4050" w:type="dxa"/>
            <w:tcBorders>
              <w:top w:val="nil"/>
              <w:left w:val="nil"/>
              <w:bottom w:val="nil"/>
              <w:right w:val="nil"/>
            </w:tcBorders>
          </w:tcPr>
          <w:p w:rsidR="002A0923" w:rsidP="00AF5E48" w14:paraId="36F72176" w14:textId="1CA29412">
            <w:pPr>
              <w:spacing w:line="259" w:lineRule="auto"/>
            </w:pPr>
            <w:r>
              <w:t xml:space="preserve">VLA / </w:t>
            </w:r>
            <w:r>
              <w:t>ngVLA</w:t>
            </w:r>
            <w:r>
              <w:t>, NM</w:t>
            </w:r>
            <w:r>
              <w:t>………………………...</w:t>
            </w:r>
          </w:p>
        </w:tc>
        <w:tc>
          <w:tcPr>
            <w:tcW w:w="2023" w:type="dxa"/>
            <w:tcBorders>
              <w:top w:val="nil"/>
              <w:left w:val="nil"/>
              <w:bottom w:val="nil"/>
              <w:right w:val="nil"/>
            </w:tcBorders>
            <w:vAlign w:val="bottom"/>
          </w:tcPr>
          <w:p w:rsidR="002A0923" w:rsidRPr="00302E93" w:rsidP="00AF5E48" w14:paraId="41CB78AB" w14:textId="5C69772A">
            <w:pPr>
              <w:spacing w:line="259" w:lineRule="auto"/>
            </w:pPr>
            <w:r w:rsidRPr="00632910">
              <w:t>34° 04' 44"</w:t>
            </w:r>
            <w:r>
              <w:t xml:space="preserve"> N</w:t>
            </w:r>
          </w:p>
        </w:tc>
        <w:tc>
          <w:tcPr>
            <w:tcW w:w="1847" w:type="dxa"/>
            <w:vAlign w:val="bottom"/>
          </w:tcPr>
          <w:p w:rsidR="002A0923" w:rsidRPr="00302E93" w:rsidP="00AF5E48" w14:paraId="35E118EE" w14:textId="7E1944EB">
            <w:pPr>
              <w:spacing w:line="259" w:lineRule="auto"/>
            </w:pPr>
            <w:r w:rsidRPr="00AE7426">
              <w:t>107° 37' 06"</w:t>
            </w:r>
            <w:r>
              <w:t xml:space="preserve"> W</w:t>
            </w:r>
          </w:p>
        </w:tc>
      </w:tr>
    </w:tbl>
    <w:p w:rsidR="00BD709A" w:rsidP="00BD709A" w14:paraId="0EE89426" w14:textId="01400176">
      <w:pPr>
        <w:spacing w:before="60" w:after="120"/>
        <w:ind w:left="1166"/>
      </w:pPr>
      <w:r>
        <w:t>Contact</w:t>
      </w:r>
      <w:r w:rsidR="00744820">
        <w:t xml:space="preserve"> NM Zone Regulatory Services (</w:t>
      </w:r>
      <w:hyperlink r:id="rId7" w:history="1">
        <w:r w:rsidRPr="005F0230" w:rsidR="00744820">
          <w:rPr>
            <w:rStyle w:val="Hyperlink"/>
          </w:rPr>
          <w:t>nmrdz@nrao.edu</w:t>
        </w:r>
      </w:hyperlink>
      <w:r w:rsidR="00744820">
        <w:t>; please cc</w:t>
      </w:r>
      <w:r w:rsidR="00D25170">
        <w:t>:</w:t>
      </w:r>
      <w:r w:rsidR="00687ED8">
        <w:t xml:space="preserve"> </w:t>
      </w:r>
      <w:hyperlink r:id="rId6" w:history="1">
        <w:r w:rsidRPr="005F0230" w:rsidR="003B33FE">
          <w:rPr>
            <w:rStyle w:val="Hyperlink"/>
          </w:rPr>
          <w:t>esm@nsf.gov</w:t>
        </w:r>
      </w:hyperlink>
      <w:r w:rsidR="00744820">
        <w:t>)</w:t>
      </w:r>
      <w:r w:rsidR="005F584A">
        <w:t>;</w:t>
      </w:r>
    </w:p>
    <w:p w:rsidR="007363D7" w:rsidRPr="008B02C1" w:rsidP="008B02C1" w14:paraId="6030055B" w14:textId="75658738">
      <w:pPr>
        <w:numPr>
          <w:ilvl w:val="0"/>
          <w:numId w:val="2"/>
        </w:numPr>
        <w:spacing w:before="60" w:after="120"/>
        <w:ind w:left="1166"/>
        <w:rPr>
          <w:color w:val="141414"/>
          <w:szCs w:val="22"/>
        </w:rPr>
      </w:pPr>
      <w:r w:rsidRPr="00A058F6">
        <w:rPr>
          <w:rFonts w:eastAsia="Aptos"/>
          <w:snapToGrid/>
          <w:kern w:val="2"/>
          <w:szCs w:val="22"/>
          <w14:ligatures w14:val="standardContextual"/>
        </w:rPr>
        <w:t>National Radio Quiet Zone</w:t>
      </w:r>
      <w:r w:rsidR="00D96720">
        <w:rPr>
          <w:rFonts w:eastAsia="Aptos"/>
          <w:snapToGrid/>
          <w:kern w:val="2"/>
          <w:szCs w:val="22"/>
          <w14:ligatures w14:val="standardContextual"/>
        </w:rPr>
        <w:t xml:space="preserve"> </w:t>
      </w:r>
      <w:r w:rsidR="00786A97">
        <w:rPr>
          <w:rFonts w:eastAsia="Aptos"/>
          <w:snapToGrid/>
          <w:kern w:val="2"/>
          <w:szCs w:val="22"/>
          <w14:ligatures w14:val="standardContextual"/>
        </w:rPr>
        <w:t>(</w:t>
      </w:r>
      <w:r w:rsidR="00D96720">
        <w:rPr>
          <w:rFonts w:eastAsia="Aptos"/>
          <w:snapToGrid/>
          <w:kern w:val="2"/>
          <w:szCs w:val="22"/>
          <w14:ligatures w14:val="standardContextual"/>
        </w:rPr>
        <w:t>NRQZ</w:t>
      </w:r>
      <w:r w:rsidR="00786A97">
        <w:rPr>
          <w:rFonts w:eastAsia="Aptos"/>
          <w:snapToGrid/>
          <w:kern w:val="2"/>
          <w:szCs w:val="22"/>
          <w14:ligatures w14:val="standardContextual"/>
        </w:rPr>
        <w:t>)</w:t>
      </w:r>
      <w:r w:rsidRPr="00A058F6">
        <w:rPr>
          <w:rFonts w:eastAsia="Aptos"/>
          <w:snapToGrid/>
          <w:kern w:val="2"/>
          <w:szCs w:val="22"/>
          <w14:ligatures w14:val="standardContextual"/>
        </w:rPr>
        <w:t xml:space="preserve">: Coordination </w:t>
      </w:r>
      <w:r w:rsidR="00160B15">
        <w:rPr>
          <w:rFonts w:eastAsia="Aptos"/>
          <w:snapToGrid/>
          <w:kern w:val="2"/>
          <w:szCs w:val="22"/>
          <w14:ligatures w14:val="standardContextual"/>
        </w:rPr>
        <w:t>of commercial outdoor charging stations operati</w:t>
      </w:r>
      <w:r w:rsidR="00B0635E">
        <w:rPr>
          <w:rFonts w:eastAsia="Aptos"/>
          <w:snapToGrid/>
          <w:kern w:val="2"/>
          <w:szCs w:val="22"/>
          <w14:ligatures w14:val="standardContextual"/>
        </w:rPr>
        <w:t>ng</w:t>
      </w:r>
      <w:r w:rsidR="00160B15">
        <w:rPr>
          <w:rFonts w:eastAsia="Aptos"/>
          <w:snapToGrid/>
          <w:kern w:val="2"/>
          <w:szCs w:val="22"/>
          <w14:ligatures w14:val="standardContextual"/>
        </w:rPr>
        <w:t xml:space="preserve"> </w:t>
      </w:r>
      <w:r w:rsidR="00120D9B">
        <w:rPr>
          <w:rFonts w:eastAsia="Aptos"/>
          <w:snapToGrid/>
          <w:kern w:val="2"/>
          <w:szCs w:val="22"/>
          <w14:ligatures w14:val="standardContextual"/>
        </w:rPr>
        <w:t>under this waiver is required for any operation</w:t>
      </w:r>
      <w:r w:rsidR="003838C1">
        <w:rPr>
          <w:rFonts w:eastAsia="Aptos"/>
          <w:snapToGrid/>
          <w:kern w:val="2"/>
          <w:szCs w:val="22"/>
          <w14:ligatures w14:val="standardContextual"/>
        </w:rPr>
        <w:t>s</w:t>
      </w:r>
      <w:r w:rsidR="00120D9B">
        <w:rPr>
          <w:rFonts w:eastAsia="Aptos"/>
          <w:snapToGrid/>
          <w:kern w:val="2"/>
          <w:szCs w:val="22"/>
          <w14:ligatures w14:val="standardContextual"/>
        </w:rPr>
        <w:t xml:space="preserve"> </w:t>
      </w:r>
      <w:r w:rsidR="00855DAB">
        <w:rPr>
          <w:rFonts w:eastAsia="Aptos"/>
          <w:snapToGrid/>
          <w:kern w:val="2"/>
          <w:szCs w:val="22"/>
          <w14:ligatures w14:val="standardContextual"/>
        </w:rPr>
        <w:t xml:space="preserve">within </w:t>
      </w:r>
      <w:r w:rsidRPr="00A058F6">
        <w:rPr>
          <w:rFonts w:eastAsia="Aptos"/>
          <w:snapToGrid/>
          <w:kern w:val="2"/>
          <w:szCs w:val="22"/>
          <w14:ligatures w14:val="standardContextual"/>
        </w:rPr>
        <w:t>the NRQZ</w:t>
      </w:r>
      <w:r w:rsidR="00316A03">
        <w:rPr>
          <w:rFonts w:eastAsia="Aptos"/>
          <w:snapToGrid/>
          <w:kern w:val="2"/>
          <w:szCs w:val="22"/>
          <w14:ligatures w14:val="standardContextual"/>
        </w:rPr>
        <w:t>.</w:t>
      </w:r>
      <w:r w:rsidR="00BA2E29">
        <w:rPr>
          <w:rFonts w:eastAsia="Aptos"/>
          <w:snapToGrid/>
          <w:kern w:val="2"/>
          <w:szCs w:val="22"/>
          <w14:ligatures w14:val="standardContextual"/>
        </w:rPr>
        <w:t xml:space="preserve">  The NRQZ consists of a rectang</w:t>
      </w:r>
      <w:r w:rsidR="00A04CA1">
        <w:rPr>
          <w:rFonts w:eastAsia="Aptos"/>
          <w:snapToGrid/>
          <w:kern w:val="2"/>
          <w:szCs w:val="22"/>
          <w14:ligatures w14:val="standardContextual"/>
        </w:rPr>
        <w:t xml:space="preserve">le between </w:t>
      </w:r>
      <w:r w:rsidR="00B712AC">
        <w:rPr>
          <w:rFonts w:eastAsia="Aptos"/>
          <w:snapToGrid/>
          <w:kern w:val="2"/>
          <w:szCs w:val="22"/>
          <w14:ligatures w14:val="standardContextual"/>
        </w:rPr>
        <w:t>latitudes</w:t>
      </w:r>
      <w:r w:rsidRPr="00A058F6">
        <w:rPr>
          <w:rFonts w:eastAsia="Aptos"/>
          <w:snapToGrid/>
          <w:kern w:val="2"/>
          <w:szCs w:val="22"/>
          <w14:ligatures w14:val="standardContextual"/>
        </w:rPr>
        <w:t xml:space="preserve"> 37° 30'</w:t>
      </w:r>
      <w:r w:rsidR="00974CB2">
        <w:rPr>
          <w:rFonts w:eastAsia="Aptos"/>
          <w:snapToGrid/>
          <w:kern w:val="2"/>
          <w:szCs w:val="22"/>
          <w14:ligatures w14:val="standardContextual"/>
        </w:rPr>
        <w:t>0.4”</w:t>
      </w:r>
      <w:r w:rsidRPr="001F7F1D">
        <w:rPr>
          <w:rFonts w:eastAsia="Aptos"/>
          <w:snapToGrid/>
          <w:kern w:val="2"/>
          <w:szCs w:val="22"/>
          <w14:ligatures w14:val="standardContextual"/>
        </w:rPr>
        <w:t xml:space="preserve"> N and 39° 15'</w:t>
      </w:r>
      <w:r w:rsidR="00A62922">
        <w:rPr>
          <w:rFonts w:eastAsia="Aptos"/>
          <w:snapToGrid/>
          <w:kern w:val="2"/>
          <w:szCs w:val="22"/>
          <w14:ligatures w14:val="standardContextual"/>
        </w:rPr>
        <w:t>0.4”</w:t>
      </w:r>
      <w:r w:rsidRPr="001F7F1D">
        <w:rPr>
          <w:rFonts w:eastAsia="Aptos"/>
          <w:snapToGrid/>
          <w:kern w:val="2"/>
          <w:szCs w:val="22"/>
          <w14:ligatures w14:val="standardContextual"/>
        </w:rPr>
        <w:t xml:space="preserve"> N and between longitudes 78° </w:t>
      </w:r>
      <w:r w:rsidR="003065AC">
        <w:rPr>
          <w:rFonts w:eastAsia="Aptos"/>
          <w:snapToGrid/>
          <w:kern w:val="2"/>
          <w:szCs w:val="22"/>
          <w14:ligatures w14:val="standardContextual"/>
        </w:rPr>
        <w:t>2</w:t>
      </w:r>
      <w:r w:rsidR="009255D9">
        <w:rPr>
          <w:rFonts w:eastAsia="Aptos"/>
          <w:snapToGrid/>
          <w:kern w:val="2"/>
          <w:szCs w:val="22"/>
          <w14:ligatures w14:val="standardContextual"/>
        </w:rPr>
        <w:t>9</w:t>
      </w:r>
      <w:r w:rsidRPr="001F7F1D">
        <w:rPr>
          <w:rFonts w:eastAsia="Aptos"/>
          <w:snapToGrid/>
          <w:kern w:val="2"/>
          <w:szCs w:val="22"/>
          <w14:ligatures w14:val="standardContextual"/>
        </w:rPr>
        <w:t>'</w:t>
      </w:r>
      <w:r w:rsidR="009255D9">
        <w:rPr>
          <w:rFonts w:eastAsia="Aptos"/>
          <w:snapToGrid/>
          <w:kern w:val="2"/>
          <w:szCs w:val="22"/>
          <w14:ligatures w14:val="standardContextual"/>
        </w:rPr>
        <w:t>59.0”</w:t>
      </w:r>
      <w:r w:rsidRPr="001F7F1D">
        <w:rPr>
          <w:rFonts w:eastAsia="Aptos"/>
          <w:snapToGrid/>
          <w:kern w:val="2"/>
          <w:szCs w:val="22"/>
          <w14:ligatures w14:val="standardContextual"/>
        </w:rPr>
        <w:t xml:space="preserve"> W and 80° </w:t>
      </w:r>
      <w:r w:rsidR="001E0D33">
        <w:rPr>
          <w:rFonts w:eastAsia="Aptos"/>
          <w:snapToGrid/>
          <w:kern w:val="2"/>
          <w:szCs w:val="22"/>
          <w14:ligatures w14:val="standardContextual"/>
        </w:rPr>
        <w:t>29</w:t>
      </w:r>
      <w:r w:rsidRPr="001F7F1D">
        <w:rPr>
          <w:rFonts w:eastAsia="Aptos"/>
          <w:snapToGrid/>
          <w:kern w:val="2"/>
          <w:szCs w:val="22"/>
          <w14:ligatures w14:val="standardContextual"/>
        </w:rPr>
        <w:t>'</w:t>
      </w:r>
      <w:r w:rsidR="001E0D33">
        <w:rPr>
          <w:rFonts w:eastAsia="Aptos"/>
          <w:snapToGrid/>
          <w:kern w:val="2"/>
          <w:szCs w:val="22"/>
          <w14:ligatures w14:val="standardContextual"/>
        </w:rPr>
        <w:t>59.2”</w:t>
      </w:r>
      <w:r w:rsidRPr="001F7F1D">
        <w:rPr>
          <w:rFonts w:eastAsia="Aptos"/>
          <w:snapToGrid/>
          <w:kern w:val="2"/>
          <w:szCs w:val="22"/>
          <w14:ligatures w14:val="standardContextual"/>
        </w:rPr>
        <w:t xml:space="preserve"> W.</w:t>
      </w:r>
      <w:r w:rsidR="00B712AC">
        <w:rPr>
          <w:rFonts w:eastAsia="Aptos"/>
          <w:snapToGrid/>
          <w:kern w:val="2"/>
          <w:szCs w:val="22"/>
          <w14:ligatures w14:val="standardContextual"/>
        </w:rPr>
        <w:t xml:space="preserve"> (see </w:t>
      </w:r>
      <w:r w:rsidRPr="00A058F6" w:rsidR="00B712AC">
        <w:rPr>
          <w:rFonts w:eastAsia="Aptos"/>
          <w:snapToGrid/>
          <w:kern w:val="2"/>
          <w:szCs w:val="22"/>
          <w14:ligatures w14:val="standardContextual"/>
        </w:rPr>
        <w:t>47 CFR § 1.924</w:t>
      </w:r>
      <w:r w:rsidR="00B712AC">
        <w:rPr>
          <w:rFonts w:eastAsia="Aptos"/>
          <w:snapToGrid/>
          <w:kern w:val="2"/>
          <w:szCs w:val="22"/>
          <w14:ligatures w14:val="standardContextual"/>
        </w:rPr>
        <w:t xml:space="preserve"> (a))</w:t>
      </w:r>
      <w:r w:rsidR="005A4798">
        <w:rPr>
          <w:rFonts w:eastAsia="Aptos"/>
          <w:snapToGrid/>
          <w:kern w:val="2"/>
          <w:szCs w:val="22"/>
          <w14:ligatures w14:val="standardContextual"/>
        </w:rPr>
        <w:t>.</w:t>
      </w:r>
      <w:r w:rsidRPr="001F7F1D">
        <w:rPr>
          <w:rFonts w:eastAsia="Aptos"/>
          <w:snapToGrid/>
          <w:kern w:val="2"/>
          <w:szCs w:val="22"/>
          <w14:ligatures w14:val="standardContextual"/>
        </w:rPr>
        <w:t xml:space="preserve"> </w:t>
      </w:r>
      <w:r w:rsidR="00EB1605">
        <w:rPr>
          <w:color w:val="141414"/>
          <w:szCs w:val="22"/>
        </w:rPr>
        <w:br/>
      </w:r>
      <w:r w:rsidRPr="006A4775" w:rsidR="00B93208">
        <w:t xml:space="preserve">Contact: </w:t>
      </w:r>
      <w:hyperlink r:id="rId8" w:history="1">
        <w:r w:rsidRPr="003B33FE" w:rsidR="003B33FE">
          <w:rPr>
            <w:rStyle w:val="Hyperlink"/>
          </w:rPr>
          <w:t>nrqz@nrao.edu</w:t>
        </w:r>
      </w:hyperlink>
      <w:r w:rsidR="005F584A">
        <w:rPr>
          <w:color w:val="141414"/>
          <w:szCs w:val="22"/>
        </w:rPr>
        <w:t>; and</w:t>
      </w:r>
    </w:p>
    <w:p w:rsidR="0035736D" w:rsidRPr="00B31DBB" w:rsidP="006A4775" w14:paraId="6947590F" w14:textId="23C8E439">
      <w:pPr>
        <w:numPr>
          <w:ilvl w:val="0"/>
          <w:numId w:val="2"/>
        </w:numPr>
        <w:spacing w:before="60" w:after="120"/>
        <w:ind w:left="1166"/>
        <w:rPr>
          <w:color w:val="141414"/>
          <w:szCs w:val="22"/>
        </w:rPr>
      </w:pPr>
      <w:r w:rsidRPr="00B31DBB">
        <w:rPr>
          <w:color w:val="141414"/>
          <w:szCs w:val="22"/>
        </w:rPr>
        <w:t>Puerto Rico Coordination Zone</w:t>
      </w:r>
      <w:r w:rsidRPr="00B31DBB" w:rsidR="00006488">
        <w:rPr>
          <w:color w:val="141414"/>
          <w:szCs w:val="22"/>
        </w:rPr>
        <w:t xml:space="preserve"> </w:t>
      </w:r>
      <w:r w:rsidRPr="00B31DBB" w:rsidR="00ED183B">
        <w:rPr>
          <w:color w:val="141414"/>
          <w:szCs w:val="22"/>
        </w:rPr>
        <w:t>(PRCZ)</w:t>
      </w:r>
      <w:r w:rsidRPr="00B31DBB" w:rsidR="00CA7CA8">
        <w:rPr>
          <w:color w:val="141414"/>
          <w:szCs w:val="22"/>
        </w:rPr>
        <w:t xml:space="preserve">: </w:t>
      </w:r>
      <w:r w:rsidR="00CA7CA8">
        <w:rPr>
          <w:color w:val="141414"/>
          <w:szCs w:val="22"/>
        </w:rPr>
        <w:t>Coordination</w:t>
      </w:r>
      <w:r w:rsidRPr="00B31DBB" w:rsidR="001E1A39">
        <w:rPr>
          <w:color w:val="141414"/>
          <w:szCs w:val="22"/>
        </w:rPr>
        <w:t xml:space="preserve"> of commercial outdoor charging stations operating under this waiver is required for </w:t>
      </w:r>
      <w:r w:rsidRPr="00B31DBB" w:rsidR="00A04A88">
        <w:rPr>
          <w:color w:val="141414"/>
          <w:szCs w:val="22"/>
        </w:rPr>
        <w:t>any operations within 5 km of the Arecib</w:t>
      </w:r>
      <w:r w:rsidRPr="00B31DBB" w:rsidR="00812EA6">
        <w:rPr>
          <w:color w:val="141414"/>
          <w:szCs w:val="22"/>
        </w:rPr>
        <w:t>o Observatory site at 18°20′39.5″ N, 66°45′9.7″ W.</w:t>
      </w:r>
      <w:r w:rsidRPr="00B31DBB" w:rsidR="008E71D9">
        <w:rPr>
          <w:color w:val="141414"/>
          <w:szCs w:val="22"/>
        </w:rPr>
        <w:t xml:space="preserve"> Notification is re</w:t>
      </w:r>
      <w:r w:rsidRPr="00B31DBB" w:rsidR="00630FD7">
        <w:rPr>
          <w:color w:val="141414"/>
          <w:szCs w:val="22"/>
        </w:rPr>
        <w:t xml:space="preserve">quired between 5 and 10 km of the site. The PRCZ is further described at </w:t>
      </w:r>
      <w:r w:rsidRPr="00B31DBB">
        <w:rPr>
          <w:color w:val="141414"/>
          <w:szCs w:val="22"/>
        </w:rPr>
        <w:t xml:space="preserve">47 CFR § 1.924 </w:t>
      </w:r>
      <w:r w:rsidRPr="00B31DBB" w:rsidR="00C741FF">
        <w:rPr>
          <w:color w:val="141414"/>
          <w:szCs w:val="22"/>
        </w:rPr>
        <w:t xml:space="preserve">(d). </w:t>
      </w:r>
      <w:r w:rsidR="00D837DF">
        <w:rPr>
          <w:color w:val="141414"/>
          <w:szCs w:val="22"/>
        </w:rPr>
        <w:br/>
      </w:r>
      <w:r w:rsidRPr="006A4775" w:rsidR="00F75716">
        <w:t xml:space="preserve">Contact: </w:t>
      </w:r>
      <w:hyperlink r:id="rId9" w:history="1">
        <w:r w:rsidRPr="006A4775" w:rsidR="003B33FE">
          <w:rPr>
            <w:rStyle w:val="Hyperlink"/>
          </w:rPr>
          <w:t>prcz@nrao.edu</w:t>
        </w:r>
      </w:hyperlink>
      <w:r w:rsidR="00FB68D4">
        <w:t>.</w:t>
      </w:r>
    </w:p>
    <w:p w:rsidR="00D413AB" w:rsidP="00D413AB" w14:paraId="22164DCB" w14:textId="3C08F968">
      <w:pPr>
        <w:pStyle w:val="ParaNum"/>
        <w:widowControl/>
        <w:tabs>
          <w:tab w:val="clear" w:pos="1080"/>
        </w:tabs>
      </w:pPr>
      <w:r>
        <w:t xml:space="preserve">Accordingly, pursuant to authority in Sections 0.31, 0.241, and 1.3 of the Commission’s rules, 47 C.F.R. §§ 0.21, 0.241, and 1.3, and Sections 4(i), 302, 303(e), and 303(r) of the Communications Act of 1934, as amended, 47 U.S.C. §§ 154(i), 302, 303(e), and 303(r), IT IS ORDERED that the Request for Waiver filed by </w:t>
      </w:r>
      <w:r w:rsidR="00D079A7">
        <w:t>Tesla</w:t>
      </w:r>
      <w:r w:rsidR="00342071">
        <w:t>, Inc.</w:t>
      </w:r>
      <w:r>
        <w:t xml:space="preserve"> IS GRANTED consistent with the terms of this Order.  This action is effective upon release of this Order</w:t>
      </w:r>
      <w:r w:rsidRPr="5327DE20">
        <w:rPr>
          <w:b/>
          <w:bCs/>
        </w:rPr>
        <w:t>.</w:t>
      </w:r>
    </w:p>
    <w:p w:rsidR="00AC0F41" w:rsidP="00D413AB" w14:paraId="70B4D42B" w14:textId="77777777">
      <w:pPr>
        <w:pStyle w:val="ParaNum"/>
        <w:tabs>
          <w:tab w:val="clear" w:pos="1080"/>
        </w:tabs>
      </w:pPr>
      <w:r>
        <w:br w:type="page"/>
      </w:r>
    </w:p>
    <w:p w:rsidR="00D413AB" w:rsidP="00B47F3C" w14:paraId="4CB33BBD" w14:textId="02BEE71C">
      <w:pPr>
        <w:pStyle w:val="ParaNum"/>
        <w:numPr>
          <w:ilvl w:val="0"/>
          <w:numId w:val="8"/>
        </w:numPr>
        <w:tabs>
          <w:tab w:val="clear" w:pos="1080"/>
        </w:tabs>
      </w:pPr>
      <w:r>
        <w:t xml:space="preserve">IT IS FURTHER ORDERED that if no petitions for reconsiderations or applications for review are timely filed, this preceding SHALL BE TERMINATED, and ET Docket No. </w:t>
      </w:r>
      <w:r w:rsidR="00D0792C">
        <w:t>2</w:t>
      </w:r>
      <w:r w:rsidR="007C5103">
        <w:t>5</w:t>
      </w:r>
      <w:r w:rsidR="00D0792C">
        <w:t>-</w:t>
      </w:r>
      <w:r w:rsidR="00351DDE">
        <w:t xml:space="preserve">101 </w:t>
      </w:r>
      <w:r>
        <w:t>IS CLOSED.</w:t>
      </w:r>
    </w:p>
    <w:p w:rsidR="00D413AB" w:rsidRPr="005C2320" w:rsidP="00D413AB" w14:paraId="253BB6CE" w14:textId="77777777">
      <w:pPr>
        <w:pStyle w:val="ParaNum"/>
        <w:numPr>
          <w:ilvl w:val="0"/>
          <w:numId w:val="0"/>
        </w:numPr>
        <w:tabs>
          <w:tab w:val="left" w:pos="720"/>
          <w:tab w:val="left" w:pos="1800"/>
        </w:tabs>
        <w:ind w:left="180"/>
        <w:rPr>
          <w:szCs w:val="22"/>
        </w:rPr>
      </w:pPr>
      <w:r w:rsidRPr="005C2320">
        <w:rPr>
          <w:szCs w:val="22"/>
        </w:rPr>
        <w:tab/>
      </w:r>
      <w:r w:rsidRPr="005C2320">
        <w:rPr>
          <w:szCs w:val="22"/>
        </w:rPr>
        <w:tab/>
      </w:r>
      <w:r w:rsidRPr="005C2320">
        <w:rPr>
          <w:szCs w:val="22"/>
        </w:rPr>
        <w:tab/>
      </w:r>
      <w:r w:rsidRPr="005C2320">
        <w:rPr>
          <w:szCs w:val="22"/>
        </w:rPr>
        <w:tab/>
      </w:r>
      <w:r w:rsidRPr="005C2320">
        <w:rPr>
          <w:szCs w:val="22"/>
        </w:rPr>
        <w:tab/>
      </w:r>
      <w:r w:rsidRPr="005C2320">
        <w:rPr>
          <w:szCs w:val="22"/>
        </w:rPr>
        <w:tab/>
        <w:t>FEDERAL COMMUNICATIONS COMMISSION</w:t>
      </w:r>
    </w:p>
    <w:p w:rsidR="00D413AB" w:rsidP="00D413AB" w14:paraId="7EE0BCD2" w14:textId="77777777">
      <w:pPr>
        <w:pStyle w:val="Style30"/>
        <w:ind w:firstLine="0"/>
        <w:rPr>
          <w:szCs w:val="22"/>
        </w:rPr>
      </w:pPr>
    </w:p>
    <w:p w:rsidR="00D413AB" w:rsidRPr="005C2320" w:rsidP="00D413AB" w14:paraId="0EB8C924" w14:textId="77777777">
      <w:pPr>
        <w:pStyle w:val="Style30"/>
        <w:ind w:firstLine="0"/>
        <w:rPr>
          <w:szCs w:val="22"/>
        </w:rPr>
      </w:pPr>
    </w:p>
    <w:p w:rsidR="00D413AB" w:rsidRPr="005C2320" w:rsidP="00D413AB" w14:paraId="62091F80" w14:textId="5D938E19">
      <w:pPr>
        <w:pStyle w:val="Style30"/>
        <w:spacing w:after="0"/>
        <w:ind w:firstLine="0"/>
        <w:rPr>
          <w:szCs w:val="22"/>
        </w:rPr>
      </w:pPr>
      <w:r w:rsidRPr="005C2320">
        <w:rPr>
          <w:szCs w:val="22"/>
        </w:rPr>
        <w:tab/>
      </w:r>
      <w:r w:rsidRPr="005C2320">
        <w:rPr>
          <w:szCs w:val="22"/>
        </w:rPr>
        <w:tab/>
      </w:r>
      <w:r w:rsidRPr="005C2320">
        <w:rPr>
          <w:szCs w:val="22"/>
        </w:rPr>
        <w:tab/>
      </w:r>
      <w:r w:rsidRPr="005C2320">
        <w:rPr>
          <w:szCs w:val="22"/>
        </w:rPr>
        <w:tab/>
      </w:r>
      <w:r w:rsidRPr="005C2320">
        <w:rPr>
          <w:szCs w:val="22"/>
        </w:rPr>
        <w:tab/>
      </w:r>
      <w:r w:rsidRPr="005C2320">
        <w:rPr>
          <w:szCs w:val="22"/>
        </w:rPr>
        <w:tab/>
      </w:r>
      <w:r w:rsidR="002B6B0A">
        <w:rPr>
          <w:szCs w:val="22"/>
        </w:rPr>
        <w:t>And</w:t>
      </w:r>
      <w:r w:rsidR="00F56E54">
        <w:rPr>
          <w:szCs w:val="22"/>
        </w:rPr>
        <w:t>rew C.</w:t>
      </w:r>
      <w:r>
        <w:rPr>
          <w:szCs w:val="22"/>
        </w:rPr>
        <w:t xml:space="preserve"> </w:t>
      </w:r>
      <w:r w:rsidR="00DD3752">
        <w:rPr>
          <w:szCs w:val="22"/>
        </w:rPr>
        <w:t>Hendrickson</w:t>
      </w:r>
    </w:p>
    <w:p w:rsidR="00D413AB" w:rsidRPr="006519D3" w:rsidP="00D413AB" w14:paraId="130A5EE6" w14:textId="25A037C0">
      <w:pPr>
        <w:pStyle w:val="Style30"/>
        <w:ind w:firstLine="0"/>
        <w:rPr>
          <w:szCs w:val="22"/>
        </w:rPr>
      </w:pPr>
      <w:r w:rsidRPr="005C2320">
        <w:rPr>
          <w:szCs w:val="22"/>
        </w:rPr>
        <w:tab/>
      </w:r>
      <w:r w:rsidRPr="005C2320">
        <w:rPr>
          <w:szCs w:val="22"/>
        </w:rPr>
        <w:tab/>
      </w:r>
      <w:r w:rsidRPr="005C2320">
        <w:rPr>
          <w:szCs w:val="22"/>
        </w:rPr>
        <w:tab/>
      </w:r>
      <w:r w:rsidRPr="005C2320">
        <w:rPr>
          <w:szCs w:val="22"/>
        </w:rPr>
        <w:tab/>
      </w:r>
      <w:r w:rsidRPr="005C2320">
        <w:rPr>
          <w:szCs w:val="22"/>
        </w:rPr>
        <w:tab/>
      </w:r>
      <w:r w:rsidRPr="005C2320">
        <w:rPr>
          <w:szCs w:val="22"/>
        </w:rPr>
        <w:tab/>
        <w:t>Chief, Office of Engineering and Technology</w:t>
      </w:r>
    </w:p>
    <w:bookmarkEnd w:id="0"/>
    <w:bookmarkEnd w:id="1"/>
    <w:p w:rsidR="00CE4E93" w:rsidP="0007189A" w14:paraId="65571B5A" w14:textId="77777777"/>
    <w:sectPr>
      <w:headerReference w:type="default" r:id="rId10"/>
      <w:footerReference w:type="default" r:id="rId11"/>
      <w:headerReference w:type="first" r:id="rId12"/>
      <w:footerReference w:type="first" r:id="rId13"/>
      <w:pgSz w:w="12240" w:h="15840"/>
      <w:pgMar w:top="1440" w:right="1440" w:bottom="720" w:left="1440" w:header="720" w:footer="720"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3623" w14:paraId="09B32F33"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31D176E9" w14:textId="77777777">
      <w:tblPrEx>
        <w:tblW w:w="0" w:type="auto"/>
        <w:tblLayout w:type="fixed"/>
        <w:tblLook w:val="06A0"/>
      </w:tblPrEx>
      <w:tc>
        <w:tcPr>
          <w:tcW w:w="3120" w:type="dxa"/>
        </w:tcPr>
        <w:p w:rsidR="00FE3623" w:rsidP="00C41B09" w14:paraId="4E780D08" w14:textId="77777777">
          <w:pPr>
            <w:pStyle w:val="Header"/>
          </w:pPr>
        </w:p>
      </w:tc>
      <w:tc>
        <w:tcPr>
          <w:tcW w:w="3120" w:type="dxa"/>
        </w:tcPr>
        <w:p w:rsidR="00FE3623" w:rsidP="00C41B09" w14:paraId="6E98DD0C" w14:textId="77777777">
          <w:pPr>
            <w:pStyle w:val="Header"/>
          </w:pPr>
        </w:p>
      </w:tc>
      <w:tc>
        <w:tcPr>
          <w:tcW w:w="3120" w:type="dxa"/>
        </w:tcPr>
        <w:p w:rsidR="00FE3623" w:rsidP="00C41B09" w14:paraId="7964F9D6" w14:textId="77777777">
          <w:pPr>
            <w:pStyle w:val="Header"/>
          </w:pPr>
        </w:p>
      </w:tc>
    </w:tr>
  </w:tbl>
  <w:p w:rsidR="00FE3623" w14:paraId="4BCB9F5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B2891" w:rsidP="00D413AB" w14:paraId="74BACC8A" w14:textId="77777777">
      <w:r>
        <w:separator/>
      </w:r>
    </w:p>
  </w:footnote>
  <w:footnote w:type="continuationSeparator" w:id="1">
    <w:p w:rsidR="001B2891" w:rsidP="00D413AB" w14:paraId="3AB4E84D" w14:textId="77777777">
      <w:r>
        <w:continuationSeparator/>
      </w:r>
    </w:p>
  </w:footnote>
  <w:footnote w:id="2">
    <w:p w:rsidR="00D413AB" w:rsidP="00D413AB" w14:paraId="299BCF21" w14:textId="43A35AD7">
      <w:pPr>
        <w:pStyle w:val="FootnoteText"/>
      </w:pPr>
      <w:r>
        <w:rPr>
          <w:rStyle w:val="FootnoteReference"/>
        </w:rPr>
        <w:footnoteRef/>
      </w:r>
      <w:r>
        <w:t xml:space="preserve"> </w:t>
      </w:r>
      <w:r w:rsidR="00C01B26">
        <w:rPr>
          <w:i/>
        </w:rPr>
        <w:t>Tesla</w:t>
      </w:r>
      <w:r w:rsidR="00DD1CFE">
        <w:rPr>
          <w:i/>
        </w:rPr>
        <w:t xml:space="preserve">, Inc.  </w:t>
      </w:r>
      <w:r>
        <w:rPr>
          <w:i/>
        </w:rPr>
        <w:t>Request for Waiver of Section 15.519(a), and 15.519(a)(2)) of the Commission’s Rules</w:t>
      </w:r>
      <w:r w:rsidR="00664E20">
        <w:rPr>
          <w:iCs/>
        </w:rPr>
        <w:t>, ET Docket No. 25-101</w:t>
      </w:r>
      <w:r>
        <w:rPr>
          <w:i/>
        </w:rPr>
        <w:t xml:space="preserve"> </w:t>
      </w:r>
      <w:r>
        <w:t xml:space="preserve">(filed </w:t>
      </w:r>
      <w:r w:rsidR="00CC57AC">
        <w:t>July 9</w:t>
      </w:r>
      <w:r>
        <w:t>, 202</w:t>
      </w:r>
      <w:r w:rsidR="00CC57AC">
        <w:t>4</w:t>
      </w:r>
      <w:r>
        <w:t>) (</w:t>
      </w:r>
      <w:r w:rsidR="00C01B26">
        <w:t>Tesla</w:t>
      </w:r>
      <w:r>
        <w:t xml:space="preserve"> Waiver Request).  </w:t>
      </w:r>
      <w:r>
        <w:rPr>
          <w:i/>
        </w:rPr>
        <w:t>See also</w:t>
      </w:r>
      <w:r>
        <w:t xml:space="preserve"> 47 CFR §§ 15.519(a) and 15.519(a)(2).</w:t>
      </w:r>
    </w:p>
  </w:footnote>
  <w:footnote w:id="3">
    <w:p w:rsidR="00D413AB" w:rsidRPr="007D556F" w:rsidP="00D413AB" w14:paraId="5965FC0E" w14:textId="77777777">
      <w:pPr>
        <w:pStyle w:val="FootnoteText"/>
      </w:pPr>
      <w:r>
        <w:rPr>
          <w:rStyle w:val="FootnoteReference"/>
        </w:rPr>
        <w:footnoteRef/>
      </w:r>
      <w:r>
        <w:t xml:space="preserve"> </w:t>
      </w:r>
      <w:r w:rsidRPr="00DE5E68">
        <w:rPr>
          <w:i/>
        </w:rPr>
        <w:t>See</w:t>
      </w:r>
      <w:r>
        <w:t xml:space="preserve"> 47 CFR §§ 15.519(a) and 15.519(a)(2).  </w:t>
      </w:r>
    </w:p>
  </w:footnote>
  <w:footnote w:id="4">
    <w:p w:rsidR="00DA23CA" w:rsidRPr="00E535D7" w:rsidP="00DA23CA" w14:paraId="5C4F1214" w14:textId="3B8E29F0">
      <w:pPr>
        <w:pStyle w:val="FootnoteText"/>
        <w:rPr>
          <w:b/>
          <w:bCs/>
        </w:rPr>
      </w:pPr>
      <w:r>
        <w:rPr>
          <w:rStyle w:val="FootnoteReference"/>
        </w:rPr>
        <w:footnoteRef/>
      </w:r>
      <w:r>
        <w:t xml:space="preserve"> Tesla Waiver Request at </w:t>
      </w:r>
      <w:r w:rsidR="00AB32DC">
        <w:t>1</w:t>
      </w:r>
      <w:r>
        <w:t xml:space="preserve">.  </w:t>
      </w:r>
    </w:p>
  </w:footnote>
  <w:footnote w:id="5">
    <w:p w:rsidR="00CE1178" w:rsidRPr="009D2757" w:rsidP="00CE1178" w14:paraId="52FCA53C" w14:textId="77777777">
      <w:pPr>
        <w:pStyle w:val="FootnoteText"/>
      </w:pPr>
      <w:r>
        <w:rPr>
          <w:rStyle w:val="FootnoteReference"/>
        </w:rPr>
        <w:footnoteRef/>
      </w:r>
      <w:r>
        <w:t xml:space="preserve"> </w:t>
      </w:r>
      <w:r>
        <w:rPr>
          <w:i/>
          <w:iCs/>
        </w:rPr>
        <w:t>Id</w:t>
      </w:r>
      <w:r>
        <w:t>. at 4.</w:t>
      </w:r>
    </w:p>
  </w:footnote>
  <w:footnote w:id="6">
    <w:p w:rsidR="00CE1178" w:rsidRPr="00CA0752" w:rsidP="00CE1178" w14:paraId="415BCF14" w14:textId="77777777">
      <w:pPr>
        <w:pStyle w:val="FootnoteText"/>
      </w:pPr>
      <w:r>
        <w:rPr>
          <w:rStyle w:val="FootnoteReference"/>
        </w:rPr>
        <w:footnoteRef/>
      </w:r>
      <w:r>
        <w:t xml:space="preserve"> </w:t>
      </w:r>
      <w:r>
        <w:rPr>
          <w:i/>
          <w:iCs/>
        </w:rPr>
        <w:t xml:space="preserve">Id. </w:t>
      </w:r>
      <w:r>
        <w:t>at 5.</w:t>
      </w:r>
    </w:p>
  </w:footnote>
  <w:footnote w:id="7">
    <w:p w:rsidR="00831B87" w:rsidP="00831B87" w14:paraId="6D86886A" w14:textId="6CE0C6A4">
      <w:pPr>
        <w:pStyle w:val="FootnoteText"/>
      </w:pPr>
      <w:r>
        <w:rPr>
          <w:rStyle w:val="FootnoteReference"/>
        </w:rPr>
        <w:footnoteRef/>
      </w:r>
      <w:r>
        <w:t xml:space="preserve"> </w:t>
      </w:r>
      <w:r w:rsidRPr="00F11D73" w:rsidR="00CC498F">
        <w:rPr>
          <w:i/>
          <w:iCs/>
        </w:rPr>
        <w:t>Id</w:t>
      </w:r>
      <w:r w:rsidR="00CC498F">
        <w:t>.</w:t>
      </w:r>
      <w:r>
        <w:t xml:space="preserve"> at </w:t>
      </w:r>
      <w:r w:rsidR="00B86168">
        <w:t>9-10</w:t>
      </w:r>
      <w:r>
        <w:t>.</w:t>
      </w:r>
    </w:p>
  </w:footnote>
  <w:footnote w:id="8">
    <w:p w:rsidR="009613DA" w14:paraId="5B426213" w14:textId="063167EF">
      <w:pPr>
        <w:pStyle w:val="FootnoteText"/>
      </w:pPr>
      <w:r>
        <w:rPr>
          <w:rStyle w:val="FootnoteReference"/>
        </w:rPr>
        <w:footnoteRef/>
      </w:r>
      <w:r>
        <w:t xml:space="preserve"> </w:t>
      </w:r>
      <w:r w:rsidRPr="00F11D73" w:rsidR="000B6EF4">
        <w:rPr>
          <w:i/>
          <w:iCs/>
        </w:rPr>
        <w:t>Id</w:t>
      </w:r>
      <w:r w:rsidR="000B6EF4">
        <w:t>.</w:t>
      </w:r>
      <w:r>
        <w:t xml:space="preserve"> at 10.</w:t>
      </w:r>
    </w:p>
  </w:footnote>
  <w:footnote w:id="9">
    <w:p w:rsidR="00831B87" w:rsidP="00831B87" w14:paraId="5D2C49E2" w14:textId="0879BF7D">
      <w:pPr>
        <w:pStyle w:val="FootnoteText"/>
      </w:pPr>
      <w:r>
        <w:rPr>
          <w:rStyle w:val="FootnoteReference"/>
        </w:rPr>
        <w:footnoteRef/>
      </w:r>
      <w:r>
        <w:t xml:space="preserve"> </w:t>
      </w:r>
      <w:r w:rsidRPr="00F45E2B">
        <w:rPr>
          <w:i/>
          <w:iCs/>
        </w:rPr>
        <w:t>Id</w:t>
      </w:r>
      <w:r w:rsidRPr="00F45E2B">
        <w:t xml:space="preserve">. at </w:t>
      </w:r>
      <w:r w:rsidR="000874E2">
        <w:t>8</w:t>
      </w:r>
      <w:r w:rsidRPr="00F45E2B">
        <w:t xml:space="preserve">.  </w:t>
      </w:r>
    </w:p>
  </w:footnote>
  <w:footnote w:id="10">
    <w:p w:rsidR="00567116" w:rsidRPr="00203A41" w:rsidP="00567116" w14:paraId="575FA5FD" w14:textId="77777777">
      <w:pPr>
        <w:pStyle w:val="FootnoteText"/>
      </w:pPr>
      <w:r>
        <w:rPr>
          <w:rStyle w:val="FootnoteReference"/>
        </w:rPr>
        <w:footnoteRef/>
      </w:r>
      <w:r>
        <w:t xml:space="preserve"> 47 CFR §§ 15.1 </w:t>
      </w:r>
      <w:r>
        <w:rPr>
          <w:i/>
        </w:rPr>
        <w:t>et seq.</w:t>
      </w:r>
    </w:p>
  </w:footnote>
  <w:footnote w:id="11">
    <w:p w:rsidR="00567116" w:rsidP="00567116" w14:paraId="0B6FC1F1" w14:textId="77777777">
      <w:pPr>
        <w:pStyle w:val="FootnoteText"/>
      </w:pPr>
      <w:r>
        <w:rPr>
          <w:rStyle w:val="FootnoteReference"/>
        </w:rPr>
        <w:footnoteRef/>
      </w:r>
      <w:r>
        <w:t xml:space="preserve"> 47 CFR §§ 15.501-15.525.  Several of these rules address specific UWB applications, such as ground penetrating radar, medical imaging, and surveillance systems, that are not directly applicable here.  Tesla proposes to operate its devices under those parts of Subpart F that govern the authorization and use of handheld UWB systems.  Tesla Waiver Request at 1.   </w:t>
      </w:r>
    </w:p>
  </w:footnote>
  <w:footnote w:id="12">
    <w:p w:rsidR="00567116" w:rsidP="00567116" w14:paraId="596FE4A9" w14:textId="77777777">
      <w:pPr>
        <w:pStyle w:val="FootnoteText"/>
      </w:pPr>
      <w:r>
        <w:rPr>
          <w:rStyle w:val="FootnoteReference"/>
        </w:rPr>
        <w:footnoteRef/>
      </w:r>
      <w:r>
        <w:t xml:space="preserve"> </w:t>
      </w:r>
      <w:r w:rsidRPr="002338D0">
        <w:t xml:space="preserve">47 </w:t>
      </w:r>
      <w:r>
        <w:t>CFR</w:t>
      </w:r>
      <w:r w:rsidRPr="002338D0">
        <w:t xml:space="preserve"> § </w:t>
      </w:r>
      <w:r w:rsidRPr="004A5D91">
        <w:t>15.5</w:t>
      </w:r>
      <w:r>
        <w:t>(b).</w:t>
      </w:r>
    </w:p>
  </w:footnote>
  <w:footnote w:id="13">
    <w:p w:rsidR="00D413AB" w:rsidP="00D413AB" w14:paraId="193CE3BC" w14:textId="35D0E06F">
      <w:pPr>
        <w:pStyle w:val="FootnoteText"/>
      </w:pPr>
      <w:r>
        <w:rPr>
          <w:rStyle w:val="FootnoteReference"/>
        </w:rPr>
        <w:footnoteRef/>
      </w:r>
      <w:r>
        <w:t xml:space="preserve"> </w:t>
      </w:r>
      <w:r w:rsidR="00C01B26">
        <w:t>Tesla</w:t>
      </w:r>
      <w:r>
        <w:t xml:space="preserve"> Waiver Request at </w:t>
      </w:r>
      <w:r w:rsidR="00C5408B">
        <w:t>1</w:t>
      </w:r>
      <w:r>
        <w:t xml:space="preserve">. </w:t>
      </w:r>
    </w:p>
  </w:footnote>
  <w:footnote w:id="14">
    <w:p w:rsidR="00D413AB" w:rsidP="00D413AB" w14:paraId="4FF9653C" w14:textId="77777777">
      <w:pPr>
        <w:pStyle w:val="FootnoteText"/>
      </w:pPr>
      <w:r>
        <w:rPr>
          <w:rStyle w:val="FootnoteReference"/>
        </w:rPr>
        <w:footnoteRef/>
      </w:r>
      <w:r>
        <w:t xml:space="preserve"> 47 CFR § 15.519(a).</w:t>
      </w:r>
    </w:p>
  </w:footnote>
  <w:footnote w:id="15">
    <w:p w:rsidR="00D413AB" w:rsidP="00D413AB" w14:paraId="2DAD82A5" w14:textId="306CF419">
      <w:pPr>
        <w:pStyle w:val="FootnoteText"/>
      </w:pPr>
      <w:r>
        <w:rPr>
          <w:rStyle w:val="FootnoteReference"/>
        </w:rPr>
        <w:footnoteRef/>
      </w:r>
      <w:r>
        <w:t xml:space="preserve"> 47 CFR § 15.519(a)(2).</w:t>
      </w:r>
      <w:r w:rsidR="002F753E">
        <w:t xml:space="preserve">  </w:t>
      </w:r>
      <w:r w:rsidRPr="001C008D" w:rsidR="002F753E">
        <w:rPr>
          <w:i/>
          <w:iCs/>
        </w:rPr>
        <w:t>See also</w:t>
      </w:r>
      <w:r w:rsidR="002F753E">
        <w:t xml:space="preserve"> </w:t>
      </w:r>
      <w:r w:rsidR="002F753E">
        <w:rPr>
          <w:i/>
          <w:iCs/>
        </w:rPr>
        <w:t xml:space="preserve">Revision of Part 15 of the Commission’s Rules Regarding Ultra-Wideband Transmission </w:t>
      </w:r>
      <w:r w:rsidRPr="003D0115" w:rsidR="002F753E">
        <w:t>Systems</w:t>
      </w:r>
      <w:r w:rsidR="002F753E">
        <w:t xml:space="preserve">, First Report and Order, ET Docket 98-153, </w:t>
      </w:r>
      <w:r w:rsidRPr="003646E6" w:rsidR="002F753E">
        <w:rPr>
          <w:rStyle w:val="normaltextrun"/>
          <w:color w:val="000000"/>
          <w:shd w:val="clear" w:color="auto" w:fill="FFFFFF"/>
        </w:rPr>
        <w:t>17</w:t>
      </w:r>
      <w:r w:rsidR="002F753E">
        <w:rPr>
          <w:rStyle w:val="normaltextrun"/>
          <w:color w:val="000000"/>
          <w:shd w:val="clear" w:color="auto" w:fill="FFFFFF"/>
        </w:rPr>
        <w:t xml:space="preserve"> FCC </w:t>
      </w:r>
      <w:r w:rsidR="002F753E">
        <w:rPr>
          <w:rStyle w:val="normaltextrun"/>
          <w:color w:val="000000"/>
          <w:shd w:val="clear" w:color="auto" w:fill="FFFFFF"/>
        </w:rPr>
        <w:t>Rcd</w:t>
      </w:r>
      <w:r w:rsidR="002F753E">
        <w:rPr>
          <w:rStyle w:val="normaltextrun"/>
          <w:color w:val="000000"/>
          <w:shd w:val="clear" w:color="auto" w:fill="FFFFFF"/>
        </w:rPr>
        <w:t xml:space="preserve"> 7435, 7503, para 199 (2002) (</w:t>
      </w:r>
      <w:r w:rsidR="002F753E">
        <w:rPr>
          <w:rStyle w:val="normaltextrun"/>
          <w:i/>
          <w:iCs/>
          <w:color w:val="000000"/>
          <w:shd w:val="clear" w:color="auto" w:fill="FFFFFF"/>
        </w:rPr>
        <w:t>UWB First R&amp;O</w:t>
      </w:r>
      <w:r w:rsidR="002F753E">
        <w:rPr>
          <w:rStyle w:val="normaltextrun"/>
          <w:color w:val="000000"/>
          <w:shd w:val="clear" w:color="auto" w:fill="FFFFFF"/>
        </w:rPr>
        <w:t>)</w:t>
      </w:r>
      <w:r w:rsidRPr="008672EC" w:rsidR="002F753E">
        <w:rPr>
          <w:color w:val="1D2B3E"/>
        </w:rPr>
        <w:t>.</w:t>
      </w:r>
      <w:r w:rsidR="002F753E">
        <w:rPr>
          <w:rFonts w:ascii="Open Sans" w:hAnsi="Open Sans" w:cs="Open Sans"/>
          <w:color w:val="1D2B3E"/>
          <w:sz w:val="21"/>
          <w:szCs w:val="21"/>
        </w:rPr>
        <w:t xml:space="preserve"> </w:t>
      </w:r>
      <w:r w:rsidR="002F753E">
        <w:t>The underlying purpose of the rule is to avoid development of large-scale communications systems that could adversely impact authorized services, and to ensure that the UWB devices would only transm</w:t>
      </w:r>
      <w:r w:rsidRPr="003573C1" w:rsidR="002F753E">
        <w:t>it</w:t>
      </w:r>
      <w:r w:rsidR="002F753E">
        <w:t xml:space="preserve"> when it is sending information to an associated receiver.</w:t>
      </w:r>
    </w:p>
  </w:footnote>
  <w:footnote w:id="16">
    <w:p w:rsidR="00D413AB" w:rsidP="00D413AB" w14:paraId="7B911499" w14:textId="6515C255">
      <w:pPr>
        <w:pStyle w:val="FootnoteText"/>
      </w:pPr>
      <w:r w:rsidRPr="5E401298">
        <w:rPr>
          <w:rStyle w:val="FootnoteReference"/>
        </w:rPr>
        <w:footnoteRef/>
      </w:r>
      <w:r>
        <w:t xml:space="preserve"> </w:t>
      </w:r>
      <w:r w:rsidRPr="00957E35" w:rsidR="00957E35">
        <w:t xml:space="preserve">Letter from </w:t>
      </w:r>
      <w:r w:rsidR="00F11721">
        <w:t>Subash Vegesna</w:t>
      </w:r>
      <w:r w:rsidRPr="00957E35" w:rsidR="00957E35">
        <w:t>, Sr</w:t>
      </w:r>
      <w:r w:rsidR="00693427">
        <w:t>.</w:t>
      </w:r>
      <w:r w:rsidRPr="00957E35" w:rsidR="00957E35">
        <w:t xml:space="preserve"> </w:t>
      </w:r>
      <w:r w:rsidR="00693427">
        <w:t xml:space="preserve">Staff Regulatory </w:t>
      </w:r>
      <w:r w:rsidR="006C4C5F">
        <w:t>Compliance Engineer</w:t>
      </w:r>
      <w:r w:rsidRPr="00957E35" w:rsidR="00957E35">
        <w:t xml:space="preserve">, </w:t>
      </w:r>
      <w:r w:rsidR="000C09DE">
        <w:t>Tesla</w:t>
      </w:r>
      <w:r w:rsidR="0016595C">
        <w:t>, Inc.</w:t>
      </w:r>
      <w:r w:rsidRPr="00957E35" w:rsidR="00957E35">
        <w:t xml:space="preserve">, to Marlene H. Dortch, Secretary, FCC, </w:t>
      </w:r>
      <w:r w:rsidR="00B45BD1">
        <w:t>ET</w:t>
      </w:r>
      <w:r w:rsidRPr="00957E35" w:rsidR="00957E35">
        <w:t xml:space="preserve"> Docket No. </w:t>
      </w:r>
      <w:r w:rsidR="00B45BD1">
        <w:t>25</w:t>
      </w:r>
      <w:r w:rsidRPr="00957E35" w:rsidR="00957E35">
        <w:t>-</w:t>
      </w:r>
      <w:r w:rsidR="00B45BD1">
        <w:t>101</w:t>
      </w:r>
      <w:r w:rsidR="00091429">
        <w:t xml:space="preserve"> </w:t>
      </w:r>
      <w:r w:rsidRPr="00957E35" w:rsidR="00957E35">
        <w:t xml:space="preserve">at </w:t>
      </w:r>
      <w:r w:rsidR="00091429">
        <w:t>1</w:t>
      </w:r>
      <w:r w:rsidRPr="00957E35" w:rsidR="00957E35">
        <w:t xml:space="preserve"> (filed Oct. </w:t>
      </w:r>
      <w:r w:rsidR="00DE0054">
        <w:t>6</w:t>
      </w:r>
      <w:r w:rsidRPr="00957E35" w:rsidR="00957E35">
        <w:t>, 20</w:t>
      </w:r>
      <w:r w:rsidR="00A623AF">
        <w:t>25</w:t>
      </w:r>
      <w:r w:rsidRPr="00957E35" w:rsidR="00957E35">
        <w:t>) (</w:t>
      </w:r>
      <w:r w:rsidR="00F35973">
        <w:t>Tesla</w:t>
      </w:r>
      <w:r w:rsidRPr="00957E35" w:rsidR="00957E35">
        <w:t xml:space="preserve"> </w:t>
      </w:r>
      <w:r w:rsidR="00AF3C63">
        <w:t>e</w:t>
      </w:r>
      <w:r w:rsidRPr="00957E35" w:rsidR="00AF3C63">
        <w:t xml:space="preserve">x </w:t>
      </w:r>
      <w:r w:rsidR="00AF3C63">
        <w:t>p</w:t>
      </w:r>
      <w:r w:rsidRPr="00957E35" w:rsidR="00AF3C63">
        <w:t>arte</w:t>
      </w:r>
      <w:r w:rsidRPr="00957E35" w:rsidR="00957E35">
        <w:t xml:space="preserve">). </w:t>
      </w:r>
      <w:r w:rsidR="00B425BF">
        <w:t>Tesla originally stated that it intended to operate in the slightly larger 7.5-8.5 GHz range</w:t>
      </w:r>
      <w:r w:rsidR="00A06F4C">
        <w:t>.</w:t>
      </w:r>
      <w:r w:rsidR="00B425BF">
        <w:t xml:space="preserve">  Tesla Waiver Request at 4-6</w:t>
      </w:r>
      <w:r w:rsidRPr="0000073A" w:rsidR="00B425BF">
        <w:rPr>
          <w:i/>
          <w:iCs/>
        </w:rPr>
        <w:t>.</w:t>
      </w:r>
    </w:p>
  </w:footnote>
  <w:footnote w:id="17">
    <w:p w:rsidR="00D413AB" w:rsidP="00D413AB" w14:paraId="07D02EA4" w14:textId="7F8A999F">
      <w:pPr>
        <w:pStyle w:val="FootnoteText"/>
      </w:pPr>
      <w:r>
        <w:rPr>
          <w:rStyle w:val="FootnoteReference"/>
        </w:rPr>
        <w:footnoteRef/>
      </w:r>
      <w:r>
        <w:t xml:space="preserve"> </w:t>
      </w:r>
      <w:r w:rsidR="00E244FE">
        <w:t xml:space="preserve">Tesla Waiver Request </w:t>
      </w:r>
      <w:r>
        <w:t>at 3.</w:t>
      </w:r>
    </w:p>
  </w:footnote>
  <w:footnote w:id="18">
    <w:p w:rsidR="00D413AB" w:rsidRPr="00C85193" w:rsidP="00D413AB" w14:paraId="0321858A" w14:textId="622D727A">
      <w:pPr>
        <w:pStyle w:val="FootnoteText"/>
      </w:pPr>
      <w:r>
        <w:rPr>
          <w:rStyle w:val="FootnoteReference"/>
        </w:rPr>
        <w:footnoteRef/>
      </w:r>
      <w:r>
        <w:t xml:space="preserve"> </w:t>
      </w:r>
      <w:r w:rsidRPr="00C85193">
        <w:rPr>
          <w:i/>
        </w:rPr>
        <w:t xml:space="preserve">Office of Engineering and Technology Seeks Comment on </w:t>
      </w:r>
      <w:r w:rsidR="00C01B26">
        <w:rPr>
          <w:i/>
        </w:rPr>
        <w:t>Tesla</w:t>
      </w:r>
      <w:r>
        <w:rPr>
          <w:i/>
        </w:rPr>
        <w:t>’s</w:t>
      </w:r>
      <w:r w:rsidRPr="00C85193">
        <w:rPr>
          <w:i/>
        </w:rPr>
        <w:t xml:space="preserve"> Request for Waiver</w:t>
      </w:r>
      <w:r>
        <w:rPr>
          <w:i/>
        </w:rPr>
        <w:t xml:space="preserve"> of</w:t>
      </w:r>
      <w:r w:rsidRPr="00C85193">
        <w:rPr>
          <w:i/>
        </w:rPr>
        <w:t xml:space="preserve"> </w:t>
      </w:r>
      <w:r>
        <w:rPr>
          <w:i/>
        </w:rPr>
        <w:t>Section 15.519(a) and 15.519(a)(2) of the Commission’s Rule for Handheld UWB Systems</w:t>
      </w:r>
      <w:r>
        <w:t xml:space="preserve">, Public Notice, </w:t>
      </w:r>
      <w:r w:rsidRPr="00964854">
        <w:t>ET Docket 2</w:t>
      </w:r>
      <w:r w:rsidRPr="00964854" w:rsidR="00CE0CAD">
        <w:t>5-</w:t>
      </w:r>
      <w:r w:rsidRPr="00964854" w:rsidR="00964854">
        <w:t>101</w:t>
      </w:r>
      <w:r w:rsidR="00964854">
        <w:t>, DA 25-161</w:t>
      </w:r>
      <w:r>
        <w:t xml:space="preserve"> (Public Notice).</w:t>
      </w:r>
    </w:p>
  </w:footnote>
  <w:footnote w:id="19">
    <w:p w:rsidR="00142522" w14:paraId="0B3585EC" w14:textId="0ECD1D16">
      <w:pPr>
        <w:pStyle w:val="FootnoteText"/>
      </w:pPr>
      <w:r>
        <w:rPr>
          <w:rStyle w:val="FootnoteReference"/>
        </w:rPr>
        <w:footnoteRef/>
      </w:r>
      <w:r>
        <w:t xml:space="preserve"> The </w:t>
      </w:r>
      <w:r>
        <w:t>FiRa</w:t>
      </w:r>
      <w:r>
        <w:t xml:space="preserve"> Consortium Comments</w:t>
      </w:r>
      <w:r w:rsidR="00931820">
        <w:t>,</w:t>
      </w:r>
      <w:r>
        <w:t xml:space="preserve"> NXP USA, Inc. Comments, </w:t>
      </w:r>
      <w:r w:rsidR="00931820">
        <w:t xml:space="preserve">and </w:t>
      </w:r>
      <w:r>
        <w:t>Ultra Wide</w:t>
      </w:r>
      <w:r>
        <w:t xml:space="preserve"> Band Alliance Comments.</w:t>
      </w:r>
    </w:p>
  </w:footnote>
  <w:footnote w:id="20">
    <w:p w:rsidR="00142522" w14:paraId="12DD66A9" w14:textId="436C823D">
      <w:pPr>
        <w:pStyle w:val="FootnoteText"/>
      </w:pPr>
      <w:r>
        <w:rPr>
          <w:rStyle w:val="FootnoteReference"/>
        </w:rPr>
        <w:footnoteRef/>
      </w:r>
      <w:r>
        <w:t xml:space="preserve"> Tesla, Inc. Reply.</w:t>
      </w:r>
      <w:r w:rsidR="003B62C2">
        <w:t xml:space="preserve">  As noted above, Tesla also filed an </w:t>
      </w:r>
      <w:r w:rsidRPr="00F11D73" w:rsidR="003B62C2">
        <w:rPr>
          <w:i/>
          <w:iCs/>
        </w:rPr>
        <w:t xml:space="preserve">ex </w:t>
      </w:r>
      <w:r w:rsidRPr="00F11D73" w:rsidR="003B62C2">
        <w:rPr>
          <w:i/>
          <w:iCs/>
        </w:rPr>
        <w:t>parte</w:t>
      </w:r>
      <w:r w:rsidR="003B62C2">
        <w:t xml:space="preserve"> comment </w:t>
      </w:r>
      <w:r w:rsidRPr="006B3F9D" w:rsidR="003B62C2">
        <w:t xml:space="preserve">modifying the frequency band </w:t>
      </w:r>
      <w:r w:rsidR="003B62C2">
        <w:t>in which it plans to operate.</w:t>
      </w:r>
    </w:p>
  </w:footnote>
  <w:footnote w:id="21">
    <w:p w:rsidR="00D413AB" w:rsidP="00D413AB" w14:paraId="380CB109" w14:textId="77777777">
      <w:pPr>
        <w:pStyle w:val="FootnoteText"/>
      </w:pPr>
      <w:r>
        <w:rPr>
          <w:rStyle w:val="FootnoteReference"/>
        </w:rPr>
        <w:footnoteRef/>
      </w:r>
      <w:r>
        <w:t xml:space="preserve"> </w:t>
      </w:r>
      <w:hyperlink r:id="rId1" w:tgtFrame="_top" w:history="1">
        <w:r>
          <w:t>47 CFR § 1.3</w:t>
        </w:r>
      </w:hyperlink>
      <w:r>
        <w:t xml:space="preserve">.  </w:t>
      </w:r>
      <w:r>
        <w:rPr>
          <w:i/>
          <w:iCs/>
        </w:rPr>
        <w:t>See also</w:t>
      </w:r>
      <w:r>
        <w:rPr>
          <w:iCs/>
        </w:rPr>
        <w:t xml:space="preserve"> </w:t>
      </w:r>
      <w:hyperlink r:id="rId2" w:tgtFrame="_top" w:history="1">
        <w:r>
          <w:rPr>
            <w:i/>
            <w:iCs/>
          </w:rPr>
          <w:t>ICO Global Communications (Holdings) Limited v. FCC</w:t>
        </w:r>
        <w:r>
          <w:t>, 428 F.3d 264 (D.C. Cir. 2005)</w:t>
        </w:r>
      </w:hyperlink>
      <w:r>
        <w:t xml:space="preserve">; </w:t>
      </w:r>
      <w:hyperlink r:id="rId3" w:tgtFrame="_top" w:history="1">
        <w:r>
          <w:rPr>
            <w:i/>
            <w:iCs/>
          </w:rPr>
          <w:t>Northeast Cellular Telephone Co. v. FCC</w:t>
        </w:r>
        <w:r>
          <w:t>, 897 F.2d 1164 (D.C. Cir. 1990)</w:t>
        </w:r>
      </w:hyperlink>
      <w:r>
        <w:t xml:space="preserve">; </w:t>
      </w:r>
      <w:hyperlink r:id="rId4" w:tgtFrame="_top" w:history="1">
        <w:r>
          <w:rPr>
            <w:i/>
            <w:iCs/>
          </w:rPr>
          <w:t>WAIT Radio v. FCC</w:t>
        </w:r>
        <w:r>
          <w:t>, 418 F.2d 1153 (D.C. Cir. 1969)</w:t>
        </w:r>
      </w:hyperlink>
      <w:r>
        <w:t>.</w:t>
      </w:r>
    </w:p>
  </w:footnote>
  <w:footnote w:id="22">
    <w:p w:rsidR="00D413AB" w:rsidP="00D413AB" w14:paraId="59F07F10" w14:textId="77777777">
      <w:pPr>
        <w:pStyle w:val="FootnoteText"/>
      </w:pPr>
      <w:r>
        <w:rPr>
          <w:rStyle w:val="FootnoteReference"/>
        </w:rPr>
        <w:footnoteRef/>
      </w:r>
      <w:r>
        <w:t xml:space="preserve"> </w:t>
      </w:r>
      <w:r>
        <w:rPr>
          <w:i/>
          <w:iCs/>
        </w:rPr>
        <w:t>Northeast Cellular</w:t>
      </w:r>
      <w:r>
        <w:t xml:space="preserve">, </w:t>
      </w:r>
      <w:r w:rsidRPr="00BC3CDD">
        <w:t>897 F.2d</w:t>
      </w:r>
      <w:r>
        <w:t xml:space="preserve"> at 1166; </w:t>
      </w:r>
      <w:r>
        <w:rPr>
          <w:i/>
        </w:rPr>
        <w:t>see also</w:t>
      </w:r>
      <w:r>
        <w:t xml:space="preserve"> </w:t>
      </w:r>
      <w:hyperlink r:id="rId5" w:tgtFrame="_top" w:history="1">
        <w:r>
          <w:rPr>
            <w:i/>
            <w:iCs/>
          </w:rPr>
          <w:t>ICO Global Communications</w:t>
        </w:r>
        <w:r>
          <w:t xml:space="preserve">, </w:t>
        </w:r>
        <w:r w:rsidRPr="00BC3CDD">
          <w:t xml:space="preserve">428 F.3d </w:t>
        </w:r>
        <w:r>
          <w:t>at 269</w:t>
        </w:r>
      </w:hyperlink>
      <w:r>
        <w:t xml:space="preserve"> (quoting </w:t>
      </w:r>
      <w:r>
        <w:rPr>
          <w:i/>
          <w:iCs/>
        </w:rPr>
        <w:t>Northeast Cellular</w:t>
      </w:r>
      <w:r>
        <w:t xml:space="preserve">); </w:t>
      </w:r>
      <w:hyperlink r:id="rId6" w:tgtFrame="_top" w:history="1">
        <w:r>
          <w:rPr>
            <w:i/>
            <w:iCs/>
          </w:rPr>
          <w:t>WAIT Radio</w:t>
        </w:r>
        <w:r>
          <w:t xml:space="preserve">, </w:t>
        </w:r>
        <w:r w:rsidRPr="00BC3CDD">
          <w:t>418 F.2d</w:t>
        </w:r>
        <w:r>
          <w:rPr>
            <w:i/>
          </w:rPr>
          <w:t xml:space="preserve"> </w:t>
        </w:r>
        <w:r>
          <w:t>at 1157-59</w:t>
        </w:r>
      </w:hyperlink>
      <w:r>
        <w:t>.</w:t>
      </w:r>
    </w:p>
  </w:footnote>
  <w:footnote w:id="23">
    <w:p w:rsidR="00D413AB" w:rsidP="00D413AB" w14:paraId="7A475CA7" w14:textId="77777777">
      <w:pPr>
        <w:pStyle w:val="FootnoteText"/>
      </w:pPr>
      <w:r>
        <w:rPr>
          <w:rStyle w:val="FootnoteReference"/>
        </w:rPr>
        <w:footnoteRef/>
      </w:r>
      <w:r>
        <w:t xml:space="preserve"> </w:t>
      </w:r>
      <w:r>
        <w:rPr>
          <w:i/>
          <w:iCs/>
          <w:szCs w:val="19"/>
        </w:rPr>
        <w:t>See, e.g.</w:t>
      </w:r>
      <w:r>
        <w:rPr>
          <w:iCs/>
          <w:szCs w:val="19"/>
        </w:rPr>
        <w:t xml:space="preserve">, </w:t>
      </w:r>
      <w:hyperlink r:id="rId6" w:tgtFrame="_top" w:history="1">
        <w:r>
          <w:rPr>
            <w:i/>
            <w:iCs/>
          </w:rPr>
          <w:t>WAIT Radio</w:t>
        </w:r>
        <w:r>
          <w:rPr>
            <w:iCs/>
          </w:rPr>
          <w:t xml:space="preserve">, </w:t>
        </w:r>
        <w:r w:rsidRPr="00BC3CDD">
          <w:rPr>
            <w:iCs/>
          </w:rPr>
          <w:t>418 F.2d</w:t>
        </w:r>
        <w:r w:rsidRPr="00BC3CDD">
          <w:rPr>
            <w:i/>
            <w:iCs/>
          </w:rPr>
          <w:t xml:space="preserve"> </w:t>
        </w:r>
        <w:r>
          <w:t>at 1157</w:t>
        </w:r>
      </w:hyperlink>
      <w:r>
        <w:rPr>
          <w:szCs w:val="19"/>
        </w:rPr>
        <w:t xml:space="preserve"> (stating that even though the overall objectives of a general rule have been adjudged to be in the public interest, it is possible that application of the rule to a specific case may not serve the public interest if an applicant's proposal does not undermine the public interest policy served by the rule); </w:t>
      </w:r>
      <w:r>
        <w:rPr>
          <w:i/>
          <w:iCs/>
          <w:szCs w:val="19"/>
        </w:rPr>
        <w:t>Northeast Cellular</w:t>
      </w:r>
      <w:r>
        <w:rPr>
          <w:szCs w:val="19"/>
        </w:rPr>
        <w:t>, 897 F.2d at 1166 (stating that in granting a waiver, an agency must explain why deviation from the general rule better serves the public interest than would strict adherence to the rule).</w:t>
      </w:r>
    </w:p>
  </w:footnote>
  <w:footnote w:id="24">
    <w:p w:rsidR="00D413AB" w:rsidP="00D413AB" w14:paraId="1EBA7CB0" w14:textId="77777777">
      <w:pPr>
        <w:pStyle w:val="FootnoteText"/>
      </w:pPr>
      <w:r>
        <w:rPr>
          <w:rStyle w:val="FootnoteReference"/>
        </w:rPr>
        <w:footnoteRef/>
      </w:r>
      <w:r>
        <w:t xml:space="preserve"> </w:t>
      </w:r>
      <w:r>
        <w:rPr>
          <w:i/>
          <w:iCs/>
        </w:rPr>
        <w:t>See UWB First R&amp;O</w:t>
      </w:r>
      <w:r>
        <w:t xml:space="preserve">, </w:t>
      </w:r>
      <w:r w:rsidRPr="003646E6">
        <w:rPr>
          <w:rStyle w:val="normaltextrun"/>
          <w:color w:val="000000"/>
          <w:shd w:val="clear" w:color="auto" w:fill="FFFFFF"/>
        </w:rPr>
        <w:t>17</w:t>
      </w:r>
      <w:r>
        <w:rPr>
          <w:rStyle w:val="normaltextrun"/>
          <w:color w:val="000000"/>
          <w:shd w:val="clear" w:color="auto" w:fill="FFFFFF"/>
        </w:rPr>
        <w:t xml:space="preserve"> FCC </w:t>
      </w:r>
      <w:r>
        <w:rPr>
          <w:rStyle w:val="normaltextrun"/>
          <w:color w:val="000000"/>
          <w:shd w:val="clear" w:color="auto" w:fill="FFFFFF"/>
        </w:rPr>
        <w:t>Rcd</w:t>
      </w:r>
      <w:r>
        <w:rPr>
          <w:rStyle w:val="normaltextrun"/>
          <w:color w:val="000000"/>
          <w:shd w:val="clear" w:color="auto" w:fill="FFFFFF"/>
        </w:rPr>
        <w:t xml:space="preserve"> 7435 </w:t>
      </w:r>
      <w:r w:rsidRPr="00664AFF">
        <w:rPr>
          <w:rStyle w:val="normaltextrun"/>
          <w:i/>
          <w:iCs/>
          <w:color w:val="000000"/>
          <w:shd w:val="clear" w:color="auto" w:fill="FFFFFF"/>
        </w:rPr>
        <w:t>passim</w:t>
      </w:r>
      <w:r>
        <w:rPr>
          <w:rStyle w:val="normaltextrun"/>
          <w:color w:val="000000"/>
          <w:shd w:val="clear" w:color="auto" w:fill="FFFFFF"/>
        </w:rPr>
        <w:t xml:space="preserve"> (2002); </w:t>
      </w:r>
      <w:r>
        <w:rPr>
          <w:rStyle w:val="normaltextrun"/>
          <w:i/>
          <w:iCs/>
          <w:color w:val="000000"/>
          <w:shd w:val="clear" w:color="auto" w:fill="FFFFFF"/>
        </w:rPr>
        <w:t>see also</w:t>
      </w:r>
      <w:r>
        <w:rPr>
          <w:rStyle w:val="normaltextrun"/>
          <w:color w:val="000000"/>
          <w:shd w:val="clear" w:color="auto" w:fill="FFFFFF"/>
        </w:rPr>
        <w:t xml:space="preserve"> 47 CFR. §§ 15.501-15.525.</w:t>
      </w:r>
    </w:p>
  </w:footnote>
  <w:footnote w:id="25">
    <w:p w:rsidR="00D413AB" w:rsidRPr="00E356C8" w:rsidP="00D413AB" w14:paraId="734E35E4" w14:textId="03DB8F98">
      <w:pPr>
        <w:pStyle w:val="FootnoteText"/>
      </w:pPr>
      <w:r w:rsidRPr="00326BC4">
        <w:rPr>
          <w:rStyle w:val="FootnoteReference"/>
        </w:rPr>
        <w:footnoteRef/>
      </w:r>
      <w:r w:rsidRPr="00E356C8">
        <w:t xml:space="preserve"> </w:t>
      </w:r>
      <w:r w:rsidR="00C01B26">
        <w:t>Tesla</w:t>
      </w:r>
      <w:r>
        <w:t xml:space="preserve"> </w:t>
      </w:r>
      <w:r w:rsidRPr="00E356C8">
        <w:t xml:space="preserve">Waiver Request at </w:t>
      </w:r>
      <w:r w:rsidR="004C34FF">
        <w:t>6</w:t>
      </w:r>
      <w:r w:rsidRPr="00E356C8">
        <w:t xml:space="preserve">. </w:t>
      </w:r>
    </w:p>
  </w:footnote>
  <w:footnote w:id="26">
    <w:p w:rsidR="00D413AB" w:rsidP="00D413AB" w14:paraId="1A765062" w14:textId="77777777">
      <w:pPr>
        <w:pStyle w:val="FootnoteText"/>
      </w:pPr>
      <w:r>
        <w:rPr>
          <w:rStyle w:val="FootnoteReference"/>
        </w:rPr>
        <w:footnoteRef/>
      </w:r>
      <w:r>
        <w:t xml:space="preserve"> </w:t>
      </w:r>
      <w:r>
        <w:rPr>
          <w:i/>
          <w:iCs/>
        </w:rPr>
        <w:t xml:space="preserve">See </w:t>
      </w:r>
      <w:r>
        <w:t>47 CFR § 15.519.</w:t>
      </w:r>
    </w:p>
  </w:footnote>
  <w:footnote w:id="27">
    <w:p w:rsidR="00D413AB" w:rsidP="00D413AB" w14:paraId="5910653E" w14:textId="09E96B43">
      <w:pPr>
        <w:pStyle w:val="FootnoteText"/>
      </w:pPr>
      <w:r>
        <w:rPr>
          <w:rStyle w:val="FootnoteReference"/>
        </w:rPr>
        <w:footnoteRef/>
      </w:r>
      <w:r>
        <w:t xml:space="preserve"> </w:t>
      </w:r>
      <w:r w:rsidR="00C01B26">
        <w:t>Tesla</w:t>
      </w:r>
      <w:r>
        <w:t xml:space="preserve"> Waiver Request at </w:t>
      </w:r>
      <w:r w:rsidR="00055A10">
        <w:t>10</w:t>
      </w:r>
      <w:r>
        <w:t xml:space="preserve">. </w:t>
      </w:r>
    </w:p>
  </w:footnote>
  <w:footnote w:id="28">
    <w:p w:rsidR="00D413AB" w:rsidP="00D413AB" w14:paraId="6508D0B7" w14:textId="6DE17F2D">
      <w:pPr>
        <w:pStyle w:val="FootnoteText"/>
      </w:pPr>
      <w:r>
        <w:rPr>
          <w:rStyle w:val="FootnoteReference"/>
        </w:rPr>
        <w:footnoteRef/>
      </w:r>
      <w:r>
        <w:t xml:space="preserve"> </w:t>
      </w:r>
      <w:r w:rsidRPr="00F11D73" w:rsidR="00B9632C">
        <w:rPr>
          <w:i/>
          <w:iCs/>
        </w:rPr>
        <w:t>Id</w:t>
      </w:r>
      <w:r w:rsidR="00B9632C">
        <w:t>.</w:t>
      </w:r>
      <w:r w:rsidR="003E0D8B">
        <w:t xml:space="preserve"> at 4-6.</w:t>
      </w:r>
    </w:p>
  </w:footnote>
  <w:footnote w:id="29">
    <w:p w:rsidR="00D413AB" w:rsidRPr="008460D5" w:rsidP="00D413AB" w14:paraId="1E3BEA7A" w14:textId="5D1600CC">
      <w:pPr>
        <w:pStyle w:val="FootnoteText"/>
      </w:pPr>
      <w:r>
        <w:rPr>
          <w:rStyle w:val="FootnoteReference"/>
        </w:rPr>
        <w:footnoteRef/>
      </w:r>
      <w:r>
        <w:t xml:space="preserve"> </w:t>
      </w:r>
      <w:r w:rsidRPr="00F11D73" w:rsidR="00B9632C">
        <w:rPr>
          <w:i/>
          <w:iCs/>
        </w:rPr>
        <w:t>Id</w:t>
      </w:r>
      <w:r w:rsidR="00B9632C">
        <w:t>.</w:t>
      </w:r>
    </w:p>
  </w:footnote>
  <w:footnote w:id="30">
    <w:p w:rsidR="00D413AB" w:rsidRPr="008672EC" w:rsidP="00D413AB" w14:paraId="7B9F16AB" w14:textId="45046290">
      <w:pPr>
        <w:pStyle w:val="FootnoteText"/>
        <w:rPr>
          <w:i/>
          <w:iCs/>
        </w:rPr>
      </w:pPr>
      <w:r>
        <w:rPr>
          <w:rStyle w:val="FootnoteReference"/>
        </w:rPr>
        <w:footnoteRef/>
      </w:r>
      <w:r>
        <w:t xml:space="preserve"> </w:t>
      </w:r>
      <w:r w:rsidRPr="00F11D73" w:rsidR="00B9632C">
        <w:rPr>
          <w:i/>
          <w:iCs/>
        </w:rPr>
        <w:t>Id</w:t>
      </w:r>
      <w:r w:rsidR="00B9632C">
        <w:t>.</w:t>
      </w:r>
      <w:r>
        <w:t xml:space="preserve"> at 4</w:t>
      </w:r>
      <w:r w:rsidR="00C04491">
        <w:t>-5</w:t>
      </w:r>
      <w:r>
        <w:t>.</w:t>
      </w:r>
    </w:p>
  </w:footnote>
  <w:footnote w:id="31">
    <w:p w:rsidR="00D413AB" w:rsidRPr="00D50321" w:rsidP="00D413AB" w14:paraId="2135A1D9" w14:textId="0B15E164">
      <w:pPr>
        <w:pStyle w:val="FootnoteText"/>
      </w:pPr>
      <w:r>
        <w:rPr>
          <w:rStyle w:val="FootnoteReference"/>
        </w:rPr>
        <w:footnoteRef/>
      </w:r>
      <w:r>
        <w:t xml:space="preserve"> </w:t>
      </w:r>
      <w:r w:rsidRPr="00AB1901" w:rsidR="00AD1752">
        <w:t>In a typical application, the pad will be actively transmitting for about</w:t>
      </w:r>
      <w:r w:rsidR="00AD1752">
        <w:t xml:space="preserve"> </w:t>
      </w:r>
      <w:r w:rsidRPr="00AB1901" w:rsidR="00AD1752">
        <w:t>704μs per ranging round (4 x 176μs) and a total of about 140.8ms (200 x 704μs) per localization</w:t>
      </w:r>
      <w:r w:rsidR="00AD1752">
        <w:t xml:space="preserve"> </w:t>
      </w:r>
      <w:r w:rsidRPr="00AB1901" w:rsidR="00AD1752">
        <w:t xml:space="preserve">sequence. </w:t>
      </w:r>
      <w:r w:rsidR="00451A52">
        <w:t xml:space="preserve"> </w:t>
      </w:r>
      <w:r w:rsidRPr="00AB1901" w:rsidR="00AD1752">
        <w:t xml:space="preserve">The </w:t>
      </w:r>
      <w:r w:rsidR="00451A52">
        <w:t>vehicle</w:t>
      </w:r>
      <w:r w:rsidRPr="00AB1901" w:rsidR="00AD1752">
        <w:t xml:space="preserve"> will be transmitting for about 352μs per ranging round (2 x 176μs) and a total</w:t>
      </w:r>
      <w:r w:rsidR="00AD1752">
        <w:t xml:space="preserve"> </w:t>
      </w:r>
      <w:r w:rsidRPr="00AB1901" w:rsidR="00AD1752">
        <w:t xml:space="preserve">of about 70.4ms (200 x 352μs) per localization sequence. </w:t>
      </w:r>
      <w:r w:rsidR="00451A52">
        <w:t xml:space="preserve"> </w:t>
      </w:r>
      <w:r w:rsidRPr="00AB1901" w:rsidR="00AD1752">
        <w:t>Between two ranging rounds, there is an</w:t>
      </w:r>
      <w:r w:rsidR="00AD1752">
        <w:t xml:space="preserve"> </w:t>
      </w:r>
      <w:r w:rsidRPr="00AB1901" w:rsidR="00AD1752">
        <w:t>interval of 100ms.</w:t>
      </w:r>
      <w:r w:rsidR="009B211F">
        <w:t xml:space="preserve">  </w:t>
      </w:r>
      <w:r>
        <w:rPr>
          <w:i/>
          <w:iCs/>
        </w:rPr>
        <w:t xml:space="preserve">Id. </w:t>
      </w:r>
      <w:r>
        <w:t xml:space="preserve">at </w:t>
      </w:r>
      <w:r w:rsidR="009B211F">
        <w:t>6</w:t>
      </w:r>
      <w:r>
        <w:t>.</w:t>
      </w:r>
    </w:p>
  </w:footnote>
  <w:footnote w:id="32">
    <w:p w:rsidR="007D6FC4" w:rsidP="007D6FC4" w14:paraId="2E1DCFC7" w14:textId="77777777">
      <w:pPr>
        <w:pStyle w:val="FootnoteText"/>
      </w:pPr>
      <w:r>
        <w:rPr>
          <w:rStyle w:val="FootnoteReference"/>
        </w:rPr>
        <w:footnoteRef/>
      </w:r>
      <w:r>
        <w:t xml:space="preserve"> </w:t>
      </w:r>
      <w:r>
        <w:rPr>
          <w:i/>
          <w:iCs/>
        </w:rPr>
        <w:t xml:space="preserve">See </w:t>
      </w:r>
      <w:r>
        <w:t>Tesla Waiver Request at 5.</w:t>
      </w:r>
    </w:p>
  </w:footnote>
  <w:footnote w:id="33">
    <w:p w:rsidR="00D413AB" w:rsidRPr="006A5C21" w:rsidP="00D413AB" w14:paraId="03B9530F" w14:textId="54460DFF">
      <w:pPr>
        <w:pStyle w:val="FootnoteText"/>
        <w:rPr>
          <w:i/>
          <w:iCs/>
        </w:rPr>
      </w:pPr>
      <w:r>
        <w:rPr>
          <w:rStyle w:val="FootnoteReference"/>
        </w:rPr>
        <w:footnoteRef/>
      </w:r>
      <w:r>
        <w:t xml:space="preserve"> </w:t>
      </w:r>
      <w:r w:rsidRPr="00F11D73" w:rsidR="00C36ECF">
        <w:rPr>
          <w:i/>
          <w:iCs/>
        </w:rPr>
        <w:t>Id</w:t>
      </w:r>
      <w:r w:rsidR="00C36ECF">
        <w:t>.</w:t>
      </w:r>
      <w:r w:rsidR="00350B17">
        <w:t xml:space="preserve"> at 4-5. </w:t>
      </w:r>
    </w:p>
  </w:footnote>
  <w:footnote w:id="34">
    <w:p w:rsidR="00D413AB" w:rsidP="00D413AB" w14:paraId="4FE5FC0E" w14:textId="77777777">
      <w:pPr>
        <w:pStyle w:val="FootnoteText"/>
      </w:pPr>
      <w:r>
        <w:rPr>
          <w:rStyle w:val="FootnoteReference"/>
        </w:rPr>
        <w:footnoteRef/>
      </w:r>
      <w:r>
        <w:t xml:space="preserve"> </w:t>
      </w:r>
      <w:r w:rsidRPr="008672EC">
        <w:rPr>
          <w:i/>
        </w:rPr>
        <w:t>See, e.g.</w:t>
      </w:r>
      <w:r>
        <w:t>, 47 CFR § 15.5(b).</w:t>
      </w:r>
    </w:p>
  </w:footnote>
  <w:footnote w:id="35">
    <w:p w:rsidR="00AB3DD2" w14:paraId="4B4FA230" w14:textId="06C913BF">
      <w:pPr>
        <w:pStyle w:val="FootnoteText"/>
      </w:pPr>
      <w:r>
        <w:rPr>
          <w:rStyle w:val="FootnoteReference"/>
        </w:rPr>
        <w:footnoteRef/>
      </w:r>
      <w:r>
        <w:t xml:space="preserve"> </w:t>
      </w:r>
      <w:r w:rsidR="00944ED7">
        <w:t xml:space="preserve">We note </w:t>
      </w:r>
      <w:r w:rsidR="00051500">
        <w:t>here that indoor installations and deployments, such as home garages or other enclosed envi</w:t>
      </w:r>
      <w:r w:rsidR="0093161D">
        <w:t xml:space="preserve">ronments, do not require a waiver because they do not involve antennas mounted on outdoor infrastructure. </w:t>
      </w:r>
      <w:r w:rsidR="006A62D5">
        <w:t xml:space="preserve"> Thus, </w:t>
      </w:r>
      <w:r w:rsidR="0064697E">
        <w:t xml:space="preserve">indoor installations of </w:t>
      </w:r>
      <w:r w:rsidR="0095599D">
        <w:t>Tesla’s</w:t>
      </w:r>
      <w:r w:rsidR="0064697E">
        <w:t xml:space="preserve"> positioning system would be fully compliant with our rules. </w:t>
      </w:r>
    </w:p>
  </w:footnote>
  <w:footnote w:id="36">
    <w:p w:rsidR="00D413AB" w:rsidRPr="0049625C" w:rsidP="00D413AB" w14:paraId="310C8893" w14:textId="0C167CE8">
      <w:pPr>
        <w:pStyle w:val="FootnoteText"/>
        <w:rPr>
          <w:i/>
          <w:iCs/>
        </w:rPr>
      </w:pPr>
      <w:r>
        <w:rPr>
          <w:rStyle w:val="FootnoteReference"/>
        </w:rPr>
        <w:footnoteRef/>
      </w:r>
      <w:r>
        <w:t xml:space="preserve"> </w:t>
      </w:r>
      <w:r w:rsidRPr="0049625C">
        <w:rPr>
          <w:i/>
          <w:iCs/>
        </w:rPr>
        <w:t xml:space="preserve">See </w:t>
      </w:r>
      <w:r w:rsidRPr="0049625C">
        <w:t xml:space="preserve">35 FCC </w:t>
      </w:r>
      <w:r w:rsidRPr="0049625C">
        <w:t>Rcd</w:t>
      </w:r>
      <w:r w:rsidRPr="0049625C">
        <w:t xml:space="preserve"> 12912; 35 FCC </w:t>
      </w:r>
      <w:r w:rsidRPr="0049625C">
        <w:t>Rcd</w:t>
      </w:r>
      <w:r w:rsidRPr="0049625C">
        <w:t xml:space="preserve"> 11347; and 30 FCC </w:t>
      </w:r>
      <w:r w:rsidRPr="0049625C">
        <w:t>Rcd</w:t>
      </w:r>
      <w:r w:rsidRPr="0049625C">
        <w:t xml:space="preserve"> 8377. </w:t>
      </w:r>
      <w:r w:rsidRPr="0049625C">
        <w:rPr>
          <w:i/>
          <w:iCs/>
        </w:rPr>
        <w:t xml:space="preserve">See also, In the Matter of Assa Abloy Group For Waiver of 15.519(a), and 15.519(a)(2) of the Commission's Rules Applicable to Ultra-Wideband Devices, </w:t>
      </w:r>
      <w:r w:rsidRPr="0049625C">
        <w:t>Waiver Order, ET Docket 21-267, (OET 2022)</w:t>
      </w:r>
      <w:r>
        <w:t>.</w:t>
      </w:r>
      <w:r w:rsidRPr="0049625C">
        <w:t xml:space="preserve"> </w:t>
      </w:r>
    </w:p>
  </w:footnote>
  <w:footnote w:id="37">
    <w:p w:rsidR="008C57C9" w14:paraId="1556BB0A" w14:textId="7881283A">
      <w:pPr>
        <w:pStyle w:val="FootnoteText"/>
      </w:pPr>
      <w:r>
        <w:rPr>
          <w:rStyle w:val="FootnoteReference"/>
        </w:rPr>
        <w:footnoteRef/>
      </w:r>
      <w:bookmarkStart w:id="4" w:name="_Hlk214531023"/>
      <w:r w:rsidRPr="008C57C9">
        <w:t xml:space="preserve"> </w:t>
      </w:r>
      <w:r w:rsidRPr="00737864" w:rsidR="00AA51F8">
        <w:t xml:space="preserve">For example, the received interference power spectral density (PSD) at an Earth station with 0 </w:t>
      </w:r>
      <w:r w:rsidRPr="00737864" w:rsidR="00AA51F8">
        <w:t>dBi</w:t>
      </w:r>
      <w:r w:rsidRPr="00737864" w:rsidR="00AA51F8">
        <w:t xml:space="preserve"> gain toward the horizon, caused by a Tesla positioning system operating at 7987.2 MHz with a maximum PSD of -41.3 dBm/MHz, at a distance of 800 meters, will be -149 dBm/MHz, assuming free space path loss. Similarly, for fixed links, the received interference PSD at a fixed directional antenna with 10 </w:t>
      </w:r>
      <w:r w:rsidRPr="00737864" w:rsidR="00AA51F8">
        <w:t>dBi</w:t>
      </w:r>
      <w:r w:rsidRPr="00737864" w:rsidR="00AA51F8">
        <w:t xml:space="preserve"> gain towards </w:t>
      </w:r>
      <w:r w:rsidR="00FC557B">
        <w:t xml:space="preserve">the </w:t>
      </w:r>
      <w:r w:rsidRPr="00737864" w:rsidR="00AA51F8">
        <w:t>ground, due to a Tesla positioning system operating at 7987.2 MHz with a maximum PSD of -41.3 dBm/MHz, at a distance of 800 meters, will be -139 dBm/MHz, assuming free space path loss. For comparison, the thermal noise power density at room temperature is -114 dBm/</w:t>
      </w:r>
      <w:r w:rsidRPr="00737864" w:rsidR="007E1EA6">
        <w:t>MHz.</w:t>
      </w:r>
      <w:r w:rsidRPr="00737864" w:rsidR="00AA51F8">
        <w:t xml:space="preserve"> Therefore, the maximum unwanted power from a Tesla positioning system transmitted into an Earth station receiver located 800 meters distant or greater will be at least 35 dB below the thermal noise floor. Similarly, a fixed receiver 800 meters away </w:t>
      </w:r>
      <w:r w:rsidR="00FC557B">
        <w:t>would</w:t>
      </w:r>
      <w:r w:rsidRPr="00737864" w:rsidR="00AA51F8">
        <w:t xml:space="preserve"> </w:t>
      </w:r>
      <w:r w:rsidRPr="00737864" w:rsidR="00FC557B">
        <w:t>receiv</w:t>
      </w:r>
      <w:r w:rsidR="00FC557B">
        <w:t>e</w:t>
      </w:r>
      <w:r w:rsidRPr="00737864" w:rsidR="00FC557B">
        <w:t xml:space="preserve"> </w:t>
      </w:r>
      <w:r w:rsidR="00FC557B">
        <w:t xml:space="preserve">a </w:t>
      </w:r>
      <w:r w:rsidRPr="00737864" w:rsidR="00AA51F8">
        <w:t>maximum unwanted power of 21 dB below the thermal noise floor from a Tesla positioning system transmitter. This is based on a very conservative assumption</w:t>
      </w:r>
      <w:r w:rsidR="00FC557B">
        <w:t xml:space="preserve"> of free space path loss and no accounting for </w:t>
      </w:r>
      <w:r w:rsidRPr="00737864" w:rsidR="00AA51F8">
        <w:t>clutter</w:t>
      </w:r>
      <w:r w:rsidRPr="007E1EA6" w:rsidR="00AA51F8">
        <w:t xml:space="preserve">.  </w:t>
      </w:r>
      <w:r w:rsidRPr="007E1EA6">
        <w:t xml:space="preserve"> </w:t>
      </w:r>
      <w:bookmarkEnd w:id="4"/>
    </w:p>
  </w:footnote>
  <w:footnote w:id="38">
    <w:p w:rsidR="005F609E" w:rsidP="005F609E" w14:paraId="1F203DB4" w14:textId="4F56F9CD">
      <w:pPr>
        <w:pStyle w:val="FootnoteText"/>
      </w:pPr>
      <w:r>
        <w:rPr>
          <w:rStyle w:val="FootnoteReference"/>
        </w:rPr>
        <w:footnoteRef/>
      </w:r>
      <w:r>
        <w:t xml:space="preserve"> </w:t>
      </w:r>
      <w:r w:rsidR="0095727E">
        <w:t>Tesla Waiver Request at</w:t>
      </w:r>
      <w:r>
        <w:t xml:space="preserve"> 11. </w:t>
      </w:r>
    </w:p>
  </w:footnote>
  <w:footnote w:id="39">
    <w:p w:rsidR="005E778A" w:rsidP="005E778A" w14:paraId="74225E38" w14:textId="054EEE47">
      <w:pPr>
        <w:pStyle w:val="FootnoteText"/>
      </w:pPr>
      <w:r>
        <w:rPr>
          <w:rStyle w:val="FootnoteReference"/>
        </w:rPr>
        <w:footnoteRef/>
      </w:r>
      <w:r>
        <w:t xml:space="preserve"> By “commercial” we mean any non-residential application, including any </w:t>
      </w:r>
      <w:r w:rsidRPr="00EC3420">
        <w:t xml:space="preserve">charging </w:t>
      </w:r>
      <w:r>
        <w:t>facilities made available to the public</w:t>
      </w:r>
      <w:r w:rsidR="00804D35">
        <w:t xml:space="preserve"> for a fe</w:t>
      </w:r>
      <w:r w:rsidR="004D287C">
        <w:t>e</w:t>
      </w:r>
      <w:r>
        <w:t xml:space="preserve">, deployed </w:t>
      </w:r>
      <w:r w:rsidR="00412200">
        <w:t>by</w:t>
      </w:r>
      <w:r>
        <w:t xml:space="preserve"> businesses</w:t>
      </w:r>
      <w:r w:rsidR="00637D8E">
        <w:t xml:space="preserve"> for fleet charging</w:t>
      </w:r>
      <w:r w:rsidR="00D528E6">
        <w:t xml:space="preserve"> (either their own or as a service)</w:t>
      </w:r>
      <w:r>
        <w:t>, or deployed by Tesla</w:t>
      </w:r>
      <w:r w:rsidRPr="00EC3420">
        <w:t xml:space="preserve"> for its own use</w:t>
      </w:r>
      <w:r>
        <w:t>.</w:t>
      </w:r>
    </w:p>
  </w:footnote>
  <w:footnote w:id="40">
    <w:p w:rsidR="00684AC8" w14:paraId="7815E1AB" w14:textId="1C1095CC">
      <w:pPr>
        <w:pStyle w:val="FootnoteText"/>
      </w:pPr>
      <w:r>
        <w:rPr>
          <w:rStyle w:val="FootnoteReference"/>
        </w:rPr>
        <w:footnoteRef/>
      </w:r>
      <w:r>
        <w:t xml:space="preserve"> We note that this notification distance is based on conservative estimates.  Once systems are deployed, we could consider modifying these distances, if warranted, based on measurement data. </w:t>
      </w:r>
    </w:p>
  </w:footnote>
  <w:footnote w:id="41">
    <w:p w:rsidR="00684AC8" w:rsidRPr="00684AC8" w14:paraId="54FF5B03" w14:textId="0B64BBE4">
      <w:pPr>
        <w:pStyle w:val="FootnoteText"/>
      </w:pPr>
      <w:r>
        <w:rPr>
          <w:rStyle w:val="FootnoteReference"/>
        </w:rPr>
        <w:footnoteRef/>
      </w:r>
      <w:r>
        <w:t xml:space="preserve"> </w:t>
      </w:r>
      <w:r>
        <w:rPr>
          <w:i/>
          <w:iCs/>
        </w:rPr>
        <w:t>Id.</w:t>
      </w:r>
    </w:p>
  </w:footnote>
  <w:footnote w:id="42">
    <w:p w:rsidR="00684AC8" w14:paraId="31CDE606" w14:textId="073839C8">
      <w:pPr>
        <w:pStyle w:val="FootnoteText"/>
      </w:pPr>
      <w:r>
        <w:rPr>
          <w:rStyle w:val="FootnoteReference"/>
        </w:rPr>
        <w:footnoteRef/>
      </w:r>
      <w:r>
        <w:t xml:space="preserve"> </w:t>
      </w:r>
      <w:r w:rsidRPr="00684AC8">
        <w:rPr>
          <w:i/>
          <w:iCs/>
        </w:rPr>
        <w:t>Id.</w:t>
      </w:r>
    </w:p>
  </w:footnote>
  <w:footnote w:id="43">
    <w:p w:rsidR="00684AC8" w:rsidRPr="00684AC8" w14:paraId="5F5DA872" w14:textId="3A2A13A0">
      <w:pPr>
        <w:pStyle w:val="FootnoteText"/>
      </w:pPr>
      <w:r>
        <w:rPr>
          <w:rStyle w:val="FootnoteReference"/>
        </w:rPr>
        <w:footnoteRef/>
      </w:r>
      <w:r>
        <w:t xml:space="preserve"> </w:t>
      </w:r>
      <w:r>
        <w:rPr>
          <w:i/>
          <w:iCs/>
        </w:rPr>
        <w:t>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3623" w:rsidP="00C41B09" w14:paraId="7465AE19" w14:textId="286DA3EB">
    <w:pPr>
      <w:pStyle w:val="Header"/>
    </w:pPr>
    <w:r>
      <w:tab/>
      <w:t>Federal Communications Commission</w:t>
    </w:r>
    <w:r>
      <w:tab/>
      <w:t xml:space="preserve">DA </w:t>
    </w:r>
    <w:r w:rsidR="002112AC">
      <w:t>2</w:t>
    </w:r>
    <w:r w:rsidR="00E323B7">
      <w:t>5</w:t>
    </w:r>
    <w:r w:rsidR="002112AC">
      <w:t>-</w:t>
    </w:r>
    <w:r w:rsidR="00AC0F41">
      <w:t>168</w:t>
    </w:r>
    <w:r>
      <w:t xml:space="preserve">  </w:t>
    </w:r>
  </w:p>
  <w:p w:rsidR="00FE3623" w:rsidRPr="00C41B09" w:rsidP="00C41B09" w14:paraId="7BD4DA75" w14:textId="77777777">
    <w:pPr>
      <w:pStyle w:val="Header"/>
    </w:pPr>
    <w:r w:rsidRPr="00C41B09">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22224</wp:posOffset>
              </wp:positionV>
              <wp:extent cx="5943600" cy="0"/>
              <wp:effectExtent l="0" t="0" r="0" b="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2" o:spid="_x0000_s2049" style="mso-height-percent:0;mso-height-relative:page;mso-width-percent:0;mso-width-relative:page;mso-wrap-distance-bottom:0;mso-wrap-distance-left:9pt;mso-wrap-distance-right:9pt;mso-wrap-distance-top:0;mso-wrap-style:square;position:absolute;visibility:visible;z-index:251659264" from="0,1.75pt" to="468pt,1.75pt" o:allowincell="f" strokeweight="1pt"/>
          </w:pict>
        </mc:Fallback>
      </mc:AlternateContent>
    </w:r>
  </w:p>
  <w:p w:rsidR="00FE3623" w:rsidP="00C41B09" w14:paraId="2FCDB19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3623" w:rsidRPr="00C41B09" w:rsidP="00C41B09" w14:paraId="712E4827" w14:textId="69808609">
    <w:pPr>
      <w:pStyle w:val="Header"/>
    </w:pPr>
    <w:r w:rsidRPr="00C41B09">
      <w:rPr>
        <w:noProof/>
      </w:rPr>
      <mc:AlternateContent>
        <mc:Choice Requires="wps">
          <w:drawing>
            <wp:anchor distT="0" distB="0" distL="114300" distR="114300" simplePos="0" relativeHeight="251660288" behindDoc="1" locked="0" layoutInCell="0" allowOverlap="1">
              <wp:simplePos x="0" y="0"/>
              <wp:positionH relativeFrom="margin">
                <wp:posOffset>7620</wp:posOffset>
              </wp:positionH>
              <wp:positionV relativeFrom="paragraph">
                <wp:posOffset>160655</wp:posOffset>
              </wp:positionV>
              <wp:extent cx="5943600" cy="12065"/>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1" o:spid="_x0000_s2050" style="width:468pt;height:0.95pt;margin-top:12.65pt;margin-left:0.6pt;mso-height-percent:0;mso-height-relative:page;mso-position-horizontal-relative:margin;mso-width-percent:0;mso-width-relative:page;mso-wrap-distance-bottom:0;mso-wrap-distance-left:9pt;mso-wrap-distance-right:9pt;mso-wrap-distance-top:0;mso-wrap-style:square;position:absolute;visibility:visible;v-text-anchor:top;z-index:-251655168" o:allowincell="f" fillcolor="black" stroked="f">
              <w10:wrap anchorx="margin"/>
            </v:rect>
          </w:pict>
        </mc:Fallback>
      </mc:AlternateContent>
    </w:r>
    <w:r w:rsidRPr="00C41B09">
      <w:tab/>
      <w:t>Federal Communications Commission</w:t>
    </w:r>
    <w:r w:rsidRPr="00C41B09">
      <w:tab/>
    </w:r>
    <w:r w:rsidRPr="00C41B09">
      <w:rPr>
        <w:spacing w:val="-2"/>
      </w:rPr>
      <w:t>DA 2</w:t>
    </w:r>
    <w:r w:rsidRPr="00C41B09" w:rsidR="00E323B7">
      <w:rPr>
        <w:spacing w:val="-2"/>
      </w:rPr>
      <w:t>5</w:t>
    </w:r>
    <w:r w:rsidRPr="00C41B09">
      <w:rPr>
        <w:spacing w:val="-2"/>
      </w:rPr>
      <w:t>-</w:t>
    </w:r>
    <w:r w:rsidRPr="00C41B09" w:rsidR="00AC0F41">
      <w:rPr>
        <w:spacing w:val="-2"/>
      </w:rPr>
      <w:t>168</w:t>
    </w:r>
  </w:p>
  <w:p w:rsidR="00FE3623" w:rsidP="00C41B09" w14:paraId="1792EB78" w14:textId="77777777">
    <w:pPr>
      <w:pStyle w:val="Header"/>
    </w:pPr>
  </w:p>
  <w:p w:rsidR="00FE3623" w:rsidP="00C41B09" w14:paraId="7A60124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1502A21"/>
    <w:multiLevelType w:val="multilevel"/>
    <w:tmpl w:val="C2F0075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7105B68"/>
    <w:multiLevelType w:val="hybridMultilevel"/>
    <w:tmpl w:val="3BC0BD8A"/>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61182925"/>
    <w:multiLevelType w:val="singleLevel"/>
    <w:tmpl w:val="F29609B8"/>
    <w:lvl w:ilvl="0">
      <w:start w:val="1"/>
      <w:numFmt w:val="decimal"/>
      <w:pStyle w:val="ParaNum"/>
      <w:lvlText w:val="%1."/>
      <w:lvlJc w:val="left"/>
      <w:pPr>
        <w:tabs>
          <w:tab w:val="num" w:pos="1080"/>
        </w:tabs>
        <w:ind w:left="0" w:firstLine="720"/>
      </w:pPr>
      <w:rPr>
        <w:rFonts w:hint="default"/>
        <w:b w:val="0"/>
        <w:bCs/>
        <w:sz w:val="22"/>
        <w:szCs w:val="22"/>
        <w:vertAlign w:val="baseline"/>
      </w:rPr>
    </w:lvl>
  </w:abstractNum>
  <w:abstractNum w:abstractNumId="3">
    <w:nsid w:val="65721A72"/>
    <w:multiLevelType w:val="hybridMultilevel"/>
    <w:tmpl w:val="CBD8ACAE"/>
    <w:lvl w:ilvl="0">
      <w:start w:val="1"/>
      <w:numFmt w:val="decimal"/>
      <w:lvlText w:val="%1)"/>
      <w:lvlJc w:val="left"/>
      <w:pPr>
        <w:tabs>
          <w:tab w:val="num" w:pos="1170"/>
        </w:tabs>
        <w:ind w:left="1170" w:hanging="360"/>
      </w:pPr>
      <w:rPr>
        <w:rFonts w:hint="default"/>
      </w:rPr>
    </w:lvl>
    <w:lvl w:ilvl="1">
      <w:start w:val="1"/>
      <w:numFmt w:val="bullet"/>
      <w:lvlText w:val=""/>
      <w:lvlJc w:val="left"/>
      <w:pPr>
        <w:tabs>
          <w:tab w:val="num" w:pos="1170"/>
        </w:tabs>
        <w:ind w:left="1170" w:hanging="360"/>
      </w:pPr>
      <w:rPr>
        <w:rFonts w:ascii="Symbol" w:hAnsi="Symbol"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
    <w:nsid w:val="7F0406EE"/>
    <w:multiLevelType w:val="hybridMultilevel"/>
    <w:tmpl w:val="749E4CE6"/>
    <w:lvl w:ilvl="0">
      <w:start w:val="1"/>
      <w:numFmt w:val="bullet"/>
      <w:pStyle w:val="Bullet"/>
      <w:lvlText w:val=""/>
      <w:lvlJc w:val="left"/>
      <w:pPr>
        <w:tabs>
          <w:tab w:val="num" w:pos="360"/>
        </w:tabs>
        <w:ind w:left="360" w:hanging="360"/>
      </w:pPr>
      <w:rPr>
        <w:rFonts w:ascii="Wingdings" w:hAnsi="Wingding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0"/>
      <w:numFmt w:val="bullet"/>
      <w:lvlText w:val="-"/>
      <w:lvlJc w:val="left"/>
      <w:pPr>
        <w:tabs>
          <w:tab w:val="num" w:pos="360"/>
        </w:tabs>
        <w:ind w:left="360" w:hanging="360"/>
      </w:pPr>
      <w:rPr>
        <w:rFonts w:ascii="Times New Roman" w:eastAsia="Times New Roman" w:hAnsi="Times New Roman" w:cs="Times New Roman" w:hint="default"/>
      </w:rPr>
    </w:lvl>
    <w:lvl w:ilvl="4">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16cid:durableId="656693484">
    <w:abstractNumId w:val="2"/>
  </w:num>
  <w:num w:numId="2" w16cid:durableId="911623613">
    <w:abstractNumId w:val="3"/>
  </w:num>
  <w:num w:numId="3" w16cid:durableId="1118446507">
    <w:abstractNumId w:val="1"/>
  </w:num>
  <w:num w:numId="4" w16cid:durableId="627277756">
    <w:abstractNumId w:val="4"/>
  </w:num>
  <w:num w:numId="5" w16cid:durableId="435180187">
    <w:abstractNumId w:val="2"/>
  </w:num>
  <w:num w:numId="6" w16cid:durableId="388068708">
    <w:abstractNumId w:val="2"/>
  </w:num>
  <w:num w:numId="7" w16cid:durableId="1913542984">
    <w:abstractNumId w:val="0"/>
  </w:num>
  <w:num w:numId="8" w16cid:durableId="726806256">
    <w:abstractNumId w:val="2"/>
    <w:lvlOverride w:ilvl="0">
      <w:startOverride w:val="1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3AB"/>
    <w:rsid w:val="00000063"/>
    <w:rsid w:val="0000073A"/>
    <w:rsid w:val="00002080"/>
    <w:rsid w:val="000024BC"/>
    <w:rsid w:val="000048E7"/>
    <w:rsid w:val="00004F3D"/>
    <w:rsid w:val="00006299"/>
    <w:rsid w:val="00006488"/>
    <w:rsid w:val="000100EE"/>
    <w:rsid w:val="000115AC"/>
    <w:rsid w:val="00011974"/>
    <w:rsid w:val="00012419"/>
    <w:rsid w:val="00012D0D"/>
    <w:rsid w:val="00012D5C"/>
    <w:rsid w:val="0001314A"/>
    <w:rsid w:val="00014A51"/>
    <w:rsid w:val="00016177"/>
    <w:rsid w:val="00016340"/>
    <w:rsid w:val="0001680F"/>
    <w:rsid w:val="0001736D"/>
    <w:rsid w:val="00021942"/>
    <w:rsid w:val="00023F90"/>
    <w:rsid w:val="00025242"/>
    <w:rsid w:val="000265CA"/>
    <w:rsid w:val="0003203A"/>
    <w:rsid w:val="000352D3"/>
    <w:rsid w:val="00035680"/>
    <w:rsid w:val="00036FC1"/>
    <w:rsid w:val="00040F8E"/>
    <w:rsid w:val="00040FD5"/>
    <w:rsid w:val="00043AB3"/>
    <w:rsid w:val="00045C30"/>
    <w:rsid w:val="00046BCD"/>
    <w:rsid w:val="00051500"/>
    <w:rsid w:val="00051A69"/>
    <w:rsid w:val="0005240F"/>
    <w:rsid w:val="00052655"/>
    <w:rsid w:val="00053787"/>
    <w:rsid w:val="000539ED"/>
    <w:rsid w:val="00055644"/>
    <w:rsid w:val="00055A10"/>
    <w:rsid w:val="00060FC2"/>
    <w:rsid w:val="0006155A"/>
    <w:rsid w:val="0006321B"/>
    <w:rsid w:val="00064012"/>
    <w:rsid w:val="00065485"/>
    <w:rsid w:val="0007189A"/>
    <w:rsid w:val="00072884"/>
    <w:rsid w:val="00073BE8"/>
    <w:rsid w:val="00075FC4"/>
    <w:rsid w:val="00080A28"/>
    <w:rsid w:val="00081B41"/>
    <w:rsid w:val="00081C3B"/>
    <w:rsid w:val="000874E2"/>
    <w:rsid w:val="00087A34"/>
    <w:rsid w:val="00091055"/>
    <w:rsid w:val="00091146"/>
    <w:rsid w:val="00091429"/>
    <w:rsid w:val="0009142A"/>
    <w:rsid w:val="000A0DD1"/>
    <w:rsid w:val="000A167F"/>
    <w:rsid w:val="000A1E62"/>
    <w:rsid w:val="000A21EB"/>
    <w:rsid w:val="000A5C2B"/>
    <w:rsid w:val="000A5FE3"/>
    <w:rsid w:val="000A6170"/>
    <w:rsid w:val="000B1290"/>
    <w:rsid w:val="000B1B5F"/>
    <w:rsid w:val="000B44C1"/>
    <w:rsid w:val="000B4C87"/>
    <w:rsid w:val="000B601B"/>
    <w:rsid w:val="000B6EF4"/>
    <w:rsid w:val="000C015F"/>
    <w:rsid w:val="000C09DE"/>
    <w:rsid w:val="000C181F"/>
    <w:rsid w:val="000C1F07"/>
    <w:rsid w:val="000C6AF2"/>
    <w:rsid w:val="000C70C7"/>
    <w:rsid w:val="000C7984"/>
    <w:rsid w:val="000D0A7F"/>
    <w:rsid w:val="000D1A43"/>
    <w:rsid w:val="000D1B5E"/>
    <w:rsid w:val="000D6A80"/>
    <w:rsid w:val="000D7D0B"/>
    <w:rsid w:val="000E0105"/>
    <w:rsid w:val="000E072E"/>
    <w:rsid w:val="000E0AB1"/>
    <w:rsid w:val="000E0EB4"/>
    <w:rsid w:val="000E1281"/>
    <w:rsid w:val="000E1EF0"/>
    <w:rsid w:val="000E4DC7"/>
    <w:rsid w:val="000E4FB3"/>
    <w:rsid w:val="000E64F0"/>
    <w:rsid w:val="000E6E37"/>
    <w:rsid w:val="000E7C0C"/>
    <w:rsid w:val="000F2ADE"/>
    <w:rsid w:val="000F35DE"/>
    <w:rsid w:val="000F4FEA"/>
    <w:rsid w:val="000F7BD0"/>
    <w:rsid w:val="000F7F07"/>
    <w:rsid w:val="00101EDD"/>
    <w:rsid w:val="00102BDE"/>
    <w:rsid w:val="00105666"/>
    <w:rsid w:val="0011455E"/>
    <w:rsid w:val="00115451"/>
    <w:rsid w:val="00120D9B"/>
    <w:rsid w:val="0012233D"/>
    <w:rsid w:val="00134415"/>
    <w:rsid w:val="00136617"/>
    <w:rsid w:val="00137772"/>
    <w:rsid w:val="00142522"/>
    <w:rsid w:val="00142E28"/>
    <w:rsid w:val="0014681D"/>
    <w:rsid w:val="0014702E"/>
    <w:rsid w:val="0015163A"/>
    <w:rsid w:val="00154992"/>
    <w:rsid w:val="0015584E"/>
    <w:rsid w:val="00160B15"/>
    <w:rsid w:val="0016595C"/>
    <w:rsid w:val="00167532"/>
    <w:rsid w:val="00174066"/>
    <w:rsid w:val="00174A0B"/>
    <w:rsid w:val="00174A8C"/>
    <w:rsid w:val="0017699C"/>
    <w:rsid w:val="00176CC2"/>
    <w:rsid w:val="00177B42"/>
    <w:rsid w:val="001807F8"/>
    <w:rsid w:val="001813CE"/>
    <w:rsid w:val="0018428F"/>
    <w:rsid w:val="001847D3"/>
    <w:rsid w:val="00184FB3"/>
    <w:rsid w:val="00187C91"/>
    <w:rsid w:val="001926B4"/>
    <w:rsid w:val="00193029"/>
    <w:rsid w:val="00195EF0"/>
    <w:rsid w:val="00196838"/>
    <w:rsid w:val="00196855"/>
    <w:rsid w:val="00196CF2"/>
    <w:rsid w:val="001A0169"/>
    <w:rsid w:val="001A03A5"/>
    <w:rsid w:val="001A0B92"/>
    <w:rsid w:val="001A1BAD"/>
    <w:rsid w:val="001A401D"/>
    <w:rsid w:val="001A51B0"/>
    <w:rsid w:val="001A5F9D"/>
    <w:rsid w:val="001B1BD1"/>
    <w:rsid w:val="001B2891"/>
    <w:rsid w:val="001B3103"/>
    <w:rsid w:val="001B39D1"/>
    <w:rsid w:val="001B458C"/>
    <w:rsid w:val="001B51F7"/>
    <w:rsid w:val="001B63CC"/>
    <w:rsid w:val="001B7352"/>
    <w:rsid w:val="001B7E59"/>
    <w:rsid w:val="001C008D"/>
    <w:rsid w:val="001C13DB"/>
    <w:rsid w:val="001C42B0"/>
    <w:rsid w:val="001D31A8"/>
    <w:rsid w:val="001D3730"/>
    <w:rsid w:val="001D3A7E"/>
    <w:rsid w:val="001D4644"/>
    <w:rsid w:val="001D58FB"/>
    <w:rsid w:val="001E0D33"/>
    <w:rsid w:val="001E1A39"/>
    <w:rsid w:val="001E3DD5"/>
    <w:rsid w:val="001E48D3"/>
    <w:rsid w:val="001E5E53"/>
    <w:rsid w:val="001F436A"/>
    <w:rsid w:val="001F5337"/>
    <w:rsid w:val="001F6548"/>
    <w:rsid w:val="001F7488"/>
    <w:rsid w:val="001F765E"/>
    <w:rsid w:val="001F7F1D"/>
    <w:rsid w:val="00200AA1"/>
    <w:rsid w:val="00200EDB"/>
    <w:rsid w:val="00201008"/>
    <w:rsid w:val="002021E9"/>
    <w:rsid w:val="00203A41"/>
    <w:rsid w:val="00204265"/>
    <w:rsid w:val="0021120B"/>
    <w:rsid w:val="002112AC"/>
    <w:rsid w:val="00211DCB"/>
    <w:rsid w:val="00221DFB"/>
    <w:rsid w:val="00222E6D"/>
    <w:rsid w:val="00223636"/>
    <w:rsid w:val="00223CF1"/>
    <w:rsid w:val="002242F9"/>
    <w:rsid w:val="00224729"/>
    <w:rsid w:val="00226818"/>
    <w:rsid w:val="00226C5E"/>
    <w:rsid w:val="0022733D"/>
    <w:rsid w:val="00227B8E"/>
    <w:rsid w:val="002338D0"/>
    <w:rsid w:val="002348B0"/>
    <w:rsid w:val="00236124"/>
    <w:rsid w:val="0023619A"/>
    <w:rsid w:val="002412A5"/>
    <w:rsid w:val="00242F39"/>
    <w:rsid w:val="0024360C"/>
    <w:rsid w:val="00252E3B"/>
    <w:rsid w:val="00257764"/>
    <w:rsid w:val="0026578A"/>
    <w:rsid w:val="002671D5"/>
    <w:rsid w:val="002677F7"/>
    <w:rsid w:val="002717AB"/>
    <w:rsid w:val="00272786"/>
    <w:rsid w:val="00273FA8"/>
    <w:rsid w:val="00286979"/>
    <w:rsid w:val="00292660"/>
    <w:rsid w:val="00293026"/>
    <w:rsid w:val="00294A43"/>
    <w:rsid w:val="0029534B"/>
    <w:rsid w:val="00297701"/>
    <w:rsid w:val="002A0923"/>
    <w:rsid w:val="002A0AA9"/>
    <w:rsid w:val="002A14BF"/>
    <w:rsid w:val="002A34DD"/>
    <w:rsid w:val="002A78F3"/>
    <w:rsid w:val="002B01E8"/>
    <w:rsid w:val="002B07F0"/>
    <w:rsid w:val="002B2698"/>
    <w:rsid w:val="002B2E5F"/>
    <w:rsid w:val="002B401D"/>
    <w:rsid w:val="002B6B0A"/>
    <w:rsid w:val="002C2150"/>
    <w:rsid w:val="002C27A2"/>
    <w:rsid w:val="002C7790"/>
    <w:rsid w:val="002D0DE3"/>
    <w:rsid w:val="002D147B"/>
    <w:rsid w:val="002D2E17"/>
    <w:rsid w:val="002D757E"/>
    <w:rsid w:val="002D76D1"/>
    <w:rsid w:val="002D78A4"/>
    <w:rsid w:val="002E20CB"/>
    <w:rsid w:val="002F0BDA"/>
    <w:rsid w:val="002F2CC1"/>
    <w:rsid w:val="002F753E"/>
    <w:rsid w:val="003012E9"/>
    <w:rsid w:val="00302E93"/>
    <w:rsid w:val="00304549"/>
    <w:rsid w:val="003048C1"/>
    <w:rsid w:val="003065AC"/>
    <w:rsid w:val="003115B1"/>
    <w:rsid w:val="0031297A"/>
    <w:rsid w:val="003141CC"/>
    <w:rsid w:val="00316A03"/>
    <w:rsid w:val="0032113C"/>
    <w:rsid w:val="003214B9"/>
    <w:rsid w:val="00321A41"/>
    <w:rsid w:val="00324DAE"/>
    <w:rsid w:val="00330F68"/>
    <w:rsid w:val="00332F9B"/>
    <w:rsid w:val="003334FA"/>
    <w:rsid w:val="003356D9"/>
    <w:rsid w:val="00340673"/>
    <w:rsid w:val="00341272"/>
    <w:rsid w:val="00341D18"/>
    <w:rsid w:val="00342071"/>
    <w:rsid w:val="00343415"/>
    <w:rsid w:val="00343427"/>
    <w:rsid w:val="00343C46"/>
    <w:rsid w:val="00345318"/>
    <w:rsid w:val="00346FF8"/>
    <w:rsid w:val="003479AE"/>
    <w:rsid w:val="00350B17"/>
    <w:rsid w:val="00351DDE"/>
    <w:rsid w:val="003522E5"/>
    <w:rsid w:val="003551B0"/>
    <w:rsid w:val="0035736D"/>
    <w:rsid w:val="003573C1"/>
    <w:rsid w:val="00357A00"/>
    <w:rsid w:val="0036279E"/>
    <w:rsid w:val="00363FD6"/>
    <w:rsid w:val="003646E6"/>
    <w:rsid w:val="0036483B"/>
    <w:rsid w:val="003704BD"/>
    <w:rsid w:val="0037133A"/>
    <w:rsid w:val="00376104"/>
    <w:rsid w:val="003770B2"/>
    <w:rsid w:val="0037718D"/>
    <w:rsid w:val="00377828"/>
    <w:rsid w:val="00380FDF"/>
    <w:rsid w:val="003836F1"/>
    <w:rsid w:val="003838C1"/>
    <w:rsid w:val="003839DE"/>
    <w:rsid w:val="0038736D"/>
    <w:rsid w:val="00391F65"/>
    <w:rsid w:val="003949E4"/>
    <w:rsid w:val="003A3716"/>
    <w:rsid w:val="003A47D8"/>
    <w:rsid w:val="003B33FE"/>
    <w:rsid w:val="003B41A6"/>
    <w:rsid w:val="003B62C2"/>
    <w:rsid w:val="003C1DEB"/>
    <w:rsid w:val="003C2007"/>
    <w:rsid w:val="003C2A1D"/>
    <w:rsid w:val="003C3D4D"/>
    <w:rsid w:val="003C4598"/>
    <w:rsid w:val="003C675B"/>
    <w:rsid w:val="003D0115"/>
    <w:rsid w:val="003D0CF0"/>
    <w:rsid w:val="003D2F11"/>
    <w:rsid w:val="003D5BE5"/>
    <w:rsid w:val="003D5E48"/>
    <w:rsid w:val="003E0CE4"/>
    <w:rsid w:val="003E0D8B"/>
    <w:rsid w:val="003E34AA"/>
    <w:rsid w:val="003E528E"/>
    <w:rsid w:val="003E658F"/>
    <w:rsid w:val="003E7C8A"/>
    <w:rsid w:val="003F0FA5"/>
    <w:rsid w:val="003F100C"/>
    <w:rsid w:val="003F185B"/>
    <w:rsid w:val="003F5276"/>
    <w:rsid w:val="003F624E"/>
    <w:rsid w:val="00404AEC"/>
    <w:rsid w:val="004064B1"/>
    <w:rsid w:val="00412200"/>
    <w:rsid w:val="004145A2"/>
    <w:rsid w:val="00414CEE"/>
    <w:rsid w:val="0041614E"/>
    <w:rsid w:val="004172BF"/>
    <w:rsid w:val="004177BA"/>
    <w:rsid w:val="004205C3"/>
    <w:rsid w:val="004205C5"/>
    <w:rsid w:val="004212D6"/>
    <w:rsid w:val="00427758"/>
    <w:rsid w:val="0043370D"/>
    <w:rsid w:val="004364C8"/>
    <w:rsid w:val="004368C1"/>
    <w:rsid w:val="004415F3"/>
    <w:rsid w:val="00444072"/>
    <w:rsid w:val="00445F92"/>
    <w:rsid w:val="004509F1"/>
    <w:rsid w:val="00450B36"/>
    <w:rsid w:val="00451A52"/>
    <w:rsid w:val="004547FD"/>
    <w:rsid w:val="00454FBF"/>
    <w:rsid w:val="00456125"/>
    <w:rsid w:val="004568FA"/>
    <w:rsid w:val="0045781E"/>
    <w:rsid w:val="00465219"/>
    <w:rsid w:val="00467515"/>
    <w:rsid w:val="00471229"/>
    <w:rsid w:val="004720AB"/>
    <w:rsid w:val="0047500B"/>
    <w:rsid w:val="00475099"/>
    <w:rsid w:val="00476924"/>
    <w:rsid w:val="00486D3B"/>
    <w:rsid w:val="00490397"/>
    <w:rsid w:val="0049162E"/>
    <w:rsid w:val="00494860"/>
    <w:rsid w:val="00495B05"/>
    <w:rsid w:val="0049625C"/>
    <w:rsid w:val="00497016"/>
    <w:rsid w:val="00497589"/>
    <w:rsid w:val="004A1742"/>
    <w:rsid w:val="004A42E9"/>
    <w:rsid w:val="004A5CBB"/>
    <w:rsid w:val="004A5D91"/>
    <w:rsid w:val="004B20E6"/>
    <w:rsid w:val="004B6883"/>
    <w:rsid w:val="004B6EE0"/>
    <w:rsid w:val="004B7191"/>
    <w:rsid w:val="004C1F8C"/>
    <w:rsid w:val="004C34FF"/>
    <w:rsid w:val="004C53EC"/>
    <w:rsid w:val="004C6788"/>
    <w:rsid w:val="004D04EB"/>
    <w:rsid w:val="004D19ED"/>
    <w:rsid w:val="004D26EB"/>
    <w:rsid w:val="004D287C"/>
    <w:rsid w:val="004D5BCD"/>
    <w:rsid w:val="004D7335"/>
    <w:rsid w:val="004D75D8"/>
    <w:rsid w:val="004E111E"/>
    <w:rsid w:val="004E2AC1"/>
    <w:rsid w:val="004E31A3"/>
    <w:rsid w:val="004F3CF3"/>
    <w:rsid w:val="004F5063"/>
    <w:rsid w:val="004F63EB"/>
    <w:rsid w:val="00503EE6"/>
    <w:rsid w:val="005041B8"/>
    <w:rsid w:val="00504B88"/>
    <w:rsid w:val="005076FB"/>
    <w:rsid w:val="00507D95"/>
    <w:rsid w:val="00513F58"/>
    <w:rsid w:val="00515DA5"/>
    <w:rsid w:val="00522567"/>
    <w:rsid w:val="00522783"/>
    <w:rsid w:val="00525BF2"/>
    <w:rsid w:val="00531FB7"/>
    <w:rsid w:val="00532C9B"/>
    <w:rsid w:val="00533951"/>
    <w:rsid w:val="0054013C"/>
    <w:rsid w:val="005413F4"/>
    <w:rsid w:val="0054164B"/>
    <w:rsid w:val="00541835"/>
    <w:rsid w:val="00543097"/>
    <w:rsid w:val="00554418"/>
    <w:rsid w:val="00554864"/>
    <w:rsid w:val="00555DE8"/>
    <w:rsid w:val="00556AFE"/>
    <w:rsid w:val="005616E3"/>
    <w:rsid w:val="005617C6"/>
    <w:rsid w:val="00566D50"/>
    <w:rsid w:val="00567116"/>
    <w:rsid w:val="00570966"/>
    <w:rsid w:val="00572E18"/>
    <w:rsid w:val="00577623"/>
    <w:rsid w:val="00581B85"/>
    <w:rsid w:val="00582866"/>
    <w:rsid w:val="00583993"/>
    <w:rsid w:val="005864FE"/>
    <w:rsid w:val="00590FCC"/>
    <w:rsid w:val="00591923"/>
    <w:rsid w:val="00592720"/>
    <w:rsid w:val="00597D65"/>
    <w:rsid w:val="005A003C"/>
    <w:rsid w:val="005A221A"/>
    <w:rsid w:val="005A4798"/>
    <w:rsid w:val="005A494A"/>
    <w:rsid w:val="005B2C3C"/>
    <w:rsid w:val="005B31BA"/>
    <w:rsid w:val="005B337E"/>
    <w:rsid w:val="005B354F"/>
    <w:rsid w:val="005C2320"/>
    <w:rsid w:val="005C2756"/>
    <w:rsid w:val="005C3FB3"/>
    <w:rsid w:val="005C6DFD"/>
    <w:rsid w:val="005D1C78"/>
    <w:rsid w:val="005D3B12"/>
    <w:rsid w:val="005D4E32"/>
    <w:rsid w:val="005D753D"/>
    <w:rsid w:val="005E058C"/>
    <w:rsid w:val="005E106C"/>
    <w:rsid w:val="005E626C"/>
    <w:rsid w:val="005E6EA3"/>
    <w:rsid w:val="005E778A"/>
    <w:rsid w:val="005E7CF0"/>
    <w:rsid w:val="005F0230"/>
    <w:rsid w:val="005F0EBC"/>
    <w:rsid w:val="005F19EE"/>
    <w:rsid w:val="005F364F"/>
    <w:rsid w:val="005F508C"/>
    <w:rsid w:val="005F584A"/>
    <w:rsid w:val="005F609E"/>
    <w:rsid w:val="006053CD"/>
    <w:rsid w:val="00605CBF"/>
    <w:rsid w:val="00605E01"/>
    <w:rsid w:val="00612187"/>
    <w:rsid w:val="00613944"/>
    <w:rsid w:val="00615B5F"/>
    <w:rsid w:val="00621AF0"/>
    <w:rsid w:val="00621BD9"/>
    <w:rsid w:val="00622564"/>
    <w:rsid w:val="00626479"/>
    <w:rsid w:val="0062729E"/>
    <w:rsid w:val="00630AE3"/>
    <w:rsid w:val="00630FD7"/>
    <w:rsid w:val="00631011"/>
    <w:rsid w:val="00632910"/>
    <w:rsid w:val="006330B2"/>
    <w:rsid w:val="00634D16"/>
    <w:rsid w:val="00636554"/>
    <w:rsid w:val="00637D8E"/>
    <w:rsid w:val="00640AD5"/>
    <w:rsid w:val="006417FE"/>
    <w:rsid w:val="00643351"/>
    <w:rsid w:val="00644C00"/>
    <w:rsid w:val="0064697E"/>
    <w:rsid w:val="00650071"/>
    <w:rsid w:val="00650ED2"/>
    <w:rsid w:val="006516F5"/>
    <w:rsid w:val="006519D3"/>
    <w:rsid w:val="006521F1"/>
    <w:rsid w:val="0065609E"/>
    <w:rsid w:val="00656BF1"/>
    <w:rsid w:val="00656CBB"/>
    <w:rsid w:val="00657C87"/>
    <w:rsid w:val="006601E3"/>
    <w:rsid w:val="00662D35"/>
    <w:rsid w:val="00664AFF"/>
    <w:rsid w:val="00664E20"/>
    <w:rsid w:val="00665058"/>
    <w:rsid w:val="00665576"/>
    <w:rsid w:val="006708D3"/>
    <w:rsid w:val="00671519"/>
    <w:rsid w:val="00674130"/>
    <w:rsid w:val="006762FD"/>
    <w:rsid w:val="00676755"/>
    <w:rsid w:val="0068430D"/>
    <w:rsid w:val="00684927"/>
    <w:rsid w:val="00684AC8"/>
    <w:rsid w:val="00687ED8"/>
    <w:rsid w:val="00691D0C"/>
    <w:rsid w:val="00691F7E"/>
    <w:rsid w:val="00693427"/>
    <w:rsid w:val="006A0825"/>
    <w:rsid w:val="006A185C"/>
    <w:rsid w:val="006A4775"/>
    <w:rsid w:val="006A5078"/>
    <w:rsid w:val="006A5C21"/>
    <w:rsid w:val="006A62D5"/>
    <w:rsid w:val="006B1A74"/>
    <w:rsid w:val="006B1B46"/>
    <w:rsid w:val="006B3F9D"/>
    <w:rsid w:val="006B5429"/>
    <w:rsid w:val="006B5777"/>
    <w:rsid w:val="006B59F3"/>
    <w:rsid w:val="006B68FA"/>
    <w:rsid w:val="006B7EF3"/>
    <w:rsid w:val="006C4C5F"/>
    <w:rsid w:val="006C7B66"/>
    <w:rsid w:val="006D0085"/>
    <w:rsid w:val="006D1CA6"/>
    <w:rsid w:val="006D42CF"/>
    <w:rsid w:val="006D5225"/>
    <w:rsid w:val="006E1A1A"/>
    <w:rsid w:val="006E1C9E"/>
    <w:rsid w:val="006E5130"/>
    <w:rsid w:val="006E6771"/>
    <w:rsid w:val="006F38EF"/>
    <w:rsid w:val="006F7EC7"/>
    <w:rsid w:val="00700A24"/>
    <w:rsid w:val="0070134A"/>
    <w:rsid w:val="00701F19"/>
    <w:rsid w:val="00705D49"/>
    <w:rsid w:val="00706780"/>
    <w:rsid w:val="0071113F"/>
    <w:rsid w:val="007125C4"/>
    <w:rsid w:val="00721CA0"/>
    <w:rsid w:val="00725001"/>
    <w:rsid w:val="007324E5"/>
    <w:rsid w:val="0073390D"/>
    <w:rsid w:val="007363D7"/>
    <w:rsid w:val="0073672C"/>
    <w:rsid w:val="00737864"/>
    <w:rsid w:val="007403BD"/>
    <w:rsid w:val="00740783"/>
    <w:rsid w:val="00740DD6"/>
    <w:rsid w:val="00742957"/>
    <w:rsid w:val="00744820"/>
    <w:rsid w:val="007472B5"/>
    <w:rsid w:val="00751202"/>
    <w:rsid w:val="007534BF"/>
    <w:rsid w:val="00753B57"/>
    <w:rsid w:val="007542F1"/>
    <w:rsid w:val="00756197"/>
    <w:rsid w:val="00756EC9"/>
    <w:rsid w:val="00757574"/>
    <w:rsid w:val="007600AF"/>
    <w:rsid w:val="007646F4"/>
    <w:rsid w:val="00767816"/>
    <w:rsid w:val="00770D6C"/>
    <w:rsid w:val="00771855"/>
    <w:rsid w:val="0077372B"/>
    <w:rsid w:val="00775DAE"/>
    <w:rsid w:val="00776615"/>
    <w:rsid w:val="00780137"/>
    <w:rsid w:val="00780913"/>
    <w:rsid w:val="00781344"/>
    <w:rsid w:val="007847D4"/>
    <w:rsid w:val="0078614F"/>
    <w:rsid w:val="00786A97"/>
    <w:rsid w:val="007874F7"/>
    <w:rsid w:val="00787B8B"/>
    <w:rsid w:val="0079344A"/>
    <w:rsid w:val="00794F0C"/>
    <w:rsid w:val="007960E1"/>
    <w:rsid w:val="00796F0F"/>
    <w:rsid w:val="007A2280"/>
    <w:rsid w:val="007A2643"/>
    <w:rsid w:val="007A3317"/>
    <w:rsid w:val="007A6C92"/>
    <w:rsid w:val="007B07BA"/>
    <w:rsid w:val="007B16F3"/>
    <w:rsid w:val="007B4B4E"/>
    <w:rsid w:val="007B5FE5"/>
    <w:rsid w:val="007C11E9"/>
    <w:rsid w:val="007C1626"/>
    <w:rsid w:val="007C5103"/>
    <w:rsid w:val="007C5D01"/>
    <w:rsid w:val="007C77D0"/>
    <w:rsid w:val="007D556F"/>
    <w:rsid w:val="007D5F78"/>
    <w:rsid w:val="007D6FC4"/>
    <w:rsid w:val="007E0DD2"/>
    <w:rsid w:val="007E1EA6"/>
    <w:rsid w:val="007E24A8"/>
    <w:rsid w:val="007E265E"/>
    <w:rsid w:val="007E3D11"/>
    <w:rsid w:val="007E74FC"/>
    <w:rsid w:val="007F0BC0"/>
    <w:rsid w:val="007F3A93"/>
    <w:rsid w:val="007F48CC"/>
    <w:rsid w:val="0080204D"/>
    <w:rsid w:val="0080439D"/>
    <w:rsid w:val="00804D35"/>
    <w:rsid w:val="008124C9"/>
    <w:rsid w:val="00812EA6"/>
    <w:rsid w:val="00813232"/>
    <w:rsid w:val="008146ED"/>
    <w:rsid w:val="00823A7F"/>
    <w:rsid w:val="0082506E"/>
    <w:rsid w:val="00825752"/>
    <w:rsid w:val="00827435"/>
    <w:rsid w:val="00830457"/>
    <w:rsid w:val="0083173B"/>
    <w:rsid w:val="00831B87"/>
    <w:rsid w:val="00832DD2"/>
    <w:rsid w:val="00833085"/>
    <w:rsid w:val="00836286"/>
    <w:rsid w:val="0083793E"/>
    <w:rsid w:val="0084101E"/>
    <w:rsid w:val="00842743"/>
    <w:rsid w:val="008438D5"/>
    <w:rsid w:val="008460D5"/>
    <w:rsid w:val="00847CF1"/>
    <w:rsid w:val="00847FF5"/>
    <w:rsid w:val="00855DAB"/>
    <w:rsid w:val="008572AC"/>
    <w:rsid w:val="008660E1"/>
    <w:rsid w:val="008672EC"/>
    <w:rsid w:val="008676A4"/>
    <w:rsid w:val="00870882"/>
    <w:rsid w:val="008721DE"/>
    <w:rsid w:val="00872523"/>
    <w:rsid w:val="00873719"/>
    <w:rsid w:val="0087440C"/>
    <w:rsid w:val="008746F4"/>
    <w:rsid w:val="00874AAC"/>
    <w:rsid w:val="00876593"/>
    <w:rsid w:val="0087735A"/>
    <w:rsid w:val="00880EA6"/>
    <w:rsid w:val="00884AEF"/>
    <w:rsid w:val="0089577A"/>
    <w:rsid w:val="00896257"/>
    <w:rsid w:val="00897EE4"/>
    <w:rsid w:val="008A2920"/>
    <w:rsid w:val="008A3442"/>
    <w:rsid w:val="008B02C1"/>
    <w:rsid w:val="008B03BE"/>
    <w:rsid w:val="008B28C4"/>
    <w:rsid w:val="008B2CB0"/>
    <w:rsid w:val="008B47F3"/>
    <w:rsid w:val="008B5226"/>
    <w:rsid w:val="008B68EE"/>
    <w:rsid w:val="008C0D2D"/>
    <w:rsid w:val="008C31CA"/>
    <w:rsid w:val="008C4991"/>
    <w:rsid w:val="008C4A79"/>
    <w:rsid w:val="008C57C9"/>
    <w:rsid w:val="008C5E10"/>
    <w:rsid w:val="008C5EB4"/>
    <w:rsid w:val="008D262C"/>
    <w:rsid w:val="008D42F7"/>
    <w:rsid w:val="008D4931"/>
    <w:rsid w:val="008D4BC9"/>
    <w:rsid w:val="008D5B0D"/>
    <w:rsid w:val="008D6FB1"/>
    <w:rsid w:val="008E25A2"/>
    <w:rsid w:val="008E5C50"/>
    <w:rsid w:val="008E6922"/>
    <w:rsid w:val="008E71D9"/>
    <w:rsid w:val="008E77AF"/>
    <w:rsid w:val="008F3F9D"/>
    <w:rsid w:val="008F4B06"/>
    <w:rsid w:val="00903255"/>
    <w:rsid w:val="00904AF6"/>
    <w:rsid w:val="0090698B"/>
    <w:rsid w:val="009078B6"/>
    <w:rsid w:val="00912736"/>
    <w:rsid w:val="009208F2"/>
    <w:rsid w:val="00924886"/>
    <w:rsid w:val="009255D9"/>
    <w:rsid w:val="00927347"/>
    <w:rsid w:val="009278EC"/>
    <w:rsid w:val="00930643"/>
    <w:rsid w:val="0093161D"/>
    <w:rsid w:val="00931820"/>
    <w:rsid w:val="00931844"/>
    <w:rsid w:val="009329A1"/>
    <w:rsid w:val="00932F8C"/>
    <w:rsid w:val="009336D3"/>
    <w:rsid w:val="00933781"/>
    <w:rsid w:val="00933C2E"/>
    <w:rsid w:val="009344E4"/>
    <w:rsid w:val="00935F26"/>
    <w:rsid w:val="00941EBF"/>
    <w:rsid w:val="00942B84"/>
    <w:rsid w:val="00944A86"/>
    <w:rsid w:val="00944ED7"/>
    <w:rsid w:val="00951CE2"/>
    <w:rsid w:val="009555A8"/>
    <w:rsid w:val="0095599D"/>
    <w:rsid w:val="0095727E"/>
    <w:rsid w:val="009576FE"/>
    <w:rsid w:val="00957E35"/>
    <w:rsid w:val="00960D2C"/>
    <w:rsid w:val="009613DA"/>
    <w:rsid w:val="009639AF"/>
    <w:rsid w:val="00964854"/>
    <w:rsid w:val="00964FDC"/>
    <w:rsid w:val="00967D1A"/>
    <w:rsid w:val="00971CB8"/>
    <w:rsid w:val="0097313B"/>
    <w:rsid w:val="00974CB2"/>
    <w:rsid w:val="00975137"/>
    <w:rsid w:val="00976A81"/>
    <w:rsid w:val="0098140A"/>
    <w:rsid w:val="00984F0F"/>
    <w:rsid w:val="009850FB"/>
    <w:rsid w:val="0099396B"/>
    <w:rsid w:val="00996DD5"/>
    <w:rsid w:val="009A1149"/>
    <w:rsid w:val="009A1C1F"/>
    <w:rsid w:val="009B211F"/>
    <w:rsid w:val="009B2BD5"/>
    <w:rsid w:val="009B4087"/>
    <w:rsid w:val="009B4FE5"/>
    <w:rsid w:val="009B5E43"/>
    <w:rsid w:val="009B5FF7"/>
    <w:rsid w:val="009B76C6"/>
    <w:rsid w:val="009C0B23"/>
    <w:rsid w:val="009C4106"/>
    <w:rsid w:val="009C65AD"/>
    <w:rsid w:val="009D0450"/>
    <w:rsid w:val="009D1437"/>
    <w:rsid w:val="009D2598"/>
    <w:rsid w:val="009D2757"/>
    <w:rsid w:val="009D3C9E"/>
    <w:rsid w:val="009D3EAF"/>
    <w:rsid w:val="009D60DC"/>
    <w:rsid w:val="009E0B5B"/>
    <w:rsid w:val="009E15FE"/>
    <w:rsid w:val="009E5652"/>
    <w:rsid w:val="009F017E"/>
    <w:rsid w:val="009F18A5"/>
    <w:rsid w:val="009F22D0"/>
    <w:rsid w:val="009F3C16"/>
    <w:rsid w:val="009F5F14"/>
    <w:rsid w:val="009F6156"/>
    <w:rsid w:val="00A00498"/>
    <w:rsid w:val="00A04A88"/>
    <w:rsid w:val="00A04CA1"/>
    <w:rsid w:val="00A058F6"/>
    <w:rsid w:val="00A05CE2"/>
    <w:rsid w:val="00A05E3E"/>
    <w:rsid w:val="00A06F4C"/>
    <w:rsid w:val="00A07BF4"/>
    <w:rsid w:val="00A1002E"/>
    <w:rsid w:val="00A11D3C"/>
    <w:rsid w:val="00A143D6"/>
    <w:rsid w:val="00A144CB"/>
    <w:rsid w:val="00A14ADE"/>
    <w:rsid w:val="00A178DE"/>
    <w:rsid w:val="00A212F2"/>
    <w:rsid w:val="00A22E16"/>
    <w:rsid w:val="00A278B6"/>
    <w:rsid w:val="00A27BFE"/>
    <w:rsid w:val="00A30AF3"/>
    <w:rsid w:val="00A344C8"/>
    <w:rsid w:val="00A35F57"/>
    <w:rsid w:val="00A420BC"/>
    <w:rsid w:val="00A42D2A"/>
    <w:rsid w:val="00A431BF"/>
    <w:rsid w:val="00A44ACB"/>
    <w:rsid w:val="00A46CC2"/>
    <w:rsid w:val="00A50A71"/>
    <w:rsid w:val="00A50F21"/>
    <w:rsid w:val="00A5106C"/>
    <w:rsid w:val="00A54B12"/>
    <w:rsid w:val="00A554E4"/>
    <w:rsid w:val="00A623AF"/>
    <w:rsid w:val="00A62922"/>
    <w:rsid w:val="00A64233"/>
    <w:rsid w:val="00A64465"/>
    <w:rsid w:val="00A65022"/>
    <w:rsid w:val="00A67C0A"/>
    <w:rsid w:val="00A70694"/>
    <w:rsid w:val="00A71CE4"/>
    <w:rsid w:val="00A76F27"/>
    <w:rsid w:val="00A82D04"/>
    <w:rsid w:val="00A83AF8"/>
    <w:rsid w:val="00A841D5"/>
    <w:rsid w:val="00A866F8"/>
    <w:rsid w:val="00A975F8"/>
    <w:rsid w:val="00AA0DBE"/>
    <w:rsid w:val="00AA1294"/>
    <w:rsid w:val="00AA1536"/>
    <w:rsid w:val="00AA2F67"/>
    <w:rsid w:val="00AA51F8"/>
    <w:rsid w:val="00AB0290"/>
    <w:rsid w:val="00AB1901"/>
    <w:rsid w:val="00AB20DA"/>
    <w:rsid w:val="00AB32DC"/>
    <w:rsid w:val="00AB3DD2"/>
    <w:rsid w:val="00AB637F"/>
    <w:rsid w:val="00AB717B"/>
    <w:rsid w:val="00AB76B2"/>
    <w:rsid w:val="00AC0F41"/>
    <w:rsid w:val="00AC34EE"/>
    <w:rsid w:val="00AC43E6"/>
    <w:rsid w:val="00AC632B"/>
    <w:rsid w:val="00AD0FBB"/>
    <w:rsid w:val="00AD1752"/>
    <w:rsid w:val="00AD18F9"/>
    <w:rsid w:val="00AD2DCE"/>
    <w:rsid w:val="00AD554E"/>
    <w:rsid w:val="00AD7B81"/>
    <w:rsid w:val="00AE64F9"/>
    <w:rsid w:val="00AE6718"/>
    <w:rsid w:val="00AE7426"/>
    <w:rsid w:val="00AF02FB"/>
    <w:rsid w:val="00AF0821"/>
    <w:rsid w:val="00AF0D19"/>
    <w:rsid w:val="00AF1662"/>
    <w:rsid w:val="00AF19CD"/>
    <w:rsid w:val="00AF3C63"/>
    <w:rsid w:val="00AF4358"/>
    <w:rsid w:val="00AF4EEB"/>
    <w:rsid w:val="00AF5350"/>
    <w:rsid w:val="00AF5E48"/>
    <w:rsid w:val="00B0357F"/>
    <w:rsid w:val="00B0635E"/>
    <w:rsid w:val="00B06CCA"/>
    <w:rsid w:val="00B1059F"/>
    <w:rsid w:val="00B10698"/>
    <w:rsid w:val="00B113E0"/>
    <w:rsid w:val="00B15F4C"/>
    <w:rsid w:val="00B16138"/>
    <w:rsid w:val="00B20829"/>
    <w:rsid w:val="00B22210"/>
    <w:rsid w:val="00B24849"/>
    <w:rsid w:val="00B261AC"/>
    <w:rsid w:val="00B27341"/>
    <w:rsid w:val="00B31196"/>
    <w:rsid w:val="00B31DBB"/>
    <w:rsid w:val="00B345D3"/>
    <w:rsid w:val="00B35761"/>
    <w:rsid w:val="00B363AE"/>
    <w:rsid w:val="00B368B6"/>
    <w:rsid w:val="00B370F7"/>
    <w:rsid w:val="00B41152"/>
    <w:rsid w:val="00B425BF"/>
    <w:rsid w:val="00B443C7"/>
    <w:rsid w:val="00B45BD1"/>
    <w:rsid w:val="00B47F3C"/>
    <w:rsid w:val="00B500A0"/>
    <w:rsid w:val="00B51408"/>
    <w:rsid w:val="00B52B4F"/>
    <w:rsid w:val="00B53DCD"/>
    <w:rsid w:val="00B56A6F"/>
    <w:rsid w:val="00B712AC"/>
    <w:rsid w:val="00B743CD"/>
    <w:rsid w:val="00B748E2"/>
    <w:rsid w:val="00B75526"/>
    <w:rsid w:val="00B77628"/>
    <w:rsid w:val="00B833C2"/>
    <w:rsid w:val="00B86168"/>
    <w:rsid w:val="00B865C4"/>
    <w:rsid w:val="00B87955"/>
    <w:rsid w:val="00B904C5"/>
    <w:rsid w:val="00B90828"/>
    <w:rsid w:val="00B90B21"/>
    <w:rsid w:val="00B90CF7"/>
    <w:rsid w:val="00B90FCD"/>
    <w:rsid w:val="00B92980"/>
    <w:rsid w:val="00B93208"/>
    <w:rsid w:val="00B95112"/>
    <w:rsid w:val="00B95C0C"/>
    <w:rsid w:val="00B9632C"/>
    <w:rsid w:val="00B96355"/>
    <w:rsid w:val="00BA2E29"/>
    <w:rsid w:val="00BA3A0C"/>
    <w:rsid w:val="00BA75EA"/>
    <w:rsid w:val="00BB2BEC"/>
    <w:rsid w:val="00BB583A"/>
    <w:rsid w:val="00BB5D6E"/>
    <w:rsid w:val="00BB5F02"/>
    <w:rsid w:val="00BB674D"/>
    <w:rsid w:val="00BB7560"/>
    <w:rsid w:val="00BC0180"/>
    <w:rsid w:val="00BC3CDD"/>
    <w:rsid w:val="00BC4B71"/>
    <w:rsid w:val="00BC69CE"/>
    <w:rsid w:val="00BD0BB0"/>
    <w:rsid w:val="00BD47F3"/>
    <w:rsid w:val="00BD5EBA"/>
    <w:rsid w:val="00BD5F5F"/>
    <w:rsid w:val="00BD682F"/>
    <w:rsid w:val="00BD709A"/>
    <w:rsid w:val="00BD70CE"/>
    <w:rsid w:val="00BD7E7B"/>
    <w:rsid w:val="00BE2AF0"/>
    <w:rsid w:val="00BE37D1"/>
    <w:rsid w:val="00BE39F4"/>
    <w:rsid w:val="00BE3D59"/>
    <w:rsid w:val="00BE64D1"/>
    <w:rsid w:val="00BF17EC"/>
    <w:rsid w:val="00BF1D5F"/>
    <w:rsid w:val="00BF36C3"/>
    <w:rsid w:val="00BF48FF"/>
    <w:rsid w:val="00BF584E"/>
    <w:rsid w:val="00BF7179"/>
    <w:rsid w:val="00C0015E"/>
    <w:rsid w:val="00C01488"/>
    <w:rsid w:val="00C01B26"/>
    <w:rsid w:val="00C022EB"/>
    <w:rsid w:val="00C02FB3"/>
    <w:rsid w:val="00C04491"/>
    <w:rsid w:val="00C048D8"/>
    <w:rsid w:val="00C04ED7"/>
    <w:rsid w:val="00C11468"/>
    <w:rsid w:val="00C15A50"/>
    <w:rsid w:val="00C17A15"/>
    <w:rsid w:val="00C20729"/>
    <w:rsid w:val="00C22B6A"/>
    <w:rsid w:val="00C22EF3"/>
    <w:rsid w:val="00C24653"/>
    <w:rsid w:val="00C2466A"/>
    <w:rsid w:val="00C27A4B"/>
    <w:rsid w:val="00C27C76"/>
    <w:rsid w:val="00C27D00"/>
    <w:rsid w:val="00C31D93"/>
    <w:rsid w:val="00C360C4"/>
    <w:rsid w:val="00C36ECF"/>
    <w:rsid w:val="00C41B09"/>
    <w:rsid w:val="00C422BA"/>
    <w:rsid w:val="00C434CA"/>
    <w:rsid w:val="00C518CC"/>
    <w:rsid w:val="00C5340F"/>
    <w:rsid w:val="00C5408B"/>
    <w:rsid w:val="00C57ACB"/>
    <w:rsid w:val="00C612E5"/>
    <w:rsid w:val="00C61A12"/>
    <w:rsid w:val="00C663D7"/>
    <w:rsid w:val="00C7036A"/>
    <w:rsid w:val="00C73EBC"/>
    <w:rsid w:val="00C741FF"/>
    <w:rsid w:val="00C7423D"/>
    <w:rsid w:val="00C748C6"/>
    <w:rsid w:val="00C7606A"/>
    <w:rsid w:val="00C76101"/>
    <w:rsid w:val="00C7774A"/>
    <w:rsid w:val="00C82906"/>
    <w:rsid w:val="00C8318E"/>
    <w:rsid w:val="00C85193"/>
    <w:rsid w:val="00C86629"/>
    <w:rsid w:val="00C877E8"/>
    <w:rsid w:val="00C92A29"/>
    <w:rsid w:val="00C93178"/>
    <w:rsid w:val="00C9520C"/>
    <w:rsid w:val="00C9570C"/>
    <w:rsid w:val="00CA0752"/>
    <w:rsid w:val="00CA335B"/>
    <w:rsid w:val="00CA7BCD"/>
    <w:rsid w:val="00CA7CA8"/>
    <w:rsid w:val="00CB3BBF"/>
    <w:rsid w:val="00CB4994"/>
    <w:rsid w:val="00CB702D"/>
    <w:rsid w:val="00CC0340"/>
    <w:rsid w:val="00CC1EB3"/>
    <w:rsid w:val="00CC3E02"/>
    <w:rsid w:val="00CC498F"/>
    <w:rsid w:val="00CC5346"/>
    <w:rsid w:val="00CC57AC"/>
    <w:rsid w:val="00CD15E2"/>
    <w:rsid w:val="00CD202B"/>
    <w:rsid w:val="00CD4685"/>
    <w:rsid w:val="00CD4F9E"/>
    <w:rsid w:val="00CD7473"/>
    <w:rsid w:val="00CE0A35"/>
    <w:rsid w:val="00CE0CAD"/>
    <w:rsid w:val="00CE1178"/>
    <w:rsid w:val="00CE3EFE"/>
    <w:rsid w:val="00CE4E93"/>
    <w:rsid w:val="00CE56BA"/>
    <w:rsid w:val="00CF044C"/>
    <w:rsid w:val="00CF1CEE"/>
    <w:rsid w:val="00CF2BEA"/>
    <w:rsid w:val="00CF3856"/>
    <w:rsid w:val="00CF6091"/>
    <w:rsid w:val="00CF79D9"/>
    <w:rsid w:val="00D02762"/>
    <w:rsid w:val="00D030CD"/>
    <w:rsid w:val="00D0792C"/>
    <w:rsid w:val="00D079A7"/>
    <w:rsid w:val="00D07C4A"/>
    <w:rsid w:val="00D15B23"/>
    <w:rsid w:val="00D16ACC"/>
    <w:rsid w:val="00D209B1"/>
    <w:rsid w:val="00D23764"/>
    <w:rsid w:val="00D25170"/>
    <w:rsid w:val="00D3460E"/>
    <w:rsid w:val="00D34EA4"/>
    <w:rsid w:val="00D377D3"/>
    <w:rsid w:val="00D37CEF"/>
    <w:rsid w:val="00D408C0"/>
    <w:rsid w:val="00D410D8"/>
    <w:rsid w:val="00D413AB"/>
    <w:rsid w:val="00D41CF9"/>
    <w:rsid w:val="00D50321"/>
    <w:rsid w:val="00D503C4"/>
    <w:rsid w:val="00D506B4"/>
    <w:rsid w:val="00D50CA7"/>
    <w:rsid w:val="00D51ACD"/>
    <w:rsid w:val="00D528E6"/>
    <w:rsid w:val="00D55E5A"/>
    <w:rsid w:val="00D56EA8"/>
    <w:rsid w:val="00D62D8C"/>
    <w:rsid w:val="00D659D2"/>
    <w:rsid w:val="00D67625"/>
    <w:rsid w:val="00D716FE"/>
    <w:rsid w:val="00D7351E"/>
    <w:rsid w:val="00D82F58"/>
    <w:rsid w:val="00D837DF"/>
    <w:rsid w:val="00D83A21"/>
    <w:rsid w:val="00D87C28"/>
    <w:rsid w:val="00D90871"/>
    <w:rsid w:val="00D93335"/>
    <w:rsid w:val="00D96720"/>
    <w:rsid w:val="00DA23CA"/>
    <w:rsid w:val="00DA5017"/>
    <w:rsid w:val="00DA6D61"/>
    <w:rsid w:val="00DB37B0"/>
    <w:rsid w:val="00DC2ED5"/>
    <w:rsid w:val="00DC40B8"/>
    <w:rsid w:val="00DC7142"/>
    <w:rsid w:val="00DD029D"/>
    <w:rsid w:val="00DD0B0D"/>
    <w:rsid w:val="00DD1CFE"/>
    <w:rsid w:val="00DD3256"/>
    <w:rsid w:val="00DD3752"/>
    <w:rsid w:val="00DD3AFB"/>
    <w:rsid w:val="00DD559A"/>
    <w:rsid w:val="00DD57C2"/>
    <w:rsid w:val="00DD7A12"/>
    <w:rsid w:val="00DE0054"/>
    <w:rsid w:val="00DE57CC"/>
    <w:rsid w:val="00DE5E68"/>
    <w:rsid w:val="00DF1426"/>
    <w:rsid w:val="00DF2B2E"/>
    <w:rsid w:val="00DF45C4"/>
    <w:rsid w:val="00E00DAC"/>
    <w:rsid w:val="00E00EDB"/>
    <w:rsid w:val="00E018F4"/>
    <w:rsid w:val="00E04B8A"/>
    <w:rsid w:val="00E123E8"/>
    <w:rsid w:val="00E15452"/>
    <w:rsid w:val="00E178BC"/>
    <w:rsid w:val="00E2302C"/>
    <w:rsid w:val="00E244FE"/>
    <w:rsid w:val="00E24BF8"/>
    <w:rsid w:val="00E25692"/>
    <w:rsid w:val="00E323B7"/>
    <w:rsid w:val="00E356C8"/>
    <w:rsid w:val="00E37095"/>
    <w:rsid w:val="00E37DA8"/>
    <w:rsid w:val="00E37F97"/>
    <w:rsid w:val="00E409AB"/>
    <w:rsid w:val="00E40D9C"/>
    <w:rsid w:val="00E41103"/>
    <w:rsid w:val="00E43351"/>
    <w:rsid w:val="00E47EBC"/>
    <w:rsid w:val="00E503B5"/>
    <w:rsid w:val="00E51295"/>
    <w:rsid w:val="00E526A7"/>
    <w:rsid w:val="00E535D7"/>
    <w:rsid w:val="00E5374C"/>
    <w:rsid w:val="00E550A5"/>
    <w:rsid w:val="00E551E0"/>
    <w:rsid w:val="00E573B3"/>
    <w:rsid w:val="00E57FF1"/>
    <w:rsid w:val="00E61B6A"/>
    <w:rsid w:val="00E62066"/>
    <w:rsid w:val="00E65FC0"/>
    <w:rsid w:val="00E71BAC"/>
    <w:rsid w:val="00E72D73"/>
    <w:rsid w:val="00E745A3"/>
    <w:rsid w:val="00E75FC7"/>
    <w:rsid w:val="00E76C94"/>
    <w:rsid w:val="00E853DE"/>
    <w:rsid w:val="00E85881"/>
    <w:rsid w:val="00E85E56"/>
    <w:rsid w:val="00E86EF2"/>
    <w:rsid w:val="00E87D1C"/>
    <w:rsid w:val="00E90E63"/>
    <w:rsid w:val="00E939BB"/>
    <w:rsid w:val="00E95E04"/>
    <w:rsid w:val="00E975AD"/>
    <w:rsid w:val="00EA008F"/>
    <w:rsid w:val="00EA00E8"/>
    <w:rsid w:val="00EA03B5"/>
    <w:rsid w:val="00EA17B3"/>
    <w:rsid w:val="00EA2B38"/>
    <w:rsid w:val="00EA2E7F"/>
    <w:rsid w:val="00EA42C4"/>
    <w:rsid w:val="00EA533C"/>
    <w:rsid w:val="00EA5778"/>
    <w:rsid w:val="00EB11DF"/>
    <w:rsid w:val="00EB1605"/>
    <w:rsid w:val="00EB1F30"/>
    <w:rsid w:val="00EB3FDE"/>
    <w:rsid w:val="00EB436C"/>
    <w:rsid w:val="00EB4FF8"/>
    <w:rsid w:val="00EB5A2D"/>
    <w:rsid w:val="00EB5BCB"/>
    <w:rsid w:val="00EB5E01"/>
    <w:rsid w:val="00EC11D5"/>
    <w:rsid w:val="00EC2D01"/>
    <w:rsid w:val="00EC3420"/>
    <w:rsid w:val="00EC50A6"/>
    <w:rsid w:val="00ED183B"/>
    <w:rsid w:val="00ED1FB6"/>
    <w:rsid w:val="00ED240E"/>
    <w:rsid w:val="00ED2677"/>
    <w:rsid w:val="00ED28A7"/>
    <w:rsid w:val="00ED51CC"/>
    <w:rsid w:val="00ED5C57"/>
    <w:rsid w:val="00ED6E4B"/>
    <w:rsid w:val="00ED6FBD"/>
    <w:rsid w:val="00EE09DE"/>
    <w:rsid w:val="00EE2B40"/>
    <w:rsid w:val="00EE336A"/>
    <w:rsid w:val="00EF0360"/>
    <w:rsid w:val="00EF05A1"/>
    <w:rsid w:val="00EF063B"/>
    <w:rsid w:val="00EF14E5"/>
    <w:rsid w:val="00EF1CDE"/>
    <w:rsid w:val="00EF32B8"/>
    <w:rsid w:val="00F036D9"/>
    <w:rsid w:val="00F11721"/>
    <w:rsid w:val="00F11D73"/>
    <w:rsid w:val="00F125DD"/>
    <w:rsid w:val="00F150C7"/>
    <w:rsid w:val="00F20D48"/>
    <w:rsid w:val="00F21A43"/>
    <w:rsid w:val="00F2461D"/>
    <w:rsid w:val="00F265C1"/>
    <w:rsid w:val="00F3398B"/>
    <w:rsid w:val="00F35973"/>
    <w:rsid w:val="00F366C4"/>
    <w:rsid w:val="00F37D83"/>
    <w:rsid w:val="00F45E2B"/>
    <w:rsid w:val="00F536B5"/>
    <w:rsid w:val="00F56E54"/>
    <w:rsid w:val="00F57451"/>
    <w:rsid w:val="00F60F68"/>
    <w:rsid w:val="00F62F3B"/>
    <w:rsid w:val="00F67ACB"/>
    <w:rsid w:val="00F741C2"/>
    <w:rsid w:val="00F74891"/>
    <w:rsid w:val="00F753FB"/>
    <w:rsid w:val="00F75716"/>
    <w:rsid w:val="00F81968"/>
    <w:rsid w:val="00F84599"/>
    <w:rsid w:val="00F8476F"/>
    <w:rsid w:val="00F90D73"/>
    <w:rsid w:val="00F91173"/>
    <w:rsid w:val="00F91FB0"/>
    <w:rsid w:val="00F94CF2"/>
    <w:rsid w:val="00F9656B"/>
    <w:rsid w:val="00F967F5"/>
    <w:rsid w:val="00FA1538"/>
    <w:rsid w:val="00FA3F8E"/>
    <w:rsid w:val="00FA5380"/>
    <w:rsid w:val="00FA5EC7"/>
    <w:rsid w:val="00FA69A2"/>
    <w:rsid w:val="00FB0BEA"/>
    <w:rsid w:val="00FB2924"/>
    <w:rsid w:val="00FB2A35"/>
    <w:rsid w:val="00FB3B93"/>
    <w:rsid w:val="00FB68D4"/>
    <w:rsid w:val="00FB7E91"/>
    <w:rsid w:val="00FC557B"/>
    <w:rsid w:val="00FC5909"/>
    <w:rsid w:val="00FD08FF"/>
    <w:rsid w:val="00FD1354"/>
    <w:rsid w:val="00FD1728"/>
    <w:rsid w:val="00FD4A64"/>
    <w:rsid w:val="00FD6AE0"/>
    <w:rsid w:val="00FE10D0"/>
    <w:rsid w:val="00FE2235"/>
    <w:rsid w:val="00FE3623"/>
    <w:rsid w:val="00FF1181"/>
    <w:rsid w:val="00FF2BAD"/>
    <w:rsid w:val="00FF470F"/>
    <w:rsid w:val="00FF4C00"/>
    <w:rsid w:val="00FF520E"/>
    <w:rsid w:val="00FF693A"/>
    <w:rsid w:val="00FF78B3"/>
    <w:rsid w:val="0A4BA3CB"/>
    <w:rsid w:val="40133FFD"/>
    <w:rsid w:val="44664F8A"/>
    <w:rsid w:val="5327DE20"/>
    <w:rsid w:val="53851143"/>
    <w:rsid w:val="65EDF2DE"/>
    <w:rsid w:val="6F61F29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3C6938D"/>
  <w15:chartTrackingRefBased/>
  <w15:docId w15:val="{081788B2-9F55-4C19-BECA-7E763919E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2BEA"/>
    <w:pPr>
      <w:widowControl w:val="0"/>
      <w:spacing w:after="0" w:line="240" w:lineRule="auto"/>
    </w:pPr>
    <w:rPr>
      <w:rFonts w:ascii="Times New Roman" w:eastAsia="Times New Roman" w:hAnsi="Times New Roman" w:cs="Times New Roman"/>
      <w:snapToGrid w:val="0"/>
      <w:kern w:val="28"/>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link w:val="ParaNumChar"/>
    <w:rsid w:val="00D413AB"/>
    <w:pPr>
      <w:numPr>
        <w:numId w:val="1"/>
      </w:numPr>
      <w:spacing w:after="120"/>
    </w:pPr>
  </w:style>
  <w:style w:type="paragraph" w:styleId="FootnoteText">
    <w:name w:val="footnote text"/>
    <w:aliases w:val="ALTS FOOTNOT,Foo,Footnote Text Char Char2 Char,Footnote Text Char Char2 Char Char Char,Footnote Text Char1,Footnote Text Char1 Char2,Footnote Text Char1 Char2 Char Char,Footnote Text Char1 Char2 Char Char Char Char,f,fn,fn Ch,footnote text"/>
    <w:link w:val="FootnoteTextChar2"/>
    <w:uiPriority w:val="99"/>
    <w:rsid w:val="00D413AB"/>
    <w:pPr>
      <w:spacing w:after="12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aliases w:val="ALTS FOOTNOTE Char,Footnote Text Char Char Char Char Char,Footnote Text Char1 Char Char Char,Footnote Text Char1 Char Char Char Char Char Char Char,Footnote Text Char2 Char Char,Styl Char"/>
    <w:basedOn w:val="DefaultParagraphFont"/>
    <w:uiPriority w:val="99"/>
    <w:rsid w:val="00D413AB"/>
    <w:rPr>
      <w:sz w:val="20"/>
      <w:szCs w:val="20"/>
    </w:rPr>
  </w:style>
  <w:style w:type="character" w:styleId="FootnoteReference">
    <w:name w:val="footnote reference"/>
    <w:aliases w:val="Appel note de bas de p,(NECG) Footnote Reference,-E Funotenzeichen,A,FR,Footnote Reference/,Footnote Reference1,Ref,Style 1,Style 12,Style 124,Style 13,Style 17,Style 20,Style 3,Style 34,Style 4,Style 6,Style 7,Style 9,callout,fr,o"/>
    <w:uiPriority w:val="99"/>
    <w:rsid w:val="00D413AB"/>
    <w:rPr>
      <w:rFonts w:ascii="Times New Roman" w:hAnsi="Times New Roman"/>
      <w:dstrike w:val="0"/>
      <w:color w:val="auto"/>
      <w:sz w:val="20"/>
      <w:vertAlign w:val="superscript"/>
    </w:rPr>
  </w:style>
  <w:style w:type="character" w:customStyle="1" w:styleId="FootnoteTextChar2">
    <w:name w:val="Footnote Text Char2"/>
    <w:aliases w:val="ALTS FOOTNOT Char,Foo Char,Footnote Text Char Char2 Char Char,Footnote Text Char Char2 Char Char Char Char,Footnote Text Char1 Char,Footnote Text Char1 Char2 Char,Footnote Text Char1 Char2 Char Char Char,f Char,fn Char,fn Ch Char"/>
    <w:link w:val="FootnoteText"/>
    <w:uiPriority w:val="99"/>
    <w:rsid w:val="00D413AB"/>
    <w:rPr>
      <w:rFonts w:ascii="Times New Roman" w:eastAsia="Times New Roman" w:hAnsi="Times New Roman" w:cs="Times New Roman"/>
      <w:kern w:val="0"/>
      <w:sz w:val="20"/>
      <w:szCs w:val="20"/>
      <w14:ligatures w14:val="none"/>
    </w:rPr>
  </w:style>
  <w:style w:type="character" w:customStyle="1" w:styleId="ParaNumChar">
    <w:name w:val="ParaNum Char"/>
    <w:link w:val="ParaNum"/>
    <w:locked/>
    <w:rsid w:val="00D413AB"/>
    <w:rPr>
      <w:rFonts w:ascii="Times New Roman" w:eastAsia="Times New Roman" w:hAnsi="Times New Roman" w:cs="Times New Roman"/>
      <w:snapToGrid w:val="0"/>
      <w:kern w:val="28"/>
      <w:szCs w:val="20"/>
      <w14:ligatures w14:val="none"/>
    </w:rPr>
  </w:style>
  <w:style w:type="character" w:customStyle="1" w:styleId="normaltextrun">
    <w:name w:val="normaltextrun"/>
    <w:basedOn w:val="DefaultParagraphFont"/>
    <w:rsid w:val="00D413AB"/>
  </w:style>
  <w:style w:type="paragraph" w:styleId="Header">
    <w:name w:val="header"/>
    <w:basedOn w:val="Normal"/>
    <w:link w:val="HeaderChar"/>
    <w:autoRedefine/>
    <w:rsid w:val="00C41B09"/>
    <w:pPr>
      <w:tabs>
        <w:tab w:val="center" w:pos="4680"/>
        <w:tab w:val="right" w:pos="9360"/>
      </w:tabs>
    </w:pPr>
    <w:rPr>
      <w:b/>
    </w:rPr>
  </w:style>
  <w:style w:type="character" w:customStyle="1" w:styleId="HeaderChar">
    <w:name w:val="Header Char"/>
    <w:basedOn w:val="DefaultParagraphFont"/>
    <w:link w:val="Header"/>
    <w:rsid w:val="00C41B09"/>
    <w:rPr>
      <w:rFonts w:ascii="Times New Roman" w:eastAsia="Times New Roman" w:hAnsi="Times New Roman" w:cs="Times New Roman"/>
      <w:b/>
      <w:snapToGrid w:val="0"/>
      <w:kern w:val="28"/>
      <w:szCs w:val="20"/>
      <w14:ligatures w14:val="none"/>
    </w:rPr>
  </w:style>
  <w:style w:type="paragraph" w:styleId="Footer">
    <w:name w:val="footer"/>
    <w:basedOn w:val="Normal"/>
    <w:link w:val="FooterChar"/>
    <w:uiPriority w:val="99"/>
    <w:rsid w:val="00D413AB"/>
    <w:pPr>
      <w:tabs>
        <w:tab w:val="center" w:pos="4320"/>
        <w:tab w:val="right" w:pos="8640"/>
      </w:tabs>
    </w:pPr>
  </w:style>
  <w:style w:type="character" w:customStyle="1" w:styleId="FooterChar">
    <w:name w:val="Footer Char"/>
    <w:basedOn w:val="DefaultParagraphFont"/>
    <w:link w:val="Footer"/>
    <w:uiPriority w:val="99"/>
    <w:rsid w:val="00D413AB"/>
    <w:rPr>
      <w:rFonts w:ascii="Times New Roman" w:eastAsia="Times New Roman" w:hAnsi="Times New Roman" w:cs="Times New Roman"/>
      <w:snapToGrid w:val="0"/>
      <w:kern w:val="28"/>
      <w:szCs w:val="20"/>
      <w14:ligatures w14:val="none"/>
    </w:rPr>
  </w:style>
  <w:style w:type="character" w:styleId="PageNumber">
    <w:name w:val="page number"/>
    <w:basedOn w:val="DefaultParagraphFont"/>
    <w:rsid w:val="00D413AB"/>
  </w:style>
  <w:style w:type="paragraph" w:customStyle="1" w:styleId="Style30">
    <w:name w:val="Style3"/>
    <w:basedOn w:val="ParaNum"/>
    <w:rsid w:val="00D413AB"/>
    <w:pPr>
      <w:numPr>
        <w:numId w:val="0"/>
      </w:numPr>
      <w:tabs>
        <w:tab w:val="left" w:pos="720"/>
        <w:tab w:val="left" w:pos="1800"/>
      </w:tabs>
      <w:ind w:firstLine="720"/>
    </w:pPr>
  </w:style>
  <w:style w:type="paragraph" w:styleId="ListParagraph">
    <w:name w:val="List Paragraph"/>
    <w:basedOn w:val="Normal"/>
    <w:uiPriority w:val="34"/>
    <w:qFormat/>
    <w:rsid w:val="00D413AB"/>
    <w:pPr>
      <w:ind w:left="720"/>
      <w:contextualSpacing/>
    </w:pPr>
  </w:style>
  <w:style w:type="paragraph" w:customStyle="1" w:styleId="Bullet">
    <w:name w:val="Bullet"/>
    <w:basedOn w:val="Normal"/>
    <w:rsid w:val="00201008"/>
    <w:pPr>
      <w:widowControl/>
      <w:numPr>
        <w:numId w:val="4"/>
      </w:numPr>
      <w:tabs>
        <w:tab w:val="left" w:pos="2160"/>
      </w:tabs>
      <w:spacing w:after="220" w:line="259" w:lineRule="auto"/>
      <w:ind w:left="2160" w:hanging="720"/>
    </w:pPr>
    <w:rPr>
      <w:rFonts w:eastAsiaTheme="minorHAnsi" w:cstheme="minorBidi"/>
      <w:snapToGrid/>
      <w:kern w:val="2"/>
      <w:szCs w:val="22"/>
      <w14:ligatures w14:val="standardContextual"/>
    </w:rPr>
  </w:style>
  <w:style w:type="character" w:styleId="CommentReference">
    <w:name w:val="annotation reference"/>
    <w:basedOn w:val="DefaultParagraphFont"/>
    <w:uiPriority w:val="99"/>
    <w:semiHidden/>
    <w:unhideWhenUsed/>
    <w:rsid w:val="00E51295"/>
    <w:rPr>
      <w:sz w:val="16"/>
      <w:szCs w:val="16"/>
    </w:rPr>
  </w:style>
  <w:style w:type="paragraph" w:styleId="CommentText">
    <w:name w:val="annotation text"/>
    <w:basedOn w:val="Normal"/>
    <w:link w:val="CommentTextChar"/>
    <w:uiPriority w:val="99"/>
    <w:unhideWhenUsed/>
    <w:rsid w:val="00E51295"/>
    <w:rPr>
      <w:sz w:val="20"/>
    </w:rPr>
  </w:style>
  <w:style w:type="character" w:customStyle="1" w:styleId="CommentTextChar">
    <w:name w:val="Comment Text Char"/>
    <w:basedOn w:val="DefaultParagraphFont"/>
    <w:link w:val="CommentText"/>
    <w:uiPriority w:val="99"/>
    <w:rsid w:val="00E51295"/>
    <w:rPr>
      <w:rFonts w:ascii="Times New Roman" w:eastAsia="Times New Roman" w:hAnsi="Times New Roman" w:cs="Times New Roman"/>
      <w:snapToGrid w:val="0"/>
      <w:kern w:val="28"/>
      <w:sz w:val="20"/>
      <w:szCs w:val="20"/>
      <w14:ligatures w14:val="none"/>
    </w:rPr>
  </w:style>
  <w:style w:type="paragraph" w:styleId="CommentSubject">
    <w:name w:val="annotation subject"/>
    <w:basedOn w:val="CommentText"/>
    <w:next w:val="CommentText"/>
    <w:link w:val="CommentSubjectChar"/>
    <w:uiPriority w:val="99"/>
    <w:semiHidden/>
    <w:unhideWhenUsed/>
    <w:rsid w:val="00E51295"/>
    <w:rPr>
      <w:b/>
      <w:bCs/>
    </w:rPr>
  </w:style>
  <w:style w:type="character" w:customStyle="1" w:styleId="CommentSubjectChar">
    <w:name w:val="Comment Subject Char"/>
    <w:basedOn w:val="CommentTextChar"/>
    <w:link w:val="CommentSubject"/>
    <w:uiPriority w:val="99"/>
    <w:semiHidden/>
    <w:rsid w:val="00E51295"/>
    <w:rPr>
      <w:rFonts w:ascii="Times New Roman" w:eastAsia="Times New Roman" w:hAnsi="Times New Roman" w:cs="Times New Roman"/>
      <w:b/>
      <w:bCs/>
      <w:snapToGrid w:val="0"/>
      <w:kern w:val="28"/>
      <w:sz w:val="20"/>
      <w:szCs w:val="20"/>
      <w14:ligatures w14:val="none"/>
    </w:rPr>
  </w:style>
  <w:style w:type="paragraph" w:styleId="Revision">
    <w:name w:val="Revision"/>
    <w:hidden/>
    <w:uiPriority w:val="99"/>
    <w:semiHidden/>
    <w:rsid w:val="0087440C"/>
    <w:pPr>
      <w:spacing w:after="0" w:line="240" w:lineRule="auto"/>
    </w:pPr>
    <w:rPr>
      <w:rFonts w:ascii="Times New Roman" w:eastAsia="Times New Roman" w:hAnsi="Times New Roman" w:cs="Times New Roman"/>
      <w:snapToGrid w:val="0"/>
      <w:kern w:val="28"/>
      <w:szCs w:val="20"/>
      <w14:ligatures w14:val="none"/>
    </w:rPr>
  </w:style>
  <w:style w:type="table" w:customStyle="1" w:styleId="TableGrid">
    <w:name w:val="TableGrid"/>
    <w:rsid w:val="00592720"/>
    <w:pPr>
      <w:spacing w:after="0" w:line="240" w:lineRule="auto"/>
    </w:pPr>
    <w:rPr>
      <w:rFonts w:eastAsiaTheme="minorEastAsia"/>
      <w:kern w:val="0"/>
      <w14:ligatures w14:val="none"/>
    </w:rPr>
    <w:tblPr>
      <w:tblCellMar>
        <w:top w:w="0" w:type="dxa"/>
        <w:left w:w="0" w:type="dxa"/>
        <w:bottom w:w="0" w:type="dxa"/>
        <w:right w:w="0" w:type="dxa"/>
      </w:tblCellMar>
    </w:tblPr>
  </w:style>
  <w:style w:type="character" w:styleId="Hyperlink">
    <w:name w:val="Hyperlink"/>
    <w:basedOn w:val="DefaultParagraphFont"/>
    <w:uiPriority w:val="99"/>
    <w:unhideWhenUsed/>
    <w:rsid w:val="00EC50A6"/>
    <w:rPr>
      <w:color w:val="0563C1" w:themeColor="hyperlink"/>
      <w:u w:val="single"/>
    </w:rPr>
  </w:style>
  <w:style w:type="character" w:styleId="UnresolvedMention">
    <w:name w:val="Unresolved Mention"/>
    <w:basedOn w:val="DefaultParagraphFont"/>
    <w:uiPriority w:val="99"/>
    <w:semiHidden/>
    <w:unhideWhenUsed/>
    <w:rsid w:val="00EC50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mailto:michael.a.evans-1@nasa.gov" TargetMode="External" /><Relationship Id="rId6" Type="http://schemas.openxmlformats.org/officeDocument/2006/relationships/hyperlink" Target="mailto:esm@nsf.gov" TargetMode="External" /><Relationship Id="rId7" Type="http://schemas.openxmlformats.org/officeDocument/2006/relationships/hyperlink" Target="mailto:nmrdz@nrao.edu" TargetMode="External" /><Relationship Id="rId8" Type="http://schemas.openxmlformats.org/officeDocument/2006/relationships/hyperlink" Target="mailto:nrqz@nrao.edu" TargetMode="External" /><Relationship Id="rId9" Type="http://schemas.openxmlformats.org/officeDocument/2006/relationships/hyperlink" Target="mailto:prcz@nrao.edu"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eb2.westlaw.com/find/default.wl?tf=-1&amp;rs=WLW8.08&amp;fn=_top&amp;sv=Split&amp;tc=-1&amp;docname=47CFRS1.3&amp;ordoc=2011591254&amp;findtype=L&amp;db=1000547&amp;vr=2.0&amp;rp=%2ffind%2fdefault.wl&amp;mt=Westlaw" TargetMode="External" /><Relationship Id="rId2" Type="http://schemas.openxmlformats.org/officeDocument/2006/relationships/hyperlink" Target="https://web2.westlaw.com/find/default.wl?tf=-1&amp;rs=WLW8.08&amp;serialnum=2007579635&amp;fn=_top&amp;sv=Split&amp;tc=-1&amp;findtype=Y&amp;ordoc=2011591254&amp;db=506&amp;vr=2.0&amp;rp=%2ffind%2fdefault.wl&amp;mt=Westlaw" TargetMode="External" /><Relationship Id="rId3" Type="http://schemas.openxmlformats.org/officeDocument/2006/relationships/hyperlink" Target="https://web2.westlaw.com/find/default.wl?tf=-1&amp;rs=WLW8.08&amp;serialnum=1990047144&amp;fn=_top&amp;sv=Split&amp;tc=-1&amp;findtype=Y&amp;ordoc=2011591254&amp;db=350&amp;vr=2.0&amp;rp=%2ffind%2fdefault.wl&amp;mt=Westlaw" TargetMode="External" /><Relationship Id="rId4" Type="http://schemas.openxmlformats.org/officeDocument/2006/relationships/hyperlink" Target="https://web2.westlaw.com/find/default.wl?tf=-1&amp;rs=WLW8.08&amp;serialnum=1969121124&amp;fn=_top&amp;sv=Split&amp;tc=-1&amp;findtype=Y&amp;ordoc=2011591254&amp;db=350&amp;vr=2.0&amp;rp=%2ffind%2fdefault.wl&amp;mt=Westlaw" TargetMode="External" /><Relationship Id="rId5" Type="http://schemas.openxmlformats.org/officeDocument/2006/relationships/hyperlink" Target="https://web2.westlaw.com/find/default.wl?tf=-1&amp;rs=WLW8.08&amp;referencepositiontype=S&amp;serialnum=2007579635&amp;fn=_top&amp;sv=Split&amp;referenceposition=269&amp;findtype=Y&amp;tc=-1&amp;ordoc=2011591254&amp;db=506&amp;vr=2.0&amp;rp=%2ffind%2fdefault.wl&amp;mt=Westlaw" TargetMode="External" /><Relationship Id="rId6" Type="http://schemas.openxmlformats.org/officeDocument/2006/relationships/hyperlink" Target="https://web2.westlaw.com/find/default.wl?tf=-1&amp;rs=WLW8.08&amp;referencepositiontype=S&amp;serialnum=1969121124&amp;fn=_top&amp;sv=Split&amp;referenceposition=1157&amp;findtype=Y&amp;tc=-1&amp;ordoc=2011591254&amp;db=350&amp;vr=2.0&amp;rp=%2ffind%2fdefault.wl&amp;mt=Westlaw"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