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4677C" w:rsidRPr="0069050E" w:rsidP="00776DA6" w14:paraId="07FF2F3B" w14:textId="77777777">
      <w:pPr>
        <w:widowControl/>
        <w:jc w:val="center"/>
        <w:rPr>
          <w:b/>
        </w:rPr>
      </w:pPr>
      <w:r w:rsidRPr="0069050E">
        <w:rPr>
          <w:rFonts w:ascii="Times New Roman Bold" w:hAnsi="Times New Roman Bold"/>
          <w:b/>
          <w:kern w:val="0"/>
          <w:szCs w:val="22"/>
        </w:rPr>
        <w:t>Before</w:t>
      </w:r>
      <w:r w:rsidRPr="0069050E">
        <w:rPr>
          <w:b/>
        </w:rPr>
        <w:t xml:space="preserve"> the</w:t>
      </w:r>
    </w:p>
    <w:p w:rsidR="00E4677C" w:rsidRPr="0069050E" w:rsidP="00776DA6" w14:paraId="63C3A3D4" w14:textId="77777777">
      <w:pPr>
        <w:pStyle w:val="StyleBoldCentered"/>
        <w:widowControl/>
      </w:pPr>
      <w:r w:rsidRPr="0069050E">
        <w:t>F</w:t>
      </w:r>
      <w:r w:rsidRPr="0069050E">
        <w:rPr>
          <w:caps w:val="0"/>
        </w:rPr>
        <w:t>ederal Communications Commission</w:t>
      </w:r>
    </w:p>
    <w:p w:rsidR="00E4677C" w:rsidRPr="0069050E" w:rsidP="00776DA6" w14:paraId="6370DB19" w14:textId="77777777">
      <w:pPr>
        <w:pStyle w:val="StyleBoldCentered"/>
        <w:widowControl/>
      </w:pPr>
      <w:r w:rsidRPr="0069050E">
        <w:rPr>
          <w:caps w:val="0"/>
        </w:rPr>
        <w:t>Washington, D.C. 20554</w:t>
      </w:r>
    </w:p>
    <w:p w:rsidR="00E4677C" w:rsidRPr="0069050E" w:rsidP="00776DA6" w14:paraId="7B923B2D" w14:textId="77777777">
      <w:pPr>
        <w:widowControl/>
      </w:pPr>
    </w:p>
    <w:p w:rsidR="00E4677C" w:rsidRPr="0069050E" w:rsidP="00776DA6" w14:paraId="33F5192C" w14:textId="77777777">
      <w:pPr>
        <w:widowControl/>
      </w:pPr>
    </w:p>
    <w:tbl>
      <w:tblPr>
        <w:tblW w:w="0" w:type="auto"/>
        <w:tblLayout w:type="fixed"/>
        <w:tblLook w:val="0000"/>
      </w:tblPr>
      <w:tblGrid>
        <w:gridCol w:w="4698"/>
        <w:gridCol w:w="630"/>
        <w:gridCol w:w="4248"/>
      </w:tblGrid>
      <w:tr w14:paraId="389786CD" w14:textId="77777777" w:rsidTr="00292B7E">
        <w:tblPrEx>
          <w:tblW w:w="0" w:type="auto"/>
          <w:tblLayout w:type="fixed"/>
          <w:tblLook w:val="0000"/>
        </w:tblPrEx>
        <w:tc>
          <w:tcPr>
            <w:tcW w:w="4698" w:type="dxa"/>
          </w:tcPr>
          <w:p w:rsidR="00E4677C" w:rsidRPr="0069050E" w:rsidP="00776DA6" w14:paraId="5CD36F25" w14:textId="77777777">
            <w:pPr>
              <w:widowControl/>
              <w:tabs>
                <w:tab w:val="center" w:pos="4680"/>
              </w:tabs>
              <w:suppressAutoHyphens/>
              <w:rPr>
                <w:spacing w:val="-2"/>
              </w:rPr>
            </w:pPr>
            <w:r w:rsidRPr="0069050E">
              <w:rPr>
                <w:spacing w:val="-2"/>
              </w:rPr>
              <w:t>In the Matter of</w:t>
            </w:r>
          </w:p>
          <w:p w:rsidR="00E4677C" w:rsidRPr="0069050E" w:rsidP="00776DA6" w14:paraId="365BC731" w14:textId="77777777">
            <w:pPr>
              <w:widowControl/>
              <w:tabs>
                <w:tab w:val="center" w:pos="4680"/>
              </w:tabs>
              <w:suppressAutoHyphens/>
              <w:rPr>
                <w:spacing w:val="-2"/>
              </w:rPr>
            </w:pPr>
          </w:p>
          <w:p w:rsidR="00E4677C" w:rsidRPr="0069050E" w:rsidP="00776DA6" w14:paraId="79F57A17" w14:textId="733FD839">
            <w:pPr>
              <w:widowControl/>
              <w:tabs>
                <w:tab w:val="center" w:pos="4680"/>
              </w:tabs>
              <w:suppressAutoHyphens/>
              <w:rPr>
                <w:spacing w:val="-2"/>
              </w:rPr>
            </w:pPr>
            <w:r>
              <w:rPr>
                <w:spacing w:val="-2"/>
              </w:rPr>
              <w:t>Belthrough LLC</w:t>
            </w:r>
          </w:p>
        </w:tc>
        <w:tc>
          <w:tcPr>
            <w:tcW w:w="630" w:type="dxa"/>
          </w:tcPr>
          <w:p w:rsidR="00E4677C" w:rsidRPr="0069050E" w:rsidP="00776DA6" w14:paraId="5959B5A5" w14:textId="77777777">
            <w:pPr>
              <w:widowControl/>
              <w:tabs>
                <w:tab w:val="center" w:pos="4680"/>
              </w:tabs>
              <w:suppressAutoHyphens/>
              <w:rPr>
                <w:b/>
                <w:spacing w:val="-2"/>
              </w:rPr>
            </w:pPr>
            <w:r w:rsidRPr="0069050E">
              <w:rPr>
                <w:b/>
                <w:spacing w:val="-2"/>
              </w:rPr>
              <w:t>)</w:t>
            </w:r>
          </w:p>
          <w:p w:rsidR="00E4677C" w:rsidRPr="0069050E" w:rsidP="00776DA6" w14:paraId="619A6D5B" w14:textId="77777777">
            <w:pPr>
              <w:widowControl/>
              <w:tabs>
                <w:tab w:val="center" w:pos="4680"/>
              </w:tabs>
              <w:suppressAutoHyphens/>
              <w:rPr>
                <w:b/>
                <w:spacing w:val="-2"/>
              </w:rPr>
            </w:pPr>
            <w:r w:rsidRPr="0069050E">
              <w:rPr>
                <w:b/>
                <w:spacing w:val="-2"/>
              </w:rPr>
              <w:t>)</w:t>
            </w:r>
          </w:p>
          <w:p w:rsidR="00E4677C" w:rsidRPr="0069050E" w:rsidP="00776DA6" w14:paraId="7C6223E8" w14:textId="77777777">
            <w:pPr>
              <w:widowControl/>
              <w:tabs>
                <w:tab w:val="center" w:pos="4680"/>
              </w:tabs>
              <w:suppressAutoHyphens/>
              <w:rPr>
                <w:b/>
                <w:spacing w:val="-2"/>
              </w:rPr>
            </w:pPr>
            <w:r w:rsidRPr="0069050E">
              <w:rPr>
                <w:b/>
                <w:spacing w:val="-2"/>
              </w:rPr>
              <w:t>)</w:t>
            </w:r>
          </w:p>
          <w:p w:rsidR="00E4677C" w:rsidRPr="0069050E" w:rsidP="00776DA6" w14:paraId="5C08720B" w14:textId="77777777">
            <w:pPr>
              <w:widowControl/>
              <w:tabs>
                <w:tab w:val="center" w:pos="4680"/>
              </w:tabs>
              <w:suppressAutoHyphens/>
              <w:rPr>
                <w:b/>
                <w:spacing w:val="-2"/>
              </w:rPr>
            </w:pPr>
            <w:r w:rsidRPr="0069050E">
              <w:rPr>
                <w:b/>
                <w:spacing w:val="-2"/>
              </w:rPr>
              <w:t>)</w:t>
            </w:r>
          </w:p>
          <w:p w:rsidR="006523E7" w:rsidRPr="0069050E" w:rsidP="00776DA6" w14:paraId="4B0BE617" w14:textId="77777777">
            <w:pPr>
              <w:widowControl/>
              <w:tabs>
                <w:tab w:val="center" w:pos="4680"/>
              </w:tabs>
              <w:suppressAutoHyphens/>
              <w:rPr>
                <w:b/>
                <w:spacing w:val="-2"/>
              </w:rPr>
            </w:pPr>
            <w:r w:rsidRPr="0069050E">
              <w:rPr>
                <w:b/>
                <w:spacing w:val="-2"/>
              </w:rPr>
              <w:t>)</w:t>
            </w:r>
          </w:p>
        </w:tc>
        <w:tc>
          <w:tcPr>
            <w:tcW w:w="4248" w:type="dxa"/>
          </w:tcPr>
          <w:p w:rsidR="00E4677C" w:rsidRPr="0069050E" w:rsidP="00776DA6" w14:paraId="2286CEE2" w14:textId="77777777">
            <w:pPr>
              <w:widowControl/>
              <w:tabs>
                <w:tab w:val="center" w:pos="4680"/>
              </w:tabs>
              <w:suppressAutoHyphens/>
              <w:rPr>
                <w:spacing w:val="-2"/>
              </w:rPr>
            </w:pPr>
          </w:p>
          <w:p w:rsidR="00E4677C" w:rsidRPr="0069050E" w:rsidP="00776DA6" w14:paraId="28BB755E" w14:textId="77777777">
            <w:pPr>
              <w:pStyle w:val="TOAHeading"/>
              <w:widowControl/>
              <w:tabs>
                <w:tab w:val="center" w:pos="4680"/>
                <w:tab w:val="clear" w:pos="9360"/>
              </w:tabs>
              <w:rPr>
                <w:spacing w:val="-2"/>
              </w:rPr>
            </w:pPr>
          </w:p>
          <w:p w:rsidR="00AA70D9" w:rsidRPr="0069050E" w:rsidP="00776DA6" w14:paraId="3A9252A4" w14:textId="6FED2F6E">
            <w:pPr>
              <w:widowControl/>
              <w:tabs>
                <w:tab w:val="center" w:pos="4680"/>
              </w:tabs>
              <w:suppressAutoHyphens/>
              <w:rPr>
                <w:spacing w:val="-2"/>
              </w:rPr>
            </w:pPr>
            <w:r w:rsidRPr="0069050E">
              <w:rPr>
                <w:spacing w:val="-2"/>
              </w:rPr>
              <w:t>EB-TCD-</w:t>
            </w:r>
            <w:r w:rsidR="00C579A0">
              <w:rPr>
                <w:spacing w:val="-2"/>
              </w:rPr>
              <w:t>24-00037445</w:t>
            </w:r>
          </w:p>
          <w:p w:rsidR="00C41F38" w:rsidRPr="0069050E" w:rsidP="00776DA6" w14:paraId="1A793FF6" w14:textId="329DC648">
            <w:pPr>
              <w:widowControl/>
              <w:tabs>
                <w:tab w:val="center" w:pos="4680"/>
              </w:tabs>
              <w:suppressAutoHyphens/>
              <w:rPr>
                <w:spacing w:val="-2"/>
              </w:rPr>
            </w:pPr>
            <w:r w:rsidRPr="001707C5">
              <w:rPr>
                <w:spacing w:val="-2"/>
              </w:rPr>
              <w:t xml:space="preserve">EB Docket No. </w:t>
            </w:r>
            <w:r w:rsidR="00716864">
              <w:rPr>
                <w:spacing w:val="-2"/>
              </w:rPr>
              <w:t>22-174</w:t>
            </w:r>
          </w:p>
        </w:tc>
      </w:tr>
    </w:tbl>
    <w:p w:rsidR="00E4677C" w:rsidRPr="0069050E" w:rsidP="00776DA6" w14:paraId="281B366C" w14:textId="77777777">
      <w:pPr>
        <w:widowControl/>
      </w:pPr>
    </w:p>
    <w:p w:rsidR="007035B1" w:rsidRPr="0069050E" w:rsidP="00776DA6" w14:paraId="37039FCE" w14:textId="3DFDB12D">
      <w:pPr>
        <w:pStyle w:val="StyleBoldCentered"/>
        <w:widowControl/>
      </w:pPr>
      <w:r w:rsidRPr="0069050E">
        <w:t xml:space="preserve">Initial Determination </w:t>
      </w:r>
      <w:r w:rsidR="00F900B2">
        <w:t xml:space="preserve">ORDER </w:t>
      </w:r>
      <w:r w:rsidR="0089361A">
        <w:t xml:space="preserve">AND </w:t>
      </w:r>
      <w:r w:rsidRPr="0069050E" w:rsidR="00E4677C">
        <w:t>Order</w:t>
      </w:r>
      <w:r w:rsidR="006410D2">
        <w:t xml:space="preserve"> TO SHOW CAUSE</w:t>
      </w:r>
    </w:p>
    <w:p w:rsidR="007035B1" w:rsidRPr="0069050E" w:rsidP="00776DA6" w14:paraId="2116821F" w14:textId="77777777">
      <w:pPr>
        <w:pStyle w:val="StyleBoldCentered"/>
        <w:widowControl/>
      </w:pPr>
    </w:p>
    <w:p w:rsidR="00E4677C" w:rsidRPr="0069050E" w:rsidP="00776DA6" w14:paraId="778AA265" w14:textId="77777777">
      <w:pPr>
        <w:widowControl/>
        <w:tabs>
          <w:tab w:val="left" w:pos="-720"/>
        </w:tabs>
        <w:suppressAutoHyphens/>
        <w:spacing w:line="227" w:lineRule="auto"/>
        <w:rPr>
          <w:spacing w:val="-2"/>
        </w:rPr>
      </w:pPr>
    </w:p>
    <w:p w:rsidR="00E4677C" w:rsidRPr="0069050E" w:rsidP="00776DA6" w14:paraId="1C84F34E" w14:textId="798F65F7">
      <w:pPr>
        <w:widowControl/>
        <w:tabs>
          <w:tab w:val="left" w:pos="720"/>
          <w:tab w:val="right" w:pos="9360"/>
        </w:tabs>
        <w:suppressAutoHyphens/>
        <w:spacing w:line="227" w:lineRule="auto"/>
        <w:rPr>
          <w:spacing w:val="-2"/>
        </w:rPr>
      </w:pPr>
      <w:r w:rsidRPr="0069050E">
        <w:rPr>
          <w:b/>
          <w:spacing w:val="-2"/>
        </w:rPr>
        <w:t>Adopted</w:t>
      </w:r>
      <w:r w:rsidRPr="0069050E">
        <w:rPr>
          <w:b/>
          <w:spacing w:val="-2"/>
        </w:rPr>
        <w:t xml:space="preserve">:  </w:t>
      </w:r>
      <w:r w:rsidR="00DC258D">
        <w:rPr>
          <w:b/>
          <w:spacing w:val="-2"/>
        </w:rPr>
        <w:t>February</w:t>
      </w:r>
      <w:r w:rsidR="00DC258D">
        <w:rPr>
          <w:b/>
          <w:spacing w:val="-2"/>
        </w:rPr>
        <w:t xml:space="preserve"> 19, </w:t>
      </w:r>
      <w:r w:rsidR="00DC258D">
        <w:rPr>
          <w:b/>
          <w:spacing w:val="-2"/>
        </w:rPr>
        <w:t>2026</w:t>
      </w:r>
      <w:r w:rsidRPr="0069050E">
        <w:rPr>
          <w:b/>
          <w:spacing w:val="-2"/>
        </w:rPr>
        <w:tab/>
        <w:t>Released</w:t>
      </w:r>
      <w:r w:rsidRPr="0069050E">
        <w:rPr>
          <w:b/>
          <w:spacing w:val="-2"/>
        </w:rPr>
        <w:t xml:space="preserve">:  </w:t>
      </w:r>
      <w:r w:rsidR="00DC258D">
        <w:rPr>
          <w:b/>
          <w:spacing w:val="-2"/>
        </w:rPr>
        <w:t>February</w:t>
      </w:r>
      <w:r w:rsidR="00DC258D">
        <w:rPr>
          <w:b/>
          <w:spacing w:val="-2"/>
        </w:rPr>
        <w:t xml:space="preserve"> 19, 2026</w:t>
      </w:r>
    </w:p>
    <w:p w:rsidR="00E4677C" w:rsidRPr="0069050E" w:rsidP="00776DA6" w14:paraId="3376BF7E" w14:textId="77777777">
      <w:pPr>
        <w:widowControl/>
      </w:pPr>
    </w:p>
    <w:p w:rsidR="00E4677C" w:rsidRPr="0069050E" w:rsidP="00776DA6" w14:paraId="6D9D1B8A" w14:textId="59A7ABAC">
      <w:pPr>
        <w:widowControl/>
        <w:rPr>
          <w:spacing w:val="-2"/>
        </w:rPr>
      </w:pPr>
      <w:r w:rsidRPr="0069050E">
        <w:t xml:space="preserve">By the </w:t>
      </w:r>
      <w:r w:rsidR="00C868F7">
        <w:t xml:space="preserve">Acting </w:t>
      </w:r>
      <w:r w:rsidRPr="0069050E">
        <w:t>Chief</w:t>
      </w:r>
      <w:r w:rsidRPr="0069050E" w:rsidR="00787966">
        <w:t>,</w:t>
      </w:r>
      <w:r w:rsidRPr="0069050E">
        <w:t xml:space="preserve"> Enforcement Bureau</w:t>
      </w:r>
      <w:r w:rsidRPr="0069050E">
        <w:rPr>
          <w:spacing w:val="-2"/>
        </w:rPr>
        <w:t>:</w:t>
      </w:r>
    </w:p>
    <w:p w:rsidR="00E4677C" w:rsidRPr="0069050E" w:rsidP="00776DA6" w14:paraId="3F366402" w14:textId="77777777">
      <w:pPr>
        <w:widowControl/>
        <w:rPr>
          <w:spacing w:val="-2"/>
        </w:rPr>
      </w:pPr>
    </w:p>
    <w:p w:rsidR="00E4677C" w:rsidRPr="0069050E" w:rsidP="00776DA6" w14:paraId="24A789B4" w14:textId="77777777">
      <w:pPr>
        <w:pStyle w:val="Heading1"/>
        <w:widowControl/>
      </w:pPr>
      <w:r w:rsidRPr="0069050E">
        <w:t>introduction</w:t>
      </w:r>
    </w:p>
    <w:p w:rsidR="00E4677C" w:rsidRPr="0069050E" w:rsidP="00776DA6" w14:paraId="4A5A8439" w14:textId="7D29263E">
      <w:pPr>
        <w:pStyle w:val="ParaNum"/>
        <w:widowControl/>
      </w:pPr>
      <w:r w:rsidRPr="0069050E">
        <w:t>By thi</w:t>
      </w:r>
      <w:r w:rsidRPr="0069050E" w:rsidR="00BF3954">
        <w:t>s Initial Determination</w:t>
      </w:r>
      <w:r w:rsidRPr="0069050E">
        <w:t xml:space="preserve"> </w:t>
      </w:r>
      <w:r w:rsidRPr="0069050E" w:rsidR="00A436F2">
        <w:t>O</w:t>
      </w:r>
      <w:r w:rsidRPr="0069050E">
        <w:t>rder</w:t>
      </w:r>
      <w:r w:rsidR="0089361A">
        <w:t xml:space="preserve"> and Order to Show Cause</w:t>
      </w:r>
      <w:r w:rsidRPr="0069050E">
        <w:t xml:space="preserve">, </w:t>
      </w:r>
      <w:r w:rsidRPr="0069050E" w:rsidR="00CB2D01">
        <w:t>the Enforcement Bureau (Bureau)</w:t>
      </w:r>
      <w:r w:rsidRPr="0069050E" w:rsidR="00B96E94">
        <w:t xml:space="preserve"> </w:t>
      </w:r>
      <w:r w:rsidR="00132DFC">
        <w:t>issues its initial determination</w:t>
      </w:r>
      <w:r w:rsidRPr="0069050E" w:rsidR="006F154C">
        <w:t xml:space="preserve"> </w:t>
      </w:r>
      <w:r w:rsidRPr="0069050E" w:rsidR="00C90269">
        <w:t>that</w:t>
      </w:r>
      <w:r w:rsidRPr="0069050E">
        <w:t xml:space="preserve"> </w:t>
      </w:r>
      <w:r w:rsidR="00802F4B">
        <w:t>Belthrough LLC</w:t>
      </w:r>
      <w:r w:rsidRPr="0069050E" w:rsidR="00497500">
        <w:t xml:space="preserve"> </w:t>
      </w:r>
      <w:r w:rsidRPr="0069050E">
        <w:t>(</w:t>
      </w:r>
      <w:r w:rsidR="00802F4B">
        <w:t>Belthrough</w:t>
      </w:r>
      <w:r w:rsidRPr="0069050E" w:rsidR="00497500">
        <w:t xml:space="preserve"> </w:t>
      </w:r>
      <w:r w:rsidRPr="0069050E">
        <w:t xml:space="preserve">or Company) </w:t>
      </w:r>
      <w:r w:rsidRPr="0069050E" w:rsidR="00C53A3D">
        <w:t xml:space="preserve">has </w:t>
      </w:r>
      <w:r w:rsidRPr="0069050E" w:rsidR="00C90269">
        <w:t xml:space="preserve">not </w:t>
      </w:r>
      <w:r w:rsidRPr="0069050E" w:rsidR="006F154C">
        <w:t>complied</w:t>
      </w:r>
      <w:r w:rsidRPr="0069050E" w:rsidR="00C90269">
        <w:t xml:space="preserve"> with the </w:t>
      </w:r>
      <w:r w:rsidR="002D21EE">
        <w:t xml:space="preserve">requirements in section 64.1200(n)(2) of </w:t>
      </w:r>
      <w:r w:rsidR="005F417D">
        <w:t xml:space="preserve">the </w:t>
      </w:r>
      <w:r w:rsidRPr="0069050E" w:rsidR="00477861">
        <w:t xml:space="preserve">Federal Communications </w:t>
      </w:r>
      <w:r w:rsidRPr="0069050E" w:rsidR="00C90269">
        <w:t>Commission’s</w:t>
      </w:r>
      <w:r w:rsidRPr="0069050E" w:rsidR="00477861">
        <w:t xml:space="preserve"> (Commission or FCC)</w:t>
      </w:r>
      <w:r w:rsidR="00F44E88">
        <w:t xml:space="preserve"> rules </w:t>
      </w:r>
      <w:r w:rsidRPr="0069050E" w:rsidR="00C90269">
        <w:t xml:space="preserve">for </w:t>
      </w:r>
      <w:r w:rsidR="00F44E88">
        <w:t>voice service</w:t>
      </w:r>
      <w:r w:rsidRPr="0069050E" w:rsidR="00F44E88">
        <w:t xml:space="preserve"> </w:t>
      </w:r>
      <w:r w:rsidRPr="0069050E" w:rsidR="00C90269">
        <w:t>providers</w:t>
      </w:r>
      <w:r w:rsidRPr="0069050E">
        <w:t>.</w:t>
      </w:r>
      <w:r w:rsidRPr="0069050E" w:rsidR="00C90269">
        <w:t xml:space="preserve">  </w:t>
      </w:r>
      <w:r w:rsidR="00BB52BD">
        <w:t xml:space="preserve">This Initial Determination Order follows the Bureau’s </w:t>
      </w:r>
      <w:r w:rsidR="00802F4B">
        <w:t>September 10, 2025</w:t>
      </w:r>
      <w:r w:rsidR="00E8074D">
        <w:t xml:space="preserve"> Notification of Suspected Illegal Traffic (Notice)</w:t>
      </w:r>
      <w:r w:rsidR="00A977E3">
        <w:t>,</w:t>
      </w:r>
      <w:r w:rsidR="00E8074D">
        <w:t xml:space="preserve"> </w:t>
      </w:r>
      <w:r w:rsidR="00B52CB9">
        <w:t xml:space="preserve">which identified apparently illegal traffic </w:t>
      </w:r>
      <w:r w:rsidR="001C5E60">
        <w:t>Belthrough</w:t>
      </w:r>
      <w:r w:rsidR="00B52CB9">
        <w:t xml:space="preserve"> </w:t>
      </w:r>
      <w:r w:rsidR="0092633F">
        <w:t>h</w:t>
      </w:r>
      <w:r w:rsidR="00B52CB9">
        <w:t>as transmitt</w:t>
      </w:r>
      <w:r w:rsidR="0092633F">
        <w:t>ed</w:t>
      </w:r>
      <w:r w:rsidR="007133CC">
        <w:t xml:space="preserve"> </w:t>
      </w:r>
      <w:r w:rsidR="000E6744">
        <w:t xml:space="preserve">as an </w:t>
      </w:r>
      <w:r w:rsidR="00DD579C">
        <w:t xml:space="preserve">originating provider and gateway provider </w:t>
      </w:r>
      <w:r w:rsidR="007133CC">
        <w:t xml:space="preserve">and </w:t>
      </w:r>
      <w:r w:rsidR="00DF6D8E">
        <w:t xml:space="preserve">instructed </w:t>
      </w:r>
      <w:r w:rsidR="001C5E60">
        <w:t>Belthrough</w:t>
      </w:r>
      <w:r w:rsidR="00DF6D8E">
        <w:t xml:space="preserve"> t</w:t>
      </w:r>
      <w:r w:rsidR="005F3B60">
        <w:t xml:space="preserve">o </w:t>
      </w:r>
      <w:r w:rsidR="00EB2772">
        <w:t xml:space="preserve">investigate the traffic, block it if necessary, and </w:t>
      </w:r>
      <w:r w:rsidR="00AF5C53">
        <w:t>provide a report</w:t>
      </w:r>
      <w:r w:rsidR="005F3B60">
        <w:t xml:space="preserve"> to the Bureau</w:t>
      </w:r>
      <w:r w:rsidR="00AF5C53">
        <w:t xml:space="preserve"> within 14 days</w:t>
      </w:r>
      <w:r w:rsidR="005F3B60">
        <w:t>.</w:t>
      </w:r>
      <w:bookmarkStart w:id="0" w:name="_Ref209539652"/>
      <w:r>
        <w:rPr>
          <w:rStyle w:val="FootnoteReference"/>
        </w:rPr>
        <w:footnoteReference w:id="3"/>
      </w:r>
      <w:bookmarkEnd w:id="0"/>
      <w:r w:rsidR="00D6200F">
        <w:t xml:space="preserve"> </w:t>
      </w:r>
      <w:r w:rsidR="005F3B60">
        <w:t xml:space="preserve"> </w:t>
      </w:r>
      <w:r w:rsidR="00FA0CCE">
        <w:t>Belthrough</w:t>
      </w:r>
      <w:r w:rsidR="00B722C6">
        <w:t xml:space="preserve"> </w:t>
      </w:r>
      <w:r w:rsidR="008A2F0C">
        <w:t>failed to</w:t>
      </w:r>
      <w:r w:rsidR="00B722C6">
        <w:t xml:space="preserve"> respond</w:t>
      </w:r>
      <w:r w:rsidR="00A977E3">
        <w:t>,</w:t>
      </w:r>
      <w:r w:rsidR="0077705B">
        <w:t xml:space="preserve"> and the Bureau is not aware</w:t>
      </w:r>
      <w:r w:rsidR="00A977E3">
        <w:t xml:space="preserve"> of</w:t>
      </w:r>
      <w:r w:rsidR="0077705B">
        <w:t xml:space="preserve"> </w:t>
      </w:r>
      <w:r w:rsidR="008F1088">
        <w:t xml:space="preserve">any measures </w:t>
      </w:r>
      <w:r w:rsidR="00FA0CCE">
        <w:t>Belthrough</w:t>
      </w:r>
      <w:r w:rsidR="0077705B">
        <w:t xml:space="preserve"> </w:t>
      </w:r>
      <w:r w:rsidR="008F1088">
        <w:t xml:space="preserve">has taken to </w:t>
      </w:r>
      <w:r w:rsidR="0077705B">
        <w:t>comply with the Notice</w:t>
      </w:r>
      <w:r w:rsidR="00B722C6">
        <w:t xml:space="preserve">.  </w:t>
      </w:r>
      <w:r w:rsidRPr="0069050E" w:rsidR="00AD5841">
        <w:t>Pursuant to section 64.1200(n)(</w:t>
      </w:r>
      <w:r w:rsidR="00F44E88">
        <w:t>2</w:t>
      </w:r>
      <w:r w:rsidRPr="0069050E" w:rsidR="00AD5841">
        <w:t>)(i</w:t>
      </w:r>
      <w:r w:rsidRPr="0069050E" w:rsidR="00057537">
        <w:t>i</w:t>
      </w:r>
      <w:r w:rsidRPr="0069050E" w:rsidR="00AD5841">
        <w:t>)</w:t>
      </w:r>
      <w:r w:rsidRPr="0069050E" w:rsidR="00E81AFF">
        <w:t xml:space="preserve"> </w:t>
      </w:r>
      <w:r w:rsidRPr="0069050E" w:rsidR="00AD5841">
        <w:t>of the Commission</w:t>
      </w:r>
      <w:r w:rsidRPr="0069050E" w:rsidR="00427BAC">
        <w:t>’s</w:t>
      </w:r>
      <w:r w:rsidRPr="0069050E" w:rsidR="00AD5841">
        <w:t xml:space="preserve"> rules, </w:t>
      </w:r>
      <w:r w:rsidR="00FA0CCE">
        <w:t>Belthrough</w:t>
      </w:r>
      <w:r w:rsidRPr="0069050E" w:rsidR="00C90269">
        <w:t xml:space="preserve"> </w:t>
      </w:r>
      <w:r w:rsidR="00D6200F">
        <w:t xml:space="preserve">now </w:t>
      </w:r>
      <w:r w:rsidRPr="0069050E" w:rsidR="00C90269">
        <w:t xml:space="preserve">has 14 days to respond to this </w:t>
      </w:r>
      <w:r w:rsidRPr="0069050E" w:rsidR="00F17E1A">
        <w:rPr>
          <w:rStyle w:val="cf01"/>
          <w:rFonts w:ascii="Times New Roman" w:hAnsi="Times New Roman" w:cs="Times New Roman"/>
          <w:sz w:val="22"/>
          <w:szCs w:val="22"/>
        </w:rPr>
        <w:t xml:space="preserve">Initial Determination Order </w:t>
      </w:r>
      <w:r w:rsidRPr="0069050E" w:rsidR="00472B25">
        <w:t>with a final response</w:t>
      </w:r>
      <w:r w:rsidRPr="0069050E" w:rsidR="00C41F38">
        <w:t xml:space="preserve"> to our </w:t>
      </w:r>
      <w:r w:rsidRPr="0069050E" w:rsidR="00B96E94">
        <w:t xml:space="preserve">apparent </w:t>
      </w:r>
      <w:r w:rsidRPr="0069050E" w:rsidR="00C41F38">
        <w:t>finding and to demonstrate compliance with our rules</w:t>
      </w:r>
      <w:r w:rsidRPr="0069050E" w:rsidR="00472B25">
        <w:t>.</w:t>
      </w:r>
      <w:r w:rsidRPr="0069050E">
        <w:t xml:space="preserve">  </w:t>
      </w:r>
      <w:r w:rsidRPr="0069050E" w:rsidR="00C90269">
        <w:t xml:space="preserve">If </w:t>
      </w:r>
      <w:r w:rsidR="00FA0CCE">
        <w:t>Belthrough</w:t>
      </w:r>
      <w:r w:rsidRPr="0069050E" w:rsidR="00C90269">
        <w:t xml:space="preserve"> fails to provide an adequate response </w:t>
      </w:r>
      <w:r w:rsidRPr="0069050E" w:rsidR="00F67FDB">
        <w:t>within 14 days</w:t>
      </w:r>
      <w:r w:rsidRPr="0069050E" w:rsidR="00240F15">
        <w:t xml:space="preserve"> </w:t>
      </w:r>
      <w:r w:rsidRPr="0069050E" w:rsidR="00D14227">
        <w:t>or</w:t>
      </w:r>
      <w:r w:rsidRPr="0069050E" w:rsidR="008705E0">
        <w:t xml:space="preserve"> </w:t>
      </w:r>
      <w:r w:rsidRPr="0069050E" w:rsidR="003F4F60">
        <w:t xml:space="preserve">continues to transmit substantially similar </w:t>
      </w:r>
      <w:r w:rsidRPr="0069050E" w:rsidR="00AD5841">
        <w:t xml:space="preserve">unlawful </w:t>
      </w:r>
      <w:r w:rsidRPr="0069050E" w:rsidR="003F4F60">
        <w:t>traffic</w:t>
      </w:r>
      <w:r w:rsidRPr="0069050E" w:rsidR="008705E0">
        <w:t>,</w:t>
      </w:r>
      <w:r w:rsidRPr="0069050E" w:rsidR="003F4F60">
        <w:t xml:space="preserve"> </w:t>
      </w:r>
      <w:r w:rsidRPr="0069050E" w:rsidR="008705E0">
        <w:t xml:space="preserve">the Bureau </w:t>
      </w:r>
      <w:r w:rsidRPr="0069050E" w:rsidR="00C90269">
        <w:t>will issue a Final Determination Order</w:t>
      </w:r>
      <w:r w:rsidRPr="0069050E" w:rsidR="008705E0">
        <w:t>.</w:t>
      </w:r>
      <w:r>
        <w:rPr>
          <w:rStyle w:val="FootnoteReference"/>
        </w:rPr>
        <w:footnoteReference w:id="4"/>
      </w:r>
      <w:r w:rsidRPr="0069050E" w:rsidR="008705E0">
        <w:t xml:space="preserve"> </w:t>
      </w:r>
      <w:r w:rsidRPr="0069050E" w:rsidR="00335B0F">
        <w:t xml:space="preserve"> </w:t>
      </w:r>
      <w:r w:rsidRPr="0069050E" w:rsidR="008705E0">
        <w:t>A</w:t>
      </w:r>
      <w:r w:rsidRPr="0069050E" w:rsidR="00C90269">
        <w:t xml:space="preserve">ny provider immediately downstream from </w:t>
      </w:r>
      <w:r w:rsidR="00FA0CCE">
        <w:t>Belthrough</w:t>
      </w:r>
      <w:r w:rsidRPr="0069050E" w:rsidR="00C90269">
        <w:t xml:space="preserve"> </w:t>
      </w:r>
      <w:r w:rsidRPr="0069050E" w:rsidR="008705E0">
        <w:t xml:space="preserve">will then be required to </w:t>
      </w:r>
      <w:r w:rsidRPr="0069050E" w:rsidR="00C90269">
        <w:t xml:space="preserve">block and cease accepting all traffic received </w:t>
      </w:r>
      <w:r w:rsidR="0079352F">
        <w:t xml:space="preserve">directly </w:t>
      </w:r>
      <w:r w:rsidRPr="0069050E" w:rsidR="00C90269">
        <w:t xml:space="preserve">from </w:t>
      </w:r>
      <w:r w:rsidR="00FA0CCE">
        <w:t>Belthrough</w:t>
      </w:r>
      <w:r w:rsidRPr="0069050E" w:rsidR="00C90269">
        <w:t xml:space="preserve"> beginning 30 days after release of the Final Determination Order.</w:t>
      </w:r>
      <w:r>
        <w:rPr>
          <w:rStyle w:val="FootnoteReference"/>
        </w:rPr>
        <w:footnoteReference w:id="5"/>
      </w:r>
      <w:r w:rsidRPr="0069050E" w:rsidR="00C90269">
        <w:t xml:space="preserve"> </w:t>
      </w:r>
      <w:r w:rsidR="00F44E88">
        <w:t xml:space="preserve"> </w:t>
      </w:r>
      <w:r w:rsidR="0042105E">
        <w:t xml:space="preserve">In addition, </w:t>
      </w:r>
      <w:r w:rsidR="00324EEE">
        <w:t xml:space="preserve">pursuant to </w:t>
      </w:r>
      <w:r w:rsidR="00D33B61">
        <w:t>Commission’s rules</w:t>
      </w:r>
      <w:r w:rsidR="00511552">
        <w:t xml:space="preserve"> and precedent</w:t>
      </w:r>
      <w:r w:rsidR="00D33B61">
        <w:t xml:space="preserve">, </w:t>
      </w:r>
      <w:r w:rsidR="00C346EB">
        <w:t xml:space="preserve">the </w:t>
      </w:r>
      <w:r w:rsidR="007E2DE2">
        <w:t>Order to Show Cause directs</w:t>
      </w:r>
      <w:r w:rsidR="00C346EB">
        <w:t xml:space="preserve"> Belthrough to show cause as to why it should not be removed from the Commission’s Robocall Mitigation Database</w:t>
      </w:r>
      <w:r w:rsidR="00BD757E">
        <w:t xml:space="preserve"> (RMD)</w:t>
      </w:r>
      <w:r w:rsidR="00C346EB">
        <w:t xml:space="preserve"> for </w:t>
      </w:r>
      <w:r w:rsidR="00F44E88">
        <w:t>failing to cooperate with the Bureau’s investigation</w:t>
      </w:r>
      <w:r w:rsidR="00BD757E">
        <w:t>.</w:t>
      </w:r>
      <w:r w:rsidR="0066378F">
        <w:t xml:space="preserve">  </w:t>
      </w:r>
      <w:r w:rsidR="000955CE">
        <w:t xml:space="preserve">Failure to respond within </w:t>
      </w:r>
      <w:r w:rsidR="00C44D87">
        <w:t xml:space="preserve">14 days will result in </w:t>
      </w:r>
      <w:r w:rsidR="00C44D87">
        <w:rPr>
          <w:szCs w:val="22"/>
        </w:rPr>
        <w:t>r</w:t>
      </w:r>
      <w:r w:rsidRPr="00762352" w:rsidR="00C44D87">
        <w:rPr>
          <w:szCs w:val="22"/>
        </w:rPr>
        <w:t xml:space="preserve">emoval of </w:t>
      </w:r>
      <w:r w:rsidRPr="00762352" w:rsidR="00B86733">
        <w:rPr>
          <w:szCs w:val="22"/>
        </w:rPr>
        <w:t>Belthrough’ s</w:t>
      </w:r>
      <w:r w:rsidRPr="00762352" w:rsidR="00C44D87">
        <w:rPr>
          <w:szCs w:val="22"/>
        </w:rPr>
        <w:t xml:space="preserve"> certification from the RMD</w:t>
      </w:r>
      <w:r w:rsidR="0019066E">
        <w:rPr>
          <w:szCs w:val="22"/>
        </w:rPr>
        <w:t xml:space="preserve">, in which case </w:t>
      </w:r>
      <w:r w:rsidRPr="00762352" w:rsidR="00C44D87">
        <w:rPr>
          <w:szCs w:val="22"/>
        </w:rPr>
        <w:t xml:space="preserve">all voice service providers and intermediate providers </w:t>
      </w:r>
      <w:r w:rsidR="0019066E">
        <w:rPr>
          <w:szCs w:val="22"/>
        </w:rPr>
        <w:t xml:space="preserve">will be required </w:t>
      </w:r>
      <w:r w:rsidRPr="00762352" w:rsidR="00C44D87">
        <w:rPr>
          <w:szCs w:val="22"/>
        </w:rPr>
        <w:t>to cease accepting calls directly from Belthrough</w:t>
      </w:r>
      <w:r w:rsidR="0019066E">
        <w:rPr>
          <w:szCs w:val="22"/>
        </w:rPr>
        <w:t>.</w:t>
      </w:r>
      <w:bookmarkStart w:id="1" w:name="_Ref219993126"/>
      <w:r>
        <w:rPr>
          <w:rStyle w:val="FootnoteReference"/>
          <w:szCs w:val="22"/>
        </w:rPr>
        <w:footnoteReference w:id="6"/>
      </w:r>
      <w:bookmarkEnd w:id="1"/>
      <w:r w:rsidR="0066378F">
        <w:t xml:space="preserve"> </w:t>
      </w:r>
    </w:p>
    <w:p w:rsidR="00E4677C" w:rsidRPr="0069050E" w:rsidP="00776DA6" w14:paraId="0D8F63A4" w14:textId="77777777">
      <w:pPr>
        <w:pStyle w:val="Heading1"/>
        <w:widowControl/>
      </w:pPr>
      <w:r w:rsidRPr="0069050E">
        <w:t>Background</w:t>
      </w:r>
    </w:p>
    <w:p w:rsidR="00E4677C" w:rsidRPr="0069050E" w:rsidP="00776DA6" w14:paraId="50EE3164" w14:textId="20D5228B">
      <w:pPr>
        <w:pStyle w:val="Heading2"/>
        <w:widowControl/>
      </w:pPr>
      <w:r>
        <w:t>Voice Service</w:t>
      </w:r>
      <w:r w:rsidRPr="0069050E">
        <w:t xml:space="preserve"> </w:t>
      </w:r>
      <w:r w:rsidRPr="0069050E" w:rsidR="007035B1">
        <w:t>Provider Mandatory Blocking Rules</w:t>
      </w:r>
    </w:p>
    <w:p w:rsidR="004C52DB" w:rsidP="00C12278" w14:paraId="3ED0F8B3" w14:textId="136507E2">
      <w:pPr>
        <w:pStyle w:val="ParaNum"/>
      </w:pPr>
      <w:r w:rsidRPr="0050384A">
        <w:rPr>
          <w:szCs w:val="22"/>
        </w:rPr>
        <w:t xml:space="preserve">Protecting </w:t>
      </w:r>
      <w:r w:rsidRPr="0050384A" w:rsidR="008672AD">
        <w:rPr>
          <w:szCs w:val="22"/>
        </w:rPr>
        <w:t>consumers in the United States</w:t>
      </w:r>
      <w:r w:rsidRPr="0050384A">
        <w:rPr>
          <w:szCs w:val="22"/>
        </w:rPr>
        <w:t xml:space="preserve"> from the dangers</w:t>
      </w:r>
      <w:r w:rsidRPr="0050384A" w:rsidR="00C4438E">
        <w:rPr>
          <w:szCs w:val="22"/>
        </w:rPr>
        <w:t xml:space="preserve"> and risks</w:t>
      </w:r>
      <w:r w:rsidRPr="0050384A">
        <w:rPr>
          <w:szCs w:val="22"/>
        </w:rPr>
        <w:t xml:space="preserve"> of unwanted and illegal robocalls is the Commission’s top consumer protection priority.</w:t>
      </w:r>
      <w:r>
        <w:rPr>
          <w:rStyle w:val="FootnoteReference"/>
          <w:sz w:val="22"/>
          <w:szCs w:val="22"/>
        </w:rPr>
        <w:footnoteReference w:id="7"/>
      </w:r>
      <w:r w:rsidRPr="0050384A">
        <w:rPr>
          <w:szCs w:val="22"/>
        </w:rPr>
        <w:t xml:space="preserve">  </w:t>
      </w:r>
      <w:r w:rsidRPr="0050384A" w:rsidR="00C12278">
        <w:rPr>
          <w:szCs w:val="22"/>
        </w:rPr>
        <w:t>Callers may be the ones who place illegal calls, but voice service providers can—and sometimes do—facilitate, or even protect, these bad-actor callers.</w:t>
      </w:r>
      <w:r>
        <w:rPr>
          <w:rStyle w:val="FootnoteReference"/>
          <w:sz w:val="22"/>
          <w:szCs w:val="22"/>
        </w:rPr>
        <w:footnoteReference w:id="8"/>
      </w:r>
      <w:r w:rsidRPr="0050384A" w:rsidR="00EF4CD4">
        <w:rPr>
          <w:szCs w:val="22"/>
        </w:rPr>
        <w:t xml:space="preserve">  To address the problem, the Commission requires </w:t>
      </w:r>
      <w:r w:rsidRPr="0050384A" w:rsidR="001C6506">
        <w:rPr>
          <w:szCs w:val="22"/>
        </w:rPr>
        <w:t>voice service providers to block illegal traffic in some cases.</w:t>
      </w:r>
      <w:r>
        <w:rPr>
          <w:rStyle w:val="FootnoteReference"/>
          <w:sz w:val="22"/>
          <w:szCs w:val="22"/>
        </w:rPr>
        <w:footnoteReference w:id="9"/>
      </w:r>
      <w:r w:rsidRPr="0050384A" w:rsidR="003069E2">
        <w:rPr>
          <w:szCs w:val="22"/>
        </w:rPr>
        <w:t xml:space="preserve">  </w:t>
      </w:r>
      <w:r w:rsidR="009D50D0">
        <w:rPr>
          <w:szCs w:val="22"/>
        </w:rPr>
        <w:t>On May 19, 2022, the Commission adopted t</w:t>
      </w:r>
      <w:r w:rsidRPr="0050384A" w:rsidR="003069E2">
        <w:rPr>
          <w:szCs w:val="22"/>
        </w:rPr>
        <w:t xml:space="preserve">he </w:t>
      </w:r>
      <w:r w:rsidRPr="0050384A" w:rsidR="003069E2">
        <w:rPr>
          <w:i/>
          <w:iCs/>
          <w:szCs w:val="22"/>
        </w:rPr>
        <w:t>Gateway Provider Order</w:t>
      </w:r>
      <w:r w:rsidR="009D50D0">
        <w:rPr>
          <w:szCs w:val="22"/>
        </w:rPr>
        <w:t>, which</w:t>
      </w:r>
      <w:r w:rsidRPr="0050384A" w:rsidR="003069E2">
        <w:rPr>
          <w:szCs w:val="22"/>
        </w:rPr>
        <w:t xml:space="preserve"> built upon the Commission’s prior, </w:t>
      </w:r>
      <w:r w:rsidR="003E14E9">
        <w:rPr>
          <w:szCs w:val="22"/>
        </w:rPr>
        <w:t>permissive</w:t>
      </w:r>
      <w:r w:rsidRPr="0050384A" w:rsidR="003069E2">
        <w:rPr>
          <w:szCs w:val="22"/>
        </w:rPr>
        <w:t xml:space="preserve"> call blocking rules to require gateway providers to block illegal traffic when notified of such traffic by the Commission.</w:t>
      </w:r>
      <w:bookmarkStart w:id="2" w:name="_Ref209173913"/>
      <w:r>
        <w:rPr>
          <w:rStyle w:val="FootnoteReference"/>
          <w:sz w:val="22"/>
          <w:szCs w:val="22"/>
        </w:rPr>
        <w:footnoteReference w:id="10"/>
      </w:r>
      <w:bookmarkEnd w:id="2"/>
      <w:r w:rsidRPr="0050384A" w:rsidR="003069E2">
        <w:rPr>
          <w:szCs w:val="22"/>
        </w:rPr>
        <w:t xml:space="preserve">  </w:t>
      </w:r>
      <w:r w:rsidRPr="0050384A" w:rsidR="00672A47">
        <w:rPr>
          <w:szCs w:val="22"/>
        </w:rPr>
        <w:t xml:space="preserve">On May </w:t>
      </w:r>
      <w:r w:rsidRPr="0050384A" w:rsidR="0050384A">
        <w:rPr>
          <w:szCs w:val="22"/>
        </w:rPr>
        <w:t>18, 202</w:t>
      </w:r>
      <w:r w:rsidR="00AC3189">
        <w:rPr>
          <w:szCs w:val="22"/>
        </w:rPr>
        <w:t>3</w:t>
      </w:r>
      <w:r w:rsidRPr="0050384A" w:rsidR="0050384A">
        <w:rPr>
          <w:szCs w:val="22"/>
        </w:rPr>
        <w:t xml:space="preserve">, the Commission expanded the mandatory call blocking framework created in the </w:t>
      </w:r>
      <w:r w:rsidRPr="0050384A" w:rsidR="0050384A">
        <w:rPr>
          <w:i/>
          <w:iCs/>
          <w:szCs w:val="22"/>
        </w:rPr>
        <w:t>Gateway Provider Order</w:t>
      </w:r>
      <w:r w:rsidRPr="0050384A" w:rsidR="0050384A">
        <w:rPr>
          <w:szCs w:val="22"/>
        </w:rPr>
        <w:t xml:space="preserve"> to all voice service providers</w:t>
      </w:r>
      <w:r w:rsidR="0050384A">
        <w:t>.</w:t>
      </w:r>
      <w:r>
        <w:rPr>
          <w:rStyle w:val="FootnoteReference"/>
        </w:rPr>
        <w:footnoteReference w:id="11"/>
      </w:r>
    </w:p>
    <w:p w:rsidR="00934138" w:rsidRPr="0069050E" w:rsidP="006635C9" w14:paraId="2B786F9C" w14:textId="15A6EB4F">
      <w:pPr>
        <w:pStyle w:val="ParaNum"/>
        <w:widowControl/>
      </w:pPr>
      <w:r>
        <w:t>The call blocking framework is a three-step process.</w:t>
      </w:r>
      <w:r w:rsidR="00A9453D">
        <w:t xml:space="preserve"> </w:t>
      </w:r>
      <w:r w:rsidR="00F45CF0">
        <w:t xml:space="preserve"> </w:t>
      </w:r>
      <w:r>
        <w:rPr>
          <w:i/>
          <w:iCs/>
        </w:rPr>
        <w:t>First</w:t>
      </w:r>
      <w:r>
        <w:t xml:space="preserve">, </w:t>
      </w:r>
      <w:r w:rsidR="004122A9">
        <w:t>providers receive</w:t>
      </w:r>
      <w:r w:rsidRPr="0069050E" w:rsidR="00EA6469">
        <w:t xml:space="preserve"> a </w:t>
      </w:r>
      <w:r w:rsidR="004122A9">
        <w:t>notification of suspected illegal traffic</w:t>
      </w:r>
      <w:r w:rsidRPr="0069050E" w:rsidR="004122A9">
        <w:t xml:space="preserve"> </w:t>
      </w:r>
      <w:r w:rsidRPr="0069050E" w:rsidR="00EA6469">
        <w:t>from the Bureau</w:t>
      </w:r>
      <w:r w:rsidR="00735A42">
        <w:t xml:space="preserve"> requiring the provider to</w:t>
      </w:r>
      <w:r w:rsidRPr="0069050E" w:rsidR="00EA6469">
        <w:t xml:space="preserve"> investigat</w:t>
      </w:r>
      <w:r w:rsidR="00735A42">
        <w:t>e the suspected illegal traffic</w:t>
      </w:r>
      <w:r w:rsidRPr="0069050E" w:rsidR="00EA6469">
        <w:t xml:space="preserve"> and report the results of the investigation to the Bureau.</w:t>
      </w:r>
      <w:r>
        <w:rPr>
          <w:rStyle w:val="FootnoteReference"/>
        </w:rPr>
        <w:footnoteReference w:id="12"/>
      </w:r>
      <w:r w:rsidR="00D30BDE">
        <w:t xml:space="preserve">  </w:t>
      </w:r>
      <w:r w:rsidR="00D30BDE">
        <w:rPr>
          <w:i/>
          <w:iCs/>
        </w:rPr>
        <w:t>Second</w:t>
      </w:r>
      <w:r w:rsidR="00D30BDE">
        <w:t xml:space="preserve">, </w:t>
      </w:r>
      <w:r w:rsidR="0000245C">
        <w:t>if the provider fails to respond to the notification</w:t>
      </w:r>
      <w:r w:rsidR="00B13664">
        <w:t>;</w:t>
      </w:r>
      <w:r w:rsidR="0000245C">
        <w:t xml:space="preserve"> the Bureau determines that the response is insufficient</w:t>
      </w:r>
      <w:r w:rsidR="00B13664">
        <w:t>;</w:t>
      </w:r>
      <w:r w:rsidR="00C43D69">
        <w:t xml:space="preserve"> the Bureau determines that the provider is continuing to originate substantially similar traffic</w:t>
      </w:r>
      <w:r w:rsidR="00B13664">
        <w:t>;</w:t>
      </w:r>
      <w:r w:rsidR="00C70B31">
        <w:t xml:space="preserve"> or the Bureau determines that </w:t>
      </w:r>
      <w:r w:rsidR="00027485">
        <w:t>the traffic is illegal despite assertions by the provider, then the Bureau shall issue an Initial Determination Order</w:t>
      </w:r>
      <w:r w:rsidR="00B13664">
        <w:t>, pursuant to the Commission’s rules</w:t>
      </w:r>
      <w:r w:rsidR="00533360">
        <w:t>.</w:t>
      </w:r>
      <w:r>
        <w:rPr>
          <w:rStyle w:val="FootnoteReference"/>
        </w:rPr>
        <w:footnoteReference w:id="13"/>
      </w:r>
      <w:r w:rsidR="002D3810">
        <w:t xml:space="preserve">  The provider </w:t>
      </w:r>
      <w:r w:rsidR="00B13664">
        <w:t>has</w:t>
      </w:r>
      <w:r w:rsidR="002D3810">
        <w:t xml:space="preserve"> </w:t>
      </w:r>
      <w:r w:rsidR="006635C9">
        <w:t>an opportunity to respond.</w:t>
      </w:r>
      <w:r>
        <w:rPr>
          <w:rStyle w:val="FootnoteReference"/>
        </w:rPr>
        <w:footnoteReference w:id="14"/>
      </w:r>
      <w:r w:rsidRPr="0069050E" w:rsidR="005D3997">
        <w:t xml:space="preserve">  </w:t>
      </w:r>
      <w:r w:rsidRPr="006635C9" w:rsidR="006635C9">
        <w:rPr>
          <w:i/>
          <w:iCs/>
        </w:rPr>
        <w:t>Third</w:t>
      </w:r>
      <w:r w:rsidR="006635C9">
        <w:t>,</w:t>
      </w:r>
      <w:r w:rsidRPr="0069050E" w:rsidR="00BE5210">
        <w:t xml:space="preserve"> </w:t>
      </w:r>
      <w:r w:rsidR="006635C9">
        <w:t>i</w:t>
      </w:r>
      <w:r w:rsidRPr="0069050E" w:rsidR="00BE5210">
        <w:t>f the Bureau determines that the provider’s response</w:t>
      </w:r>
      <w:r w:rsidRPr="0069050E" w:rsidR="00942E02">
        <w:t xml:space="preserve"> to the Initial Determination Order</w:t>
      </w:r>
      <w:r w:rsidRPr="006635C9" w:rsidR="00BE5210">
        <w:rPr>
          <w:szCs w:val="22"/>
        </w:rPr>
        <w:t xml:space="preserve"> </w:t>
      </w:r>
      <w:r w:rsidRPr="0069050E" w:rsidR="000367A7">
        <w:t>is</w:t>
      </w:r>
      <w:r w:rsidRPr="0069050E" w:rsidR="00BE5210">
        <w:t xml:space="preserve"> inadequate</w:t>
      </w:r>
      <w:r w:rsidRPr="006635C9" w:rsidR="00BE5210">
        <w:rPr>
          <w:szCs w:val="22"/>
        </w:rPr>
        <w:t xml:space="preserve"> </w:t>
      </w:r>
      <w:r w:rsidRPr="006635C9" w:rsidR="00B65523">
        <w:rPr>
          <w:szCs w:val="22"/>
        </w:rPr>
        <w:t>(</w:t>
      </w:r>
      <w:r w:rsidRPr="0069050E" w:rsidR="00BE5210">
        <w:t>including</w:t>
      </w:r>
      <w:r w:rsidRPr="0069050E" w:rsidR="00B65523">
        <w:t xml:space="preserve"> instances where the provider fails to respond)</w:t>
      </w:r>
      <w:r w:rsidRPr="006635C9" w:rsidR="00BE5210">
        <w:rPr>
          <w:szCs w:val="22"/>
        </w:rPr>
        <w:t>,</w:t>
      </w:r>
      <w:r w:rsidRPr="0069050E" w:rsidR="00BE5210">
        <w:t xml:space="preserve"> or </w:t>
      </w:r>
      <w:r w:rsidRPr="0069050E" w:rsidR="00082B83">
        <w:t xml:space="preserve">if </w:t>
      </w:r>
      <w:r w:rsidRPr="0069050E" w:rsidR="00BE5210">
        <w:t>it continues to transmit substantially similar traffic,</w:t>
      </w:r>
      <w:r w:rsidRPr="006635C9" w:rsidR="00BE5210">
        <w:rPr>
          <w:szCs w:val="22"/>
        </w:rPr>
        <w:t xml:space="preserve"> </w:t>
      </w:r>
      <w:r w:rsidRPr="0069050E" w:rsidR="00BE5210">
        <w:t xml:space="preserve">the Bureau </w:t>
      </w:r>
      <w:r w:rsidRPr="0069050E" w:rsidR="00C8229A">
        <w:t xml:space="preserve">may </w:t>
      </w:r>
      <w:r w:rsidRPr="0069050E" w:rsidR="00C67357">
        <w:t>issue</w:t>
      </w:r>
      <w:r w:rsidRPr="006635C9" w:rsidR="00005735">
        <w:rPr>
          <w:szCs w:val="22"/>
        </w:rPr>
        <w:t xml:space="preserve"> </w:t>
      </w:r>
      <w:r w:rsidRPr="0069050E" w:rsidR="00BE5210">
        <w:t>a Final Determination Order</w:t>
      </w:r>
      <w:r w:rsidRPr="006635C9" w:rsidR="00C8229A">
        <w:rPr>
          <w:szCs w:val="22"/>
        </w:rPr>
        <w:t xml:space="preserve"> mandating</w:t>
      </w:r>
      <w:r w:rsidRPr="006635C9" w:rsidR="00B65523">
        <w:rPr>
          <w:szCs w:val="22"/>
        </w:rPr>
        <w:t xml:space="preserve"> </w:t>
      </w:r>
      <w:r w:rsidRPr="0069050E" w:rsidR="00C8229A">
        <w:t>a</w:t>
      </w:r>
      <w:r w:rsidRPr="0069050E" w:rsidR="00BE5210">
        <w:t xml:space="preserve">ll </w:t>
      </w:r>
      <w:r w:rsidRPr="0069050E" w:rsidR="00AF1238">
        <w:t>immediate</w:t>
      </w:r>
      <w:r w:rsidRPr="006635C9" w:rsidR="005F30D2">
        <w:rPr>
          <w:szCs w:val="22"/>
        </w:rPr>
        <w:t xml:space="preserve"> </w:t>
      </w:r>
      <w:r w:rsidRPr="0069050E" w:rsidR="00BE5210">
        <w:t xml:space="preserve">downstream providers </w:t>
      </w:r>
      <w:r w:rsidRPr="0069050E" w:rsidR="00C8229A">
        <w:t xml:space="preserve">to </w:t>
      </w:r>
      <w:r w:rsidRPr="0069050E" w:rsidR="00BE5210">
        <w:t>block and cease accepting all traffic that they receive from the provider starting 30 days from release of the Final Determination Order.</w:t>
      </w:r>
      <w:r>
        <w:rPr>
          <w:rStyle w:val="FootnoteReference"/>
          <w:sz w:val="22"/>
          <w:szCs w:val="22"/>
        </w:rPr>
        <w:footnoteReference w:id="15"/>
      </w:r>
    </w:p>
    <w:p w:rsidR="00F45CF0" w:rsidRPr="00762352" w:rsidP="00762352" w14:paraId="347D70F1" w14:textId="77777777">
      <w:pPr>
        <w:pStyle w:val="Heading2"/>
      </w:pPr>
      <w:r>
        <w:t xml:space="preserve">RMD Rules and Removal Procedure </w:t>
      </w:r>
      <w:r w:rsidRPr="007F3BF2">
        <w:t>Under Section 64.6305(g)</w:t>
      </w:r>
    </w:p>
    <w:p w:rsidR="008633CD" w:rsidRPr="00A04518" w:rsidP="00A04518" w14:paraId="5A2ABD7E" w14:textId="2025EDBD">
      <w:pPr>
        <w:pStyle w:val="ParaNum"/>
        <w:rPr>
          <w:b/>
        </w:rPr>
      </w:pPr>
      <w:r w:rsidRPr="001E6C1F">
        <w:rPr>
          <w:rStyle w:val="boolean-control"/>
        </w:rPr>
        <w:t>The Commission may remove a voice service provider’s filing from the RMD that it finds “deficient in some way.”</w:t>
      </w:r>
      <w:bookmarkStart w:id="3" w:name="_Ref209173982"/>
      <w:r>
        <w:rPr>
          <w:rStyle w:val="FootnoteReference"/>
          <w:sz w:val="22"/>
        </w:rPr>
        <w:footnoteReference w:id="16"/>
      </w:r>
      <w:bookmarkEnd w:id="3"/>
      <w:r w:rsidRPr="001E6C1F">
        <w:rPr>
          <w:rStyle w:val="boolean-control"/>
        </w:rPr>
        <w:t xml:space="preserve">  To do so, the Commission first contacts the provider, notifying it that its filing is deficient, explaining the nature of the deficiency, and providing 14 days for the provider to cure the deficiency.</w:t>
      </w:r>
      <w:bookmarkStart w:id="4" w:name="_Ref209539965"/>
      <w:r>
        <w:rPr>
          <w:rStyle w:val="FootnoteReference"/>
          <w:sz w:val="22"/>
        </w:rPr>
        <w:footnoteReference w:id="17"/>
      </w:r>
      <w:bookmarkEnd w:id="4"/>
      <w:r w:rsidRPr="001E6C1F">
        <w:rPr>
          <w:rStyle w:val="boolean-control"/>
        </w:rPr>
        <w:t xml:space="preserve">  If the provider fails to cure the deficiency, the Bureau will release an order concluding that a provider’s filing is deficient based on the available evidence.  The order will direct the provider to—within 14 days—cure the deficiency in its filing and explain </w:t>
      </w:r>
      <w:r w:rsidRPr="001E6C1F">
        <w:t>why the Bureau should not remove the Company’s certification from the RMD</w:t>
      </w:r>
      <w:r w:rsidRPr="001E6C1F">
        <w:rPr>
          <w:rStyle w:val="boolean-control"/>
        </w:rPr>
        <w:t>.</w:t>
      </w:r>
      <w:r>
        <w:rPr>
          <w:rStyle w:val="FootnoteReference"/>
          <w:sz w:val="22"/>
        </w:rPr>
        <w:footnoteReference w:id="18"/>
      </w:r>
      <w:r w:rsidRPr="001E6C1F">
        <w:rPr>
          <w:rStyle w:val="boolean-control"/>
        </w:rPr>
        <w:t xml:space="preserve"> </w:t>
      </w:r>
      <w:r w:rsidR="009B0FFC">
        <w:rPr>
          <w:rStyle w:val="boolean-control"/>
        </w:rPr>
        <w:t xml:space="preserve"> </w:t>
      </w:r>
      <w:r w:rsidRPr="001E6C1F">
        <w:rPr>
          <w:rStyle w:val="boolean-control"/>
        </w:rPr>
        <w:t>If the provider fails to cure the deficiency or provide a sufficient explanation why its filing is not deficient within that 14-day period, the Bureau will release an order removing the provider from the RMD.</w:t>
      </w:r>
      <w:r>
        <w:rPr>
          <w:rStyle w:val="FootnoteReference"/>
          <w:sz w:val="22"/>
        </w:rPr>
        <w:footnoteReference w:id="19"/>
      </w:r>
    </w:p>
    <w:p w:rsidR="00E4677C" w:rsidRPr="0069050E" w:rsidP="00776DA6" w14:paraId="465E6CC4" w14:textId="5AC1DC3C">
      <w:pPr>
        <w:pStyle w:val="Heading2"/>
        <w:widowControl/>
      </w:pPr>
      <w:r>
        <w:t>Belthrough</w:t>
      </w:r>
      <w:r w:rsidRPr="0069050E" w:rsidR="00510BBF">
        <w:t>’s Transmission of Suspected Illegal Robocalls as a</w:t>
      </w:r>
      <w:r w:rsidR="00F44E88">
        <w:t>n Originating and</w:t>
      </w:r>
      <w:r w:rsidRPr="0069050E" w:rsidR="00510BBF">
        <w:t xml:space="preserve"> Gateway Provider</w:t>
      </w:r>
    </w:p>
    <w:p w:rsidR="008633CD" w:rsidP="00900DFF" w14:paraId="4EF4B08E" w14:textId="44822B42">
      <w:pPr>
        <w:pStyle w:val="ParaNum"/>
        <w:widowControl/>
      </w:pPr>
      <w:r>
        <w:t>Belthrough</w:t>
      </w:r>
      <w:r w:rsidRPr="0069050E" w:rsidR="00BE5210">
        <w:t xml:space="preserve"> </w:t>
      </w:r>
      <w:r w:rsidR="007B4DE3">
        <w:t xml:space="preserve">has </w:t>
      </w:r>
      <w:r w:rsidR="004D2307">
        <w:t xml:space="preserve">transmitted </w:t>
      </w:r>
      <w:r w:rsidR="00246C47">
        <w:t>traffic a</w:t>
      </w:r>
      <w:r w:rsidR="007B4DE3">
        <w:t>s</w:t>
      </w:r>
      <w:r w:rsidRPr="0069050E" w:rsidR="00BE5210">
        <w:t xml:space="preserve"> both a </w:t>
      </w:r>
      <w:r w:rsidR="009D39B3">
        <w:t>voice service</w:t>
      </w:r>
      <w:r w:rsidRPr="0069050E" w:rsidR="00BE5210">
        <w:t xml:space="preserve"> provider and a gateway provider</w:t>
      </w:r>
      <w:r w:rsidRPr="0069050E" w:rsidR="00311F52">
        <w:t>.</w:t>
      </w:r>
      <w:bookmarkStart w:id="5" w:name="_Ref209539722"/>
      <w:r>
        <w:rPr>
          <w:rStyle w:val="FootnoteReference"/>
        </w:rPr>
        <w:footnoteReference w:id="20"/>
      </w:r>
      <w:bookmarkEnd w:id="5"/>
      <w:r w:rsidRPr="0069050E" w:rsidR="0012272C">
        <w:t xml:space="preserve"> </w:t>
      </w:r>
      <w:r w:rsidRPr="0069050E" w:rsidR="00311F52">
        <w:t xml:space="preserve"> </w:t>
      </w:r>
      <w:r w:rsidR="009A5591">
        <w:t xml:space="preserve">Belthrough most recently updated its </w:t>
      </w:r>
      <w:r w:rsidR="00831BA0">
        <w:t xml:space="preserve">RMD </w:t>
      </w:r>
      <w:r w:rsidR="009A5591">
        <w:t>certification on March 11, 2025</w:t>
      </w:r>
      <w:r w:rsidR="00C77DA1">
        <w:t>.</w:t>
      </w:r>
      <w:r>
        <w:rPr>
          <w:rStyle w:val="FootnoteReference"/>
        </w:rPr>
        <w:footnoteReference w:id="21"/>
      </w:r>
      <w:r w:rsidR="00C77DA1">
        <w:t xml:space="preserve"> </w:t>
      </w:r>
      <w:r w:rsidR="000A6EE3">
        <w:t xml:space="preserve"> </w:t>
      </w:r>
      <w:r>
        <w:t>The certification contain</w:t>
      </w:r>
      <w:r w:rsidR="002F58D5">
        <w:t>s</w:t>
      </w:r>
      <w:r>
        <w:t xml:space="preserve"> a declaration under penalty of perjury that the Company </w:t>
      </w:r>
      <w:r w:rsidR="005E7655">
        <w:t>has a robocall mitigation program</w:t>
      </w:r>
      <w:r w:rsidR="001C3A76">
        <w:t xml:space="preserve"> that includes a</w:t>
      </w:r>
      <w:r>
        <w:t xml:space="preserve"> commit</w:t>
      </w:r>
      <w:r w:rsidR="001C3A76">
        <w:t>ment</w:t>
      </w:r>
      <w:r w:rsidR="0056488E">
        <w:t xml:space="preserve"> </w:t>
      </w:r>
      <w:r>
        <w:t>to “</w:t>
      </w:r>
      <w:r w:rsidRPr="008633CD">
        <w:t xml:space="preserve">cooperate with </w:t>
      </w:r>
      <w:r>
        <w:t>[the Commission]</w:t>
      </w:r>
      <w:r w:rsidRPr="008633CD">
        <w:t xml:space="preserve"> in investigating and stopping any illegal robocallers that use its service to originate calls</w:t>
      </w:r>
      <w:r>
        <w:t>.”</w:t>
      </w:r>
      <w:r>
        <w:rPr>
          <w:rStyle w:val="FootnoteReference"/>
        </w:rPr>
        <w:footnoteReference w:id="22"/>
      </w:r>
      <w:r w:rsidR="00FF4477">
        <w:t xml:space="preserve"> </w:t>
      </w:r>
    </w:p>
    <w:p w:rsidR="000D01C6" w:rsidRPr="0069050E" w:rsidP="00776DA6" w14:paraId="2F7F84C7" w14:textId="7F0B7FC7">
      <w:pPr>
        <w:pStyle w:val="ParaNum"/>
        <w:widowControl/>
      </w:pPr>
      <w:r w:rsidRPr="0069050E">
        <w:t xml:space="preserve">On </w:t>
      </w:r>
      <w:r w:rsidR="0068526C">
        <w:t>September 10, 2025</w:t>
      </w:r>
      <w:r w:rsidRPr="0069050E">
        <w:t xml:space="preserve">, the Bureau issued </w:t>
      </w:r>
      <w:r w:rsidR="00B90CB5">
        <w:t>the</w:t>
      </w:r>
      <w:r w:rsidRPr="0069050E">
        <w:t xml:space="preserve"> Notice </w:t>
      </w:r>
      <w:r w:rsidRPr="0069050E" w:rsidR="00474EA7">
        <w:t xml:space="preserve">to </w:t>
      </w:r>
      <w:r w:rsidR="0068526C">
        <w:t>Belthrough</w:t>
      </w:r>
      <w:r w:rsidRPr="0069050E" w:rsidR="00E6064D">
        <w:t xml:space="preserve"> </w:t>
      </w:r>
      <w:r w:rsidRPr="0069050E" w:rsidR="00474EA7">
        <w:t xml:space="preserve">for </w:t>
      </w:r>
      <w:r w:rsidRPr="0069050E" w:rsidR="009C0EFC">
        <w:t xml:space="preserve">originating and </w:t>
      </w:r>
      <w:r w:rsidRPr="0069050E" w:rsidR="00474EA7">
        <w:t>transmitting apparent</w:t>
      </w:r>
      <w:r w:rsidRPr="0069050E" w:rsidR="00B86248">
        <w:t>ly</w:t>
      </w:r>
      <w:r w:rsidRPr="0069050E" w:rsidR="00474EA7">
        <w:t xml:space="preserve"> illegal traffic.</w:t>
      </w:r>
      <w:r>
        <w:rPr>
          <w:rStyle w:val="FootnoteReference"/>
        </w:rPr>
        <w:footnoteReference w:id="23"/>
      </w:r>
      <w:r w:rsidRPr="0069050E" w:rsidR="00474EA7">
        <w:t xml:space="preserve">  </w:t>
      </w:r>
      <w:r w:rsidRPr="0069050E" w:rsidR="004B3904">
        <w:t>The calls</w:t>
      </w:r>
      <w:r w:rsidRPr="0069050E" w:rsidR="003B5D95">
        <w:t xml:space="preserve"> apparently</w:t>
      </w:r>
      <w:r w:rsidRPr="0069050E" w:rsidR="004B3904">
        <w:t xml:space="preserve"> </w:t>
      </w:r>
      <w:r w:rsidRPr="0069050E" w:rsidR="00803781">
        <w:t xml:space="preserve">transmitted prerecorded voice messages </w:t>
      </w:r>
      <w:r w:rsidR="00AD36C6">
        <w:t xml:space="preserve">to wireless telephone numbers </w:t>
      </w:r>
      <w:r w:rsidRPr="0069050E" w:rsidR="00803781">
        <w:t>without the requisite consent</w:t>
      </w:r>
      <w:r w:rsidRPr="0069050E" w:rsidR="00AF600B">
        <w:t xml:space="preserve"> of the called party</w:t>
      </w:r>
      <w:r w:rsidRPr="0069050E" w:rsidR="00803781">
        <w:t xml:space="preserve"> under the Communications Act</w:t>
      </w:r>
      <w:r w:rsidRPr="0069050E" w:rsidR="004D5068">
        <w:t xml:space="preserve"> of 1934, as amended,</w:t>
      </w:r>
      <w:r w:rsidRPr="0069050E" w:rsidR="00803781">
        <w:t xml:space="preserve"> and our rules.</w:t>
      </w:r>
      <w:r>
        <w:rPr>
          <w:rStyle w:val="FootnoteReference"/>
        </w:rPr>
        <w:footnoteReference w:id="24"/>
      </w:r>
      <w:r w:rsidRPr="0069050E" w:rsidR="00803781">
        <w:t xml:space="preserve">  </w:t>
      </w:r>
      <w:r w:rsidR="008743C5">
        <w:t xml:space="preserve">These calls related to impersonation of Internet Service Providers (ISPs) to defraud consumers of funds, as detailed </w:t>
      </w:r>
      <w:r w:rsidR="004D055E">
        <w:t>in</w:t>
      </w:r>
      <w:r w:rsidR="008743C5">
        <w:t xml:space="preserve"> the Notice.</w:t>
      </w:r>
      <w:r>
        <w:rPr>
          <w:rStyle w:val="FootnoteReference"/>
        </w:rPr>
        <w:footnoteReference w:id="25"/>
      </w:r>
      <w:r w:rsidR="008743C5">
        <w:t xml:space="preserve">  </w:t>
      </w:r>
      <w:r w:rsidRPr="0069050E" w:rsidR="0003570F">
        <w:rPr>
          <w:szCs w:val="22"/>
        </w:rPr>
        <w:t>USTelecom’s Industry</w:t>
      </w:r>
      <w:r w:rsidRPr="0069050E" w:rsidR="00390852">
        <w:rPr>
          <w:szCs w:val="22"/>
        </w:rPr>
        <w:t xml:space="preserve"> Traceback</w:t>
      </w:r>
      <w:r w:rsidRPr="0069050E" w:rsidR="0003570F">
        <w:rPr>
          <w:szCs w:val="22"/>
        </w:rPr>
        <w:t xml:space="preserve"> </w:t>
      </w:r>
      <w:r w:rsidRPr="0069050E" w:rsidR="00F17E1A">
        <w:rPr>
          <w:szCs w:val="22"/>
        </w:rPr>
        <w:t xml:space="preserve">Group </w:t>
      </w:r>
      <w:r w:rsidRPr="0069050E" w:rsidR="0003570F">
        <w:rPr>
          <w:szCs w:val="22"/>
        </w:rPr>
        <w:t>(</w:t>
      </w:r>
      <w:r w:rsidRPr="0069050E" w:rsidR="00106EC6">
        <w:rPr>
          <w:szCs w:val="22"/>
        </w:rPr>
        <w:t>ITG</w:t>
      </w:r>
      <w:r w:rsidRPr="0069050E" w:rsidR="0003570F">
        <w:rPr>
          <w:szCs w:val="22"/>
        </w:rPr>
        <w:t>)</w:t>
      </w:r>
      <w:r>
        <w:rPr>
          <w:rStyle w:val="FootnoteReference"/>
          <w:sz w:val="22"/>
          <w:szCs w:val="22"/>
        </w:rPr>
        <w:footnoteReference w:id="26"/>
      </w:r>
      <w:r w:rsidRPr="0069050E" w:rsidR="0003570F">
        <w:rPr>
          <w:szCs w:val="22"/>
        </w:rPr>
        <w:t xml:space="preserve"> </w:t>
      </w:r>
      <w:r w:rsidRPr="0069050E" w:rsidR="00474EA7">
        <w:rPr>
          <w:szCs w:val="22"/>
        </w:rPr>
        <w:t xml:space="preserve">investigated </w:t>
      </w:r>
      <w:r w:rsidRPr="0069050E" w:rsidR="009F0421">
        <w:rPr>
          <w:szCs w:val="22"/>
        </w:rPr>
        <w:t xml:space="preserve">purportedly </w:t>
      </w:r>
      <w:r w:rsidRPr="0069050E" w:rsidR="00474EA7">
        <w:rPr>
          <w:szCs w:val="22"/>
        </w:rPr>
        <w:t>prerecorded voice message calls made without consent.</w:t>
      </w:r>
      <w:r>
        <w:rPr>
          <w:rStyle w:val="FootnoteReference"/>
          <w:sz w:val="22"/>
          <w:szCs w:val="22"/>
        </w:rPr>
        <w:footnoteReference w:id="27"/>
      </w:r>
      <w:r w:rsidRPr="0069050E" w:rsidR="00474EA7">
        <w:rPr>
          <w:szCs w:val="22"/>
        </w:rPr>
        <w:t xml:space="preserve">  The </w:t>
      </w:r>
      <w:r w:rsidRPr="0069050E" w:rsidR="00106EC6">
        <w:rPr>
          <w:szCs w:val="22"/>
        </w:rPr>
        <w:t>ITG</w:t>
      </w:r>
      <w:r w:rsidRPr="0069050E" w:rsidR="00474EA7">
        <w:rPr>
          <w:szCs w:val="22"/>
        </w:rPr>
        <w:t xml:space="preserve"> conducted tracebacks and determined that </w:t>
      </w:r>
      <w:r w:rsidRPr="0069050E" w:rsidR="00106EC6">
        <w:rPr>
          <w:szCs w:val="22"/>
        </w:rPr>
        <w:t>the calls originated overseas</w:t>
      </w:r>
      <w:r w:rsidR="00990F5C">
        <w:rPr>
          <w:szCs w:val="22"/>
        </w:rPr>
        <w:t xml:space="preserve"> </w:t>
      </w:r>
      <w:r w:rsidRPr="0069050E" w:rsidR="00106EC6">
        <w:rPr>
          <w:szCs w:val="22"/>
        </w:rPr>
        <w:t xml:space="preserve">and that </w:t>
      </w:r>
      <w:r w:rsidR="00830CED">
        <w:rPr>
          <w:szCs w:val="22"/>
        </w:rPr>
        <w:t>Belthrough</w:t>
      </w:r>
      <w:r w:rsidRPr="0069050E" w:rsidR="00474EA7">
        <w:rPr>
          <w:szCs w:val="22"/>
        </w:rPr>
        <w:t xml:space="preserve"> acted as </w:t>
      </w:r>
      <w:r w:rsidRPr="0069050E" w:rsidR="00062F9D">
        <w:rPr>
          <w:szCs w:val="22"/>
        </w:rPr>
        <w:t xml:space="preserve">the originator for some of the calls and the gateway provider for other </w:t>
      </w:r>
      <w:r w:rsidRPr="0069050E" w:rsidR="00F56AC5">
        <w:rPr>
          <w:szCs w:val="22"/>
        </w:rPr>
        <w:t>calls</w:t>
      </w:r>
      <w:r w:rsidRPr="0069050E" w:rsidR="00474EA7">
        <w:rPr>
          <w:szCs w:val="22"/>
        </w:rPr>
        <w:t>.</w:t>
      </w:r>
      <w:r>
        <w:rPr>
          <w:rStyle w:val="FootnoteReference"/>
          <w:szCs w:val="22"/>
        </w:rPr>
        <w:footnoteReference w:id="28"/>
      </w:r>
      <w:r w:rsidRPr="0069050E" w:rsidR="00474EA7">
        <w:rPr>
          <w:szCs w:val="22"/>
        </w:rPr>
        <w:t xml:space="preserve">  The </w:t>
      </w:r>
      <w:r w:rsidRPr="0069050E" w:rsidR="00106EC6">
        <w:rPr>
          <w:szCs w:val="22"/>
        </w:rPr>
        <w:t>ITG</w:t>
      </w:r>
      <w:r w:rsidRPr="0069050E" w:rsidR="00474EA7">
        <w:rPr>
          <w:szCs w:val="22"/>
        </w:rPr>
        <w:t xml:space="preserve"> previously notified </w:t>
      </w:r>
      <w:r w:rsidR="005C4DD5">
        <w:rPr>
          <w:szCs w:val="22"/>
        </w:rPr>
        <w:t>Belthrough</w:t>
      </w:r>
      <w:r w:rsidRPr="0069050E" w:rsidR="00474EA7">
        <w:rPr>
          <w:szCs w:val="22"/>
        </w:rPr>
        <w:t xml:space="preserve"> of these calls and provided it access to supporting data identifying each call.</w:t>
      </w:r>
      <w:r>
        <w:rPr>
          <w:rStyle w:val="FootnoteReference"/>
          <w:szCs w:val="22"/>
        </w:rPr>
        <w:footnoteReference w:id="29"/>
      </w:r>
      <w:r w:rsidRPr="0069050E" w:rsidR="0012263F">
        <w:rPr>
          <w:szCs w:val="22"/>
        </w:rPr>
        <w:t xml:space="preserve">  </w:t>
      </w:r>
      <w:r w:rsidR="005C4DD5">
        <w:rPr>
          <w:szCs w:val="22"/>
        </w:rPr>
        <w:t>Belthrough</w:t>
      </w:r>
      <w:r w:rsidRPr="0069050E" w:rsidR="0012263F">
        <w:rPr>
          <w:szCs w:val="22"/>
        </w:rPr>
        <w:t xml:space="preserve"> </w:t>
      </w:r>
      <w:r w:rsidRPr="0069050E" w:rsidR="002C302C">
        <w:rPr>
          <w:szCs w:val="22"/>
        </w:rPr>
        <w:t>did not provide</w:t>
      </w:r>
      <w:r w:rsidRPr="0069050E" w:rsidR="00581BA9">
        <w:rPr>
          <w:szCs w:val="22"/>
        </w:rPr>
        <w:t xml:space="preserve"> the ITG</w:t>
      </w:r>
      <w:r w:rsidRPr="0069050E" w:rsidR="002C302C">
        <w:rPr>
          <w:szCs w:val="22"/>
        </w:rPr>
        <w:t xml:space="preserve"> proof of the requisite consent for the calls</w:t>
      </w:r>
      <w:r w:rsidRPr="0069050E" w:rsidR="0012263F">
        <w:rPr>
          <w:szCs w:val="22"/>
        </w:rPr>
        <w:t>.</w:t>
      </w:r>
      <w:r>
        <w:rPr>
          <w:rStyle w:val="FootnoteReference"/>
          <w:szCs w:val="22"/>
        </w:rPr>
        <w:footnoteReference w:id="30"/>
      </w:r>
    </w:p>
    <w:p w:rsidR="00B16B27" w:rsidP="00B16B27" w14:paraId="02A3F945" w14:textId="2949C5FD">
      <w:pPr>
        <w:pStyle w:val="ParaNum"/>
        <w:widowControl/>
      </w:pPr>
      <w:bookmarkStart w:id="6" w:name="_Ref209173904"/>
      <w:r w:rsidRPr="0069050E">
        <w:t>The</w:t>
      </w:r>
      <w:r w:rsidRPr="0069050E" w:rsidR="008D3A33">
        <w:t xml:space="preserve"> Notice </w:t>
      </w:r>
      <w:r w:rsidRPr="0069050E">
        <w:t>require</w:t>
      </w:r>
      <w:r w:rsidRPr="0069050E" w:rsidR="00826F9C">
        <w:t>d</w:t>
      </w:r>
      <w:r w:rsidRPr="0069050E">
        <w:t xml:space="preserve"> </w:t>
      </w:r>
      <w:r w:rsidR="00326C9C">
        <w:t>Belthrough</w:t>
      </w:r>
      <w:r w:rsidRPr="0069050E">
        <w:t xml:space="preserve"> to investigate and block the </w:t>
      </w:r>
      <w:r w:rsidR="00207892">
        <w:t xml:space="preserve">identified </w:t>
      </w:r>
      <w:r w:rsidRPr="0069050E">
        <w:t>traffic and report the results of the investigation to the Bureau by</w:t>
      </w:r>
      <w:r w:rsidR="00326C9C">
        <w:t xml:space="preserve"> September 2</w:t>
      </w:r>
      <w:r w:rsidR="00A5304A">
        <w:t>4</w:t>
      </w:r>
      <w:r w:rsidR="00326C9C">
        <w:t>, 2025</w:t>
      </w:r>
      <w:r w:rsidRPr="0069050E" w:rsidR="00600197">
        <w:t>.</w:t>
      </w:r>
      <w:r>
        <w:rPr>
          <w:rStyle w:val="FootnoteReference"/>
        </w:rPr>
        <w:footnoteReference w:id="31"/>
      </w:r>
      <w:r w:rsidRPr="0069050E" w:rsidR="00600197">
        <w:t xml:space="preserve">  The </w:t>
      </w:r>
      <w:r w:rsidRPr="0069050E" w:rsidR="008D3A33">
        <w:t>Notice</w:t>
      </w:r>
      <w:r w:rsidRPr="0069050E" w:rsidR="00600197">
        <w:t xml:space="preserve"> warn</w:t>
      </w:r>
      <w:r w:rsidRPr="0069050E" w:rsidR="00826F9C">
        <w:t>ed</w:t>
      </w:r>
      <w:r w:rsidRPr="0069050E" w:rsidR="00600197">
        <w:t xml:space="preserve"> </w:t>
      </w:r>
      <w:r w:rsidR="00326C9C">
        <w:t>Belthrough</w:t>
      </w:r>
      <w:r w:rsidRPr="0069050E" w:rsidR="00600197">
        <w:t xml:space="preserve"> that a failure to comply with those obligations </w:t>
      </w:r>
      <w:r w:rsidR="00685503">
        <w:t>c</w:t>
      </w:r>
      <w:r w:rsidRPr="0069050E" w:rsidR="00600197">
        <w:t xml:space="preserve">ould result in the Bureau requiring all </w:t>
      </w:r>
      <w:r w:rsidRPr="0069050E" w:rsidR="00AF1238">
        <w:t>immediate</w:t>
      </w:r>
      <w:r w:rsidRPr="0069050E" w:rsidR="005F30D2">
        <w:t xml:space="preserve"> </w:t>
      </w:r>
      <w:r w:rsidRPr="0069050E" w:rsidR="00600197">
        <w:t>downstream providers to block its traffic pursuant to section 64.1200(n)(</w:t>
      </w:r>
      <w:r w:rsidR="00F83954">
        <w:t>2</w:t>
      </w:r>
      <w:r w:rsidRPr="0069050E" w:rsidR="00600197">
        <w:t>) and (</w:t>
      </w:r>
      <w:r w:rsidR="00F83954">
        <w:t>3</w:t>
      </w:r>
      <w:r w:rsidRPr="0069050E" w:rsidR="00600197">
        <w:t>).</w:t>
      </w:r>
      <w:r>
        <w:rPr>
          <w:rStyle w:val="FootnoteReference"/>
        </w:rPr>
        <w:footnoteReference w:id="32"/>
      </w:r>
      <w:r w:rsidR="008633CD">
        <w:t xml:space="preserve">  The Notice further warned Belthrough that failure to respond to the Notice would be grounds for removal from the RMD.</w:t>
      </w:r>
      <w:r>
        <w:rPr>
          <w:rStyle w:val="FootnoteReference"/>
        </w:rPr>
        <w:footnoteReference w:id="33"/>
      </w:r>
      <w:r w:rsidRPr="0069050E" w:rsidR="00600197">
        <w:t xml:space="preserve">  </w:t>
      </w:r>
      <w:bookmarkEnd w:id="6"/>
    </w:p>
    <w:p w:rsidR="00025710" w:rsidP="00B16B27" w14:paraId="60D69586" w14:textId="0B01DC2C">
      <w:pPr>
        <w:pStyle w:val="ParaNum"/>
        <w:widowControl/>
      </w:pPr>
      <w:r>
        <w:t>On September 10, 2025, t</w:t>
      </w:r>
      <w:r w:rsidR="00B16B27">
        <w:t xml:space="preserve">he Bureau sent the </w:t>
      </w:r>
      <w:r w:rsidR="00432A79">
        <w:t>Notice</w:t>
      </w:r>
      <w:r w:rsidR="00B16B27">
        <w:t xml:space="preserve"> to Belthrough via certified mail, and on September 24, 2025, the Bureau received a signed certified mail card acknowledging receipt.</w:t>
      </w:r>
      <w:bookmarkStart w:id="7" w:name="_Ref216883933"/>
      <w:r>
        <w:rPr>
          <w:rStyle w:val="FootnoteReference"/>
        </w:rPr>
        <w:footnoteReference w:id="34"/>
      </w:r>
      <w:bookmarkEnd w:id="7"/>
      <w:r w:rsidR="00B16B27">
        <w:t xml:space="preserve"> </w:t>
      </w:r>
      <w:r w:rsidR="00D205C8">
        <w:t xml:space="preserve"> </w:t>
      </w:r>
      <w:r>
        <w:t>T</w:t>
      </w:r>
      <w:r w:rsidR="00B16B27">
        <w:t xml:space="preserve">he Bureau sent an email containing the </w:t>
      </w:r>
      <w:r w:rsidR="00AD28D3">
        <w:t>Notice</w:t>
      </w:r>
      <w:r w:rsidR="00B16B27">
        <w:t>, with the subject line “Official Correspondence from the Federal Communications Commission,” to Belthrough’s official contact listed in the RMD.</w:t>
      </w:r>
      <w:r>
        <w:rPr>
          <w:rStyle w:val="FootnoteReference"/>
        </w:rPr>
        <w:footnoteReference w:id="35"/>
      </w:r>
      <w:r w:rsidR="00B16B27">
        <w:t xml:space="preserve"> </w:t>
      </w:r>
    </w:p>
    <w:p w:rsidR="007B0445" w:rsidRPr="002C54E0" w:rsidP="00FE6676" w14:paraId="72897E8D" w14:textId="6C77AFF2">
      <w:pPr>
        <w:pStyle w:val="ParaNum"/>
        <w:widowControl/>
      </w:pPr>
      <w:r>
        <w:t xml:space="preserve">Despite returning the certified mail card acknowledging receipt of the </w:t>
      </w:r>
      <w:r w:rsidR="00F92EA2">
        <w:t>N</w:t>
      </w:r>
      <w:r w:rsidR="00BA6D5E">
        <w:t>otice</w:t>
      </w:r>
      <w:r>
        <w:t>, Belthrough continued to transmit apparent robocall and fraud</w:t>
      </w:r>
      <w:r w:rsidR="00517CEA">
        <w:t>ulent</w:t>
      </w:r>
      <w:r>
        <w:t xml:space="preserve"> traffic over its network, generating at least nine additional tracebacks.</w:t>
      </w:r>
      <w:bookmarkStart w:id="8" w:name="_Ref216883920"/>
      <w:r>
        <w:rPr>
          <w:rStyle w:val="FootnoteReference"/>
        </w:rPr>
        <w:footnoteReference w:id="36"/>
      </w:r>
      <w:bookmarkEnd w:id="8"/>
      <w:r>
        <w:t xml:space="preserve"> </w:t>
      </w:r>
      <w:r w:rsidR="00D205C8">
        <w:t xml:space="preserve"> </w:t>
      </w:r>
      <w:r w:rsidR="00517CEA">
        <w:t>ITG identified that these calls as impersonating financial services providers and border protection services.</w:t>
      </w:r>
      <w:r>
        <w:rPr>
          <w:rStyle w:val="FootnoteReference"/>
        </w:rPr>
        <w:footnoteReference w:id="37"/>
      </w:r>
      <w:r w:rsidR="00517CEA">
        <w:t xml:space="preserve">  </w:t>
      </w:r>
      <w:r>
        <w:t xml:space="preserve">Belthrough again listed itself on the tracebacks as the “calling party,” and under </w:t>
      </w:r>
      <w:r w:rsidR="00025710">
        <w:t>the column “</w:t>
      </w:r>
      <w:r>
        <w:t>action taken</w:t>
      </w:r>
      <w:r w:rsidR="00025710">
        <w:t>” in response to the traceback</w:t>
      </w:r>
      <w:r>
        <w:t xml:space="preserve"> stated “[t]</w:t>
      </w:r>
      <w:r w:rsidRPr="005E125A">
        <w:t>he customer has been notified to limit that traffic.</w:t>
      </w:r>
      <w:r>
        <w:t>”</w:t>
      </w:r>
      <w:r>
        <w:rPr>
          <w:rStyle w:val="FootnoteReference"/>
        </w:rPr>
        <w:footnoteReference w:id="38"/>
      </w:r>
      <w:r>
        <w:t xml:space="preserve"> </w:t>
      </w:r>
      <w:r w:rsidR="00D205C8">
        <w:t xml:space="preserve"> Other than signing the certified mail signature card, </w:t>
      </w:r>
      <w:r w:rsidRPr="0017476B" w:rsidR="00D205C8">
        <w:t xml:space="preserve">Belthrough </w:t>
      </w:r>
      <w:r w:rsidR="00D205C8">
        <w:t>has not responded to the Notice</w:t>
      </w:r>
      <w:r w:rsidRPr="0017476B" w:rsidR="00D205C8">
        <w:t>.</w:t>
      </w:r>
    </w:p>
    <w:p w:rsidR="00E4677C" w:rsidRPr="0069050E" w:rsidP="005C6165" w14:paraId="28D90F4C" w14:textId="77777777">
      <w:pPr>
        <w:pStyle w:val="Heading1"/>
        <w:widowControl/>
        <w:spacing w:before="120"/>
      </w:pPr>
      <w:r w:rsidRPr="0069050E">
        <w:t>Discussion</w:t>
      </w:r>
    </w:p>
    <w:p w:rsidR="00651117" w:rsidP="00A9453D" w14:paraId="052C53D2" w14:textId="4D6CFCD5">
      <w:pPr>
        <w:pStyle w:val="Heading2"/>
      </w:pPr>
      <w:r>
        <w:t>Belthrough May Be Subject to Mandatory Call Blocking</w:t>
      </w:r>
    </w:p>
    <w:p w:rsidR="005D4AE2" w:rsidRPr="0069050E" w:rsidP="00776DA6" w14:paraId="2A2C95B3" w14:textId="5A86EC08">
      <w:pPr>
        <w:pStyle w:val="ParaNum"/>
        <w:widowControl/>
      </w:pPr>
      <w:r>
        <w:t xml:space="preserve">The Commission’s rules require </w:t>
      </w:r>
      <w:r w:rsidR="00111BF3">
        <w:t>Belthrough</w:t>
      </w:r>
      <w:r w:rsidRPr="0069050E" w:rsidR="00A60FF4">
        <w:t xml:space="preserve"> </w:t>
      </w:r>
      <w:r>
        <w:t>to</w:t>
      </w:r>
      <w:r w:rsidRPr="0069050E">
        <w:t xml:space="preserve"> </w:t>
      </w:r>
      <w:r w:rsidRPr="0069050E" w:rsidR="00A60FF4">
        <w:t xml:space="preserve">investigate and block traffic identified by the Bureau after receiving </w:t>
      </w:r>
      <w:r>
        <w:t>a notification of suspected illegal traffic</w:t>
      </w:r>
      <w:r w:rsidRPr="0069050E" w:rsidR="00A60FF4">
        <w:t>.</w:t>
      </w:r>
      <w:r>
        <w:rPr>
          <w:rStyle w:val="FootnoteReference"/>
        </w:rPr>
        <w:footnoteReference w:id="39"/>
      </w:r>
      <w:r w:rsidRPr="0069050E" w:rsidR="00A60FF4">
        <w:t xml:space="preserve">  </w:t>
      </w:r>
      <w:r>
        <w:t>The rules also require Belthrough to</w:t>
      </w:r>
      <w:r w:rsidRPr="0069050E" w:rsidR="00970085">
        <w:t xml:space="preserve"> </w:t>
      </w:r>
      <w:r w:rsidRPr="0069050E" w:rsidR="00A60FF4">
        <w:t>report the results of its investigation to the Bureau.</w:t>
      </w:r>
      <w:r>
        <w:rPr>
          <w:rStyle w:val="FootnoteReference"/>
        </w:rPr>
        <w:footnoteReference w:id="40"/>
      </w:r>
      <w:r w:rsidRPr="0069050E" w:rsidR="00307980">
        <w:t xml:space="preserve">  The rules direct the Bureau to provide at least 14 days for </w:t>
      </w:r>
      <w:r w:rsidR="001C4085">
        <w:t>Belthrough</w:t>
      </w:r>
      <w:r w:rsidRPr="0069050E" w:rsidR="00307980">
        <w:t xml:space="preserve"> to comply with </w:t>
      </w:r>
      <w:r w:rsidRPr="0069050E" w:rsidR="00C04766">
        <w:t>the</w:t>
      </w:r>
      <w:r w:rsidRPr="0069050E" w:rsidR="00970085">
        <w:t xml:space="preserve"> </w:t>
      </w:r>
      <w:r w:rsidRPr="0069050E" w:rsidR="000367A7">
        <w:t>N</w:t>
      </w:r>
      <w:r w:rsidRPr="0069050E" w:rsidR="00307980">
        <w:t>otice.</w:t>
      </w:r>
      <w:r>
        <w:rPr>
          <w:rStyle w:val="FootnoteReference"/>
        </w:rPr>
        <w:footnoteReference w:id="41"/>
      </w:r>
      <w:r w:rsidRPr="0069050E" w:rsidR="00A60FF4">
        <w:t xml:space="preserve">  </w:t>
      </w:r>
    </w:p>
    <w:p w:rsidR="008547BB" w:rsidRPr="0069050E" w:rsidP="00776DA6" w14:paraId="0B77CB9F" w14:textId="6A2CDD87">
      <w:pPr>
        <w:pStyle w:val="ParaNum"/>
        <w:widowControl/>
      </w:pPr>
      <w:r w:rsidRPr="0069050E">
        <w:t>The Bureau</w:t>
      </w:r>
      <w:r w:rsidRPr="0069050E" w:rsidR="00A60FF4">
        <w:t xml:space="preserve"> issued </w:t>
      </w:r>
      <w:r w:rsidRPr="0069050E" w:rsidR="003F4F60">
        <w:t>the Notice</w:t>
      </w:r>
      <w:r w:rsidRPr="0069050E" w:rsidR="00A60FF4">
        <w:t xml:space="preserve"> </w:t>
      </w:r>
      <w:r w:rsidRPr="0069050E" w:rsidR="00CA62B2">
        <w:t xml:space="preserve">to </w:t>
      </w:r>
      <w:r w:rsidR="001C4085">
        <w:t>Belthrough</w:t>
      </w:r>
      <w:r w:rsidRPr="0069050E" w:rsidR="00CA62B2">
        <w:t xml:space="preserve"> </w:t>
      </w:r>
      <w:r w:rsidRPr="0069050E" w:rsidR="00A60FF4">
        <w:t xml:space="preserve">on </w:t>
      </w:r>
      <w:r w:rsidR="001C4085">
        <w:t>September 10</w:t>
      </w:r>
      <w:r w:rsidRPr="0069050E" w:rsidR="00A60FF4">
        <w:t>, 202</w:t>
      </w:r>
      <w:r w:rsidR="001C4085">
        <w:t>5</w:t>
      </w:r>
      <w:r w:rsidRPr="0069050E" w:rsidR="00A60FF4">
        <w:t>.</w:t>
      </w:r>
      <w:r>
        <w:rPr>
          <w:rStyle w:val="FootnoteReference"/>
        </w:rPr>
        <w:footnoteReference w:id="42"/>
      </w:r>
      <w:r w:rsidRPr="0069050E" w:rsidR="00497500">
        <w:t xml:space="preserve">  </w:t>
      </w:r>
      <w:r w:rsidRPr="0069050E" w:rsidR="00F00965">
        <w:t xml:space="preserve">The Notice </w:t>
      </w:r>
      <w:r w:rsidRPr="0069050E" w:rsidR="00D2174E">
        <w:t>directed</w:t>
      </w:r>
      <w:r w:rsidRPr="0069050E" w:rsidR="00F00965">
        <w:t xml:space="preserve"> </w:t>
      </w:r>
      <w:r w:rsidR="00907A62">
        <w:t>Belthrough</w:t>
      </w:r>
      <w:r w:rsidRPr="0069050E" w:rsidR="00F00965">
        <w:t xml:space="preserve"> to take the following actions: </w:t>
      </w:r>
      <w:r w:rsidRPr="0069050E" w:rsidR="00640D7F">
        <w:t xml:space="preserve"> (</w:t>
      </w:r>
      <w:r w:rsidR="009A3E00">
        <w:t>i</w:t>
      </w:r>
      <w:r w:rsidRPr="0069050E" w:rsidR="00F00965">
        <w:t xml:space="preserve">) promptly investigate the </w:t>
      </w:r>
      <w:r w:rsidRPr="0069050E" w:rsidR="008F368F">
        <w:t xml:space="preserve">suspected unlawful </w:t>
      </w:r>
      <w:r w:rsidR="00476CDB">
        <w:t>calls</w:t>
      </w:r>
      <w:r w:rsidRPr="0069050E" w:rsidR="00F00965">
        <w:t xml:space="preserve"> identified in the Notice; </w:t>
      </w:r>
      <w:r w:rsidRPr="0069050E" w:rsidR="00AD516E">
        <w:t>(</w:t>
      </w:r>
      <w:r w:rsidR="009A3E00">
        <w:t>ii</w:t>
      </w:r>
      <w:r w:rsidRPr="0069050E" w:rsidR="00F00965">
        <w:t xml:space="preserve">) </w:t>
      </w:r>
      <w:r w:rsidRPr="0069050E" w:rsidR="00307980">
        <w:t>i</w:t>
      </w:r>
      <w:r w:rsidRPr="0069050E" w:rsidR="00F00965">
        <w:t xml:space="preserve">f </w:t>
      </w:r>
      <w:r w:rsidR="00907A62">
        <w:t>Belthrough</w:t>
      </w:r>
      <w:r w:rsidRPr="0069050E" w:rsidR="00F00965">
        <w:t xml:space="preserve">’s investigation </w:t>
      </w:r>
      <w:r w:rsidRPr="0069050E" w:rsidR="005D4AE2">
        <w:t xml:space="preserve">determined </w:t>
      </w:r>
      <w:r w:rsidRPr="0069050E" w:rsidR="00F00965">
        <w:t xml:space="preserve">that </w:t>
      </w:r>
      <w:r w:rsidR="00907A62">
        <w:t>Belthrough</w:t>
      </w:r>
      <w:r w:rsidRPr="0069050E" w:rsidR="00F00965">
        <w:t xml:space="preserve"> served as the </w:t>
      </w:r>
      <w:r w:rsidR="00FE4EAD">
        <w:t xml:space="preserve">originating or </w:t>
      </w:r>
      <w:r w:rsidRPr="0069050E" w:rsidR="00F00965">
        <w:t>gateway provider for the identified tra</w:t>
      </w:r>
      <w:r w:rsidR="00FE4EAD">
        <w:t>ffic</w:t>
      </w:r>
      <w:r w:rsidRPr="0069050E" w:rsidR="00F00965">
        <w:t xml:space="preserve">, block all of the identified </w:t>
      </w:r>
      <w:r w:rsidRPr="0069050E" w:rsidR="00ED4D43">
        <w:t xml:space="preserve">unlawful </w:t>
      </w:r>
      <w:r w:rsidRPr="0069050E" w:rsidR="00F00965">
        <w:t xml:space="preserve">traffic within 14 days of the Notice </w:t>
      </w:r>
      <w:r w:rsidRPr="0069050E" w:rsidR="005D4AE2">
        <w:t>(</w:t>
      </w:r>
      <w:r w:rsidRPr="0069050E" w:rsidR="00F00965">
        <w:t>and continue to block the identified traffic as well as substantially similar traffic on an ongoing basis</w:t>
      </w:r>
      <w:r w:rsidRPr="0069050E" w:rsidR="005D4AE2">
        <w:t>)</w:t>
      </w:r>
      <w:r w:rsidRPr="0069050E" w:rsidR="00F00965">
        <w:t xml:space="preserve">; and </w:t>
      </w:r>
      <w:r w:rsidRPr="0069050E" w:rsidR="00640D7F">
        <w:t>(</w:t>
      </w:r>
      <w:r w:rsidR="009A3E00">
        <w:t>iii</w:t>
      </w:r>
      <w:r w:rsidRPr="0069050E" w:rsidR="00F00965">
        <w:t>)</w:t>
      </w:r>
      <w:r w:rsidRPr="0069050E" w:rsidR="00BE03AA">
        <w:t xml:space="preserve"> report the results of </w:t>
      </w:r>
      <w:r w:rsidR="00907A62">
        <w:t>Belthrough</w:t>
      </w:r>
      <w:r w:rsidRPr="0069050E" w:rsidR="00BE03AA">
        <w:t>’s investigation to the Bureau</w:t>
      </w:r>
      <w:r w:rsidRPr="0069050E" w:rsidR="005D4AE2">
        <w:t xml:space="preserve"> within 14 days of the date of the Notice</w:t>
      </w:r>
      <w:r w:rsidR="00F90B1E">
        <w:t xml:space="preserve"> </w:t>
      </w:r>
      <w:r w:rsidRPr="0069050E" w:rsidR="00F90B1E">
        <w:t xml:space="preserve">(by </w:t>
      </w:r>
      <w:r w:rsidR="00F90B1E">
        <w:t>September 24</w:t>
      </w:r>
      <w:r w:rsidRPr="0069050E" w:rsidR="00F90B1E">
        <w:t>, 202</w:t>
      </w:r>
      <w:r w:rsidR="00F90B1E">
        <w:t>5</w:t>
      </w:r>
      <w:r w:rsidRPr="0069050E" w:rsidR="00F90B1E">
        <w:t>)</w:t>
      </w:r>
      <w:r w:rsidRPr="0069050E" w:rsidR="00BE03AA">
        <w:t>.</w:t>
      </w:r>
      <w:r>
        <w:rPr>
          <w:rStyle w:val="FootnoteReference"/>
        </w:rPr>
        <w:footnoteReference w:id="43"/>
      </w:r>
      <w:r w:rsidRPr="0069050E" w:rsidR="00F00965">
        <w:t xml:space="preserve">  </w:t>
      </w:r>
      <w:r w:rsidR="007831BE">
        <w:t>Other than returning the certified mail acknowledgement card, Bel</w:t>
      </w:r>
      <w:r w:rsidR="002A385F">
        <w:t>through failed to respond the Notice.</w:t>
      </w:r>
      <w:r>
        <w:rPr>
          <w:rStyle w:val="FootnoteReference"/>
        </w:rPr>
        <w:footnoteReference w:id="44"/>
      </w:r>
      <w:r w:rsidR="002A385F">
        <w:t xml:space="preserve"> </w:t>
      </w:r>
      <w:r w:rsidRPr="0069050E" w:rsidR="000428A5">
        <w:t xml:space="preserve">  </w:t>
      </w:r>
    </w:p>
    <w:p w:rsidR="002A2DFC" w:rsidRPr="00FE6676" w:rsidP="00FE6676" w14:paraId="39FF2F08" w14:textId="42C0C22C">
      <w:pPr>
        <w:pStyle w:val="ParaNum"/>
        <w:widowControl/>
        <w:rPr>
          <w:szCs w:val="22"/>
        </w:rPr>
      </w:pPr>
      <w:r w:rsidRPr="0069050E">
        <w:t xml:space="preserve">We direct </w:t>
      </w:r>
      <w:r w:rsidR="00907A62">
        <w:t>Belthrough</w:t>
      </w:r>
      <w:r w:rsidRPr="0069050E">
        <w:t xml:space="preserve"> to </w:t>
      </w:r>
      <w:r w:rsidR="00097ADF">
        <w:t>file</w:t>
      </w:r>
      <w:r w:rsidRPr="0069050E" w:rsidR="00BA0DC3">
        <w:t xml:space="preserve"> a </w:t>
      </w:r>
      <w:r w:rsidRPr="0069050E" w:rsidR="00472B25">
        <w:t>response</w:t>
      </w:r>
      <w:r w:rsidRPr="0069050E" w:rsidR="008547BB">
        <w:t xml:space="preserve"> to this Initial Determination Order</w:t>
      </w:r>
      <w:r w:rsidRPr="0069050E" w:rsidR="002C7513">
        <w:t>.  The re</w:t>
      </w:r>
      <w:r w:rsidRPr="0069050E" w:rsidR="00F319A2">
        <w:t>sponse</w:t>
      </w:r>
      <w:r w:rsidRPr="0069050E" w:rsidR="002C7513">
        <w:t xml:space="preserve"> should provide an</w:t>
      </w:r>
      <w:r w:rsidRPr="0069050E" w:rsidR="00392CF9">
        <w:t xml:space="preserve"> explan</w:t>
      </w:r>
      <w:r w:rsidRPr="0069050E" w:rsidR="002C7513">
        <w:t>ation as to</w:t>
      </w:r>
      <w:r w:rsidRPr="0069050E" w:rsidR="00392CF9">
        <w:t xml:space="preserve"> why the Bureau should not issue a Final Determination Order</w:t>
      </w:r>
      <w:r w:rsidRPr="0069050E" w:rsidR="002C7513">
        <w:t xml:space="preserve"> </w:t>
      </w:r>
      <w:r w:rsidRPr="0069050E" w:rsidR="008A76C7">
        <w:t xml:space="preserve">mandating </w:t>
      </w:r>
      <w:r w:rsidRPr="0069050E" w:rsidR="002C7513">
        <w:t xml:space="preserve">that </w:t>
      </w:r>
      <w:r w:rsidRPr="0069050E" w:rsidR="00392CF9">
        <w:t>providers</w:t>
      </w:r>
      <w:r w:rsidRPr="0069050E" w:rsidR="00C74B3C">
        <w:t xml:space="preserve"> immediately </w:t>
      </w:r>
      <w:r w:rsidRPr="0069050E" w:rsidR="00C74B3C">
        <w:t>downstream from</w:t>
      </w:r>
      <w:r w:rsidRPr="0069050E" w:rsidR="00C74B3C">
        <w:t xml:space="preserve"> </w:t>
      </w:r>
      <w:r w:rsidR="00907A62">
        <w:t>Belthrough</w:t>
      </w:r>
      <w:r w:rsidRPr="0069050E" w:rsidR="00392CF9">
        <w:t xml:space="preserve"> block </w:t>
      </w:r>
      <w:r w:rsidRPr="0069050E" w:rsidR="00392CF9">
        <w:rPr>
          <w:i/>
          <w:iCs/>
        </w:rPr>
        <w:t>all</w:t>
      </w:r>
      <w:r w:rsidRPr="0069050E" w:rsidR="00392CF9">
        <w:t xml:space="preserve"> of</w:t>
      </w:r>
      <w:r w:rsidRPr="0069050E" w:rsidR="00392CF9">
        <w:t xml:space="preserve"> </w:t>
      </w:r>
      <w:r w:rsidR="00907A62">
        <w:t>Belthrough</w:t>
      </w:r>
      <w:r w:rsidRPr="0069050E" w:rsidR="00392CF9">
        <w:t xml:space="preserve">’s </w:t>
      </w:r>
      <w:r w:rsidRPr="0069050E" w:rsidR="00DA467C">
        <w:t>traffic</w:t>
      </w:r>
      <w:r w:rsidRPr="0069050E" w:rsidR="00BA0DC3">
        <w:t>.</w:t>
      </w:r>
      <w:r>
        <w:rPr>
          <w:rStyle w:val="FootnoteReference"/>
        </w:rPr>
        <w:footnoteReference w:id="45"/>
      </w:r>
      <w:r w:rsidRPr="0069050E" w:rsidR="00BA0DC3">
        <w:t xml:space="preserve">  </w:t>
      </w:r>
      <w:r w:rsidR="00907A62">
        <w:t>Belthrough</w:t>
      </w:r>
      <w:r w:rsidRPr="0069050E">
        <w:t xml:space="preserve"> shall file its response with</w:t>
      </w:r>
      <w:r w:rsidRPr="0069050E" w:rsidR="00676680">
        <w:t xml:space="preserve"> the</w:t>
      </w:r>
      <w:r w:rsidRPr="0069050E">
        <w:t xml:space="preserve"> Bureau within 14 calendar days</w:t>
      </w:r>
      <w:r w:rsidRPr="0069050E" w:rsidR="008061DD">
        <w:t xml:space="preserve"> of the date of this </w:t>
      </w:r>
      <w:r w:rsidRPr="0069050E" w:rsidR="00BF3954">
        <w:t xml:space="preserve">Initial Determination </w:t>
      </w:r>
      <w:r w:rsidRPr="0069050E" w:rsidR="008061DD">
        <w:t>Order</w:t>
      </w:r>
      <w:r w:rsidRPr="0069050E">
        <w:t>.  Failure to respond</w:t>
      </w:r>
      <w:r w:rsidRPr="0069050E" w:rsidR="00497500">
        <w:t xml:space="preserve"> to this </w:t>
      </w:r>
      <w:r w:rsidRPr="0069050E" w:rsidR="00BF3954">
        <w:t xml:space="preserve">Initial Determination </w:t>
      </w:r>
      <w:r w:rsidRPr="0069050E" w:rsidR="00A436F2">
        <w:t>O</w:t>
      </w:r>
      <w:r w:rsidRPr="0069050E" w:rsidR="00497500">
        <w:t xml:space="preserve">rder or </w:t>
      </w:r>
      <w:r w:rsidRPr="0069050E">
        <w:t>submit a</w:t>
      </w:r>
      <w:r w:rsidRPr="0069050E" w:rsidR="008A2893">
        <w:t>n adequate</w:t>
      </w:r>
      <w:r w:rsidRPr="0069050E">
        <w:t xml:space="preserve"> response providing a reasonable basis for why </w:t>
      </w:r>
      <w:r w:rsidRPr="0069050E" w:rsidR="00600197">
        <w:t>the identified traffic</w:t>
      </w:r>
      <w:r w:rsidRPr="0069050E" w:rsidR="00357A4A">
        <w:t xml:space="preserve"> is legal</w:t>
      </w:r>
      <w:r w:rsidRPr="0069050E" w:rsidR="002C7513">
        <w:t>,</w:t>
      </w:r>
      <w:r w:rsidRPr="0069050E" w:rsidR="00600197">
        <w:t xml:space="preserve"> or continued transmission of </w:t>
      </w:r>
      <w:r w:rsidRPr="00F460F9" w:rsidR="00600197">
        <w:rPr>
          <w:szCs w:val="22"/>
        </w:rPr>
        <w:t>substantially similar traffic</w:t>
      </w:r>
      <w:r w:rsidRPr="00F460F9" w:rsidR="002C7513">
        <w:rPr>
          <w:szCs w:val="22"/>
        </w:rPr>
        <w:t xml:space="preserve">, </w:t>
      </w:r>
      <w:r w:rsidRPr="00F460F9" w:rsidR="00600197">
        <w:rPr>
          <w:szCs w:val="22"/>
        </w:rPr>
        <w:t xml:space="preserve">will result in the Bureau issuing a Final </w:t>
      </w:r>
      <w:r w:rsidRPr="00F460F9" w:rsidR="00082B83">
        <w:rPr>
          <w:szCs w:val="22"/>
        </w:rPr>
        <w:t xml:space="preserve">Determination </w:t>
      </w:r>
      <w:r w:rsidRPr="00F460F9" w:rsidR="00600197">
        <w:rPr>
          <w:szCs w:val="22"/>
        </w:rPr>
        <w:t>Order</w:t>
      </w:r>
      <w:r w:rsidRPr="00F460F9">
        <w:rPr>
          <w:szCs w:val="22"/>
        </w:rPr>
        <w:t>.</w:t>
      </w:r>
      <w:r>
        <w:rPr>
          <w:rStyle w:val="FootnoteReference"/>
          <w:sz w:val="22"/>
          <w:szCs w:val="22"/>
        </w:rPr>
        <w:footnoteReference w:id="46"/>
      </w:r>
      <w:r w:rsidRPr="00F460F9">
        <w:rPr>
          <w:szCs w:val="22"/>
        </w:rPr>
        <w:t xml:space="preserve">  </w:t>
      </w:r>
      <w:r w:rsidRPr="00F460F9" w:rsidR="00A60FF4">
        <w:rPr>
          <w:szCs w:val="22"/>
        </w:rPr>
        <w:t xml:space="preserve">The Final Determination Order will be published in EB Docket No. 22-174 and </w:t>
      </w:r>
      <w:r w:rsidRPr="00F460F9" w:rsidR="00990DC8">
        <w:rPr>
          <w:szCs w:val="22"/>
        </w:rPr>
        <w:t xml:space="preserve">serve </w:t>
      </w:r>
      <w:r w:rsidRPr="00F460F9" w:rsidR="00E76230">
        <w:rPr>
          <w:szCs w:val="22"/>
        </w:rPr>
        <w:t>as notification to</w:t>
      </w:r>
      <w:r w:rsidRPr="00F460F9" w:rsidR="00990DC8">
        <w:rPr>
          <w:szCs w:val="22"/>
        </w:rPr>
        <w:t xml:space="preserve"> </w:t>
      </w:r>
      <w:r w:rsidRPr="00F460F9" w:rsidR="00A60FF4">
        <w:rPr>
          <w:szCs w:val="22"/>
        </w:rPr>
        <w:t xml:space="preserve">all </w:t>
      </w:r>
      <w:r w:rsidRPr="00F460F9" w:rsidR="00AF1238">
        <w:rPr>
          <w:szCs w:val="22"/>
        </w:rPr>
        <w:t>immediate</w:t>
      </w:r>
      <w:r w:rsidRPr="00F460F9" w:rsidR="005A5D0E">
        <w:rPr>
          <w:szCs w:val="22"/>
        </w:rPr>
        <w:t xml:space="preserve"> downstream </w:t>
      </w:r>
      <w:r w:rsidRPr="00F460F9" w:rsidR="00A60FF4">
        <w:rPr>
          <w:szCs w:val="22"/>
        </w:rPr>
        <w:t>providers</w:t>
      </w:r>
      <w:r w:rsidRPr="00F460F9" w:rsidR="00990DC8">
        <w:rPr>
          <w:szCs w:val="22"/>
        </w:rPr>
        <w:t xml:space="preserve"> that they must</w:t>
      </w:r>
      <w:r w:rsidRPr="00F460F9" w:rsidR="00A60FF4">
        <w:rPr>
          <w:szCs w:val="22"/>
        </w:rPr>
        <w:t xml:space="preserve"> block and cease accepting all traffic received directly from </w:t>
      </w:r>
      <w:r w:rsidRPr="00F460F9" w:rsidR="00907A62">
        <w:rPr>
          <w:szCs w:val="22"/>
        </w:rPr>
        <w:t>Belthrough</w:t>
      </w:r>
      <w:r w:rsidRPr="00F460F9" w:rsidR="00A60FF4">
        <w:rPr>
          <w:szCs w:val="22"/>
        </w:rPr>
        <w:t xml:space="preserve"> </w:t>
      </w:r>
      <w:r w:rsidRPr="00F460F9" w:rsidR="00A436F2">
        <w:rPr>
          <w:szCs w:val="22"/>
        </w:rPr>
        <w:t>beginning</w:t>
      </w:r>
      <w:r w:rsidRPr="00F460F9" w:rsidR="00A60FF4">
        <w:rPr>
          <w:szCs w:val="22"/>
        </w:rPr>
        <w:t xml:space="preserve"> 30 days after release of the Final Determination Order.</w:t>
      </w:r>
      <w:r>
        <w:rPr>
          <w:rStyle w:val="FootnoteReference"/>
          <w:sz w:val="22"/>
          <w:szCs w:val="22"/>
        </w:rPr>
        <w:footnoteReference w:id="47"/>
      </w:r>
      <w:r w:rsidRPr="00F460F9" w:rsidR="00A60FF4">
        <w:rPr>
          <w:szCs w:val="22"/>
        </w:rPr>
        <w:t xml:space="preserve"> </w:t>
      </w:r>
    </w:p>
    <w:p w:rsidR="0020335A" w:rsidP="00FE6676" w14:paraId="71D91437" w14:textId="7137B497">
      <w:pPr>
        <w:pStyle w:val="Heading2"/>
      </w:pPr>
      <w:r w:rsidRPr="00607334">
        <w:t>Belthrough</w:t>
      </w:r>
      <w:r w:rsidRPr="00607334" w:rsidR="005C7A08">
        <w:t xml:space="preserve">’s RMD Certification </w:t>
      </w:r>
      <w:r w:rsidR="000560A9">
        <w:t xml:space="preserve">Is </w:t>
      </w:r>
      <w:r w:rsidRPr="00607334" w:rsidR="005C7A08">
        <w:t>Deficient</w:t>
      </w:r>
      <w:r w:rsidR="00A9453D">
        <w:t>.</w:t>
      </w:r>
      <w:r w:rsidR="00A3205E">
        <w:t xml:space="preserve"> </w:t>
      </w:r>
    </w:p>
    <w:p w:rsidR="0020335A" w:rsidP="0020335A" w14:paraId="299C149F" w14:textId="7758A57D">
      <w:pPr>
        <w:pStyle w:val="ParaNum"/>
      </w:pPr>
      <w:r>
        <w:t>The FCC established the RMD in 2020 to promote transparency and effective robocall mitigation</w:t>
      </w:r>
      <w:r w:rsidR="00FE6676">
        <w:t>.</w:t>
      </w:r>
      <w:r>
        <w:rPr>
          <w:rStyle w:val="FootnoteReference"/>
        </w:rPr>
        <w:footnoteReference w:id="48"/>
      </w:r>
      <w:r>
        <w:t xml:space="preserve">  </w:t>
      </w:r>
      <w:r w:rsidR="00AD28D3">
        <w:t>I</w:t>
      </w:r>
      <w:r w:rsidRPr="00F460F9" w:rsidR="00AD28D3">
        <w:t xml:space="preserve">ntermediate </w:t>
      </w:r>
      <w:r w:rsidR="00AD28D3">
        <w:t xml:space="preserve">providers </w:t>
      </w:r>
      <w:r w:rsidRPr="00F460F9" w:rsidR="00AD28D3">
        <w:t>and voice service providers shall only accept traffic from a domestic voice service provider or gateway provider if that provider’s certification appears in the RMD.</w:t>
      </w:r>
      <w:r>
        <w:rPr>
          <w:rStyle w:val="FootnoteReference"/>
          <w:rFonts w:eastAsiaTheme="majorEastAsia"/>
          <w:sz w:val="22"/>
          <w:szCs w:val="22"/>
        </w:rPr>
        <w:footnoteReference w:id="49"/>
      </w:r>
      <w:r w:rsidRPr="00F460F9" w:rsidR="00AD28D3">
        <w:t xml:space="preserve">  Such filings must include the specific reasonable steps the provider has taken to avoid originating, carrying, or processing illegal robocall traffic as part of its robocall mitigation program.</w:t>
      </w:r>
      <w:r>
        <w:rPr>
          <w:rStyle w:val="FootnoteReference"/>
          <w:rFonts w:eastAsiaTheme="majorEastAsia"/>
          <w:sz w:val="22"/>
          <w:szCs w:val="22"/>
        </w:rPr>
        <w:footnoteReference w:id="50"/>
      </w:r>
      <w:r w:rsidRPr="00F460F9" w:rsidR="00AD28D3">
        <w:t xml:space="preserve"> </w:t>
      </w:r>
      <w:r w:rsidR="00D205C8">
        <w:t>The Commission’s rules require an officer of the provider filing a certification in the RMD to declare, under penalty of perjury, that the information included in the certification is true and correct.</w:t>
      </w:r>
      <w:r>
        <w:rPr>
          <w:rStyle w:val="FootnoteReference"/>
          <w:rFonts w:eastAsiaTheme="majorEastAsia"/>
        </w:rPr>
        <w:footnoteReference w:id="51"/>
      </w:r>
      <w:r w:rsidR="00D205C8">
        <w:t xml:space="preserve">  The submission of false or inaccurate information makes a certification deficient and may result in an enforcement action against the </w:t>
      </w:r>
      <w:r w:rsidR="00D205C8">
        <w:t>filer.</w:t>
      </w:r>
      <w:r>
        <w:rPr>
          <w:rStyle w:val="FootnoteReference"/>
          <w:rFonts w:eastAsiaTheme="majorEastAsia"/>
        </w:rPr>
        <w:footnoteReference w:id="52"/>
      </w:r>
      <w:r w:rsidRPr="00AB371E" w:rsidR="00AB371E">
        <w:t xml:space="preserve"> </w:t>
      </w:r>
      <w:r w:rsidR="00C9767C">
        <w:t xml:space="preserve"> </w:t>
      </w:r>
      <w:r w:rsidRPr="00F460F9" w:rsidR="00AB371E">
        <w:t>The Bureau may remove deficient filings.</w:t>
      </w:r>
      <w:r>
        <w:rPr>
          <w:rStyle w:val="FootnoteReference"/>
          <w:rFonts w:eastAsiaTheme="majorEastAsia"/>
          <w:sz w:val="22"/>
          <w:szCs w:val="22"/>
        </w:rPr>
        <w:footnoteReference w:id="53"/>
      </w:r>
      <w:r w:rsidRPr="00F460F9" w:rsidR="00AB371E">
        <w:t xml:space="preserve">  </w:t>
      </w:r>
    </w:p>
    <w:p w:rsidR="00DC261B" w:rsidRPr="00DC261B" w:rsidP="00D172CC" w14:paraId="238E3187" w14:textId="67F01099">
      <w:pPr>
        <w:pStyle w:val="ParaNum"/>
      </w:pPr>
      <w:r>
        <w:rPr>
          <w:rStyle w:val="boolean-control"/>
        </w:rPr>
        <w:t>W</w:t>
      </w:r>
      <w:r w:rsidR="0020335A">
        <w:rPr>
          <w:rStyle w:val="boolean-control"/>
        </w:rPr>
        <w:t xml:space="preserve">here </w:t>
      </w:r>
      <w:r w:rsidR="00C3294A">
        <w:rPr>
          <w:rStyle w:val="boolean-control"/>
        </w:rPr>
        <w:t xml:space="preserve">the deficiency </w:t>
      </w:r>
      <w:r w:rsidR="0020335A">
        <w:rPr>
          <w:rStyle w:val="boolean-control"/>
        </w:rPr>
        <w:t xml:space="preserve">is willful, the certification may be removed from the RMD under </w:t>
      </w:r>
      <w:r w:rsidRPr="00E877B9" w:rsidR="0020335A">
        <w:rPr>
          <w:rStyle w:val="boolean-control"/>
        </w:rPr>
        <w:t>a two-step expedited procedure.</w:t>
      </w:r>
      <w:r>
        <w:rPr>
          <w:rStyle w:val="FootnoteReference"/>
          <w:rFonts w:eastAsiaTheme="majorEastAsia"/>
        </w:rPr>
        <w:footnoteReference w:id="54"/>
      </w:r>
      <w:r w:rsidRPr="00E877B9" w:rsidR="0020335A">
        <w:rPr>
          <w:rStyle w:val="boolean-control"/>
        </w:rPr>
        <w:t xml:space="preserve">  </w:t>
      </w:r>
      <w:r w:rsidRPr="00D172CC" w:rsidR="0020335A">
        <w:rPr>
          <w:rStyle w:val="boolean-control"/>
          <w:i/>
          <w:iCs/>
        </w:rPr>
        <w:t>First</w:t>
      </w:r>
      <w:r w:rsidRPr="00E877B9" w:rsidR="0020335A">
        <w:rPr>
          <w:rStyle w:val="boolean-control"/>
        </w:rPr>
        <w:t xml:space="preserve">, the </w:t>
      </w:r>
      <w:r w:rsidR="0020335A">
        <w:rPr>
          <w:rStyle w:val="boolean-control"/>
        </w:rPr>
        <w:t>Bureau issues a notice to</w:t>
      </w:r>
      <w:r w:rsidRPr="00E877B9" w:rsidR="0020335A">
        <w:rPr>
          <w:rStyle w:val="boolean-control"/>
        </w:rPr>
        <w:t xml:space="preserve"> the provider </w:t>
      </w:r>
      <w:r w:rsidR="0020335A">
        <w:rPr>
          <w:rStyle w:val="boolean-control"/>
        </w:rPr>
        <w:t>informing</w:t>
      </w:r>
      <w:r w:rsidRPr="00E877B9" w:rsidR="0020335A">
        <w:rPr>
          <w:rStyle w:val="boolean-control"/>
        </w:rPr>
        <w:t xml:space="preserve"> it that its </w:t>
      </w:r>
      <w:r w:rsidR="0020335A">
        <w:rPr>
          <w:rStyle w:val="boolean-control"/>
        </w:rPr>
        <w:t>certification</w:t>
      </w:r>
      <w:r w:rsidRPr="00E877B9" w:rsidR="0020335A">
        <w:rPr>
          <w:rStyle w:val="boolean-control"/>
        </w:rPr>
        <w:t xml:space="preserve"> is deficient</w:t>
      </w:r>
      <w:r w:rsidR="0020335A">
        <w:rPr>
          <w:rStyle w:val="boolean-control"/>
        </w:rPr>
        <w:t xml:space="preserve"> and represents a willful violation</w:t>
      </w:r>
      <w:r w:rsidRPr="00E877B9" w:rsidR="0020335A">
        <w:rPr>
          <w:rStyle w:val="boolean-control"/>
        </w:rPr>
        <w:t>, explains the nature of the deficiency</w:t>
      </w:r>
      <w:r w:rsidR="0020335A">
        <w:rPr>
          <w:rStyle w:val="boolean-control"/>
        </w:rPr>
        <w:t xml:space="preserve"> and the willful violation</w:t>
      </w:r>
      <w:r w:rsidRPr="00E877B9" w:rsidR="0020335A">
        <w:rPr>
          <w:rStyle w:val="boolean-control"/>
        </w:rPr>
        <w:t xml:space="preserve">, and allows 10 days for the provider to cure the deficiency </w:t>
      </w:r>
      <w:r w:rsidRPr="00E877B9" w:rsidR="0020335A">
        <w:t>or explain why its certification is not deficient</w:t>
      </w:r>
      <w:r w:rsidRPr="00E877B9" w:rsidR="0020335A">
        <w:rPr>
          <w:rStyle w:val="boolean-control"/>
        </w:rPr>
        <w:t>.</w:t>
      </w:r>
      <w:r>
        <w:rPr>
          <w:rStyle w:val="FootnoteReference"/>
          <w:rFonts w:eastAsiaTheme="majorEastAsia"/>
        </w:rPr>
        <w:footnoteReference w:id="55"/>
      </w:r>
      <w:r w:rsidRPr="00E877B9" w:rsidR="0020335A">
        <w:rPr>
          <w:rStyle w:val="boolean-control"/>
        </w:rPr>
        <w:t xml:space="preserve">  </w:t>
      </w:r>
      <w:r w:rsidRPr="00D172CC" w:rsidR="0020335A">
        <w:rPr>
          <w:rStyle w:val="boolean-control"/>
          <w:i/>
          <w:iCs/>
        </w:rPr>
        <w:t>Second</w:t>
      </w:r>
      <w:r w:rsidR="0020335A">
        <w:rPr>
          <w:rStyle w:val="boolean-control"/>
        </w:rPr>
        <w:t>, i</w:t>
      </w:r>
      <w:r w:rsidRPr="00E877B9" w:rsidR="0020335A">
        <w:rPr>
          <w:rStyle w:val="boolean-control"/>
        </w:rPr>
        <w:t xml:space="preserve">f the provider fails to cure or </w:t>
      </w:r>
      <w:r w:rsidR="0020335A">
        <w:rPr>
          <w:rStyle w:val="boolean-control"/>
        </w:rPr>
        <w:t>establish that there is no deficiency within the 10-day period</w:t>
      </w:r>
      <w:r w:rsidRPr="00E877B9" w:rsidR="0020335A">
        <w:rPr>
          <w:rStyle w:val="boolean-control"/>
        </w:rPr>
        <w:t>, the Bureau releases an order removing the provider</w:t>
      </w:r>
      <w:r w:rsidR="0020335A">
        <w:rPr>
          <w:rStyle w:val="boolean-control"/>
        </w:rPr>
        <w:t>’s certification</w:t>
      </w:r>
      <w:r w:rsidRPr="00E877B9" w:rsidR="0020335A">
        <w:rPr>
          <w:rStyle w:val="boolean-control"/>
        </w:rPr>
        <w:t xml:space="preserve"> from the </w:t>
      </w:r>
      <w:r w:rsidR="0020335A">
        <w:rPr>
          <w:rStyle w:val="boolean-control"/>
        </w:rPr>
        <w:t>R</w:t>
      </w:r>
      <w:r w:rsidR="00C04C36">
        <w:rPr>
          <w:rStyle w:val="boolean-control"/>
        </w:rPr>
        <w:t>MD</w:t>
      </w:r>
      <w:r w:rsidRPr="00E877B9" w:rsidR="0020335A">
        <w:rPr>
          <w:rStyle w:val="boolean-control"/>
        </w:rPr>
        <w:t>.</w:t>
      </w:r>
      <w:r>
        <w:rPr>
          <w:rStyle w:val="FootnoteReference"/>
          <w:rFonts w:eastAsiaTheme="majorEastAsia"/>
        </w:rPr>
        <w:footnoteReference w:id="56"/>
      </w:r>
      <w:r w:rsidRPr="00305169" w:rsidR="00305169">
        <w:t xml:space="preserve"> </w:t>
      </w:r>
      <w:r w:rsidRPr="0046018D" w:rsidR="00305169">
        <w:t>An action “is willful if a prohibited act is done intentionally, irrespective of evil intent, or done with careless disregard of statutory requirements.”</w:t>
      </w:r>
      <w:r>
        <w:rPr>
          <w:rStyle w:val="FootnoteReference"/>
        </w:rPr>
        <w:footnoteReference w:id="57"/>
      </w:r>
      <w:r w:rsidRPr="0046018D" w:rsidR="00305169">
        <w:t xml:space="preserve">  </w:t>
      </w:r>
      <w:r w:rsidRPr="00F460F9" w:rsidR="002D36BE">
        <w:t>Belthrough certified in its RMD filing, under penalty of perjury, that it w</w:t>
      </w:r>
      <w:r w:rsidR="00AB371E">
        <w:t>ould</w:t>
      </w:r>
      <w:r w:rsidRPr="00F460F9" w:rsidR="002D36BE">
        <w:t xml:space="preserve"> cooperate with the FCC in investigating and stopping any illegal robocallers that use its service to carry or process calls.</w:t>
      </w:r>
      <w:r>
        <w:rPr>
          <w:rStyle w:val="FootnoteReference"/>
          <w:rFonts w:eastAsiaTheme="majorEastAsia"/>
          <w:sz w:val="22"/>
          <w:szCs w:val="22"/>
        </w:rPr>
        <w:footnoteReference w:id="58"/>
      </w:r>
      <w:r w:rsidRPr="00F460F9" w:rsidR="002D36BE">
        <w:t xml:space="preserve">  </w:t>
      </w:r>
      <w:r w:rsidRPr="00F460F9" w:rsidR="005C7A08">
        <w:t>The Notice warned Belth</w:t>
      </w:r>
      <w:r w:rsidR="00224E21">
        <w:t>r</w:t>
      </w:r>
      <w:r w:rsidRPr="00F460F9" w:rsidR="005C7A08">
        <w:t>ough that “f</w:t>
      </w:r>
      <w:r w:rsidRPr="00A60AA6" w:rsidR="005C7A08">
        <w:t>ailure to respond to this letter as described above may be used as evidence that the Company’s certification is deficient with respect to its commitment to cooperate.”</w:t>
      </w:r>
      <w:r>
        <w:rPr>
          <w:rStyle w:val="FootnoteReference"/>
          <w:sz w:val="22"/>
          <w:szCs w:val="22"/>
        </w:rPr>
        <w:footnoteReference w:id="59"/>
      </w:r>
      <w:r w:rsidRPr="00F460F9" w:rsidR="005C7A08">
        <w:t xml:space="preserve">  </w:t>
      </w:r>
      <w:r w:rsidR="00432A79">
        <w:t xml:space="preserve">The Bureau received a certified mail receipt showing that Belthrough received the Notice on </w:t>
      </w:r>
      <w:r w:rsidR="00C34CD5">
        <w:t>September</w:t>
      </w:r>
      <w:r w:rsidR="002A2DFC">
        <w:t>, 2025</w:t>
      </w:r>
      <w:r w:rsidR="00432A79">
        <w:t>.</w:t>
      </w:r>
      <w:r>
        <w:rPr>
          <w:rStyle w:val="FootnoteReference"/>
        </w:rPr>
        <w:footnoteReference w:id="60"/>
      </w:r>
      <w:r w:rsidR="00432A79">
        <w:t xml:space="preserve">  </w:t>
      </w:r>
      <w:r w:rsidR="003F28CA">
        <w:t>Nonetheless, Belth</w:t>
      </w:r>
      <w:r w:rsidR="007B4CFE">
        <w:t>r</w:t>
      </w:r>
      <w:r w:rsidR="003F28CA">
        <w:t xml:space="preserve">ough </w:t>
      </w:r>
      <w:r w:rsidR="00AB371E">
        <w:t>did not file a report or take any of the actions called for in the Notice</w:t>
      </w:r>
      <w:r w:rsidR="00AD28D3">
        <w:t>, and it</w:t>
      </w:r>
      <w:r w:rsidR="00AB371E">
        <w:t xml:space="preserve"> </w:t>
      </w:r>
      <w:r w:rsidR="003F28CA">
        <w:t xml:space="preserve">continued </w:t>
      </w:r>
      <w:r w:rsidR="00AD28D3">
        <w:t xml:space="preserve">to </w:t>
      </w:r>
      <w:r w:rsidR="003F28CA">
        <w:t>transmit apparent</w:t>
      </w:r>
      <w:r w:rsidR="00AB371E">
        <w:t>ly illegal</w:t>
      </w:r>
      <w:r w:rsidR="003F28CA">
        <w:t xml:space="preserve"> robocall traffic.</w:t>
      </w:r>
      <w:r>
        <w:rPr>
          <w:rStyle w:val="FootnoteReference"/>
        </w:rPr>
        <w:footnoteReference w:id="61"/>
      </w:r>
      <w:r w:rsidR="00C1724C">
        <w:t xml:space="preserve">  </w:t>
      </w:r>
      <w:r w:rsidR="00C1724C">
        <w:t>Belthrough’s willful failure to cooperate with our investigation—</w:t>
      </w:r>
      <w:r w:rsidR="003914B7">
        <w:t>despite</w:t>
      </w:r>
      <w:r w:rsidR="00C1724C">
        <w:t xml:space="preserve"> its attestations to the contrary—demonstrates that its RMD certificate is deficient.</w:t>
      </w:r>
      <w:r w:rsidR="003F28CA">
        <w:t xml:space="preserve"> </w:t>
      </w:r>
      <w:r w:rsidR="00AB371E">
        <w:t xml:space="preserve"> </w:t>
      </w:r>
      <w:r w:rsidR="00AD28D3">
        <w:t>Thus, we can immediately move to an order to show cause.</w:t>
      </w:r>
    </w:p>
    <w:p w:rsidR="00F44E88" w:rsidRPr="00F460F9" w:rsidP="00F44E88" w14:paraId="125B664D" w14:textId="1E29DBD7">
      <w:pPr>
        <w:pStyle w:val="ParaNum"/>
        <w:widowControl/>
        <w:rPr>
          <w:szCs w:val="22"/>
        </w:rPr>
      </w:pPr>
      <w:r w:rsidRPr="00F460F9">
        <w:rPr>
          <w:szCs w:val="22"/>
        </w:rPr>
        <w:t>The Bureau directs Belthrough to explain why the Bureau should not remove the Company’s certification from the RMD.</w:t>
      </w:r>
      <w:r>
        <w:rPr>
          <w:rStyle w:val="FootnoteReference"/>
          <w:sz w:val="22"/>
          <w:szCs w:val="22"/>
        </w:rPr>
        <w:footnoteReference w:id="62"/>
      </w:r>
      <w:r w:rsidRPr="00F460F9">
        <w:rPr>
          <w:szCs w:val="22"/>
        </w:rPr>
        <w:t xml:space="preserve">  This Order </w:t>
      </w:r>
      <w:r w:rsidR="007657E4">
        <w:rPr>
          <w:szCs w:val="22"/>
        </w:rPr>
        <w:t xml:space="preserve">to Show Cause </w:t>
      </w:r>
      <w:r w:rsidRPr="00F460F9">
        <w:rPr>
          <w:szCs w:val="22"/>
        </w:rPr>
        <w:t>affords Belthrough notice and an opportunity to cure its deficienc</w:t>
      </w:r>
      <w:r w:rsidR="001C3365">
        <w:rPr>
          <w:szCs w:val="22"/>
        </w:rPr>
        <w:t>y</w:t>
      </w:r>
      <w:r w:rsidRPr="00F460F9">
        <w:rPr>
          <w:szCs w:val="22"/>
        </w:rPr>
        <w:t xml:space="preserve"> by responding fully to </w:t>
      </w:r>
      <w:r w:rsidR="007657E4">
        <w:rPr>
          <w:szCs w:val="22"/>
        </w:rPr>
        <w:t xml:space="preserve">the </w:t>
      </w:r>
      <w:r w:rsidRPr="00F460F9">
        <w:rPr>
          <w:szCs w:val="22"/>
        </w:rPr>
        <w:t>Notice in accordance with its certification and as required by sections 64.1200(n)(</w:t>
      </w:r>
      <w:r w:rsidR="00E16CA2">
        <w:rPr>
          <w:szCs w:val="22"/>
        </w:rPr>
        <w:t>2</w:t>
      </w:r>
      <w:r w:rsidRPr="00F460F9">
        <w:rPr>
          <w:szCs w:val="22"/>
        </w:rPr>
        <w:t>)</w:t>
      </w:r>
      <w:r w:rsidR="00DA3766">
        <w:rPr>
          <w:szCs w:val="22"/>
        </w:rPr>
        <w:t>,</w:t>
      </w:r>
      <w:r w:rsidRPr="00F460F9">
        <w:rPr>
          <w:szCs w:val="22"/>
        </w:rPr>
        <w:t xml:space="preserve"> and 64.6305(d)(2)(iii)</w:t>
      </w:r>
      <w:r w:rsidR="00DA3766">
        <w:rPr>
          <w:szCs w:val="22"/>
        </w:rPr>
        <w:t xml:space="preserve">, </w:t>
      </w:r>
      <w:r w:rsidRPr="00C06047" w:rsidR="00C06047">
        <w:rPr>
          <w:szCs w:val="22"/>
        </w:rPr>
        <w:t>64.6305</w:t>
      </w:r>
      <w:r w:rsidRPr="00DA3766" w:rsidR="00DA3766">
        <w:rPr>
          <w:szCs w:val="22"/>
        </w:rPr>
        <w:t xml:space="preserve">(e)(2)(iii), </w:t>
      </w:r>
      <w:r w:rsidR="00DA3766">
        <w:rPr>
          <w:szCs w:val="22"/>
        </w:rPr>
        <w:t xml:space="preserve">and </w:t>
      </w:r>
      <w:r w:rsidRPr="00C06047" w:rsidR="00C06047">
        <w:rPr>
          <w:szCs w:val="22"/>
        </w:rPr>
        <w:t>64.6305</w:t>
      </w:r>
      <w:r w:rsidRPr="00DA3766" w:rsidR="00DA3766">
        <w:rPr>
          <w:szCs w:val="22"/>
        </w:rPr>
        <w:t>(f)(2)(iii)</w:t>
      </w:r>
      <w:r w:rsidRPr="00F460F9">
        <w:rPr>
          <w:szCs w:val="22"/>
        </w:rPr>
        <w:t xml:space="preserve"> of the Commission’s rules.</w:t>
      </w:r>
      <w:r>
        <w:rPr>
          <w:rStyle w:val="FootnoteReference"/>
          <w:sz w:val="22"/>
          <w:szCs w:val="22"/>
        </w:rPr>
        <w:footnoteReference w:id="63"/>
      </w:r>
      <w:r w:rsidRPr="00F460F9">
        <w:rPr>
          <w:szCs w:val="22"/>
        </w:rPr>
        <w:t xml:space="preserve"> </w:t>
      </w:r>
      <w:r w:rsidR="00F45CF0">
        <w:rPr>
          <w:szCs w:val="22"/>
        </w:rPr>
        <w:t xml:space="preserve"> </w:t>
      </w:r>
      <w:r w:rsidRPr="00F460F9">
        <w:rPr>
          <w:szCs w:val="22"/>
        </w:rPr>
        <w:t xml:space="preserve">Alternatively, the Company may explain why its certification is not deficient. </w:t>
      </w:r>
    </w:p>
    <w:p w:rsidR="00F57361" w:rsidRPr="0069050E" w:rsidP="00762352" w14:paraId="27A0E9F3" w14:textId="69DE9784">
      <w:pPr>
        <w:pStyle w:val="ParaNum"/>
        <w:widowControl/>
      </w:pPr>
      <w:r w:rsidRPr="00F460F9">
        <w:rPr>
          <w:szCs w:val="22"/>
        </w:rPr>
        <w:t>Belthrough shall file its response with the Bureau within 14 calendar days</w:t>
      </w:r>
      <w:r>
        <w:rPr>
          <w:rStyle w:val="FootnoteReference"/>
          <w:szCs w:val="22"/>
        </w:rPr>
        <w:footnoteReference w:id="64"/>
      </w:r>
      <w:r w:rsidRPr="00F460F9">
        <w:rPr>
          <w:szCs w:val="22"/>
        </w:rPr>
        <w:t xml:space="preserve"> of the date of this Order</w:t>
      </w:r>
      <w:r w:rsidR="00D25D94">
        <w:rPr>
          <w:szCs w:val="22"/>
        </w:rPr>
        <w:t xml:space="preserve"> to Show Cause</w:t>
      </w:r>
      <w:r w:rsidRPr="00F460F9">
        <w:rPr>
          <w:szCs w:val="22"/>
        </w:rPr>
        <w:t>.</w:t>
      </w:r>
      <w:r>
        <w:rPr>
          <w:rStyle w:val="FootnoteReference"/>
          <w:sz w:val="22"/>
          <w:szCs w:val="22"/>
        </w:rPr>
        <w:footnoteReference w:id="65"/>
      </w:r>
      <w:r w:rsidRPr="00F460F9">
        <w:rPr>
          <w:szCs w:val="22"/>
        </w:rPr>
        <w:t xml:space="preserve">  Failure to respond and correct the deficienc</w:t>
      </w:r>
      <w:r w:rsidR="000F4497">
        <w:rPr>
          <w:szCs w:val="22"/>
        </w:rPr>
        <w:t>y</w:t>
      </w:r>
      <w:r w:rsidRPr="00F460F9">
        <w:rPr>
          <w:szCs w:val="22"/>
        </w:rPr>
        <w:t xml:space="preserve">, or provide a sufficient explanation for why </w:t>
      </w:r>
      <w:r w:rsidRPr="00F45CF0">
        <w:rPr>
          <w:szCs w:val="22"/>
        </w:rPr>
        <w:t>Belthrough should retain its certification in the RMD will result in removal of the certification and accompanying filing.</w:t>
      </w:r>
      <w:r>
        <w:rPr>
          <w:rStyle w:val="FootnoteReference"/>
          <w:sz w:val="22"/>
          <w:szCs w:val="22"/>
        </w:rPr>
        <w:footnoteReference w:id="66"/>
      </w:r>
      <w:r w:rsidRPr="00F45CF0">
        <w:rPr>
          <w:szCs w:val="22"/>
        </w:rPr>
        <w:t xml:space="preserve">  </w:t>
      </w:r>
      <w:r w:rsidRPr="00762352">
        <w:rPr>
          <w:szCs w:val="22"/>
        </w:rPr>
        <w:t>Removal of Belthrough’s certification from the RMD will require all voice service providers and intermediate providers to cease accepting calls directly from Belthrough.</w:t>
      </w:r>
      <w:r>
        <w:rPr>
          <w:rStyle w:val="FootnoteReference"/>
          <w:sz w:val="22"/>
          <w:szCs w:val="22"/>
        </w:rPr>
        <w:footnoteReference w:id="67"/>
      </w:r>
      <w:r w:rsidRPr="00F45CF0">
        <w:rPr>
          <w:szCs w:val="22"/>
        </w:rPr>
        <w:t xml:space="preserve">  </w:t>
      </w:r>
      <w:r w:rsidRPr="00F45CF0">
        <w:rPr>
          <w:color w:val="000000"/>
          <w:szCs w:val="22"/>
        </w:rPr>
        <w:t>If Belthrough is removed from the RMD, it shall not be permitted to refile</w:t>
      </w:r>
      <w:r w:rsidR="00784386">
        <w:rPr>
          <w:color w:val="000000"/>
          <w:szCs w:val="22"/>
        </w:rPr>
        <w:t xml:space="preserve"> unless and</w:t>
      </w:r>
      <w:r w:rsidRPr="00F45CF0">
        <w:rPr>
          <w:color w:val="000000"/>
          <w:szCs w:val="22"/>
        </w:rPr>
        <w:t xml:space="preserve"> until both the Bureau and the </w:t>
      </w:r>
      <w:r w:rsidR="00F343D0">
        <w:rPr>
          <w:color w:val="000000"/>
          <w:szCs w:val="22"/>
        </w:rPr>
        <w:t xml:space="preserve">Commission’s </w:t>
      </w:r>
      <w:r w:rsidRPr="00F45CF0">
        <w:rPr>
          <w:color w:val="000000"/>
          <w:szCs w:val="22"/>
        </w:rPr>
        <w:t xml:space="preserve">Wireline Competition Bureau </w:t>
      </w:r>
      <w:r w:rsidR="00784386">
        <w:rPr>
          <w:color w:val="000000"/>
          <w:szCs w:val="22"/>
        </w:rPr>
        <w:t>consent</w:t>
      </w:r>
      <w:r w:rsidRPr="00F460F9">
        <w:rPr>
          <w:color w:val="000000"/>
          <w:szCs w:val="22"/>
        </w:rPr>
        <w:t>.</w:t>
      </w:r>
    </w:p>
    <w:p w:rsidR="00E4677C" w:rsidRPr="0069050E" w:rsidP="00776DA6" w14:paraId="4C43AD75" w14:textId="77777777">
      <w:pPr>
        <w:pStyle w:val="Heading1"/>
        <w:widowControl/>
      </w:pPr>
      <w:r w:rsidRPr="0069050E">
        <w:t>ordering clauses</w:t>
      </w:r>
    </w:p>
    <w:p w:rsidR="00E4677C" w:rsidRPr="0069050E" w:rsidP="006561A3" w14:paraId="5B624ADA" w14:textId="1884FE86">
      <w:pPr>
        <w:pStyle w:val="ParaNum"/>
        <w:widowControl/>
      </w:pPr>
      <w:r w:rsidRPr="0069050E">
        <w:t xml:space="preserve">Accordingly, </w:t>
      </w:r>
      <w:r w:rsidRPr="0069050E">
        <w:rPr>
          <w:b/>
          <w:bCs/>
        </w:rPr>
        <w:t>IT IS ORDERED</w:t>
      </w:r>
      <w:r w:rsidRPr="0069050E">
        <w:t xml:space="preserve"> that, pursuant to sections 4(</w:t>
      </w:r>
      <w:r w:rsidRPr="0069050E">
        <w:t>i</w:t>
      </w:r>
      <w:r w:rsidRPr="0069050E">
        <w:t>), 4(j), 227(b)</w:t>
      </w:r>
      <w:r w:rsidRPr="0069050E" w:rsidR="00B42618">
        <w:t>,</w:t>
      </w:r>
      <w:r w:rsidRPr="0069050E">
        <w:t xml:space="preserve"> 251(e), and 403 of the </w:t>
      </w:r>
      <w:r w:rsidRPr="0069050E" w:rsidR="00AD1921">
        <w:t xml:space="preserve">Communications </w:t>
      </w:r>
      <w:r w:rsidRPr="0069050E">
        <w:t>Act</w:t>
      </w:r>
      <w:r w:rsidRPr="0069050E" w:rsidR="00AD1921">
        <w:t xml:space="preserve"> of 1934, as amended</w:t>
      </w:r>
      <w:r w:rsidRPr="0069050E">
        <w:t>,</w:t>
      </w:r>
      <w:r w:rsidRPr="0069050E" w:rsidR="00C3584B">
        <w:t xml:space="preserve"> </w:t>
      </w:r>
      <w:r w:rsidRPr="0069050E" w:rsidR="008547BB">
        <w:t xml:space="preserve">47 U.S.C. §§ </w:t>
      </w:r>
      <w:r w:rsidRPr="0069050E" w:rsidR="00134811">
        <w:t>15</w:t>
      </w:r>
      <w:r w:rsidRPr="0069050E" w:rsidR="008547BB">
        <w:t>4(</w:t>
      </w:r>
      <w:r w:rsidRPr="0069050E" w:rsidR="008547BB">
        <w:t>i</w:t>
      </w:r>
      <w:r w:rsidRPr="0069050E" w:rsidR="008547BB">
        <w:t xml:space="preserve">), </w:t>
      </w:r>
      <w:r w:rsidRPr="0069050E" w:rsidR="00142B72">
        <w:t>15</w:t>
      </w:r>
      <w:r w:rsidRPr="0069050E" w:rsidR="008547BB">
        <w:t>4(j), 227(b), 251(e), 403</w:t>
      </w:r>
      <w:r w:rsidRPr="0069050E" w:rsidR="00035362">
        <w:t>;</w:t>
      </w:r>
      <w:r w:rsidRPr="0069050E">
        <w:t xml:space="preserve"> sections 0.111, 0.311, 1.1, 1.102(b)(1), </w:t>
      </w:r>
      <w:r w:rsidRPr="0069050E" w:rsidR="00A60FF4">
        <w:t xml:space="preserve">and </w:t>
      </w:r>
      <w:r w:rsidRPr="0069050E">
        <w:t>64.1200</w:t>
      </w:r>
      <w:r w:rsidR="000D3364">
        <w:t>(n)(2)</w:t>
      </w:r>
      <w:r w:rsidRPr="0069050E" w:rsidR="00A60FF4">
        <w:t xml:space="preserve"> </w:t>
      </w:r>
      <w:r w:rsidRPr="0069050E">
        <w:t>of the Commission’s rules,</w:t>
      </w:r>
      <w:r w:rsidRPr="0069050E" w:rsidR="008547BB">
        <w:t xml:space="preserve"> 47 CFR §§ 0.111, 0.311, 1.1, 1.102(b)(1), </w:t>
      </w:r>
      <w:r w:rsidR="00017032">
        <w:t xml:space="preserve">and </w:t>
      </w:r>
      <w:r w:rsidRPr="0069050E" w:rsidR="008547BB">
        <w:t>64.1200</w:t>
      </w:r>
      <w:r w:rsidR="002B61E9">
        <w:t>(n)(2)</w:t>
      </w:r>
      <w:r w:rsidRPr="0069050E" w:rsidR="00035362">
        <w:t>;</w:t>
      </w:r>
      <w:r w:rsidRPr="0069050E" w:rsidR="008061DD">
        <w:t xml:space="preserve"> and the</w:t>
      </w:r>
      <w:r w:rsidR="00EB18BD">
        <w:t xml:space="preserve"> </w:t>
      </w:r>
      <w:r w:rsidRPr="001E530E" w:rsidR="00EB18BD">
        <w:rPr>
          <w:i/>
          <w:iCs/>
        </w:rPr>
        <w:t>Sixth Caller ID Authentication Order</w:t>
      </w:r>
      <w:r>
        <w:rPr>
          <w:rStyle w:val="FootnoteReference"/>
        </w:rPr>
        <w:footnoteReference w:id="68"/>
      </w:r>
      <w:r w:rsidRPr="0069050E">
        <w:t xml:space="preserve"> </w:t>
      </w:r>
      <w:r w:rsidR="005C7A08">
        <w:t xml:space="preserve"> </w:t>
      </w:r>
      <w:r w:rsidR="00907A62">
        <w:t>Belthrough</w:t>
      </w:r>
      <w:r w:rsidRPr="0069050E">
        <w:t xml:space="preserve"> </w:t>
      </w:r>
      <w:r w:rsidRPr="0069050E">
        <w:rPr>
          <w:b/>
          <w:bCs/>
        </w:rPr>
        <w:t>SHALL FILE</w:t>
      </w:r>
      <w:r w:rsidRPr="0069050E">
        <w:t xml:space="preserve"> </w:t>
      </w:r>
      <w:r w:rsidRPr="0069050E" w:rsidR="007770D8">
        <w:t xml:space="preserve">a </w:t>
      </w:r>
      <w:r w:rsidRPr="0069050E">
        <w:t>written</w:t>
      </w:r>
      <w:r w:rsidRPr="0069050E" w:rsidR="00880D20">
        <w:t xml:space="preserve"> </w:t>
      </w:r>
      <w:r w:rsidRPr="0069050E">
        <w:t>response to th</w:t>
      </w:r>
      <w:r w:rsidR="00B66BB9">
        <w:t>e</w:t>
      </w:r>
      <w:r w:rsidRPr="0069050E">
        <w:t xml:space="preserve"> </w:t>
      </w:r>
      <w:r w:rsidR="00B66BB9">
        <w:t xml:space="preserve">Initial Determination </w:t>
      </w:r>
      <w:r w:rsidRPr="0069050E">
        <w:t>Order</w:t>
      </w:r>
      <w:r w:rsidRPr="0069050E" w:rsidR="00803641">
        <w:t xml:space="preserve"> </w:t>
      </w:r>
      <w:r w:rsidR="00B66BB9">
        <w:t xml:space="preserve">and Order to Show Cause </w:t>
      </w:r>
      <w:r w:rsidRPr="0069050E" w:rsidR="00803641">
        <w:rPr>
          <w:b/>
          <w:bCs/>
        </w:rPr>
        <w:t>within 14 calendar days</w:t>
      </w:r>
      <w:r w:rsidRPr="0069050E" w:rsidR="005836BD">
        <w:t xml:space="preserve"> from the release date of th</w:t>
      </w:r>
      <w:r w:rsidR="00357393">
        <w:t>ese</w:t>
      </w:r>
      <w:r w:rsidRPr="0069050E" w:rsidR="005836BD">
        <w:t xml:space="preserve"> </w:t>
      </w:r>
      <w:r w:rsidR="00150E49">
        <w:t xml:space="preserve">two </w:t>
      </w:r>
      <w:r w:rsidRPr="0069050E" w:rsidR="005836BD">
        <w:t>Order</w:t>
      </w:r>
      <w:r w:rsidR="00357393">
        <w:t>s</w:t>
      </w:r>
      <w:r w:rsidRPr="0069050E">
        <w:t>.</w:t>
      </w:r>
      <w:r>
        <w:rPr>
          <w:rStyle w:val="FootnoteReference"/>
        </w:rPr>
        <w:footnoteReference w:id="69"/>
      </w:r>
      <w:r w:rsidR="005C7A08">
        <w:t xml:space="preserve">    </w:t>
      </w:r>
    </w:p>
    <w:p w:rsidR="00016B0E" w:rsidRPr="0069050E" w:rsidP="006A2B40" w14:paraId="64DE75DE" w14:textId="3DF4FE6A">
      <w:pPr>
        <w:pStyle w:val="ParaNum"/>
        <w:keepNext/>
        <w:keepLines/>
        <w:widowControl/>
      </w:pPr>
      <w:r w:rsidRPr="0069050E">
        <w:t xml:space="preserve">The response must be mailed to the Office of the Secretary, Federal Communications Commission, 45 L Street NE, Washington, DC 20554, ATTN: Enforcement Bureau – Telecommunications Consumers Division.  The response must also be e-mailed to </w:t>
      </w:r>
      <w:r w:rsidR="00A851E7">
        <w:t>the</w:t>
      </w:r>
      <w:r w:rsidR="0070633D">
        <w:t xml:space="preserve"> FCC</w:t>
      </w:r>
      <w:r w:rsidR="00A851E7">
        <w:t xml:space="preserve"> Enforcement Bureau, </w:t>
      </w:r>
      <w:r w:rsidRPr="0069050E">
        <w:t>Telecommunications Consumers Division</w:t>
      </w:r>
      <w:r w:rsidR="005420FB">
        <w:t xml:space="preserve"> at</w:t>
      </w:r>
      <w:r w:rsidR="009419B3">
        <w:t xml:space="preserve"> </w:t>
      </w:r>
      <w:hyperlink r:id="rId6" w:history="1">
        <w:r w:rsidRPr="001D779E" w:rsidR="00E84E1F">
          <w:rPr>
            <w:rStyle w:val="Hyperlink"/>
          </w:rPr>
          <w:t>EnforcementBureauTCD@fcc.gov</w:t>
        </w:r>
      </w:hyperlink>
      <w:r w:rsidR="00BD59BB">
        <w:t>,</w:t>
      </w:r>
      <w:r w:rsidR="00F44E88">
        <w:t xml:space="preserve"> </w:t>
      </w:r>
      <w:r w:rsidR="0002060C">
        <w:t>to</w:t>
      </w:r>
      <w:r w:rsidR="00907A62">
        <w:t xml:space="preserve"> </w:t>
      </w:r>
      <w:r w:rsidRPr="0069050E">
        <w:t>Daniel Stepanicich,</w:t>
      </w:r>
      <w:r w:rsidR="0002060C">
        <w:t xml:space="preserve"> Deput</w:t>
      </w:r>
      <w:r w:rsidR="003434F4">
        <w:t>y</w:t>
      </w:r>
      <w:r w:rsidRPr="0069050E">
        <w:t xml:space="preserve"> Division Chief, Telecommunications Consumers Division, at </w:t>
      </w:r>
      <w:hyperlink r:id="rId7" w:history="1">
        <w:r w:rsidRPr="0069050E">
          <w:rPr>
            <w:rStyle w:val="Hyperlink"/>
          </w:rPr>
          <w:t>daniel.stepanicich@fcc.gov</w:t>
        </w:r>
      </w:hyperlink>
      <w:r>
        <w:t xml:space="preserve">, and </w:t>
      </w:r>
      <w:r w:rsidR="00907A62">
        <w:t xml:space="preserve">to </w:t>
      </w:r>
      <w:r w:rsidR="0002060C">
        <w:t>David Konuch</w:t>
      </w:r>
      <w:r>
        <w:t xml:space="preserve">, Attorney Advisor, </w:t>
      </w:r>
      <w:r w:rsidRPr="0069050E">
        <w:t>Telecommunications Consumers Division, at</w:t>
      </w:r>
      <w:r>
        <w:t xml:space="preserve"> </w:t>
      </w:r>
      <w:hyperlink r:id="rId8" w:history="1">
        <w:r w:rsidRPr="001D779E" w:rsidR="00E84E1F">
          <w:rPr>
            <w:rStyle w:val="Hyperlink"/>
          </w:rPr>
          <w:t>David.Konuch@fcc.gov</w:t>
        </w:r>
      </w:hyperlink>
      <w:r w:rsidR="00FF1574">
        <w:t xml:space="preserve">. </w:t>
      </w:r>
    </w:p>
    <w:p w:rsidR="00E4677C" w:rsidRPr="0069050E" w:rsidP="006A2B40" w14:paraId="455CBC56" w14:textId="4F379819">
      <w:pPr>
        <w:pStyle w:val="ParaNum"/>
        <w:keepNext/>
        <w:keepLines/>
        <w:widowControl/>
      </w:pPr>
      <w:r w:rsidRPr="0069050E">
        <w:rPr>
          <w:b/>
          <w:bCs/>
        </w:rPr>
        <w:t>IT IS FURTHER ORDERED</w:t>
      </w:r>
      <w:r w:rsidRPr="0069050E">
        <w:t xml:space="preserve"> that copies of this </w:t>
      </w:r>
      <w:r w:rsidRPr="0069050E" w:rsidR="00BF3954">
        <w:t xml:space="preserve">Initial Determination </w:t>
      </w:r>
      <w:r w:rsidRPr="0069050E">
        <w:t xml:space="preserve">Order </w:t>
      </w:r>
      <w:r w:rsidR="00561789">
        <w:t xml:space="preserve">and Order to Show Cause </w:t>
      </w:r>
      <w:r w:rsidRPr="0069050E">
        <w:t xml:space="preserve">shall be </w:t>
      </w:r>
      <w:r w:rsidRPr="0069050E" w:rsidR="00A60FF4">
        <w:t>filed in EB Docket No. 22-17</w:t>
      </w:r>
      <w:r w:rsidRPr="0069050E" w:rsidR="00B42618">
        <w:t>4</w:t>
      </w:r>
      <w:r w:rsidRPr="0069050E" w:rsidR="00A60FF4">
        <w:t xml:space="preserve"> and </w:t>
      </w:r>
      <w:r w:rsidRPr="0069050E">
        <w:t>sent by</w:t>
      </w:r>
      <w:r w:rsidRPr="0069050E" w:rsidR="00F75776">
        <w:t xml:space="preserve"> email and</w:t>
      </w:r>
      <w:r w:rsidRPr="0069050E">
        <w:t xml:space="preserve"> </w:t>
      </w:r>
      <w:r w:rsidR="00D50C54">
        <w:t>certified</w:t>
      </w:r>
      <w:r w:rsidRPr="0069050E">
        <w:t xml:space="preserve"> mail, return receipt requested, to:  </w:t>
      </w:r>
      <w:r w:rsidR="003434F4">
        <w:t>Brisa Cruz</w:t>
      </w:r>
      <w:r w:rsidRPr="0069050E" w:rsidR="00A60FF4">
        <w:t xml:space="preserve">, </w:t>
      </w:r>
      <w:r w:rsidR="003E4581">
        <w:t>Belthrough LLC,</w:t>
      </w:r>
      <w:r w:rsidRPr="0069050E" w:rsidR="00A60FF4">
        <w:t xml:space="preserve"> </w:t>
      </w:r>
      <w:r w:rsidRPr="001E07F8" w:rsidR="001E07F8">
        <w:t>1942 Broadway, Ste 314C</w:t>
      </w:r>
      <w:r w:rsidR="005420FB">
        <w:t xml:space="preserve">, </w:t>
      </w:r>
      <w:r w:rsidRPr="001E07F8" w:rsidR="001E07F8">
        <w:t>Boulder, CO 80302</w:t>
      </w:r>
      <w:r w:rsidR="00D56371">
        <w:t xml:space="preserve">, and </w:t>
      </w:r>
      <w:hyperlink r:id="rId9" w:history="1">
        <w:r w:rsidRPr="001D779E" w:rsidR="00F54871">
          <w:rPr>
            <w:rStyle w:val="Hyperlink"/>
          </w:rPr>
          <w:t>brisa@belthrough.com</w:t>
        </w:r>
      </w:hyperlink>
      <w:r w:rsidRPr="0069050E" w:rsidR="00A60FF4">
        <w:t>.</w:t>
      </w:r>
    </w:p>
    <w:p w:rsidR="00E4677C" w:rsidRPr="0069050E" w:rsidP="006A2B40" w14:paraId="11B1FE4B" w14:textId="77777777">
      <w:pPr>
        <w:pStyle w:val="ParaNum"/>
        <w:keepNext/>
        <w:keepLines/>
        <w:widowControl/>
        <w:numPr>
          <w:ilvl w:val="0"/>
          <w:numId w:val="0"/>
        </w:numPr>
        <w:ind w:left="720"/>
      </w:pPr>
    </w:p>
    <w:p w:rsidR="00E4677C" w:rsidRPr="0069050E" w:rsidP="006A2B40" w14:paraId="74754EEC" w14:textId="77777777">
      <w:pPr>
        <w:pStyle w:val="ParaNum"/>
        <w:keepNext/>
        <w:keepLines/>
        <w:widowControl/>
        <w:numPr>
          <w:ilvl w:val="0"/>
          <w:numId w:val="0"/>
        </w:numPr>
        <w:spacing w:after="0"/>
        <w:ind w:left="4320"/>
      </w:pPr>
      <w:r w:rsidRPr="0069050E">
        <w:t>FEDERAL COMMUNICATIONS COMMISSION</w:t>
      </w:r>
    </w:p>
    <w:p w:rsidR="00E4677C" w:rsidRPr="0069050E" w:rsidP="006A2B40" w14:paraId="53619F1B" w14:textId="77777777">
      <w:pPr>
        <w:pStyle w:val="ParaNum"/>
        <w:keepNext/>
        <w:keepLines/>
        <w:widowControl/>
        <w:numPr>
          <w:ilvl w:val="0"/>
          <w:numId w:val="0"/>
        </w:numPr>
        <w:spacing w:after="0"/>
        <w:ind w:left="4320"/>
      </w:pPr>
    </w:p>
    <w:p w:rsidR="0005502A" w:rsidRPr="0069050E" w:rsidP="006A2B40" w14:paraId="1EFEE694" w14:textId="77777777">
      <w:pPr>
        <w:pStyle w:val="ParaNum"/>
        <w:keepNext/>
        <w:widowControl/>
        <w:numPr>
          <w:ilvl w:val="0"/>
          <w:numId w:val="0"/>
        </w:numPr>
        <w:spacing w:after="0"/>
      </w:pPr>
    </w:p>
    <w:p w:rsidR="00E4677C" w:rsidRPr="0069050E" w:rsidP="006A2B40" w14:paraId="33E090CF" w14:textId="77777777">
      <w:pPr>
        <w:pStyle w:val="ParaNum"/>
        <w:keepNext/>
        <w:widowControl/>
        <w:numPr>
          <w:ilvl w:val="0"/>
          <w:numId w:val="0"/>
        </w:numPr>
        <w:spacing w:after="0"/>
        <w:ind w:left="4320"/>
      </w:pPr>
    </w:p>
    <w:p w:rsidR="00E4677C" w:rsidRPr="0069050E" w:rsidP="006A2B40" w14:paraId="49203542" w14:textId="57058648">
      <w:pPr>
        <w:pStyle w:val="ParaNum"/>
        <w:keepNext/>
        <w:widowControl/>
        <w:numPr>
          <w:ilvl w:val="0"/>
          <w:numId w:val="0"/>
        </w:numPr>
        <w:spacing w:after="0"/>
        <w:ind w:left="4320"/>
      </w:pPr>
      <w:r>
        <w:t>Patrick Webre</w:t>
      </w:r>
    </w:p>
    <w:p w:rsidR="00E4677C" w:rsidRPr="0069050E" w:rsidP="006A2B40" w14:paraId="73A7F991" w14:textId="08F52ACC">
      <w:pPr>
        <w:pStyle w:val="ParaNum"/>
        <w:keepNext/>
        <w:widowControl/>
        <w:numPr>
          <w:ilvl w:val="0"/>
          <w:numId w:val="0"/>
        </w:numPr>
        <w:ind w:left="4320"/>
        <w:contextualSpacing/>
      </w:pPr>
      <w:r w:rsidRPr="0069050E">
        <w:t>Chief</w:t>
      </w:r>
    </w:p>
    <w:p w:rsidR="00412FC5" w:rsidRPr="00EA70B7" w:rsidP="006A2B40" w14:paraId="0E1E32A7" w14:textId="77777777">
      <w:pPr>
        <w:pStyle w:val="ParaNum"/>
        <w:keepNext/>
        <w:widowControl/>
        <w:numPr>
          <w:ilvl w:val="0"/>
          <w:numId w:val="0"/>
        </w:numPr>
        <w:ind w:left="4320"/>
        <w:contextualSpacing/>
      </w:pPr>
      <w:r w:rsidRPr="0069050E">
        <w:t>Enforcement Bureau</w:t>
      </w:r>
    </w:p>
    <w:sectPr w:rsidSect="0055614C">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C7906" w14:paraId="1270056A" w14:textId="77777777">
      <w:r>
        <w:separator/>
      </w:r>
    </w:p>
  </w:endnote>
  <w:endnote w:type="continuationSeparator" w:id="1">
    <w:p w:rsidR="005C7906" w14:paraId="1D90C9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Heavy Heap"/>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A2103E0"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F9E6E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05502A" w14:paraId="6603F440" w14:textId="77777777">
    <w:pPr>
      <w:pStyle w:val="Footer"/>
      <w:jc w:val="center"/>
    </w:pPr>
    <w:r>
      <w:fldChar w:fldCharType="begin"/>
    </w:r>
    <w:r>
      <w:instrText xml:space="preserve"> PAGE   \* MERGEFORMAT </w:instrText>
    </w:r>
    <w:r>
      <w:fldChar w:fldCharType="separate"/>
    </w:r>
    <w:r w:rsidR="007770D8">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809066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7906" w14:paraId="1CDDD75E" w14:textId="77777777">
      <w:r>
        <w:separator/>
      </w:r>
    </w:p>
  </w:footnote>
  <w:footnote w:type="continuationSeparator" w:id="1">
    <w:p w:rsidR="005C7906" w:rsidP="00C721AC" w14:paraId="4A818A12" w14:textId="77777777">
      <w:pPr>
        <w:spacing w:before="120"/>
        <w:rPr>
          <w:sz w:val="20"/>
        </w:rPr>
      </w:pPr>
      <w:r>
        <w:rPr>
          <w:sz w:val="20"/>
        </w:rPr>
        <w:t xml:space="preserve">(Continued from previous page)  </w:t>
      </w:r>
      <w:r>
        <w:rPr>
          <w:sz w:val="20"/>
        </w:rPr>
        <w:separator/>
      </w:r>
    </w:p>
  </w:footnote>
  <w:footnote w:type="continuationNotice" w:id="2">
    <w:p w:rsidR="005C7906" w:rsidP="00C721AC" w14:paraId="56CA54CA" w14:textId="77777777">
      <w:pPr>
        <w:jc w:val="right"/>
        <w:rPr>
          <w:sz w:val="20"/>
        </w:rPr>
      </w:pPr>
      <w:r>
        <w:rPr>
          <w:sz w:val="20"/>
        </w:rPr>
        <w:t>(</w:t>
      </w:r>
      <w:r>
        <w:rPr>
          <w:sz w:val="20"/>
        </w:rPr>
        <w:t>continued</w:t>
      </w:r>
      <w:r>
        <w:rPr>
          <w:sz w:val="20"/>
        </w:rPr>
        <w:t>….)</w:t>
      </w:r>
    </w:p>
  </w:footnote>
  <w:footnote w:id="3">
    <w:p w:rsidR="00B722C6" w14:paraId="47224E60" w14:textId="59EC69E3">
      <w:pPr>
        <w:pStyle w:val="FootnoteText"/>
      </w:pPr>
      <w:r>
        <w:rPr>
          <w:rStyle w:val="FootnoteReference"/>
        </w:rPr>
        <w:footnoteRef/>
      </w:r>
      <w:r>
        <w:t xml:space="preserve"> </w:t>
      </w:r>
      <w:r w:rsidRPr="001844C3" w:rsidR="00683D21">
        <w:rPr>
          <w:i/>
          <w:iCs/>
        </w:rPr>
        <w:t xml:space="preserve">See </w:t>
      </w:r>
      <w:r w:rsidRPr="0088607E" w:rsidR="00683D21">
        <w:t xml:space="preserve">Letter from </w:t>
      </w:r>
      <w:r w:rsidR="00641DF4">
        <w:t>Patrick Webre</w:t>
      </w:r>
      <w:r w:rsidRPr="0088607E" w:rsidR="00683D21">
        <w:t xml:space="preserve">, </w:t>
      </w:r>
      <w:r w:rsidR="00641DF4">
        <w:t xml:space="preserve">Acting </w:t>
      </w:r>
      <w:r w:rsidRPr="0088607E" w:rsidR="00683D21">
        <w:t xml:space="preserve">Chief, FCC Enforcement Bureau, to </w:t>
      </w:r>
      <w:r w:rsidR="00641DF4">
        <w:t>Brisa Cruz</w:t>
      </w:r>
      <w:r w:rsidRPr="0088607E" w:rsidR="00683D21">
        <w:t xml:space="preserve">, </w:t>
      </w:r>
      <w:r w:rsidR="00FC743C">
        <w:t>Belthrough</w:t>
      </w:r>
      <w:r w:rsidR="00E41EF2">
        <w:t>,</w:t>
      </w:r>
      <w:r w:rsidR="00FC743C">
        <w:t xml:space="preserve"> LLC</w:t>
      </w:r>
      <w:r w:rsidR="00683D21">
        <w:t>,</w:t>
      </w:r>
      <w:r w:rsidRPr="0088607E" w:rsidR="00683D21">
        <w:t xml:space="preserve"> </w:t>
      </w:r>
      <w:r w:rsidRPr="003D7CA4" w:rsidR="00683D21">
        <w:t>202</w:t>
      </w:r>
      <w:r w:rsidR="00FC743C">
        <w:t>5</w:t>
      </w:r>
      <w:r w:rsidRPr="003D7CA4" w:rsidR="00683D21">
        <w:t xml:space="preserve"> WL </w:t>
      </w:r>
      <w:r w:rsidR="00306BB8">
        <w:t>2622184</w:t>
      </w:r>
      <w:r w:rsidR="00EF5181">
        <w:t xml:space="preserve"> </w:t>
      </w:r>
      <w:r w:rsidRPr="0088607E" w:rsidR="00683D21">
        <w:t>(</w:t>
      </w:r>
      <w:r w:rsidR="00FC743C">
        <w:t>Sept</w:t>
      </w:r>
      <w:r w:rsidRPr="0088607E" w:rsidR="00683D21">
        <w:t>. 1</w:t>
      </w:r>
      <w:r w:rsidR="00FC743C">
        <w:t>0</w:t>
      </w:r>
      <w:r w:rsidRPr="0088607E" w:rsidR="00683D21">
        <w:t>, 202</w:t>
      </w:r>
      <w:r w:rsidR="00FC743C">
        <w:t>5</w:t>
      </w:r>
      <w:r w:rsidRPr="0088607E" w:rsidR="00683D21">
        <w:t>)</w:t>
      </w:r>
      <w:r w:rsidR="00683D21">
        <w:t>,</w:t>
      </w:r>
      <w:r w:rsidRPr="0088607E" w:rsidR="00683D21">
        <w:t xml:space="preserve"> </w:t>
      </w:r>
      <w:hyperlink r:id="rId1" w:history="1">
        <w:r w:rsidRPr="00C61B25" w:rsidR="00EF5181">
          <w:rPr>
            <w:rStyle w:val="Hyperlink"/>
          </w:rPr>
          <w:t>https://docs.fcc.gov/public/attachments/DOC-414391A1.pdf</w:t>
        </w:r>
      </w:hyperlink>
      <w:r w:rsidR="00EF5181">
        <w:t xml:space="preserve"> </w:t>
      </w:r>
      <w:r w:rsidR="00683D21">
        <w:t>(</w:t>
      </w:r>
      <w:r w:rsidRPr="00E47FCB" w:rsidR="00683D21">
        <w:t>Notice</w:t>
      </w:r>
      <w:r w:rsidR="00683D21">
        <w:t>)</w:t>
      </w:r>
      <w:r w:rsidR="008C0962">
        <w:t>.</w:t>
      </w:r>
      <w:r w:rsidR="00424C04">
        <w:t xml:space="preserve">  </w:t>
      </w:r>
      <w:r w:rsidR="00B87042">
        <w:t>The Bureau identified t</w:t>
      </w:r>
      <w:r w:rsidR="00424C04">
        <w:t>he suspected illegal calls in Attachment A to the Notice.</w:t>
      </w:r>
    </w:p>
  </w:footnote>
  <w:footnote w:id="4">
    <w:p w:rsidR="00D14227" w:rsidRPr="006A20C6" w14:paraId="0A259A6F" w14:textId="2FB68A57">
      <w:pPr>
        <w:pStyle w:val="FootnoteText"/>
        <w:rPr>
          <w:highlight w:val="lightGray"/>
        </w:rPr>
      </w:pPr>
      <w:r w:rsidRPr="00156330">
        <w:rPr>
          <w:rStyle w:val="FootnoteReference"/>
        </w:rPr>
        <w:footnoteRef/>
      </w:r>
      <w:r w:rsidRPr="00156330">
        <w:t xml:space="preserve"> </w:t>
      </w:r>
      <w:r w:rsidRPr="00156330">
        <w:rPr>
          <w:i/>
          <w:iCs/>
        </w:rPr>
        <w:t>See</w:t>
      </w:r>
      <w:r w:rsidRPr="00156330">
        <w:t xml:space="preserve"> 47 CFR § 64.1200(n)(</w:t>
      </w:r>
      <w:r w:rsidR="00EF5181">
        <w:t>2</w:t>
      </w:r>
      <w:r w:rsidRPr="00156330" w:rsidR="00906872">
        <w:t>)(iii).</w:t>
      </w:r>
    </w:p>
  </w:footnote>
  <w:footnote w:id="5">
    <w:p w:rsidR="00906872" w:rsidRPr="006A20C6" w14:paraId="5FA25AD5" w14:textId="5C321C22">
      <w:pPr>
        <w:pStyle w:val="FootnoteText"/>
        <w:rPr>
          <w:highlight w:val="lightGray"/>
        </w:rPr>
      </w:pPr>
      <w:r w:rsidRPr="005008B8">
        <w:rPr>
          <w:rStyle w:val="FootnoteReference"/>
        </w:rPr>
        <w:footnoteRef/>
      </w:r>
      <w:r w:rsidRPr="005008B8">
        <w:t xml:space="preserve"> </w:t>
      </w:r>
      <w:r w:rsidRPr="005008B8" w:rsidR="008672AD">
        <w:rPr>
          <w:i/>
          <w:iCs/>
        </w:rPr>
        <w:t>Id.</w:t>
      </w:r>
      <w:r w:rsidRPr="005008B8">
        <w:t xml:space="preserve"> § 64.1200(n)(</w:t>
      </w:r>
      <w:r w:rsidR="00C003A5">
        <w:t>3</w:t>
      </w:r>
      <w:r w:rsidRPr="005008B8">
        <w:t>).</w:t>
      </w:r>
    </w:p>
  </w:footnote>
  <w:footnote w:id="6">
    <w:p w:rsidR="00DF1B2E" w14:paraId="1FCBB5AA" w14:textId="219C1A8C">
      <w:pPr>
        <w:pStyle w:val="FootnoteText"/>
      </w:pPr>
      <w:r>
        <w:rPr>
          <w:rStyle w:val="FootnoteReference"/>
        </w:rPr>
        <w:footnoteRef/>
      </w:r>
      <w:r>
        <w:t xml:space="preserve"> </w:t>
      </w:r>
      <w:r w:rsidRPr="00156330">
        <w:t>47 CFR §</w:t>
      </w:r>
      <w:r>
        <w:t xml:space="preserve"> </w:t>
      </w:r>
      <w:r w:rsidR="00496506">
        <w:t>64.6305(g)</w:t>
      </w:r>
      <w:r w:rsidR="001638E2">
        <w:t xml:space="preserve">; </w:t>
      </w:r>
      <w:r w:rsidRPr="0020387F" w:rsidR="001638E2">
        <w:rPr>
          <w:rStyle w:val="boolean-control"/>
          <w:i/>
          <w:iCs/>
        </w:rPr>
        <w:t>Call Authentication Trust Anchor</w:t>
      </w:r>
      <w:r w:rsidRPr="0020387F" w:rsidR="001638E2">
        <w:rPr>
          <w:rStyle w:val="boolean-control"/>
        </w:rPr>
        <w:t xml:space="preserve">, WC Docket No. 17-97, Sixth Report and Order and Further Notice of Proposed Rulemaking, </w:t>
      </w:r>
      <w:r w:rsidR="001638E2">
        <w:rPr>
          <w:rStyle w:val="boolean-control"/>
        </w:rPr>
        <w:t xml:space="preserve">38 </w:t>
      </w:r>
      <w:r w:rsidRPr="0020387F" w:rsidR="001638E2">
        <w:rPr>
          <w:rStyle w:val="boolean-control"/>
        </w:rPr>
        <w:t xml:space="preserve">FCC </w:t>
      </w:r>
      <w:r w:rsidR="001638E2">
        <w:rPr>
          <w:rStyle w:val="boolean-control"/>
        </w:rPr>
        <w:t>Rcd 2573, at 2</w:t>
      </w:r>
      <w:r w:rsidR="006718CF">
        <w:rPr>
          <w:rStyle w:val="boolean-control"/>
        </w:rPr>
        <w:t>6</w:t>
      </w:r>
      <w:r w:rsidR="001638E2">
        <w:rPr>
          <w:rStyle w:val="boolean-control"/>
        </w:rPr>
        <w:t>04-05, para. 62 (2023)</w:t>
      </w:r>
      <w:r w:rsidR="0045460B">
        <w:rPr>
          <w:rStyle w:val="boolean-control"/>
        </w:rPr>
        <w:t xml:space="preserve"> </w:t>
      </w:r>
      <w:r w:rsidR="001638E2">
        <w:rPr>
          <w:rStyle w:val="boolean-control"/>
        </w:rPr>
        <w:t>(</w:t>
      </w:r>
      <w:r w:rsidR="001638E2">
        <w:rPr>
          <w:rStyle w:val="boolean-control"/>
          <w:i/>
          <w:iCs/>
        </w:rPr>
        <w:t>Sixth Caller ID Authentication Order)</w:t>
      </w:r>
      <w:r w:rsidR="001638E2">
        <w:rPr>
          <w:rStyle w:val="boolean-control"/>
        </w:rPr>
        <w:t>.</w:t>
      </w:r>
    </w:p>
  </w:footnote>
  <w:footnote w:id="7">
    <w:p w:rsidR="00AD1921" w:rsidRPr="006A20C6" w14:paraId="7283744B" w14:textId="4F472699">
      <w:pPr>
        <w:pStyle w:val="FootnoteText"/>
        <w:rPr>
          <w:highlight w:val="lightGray"/>
        </w:rPr>
      </w:pPr>
      <w:r w:rsidRPr="00495B1C">
        <w:rPr>
          <w:rStyle w:val="FootnoteReference"/>
        </w:rPr>
        <w:footnoteRef/>
      </w:r>
      <w:r w:rsidRPr="00495B1C">
        <w:t xml:space="preserve"> </w:t>
      </w:r>
      <w:r w:rsidRPr="006A20C6" w:rsidR="005008B8">
        <w:t xml:space="preserve">FCC, </w:t>
      </w:r>
      <w:r w:rsidRPr="006A20C6" w:rsidR="005008B8">
        <w:rPr>
          <w:i/>
          <w:iCs/>
        </w:rPr>
        <w:t>Stop Unwanted Robocalls and Texts</w:t>
      </w:r>
      <w:r w:rsidRPr="006A20C6" w:rsidR="005008B8">
        <w:t xml:space="preserve">, </w:t>
      </w:r>
      <w:hyperlink r:id="rId2" w:history="1">
        <w:r w:rsidRPr="002B7602" w:rsidR="00434489">
          <w:rPr>
            <w:rStyle w:val="Hyperlink"/>
          </w:rPr>
          <w:t>https://www.fcc.gov/consumers/guides/stop-unwanted-robocalls-and-texts</w:t>
        </w:r>
      </w:hyperlink>
      <w:r w:rsidR="00434489">
        <w:t xml:space="preserve"> </w:t>
      </w:r>
      <w:r w:rsidRPr="006A20C6" w:rsidR="005008B8">
        <w:t xml:space="preserve">(last visited </w:t>
      </w:r>
      <w:r w:rsidR="00731403">
        <w:t>Sept</w:t>
      </w:r>
      <w:r w:rsidRPr="006A20C6" w:rsidR="00F013BB">
        <w:t xml:space="preserve">. </w:t>
      </w:r>
      <w:r w:rsidR="004D581B">
        <w:t>25</w:t>
      </w:r>
      <w:r w:rsidRPr="006A20C6" w:rsidR="005008B8">
        <w:t>, 202</w:t>
      </w:r>
      <w:r w:rsidR="00434489">
        <w:t>5</w:t>
      </w:r>
      <w:r w:rsidRPr="006A20C6" w:rsidR="005008B8">
        <w:t>) (</w:t>
      </w:r>
      <w:r w:rsidRPr="00495B1C" w:rsidR="00F31C9B">
        <w:t xml:space="preserve">“Unwanted calls – including illegal and spoofed robocalls </w:t>
      </w:r>
      <w:r w:rsidRPr="006A20C6" w:rsidR="00F013BB">
        <w:t xml:space="preserve">– </w:t>
      </w:r>
      <w:r w:rsidRPr="00495B1C" w:rsidR="00F31C9B">
        <w:t>are the FCC</w:t>
      </w:r>
      <w:r w:rsidRPr="00495B1C" w:rsidR="00EE61D9">
        <w:t>’</w:t>
      </w:r>
      <w:r w:rsidRPr="00495B1C" w:rsidR="00F31C9B">
        <w:t>s top consumer complaint and our top consumer protection priority</w:t>
      </w:r>
      <w:r w:rsidRPr="00495B1C">
        <w:t>.</w:t>
      </w:r>
      <w:r w:rsidRPr="00495B1C" w:rsidR="00F31C9B">
        <w:t>”</w:t>
      </w:r>
      <w:r w:rsidRPr="006A20C6" w:rsidR="005008B8">
        <w:t>)</w:t>
      </w:r>
      <w:r w:rsidRPr="00495B1C">
        <w:t>.</w:t>
      </w:r>
    </w:p>
  </w:footnote>
  <w:footnote w:id="8">
    <w:p w:rsidR="000D1F33" w:rsidRPr="001C5869" w14:paraId="14AC08AB" w14:textId="1155759D">
      <w:pPr>
        <w:pStyle w:val="FootnoteText"/>
      </w:pPr>
      <w:r>
        <w:rPr>
          <w:rStyle w:val="FootnoteReference"/>
        </w:rPr>
        <w:footnoteRef/>
      </w:r>
      <w:r>
        <w:t xml:space="preserve"> </w:t>
      </w:r>
      <w:r w:rsidR="001C5869">
        <w:rPr>
          <w:i/>
          <w:iCs/>
        </w:rPr>
        <w:t>Advanced Methods to Target and Eliminate Unlawful Robocalls</w:t>
      </w:r>
      <w:r w:rsidR="006139B5">
        <w:t xml:space="preserve">, CG Docket No, 17-59, WC Docket No. 17-97, Seventh Report and Order </w:t>
      </w:r>
      <w:r w:rsidR="0084236F">
        <w:t xml:space="preserve">in CG Docket 17-59 and WC Docket 17-97, Eighth Further Notice of Proposed Rulemaking in CG Docket 17-59, and Third Notice of Inquiry in CG Docket 17-59, 38 FCC Rcd 5404, </w:t>
      </w:r>
      <w:r w:rsidR="005D5637">
        <w:t>5410, para. 15 (2023) (</w:t>
      </w:r>
      <w:r w:rsidR="000311B4">
        <w:rPr>
          <w:i/>
          <w:iCs/>
        </w:rPr>
        <w:t>Seventh</w:t>
      </w:r>
      <w:r w:rsidRPr="00012DB6" w:rsidR="000311B4">
        <w:rPr>
          <w:i/>
          <w:iCs/>
        </w:rPr>
        <w:t xml:space="preserve"> </w:t>
      </w:r>
      <w:r w:rsidRPr="00012DB6" w:rsidR="005D5637">
        <w:rPr>
          <w:i/>
          <w:iCs/>
        </w:rPr>
        <w:t>Call Blocking Order</w:t>
      </w:r>
      <w:r w:rsidR="005D5637">
        <w:t>).</w:t>
      </w:r>
    </w:p>
  </w:footnote>
  <w:footnote w:id="9">
    <w:p w:rsidR="001C6506" w:rsidRPr="001C6506" w14:paraId="1D55DAC5" w14:textId="06317B8B">
      <w:pPr>
        <w:pStyle w:val="FootnoteText"/>
      </w:pPr>
      <w:r>
        <w:rPr>
          <w:rStyle w:val="FootnoteReference"/>
        </w:rPr>
        <w:footnoteRef/>
      </w:r>
      <w:r>
        <w:t xml:space="preserve"> </w:t>
      </w:r>
      <w:r>
        <w:rPr>
          <w:i/>
          <w:iCs/>
        </w:rPr>
        <w:t>Id.</w:t>
      </w:r>
      <w:r>
        <w:t xml:space="preserve"> at para. 17.</w:t>
      </w:r>
    </w:p>
  </w:footnote>
  <w:footnote w:id="10">
    <w:p w:rsidR="003069E2" w:rsidRPr="003E14E9" w:rsidP="003069E2" w14:paraId="4E81735D" w14:textId="6EB8A879">
      <w:pPr>
        <w:pStyle w:val="FootnoteText"/>
        <w:rPr>
          <w:highlight w:val="lightGray"/>
        </w:rPr>
      </w:pPr>
      <w:r w:rsidRPr="00221272">
        <w:rPr>
          <w:rStyle w:val="FootnoteReference"/>
        </w:rPr>
        <w:footnoteRef/>
      </w:r>
      <w:r w:rsidRPr="00221272">
        <w:t xml:space="preserve"> </w:t>
      </w:r>
      <w:r w:rsidRPr="00D0378D">
        <w:rPr>
          <w:i/>
          <w:iCs/>
        </w:rPr>
        <w:t>Advanced Methods to Target and Eliminate Unlawful Robocalls, Call Authentication Trust Anchor</w:t>
      </w:r>
      <w:r w:rsidRPr="00D0378D">
        <w:t xml:space="preserve">, CG Docket No. 17-59, WC Docket No. 17-97, Sixth Report and Order in CG Docket No. 17-59, Fifth Report and Order in WC Docket No. 17-97, Order on Reconsideration in WC Docket No. 17-97, Order, Seventh Further Notice of Proposed Rulemaking in CG Docket No. 17-59, and Fifth Further Notice of Proposed Rulemaking in WC Docket No. 17-97, </w:t>
      </w:r>
      <w:r w:rsidRPr="00361725">
        <w:rPr>
          <w:rStyle w:val="cf01"/>
          <w:rFonts w:ascii="Times New Roman" w:hAnsi="Times New Roman" w:cs="Times New Roman"/>
          <w:sz w:val="20"/>
          <w:szCs w:val="20"/>
        </w:rPr>
        <w:t>37 FCC Rcd 6865, 68</w:t>
      </w:r>
      <w:r w:rsidR="000B33E1">
        <w:rPr>
          <w:rStyle w:val="cf01"/>
          <w:rFonts w:ascii="Times New Roman" w:hAnsi="Times New Roman" w:cs="Times New Roman"/>
          <w:sz w:val="20"/>
          <w:szCs w:val="20"/>
        </w:rPr>
        <w:t>98</w:t>
      </w:r>
      <w:r w:rsidRPr="00361725">
        <w:rPr>
          <w:rStyle w:val="cf01"/>
          <w:rFonts w:ascii="Times New Roman" w:hAnsi="Times New Roman" w:cs="Times New Roman"/>
          <w:sz w:val="20"/>
          <w:szCs w:val="20"/>
        </w:rPr>
        <w:t xml:space="preserve">, </w:t>
      </w:r>
      <w:r w:rsidRPr="00D850FC">
        <w:t>para.</w:t>
      </w:r>
      <w:r w:rsidRPr="00D0378D">
        <w:t xml:space="preserve"> </w:t>
      </w:r>
      <w:r w:rsidR="000B33E1">
        <w:t>75</w:t>
      </w:r>
      <w:r>
        <w:t xml:space="preserve"> </w:t>
      </w:r>
      <w:r w:rsidR="004C36CB">
        <w:t xml:space="preserve">(2022) </w:t>
      </w:r>
      <w:r w:rsidRPr="00377613">
        <w:t>(</w:t>
      </w:r>
      <w:r w:rsidRPr="00377613">
        <w:rPr>
          <w:i/>
          <w:iCs/>
        </w:rPr>
        <w:t>Gateway Provider Order</w:t>
      </w:r>
      <w:r w:rsidR="009D5C69">
        <w:t>)</w:t>
      </w:r>
      <w:r w:rsidR="00A20A15">
        <w:t xml:space="preserve">; </w:t>
      </w:r>
      <w:r w:rsidR="00A20A15">
        <w:rPr>
          <w:i/>
          <w:iCs/>
        </w:rPr>
        <w:t>s</w:t>
      </w:r>
      <w:r w:rsidR="003E14E9">
        <w:rPr>
          <w:i/>
          <w:iCs/>
        </w:rPr>
        <w:t>ee also</w:t>
      </w:r>
      <w:r w:rsidR="003E14E9">
        <w:t xml:space="preserve"> </w:t>
      </w:r>
      <w:r w:rsidR="009415F1">
        <w:t>47 CFR § 64.1200(k)</w:t>
      </w:r>
      <w:r w:rsidR="0015570D">
        <w:t>(1)-(3)</w:t>
      </w:r>
      <w:r w:rsidR="00FD61A8">
        <w:t xml:space="preserve"> (listing permissive blocking scenarios such as </w:t>
      </w:r>
      <w:r w:rsidR="00FD179F">
        <w:t>Do-Not-Originate lists, invalid</w:t>
      </w:r>
      <w:r w:rsidR="00113B69">
        <w:t xml:space="preserve"> and unallocated </w:t>
      </w:r>
      <w:r w:rsidR="00FD179F">
        <w:t xml:space="preserve">numbers, </w:t>
      </w:r>
      <w:r w:rsidR="00223773">
        <w:t xml:space="preserve">and </w:t>
      </w:r>
      <w:r w:rsidR="00FD179F">
        <w:t>reasonable analytics</w:t>
      </w:r>
      <w:r w:rsidR="0015570D">
        <w:t>).</w:t>
      </w:r>
    </w:p>
  </w:footnote>
  <w:footnote w:id="11">
    <w:p w:rsidR="0050384A" w:rsidRPr="00B52EF9" w14:paraId="3D94241B" w14:textId="48BC49FA">
      <w:pPr>
        <w:pStyle w:val="FootnoteText"/>
        <w:rPr>
          <w:lang w:val="pt-BR"/>
        </w:rPr>
      </w:pPr>
      <w:r>
        <w:rPr>
          <w:rStyle w:val="FootnoteReference"/>
        </w:rPr>
        <w:footnoteRef/>
      </w:r>
      <w:r>
        <w:t xml:space="preserve"> </w:t>
      </w:r>
      <w:r w:rsidR="000311B4">
        <w:rPr>
          <w:i/>
          <w:iCs/>
        </w:rPr>
        <w:t>Seventh</w:t>
      </w:r>
      <w:r>
        <w:rPr>
          <w:i/>
          <w:iCs/>
        </w:rPr>
        <w:t xml:space="preserve"> Call Blocking Order</w:t>
      </w:r>
      <w:r>
        <w:t xml:space="preserve">, </w:t>
      </w:r>
      <w:r w:rsidR="00C26725">
        <w:t xml:space="preserve">37 FCC Rcd at 5415, para. </w:t>
      </w:r>
      <w:r w:rsidRPr="00B52EF9" w:rsidR="0046630B">
        <w:rPr>
          <w:lang w:val="pt-BR"/>
        </w:rPr>
        <w:t>29.</w:t>
      </w:r>
    </w:p>
  </w:footnote>
  <w:footnote w:id="12">
    <w:p w:rsidR="005D3997" w:rsidRPr="00B52EF9" w:rsidP="005D3997" w14:paraId="286692B4" w14:textId="74C52DB0">
      <w:pPr>
        <w:pStyle w:val="FootnoteText"/>
        <w:rPr>
          <w:i/>
          <w:iCs/>
          <w:highlight w:val="lightGray"/>
          <w:lang w:val="pt-BR"/>
        </w:rPr>
      </w:pPr>
      <w:r w:rsidRPr="00D43AE8">
        <w:rPr>
          <w:rStyle w:val="FootnoteReference"/>
        </w:rPr>
        <w:footnoteRef/>
      </w:r>
      <w:r w:rsidRPr="00B52EF9">
        <w:rPr>
          <w:lang w:val="pt-BR"/>
        </w:rPr>
        <w:t xml:space="preserve"> </w:t>
      </w:r>
      <w:r w:rsidRPr="00B52EF9" w:rsidR="00AA6D59">
        <w:rPr>
          <w:i/>
          <w:iCs/>
          <w:lang w:val="pt-BR"/>
        </w:rPr>
        <w:t xml:space="preserve">See </w:t>
      </w:r>
      <w:r w:rsidRPr="00B52EF9">
        <w:rPr>
          <w:lang w:val="pt-BR"/>
        </w:rPr>
        <w:t>47 CFR § 64.1200(n)(</w:t>
      </w:r>
      <w:r w:rsidRPr="00B52EF9" w:rsidR="00D30BDE">
        <w:rPr>
          <w:lang w:val="pt-BR"/>
        </w:rPr>
        <w:t>2</w:t>
      </w:r>
      <w:r w:rsidRPr="00B52EF9">
        <w:rPr>
          <w:lang w:val="pt-BR"/>
        </w:rPr>
        <w:t>)(i)(A)</w:t>
      </w:r>
      <w:r w:rsidRPr="00B52EF9" w:rsidR="00AF0A2E">
        <w:rPr>
          <w:lang w:val="pt-BR"/>
        </w:rPr>
        <w:t>.</w:t>
      </w:r>
    </w:p>
  </w:footnote>
  <w:footnote w:id="13">
    <w:p w:rsidR="00533360" w:rsidRPr="00B52EF9" w14:paraId="1EA172BB" w14:textId="4B922824">
      <w:pPr>
        <w:pStyle w:val="FootnoteText"/>
        <w:rPr>
          <w:lang w:val="pt-BR"/>
        </w:rPr>
      </w:pPr>
      <w:r>
        <w:rPr>
          <w:rStyle w:val="FootnoteReference"/>
        </w:rPr>
        <w:footnoteRef/>
      </w:r>
      <w:r w:rsidRPr="00B52EF9">
        <w:rPr>
          <w:lang w:val="pt-BR"/>
        </w:rPr>
        <w:t xml:space="preserve"> </w:t>
      </w:r>
      <w:r w:rsidRPr="00B52EF9">
        <w:rPr>
          <w:i/>
          <w:iCs/>
          <w:lang w:val="pt-BR"/>
        </w:rPr>
        <w:t>Id.</w:t>
      </w:r>
      <w:r w:rsidRPr="00B52EF9">
        <w:rPr>
          <w:lang w:val="pt-BR"/>
        </w:rPr>
        <w:t xml:space="preserve"> § 64.1200(n)(2)(i</w:t>
      </w:r>
      <w:r w:rsidRPr="00B52EF9" w:rsidR="002D3810">
        <w:rPr>
          <w:lang w:val="pt-BR"/>
        </w:rPr>
        <w:t>i)</w:t>
      </w:r>
      <w:r w:rsidRPr="00B52EF9" w:rsidR="00527F1A">
        <w:rPr>
          <w:lang w:val="pt-BR"/>
        </w:rPr>
        <w:t>.</w:t>
      </w:r>
    </w:p>
  </w:footnote>
  <w:footnote w:id="14">
    <w:p w:rsidR="006635C9" w:rsidRPr="00012DB6" w14:paraId="32ABF6FD" w14:textId="52A32151">
      <w:pPr>
        <w:pStyle w:val="FootnoteText"/>
        <w:rPr>
          <w:i/>
          <w:iCs/>
        </w:rPr>
      </w:pPr>
      <w:r>
        <w:rPr>
          <w:rStyle w:val="FootnoteReference"/>
        </w:rPr>
        <w:footnoteRef/>
      </w:r>
      <w:r>
        <w:t xml:space="preserve"> </w:t>
      </w:r>
      <w:r>
        <w:rPr>
          <w:i/>
          <w:iCs/>
        </w:rPr>
        <w:t>Id.</w:t>
      </w:r>
    </w:p>
  </w:footnote>
  <w:footnote w:id="15">
    <w:p w:rsidR="00510BBF" w:rsidRPr="0088607E" w:rsidP="00510BBF" w14:paraId="085C5C22" w14:textId="5A3899FB">
      <w:pPr>
        <w:pStyle w:val="FootnoteText"/>
        <w:rPr>
          <w:i/>
          <w:iCs/>
        </w:rPr>
      </w:pPr>
      <w:r w:rsidRPr="00CF5020">
        <w:rPr>
          <w:rStyle w:val="FootnoteReference"/>
        </w:rPr>
        <w:footnoteRef/>
      </w:r>
      <w:r w:rsidRPr="00CF5020">
        <w:t xml:space="preserve"> </w:t>
      </w:r>
      <w:r w:rsidR="00E10BE4">
        <w:rPr>
          <w:i/>
          <w:iCs/>
        </w:rPr>
        <w:t xml:space="preserve">See </w:t>
      </w:r>
      <w:r w:rsidR="00A87272">
        <w:rPr>
          <w:i/>
          <w:iCs/>
        </w:rPr>
        <w:t>i</w:t>
      </w:r>
      <w:r w:rsidRPr="00CF5020">
        <w:rPr>
          <w:i/>
          <w:iCs/>
        </w:rPr>
        <w:t>d.</w:t>
      </w:r>
      <w:r w:rsidRPr="00CF5020">
        <w:t xml:space="preserve"> </w:t>
      </w:r>
      <w:r w:rsidRPr="006A20C6" w:rsidR="00BF1A2E">
        <w:t>§ 64.1200(n)(</w:t>
      </w:r>
      <w:r w:rsidR="001D5F9C">
        <w:t>2</w:t>
      </w:r>
      <w:r w:rsidRPr="006A20C6" w:rsidR="00BF1A2E">
        <w:t xml:space="preserve">)(iii) (permitting </w:t>
      </w:r>
      <w:r w:rsidRPr="006A20C6" w:rsidR="00AD081A">
        <w:t>issuance</w:t>
      </w:r>
      <w:r w:rsidRPr="006A20C6" w:rsidR="00BF1A2E">
        <w:t xml:space="preserve"> of a</w:t>
      </w:r>
      <w:r w:rsidRPr="00CF5020">
        <w:t xml:space="preserve"> Final Determination Order up to </w:t>
      </w:r>
      <w:r w:rsidRPr="0088607E">
        <w:t>one year after release of the Initial Determination Order</w:t>
      </w:r>
      <w:r w:rsidRPr="006A20C6" w:rsidR="00BF1A2E">
        <w:t>)</w:t>
      </w:r>
      <w:r w:rsidR="006231B4">
        <w:t>;</w:t>
      </w:r>
      <w:r w:rsidR="001D5F9C">
        <w:t xml:space="preserve"> </w:t>
      </w:r>
      <w:r w:rsidR="001D5F9C">
        <w:rPr>
          <w:i/>
          <w:iCs/>
        </w:rPr>
        <w:t>id.</w:t>
      </w:r>
      <w:r w:rsidR="001D5F9C">
        <w:t xml:space="preserve"> § 64.1200(n)(</w:t>
      </w:r>
      <w:r w:rsidR="00E10BE4">
        <w:t>3);</w:t>
      </w:r>
      <w:r w:rsidR="006231B4">
        <w:t xml:space="preserve"> </w:t>
      </w:r>
      <w:r w:rsidRPr="00FF1574" w:rsidR="003E5240">
        <w:rPr>
          <w:i/>
        </w:rPr>
        <w:t xml:space="preserve">One Eye LLC </w:t>
      </w:r>
      <w:r w:rsidRPr="00FF1574" w:rsidR="00DD0F1E">
        <w:rPr>
          <w:i/>
        </w:rPr>
        <w:t>Final Determination Order</w:t>
      </w:r>
      <w:r w:rsidRPr="00FF1574" w:rsidR="00DD0F1E">
        <w:t>, EB Docket No. 22-174</w:t>
      </w:r>
      <w:r w:rsidRPr="00FF1574" w:rsidR="005F25DD">
        <w:t xml:space="preserve">, </w:t>
      </w:r>
      <w:r w:rsidRPr="00FF1574" w:rsidR="0037587F">
        <w:t>38 FCC Rcd 4211</w:t>
      </w:r>
      <w:r w:rsidRPr="00FF1574" w:rsidR="00A118AE">
        <w:t xml:space="preserve">, </w:t>
      </w:r>
      <w:r w:rsidR="00CA02ED">
        <w:t xml:space="preserve">4214, </w:t>
      </w:r>
      <w:r w:rsidRPr="00FF1574" w:rsidR="00E627C2">
        <w:t>para. 8 (EB 2023</w:t>
      </w:r>
      <w:r w:rsidRPr="00FF1574" w:rsidR="00E627C2">
        <w:t xml:space="preserve">) </w:t>
      </w:r>
      <w:r w:rsidRPr="00FF1574" w:rsidR="00FE75A3">
        <w:t xml:space="preserve"> </w:t>
      </w:r>
      <w:r w:rsidRPr="00FF1574" w:rsidR="00E627C2">
        <w:t>(</w:t>
      </w:r>
      <w:r w:rsidRPr="00FF1574" w:rsidR="00E627C2">
        <w:t>finding</w:t>
      </w:r>
      <w:r w:rsidRPr="00FF1574" w:rsidR="00DD0F1E">
        <w:t xml:space="preserve"> </w:t>
      </w:r>
      <w:r w:rsidRPr="00FF1574" w:rsidR="00E627C2">
        <w:t xml:space="preserve">that One Eye’s failure to respond to the Initial Determination Order </w:t>
      </w:r>
      <w:r w:rsidRPr="00FF1574" w:rsidR="00573B84">
        <w:t>was an inadequate response)</w:t>
      </w:r>
      <w:r w:rsidRPr="00FF1574" w:rsidR="00BF1A2E">
        <w:t>.</w:t>
      </w:r>
    </w:p>
  </w:footnote>
  <w:footnote w:id="16">
    <w:p w:rsidR="008633CD" w:rsidRPr="0020387F" w:rsidP="008633CD" w14:paraId="2A5F5682" w14:textId="77777777">
      <w:pPr>
        <w:pStyle w:val="FootnoteText"/>
        <w:spacing w:after="160"/>
      </w:pPr>
      <w:r w:rsidRPr="0020387F">
        <w:rPr>
          <w:rStyle w:val="FootnoteReference"/>
        </w:rPr>
        <w:footnoteRef/>
      </w:r>
      <w:r w:rsidRPr="0020387F">
        <w:t xml:space="preserve"> </w:t>
      </w:r>
      <w:r w:rsidRPr="0020387F">
        <w:rPr>
          <w:rStyle w:val="boolean-control"/>
          <w:i/>
          <w:iCs/>
        </w:rPr>
        <w:t>See Call Authentication Trust Anchor</w:t>
      </w:r>
      <w:r w:rsidRPr="0020387F">
        <w:rPr>
          <w:rStyle w:val="boolean-control"/>
        </w:rPr>
        <w:t>, WC Docket No. 17-97, Second Report and Order, 36 FCC Rcd 1859, 1902-03, para. 83 (2020)</w:t>
      </w:r>
      <w:r>
        <w:rPr>
          <w:rStyle w:val="boolean-control"/>
        </w:rPr>
        <w:t xml:space="preserve"> (</w:t>
      </w:r>
      <w:r w:rsidRPr="007750FA">
        <w:rPr>
          <w:rStyle w:val="boolean-control"/>
          <w:i/>
          <w:iCs/>
        </w:rPr>
        <w:t>Second Caller ID Authentication Order</w:t>
      </w:r>
      <w:r w:rsidRPr="007750FA">
        <w:rPr>
          <w:rStyle w:val="boolean-control"/>
        </w:rPr>
        <w:t>)</w:t>
      </w:r>
      <w:r w:rsidRPr="00590AEE">
        <w:rPr>
          <w:rStyle w:val="boolean-control"/>
        </w:rPr>
        <w:t xml:space="preserve">.  </w:t>
      </w:r>
    </w:p>
  </w:footnote>
  <w:footnote w:id="17">
    <w:p w:rsidR="008633CD" w:rsidRPr="0020387F" w:rsidP="008633CD" w14:paraId="26868F8C" w14:textId="02EA6E39">
      <w:pPr>
        <w:pStyle w:val="FootnoteText"/>
        <w:spacing w:after="160"/>
      </w:pPr>
      <w:r w:rsidRPr="0020387F">
        <w:rPr>
          <w:rStyle w:val="FootnoteReference"/>
        </w:rPr>
        <w:footnoteRef/>
      </w:r>
      <w:r w:rsidRPr="0020387F">
        <w:t xml:space="preserve"> </w:t>
      </w:r>
      <w:r w:rsidR="001638E2">
        <w:rPr>
          <w:rStyle w:val="boolean-control"/>
          <w:i/>
          <w:iCs/>
        </w:rPr>
        <w:t xml:space="preserve">Sixth Caller ID Authentication Order, </w:t>
      </w:r>
      <w:r w:rsidR="003F7B07">
        <w:rPr>
          <w:rStyle w:val="boolean-control"/>
          <w:i/>
          <w:iCs/>
        </w:rPr>
        <w:t xml:space="preserve">supra </w:t>
      </w:r>
      <w:r w:rsidR="003F7B07">
        <w:rPr>
          <w:rStyle w:val="boolean-control"/>
        </w:rPr>
        <w:t xml:space="preserve">note </w:t>
      </w:r>
      <w:r w:rsidR="003F7B07">
        <w:rPr>
          <w:rStyle w:val="boolean-control"/>
        </w:rPr>
        <w:fldChar w:fldCharType="begin"/>
      </w:r>
      <w:r w:rsidR="003F7B07">
        <w:rPr>
          <w:rStyle w:val="boolean-control"/>
        </w:rPr>
        <w:instrText xml:space="preserve"> NOTEREF _Ref219993126 \h </w:instrText>
      </w:r>
      <w:r w:rsidR="003F7B07">
        <w:rPr>
          <w:rStyle w:val="boolean-control"/>
        </w:rPr>
        <w:fldChar w:fldCharType="separate"/>
      </w:r>
      <w:r w:rsidR="003F7B07">
        <w:rPr>
          <w:rStyle w:val="boolean-control"/>
        </w:rPr>
        <w:t>4</w:t>
      </w:r>
      <w:r w:rsidR="003F7B07">
        <w:rPr>
          <w:rStyle w:val="boolean-control"/>
        </w:rPr>
        <w:fldChar w:fldCharType="end"/>
      </w:r>
      <w:r w:rsidR="003F7B07">
        <w:rPr>
          <w:rStyle w:val="boolean-control"/>
        </w:rPr>
        <w:t xml:space="preserve">, </w:t>
      </w:r>
      <w:r w:rsidR="0078212F">
        <w:rPr>
          <w:rStyle w:val="boolean-control"/>
        </w:rPr>
        <w:t xml:space="preserve">38 </w:t>
      </w:r>
      <w:r w:rsidRPr="0020387F">
        <w:rPr>
          <w:rStyle w:val="boolean-control"/>
        </w:rPr>
        <w:t xml:space="preserve">FCC </w:t>
      </w:r>
      <w:r w:rsidR="0078212F">
        <w:rPr>
          <w:rStyle w:val="boolean-control"/>
        </w:rPr>
        <w:t>Rcd 2573</w:t>
      </w:r>
      <w:r w:rsidR="001638E2">
        <w:rPr>
          <w:rStyle w:val="boolean-control"/>
        </w:rPr>
        <w:t xml:space="preserve"> at</w:t>
      </w:r>
      <w:r w:rsidR="000E6F53">
        <w:rPr>
          <w:rStyle w:val="boolean-control"/>
        </w:rPr>
        <w:t xml:space="preserve"> 2604</w:t>
      </w:r>
      <w:r w:rsidRPr="0020387F">
        <w:rPr>
          <w:rStyle w:val="boolean-control"/>
        </w:rPr>
        <w:t>, para. 6</w:t>
      </w:r>
      <w:r>
        <w:rPr>
          <w:rStyle w:val="boolean-control"/>
        </w:rPr>
        <w:t>0</w:t>
      </w:r>
      <w:r w:rsidR="0045460B">
        <w:rPr>
          <w:rStyle w:val="boolean-control"/>
        </w:rPr>
        <w:t>.</w:t>
      </w:r>
    </w:p>
  </w:footnote>
  <w:footnote w:id="18">
    <w:p w:rsidR="008633CD" w:rsidRPr="0020387F" w:rsidP="008633CD" w14:paraId="133DAAEE" w14:textId="47BB744E">
      <w:pPr>
        <w:pStyle w:val="FootnoteText"/>
        <w:spacing w:after="160"/>
      </w:pPr>
      <w:r w:rsidRPr="0020387F">
        <w:rPr>
          <w:rStyle w:val="FootnoteReference"/>
        </w:rPr>
        <w:footnoteRef/>
      </w:r>
      <w:r w:rsidRPr="0020387F">
        <w:t xml:space="preserve"> </w:t>
      </w:r>
      <w:r w:rsidRPr="0020387F">
        <w:rPr>
          <w:rStyle w:val="boolean-control"/>
          <w:i/>
          <w:iCs/>
        </w:rPr>
        <w:t>Id.</w:t>
      </w:r>
      <w:r w:rsidRPr="0020387F">
        <w:rPr>
          <w:rStyle w:val="boolean-control"/>
        </w:rPr>
        <w:t xml:space="preserve"> </w:t>
      </w:r>
      <w:r>
        <w:rPr>
          <w:rStyle w:val="boolean-control"/>
        </w:rPr>
        <w:t xml:space="preserve">(quoting </w:t>
      </w:r>
      <w:r>
        <w:rPr>
          <w:rFonts w:ascii="TimesNewRomanPS-ItalicMT" w:hAnsi="TimesNewRomanPS-ItalicMT" w:cs="TimesNewRomanPS-ItalicMT"/>
          <w:i/>
          <w:iCs/>
        </w:rPr>
        <w:t>Global UC Inc</w:t>
      </w:r>
      <w:r>
        <w:rPr>
          <w:rFonts w:ascii="TimesNewRomanPSMT" w:hAnsi="TimesNewRomanPSMT" w:cs="TimesNewRomanPSMT"/>
        </w:rPr>
        <w:t>, Removal Order, 37 FCC Rcd 13376, 13378, para. 5 (EB 2022)).</w:t>
      </w:r>
      <w:r w:rsidRPr="0020387F">
        <w:rPr>
          <w:rStyle w:val="boolean-control"/>
        </w:rPr>
        <w:t xml:space="preserve"> </w:t>
      </w:r>
    </w:p>
  </w:footnote>
  <w:footnote w:id="19">
    <w:p w:rsidR="008633CD" w:rsidRPr="0020387F" w:rsidP="008633CD" w14:paraId="3FD3215C" w14:textId="77777777">
      <w:pPr>
        <w:pStyle w:val="FootnoteText"/>
        <w:spacing w:after="160"/>
      </w:pPr>
      <w:r w:rsidRPr="0020387F">
        <w:rPr>
          <w:rStyle w:val="FootnoteReference"/>
        </w:rPr>
        <w:footnoteRef/>
      </w:r>
      <w:r w:rsidRPr="0020387F">
        <w:t xml:space="preserve"> </w:t>
      </w:r>
      <w:r w:rsidRPr="0020387F">
        <w:rPr>
          <w:rStyle w:val="boolean-control"/>
          <w:i/>
          <w:iCs/>
        </w:rPr>
        <w:t>Id.</w:t>
      </w:r>
    </w:p>
  </w:footnote>
  <w:footnote w:id="20">
    <w:p w:rsidR="00311F52" w:rsidRPr="00191EE7" w:rsidP="00921917" w14:paraId="5A4740BE" w14:textId="24F2B0A6">
      <w:pPr>
        <w:pStyle w:val="FootnoteText"/>
      </w:pPr>
      <w:r>
        <w:rPr>
          <w:rStyle w:val="FootnoteReference"/>
        </w:rPr>
        <w:footnoteRef/>
      </w:r>
      <w:r>
        <w:t xml:space="preserve"> </w:t>
      </w:r>
      <w:hyperlink r:id="rId3" w:history="1">
        <w:r w:rsidRPr="00DB531E" w:rsidR="00D90005">
          <w:rPr>
            <w:i/>
            <w:iCs/>
          </w:rPr>
          <w:t>See</w:t>
        </w:r>
      </w:hyperlink>
      <w:r w:rsidR="00D90005">
        <w:rPr>
          <w:i/>
          <w:iCs/>
        </w:rPr>
        <w:t xml:space="preserve"> </w:t>
      </w:r>
      <w:r w:rsidRPr="00D76693" w:rsidR="00D90005">
        <w:t>Notice,</w:t>
      </w:r>
      <w:r w:rsidR="00D90005">
        <w:rPr>
          <w:i/>
          <w:iCs/>
        </w:rPr>
        <w:t xml:space="preserve"> </w:t>
      </w:r>
      <w:r w:rsidRPr="003D7CA4" w:rsidR="00BA54DB">
        <w:t>202</w:t>
      </w:r>
      <w:r w:rsidR="00BA54DB">
        <w:t>5</w:t>
      </w:r>
      <w:r w:rsidRPr="003D7CA4" w:rsidR="00BA54DB">
        <w:t xml:space="preserve"> WL </w:t>
      </w:r>
      <w:r w:rsidR="00BA54DB">
        <w:t>2622184</w:t>
      </w:r>
      <w:r w:rsidR="00DA2D15">
        <w:t>,</w:t>
      </w:r>
      <w:r w:rsidRPr="001707C5" w:rsidR="00DA2D15">
        <w:t xml:space="preserve"> </w:t>
      </w:r>
      <w:r w:rsidRPr="001844C3" w:rsidR="00191EE7">
        <w:t>Attachment A</w:t>
      </w:r>
      <w:r w:rsidR="00F9645C">
        <w:t>;</w:t>
      </w:r>
      <w:r w:rsidR="00ED06F2">
        <w:t xml:space="preserve"> </w:t>
      </w:r>
      <w:r w:rsidRPr="00ED06F2" w:rsidR="00ED06F2">
        <w:t xml:space="preserve">ITG Subpoena Response </w:t>
      </w:r>
      <w:r w:rsidRPr="00817D66" w:rsidR="00817D66">
        <w:t>(Sept. 19, 2024)</w:t>
      </w:r>
      <w:r w:rsidR="00817D66">
        <w:t xml:space="preserve"> </w:t>
      </w:r>
      <w:r w:rsidRPr="00ED06F2" w:rsidR="00ED06F2">
        <w:t>on file at EB-TCD-24-00037445) (ITG Sept. 2024 Response)</w:t>
      </w:r>
      <w:r w:rsidR="00817D66">
        <w:t xml:space="preserve">; </w:t>
      </w:r>
      <w:r w:rsidRPr="00145C33" w:rsidR="00145C33">
        <w:t>ITG Subpoena Response (June 23, 2025) (on file at EB-TCD-24-00037445) (ITG June 2025 Response)</w:t>
      </w:r>
      <w:r w:rsidR="00C46EA6">
        <w:t>.</w:t>
      </w:r>
      <w:r w:rsidR="00F9645C">
        <w:t xml:space="preserve"> </w:t>
      </w:r>
    </w:p>
  </w:footnote>
  <w:footnote w:id="21">
    <w:p w:rsidR="009A5591" w:rsidRPr="003268C9" w14:paraId="79EF12F5" w14:textId="2C3FC198">
      <w:pPr>
        <w:pStyle w:val="FootnoteText"/>
      </w:pPr>
      <w:r>
        <w:rPr>
          <w:rStyle w:val="FootnoteReference"/>
        </w:rPr>
        <w:footnoteRef/>
      </w:r>
      <w:r>
        <w:t xml:space="preserve"> </w:t>
      </w:r>
      <w:r w:rsidR="000219D4">
        <w:t>Belthrough (No. RMD0015088), FCC</w:t>
      </w:r>
      <w:r w:rsidRPr="001E3B9B" w:rsidR="000219D4">
        <w:t xml:space="preserve">, Robocall Mitigation Database (filed </w:t>
      </w:r>
      <w:r w:rsidR="000219D4">
        <w:t>Mar. 11, 2025)</w:t>
      </w:r>
      <w:r>
        <w:rPr>
          <w:i/>
          <w:iCs/>
        </w:rPr>
        <w:t>.</w:t>
      </w:r>
      <w:r w:rsidR="003268C9">
        <w:rPr>
          <w:i/>
          <w:iCs/>
        </w:rPr>
        <w:t xml:space="preserve"> </w:t>
      </w:r>
    </w:p>
  </w:footnote>
  <w:footnote w:id="22">
    <w:p w:rsidR="008633CD" w:rsidRPr="00355E80" w:rsidP="008633CD" w14:paraId="145C607D" w14:textId="49EC2A89">
      <w:pPr>
        <w:pStyle w:val="FootnoteText"/>
      </w:pPr>
      <w:r>
        <w:rPr>
          <w:rStyle w:val="FootnoteReference"/>
        </w:rPr>
        <w:footnoteRef/>
      </w:r>
      <w:r>
        <w:t xml:space="preserve"> </w:t>
      </w:r>
      <w:r w:rsidRPr="00D80857" w:rsidR="00D80857">
        <w:rPr>
          <w:i/>
          <w:iCs/>
        </w:rPr>
        <w:t>Id</w:t>
      </w:r>
      <w:r w:rsidR="00D80857">
        <w:t xml:space="preserve">.; </w:t>
      </w:r>
      <w:r w:rsidRPr="00D80857" w:rsidR="00D80857">
        <w:rPr>
          <w:i/>
          <w:iCs/>
        </w:rPr>
        <w:t>see also</w:t>
      </w:r>
      <w:r w:rsidR="00D80857">
        <w:t xml:space="preserve"> </w:t>
      </w:r>
      <w:r>
        <w:t>47 CFR § 64.6305(d)(2)(iii).</w:t>
      </w:r>
    </w:p>
  </w:footnote>
  <w:footnote w:id="23">
    <w:p w:rsidR="00474EA7" w:rsidRPr="006A20C6" w14:paraId="7A8BA24B" w14:textId="109E3E9D">
      <w:pPr>
        <w:pStyle w:val="FootnoteText"/>
        <w:rPr>
          <w:highlight w:val="lightGray"/>
        </w:rPr>
      </w:pPr>
      <w:r w:rsidRPr="0088607E">
        <w:rPr>
          <w:rStyle w:val="FootnoteReference"/>
        </w:rPr>
        <w:footnoteRef/>
      </w:r>
      <w:r w:rsidRPr="0088607E">
        <w:t xml:space="preserve"> </w:t>
      </w:r>
      <w:r w:rsidRPr="0088607E" w:rsidR="00436854">
        <w:rPr>
          <w:i/>
          <w:iCs/>
        </w:rPr>
        <w:t xml:space="preserve">See </w:t>
      </w:r>
      <w:r w:rsidRPr="00E47FCB" w:rsidR="00DD61A1">
        <w:t>Notice</w:t>
      </w:r>
      <w:r w:rsidR="00857C43">
        <w:t xml:space="preserve">, </w:t>
      </w:r>
      <w:r w:rsidRPr="003D7CA4" w:rsidR="00A758E2">
        <w:t>202</w:t>
      </w:r>
      <w:r w:rsidR="00A758E2">
        <w:t>5</w:t>
      </w:r>
      <w:r w:rsidRPr="003D7CA4" w:rsidR="00A758E2">
        <w:t xml:space="preserve"> WL </w:t>
      </w:r>
      <w:r w:rsidR="00A758E2">
        <w:t>2622184</w:t>
      </w:r>
      <w:r w:rsidRPr="0088607E">
        <w:t xml:space="preserve">.  </w:t>
      </w:r>
    </w:p>
  </w:footnote>
  <w:footnote w:id="24">
    <w:p w:rsidR="00763F3E" w:rsidRPr="006A20C6" w:rsidP="00422BD7" w14:paraId="59DE1F51" w14:textId="247DD336">
      <w:pPr>
        <w:pStyle w:val="FootnoteText"/>
        <w:rPr>
          <w:highlight w:val="lightGray"/>
        </w:rPr>
      </w:pPr>
      <w:r w:rsidRPr="000E7BFC">
        <w:rPr>
          <w:rStyle w:val="FootnoteReference"/>
        </w:rPr>
        <w:footnoteRef/>
      </w:r>
      <w:r w:rsidRPr="000E7BFC">
        <w:t xml:space="preserve"> </w:t>
      </w:r>
      <w:r w:rsidRPr="006A20C6" w:rsidR="00844041">
        <w:rPr>
          <w:i/>
          <w:iCs/>
        </w:rPr>
        <w:t>See</w:t>
      </w:r>
      <w:r w:rsidRPr="000E7BFC" w:rsidR="00844041">
        <w:t xml:space="preserve"> </w:t>
      </w:r>
      <w:r w:rsidRPr="006A20C6" w:rsidR="00001C9F">
        <w:rPr>
          <w:i/>
          <w:iCs/>
        </w:rPr>
        <w:t>id.</w:t>
      </w:r>
      <w:r w:rsidR="009B1DDA">
        <w:rPr>
          <w:i/>
          <w:iCs/>
        </w:rPr>
        <w:t xml:space="preserve"> </w:t>
      </w:r>
      <w:r w:rsidRPr="009B1DDA" w:rsidR="009B1DDA">
        <w:t>at *2</w:t>
      </w:r>
      <w:r w:rsidRPr="009B1DDA" w:rsidR="00844041">
        <w:t xml:space="preserve"> </w:t>
      </w:r>
      <w:r w:rsidR="00E660E9">
        <w:t xml:space="preserve">&amp; </w:t>
      </w:r>
      <w:r w:rsidRPr="000E7BFC" w:rsidR="00844041">
        <w:t xml:space="preserve">Attachment A (identifying calls); </w:t>
      </w:r>
      <w:r w:rsidRPr="000E7BFC" w:rsidR="00422BD7">
        <w:t>47 U.S.C. § 227(b)</w:t>
      </w:r>
      <w:r w:rsidR="00BB23C4">
        <w:t>(1)(A)(iii)</w:t>
      </w:r>
      <w:r w:rsidRPr="000E7BFC" w:rsidR="00422BD7">
        <w:t xml:space="preserve"> (requiring callers obtain consent before placing pre-recorded calls</w:t>
      </w:r>
      <w:r w:rsidR="00E85399">
        <w:t xml:space="preserve"> to wireless telephone numbers</w:t>
      </w:r>
      <w:r w:rsidRPr="000E7BFC" w:rsidR="00422BD7">
        <w:t>); 47 CFR § 64.1200(a)</w:t>
      </w:r>
      <w:r w:rsidR="00817064">
        <w:t>(1)(iii)</w:t>
      </w:r>
      <w:r w:rsidRPr="000E7BFC" w:rsidR="00422BD7">
        <w:t xml:space="preserve"> (same).</w:t>
      </w:r>
    </w:p>
  </w:footnote>
  <w:footnote w:id="25">
    <w:p w:rsidR="008743C5" w14:paraId="41F483C7" w14:textId="5F1EB022">
      <w:pPr>
        <w:pStyle w:val="FootnoteText"/>
      </w:pPr>
      <w:r>
        <w:rPr>
          <w:rStyle w:val="FootnoteReference"/>
        </w:rPr>
        <w:footnoteRef/>
      </w:r>
      <w:r>
        <w:t xml:space="preserve"> </w:t>
      </w:r>
      <w:r w:rsidRPr="008743C5">
        <w:rPr>
          <w:i/>
          <w:iCs/>
        </w:rPr>
        <w:t xml:space="preserve">See </w:t>
      </w:r>
      <w:r w:rsidRPr="008743C5">
        <w:t xml:space="preserve">Notice, </w:t>
      </w:r>
      <w:r w:rsidRPr="003D7CA4" w:rsidR="006F379F">
        <w:t>202</w:t>
      </w:r>
      <w:r w:rsidR="006F379F">
        <w:t>5</w:t>
      </w:r>
      <w:r w:rsidRPr="003D7CA4" w:rsidR="006F379F">
        <w:t xml:space="preserve"> WL </w:t>
      </w:r>
      <w:r w:rsidR="006F379F">
        <w:t>2622184</w:t>
      </w:r>
      <w:r w:rsidR="0023249E">
        <w:t>,</w:t>
      </w:r>
      <w:r>
        <w:t xml:space="preserve"> at </w:t>
      </w:r>
      <w:r w:rsidR="006F379F">
        <w:t>*</w:t>
      </w:r>
      <w:r w:rsidR="004D055E">
        <w:t>1-2.</w:t>
      </w:r>
    </w:p>
  </w:footnote>
  <w:footnote w:id="26">
    <w:p w:rsidR="0003570F" w:rsidRPr="006A20C6" w:rsidP="0003570F" w14:paraId="33D292B3" w14:textId="1E71BA51">
      <w:pPr>
        <w:pStyle w:val="FootnoteText"/>
        <w:spacing w:before="120"/>
        <w:rPr>
          <w:highlight w:val="lightGray"/>
        </w:rPr>
      </w:pPr>
      <w:r w:rsidRPr="00A0106D">
        <w:rPr>
          <w:rStyle w:val="FootnoteReference"/>
        </w:rPr>
        <w:footnoteRef/>
      </w:r>
      <w:r w:rsidRPr="00A0106D">
        <w:t xml:space="preserve"> </w:t>
      </w:r>
      <w:r w:rsidRPr="00A0106D" w:rsidR="00390852">
        <w:t>The ITG</w:t>
      </w:r>
      <w:r w:rsidRPr="00A0106D" w:rsidR="0042191B">
        <w:t xml:space="preserve"> </w:t>
      </w:r>
      <w:r w:rsidRPr="00A0106D" w:rsidR="0042191B">
        <w:rPr>
          <w:szCs w:val="22"/>
        </w:rPr>
        <w:t xml:space="preserve">is the registered industry consortium selected pursuant to the TRACED Act to conduct tracebacks. </w:t>
      </w:r>
      <w:r w:rsidRPr="00A0106D" w:rsidR="0042191B">
        <w:rPr>
          <w:i/>
          <w:iCs/>
        </w:rPr>
        <w:t xml:space="preserve"> See </w:t>
      </w:r>
      <w:r w:rsidRPr="00A0106D">
        <w:rPr>
          <w:i/>
          <w:iCs/>
        </w:rPr>
        <w:t>Implementing Section 13(d) of the Pallone-Thune Telephone Robocall Abuse Criminal Enforcement and Deterrence Act (TRACED Act)</w:t>
      </w:r>
      <w:r w:rsidRPr="00A0106D">
        <w:t xml:space="preserve">, EB Docket No. 20-22, Report and Order, </w:t>
      </w:r>
      <w:r w:rsidR="003A3CA6">
        <w:t>3</w:t>
      </w:r>
      <w:r w:rsidR="00247782">
        <w:t>8</w:t>
      </w:r>
      <w:r w:rsidR="00397625">
        <w:t xml:space="preserve"> FCC Rcd </w:t>
      </w:r>
      <w:r w:rsidR="00401EFE">
        <w:t>7561, 7561-62</w:t>
      </w:r>
      <w:r w:rsidRPr="00A0106D">
        <w:t xml:space="preserve">, para. </w:t>
      </w:r>
      <w:r w:rsidR="00401EFE">
        <w:t>1</w:t>
      </w:r>
      <w:r w:rsidRPr="00A0106D">
        <w:t xml:space="preserve"> (EB 202</w:t>
      </w:r>
      <w:r w:rsidR="00401EFE">
        <w:t>3</w:t>
      </w:r>
      <w:r w:rsidRPr="00A0106D">
        <w:t xml:space="preserve">); </w:t>
      </w:r>
      <w:r w:rsidRPr="00A0106D">
        <w:rPr>
          <w:i/>
          <w:iCs/>
        </w:rPr>
        <w:t xml:space="preserve">see also </w:t>
      </w:r>
      <w:r w:rsidRPr="00A0106D">
        <w:t xml:space="preserve">Pallone-Thune Telephone Robocall Abuse Criminal Enforcement and Deterrence Act, Pub. L. No. 116-105, </w:t>
      </w:r>
      <w:r w:rsidR="00A34501">
        <w:t>§ 13(d)</w:t>
      </w:r>
      <w:r w:rsidR="00CA53A7">
        <w:t xml:space="preserve">, </w:t>
      </w:r>
      <w:r w:rsidRPr="00A0106D">
        <w:t xml:space="preserve">133 Stat. 3274, </w:t>
      </w:r>
      <w:r w:rsidR="001930C8">
        <w:t>3287-88</w:t>
      </w:r>
      <w:r w:rsidRPr="00A0106D">
        <w:t xml:space="preserve"> (2019).</w:t>
      </w:r>
    </w:p>
  </w:footnote>
  <w:footnote w:id="27">
    <w:p w:rsidR="00474EA7" w:rsidRPr="006A20C6" w:rsidP="00474EA7" w14:paraId="30529AD8" w14:textId="1F7AC912">
      <w:pPr>
        <w:pStyle w:val="FootnoteText"/>
        <w:rPr>
          <w:highlight w:val="lightGray"/>
        </w:rPr>
      </w:pPr>
      <w:r w:rsidRPr="005368C3">
        <w:rPr>
          <w:rStyle w:val="FootnoteReference"/>
        </w:rPr>
        <w:footnoteRef/>
      </w:r>
      <w:r w:rsidRPr="005368C3">
        <w:t xml:space="preserve"> </w:t>
      </w:r>
      <w:r w:rsidRPr="005368C3" w:rsidR="002F4B9B">
        <w:rPr>
          <w:i/>
          <w:iCs/>
        </w:rPr>
        <w:t xml:space="preserve">See </w:t>
      </w:r>
      <w:r w:rsidRPr="00FF1574" w:rsidR="00212089">
        <w:t>ITG Sept. 2024 Response</w:t>
      </w:r>
      <w:r w:rsidRPr="005138A1" w:rsidR="005138A1">
        <w:t xml:space="preserve">, </w:t>
      </w:r>
      <w:r w:rsidRPr="005138A1" w:rsidR="005138A1">
        <w:rPr>
          <w:i/>
          <w:iCs/>
        </w:rPr>
        <w:t xml:space="preserve">supra </w:t>
      </w:r>
      <w:r w:rsidRPr="005138A1" w:rsidR="005138A1">
        <w:t xml:space="preserve">note </w:t>
      </w:r>
      <w:r w:rsidR="00F97AC4">
        <w:fldChar w:fldCharType="begin"/>
      </w:r>
      <w:r w:rsidR="00F97AC4">
        <w:instrText xml:space="preserve"> NOTEREF _Ref209539722 \h </w:instrText>
      </w:r>
      <w:r w:rsidR="00F97AC4">
        <w:fldChar w:fldCharType="separate"/>
      </w:r>
      <w:r w:rsidR="00F97AC4">
        <w:t>18</w:t>
      </w:r>
      <w:r w:rsidR="00F97AC4">
        <w:fldChar w:fldCharType="end"/>
      </w:r>
      <w:r w:rsidR="00212089">
        <w:rPr>
          <w:i/>
          <w:iCs/>
        </w:rPr>
        <w:t xml:space="preserve">; </w:t>
      </w:r>
      <w:r w:rsidRPr="00FF1574" w:rsidR="00883883">
        <w:t>ITG June 2025 Response</w:t>
      </w:r>
      <w:r w:rsidR="00883883">
        <w:t xml:space="preserve">, </w:t>
      </w:r>
      <w:r w:rsidR="00883883">
        <w:rPr>
          <w:i/>
          <w:iCs/>
        </w:rPr>
        <w:t xml:space="preserve">supra </w:t>
      </w:r>
      <w:r w:rsidR="00883883">
        <w:t>note</w:t>
      </w:r>
      <w:r w:rsidR="00936681">
        <w:t xml:space="preserve"> </w:t>
      </w:r>
      <w:r w:rsidR="00936681">
        <w:fldChar w:fldCharType="begin"/>
      </w:r>
      <w:r w:rsidR="00936681">
        <w:instrText xml:space="preserve"> NOTEREF _Ref209539722 \h </w:instrText>
      </w:r>
      <w:r w:rsidR="00936681">
        <w:fldChar w:fldCharType="separate"/>
      </w:r>
      <w:r w:rsidR="00936681">
        <w:t>18</w:t>
      </w:r>
      <w:r w:rsidR="00936681">
        <w:fldChar w:fldCharType="end"/>
      </w:r>
      <w:r w:rsidRPr="005368C3" w:rsidR="002F4B9B">
        <w:t>.</w:t>
      </w:r>
    </w:p>
  </w:footnote>
  <w:footnote w:id="28">
    <w:p w:rsidR="00A70807" w:rsidRPr="005368C3" w14:paraId="6C0B24B0" w14:textId="2B1DACCE">
      <w:pPr>
        <w:pStyle w:val="FootnoteText"/>
      </w:pPr>
      <w:r w:rsidRPr="005368C3">
        <w:rPr>
          <w:rStyle w:val="FootnoteReference"/>
        </w:rPr>
        <w:footnoteRef/>
      </w:r>
      <w:r w:rsidRPr="005368C3">
        <w:t xml:space="preserve"> </w:t>
      </w:r>
      <w:r w:rsidRPr="005368C3" w:rsidR="000D1114">
        <w:rPr>
          <w:i/>
          <w:iCs/>
        </w:rPr>
        <w:t xml:space="preserve">See </w:t>
      </w:r>
      <w:r w:rsidR="00B96D20">
        <w:rPr>
          <w:i/>
          <w:iCs/>
        </w:rPr>
        <w:t>i</w:t>
      </w:r>
      <w:r w:rsidR="0005202F">
        <w:rPr>
          <w:i/>
          <w:iCs/>
        </w:rPr>
        <w:t>d.</w:t>
      </w:r>
      <w:r w:rsidR="00F56AC5">
        <w:t xml:space="preserve">; Notice, </w:t>
      </w:r>
      <w:r w:rsidRPr="003D7CA4" w:rsidR="00B96D20">
        <w:t>202</w:t>
      </w:r>
      <w:r w:rsidR="00B96D20">
        <w:t>5</w:t>
      </w:r>
      <w:r w:rsidRPr="003D7CA4" w:rsidR="00B96D20">
        <w:t xml:space="preserve"> WL </w:t>
      </w:r>
      <w:r w:rsidR="00B96D20">
        <w:t>2622184</w:t>
      </w:r>
      <w:r w:rsidR="00A6728A">
        <w:t xml:space="preserve">, </w:t>
      </w:r>
      <w:r w:rsidRPr="00A6728A" w:rsidR="00F56AC5">
        <w:t xml:space="preserve">Attachment </w:t>
      </w:r>
      <w:r w:rsidR="00F56AC5">
        <w:t>A (</w:t>
      </w:r>
      <w:r w:rsidR="00D05589">
        <w:t xml:space="preserve">noting </w:t>
      </w:r>
      <w:r w:rsidR="00673AA3">
        <w:t>Belthrough</w:t>
      </w:r>
      <w:r w:rsidR="00D05589">
        <w:t>’s role as the</w:t>
      </w:r>
      <w:r w:rsidR="00914DF8">
        <w:t xml:space="preserve"> originator or the gateway provider for each identified call)</w:t>
      </w:r>
      <w:r w:rsidRPr="005368C3" w:rsidR="000D1114">
        <w:t>.</w:t>
      </w:r>
    </w:p>
  </w:footnote>
  <w:footnote w:id="29">
    <w:p w:rsidR="00A70807" w:rsidRPr="006A20C6" w14:paraId="028B5413" w14:textId="6D3BAE1A">
      <w:pPr>
        <w:pStyle w:val="FootnoteText"/>
        <w:rPr>
          <w:highlight w:val="lightGray"/>
        </w:rPr>
      </w:pPr>
      <w:r w:rsidRPr="005368C3">
        <w:rPr>
          <w:rStyle w:val="FootnoteReference"/>
        </w:rPr>
        <w:footnoteRef/>
      </w:r>
      <w:r w:rsidRPr="005368C3">
        <w:t xml:space="preserve"> </w:t>
      </w:r>
      <w:r w:rsidRPr="005368C3" w:rsidR="00CA5410">
        <w:rPr>
          <w:i/>
          <w:iCs/>
        </w:rPr>
        <w:t>See</w:t>
      </w:r>
      <w:r w:rsidR="005138A1">
        <w:t xml:space="preserve"> </w:t>
      </w:r>
      <w:r w:rsidRPr="005138A1" w:rsidR="005138A1">
        <w:t xml:space="preserve">ITG Sept. 2024 Response, </w:t>
      </w:r>
      <w:r w:rsidRPr="005138A1" w:rsidR="005138A1">
        <w:rPr>
          <w:i/>
          <w:iCs/>
        </w:rPr>
        <w:t xml:space="preserve">supra </w:t>
      </w:r>
      <w:r w:rsidRPr="005138A1" w:rsidR="005138A1">
        <w:t>note</w:t>
      </w:r>
      <w:r w:rsidR="00936681">
        <w:t xml:space="preserve"> </w:t>
      </w:r>
      <w:r w:rsidR="00936681">
        <w:fldChar w:fldCharType="begin"/>
      </w:r>
      <w:r w:rsidR="00936681">
        <w:instrText xml:space="preserve"> NOTEREF _Ref209539722 \h </w:instrText>
      </w:r>
      <w:r w:rsidR="00936681">
        <w:fldChar w:fldCharType="separate"/>
      </w:r>
      <w:r w:rsidR="00936681">
        <w:t>18</w:t>
      </w:r>
      <w:r w:rsidR="00936681">
        <w:fldChar w:fldCharType="end"/>
      </w:r>
      <w:r w:rsidRPr="005138A1" w:rsidR="005138A1">
        <w:rPr>
          <w:i/>
          <w:iCs/>
        </w:rPr>
        <w:t xml:space="preserve">; </w:t>
      </w:r>
      <w:r w:rsidRPr="005138A1" w:rsidR="005138A1">
        <w:t xml:space="preserve">ITG June 2025 Response, </w:t>
      </w:r>
      <w:r w:rsidRPr="005138A1" w:rsidR="005138A1">
        <w:rPr>
          <w:i/>
          <w:iCs/>
        </w:rPr>
        <w:t xml:space="preserve">supra </w:t>
      </w:r>
      <w:r w:rsidRPr="005138A1" w:rsidR="005138A1">
        <w:t>note</w:t>
      </w:r>
      <w:r w:rsidR="00936681">
        <w:t xml:space="preserve"> </w:t>
      </w:r>
      <w:r w:rsidR="00936681">
        <w:fldChar w:fldCharType="begin"/>
      </w:r>
      <w:r w:rsidR="00936681">
        <w:instrText xml:space="preserve"> NOTEREF _Ref209539722 \h </w:instrText>
      </w:r>
      <w:r w:rsidR="00936681">
        <w:fldChar w:fldCharType="separate"/>
      </w:r>
      <w:r w:rsidR="00936681">
        <w:t>18</w:t>
      </w:r>
      <w:r w:rsidR="00936681">
        <w:fldChar w:fldCharType="end"/>
      </w:r>
      <w:r w:rsidR="009A6195">
        <w:fldChar w:fldCharType="begin"/>
      </w:r>
      <w:r w:rsidR="009A6195">
        <w:instrText xml:space="preserve"> NOTEREF _Ref209539722 \h </w:instrText>
      </w:r>
      <w:r w:rsidR="009A6195">
        <w:fldChar w:fldCharType="separate"/>
      </w:r>
      <w:r w:rsidR="009A6195">
        <w:fldChar w:fldCharType="end"/>
      </w:r>
      <w:r w:rsidRPr="005368C3" w:rsidR="00CA5410">
        <w:t>.</w:t>
      </w:r>
    </w:p>
  </w:footnote>
  <w:footnote w:id="30">
    <w:p w:rsidR="0012263F" w:rsidRPr="006A20C6" w14:paraId="3625122D" w14:textId="3359C777">
      <w:pPr>
        <w:pStyle w:val="FootnoteText"/>
        <w:rPr>
          <w:highlight w:val="lightGray"/>
        </w:rPr>
      </w:pPr>
      <w:r w:rsidRPr="005368C3">
        <w:rPr>
          <w:rStyle w:val="FootnoteReference"/>
        </w:rPr>
        <w:footnoteRef/>
      </w:r>
      <w:r w:rsidRPr="005368C3">
        <w:t xml:space="preserve"> </w:t>
      </w:r>
      <w:r w:rsidRPr="005368C3">
        <w:rPr>
          <w:i/>
          <w:iCs/>
        </w:rPr>
        <w:t>See</w:t>
      </w:r>
      <w:r w:rsidRPr="005368C3" w:rsidR="0082278B">
        <w:rPr>
          <w:i/>
          <w:iCs/>
        </w:rPr>
        <w:t xml:space="preserve"> </w:t>
      </w:r>
      <w:r w:rsidR="00C73977">
        <w:rPr>
          <w:i/>
          <w:iCs/>
        </w:rPr>
        <w:t>i</w:t>
      </w:r>
      <w:r w:rsidR="005138A1">
        <w:rPr>
          <w:i/>
          <w:iCs/>
        </w:rPr>
        <w:t>d.</w:t>
      </w:r>
      <w:r w:rsidR="00C609D6">
        <w:t xml:space="preserve">  </w:t>
      </w:r>
      <w:r w:rsidR="00637B1B">
        <w:t xml:space="preserve">For the two identified </w:t>
      </w:r>
      <w:r w:rsidR="00AE6EB4">
        <w:t>calls that Belthrough originated</w:t>
      </w:r>
      <w:r w:rsidR="00ED3B53">
        <w:t xml:space="preserve"> in April 2025</w:t>
      </w:r>
      <w:r w:rsidR="00AE6EB4">
        <w:t xml:space="preserve">, </w:t>
      </w:r>
      <w:r w:rsidR="00A209AA">
        <w:t>Belthrough</w:t>
      </w:r>
      <w:r w:rsidR="00C609D6">
        <w:t xml:space="preserve"> claimed to have </w:t>
      </w:r>
      <w:r w:rsidR="00B70180">
        <w:t xml:space="preserve">terminated </w:t>
      </w:r>
      <w:r w:rsidR="001854E0">
        <w:t>“</w:t>
      </w:r>
      <w:r w:rsidR="00090557">
        <w:t xml:space="preserve">that </w:t>
      </w:r>
      <w:r w:rsidR="00E368A8">
        <w:t>campaign</w:t>
      </w:r>
      <w:r w:rsidR="00090557">
        <w:t xml:space="preserve"> from our network</w:t>
      </w:r>
      <w:r w:rsidR="00EF64E2">
        <w:t xml:space="preserve">” </w:t>
      </w:r>
      <w:r w:rsidR="00090557">
        <w:t xml:space="preserve">for one of the calls </w:t>
      </w:r>
      <w:r w:rsidR="00086FB9">
        <w:t xml:space="preserve">and </w:t>
      </w:r>
      <w:r w:rsidR="00452E89">
        <w:t>“blocked that traffic from our network” for the other</w:t>
      </w:r>
      <w:r w:rsidR="00873F21">
        <w:t>.</w:t>
      </w:r>
      <w:r w:rsidR="00F45CF0">
        <w:t xml:space="preserve"> </w:t>
      </w:r>
      <w:r w:rsidR="00873F21">
        <w:t xml:space="preserve"> However, Belthrough listed itself as the “calling party” for </w:t>
      </w:r>
      <w:r w:rsidR="008659D6">
        <w:t>both calls</w:t>
      </w:r>
      <w:r w:rsidR="000C0FF3">
        <w:t>,</w:t>
      </w:r>
      <w:r w:rsidR="00873F21">
        <w:t xml:space="preserve"> </w:t>
      </w:r>
      <w:r w:rsidR="00C977C2">
        <w:t>rather than identifying the name of its customer(s)</w:t>
      </w:r>
      <w:r w:rsidR="00C609D6">
        <w:t>.</w:t>
      </w:r>
      <w:r w:rsidR="0019771D">
        <w:t xml:space="preserve">  </w:t>
      </w:r>
      <w:r w:rsidR="005E4267">
        <w:t xml:space="preserve">Notice, </w:t>
      </w:r>
      <w:r w:rsidRPr="003D7CA4" w:rsidR="00B96D20">
        <w:t>202</w:t>
      </w:r>
      <w:r w:rsidR="00B96D20">
        <w:t>5</w:t>
      </w:r>
      <w:r w:rsidRPr="003D7CA4" w:rsidR="00B96D20">
        <w:t xml:space="preserve"> WL </w:t>
      </w:r>
      <w:r w:rsidR="00B96D20">
        <w:t>2622184</w:t>
      </w:r>
      <w:r w:rsidR="005E4267">
        <w:t xml:space="preserve"> at </w:t>
      </w:r>
      <w:r w:rsidR="00B96D20">
        <w:t>*</w:t>
      </w:r>
      <w:r w:rsidR="001D4AD0">
        <w:t>2</w:t>
      </w:r>
      <w:r w:rsidR="00E24F2E">
        <w:t xml:space="preserve">; </w:t>
      </w:r>
      <w:r w:rsidR="008B0B8D">
        <w:t xml:space="preserve">ITG </w:t>
      </w:r>
      <w:r w:rsidRPr="00E24F2E" w:rsidR="00E24F2E">
        <w:t xml:space="preserve">June 2025 Response, </w:t>
      </w:r>
      <w:r w:rsidRPr="00E24F2E" w:rsidR="00E24F2E">
        <w:rPr>
          <w:i/>
          <w:iCs/>
        </w:rPr>
        <w:t xml:space="preserve">supra </w:t>
      </w:r>
      <w:r w:rsidRPr="00E24F2E" w:rsidR="00E24F2E">
        <w:t>note</w:t>
      </w:r>
      <w:r w:rsidR="00936681">
        <w:t xml:space="preserve"> </w:t>
      </w:r>
      <w:r w:rsidR="00936681">
        <w:fldChar w:fldCharType="begin"/>
      </w:r>
      <w:r w:rsidR="00936681">
        <w:instrText xml:space="preserve"> NOTEREF _Ref209539722 \h </w:instrText>
      </w:r>
      <w:r w:rsidR="00936681">
        <w:fldChar w:fldCharType="separate"/>
      </w:r>
      <w:r w:rsidR="00936681">
        <w:t>18</w:t>
      </w:r>
      <w:r w:rsidR="00936681">
        <w:fldChar w:fldCharType="end"/>
      </w:r>
      <w:r w:rsidRPr="00E24F2E" w:rsidR="00E24F2E">
        <w:t xml:space="preserve"> </w:t>
      </w:r>
      <w:r w:rsidR="005E4267">
        <w:t>.</w:t>
      </w:r>
    </w:p>
  </w:footnote>
  <w:footnote w:id="31">
    <w:p w:rsidR="00600197" w:rsidRPr="00FF1574" w14:paraId="473727CF" w14:textId="6DF47D64">
      <w:pPr>
        <w:pStyle w:val="FootnoteText"/>
      </w:pPr>
      <w:r w:rsidRPr="00FF1574">
        <w:rPr>
          <w:rStyle w:val="FootnoteReference"/>
        </w:rPr>
        <w:footnoteRef/>
      </w:r>
      <w:r w:rsidRPr="00FF1574">
        <w:t xml:space="preserve"> </w:t>
      </w:r>
      <w:r w:rsidRPr="00FF1574" w:rsidR="008D3A33">
        <w:t>Notice</w:t>
      </w:r>
      <w:r w:rsidRPr="00FF1574" w:rsidR="0082278B">
        <w:t xml:space="preserve">, </w:t>
      </w:r>
      <w:r w:rsidRPr="003D7CA4" w:rsidR="00102FFE">
        <w:t>202</w:t>
      </w:r>
      <w:r w:rsidR="00102FFE">
        <w:t>5</w:t>
      </w:r>
      <w:r w:rsidRPr="003D7CA4" w:rsidR="00102FFE">
        <w:t xml:space="preserve"> WL </w:t>
      </w:r>
      <w:r w:rsidR="00102FFE">
        <w:t>2622184</w:t>
      </w:r>
      <w:r w:rsidRPr="00FF1574">
        <w:t xml:space="preserve"> at </w:t>
      </w:r>
      <w:r w:rsidR="00F844CF">
        <w:t>*</w:t>
      </w:r>
      <w:r w:rsidR="00632AD6">
        <w:t>3-</w:t>
      </w:r>
      <w:r w:rsidRPr="00FF1574" w:rsidR="00EA29DE">
        <w:t>4</w:t>
      </w:r>
      <w:r w:rsidRPr="00FF1574">
        <w:t xml:space="preserve">.  </w:t>
      </w:r>
    </w:p>
  </w:footnote>
  <w:footnote w:id="32">
    <w:p w:rsidR="00600197" w:rsidRPr="00874EB5" w14:paraId="29FF0A6A" w14:textId="55505655">
      <w:pPr>
        <w:pStyle w:val="FootnoteText"/>
      </w:pPr>
      <w:r w:rsidRPr="00FF1574">
        <w:rPr>
          <w:rStyle w:val="FootnoteReference"/>
        </w:rPr>
        <w:footnoteRef/>
      </w:r>
      <w:r w:rsidRPr="00FF1574">
        <w:t xml:space="preserve"> </w:t>
      </w:r>
      <w:r w:rsidRPr="00FF1574" w:rsidR="0082278B">
        <w:rPr>
          <w:i/>
          <w:iCs/>
        </w:rPr>
        <w:t>Id</w:t>
      </w:r>
      <w:r w:rsidRPr="00FF1574">
        <w:t>.</w:t>
      </w:r>
      <w:r w:rsidR="009849C2">
        <w:t xml:space="preserve"> at *4. </w:t>
      </w:r>
    </w:p>
  </w:footnote>
  <w:footnote w:id="33">
    <w:p w:rsidR="008633CD" w:rsidRPr="008633CD" w14:paraId="7E0A1C4F" w14:textId="336057B9">
      <w:pPr>
        <w:pStyle w:val="FootnoteText"/>
      </w:pPr>
      <w:r>
        <w:rPr>
          <w:rStyle w:val="FootnoteReference"/>
        </w:rPr>
        <w:footnoteRef/>
      </w:r>
      <w:r>
        <w:t xml:space="preserve"> </w:t>
      </w:r>
      <w:r>
        <w:rPr>
          <w:i/>
          <w:iCs/>
        </w:rPr>
        <w:t>Id.</w:t>
      </w:r>
      <w:r>
        <w:t xml:space="preserve"> at </w:t>
      </w:r>
      <w:r w:rsidR="00F844CF">
        <w:t>*</w:t>
      </w:r>
      <w:r>
        <w:t>6.</w:t>
      </w:r>
    </w:p>
  </w:footnote>
  <w:footnote w:id="34">
    <w:p w:rsidR="00B16B27" w:rsidRPr="00A83660" w:rsidP="008C52C5" w14:paraId="0831B777" w14:textId="4E8901D1">
      <w:pPr>
        <w:pStyle w:val="FootnoteText"/>
      </w:pPr>
      <w:r>
        <w:rPr>
          <w:rStyle w:val="FootnoteReference"/>
        </w:rPr>
        <w:footnoteRef/>
      </w:r>
      <w:r>
        <w:t xml:space="preserve"> </w:t>
      </w:r>
      <w:r w:rsidR="008C52C5">
        <w:rPr>
          <w:i/>
          <w:iCs/>
        </w:rPr>
        <w:t>See</w:t>
      </w:r>
      <w:r w:rsidR="008C52C5">
        <w:t xml:space="preserve"> Brisa Cruz Belthrough, LLC, PS Form 3811</w:t>
      </w:r>
      <w:r w:rsidR="00861904">
        <w:t xml:space="preserve"> (Certified Mail Return</w:t>
      </w:r>
      <w:r w:rsidR="00BC00B3">
        <w:t xml:space="preserve"> Receipt</w:t>
      </w:r>
      <w:r w:rsidR="00861904">
        <w:t>)</w:t>
      </w:r>
      <w:r w:rsidRPr="00B16B27">
        <w:t>.</w:t>
      </w:r>
      <w:r w:rsidR="008C52C5">
        <w:t xml:space="preserve"> </w:t>
      </w:r>
      <w:r w:rsidRPr="00B16B27">
        <w:t xml:space="preserve"> </w:t>
      </w:r>
      <w:r w:rsidR="00010452">
        <w:t xml:space="preserve">Although signed, the </w:t>
      </w:r>
      <w:r w:rsidR="008C52C5">
        <w:t xml:space="preserve">return receipt </w:t>
      </w:r>
      <w:r w:rsidR="00010452">
        <w:t xml:space="preserve">was undated. </w:t>
      </w:r>
      <w:r w:rsidR="00A033A1">
        <w:t xml:space="preserve"> </w:t>
      </w:r>
      <w:r w:rsidR="00010452">
        <w:rPr>
          <w:i/>
          <w:iCs/>
        </w:rPr>
        <w:t>Id</w:t>
      </w:r>
      <w:r w:rsidR="00A83660">
        <w:t>.</w:t>
      </w:r>
    </w:p>
  </w:footnote>
  <w:footnote w:id="35">
    <w:p w:rsidR="00B16B27" w:rsidRPr="008C52C5" w:rsidP="008C52C5" w14:paraId="00EC9484" w14:textId="0CEC8DBA">
      <w:pPr>
        <w:spacing w:after="120"/>
        <w:rPr>
          <w:sz w:val="20"/>
        </w:rPr>
      </w:pPr>
      <w:r>
        <w:rPr>
          <w:rStyle w:val="FootnoteReference"/>
        </w:rPr>
        <w:footnoteRef/>
      </w:r>
      <w:r>
        <w:t xml:space="preserve"> </w:t>
      </w:r>
      <w:r w:rsidRPr="00646BDA">
        <w:rPr>
          <w:sz w:val="20"/>
        </w:rPr>
        <w:t>Email from Enforcement</w:t>
      </w:r>
      <w:r w:rsidR="00B5416B">
        <w:rPr>
          <w:sz w:val="20"/>
        </w:rPr>
        <w:t xml:space="preserve"> </w:t>
      </w:r>
      <w:r w:rsidRPr="00646BDA">
        <w:rPr>
          <w:sz w:val="20"/>
        </w:rPr>
        <w:t>Bureau</w:t>
      </w:r>
      <w:r w:rsidR="00B5416B">
        <w:rPr>
          <w:sz w:val="20"/>
        </w:rPr>
        <w:t xml:space="preserve"> </w:t>
      </w:r>
      <w:r w:rsidRPr="00646BDA">
        <w:rPr>
          <w:sz w:val="20"/>
        </w:rPr>
        <w:t xml:space="preserve">TCD to Brisa Cruz, Belthrough, Wednesday, September 10, </w:t>
      </w:r>
      <w:r w:rsidRPr="00646BDA">
        <w:rPr>
          <w:sz w:val="20"/>
        </w:rPr>
        <w:t>2025</w:t>
      </w:r>
      <w:r w:rsidRPr="00646BDA">
        <w:rPr>
          <w:sz w:val="20"/>
        </w:rPr>
        <w:t xml:space="preserve"> 16:44:04.</w:t>
      </w:r>
    </w:p>
  </w:footnote>
  <w:footnote w:id="36">
    <w:p w:rsidR="00B16B27" w:rsidP="008C52C5" w14:paraId="0F0A3338" w14:textId="5547DF9B">
      <w:pPr>
        <w:pStyle w:val="FootnoteText"/>
      </w:pPr>
      <w:r>
        <w:rPr>
          <w:rStyle w:val="FootnoteReference"/>
        </w:rPr>
        <w:footnoteRef/>
      </w:r>
      <w:r>
        <w:t xml:space="preserve"> </w:t>
      </w:r>
      <w:r w:rsidRPr="00606373">
        <w:t xml:space="preserve">ITG November 21, </w:t>
      </w:r>
      <w:r w:rsidRPr="00606373">
        <w:t>2025</w:t>
      </w:r>
      <w:r w:rsidRPr="00606373">
        <w:t xml:space="preserve"> Subpoena Response</w:t>
      </w:r>
      <w:r w:rsidR="00E16789">
        <w:t>,</w:t>
      </w:r>
      <w:r w:rsidR="00FB53D3">
        <w:t xml:space="preserve"> </w:t>
      </w:r>
      <w:r w:rsidRPr="00606373">
        <w:t>on file in EB-TCD-00037445</w:t>
      </w:r>
      <w:r w:rsidR="00215C0C">
        <w:t xml:space="preserve"> </w:t>
      </w:r>
      <w:r w:rsidRPr="00215C0C" w:rsidR="00215C0C">
        <w:t xml:space="preserve">(ITG </w:t>
      </w:r>
      <w:r w:rsidR="00215C0C">
        <w:t>Nov</w:t>
      </w:r>
      <w:r w:rsidRPr="00215C0C" w:rsidR="00215C0C">
        <w:t>. 202</w:t>
      </w:r>
      <w:r w:rsidR="00215C0C">
        <w:t>5</w:t>
      </w:r>
      <w:r w:rsidRPr="00215C0C" w:rsidR="00215C0C">
        <w:t xml:space="preserve"> Response)</w:t>
      </w:r>
      <w:r>
        <w:t>.</w:t>
      </w:r>
      <w:r w:rsidRPr="00606373">
        <w:t xml:space="preserve"> </w:t>
      </w:r>
    </w:p>
  </w:footnote>
  <w:footnote w:id="37">
    <w:p w:rsidR="00517CEA" w:rsidRPr="0004566A" w14:paraId="46A5C908" w14:textId="681C8297">
      <w:pPr>
        <w:pStyle w:val="FootnoteText"/>
      </w:pPr>
      <w:r>
        <w:rPr>
          <w:rStyle w:val="FootnoteReference"/>
        </w:rPr>
        <w:footnoteRef/>
      </w:r>
      <w:r>
        <w:t xml:space="preserve"> </w:t>
      </w:r>
      <w:r w:rsidR="0004566A">
        <w:rPr>
          <w:i/>
          <w:iCs/>
        </w:rPr>
        <w:t>Id.</w:t>
      </w:r>
    </w:p>
  </w:footnote>
  <w:footnote w:id="38">
    <w:p w:rsidR="00B16B27" w:rsidRPr="00D045E0" w:rsidP="008C52C5" w14:paraId="155BA5B8" w14:textId="77777777">
      <w:pPr>
        <w:pStyle w:val="FootnoteText"/>
        <w:rPr>
          <w:lang w:val="pt-BR"/>
        </w:rPr>
      </w:pPr>
      <w:r>
        <w:rPr>
          <w:rStyle w:val="FootnoteReference"/>
        </w:rPr>
        <w:footnoteRef/>
      </w:r>
      <w:r w:rsidRPr="00D045E0">
        <w:rPr>
          <w:lang w:val="pt-BR"/>
        </w:rPr>
        <w:t xml:space="preserve"> </w:t>
      </w:r>
      <w:r w:rsidRPr="00D045E0">
        <w:rPr>
          <w:i/>
          <w:iCs/>
          <w:lang w:val="pt-BR"/>
        </w:rPr>
        <w:t>Id</w:t>
      </w:r>
      <w:r w:rsidRPr="00D045E0">
        <w:rPr>
          <w:lang w:val="pt-BR"/>
        </w:rPr>
        <w:t>.</w:t>
      </w:r>
    </w:p>
  </w:footnote>
  <w:footnote w:id="39">
    <w:p w:rsidR="00497500" w:rsidRPr="00D045E0" w14:paraId="139C0D99" w14:textId="38429D3A">
      <w:pPr>
        <w:pStyle w:val="FootnoteText"/>
        <w:rPr>
          <w:lang w:val="pt-BR"/>
        </w:rPr>
      </w:pPr>
      <w:r w:rsidRPr="00E3165B">
        <w:rPr>
          <w:rStyle w:val="FootnoteReference"/>
        </w:rPr>
        <w:footnoteRef/>
      </w:r>
      <w:r w:rsidRPr="00D045E0">
        <w:rPr>
          <w:lang w:val="pt-BR"/>
        </w:rPr>
        <w:t xml:space="preserve"> </w:t>
      </w:r>
      <w:r w:rsidRPr="00D045E0">
        <w:rPr>
          <w:lang w:val="pt-BR"/>
        </w:rPr>
        <w:t>47 CFR § 64.1200(n)(</w:t>
      </w:r>
      <w:r w:rsidRPr="00D045E0" w:rsidR="00651117">
        <w:rPr>
          <w:lang w:val="pt-BR"/>
        </w:rPr>
        <w:t>2</w:t>
      </w:r>
      <w:r w:rsidRPr="00D045E0">
        <w:rPr>
          <w:lang w:val="pt-BR"/>
        </w:rPr>
        <w:t>)</w:t>
      </w:r>
      <w:r w:rsidRPr="00D045E0" w:rsidR="00026D0D">
        <w:rPr>
          <w:lang w:val="pt-BR"/>
        </w:rPr>
        <w:t>(i)(A)</w:t>
      </w:r>
      <w:r w:rsidRPr="00D045E0">
        <w:rPr>
          <w:lang w:val="pt-BR"/>
        </w:rPr>
        <w:t>.</w:t>
      </w:r>
    </w:p>
  </w:footnote>
  <w:footnote w:id="40">
    <w:p w:rsidR="00497500" w:rsidRPr="00D045E0" w14:paraId="64C252B6" w14:textId="77777777">
      <w:pPr>
        <w:pStyle w:val="FootnoteText"/>
        <w:rPr>
          <w:highlight w:val="lightGray"/>
          <w:lang w:val="pt-BR"/>
        </w:rPr>
      </w:pPr>
      <w:r w:rsidRPr="00E3165B">
        <w:rPr>
          <w:rStyle w:val="FootnoteReference"/>
        </w:rPr>
        <w:footnoteRef/>
      </w:r>
      <w:r w:rsidRPr="00D045E0">
        <w:rPr>
          <w:lang w:val="pt-BR"/>
        </w:rPr>
        <w:t xml:space="preserve"> </w:t>
      </w:r>
      <w:r w:rsidRPr="00D045E0">
        <w:rPr>
          <w:i/>
          <w:iCs/>
          <w:lang w:val="pt-BR"/>
        </w:rPr>
        <w:t>Id.</w:t>
      </w:r>
    </w:p>
  </w:footnote>
  <w:footnote w:id="41">
    <w:p w:rsidR="00307980" w:rsidRPr="00EB75C0" w14:paraId="0DEC0FCC" w14:textId="77777777">
      <w:pPr>
        <w:pStyle w:val="FootnoteText"/>
        <w:rPr>
          <w:i/>
          <w:iCs/>
          <w:highlight w:val="lightGray"/>
        </w:rPr>
      </w:pPr>
      <w:r w:rsidRPr="00E3165B">
        <w:rPr>
          <w:rStyle w:val="FootnoteReference"/>
        </w:rPr>
        <w:footnoteRef/>
      </w:r>
      <w:r w:rsidRPr="00E3165B">
        <w:t xml:space="preserve"> </w:t>
      </w:r>
      <w:r w:rsidRPr="00E3165B">
        <w:rPr>
          <w:i/>
          <w:iCs/>
        </w:rPr>
        <w:t>Id.</w:t>
      </w:r>
    </w:p>
  </w:footnote>
  <w:footnote w:id="42">
    <w:p w:rsidR="00497500" w:rsidRPr="00EB75C0" w14:paraId="3426CC5E" w14:textId="49414185">
      <w:pPr>
        <w:pStyle w:val="FootnoteText"/>
        <w:rPr>
          <w:highlight w:val="lightGray"/>
        </w:rPr>
      </w:pPr>
      <w:r w:rsidRPr="00F47C3D">
        <w:rPr>
          <w:rStyle w:val="FootnoteReference"/>
        </w:rPr>
        <w:footnoteRef/>
      </w:r>
      <w:r w:rsidRPr="00F47C3D">
        <w:t xml:space="preserve"> </w:t>
      </w:r>
      <w:r w:rsidRPr="00F47C3D" w:rsidR="008D3A33">
        <w:t>Notice</w:t>
      </w:r>
      <w:r w:rsidRPr="00F47C3D" w:rsidR="00DA32E1">
        <w:t xml:space="preserve">, </w:t>
      </w:r>
      <w:r w:rsidRPr="003D7CA4" w:rsidR="00F844CF">
        <w:t>202</w:t>
      </w:r>
      <w:r w:rsidR="00F844CF">
        <w:t>5</w:t>
      </w:r>
      <w:r w:rsidRPr="003D7CA4" w:rsidR="00F844CF">
        <w:t xml:space="preserve"> WL </w:t>
      </w:r>
      <w:r w:rsidR="00F844CF">
        <w:t>2622184</w:t>
      </w:r>
      <w:r w:rsidRPr="00F47C3D" w:rsidR="008D3A33">
        <w:t xml:space="preserve"> at </w:t>
      </w:r>
      <w:r w:rsidR="005520B6">
        <w:t>*</w:t>
      </w:r>
      <w:r w:rsidRPr="00F47C3D" w:rsidR="008D3A33">
        <w:t>1.</w:t>
      </w:r>
    </w:p>
  </w:footnote>
  <w:footnote w:id="43">
    <w:p w:rsidR="00BE03AA" w:rsidRPr="005E0306" w14:paraId="4F7B0205" w14:textId="314BCE04">
      <w:pPr>
        <w:pStyle w:val="FootnoteText"/>
        <w:rPr>
          <w:highlight w:val="lightGray"/>
        </w:rPr>
      </w:pPr>
      <w:r w:rsidRPr="003A0104">
        <w:rPr>
          <w:rStyle w:val="FootnoteReference"/>
        </w:rPr>
        <w:footnoteRef/>
      </w:r>
      <w:r w:rsidRPr="003A0104">
        <w:t xml:space="preserve"> </w:t>
      </w:r>
      <w:r w:rsidRPr="003A0104" w:rsidR="00307980">
        <w:rPr>
          <w:i/>
          <w:iCs/>
        </w:rPr>
        <w:t>Id.</w:t>
      </w:r>
      <w:r w:rsidRPr="003A0104" w:rsidR="00307980">
        <w:t xml:space="preserve"> at </w:t>
      </w:r>
      <w:r w:rsidR="005520B6">
        <w:t>*</w:t>
      </w:r>
      <w:r w:rsidR="00DB70BB">
        <w:t>3-4</w:t>
      </w:r>
      <w:r w:rsidRPr="003A0104" w:rsidR="00392CF9">
        <w:t>.</w:t>
      </w:r>
      <w:r w:rsidRPr="003A0104" w:rsidR="00307980">
        <w:t xml:space="preserve"> </w:t>
      </w:r>
      <w:r w:rsidRPr="003A0104" w:rsidR="00F15497">
        <w:t xml:space="preserve"> </w:t>
      </w:r>
    </w:p>
  </w:footnote>
  <w:footnote w:id="44">
    <w:p w:rsidR="00AD28D3" w14:paraId="0C1ED54A" w14:textId="13722578">
      <w:pPr>
        <w:pStyle w:val="FootnoteText"/>
      </w:pPr>
      <w:r>
        <w:rPr>
          <w:rStyle w:val="FootnoteReference"/>
        </w:rPr>
        <w:footnoteRef/>
      </w:r>
      <w:r>
        <w:t xml:space="preserve"> </w:t>
      </w:r>
      <w:r w:rsidR="00BC00B3">
        <w:t xml:space="preserve">Other than the </w:t>
      </w:r>
      <w:r w:rsidRPr="00BC00B3" w:rsidR="00BC00B3">
        <w:t>Certified Mail Return Receipt</w:t>
      </w:r>
      <w:r w:rsidR="009E6B81">
        <w:t xml:space="preserve">, the Commission </w:t>
      </w:r>
      <w:r w:rsidR="00A017FB">
        <w:t xml:space="preserve">did not receive any other response from Belthrough, via email, U.S. mail, or other physical or electronic medium. </w:t>
      </w:r>
    </w:p>
  </w:footnote>
  <w:footnote w:id="45">
    <w:p w:rsidR="00DA467C" w:rsidRPr="00D045E0" w:rsidP="00DA5832" w14:paraId="2D78BC10" w14:textId="040B6770">
      <w:pPr>
        <w:pStyle w:val="FootnoteText"/>
        <w:keepLines/>
        <w:rPr>
          <w:highlight w:val="lightGray"/>
          <w:lang w:val="pt-BR"/>
        </w:rPr>
      </w:pPr>
      <w:r w:rsidRPr="00676680">
        <w:rPr>
          <w:rStyle w:val="FootnoteReference"/>
        </w:rPr>
        <w:footnoteRef/>
      </w:r>
      <w:r w:rsidRPr="00D045E0">
        <w:rPr>
          <w:lang w:val="pt-BR"/>
        </w:rPr>
        <w:t xml:space="preserve"> </w:t>
      </w:r>
      <w:r w:rsidRPr="00D045E0">
        <w:rPr>
          <w:i/>
          <w:iCs/>
          <w:lang w:val="pt-BR"/>
        </w:rPr>
        <w:t>See</w:t>
      </w:r>
      <w:r w:rsidRPr="00D045E0">
        <w:rPr>
          <w:lang w:val="pt-BR"/>
        </w:rPr>
        <w:t xml:space="preserve"> 47 CFR § 64.1200(n)(</w:t>
      </w:r>
      <w:r w:rsidRPr="00D045E0" w:rsidR="00D3084D">
        <w:rPr>
          <w:lang w:val="pt-BR"/>
        </w:rPr>
        <w:t>2</w:t>
      </w:r>
      <w:r w:rsidRPr="00D045E0">
        <w:rPr>
          <w:lang w:val="pt-BR"/>
        </w:rPr>
        <w:t>)(ii)-(iii)</w:t>
      </w:r>
      <w:r w:rsidRPr="00D045E0" w:rsidR="00F15497">
        <w:rPr>
          <w:lang w:val="pt-BR"/>
        </w:rPr>
        <w:t>,</w:t>
      </w:r>
      <w:r w:rsidRPr="00D045E0">
        <w:rPr>
          <w:lang w:val="pt-BR"/>
        </w:rPr>
        <w:t xml:space="preserve"> (n)(</w:t>
      </w:r>
      <w:r w:rsidRPr="00D045E0" w:rsidR="00D3084D">
        <w:rPr>
          <w:lang w:val="pt-BR"/>
        </w:rPr>
        <w:t>3</w:t>
      </w:r>
      <w:r w:rsidRPr="00D045E0">
        <w:rPr>
          <w:lang w:val="pt-BR"/>
        </w:rPr>
        <w:t>).</w:t>
      </w:r>
    </w:p>
  </w:footnote>
  <w:footnote w:id="46">
    <w:p w:rsidR="005A5D0E" w:rsidRPr="00317599" w:rsidP="00DA5832" w14:paraId="0BD37494" w14:textId="2CBE3468">
      <w:pPr>
        <w:pStyle w:val="FootnoteText"/>
      </w:pPr>
      <w:r w:rsidRPr="00317599">
        <w:rPr>
          <w:rStyle w:val="FootnoteReference"/>
        </w:rPr>
        <w:footnoteRef/>
      </w:r>
      <w:r w:rsidRPr="00317599">
        <w:t xml:space="preserve"> </w:t>
      </w:r>
      <w:r w:rsidRPr="00317599" w:rsidR="00F15497">
        <w:rPr>
          <w:i/>
          <w:iCs/>
        </w:rPr>
        <w:t>Id.</w:t>
      </w:r>
      <w:r w:rsidRPr="00317599">
        <w:t xml:space="preserve"> § 64.1200(n)(</w:t>
      </w:r>
      <w:r w:rsidR="00110355">
        <w:t>2</w:t>
      </w:r>
      <w:r w:rsidRPr="00317599">
        <w:t>)(iii).</w:t>
      </w:r>
    </w:p>
  </w:footnote>
  <w:footnote w:id="47">
    <w:p w:rsidR="005A5D0E" w:rsidRPr="001707C5" w:rsidP="005A5D0E" w14:paraId="4A2BFF2C" w14:textId="080374D4">
      <w:pPr>
        <w:pStyle w:val="FootnoteText"/>
      </w:pPr>
      <w:r w:rsidRPr="00317599">
        <w:rPr>
          <w:rStyle w:val="FootnoteReference"/>
        </w:rPr>
        <w:footnoteRef/>
      </w:r>
      <w:r w:rsidRPr="00317599">
        <w:t xml:space="preserve"> </w:t>
      </w:r>
      <w:r w:rsidRPr="00317599" w:rsidR="00F15497">
        <w:rPr>
          <w:i/>
          <w:iCs/>
        </w:rPr>
        <w:t>Id.</w:t>
      </w:r>
      <w:r w:rsidRPr="00317599">
        <w:t xml:space="preserve"> § 64.1200(n</w:t>
      </w:r>
      <w:r w:rsidRPr="00F47C3D">
        <w:t>)(</w:t>
      </w:r>
      <w:r w:rsidR="00110355">
        <w:t>3</w:t>
      </w:r>
      <w:r w:rsidRPr="00F47C3D">
        <w:t>).</w:t>
      </w:r>
    </w:p>
  </w:footnote>
  <w:footnote w:id="48">
    <w:p w:rsidR="00FE6676" w14:paraId="0054BA90" w14:textId="719A15F4">
      <w:pPr>
        <w:pStyle w:val="FootnoteText"/>
      </w:pPr>
      <w:r>
        <w:rPr>
          <w:rStyle w:val="FootnoteReference"/>
        </w:rPr>
        <w:footnoteRef/>
      </w:r>
      <w:r>
        <w:t xml:space="preserve"> </w:t>
      </w:r>
      <w:r w:rsidRPr="00214302" w:rsidR="00385E4C">
        <w:rPr>
          <w:i/>
          <w:iCs/>
        </w:rPr>
        <w:t>Second Caller ID Authentication Order</w:t>
      </w:r>
      <w:r w:rsidRPr="00214302" w:rsidR="00214302">
        <w:t xml:space="preserve">, </w:t>
      </w:r>
      <w:r w:rsidR="00121F8D">
        <w:rPr>
          <w:i/>
          <w:iCs/>
        </w:rPr>
        <w:t xml:space="preserve">supra </w:t>
      </w:r>
      <w:r w:rsidR="00121F8D">
        <w:t xml:space="preserve">note </w:t>
      </w:r>
      <w:r w:rsidR="00506182">
        <w:fldChar w:fldCharType="begin"/>
      </w:r>
      <w:r w:rsidR="00506182">
        <w:instrText xml:space="preserve"> NOTEREF _Ref209173982 \h </w:instrText>
      </w:r>
      <w:r w:rsidR="00506182">
        <w:fldChar w:fldCharType="separate"/>
      </w:r>
      <w:r w:rsidR="00506182">
        <w:t>14</w:t>
      </w:r>
      <w:r w:rsidR="00506182">
        <w:fldChar w:fldCharType="end"/>
      </w:r>
      <w:r w:rsidRPr="00214302" w:rsidR="00214302">
        <w:t xml:space="preserve">, 36 FCC Rcd 1859, 1902, paras. 82-83. </w:t>
      </w:r>
    </w:p>
  </w:footnote>
  <w:footnote w:id="49">
    <w:p w:rsidR="00AD28D3" w:rsidRPr="005425AD" w:rsidP="00AD28D3" w14:paraId="037FE8B6" w14:textId="77777777">
      <w:pPr>
        <w:pStyle w:val="FootnoteText"/>
        <w:rPr>
          <w:i/>
          <w:iCs/>
        </w:rPr>
      </w:pPr>
      <w:r w:rsidRPr="005425AD">
        <w:rPr>
          <w:rStyle w:val="FootnoteReference"/>
          <w:rFonts w:eastAsiaTheme="majorEastAsia"/>
        </w:rPr>
        <w:footnoteRef/>
      </w:r>
      <w:r w:rsidRPr="005425AD">
        <w:t xml:space="preserve"> </w:t>
      </w:r>
      <w:r w:rsidRPr="00AB6BAE">
        <w:rPr>
          <w:i/>
          <w:iCs/>
        </w:rPr>
        <w:t>See</w:t>
      </w:r>
      <w:r>
        <w:t xml:space="preserve"> </w:t>
      </w:r>
      <w:r>
        <w:rPr>
          <w:i/>
          <w:iCs/>
        </w:rPr>
        <w:t>i</w:t>
      </w:r>
      <w:r w:rsidRPr="005425AD">
        <w:rPr>
          <w:i/>
          <w:iCs/>
        </w:rPr>
        <w:t>d.</w:t>
      </w:r>
      <w:r w:rsidRPr="005425AD">
        <w:t xml:space="preserve"> § 64.6305(g)(1), (3).  This requirement also extends to accepting traffic from foreign providers using “North American Number plan resources that pertain to the United States in the caller ID field to send voice traffic.”</w:t>
      </w:r>
      <w:r>
        <w:t xml:space="preserve"> </w:t>
      </w:r>
      <w:r w:rsidRPr="005425AD">
        <w:t xml:space="preserve"> </w:t>
      </w:r>
      <w:r w:rsidRPr="005425AD">
        <w:rPr>
          <w:i/>
          <w:iCs/>
        </w:rPr>
        <w:t>Id.</w:t>
      </w:r>
      <w:r w:rsidRPr="005425AD">
        <w:t xml:space="preserve"> § 64.6305(g)(2).</w:t>
      </w:r>
    </w:p>
  </w:footnote>
  <w:footnote w:id="50">
    <w:p w:rsidR="00AD28D3" w:rsidRPr="005425AD" w:rsidP="00AD28D3" w14:paraId="5D0F40C4" w14:textId="77777777">
      <w:pPr>
        <w:pStyle w:val="FootnoteText"/>
      </w:pPr>
      <w:r w:rsidRPr="005425AD">
        <w:rPr>
          <w:rStyle w:val="FootnoteReference"/>
          <w:rFonts w:eastAsiaTheme="majorEastAsia"/>
        </w:rPr>
        <w:footnoteRef/>
      </w:r>
      <w:r w:rsidRPr="005425AD">
        <w:t xml:space="preserve"> </w:t>
      </w:r>
      <w:r w:rsidRPr="00AB6BAE">
        <w:rPr>
          <w:i/>
          <w:iCs/>
        </w:rPr>
        <w:t>See</w:t>
      </w:r>
      <w:r>
        <w:t xml:space="preserve"> </w:t>
      </w:r>
      <w:r>
        <w:rPr>
          <w:i/>
          <w:iCs/>
        </w:rPr>
        <w:t>i</w:t>
      </w:r>
      <w:r w:rsidRPr="005425AD">
        <w:rPr>
          <w:i/>
          <w:iCs/>
        </w:rPr>
        <w:t>d.</w:t>
      </w:r>
      <w:r w:rsidRPr="005425AD">
        <w:t xml:space="preserve"> § 64.6305(d)(2)(ii), (e)(2)(ii).</w:t>
      </w:r>
    </w:p>
  </w:footnote>
  <w:footnote w:id="51">
    <w:p w:rsidR="00D205C8" w:rsidP="00D205C8" w14:paraId="525C6FE5" w14:textId="77777777">
      <w:pPr>
        <w:pStyle w:val="FootnoteText"/>
      </w:pPr>
      <w:r>
        <w:rPr>
          <w:rStyle w:val="FootnoteReference"/>
          <w:rFonts w:eastAsiaTheme="majorEastAsia"/>
        </w:rPr>
        <w:footnoteRef/>
      </w:r>
      <w:r>
        <w:t xml:space="preserve"> 47 CFR § 64.6305(d)(3)(ii), (e)(3)(ii), (f)(3)(ii) (each citing 47 CFR § 1.16).</w:t>
      </w:r>
    </w:p>
  </w:footnote>
  <w:footnote w:id="52">
    <w:p w:rsidR="00D205C8" w:rsidP="00D205C8" w14:paraId="3F3D8872" w14:textId="77777777">
      <w:pPr>
        <w:pStyle w:val="FootnoteText"/>
      </w:pPr>
      <w:r>
        <w:rPr>
          <w:rStyle w:val="FootnoteReference"/>
          <w:rFonts w:eastAsiaTheme="majorEastAsia"/>
        </w:rPr>
        <w:footnoteRef/>
      </w:r>
      <w:r>
        <w:t xml:space="preserve"> Aside from removing a deficient certification from the RMD, the Commission may impose a forfeiture on filers that submit false or inaccurate information in the RMD.  </w:t>
      </w:r>
      <w:r w:rsidRPr="00E63143">
        <w:rPr>
          <w:i/>
          <w:iCs/>
        </w:rPr>
        <w:t>See Improving the Effectiveness of the Robocall Mitigation Database, Amendment of Part 1 of the Commission’s Rules</w:t>
      </w:r>
      <w:r>
        <w:rPr>
          <w:i/>
          <w:iCs/>
        </w:rPr>
        <w:t>,</w:t>
      </w:r>
      <w:r w:rsidRPr="00E63143">
        <w:rPr>
          <w:i/>
          <w:iCs/>
        </w:rPr>
        <w:t xml:space="preserve"> Concerning Practice and Procedure, Amendment of CORES Registration System</w:t>
      </w:r>
      <w:r>
        <w:t>, WC Docket No. 24-213, MD Docket No., 10-234, Report and Order, FCC 24-135, at 8-9, para.  18 (Jan. 8, 2025) (adopting a $10,000 base forfeiture for submitting false or inaccurate information to the RMD).</w:t>
      </w:r>
    </w:p>
  </w:footnote>
  <w:footnote w:id="53">
    <w:p w:rsidR="00AB371E" w:rsidRPr="005425AD" w:rsidP="00AB371E" w14:paraId="68ED75D2" w14:textId="1645E1A5">
      <w:pPr>
        <w:pStyle w:val="FootnoteText"/>
      </w:pPr>
      <w:r w:rsidRPr="005425AD">
        <w:rPr>
          <w:rStyle w:val="FootnoteReference"/>
          <w:rFonts w:eastAsiaTheme="majorEastAsia"/>
        </w:rPr>
        <w:footnoteRef/>
      </w:r>
      <w:r w:rsidRPr="005425AD">
        <w:t xml:space="preserve"> </w:t>
      </w:r>
      <w:r w:rsidRPr="005425AD">
        <w:rPr>
          <w:i/>
          <w:iCs/>
        </w:rPr>
        <w:t>See</w:t>
      </w:r>
      <w:r w:rsidRPr="005425AD">
        <w:t xml:space="preserve"> </w:t>
      </w:r>
      <w:r>
        <w:rPr>
          <w:i/>
          <w:iCs/>
        </w:rPr>
        <w:t>Second Caller ID Authentication Order</w:t>
      </w:r>
      <w:r w:rsidRPr="005425AD">
        <w:t>,</w:t>
      </w:r>
      <w:r>
        <w:t xml:space="preserve"> </w:t>
      </w:r>
      <w:r>
        <w:rPr>
          <w:i/>
          <w:iCs/>
        </w:rPr>
        <w:t>supra</w:t>
      </w:r>
      <w:r>
        <w:t xml:space="preserve"> note </w:t>
      </w:r>
      <w:r w:rsidR="00506182">
        <w:fldChar w:fldCharType="begin"/>
      </w:r>
      <w:r w:rsidR="00506182">
        <w:instrText xml:space="preserve"> NOTEREF _Ref209173982 \h </w:instrText>
      </w:r>
      <w:r w:rsidR="00506182">
        <w:fldChar w:fldCharType="separate"/>
      </w:r>
      <w:r w:rsidR="00506182">
        <w:t>14</w:t>
      </w:r>
      <w:r w:rsidR="00506182">
        <w:fldChar w:fldCharType="end"/>
      </w:r>
      <w:r>
        <w:t>,</w:t>
      </w:r>
      <w:r w:rsidRPr="005425AD">
        <w:t xml:space="preserve"> 36 FCC Rcd </w:t>
      </w:r>
      <w:r>
        <w:t>at</w:t>
      </w:r>
      <w:r>
        <w:t xml:space="preserve"> </w:t>
      </w:r>
      <w:r w:rsidRPr="005425AD">
        <w:t>190</w:t>
      </w:r>
      <w:r>
        <w:t>3</w:t>
      </w:r>
      <w:r w:rsidRPr="005425AD">
        <w:t xml:space="preserve">, para. 83 (2020) (noting that if a certification “is deficient in some way,” the Commission may take enforcement action as appropriate, including “removing a defective certification from the database after providing notice to the voice service provider and an opportunity to cure the filing”); </w:t>
      </w:r>
      <w:r>
        <w:rPr>
          <w:i/>
          <w:iCs/>
        </w:rPr>
        <w:t>Gateway Provider Order</w:t>
      </w:r>
      <w:r w:rsidRPr="005425AD">
        <w:t>,</w:t>
      </w:r>
      <w:r>
        <w:t xml:space="preserve"> </w:t>
      </w:r>
      <w:r>
        <w:rPr>
          <w:i/>
          <w:iCs/>
        </w:rPr>
        <w:t>supra</w:t>
      </w:r>
      <w:r>
        <w:t xml:space="preserve"> note </w:t>
      </w:r>
      <w:r w:rsidR="00812EEF">
        <w:fldChar w:fldCharType="begin"/>
      </w:r>
      <w:r w:rsidR="00812EEF">
        <w:instrText xml:space="preserve"> NOTEREF _Ref209173913 \h </w:instrText>
      </w:r>
      <w:r w:rsidR="00812EEF">
        <w:fldChar w:fldCharType="separate"/>
      </w:r>
      <w:r w:rsidR="00812EEF">
        <w:t>8</w:t>
      </w:r>
      <w:r w:rsidR="00812EEF">
        <w:fldChar w:fldCharType="end"/>
      </w:r>
      <w:r>
        <w:t xml:space="preserve">, </w:t>
      </w:r>
      <w:r w:rsidRPr="005425AD">
        <w:t xml:space="preserve">37 FCC Rcd </w:t>
      </w:r>
      <w:r>
        <w:t xml:space="preserve">at </w:t>
      </w:r>
      <w:r w:rsidRPr="005425AD">
        <w:t>68</w:t>
      </w:r>
      <w:r>
        <w:t>82</w:t>
      </w:r>
      <w:r w:rsidRPr="005425AD">
        <w:t xml:space="preserve">, para. </w:t>
      </w:r>
      <w:r>
        <w:t>4</w:t>
      </w:r>
      <w:r w:rsidRPr="005425AD">
        <w:t xml:space="preserve">0 (noting that the rule applies to gateway providers as well as voice service providers); </w:t>
      </w:r>
      <w:r w:rsidRPr="005425AD">
        <w:rPr>
          <w:i/>
          <w:iCs/>
        </w:rPr>
        <w:t>see also</w:t>
      </w:r>
      <w:r w:rsidRPr="005425AD">
        <w:t xml:space="preserve"> </w:t>
      </w:r>
      <w:r w:rsidRPr="000B0D86">
        <w:rPr>
          <w:i/>
          <w:iCs/>
        </w:rPr>
        <w:t>Sixth</w:t>
      </w:r>
      <w:r>
        <w:t xml:space="preserve"> </w:t>
      </w:r>
      <w:r w:rsidRPr="005425AD">
        <w:rPr>
          <w:i/>
          <w:iCs/>
        </w:rPr>
        <w:t>Call</w:t>
      </w:r>
      <w:r>
        <w:rPr>
          <w:i/>
          <w:iCs/>
        </w:rPr>
        <w:t>er ID</w:t>
      </w:r>
      <w:r w:rsidRPr="005425AD">
        <w:rPr>
          <w:i/>
          <w:iCs/>
        </w:rPr>
        <w:t xml:space="preserve"> Authentication </w:t>
      </w:r>
      <w:r>
        <w:rPr>
          <w:i/>
          <w:iCs/>
        </w:rPr>
        <w:t>Order</w:t>
      </w:r>
      <w:r w:rsidRPr="005425AD">
        <w:t xml:space="preserve">, </w:t>
      </w:r>
      <w:r w:rsidRPr="00010D61" w:rsidR="00010D61">
        <w:rPr>
          <w:i/>
          <w:iCs/>
        </w:rPr>
        <w:t>supra</w:t>
      </w:r>
      <w:r w:rsidR="00010D61">
        <w:rPr>
          <w:i/>
          <w:iCs/>
        </w:rPr>
        <w:t xml:space="preserve"> </w:t>
      </w:r>
      <w:r w:rsidR="00010D61">
        <w:t xml:space="preserve">note </w:t>
      </w:r>
      <w:r w:rsidR="007070E6">
        <w:fldChar w:fldCharType="begin"/>
      </w:r>
      <w:r w:rsidR="007070E6">
        <w:instrText xml:space="preserve"> NOTEREF _Ref219993126 \h </w:instrText>
      </w:r>
      <w:r w:rsidR="007070E6">
        <w:fldChar w:fldCharType="separate"/>
      </w:r>
      <w:r w:rsidR="007070E6">
        <w:t>4</w:t>
      </w:r>
      <w:r w:rsidR="007070E6">
        <w:fldChar w:fldCharType="end"/>
      </w:r>
      <w:r w:rsidR="007070E6">
        <w:t xml:space="preserve">, </w:t>
      </w:r>
      <w:r w:rsidRPr="004D26A9">
        <w:t xml:space="preserve">38 </w:t>
      </w:r>
      <w:r>
        <w:t>FCC Rcd at 2573, 2590</w:t>
      </w:r>
      <w:r w:rsidRPr="005425AD">
        <w:t>, para. 31 (2023)</w:t>
      </w:r>
      <w:r>
        <w:t xml:space="preserve"> </w:t>
      </w:r>
      <w:r w:rsidRPr="005425AD">
        <w:t>(“[A] provider’s program is ‘sufficient if it includes detailed practices that can reasonably be expected to significantly reduce’ the carrying or processing (for intermediate providers) or origination (for voice service providers) of illegal robocalls.  Each provider ‘must comply with the practices’ that its program requires, and its program is insufficient if the provider ‘knowingly or through negligence’ carries or processes calls (for intermediate providers) or originates (for voice service providers) unlawful robocall campaigns.” (citations omitted)).</w:t>
      </w:r>
    </w:p>
  </w:footnote>
  <w:footnote w:id="54">
    <w:p w:rsidR="0020335A" w:rsidRPr="009A40C6" w:rsidP="0020335A" w14:paraId="63E753C2" w14:textId="6F5E0E56">
      <w:pPr>
        <w:pStyle w:val="FootnoteText"/>
      </w:pPr>
      <w:r w:rsidRPr="009A40C6">
        <w:rPr>
          <w:rStyle w:val="FootnoteReference"/>
          <w:rFonts w:eastAsiaTheme="majorEastAsia"/>
        </w:rPr>
        <w:footnoteRef/>
      </w:r>
      <w:r w:rsidRPr="009A40C6">
        <w:t xml:space="preserve"> </w:t>
      </w:r>
      <w:r w:rsidRPr="00E62FE7">
        <w:rPr>
          <w:i/>
          <w:iCs/>
        </w:rPr>
        <w:t xml:space="preserve">See </w:t>
      </w:r>
      <w:r w:rsidRPr="00786F34">
        <w:rPr>
          <w:i/>
          <w:iCs/>
        </w:rPr>
        <w:t>Sixth Caller ID Authentication Order</w:t>
      </w:r>
      <w:r w:rsidRPr="00786F34">
        <w:t xml:space="preserve">, </w:t>
      </w:r>
      <w:r w:rsidRPr="00FC3B5F">
        <w:rPr>
          <w:i/>
          <w:iCs/>
        </w:rPr>
        <w:t>supra</w:t>
      </w:r>
      <w:r>
        <w:t xml:space="preserve"> note</w:t>
      </w:r>
      <w:r w:rsidR="00481D1B">
        <w:t xml:space="preserve"> </w:t>
      </w:r>
      <w:r w:rsidR="007070E6">
        <w:fldChar w:fldCharType="begin"/>
      </w:r>
      <w:r w:rsidR="007070E6">
        <w:instrText xml:space="preserve"> NOTEREF _Ref219993126 \h </w:instrText>
      </w:r>
      <w:r w:rsidR="007070E6">
        <w:fldChar w:fldCharType="separate"/>
      </w:r>
      <w:r w:rsidR="007070E6">
        <w:t>4</w:t>
      </w:r>
      <w:r w:rsidR="007070E6">
        <w:fldChar w:fldCharType="end"/>
      </w:r>
      <w:r>
        <w:t xml:space="preserve">, </w:t>
      </w:r>
      <w:r w:rsidRPr="00350076">
        <w:t>at 2604-05, para. 62</w:t>
      </w:r>
      <w:r>
        <w:t xml:space="preserve"> (setting out the two-step expedited procedure and explaining that it applies to situations where a provider “has ‘willfully’ violated its Robocall Mitigation Database filing obligation within the meaning of that term in section 9(b) of the Administrative Procedure Act (APA), 5 U.S.C. § 558(c), which applies to revocation of licenses”); </w:t>
      </w:r>
      <w:r w:rsidRPr="0044070C">
        <w:rPr>
          <w:i/>
          <w:iCs/>
        </w:rPr>
        <w:t>Coosemans</w:t>
      </w:r>
      <w:r w:rsidRPr="0044070C">
        <w:rPr>
          <w:i/>
          <w:iCs/>
        </w:rPr>
        <w:t xml:space="preserve"> Specialties, Inc. v. </w:t>
      </w:r>
      <w:r w:rsidRPr="0044070C">
        <w:rPr>
          <w:i/>
          <w:iCs/>
        </w:rPr>
        <w:t>Dep’t</w:t>
      </w:r>
      <w:r w:rsidRPr="0044070C">
        <w:rPr>
          <w:i/>
          <w:iCs/>
        </w:rPr>
        <w:t xml:space="preserve"> of Agric</w:t>
      </w:r>
      <w:r w:rsidRPr="0044070C">
        <w:t xml:space="preserve">., 482 F.3d 560, 567 (D.C. Cir. 2007) (“[A]n action [under 5 U.S.C. § 558(c)] is willful if a prohibited act is done intentionally, irrespective of evil intent, or done with careless disregard of statutory requirements.”) (quoting </w:t>
      </w:r>
      <w:r w:rsidRPr="0044070C">
        <w:rPr>
          <w:i/>
          <w:iCs/>
        </w:rPr>
        <w:t>Finer Foods Sales Co. v. Block</w:t>
      </w:r>
      <w:r w:rsidRPr="0044070C">
        <w:t>, 708 F.2d 774, 778 (D.C. Cir. 1983))</w:t>
      </w:r>
      <w:r w:rsidRPr="004E1C81">
        <w:t>.</w:t>
      </w:r>
    </w:p>
  </w:footnote>
  <w:footnote w:id="55">
    <w:p w:rsidR="0020335A" w:rsidRPr="00C923FE" w:rsidP="0020335A" w14:paraId="3C853389" w14:textId="6AF93E32">
      <w:pPr>
        <w:pStyle w:val="FootnoteText"/>
      </w:pPr>
      <w:r w:rsidRPr="00E62FE7">
        <w:rPr>
          <w:rStyle w:val="FootnoteReference"/>
          <w:rFonts w:eastAsiaTheme="majorEastAsia"/>
        </w:rPr>
        <w:footnoteRef/>
      </w:r>
      <w:r w:rsidRPr="00E62FE7">
        <w:t xml:space="preserve"> </w:t>
      </w:r>
      <w:r w:rsidRPr="00E62FE7">
        <w:rPr>
          <w:i/>
          <w:iCs/>
        </w:rPr>
        <w:t xml:space="preserve">See </w:t>
      </w:r>
      <w:r w:rsidRPr="00786F34">
        <w:rPr>
          <w:i/>
          <w:iCs/>
        </w:rPr>
        <w:t>Sixth Caller ID Authentication Order</w:t>
      </w:r>
      <w:r w:rsidRPr="00786F34">
        <w:t xml:space="preserve">, </w:t>
      </w:r>
      <w:r w:rsidRPr="00FC3B5F">
        <w:rPr>
          <w:i/>
          <w:iCs/>
        </w:rPr>
        <w:t>supra</w:t>
      </w:r>
      <w:r>
        <w:t xml:space="preserve"> note</w:t>
      </w:r>
      <w:r w:rsidR="002758DC">
        <w:t xml:space="preserve"> </w:t>
      </w:r>
      <w:r w:rsidR="00E816D2">
        <w:fldChar w:fldCharType="begin"/>
      </w:r>
      <w:r w:rsidR="00E816D2">
        <w:instrText xml:space="preserve"> NOTEREF _Ref219993126 \h </w:instrText>
      </w:r>
      <w:r w:rsidR="00E816D2">
        <w:fldChar w:fldCharType="separate"/>
      </w:r>
      <w:r w:rsidR="00E816D2">
        <w:t>4</w:t>
      </w:r>
      <w:r w:rsidR="00E816D2">
        <w:fldChar w:fldCharType="end"/>
      </w:r>
      <w:r>
        <w:t xml:space="preserve">, </w:t>
      </w:r>
      <w:r w:rsidRPr="00C923FE">
        <w:t xml:space="preserve">at 2605, para. </w:t>
      </w:r>
      <w:r>
        <w:t>6</w:t>
      </w:r>
      <w:r w:rsidRPr="00C923FE">
        <w:t>2.</w:t>
      </w:r>
    </w:p>
  </w:footnote>
  <w:footnote w:id="56">
    <w:p w:rsidR="0020335A" w:rsidRPr="00E95632" w:rsidP="0020335A" w14:paraId="5D16E47C" w14:textId="77777777">
      <w:pPr>
        <w:pStyle w:val="FootnoteText"/>
      </w:pPr>
      <w:r w:rsidRPr="00E62FE7">
        <w:rPr>
          <w:rStyle w:val="FootnoteReference"/>
          <w:rFonts w:eastAsiaTheme="majorEastAsia"/>
        </w:rPr>
        <w:footnoteRef/>
      </w:r>
      <w:r w:rsidRPr="00E62FE7">
        <w:t xml:space="preserve"> </w:t>
      </w:r>
      <w:r w:rsidRPr="00E62FE7">
        <w:rPr>
          <w:i/>
          <w:iCs/>
        </w:rPr>
        <w:t>See</w:t>
      </w:r>
      <w:r w:rsidRPr="00E62FE7">
        <w:t xml:space="preserve"> </w:t>
      </w:r>
      <w:r w:rsidRPr="00E62FE7">
        <w:rPr>
          <w:rStyle w:val="boolean-control"/>
          <w:i/>
          <w:iCs/>
        </w:rPr>
        <w:t>id.</w:t>
      </w:r>
      <w:r w:rsidRPr="00E95632">
        <w:rPr>
          <w:rStyle w:val="boolean-control"/>
        </w:rPr>
        <w:t xml:space="preserve"> </w:t>
      </w:r>
    </w:p>
  </w:footnote>
  <w:footnote w:id="57">
    <w:p w:rsidR="00305169" w14:paraId="351C5304" w14:textId="293021E6">
      <w:pPr>
        <w:pStyle w:val="FootnoteText"/>
      </w:pPr>
      <w:r>
        <w:rPr>
          <w:rStyle w:val="FootnoteReference"/>
        </w:rPr>
        <w:footnoteRef/>
      </w:r>
      <w:r>
        <w:t xml:space="preserve"> </w:t>
      </w:r>
      <w:r w:rsidRPr="0046018D">
        <w:rPr>
          <w:i/>
          <w:iCs/>
        </w:rPr>
        <w:t>Coosemans</w:t>
      </w:r>
      <w:r w:rsidRPr="0046018D">
        <w:rPr>
          <w:i/>
          <w:iCs/>
        </w:rPr>
        <w:t xml:space="preserve"> Specialties, Inc. v. </w:t>
      </w:r>
      <w:r w:rsidRPr="0046018D">
        <w:rPr>
          <w:i/>
          <w:iCs/>
        </w:rPr>
        <w:t>Dep’t</w:t>
      </w:r>
      <w:r w:rsidRPr="0046018D">
        <w:rPr>
          <w:i/>
          <w:iCs/>
        </w:rPr>
        <w:t xml:space="preserve"> of Agric.</w:t>
      </w:r>
      <w:r w:rsidRPr="0046018D">
        <w:t xml:space="preserve">, 482 F.3d 560, 567 (D.C. Cir. 2007) (quoting </w:t>
      </w:r>
      <w:r w:rsidRPr="0046018D">
        <w:rPr>
          <w:i/>
          <w:iCs/>
        </w:rPr>
        <w:t xml:space="preserve">Finer Foods Sales Co. v. Block, </w:t>
      </w:r>
      <w:r w:rsidRPr="0046018D">
        <w:t>708 F.2d 774, 778 (D.C.Cir.1983)). </w:t>
      </w:r>
    </w:p>
  </w:footnote>
  <w:footnote w:id="58">
    <w:p w:rsidR="002D36BE" w:rsidRPr="005425AD" w:rsidP="002D36BE" w14:paraId="47159301" w14:textId="77777777">
      <w:pPr>
        <w:pStyle w:val="FootnoteText"/>
      </w:pPr>
      <w:r w:rsidRPr="005425AD">
        <w:rPr>
          <w:rStyle w:val="FootnoteReference"/>
          <w:rFonts w:eastAsiaTheme="majorEastAsia"/>
        </w:rPr>
        <w:footnoteRef/>
      </w:r>
      <w:r w:rsidRPr="005425AD">
        <w:t xml:space="preserve"> </w:t>
      </w:r>
      <w:r w:rsidRPr="005425AD">
        <w:rPr>
          <w:i/>
          <w:iCs/>
        </w:rPr>
        <w:t>See</w:t>
      </w:r>
      <w:r w:rsidRPr="005425AD">
        <w:t xml:space="preserve"> </w:t>
      </w:r>
      <w:r>
        <w:t>Belthrough (No. RMD0015088), FCC</w:t>
      </w:r>
      <w:r w:rsidRPr="001E3B9B">
        <w:t xml:space="preserve">, Robocall Mitigation Database (filed </w:t>
      </w:r>
      <w:r>
        <w:t xml:space="preserve">Mar. 11, 2025), </w:t>
      </w:r>
      <w:hyperlink r:id="rId4" w:history="1">
        <w:r w:rsidRPr="004612C0">
          <w:rPr>
            <w:rStyle w:val="Hyperlink"/>
          </w:rPr>
          <w:t>https://fccprod.servicenowservices.com/rmd?id=rmd_form&amp;table=x_g_fmc_rmd_robocall_mitigation_database&amp;sys_id=b058b2201b30b5103c7943bae54bcb27&amp;view=sp</w:t>
        </w:r>
      </w:hyperlink>
      <w:r>
        <w:t xml:space="preserve">.  </w:t>
      </w:r>
    </w:p>
  </w:footnote>
  <w:footnote w:id="59">
    <w:p w:rsidR="005C7A08" w14:paraId="66FF11E4" w14:textId="38E580CE">
      <w:pPr>
        <w:pStyle w:val="FootnoteText"/>
      </w:pPr>
      <w:r>
        <w:rPr>
          <w:rStyle w:val="FootnoteReference"/>
        </w:rPr>
        <w:footnoteRef/>
      </w:r>
      <w:r>
        <w:t xml:space="preserve"> </w:t>
      </w:r>
      <w:r w:rsidRPr="00F47C3D">
        <w:t xml:space="preserve">Notice, </w:t>
      </w:r>
      <w:r w:rsidRPr="003D7CA4" w:rsidR="005520B6">
        <w:t>202</w:t>
      </w:r>
      <w:r w:rsidR="005520B6">
        <w:t>5</w:t>
      </w:r>
      <w:r w:rsidRPr="003D7CA4" w:rsidR="005520B6">
        <w:t xml:space="preserve"> WL </w:t>
      </w:r>
      <w:r w:rsidR="005520B6">
        <w:t>2622184</w:t>
      </w:r>
      <w:r w:rsidR="002A0A09">
        <w:t>,</w:t>
      </w:r>
      <w:r w:rsidR="00224E21">
        <w:t xml:space="preserve"> </w:t>
      </w:r>
      <w:r w:rsidRPr="00F47C3D">
        <w:rPr>
          <w:i/>
          <w:iCs/>
        </w:rPr>
        <w:t>supra</w:t>
      </w:r>
      <w:r w:rsidRPr="00F47C3D">
        <w:t xml:space="preserve"> note </w:t>
      </w:r>
      <w:r w:rsidR="001E40BC">
        <w:fldChar w:fldCharType="begin"/>
      </w:r>
      <w:r w:rsidR="001E40BC">
        <w:instrText xml:space="preserve"> NOTEREF _Ref209539652 \h </w:instrText>
      </w:r>
      <w:r w:rsidR="001E40BC">
        <w:fldChar w:fldCharType="separate"/>
      </w:r>
      <w:r w:rsidR="00481D1B">
        <w:t>1</w:t>
      </w:r>
      <w:r w:rsidR="001E40BC">
        <w:fldChar w:fldCharType="end"/>
      </w:r>
      <w:r w:rsidRPr="00F47C3D">
        <w:t xml:space="preserve">, at </w:t>
      </w:r>
      <w:r w:rsidR="005520B6">
        <w:t>*</w:t>
      </w:r>
      <w:r>
        <w:t>6</w:t>
      </w:r>
      <w:r w:rsidRPr="00F47C3D">
        <w:t>.</w:t>
      </w:r>
    </w:p>
  </w:footnote>
  <w:footnote w:id="60">
    <w:p w:rsidR="00432A79" w14:paraId="37212E03" w14:textId="11EE4060">
      <w:pPr>
        <w:pStyle w:val="FootnoteText"/>
      </w:pPr>
      <w:r>
        <w:rPr>
          <w:rStyle w:val="FootnoteReference"/>
        </w:rPr>
        <w:footnoteRef/>
      </w:r>
      <w:r w:rsidR="008C52C5">
        <w:t xml:space="preserve"> </w:t>
      </w:r>
      <w:r w:rsidRPr="002B60BF" w:rsidR="002B60BF">
        <w:t>Certified Mail Return Receipt</w:t>
      </w:r>
      <w:r w:rsidR="002B60BF">
        <w:t xml:space="preserve">, </w:t>
      </w:r>
      <w:r w:rsidR="002B60BF">
        <w:rPr>
          <w:i/>
          <w:iCs/>
        </w:rPr>
        <w:t xml:space="preserve">supra </w:t>
      </w:r>
      <w:r w:rsidR="002B60BF">
        <w:t>note</w:t>
      </w:r>
      <w:r w:rsidR="008C52C5">
        <w:t xml:space="preserve"> </w:t>
      </w:r>
      <w:r w:rsidR="0015674B">
        <w:fldChar w:fldCharType="begin"/>
      </w:r>
      <w:r w:rsidR="0015674B">
        <w:instrText xml:space="preserve"> NOTEREF _Ref216883933 \h </w:instrText>
      </w:r>
      <w:r w:rsidR="0015674B">
        <w:fldChar w:fldCharType="separate"/>
      </w:r>
      <w:r w:rsidR="0015674B">
        <w:t>32</w:t>
      </w:r>
      <w:r w:rsidR="0015674B">
        <w:fldChar w:fldCharType="end"/>
      </w:r>
      <w:r w:rsidR="002B60BF">
        <w:t>.</w:t>
      </w:r>
    </w:p>
  </w:footnote>
  <w:footnote w:id="61">
    <w:p w:rsidR="00AB371E" w:rsidRPr="007101A4" w14:paraId="18D1C5F2" w14:textId="0D6F8E46">
      <w:pPr>
        <w:pStyle w:val="FootnoteText"/>
        <w:rPr>
          <w:lang w:val="pt-BR"/>
        </w:rPr>
      </w:pPr>
      <w:r>
        <w:rPr>
          <w:rStyle w:val="FootnoteReference"/>
        </w:rPr>
        <w:footnoteRef/>
      </w:r>
      <w:r w:rsidRPr="00D045E0" w:rsidR="008C52C5">
        <w:rPr>
          <w:lang w:val="pt-BR"/>
        </w:rPr>
        <w:t xml:space="preserve"> </w:t>
      </w:r>
      <w:r w:rsidRPr="00D045E0" w:rsidR="00807A70">
        <w:rPr>
          <w:lang w:val="pt-BR"/>
        </w:rPr>
        <w:t xml:space="preserve">ITG </w:t>
      </w:r>
      <w:r w:rsidRPr="00D045E0" w:rsidR="00B82BFE">
        <w:rPr>
          <w:lang w:val="pt-BR"/>
        </w:rPr>
        <w:t>Nov</w:t>
      </w:r>
      <w:r w:rsidRPr="00D045E0" w:rsidR="008B2771">
        <w:rPr>
          <w:lang w:val="pt-BR"/>
        </w:rPr>
        <w:t xml:space="preserve">. </w:t>
      </w:r>
      <w:r w:rsidRPr="00D045E0" w:rsidR="00B82BFE">
        <w:rPr>
          <w:lang w:val="pt-BR"/>
        </w:rPr>
        <w:t xml:space="preserve">2025 </w:t>
      </w:r>
      <w:r w:rsidRPr="00D045E0" w:rsidR="00B82BFE">
        <w:rPr>
          <w:lang w:val="pt-BR"/>
        </w:rPr>
        <w:t xml:space="preserve">Response, </w:t>
      </w:r>
      <w:r w:rsidRPr="00D045E0" w:rsidR="00B82BFE">
        <w:rPr>
          <w:i/>
          <w:iCs/>
          <w:lang w:val="pt-BR"/>
        </w:rPr>
        <w:t xml:space="preserve">supra </w:t>
      </w:r>
      <w:r w:rsidRPr="00D045E0" w:rsidR="00B82BFE">
        <w:rPr>
          <w:lang w:val="pt-BR"/>
        </w:rPr>
        <w:t>note</w:t>
      </w:r>
      <w:r w:rsidR="004F6212">
        <w:rPr>
          <w:lang w:val="pt-BR"/>
        </w:rPr>
        <w:t xml:space="preserve"> </w:t>
      </w:r>
      <w:r w:rsidR="004F6212">
        <w:rPr>
          <w:lang w:val="pt-BR"/>
        </w:rPr>
        <w:fldChar w:fldCharType="begin"/>
      </w:r>
      <w:r w:rsidR="004F6212">
        <w:rPr>
          <w:lang w:val="pt-BR"/>
        </w:rPr>
        <w:instrText xml:space="preserve"> NOTEREF _Ref216883920 \h </w:instrText>
      </w:r>
      <w:r w:rsidR="004F6212">
        <w:rPr>
          <w:lang w:val="pt-BR"/>
        </w:rPr>
        <w:fldChar w:fldCharType="separate"/>
      </w:r>
      <w:r w:rsidR="004F6212">
        <w:rPr>
          <w:lang w:val="pt-BR"/>
        </w:rPr>
        <w:t>34</w:t>
      </w:r>
      <w:r w:rsidR="004F6212">
        <w:rPr>
          <w:lang w:val="pt-BR"/>
        </w:rPr>
        <w:fldChar w:fldCharType="end"/>
      </w:r>
      <w:r w:rsidRPr="007101A4" w:rsidR="000E1757">
        <w:rPr>
          <w:lang w:val="pt-BR"/>
        </w:rPr>
        <w:t>.</w:t>
      </w:r>
    </w:p>
  </w:footnote>
  <w:footnote w:id="62">
    <w:p w:rsidR="00F44E88" w:rsidP="00F44E88" w14:paraId="0B729C49" w14:textId="1FBE11F9">
      <w:pPr>
        <w:pStyle w:val="FootnoteText"/>
      </w:pPr>
      <w:r>
        <w:rPr>
          <w:rStyle w:val="FootnoteReference"/>
        </w:rPr>
        <w:footnoteRef/>
      </w:r>
      <w:r>
        <w:t xml:space="preserve"> </w:t>
      </w:r>
      <w:r>
        <w:rPr>
          <w:i/>
          <w:iCs/>
        </w:rPr>
        <w:t>See Second Caller ID Authentication Order</w:t>
      </w:r>
      <w:r>
        <w:t>,</w:t>
      </w:r>
      <w:r w:rsidRPr="00E34A15">
        <w:rPr>
          <w:i/>
          <w:iCs/>
        </w:rPr>
        <w:t xml:space="preserve"> </w:t>
      </w:r>
      <w:r w:rsidRPr="00AC526C" w:rsidR="00AC526C">
        <w:rPr>
          <w:i/>
          <w:iCs/>
        </w:rPr>
        <w:t xml:space="preserve">supra </w:t>
      </w:r>
      <w:r w:rsidRPr="00FA42AC" w:rsidR="00AC526C">
        <w:t>note</w:t>
      </w:r>
      <w:r w:rsidR="00FA42AC">
        <w:t xml:space="preserve"> </w:t>
      </w:r>
      <w:r w:rsidR="00506182">
        <w:fldChar w:fldCharType="begin"/>
      </w:r>
      <w:r w:rsidR="00506182">
        <w:instrText xml:space="preserve"> NOTEREF _Ref209173982 \h </w:instrText>
      </w:r>
      <w:r w:rsidR="00506182">
        <w:fldChar w:fldCharType="separate"/>
      </w:r>
      <w:r w:rsidR="00506182">
        <w:t>14</w:t>
      </w:r>
      <w:r w:rsidR="00506182">
        <w:fldChar w:fldCharType="end"/>
      </w:r>
      <w:r w:rsidR="00D52FF9">
        <w:t xml:space="preserve">, </w:t>
      </w:r>
      <w:r w:rsidRPr="00737486" w:rsidR="00737486">
        <w:t>36 FCC Rcd</w:t>
      </w:r>
      <w:r>
        <w:t xml:space="preserve"> </w:t>
      </w:r>
      <w:r>
        <w:t>at</w:t>
      </w:r>
      <w:r>
        <w:t xml:space="preserve"> 1903, para. 83 (“Enforcement Actions may include, among others, removing a defective certification from the database after providing notice to the voice service provider and an opportunity to cure the filing </w:t>
      </w:r>
      <w:r>
        <w:t>. . . .</w:t>
      </w:r>
      <w:r>
        <w:t>”).</w:t>
      </w:r>
    </w:p>
  </w:footnote>
  <w:footnote w:id="63">
    <w:p w:rsidR="00F44E88" w:rsidP="00F44E88" w14:paraId="46E26580" w14:textId="6F5DFA29">
      <w:pPr>
        <w:pStyle w:val="FootnoteText"/>
      </w:pPr>
      <w:r>
        <w:rPr>
          <w:rStyle w:val="FootnoteReference"/>
        </w:rPr>
        <w:footnoteRef/>
      </w:r>
      <w:r>
        <w:t xml:space="preserve"> 47 CFR §§ 64</w:t>
      </w:r>
      <w:r w:rsidR="00C06187">
        <w:t>.</w:t>
      </w:r>
      <w:r>
        <w:t>1200(n)(1); 64.6305(d)(2)(iii).</w:t>
      </w:r>
    </w:p>
  </w:footnote>
  <w:footnote w:id="64">
    <w:p w:rsidR="00B40CBB" w14:paraId="08A4B14C" w14:textId="09DD3196">
      <w:pPr>
        <w:pStyle w:val="FootnoteText"/>
      </w:pPr>
      <w:r>
        <w:rPr>
          <w:rStyle w:val="FootnoteReference"/>
        </w:rPr>
        <w:footnoteRef/>
      </w:r>
      <w:r>
        <w:t xml:space="preserve"> </w:t>
      </w:r>
      <w:r w:rsidR="005832E1">
        <w:t>While the Commission’s</w:t>
      </w:r>
      <w:r w:rsidR="008D181E">
        <w:t xml:space="preserve"> RMD</w:t>
      </w:r>
      <w:r w:rsidR="005832E1">
        <w:t xml:space="preserve"> rule</w:t>
      </w:r>
      <w:r w:rsidR="008D181E">
        <w:t>s</w:t>
      </w:r>
      <w:r w:rsidR="005832E1">
        <w:t xml:space="preserve"> require responses within 10 days, we are using our discretion to extend the response to 14 days</w:t>
      </w:r>
      <w:r w:rsidR="000A6EE3">
        <w:t xml:space="preserve"> in this instance</w:t>
      </w:r>
      <w:r w:rsidR="008D181E">
        <w:t xml:space="preserve"> consistent with the call blocking rules to allow Belthrough to submit a single consolidated response.</w:t>
      </w:r>
      <w:r w:rsidR="005832E1">
        <w:t xml:space="preserve"> </w:t>
      </w:r>
    </w:p>
  </w:footnote>
  <w:footnote w:id="65">
    <w:p w:rsidR="00F44E88" w:rsidP="00F44E88" w14:paraId="1CD2EDC7" w14:textId="01807341">
      <w:pPr>
        <w:pStyle w:val="FootnoteText"/>
      </w:pPr>
      <w:r>
        <w:rPr>
          <w:rStyle w:val="FootnoteReference"/>
        </w:rPr>
        <w:footnoteRef/>
      </w:r>
      <w:r>
        <w:t xml:space="preserve"> </w:t>
      </w:r>
      <w:r>
        <w:rPr>
          <w:i/>
          <w:iCs/>
        </w:rPr>
        <w:t xml:space="preserve">See </w:t>
      </w:r>
      <w:r w:rsidRPr="001E530E">
        <w:rPr>
          <w:i/>
          <w:iCs/>
        </w:rPr>
        <w:t>Sixth Caller ID Authentication Order</w:t>
      </w:r>
      <w:r>
        <w:t xml:space="preserve">, </w:t>
      </w:r>
      <w:r w:rsidRPr="00D52FF9" w:rsidR="00D52FF9">
        <w:rPr>
          <w:i/>
          <w:iCs/>
        </w:rPr>
        <w:t xml:space="preserve">supra </w:t>
      </w:r>
      <w:r w:rsidRPr="00D52FF9" w:rsidR="00D52FF9">
        <w:t>note</w:t>
      </w:r>
      <w:r w:rsidR="00330F00">
        <w:t xml:space="preserve"> </w:t>
      </w:r>
      <w:r w:rsidR="00330F00">
        <w:fldChar w:fldCharType="begin"/>
      </w:r>
      <w:r w:rsidR="00330F00">
        <w:instrText xml:space="preserve"> NOTEREF _Ref219993126 \h </w:instrText>
      </w:r>
      <w:r w:rsidR="00330F00">
        <w:fldChar w:fldCharType="separate"/>
      </w:r>
      <w:r w:rsidR="00330F00">
        <w:t>4</w:t>
      </w:r>
      <w:r w:rsidR="00330F00">
        <w:fldChar w:fldCharType="end"/>
      </w:r>
      <w:r w:rsidR="00FA42AC">
        <w:t xml:space="preserve"> </w:t>
      </w:r>
      <w:r w:rsidR="009A5939">
        <w:t xml:space="preserve">, </w:t>
      </w:r>
      <w:r w:rsidR="00B703C6">
        <w:t>38 FCC Rcd</w:t>
      </w:r>
      <w:r w:rsidRPr="004F0097">
        <w:t xml:space="preserve"> at </w:t>
      </w:r>
      <w:r w:rsidR="00737486">
        <w:t>2604</w:t>
      </w:r>
      <w:r>
        <w:t>,</w:t>
      </w:r>
      <w:r w:rsidRPr="004F0097">
        <w:t xml:space="preserve"> para. 60</w:t>
      </w:r>
      <w:r>
        <w:t xml:space="preserve">. </w:t>
      </w:r>
    </w:p>
  </w:footnote>
  <w:footnote w:id="66">
    <w:p w:rsidR="00F44E88" w:rsidRPr="00753306" w:rsidP="00F44E88" w14:paraId="62F8A9C8" w14:textId="77777777">
      <w:pPr>
        <w:pStyle w:val="FootnoteText"/>
      </w:pPr>
      <w:r>
        <w:rPr>
          <w:rStyle w:val="FootnoteReference"/>
        </w:rPr>
        <w:footnoteRef/>
      </w:r>
      <w:r>
        <w:t xml:space="preserve"> </w:t>
      </w:r>
      <w:r>
        <w:rPr>
          <w:i/>
          <w:iCs/>
        </w:rPr>
        <w:t>See id.</w:t>
      </w:r>
    </w:p>
  </w:footnote>
  <w:footnote w:id="67">
    <w:p w:rsidR="00F44E88" w:rsidP="00F44E88" w14:paraId="78964A39" w14:textId="77777777">
      <w:pPr>
        <w:pStyle w:val="FootnoteText"/>
      </w:pPr>
      <w:r>
        <w:rPr>
          <w:rStyle w:val="FootnoteReference"/>
        </w:rPr>
        <w:footnoteRef/>
      </w:r>
      <w:r>
        <w:t xml:space="preserve"> 47 CFR § 64.6305(g)(1).</w:t>
      </w:r>
    </w:p>
  </w:footnote>
  <w:footnote w:id="68">
    <w:p w:rsidR="008061DD" w:rsidRPr="002F20E2" w14:paraId="14E917AC" w14:textId="5860B511">
      <w:pPr>
        <w:pStyle w:val="FootnoteText"/>
      </w:pPr>
      <w:r w:rsidRPr="00F47C3D">
        <w:rPr>
          <w:rStyle w:val="FootnoteReference"/>
        </w:rPr>
        <w:footnoteRef/>
      </w:r>
      <w:r w:rsidRPr="00F47C3D">
        <w:t xml:space="preserve"> </w:t>
      </w:r>
      <w:r w:rsidRPr="00F52AD2" w:rsidR="00F52AD2">
        <w:rPr>
          <w:i/>
          <w:iCs/>
        </w:rPr>
        <w:t>Sixth Caller ID Authentication Order</w:t>
      </w:r>
      <w:r w:rsidRPr="00F52AD2" w:rsidR="00F52AD2">
        <w:t xml:space="preserve">, </w:t>
      </w:r>
      <w:r w:rsidRPr="00F52AD2" w:rsidR="00F52AD2">
        <w:rPr>
          <w:i/>
          <w:iCs/>
        </w:rPr>
        <w:t xml:space="preserve">supra </w:t>
      </w:r>
      <w:r w:rsidRPr="00F52AD2" w:rsidR="00F52AD2">
        <w:t xml:space="preserve">note </w:t>
      </w:r>
      <w:r w:rsidRPr="00F52AD2" w:rsidR="00F52AD2">
        <w:fldChar w:fldCharType="begin"/>
      </w:r>
      <w:r w:rsidRPr="00F52AD2" w:rsidR="00F52AD2">
        <w:instrText xml:space="preserve"> NOTEREF _Ref219993126 \h </w:instrText>
      </w:r>
      <w:r w:rsidRPr="00F52AD2" w:rsidR="00F52AD2">
        <w:fldChar w:fldCharType="separate"/>
      </w:r>
      <w:r w:rsidRPr="00F52AD2" w:rsidR="00F52AD2">
        <w:t>4</w:t>
      </w:r>
      <w:r w:rsidRPr="00F52AD2" w:rsidR="00F52AD2">
        <w:fldChar w:fldCharType="end"/>
      </w:r>
      <w:r w:rsidRPr="00F52AD2" w:rsidR="00F52AD2">
        <w:t xml:space="preserve"> , 38 FCC Rcd at 2604, para</w:t>
      </w:r>
      <w:r w:rsidR="00F52AD2">
        <w:t>s</w:t>
      </w:r>
      <w:r w:rsidRPr="00F52AD2" w:rsidR="00F52AD2">
        <w:t>. 60</w:t>
      </w:r>
      <w:r w:rsidR="00F52AD2">
        <w:t>-6</w:t>
      </w:r>
      <w:r w:rsidR="002F663F">
        <w:t>2</w:t>
      </w:r>
      <w:r w:rsidRPr="002F20E2" w:rsidR="00A60FF4">
        <w:t>.</w:t>
      </w:r>
      <w:r w:rsidRPr="002F20E2">
        <w:t xml:space="preserve">  </w:t>
      </w:r>
    </w:p>
  </w:footnote>
  <w:footnote w:id="69">
    <w:p w:rsidR="00880D20" w14:paraId="4D3DEF69" w14:textId="5563AB23">
      <w:pPr>
        <w:pStyle w:val="FootnoteText"/>
      </w:pPr>
      <w:r w:rsidRPr="002F20E2">
        <w:rPr>
          <w:rStyle w:val="FootnoteReference"/>
        </w:rPr>
        <w:footnoteRef/>
      </w:r>
      <w:r w:rsidRPr="002F20E2">
        <w:t xml:space="preserve"> 47 CFR § 64.1200(n)</w:t>
      </w:r>
      <w:r w:rsidRPr="002F20E2" w:rsidR="00A53C9E">
        <w:t>(</w:t>
      </w:r>
      <w:r w:rsidR="00145D04">
        <w:t>2</w:t>
      </w:r>
      <w:r w:rsidRPr="002F20E2" w:rsidR="00A53C9E">
        <w:t>)</w:t>
      </w:r>
      <w:r w:rsidRPr="002F20E2">
        <w:t>(i</w:t>
      </w:r>
      <w:r w:rsidRPr="002F20E2" w:rsidR="005A5D0E">
        <w:t>i</w:t>
      </w:r>
      <w:r w:rsidRPr="002F20E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C077CA" w14:paraId="40DF629C" w14:textId="46A047E2">
    <w:pPr>
      <w:pStyle w:val="Header"/>
    </w:pPr>
    <w:r>
      <w:tab/>
      <w:t>Federal Communications Commission</w:t>
    </w:r>
    <w:r>
      <w:tab/>
    </w:r>
    <w:r w:rsidR="00E4677C">
      <w:t xml:space="preserve">DA </w:t>
    </w:r>
    <w:r w:rsidRPr="00DC258D" w:rsidR="00DC258D">
      <w:t>26-172</w:t>
    </w:r>
  </w:p>
  <w:p w:rsidR="00D25FB5" w14:paraId="54D6D230"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609524164" name="Rectangle 609524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9524164"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w10:wrap anchorx="margin"/>
            </v:rect>
          </w:pict>
        </mc:Fallback>
      </mc:AlternateContent>
    </w:r>
  </w:p>
  <w:p w:rsidR="00D25FB5" w14:paraId="504A5B45"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C077CA" w14:paraId="57C01F14" w14:textId="3582043F">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085740193" name="Rectangle 1085740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574019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w10:wrap anchorx="margin"/>
            </v:rect>
          </w:pict>
        </mc:Fallback>
      </mc:AlternateContent>
    </w:r>
    <w:r>
      <w:tab/>
      <w:t>Federal Communications Commission</w:t>
    </w:r>
    <w:r>
      <w:tab/>
    </w:r>
    <w:r w:rsidRPr="00DC258D" w:rsidR="00E4677C">
      <w:rPr>
        <w:spacing w:val="-2"/>
      </w:rPr>
      <w:t xml:space="preserve">DA </w:t>
    </w:r>
    <w:r w:rsidRPr="00DC258D" w:rsidR="00DC258D">
      <w:rPr>
        <w:spacing w:val="-2"/>
      </w:rPr>
      <w:t>26-172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C6DBC"/>
    <w:multiLevelType w:val="hybridMultilevel"/>
    <w:tmpl w:val="7CF0A4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50F05E77"/>
    <w:multiLevelType w:val="hybridMultilevel"/>
    <w:tmpl w:val="84C26B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065298461">
    <w:abstractNumId w:val="2"/>
  </w:num>
  <w:num w:numId="2" w16cid:durableId="1872764609">
    <w:abstractNumId w:val="7"/>
  </w:num>
  <w:num w:numId="3" w16cid:durableId="950212195">
    <w:abstractNumId w:val="4"/>
  </w:num>
  <w:num w:numId="4" w16cid:durableId="1269777005">
    <w:abstractNumId w:val="5"/>
  </w:num>
  <w:num w:numId="5" w16cid:durableId="1325400462">
    <w:abstractNumId w:val="3"/>
  </w:num>
  <w:num w:numId="6" w16cid:durableId="987435082">
    <w:abstractNumId w:val="1"/>
  </w:num>
  <w:num w:numId="7" w16cid:durableId="6174008">
    <w:abstractNumId w:val="7"/>
  </w:num>
  <w:num w:numId="8" w16cid:durableId="399594169">
    <w:abstractNumId w:val="7"/>
  </w:num>
  <w:num w:numId="9" w16cid:durableId="681586636">
    <w:abstractNumId w:val="0"/>
  </w:num>
  <w:num w:numId="10" w16cid:durableId="434638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7C"/>
    <w:rsid w:val="00001187"/>
    <w:rsid w:val="00001C9F"/>
    <w:rsid w:val="00002069"/>
    <w:rsid w:val="0000245C"/>
    <w:rsid w:val="000024DA"/>
    <w:rsid w:val="00003608"/>
    <w:rsid w:val="00004810"/>
    <w:rsid w:val="00005735"/>
    <w:rsid w:val="00005966"/>
    <w:rsid w:val="000060FF"/>
    <w:rsid w:val="00006DB7"/>
    <w:rsid w:val="0000766A"/>
    <w:rsid w:val="000077A1"/>
    <w:rsid w:val="00010452"/>
    <w:rsid w:val="00010D61"/>
    <w:rsid w:val="00012294"/>
    <w:rsid w:val="00012CF2"/>
    <w:rsid w:val="00012DB6"/>
    <w:rsid w:val="00014169"/>
    <w:rsid w:val="000149B5"/>
    <w:rsid w:val="000157F7"/>
    <w:rsid w:val="00016B0E"/>
    <w:rsid w:val="00017032"/>
    <w:rsid w:val="00017590"/>
    <w:rsid w:val="00020410"/>
    <w:rsid w:val="0002060C"/>
    <w:rsid w:val="000215B2"/>
    <w:rsid w:val="000219D4"/>
    <w:rsid w:val="00023533"/>
    <w:rsid w:val="00023DC9"/>
    <w:rsid w:val="0002545B"/>
    <w:rsid w:val="00025710"/>
    <w:rsid w:val="00026883"/>
    <w:rsid w:val="00026D0D"/>
    <w:rsid w:val="00026F52"/>
    <w:rsid w:val="0002732C"/>
    <w:rsid w:val="00027476"/>
    <w:rsid w:val="00027485"/>
    <w:rsid w:val="000276B7"/>
    <w:rsid w:val="000311B4"/>
    <w:rsid w:val="00033003"/>
    <w:rsid w:val="000339E7"/>
    <w:rsid w:val="00034588"/>
    <w:rsid w:val="00035362"/>
    <w:rsid w:val="0003570F"/>
    <w:rsid w:val="00036039"/>
    <w:rsid w:val="00036652"/>
    <w:rsid w:val="000367A7"/>
    <w:rsid w:val="00036B72"/>
    <w:rsid w:val="00036E93"/>
    <w:rsid w:val="00037F90"/>
    <w:rsid w:val="00040581"/>
    <w:rsid w:val="000428A5"/>
    <w:rsid w:val="00044581"/>
    <w:rsid w:val="000445E1"/>
    <w:rsid w:val="00044866"/>
    <w:rsid w:val="0004566A"/>
    <w:rsid w:val="00050108"/>
    <w:rsid w:val="000510E0"/>
    <w:rsid w:val="0005202F"/>
    <w:rsid w:val="000523FF"/>
    <w:rsid w:val="000528FB"/>
    <w:rsid w:val="000534B8"/>
    <w:rsid w:val="00053DAB"/>
    <w:rsid w:val="0005460D"/>
    <w:rsid w:val="0005502A"/>
    <w:rsid w:val="000560A9"/>
    <w:rsid w:val="00057537"/>
    <w:rsid w:val="00057760"/>
    <w:rsid w:val="00060D1B"/>
    <w:rsid w:val="00060E7B"/>
    <w:rsid w:val="000628C9"/>
    <w:rsid w:val="00062F9D"/>
    <w:rsid w:val="00063A04"/>
    <w:rsid w:val="00063F68"/>
    <w:rsid w:val="000646D5"/>
    <w:rsid w:val="000659FA"/>
    <w:rsid w:val="00070264"/>
    <w:rsid w:val="000704C0"/>
    <w:rsid w:val="00070745"/>
    <w:rsid w:val="00070CC0"/>
    <w:rsid w:val="00071364"/>
    <w:rsid w:val="00071A2E"/>
    <w:rsid w:val="000724DF"/>
    <w:rsid w:val="00073082"/>
    <w:rsid w:val="00074476"/>
    <w:rsid w:val="00075378"/>
    <w:rsid w:val="00075631"/>
    <w:rsid w:val="00075635"/>
    <w:rsid w:val="00075F86"/>
    <w:rsid w:val="00080A2C"/>
    <w:rsid w:val="0008224E"/>
    <w:rsid w:val="00082B83"/>
    <w:rsid w:val="00083AD7"/>
    <w:rsid w:val="0008479D"/>
    <w:rsid w:val="0008540D"/>
    <w:rsid w:val="00086FB9"/>
    <w:rsid w:val="000875BF"/>
    <w:rsid w:val="00090557"/>
    <w:rsid w:val="00090BD6"/>
    <w:rsid w:val="00091F2B"/>
    <w:rsid w:val="000955CE"/>
    <w:rsid w:val="000960B2"/>
    <w:rsid w:val="000969E3"/>
    <w:rsid w:val="00096D8C"/>
    <w:rsid w:val="0009794D"/>
    <w:rsid w:val="00097ADF"/>
    <w:rsid w:val="000A066A"/>
    <w:rsid w:val="000A06CF"/>
    <w:rsid w:val="000A1007"/>
    <w:rsid w:val="000A15AE"/>
    <w:rsid w:val="000A392B"/>
    <w:rsid w:val="000A5501"/>
    <w:rsid w:val="000A5CE2"/>
    <w:rsid w:val="000A6A66"/>
    <w:rsid w:val="000A6EE3"/>
    <w:rsid w:val="000B0D86"/>
    <w:rsid w:val="000B2998"/>
    <w:rsid w:val="000B33E1"/>
    <w:rsid w:val="000B45F2"/>
    <w:rsid w:val="000B4ED1"/>
    <w:rsid w:val="000B5668"/>
    <w:rsid w:val="000C0B65"/>
    <w:rsid w:val="000C0FF3"/>
    <w:rsid w:val="000C31A9"/>
    <w:rsid w:val="000C4532"/>
    <w:rsid w:val="000D00C9"/>
    <w:rsid w:val="000D01C6"/>
    <w:rsid w:val="000D1114"/>
    <w:rsid w:val="000D1EAC"/>
    <w:rsid w:val="000D1F33"/>
    <w:rsid w:val="000D21E0"/>
    <w:rsid w:val="000D3364"/>
    <w:rsid w:val="000D3612"/>
    <w:rsid w:val="000D4F39"/>
    <w:rsid w:val="000D7539"/>
    <w:rsid w:val="000D7BB4"/>
    <w:rsid w:val="000D7E8E"/>
    <w:rsid w:val="000E05FE"/>
    <w:rsid w:val="000E0C75"/>
    <w:rsid w:val="000E1757"/>
    <w:rsid w:val="000E1A95"/>
    <w:rsid w:val="000E29DE"/>
    <w:rsid w:val="000E3D42"/>
    <w:rsid w:val="000E420A"/>
    <w:rsid w:val="000E66C5"/>
    <w:rsid w:val="000E6744"/>
    <w:rsid w:val="000E6F53"/>
    <w:rsid w:val="000E75F0"/>
    <w:rsid w:val="000E7BFC"/>
    <w:rsid w:val="000F23E9"/>
    <w:rsid w:val="000F2829"/>
    <w:rsid w:val="000F2C45"/>
    <w:rsid w:val="000F3FF6"/>
    <w:rsid w:val="000F4497"/>
    <w:rsid w:val="000F5005"/>
    <w:rsid w:val="000F5E34"/>
    <w:rsid w:val="000F6F50"/>
    <w:rsid w:val="000F77A5"/>
    <w:rsid w:val="00100BBE"/>
    <w:rsid w:val="00102440"/>
    <w:rsid w:val="0010284C"/>
    <w:rsid w:val="00102A65"/>
    <w:rsid w:val="00102D11"/>
    <w:rsid w:val="00102FFE"/>
    <w:rsid w:val="00103286"/>
    <w:rsid w:val="001035E8"/>
    <w:rsid w:val="00104B05"/>
    <w:rsid w:val="00105427"/>
    <w:rsid w:val="001056EA"/>
    <w:rsid w:val="00106DCC"/>
    <w:rsid w:val="00106EC6"/>
    <w:rsid w:val="00107E8C"/>
    <w:rsid w:val="00110355"/>
    <w:rsid w:val="00110891"/>
    <w:rsid w:val="00111BF3"/>
    <w:rsid w:val="0011213A"/>
    <w:rsid w:val="00112A1D"/>
    <w:rsid w:val="00113B69"/>
    <w:rsid w:val="00114462"/>
    <w:rsid w:val="00115D83"/>
    <w:rsid w:val="0011601A"/>
    <w:rsid w:val="001173A3"/>
    <w:rsid w:val="00117ECA"/>
    <w:rsid w:val="00121B0C"/>
    <w:rsid w:val="00121D7E"/>
    <w:rsid w:val="00121F8D"/>
    <w:rsid w:val="00121FED"/>
    <w:rsid w:val="0012224E"/>
    <w:rsid w:val="0012263F"/>
    <w:rsid w:val="0012272C"/>
    <w:rsid w:val="00122BD5"/>
    <w:rsid w:val="0012387A"/>
    <w:rsid w:val="001243F2"/>
    <w:rsid w:val="00125128"/>
    <w:rsid w:val="0012797E"/>
    <w:rsid w:val="0013200A"/>
    <w:rsid w:val="00132DFC"/>
    <w:rsid w:val="00133F79"/>
    <w:rsid w:val="0013412E"/>
    <w:rsid w:val="00134811"/>
    <w:rsid w:val="00134BBD"/>
    <w:rsid w:val="00135800"/>
    <w:rsid w:val="00136308"/>
    <w:rsid w:val="00137BF6"/>
    <w:rsid w:val="00141ACF"/>
    <w:rsid w:val="001423E1"/>
    <w:rsid w:val="00142B72"/>
    <w:rsid w:val="0014376F"/>
    <w:rsid w:val="001447CC"/>
    <w:rsid w:val="0014510D"/>
    <w:rsid w:val="001459CF"/>
    <w:rsid w:val="00145C33"/>
    <w:rsid w:val="00145D04"/>
    <w:rsid w:val="001462AD"/>
    <w:rsid w:val="00150751"/>
    <w:rsid w:val="00150E49"/>
    <w:rsid w:val="0015260C"/>
    <w:rsid w:val="0015296F"/>
    <w:rsid w:val="00152CD1"/>
    <w:rsid w:val="001540E0"/>
    <w:rsid w:val="001551DC"/>
    <w:rsid w:val="0015570D"/>
    <w:rsid w:val="00156330"/>
    <w:rsid w:val="0015674B"/>
    <w:rsid w:val="001570D7"/>
    <w:rsid w:val="00160B7A"/>
    <w:rsid w:val="00161B24"/>
    <w:rsid w:val="001621AE"/>
    <w:rsid w:val="001633FB"/>
    <w:rsid w:val="0016383B"/>
    <w:rsid w:val="001638E2"/>
    <w:rsid w:val="00163CA5"/>
    <w:rsid w:val="0016680D"/>
    <w:rsid w:val="001707C5"/>
    <w:rsid w:val="00170E58"/>
    <w:rsid w:val="0017240A"/>
    <w:rsid w:val="0017476B"/>
    <w:rsid w:val="001756E5"/>
    <w:rsid w:val="00176635"/>
    <w:rsid w:val="001770CD"/>
    <w:rsid w:val="00177ADC"/>
    <w:rsid w:val="001804C8"/>
    <w:rsid w:val="0018227B"/>
    <w:rsid w:val="00183263"/>
    <w:rsid w:val="00183FDB"/>
    <w:rsid w:val="001844C3"/>
    <w:rsid w:val="0018539F"/>
    <w:rsid w:val="001854E0"/>
    <w:rsid w:val="001859BA"/>
    <w:rsid w:val="001871E2"/>
    <w:rsid w:val="0019066E"/>
    <w:rsid w:val="001917D8"/>
    <w:rsid w:val="00191EE7"/>
    <w:rsid w:val="00192811"/>
    <w:rsid w:val="001930C8"/>
    <w:rsid w:val="00193A86"/>
    <w:rsid w:val="00193D4F"/>
    <w:rsid w:val="001946ED"/>
    <w:rsid w:val="00194798"/>
    <w:rsid w:val="00194A66"/>
    <w:rsid w:val="001957E0"/>
    <w:rsid w:val="0019691F"/>
    <w:rsid w:val="0019771D"/>
    <w:rsid w:val="00197C32"/>
    <w:rsid w:val="001A0D46"/>
    <w:rsid w:val="001A3A9D"/>
    <w:rsid w:val="001A6E0E"/>
    <w:rsid w:val="001A7BF4"/>
    <w:rsid w:val="001B21AF"/>
    <w:rsid w:val="001B2A3B"/>
    <w:rsid w:val="001B431E"/>
    <w:rsid w:val="001B52C4"/>
    <w:rsid w:val="001B6054"/>
    <w:rsid w:val="001B7505"/>
    <w:rsid w:val="001B7B8E"/>
    <w:rsid w:val="001C1182"/>
    <w:rsid w:val="001C2C2F"/>
    <w:rsid w:val="001C3365"/>
    <w:rsid w:val="001C3A76"/>
    <w:rsid w:val="001C3ABD"/>
    <w:rsid w:val="001C3C8F"/>
    <w:rsid w:val="001C4085"/>
    <w:rsid w:val="001C50CB"/>
    <w:rsid w:val="001C5869"/>
    <w:rsid w:val="001C5E60"/>
    <w:rsid w:val="001C6506"/>
    <w:rsid w:val="001C789E"/>
    <w:rsid w:val="001D0444"/>
    <w:rsid w:val="001D127A"/>
    <w:rsid w:val="001D1C80"/>
    <w:rsid w:val="001D21BA"/>
    <w:rsid w:val="001D3E6F"/>
    <w:rsid w:val="001D3F07"/>
    <w:rsid w:val="001D4607"/>
    <w:rsid w:val="001D498B"/>
    <w:rsid w:val="001D4AD0"/>
    <w:rsid w:val="001D5986"/>
    <w:rsid w:val="001D5F9C"/>
    <w:rsid w:val="001D6BCF"/>
    <w:rsid w:val="001D7420"/>
    <w:rsid w:val="001D779E"/>
    <w:rsid w:val="001E01CA"/>
    <w:rsid w:val="001E02D0"/>
    <w:rsid w:val="001E07F8"/>
    <w:rsid w:val="001E0B3E"/>
    <w:rsid w:val="001E1788"/>
    <w:rsid w:val="001E3B2F"/>
    <w:rsid w:val="001E3B9B"/>
    <w:rsid w:val="001E40BC"/>
    <w:rsid w:val="001E530E"/>
    <w:rsid w:val="001E6C1F"/>
    <w:rsid w:val="001F14A8"/>
    <w:rsid w:val="001F184D"/>
    <w:rsid w:val="001F4EAC"/>
    <w:rsid w:val="001F67E4"/>
    <w:rsid w:val="0020335A"/>
    <w:rsid w:val="0020387F"/>
    <w:rsid w:val="00206A11"/>
    <w:rsid w:val="00207892"/>
    <w:rsid w:val="00207A56"/>
    <w:rsid w:val="00211114"/>
    <w:rsid w:val="002111B9"/>
    <w:rsid w:val="00212089"/>
    <w:rsid w:val="00212EF5"/>
    <w:rsid w:val="00213615"/>
    <w:rsid w:val="002137F5"/>
    <w:rsid w:val="00214302"/>
    <w:rsid w:val="002147CE"/>
    <w:rsid w:val="00215C0C"/>
    <w:rsid w:val="00216418"/>
    <w:rsid w:val="00216F1B"/>
    <w:rsid w:val="00220147"/>
    <w:rsid w:val="00221272"/>
    <w:rsid w:val="002212A9"/>
    <w:rsid w:val="002222BA"/>
    <w:rsid w:val="00223773"/>
    <w:rsid w:val="0022387C"/>
    <w:rsid w:val="00224C07"/>
    <w:rsid w:val="00224D57"/>
    <w:rsid w:val="00224E21"/>
    <w:rsid w:val="00227B90"/>
    <w:rsid w:val="0023063D"/>
    <w:rsid w:val="00230733"/>
    <w:rsid w:val="00230B6A"/>
    <w:rsid w:val="00230E73"/>
    <w:rsid w:val="0023249E"/>
    <w:rsid w:val="002325BD"/>
    <w:rsid w:val="00232681"/>
    <w:rsid w:val="0023271C"/>
    <w:rsid w:val="00233720"/>
    <w:rsid w:val="00233BA5"/>
    <w:rsid w:val="002348C5"/>
    <w:rsid w:val="00235894"/>
    <w:rsid w:val="002359ED"/>
    <w:rsid w:val="002373CC"/>
    <w:rsid w:val="00237945"/>
    <w:rsid w:val="00240F15"/>
    <w:rsid w:val="00242BF0"/>
    <w:rsid w:val="0024382E"/>
    <w:rsid w:val="00243CAD"/>
    <w:rsid w:val="0024493D"/>
    <w:rsid w:val="00246361"/>
    <w:rsid w:val="00246699"/>
    <w:rsid w:val="00246A04"/>
    <w:rsid w:val="00246C47"/>
    <w:rsid w:val="00247782"/>
    <w:rsid w:val="00252A9E"/>
    <w:rsid w:val="002544D3"/>
    <w:rsid w:val="002551E2"/>
    <w:rsid w:val="00256835"/>
    <w:rsid w:val="00260D75"/>
    <w:rsid w:val="002616FE"/>
    <w:rsid w:val="002618FB"/>
    <w:rsid w:val="0026267C"/>
    <w:rsid w:val="00262BE0"/>
    <w:rsid w:val="00262DDE"/>
    <w:rsid w:val="00262F8C"/>
    <w:rsid w:val="00263816"/>
    <w:rsid w:val="00266642"/>
    <w:rsid w:val="00266D73"/>
    <w:rsid w:val="00270044"/>
    <w:rsid w:val="00270886"/>
    <w:rsid w:val="00271616"/>
    <w:rsid w:val="0027239D"/>
    <w:rsid w:val="00274B2F"/>
    <w:rsid w:val="00274E24"/>
    <w:rsid w:val="002758DC"/>
    <w:rsid w:val="00275CF5"/>
    <w:rsid w:val="00276E14"/>
    <w:rsid w:val="00277560"/>
    <w:rsid w:val="002778C7"/>
    <w:rsid w:val="002811A4"/>
    <w:rsid w:val="002816AA"/>
    <w:rsid w:val="0028301F"/>
    <w:rsid w:val="00283D01"/>
    <w:rsid w:val="00284537"/>
    <w:rsid w:val="00284C9E"/>
    <w:rsid w:val="00285017"/>
    <w:rsid w:val="00285078"/>
    <w:rsid w:val="002860EF"/>
    <w:rsid w:val="0028699D"/>
    <w:rsid w:val="00286BC0"/>
    <w:rsid w:val="00287EBF"/>
    <w:rsid w:val="00292695"/>
    <w:rsid w:val="00292B7E"/>
    <w:rsid w:val="0029527E"/>
    <w:rsid w:val="00295868"/>
    <w:rsid w:val="002962E4"/>
    <w:rsid w:val="002976FE"/>
    <w:rsid w:val="002A009A"/>
    <w:rsid w:val="002A0A09"/>
    <w:rsid w:val="002A1F75"/>
    <w:rsid w:val="002A1F7B"/>
    <w:rsid w:val="002A2D2E"/>
    <w:rsid w:val="002A2DFC"/>
    <w:rsid w:val="002A385F"/>
    <w:rsid w:val="002A4A89"/>
    <w:rsid w:val="002A532C"/>
    <w:rsid w:val="002A5C0B"/>
    <w:rsid w:val="002A6894"/>
    <w:rsid w:val="002A78AB"/>
    <w:rsid w:val="002B0C11"/>
    <w:rsid w:val="002B238E"/>
    <w:rsid w:val="002B4CAA"/>
    <w:rsid w:val="002B5866"/>
    <w:rsid w:val="002B5D8B"/>
    <w:rsid w:val="002B6005"/>
    <w:rsid w:val="002B60BF"/>
    <w:rsid w:val="002B61E9"/>
    <w:rsid w:val="002B62D7"/>
    <w:rsid w:val="002B6698"/>
    <w:rsid w:val="002B7602"/>
    <w:rsid w:val="002C00E8"/>
    <w:rsid w:val="002C1098"/>
    <w:rsid w:val="002C151B"/>
    <w:rsid w:val="002C161D"/>
    <w:rsid w:val="002C1B89"/>
    <w:rsid w:val="002C1F7D"/>
    <w:rsid w:val="002C2139"/>
    <w:rsid w:val="002C28C4"/>
    <w:rsid w:val="002C302C"/>
    <w:rsid w:val="002C54E0"/>
    <w:rsid w:val="002C62AE"/>
    <w:rsid w:val="002C724B"/>
    <w:rsid w:val="002C7513"/>
    <w:rsid w:val="002C7BC6"/>
    <w:rsid w:val="002D127D"/>
    <w:rsid w:val="002D1981"/>
    <w:rsid w:val="002D21EE"/>
    <w:rsid w:val="002D3032"/>
    <w:rsid w:val="002D36BE"/>
    <w:rsid w:val="002D3810"/>
    <w:rsid w:val="002D3A4A"/>
    <w:rsid w:val="002D502B"/>
    <w:rsid w:val="002D5513"/>
    <w:rsid w:val="002D740A"/>
    <w:rsid w:val="002D7444"/>
    <w:rsid w:val="002D761D"/>
    <w:rsid w:val="002E0188"/>
    <w:rsid w:val="002E3832"/>
    <w:rsid w:val="002E4FC9"/>
    <w:rsid w:val="002E5457"/>
    <w:rsid w:val="002E60FC"/>
    <w:rsid w:val="002F20E2"/>
    <w:rsid w:val="002F4B9B"/>
    <w:rsid w:val="002F58D5"/>
    <w:rsid w:val="002F5D45"/>
    <w:rsid w:val="002F663F"/>
    <w:rsid w:val="002F739F"/>
    <w:rsid w:val="002F788F"/>
    <w:rsid w:val="002F7D8A"/>
    <w:rsid w:val="00301353"/>
    <w:rsid w:val="00302822"/>
    <w:rsid w:val="00302B9E"/>
    <w:rsid w:val="003033F6"/>
    <w:rsid w:val="003041C6"/>
    <w:rsid w:val="0030449A"/>
    <w:rsid w:val="00304AA7"/>
    <w:rsid w:val="00304AF4"/>
    <w:rsid w:val="00304D78"/>
    <w:rsid w:val="00305169"/>
    <w:rsid w:val="003069E2"/>
    <w:rsid w:val="00306BB8"/>
    <w:rsid w:val="00307589"/>
    <w:rsid w:val="00307980"/>
    <w:rsid w:val="003079E1"/>
    <w:rsid w:val="00311F52"/>
    <w:rsid w:val="003122D0"/>
    <w:rsid w:val="00314857"/>
    <w:rsid w:val="00317599"/>
    <w:rsid w:val="00320439"/>
    <w:rsid w:val="00323748"/>
    <w:rsid w:val="00323AC5"/>
    <w:rsid w:val="00324EEE"/>
    <w:rsid w:val="00325F1F"/>
    <w:rsid w:val="003268C9"/>
    <w:rsid w:val="00326C9C"/>
    <w:rsid w:val="00330F00"/>
    <w:rsid w:val="003313AC"/>
    <w:rsid w:val="0033163C"/>
    <w:rsid w:val="00331BD3"/>
    <w:rsid w:val="00332542"/>
    <w:rsid w:val="00332E0C"/>
    <w:rsid w:val="003353D2"/>
    <w:rsid w:val="00335B0F"/>
    <w:rsid w:val="00335F58"/>
    <w:rsid w:val="00336268"/>
    <w:rsid w:val="003434F4"/>
    <w:rsid w:val="00343749"/>
    <w:rsid w:val="00344CDB"/>
    <w:rsid w:val="00345ECE"/>
    <w:rsid w:val="00346C07"/>
    <w:rsid w:val="00350076"/>
    <w:rsid w:val="00350AD6"/>
    <w:rsid w:val="00353AAD"/>
    <w:rsid w:val="00354794"/>
    <w:rsid w:val="003559D8"/>
    <w:rsid w:val="00355A80"/>
    <w:rsid w:val="00355E80"/>
    <w:rsid w:val="00357393"/>
    <w:rsid w:val="00357716"/>
    <w:rsid w:val="00357A4A"/>
    <w:rsid w:val="00357FAA"/>
    <w:rsid w:val="003608AB"/>
    <w:rsid w:val="00361725"/>
    <w:rsid w:val="0036342C"/>
    <w:rsid w:val="00364D0D"/>
    <w:rsid w:val="00365443"/>
    <w:rsid w:val="003660ED"/>
    <w:rsid w:val="0036777F"/>
    <w:rsid w:val="0037108E"/>
    <w:rsid w:val="003731F9"/>
    <w:rsid w:val="00373B88"/>
    <w:rsid w:val="0037587F"/>
    <w:rsid w:val="0037625A"/>
    <w:rsid w:val="00376DB8"/>
    <w:rsid w:val="00377039"/>
    <w:rsid w:val="00377364"/>
    <w:rsid w:val="00377613"/>
    <w:rsid w:val="0037767A"/>
    <w:rsid w:val="00377779"/>
    <w:rsid w:val="00380F04"/>
    <w:rsid w:val="003812DA"/>
    <w:rsid w:val="0038282A"/>
    <w:rsid w:val="00382AEB"/>
    <w:rsid w:val="00383691"/>
    <w:rsid w:val="003837EF"/>
    <w:rsid w:val="0038398C"/>
    <w:rsid w:val="003848D5"/>
    <w:rsid w:val="00385C85"/>
    <w:rsid w:val="00385E4C"/>
    <w:rsid w:val="003867D1"/>
    <w:rsid w:val="003902D7"/>
    <w:rsid w:val="00390488"/>
    <w:rsid w:val="00390852"/>
    <w:rsid w:val="003914B7"/>
    <w:rsid w:val="00391B8C"/>
    <w:rsid w:val="0039259D"/>
    <w:rsid w:val="00392CF9"/>
    <w:rsid w:val="00394BEA"/>
    <w:rsid w:val="00395091"/>
    <w:rsid w:val="00397625"/>
    <w:rsid w:val="003A00B7"/>
    <w:rsid w:val="003A0104"/>
    <w:rsid w:val="003A3CA6"/>
    <w:rsid w:val="003A555C"/>
    <w:rsid w:val="003A5591"/>
    <w:rsid w:val="003B0550"/>
    <w:rsid w:val="003B2A2D"/>
    <w:rsid w:val="003B318C"/>
    <w:rsid w:val="003B44DC"/>
    <w:rsid w:val="003B4C80"/>
    <w:rsid w:val="003B5D95"/>
    <w:rsid w:val="003B694F"/>
    <w:rsid w:val="003B6BEF"/>
    <w:rsid w:val="003C02D7"/>
    <w:rsid w:val="003C0FCB"/>
    <w:rsid w:val="003C4BDB"/>
    <w:rsid w:val="003C56A9"/>
    <w:rsid w:val="003D15AD"/>
    <w:rsid w:val="003D2DD5"/>
    <w:rsid w:val="003D3BC2"/>
    <w:rsid w:val="003D475B"/>
    <w:rsid w:val="003D47CA"/>
    <w:rsid w:val="003D7B5A"/>
    <w:rsid w:val="003D7CA4"/>
    <w:rsid w:val="003E0165"/>
    <w:rsid w:val="003E0AE1"/>
    <w:rsid w:val="003E0B92"/>
    <w:rsid w:val="003E0C68"/>
    <w:rsid w:val="003E0E02"/>
    <w:rsid w:val="003E14E9"/>
    <w:rsid w:val="003E23E9"/>
    <w:rsid w:val="003E4581"/>
    <w:rsid w:val="003E5240"/>
    <w:rsid w:val="003E52A6"/>
    <w:rsid w:val="003E6066"/>
    <w:rsid w:val="003E6413"/>
    <w:rsid w:val="003E7AA9"/>
    <w:rsid w:val="003F07EF"/>
    <w:rsid w:val="003F0CB8"/>
    <w:rsid w:val="003F0CBB"/>
    <w:rsid w:val="003F11DE"/>
    <w:rsid w:val="003F171C"/>
    <w:rsid w:val="003F28CA"/>
    <w:rsid w:val="003F3169"/>
    <w:rsid w:val="003F36FC"/>
    <w:rsid w:val="003F37E8"/>
    <w:rsid w:val="003F44EE"/>
    <w:rsid w:val="003F4F60"/>
    <w:rsid w:val="003F55A3"/>
    <w:rsid w:val="003F6B28"/>
    <w:rsid w:val="003F7B07"/>
    <w:rsid w:val="0040112A"/>
    <w:rsid w:val="00401EFE"/>
    <w:rsid w:val="004026A5"/>
    <w:rsid w:val="00403512"/>
    <w:rsid w:val="00403990"/>
    <w:rsid w:val="00407606"/>
    <w:rsid w:val="00407656"/>
    <w:rsid w:val="00407CE8"/>
    <w:rsid w:val="00410B4F"/>
    <w:rsid w:val="004122A9"/>
    <w:rsid w:val="0041232C"/>
    <w:rsid w:val="00412FC5"/>
    <w:rsid w:val="0041343B"/>
    <w:rsid w:val="00413C4C"/>
    <w:rsid w:val="00414206"/>
    <w:rsid w:val="00415048"/>
    <w:rsid w:val="00416361"/>
    <w:rsid w:val="00416584"/>
    <w:rsid w:val="00416993"/>
    <w:rsid w:val="00416FCF"/>
    <w:rsid w:val="00417364"/>
    <w:rsid w:val="0042105E"/>
    <w:rsid w:val="0042191B"/>
    <w:rsid w:val="00422276"/>
    <w:rsid w:val="00422BD7"/>
    <w:rsid w:val="00422C7C"/>
    <w:rsid w:val="004242F1"/>
    <w:rsid w:val="00424C04"/>
    <w:rsid w:val="00426553"/>
    <w:rsid w:val="00427B84"/>
    <w:rsid w:val="00427BAC"/>
    <w:rsid w:val="00430D03"/>
    <w:rsid w:val="00431EB1"/>
    <w:rsid w:val="0043204E"/>
    <w:rsid w:val="00432A79"/>
    <w:rsid w:val="00434489"/>
    <w:rsid w:val="004349E5"/>
    <w:rsid w:val="0043538A"/>
    <w:rsid w:val="004361D6"/>
    <w:rsid w:val="00436854"/>
    <w:rsid w:val="0044070C"/>
    <w:rsid w:val="004407BA"/>
    <w:rsid w:val="0044134F"/>
    <w:rsid w:val="0044162E"/>
    <w:rsid w:val="0044580D"/>
    <w:rsid w:val="004458CD"/>
    <w:rsid w:val="00445A00"/>
    <w:rsid w:val="00447200"/>
    <w:rsid w:val="0045184E"/>
    <w:rsid w:val="00451B0F"/>
    <w:rsid w:val="00452E89"/>
    <w:rsid w:val="004540A8"/>
    <w:rsid w:val="0045460B"/>
    <w:rsid w:val="00455555"/>
    <w:rsid w:val="00457A54"/>
    <w:rsid w:val="0046018D"/>
    <w:rsid w:val="00460B44"/>
    <w:rsid w:val="004612C0"/>
    <w:rsid w:val="00461389"/>
    <w:rsid w:val="00463DB4"/>
    <w:rsid w:val="00465C6C"/>
    <w:rsid w:val="0046630B"/>
    <w:rsid w:val="004669F3"/>
    <w:rsid w:val="004671E1"/>
    <w:rsid w:val="004674CC"/>
    <w:rsid w:val="0046789F"/>
    <w:rsid w:val="00467EA4"/>
    <w:rsid w:val="00470712"/>
    <w:rsid w:val="00471ED5"/>
    <w:rsid w:val="00472B25"/>
    <w:rsid w:val="00473B6B"/>
    <w:rsid w:val="00473E9F"/>
    <w:rsid w:val="00473FD7"/>
    <w:rsid w:val="00474145"/>
    <w:rsid w:val="00474CA2"/>
    <w:rsid w:val="00474EA7"/>
    <w:rsid w:val="0047557B"/>
    <w:rsid w:val="004759AD"/>
    <w:rsid w:val="00476CDB"/>
    <w:rsid w:val="004773E3"/>
    <w:rsid w:val="00477844"/>
    <w:rsid w:val="00477861"/>
    <w:rsid w:val="00477897"/>
    <w:rsid w:val="004801E9"/>
    <w:rsid w:val="00480D2E"/>
    <w:rsid w:val="00481894"/>
    <w:rsid w:val="00481D1B"/>
    <w:rsid w:val="00482465"/>
    <w:rsid w:val="00482AD1"/>
    <w:rsid w:val="004851C1"/>
    <w:rsid w:val="0048624F"/>
    <w:rsid w:val="00491CA7"/>
    <w:rsid w:val="004935F9"/>
    <w:rsid w:val="0049455F"/>
    <w:rsid w:val="0049483A"/>
    <w:rsid w:val="00495B1C"/>
    <w:rsid w:val="00496506"/>
    <w:rsid w:val="00497500"/>
    <w:rsid w:val="00497766"/>
    <w:rsid w:val="004A31C5"/>
    <w:rsid w:val="004A32F3"/>
    <w:rsid w:val="004A51B8"/>
    <w:rsid w:val="004A6489"/>
    <w:rsid w:val="004A70DB"/>
    <w:rsid w:val="004A7107"/>
    <w:rsid w:val="004B1D83"/>
    <w:rsid w:val="004B2273"/>
    <w:rsid w:val="004B2B30"/>
    <w:rsid w:val="004B2BD2"/>
    <w:rsid w:val="004B360F"/>
    <w:rsid w:val="004B3719"/>
    <w:rsid w:val="004B3904"/>
    <w:rsid w:val="004B39B1"/>
    <w:rsid w:val="004B4142"/>
    <w:rsid w:val="004B5B5D"/>
    <w:rsid w:val="004B5BED"/>
    <w:rsid w:val="004C0A42"/>
    <w:rsid w:val="004C2316"/>
    <w:rsid w:val="004C2579"/>
    <w:rsid w:val="004C2EE3"/>
    <w:rsid w:val="004C36CB"/>
    <w:rsid w:val="004C43D2"/>
    <w:rsid w:val="004C52DB"/>
    <w:rsid w:val="004C58FE"/>
    <w:rsid w:val="004C5ED2"/>
    <w:rsid w:val="004C5F18"/>
    <w:rsid w:val="004C7320"/>
    <w:rsid w:val="004C766A"/>
    <w:rsid w:val="004D055E"/>
    <w:rsid w:val="004D2307"/>
    <w:rsid w:val="004D26A9"/>
    <w:rsid w:val="004D28DA"/>
    <w:rsid w:val="004D4424"/>
    <w:rsid w:val="004D5068"/>
    <w:rsid w:val="004D537F"/>
    <w:rsid w:val="004D581B"/>
    <w:rsid w:val="004D5F71"/>
    <w:rsid w:val="004D680F"/>
    <w:rsid w:val="004D6F67"/>
    <w:rsid w:val="004E1C81"/>
    <w:rsid w:val="004E4A22"/>
    <w:rsid w:val="004F0097"/>
    <w:rsid w:val="004F159E"/>
    <w:rsid w:val="004F2AF3"/>
    <w:rsid w:val="004F4AE0"/>
    <w:rsid w:val="004F4E02"/>
    <w:rsid w:val="004F6212"/>
    <w:rsid w:val="005008B8"/>
    <w:rsid w:val="0050384A"/>
    <w:rsid w:val="005047B7"/>
    <w:rsid w:val="00504D1D"/>
    <w:rsid w:val="005058EA"/>
    <w:rsid w:val="00505E07"/>
    <w:rsid w:val="00506032"/>
    <w:rsid w:val="00506182"/>
    <w:rsid w:val="0050660F"/>
    <w:rsid w:val="00510BBF"/>
    <w:rsid w:val="00511552"/>
    <w:rsid w:val="00511968"/>
    <w:rsid w:val="00511DD5"/>
    <w:rsid w:val="00512AF4"/>
    <w:rsid w:val="0051307C"/>
    <w:rsid w:val="005138A1"/>
    <w:rsid w:val="0051497F"/>
    <w:rsid w:val="00514F8E"/>
    <w:rsid w:val="00516150"/>
    <w:rsid w:val="00517ADA"/>
    <w:rsid w:val="00517CEA"/>
    <w:rsid w:val="00520701"/>
    <w:rsid w:val="00520987"/>
    <w:rsid w:val="00525DA6"/>
    <w:rsid w:val="00526014"/>
    <w:rsid w:val="005269C6"/>
    <w:rsid w:val="00526DB7"/>
    <w:rsid w:val="005270E3"/>
    <w:rsid w:val="00527F1A"/>
    <w:rsid w:val="00531777"/>
    <w:rsid w:val="00531A72"/>
    <w:rsid w:val="005324B1"/>
    <w:rsid w:val="00533360"/>
    <w:rsid w:val="00533408"/>
    <w:rsid w:val="005336B7"/>
    <w:rsid w:val="00533F03"/>
    <w:rsid w:val="005348D3"/>
    <w:rsid w:val="00534903"/>
    <w:rsid w:val="005357B9"/>
    <w:rsid w:val="005359B5"/>
    <w:rsid w:val="005368C3"/>
    <w:rsid w:val="00537260"/>
    <w:rsid w:val="005375B7"/>
    <w:rsid w:val="005420FB"/>
    <w:rsid w:val="005424B4"/>
    <w:rsid w:val="005425AD"/>
    <w:rsid w:val="005429A7"/>
    <w:rsid w:val="0054657C"/>
    <w:rsid w:val="00546B0B"/>
    <w:rsid w:val="00546EFC"/>
    <w:rsid w:val="00547201"/>
    <w:rsid w:val="005472B6"/>
    <w:rsid w:val="0054786D"/>
    <w:rsid w:val="00547EB2"/>
    <w:rsid w:val="00550660"/>
    <w:rsid w:val="00550829"/>
    <w:rsid w:val="00551007"/>
    <w:rsid w:val="0055127F"/>
    <w:rsid w:val="005520B6"/>
    <w:rsid w:val="005540D4"/>
    <w:rsid w:val="0055614C"/>
    <w:rsid w:val="00557140"/>
    <w:rsid w:val="00557354"/>
    <w:rsid w:val="00560087"/>
    <w:rsid w:val="00560E56"/>
    <w:rsid w:val="00561789"/>
    <w:rsid w:val="0056222C"/>
    <w:rsid w:val="0056488E"/>
    <w:rsid w:val="005654A3"/>
    <w:rsid w:val="00565DC0"/>
    <w:rsid w:val="00566B95"/>
    <w:rsid w:val="00566D06"/>
    <w:rsid w:val="0056713B"/>
    <w:rsid w:val="0057282C"/>
    <w:rsid w:val="00573B35"/>
    <w:rsid w:val="00573B84"/>
    <w:rsid w:val="00575A45"/>
    <w:rsid w:val="00575ACC"/>
    <w:rsid w:val="0057636B"/>
    <w:rsid w:val="0057642C"/>
    <w:rsid w:val="00577481"/>
    <w:rsid w:val="00577E6B"/>
    <w:rsid w:val="00581BA9"/>
    <w:rsid w:val="005832E1"/>
    <w:rsid w:val="005836BD"/>
    <w:rsid w:val="005840D6"/>
    <w:rsid w:val="0058471D"/>
    <w:rsid w:val="00584B07"/>
    <w:rsid w:val="0059054D"/>
    <w:rsid w:val="00590AEE"/>
    <w:rsid w:val="00592C9D"/>
    <w:rsid w:val="00593312"/>
    <w:rsid w:val="005936B4"/>
    <w:rsid w:val="00597AA2"/>
    <w:rsid w:val="00597DBC"/>
    <w:rsid w:val="005A1214"/>
    <w:rsid w:val="005A2F8F"/>
    <w:rsid w:val="005A30C4"/>
    <w:rsid w:val="005A31A4"/>
    <w:rsid w:val="005A54CD"/>
    <w:rsid w:val="005A5D0E"/>
    <w:rsid w:val="005B1C74"/>
    <w:rsid w:val="005B4F4F"/>
    <w:rsid w:val="005B50A6"/>
    <w:rsid w:val="005B6B73"/>
    <w:rsid w:val="005C2147"/>
    <w:rsid w:val="005C235D"/>
    <w:rsid w:val="005C246D"/>
    <w:rsid w:val="005C24D8"/>
    <w:rsid w:val="005C4DD5"/>
    <w:rsid w:val="005C5434"/>
    <w:rsid w:val="005C6165"/>
    <w:rsid w:val="005C7906"/>
    <w:rsid w:val="005C7A08"/>
    <w:rsid w:val="005C7DD7"/>
    <w:rsid w:val="005C7EA8"/>
    <w:rsid w:val="005D0EDC"/>
    <w:rsid w:val="005D3997"/>
    <w:rsid w:val="005D4AE2"/>
    <w:rsid w:val="005D5637"/>
    <w:rsid w:val="005D61E5"/>
    <w:rsid w:val="005D6490"/>
    <w:rsid w:val="005D6EBA"/>
    <w:rsid w:val="005D7A08"/>
    <w:rsid w:val="005D7D25"/>
    <w:rsid w:val="005E0306"/>
    <w:rsid w:val="005E11BC"/>
    <w:rsid w:val="005E125A"/>
    <w:rsid w:val="005E1370"/>
    <w:rsid w:val="005E14C2"/>
    <w:rsid w:val="005E20DB"/>
    <w:rsid w:val="005E23E9"/>
    <w:rsid w:val="005E39E4"/>
    <w:rsid w:val="005E3E24"/>
    <w:rsid w:val="005E4267"/>
    <w:rsid w:val="005E6765"/>
    <w:rsid w:val="005E7655"/>
    <w:rsid w:val="005F2561"/>
    <w:rsid w:val="005F25DD"/>
    <w:rsid w:val="005F29D3"/>
    <w:rsid w:val="005F30D2"/>
    <w:rsid w:val="005F3257"/>
    <w:rsid w:val="005F3B60"/>
    <w:rsid w:val="005F417D"/>
    <w:rsid w:val="005F4920"/>
    <w:rsid w:val="005F582A"/>
    <w:rsid w:val="005F6B27"/>
    <w:rsid w:val="005F710E"/>
    <w:rsid w:val="00600197"/>
    <w:rsid w:val="00600B24"/>
    <w:rsid w:val="00601C17"/>
    <w:rsid w:val="00605872"/>
    <w:rsid w:val="00605FE5"/>
    <w:rsid w:val="00606373"/>
    <w:rsid w:val="00606E8A"/>
    <w:rsid w:val="00606EF0"/>
    <w:rsid w:val="00606F00"/>
    <w:rsid w:val="00607334"/>
    <w:rsid w:val="00607BA5"/>
    <w:rsid w:val="00610400"/>
    <w:rsid w:val="00610645"/>
    <w:rsid w:val="00611619"/>
    <w:rsid w:val="0061180A"/>
    <w:rsid w:val="00612084"/>
    <w:rsid w:val="00612094"/>
    <w:rsid w:val="006125E2"/>
    <w:rsid w:val="006139B5"/>
    <w:rsid w:val="00614566"/>
    <w:rsid w:val="00616499"/>
    <w:rsid w:val="00620223"/>
    <w:rsid w:val="00620C30"/>
    <w:rsid w:val="00622942"/>
    <w:rsid w:val="00622EE9"/>
    <w:rsid w:val="006231B4"/>
    <w:rsid w:val="00624ADD"/>
    <w:rsid w:val="00625405"/>
    <w:rsid w:val="00625E22"/>
    <w:rsid w:val="00626492"/>
    <w:rsid w:val="006266B4"/>
    <w:rsid w:val="00626AD7"/>
    <w:rsid w:val="00626EB6"/>
    <w:rsid w:val="0063023B"/>
    <w:rsid w:val="00630C36"/>
    <w:rsid w:val="00630C47"/>
    <w:rsid w:val="00630D04"/>
    <w:rsid w:val="00630F84"/>
    <w:rsid w:val="00632AD6"/>
    <w:rsid w:val="00632FA2"/>
    <w:rsid w:val="006336EF"/>
    <w:rsid w:val="00633E2E"/>
    <w:rsid w:val="0063414F"/>
    <w:rsid w:val="0063552A"/>
    <w:rsid w:val="00635BD8"/>
    <w:rsid w:val="00637B1B"/>
    <w:rsid w:val="00640743"/>
    <w:rsid w:val="00640BB7"/>
    <w:rsid w:val="00640D7F"/>
    <w:rsid w:val="006410D2"/>
    <w:rsid w:val="00641301"/>
    <w:rsid w:val="00641D8C"/>
    <w:rsid w:val="00641DF4"/>
    <w:rsid w:val="006420D2"/>
    <w:rsid w:val="006430B2"/>
    <w:rsid w:val="006453EE"/>
    <w:rsid w:val="006464A6"/>
    <w:rsid w:val="00646BDA"/>
    <w:rsid w:val="00650D87"/>
    <w:rsid w:val="00651117"/>
    <w:rsid w:val="0065215E"/>
    <w:rsid w:val="006523E7"/>
    <w:rsid w:val="00653234"/>
    <w:rsid w:val="00655589"/>
    <w:rsid w:val="00655D03"/>
    <w:rsid w:val="00655E1C"/>
    <w:rsid w:val="006561A3"/>
    <w:rsid w:val="0065692B"/>
    <w:rsid w:val="00656F3E"/>
    <w:rsid w:val="00657507"/>
    <w:rsid w:val="00657B36"/>
    <w:rsid w:val="006635C9"/>
    <w:rsid w:val="0066378F"/>
    <w:rsid w:val="00663E10"/>
    <w:rsid w:val="00664519"/>
    <w:rsid w:val="00665737"/>
    <w:rsid w:val="00666CC8"/>
    <w:rsid w:val="00666E26"/>
    <w:rsid w:val="00670026"/>
    <w:rsid w:val="0067068F"/>
    <w:rsid w:val="00670BF3"/>
    <w:rsid w:val="006718CF"/>
    <w:rsid w:val="006719A2"/>
    <w:rsid w:val="00672863"/>
    <w:rsid w:val="00672A47"/>
    <w:rsid w:val="00673AA3"/>
    <w:rsid w:val="00673F77"/>
    <w:rsid w:val="00676680"/>
    <w:rsid w:val="00676836"/>
    <w:rsid w:val="00683388"/>
    <w:rsid w:val="00683D21"/>
    <w:rsid w:val="00683F84"/>
    <w:rsid w:val="0068526C"/>
    <w:rsid w:val="00685503"/>
    <w:rsid w:val="00686A63"/>
    <w:rsid w:val="0069050E"/>
    <w:rsid w:val="00690AF1"/>
    <w:rsid w:val="006914B1"/>
    <w:rsid w:val="006945D3"/>
    <w:rsid w:val="0069475C"/>
    <w:rsid w:val="00696E95"/>
    <w:rsid w:val="006A062C"/>
    <w:rsid w:val="006A0842"/>
    <w:rsid w:val="006A0B94"/>
    <w:rsid w:val="006A12E1"/>
    <w:rsid w:val="006A20C6"/>
    <w:rsid w:val="006A2B40"/>
    <w:rsid w:val="006A4952"/>
    <w:rsid w:val="006A4CAE"/>
    <w:rsid w:val="006A4D16"/>
    <w:rsid w:val="006A67CB"/>
    <w:rsid w:val="006A6A81"/>
    <w:rsid w:val="006A7471"/>
    <w:rsid w:val="006A7C05"/>
    <w:rsid w:val="006B17BF"/>
    <w:rsid w:val="006B1FFB"/>
    <w:rsid w:val="006B2EDA"/>
    <w:rsid w:val="006B3B3E"/>
    <w:rsid w:val="006B7028"/>
    <w:rsid w:val="006B75C7"/>
    <w:rsid w:val="006B7AD5"/>
    <w:rsid w:val="006C0298"/>
    <w:rsid w:val="006C1B3A"/>
    <w:rsid w:val="006C1D0D"/>
    <w:rsid w:val="006C2DBA"/>
    <w:rsid w:val="006C3E41"/>
    <w:rsid w:val="006C4EB4"/>
    <w:rsid w:val="006C6C7C"/>
    <w:rsid w:val="006D064F"/>
    <w:rsid w:val="006D0E74"/>
    <w:rsid w:val="006D36FA"/>
    <w:rsid w:val="006D465A"/>
    <w:rsid w:val="006D75B3"/>
    <w:rsid w:val="006E1BF9"/>
    <w:rsid w:val="006E1E7C"/>
    <w:rsid w:val="006E251F"/>
    <w:rsid w:val="006E41C9"/>
    <w:rsid w:val="006E498B"/>
    <w:rsid w:val="006E4A7A"/>
    <w:rsid w:val="006E5010"/>
    <w:rsid w:val="006E60F8"/>
    <w:rsid w:val="006F0FE7"/>
    <w:rsid w:val="006F154C"/>
    <w:rsid w:val="006F27F4"/>
    <w:rsid w:val="006F379F"/>
    <w:rsid w:val="006F4D70"/>
    <w:rsid w:val="006F4FBB"/>
    <w:rsid w:val="006F596E"/>
    <w:rsid w:val="006F5BE8"/>
    <w:rsid w:val="006F684A"/>
    <w:rsid w:val="006F7393"/>
    <w:rsid w:val="006F7CD4"/>
    <w:rsid w:val="007008C0"/>
    <w:rsid w:val="00700D7E"/>
    <w:rsid w:val="007012DF"/>
    <w:rsid w:val="0070224F"/>
    <w:rsid w:val="007035B1"/>
    <w:rsid w:val="00703F69"/>
    <w:rsid w:val="007047B6"/>
    <w:rsid w:val="00705587"/>
    <w:rsid w:val="00705CC4"/>
    <w:rsid w:val="00706104"/>
    <w:rsid w:val="0070633D"/>
    <w:rsid w:val="007070E6"/>
    <w:rsid w:val="00707E9E"/>
    <w:rsid w:val="007101A4"/>
    <w:rsid w:val="007115F7"/>
    <w:rsid w:val="00711CFA"/>
    <w:rsid w:val="007127AA"/>
    <w:rsid w:val="007133CC"/>
    <w:rsid w:val="007136B8"/>
    <w:rsid w:val="00714830"/>
    <w:rsid w:val="0071484B"/>
    <w:rsid w:val="00714D35"/>
    <w:rsid w:val="007156F2"/>
    <w:rsid w:val="00716864"/>
    <w:rsid w:val="007169BB"/>
    <w:rsid w:val="0071723A"/>
    <w:rsid w:val="00717F67"/>
    <w:rsid w:val="00720478"/>
    <w:rsid w:val="0072260A"/>
    <w:rsid w:val="00723CE2"/>
    <w:rsid w:val="00723E26"/>
    <w:rsid w:val="00724376"/>
    <w:rsid w:val="00727B89"/>
    <w:rsid w:val="00727D7B"/>
    <w:rsid w:val="00731403"/>
    <w:rsid w:val="00731567"/>
    <w:rsid w:val="00731F37"/>
    <w:rsid w:val="00735A42"/>
    <w:rsid w:val="00736397"/>
    <w:rsid w:val="00736D8B"/>
    <w:rsid w:val="00737486"/>
    <w:rsid w:val="00737B1D"/>
    <w:rsid w:val="00740031"/>
    <w:rsid w:val="007406F6"/>
    <w:rsid w:val="0074166B"/>
    <w:rsid w:val="00741985"/>
    <w:rsid w:val="007420AA"/>
    <w:rsid w:val="007431DE"/>
    <w:rsid w:val="007435BC"/>
    <w:rsid w:val="00744F8A"/>
    <w:rsid w:val="00745B26"/>
    <w:rsid w:val="0075095E"/>
    <w:rsid w:val="00750CE3"/>
    <w:rsid w:val="0075305D"/>
    <w:rsid w:val="00753306"/>
    <w:rsid w:val="00753F26"/>
    <w:rsid w:val="0075492D"/>
    <w:rsid w:val="00754B65"/>
    <w:rsid w:val="00756B2E"/>
    <w:rsid w:val="00760004"/>
    <w:rsid w:val="00760B93"/>
    <w:rsid w:val="00761666"/>
    <w:rsid w:val="00762352"/>
    <w:rsid w:val="007625A6"/>
    <w:rsid w:val="0076353A"/>
    <w:rsid w:val="00763600"/>
    <w:rsid w:val="00763E2C"/>
    <w:rsid w:val="00763F3E"/>
    <w:rsid w:val="00763FE7"/>
    <w:rsid w:val="007657C6"/>
    <w:rsid w:val="007657E4"/>
    <w:rsid w:val="00766865"/>
    <w:rsid w:val="00767231"/>
    <w:rsid w:val="00767DF8"/>
    <w:rsid w:val="0077166A"/>
    <w:rsid w:val="0077185F"/>
    <w:rsid w:val="00773121"/>
    <w:rsid w:val="007738F6"/>
    <w:rsid w:val="00773BA6"/>
    <w:rsid w:val="0077493E"/>
    <w:rsid w:val="00774E8F"/>
    <w:rsid w:val="007750FA"/>
    <w:rsid w:val="00776CC8"/>
    <w:rsid w:val="00776DA6"/>
    <w:rsid w:val="0077705B"/>
    <w:rsid w:val="007770D8"/>
    <w:rsid w:val="00781AAA"/>
    <w:rsid w:val="0078212F"/>
    <w:rsid w:val="00782DA0"/>
    <w:rsid w:val="007831BE"/>
    <w:rsid w:val="00784386"/>
    <w:rsid w:val="00785689"/>
    <w:rsid w:val="00785972"/>
    <w:rsid w:val="00785FE2"/>
    <w:rsid w:val="007863A2"/>
    <w:rsid w:val="00786F34"/>
    <w:rsid w:val="00787500"/>
    <w:rsid w:val="00787966"/>
    <w:rsid w:val="00787E4A"/>
    <w:rsid w:val="00787E98"/>
    <w:rsid w:val="00790F5B"/>
    <w:rsid w:val="0079191E"/>
    <w:rsid w:val="0079352F"/>
    <w:rsid w:val="00797411"/>
    <w:rsid w:val="0079754B"/>
    <w:rsid w:val="0079783D"/>
    <w:rsid w:val="00797894"/>
    <w:rsid w:val="007A1813"/>
    <w:rsid w:val="007A1E6D"/>
    <w:rsid w:val="007A2480"/>
    <w:rsid w:val="007A2E7C"/>
    <w:rsid w:val="007A3A15"/>
    <w:rsid w:val="007A3A52"/>
    <w:rsid w:val="007A63E5"/>
    <w:rsid w:val="007A643B"/>
    <w:rsid w:val="007B0445"/>
    <w:rsid w:val="007B0B99"/>
    <w:rsid w:val="007B0EB2"/>
    <w:rsid w:val="007B1030"/>
    <w:rsid w:val="007B2AA4"/>
    <w:rsid w:val="007B4CFE"/>
    <w:rsid w:val="007B4DE3"/>
    <w:rsid w:val="007B5DE4"/>
    <w:rsid w:val="007B6630"/>
    <w:rsid w:val="007B6F23"/>
    <w:rsid w:val="007C04A2"/>
    <w:rsid w:val="007C0590"/>
    <w:rsid w:val="007C0F4D"/>
    <w:rsid w:val="007C131E"/>
    <w:rsid w:val="007C258B"/>
    <w:rsid w:val="007C2A12"/>
    <w:rsid w:val="007C2E1A"/>
    <w:rsid w:val="007C4ED8"/>
    <w:rsid w:val="007C6367"/>
    <w:rsid w:val="007C670F"/>
    <w:rsid w:val="007C7DE2"/>
    <w:rsid w:val="007D016D"/>
    <w:rsid w:val="007D03B1"/>
    <w:rsid w:val="007D082F"/>
    <w:rsid w:val="007D181D"/>
    <w:rsid w:val="007D2F84"/>
    <w:rsid w:val="007D4283"/>
    <w:rsid w:val="007D4864"/>
    <w:rsid w:val="007D50CC"/>
    <w:rsid w:val="007D77BB"/>
    <w:rsid w:val="007E2DE2"/>
    <w:rsid w:val="007E2F43"/>
    <w:rsid w:val="007E542A"/>
    <w:rsid w:val="007E7BDF"/>
    <w:rsid w:val="007F0371"/>
    <w:rsid w:val="007F1DE9"/>
    <w:rsid w:val="007F22C7"/>
    <w:rsid w:val="007F3BF2"/>
    <w:rsid w:val="007F6D82"/>
    <w:rsid w:val="007F7008"/>
    <w:rsid w:val="0080027B"/>
    <w:rsid w:val="008011AC"/>
    <w:rsid w:val="00801AFE"/>
    <w:rsid w:val="00802C6A"/>
    <w:rsid w:val="00802F4B"/>
    <w:rsid w:val="00803641"/>
    <w:rsid w:val="00803781"/>
    <w:rsid w:val="008041CF"/>
    <w:rsid w:val="00806088"/>
    <w:rsid w:val="008061DD"/>
    <w:rsid w:val="00806DDC"/>
    <w:rsid w:val="00806EC4"/>
    <w:rsid w:val="0080710B"/>
    <w:rsid w:val="00807712"/>
    <w:rsid w:val="00807A70"/>
    <w:rsid w:val="00807D90"/>
    <w:rsid w:val="00807F45"/>
    <w:rsid w:val="00810B1A"/>
    <w:rsid w:val="00810B6F"/>
    <w:rsid w:val="00810F3E"/>
    <w:rsid w:val="0081294C"/>
    <w:rsid w:val="00812C6E"/>
    <w:rsid w:val="00812EEF"/>
    <w:rsid w:val="008130B8"/>
    <w:rsid w:val="00813772"/>
    <w:rsid w:val="00813BC4"/>
    <w:rsid w:val="00813C27"/>
    <w:rsid w:val="008142FF"/>
    <w:rsid w:val="0081602E"/>
    <w:rsid w:val="00817064"/>
    <w:rsid w:val="00817D66"/>
    <w:rsid w:val="00821FAE"/>
    <w:rsid w:val="0082278B"/>
    <w:rsid w:val="0082291F"/>
    <w:rsid w:val="00822B4B"/>
    <w:rsid w:val="00822CE0"/>
    <w:rsid w:val="00823453"/>
    <w:rsid w:val="008246A5"/>
    <w:rsid w:val="00824C58"/>
    <w:rsid w:val="008252B3"/>
    <w:rsid w:val="00825719"/>
    <w:rsid w:val="00825AF0"/>
    <w:rsid w:val="00826A39"/>
    <w:rsid w:val="00826F9C"/>
    <w:rsid w:val="00827DE2"/>
    <w:rsid w:val="00830CED"/>
    <w:rsid w:val="008311D9"/>
    <w:rsid w:val="008319EF"/>
    <w:rsid w:val="00831BA0"/>
    <w:rsid w:val="00832D8C"/>
    <w:rsid w:val="00833DC3"/>
    <w:rsid w:val="00837AC8"/>
    <w:rsid w:val="008409E6"/>
    <w:rsid w:val="00840A26"/>
    <w:rsid w:val="00841AB1"/>
    <w:rsid w:val="00842233"/>
    <w:rsid w:val="0084236F"/>
    <w:rsid w:val="00844041"/>
    <w:rsid w:val="00845A04"/>
    <w:rsid w:val="00850306"/>
    <w:rsid w:val="00853DF5"/>
    <w:rsid w:val="0085457B"/>
    <w:rsid w:val="008545ED"/>
    <w:rsid w:val="008546C1"/>
    <w:rsid w:val="008547BB"/>
    <w:rsid w:val="00854BD7"/>
    <w:rsid w:val="00855598"/>
    <w:rsid w:val="0085686E"/>
    <w:rsid w:val="00856DA0"/>
    <w:rsid w:val="008571C4"/>
    <w:rsid w:val="00857318"/>
    <w:rsid w:val="00857C43"/>
    <w:rsid w:val="00860286"/>
    <w:rsid w:val="00861904"/>
    <w:rsid w:val="00861BAA"/>
    <w:rsid w:val="008620A8"/>
    <w:rsid w:val="0086260F"/>
    <w:rsid w:val="008633CD"/>
    <w:rsid w:val="008659D6"/>
    <w:rsid w:val="00866FDB"/>
    <w:rsid w:val="008672AD"/>
    <w:rsid w:val="00867E5D"/>
    <w:rsid w:val="008705E0"/>
    <w:rsid w:val="00870F38"/>
    <w:rsid w:val="008710B9"/>
    <w:rsid w:val="00873F21"/>
    <w:rsid w:val="008743C5"/>
    <w:rsid w:val="00874EB5"/>
    <w:rsid w:val="008756AC"/>
    <w:rsid w:val="008757CC"/>
    <w:rsid w:val="00877118"/>
    <w:rsid w:val="00880D20"/>
    <w:rsid w:val="00880DA2"/>
    <w:rsid w:val="00881925"/>
    <w:rsid w:val="0088224C"/>
    <w:rsid w:val="00882E74"/>
    <w:rsid w:val="0088341B"/>
    <w:rsid w:val="00883883"/>
    <w:rsid w:val="00884255"/>
    <w:rsid w:val="00884AAD"/>
    <w:rsid w:val="008859BD"/>
    <w:rsid w:val="0088607E"/>
    <w:rsid w:val="008861D2"/>
    <w:rsid w:val="00886602"/>
    <w:rsid w:val="008905E0"/>
    <w:rsid w:val="00890C1A"/>
    <w:rsid w:val="0089216F"/>
    <w:rsid w:val="008922AC"/>
    <w:rsid w:val="00892587"/>
    <w:rsid w:val="0089361A"/>
    <w:rsid w:val="008938FC"/>
    <w:rsid w:val="00893FEC"/>
    <w:rsid w:val="00895985"/>
    <w:rsid w:val="00896A44"/>
    <w:rsid w:val="00896E2B"/>
    <w:rsid w:val="008A0186"/>
    <w:rsid w:val="008A2893"/>
    <w:rsid w:val="008A2F0C"/>
    <w:rsid w:val="008A320D"/>
    <w:rsid w:val="008A4756"/>
    <w:rsid w:val="008A6344"/>
    <w:rsid w:val="008A76C7"/>
    <w:rsid w:val="008B0B8D"/>
    <w:rsid w:val="008B21C7"/>
    <w:rsid w:val="008B2771"/>
    <w:rsid w:val="008B2E1D"/>
    <w:rsid w:val="008B41C9"/>
    <w:rsid w:val="008B674C"/>
    <w:rsid w:val="008C0962"/>
    <w:rsid w:val="008C0D8D"/>
    <w:rsid w:val="008C18BB"/>
    <w:rsid w:val="008C1D56"/>
    <w:rsid w:val="008C21B1"/>
    <w:rsid w:val="008C3935"/>
    <w:rsid w:val="008C421D"/>
    <w:rsid w:val="008C52C5"/>
    <w:rsid w:val="008C68F1"/>
    <w:rsid w:val="008C6DFC"/>
    <w:rsid w:val="008C6F5C"/>
    <w:rsid w:val="008C720B"/>
    <w:rsid w:val="008D181E"/>
    <w:rsid w:val="008D1F47"/>
    <w:rsid w:val="008D25FB"/>
    <w:rsid w:val="008D2BD0"/>
    <w:rsid w:val="008D332C"/>
    <w:rsid w:val="008D3A33"/>
    <w:rsid w:val="008D54CE"/>
    <w:rsid w:val="008D76D5"/>
    <w:rsid w:val="008E0BB2"/>
    <w:rsid w:val="008E1C5E"/>
    <w:rsid w:val="008E2DC2"/>
    <w:rsid w:val="008E314B"/>
    <w:rsid w:val="008E5AE3"/>
    <w:rsid w:val="008E71BC"/>
    <w:rsid w:val="008E729C"/>
    <w:rsid w:val="008F1088"/>
    <w:rsid w:val="008F1E7C"/>
    <w:rsid w:val="008F368F"/>
    <w:rsid w:val="008F6F0C"/>
    <w:rsid w:val="00900DFF"/>
    <w:rsid w:val="00901672"/>
    <w:rsid w:val="00901C79"/>
    <w:rsid w:val="00902181"/>
    <w:rsid w:val="00905840"/>
    <w:rsid w:val="0090634F"/>
    <w:rsid w:val="0090666A"/>
    <w:rsid w:val="00906872"/>
    <w:rsid w:val="009068DC"/>
    <w:rsid w:val="009077CE"/>
    <w:rsid w:val="00907A62"/>
    <w:rsid w:val="009102D2"/>
    <w:rsid w:val="00911ECD"/>
    <w:rsid w:val="009121AE"/>
    <w:rsid w:val="00913628"/>
    <w:rsid w:val="009143B3"/>
    <w:rsid w:val="00914DF8"/>
    <w:rsid w:val="00917D0F"/>
    <w:rsid w:val="00921803"/>
    <w:rsid w:val="00921917"/>
    <w:rsid w:val="0092217E"/>
    <w:rsid w:val="00922A10"/>
    <w:rsid w:val="00923ABC"/>
    <w:rsid w:val="00923D2F"/>
    <w:rsid w:val="00924172"/>
    <w:rsid w:val="00925428"/>
    <w:rsid w:val="00925F1F"/>
    <w:rsid w:val="0092633F"/>
    <w:rsid w:val="009264B0"/>
    <w:rsid w:val="00926503"/>
    <w:rsid w:val="00927098"/>
    <w:rsid w:val="009313E4"/>
    <w:rsid w:val="00932B59"/>
    <w:rsid w:val="00934138"/>
    <w:rsid w:val="00936681"/>
    <w:rsid w:val="009415F1"/>
    <w:rsid w:val="009419B3"/>
    <w:rsid w:val="00941E35"/>
    <w:rsid w:val="0094295C"/>
    <w:rsid w:val="00942E02"/>
    <w:rsid w:val="009433BC"/>
    <w:rsid w:val="00943855"/>
    <w:rsid w:val="00945503"/>
    <w:rsid w:val="00946534"/>
    <w:rsid w:val="00950530"/>
    <w:rsid w:val="00950A09"/>
    <w:rsid w:val="00950C05"/>
    <w:rsid w:val="0095295B"/>
    <w:rsid w:val="00952AE2"/>
    <w:rsid w:val="0095361D"/>
    <w:rsid w:val="00956892"/>
    <w:rsid w:val="009607B6"/>
    <w:rsid w:val="00962B44"/>
    <w:rsid w:val="00962F3D"/>
    <w:rsid w:val="009640B7"/>
    <w:rsid w:val="0096616D"/>
    <w:rsid w:val="009663CC"/>
    <w:rsid w:val="00966843"/>
    <w:rsid w:val="00970085"/>
    <w:rsid w:val="00971D3E"/>
    <w:rsid w:val="0097244F"/>
    <w:rsid w:val="009726D8"/>
    <w:rsid w:val="0097321E"/>
    <w:rsid w:val="009733D6"/>
    <w:rsid w:val="00973941"/>
    <w:rsid w:val="00975023"/>
    <w:rsid w:val="00975E6C"/>
    <w:rsid w:val="00976013"/>
    <w:rsid w:val="00976162"/>
    <w:rsid w:val="00976E27"/>
    <w:rsid w:val="00976E38"/>
    <w:rsid w:val="00981CC2"/>
    <w:rsid w:val="00982191"/>
    <w:rsid w:val="00982844"/>
    <w:rsid w:val="00983311"/>
    <w:rsid w:val="009849C2"/>
    <w:rsid w:val="00984B53"/>
    <w:rsid w:val="00984CAD"/>
    <w:rsid w:val="009905EF"/>
    <w:rsid w:val="00990DC8"/>
    <w:rsid w:val="00990F5C"/>
    <w:rsid w:val="009914EA"/>
    <w:rsid w:val="00996C7F"/>
    <w:rsid w:val="00997A40"/>
    <w:rsid w:val="009A0A82"/>
    <w:rsid w:val="009A29A9"/>
    <w:rsid w:val="009A31F9"/>
    <w:rsid w:val="009A3508"/>
    <w:rsid w:val="009A3E00"/>
    <w:rsid w:val="009A40C6"/>
    <w:rsid w:val="009A47D6"/>
    <w:rsid w:val="009A5591"/>
    <w:rsid w:val="009A5939"/>
    <w:rsid w:val="009A6195"/>
    <w:rsid w:val="009A71B4"/>
    <w:rsid w:val="009A7F3C"/>
    <w:rsid w:val="009B0FFC"/>
    <w:rsid w:val="009B1DDA"/>
    <w:rsid w:val="009B2044"/>
    <w:rsid w:val="009B2F9A"/>
    <w:rsid w:val="009B351B"/>
    <w:rsid w:val="009B45FC"/>
    <w:rsid w:val="009B5779"/>
    <w:rsid w:val="009B62FF"/>
    <w:rsid w:val="009C0EFC"/>
    <w:rsid w:val="009C25A4"/>
    <w:rsid w:val="009C2D8E"/>
    <w:rsid w:val="009C4B41"/>
    <w:rsid w:val="009C4D52"/>
    <w:rsid w:val="009D1CCB"/>
    <w:rsid w:val="009D39B3"/>
    <w:rsid w:val="009D3FBF"/>
    <w:rsid w:val="009D50D0"/>
    <w:rsid w:val="009D56F4"/>
    <w:rsid w:val="009D5C69"/>
    <w:rsid w:val="009D6F85"/>
    <w:rsid w:val="009D7308"/>
    <w:rsid w:val="009E11E6"/>
    <w:rsid w:val="009E1ED8"/>
    <w:rsid w:val="009E23A4"/>
    <w:rsid w:val="009E2EBD"/>
    <w:rsid w:val="009E3F32"/>
    <w:rsid w:val="009E6B54"/>
    <w:rsid w:val="009E6B81"/>
    <w:rsid w:val="009E6D4A"/>
    <w:rsid w:val="009E7D4F"/>
    <w:rsid w:val="009F0421"/>
    <w:rsid w:val="009F13F0"/>
    <w:rsid w:val="009F2CB6"/>
    <w:rsid w:val="009F4378"/>
    <w:rsid w:val="009F4475"/>
    <w:rsid w:val="009F51B3"/>
    <w:rsid w:val="009F5825"/>
    <w:rsid w:val="009F6E3A"/>
    <w:rsid w:val="009F76DB"/>
    <w:rsid w:val="00A000C8"/>
    <w:rsid w:val="00A00B7C"/>
    <w:rsid w:val="00A0106D"/>
    <w:rsid w:val="00A01587"/>
    <w:rsid w:val="00A017FB"/>
    <w:rsid w:val="00A01DBF"/>
    <w:rsid w:val="00A026C8"/>
    <w:rsid w:val="00A0309C"/>
    <w:rsid w:val="00A033A1"/>
    <w:rsid w:val="00A0374E"/>
    <w:rsid w:val="00A03C05"/>
    <w:rsid w:val="00A04518"/>
    <w:rsid w:val="00A047D8"/>
    <w:rsid w:val="00A070DD"/>
    <w:rsid w:val="00A10D21"/>
    <w:rsid w:val="00A10F31"/>
    <w:rsid w:val="00A118AE"/>
    <w:rsid w:val="00A12B0C"/>
    <w:rsid w:val="00A13D98"/>
    <w:rsid w:val="00A142BF"/>
    <w:rsid w:val="00A14BCE"/>
    <w:rsid w:val="00A151B7"/>
    <w:rsid w:val="00A15537"/>
    <w:rsid w:val="00A17761"/>
    <w:rsid w:val="00A209AA"/>
    <w:rsid w:val="00A20A15"/>
    <w:rsid w:val="00A20B5F"/>
    <w:rsid w:val="00A2777F"/>
    <w:rsid w:val="00A3205E"/>
    <w:rsid w:val="00A32250"/>
    <w:rsid w:val="00A32C3B"/>
    <w:rsid w:val="00A32E9E"/>
    <w:rsid w:val="00A33A72"/>
    <w:rsid w:val="00A34501"/>
    <w:rsid w:val="00A35EBC"/>
    <w:rsid w:val="00A40597"/>
    <w:rsid w:val="00A42AFD"/>
    <w:rsid w:val="00A42C44"/>
    <w:rsid w:val="00A43095"/>
    <w:rsid w:val="00A436F2"/>
    <w:rsid w:val="00A43909"/>
    <w:rsid w:val="00A4407B"/>
    <w:rsid w:val="00A45923"/>
    <w:rsid w:val="00A45F4F"/>
    <w:rsid w:val="00A460EE"/>
    <w:rsid w:val="00A464B0"/>
    <w:rsid w:val="00A46A89"/>
    <w:rsid w:val="00A51B6D"/>
    <w:rsid w:val="00A5304A"/>
    <w:rsid w:val="00A5376C"/>
    <w:rsid w:val="00A53C9E"/>
    <w:rsid w:val="00A54B24"/>
    <w:rsid w:val="00A5553C"/>
    <w:rsid w:val="00A55A5C"/>
    <w:rsid w:val="00A56634"/>
    <w:rsid w:val="00A57757"/>
    <w:rsid w:val="00A600A9"/>
    <w:rsid w:val="00A60AA6"/>
    <w:rsid w:val="00A60FF4"/>
    <w:rsid w:val="00A61279"/>
    <w:rsid w:val="00A61A89"/>
    <w:rsid w:val="00A62103"/>
    <w:rsid w:val="00A63950"/>
    <w:rsid w:val="00A63D4B"/>
    <w:rsid w:val="00A6486C"/>
    <w:rsid w:val="00A64D82"/>
    <w:rsid w:val="00A6524D"/>
    <w:rsid w:val="00A655A3"/>
    <w:rsid w:val="00A65647"/>
    <w:rsid w:val="00A65E2C"/>
    <w:rsid w:val="00A6728A"/>
    <w:rsid w:val="00A70807"/>
    <w:rsid w:val="00A7180C"/>
    <w:rsid w:val="00A729A5"/>
    <w:rsid w:val="00A758E2"/>
    <w:rsid w:val="00A83660"/>
    <w:rsid w:val="00A83C5A"/>
    <w:rsid w:val="00A851E7"/>
    <w:rsid w:val="00A87272"/>
    <w:rsid w:val="00A873FB"/>
    <w:rsid w:val="00A91F64"/>
    <w:rsid w:val="00A921E9"/>
    <w:rsid w:val="00A924BB"/>
    <w:rsid w:val="00A93B37"/>
    <w:rsid w:val="00A9453D"/>
    <w:rsid w:val="00A94586"/>
    <w:rsid w:val="00A96398"/>
    <w:rsid w:val="00A96697"/>
    <w:rsid w:val="00A9770A"/>
    <w:rsid w:val="00A977E3"/>
    <w:rsid w:val="00AA0201"/>
    <w:rsid w:val="00AA3156"/>
    <w:rsid w:val="00AA31E6"/>
    <w:rsid w:val="00AA323F"/>
    <w:rsid w:val="00AA54D8"/>
    <w:rsid w:val="00AA55B7"/>
    <w:rsid w:val="00AA5B9E"/>
    <w:rsid w:val="00AA6D59"/>
    <w:rsid w:val="00AA70D9"/>
    <w:rsid w:val="00AA73E6"/>
    <w:rsid w:val="00AA7493"/>
    <w:rsid w:val="00AA79E4"/>
    <w:rsid w:val="00AB0113"/>
    <w:rsid w:val="00AB0474"/>
    <w:rsid w:val="00AB1A8D"/>
    <w:rsid w:val="00AB1EBF"/>
    <w:rsid w:val="00AB2407"/>
    <w:rsid w:val="00AB371E"/>
    <w:rsid w:val="00AB3DA3"/>
    <w:rsid w:val="00AB488A"/>
    <w:rsid w:val="00AB4B43"/>
    <w:rsid w:val="00AB4D30"/>
    <w:rsid w:val="00AB53DF"/>
    <w:rsid w:val="00AB54E0"/>
    <w:rsid w:val="00AB6496"/>
    <w:rsid w:val="00AB6BAE"/>
    <w:rsid w:val="00AC06E6"/>
    <w:rsid w:val="00AC1698"/>
    <w:rsid w:val="00AC1E1E"/>
    <w:rsid w:val="00AC3189"/>
    <w:rsid w:val="00AC5135"/>
    <w:rsid w:val="00AC526C"/>
    <w:rsid w:val="00AC540F"/>
    <w:rsid w:val="00AC67CA"/>
    <w:rsid w:val="00AD0804"/>
    <w:rsid w:val="00AD081A"/>
    <w:rsid w:val="00AD1025"/>
    <w:rsid w:val="00AD1921"/>
    <w:rsid w:val="00AD1B4C"/>
    <w:rsid w:val="00AD27F3"/>
    <w:rsid w:val="00AD28D3"/>
    <w:rsid w:val="00AD3006"/>
    <w:rsid w:val="00AD36C6"/>
    <w:rsid w:val="00AD4878"/>
    <w:rsid w:val="00AD516E"/>
    <w:rsid w:val="00AD5841"/>
    <w:rsid w:val="00AE14A9"/>
    <w:rsid w:val="00AE2513"/>
    <w:rsid w:val="00AE356D"/>
    <w:rsid w:val="00AE39B2"/>
    <w:rsid w:val="00AE3DEF"/>
    <w:rsid w:val="00AE4875"/>
    <w:rsid w:val="00AE4EAC"/>
    <w:rsid w:val="00AE54A9"/>
    <w:rsid w:val="00AE5693"/>
    <w:rsid w:val="00AE6EB4"/>
    <w:rsid w:val="00AE7233"/>
    <w:rsid w:val="00AF0A2E"/>
    <w:rsid w:val="00AF0EFB"/>
    <w:rsid w:val="00AF1238"/>
    <w:rsid w:val="00AF3602"/>
    <w:rsid w:val="00AF3B06"/>
    <w:rsid w:val="00AF5C53"/>
    <w:rsid w:val="00AF600B"/>
    <w:rsid w:val="00AF63F2"/>
    <w:rsid w:val="00AF674D"/>
    <w:rsid w:val="00AF6AFA"/>
    <w:rsid w:val="00AF77B3"/>
    <w:rsid w:val="00B00C09"/>
    <w:rsid w:val="00B018DD"/>
    <w:rsid w:val="00B038E4"/>
    <w:rsid w:val="00B03B34"/>
    <w:rsid w:val="00B04D12"/>
    <w:rsid w:val="00B07585"/>
    <w:rsid w:val="00B07CB7"/>
    <w:rsid w:val="00B07E5C"/>
    <w:rsid w:val="00B10AA8"/>
    <w:rsid w:val="00B111BF"/>
    <w:rsid w:val="00B11470"/>
    <w:rsid w:val="00B117B6"/>
    <w:rsid w:val="00B11C15"/>
    <w:rsid w:val="00B131B5"/>
    <w:rsid w:val="00B133A3"/>
    <w:rsid w:val="00B13664"/>
    <w:rsid w:val="00B16B27"/>
    <w:rsid w:val="00B17DFA"/>
    <w:rsid w:val="00B23FD9"/>
    <w:rsid w:val="00B240A2"/>
    <w:rsid w:val="00B2591D"/>
    <w:rsid w:val="00B264FF"/>
    <w:rsid w:val="00B27A04"/>
    <w:rsid w:val="00B303B1"/>
    <w:rsid w:val="00B3280F"/>
    <w:rsid w:val="00B36B78"/>
    <w:rsid w:val="00B36C3A"/>
    <w:rsid w:val="00B40CBB"/>
    <w:rsid w:val="00B41622"/>
    <w:rsid w:val="00B42384"/>
    <w:rsid w:val="00B42618"/>
    <w:rsid w:val="00B430C7"/>
    <w:rsid w:val="00B43493"/>
    <w:rsid w:val="00B45193"/>
    <w:rsid w:val="00B4617C"/>
    <w:rsid w:val="00B51AA5"/>
    <w:rsid w:val="00B52920"/>
    <w:rsid w:val="00B52CB9"/>
    <w:rsid w:val="00B52E2A"/>
    <w:rsid w:val="00B52EF9"/>
    <w:rsid w:val="00B5416B"/>
    <w:rsid w:val="00B54DC8"/>
    <w:rsid w:val="00B564CF"/>
    <w:rsid w:val="00B569D0"/>
    <w:rsid w:val="00B606E0"/>
    <w:rsid w:val="00B60972"/>
    <w:rsid w:val="00B629D9"/>
    <w:rsid w:val="00B654D0"/>
    <w:rsid w:val="00B65523"/>
    <w:rsid w:val="00B6601D"/>
    <w:rsid w:val="00B66025"/>
    <w:rsid w:val="00B66BB9"/>
    <w:rsid w:val="00B70180"/>
    <w:rsid w:val="00B703C6"/>
    <w:rsid w:val="00B70ABA"/>
    <w:rsid w:val="00B722C6"/>
    <w:rsid w:val="00B7237F"/>
    <w:rsid w:val="00B73E67"/>
    <w:rsid w:val="00B740B7"/>
    <w:rsid w:val="00B75054"/>
    <w:rsid w:val="00B76281"/>
    <w:rsid w:val="00B811F7"/>
    <w:rsid w:val="00B82BFE"/>
    <w:rsid w:val="00B83479"/>
    <w:rsid w:val="00B84790"/>
    <w:rsid w:val="00B86248"/>
    <w:rsid w:val="00B86733"/>
    <w:rsid w:val="00B8677F"/>
    <w:rsid w:val="00B87042"/>
    <w:rsid w:val="00B90CB5"/>
    <w:rsid w:val="00B9160E"/>
    <w:rsid w:val="00B9182C"/>
    <w:rsid w:val="00B9204A"/>
    <w:rsid w:val="00B92292"/>
    <w:rsid w:val="00B92CC5"/>
    <w:rsid w:val="00B93441"/>
    <w:rsid w:val="00B93741"/>
    <w:rsid w:val="00B95229"/>
    <w:rsid w:val="00B958C5"/>
    <w:rsid w:val="00B959A0"/>
    <w:rsid w:val="00B95E00"/>
    <w:rsid w:val="00B96B0E"/>
    <w:rsid w:val="00B96D20"/>
    <w:rsid w:val="00B96E94"/>
    <w:rsid w:val="00BA0DC3"/>
    <w:rsid w:val="00BA0F66"/>
    <w:rsid w:val="00BA1D0F"/>
    <w:rsid w:val="00BA29CB"/>
    <w:rsid w:val="00BA3DAF"/>
    <w:rsid w:val="00BA4049"/>
    <w:rsid w:val="00BA4502"/>
    <w:rsid w:val="00BA50A3"/>
    <w:rsid w:val="00BA50D8"/>
    <w:rsid w:val="00BA54DB"/>
    <w:rsid w:val="00BA5DC6"/>
    <w:rsid w:val="00BA6196"/>
    <w:rsid w:val="00BA61D9"/>
    <w:rsid w:val="00BA6D5E"/>
    <w:rsid w:val="00BB0D10"/>
    <w:rsid w:val="00BB1047"/>
    <w:rsid w:val="00BB1EB8"/>
    <w:rsid w:val="00BB23C4"/>
    <w:rsid w:val="00BB2A7A"/>
    <w:rsid w:val="00BB350B"/>
    <w:rsid w:val="00BB52BD"/>
    <w:rsid w:val="00BB7AFB"/>
    <w:rsid w:val="00BC00B3"/>
    <w:rsid w:val="00BC05FC"/>
    <w:rsid w:val="00BC116E"/>
    <w:rsid w:val="00BC11CC"/>
    <w:rsid w:val="00BC28F2"/>
    <w:rsid w:val="00BC2AE2"/>
    <w:rsid w:val="00BC3DF0"/>
    <w:rsid w:val="00BC3E40"/>
    <w:rsid w:val="00BC4E28"/>
    <w:rsid w:val="00BC6003"/>
    <w:rsid w:val="00BC6D8C"/>
    <w:rsid w:val="00BD11A3"/>
    <w:rsid w:val="00BD1E9B"/>
    <w:rsid w:val="00BD3A28"/>
    <w:rsid w:val="00BD4292"/>
    <w:rsid w:val="00BD4AE6"/>
    <w:rsid w:val="00BD4DB3"/>
    <w:rsid w:val="00BD59BB"/>
    <w:rsid w:val="00BD757E"/>
    <w:rsid w:val="00BE03AA"/>
    <w:rsid w:val="00BE0915"/>
    <w:rsid w:val="00BE115F"/>
    <w:rsid w:val="00BE1D9D"/>
    <w:rsid w:val="00BE321E"/>
    <w:rsid w:val="00BE3485"/>
    <w:rsid w:val="00BE5210"/>
    <w:rsid w:val="00BE53CA"/>
    <w:rsid w:val="00BE6077"/>
    <w:rsid w:val="00BE60BD"/>
    <w:rsid w:val="00BE671F"/>
    <w:rsid w:val="00BE6989"/>
    <w:rsid w:val="00BE6AE5"/>
    <w:rsid w:val="00BE7E24"/>
    <w:rsid w:val="00BF168C"/>
    <w:rsid w:val="00BF1A2E"/>
    <w:rsid w:val="00BF27A1"/>
    <w:rsid w:val="00BF3954"/>
    <w:rsid w:val="00BF3DD9"/>
    <w:rsid w:val="00BF62FB"/>
    <w:rsid w:val="00BF7BDB"/>
    <w:rsid w:val="00C003A5"/>
    <w:rsid w:val="00C01846"/>
    <w:rsid w:val="00C0386A"/>
    <w:rsid w:val="00C03FC6"/>
    <w:rsid w:val="00C04766"/>
    <w:rsid w:val="00C04C36"/>
    <w:rsid w:val="00C051DB"/>
    <w:rsid w:val="00C05E8B"/>
    <w:rsid w:val="00C06047"/>
    <w:rsid w:val="00C06187"/>
    <w:rsid w:val="00C063CE"/>
    <w:rsid w:val="00C077CA"/>
    <w:rsid w:val="00C11BA9"/>
    <w:rsid w:val="00C12278"/>
    <w:rsid w:val="00C12AAF"/>
    <w:rsid w:val="00C13855"/>
    <w:rsid w:val="00C1576B"/>
    <w:rsid w:val="00C1724C"/>
    <w:rsid w:val="00C17B9F"/>
    <w:rsid w:val="00C21BD0"/>
    <w:rsid w:val="00C223D0"/>
    <w:rsid w:val="00C2432B"/>
    <w:rsid w:val="00C24A7F"/>
    <w:rsid w:val="00C26725"/>
    <w:rsid w:val="00C32907"/>
    <w:rsid w:val="00C3294A"/>
    <w:rsid w:val="00C33280"/>
    <w:rsid w:val="00C34006"/>
    <w:rsid w:val="00C34653"/>
    <w:rsid w:val="00C346EB"/>
    <w:rsid w:val="00C34CD5"/>
    <w:rsid w:val="00C3584B"/>
    <w:rsid w:val="00C36B4C"/>
    <w:rsid w:val="00C404D5"/>
    <w:rsid w:val="00C41F38"/>
    <w:rsid w:val="00C426AF"/>
    <w:rsid w:val="00C426B1"/>
    <w:rsid w:val="00C43D69"/>
    <w:rsid w:val="00C4438E"/>
    <w:rsid w:val="00C44D87"/>
    <w:rsid w:val="00C4511B"/>
    <w:rsid w:val="00C45840"/>
    <w:rsid w:val="00C45D65"/>
    <w:rsid w:val="00C45F27"/>
    <w:rsid w:val="00C46EA6"/>
    <w:rsid w:val="00C47E07"/>
    <w:rsid w:val="00C51C7E"/>
    <w:rsid w:val="00C52BA3"/>
    <w:rsid w:val="00C52BC8"/>
    <w:rsid w:val="00C537A4"/>
    <w:rsid w:val="00C53A3D"/>
    <w:rsid w:val="00C53B15"/>
    <w:rsid w:val="00C559E3"/>
    <w:rsid w:val="00C55BF7"/>
    <w:rsid w:val="00C56185"/>
    <w:rsid w:val="00C56762"/>
    <w:rsid w:val="00C579A0"/>
    <w:rsid w:val="00C57A24"/>
    <w:rsid w:val="00C609D6"/>
    <w:rsid w:val="00C60FF2"/>
    <w:rsid w:val="00C6161E"/>
    <w:rsid w:val="00C619EA"/>
    <w:rsid w:val="00C61B25"/>
    <w:rsid w:val="00C61E35"/>
    <w:rsid w:val="00C6201F"/>
    <w:rsid w:val="00C639B3"/>
    <w:rsid w:val="00C64623"/>
    <w:rsid w:val="00C65A07"/>
    <w:rsid w:val="00C65CE2"/>
    <w:rsid w:val="00C66160"/>
    <w:rsid w:val="00C67357"/>
    <w:rsid w:val="00C677BD"/>
    <w:rsid w:val="00C7099A"/>
    <w:rsid w:val="00C70B31"/>
    <w:rsid w:val="00C721AC"/>
    <w:rsid w:val="00C72B57"/>
    <w:rsid w:val="00C72EA9"/>
    <w:rsid w:val="00C73977"/>
    <w:rsid w:val="00C74349"/>
    <w:rsid w:val="00C74A62"/>
    <w:rsid w:val="00C74B3C"/>
    <w:rsid w:val="00C75435"/>
    <w:rsid w:val="00C75804"/>
    <w:rsid w:val="00C75AF8"/>
    <w:rsid w:val="00C767EA"/>
    <w:rsid w:val="00C7757F"/>
    <w:rsid w:val="00C77DA1"/>
    <w:rsid w:val="00C81EDA"/>
    <w:rsid w:val="00C8229A"/>
    <w:rsid w:val="00C825D6"/>
    <w:rsid w:val="00C83BBE"/>
    <w:rsid w:val="00C83E6E"/>
    <w:rsid w:val="00C844F2"/>
    <w:rsid w:val="00C868F7"/>
    <w:rsid w:val="00C87CE3"/>
    <w:rsid w:val="00C90269"/>
    <w:rsid w:val="00C90D6A"/>
    <w:rsid w:val="00C923FE"/>
    <w:rsid w:val="00C9598F"/>
    <w:rsid w:val="00C9619C"/>
    <w:rsid w:val="00C964F9"/>
    <w:rsid w:val="00C9767C"/>
    <w:rsid w:val="00C977C2"/>
    <w:rsid w:val="00CA02ED"/>
    <w:rsid w:val="00CA16C4"/>
    <w:rsid w:val="00CA1927"/>
    <w:rsid w:val="00CA247E"/>
    <w:rsid w:val="00CA3009"/>
    <w:rsid w:val="00CA305B"/>
    <w:rsid w:val="00CA3DF6"/>
    <w:rsid w:val="00CA4650"/>
    <w:rsid w:val="00CA53A7"/>
    <w:rsid w:val="00CA5410"/>
    <w:rsid w:val="00CA62B2"/>
    <w:rsid w:val="00CA6D21"/>
    <w:rsid w:val="00CB034B"/>
    <w:rsid w:val="00CB0E0D"/>
    <w:rsid w:val="00CB2D01"/>
    <w:rsid w:val="00CB3176"/>
    <w:rsid w:val="00CB35DF"/>
    <w:rsid w:val="00CB5EF9"/>
    <w:rsid w:val="00CB66D7"/>
    <w:rsid w:val="00CC0130"/>
    <w:rsid w:val="00CC03E4"/>
    <w:rsid w:val="00CC06F5"/>
    <w:rsid w:val="00CC0BA6"/>
    <w:rsid w:val="00CC3EDF"/>
    <w:rsid w:val="00CC524E"/>
    <w:rsid w:val="00CC537A"/>
    <w:rsid w:val="00CC6495"/>
    <w:rsid w:val="00CC6974"/>
    <w:rsid w:val="00CC6EC8"/>
    <w:rsid w:val="00CC72B6"/>
    <w:rsid w:val="00CD16A0"/>
    <w:rsid w:val="00CD1D18"/>
    <w:rsid w:val="00CD25D8"/>
    <w:rsid w:val="00CD2CE8"/>
    <w:rsid w:val="00CD3D83"/>
    <w:rsid w:val="00CD5069"/>
    <w:rsid w:val="00CD62AF"/>
    <w:rsid w:val="00CD6EA2"/>
    <w:rsid w:val="00CD71DD"/>
    <w:rsid w:val="00CE0441"/>
    <w:rsid w:val="00CE10A2"/>
    <w:rsid w:val="00CE1A3B"/>
    <w:rsid w:val="00CE2203"/>
    <w:rsid w:val="00CE548A"/>
    <w:rsid w:val="00CE634C"/>
    <w:rsid w:val="00CE672D"/>
    <w:rsid w:val="00CE687D"/>
    <w:rsid w:val="00CF174E"/>
    <w:rsid w:val="00CF1F48"/>
    <w:rsid w:val="00CF2922"/>
    <w:rsid w:val="00CF5020"/>
    <w:rsid w:val="00CF50E3"/>
    <w:rsid w:val="00CF531A"/>
    <w:rsid w:val="00CF549F"/>
    <w:rsid w:val="00CF71C7"/>
    <w:rsid w:val="00D0018C"/>
    <w:rsid w:val="00D019AA"/>
    <w:rsid w:val="00D0218D"/>
    <w:rsid w:val="00D0378D"/>
    <w:rsid w:val="00D045E0"/>
    <w:rsid w:val="00D05589"/>
    <w:rsid w:val="00D0617B"/>
    <w:rsid w:val="00D06B09"/>
    <w:rsid w:val="00D072C0"/>
    <w:rsid w:val="00D0781F"/>
    <w:rsid w:val="00D1083C"/>
    <w:rsid w:val="00D12280"/>
    <w:rsid w:val="00D14227"/>
    <w:rsid w:val="00D1490E"/>
    <w:rsid w:val="00D14EC8"/>
    <w:rsid w:val="00D1561D"/>
    <w:rsid w:val="00D169E0"/>
    <w:rsid w:val="00D16F4C"/>
    <w:rsid w:val="00D172CC"/>
    <w:rsid w:val="00D179CE"/>
    <w:rsid w:val="00D205C8"/>
    <w:rsid w:val="00D20977"/>
    <w:rsid w:val="00D2174E"/>
    <w:rsid w:val="00D24A48"/>
    <w:rsid w:val="00D24CB4"/>
    <w:rsid w:val="00D24F9F"/>
    <w:rsid w:val="00D25D94"/>
    <w:rsid w:val="00D25FB5"/>
    <w:rsid w:val="00D26029"/>
    <w:rsid w:val="00D264B3"/>
    <w:rsid w:val="00D3084D"/>
    <w:rsid w:val="00D30AFE"/>
    <w:rsid w:val="00D30BDE"/>
    <w:rsid w:val="00D329D6"/>
    <w:rsid w:val="00D33B61"/>
    <w:rsid w:val="00D36D23"/>
    <w:rsid w:val="00D36F9E"/>
    <w:rsid w:val="00D37454"/>
    <w:rsid w:val="00D37AC1"/>
    <w:rsid w:val="00D37C3F"/>
    <w:rsid w:val="00D402CF"/>
    <w:rsid w:val="00D40305"/>
    <w:rsid w:val="00D41691"/>
    <w:rsid w:val="00D43AE8"/>
    <w:rsid w:val="00D44223"/>
    <w:rsid w:val="00D456AD"/>
    <w:rsid w:val="00D46F3C"/>
    <w:rsid w:val="00D5074C"/>
    <w:rsid w:val="00D50C54"/>
    <w:rsid w:val="00D50E71"/>
    <w:rsid w:val="00D51E80"/>
    <w:rsid w:val="00D52FF9"/>
    <w:rsid w:val="00D53736"/>
    <w:rsid w:val="00D53940"/>
    <w:rsid w:val="00D53976"/>
    <w:rsid w:val="00D54421"/>
    <w:rsid w:val="00D5450C"/>
    <w:rsid w:val="00D5533F"/>
    <w:rsid w:val="00D56371"/>
    <w:rsid w:val="00D579FC"/>
    <w:rsid w:val="00D608F6"/>
    <w:rsid w:val="00D6200F"/>
    <w:rsid w:val="00D6264F"/>
    <w:rsid w:val="00D657EC"/>
    <w:rsid w:val="00D666CF"/>
    <w:rsid w:val="00D66D92"/>
    <w:rsid w:val="00D70AE7"/>
    <w:rsid w:val="00D70B39"/>
    <w:rsid w:val="00D7127A"/>
    <w:rsid w:val="00D718E3"/>
    <w:rsid w:val="00D726E8"/>
    <w:rsid w:val="00D72E3D"/>
    <w:rsid w:val="00D7441A"/>
    <w:rsid w:val="00D74B2D"/>
    <w:rsid w:val="00D751CC"/>
    <w:rsid w:val="00D76693"/>
    <w:rsid w:val="00D7688D"/>
    <w:rsid w:val="00D770EA"/>
    <w:rsid w:val="00D80857"/>
    <w:rsid w:val="00D84A3F"/>
    <w:rsid w:val="00D850FC"/>
    <w:rsid w:val="00D878C0"/>
    <w:rsid w:val="00D90005"/>
    <w:rsid w:val="00D90A30"/>
    <w:rsid w:val="00D91575"/>
    <w:rsid w:val="00D937EB"/>
    <w:rsid w:val="00D95135"/>
    <w:rsid w:val="00DA00B7"/>
    <w:rsid w:val="00DA06D5"/>
    <w:rsid w:val="00DA1188"/>
    <w:rsid w:val="00DA1E5B"/>
    <w:rsid w:val="00DA2529"/>
    <w:rsid w:val="00DA29CC"/>
    <w:rsid w:val="00DA2CFB"/>
    <w:rsid w:val="00DA2D15"/>
    <w:rsid w:val="00DA32E1"/>
    <w:rsid w:val="00DA3766"/>
    <w:rsid w:val="00DA3E5A"/>
    <w:rsid w:val="00DA3FD3"/>
    <w:rsid w:val="00DA45C2"/>
    <w:rsid w:val="00DA467C"/>
    <w:rsid w:val="00DA5832"/>
    <w:rsid w:val="00DA6999"/>
    <w:rsid w:val="00DA7B2F"/>
    <w:rsid w:val="00DA7D48"/>
    <w:rsid w:val="00DB034A"/>
    <w:rsid w:val="00DB082B"/>
    <w:rsid w:val="00DB130A"/>
    <w:rsid w:val="00DB1B7F"/>
    <w:rsid w:val="00DB2BB9"/>
    <w:rsid w:val="00DB2EBB"/>
    <w:rsid w:val="00DB33B4"/>
    <w:rsid w:val="00DB531E"/>
    <w:rsid w:val="00DB70BB"/>
    <w:rsid w:val="00DB72CF"/>
    <w:rsid w:val="00DC0E47"/>
    <w:rsid w:val="00DC10A1"/>
    <w:rsid w:val="00DC1652"/>
    <w:rsid w:val="00DC233C"/>
    <w:rsid w:val="00DC258D"/>
    <w:rsid w:val="00DC261B"/>
    <w:rsid w:val="00DC2B5A"/>
    <w:rsid w:val="00DC655F"/>
    <w:rsid w:val="00DC668C"/>
    <w:rsid w:val="00DC7462"/>
    <w:rsid w:val="00DD0B59"/>
    <w:rsid w:val="00DD0F1E"/>
    <w:rsid w:val="00DD579C"/>
    <w:rsid w:val="00DD61A1"/>
    <w:rsid w:val="00DD7158"/>
    <w:rsid w:val="00DD7EBD"/>
    <w:rsid w:val="00DE08FD"/>
    <w:rsid w:val="00DE2A96"/>
    <w:rsid w:val="00DE3B59"/>
    <w:rsid w:val="00DE4996"/>
    <w:rsid w:val="00DE4FAC"/>
    <w:rsid w:val="00DE77DF"/>
    <w:rsid w:val="00DF05A1"/>
    <w:rsid w:val="00DF0D9D"/>
    <w:rsid w:val="00DF1B2E"/>
    <w:rsid w:val="00DF62B6"/>
    <w:rsid w:val="00DF6548"/>
    <w:rsid w:val="00DF6700"/>
    <w:rsid w:val="00DF6D8E"/>
    <w:rsid w:val="00DF70F7"/>
    <w:rsid w:val="00DF71C0"/>
    <w:rsid w:val="00DF74AD"/>
    <w:rsid w:val="00DF7E46"/>
    <w:rsid w:val="00E006D4"/>
    <w:rsid w:val="00E027DB"/>
    <w:rsid w:val="00E055A3"/>
    <w:rsid w:val="00E06930"/>
    <w:rsid w:val="00E07225"/>
    <w:rsid w:val="00E07698"/>
    <w:rsid w:val="00E10BE4"/>
    <w:rsid w:val="00E111E9"/>
    <w:rsid w:val="00E113D8"/>
    <w:rsid w:val="00E153FB"/>
    <w:rsid w:val="00E15B23"/>
    <w:rsid w:val="00E15D12"/>
    <w:rsid w:val="00E16789"/>
    <w:rsid w:val="00E167E8"/>
    <w:rsid w:val="00E16CA2"/>
    <w:rsid w:val="00E17627"/>
    <w:rsid w:val="00E17863"/>
    <w:rsid w:val="00E20DD7"/>
    <w:rsid w:val="00E22CB7"/>
    <w:rsid w:val="00E24F2E"/>
    <w:rsid w:val="00E252D0"/>
    <w:rsid w:val="00E26D72"/>
    <w:rsid w:val="00E2754E"/>
    <w:rsid w:val="00E3165B"/>
    <w:rsid w:val="00E31FA3"/>
    <w:rsid w:val="00E336CE"/>
    <w:rsid w:val="00E33721"/>
    <w:rsid w:val="00E348CF"/>
    <w:rsid w:val="00E34A15"/>
    <w:rsid w:val="00E35940"/>
    <w:rsid w:val="00E3688E"/>
    <w:rsid w:val="00E368A8"/>
    <w:rsid w:val="00E37429"/>
    <w:rsid w:val="00E40657"/>
    <w:rsid w:val="00E407E4"/>
    <w:rsid w:val="00E409B4"/>
    <w:rsid w:val="00E412CD"/>
    <w:rsid w:val="00E41897"/>
    <w:rsid w:val="00E41EF2"/>
    <w:rsid w:val="00E42B1A"/>
    <w:rsid w:val="00E430FB"/>
    <w:rsid w:val="00E431D5"/>
    <w:rsid w:val="00E45905"/>
    <w:rsid w:val="00E4677C"/>
    <w:rsid w:val="00E47FCB"/>
    <w:rsid w:val="00E51BA9"/>
    <w:rsid w:val="00E5409F"/>
    <w:rsid w:val="00E547FD"/>
    <w:rsid w:val="00E55E3A"/>
    <w:rsid w:val="00E57CB8"/>
    <w:rsid w:val="00E6064D"/>
    <w:rsid w:val="00E61376"/>
    <w:rsid w:val="00E61654"/>
    <w:rsid w:val="00E61D37"/>
    <w:rsid w:val="00E62031"/>
    <w:rsid w:val="00E625DE"/>
    <w:rsid w:val="00E627C2"/>
    <w:rsid w:val="00E62D52"/>
    <w:rsid w:val="00E62FE7"/>
    <w:rsid w:val="00E63143"/>
    <w:rsid w:val="00E660E9"/>
    <w:rsid w:val="00E66672"/>
    <w:rsid w:val="00E672C9"/>
    <w:rsid w:val="00E67C62"/>
    <w:rsid w:val="00E70FF2"/>
    <w:rsid w:val="00E71152"/>
    <w:rsid w:val="00E719FB"/>
    <w:rsid w:val="00E727C8"/>
    <w:rsid w:val="00E734AF"/>
    <w:rsid w:val="00E73EFD"/>
    <w:rsid w:val="00E7465B"/>
    <w:rsid w:val="00E76230"/>
    <w:rsid w:val="00E76E84"/>
    <w:rsid w:val="00E80516"/>
    <w:rsid w:val="00E8074D"/>
    <w:rsid w:val="00E81498"/>
    <w:rsid w:val="00E816D2"/>
    <w:rsid w:val="00E81834"/>
    <w:rsid w:val="00E81AFF"/>
    <w:rsid w:val="00E84E1F"/>
    <w:rsid w:val="00E85192"/>
    <w:rsid w:val="00E85399"/>
    <w:rsid w:val="00E87020"/>
    <w:rsid w:val="00E877B9"/>
    <w:rsid w:val="00E904B9"/>
    <w:rsid w:val="00E90880"/>
    <w:rsid w:val="00E92576"/>
    <w:rsid w:val="00E93A85"/>
    <w:rsid w:val="00E93CD8"/>
    <w:rsid w:val="00E93E91"/>
    <w:rsid w:val="00E95218"/>
    <w:rsid w:val="00E95632"/>
    <w:rsid w:val="00E964A0"/>
    <w:rsid w:val="00EA1542"/>
    <w:rsid w:val="00EA24E5"/>
    <w:rsid w:val="00EA29DE"/>
    <w:rsid w:val="00EA425E"/>
    <w:rsid w:val="00EA4E76"/>
    <w:rsid w:val="00EA6469"/>
    <w:rsid w:val="00EA70B7"/>
    <w:rsid w:val="00EB18BD"/>
    <w:rsid w:val="00EB2772"/>
    <w:rsid w:val="00EB36F9"/>
    <w:rsid w:val="00EB5B23"/>
    <w:rsid w:val="00EB5F45"/>
    <w:rsid w:val="00EB75C0"/>
    <w:rsid w:val="00EB7B69"/>
    <w:rsid w:val="00EC417A"/>
    <w:rsid w:val="00EC5159"/>
    <w:rsid w:val="00EC5789"/>
    <w:rsid w:val="00EC6C49"/>
    <w:rsid w:val="00ED06F2"/>
    <w:rsid w:val="00ED36D5"/>
    <w:rsid w:val="00ED3A95"/>
    <w:rsid w:val="00ED3B44"/>
    <w:rsid w:val="00ED3B53"/>
    <w:rsid w:val="00ED4D43"/>
    <w:rsid w:val="00ED59EC"/>
    <w:rsid w:val="00ED714F"/>
    <w:rsid w:val="00EE01B6"/>
    <w:rsid w:val="00EE05E7"/>
    <w:rsid w:val="00EE0EAE"/>
    <w:rsid w:val="00EE1546"/>
    <w:rsid w:val="00EE17D5"/>
    <w:rsid w:val="00EE240F"/>
    <w:rsid w:val="00EE2984"/>
    <w:rsid w:val="00EE50B9"/>
    <w:rsid w:val="00EE513E"/>
    <w:rsid w:val="00EE61D9"/>
    <w:rsid w:val="00EE641B"/>
    <w:rsid w:val="00EE6488"/>
    <w:rsid w:val="00EE7DE6"/>
    <w:rsid w:val="00EF0721"/>
    <w:rsid w:val="00EF0A37"/>
    <w:rsid w:val="00EF0D83"/>
    <w:rsid w:val="00EF166D"/>
    <w:rsid w:val="00EF177D"/>
    <w:rsid w:val="00EF1869"/>
    <w:rsid w:val="00EF18D6"/>
    <w:rsid w:val="00EF241C"/>
    <w:rsid w:val="00EF499C"/>
    <w:rsid w:val="00EF4CD4"/>
    <w:rsid w:val="00EF5181"/>
    <w:rsid w:val="00EF581A"/>
    <w:rsid w:val="00EF5B40"/>
    <w:rsid w:val="00EF636E"/>
    <w:rsid w:val="00EF64E2"/>
    <w:rsid w:val="00F00965"/>
    <w:rsid w:val="00F013BB"/>
    <w:rsid w:val="00F021FA"/>
    <w:rsid w:val="00F0399E"/>
    <w:rsid w:val="00F04044"/>
    <w:rsid w:val="00F04481"/>
    <w:rsid w:val="00F04DFF"/>
    <w:rsid w:val="00F10034"/>
    <w:rsid w:val="00F11251"/>
    <w:rsid w:val="00F11FAD"/>
    <w:rsid w:val="00F14BEC"/>
    <w:rsid w:val="00F15497"/>
    <w:rsid w:val="00F155BB"/>
    <w:rsid w:val="00F160A7"/>
    <w:rsid w:val="00F162F5"/>
    <w:rsid w:val="00F17E1A"/>
    <w:rsid w:val="00F21831"/>
    <w:rsid w:val="00F241D3"/>
    <w:rsid w:val="00F2622F"/>
    <w:rsid w:val="00F26872"/>
    <w:rsid w:val="00F319A2"/>
    <w:rsid w:val="00F31C9B"/>
    <w:rsid w:val="00F343D0"/>
    <w:rsid w:val="00F362B7"/>
    <w:rsid w:val="00F363FC"/>
    <w:rsid w:val="00F367D9"/>
    <w:rsid w:val="00F37959"/>
    <w:rsid w:val="00F4151E"/>
    <w:rsid w:val="00F4168E"/>
    <w:rsid w:val="00F44E88"/>
    <w:rsid w:val="00F45CF0"/>
    <w:rsid w:val="00F460F9"/>
    <w:rsid w:val="00F46365"/>
    <w:rsid w:val="00F46509"/>
    <w:rsid w:val="00F46C2E"/>
    <w:rsid w:val="00F47581"/>
    <w:rsid w:val="00F47641"/>
    <w:rsid w:val="00F47C3D"/>
    <w:rsid w:val="00F47E5D"/>
    <w:rsid w:val="00F500BA"/>
    <w:rsid w:val="00F52079"/>
    <w:rsid w:val="00F52767"/>
    <w:rsid w:val="00F528BA"/>
    <w:rsid w:val="00F52AD2"/>
    <w:rsid w:val="00F54871"/>
    <w:rsid w:val="00F5524F"/>
    <w:rsid w:val="00F56547"/>
    <w:rsid w:val="00F56AC5"/>
    <w:rsid w:val="00F57361"/>
    <w:rsid w:val="00F578D1"/>
    <w:rsid w:val="00F57B70"/>
    <w:rsid w:val="00F57C74"/>
    <w:rsid w:val="00F606A7"/>
    <w:rsid w:val="00F61B2C"/>
    <w:rsid w:val="00F62E97"/>
    <w:rsid w:val="00F6321D"/>
    <w:rsid w:val="00F64209"/>
    <w:rsid w:val="00F65505"/>
    <w:rsid w:val="00F65795"/>
    <w:rsid w:val="00F664A5"/>
    <w:rsid w:val="00F67FDB"/>
    <w:rsid w:val="00F718CD"/>
    <w:rsid w:val="00F71CB1"/>
    <w:rsid w:val="00F733B7"/>
    <w:rsid w:val="00F73717"/>
    <w:rsid w:val="00F743BD"/>
    <w:rsid w:val="00F75776"/>
    <w:rsid w:val="00F75B25"/>
    <w:rsid w:val="00F77AB7"/>
    <w:rsid w:val="00F81CF9"/>
    <w:rsid w:val="00F81E15"/>
    <w:rsid w:val="00F81E2E"/>
    <w:rsid w:val="00F81E51"/>
    <w:rsid w:val="00F83954"/>
    <w:rsid w:val="00F83A4F"/>
    <w:rsid w:val="00F844CF"/>
    <w:rsid w:val="00F85395"/>
    <w:rsid w:val="00F85A64"/>
    <w:rsid w:val="00F86AF4"/>
    <w:rsid w:val="00F86D71"/>
    <w:rsid w:val="00F87C65"/>
    <w:rsid w:val="00F900B2"/>
    <w:rsid w:val="00F90B1E"/>
    <w:rsid w:val="00F91289"/>
    <w:rsid w:val="00F9149D"/>
    <w:rsid w:val="00F92960"/>
    <w:rsid w:val="00F92DC3"/>
    <w:rsid w:val="00F92EA2"/>
    <w:rsid w:val="00F93BF5"/>
    <w:rsid w:val="00F93C5E"/>
    <w:rsid w:val="00F9645C"/>
    <w:rsid w:val="00F97093"/>
    <w:rsid w:val="00F97A03"/>
    <w:rsid w:val="00F97AC4"/>
    <w:rsid w:val="00FA0CCE"/>
    <w:rsid w:val="00FA0DE6"/>
    <w:rsid w:val="00FA42AC"/>
    <w:rsid w:val="00FA4DC6"/>
    <w:rsid w:val="00FA7737"/>
    <w:rsid w:val="00FB063A"/>
    <w:rsid w:val="00FB289C"/>
    <w:rsid w:val="00FB494D"/>
    <w:rsid w:val="00FB53D3"/>
    <w:rsid w:val="00FB6D76"/>
    <w:rsid w:val="00FB6EDB"/>
    <w:rsid w:val="00FC098F"/>
    <w:rsid w:val="00FC2274"/>
    <w:rsid w:val="00FC3B5F"/>
    <w:rsid w:val="00FC3D7B"/>
    <w:rsid w:val="00FC42CA"/>
    <w:rsid w:val="00FC45D0"/>
    <w:rsid w:val="00FC6203"/>
    <w:rsid w:val="00FC7232"/>
    <w:rsid w:val="00FC743C"/>
    <w:rsid w:val="00FC7965"/>
    <w:rsid w:val="00FD0772"/>
    <w:rsid w:val="00FD179F"/>
    <w:rsid w:val="00FD2981"/>
    <w:rsid w:val="00FD3B3B"/>
    <w:rsid w:val="00FD4BA5"/>
    <w:rsid w:val="00FD5E3D"/>
    <w:rsid w:val="00FD61A8"/>
    <w:rsid w:val="00FD73BA"/>
    <w:rsid w:val="00FE37D5"/>
    <w:rsid w:val="00FE39A4"/>
    <w:rsid w:val="00FE4E3E"/>
    <w:rsid w:val="00FE4EAD"/>
    <w:rsid w:val="00FE5ABF"/>
    <w:rsid w:val="00FE60CE"/>
    <w:rsid w:val="00FE6676"/>
    <w:rsid w:val="00FE75A3"/>
    <w:rsid w:val="00FF1040"/>
    <w:rsid w:val="00FF1574"/>
    <w:rsid w:val="00FF21BC"/>
    <w:rsid w:val="00FF2E61"/>
    <w:rsid w:val="00FF3953"/>
    <w:rsid w:val="00FF4477"/>
    <w:rsid w:val="00FF68B3"/>
    <w:rsid w:val="00FF6D8E"/>
    <w:rsid w:val="00FF6FAC"/>
    <w:rsid w:val="0F20C21D"/>
    <w:rsid w:val="0F86DA64"/>
    <w:rsid w:val="1DDB50B5"/>
    <w:rsid w:val="1DF6B091"/>
    <w:rsid w:val="2323FA7F"/>
    <w:rsid w:val="282AC0C3"/>
    <w:rsid w:val="29867983"/>
    <w:rsid w:val="2CDC6CA6"/>
    <w:rsid w:val="30A52541"/>
    <w:rsid w:val="39B0A543"/>
    <w:rsid w:val="3F5B7DC8"/>
    <w:rsid w:val="4148C698"/>
    <w:rsid w:val="4330E2FB"/>
    <w:rsid w:val="48474254"/>
    <w:rsid w:val="4BD4C0B0"/>
    <w:rsid w:val="50342F3C"/>
    <w:rsid w:val="5050C4AD"/>
    <w:rsid w:val="6682F902"/>
    <w:rsid w:val="681E4A50"/>
    <w:rsid w:val="78CDB8FD"/>
    <w:rsid w:val="791A03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BF2BFB"/>
  <w15:chartTrackingRefBased/>
  <w15:docId w15:val="{24DA545C-6C60-4693-B4E2-C5F89A3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258D"/>
    <w:pPr>
      <w:widowControl w:val="0"/>
    </w:pPr>
    <w:rPr>
      <w:snapToGrid w:val="0"/>
      <w:kern w:val="28"/>
      <w:sz w:val="22"/>
    </w:rPr>
  </w:style>
  <w:style w:type="paragraph" w:styleId="Heading1">
    <w:name w:val="heading 1"/>
    <w:basedOn w:val="Normal"/>
    <w:next w:val="ParaNum"/>
    <w:link w:val="Heading1Char"/>
    <w:qFormat/>
    <w:rsid w:val="00DC258D"/>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C258D"/>
    <w:pPr>
      <w:keepNext/>
      <w:numPr>
        <w:ilvl w:val="1"/>
        <w:numId w:val="3"/>
      </w:numPr>
      <w:spacing w:after="120"/>
      <w:outlineLvl w:val="1"/>
    </w:pPr>
    <w:rPr>
      <w:b/>
    </w:rPr>
  </w:style>
  <w:style w:type="paragraph" w:styleId="Heading3">
    <w:name w:val="heading 3"/>
    <w:basedOn w:val="Normal"/>
    <w:next w:val="ParaNum"/>
    <w:qFormat/>
    <w:rsid w:val="00DC258D"/>
    <w:pPr>
      <w:keepNext/>
      <w:numPr>
        <w:ilvl w:val="2"/>
        <w:numId w:val="3"/>
      </w:numPr>
      <w:tabs>
        <w:tab w:val="left" w:pos="2160"/>
      </w:tabs>
      <w:spacing w:after="120"/>
      <w:outlineLvl w:val="2"/>
    </w:pPr>
    <w:rPr>
      <w:b/>
    </w:rPr>
  </w:style>
  <w:style w:type="paragraph" w:styleId="Heading4">
    <w:name w:val="heading 4"/>
    <w:basedOn w:val="Normal"/>
    <w:next w:val="ParaNum"/>
    <w:qFormat/>
    <w:rsid w:val="00DC258D"/>
    <w:pPr>
      <w:keepNext/>
      <w:numPr>
        <w:ilvl w:val="3"/>
        <w:numId w:val="3"/>
      </w:numPr>
      <w:tabs>
        <w:tab w:val="left" w:pos="2880"/>
      </w:tabs>
      <w:spacing w:after="120"/>
      <w:outlineLvl w:val="3"/>
    </w:pPr>
    <w:rPr>
      <w:b/>
    </w:rPr>
  </w:style>
  <w:style w:type="paragraph" w:styleId="Heading5">
    <w:name w:val="heading 5"/>
    <w:basedOn w:val="Normal"/>
    <w:next w:val="ParaNum"/>
    <w:qFormat/>
    <w:rsid w:val="00DC258D"/>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DC258D"/>
    <w:pPr>
      <w:numPr>
        <w:ilvl w:val="5"/>
        <w:numId w:val="3"/>
      </w:numPr>
      <w:tabs>
        <w:tab w:val="left" w:pos="4320"/>
      </w:tabs>
      <w:spacing w:after="120"/>
      <w:outlineLvl w:val="5"/>
    </w:pPr>
    <w:rPr>
      <w:b/>
    </w:rPr>
  </w:style>
  <w:style w:type="paragraph" w:styleId="Heading7">
    <w:name w:val="heading 7"/>
    <w:basedOn w:val="Normal"/>
    <w:next w:val="ParaNum"/>
    <w:qFormat/>
    <w:rsid w:val="00DC258D"/>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DC258D"/>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DC258D"/>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C25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258D"/>
  </w:style>
  <w:style w:type="paragraph" w:customStyle="1" w:styleId="ParaNum">
    <w:name w:val="ParaNum"/>
    <w:basedOn w:val="Normal"/>
    <w:rsid w:val="00DC258D"/>
    <w:pPr>
      <w:numPr>
        <w:numId w:val="2"/>
      </w:numPr>
      <w:tabs>
        <w:tab w:val="clear" w:pos="1080"/>
        <w:tab w:val="num" w:pos="1440"/>
      </w:tabs>
      <w:spacing w:after="120"/>
    </w:pPr>
  </w:style>
  <w:style w:type="paragraph" w:styleId="EndnoteText">
    <w:name w:val="endnote text"/>
    <w:basedOn w:val="Normal"/>
    <w:semiHidden/>
    <w:rsid w:val="00DC258D"/>
    <w:rPr>
      <w:sz w:val="20"/>
    </w:rPr>
  </w:style>
  <w:style w:type="character" w:styleId="EndnoteReference">
    <w:name w:val="endnote reference"/>
    <w:semiHidden/>
    <w:rsid w:val="00DC258D"/>
    <w:rPr>
      <w:vertAlign w:val="superscript"/>
    </w:rPr>
  </w:style>
  <w:style w:type="paragraph" w:styleId="FootnoteText">
    <w:name w:val="footnote text"/>
    <w:aliases w:val="ALTS FOOTNOTE Char Char,ALTS FOOTNOTE Char Char Char Char,Footnote Text Char,Footnote Text Char Char,Footnote Text Char Char Char Char,Footnote Text Char1,Footnote Text Char1 Char Char,f,fn Char,fn Char Char,fn Char Char Char Char,fn Char1"/>
    <w:link w:val="FootnoteTextChar2"/>
    <w:rsid w:val="00DC258D"/>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DC258D"/>
    <w:rPr>
      <w:rFonts w:ascii="Times New Roman" w:hAnsi="Times New Roman"/>
      <w:dstrike w:val="0"/>
      <w:color w:val="auto"/>
      <w:sz w:val="20"/>
      <w:vertAlign w:val="superscript"/>
    </w:rPr>
  </w:style>
  <w:style w:type="paragraph" w:styleId="TOC1">
    <w:name w:val="toc 1"/>
    <w:basedOn w:val="Normal"/>
    <w:next w:val="Normal"/>
    <w:semiHidden/>
    <w:rsid w:val="00DC258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DC258D"/>
    <w:pPr>
      <w:tabs>
        <w:tab w:val="left" w:pos="720"/>
        <w:tab w:val="right" w:leader="dot" w:pos="9360"/>
      </w:tabs>
      <w:suppressAutoHyphens/>
      <w:ind w:left="720" w:right="720" w:hanging="360"/>
    </w:pPr>
    <w:rPr>
      <w:noProof/>
    </w:rPr>
  </w:style>
  <w:style w:type="paragraph" w:styleId="TOC3">
    <w:name w:val="toc 3"/>
    <w:basedOn w:val="Normal"/>
    <w:next w:val="Normal"/>
    <w:semiHidden/>
    <w:rsid w:val="00DC258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C258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C258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C258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C258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C258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C258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C258D"/>
    <w:pPr>
      <w:tabs>
        <w:tab w:val="right" w:pos="9360"/>
      </w:tabs>
      <w:suppressAutoHyphens/>
    </w:pPr>
  </w:style>
  <w:style w:type="character" w:customStyle="1" w:styleId="EquationCaption">
    <w:name w:val="_Equation Caption"/>
    <w:rsid w:val="00DC258D"/>
  </w:style>
  <w:style w:type="paragraph" w:styleId="Header">
    <w:name w:val="header"/>
    <w:basedOn w:val="Normal"/>
    <w:autoRedefine/>
    <w:rsid w:val="00DC258D"/>
    <w:pPr>
      <w:tabs>
        <w:tab w:val="center" w:pos="4680"/>
        <w:tab w:val="right" w:pos="9360"/>
      </w:tabs>
    </w:pPr>
    <w:rPr>
      <w:b/>
    </w:rPr>
  </w:style>
  <w:style w:type="paragraph" w:styleId="Footer">
    <w:name w:val="footer"/>
    <w:basedOn w:val="Normal"/>
    <w:link w:val="FooterChar"/>
    <w:uiPriority w:val="99"/>
    <w:rsid w:val="00DC258D"/>
    <w:pPr>
      <w:tabs>
        <w:tab w:val="center" w:pos="4320"/>
        <w:tab w:val="right" w:pos="8640"/>
      </w:tabs>
    </w:pPr>
  </w:style>
  <w:style w:type="character" w:styleId="PageNumber">
    <w:name w:val="page number"/>
    <w:basedOn w:val="DefaultParagraphFont"/>
    <w:rsid w:val="00DC258D"/>
  </w:style>
  <w:style w:type="paragraph" w:styleId="BlockText">
    <w:name w:val="Block Text"/>
    <w:basedOn w:val="Normal"/>
    <w:rsid w:val="00DC258D"/>
    <w:pPr>
      <w:spacing w:after="240"/>
      <w:ind w:left="1440" w:right="1440"/>
    </w:pPr>
  </w:style>
  <w:style w:type="paragraph" w:customStyle="1" w:styleId="Paratitle">
    <w:name w:val="Para title"/>
    <w:basedOn w:val="Normal"/>
    <w:rsid w:val="00DC258D"/>
    <w:pPr>
      <w:tabs>
        <w:tab w:val="center" w:pos="9270"/>
      </w:tabs>
      <w:spacing w:after="240"/>
    </w:pPr>
    <w:rPr>
      <w:spacing w:val="-2"/>
    </w:rPr>
  </w:style>
  <w:style w:type="paragraph" w:customStyle="1" w:styleId="Bullet">
    <w:name w:val="Bullet"/>
    <w:basedOn w:val="Normal"/>
    <w:rsid w:val="00DC258D"/>
    <w:pPr>
      <w:tabs>
        <w:tab w:val="left" w:pos="2160"/>
      </w:tabs>
      <w:spacing w:after="220"/>
      <w:ind w:left="2160" w:hanging="720"/>
    </w:pPr>
  </w:style>
  <w:style w:type="paragraph" w:customStyle="1" w:styleId="TableFormat">
    <w:name w:val="TableFormat"/>
    <w:basedOn w:val="Bullet"/>
    <w:rsid w:val="00DC258D"/>
    <w:pPr>
      <w:tabs>
        <w:tab w:val="clear" w:pos="2160"/>
        <w:tab w:val="left" w:pos="5040"/>
      </w:tabs>
      <w:ind w:left="5040" w:hanging="3600"/>
    </w:pPr>
  </w:style>
  <w:style w:type="paragraph" w:customStyle="1" w:styleId="TOCTitle">
    <w:name w:val="TOC Title"/>
    <w:basedOn w:val="Normal"/>
    <w:rsid w:val="00DC258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C258D"/>
    <w:pPr>
      <w:jc w:val="center"/>
    </w:pPr>
    <w:rPr>
      <w:rFonts w:ascii="Times New Roman Bold" w:hAnsi="Times New Roman Bold"/>
      <w:b/>
      <w:bCs/>
      <w:caps/>
      <w:szCs w:val="22"/>
    </w:rPr>
  </w:style>
  <w:style w:type="character" w:styleId="Hyperlink">
    <w:name w:val="Hyperlink"/>
    <w:rsid w:val="00DC258D"/>
    <w:rPr>
      <w:color w:val="0000FF"/>
      <w:u w:val="single"/>
    </w:rPr>
  </w:style>
  <w:style w:type="character" w:customStyle="1" w:styleId="FooterChar">
    <w:name w:val="Footer Char"/>
    <w:link w:val="Footer"/>
    <w:uiPriority w:val="99"/>
    <w:rsid w:val="00DC258D"/>
    <w:rPr>
      <w:snapToGrid w:val="0"/>
      <w:kern w:val="28"/>
      <w:sz w:val="22"/>
    </w:rPr>
  </w:style>
  <w:style w:type="character" w:customStyle="1" w:styleId="FootnoteTextChar2">
    <w:name w:val="Footnote Text Char2"/>
    <w:aliases w:val="ALTS FOOTNOTE Char Char Char,ALTS FOOTNOTE Char Char Char Char Char,Footnote Text Char Char1,Footnote Text Char Char Char,Footnote Text Char Char Char Char Char,Footnote Text Char1 Char,Footnote Text Char1 Char Char Char,f Char"/>
    <w:link w:val="FootnoteText"/>
    <w:locked/>
    <w:rsid w:val="00E4677C"/>
  </w:style>
  <w:style w:type="character" w:styleId="CommentReference">
    <w:name w:val="annotation reference"/>
    <w:rsid w:val="00A921E9"/>
    <w:rPr>
      <w:sz w:val="16"/>
      <w:szCs w:val="16"/>
    </w:rPr>
  </w:style>
  <w:style w:type="paragraph" w:styleId="CommentText">
    <w:name w:val="annotation text"/>
    <w:basedOn w:val="Normal"/>
    <w:link w:val="CommentTextChar"/>
    <w:rsid w:val="00A921E9"/>
    <w:rPr>
      <w:sz w:val="20"/>
    </w:rPr>
  </w:style>
  <w:style w:type="character" w:customStyle="1" w:styleId="CommentTextChar">
    <w:name w:val="Comment Text Char"/>
    <w:link w:val="CommentText"/>
    <w:rsid w:val="00A921E9"/>
    <w:rPr>
      <w:snapToGrid w:val="0"/>
      <w:kern w:val="28"/>
    </w:rPr>
  </w:style>
  <w:style w:type="paragraph" w:styleId="CommentSubject">
    <w:name w:val="annotation subject"/>
    <w:basedOn w:val="CommentText"/>
    <w:next w:val="CommentText"/>
    <w:link w:val="CommentSubjectChar"/>
    <w:rsid w:val="00A921E9"/>
    <w:rPr>
      <w:b/>
      <w:bCs/>
    </w:rPr>
  </w:style>
  <w:style w:type="character" w:customStyle="1" w:styleId="CommentSubjectChar">
    <w:name w:val="Comment Subject Char"/>
    <w:link w:val="CommentSubject"/>
    <w:rsid w:val="00A921E9"/>
    <w:rPr>
      <w:b/>
      <w:bCs/>
      <w:snapToGrid w:val="0"/>
      <w:kern w:val="28"/>
    </w:rPr>
  </w:style>
  <w:style w:type="paragraph" w:styleId="BalloonText">
    <w:name w:val="Balloon Text"/>
    <w:basedOn w:val="Normal"/>
    <w:link w:val="BalloonTextChar"/>
    <w:rsid w:val="00A921E9"/>
    <w:rPr>
      <w:rFonts w:ascii="Tahoma" w:hAnsi="Tahoma" w:cs="Tahoma"/>
      <w:sz w:val="16"/>
      <w:szCs w:val="16"/>
    </w:rPr>
  </w:style>
  <w:style w:type="character" w:customStyle="1" w:styleId="BalloonTextChar">
    <w:name w:val="Balloon Text Char"/>
    <w:link w:val="BalloonText"/>
    <w:rsid w:val="00A921E9"/>
    <w:rPr>
      <w:rFonts w:ascii="Tahoma" w:hAnsi="Tahoma" w:cs="Tahoma"/>
      <w:snapToGrid w:val="0"/>
      <w:kern w:val="28"/>
      <w:sz w:val="16"/>
      <w:szCs w:val="16"/>
    </w:rPr>
  </w:style>
  <w:style w:type="character" w:styleId="UnresolvedMention">
    <w:name w:val="Unresolved Mention"/>
    <w:uiPriority w:val="99"/>
    <w:semiHidden/>
    <w:unhideWhenUsed/>
    <w:rsid w:val="00AC67CA"/>
    <w:rPr>
      <w:color w:val="605E5C"/>
      <w:shd w:val="clear" w:color="auto" w:fill="E1DFDD"/>
    </w:rPr>
  </w:style>
  <w:style w:type="paragraph" w:styleId="Revision">
    <w:name w:val="Revision"/>
    <w:hidden/>
    <w:uiPriority w:val="99"/>
    <w:semiHidden/>
    <w:rsid w:val="00EA425E"/>
    <w:rPr>
      <w:snapToGrid w:val="0"/>
      <w:kern w:val="28"/>
      <w:sz w:val="22"/>
    </w:rPr>
  </w:style>
  <w:style w:type="character" w:styleId="Strong">
    <w:name w:val="Strong"/>
    <w:qFormat/>
    <w:rsid w:val="007035B1"/>
    <w:rPr>
      <w:b/>
      <w:bCs/>
    </w:rPr>
  </w:style>
  <w:style w:type="character" w:customStyle="1" w:styleId="enumxml">
    <w:name w:val="enumxml"/>
    <w:basedOn w:val="DefaultParagraphFont"/>
    <w:rsid w:val="00BC28F2"/>
  </w:style>
  <w:style w:type="character" w:customStyle="1" w:styleId="cf01">
    <w:name w:val="cf01"/>
    <w:rsid w:val="00F17E1A"/>
    <w:rPr>
      <w:rFonts w:ascii="Segoe UI" w:hAnsi="Segoe UI" w:cs="Segoe UI" w:hint="default"/>
      <w:sz w:val="18"/>
      <w:szCs w:val="18"/>
    </w:rPr>
  </w:style>
  <w:style w:type="character" w:styleId="FollowedHyperlink">
    <w:name w:val="FollowedHyperlink"/>
    <w:rsid w:val="00C41F38"/>
    <w:rPr>
      <w:color w:val="954F72"/>
      <w:u w:val="single"/>
    </w:rPr>
  </w:style>
  <w:style w:type="paragraph" w:customStyle="1" w:styleId="xmsonormal">
    <w:name w:val="x_msonormal"/>
    <w:basedOn w:val="Normal"/>
    <w:rsid w:val="000C4532"/>
    <w:pPr>
      <w:widowControl/>
      <w:spacing w:before="100" w:beforeAutospacing="1" w:after="100" w:afterAutospacing="1"/>
    </w:pPr>
    <w:rPr>
      <w:rFonts w:ascii="Calibri" w:eastAsia="Calibri" w:hAnsi="Calibri" w:cs="Calibri"/>
      <w:snapToGrid/>
      <w:kern w:val="0"/>
      <w:szCs w:val="22"/>
    </w:rPr>
  </w:style>
  <w:style w:type="character" w:styleId="Mention">
    <w:name w:val="Mention"/>
    <w:basedOn w:val="DefaultParagraphFont"/>
    <w:uiPriority w:val="99"/>
    <w:unhideWhenUsed/>
    <w:rsid w:val="001707C5"/>
    <w:rPr>
      <w:color w:val="2B579A"/>
      <w:shd w:val="clear" w:color="auto" w:fill="E1DFDD"/>
    </w:rPr>
  </w:style>
  <w:style w:type="character" w:customStyle="1" w:styleId="ui-provider">
    <w:name w:val="ui-provider"/>
    <w:basedOn w:val="DefaultParagraphFont"/>
    <w:rsid w:val="00463DB4"/>
  </w:style>
  <w:style w:type="paragraph" w:styleId="BodyText">
    <w:name w:val="Body Text"/>
    <w:basedOn w:val="Normal"/>
    <w:link w:val="BodyTextChar"/>
    <w:rsid w:val="001E07F8"/>
    <w:pPr>
      <w:spacing w:after="120"/>
    </w:pPr>
  </w:style>
  <w:style w:type="character" w:customStyle="1" w:styleId="BodyTextChar">
    <w:name w:val="Body Text Char"/>
    <w:basedOn w:val="DefaultParagraphFont"/>
    <w:link w:val="BodyText"/>
    <w:rsid w:val="001E07F8"/>
    <w:rPr>
      <w:snapToGrid w:val="0"/>
      <w:kern w:val="28"/>
      <w:sz w:val="22"/>
    </w:rPr>
  </w:style>
  <w:style w:type="character" w:customStyle="1" w:styleId="Heading2Char">
    <w:name w:val="Heading 2 Char"/>
    <w:basedOn w:val="DefaultParagraphFont"/>
    <w:link w:val="Heading2"/>
    <w:rsid w:val="002C54E0"/>
    <w:rPr>
      <w:b/>
      <w:snapToGrid w:val="0"/>
      <w:kern w:val="28"/>
      <w:sz w:val="22"/>
    </w:rPr>
  </w:style>
  <w:style w:type="paragraph" w:styleId="ListParagraph">
    <w:name w:val="List Paragraph"/>
    <w:basedOn w:val="Normal"/>
    <w:uiPriority w:val="34"/>
    <w:qFormat/>
    <w:rsid w:val="002C54E0"/>
    <w:pPr>
      <w:widowControl/>
      <w:ind w:left="720"/>
      <w:contextualSpacing/>
    </w:pPr>
    <w:rPr>
      <w:snapToGrid/>
      <w:kern w:val="0"/>
      <w:sz w:val="24"/>
      <w:szCs w:val="24"/>
    </w:rPr>
  </w:style>
  <w:style w:type="character" w:customStyle="1" w:styleId="boolean-control">
    <w:name w:val="boolean-control"/>
    <w:basedOn w:val="DefaultParagraphFont"/>
    <w:rsid w:val="002C54E0"/>
  </w:style>
  <w:style w:type="character" w:customStyle="1" w:styleId="ng-binding">
    <w:name w:val="ng-binding"/>
    <w:basedOn w:val="DefaultParagraphFont"/>
    <w:rsid w:val="008633CD"/>
  </w:style>
  <w:style w:type="character" w:customStyle="1" w:styleId="Heading1Char">
    <w:name w:val="Heading 1 Char"/>
    <w:basedOn w:val="DefaultParagraphFont"/>
    <w:link w:val="Heading1"/>
    <w:rsid w:val="002C1F7D"/>
    <w:rPr>
      <w:rFonts w:ascii="Times New Roman Bold" w:hAnsi="Times New Roman Bold"/>
      <w:b/>
      <w:caps/>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EnforcementBureauTCD@fcc.gov" TargetMode="External" /><Relationship Id="rId7" Type="http://schemas.openxmlformats.org/officeDocument/2006/relationships/hyperlink" Target="mailto:daniel.stepanicich@fcc.gov" TargetMode="External" /><Relationship Id="rId8" Type="http://schemas.openxmlformats.org/officeDocument/2006/relationships/hyperlink" Target="mailto:David.Konuch@fcc.gov" TargetMode="External" /><Relationship Id="rId9" Type="http://schemas.openxmlformats.org/officeDocument/2006/relationships/hyperlink" Target="mailto:brisa@belthrough.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14391A1.pdf" TargetMode="External" /><Relationship Id="rId2" Type="http://schemas.openxmlformats.org/officeDocument/2006/relationships/hyperlink" Target="https://www.fcc.gov/consumers/guides/stop-unwanted-robocalls-and-texts" TargetMode="External" /><Relationship Id="rId3" Type="http://schemas.openxmlformats.org/officeDocument/2006/relationships/hyperlink" Target="file:///C:\Users\Loyaan.Egal\AppData\Local\Microsoft\Windows\INetCache\Content.Outlook\80BS4G72\See" TargetMode="External" /><Relationship Id="rId4" Type="http://schemas.openxmlformats.org/officeDocument/2006/relationships/hyperlink" Target="https://fccprod.servicenowservices.com/rmd?id=rmd_form&amp;table=x_g_fmc_rmd_robocall_mitigation_database&amp;sys_id=b058b2201b30b5103c7943bae54bcb27&amp;view=sp"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