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5A18E984" w14:textId="77777777">
      <w:pPr>
        <w:jc w:val="right"/>
        <w:rPr>
          <w:sz w:val="24"/>
        </w:rPr>
      </w:pPr>
    </w:p>
    <w:p w:rsidR="00BA3BA8" w:rsidRPr="00DB3CBC" w14:paraId="49094E31" w14:textId="2839FF42">
      <w:pPr>
        <w:jc w:val="right"/>
        <w:rPr>
          <w:b/>
          <w:szCs w:val="22"/>
        </w:rPr>
      </w:pPr>
      <w:r w:rsidRPr="00DB3CBC">
        <w:rPr>
          <w:b/>
          <w:szCs w:val="22"/>
        </w:rPr>
        <w:t>DA 2</w:t>
      </w:r>
      <w:r w:rsidR="00831D6E">
        <w:rPr>
          <w:b/>
          <w:szCs w:val="22"/>
        </w:rPr>
        <w:t>6</w:t>
      </w:r>
      <w:r w:rsidRPr="00DB3CBC">
        <w:rPr>
          <w:b/>
          <w:szCs w:val="22"/>
        </w:rPr>
        <w:t>-</w:t>
      </w:r>
      <w:r w:rsidR="006B0D62">
        <w:rPr>
          <w:b/>
          <w:szCs w:val="22"/>
        </w:rPr>
        <w:t>181</w:t>
      </w:r>
    </w:p>
    <w:p w:rsidR="00BA3BA8" w:rsidRPr="00DB3CBC" w:rsidP="506760FD" w14:paraId="57FC0364" w14:textId="22D3480D">
      <w:pPr>
        <w:spacing w:before="60"/>
        <w:jc w:val="right"/>
        <w:rPr>
          <w:b/>
          <w:bCs/>
        </w:rPr>
      </w:pPr>
      <w:r w:rsidRPr="506760FD">
        <w:rPr>
          <w:b/>
          <w:bCs/>
        </w:rPr>
        <w:t xml:space="preserve">Released:  </w:t>
      </w:r>
      <w:r w:rsidR="006F13BE">
        <w:rPr>
          <w:b/>
          <w:bCs/>
        </w:rPr>
        <w:t>February</w:t>
      </w:r>
      <w:r w:rsidRPr="506760FD" w:rsidR="006F13BE">
        <w:rPr>
          <w:b/>
          <w:bCs/>
        </w:rPr>
        <w:t xml:space="preserve"> </w:t>
      </w:r>
      <w:r w:rsidR="003B4843">
        <w:rPr>
          <w:b/>
          <w:bCs/>
        </w:rPr>
        <w:t>23</w:t>
      </w:r>
      <w:r w:rsidRPr="506760FD" w:rsidR="001A5115">
        <w:rPr>
          <w:b/>
          <w:bCs/>
        </w:rPr>
        <w:t>, 202</w:t>
      </w:r>
      <w:r w:rsidR="00831D6E">
        <w:rPr>
          <w:b/>
          <w:bCs/>
        </w:rPr>
        <w:t>6</w:t>
      </w:r>
    </w:p>
    <w:p w:rsidR="00881759" w:rsidP="00881759" w14:paraId="6BB11DED" w14:textId="77777777">
      <w:pPr>
        <w:jc w:val="center"/>
        <w:rPr>
          <w:b/>
          <w:bCs/>
          <w:szCs w:val="22"/>
        </w:rPr>
      </w:pPr>
      <w:bookmarkStart w:id="0" w:name="_Hlk166229554"/>
    </w:p>
    <w:p w:rsidR="00B85247" w:rsidP="009F04E5" w14:paraId="6E1A9369" w14:textId="7C4F7328">
      <w:pPr>
        <w:jc w:val="center"/>
        <w:rPr>
          <w:b/>
          <w:bCs/>
          <w:szCs w:val="22"/>
        </w:rPr>
      </w:pPr>
      <w:r w:rsidRPr="00DB3CBC">
        <w:rPr>
          <w:b/>
          <w:bCs/>
          <w:szCs w:val="22"/>
        </w:rPr>
        <w:t xml:space="preserve">DOMESTIC </w:t>
      </w:r>
      <w:r w:rsidRPr="00DB3CBC">
        <w:rPr>
          <w:b/>
          <w:bCs/>
          <w:caps/>
          <w:szCs w:val="22"/>
        </w:rPr>
        <w:t>SECTION</w:t>
      </w:r>
      <w:r w:rsidRPr="00DB3CBC">
        <w:rPr>
          <w:b/>
          <w:bCs/>
          <w:szCs w:val="22"/>
        </w:rPr>
        <w:t xml:space="preserve"> 214 APPLICATION </w:t>
      </w:r>
      <w:r w:rsidR="00675ECB">
        <w:rPr>
          <w:b/>
          <w:bCs/>
          <w:szCs w:val="22"/>
        </w:rPr>
        <w:t>GRANTED</w:t>
      </w:r>
      <w:r w:rsidRPr="00DB3CBC">
        <w:rPr>
          <w:b/>
          <w:bCs/>
          <w:szCs w:val="22"/>
        </w:rPr>
        <w:t xml:space="preserve"> FOR </w:t>
      </w:r>
      <w:bookmarkEnd w:id="0"/>
      <w:r w:rsidRPr="009F04E5" w:rsidR="009F04E5">
        <w:rPr>
          <w:b/>
          <w:bCs/>
          <w:szCs w:val="22"/>
        </w:rPr>
        <w:t>THE ACQUISITION OF CERTAIN ASSETS OF MICHIGAN BELL TELEPHONE</w:t>
      </w:r>
      <w:r w:rsidR="009F04E5">
        <w:rPr>
          <w:b/>
          <w:bCs/>
          <w:szCs w:val="22"/>
        </w:rPr>
        <w:t xml:space="preserve"> </w:t>
      </w:r>
      <w:r w:rsidRPr="009F04E5" w:rsidR="009F04E5">
        <w:rPr>
          <w:b/>
          <w:bCs/>
          <w:szCs w:val="22"/>
        </w:rPr>
        <w:t>COMPANY, LLC</w:t>
      </w:r>
    </w:p>
    <w:p w:rsidR="00BA3BA8" w:rsidP="00285CF5" w14:paraId="7562A3CA" w14:textId="19D039B6">
      <w:pPr>
        <w:jc w:val="center"/>
        <w:rPr>
          <w:b/>
          <w:bCs/>
          <w:szCs w:val="22"/>
        </w:rPr>
      </w:pPr>
      <w:r>
        <w:rPr>
          <w:b/>
          <w:bCs/>
          <w:szCs w:val="22"/>
        </w:rPr>
        <w:t>BY</w:t>
      </w:r>
      <w:r w:rsidRPr="009F04E5" w:rsidR="009F04E5">
        <w:rPr>
          <w:b/>
          <w:bCs/>
          <w:szCs w:val="22"/>
        </w:rPr>
        <w:t xml:space="preserve"> UP FIBER, INC.</w:t>
      </w:r>
    </w:p>
    <w:p w:rsidR="00270666" w:rsidRPr="000273BA" w:rsidP="00285CF5" w14:paraId="78F7FF4F" w14:textId="77777777">
      <w:pPr>
        <w:jc w:val="center"/>
        <w:rPr>
          <w:b/>
          <w:bCs/>
          <w:szCs w:val="22"/>
        </w:rPr>
      </w:pPr>
    </w:p>
    <w:p w:rsidR="00BA3BA8" w:rsidRPr="00DB3CBC" w:rsidP="000273BA" w14:paraId="643284FA" w14:textId="0A650E5D">
      <w:pPr>
        <w:spacing w:after="120"/>
        <w:jc w:val="center"/>
        <w:rPr>
          <w:b/>
          <w:szCs w:val="22"/>
        </w:rPr>
      </w:pPr>
      <w:r w:rsidRPr="00DB3CBC">
        <w:rPr>
          <w:b/>
          <w:szCs w:val="22"/>
        </w:rPr>
        <w:t>WC Docket No. 2</w:t>
      </w:r>
      <w:r w:rsidR="00D3124A">
        <w:rPr>
          <w:b/>
          <w:szCs w:val="22"/>
        </w:rPr>
        <w:t>5</w:t>
      </w:r>
      <w:r w:rsidR="00E37BFA">
        <w:rPr>
          <w:b/>
          <w:szCs w:val="22"/>
        </w:rPr>
        <w:t>-</w:t>
      </w:r>
      <w:r w:rsidR="00CD6B49">
        <w:rPr>
          <w:b/>
          <w:szCs w:val="22"/>
        </w:rPr>
        <w:t>181</w:t>
      </w:r>
    </w:p>
    <w:p w:rsidR="00881759" w:rsidP="00881759" w14:paraId="4A97C256" w14:textId="77777777">
      <w:pPr>
        <w:rPr>
          <w:b/>
          <w:szCs w:val="22"/>
        </w:rPr>
      </w:pPr>
      <w:bookmarkStart w:id="1" w:name="TOChere"/>
    </w:p>
    <w:p w:rsidR="001622C3" w:rsidRPr="001622C3" w:rsidP="001622C3" w14:paraId="4634447F" w14:textId="77777777">
      <w:pPr>
        <w:jc w:val="center"/>
        <w:rPr>
          <w:b/>
          <w:szCs w:val="22"/>
        </w:rPr>
      </w:pPr>
      <w:r w:rsidRPr="001622C3">
        <w:rPr>
          <w:b/>
          <w:szCs w:val="22"/>
        </w:rPr>
        <w:t>JOINT PETITION OF</w:t>
      </w:r>
    </w:p>
    <w:p w:rsidR="001622C3" w:rsidRPr="001622C3" w:rsidP="001622C3" w14:paraId="5E34A064" w14:textId="77777777">
      <w:pPr>
        <w:jc w:val="center"/>
        <w:rPr>
          <w:b/>
          <w:szCs w:val="22"/>
        </w:rPr>
      </w:pPr>
      <w:r w:rsidRPr="001622C3">
        <w:rPr>
          <w:b/>
          <w:szCs w:val="22"/>
        </w:rPr>
        <w:t>MICHIGAN BELL TELEPHONE COMPANY, LLC AND UP FIBER, INC. FOR</w:t>
      </w:r>
    </w:p>
    <w:p w:rsidR="00BC6BE1" w:rsidP="001622C3" w14:paraId="6796009C" w14:textId="23F9F785">
      <w:pPr>
        <w:jc w:val="center"/>
        <w:rPr>
          <w:b/>
          <w:szCs w:val="22"/>
        </w:rPr>
      </w:pPr>
      <w:r w:rsidRPr="001622C3">
        <w:rPr>
          <w:b/>
          <w:szCs w:val="22"/>
        </w:rPr>
        <w:t>WAIVER OF PART 36 AND SECTION 61.41(C)(2) OF THE COMMISSION’S RULES</w:t>
      </w:r>
    </w:p>
    <w:p w:rsidR="001622C3" w:rsidP="001622C3" w14:paraId="170E652C" w14:textId="77777777">
      <w:pPr>
        <w:jc w:val="center"/>
        <w:rPr>
          <w:b/>
          <w:szCs w:val="22"/>
        </w:rPr>
      </w:pPr>
    </w:p>
    <w:p w:rsidR="001622C3" w:rsidRPr="001622C3" w:rsidP="001622C3" w14:paraId="2A4D7D38" w14:textId="77777777">
      <w:pPr>
        <w:jc w:val="center"/>
        <w:rPr>
          <w:b/>
          <w:szCs w:val="22"/>
        </w:rPr>
      </w:pPr>
      <w:r w:rsidRPr="001622C3">
        <w:rPr>
          <w:b/>
          <w:szCs w:val="22"/>
        </w:rPr>
        <w:t>WC Docket No. 25-181</w:t>
      </w:r>
    </w:p>
    <w:p w:rsidR="001622C3" w:rsidP="001622C3" w14:paraId="6800BFEB" w14:textId="79C98C81">
      <w:pPr>
        <w:jc w:val="center"/>
        <w:rPr>
          <w:b/>
          <w:szCs w:val="22"/>
        </w:rPr>
      </w:pPr>
      <w:r w:rsidRPr="001622C3">
        <w:rPr>
          <w:b/>
          <w:szCs w:val="22"/>
        </w:rPr>
        <w:t>CC Docket No. 96-45</w:t>
      </w:r>
    </w:p>
    <w:p w:rsidR="00BC6BE1" w:rsidRPr="00AD440B" w:rsidP="00881759" w14:paraId="6C82F00D" w14:textId="77777777">
      <w:pPr>
        <w:rPr>
          <w:b/>
          <w:szCs w:val="22"/>
        </w:rPr>
      </w:pPr>
    </w:p>
    <w:p w:rsidR="00427FC5" w:rsidP="00E63CD0" w14:paraId="159CC031" w14:textId="15E8C3BE">
      <w:pPr>
        <w:autoSpaceDE w:val="0"/>
        <w:autoSpaceDN w:val="0"/>
        <w:adjustRightInd w:val="0"/>
        <w:spacing w:after="120"/>
        <w:ind w:firstLine="720"/>
      </w:pPr>
      <w:r w:rsidRPr="52D3F29C">
        <w:t xml:space="preserve">By this Public Notice, the Wireline Competition Bureau </w:t>
      </w:r>
      <w:r w:rsidR="001651E2">
        <w:t xml:space="preserve">(Bureau) </w:t>
      </w:r>
      <w:r w:rsidR="00260243">
        <w:t>gr</w:t>
      </w:r>
      <w:r w:rsidRPr="52D3F29C">
        <w:t>a</w:t>
      </w:r>
      <w:r w:rsidR="00260243">
        <w:t>nts a</w:t>
      </w:r>
      <w:r w:rsidRPr="52D3F29C">
        <w:t xml:space="preserve">n application filed by </w:t>
      </w:r>
      <w:bookmarkStart w:id="2" w:name="_Hlk187678845"/>
      <w:bookmarkStart w:id="3" w:name="_Hlk73713070"/>
      <w:bookmarkStart w:id="4" w:name="_Hlk67917977"/>
      <w:r w:rsidRPr="00CD6B49" w:rsidR="00CD6B49">
        <w:t>Michigan Bell Telephone Company, LLC (Michigan Bell</w:t>
      </w:r>
      <w:r w:rsidRPr="00453876" w:rsidR="00453876">
        <w:t xml:space="preserve">) </w:t>
      </w:r>
      <w:r w:rsidR="00CD6B49">
        <w:t>and UP Fiber, Inc. (UP Fiber</w:t>
      </w:r>
      <w:r w:rsidRPr="00453876" w:rsidR="00453876">
        <w:t xml:space="preserve">) </w:t>
      </w:r>
      <w:bookmarkEnd w:id="2"/>
      <w:r>
        <w:t>(</w:t>
      </w:r>
      <w:r w:rsidR="008A4486">
        <w:t>together</w:t>
      </w:r>
      <w:r>
        <w:t xml:space="preserve">, </w:t>
      </w:r>
      <w:r w:rsidRPr="52D3F29C">
        <w:t>Applicant</w:t>
      </w:r>
      <w:r>
        <w:t>s</w:t>
      </w:r>
      <w:r>
        <w:rPr>
          <w:szCs w:val="22"/>
        </w:rPr>
        <w:t>),</w:t>
      </w:r>
      <w:r w:rsidRPr="52D3F29C">
        <w:t xml:space="preserve"> pursuant to section 214(a) of the Communications Act of 1934, as amended, and section 63.04 of the Commission’s rules,</w:t>
      </w:r>
      <w:r>
        <w:rPr>
          <w:rStyle w:val="FootnoteReference"/>
        </w:rPr>
        <w:footnoteReference w:id="3"/>
      </w:r>
      <w:r w:rsidRPr="00523F87">
        <w:rPr>
          <w:szCs w:val="22"/>
        </w:rPr>
        <w:t xml:space="preserve"> </w:t>
      </w:r>
      <w:r w:rsidRPr="52D3F29C">
        <w:t>requesting</w:t>
      </w:r>
      <w:r w:rsidR="00C70BF0">
        <w:t xml:space="preserve"> </w:t>
      </w:r>
      <w:r w:rsidRPr="00C70BF0" w:rsidR="00C70BF0">
        <w:t xml:space="preserve">Commission </w:t>
      </w:r>
      <w:r w:rsidRPr="00642BB6" w:rsidR="00642BB6">
        <w:t xml:space="preserve">approval </w:t>
      </w:r>
      <w:r w:rsidR="005C1712">
        <w:t>for the acquisition of certain wire centers</w:t>
      </w:r>
      <w:r w:rsidR="00D30E1F">
        <w:t xml:space="preserve"> </w:t>
      </w:r>
      <w:r w:rsidR="00FE0B08">
        <w:t xml:space="preserve">(Wire Centers) </w:t>
      </w:r>
      <w:r w:rsidR="00D30E1F">
        <w:t xml:space="preserve">and other related </w:t>
      </w:r>
      <w:r w:rsidR="000A2251">
        <w:t xml:space="preserve">assets of Michigan Bell </w:t>
      </w:r>
      <w:r w:rsidR="008A47EA">
        <w:t>by</w:t>
      </w:r>
      <w:r w:rsidR="000A2251">
        <w:t xml:space="preserve"> UP Fiber.</w:t>
      </w:r>
      <w:bookmarkEnd w:id="3"/>
      <w:bookmarkEnd w:id="4"/>
      <w:r>
        <w:rPr>
          <w:vertAlign w:val="superscript"/>
        </w:rPr>
        <w:footnoteReference w:id="4"/>
      </w:r>
      <w:r w:rsidR="00B149B1">
        <w:t xml:space="preserve">  The Bureau also grants</w:t>
      </w:r>
      <w:r w:rsidR="00B25166">
        <w:t xml:space="preserve"> the joint petition of Michigan Bell and UP Fiber (together, Petitioners) for waiver of the definition of “study area” contained in the Appendix-Glossary of part 36 of the Commission’s rules</w:t>
      </w:r>
      <w:r w:rsidR="001E025E">
        <w:t xml:space="preserve"> and a waiver of the </w:t>
      </w:r>
      <w:r w:rsidR="003F63BB">
        <w:t>“</w:t>
      </w:r>
      <w:r w:rsidR="001E025E">
        <w:t>all-or-nothing rule</w:t>
      </w:r>
      <w:r w:rsidR="003F63BB">
        <w:t>” contained in s</w:t>
      </w:r>
      <w:r w:rsidRPr="006F13BE" w:rsidR="003F63BB">
        <w:rPr>
          <w:szCs w:val="22"/>
        </w:rPr>
        <w:t>ection 61.41(c)(2) of the Commission’s rules</w:t>
      </w:r>
      <w:r w:rsidR="00B25166">
        <w:t>.</w:t>
      </w:r>
      <w:r>
        <w:rPr>
          <w:rStyle w:val="FootnoteReference"/>
        </w:rPr>
        <w:footnoteReference w:id="5"/>
      </w:r>
      <w:r w:rsidR="00BC3CB4">
        <w:t xml:space="preserve">  </w:t>
      </w:r>
    </w:p>
    <w:p w:rsidR="00076946" w:rsidP="00E63CD0" w14:paraId="1855B492" w14:textId="77777777">
      <w:pPr>
        <w:autoSpaceDE w:val="0"/>
        <w:autoSpaceDN w:val="0"/>
        <w:adjustRightInd w:val="0"/>
        <w:spacing w:after="120"/>
        <w:ind w:firstLine="720"/>
      </w:pPr>
    </w:p>
    <w:p w:rsidR="00076946" w:rsidP="00E63CD0" w14:paraId="46410CD7" w14:textId="77777777">
      <w:pPr>
        <w:autoSpaceDE w:val="0"/>
        <w:autoSpaceDN w:val="0"/>
        <w:adjustRightInd w:val="0"/>
        <w:spacing w:after="120"/>
        <w:ind w:firstLine="720"/>
      </w:pPr>
    </w:p>
    <w:p w:rsidR="00590D18" w:rsidRPr="004D6934" w:rsidP="00590D18" w14:paraId="3D420D2A" w14:textId="4B802993">
      <w:pPr>
        <w:widowControl/>
        <w:autoSpaceDE w:val="0"/>
        <w:autoSpaceDN w:val="0"/>
        <w:adjustRightInd w:val="0"/>
        <w:spacing w:after="120"/>
        <w:rPr>
          <w:b/>
          <w:bCs/>
          <w:color w:val="000000"/>
          <w:szCs w:val="22"/>
          <w:u w:val="single"/>
        </w:rPr>
      </w:pPr>
      <w:r w:rsidRPr="004D6934">
        <w:rPr>
          <w:b/>
          <w:bCs/>
          <w:color w:val="000000"/>
          <w:szCs w:val="22"/>
          <w:u w:val="single"/>
        </w:rPr>
        <w:t>Grant of 214 A</w:t>
      </w:r>
      <w:r w:rsidRPr="004D6934" w:rsidR="008821A8">
        <w:rPr>
          <w:b/>
          <w:bCs/>
          <w:color w:val="000000"/>
          <w:szCs w:val="22"/>
          <w:u w:val="single"/>
        </w:rPr>
        <w:t>pplication</w:t>
      </w:r>
    </w:p>
    <w:p w:rsidR="00E05C6F" w:rsidRPr="00E05C6F" w:rsidP="00E05C6F" w14:paraId="451825BD" w14:textId="71574D6C">
      <w:pPr>
        <w:widowControl/>
        <w:autoSpaceDE w:val="0"/>
        <w:autoSpaceDN w:val="0"/>
        <w:adjustRightInd w:val="0"/>
        <w:spacing w:after="120"/>
        <w:ind w:firstLine="720"/>
        <w:rPr>
          <w:snapToGrid/>
          <w:kern w:val="0"/>
          <w:szCs w:val="22"/>
        </w:rPr>
      </w:pPr>
      <w:r w:rsidRPr="00A77268">
        <w:rPr>
          <w:color w:val="000000"/>
          <w:szCs w:val="22"/>
        </w:rPr>
        <w:t xml:space="preserve">On </w:t>
      </w:r>
      <w:r w:rsidR="00794411">
        <w:rPr>
          <w:color w:val="000000"/>
          <w:szCs w:val="22"/>
        </w:rPr>
        <w:t>July 25</w:t>
      </w:r>
      <w:r w:rsidRPr="00A77268">
        <w:rPr>
          <w:color w:val="000000"/>
          <w:szCs w:val="22"/>
        </w:rPr>
        <w:t>, 202</w:t>
      </w:r>
      <w:r>
        <w:rPr>
          <w:color w:val="000000"/>
          <w:szCs w:val="22"/>
        </w:rPr>
        <w:t>5</w:t>
      </w:r>
      <w:r w:rsidRPr="00A77268">
        <w:rPr>
          <w:color w:val="000000"/>
          <w:szCs w:val="22"/>
        </w:rPr>
        <w:t>, the Bureau released a public notice seeking comment on the Application.</w:t>
      </w:r>
      <w:r>
        <w:rPr>
          <w:rStyle w:val="FootnoteReference"/>
          <w:szCs w:val="22"/>
        </w:rPr>
        <w:footnoteReference w:id="6"/>
      </w:r>
      <w:r w:rsidRPr="00A77268">
        <w:rPr>
          <w:color w:val="000000"/>
          <w:szCs w:val="22"/>
        </w:rPr>
        <w:t xml:space="preserve">  We</w:t>
      </w:r>
      <w:r w:rsidRPr="00A77268">
        <w:rPr>
          <w:szCs w:val="22"/>
        </w:rPr>
        <w:t xml:space="preserve"> did not receive comments or petitions in opposition to the Application.</w:t>
      </w:r>
    </w:p>
    <w:p w:rsidR="00A136AD" w:rsidP="00A136AD" w14:paraId="23B473E8" w14:textId="53EC95B2">
      <w:pPr>
        <w:autoSpaceDE w:val="0"/>
        <w:autoSpaceDN w:val="0"/>
        <w:adjustRightInd w:val="0"/>
        <w:spacing w:after="120"/>
        <w:ind w:firstLine="720"/>
      </w:pPr>
      <w:r>
        <w:t>Michigan Bell</w:t>
      </w:r>
      <w:r w:rsidR="00AA473F">
        <w:t xml:space="preserve">, </w:t>
      </w:r>
      <w:r>
        <w:t>a Michigan limited liability company</w:t>
      </w:r>
      <w:r w:rsidR="00A41FAE">
        <w:t>, provides service as an</w:t>
      </w:r>
      <w:r>
        <w:t xml:space="preserve"> incumbent local exchange carrier </w:t>
      </w:r>
      <w:r w:rsidR="00BA0D76">
        <w:t xml:space="preserve">(LEC) </w:t>
      </w:r>
      <w:r>
        <w:t>in parts of Michigan</w:t>
      </w:r>
      <w:r w:rsidR="00961D68">
        <w:t>.</w:t>
      </w:r>
      <w:r>
        <w:rPr>
          <w:rStyle w:val="FootnoteReference"/>
        </w:rPr>
        <w:footnoteReference w:id="7"/>
      </w:r>
      <w:r>
        <w:t xml:space="preserve">  Michigan Bell’s parent company, AT&amp;T Inc., through its affiliates, </w:t>
      </w:r>
      <w:r w:rsidR="00984DE7">
        <w:t>provides service as</w:t>
      </w:r>
      <w:r>
        <w:t xml:space="preserve"> an incumbent </w:t>
      </w:r>
      <w:r w:rsidR="00BA0D76">
        <w:t>LEC</w:t>
      </w:r>
      <w:r>
        <w:t xml:space="preserve"> in parts of </w:t>
      </w:r>
      <w:r w:rsidR="005D290A">
        <w:t>20</w:t>
      </w:r>
      <w:r>
        <w:t xml:space="preserve"> other states</w:t>
      </w:r>
      <w:r w:rsidR="00C93721">
        <w:t xml:space="preserve"> and</w:t>
      </w:r>
      <w:r>
        <w:t>, through its affiliates,</w:t>
      </w:r>
      <w:r w:rsidR="00C93721">
        <w:t xml:space="preserve"> </w:t>
      </w:r>
      <w:r>
        <w:t xml:space="preserve">offers wireless and enterprise </w:t>
      </w:r>
      <w:r w:rsidRPr="00527C87">
        <w:rPr>
          <w:szCs w:val="22"/>
        </w:rPr>
        <w:t>services in most parts of the United States.</w:t>
      </w:r>
      <w:r>
        <w:rPr>
          <w:rStyle w:val="FootnoteReference"/>
          <w:szCs w:val="22"/>
        </w:rPr>
        <w:footnoteReference w:id="8"/>
      </w:r>
    </w:p>
    <w:p w:rsidR="00A136AD" w:rsidP="00F0694F" w14:paraId="7669BF52" w14:textId="5B6F0EC4">
      <w:pPr>
        <w:autoSpaceDE w:val="0"/>
        <w:autoSpaceDN w:val="0"/>
        <w:adjustRightInd w:val="0"/>
        <w:spacing w:after="120"/>
        <w:ind w:firstLine="720"/>
      </w:pPr>
      <w:r w:rsidRPr="000A2251">
        <w:t>UP Fiber</w:t>
      </w:r>
      <w:r w:rsidR="00AD5482">
        <w:t>,</w:t>
      </w:r>
      <w:r w:rsidRPr="008900B0" w:rsidR="008900B0">
        <w:t xml:space="preserve"> a Delaware corporation</w:t>
      </w:r>
      <w:r w:rsidR="00FA3AF1">
        <w:t xml:space="preserve"> </w:t>
      </w:r>
      <w:r w:rsidR="009D6F19">
        <w:t>created for the purposes of the proposed trans</w:t>
      </w:r>
      <w:r w:rsidR="00AB08CC">
        <w:t>a</w:t>
      </w:r>
      <w:r w:rsidR="009D6F19">
        <w:t>ction</w:t>
      </w:r>
      <w:r w:rsidR="00FA3AF1">
        <w:t>,</w:t>
      </w:r>
      <w:r w:rsidR="00041977">
        <w:t xml:space="preserve"> </w:t>
      </w:r>
      <w:r w:rsidR="00AB08CC">
        <w:t>i</w:t>
      </w:r>
      <w:r w:rsidR="00041977">
        <w:t>s held by the following U.S. citizens:  Daniel Miller (43 percent equity and voting)</w:t>
      </w:r>
      <w:r w:rsidR="00B826F3">
        <w:t>,</w:t>
      </w:r>
      <w:r w:rsidR="00041977">
        <w:t xml:space="preserve"> </w:t>
      </w:r>
      <w:r w:rsidR="00B826F3">
        <w:t xml:space="preserve">Warren Lichtenstein (17 </w:t>
      </w:r>
      <w:r w:rsidR="00DD0514">
        <w:t>percent</w:t>
      </w:r>
      <w:r w:rsidR="00B826F3">
        <w:t xml:space="preserve"> equity and voting)</w:t>
      </w:r>
      <w:r w:rsidR="00032E44">
        <w:t xml:space="preserve">, and other investors that collectively hold </w:t>
      </w:r>
      <w:r w:rsidR="00CE1671">
        <w:t xml:space="preserve">a </w:t>
      </w:r>
      <w:r w:rsidR="00032E44">
        <w:t xml:space="preserve">40 percent </w:t>
      </w:r>
      <w:r w:rsidR="00531CCB">
        <w:t xml:space="preserve">equity and </w:t>
      </w:r>
      <w:r w:rsidR="00C75247">
        <w:t xml:space="preserve">voting interest </w:t>
      </w:r>
      <w:r w:rsidR="009B073F">
        <w:t xml:space="preserve">in UP Fiber </w:t>
      </w:r>
      <w:r w:rsidR="00531CCB">
        <w:t>with no</w:t>
      </w:r>
      <w:r w:rsidR="009B073F">
        <w:t xml:space="preserve"> </w:t>
      </w:r>
      <w:r w:rsidR="00531CCB">
        <w:t xml:space="preserve">individual </w:t>
      </w:r>
      <w:r w:rsidR="00DF7232">
        <w:t xml:space="preserve">or entity </w:t>
      </w:r>
      <w:r w:rsidR="00EF1808">
        <w:t xml:space="preserve">holding a 10 percent or </w:t>
      </w:r>
      <w:r w:rsidR="009B073F">
        <w:t>greater</w:t>
      </w:r>
      <w:r w:rsidR="00EF1808">
        <w:t xml:space="preserve"> ownership inter</w:t>
      </w:r>
      <w:r w:rsidR="00C75247">
        <w:t>e</w:t>
      </w:r>
      <w:r w:rsidR="00EF1808">
        <w:t>st</w:t>
      </w:r>
      <w:r w:rsidR="00B826F3">
        <w:t>.</w:t>
      </w:r>
      <w:r>
        <w:rPr>
          <w:rStyle w:val="FootnoteReference"/>
        </w:rPr>
        <w:footnoteReference w:id="9"/>
      </w:r>
      <w:r w:rsidR="00B826F3">
        <w:t xml:space="preserve">  </w:t>
      </w:r>
      <w:r w:rsidR="00F61CEC">
        <w:t xml:space="preserve">UP Fiber is affiliated with </w:t>
      </w:r>
      <w:r w:rsidR="00DF7232">
        <w:t xml:space="preserve">two incumbent LECs, Michigan Central Broadband Company, LLC </w:t>
      </w:r>
      <w:r w:rsidR="0053245A">
        <w:t xml:space="preserve">(MCBC) </w:t>
      </w:r>
      <w:r w:rsidRPr="000125F8" w:rsidR="0053245A">
        <w:t>(SAC 310785)</w:t>
      </w:r>
      <w:r w:rsidR="0053245A">
        <w:t xml:space="preserve"> </w:t>
      </w:r>
      <w:r w:rsidR="00DF7232">
        <w:t>and Upper Peninsula Telephone Company</w:t>
      </w:r>
      <w:r w:rsidR="00964AD2">
        <w:t xml:space="preserve"> (UPTC) </w:t>
      </w:r>
      <w:r w:rsidRPr="000125F8" w:rsidR="00964AD2">
        <w:t>(SAC 310732)</w:t>
      </w:r>
      <w:r w:rsidR="00D77026">
        <w:t xml:space="preserve">, that are rate-of-return carriers </w:t>
      </w:r>
      <w:r w:rsidR="00DD2F2C">
        <w:t xml:space="preserve">in Michigan </w:t>
      </w:r>
      <w:r w:rsidR="00D77026">
        <w:t xml:space="preserve">that have elected to receive fixed support pursuant to the Enhanced </w:t>
      </w:r>
      <w:r w:rsidR="00D60B48">
        <w:t xml:space="preserve">Alternative </w:t>
      </w:r>
      <w:r w:rsidR="00DD2F2C">
        <w:t xml:space="preserve">Connect America </w:t>
      </w:r>
      <w:r w:rsidR="00D60B48">
        <w:t>Cost Model (Enhanced A-CAM)</w:t>
      </w:r>
      <w:r w:rsidR="00DD2F2C">
        <w:t xml:space="preserve"> support mechanism.</w:t>
      </w:r>
      <w:r>
        <w:rPr>
          <w:rStyle w:val="FootnoteReference"/>
        </w:rPr>
        <w:footnoteReference w:id="10"/>
      </w:r>
      <w:r w:rsidR="00DD2F2C">
        <w:t xml:space="preserve">  UP Fiber is also affiliated with a toll reseller</w:t>
      </w:r>
      <w:r w:rsidR="0069170E">
        <w:t xml:space="preserve">, </w:t>
      </w:r>
      <w:r w:rsidR="00965ADA">
        <w:t>Alpha Enterprises Limited, Inc.</w:t>
      </w:r>
      <w:r w:rsidR="005674F6">
        <w:t>,</w:t>
      </w:r>
      <w:r w:rsidR="00965ADA">
        <w:t xml:space="preserve"> operating in Michigan</w:t>
      </w:r>
      <w:r w:rsidR="00DD2F2C">
        <w:t>.</w:t>
      </w:r>
      <w:r>
        <w:rPr>
          <w:rStyle w:val="FootnoteReference"/>
        </w:rPr>
        <w:footnoteReference w:id="11"/>
      </w:r>
      <w:r w:rsidR="00965ADA">
        <w:t xml:space="preserve">  </w:t>
      </w:r>
      <w:r w:rsidR="008316DA">
        <w:t>N</w:t>
      </w:r>
      <w:r w:rsidR="00792239">
        <w:t xml:space="preserve">one of </w:t>
      </w:r>
      <w:r w:rsidR="008316DA">
        <w:t>these affiliates</w:t>
      </w:r>
      <w:r w:rsidR="00792239">
        <w:t xml:space="preserve"> provide service </w:t>
      </w:r>
      <w:r w:rsidR="00C43498">
        <w:t xml:space="preserve">where the </w:t>
      </w:r>
      <w:r w:rsidR="00CA4D20">
        <w:t xml:space="preserve">Wire Centers </w:t>
      </w:r>
      <w:r w:rsidR="007E5012">
        <w:t xml:space="preserve">and other related assets </w:t>
      </w:r>
      <w:r w:rsidR="00CE0DFF">
        <w:t>include</w:t>
      </w:r>
      <w:r w:rsidR="00477867">
        <w:t>d</w:t>
      </w:r>
      <w:r w:rsidR="00CE0DFF">
        <w:t xml:space="preserve"> in the proposed transaction are located</w:t>
      </w:r>
      <w:r w:rsidR="008316DA">
        <w:t xml:space="preserve"> in Michigan</w:t>
      </w:r>
      <w:r w:rsidR="00792239">
        <w:t>.</w:t>
      </w:r>
      <w:r>
        <w:rPr>
          <w:rStyle w:val="FootnoteReference"/>
        </w:rPr>
        <w:footnoteReference w:id="12"/>
      </w:r>
    </w:p>
    <w:p w:rsidR="008A605C" w:rsidP="00F0694F" w14:paraId="60119323" w14:textId="4646EE4D">
      <w:pPr>
        <w:autoSpaceDE w:val="0"/>
        <w:autoSpaceDN w:val="0"/>
        <w:adjustRightInd w:val="0"/>
        <w:spacing w:after="120"/>
        <w:ind w:firstLine="720"/>
      </w:pPr>
      <w:r w:rsidRPr="00077C93">
        <w:t>Pursuant to the terms of the proposed transactio</w:t>
      </w:r>
      <w:r w:rsidR="00F0231F">
        <w:t>n</w:t>
      </w:r>
      <w:r w:rsidRPr="0054180F" w:rsidR="0054180F">
        <w:t xml:space="preserve">, </w:t>
      </w:r>
      <w:r w:rsidR="00F0694F">
        <w:t xml:space="preserve">UP Fiber will acquire </w:t>
      </w:r>
      <w:r w:rsidR="00113002">
        <w:t xml:space="preserve">the </w:t>
      </w:r>
      <w:r w:rsidR="00CC0FE6">
        <w:t>W</w:t>
      </w:r>
      <w:r w:rsidR="00113002">
        <w:t xml:space="preserve">ire </w:t>
      </w:r>
      <w:r w:rsidR="00CC0FE6">
        <w:t>C</w:t>
      </w:r>
      <w:r w:rsidR="00113002">
        <w:t xml:space="preserve">enters </w:t>
      </w:r>
      <w:r w:rsidR="00F0694F">
        <w:t>and other related assets of Michigan Bell in Michigan.</w:t>
      </w:r>
      <w:r>
        <w:rPr>
          <w:rStyle w:val="FootnoteReference"/>
        </w:rPr>
        <w:footnoteReference w:id="13"/>
      </w:r>
      <w:r w:rsidR="00F0694F">
        <w:t xml:space="preserve"> </w:t>
      </w:r>
      <w:r w:rsidR="0037162A">
        <w:t xml:space="preserve"> </w:t>
      </w:r>
      <w:r w:rsidR="00F0694F">
        <w:t>Applicants state that</w:t>
      </w:r>
      <w:r w:rsidR="001B5CC1">
        <w:t xml:space="preserve"> upon consummation of the </w:t>
      </w:r>
      <w:r w:rsidR="007A3021">
        <w:t xml:space="preserve">proposed </w:t>
      </w:r>
      <w:r w:rsidR="001B5CC1">
        <w:t>transaction</w:t>
      </w:r>
      <w:r w:rsidR="00197CA8">
        <w:t>,</w:t>
      </w:r>
      <w:r w:rsidR="00F0694F">
        <w:t xml:space="preserve"> all residential and certain business customers of Michigan Bell receiving wired telecommunications services and served by the</w:t>
      </w:r>
      <w:r w:rsidR="0027287C">
        <w:t xml:space="preserve"> </w:t>
      </w:r>
      <w:r w:rsidR="00CC0FE6">
        <w:t>W</w:t>
      </w:r>
      <w:r w:rsidR="00F0694F">
        <w:t xml:space="preserve">ire </w:t>
      </w:r>
      <w:r w:rsidR="00CC0FE6">
        <w:t>C</w:t>
      </w:r>
      <w:r w:rsidR="00F0694F">
        <w:t>enters will be assigned to and become customers of UP Fiber.</w:t>
      </w:r>
      <w:r>
        <w:rPr>
          <w:rStyle w:val="FootnoteReference"/>
        </w:rPr>
        <w:footnoteReference w:id="14"/>
      </w:r>
    </w:p>
    <w:p w:rsidR="00206550" w:rsidP="0080498F" w14:paraId="5A261E02" w14:textId="3637AC99">
      <w:pPr>
        <w:widowControl/>
        <w:autoSpaceDE w:val="0"/>
        <w:autoSpaceDN w:val="0"/>
        <w:adjustRightInd w:val="0"/>
        <w:spacing w:after="120"/>
        <w:ind w:firstLine="720"/>
        <w:rPr>
          <w:bCs/>
          <w:szCs w:val="22"/>
        </w:rPr>
      </w:pPr>
      <w:bookmarkStart w:id="5" w:name="_Hlk190430453"/>
      <w:r>
        <w:t xml:space="preserve">Applicants </w:t>
      </w:r>
      <w:r w:rsidRPr="52D3F29C">
        <w:t xml:space="preserve">assert that a grant of the </w:t>
      </w:r>
      <w:r w:rsidR="005D290A">
        <w:t>A</w:t>
      </w:r>
      <w:r w:rsidRPr="52D3F29C">
        <w:t>pplication would serve the public interest, convenience, and necessity.</w:t>
      </w:r>
      <w:r>
        <w:rPr>
          <w:rStyle w:val="FootnoteReference"/>
        </w:rPr>
        <w:footnoteReference w:id="15"/>
      </w:r>
      <w:r w:rsidRPr="00C828FD">
        <w:rPr>
          <w:bCs/>
          <w:szCs w:val="22"/>
        </w:rPr>
        <w:t xml:space="preserve"> </w:t>
      </w:r>
      <w:r>
        <w:rPr>
          <w:bCs/>
          <w:szCs w:val="22"/>
        </w:rPr>
        <w:t xml:space="preserve"> </w:t>
      </w:r>
      <w:r w:rsidR="00A969B5">
        <w:rPr>
          <w:bCs/>
          <w:szCs w:val="22"/>
        </w:rPr>
        <w:t xml:space="preserve">Applicants state that </w:t>
      </w:r>
      <w:r w:rsidRPr="00A969B5" w:rsidR="00A969B5">
        <w:rPr>
          <w:bCs/>
          <w:szCs w:val="22"/>
        </w:rPr>
        <w:t>UP Fiber will deploy new</w:t>
      </w:r>
      <w:r w:rsidR="00A969B5">
        <w:rPr>
          <w:bCs/>
          <w:szCs w:val="22"/>
        </w:rPr>
        <w:t xml:space="preserve"> </w:t>
      </w:r>
      <w:r w:rsidRPr="00A969B5" w:rsidR="00A969B5">
        <w:rPr>
          <w:bCs/>
          <w:szCs w:val="22"/>
        </w:rPr>
        <w:t xml:space="preserve">technologies to enhance and expand services available to customers </w:t>
      </w:r>
      <w:r w:rsidR="00226169">
        <w:rPr>
          <w:bCs/>
          <w:szCs w:val="22"/>
        </w:rPr>
        <w:t xml:space="preserve">served by </w:t>
      </w:r>
      <w:r w:rsidR="003139A5">
        <w:rPr>
          <w:bCs/>
          <w:szCs w:val="22"/>
        </w:rPr>
        <w:t>the</w:t>
      </w:r>
      <w:r w:rsidRPr="00A969B5" w:rsidR="00A969B5">
        <w:rPr>
          <w:bCs/>
          <w:szCs w:val="22"/>
        </w:rPr>
        <w:t xml:space="preserve"> </w:t>
      </w:r>
      <w:r w:rsidR="00E83725">
        <w:rPr>
          <w:bCs/>
          <w:szCs w:val="22"/>
        </w:rPr>
        <w:t>W</w:t>
      </w:r>
      <w:r w:rsidRPr="00A969B5" w:rsidR="00A969B5">
        <w:rPr>
          <w:bCs/>
          <w:szCs w:val="22"/>
        </w:rPr>
        <w:t xml:space="preserve">ire </w:t>
      </w:r>
      <w:r w:rsidR="00E83725">
        <w:rPr>
          <w:bCs/>
          <w:szCs w:val="22"/>
        </w:rPr>
        <w:t>C</w:t>
      </w:r>
      <w:r w:rsidRPr="00A969B5" w:rsidR="00A969B5">
        <w:rPr>
          <w:bCs/>
          <w:szCs w:val="22"/>
        </w:rPr>
        <w:t>enters.</w:t>
      </w:r>
      <w:r>
        <w:rPr>
          <w:rStyle w:val="FootnoteReference"/>
          <w:bCs/>
          <w:szCs w:val="22"/>
        </w:rPr>
        <w:footnoteReference w:id="16"/>
      </w:r>
      <w:r w:rsidR="00C47679">
        <w:rPr>
          <w:bCs/>
          <w:szCs w:val="22"/>
        </w:rPr>
        <w:t xml:space="preserve">  </w:t>
      </w:r>
      <w:r w:rsidR="00CC3FF5">
        <w:rPr>
          <w:bCs/>
          <w:szCs w:val="22"/>
        </w:rPr>
        <w:t xml:space="preserve">According to the </w:t>
      </w:r>
      <w:r w:rsidR="00C47679">
        <w:rPr>
          <w:bCs/>
          <w:szCs w:val="22"/>
        </w:rPr>
        <w:t>Applicants</w:t>
      </w:r>
      <w:r w:rsidR="00CC3FF5">
        <w:rPr>
          <w:bCs/>
          <w:szCs w:val="22"/>
        </w:rPr>
        <w:t xml:space="preserve">, </w:t>
      </w:r>
      <w:r w:rsidRPr="00C47679" w:rsidR="00C47679">
        <w:rPr>
          <w:bCs/>
          <w:szCs w:val="22"/>
        </w:rPr>
        <w:t>UP Fiber’s owners have substantial experience investing in communications</w:t>
      </w:r>
      <w:r w:rsidR="00C47679">
        <w:rPr>
          <w:bCs/>
          <w:szCs w:val="22"/>
        </w:rPr>
        <w:t xml:space="preserve"> </w:t>
      </w:r>
      <w:r w:rsidRPr="00C47679" w:rsidR="00C47679">
        <w:rPr>
          <w:bCs/>
          <w:szCs w:val="22"/>
        </w:rPr>
        <w:t>infrastructure assets</w:t>
      </w:r>
      <w:r w:rsidR="00C47679">
        <w:rPr>
          <w:bCs/>
          <w:szCs w:val="22"/>
        </w:rPr>
        <w:t xml:space="preserve"> and</w:t>
      </w:r>
      <w:r w:rsidR="00676A5D">
        <w:rPr>
          <w:bCs/>
          <w:szCs w:val="22"/>
        </w:rPr>
        <w:t xml:space="preserve">, therefore, </w:t>
      </w:r>
      <w:r w:rsidR="00C47679">
        <w:rPr>
          <w:bCs/>
          <w:szCs w:val="22"/>
        </w:rPr>
        <w:t>the a</w:t>
      </w:r>
      <w:r w:rsidRPr="00C47679" w:rsidR="00C47679">
        <w:rPr>
          <w:bCs/>
          <w:szCs w:val="22"/>
        </w:rPr>
        <w:t>ffected customers will benefit from the financial and operational expertise</w:t>
      </w:r>
      <w:r w:rsidR="00C47679">
        <w:rPr>
          <w:bCs/>
          <w:szCs w:val="22"/>
        </w:rPr>
        <w:t xml:space="preserve"> </w:t>
      </w:r>
      <w:r w:rsidRPr="00C47679" w:rsidR="00C47679">
        <w:rPr>
          <w:bCs/>
          <w:szCs w:val="22"/>
        </w:rPr>
        <w:t>of UP Fiber’s owners</w:t>
      </w:r>
      <w:r w:rsidR="00FE345C">
        <w:rPr>
          <w:bCs/>
          <w:szCs w:val="22"/>
        </w:rPr>
        <w:t>.</w:t>
      </w:r>
      <w:r>
        <w:rPr>
          <w:rStyle w:val="FootnoteReference"/>
          <w:bCs/>
          <w:szCs w:val="22"/>
        </w:rPr>
        <w:footnoteReference w:id="17"/>
      </w:r>
      <w:r w:rsidR="00BF06BD">
        <w:rPr>
          <w:bCs/>
          <w:szCs w:val="22"/>
        </w:rPr>
        <w:t xml:space="preserve">  Applicants </w:t>
      </w:r>
      <w:r w:rsidR="00E13AB9">
        <w:rPr>
          <w:bCs/>
          <w:szCs w:val="22"/>
        </w:rPr>
        <w:t>state</w:t>
      </w:r>
      <w:r w:rsidR="00BF06BD">
        <w:rPr>
          <w:bCs/>
          <w:szCs w:val="22"/>
        </w:rPr>
        <w:t xml:space="preserve"> that the proposed transaction </w:t>
      </w:r>
      <w:r w:rsidRPr="00BF06BD" w:rsidR="00BF06BD">
        <w:rPr>
          <w:bCs/>
          <w:szCs w:val="22"/>
        </w:rPr>
        <w:t>will have no adverse impact on the</w:t>
      </w:r>
      <w:r w:rsidR="00BF06BD">
        <w:rPr>
          <w:bCs/>
          <w:szCs w:val="22"/>
        </w:rPr>
        <w:t xml:space="preserve"> affected </w:t>
      </w:r>
      <w:r w:rsidRPr="00BF06BD" w:rsidR="00BF06BD">
        <w:rPr>
          <w:bCs/>
          <w:szCs w:val="22"/>
        </w:rPr>
        <w:t>customers</w:t>
      </w:r>
      <w:r w:rsidR="00BF06BD">
        <w:rPr>
          <w:bCs/>
          <w:szCs w:val="22"/>
        </w:rPr>
        <w:t xml:space="preserve"> </w:t>
      </w:r>
      <w:r w:rsidR="00CF3554">
        <w:rPr>
          <w:bCs/>
          <w:szCs w:val="22"/>
        </w:rPr>
        <w:t>and that they</w:t>
      </w:r>
      <w:r w:rsidR="00E13AB9">
        <w:rPr>
          <w:bCs/>
          <w:szCs w:val="22"/>
        </w:rPr>
        <w:t xml:space="preserve"> </w:t>
      </w:r>
      <w:r w:rsidRPr="00BF06BD" w:rsidR="00BF06BD">
        <w:rPr>
          <w:bCs/>
          <w:szCs w:val="22"/>
        </w:rPr>
        <w:t xml:space="preserve">will continue to </w:t>
      </w:r>
      <w:r w:rsidR="00CC5C46">
        <w:rPr>
          <w:bCs/>
          <w:szCs w:val="22"/>
        </w:rPr>
        <w:t>receive</w:t>
      </w:r>
      <w:r w:rsidRPr="00BF06BD" w:rsidR="00BF06BD">
        <w:rPr>
          <w:bCs/>
          <w:szCs w:val="22"/>
        </w:rPr>
        <w:t xml:space="preserve"> high quality telecommunications services</w:t>
      </w:r>
      <w:r w:rsidR="00E625D0">
        <w:rPr>
          <w:bCs/>
          <w:szCs w:val="22"/>
        </w:rPr>
        <w:t>.</w:t>
      </w:r>
      <w:r>
        <w:rPr>
          <w:rStyle w:val="FootnoteReference"/>
          <w:bCs/>
          <w:szCs w:val="22"/>
        </w:rPr>
        <w:footnoteReference w:id="18"/>
      </w:r>
      <w:r w:rsidR="001209F8">
        <w:rPr>
          <w:bCs/>
          <w:szCs w:val="22"/>
        </w:rPr>
        <w:t xml:space="preserve">  Finally, Applicants assert that the proposed transaction </w:t>
      </w:r>
      <w:r w:rsidRPr="001209F8" w:rsidR="001209F8">
        <w:rPr>
          <w:bCs/>
          <w:szCs w:val="22"/>
        </w:rPr>
        <w:t>does not present any anticompetitive issues</w:t>
      </w:r>
      <w:r w:rsidR="001209F8">
        <w:rPr>
          <w:bCs/>
          <w:szCs w:val="22"/>
        </w:rPr>
        <w:t xml:space="preserve"> and note that</w:t>
      </w:r>
      <w:r w:rsidRPr="001209F8" w:rsidR="001209F8">
        <w:rPr>
          <w:bCs/>
          <w:szCs w:val="22"/>
        </w:rPr>
        <w:t xml:space="preserve"> </w:t>
      </w:r>
      <w:r w:rsidR="008C151E">
        <w:rPr>
          <w:bCs/>
          <w:szCs w:val="22"/>
        </w:rPr>
        <w:t xml:space="preserve">neither </w:t>
      </w:r>
      <w:r w:rsidRPr="001209F8" w:rsidR="001209F8">
        <w:rPr>
          <w:bCs/>
          <w:szCs w:val="22"/>
        </w:rPr>
        <w:t>UP Fiber</w:t>
      </w:r>
      <w:r w:rsidR="00690005">
        <w:rPr>
          <w:bCs/>
          <w:szCs w:val="22"/>
        </w:rPr>
        <w:t>,</w:t>
      </w:r>
      <w:r w:rsidR="001209F8">
        <w:rPr>
          <w:bCs/>
          <w:szCs w:val="22"/>
        </w:rPr>
        <w:t xml:space="preserve"> nor any of its affiliates</w:t>
      </w:r>
      <w:r w:rsidR="00690005">
        <w:rPr>
          <w:bCs/>
          <w:szCs w:val="22"/>
        </w:rPr>
        <w:t>,</w:t>
      </w:r>
      <w:r w:rsidRPr="001209F8" w:rsidR="001209F8">
        <w:rPr>
          <w:bCs/>
          <w:szCs w:val="22"/>
        </w:rPr>
        <w:t xml:space="preserve"> provide telecommunications services in the</w:t>
      </w:r>
      <w:r w:rsidR="001209F8">
        <w:rPr>
          <w:bCs/>
          <w:szCs w:val="22"/>
        </w:rPr>
        <w:t xml:space="preserve"> areas served by the</w:t>
      </w:r>
      <w:r w:rsidR="008E496D">
        <w:rPr>
          <w:bCs/>
          <w:szCs w:val="22"/>
        </w:rPr>
        <w:t xml:space="preserve"> Wire Centers</w:t>
      </w:r>
      <w:r w:rsidR="0091761C">
        <w:rPr>
          <w:bCs/>
          <w:szCs w:val="22"/>
        </w:rPr>
        <w:t>.</w:t>
      </w:r>
      <w:r>
        <w:rPr>
          <w:rStyle w:val="FootnoteReference"/>
          <w:bCs/>
          <w:szCs w:val="22"/>
        </w:rPr>
        <w:footnoteReference w:id="19"/>
      </w:r>
    </w:p>
    <w:bookmarkEnd w:id="1"/>
    <w:bookmarkEnd w:id="5"/>
    <w:p w:rsidR="00A60DEA" w:rsidRPr="00957D46" w:rsidP="00A60DEA" w14:paraId="19347969" w14:textId="77777777">
      <w:pPr>
        <w:autoSpaceDE w:val="0"/>
        <w:autoSpaceDN w:val="0"/>
        <w:adjustRightInd w:val="0"/>
        <w:spacing w:after="120"/>
        <w:ind w:firstLine="720"/>
        <w:rPr>
          <w:szCs w:val="22"/>
        </w:rPr>
      </w:pPr>
      <w:r w:rsidRPr="00957D46">
        <w:rPr>
          <w:szCs w:val="22"/>
        </w:rPr>
        <w:t>We find that grant of the Application will serve the public interest, convenience, and necessity.</w:t>
      </w:r>
      <w:r>
        <w:rPr>
          <w:rStyle w:val="FootnoteReference"/>
          <w:szCs w:val="22"/>
        </w:rPr>
        <w:footnoteReference w:id="20"/>
      </w:r>
      <w:r>
        <w:rPr>
          <w:szCs w:val="22"/>
        </w:rPr>
        <w:t xml:space="preserve">  </w:t>
      </w:r>
      <w:r w:rsidRPr="00957D46">
        <w:rPr>
          <w:szCs w:val="22"/>
        </w:rPr>
        <w:t>Therefore, pursuant to section 214 of the Act, 47 U.S.C. § 214, and sections 0.91, 0.291, and 63.04 of the</w:t>
      </w:r>
      <w:r>
        <w:rPr>
          <w:szCs w:val="22"/>
        </w:rPr>
        <w:t xml:space="preserve"> </w:t>
      </w:r>
      <w:r w:rsidRPr="00957D46">
        <w:rPr>
          <w:szCs w:val="22"/>
        </w:rPr>
        <w:t>Commission’s rules, 47 CFR §§ 0.91, 0.291, and 63.04, the Bureau hereby grants the Application</w:t>
      </w:r>
      <w:r>
        <w:rPr>
          <w:szCs w:val="22"/>
        </w:rPr>
        <w:t xml:space="preserve"> </w:t>
      </w:r>
      <w:r w:rsidRPr="00957D46">
        <w:rPr>
          <w:szCs w:val="22"/>
        </w:rPr>
        <w:t>discussed in this Public Notice.</w:t>
      </w:r>
    </w:p>
    <w:p w:rsidR="00A60DEA" w:rsidRPr="00957D46" w:rsidP="00A60DEA" w14:paraId="0D227076" w14:textId="2AE157B7">
      <w:pPr>
        <w:autoSpaceDE w:val="0"/>
        <w:autoSpaceDN w:val="0"/>
        <w:adjustRightInd w:val="0"/>
        <w:spacing w:after="120"/>
        <w:ind w:firstLine="720"/>
        <w:rPr>
          <w:szCs w:val="22"/>
        </w:rPr>
      </w:pPr>
      <w:r w:rsidRPr="00957D46">
        <w:rPr>
          <w:szCs w:val="22"/>
        </w:rPr>
        <w:t>Pursuant to section 1.103 of the Commission’s rules, 47 CFR § 1.103, the grant is effective upon</w:t>
      </w:r>
      <w:r>
        <w:rPr>
          <w:szCs w:val="22"/>
        </w:rPr>
        <w:t xml:space="preserve"> </w:t>
      </w:r>
      <w:r w:rsidRPr="00957D46">
        <w:rPr>
          <w:szCs w:val="22"/>
        </w:rPr>
        <w:t xml:space="preserve">release of this Public Notice. </w:t>
      </w:r>
      <w:r w:rsidR="005D290A">
        <w:rPr>
          <w:szCs w:val="22"/>
        </w:rPr>
        <w:t xml:space="preserve"> </w:t>
      </w:r>
      <w:r w:rsidRPr="00957D46">
        <w:rPr>
          <w:szCs w:val="22"/>
        </w:rPr>
        <w:t>Petitions for reconsideration under section 1.106 or application for review</w:t>
      </w:r>
      <w:r>
        <w:rPr>
          <w:szCs w:val="22"/>
        </w:rPr>
        <w:t xml:space="preserve"> </w:t>
      </w:r>
      <w:r w:rsidRPr="00957D46">
        <w:rPr>
          <w:szCs w:val="22"/>
        </w:rPr>
        <w:t>under section 1.115 of the Commission's rules, 47 CFR §§ 1.106, 1.115, may be filed within 30 days of</w:t>
      </w:r>
      <w:r>
        <w:rPr>
          <w:szCs w:val="22"/>
        </w:rPr>
        <w:t xml:space="preserve"> </w:t>
      </w:r>
      <w:r w:rsidRPr="00957D46">
        <w:rPr>
          <w:szCs w:val="22"/>
        </w:rPr>
        <w:t>the date of this Public Notice.</w:t>
      </w:r>
    </w:p>
    <w:p w:rsidR="00196EDD" w:rsidP="00196EDD" w14:paraId="71FFFE1D" w14:textId="561524A5">
      <w:pPr>
        <w:autoSpaceDE w:val="0"/>
        <w:autoSpaceDN w:val="0"/>
        <w:adjustRightInd w:val="0"/>
        <w:spacing w:after="120"/>
        <w:rPr>
          <w:b/>
          <w:u w:val="single"/>
        </w:rPr>
      </w:pPr>
      <w:r w:rsidRPr="6BC3D847">
        <w:rPr>
          <w:b/>
          <w:u w:val="single"/>
        </w:rPr>
        <w:t xml:space="preserve">Grant </w:t>
      </w:r>
      <w:r w:rsidRPr="6BC3D847">
        <w:rPr>
          <w:b/>
          <w:u w:val="single"/>
        </w:rPr>
        <w:t xml:space="preserve">of </w:t>
      </w:r>
      <w:r w:rsidR="00EB186D">
        <w:rPr>
          <w:b/>
          <w:u w:val="single"/>
        </w:rPr>
        <w:t>Part 36 Study Area Boundary Waiver Request, as Conditioned</w:t>
      </w:r>
    </w:p>
    <w:p w:rsidR="00716531" w:rsidP="00057899" w14:paraId="777B9BBC" w14:textId="61833A8F">
      <w:pPr>
        <w:autoSpaceDE w:val="0"/>
        <w:autoSpaceDN w:val="0"/>
        <w:adjustRightInd w:val="0"/>
        <w:spacing w:after="120"/>
      </w:pPr>
      <w:r>
        <w:tab/>
      </w:r>
      <w:r w:rsidR="00837A22">
        <w:t>T</w:t>
      </w:r>
      <w:r w:rsidR="00B500D1">
        <w:t xml:space="preserve">he </w:t>
      </w:r>
      <w:r w:rsidR="00847CE0">
        <w:t>Applicants</w:t>
      </w:r>
      <w:r w:rsidR="00B500D1">
        <w:t xml:space="preserve"> seek </w:t>
      </w:r>
      <w:r w:rsidR="00A61335">
        <w:t xml:space="preserve">a </w:t>
      </w:r>
      <w:r w:rsidR="00B500D1">
        <w:t>waiver of the Commission’s study area boundary freeze</w:t>
      </w:r>
      <w:r>
        <w:rPr>
          <w:rStyle w:val="FootnoteReference"/>
        </w:rPr>
        <w:footnoteReference w:id="21"/>
      </w:r>
      <w:r w:rsidR="00B500D1">
        <w:t xml:space="preserve"> </w:t>
      </w:r>
      <w:r w:rsidR="00361DA9">
        <w:t xml:space="preserve">to create a new study area comprised of 42 exchanges that UP Fiber </w:t>
      </w:r>
      <w:r w:rsidR="007B09AF">
        <w:t xml:space="preserve">proposes to </w:t>
      </w:r>
      <w:r w:rsidR="00361DA9">
        <w:t>acquir</w:t>
      </w:r>
      <w:r w:rsidR="00837A22">
        <w:t>e</w:t>
      </w:r>
      <w:r w:rsidR="00361DA9">
        <w:t xml:space="preserve"> from </w:t>
      </w:r>
      <w:r w:rsidR="00B500D1">
        <w:t>Michigan Bell a</w:t>
      </w:r>
      <w:r w:rsidR="00837A22">
        <w:t>s</w:t>
      </w:r>
      <w:r w:rsidR="00B500D1">
        <w:t xml:space="preserve"> depicted in Attachment A</w:t>
      </w:r>
      <w:r w:rsidR="00005DB7">
        <w:t xml:space="preserve"> of the </w:t>
      </w:r>
      <w:r w:rsidR="008C7720">
        <w:t>Joint Petition for Waiver</w:t>
      </w:r>
      <w:r w:rsidR="00847CE0">
        <w:t>.</w:t>
      </w:r>
      <w:r>
        <w:rPr>
          <w:rStyle w:val="FootnoteReference"/>
        </w:rPr>
        <w:footnoteReference w:id="22"/>
      </w:r>
      <w:r w:rsidR="00FC6C4F">
        <w:t xml:space="preserve">  </w:t>
      </w:r>
      <w:r w:rsidR="00524606">
        <w:t>The exchanges involved in the transaction are in a</w:t>
      </w:r>
      <w:r w:rsidR="008B034D">
        <w:t xml:space="preserve"> </w:t>
      </w:r>
      <w:r w:rsidR="00491B38">
        <w:t xml:space="preserve">historically </w:t>
      </w:r>
      <w:r w:rsidR="00524606">
        <w:t>price cap area,</w:t>
      </w:r>
      <w:r>
        <w:rPr>
          <w:rStyle w:val="FootnoteReference"/>
        </w:rPr>
        <w:footnoteReference w:id="23"/>
      </w:r>
      <w:r w:rsidR="00524606">
        <w:t xml:space="preserve"> and Michigan Bell has </w:t>
      </w:r>
      <w:r w:rsidR="00893970">
        <w:t xml:space="preserve">voluntary </w:t>
      </w:r>
      <w:r w:rsidR="00524606">
        <w:t xml:space="preserve">relinquished its eligible telecommunications carrier </w:t>
      </w:r>
      <w:r w:rsidR="00893970">
        <w:t>status</w:t>
      </w:r>
      <w:r w:rsidR="00524606">
        <w:t xml:space="preserve"> and </w:t>
      </w:r>
      <w:r w:rsidR="008B034D">
        <w:t xml:space="preserve">does not receive </w:t>
      </w:r>
      <w:r w:rsidR="00D71F9B">
        <w:t xml:space="preserve">any </w:t>
      </w:r>
      <w:r w:rsidR="008B034D">
        <w:t xml:space="preserve">high-cost support in the </w:t>
      </w:r>
      <w:r w:rsidR="000D5FCE">
        <w:t>subject area</w:t>
      </w:r>
      <w:r w:rsidR="00524606">
        <w:t>.</w:t>
      </w:r>
      <w:r>
        <w:rPr>
          <w:rStyle w:val="FootnoteReference"/>
        </w:rPr>
        <w:footnoteReference w:id="24"/>
      </w:r>
    </w:p>
    <w:p w:rsidR="0096299C" w:rsidP="0096299C" w14:paraId="0FE93996" w14:textId="0EB909F3">
      <w:pPr>
        <w:spacing w:after="120"/>
        <w:ind w:firstLine="720"/>
      </w:pPr>
      <w:r>
        <w:t>A</w:t>
      </w:r>
      <w:r w:rsidRPr="00EE4871">
        <w:t xml:space="preserve"> study area </w:t>
      </w:r>
      <w:r>
        <w:t xml:space="preserve">generally </w:t>
      </w:r>
      <w:r w:rsidRPr="00EE4871">
        <w:t>corresponds to an incumbent LEC’s entire service territory within a state.</w:t>
      </w:r>
      <w:r>
        <w:rPr>
          <w:rStyle w:val="FootnoteReference"/>
        </w:rPr>
        <w:footnoteReference w:id="25"/>
      </w:r>
      <w:r w:rsidRPr="00EE4871">
        <w:t xml:space="preserve">  </w:t>
      </w:r>
      <w:r w:rsidRPr="00EE4871">
        <w:t>The Commission froze all study area boundaries effective November 15, 1984.</w:t>
      </w:r>
      <w:r>
        <w:rPr>
          <w:vertAlign w:val="superscript"/>
        </w:rPr>
        <w:footnoteReference w:id="26"/>
      </w:r>
      <w:r w:rsidRPr="00EE4871">
        <w:t xml:space="preserve">  The Commission took this action to prevent incumbent LECs from establishing separate study areas made up only of high-cost exchanges to maximize their receipt of high-cost universal service support.</w:t>
      </w:r>
      <w:r>
        <w:rPr>
          <w:vertAlign w:val="superscript"/>
        </w:rPr>
        <w:footnoteReference w:id="27"/>
      </w:r>
      <w:r w:rsidRPr="00EE4871">
        <w:t xml:space="preserve">  A carrier must therefore apply to the Commission for a waiver of the study area boundary freeze to </w:t>
      </w:r>
      <w:r w:rsidR="00FC13A3">
        <w:t>acquire</w:t>
      </w:r>
      <w:r w:rsidRPr="00EE4871">
        <w:t xml:space="preserve"> </w:t>
      </w:r>
      <w:r w:rsidR="00181EE1">
        <w:t xml:space="preserve">some but not all of the </w:t>
      </w:r>
      <w:r w:rsidRPr="00EE4871">
        <w:t>exchanges</w:t>
      </w:r>
      <w:r w:rsidR="00FC13A3">
        <w:t xml:space="preserve"> contained </w:t>
      </w:r>
      <w:r w:rsidR="001B5EDB">
        <w:t>in</w:t>
      </w:r>
      <w:r w:rsidR="00FC13A3">
        <w:t xml:space="preserve"> an existing study area</w:t>
      </w:r>
      <w:r w:rsidRPr="00EE4871">
        <w:t>.</w:t>
      </w:r>
      <w:r>
        <w:rPr>
          <w:vertAlign w:val="superscript"/>
        </w:rPr>
        <w:footnoteReference w:id="28"/>
      </w:r>
    </w:p>
    <w:p w:rsidR="00F3603A" w:rsidP="00F84649" w14:paraId="62BB0E70" w14:textId="77777777">
      <w:pPr>
        <w:autoSpaceDE w:val="0"/>
        <w:autoSpaceDN w:val="0"/>
        <w:adjustRightInd w:val="0"/>
        <w:spacing w:after="120"/>
        <w:ind w:firstLine="720"/>
      </w:pPr>
      <w:r w:rsidRPr="00EE4871">
        <w:t>Generally, the Commission’s rules may be waived for good cause shown.</w:t>
      </w:r>
      <w:r>
        <w:rPr>
          <w:vertAlign w:val="superscript"/>
        </w:rPr>
        <w:footnoteReference w:id="29"/>
      </w:r>
      <w:r w:rsidRPr="00EE4871">
        <w:t xml:space="preserve">  The Commission may exercise its discretion to waive a rule where the particular facts make strict compliance inconsistent with the public interest.</w:t>
      </w:r>
      <w:r>
        <w:rPr>
          <w:vertAlign w:val="superscript"/>
        </w:rPr>
        <w:footnoteReference w:id="30"/>
      </w:r>
      <w:r w:rsidRPr="00EE4871">
        <w:t xml:space="preserve">  In addition, the Commission may take into account considerations of hardship, equity, or more effective implementation of overall policy on an individual basis.</w:t>
      </w:r>
      <w:r>
        <w:rPr>
          <w:vertAlign w:val="superscript"/>
        </w:rPr>
        <w:footnoteReference w:id="31"/>
      </w:r>
      <w:r w:rsidRPr="00EE4871">
        <w:t xml:space="preserve">  Waiver of the</w:t>
      </w:r>
      <w:r>
        <w:t xml:space="preserve"> Commission’s rules is therefore appropriate only if special circumstances warrant a deviation from the general rule</w:t>
      </w:r>
      <w:r w:rsidRPr="00EE4871">
        <w:t xml:space="preserve"> and such deviation will serve the public interest.</w:t>
      </w:r>
      <w:r>
        <w:rPr>
          <w:vertAlign w:val="superscript"/>
        </w:rPr>
        <w:footnoteReference w:id="32"/>
      </w:r>
      <w:r w:rsidRPr="00EE4871">
        <w:t xml:space="preserve">  </w:t>
      </w:r>
    </w:p>
    <w:p w:rsidR="000D16F9" w:rsidP="00F84649" w14:paraId="581D5F5F" w14:textId="296E85A2">
      <w:pPr>
        <w:autoSpaceDE w:val="0"/>
        <w:autoSpaceDN w:val="0"/>
        <w:adjustRightInd w:val="0"/>
        <w:spacing w:after="120"/>
        <w:ind w:firstLine="720"/>
      </w:pPr>
      <w:r w:rsidRPr="00EE4871">
        <w:t xml:space="preserve">In the </w:t>
      </w:r>
      <w:r w:rsidRPr="00EE4871">
        <w:rPr>
          <w:i/>
          <w:iCs/>
        </w:rPr>
        <w:t>USF/ICC Transformation Order</w:t>
      </w:r>
      <w:r w:rsidRPr="00EE4871">
        <w:t xml:space="preserve">, the Commission revised its approach for evaluating petitions for study area </w:t>
      </w:r>
      <w:r w:rsidR="00883259">
        <w:t xml:space="preserve">boundary </w:t>
      </w:r>
      <w:r w:rsidRPr="00EE4871">
        <w:t xml:space="preserve">waivers, concluding it would apply two </w:t>
      </w:r>
      <w:r>
        <w:t>criteria</w:t>
      </w:r>
      <w:r w:rsidR="00122C8C">
        <w:t xml:space="preserve">: </w:t>
      </w:r>
      <w:r w:rsidRPr="00EE4871">
        <w:t xml:space="preserve"> </w:t>
      </w:r>
      <w:r>
        <w:t>f</w:t>
      </w:r>
      <w:r w:rsidRPr="00EE4871">
        <w:t xml:space="preserve">irst, </w:t>
      </w:r>
      <w:r>
        <w:t xml:space="preserve">that </w:t>
      </w:r>
      <w:r w:rsidRPr="00EE4871">
        <w:t xml:space="preserve">the state commission having regulatory authority over the transferred exchanges does not object to the transfer and, second, </w:t>
      </w:r>
      <w:r>
        <w:t xml:space="preserve">that </w:t>
      </w:r>
      <w:r w:rsidRPr="00EE4871">
        <w:t>the transfer is in the public interest.</w:t>
      </w:r>
      <w:r>
        <w:rPr>
          <w:vertAlign w:val="superscript"/>
        </w:rPr>
        <w:footnoteReference w:id="33"/>
      </w:r>
      <w:r w:rsidRPr="00EE4871">
        <w:t xml:space="preserve">  The Commission stated its evaluation of the public interest benefits of a proposed study area waiver will include: (1) the number of lines at issue; (2) the projected universal service fund cost per line; and (3) whether such a grant would result in </w:t>
      </w:r>
      <w:r>
        <w:t xml:space="preserve">a </w:t>
      </w:r>
      <w:r w:rsidRPr="00EE4871">
        <w:t xml:space="preserve">consolidation of study areas that facilitates reductions in cost by taking advantage of the economies of scale, </w:t>
      </w:r>
      <w:r w:rsidRPr="00581129">
        <w:rPr>
          <w:i/>
          <w:iCs/>
        </w:rPr>
        <w:t>i.e</w:t>
      </w:r>
      <w:r w:rsidRPr="00EE4871">
        <w:t>., reduction in cost per line due to the increased number of lines.</w:t>
      </w:r>
      <w:r>
        <w:rPr>
          <w:vertAlign w:val="superscript"/>
        </w:rPr>
        <w:footnoteReference w:id="34"/>
      </w:r>
    </w:p>
    <w:p w:rsidR="00196EDD" w:rsidP="002267B3" w14:paraId="346693AA" w14:textId="4DB9189A">
      <w:pPr>
        <w:autoSpaceDE w:val="0"/>
        <w:autoSpaceDN w:val="0"/>
        <w:adjustRightInd w:val="0"/>
        <w:spacing w:after="120"/>
        <w:ind w:firstLine="720"/>
        <w:rPr>
          <w:szCs w:val="22"/>
        </w:rPr>
      </w:pPr>
      <w:r>
        <w:t xml:space="preserve">We find the Applicants have demonstrated good cause to waive the study area boundary freeze to permit the transaction </w:t>
      </w:r>
      <w:r w:rsidR="00E7489D">
        <w:t xml:space="preserve">as proposed herein.  </w:t>
      </w:r>
      <w:bookmarkStart w:id="6" w:name="_Hlk127878891"/>
      <w:r w:rsidRPr="00610CA1" w:rsidR="003A3148">
        <w:t>First, the Applicants have demonstrated that</w:t>
      </w:r>
      <w:r w:rsidR="003A3148">
        <w:t xml:space="preserve"> </w:t>
      </w:r>
      <w:r w:rsidRPr="00011203" w:rsidR="003A3148">
        <w:t>the state commission with regulatory authority over the transferred exchange</w:t>
      </w:r>
      <w:r w:rsidR="00290EF2">
        <w:t>s</w:t>
      </w:r>
      <w:r w:rsidRPr="00011203" w:rsidR="003A3148">
        <w:t xml:space="preserve"> does not object</w:t>
      </w:r>
      <w:bookmarkEnd w:id="6"/>
      <w:r w:rsidR="0019584C">
        <w:t xml:space="preserve"> to the proposed transaction</w:t>
      </w:r>
      <w:r w:rsidR="003A3148">
        <w:t>.</w:t>
      </w:r>
      <w:r>
        <w:rPr>
          <w:rStyle w:val="FootnoteReference"/>
        </w:rPr>
        <w:footnoteReference w:id="35"/>
      </w:r>
      <w:r w:rsidR="003A3148">
        <w:t xml:space="preserve">  </w:t>
      </w:r>
      <w:r w:rsidR="00942BC0">
        <w:t>Second, we conclude that, on balance, the requested study area boundary freeze waiver, subject to the agreed-upon condition</w:t>
      </w:r>
      <w:r w:rsidR="00F72EB2">
        <w:t>,</w:t>
      </w:r>
      <w:r w:rsidR="00942BC0">
        <w:t xml:space="preserve"> would serve the public interest.  </w:t>
      </w:r>
      <w:r w:rsidR="0009421E">
        <w:t xml:space="preserve">This transaction will not adversely affect demand on the </w:t>
      </w:r>
      <w:r w:rsidR="00291619">
        <w:t>U</w:t>
      </w:r>
      <w:r w:rsidR="0009421E">
        <w:t xml:space="preserve">niversal </w:t>
      </w:r>
      <w:r w:rsidR="00291619">
        <w:t>S</w:t>
      </w:r>
      <w:r w:rsidR="0009421E">
        <w:t xml:space="preserve">ervice </w:t>
      </w:r>
      <w:r w:rsidR="00291619">
        <w:t>F</w:t>
      </w:r>
      <w:r w:rsidR="0009421E">
        <w:t xml:space="preserve">und.  </w:t>
      </w:r>
      <w:r w:rsidR="00EE09D3">
        <w:rPr>
          <w:szCs w:val="22"/>
        </w:rPr>
        <w:t>Michigan Bell does not receive any high-cost support</w:t>
      </w:r>
      <w:r w:rsidR="0009421E">
        <w:rPr>
          <w:szCs w:val="22"/>
        </w:rPr>
        <w:t xml:space="preserve"> in the area covered by the exchanges at issue</w:t>
      </w:r>
      <w:r w:rsidR="00A01186">
        <w:rPr>
          <w:szCs w:val="22"/>
        </w:rPr>
        <w:t>,</w:t>
      </w:r>
      <w:r w:rsidR="00786AFD">
        <w:rPr>
          <w:szCs w:val="22"/>
        </w:rPr>
        <w:t xml:space="preserve"> and after the transaction, UP Fiber </w:t>
      </w:r>
      <w:r w:rsidR="009C0327">
        <w:rPr>
          <w:szCs w:val="22"/>
        </w:rPr>
        <w:t>has</w:t>
      </w:r>
      <w:r w:rsidR="008B278A">
        <w:rPr>
          <w:szCs w:val="22"/>
        </w:rPr>
        <w:t xml:space="preserve"> </w:t>
      </w:r>
      <w:r w:rsidRPr="001D5CE6" w:rsidR="009C0327">
        <w:rPr>
          <w:szCs w:val="22"/>
        </w:rPr>
        <w:t xml:space="preserve">agreed </w:t>
      </w:r>
      <w:r w:rsidR="00077F01">
        <w:rPr>
          <w:szCs w:val="22"/>
        </w:rPr>
        <w:t xml:space="preserve">to </w:t>
      </w:r>
      <w:r w:rsidRPr="001D5CE6" w:rsidR="009C0327">
        <w:rPr>
          <w:szCs w:val="22"/>
        </w:rPr>
        <w:t xml:space="preserve">not </w:t>
      </w:r>
      <w:r w:rsidRPr="001D5CE6" w:rsidR="00C81C8F">
        <w:rPr>
          <w:szCs w:val="22"/>
        </w:rPr>
        <w:t xml:space="preserve">seek </w:t>
      </w:r>
      <w:r w:rsidR="00077F01">
        <w:rPr>
          <w:szCs w:val="22"/>
        </w:rPr>
        <w:t xml:space="preserve">legacy </w:t>
      </w:r>
      <w:r w:rsidRPr="001D5CE6" w:rsidR="00C81C8F">
        <w:rPr>
          <w:szCs w:val="22"/>
        </w:rPr>
        <w:t>high-cost support for the exchanges to be acquired</w:t>
      </w:r>
      <w:r w:rsidR="00857B1D">
        <w:rPr>
          <w:szCs w:val="22"/>
        </w:rPr>
        <w:t xml:space="preserve"> that are in a </w:t>
      </w:r>
      <w:r w:rsidR="005E2548">
        <w:rPr>
          <w:szCs w:val="22"/>
        </w:rPr>
        <w:t xml:space="preserve">historically </w:t>
      </w:r>
      <w:r w:rsidR="00857B1D">
        <w:rPr>
          <w:szCs w:val="22"/>
        </w:rPr>
        <w:t>price cap territory</w:t>
      </w:r>
      <w:r w:rsidRPr="001D5CE6" w:rsidR="00C81C8F">
        <w:rPr>
          <w:szCs w:val="22"/>
        </w:rPr>
        <w:t>.</w:t>
      </w:r>
      <w:r>
        <w:rPr>
          <w:rStyle w:val="FootnoteReference"/>
          <w:szCs w:val="22"/>
        </w:rPr>
        <w:footnoteReference w:id="36"/>
      </w:r>
      <w:r w:rsidRPr="001D5CE6" w:rsidR="00E7682C">
        <w:rPr>
          <w:szCs w:val="22"/>
        </w:rPr>
        <w:t xml:space="preserve">  </w:t>
      </w:r>
      <w:r w:rsidRPr="001D5CE6" w:rsidR="003B37F7">
        <w:rPr>
          <w:szCs w:val="22"/>
        </w:rPr>
        <w:t>In addition, the Applicants st</w:t>
      </w:r>
      <w:r w:rsidR="003B37F7">
        <w:rPr>
          <w:szCs w:val="22"/>
        </w:rPr>
        <w:t xml:space="preserve">ate the proposed transaction will allow UP Fiber </w:t>
      </w:r>
      <w:r w:rsidR="00103ABB">
        <w:rPr>
          <w:szCs w:val="22"/>
        </w:rPr>
        <w:t xml:space="preserve">“to </w:t>
      </w:r>
      <w:r w:rsidRPr="00103ABB" w:rsidR="00103ABB">
        <w:rPr>
          <w:szCs w:val="22"/>
        </w:rPr>
        <w:t>efficiently and effectively serve customers in these locations with advanced communications capabilities.</w:t>
      </w:r>
      <w:r w:rsidR="00103ABB">
        <w:rPr>
          <w:szCs w:val="22"/>
        </w:rPr>
        <w:t>”</w:t>
      </w:r>
      <w:r>
        <w:rPr>
          <w:rStyle w:val="FootnoteReference"/>
          <w:szCs w:val="22"/>
        </w:rPr>
        <w:footnoteReference w:id="37"/>
      </w:r>
      <w:r w:rsidR="003B37F7">
        <w:rPr>
          <w:szCs w:val="22"/>
        </w:rPr>
        <w:t xml:space="preserve">  </w:t>
      </w:r>
      <w:r w:rsidR="00487552">
        <w:rPr>
          <w:szCs w:val="22"/>
        </w:rPr>
        <w:t>For th</w:t>
      </w:r>
      <w:r w:rsidR="00596FF0">
        <w:rPr>
          <w:szCs w:val="22"/>
        </w:rPr>
        <w:t xml:space="preserve">ese </w:t>
      </w:r>
      <w:r w:rsidR="00487552">
        <w:rPr>
          <w:szCs w:val="22"/>
        </w:rPr>
        <w:t>reason</w:t>
      </w:r>
      <w:r w:rsidR="00596FF0">
        <w:rPr>
          <w:szCs w:val="22"/>
        </w:rPr>
        <w:t>s</w:t>
      </w:r>
      <w:r w:rsidR="00867E0C">
        <w:rPr>
          <w:szCs w:val="22"/>
        </w:rPr>
        <w:t>, we find</w:t>
      </w:r>
      <w:r w:rsidR="004E3680">
        <w:rPr>
          <w:szCs w:val="22"/>
        </w:rPr>
        <w:t>, pursuant to section 1.3 of the Commission’s rules,</w:t>
      </w:r>
      <w:r>
        <w:rPr>
          <w:rStyle w:val="FootnoteReference"/>
          <w:szCs w:val="22"/>
        </w:rPr>
        <w:footnoteReference w:id="38"/>
      </w:r>
      <w:r w:rsidR="004E3680">
        <w:rPr>
          <w:szCs w:val="22"/>
        </w:rPr>
        <w:t xml:space="preserve"> </w:t>
      </w:r>
      <w:r w:rsidR="002F7040">
        <w:rPr>
          <w:szCs w:val="22"/>
        </w:rPr>
        <w:t>waiver of the</w:t>
      </w:r>
      <w:r w:rsidR="000E5AED">
        <w:rPr>
          <w:szCs w:val="22"/>
        </w:rPr>
        <w:t xml:space="preserve"> </w:t>
      </w:r>
      <w:r w:rsidR="000E5AED">
        <w:t>study area boundaries is in the public interest</w:t>
      </w:r>
      <w:r w:rsidR="004E3680">
        <w:rPr>
          <w:szCs w:val="22"/>
        </w:rPr>
        <w:t xml:space="preserve">, and </w:t>
      </w:r>
      <w:r w:rsidR="00E7682C">
        <w:rPr>
          <w:szCs w:val="22"/>
        </w:rPr>
        <w:t>we grant the waiver request</w:t>
      </w:r>
      <w:r w:rsidR="008B1901">
        <w:rPr>
          <w:szCs w:val="22"/>
        </w:rPr>
        <w:t xml:space="preserve"> </w:t>
      </w:r>
      <w:r w:rsidR="002D16DF">
        <w:rPr>
          <w:szCs w:val="22"/>
        </w:rPr>
        <w:t xml:space="preserve">on the </w:t>
      </w:r>
      <w:r w:rsidR="008B1901">
        <w:rPr>
          <w:szCs w:val="22"/>
        </w:rPr>
        <w:t>condition</w:t>
      </w:r>
      <w:r w:rsidR="002D16DF">
        <w:rPr>
          <w:szCs w:val="22"/>
        </w:rPr>
        <w:t xml:space="preserve"> that UP Fiber will not seek</w:t>
      </w:r>
      <w:r w:rsidR="001106B4">
        <w:rPr>
          <w:szCs w:val="22"/>
        </w:rPr>
        <w:t xml:space="preserve"> to be r</w:t>
      </w:r>
      <w:r w:rsidRPr="001106B4" w:rsidR="001106B4">
        <w:rPr>
          <w:szCs w:val="22"/>
        </w:rPr>
        <w:t xml:space="preserve">egulated as a rate-of-return </w:t>
      </w:r>
      <w:r w:rsidR="005D290A">
        <w:rPr>
          <w:szCs w:val="22"/>
        </w:rPr>
        <w:t xml:space="preserve">incumbent </w:t>
      </w:r>
      <w:r w:rsidRPr="001106B4" w:rsidR="001106B4">
        <w:rPr>
          <w:szCs w:val="22"/>
        </w:rPr>
        <w:t>LEC nor will it seek to receive any legacy high-cos</w:t>
      </w:r>
      <w:r w:rsidR="001106B4">
        <w:rPr>
          <w:szCs w:val="22"/>
        </w:rPr>
        <w:t xml:space="preserve">t </w:t>
      </w:r>
      <w:r w:rsidRPr="001106B4" w:rsidR="001106B4">
        <w:rPr>
          <w:szCs w:val="22"/>
        </w:rPr>
        <w:t>universal service support in the future</w:t>
      </w:r>
      <w:r w:rsidR="001106B4">
        <w:rPr>
          <w:szCs w:val="22"/>
        </w:rPr>
        <w:t>.</w:t>
      </w:r>
      <w:r w:rsidR="002D16DF">
        <w:rPr>
          <w:szCs w:val="22"/>
        </w:rPr>
        <w:t xml:space="preserve"> </w:t>
      </w:r>
      <w:r w:rsidR="00E7682C">
        <w:rPr>
          <w:szCs w:val="22"/>
        </w:rPr>
        <w:t xml:space="preserve">  </w:t>
      </w:r>
    </w:p>
    <w:p w:rsidR="00103088" w:rsidRPr="0057718E" w:rsidP="008243C6" w14:paraId="73B931B0" w14:textId="0770E833">
      <w:pPr>
        <w:autoSpaceDE w:val="0"/>
        <w:autoSpaceDN w:val="0"/>
        <w:adjustRightInd w:val="0"/>
        <w:spacing w:after="120"/>
        <w:rPr>
          <w:b/>
          <w:bCs/>
          <w:szCs w:val="22"/>
          <w:u w:val="single"/>
        </w:rPr>
      </w:pPr>
      <w:r w:rsidRPr="0057718E">
        <w:rPr>
          <w:b/>
          <w:bCs/>
          <w:szCs w:val="22"/>
          <w:u w:val="single"/>
        </w:rPr>
        <w:t xml:space="preserve">Grant </w:t>
      </w:r>
      <w:r w:rsidR="005D290A">
        <w:rPr>
          <w:b/>
          <w:bCs/>
          <w:szCs w:val="22"/>
          <w:u w:val="single"/>
        </w:rPr>
        <w:t xml:space="preserve">of </w:t>
      </w:r>
      <w:r w:rsidRPr="0057718E" w:rsidR="0057718E">
        <w:rPr>
          <w:b/>
          <w:bCs/>
          <w:szCs w:val="22"/>
          <w:u w:val="single"/>
        </w:rPr>
        <w:t>Waiver of Section 61.41(c)(2) of the Commission’s Rules</w:t>
      </w:r>
      <w:r w:rsidR="00D01D75">
        <w:rPr>
          <w:b/>
          <w:bCs/>
          <w:szCs w:val="22"/>
          <w:u w:val="single"/>
        </w:rPr>
        <w:t xml:space="preserve"> (the “All-or-Nothing” Rule)</w:t>
      </w:r>
    </w:p>
    <w:p w:rsidR="000721E8" w:rsidP="00581469" w14:paraId="2D61DC99" w14:textId="5983D018">
      <w:pPr>
        <w:autoSpaceDE w:val="0"/>
        <w:autoSpaceDN w:val="0"/>
        <w:adjustRightInd w:val="0"/>
        <w:spacing w:after="120"/>
      </w:pPr>
      <w:r>
        <w:tab/>
      </w:r>
      <w:r w:rsidR="001C3415">
        <w:t>We also grant UP Fiber’s petition for waiver of section 61.41(c)(2) of the Commission’s rules</w:t>
      </w:r>
      <w:r w:rsidR="00D01D75">
        <w:t xml:space="preserve"> (</w:t>
      </w:r>
      <w:r w:rsidR="009B751F">
        <w:t>the “all-or-nothing” rule</w:t>
      </w:r>
      <w:r w:rsidR="00D01D75">
        <w:t>)</w:t>
      </w:r>
      <w:r w:rsidR="003C5B87">
        <w:t xml:space="preserve"> to allow UP Fiber</w:t>
      </w:r>
      <w:r w:rsidR="00A73B5D">
        <w:t xml:space="preserve">’s </w:t>
      </w:r>
      <w:r w:rsidR="00027ED7">
        <w:t>carrier</w:t>
      </w:r>
      <w:r w:rsidR="00A73B5D">
        <w:t xml:space="preserve"> affiliates to continue operating under rate-of-return regulation</w:t>
      </w:r>
      <w:r w:rsidR="00F84A96">
        <w:t xml:space="preserve"> despite being affiliated with a price cap carrier</w:t>
      </w:r>
      <w:r w:rsidR="001C3415">
        <w:t>.</w:t>
      </w:r>
      <w:r>
        <w:rPr>
          <w:rStyle w:val="FootnoteReference"/>
        </w:rPr>
        <w:footnoteReference w:id="39"/>
      </w:r>
      <w:r w:rsidR="001C4CD7">
        <w:t xml:space="preserve">  </w:t>
      </w:r>
    </w:p>
    <w:p w:rsidR="0057718E" w:rsidP="004F2566" w14:paraId="5EDC106D" w14:textId="14C40C4C">
      <w:pPr>
        <w:widowControl/>
        <w:autoSpaceDE w:val="0"/>
        <w:autoSpaceDN w:val="0"/>
        <w:adjustRightInd w:val="0"/>
        <w:spacing w:after="120"/>
        <w:ind w:firstLine="720"/>
      </w:pPr>
      <w:r>
        <w:t>The “all-or-nothing”</w:t>
      </w:r>
      <w:r w:rsidR="000721E8">
        <w:t xml:space="preserve"> rule </w:t>
      </w:r>
      <w:r w:rsidR="001C4CD7">
        <w:t>provides that</w:t>
      </w:r>
      <w:r w:rsidR="00E61C17">
        <w:t xml:space="preserve"> </w:t>
      </w:r>
      <w:r w:rsidR="00EF06FE">
        <w:t>whe</w:t>
      </w:r>
      <w:r w:rsidR="001A236E">
        <w:t>n</w:t>
      </w:r>
      <w:r w:rsidR="00925570">
        <w:t xml:space="preserve"> </w:t>
      </w:r>
      <w:r w:rsidR="00EF06FE">
        <w:t>a price cap carrier</w:t>
      </w:r>
      <w:r w:rsidR="00925570">
        <w:t xml:space="preserve"> acquires</w:t>
      </w:r>
      <w:r w:rsidR="0055338F">
        <w:t xml:space="preserve"> </w:t>
      </w:r>
      <w:r w:rsidR="00473AAD">
        <w:t xml:space="preserve">or becomes affiliated with </w:t>
      </w:r>
      <w:r w:rsidR="000B0FEE">
        <w:t xml:space="preserve">a </w:t>
      </w:r>
      <w:r w:rsidR="00473AAD">
        <w:t xml:space="preserve">rate-of-return carrier, </w:t>
      </w:r>
      <w:r w:rsidR="00CE1BA6">
        <w:t xml:space="preserve">the </w:t>
      </w:r>
      <w:r w:rsidR="00094537">
        <w:t>affiliates must convert to price cap regulation within one year of the transaction and file price cap tariffs.</w:t>
      </w:r>
      <w:r>
        <w:rPr>
          <w:rStyle w:val="FootnoteReference"/>
        </w:rPr>
        <w:footnoteReference w:id="40"/>
      </w:r>
      <w:r w:rsidR="00094537">
        <w:t xml:space="preserve"> </w:t>
      </w:r>
      <w:r w:rsidR="00CE1BA6">
        <w:t xml:space="preserve"> </w:t>
      </w:r>
      <w:r w:rsidR="00581469">
        <w:t xml:space="preserve">The purpose of this rule is to limit </w:t>
      </w:r>
      <w:r w:rsidR="0029064A">
        <w:t xml:space="preserve">rent-seeking </w:t>
      </w:r>
      <w:r w:rsidR="00581469">
        <w:t>opportunities for cost-shifting that take advantage of the differences in price cap and rate-of-return ratemaking methodologies.</w:t>
      </w:r>
      <w:r>
        <w:rPr>
          <w:rStyle w:val="FootnoteReference"/>
        </w:rPr>
        <w:footnoteReference w:id="41"/>
      </w:r>
      <w:r w:rsidR="0055338F">
        <w:t xml:space="preserve"> </w:t>
      </w:r>
      <w:r w:rsidR="001C4CD7">
        <w:t xml:space="preserve"> </w:t>
      </w:r>
      <w:r w:rsidR="00C23431">
        <w:t xml:space="preserve">The Commission, however, </w:t>
      </w:r>
      <w:r w:rsidR="007B578A">
        <w:t>has</w:t>
      </w:r>
      <w:r w:rsidR="00C23431">
        <w:t xml:space="preserve"> explained it would </w:t>
      </w:r>
      <w:r w:rsidR="00393DD7">
        <w:t>waive</w:t>
      </w:r>
      <w:r w:rsidR="00912CCD">
        <w:t xml:space="preserve"> </w:t>
      </w:r>
      <w:r w:rsidR="00C23431">
        <w:t xml:space="preserve">this rule where </w:t>
      </w:r>
      <w:r w:rsidR="00912CCD">
        <w:t xml:space="preserve">the </w:t>
      </w:r>
      <w:r w:rsidR="00C23431">
        <w:t xml:space="preserve">efficiencies </w:t>
      </w:r>
      <w:r w:rsidR="00C10828">
        <w:t xml:space="preserve">gained </w:t>
      </w:r>
      <w:r w:rsidR="004F2566">
        <w:t>from the trans</w:t>
      </w:r>
      <w:r w:rsidR="00C10828">
        <w:t xml:space="preserve">action </w:t>
      </w:r>
      <w:r w:rsidR="00C23431">
        <w:t>outweigh the threat of cost-shifting or gaming</w:t>
      </w:r>
      <w:r w:rsidR="004F2566">
        <w:t>.</w:t>
      </w:r>
      <w:r>
        <w:rPr>
          <w:rStyle w:val="FootnoteReference"/>
        </w:rPr>
        <w:footnoteReference w:id="42"/>
      </w:r>
    </w:p>
    <w:p w:rsidR="00FA0345" w:rsidP="00DE00F5" w14:paraId="3ACBCAEE" w14:textId="5D959C8F">
      <w:pPr>
        <w:widowControl/>
        <w:autoSpaceDE w:val="0"/>
        <w:autoSpaceDN w:val="0"/>
        <w:adjustRightInd w:val="0"/>
        <w:spacing w:after="120"/>
        <w:ind w:firstLine="720"/>
      </w:pPr>
      <w:r>
        <w:t>UP Fiber requests a waiver of the “all-or-nothing” rule to allow its affiliates to continue operating subject to rate-of-return regulation despite being affiliated with a price cap carrier</w:t>
      </w:r>
      <w:r w:rsidRPr="000F658D" w:rsidR="000F658D">
        <w:t xml:space="preserve"> </w:t>
      </w:r>
      <w:r w:rsidR="000F658D">
        <w:t>post-transaction</w:t>
      </w:r>
      <w:r>
        <w:t>.</w:t>
      </w:r>
      <w:r>
        <w:rPr>
          <w:rStyle w:val="FootnoteReference"/>
        </w:rPr>
        <w:footnoteReference w:id="43"/>
      </w:r>
      <w:r>
        <w:t xml:space="preserve">  </w:t>
      </w:r>
      <w:r w:rsidR="005B24ED">
        <w:t xml:space="preserve">UP Fiber </w:t>
      </w:r>
      <w:r w:rsidR="007B5524">
        <w:t xml:space="preserve">is affiliated with </w:t>
      </w:r>
      <w:r w:rsidR="00BF6946">
        <w:t xml:space="preserve">two </w:t>
      </w:r>
      <w:r w:rsidR="007B5524">
        <w:t>rate-of-return carriers</w:t>
      </w:r>
      <w:r w:rsidR="00BF6946">
        <w:t xml:space="preserve"> </w:t>
      </w:r>
      <w:r w:rsidR="007E6834">
        <w:t>receiv</w:t>
      </w:r>
      <w:r w:rsidR="004A3706">
        <w:t>ing</w:t>
      </w:r>
      <w:r w:rsidR="007E6834">
        <w:t xml:space="preserve"> CAF ICC </w:t>
      </w:r>
      <w:r w:rsidR="007B5524">
        <w:t xml:space="preserve">and </w:t>
      </w:r>
      <w:r w:rsidR="00BF6946">
        <w:t xml:space="preserve">Enhanced A-CAM </w:t>
      </w:r>
      <w:r w:rsidR="007E6834">
        <w:t>support</w:t>
      </w:r>
      <w:r w:rsidR="00040D18">
        <w:t>,</w:t>
      </w:r>
      <w:r w:rsidR="00BF6946">
        <w:t xml:space="preserve"> </w:t>
      </w:r>
      <w:r w:rsidR="007B5524">
        <w:t xml:space="preserve">and </w:t>
      </w:r>
      <w:r w:rsidR="008E2D75">
        <w:t>post-transaction</w:t>
      </w:r>
      <w:r w:rsidR="00040D18">
        <w:t>,</w:t>
      </w:r>
      <w:r w:rsidR="008E2D75">
        <w:t xml:space="preserve"> the </w:t>
      </w:r>
      <w:r w:rsidR="007B5524">
        <w:t xml:space="preserve">reconstituted </w:t>
      </w:r>
      <w:r w:rsidR="008E2D75">
        <w:t>UP Fiber study area (SAC</w:t>
      </w:r>
      <w:r w:rsidRPr="000756F0" w:rsidR="000756F0">
        <w:t xml:space="preserve"> 315090</w:t>
      </w:r>
      <w:r w:rsidR="00F87913">
        <w:t xml:space="preserve">) (former Michigan Bell) </w:t>
      </w:r>
      <w:r w:rsidR="008E2D75">
        <w:t xml:space="preserve">will be price cap </w:t>
      </w:r>
      <w:r w:rsidR="00F87913">
        <w:t>regulated.</w:t>
      </w:r>
      <w:r>
        <w:rPr>
          <w:rStyle w:val="FootnoteReference"/>
        </w:rPr>
        <w:footnoteReference w:id="44"/>
      </w:r>
      <w:r w:rsidR="00F87913">
        <w:t xml:space="preserve"> </w:t>
      </w:r>
      <w:r w:rsidR="00B05827">
        <w:t xml:space="preserve"> </w:t>
      </w:r>
      <w:r w:rsidR="00AC0FF3">
        <w:t xml:space="preserve">Importantly, </w:t>
      </w:r>
      <w:r w:rsidR="00956121">
        <w:t>at close</w:t>
      </w:r>
      <w:r w:rsidR="00AC0FF3">
        <w:t xml:space="preserve"> UP Fiber </w:t>
      </w:r>
      <w:r w:rsidR="00956121">
        <w:t>will not be</w:t>
      </w:r>
      <w:r w:rsidR="00AC0FF3">
        <w:t xml:space="preserve"> </w:t>
      </w:r>
      <w:r w:rsidR="00C242EC">
        <w:t xml:space="preserve">affiliated </w:t>
      </w:r>
      <w:r w:rsidR="004272E4">
        <w:t xml:space="preserve">with any </w:t>
      </w:r>
      <w:r w:rsidR="006670FB">
        <w:t xml:space="preserve">carrier receiving </w:t>
      </w:r>
      <w:r w:rsidR="00E14D72">
        <w:t xml:space="preserve">legacy </w:t>
      </w:r>
      <w:r w:rsidR="006670FB">
        <w:t>high-cost support</w:t>
      </w:r>
      <w:r w:rsidR="009D6BA2">
        <w:t xml:space="preserve"> and has committed to not becoming affiliated with any such carrier</w:t>
      </w:r>
      <w:r w:rsidR="00E14D72">
        <w:t>.</w:t>
      </w:r>
      <w:r>
        <w:rPr>
          <w:rStyle w:val="FootnoteReference"/>
        </w:rPr>
        <w:footnoteReference w:id="45"/>
      </w:r>
      <w:r w:rsidR="00E14D72">
        <w:t xml:space="preserve">  </w:t>
      </w:r>
      <w:r w:rsidR="00B05827">
        <w:t xml:space="preserve"> </w:t>
      </w:r>
      <w:r w:rsidRPr="000125F8" w:rsidR="000125F8">
        <w:t xml:space="preserve">  </w:t>
      </w:r>
    </w:p>
    <w:p w:rsidR="00274502" w:rsidP="00F4672A" w14:paraId="5E6A675A" w14:textId="546764D0">
      <w:pPr>
        <w:widowControl/>
        <w:autoSpaceDE w:val="0"/>
        <w:autoSpaceDN w:val="0"/>
        <w:adjustRightInd w:val="0"/>
        <w:spacing w:after="120"/>
        <w:ind w:firstLine="720"/>
      </w:pPr>
      <w:r>
        <w:t>Based on the facts presented, w</w:t>
      </w:r>
      <w:r w:rsidR="00912CCD">
        <w:t xml:space="preserve">e find </w:t>
      </w:r>
      <w:r w:rsidR="009259D4">
        <w:t>good cause exists to grant UP Fiber wa</w:t>
      </w:r>
      <w:r w:rsidR="00580612">
        <w:t>i</w:t>
      </w:r>
      <w:r w:rsidR="009259D4">
        <w:t>ver</w:t>
      </w:r>
      <w:r w:rsidR="007E5495">
        <w:t xml:space="preserve"> of the “all-or-nothing” rule</w:t>
      </w:r>
      <w:r w:rsidR="00912CCD">
        <w:t xml:space="preserve"> </w:t>
      </w:r>
      <w:r w:rsidR="009259D4">
        <w:t>pursuant to</w:t>
      </w:r>
      <w:r w:rsidR="00912CCD">
        <w:t xml:space="preserve"> section 1.3 of the Commission’s rules.</w:t>
      </w:r>
      <w:r>
        <w:rPr>
          <w:rStyle w:val="FootnoteReference"/>
        </w:rPr>
        <w:footnoteReference w:id="46"/>
      </w:r>
      <w:r w:rsidR="006116A1">
        <w:t xml:space="preserve">  </w:t>
      </w:r>
      <w:r w:rsidR="00AD7B3F">
        <w:t xml:space="preserve">We </w:t>
      </w:r>
      <w:r w:rsidR="00123085">
        <w:t xml:space="preserve">agree with UP Fiber that </w:t>
      </w:r>
      <w:r w:rsidR="00AD7B3F">
        <w:t xml:space="preserve">the public interest benefits of granting waiver </w:t>
      </w:r>
      <w:r w:rsidR="00301FE8">
        <w:t xml:space="preserve">of the “all-or-nothing” rule </w:t>
      </w:r>
      <w:r w:rsidR="00AD7B3F">
        <w:t>outweigh the risks of cost-shifting.</w:t>
      </w:r>
      <w:r>
        <w:rPr>
          <w:rStyle w:val="FootnoteReference"/>
        </w:rPr>
        <w:footnoteReference w:id="47"/>
      </w:r>
      <w:r w:rsidR="00AD7B3F">
        <w:t xml:space="preserve">  </w:t>
      </w:r>
      <w:r w:rsidR="006116A1">
        <w:t xml:space="preserve">Absent a waiver, </w:t>
      </w:r>
      <w:r w:rsidR="000A42CE">
        <w:t>UP Fiber’s</w:t>
      </w:r>
      <w:r w:rsidR="006116A1">
        <w:t xml:space="preserve"> rate-of-return affiliat</w:t>
      </w:r>
      <w:r w:rsidR="007D4F36">
        <w:t>es</w:t>
      </w:r>
      <w:r w:rsidR="006116A1">
        <w:t xml:space="preserve"> would lose CAF ICC support</w:t>
      </w:r>
      <w:r w:rsidR="00381257">
        <w:t xml:space="preserve"> because price cap carriers are no longer eligible</w:t>
      </w:r>
      <w:r w:rsidR="006116A1">
        <w:t>.</w:t>
      </w:r>
      <w:r>
        <w:rPr>
          <w:rStyle w:val="FootnoteReference"/>
        </w:rPr>
        <w:footnoteReference w:id="48"/>
      </w:r>
      <w:r w:rsidR="00D47154">
        <w:t xml:space="preserve">  We find</w:t>
      </w:r>
      <w:r w:rsidR="00D74B87">
        <w:t xml:space="preserve"> this outcome </w:t>
      </w:r>
      <w:r w:rsidR="0001435C">
        <w:t xml:space="preserve">would </w:t>
      </w:r>
      <w:r w:rsidR="00D74B87">
        <w:t xml:space="preserve">harm the public interest </w:t>
      </w:r>
      <w:r w:rsidR="0083392C">
        <w:t xml:space="preserve">by </w:t>
      </w:r>
      <w:r w:rsidR="0001435C">
        <w:t>impos</w:t>
      </w:r>
      <w:r w:rsidR="00D74B87">
        <w:t>ing</w:t>
      </w:r>
      <w:r w:rsidR="0001435C">
        <w:t xml:space="preserve"> unnecessary costs and potential disruptions of service.</w:t>
      </w:r>
      <w:r>
        <w:rPr>
          <w:rStyle w:val="FootnoteReference"/>
        </w:rPr>
        <w:footnoteReference w:id="49"/>
      </w:r>
      <w:r w:rsidR="00AD7B3F">
        <w:t xml:space="preserve"> </w:t>
      </w:r>
      <w:r w:rsidR="00E631F3">
        <w:t xml:space="preserve"> </w:t>
      </w:r>
      <w:r w:rsidR="00372E4F">
        <w:t xml:space="preserve">We also find persuasive UP Fiber’s evidence </w:t>
      </w:r>
      <w:r w:rsidR="00D92E57">
        <w:t>that</w:t>
      </w:r>
      <w:r w:rsidR="007211A1">
        <w:t xml:space="preserve"> post</w:t>
      </w:r>
      <w:r w:rsidR="00E5641B">
        <w:t>-</w:t>
      </w:r>
      <w:r w:rsidR="007211A1">
        <w:t>transaction,</w:t>
      </w:r>
      <w:r w:rsidR="00D92E57">
        <w:t xml:space="preserve"> consumers w</w:t>
      </w:r>
      <w:r w:rsidR="007211A1">
        <w:t>ill</w:t>
      </w:r>
      <w:r w:rsidR="00D92E57">
        <w:t xml:space="preserve"> </w:t>
      </w:r>
      <w:r w:rsidR="007211A1">
        <w:t>benefit from</w:t>
      </w:r>
      <w:r w:rsidR="00F4672A">
        <w:t xml:space="preserve"> “</w:t>
      </w:r>
      <w:r w:rsidRPr="00F4672A" w:rsidR="00F4672A">
        <w:t>additional or enhanced broadband data, voice, and video</w:t>
      </w:r>
      <w:r w:rsidR="00F4672A">
        <w:t xml:space="preserve"> </w:t>
      </w:r>
      <w:r w:rsidRPr="00F4672A" w:rsidR="00F4672A">
        <w:t>offerings compared to those currently available in the study area</w:t>
      </w:r>
      <w:r w:rsidR="00F4672A">
        <w:t>.”</w:t>
      </w:r>
      <w:r>
        <w:rPr>
          <w:rStyle w:val="FootnoteReference"/>
        </w:rPr>
        <w:footnoteReference w:id="50"/>
      </w:r>
      <w:r w:rsidR="00E631F3">
        <w:t xml:space="preserve"> </w:t>
      </w:r>
      <w:r w:rsidR="00AD7B3F">
        <w:t xml:space="preserve"> </w:t>
      </w:r>
    </w:p>
    <w:p w:rsidR="00303EE3" w:rsidP="00C13C38" w14:paraId="11684246" w14:textId="0FC47A0D">
      <w:pPr>
        <w:widowControl/>
        <w:autoSpaceDE w:val="0"/>
        <w:autoSpaceDN w:val="0"/>
        <w:adjustRightInd w:val="0"/>
        <w:spacing w:after="120"/>
        <w:ind w:firstLine="720"/>
      </w:pPr>
      <w:r>
        <w:t>Additionally, w</w:t>
      </w:r>
      <w:r w:rsidR="00AD7B3F">
        <w:t xml:space="preserve">e find </w:t>
      </w:r>
      <w:r w:rsidR="0087355F">
        <w:t>the risks of cost-shifting between price cap and rate-of-return study areas are low in this case.</w:t>
      </w:r>
      <w:r w:rsidR="00274502">
        <w:t xml:space="preserve">  </w:t>
      </w:r>
      <w:r w:rsidR="0006043E">
        <w:t xml:space="preserve">UP Fiber acknowledges </w:t>
      </w:r>
      <w:r w:rsidR="005A0A08">
        <w:t>the price cap study area (SAC 315090) and the two rate-of-return study areas (SAC</w:t>
      </w:r>
      <w:r w:rsidR="00C13C38">
        <w:t xml:space="preserve"> </w:t>
      </w:r>
      <w:r w:rsidR="005A0A08">
        <w:t xml:space="preserve">310785 and SAC 310732) are </w:t>
      </w:r>
      <w:r w:rsidR="00D61B76">
        <w:t>“</w:t>
      </w:r>
      <w:r w:rsidR="005A0A08">
        <w:t>contiguous or closely adjacent within Michigan</w:t>
      </w:r>
      <w:r w:rsidR="00D61B76">
        <w:t>.”</w:t>
      </w:r>
      <w:r>
        <w:rPr>
          <w:rStyle w:val="FootnoteReference"/>
        </w:rPr>
        <w:footnoteReference w:id="51"/>
      </w:r>
      <w:r w:rsidR="00D61B76">
        <w:t xml:space="preserve">  </w:t>
      </w:r>
      <w:r w:rsidR="00C13C38">
        <w:t xml:space="preserve">However, </w:t>
      </w:r>
      <w:r w:rsidR="00274502">
        <w:t xml:space="preserve">UP Fiber explains </w:t>
      </w:r>
      <w:r w:rsidR="00B25B67">
        <w:t>the two rate-of-return affiliates (MCBC and UPTC) will maintain capital investments “separately incurred, owned, and recorded by the operating entity serving each study area.”</w:t>
      </w:r>
      <w:r>
        <w:rPr>
          <w:rStyle w:val="FootnoteReference"/>
        </w:rPr>
        <w:footnoteReference w:id="52"/>
      </w:r>
      <w:r w:rsidR="00B25B67">
        <w:t xml:space="preserve">  </w:t>
      </w:r>
      <w:r w:rsidR="008D4178">
        <w:t>UP Fiber explains that “</w:t>
      </w:r>
      <w:r w:rsidRPr="008D4178" w:rsidR="008D4178">
        <w:t>capitalized plant costs are directly assigned to the company responsible for the applicable study area</w:t>
      </w:r>
      <w:r w:rsidR="008D4178">
        <w:t xml:space="preserve">” and </w:t>
      </w:r>
      <w:r w:rsidR="008C189B">
        <w:t>“[n]o shared assets will be capitalized across multiple study areas.”</w:t>
      </w:r>
      <w:r>
        <w:rPr>
          <w:rStyle w:val="FootnoteReference"/>
        </w:rPr>
        <w:footnoteReference w:id="53"/>
      </w:r>
      <w:r w:rsidRPr="00F8254A" w:rsidR="00F8254A">
        <w:t xml:space="preserve"> </w:t>
      </w:r>
      <w:r w:rsidR="0096310D">
        <w:t xml:space="preserve"> We agree this </w:t>
      </w:r>
      <w:r w:rsidR="00781A58">
        <w:t xml:space="preserve">direct </w:t>
      </w:r>
      <w:r w:rsidR="0096310D">
        <w:t xml:space="preserve">assignment </w:t>
      </w:r>
      <w:r w:rsidR="00781A58">
        <w:t xml:space="preserve">of capital </w:t>
      </w:r>
      <w:r w:rsidR="001F269B">
        <w:t xml:space="preserve">expenditure </w:t>
      </w:r>
      <w:r w:rsidR="0096310D">
        <w:t xml:space="preserve">lowers the risk of cost-shifting between study areas.  </w:t>
      </w:r>
      <w:r w:rsidR="003F6834">
        <w:t xml:space="preserve">Additionally, </w:t>
      </w:r>
      <w:r w:rsidRPr="00F8254A" w:rsidR="00F8254A">
        <w:t>UP Fiber</w:t>
      </w:r>
      <w:r w:rsidR="009C2FDA">
        <w:t xml:space="preserve"> </w:t>
      </w:r>
      <w:r w:rsidR="00F8254A">
        <w:t>acknowledges that</w:t>
      </w:r>
      <w:r w:rsidR="001C373B">
        <w:t xml:space="preserve"> maintenance and administrative </w:t>
      </w:r>
      <w:r w:rsidR="0096310D">
        <w:t>expenses</w:t>
      </w:r>
      <w:r w:rsidR="001C373B">
        <w:t xml:space="preserve"> will be shared across its affiliates but explains its </w:t>
      </w:r>
      <w:r w:rsidR="00EC66A6">
        <w:t xml:space="preserve">allocation factors </w:t>
      </w:r>
      <w:r w:rsidR="00F337C3">
        <w:t>using “cost-causation-based methodologies.”</w:t>
      </w:r>
      <w:r>
        <w:rPr>
          <w:rStyle w:val="FootnoteReference"/>
        </w:rPr>
        <w:footnoteReference w:id="54"/>
      </w:r>
      <w:r w:rsidR="005955B7">
        <w:t xml:space="preserve"> </w:t>
      </w:r>
      <w:r w:rsidR="007A1F75">
        <w:t xml:space="preserve"> </w:t>
      </w:r>
      <w:r w:rsidR="00B94D4F">
        <w:t xml:space="preserve">We find </w:t>
      </w:r>
      <w:r>
        <w:t xml:space="preserve">most </w:t>
      </w:r>
      <w:r w:rsidR="00B94D4F">
        <w:t>compelling</w:t>
      </w:r>
      <w:r w:rsidR="007A1F75">
        <w:t xml:space="preserve"> </w:t>
      </w:r>
      <w:r w:rsidR="00B94D4F">
        <w:t xml:space="preserve">UP Fiber’s </w:t>
      </w:r>
      <w:r w:rsidR="000144CA">
        <w:t>commitment</w:t>
      </w:r>
      <w:r w:rsidR="00B94D4F">
        <w:t xml:space="preserve"> </w:t>
      </w:r>
      <w:r w:rsidR="00CD4FEC">
        <w:t>to the</w:t>
      </w:r>
      <w:r w:rsidR="00B94D4F">
        <w:t xml:space="preserve"> Commission that it </w:t>
      </w:r>
      <w:r w:rsidR="00CD4FEC">
        <w:t>“</w:t>
      </w:r>
      <w:r w:rsidR="00B94D4F">
        <w:t>will not engage in rent-seeking cost-shifting</w:t>
      </w:r>
      <w:r w:rsidR="00CD4FEC">
        <w:t xml:space="preserve"> </w:t>
      </w:r>
      <w:r w:rsidR="00B94D4F">
        <w:t>between the rate-of-return and price cap study areas post-Transaction.</w:t>
      </w:r>
      <w:r w:rsidR="00CD4FEC">
        <w:t>”</w:t>
      </w:r>
      <w:r>
        <w:rPr>
          <w:rStyle w:val="FootnoteReference"/>
        </w:rPr>
        <w:footnoteReference w:id="55"/>
      </w:r>
      <w:r w:rsidR="00CD4FEC">
        <w:t xml:space="preserve">  </w:t>
      </w:r>
      <w:r w:rsidR="00014CFB">
        <w:t xml:space="preserve">We remind UP Fiber that </w:t>
      </w:r>
      <w:r w:rsidR="00A51371">
        <w:t xml:space="preserve">the </w:t>
      </w:r>
      <w:r w:rsidR="00354185">
        <w:t xml:space="preserve">Bureau </w:t>
      </w:r>
      <w:r w:rsidR="005F1CFA">
        <w:t xml:space="preserve">has </w:t>
      </w:r>
      <w:r w:rsidR="00A51371">
        <w:t xml:space="preserve">delegated </w:t>
      </w:r>
      <w:r w:rsidR="005F1CFA">
        <w:t xml:space="preserve">authority to reject or suspend and investigate tariffed rates </w:t>
      </w:r>
      <w:r w:rsidR="005B24AA">
        <w:t xml:space="preserve">that raise </w:t>
      </w:r>
      <w:r w:rsidR="00916C9D">
        <w:t xml:space="preserve">lawfulness </w:t>
      </w:r>
      <w:r w:rsidR="005B24AA">
        <w:t xml:space="preserve">questions </w:t>
      </w:r>
      <w:r w:rsidR="00916C9D">
        <w:t>to</w:t>
      </w:r>
      <w:r w:rsidR="005410A2">
        <w:t xml:space="preserve"> ensure compliance with this Public Notice</w:t>
      </w:r>
      <w:r w:rsidR="00E64D3F">
        <w:t>.</w:t>
      </w:r>
      <w:r>
        <w:rPr>
          <w:rStyle w:val="FootnoteReference"/>
        </w:rPr>
        <w:footnoteReference w:id="56"/>
      </w:r>
      <w:r w:rsidR="00E64D3F">
        <w:t xml:space="preserve"> </w:t>
      </w:r>
      <w:r>
        <w:t xml:space="preserve"> </w:t>
      </w:r>
    </w:p>
    <w:p w:rsidR="00912CCD" w:rsidP="00303EE3" w14:paraId="7A72C19B" w14:textId="4ED01098">
      <w:pPr>
        <w:widowControl/>
        <w:autoSpaceDE w:val="0"/>
        <w:autoSpaceDN w:val="0"/>
        <w:adjustRightInd w:val="0"/>
        <w:spacing w:after="120"/>
        <w:ind w:firstLine="720"/>
      </w:pPr>
      <w:r>
        <w:t>W</w:t>
      </w:r>
      <w:r w:rsidR="00FA0DE0">
        <w:t xml:space="preserve">e find </w:t>
      </w:r>
      <w:r w:rsidR="00303EE3">
        <w:t>the public interest benefits outweigh the low risk of cost-shifting</w:t>
      </w:r>
      <w:r>
        <w:t xml:space="preserve"> and</w:t>
      </w:r>
      <w:r w:rsidR="00303EE3">
        <w:t xml:space="preserve">, </w:t>
      </w:r>
      <w:r>
        <w:t xml:space="preserve">accordingly, </w:t>
      </w:r>
      <w:r w:rsidR="00303EE3">
        <w:t>we find good cause exists to grant UP Fiber a waiver of section 61.4</w:t>
      </w:r>
      <w:r w:rsidR="00892135">
        <w:t>1</w:t>
      </w:r>
      <w:r w:rsidR="00303EE3">
        <w:t>(c)(2) of the Commission</w:t>
      </w:r>
      <w:r w:rsidR="002E7042">
        <w:t>’s</w:t>
      </w:r>
      <w:r w:rsidR="00303EE3">
        <w:t xml:space="preserve"> rules to allow its affiliates to continue to operate as rate-of-return carriers.</w:t>
      </w:r>
      <w:r>
        <w:rPr>
          <w:rStyle w:val="FootnoteReference"/>
        </w:rPr>
        <w:footnoteReference w:id="57"/>
      </w:r>
      <w:r w:rsidR="00303EE3">
        <w:t xml:space="preserve"> </w:t>
      </w:r>
      <w:r w:rsidR="00001AFA">
        <w:t xml:space="preserve"> </w:t>
      </w:r>
    </w:p>
    <w:p w:rsidR="002D4849" w:rsidRPr="002D4849" w:rsidP="002D4849" w14:paraId="10EA546F" w14:textId="233B8912">
      <w:pPr>
        <w:widowControl/>
        <w:autoSpaceDE w:val="0"/>
        <w:autoSpaceDN w:val="0"/>
        <w:adjustRightInd w:val="0"/>
        <w:spacing w:after="120"/>
        <w:rPr>
          <w:b/>
          <w:bCs/>
          <w:u w:val="single"/>
        </w:rPr>
      </w:pPr>
      <w:r w:rsidRPr="002D4849">
        <w:rPr>
          <w:b/>
          <w:bCs/>
          <w:u w:val="single"/>
        </w:rPr>
        <w:t>For More Information:</w:t>
      </w:r>
    </w:p>
    <w:p w:rsidR="00783AFD" w:rsidRPr="009A6574" w:rsidP="008C189B" w14:paraId="4E4FEB92" w14:textId="4CD26F77">
      <w:pPr>
        <w:widowControl/>
        <w:autoSpaceDE w:val="0"/>
        <w:autoSpaceDN w:val="0"/>
        <w:adjustRightInd w:val="0"/>
        <w:spacing w:after="120"/>
        <w:ind w:firstLine="720"/>
        <w:rPr>
          <w:szCs w:val="22"/>
        </w:rPr>
      </w:pPr>
      <w:r w:rsidRPr="00957D46">
        <w:rPr>
          <w:szCs w:val="22"/>
        </w:rPr>
        <w:t>For further information</w:t>
      </w:r>
      <w:r w:rsidR="008821A8">
        <w:rPr>
          <w:szCs w:val="22"/>
        </w:rPr>
        <w:t xml:space="preserve"> regarding the 214 Application</w:t>
      </w:r>
      <w:r w:rsidRPr="00957D46">
        <w:rPr>
          <w:szCs w:val="22"/>
        </w:rPr>
        <w:t>, please contact Gregory Kwan, Competition Policy Division, Wireline</w:t>
      </w:r>
      <w:r>
        <w:rPr>
          <w:szCs w:val="22"/>
        </w:rPr>
        <w:t xml:space="preserve"> </w:t>
      </w:r>
      <w:r w:rsidRPr="00957D46">
        <w:rPr>
          <w:szCs w:val="22"/>
        </w:rPr>
        <w:t xml:space="preserve">Competition Bureau, </w:t>
      </w:r>
      <w:hyperlink r:id="rId6" w:history="1">
        <w:r w:rsidRPr="00DB6B94" w:rsidR="002D4849">
          <w:rPr>
            <w:rStyle w:val="Hyperlink"/>
            <w:szCs w:val="22"/>
          </w:rPr>
          <w:t>Gregory.Kwan@fcc.gov</w:t>
        </w:r>
      </w:hyperlink>
      <w:r w:rsidR="00587AB5">
        <w:rPr>
          <w:szCs w:val="22"/>
        </w:rPr>
        <w:t>.  F</w:t>
      </w:r>
      <w:r w:rsidR="008821A8">
        <w:rPr>
          <w:szCs w:val="22"/>
        </w:rPr>
        <w:t xml:space="preserve">or further information regarding the Joint Petition for Waiver, please contact </w:t>
      </w:r>
      <w:r w:rsidRPr="005E24A1" w:rsidR="005E24A1">
        <w:rPr>
          <w:szCs w:val="22"/>
        </w:rPr>
        <w:t>William Layton, Telecommunications Access Policy</w:t>
      </w:r>
      <w:r w:rsidR="005E24A1">
        <w:rPr>
          <w:szCs w:val="22"/>
        </w:rPr>
        <w:t xml:space="preserve"> </w:t>
      </w:r>
      <w:r w:rsidRPr="005E24A1" w:rsidR="005E24A1">
        <w:rPr>
          <w:szCs w:val="22"/>
        </w:rPr>
        <w:t>Division, Wireline Competition Bureau</w:t>
      </w:r>
      <w:r w:rsidR="002D4849">
        <w:rPr>
          <w:szCs w:val="22"/>
        </w:rPr>
        <w:t>,</w:t>
      </w:r>
      <w:r w:rsidRPr="005E24A1" w:rsidR="005E24A1">
        <w:rPr>
          <w:szCs w:val="22"/>
        </w:rPr>
        <w:t xml:space="preserve"> </w:t>
      </w:r>
      <w:hyperlink r:id="rId7" w:history="1">
        <w:r w:rsidRPr="00DB6B94" w:rsidR="002D4849">
          <w:rPr>
            <w:rStyle w:val="Hyperlink"/>
            <w:szCs w:val="22"/>
          </w:rPr>
          <w:t>William.Layton@fcc.gov</w:t>
        </w:r>
      </w:hyperlink>
      <w:r w:rsidR="00AE13E7">
        <w:rPr>
          <w:szCs w:val="22"/>
        </w:rPr>
        <w:t xml:space="preserve"> </w:t>
      </w:r>
      <w:r w:rsidRPr="00AE13E7" w:rsidR="00AE13E7">
        <w:rPr>
          <w:szCs w:val="22"/>
        </w:rPr>
        <w:t xml:space="preserve">or </w:t>
      </w:r>
      <w:r w:rsidR="00733C91">
        <w:rPr>
          <w:szCs w:val="22"/>
        </w:rPr>
        <w:t>Christopher Koves</w:t>
      </w:r>
      <w:r w:rsidRPr="00AE13E7" w:rsidR="00AE13E7">
        <w:rPr>
          <w:szCs w:val="22"/>
        </w:rPr>
        <w:t>, Pricing Policy</w:t>
      </w:r>
      <w:r w:rsidR="00AE13E7">
        <w:rPr>
          <w:szCs w:val="22"/>
        </w:rPr>
        <w:t xml:space="preserve"> </w:t>
      </w:r>
      <w:r w:rsidRPr="00AE13E7" w:rsidR="00AE13E7">
        <w:rPr>
          <w:szCs w:val="22"/>
        </w:rPr>
        <w:t>Division, Wireline Competition Bureau</w:t>
      </w:r>
      <w:r w:rsidR="00646E2C">
        <w:rPr>
          <w:szCs w:val="22"/>
        </w:rPr>
        <w:t xml:space="preserve">, </w:t>
      </w:r>
      <w:hyperlink r:id="rId8" w:history="1">
        <w:r w:rsidRPr="00FB0D1A" w:rsidR="00733C91">
          <w:rPr>
            <w:rStyle w:val="Hyperlink"/>
            <w:szCs w:val="22"/>
          </w:rPr>
          <w:t>Christopher.Koves@fcc.gov</w:t>
        </w:r>
      </w:hyperlink>
      <w:r w:rsidR="00AE13E7">
        <w:rPr>
          <w:szCs w:val="22"/>
        </w:rPr>
        <w:t>.</w:t>
      </w:r>
    </w:p>
    <w:p w:rsidR="00A60DEA" w:rsidRPr="00100CF5" w:rsidP="00A60DEA" w14:paraId="47354B70" w14:textId="77777777">
      <w:pPr>
        <w:autoSpaceDE w:val="0"/>
        <w:autoSpaceDN w:val="0"/>
        <w:adjustRightInd w:val="0"/>
        <w:jc w:val="center"/>
        <w:rPr>
          <w:color w:val="000000"/>
          <w:szCs w:val="22"/>
        </w:rPr>
      </w:pPr>
      <w:r w:rsidRPr="009A6574">
        <w:rPr>
          <w:b/>
          <w:szCs w:val="22"/>
        </w:rPr>
        <w:t>-FCC-</w:t>
      </w:r>
    </w:p>
    <w:p w:rsidR="00BA3BA8" w:rsidRPr="00DF0BCD" w:rsidP="00DF6B5E" w14:paraId="1516F428" w14:textId="1AC1154E">
      <w:pPr>
        <w:autoSpaceDE w:val="0"/>
        <w:autoSpaceDN w:val="0"/>
        <w:adjustRightInd w:val="0"/>
        <w:rPr>
          <w:color w:val="000000"/>
          <w:szCs w:val="22"/>
        </w:rPr>
      </w:pPr>
    </w:p>
    <w:sectPr>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A7C59" w14:paraId="4F2702DA" w14:textId="77777777">
      <w:pPr>
        <w:spacing w:line="20" w:lineRule="exact"/>
      </w:pPr>
    </w:p>
  </w:endnote>
  <w:endnote w:type="continuationSeparator" w:id="1">
    <w:p w:rsidR="005A7C59" w14:paraId="2B1CDD34" w14:textId="77777777">
      <w:r>
        <w:t xml:space="preserve"> </w:t>
      </w:r>
    </w:p>
  </w:endnote>
  <w:endnote w:type="continuationNotice" w:id="2">
    <w:p w:rsidR="005A7C59" w14:paraId="0BE486D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80B095B"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0A72E0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A2EC5B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DD0774A"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7C59" w14:paraId="340A2BF5" w14:textId="77777777">
      <w:r>
        <w:separator/>
      </w:r>
    </w:p>
  </w:footnote>
  <w:footnote w:type="continuationSeparator" w:id="1">
    <w:p w:rsidR="005A7C59" w14:paraId="4A6BC197" w14:textId="77777777">
      <w:pPr>
        <w:rPr>
          <w:sz w:val="20"/>
        </w:rPr>
      </w:pPr>
      <w:r>
        <w:rPr>
          <w:sz w:val="20"/>
        </w:rPr>
        <w:t xml:space="preserve">(Continued from previous page)  </w:t>
      </w:r>
      <w:r>
        <w:rPr>
          <w:sz w:val="20"/>
        </w:rPr>
        <w:separator/>
      </w:r>
    </w:p>
  </w:footnote>
  <w:footnote w:type="continuationNotice" w:id="2">
    <w:p w:rsidR="005A7C59" w14:paraId="3483AD41" w14:textId="77777777">
      <w:pPr>
        <w:jc w:val="right"/>
        <w:rPr>
          <w:sz w:val="20"/>
        </w:rPr>
      </w:pPr>
      <w:r>
        <w:rPr>
          <w:sz w:val="20"/>
        </w:rPr>
        <w:t>(continued….)</w:t>
      </w:r>
    </w:p>
  </w:footnote>
  <w:footnote w:id="3">
    <w:p w:rsidR="00881759" w:rsidRPr="00095705" w:rsidP="00DB358F" w14:paraId="21DE2F84" w14:textId="216B705D">
      <w:pPr>
        <w:pStyle w:val="FootnoteText"/>
      </w:pPr>
      <w:r w:rsidRPr="00095705">
        <w:rPr>
          <w:rStyle w:val="FootnoteReference"/>
          <w:sz w:val="20"/>
        </w:rPr>
        <w:footnoteRef/>
      </w:r>
      <w:r w:rsidRPr="00095705">
        <w:t xml:space="preserve"> </w:t>
      </w:r>
      <w:r w:rsidRPr="00095705">
        <w:rPr>
          <w:i/>
        </w:rPr>
        <w:t>See</w:t>
      </w:r>
      <w:r w:rsidRPr="00095705">
        <w:t xml:space="preserve"> 47 U.S.C. § 214(a); 47 CFR § 63.04.</w:t>
      </w:r>
    </w:p>
  </w:footnote>
  <w:footnote w:id="4">
    <w:p w:rsidR="00881759" w:rsidRPr="00095705" w:rsidP="004B0F4E" w14:paraId="63D191F3" w14:textId="02A57A98">
      <w:pPr>
        <w:autoSpaceDE w:val="0"/>
        <w:autoSpaceDN w:val="0"/>
        <w:adjustRightInd w:val="0"/>
        <w:spacing w:after="120"/>
        <w:rPr>
          <w:sz w:val="20"/>
        </w:rPr>
      </w:pPr>
      <w:r w:rsidRPr="00095705">
        <w:rPr>
          <w:rStyle w:val="FootnoteReference"/>
          <w:sz w:val="20"/>
        </w:rPr>
        <w:footnoteRef/>
      </w:r>
      <w:r w:rsidRPr="00095705">
        <w:rPr>
          <w:sz w:val="20"/>
        </w:rPr>
        <w:t xml:space="preserve"> </w:t>
      </w:r>
      <w:r w:rsidRPr="00095705" w:rsidR="000A2251">
        <w:rPr>
          <w:sz w:val="20"/>
        </w:rPr>
        <w:t>Domestic Section 214 Application for the Acquisition of Certain Assets of Michigan Bell Telephone</w:t>
      </w:r>
      <w:r w:rsidRPr="00095705" w:rsidR="00BA6297">
        <w:rPr>
          <w:sz w:val="20"/>
        </w:rPr>
        <w:t xml:space="preserve"> </w:t>
      </w:r>
      <w:r w:rsidRPr="00095705" w:rsidR="000A2251">
        <w:rPr>
          <w:sz w:val="20"/>
        </w:rPr>
        <w:t>Company, LLC</w:t>
      </w:r>
      <w:r w:rsidRPr="00095705" w:rsidR="00173F19">
        <w:rPr>
          <w:sz w:val="20"/>
        </w:rPr>
        <w:t>,</w:t>
      </w:r>
      <w:r w:rsidRPr="00095705" w:rsidR="000A2251">
        <w:rPr>
          <w:sz w:val="20"/>
        </w:rPr>
        <w:t xml:space="preserve"> </w:t>
      </w:r>
      <w:r w:rsidRPr="00095705" w:rsidR="00E74D16">
        <w:rPr>
          <w:sz w:val="20"/>
        </w:rPr>
        <w:t>by</w:t>
      </w:r>
      <w:r w:rsidRPr="00095705" w:rsidR="000A2251">
        <w:rPr>
          <w:sz w:val="20"/>
        </w:rPr>
        <w:t xml:space="preserve"> U</w:t>
      </w:r>
      <w:r w:rsidRPr="00095705" w:rsidR="00D10D99">
        <w:rPr>
          <w:sz w:val="20"/>
        </w:rPr>
        <w:t>P</w:t>
      </w:r>
      <w:r w:rsidRPr="00095705" w:rsidR="000A2251">
        <w:rPr>
          <w:sz w:val="20"/>
        </w:rPr>
        <w:t xml:space="preserve"> Fiber, Inc.</w:t>
      </w:r>
      <w:r w:rsidRPr="00095705" w:rsidR="00AD0BB8">
        <w:rPr>
          <w:sz w:val="20"/>
        </w:rPr>
        <w:t>, WC Docket No. 25-181</w:t>
      </w:r>
      <w:r w:rsidRPr="00095705">
        <w:rPr>
          <w:sz w:val="20"/>
        </w:rPr>
        <w:t xml:space="preserve"> (filed </w:t>
      </w:r>
      <w:r w:rsidRPr="00095705" w:rsidR="000A2251">
        <w:rPr>
          <w:sz w:val="20"/>
        </w:rPr>
        <w:t>May</w:t>
      </w:r>
      <w:r w:rsidRPr="00095705" w:rsidR="00F03D70">
        <w:rPr>
          <w:sz w:val="20"/>
        </w:rPr>
        <w:t xml:space="preserve"> </w:t>
      </w:r>
      <w:r w:rsidRPr="00095705" w:rsidR="000A2251">
        <w:rPr>
          <w:sz w:val="20"/>
        </w:rPr>
        <w:t>23</w:t>
      </w:r>
      <w:r w:rsidRPr="00095705">
        <w:rPr>
          <w:sz w:val="20"/>
        </w:rPr>
        <w:t>, 202</w:t>
      </w:r>
      <w:r w:rsidRPr="00095705" w:rsidR="005347B2">
        <w:rPr>
          <w:sz w:val="20"/>
        </w:rPr>
        <w:t>5</w:t>
      </w:r>
      <w:r w:rsidRPr="00095705">
        <w:rPr>
          <w:sz w:val="20"/>
        </w:rPr>
        <w:t>) (Application)</w:t>
      </w:r>
      <w:r w:rsidRPr="00095705" w:rsidR="00717632">
        <w:rPr>
          <w:sz w:val="20"/>
        </w:rPr>
        <w:t xml:space="preserve">.  </w:t>
      </w:r>
      <w:r w:rsidRPr="00095705" w:rsidR="00E42ABA">
        <w:rPr>
          <w:sz w:val="20"/>
        </w:rPr>
        <w:t xml:space="preserve">Applicants state that, under the proposed transaction, the </w:t>
      </w:r>
      <w:r w:rsidRPr="00095705" w:rsidR="00E42ABA">
        <w:rPr>
          <w:snapToGrid/>
          <w:kern w:val="0"/>
          <w:sz w:val="20"/>
        </w:rPr>
        <w:t>wireline assets being a</w:t>
      </w:r>
      <w:r w:rsidRPr="00095705" w:rsidR="00695AD7">
        <w:rPr>
          <w:snapToGrid/>
          <w:kern w:val="0"/>
          <w:sz w:val="20"/>
        </w:rPr>
        <w:t>cquired</w:t>
      </w:r>
      <w:r w:rsidRPr="00095705" w:rsidR="00E42ABA">
        <w:rPr>
          <w:snapToGrid/>
          <w:kern w:val="0"/>
          <w:sz w:val="20"/>
        </w:rPr>
        <w:t xml:space="preserve"> represent more than 9,000 miles of copper, 1,500 miles of business fiber, and network</w:t>
      </w:r>
      <w:r w:rsidRPr="00095705" w:rsidR="00E42ABA">
        <w:rPr>
          <w:sz w:val="20"/>
        </w:rPr>
        <w:t xml:space="preserve"> </w:t>
      </w:r>
      <w:r w:rsidRPr="00095705" w:rsidR="00E42ABA">
        <w:rPr>
          <w:snapToGrid/>
          <w:kern w:val="0"/>
          <w:sz w:val="20"/>
        </w:rPr>
        <w:t xml:space="preserve">infrastructure across 40 wire centers that collectively provide voice and </w:t>
      </w:r>
      <w:r w:rsidRPr="00095705" w:rsidR="00E63CD0">
        <w:rPr>
          <w:snapToGrid/>
          <w:kern w:val="0"/>
          <w:sz w:val="20"/>
        </w:rPr>
        <w:t>I</w:t>
      </w:r>
      <w:r w:rsidRPr="00095705" w:rsidR="00E42ABA">
        <w:rPr>
          <w:snapToGrid/>
          <w:kern w:val="0"/>
          <w:sz w:val="20"/>
        </w:rPr>
        <w:t>nternet service to more</w:t>
      </w:r>
      <w:r w:rsidRPr="00095705" w:rsidR="00E42ABA">
        <w:rPr>
          <w:sz w:val="20"/>
        </w:rPr>
        <w:t xml:space="preserve"> than 9,000 residential and business customers.  Application at 2</w:t>
      </w:r>
      <w:r w:rsidRPr="00095705" w:rsidR="00A544EE">
        <w:rPr>
          <w:sz w:val="20"/>
        </w:rPr>
        <w:t xml:space="preserve">; </w:t>
      </w:r>
      <w:r w:rsidRPr="00095705" w:rsidR="00A544EE">
        <w:rPr>
          <w:i/>
          <w:iCs/>
          <w:sz w:val="20"/>
        </w:rPr>
        <w:t xml:space="preserve">see also </w:t>
      </w:r>
      <w:r w:rsidRPr="00095705" w:rsidR="00A544EE">
        <w:rPr>
          <w:sz w:val="20"/>
        </w:rPr>
        <w:t xml:space="preserve">Application, </w:t>
      </w:r>
      <w:r w:rsidRPr="00095705" w:rsidR="00A544EE">
        <w:rPr>
          <w:sz w:val="20"/>
        </w:rPr>
        <w:t>Exh</w:t>
      </w:r>
      <w:r w:rsidRPr="00095705" w:rsidR="00A544EE">
        <w:rPr>
          <w:sz w:val="20"/>
        </w:rPr>
        <w:t>. A at 1-2 (identify</w:t>
      </w:r>
      <w:r w:rsidRPr="00095705" w:rsidR="00D830E2">
        <w:rPr>
          <w:sz w:val="20"/>
        </w:rPr>
        <w:t xml:space="preserve">ing the </w:t>
      </w:r>
      <w:r w:rsidRPr="00095705" w:rsidR="00544D51">
        <w:rPr>
          <w:sz w:val="20"/>
        </w:rPr>
        <w:t xml:space="preserve">locations </w:t>
      </w:r>
      <w:r w:rsidRPr="00095705" w:rsidR="00455DD3">
        <w:rPr>
          <w:sz w:val="20"/>
        </w:rPr>
        <w:t>of</w:t>
      </w:r>
      <w:r w:rsidRPr="00095705" w:rsidR="00544D51">
        <w:rPr>
          <w:sz w:val="20"/>
        </w:rPr>
        <w:t xml:space="preserve"> the </w:t>
      </w:r>
      <w:r w:rsidRPr="00095705" w:rsidR="00076946">
        <w:rPr>
          <w:sz w:val="20"/>
        </w:rPr>
        <w:t xml:space="preserve">40 </w:t>
      </w:r>
      <w:r w:rsidRPr="00095705" w:rsidR="00544D51">
        <w:rPr>
          <w:sz w:val="20"/>
        </w:rPr>
        <w:t>Wire Centers)</w:t>
      </w:r>
      <w:r w:rsidRPr="00095705" w:rsidR="00A544EE">
        <w:rPr>
          <w:sz w:val="20"/>
        </w:rPr>
        <w:t xml:space="preserve">.  </w:t>
      </w:r>
      <w:r w:rsidRPr="00095705" w:rsidR="00EC11DE">
        <w:rPr>
          <w:sz w:val="20"/>
        </w:rPr>
        <w:t xml:space="preserve">In connection with the proposed transaction, </w:t>
      </w:r>
      <w:r w:rsidRPr="00095705" w:rsidR="004B5933">
        <w:rPr>
          <w:sz w:val="20"/>
        </w:rPr>
        <w:t xml:space="preserve">Applicants concurrently filed </w:t>
      </w:r>
      <w:r w:rsidRPr="00095705" w:rsidR="00FF1CCC">
        <w:rPr>
          <w:sz w:val="20"/>
        </w:rPr>
        <w:t xml:space="preserve">a joint petition </w:t>
      </w:r>
      <w:r w:rsidRPr="00095705" w:rsidR="003E620B">
        <w:rPr>
          <w:sz w:val="20"/>
        </w:rPr>
        <w:t xml:space="preserve">seeking waiver of the </w:t>
      </w:r>
      <w:r w:rsidRPr="00095705" w:rsidR="00946D22">
        <w:rPr>
          <w:sz w:val="20"/>
        </w:rPr>
        <w:t xml:space="preserve">Commission’s </w:t>
      </w:r>
      <w:r w:rsidRPr="00095705" w:rsidR="00FF1CCC">
        <w:rPr>
          <w:sz w:val="20"/>
        </w:rPr>
        <w:t>study area boundary freeze</w:t>
      </w:r>
      <w:r w:rsidRPr="00095705" w:rsidR="00B732D7">
        <w:rPr>
          <w:sz w:val="20"/>
        </w:rPr>
        <w:t xml:space="preserve"> codified in Part 36 of the Commission’s Rules</w:t>
      </w:r>
      <w:r w:rsidRPr="00095705" w:rsidR="00C15F7A">
        <w:rPr>
          <w:sz w:val="20"/>
        </w:rPr>
        <w:t>.</w:t>
      </w:r>
      <w:r w:rsidRPr="00095705" w:rsidR="00B732D7">
        <w:rPr>
          <w:sz w:val="20"/>
        </w:rPr>
        <w:t xml:space="preserve"> </w:t>
      </w:r>
      <w:r w:rsidRPr="00095705" w:rsidR="00C15F7A">
        <w:rPr>
          <w:sz w:val="20"/>
        </w:rPr>
        <w:t xml:space="preserve"> </w:t>
      </w:r>
      <w:r w:rsidRPr="00095705" w:rsidR="00C15F7A">
        <w:rPr>
          <w:i/>
          <w:iCs/>
          <w:sz w:val="20"/>
        </w:rPr>
        <w:t xml:space="preserve">See </w:t>
      </w:r>
      <w:r w:rsidRPr="00095705" w:rsidR="00B732D7">
        <w:rPr>
          <w:sz w:val="20"/>
        </w:rPr>
        <w:t>47 CFR Part 36</w:t>
      </w:r>
      <w:r w:rsidRPr="00095705" w:rsidR="003805AC">
        <w:rPr>
          <w:sz w:val="20"/>
        </w:rPr>
        <w:t>,</w:t>
      </w:r>
      <w:r w:rsidRPr="00095705" w:rsidR="00B732D7">
        <w:rPr>
          <w:sz w:val="20"/>
        </w:rPr>
        <w:t xml:space="preserve"> Appendix</w:t>
      </w:r>
      <w:r w:rsidRPr="00095705" w:rsidR="00A72669">
        <w:rPr>
          <w:sz w:val="20"/>
        </w:rPr>
        <w:t xml:space="preserve">; </w:t>
      </w:r>
      <w:r w:rsidRPr="00095705" w:rsidR="00B732D7">
        <w:rPr>
          <w:sz w:val="20"/>
        </w:rPr>
        <w:t xml:space="preserve">Joint Petition for Waiver of the Definition of </w:t>
      </w:r>
      <w:r w:rsidRPr="00095705" w:rsidR="00D30164">
        <w:rPr>
          <w:sz w:val="20"/>
        </w:rPr>
        <w:t>“Study Area</w:t>
      </w:r>
      <w:r w:rsidRPr="00095705" w:rsidR="00076946">
        <w:rPr>
          <w:sz w:val="20"/>
        </w:rPr>
        <w:t>”</w:t>
      </w:r>
      <w:r w:rsidRPr="00095705" w:rsidR="00D30164">
        <w:rPr>
          <w:sz w:val="20"/>
        </w:rPr>
        <w:t xml:space="preserve"> of the Appendix-Glossary of Part 36 of the Commission Rules, CC Docket No. 96-45</w:t>
      </w:r>
      <w:r w:rsidRPr="00095705" w:rsidR="00152C41">
        <w:rPr>
          <w:sz w:val="20"/>
        </w:rPr>
        <w:t xml:space="preserve"> (filed May 23, 2025)</w:t>
      </w:r>
      <w:r w:rsidRPr="00095705" w:rsidR="004071A9">
        <w:rPr>
          <w:sz w:val="20"/>
        </w:rPr>
        <w:t xml:space="preserve"> </w:t>
      </w:r>
      <w:r w:rsidRPr="00095705" w:rsidR="007328A7">
        <w:rPr>
          <w:sz w:val="20"/>
        </w:rPr>
        <w:t>(</w:t>
      </w:r>
      <w:r w:rsidRPr="00095705" w:rsidR="008340B1">
        <w:rPr>
          <w:sz w:val="20"/>
        </w:rPr>
        <w:t xml:space="preserve">Joint </w:t>
      </w:r>
      <w:r w:rsidRPr="00095705" w:rsidR="007328A7">
        <w:rPr>
          <w:sz w:val="20"/>
        </w:rPr>
        <w:t xml:space="preserve">Petition for Waiver) </w:t>
      </w:r>
      <w:r w:rsidRPr="00095705" w:rsidR="00152C41">
        <w:rPr>
          <w:sz w:val="20"/>
        </w:rPr>
        <w:t>(</w:t>
      </w:r>
      <w:r w:rsidRPr="00095705" w:rsidR="00FF1CCC">
        <w:rPr>
          <w:sz w:val="20"/>
        </w:rPr>
        <w:t>seeking waiver</w:t>
      </w:r>
      <w:r w:rsidRPr="00095705" w:rsidR="00E97CBA">
        <w:rPr>
          <w:sz w:val="20"/>
        </w:rPr>
        <w:t xml:space="preserve"> </w:t>
      </w:r>
      <w:r w:rsidRPr="00095705" w:rsidR="005E4E0F">
        <w:rPr>
          <w:sz w:val="20"/>
        </w:rPr>
        <w:t xml:space="preserve">of the </w:t>
      </w:r>
      <w:r w:rsidRPr="00095705" w:rsidR="00C25032">
        <w:rPr>
          <w:sz w:val="20"/>
        </w:rPr>
        <w:t xml:space="preserve">Commission’s study area boundary freeze in order to transfer the </w:t>
      </w:r>
      <w:r w:rsidRPr="00095705" w:rsidR="00727AE2">
        <w:rPr>
          <w:sz w:val="20"/>
        </w:rPr>
        <w:t>exchanges being acquired in the proposed transaction</w:t>
      </w:r>
      <w:r w:rsidRPr="00095705" w:rsidR="00152C41">
        <w:rPr>
          <w:sz w:val="20"/>
        </w:rPr>
        <w:t>)</w:t>
      </w:r>
      <w:r w:rsidRPr="00095705" w:rsidR="00F30248">
        <w:rPr>
          <w:sz w:val="20"/>
        </w:rPr>
        <w:t xml:space="preserve">; </w:t>
      </w:r>
      <w:r w:rsidRPr="00095705" w:rsidR="00DB1E57">
        <w:rPr>
          <w:sz w:val="20"/>
        </w:rPr>
        <w:t xml:space="preserve">Letter from Danielle Burt and Patricia Cave, </w:t>
      </w:r>
      <w:r w:rsidRPr="00095705" w:rsidR="005D290A">
        <w:rPr>
          <w:sz w:val="20"/>
        </w:rPr>
        <w:t>C</w:t>
      </w:r>
      <w:r w:rsidRPr="00095705" w:rsidR="00B076D1">
        <w:rPr>
          <w:sz w:val="20"/>
        </w:rPr>
        <w:t>ounsel for U</w:t>
      </w:r>
      <w:r w:rsidRPr="00095705" w:rsidR="00D10D99">
        <w:rPr>
          <w:sz w:val="20"/>
        </w:rPr>
        <w:t>P</w:t>
      </w:r>
      <w:r w:rsidRPr="00095705" w:rsidR="00B076D1">
        <w:rPr>
          <w:sz w:val="20"/>
        </w:rPr>
        <w:t xml:space="preserve"> Fiber, Inc., to Marlene H. Dortch, Secretary, FCC, WC Docket No.25-181; CC Docket No. 96-45</w:t>
      </w:r>
      <w:r w:rsidRPr="00095705" w:rsidR="00B42F98">
        <w:rPr>
          <w:sz w:val="20"/>
        </w:rPr>
        <w:t xml:space="preserve"> </w:t>
      </w:r>
      <w:r w:rsidRPr="00095705" w:rsidR="00D37CFB">
        <w:rPr>
          <w:sz w:val="20"/>
        </w:rPr>
        <w:t xml:space="preserve">(filed </w:t>
      </w:r>
      <w:r w:rsidRPr="00095705" w:rsidR="009C707E">
        <w:rPr>
          <w:sz w:val="20"/>
        </w:rPr>
        <w:t xml:space="preserve">Jul. 14, 2025) </w:t>
      </w:r>
      <w:r w:rsidRPr="00095705" w:rsidR="009B00C9">
        <w:rPr>
          <w:sz w:val="20"/>
        </w:rPr>
        <w:t>(</w:t>
      </w:r>
      <w:r w:rsidRPr="00095705" w:rsidR="00E34568">
        <w:rPr>
          <w:sz w:val="20"/>
        </w:rPr>
        <w:t>First Supplement</w:t>
      </w:r>
      <w:r w:rsidRPr="00095705" w:rsidR="009C707E">
        <w:rPr>
          <w:sz w:val="20"/>
        </w:rPr>
        <w:t xml:space="preserve">) </w:t>
      </w:r>
      <w:r w:rsidRPr="00095705" w:rsidR="00B42F98">
        <w:rPr>
          <w:sz w:val="20"/>
        </w:rPr>
        <w:t>(</w:t>
      </w:r>
      <w:r w:rsidRPr="00095705" w:rsidR="00A9069C">
        <w:rPr>
          <w:sz w:val="20"/>
        </w:rPr>
        <w:t xml:space="preserve">updating </w:t>
      </w:r>
      <w:r w:rsidRPr="00095705" w:rsidR="00A75C6C">
        <w:rPr>
          <w:sz w:val="20"/>
        </w:rPr>
        <w:t>U</w:t>
      </w:r>
      <w:r w:rsidRPr="00095705" w:rsidR="00A57FA8">
        <w:rPr>
          <w:sz w:val="20"/>
        </w:rPr>
        <w:t>P</w:t>
      </w:r>
      <w:r w:rsidRPr="00095705" w:rsidR="00A75C6C">
        <w:rPr>
          <w:sz w:val="20"/>
        </w:rPr>
        <w:t xml:space="preserve"> Fiber’s</w:t>
      </w:r>
      <w:r w:rsidRPr="00095705" w:rsidR="00EC3C69">
        <w:rPr>
          <w:sz w:val="20"/>
        </w:rPr>
        <w:t xml:space="preserve"> </w:t>
      </w:r>
      <w:r w:rsidRPr="00095705" w:rsidR="00A9069C">
        <w:rPr>
          <w:sz w:val="20"/>
        </w:rPr>
        <w:t xml:space="preserve">position on issues </w:t>
      </w:r>
      <w:r w:rsidRPr="00095705" w:rsidR="00EC3C69">
        <w:rPr>
          <w:sz w:val="20"/>
        </w:rPr>
        <w:t xml:space="preserve">related to the </w:t>
      </w:r>
      <w:r w:rsidRPr="00095705" w:rsidR="008340B1">
        <w:rPr>
          <w:sz w:val="20"/>
        </w:rPr>
        <w:t xml:space="preserve">Joint </w:t>
      </w:r>
      <w:r w:rsidRPr="00095705" w:rsidR="007328A7">
        <w:rPr>
          <w:sz w:val="20"/>
        </w:rPr>
        <w:t>P</w:t>
      </w:r>
      <w:r w:rsidRPr="00095705" w:rsidR="00EC3C69">
        <w:rPr>
          <w:sz w:val="20"/>
        </w:rPr>
        <w:t xml:space="preserve">etition for </w:t>
      </w:r>
      <w:r w:rsidRPr="00095705" w:rsidR="007328A7">
        <w:rPr>
          <w:sz w:val="20"/>
        </w:rPr>
        <w:t>W</w:t>
      </w:r>
      <w:r w:rsidRPr="00095705" w:rsidR="00EC3C69">
        <w:rPr>
          <w:sz w:val="20"/>
        </w:rPr>
        <w:t>aiver)</w:t>
      </w:r>
      <w:r w:rsidRPr="00095705" w:rsidR="0008413B">
        <w:rPr>
          <w:sz w:val="20"/>
        </w:rPr>
        <w:t xml:space="preserve">.  </w:t>
      </w:r>
      <w:r w:rsidRPr="00095705" w:rsidR="006A556F">
        <w:rPr>
          <w:sz w:val="20"/>
        </w:rPr>
        <w:t xml:space="preserve">Any action on the </w:t>
      </w:r>
      <w:r w:rsidRPr="00095705" w:rsidR="00224260">
        <w:rPr>
          <w:sz w:val="20"/>
        </w:rPr>
        <w:t>Application</w:t>
      </w:r>
      <w:r w:rsidRPr="00095705" w:rsidR="006A556F">
        <w:rPr>
          <w:sz w:val="20"/>
        </w:rPr>
        <w:t xml:space="preserve"> is without prejudice to Commission action on </w:t>
      </w:r>
      <w:r w:rsidRPr="00095705" w:rsidR="004022F8">
        <w:rPr>
          <w:sz w:val="20"/>
        </w:rPr>
        <w:t>other pending applications</w:t>
      </w:r>
      <w:r w:rsidRPr="00095705" w:rsidR="00BF08B2">
        <w:rPr>
          <w:sz w:val="20"/>
        </w:rPr>
        <w:t xml:space="preserve"> or proceedings</w:t>
      </w:r>
      <w:r w:rsidRPr="00095705" w:rsidR="004022F8">
        <w:rPr>
          <w:sz w:val="20"/>
        </w:rPr>
        <w:t>.</w:t>
      </w:r>
    </w:p>
  </w:footnote>
  <w:footnote w:id="5">
    <w:p w:rsidR="00601BA2" w:rsidRPr="00095705" w:rsidP="00D02E72" w14:paraId="404156D9" w14:textId="000E9B61">
      <w:pPr>
        <w:pStyle w:val="FootnoteText"/>
      </w:pPr>
      <w:r w:rsidRPr="00095705">
        <w:rPr>
          <w:rStyle w:val="FootnoteReference"/>
          <w:sz w:val="20"/>
        </w:rPr>
        <w:footnoteRef/>
      </w:r>
      <w:r w:rsidRPr="00095705">
        <w:t xml:space="preserve"> </w:t>
      </w:r>
      <w:r w:rsidRPr="00095705" w:rsidR="00D02E72">
        <w:rPr>
          <w:i/>
          <w:iCs/>
        </w:rPr>
        <w:t>See</w:t>
      </w:r>
      <w:r w:rsidRPr="00095705" w:rsidR="00D02E72">
        <w:t xml:space="preserve"> </w:t>
      </w:r>
      <w:r w:rsidRPr="00095705" w:rsidR="00444C92">
        <w:t>Joint Petition for Waiver at 1</w:t>
      </w:r>
      <w:r w:rsidRPr="00095705" w:rsidR="00995A98">
        <w:t xml:space="preserve">; </w:t>
      </w:r>
      <w:r w:rsidRPr="00095705" w:rsidR="00C25E74">
        <w:t xml:space="preserve">First </w:t>
      </w:r>
      <w:r w:rsidRPr="00095705" w:rsidR="00D02E72">
        <w:t>Supplement</w:t>
      </w:r>
      <w:r w:rsidRPr="00095705" w:rsidR="00C25E74">
        <w:t xml:space="preserve"> at </w:t>
      </w:r>
      <w:r w:rsidRPr="00095705" w:rsidR="00210815">
        <w:t>2</w:t>
      </w:r>
      <w:r w:rsidRPr="00095705" w:rsidR="000420DB">
        <w:t>; 47 CFR § 61.41(c)(2)</w:t>
      </w:r>
      <w:r w:rsidRPr="00095705" w:rsidR="00D02E72">
        <w:t xml:space="preserve">. </w:t>
      </w:r>
      <w:r w:rsidRPr="00095705" w:rsidR="00BC6BFE">
        <w:t xml:space="preserve"> </w:t>
      </w:r>
    </w:p>
  </w:footnote>
  <w:footnote w:id="6">
    <w:p w:rsidR="00E05C6F" w:rsidRPr="00095705" w:rsidP="004B0F4E" w14:paraId="427E9935" w14:textId="0FD7D3E0">
      <w:pPr>
        <w:spacing w:after="120"/>
        <w:rPr>
          <w:sz w:val="20"/>
        </w:rPr>
      </w:pPr>
      <w:r w:rsidRPr="00095705">
        <w:rPr>
          <w:rStyle w:val="FootnoteReference"/>
          <w:sz w:val="20"/>
        </w:rPr>
        <w:footnoteRef/>
      </w:r>
      <w:r w:rsidRPr="00095705">
        <w:rPr>
          <w:sz w:val="20"/>
        </w:rPr>
        <w:t xml:space="preserve"> </w:t>
      </w:r>
      <w:r w:rsidRPr="00095705">
        <w:rPr>
          <w:i/>
          <w:iCs/>
          <w:sz w:val="20"/>
        </w:rPr>
        <w:t>Domestic Section 214 Application Filed for the</w:t>
      </w:r>
      <w:r w:rsidRPr="00095705" w:rsidR="00794411">
        <w:rPr>
          <w:sz w:val="20"/>
        </w:rPr>
        <w:t xml:space="preserve"> </w:t>
      </w:r>
      <w:r w:rsidRPr="00095705" w:rsidR="00794411">
        <w:rPr>
          <w:i/>
          <w:iCs/>
          <w:sz w:val="20"/>
        </w:rPr>
        <w:t>Acquisition of Certain Assets of Michigan Bell Telephone Company, LLC by U</w:t>
      </w:r>
      <w:r w:rsidRPr="00095705" w:rsidR="001D17DD">
        <w:rPr>
          <w:i/>
          <w:iCs/>
          <w:sz w:val="20"/>
        </w:rPr>
        <w:t>P</w:t>
      </w:r>
      <w:r w:rsidRPr="00095705" w:rsidR="00794411">
        <w:rPr>
          <w:i/>
          <w:iCs/>
          <w:sz w:val="20"/>
        </w:rPr>
        <w:t xml:space="preserve"> Fiber, Inc</w:t>
      </w:r>
      <w:r w:rsidRPr="00095705" w:rsidR="00794411">
        <w:rPr>
          <w:sz w:val="20"/>
        </w:rPr>
        <w:t>., WC Docket No. 25-181</w:t>
      </w:r>
      <w:r w:rsidRPr="00095705" w:rsidR="004B0F4E">
        <w:rPr>
          <w:sz w:val="20"/>
        </w:rPr>
        <w:t>, Public Notice, DA 25-665 (WCB 2025).</w:t>
      </w:r>
      <w:r w:rsidRPr="00095705" w:rsidR="007A0905">
        <w:rPr>
          <w:sz w:val="20"/>
        </w:rPr>
        <w:t xml:space="preserve">  On Sept. 2, 2025, NTCA-The Rural Broadband Association filed comments in support of the Joint Petition for Waiver.  </w:t>
      </w:r>
      <w:r w:rsidRPr="00095705" w:rsidR="007A0905">
        <w:rPr>
          <w:i/>
          <w:iCs/>
          <w:sz w:val="20"/>
        </w:rPr>
        <w:t xml:space="preserve">See </w:t>
      </w:r>
      <w:r w:rsidRPr="00095705" w:rsidR="007A0905">
        <w:rPr>
          <w:sz w:val="20"/>
        </w:rPr>
        <w:t>NTCA-The Rural Broadband Association Comments, WC Docket No. 25-181, CC Docket No. 96-45 (Sept. 2, 2025) (NTCA Comments).</w:t>
      </w:r>
    </w:p>
  </w:footnote>
  <w:footnote w:id="7">
    <w:p w:rsidR="00961D68" w:rsidRPr="00095705" w:rsidP="004B0F4E" w14:paraId="504A26A2" w14:textId="23735FF5">
      <w:pPr>
        <w:pStyle w:val="FootnoteText"/>
      </w:pPr>
      <w:r w:rsidRPr="00095705">
        <w:rPr>
          <w:rStyle w:val="FootnoteReference"/>
          <w:sz w:val="20"/>
        </w:rPr>
        <w:footnoteRef/>
      </w:r>
      <w:r w:rsidRPr="00095705">
        <w:t xml:space="preserve"> </w:t>
      </w:r>
      <w:r w:rsidRPr="00095705" w:rsidR="00590794">
        <w:t>Application at 2</w:t>
      </w:r>
      <w:r w:rsidRPr="00095705" w:rsidR="00C75535">
        <w:t xml:space="preserve"> and 8</w:t>
      </w:r>
      <w:r w:rsidRPr="00095705" w:rsidR="00590794">
        <w:t>.</w:t>
      </w:r>
    </w:p>
  </w:footnote>
  <w:footnote w:id="8">
    <w:p w:rsidR="00C93721" w:rsidRPr="00095705" w:rsidP="004B0F4E" w14:paraId="0B15919B" w14:textId="38AD88A0">
      <w:pPr>
        <w:pStyle w:val="FootnoteText"/>
      </w:pPr>
      <w:r w:rsidRPr="00095705">
        <w:rPr>
          <w:rStyle w:val="FootnoteReference"/>
          <w:sz w:val="20"/>
        </w:rPr>
        <w:footnoteRef/>
      </w:r>
      <w:r w:rsidRPr="00095705">
        <w:t xml:space="preserve"> </w:t>
      </w:r>
      <w:r w:rsidRPr="00095705" w:rsidR="00C75535">
        <w:rPr>
          <w:i/>
          <w:iCs/>
        </w:rPr>
        <w:t>Id.</w:t>
      </w:r>
      <w:r w:rsidRPr="00095705" w:rsidR="00C75535">
        <w:t xml:space="preserve"> at 8.</w:t>
      </w:r>
    </w:p>
  </w:footnote>
  <w:footnote w:id="9">
    <w:p w:rsidR="00B826F3" w:rsidRPr="00095705" w:rsidP="00DB358F" w14:paraId="75785EE3" w14:textId="58F55700">
      <w:pPr>
        <w:pStyle w:val="FootnoteText"/>
      </w:pPr>
      <w:r w:rsidRPr="00095705">
        <w:rPr>
          <w:rStyle w:val="FootnoteReference"/>
          <w:sz w:val="20"/>
        </w:rPr>
        <w:footnoteRef/>
      </w:r>
      <w:r w:rsidRPr="00095705">
        <w:t xml:space="preserve"> </w:t>
      </w:r>
      <w:r w:rsidRPr="00095705" w:rsidR="00ED7181">
        <w:rPr>
          <w:i/>
          <w:iCs/>
        </w:rPr>
        <w:t xml:space="preserve">See </w:t>
      </w:r>
      <w:r w:rsidRPr="00095705" w:rsidR="00ED7181">
        <w:t xml:space="preserve">Letter </w:t>
      </w:r>
      <w:r w:rsidRPr="00095705" w:rsidR="005C0D26">
        <w:t>from Danielle Burt and Patricia Cave, Counsel for UP Fiber, to Marlene H. Dortch, Secretary</w:t>
      </w:r>
      <w:r w:rsidRPr="00095705" w:rsidR="00020CA1">
        <w:t>, FCC, WC Docket No. 25-181</w:t>
      </w:r>
      <w:r w:rsidRPr="00095705" w:rsidR="0057151B">
        <w:t>, CC Docket No. 96-45</w:t>
      </w:r>
      <w:r w:rsidRPr="00095705" w:rsidR="00020CA1">
        <w:t xml:space="preserve">, </w:t>
      </w:r>
      <w:r w:rsidRPr="00095705" w:rsidR="009E51B8">
        <w:t>E</w:t>
      </w:r>
      <w:r w:rsidRPr="00095705" w:rsidR="00020CA1">
        <w:t>xh</w:t>
      </w:r>
      <w:r w:rsidRPr="00095705" w:rsidR="00020CA1">
        <w:t xml:space="preserve">. </w:t>
      </w:r>
      <w:r w:rsidRPr="00095705" w:rsidR="009E51B8">
        <w:t>C, at 1</w:t>
      </w:r>
      <w:r w:rsidRPr="00095705" w:rsidR="00020CA1">
        <w:t xml:space="preserve"> (</w:t>
      </w:r>
      <w:r w:rsidRPr="00095705" w:rsidR="005A0523">
        <w:t>Feb. 11, 2026) (Fourth Supplement).</w:t>
      </w:r>
    </w:p>
  </w:footnote>
  <w:footnote w:id="10">
    <w:p w:rsidR="00D166F4" w:rsidRPr="00095705" w14:paraId="6FF908A5" w14:textId="189CFFAC">
      <w:pPr>
        <w:pStyle w:val="FootnoteText"/>
      </w:pPr>
      <w:r w:rsidRPr="00095705">
        <w:rPr>
          <w:rStyle w:val="FootnoteReference"/>
          <w:sz w:val="20"/>
        </w:rPr>
        <w:footnoteRef/>
      </w:r>
      <w:r w:rsidRPr="00095705">
        <w:t xml:space="preserve"> </w:t>
      </w:r>
      <w:r w:rsidRPr="00095705" w:rsidR="005A0523">
        <w:rPr>
          <w:i/>
          <w:iCs/>
        </w:rPr>
        <w:t>Id</w:t>
      </w:r>
      <w:r w:rsidRPr="00095705">
        <w:t>.</w:t>
      </w:r>
      <w:r w:rsidRPr="00095705" w:rsidR="003521AB">
        <w:t xml:space="preserve">, </w:t>
      </w:r>
      <w:r w:rsidRPr="00095705" w:rsidR="003521AB">
        <w:t>Exh</w:t>
      </w:r>
      <w:r w:rsidRPr="00095705" w:rsidR="003521AB">
        <w:t>. D, at 1.</w:t>
      </w:r>
    </w:p>
  </w:footnote>
  <w:footnote w:id="11">
    <w:p w:rsidR="00D166F4" w:rsidRPr="00095705" w14:paraId="3F9347F1" w14:textId="1B965993">
      <w:pPr>
        <w:pStyle w:val="FootnoteText"/>
      </w:pPr>
      <w:r w:rsidRPr="00095705">
        <w:rPr>
          <w:rStyle w:val="FootnoteReference"/>
          <w:sz w:val="20"/>
        </w:rPr>
        <w:footnoteRef/>
      </w:r>
      <w:r w:rsidRPr="00095705">
        <w:t xml:space="preserve"> </w:t>
      </w:r>
      <w:r w:rsidRPr="00095705">
        <w:rPr>
          <w:i/>
          <w:iCs/>
        </w:rPr>
        <w:t>Id</w:t>
      </w:r>
      <w:r w:rsidRPr="00095705">
        <w:t>.</w:t>
      </w:r>
    </w:p>
  </w:footnote>
  <w:footnote w:id="12">
    <w:p w:rsidR="00210A4C" w:rsidRPr="00095705" w:rsidP="00DB358F" w14:paraId="4BFB3D81" w14:textId="25FE08C1">
      <w:pPr>
        <w:pStyle w:val="FootnoteText"/>
      </w:pPr>
      <w:r w:rsidRPr="00095705">
        <w:rPr>
          <w:rStyle w:val="FootnoteReference"/>
          <w:sz w:val="20"/>
        </w:rPr>
        <w:footnoteRef/>
      </w:r>
      <w:r w:rsidRPr="00095705">
        <w:t xml:space="preserve"> </w:t>
      </w:r>
      <w:r w:rsidRPr="003806C6" w:rsidR="003806C6">
        <w:rPr>
          <w:i/>
          <w:iCs/>
        </w:rPr>
        <w:t>Id</w:t>
      </w:r>
      <w:r w:rsidRPr="00095705" w:rsidR="00CE2D7E">
        <w:t>.</w:t>
      </w:r>
    </w:p>
  </w:footnote>
  <w:footnote w:id="13">
    <w:p w:rsidR="0037162A" w:rsidRPr="00095705" w:rsidP="00DB358F" w14:paraId="7850C8EA" w14:textId="097B3513">
      <w:pPr>
        <w:pStyle w:val="FootnoteText"/>
        <w:rPr>
          <w:i/>
          <w:iCs/>
        </w:rPr>
      </w:pPr>
      <w:r w:rsidRPr="00095705">
        <w:rPr>
          <w:rStyle w:val="FootnoteReference"/>
          <w:sz w:val="20"/>
        </w:rPr>
        <w:footnoteRef/>
      </w:r>
      <w:r w:rsidRPr="00095705">
        <w:t xml:space="preserve"> </w:t>
      </w:r>
      <w:r w:rsidRPr="00095705" w:rsidR="00DC7B0F">
        <w:t>Application</w:t>
      </w:r>
      <w:r w:rsidRPr="00095705" w:rsidR="00F057FA">
        <w:t xml:space="preserve"> at 2</w:t>
      </w:r>
      <w:r w:rsidRPr="00095705" w:rsidR="00DD3BAD">
        <w:t xml:space="preserve">; </w:t>
      </w:r>
      <w:r w:rsidRPr="00095705" w:rsidR="00DD3BAD">
        <w:rPr>
          <w:i/>
          <w:iCs/>
        </w:rPr>
        <w:t xml:space="preserve">see also supra </w:t>
      </w:r>
      <w:r w:rsidRPr="00095705" w:rsidR="00DD3BAD">
        <w:t>n</w:t>
      </w:r>
      <w:r w:rsidRPr="00095705" w:rsidR="007F064D">
        <w:t>ote</w:t>
      </w:r>
      <w:r w:rsidRPr="00095705" w:rsidR="00DD3BAD">
        <w:t xml:space="preserve"> 2.</w:t>
      </w:r>
      <w:r w:rsidRPr="00095705" w:rsidR="0022458B">
        <w:t xml:space="preserve"> </w:t>
      </w:r>
      <w:r w:rsidRPr="00095705" w:rsidR="00380DF5">
        <w:t xml:space="preserve"> We note that </w:t>
      </w:r>
      <w:r w:rsidRPr="00095705" w:rsidR="00AD1A3A">
        <w:t xml:space="preserve">in a prior 214 transaction, </w:t>
      </w:r>
      <w:r w:rsidRPr="00095705" w:rsidR="000E39BF">
        <w:t xml:space="preserve">the Commission applied a condition to </w:t>
      </w:r>
      <w:r w:rsidRPr="00095705" w:rsidR="00FB24F2">
        <w:t>an</w:t>
      </w:r>
      <w:r w:rsidRPr="00095705" w:rsidR="00380DF5">
        <w:t xml:space="preserve"> affiliate of U</w:t>
      </w:r>
      <w:r w:rsidRPr="00095705" w:rsidR="001D17DD">
        <w:t>P</w:t>
      </w:r>
      <w:r w:rsidRPr="00095705" w:rsidR="00380DF5">
        <w:t xml:space="preserve"> Fiber, </w:t>
      </w:r>
      <w:r w:rsidRPr="00095705" w:rsidR="000E39BF">
        <w:t>the Manti Telephone Company, that will continue to apply following the consummation of the proposed transaction.</w:t>
      </w:r>
      <w:r w:rsidRPr="00095705" w:rsidR="00A50F09">
        <w:t xml:space="preserve">  </w:t>
      </w:r>
      <w:r w:rsidRPr="00095705" w:rsidR="00827237">
        <w:rPr>
          <w:i/>
          <w:iCs/>
        </w:rPr>
        <w:t xml:space="preserve">See </w:t>
      </w:r>
      <w:r w:rsidRPr="00095705" w:rsidR="0060104E">
        <w:rPr>
          <w:i/>
          <w:iCs/>
        </w:rPr>
        <w:t>Domestic 214 Application Granted for the Transfer of Control of the Manti Tel. Co. to Lynch Tel. Corp. X</w:t>
      </w:r>
      <w:r w:rsidRPr="00095705" w:rsidR="0060104E">
        <w:t xml:space="preserve">, WC Docket No. </w:t>
      </w:r>
      <w:r w:rsidRPr="00095705" w:rsidR="000F6E6E">
        <w:t>24-93, Public Notice</w:t>
      </w:r>
      <w:r w:rsidR="00637188">
        <w:t>,</w:t>
      </w:r>
      <w:r w:rsidRPr="00095705" w:rsidR="0060104E">
        <w:rPr>
          <w:i/>
          <w:iCs/>
        </w:rPr>
        <w:t xml:space="preserve"> </w:t>
      </w:r>
      <w:r w:rsidRPr="00095705" w:rsidR="0060104E">
        <w:t>DA</w:t>
      </w:r>
      <w:r w:rsidRPr="00095705" w:rsidR="000F6E6E">
        <w:t xml:space="preserve"> </w:t>
      </w:r>
      <w:r w:rsidRPr="00095705" w:rsidR="0060104E">
        <w:t>24-1183</w:t>
      </w:r>
      <w:r w:rsidRPr="00095705" w:rsidR="000F6E6E">
        <w:t xml:space="preserve"> (WCB 2025)</w:t>
      </w:r>
      <w:r w:rsidRPr="00095705" w:rsidR="00EA716E">
        <w:t xml:space="preserve"> </w:t>
      </w:r>
      <w:r w:rsidRPr="00095705" w:rsidR="00C15E87">
        <w:t>(</w:t>
      </w:r>
      <w:r w:rsidRPr="00095705" w:rsidR="00EB0596">
        <w:t>to mitigate th</w:t>
      </w:r>
      <w:r w:rsidRPr="00095705" w:rsidR="0063468B">
        <w:t>e potential for cost shifting, i</w:t>
      </w:r>
      <w:r w:rsidRPr="00095705" w:rsidR="00EB0596">
        <w:t>f Manti converts to a non-average schedule cost company</w:t>
      </w:r>
      <w:r w:rsidRPr="00095705" w:rsidR="003B00C3">
        <w:t xml:space="preserve"> the newly converted cost company</w:t>
      </w:r>
      <w:r w:rsidR="00637188">
        <w:t>’</w:t>
      </w:r>
      <w:r w:rsidRPr="00095705" w:rsidR="003B00C3">
        <w:t xml:space="preserve">s operating expense would be capped at the average of the three previous </w:t>
      </w:r>
      <w:r w:rsidRPr="00095705" w:rsidR="007B5655">
        <w:t>years’ operating</w:t>
      </w:r>
      <w:r w:rsidRPr="00095705" w:rsidR="003B00C3">
        <w:t xml:space="preserve"> expense and combined with the inflation-adjusted operating expense data of any other affiliated cost companie</w:t>
      </w:r>
      <w:r w:rsidRPr="00095705" w:rsidR="00627C51">
        <w:t>s).</w:t>
      </w:r>
    </w:p>
  </w:footnote>
  <w:footnote w:id="14">
    <w:p w:rsidR="00EA5664" w:rsidRPr="00095705" w:rsidP="00DB358F" w14:paraId="235C0149" w14:textId="32E33E59">
      <w:pPr>
        <w:pStyle w:val="FootnoteText"/>
      </w:pPr>
      <w:r w:rsidRPr="00095705">
        <w:rPr>
          <w:rStyle w:val="FootnoteReference"/>
          <w:sz w:val="20"/>
        </w:rPr>
        <w:footnoteRef/>
      </w:r>
      <w:r w:rsidRPr="00095705">
        <w:t xml:space="preserve"> </w:t>
      </w:r>
      <w:r w:rsidRPr="00095705" w:rsidR="00F16D23">
        <w:t>Application at 2</w:t>
      </w:r>
      <w:r w:rsidRPr="00095705" w:rsidR="00C1156A">
        <w:t>.</w:t>
      </w:r>
      <w:r w:rsidRPr="00095705" w:rsidR="00CF7847">
        <w:t xml:space="preserve">  Applicants note that certain business customers located within the </w:t>
      </w:r>
      <w:r w:rsidRPr="00095705" w:rsidR="00015E42">
        <w:t>acquired</w:t>
      </w:r>
      <w:r w:rsidRPr="00095705" w:rsidR="00CF7847">
        <w:t xml:space="preserve"> service area may continue to receive other services from Michigan Bell and its affiliates.  </w:t>
      </w:r>
      <w:r w:rsidRPr="00095705" w:rsidR="00CF7847">
        <w:rPr>
          <w:i/>
          <w:iCs/>
        </w:rPr>
        <w:t>Id.</w:t>
      </w:r>
      <w:r w:rsidRPr="00095705" w:rsidR="00CF7847">
        <w:t xml:space="preserve"> at 3.</w:t>
      </w:r>
      <w:r w:rsidRPr="00095705" w:rsidR="00CF7847">
        <w:rPr>
          <w:i/>
          <w:iCs/>
        </w:rPr>
        <w:t xml:space="preserve">  </w:t>
      </w:r>
      <w:r w:rsidRPr="00095705" w:rsidR="00CF7847">
        <w:t xml:space="preserve">Applicants state that the proposed transaction does not involve customer relationships for international telecommunications services.  </w:t>
      </w:r>
      <w:r w:rsidRPr="00095705" w:rsidR="00CF7847">
        <w:rPr>
          <w:i/>
          <w:iCs/>
        </w:rPr>
        <w:t xml:space="preserve">Id.  </w:t>
      </w:r>
      <w:r w:rsidRPr="00095705" w:rsidR="00CF7847">
        <w:t xml:space="preserve">Applicants further state that Michigan Bell’s affiliate, AT&amp;T Mobility, will continue to provide mobile services to the extent it does now within the </w:t>
      </w:r>
      <w:r w:rsidRPr="00095705" w:rsidR="004D333A">
        <w:t xml:space="preserve">service area of the </w:t>
      </w:r>
      <w:r w:rsidRPr="00095705" w:rsidR="00CF7847">
        <w:t xml:space="preserve">Wire Centers.  </w:t>
      </w:r>
      <w:r w:rsidRPr="00095705" w:rsidR="00CF7847">
        <w:rPr>
          <w:i/>
          <w:iCs/>
        </w:rPr>
        <w:t>Id.</w:t>
      </w:r>
      <w:r w:rsidRPr="00095705" w:rsidR="00CF7847">
        <w:t xml:space="preserve"> at 2-3</w:t>
      </w:r>
      <w:r w:rsidRPr="00095705" w:rsidR="009849E7">
        <w:t>.</w:t>
      </w:r>
    </w:p>
  </w:footnote>
  <w:footnote w:id="15">
    <w:p w:rsidR="00B323B3" w:rsidRPr="00095705" w:rsidP="00DB358F" w14:paraId="05651B01" w14:textId="6B0467F2">
      <w:pPr>
        <w:pStyle w:val="FootnoteText"/>
      </w:pPr>
      <w:r w:rsidRPr="00095705">
        <w:rPr>
          <w:rStyle w:val="FootnoteReference"/>
          <w:sz w:val="20"/>
        </w:rPr>
        <w:footnoteRef/>
      </w:r>
      <w:r w:rsidRPr="00095705">
        <w:t xml:space="preserve"> </w:t>
      </w:r>
      <w:r w:rsidRPr="00095705" w:rsidR="00206550">
        <w:rPr>
          <w:i/>
          <w:iCs/>
        </w:rPr>
        <w:t xml:space="preserve">Id. </w:t>
      </w:r>
      <w:r w:rsidRPr="00095705" w:rsidR="00206550">
        <w:t>at 3-5.</w:t>
      </w:r>
    </w:p>
  </w:footnote>
  <w:footnote w:id="16">
    <w:p w:rsidR="00A969B5" w:rsidRPr="00095705" w:rsidP="00DB358F" w14:paraId="32F8477A" w14:textId="769E473F">
      <w:pPr>
        <w:pStyle w:val="FootnoteText"/>
      </w:pPr>
      <w:r w:rsidRPr="00095705">
        <w:rPr>
          <w:rStyle w:val="FootnoteReference"/>
          <w:sz w:val="20"/>
        </w:rPr>
        <w:footnoteRef/>
      </w:r>
      <w:r w:rsidRPr="00095705">
        <w:t xml:space="preserve"> </w:t>
      </w:r>
      <w:r w:rsidRPr="00095705">
        <w:rPr>
          <w:i/>
          <w:iCs/>
        </w:rPr>
        <w:t>Id.</w:t>
      </w:r>
      <w:r w:rsidRPr="00095705">
        <w:t xml:space="preserve"> at 4.</w:t>
      </w:r>
    </w:p>
  </w:footnote>
  <w:footnote w:id="17">
    <w:p w:rsidR="00C47679" w:rsidRPr="00095705" w:rsidP="00DB358F" w14:paraId="158B4FA8" w14:textId="478D7C7C">
      <w:pPr>
        <w:pStyle w:val="FootnoteText"/>
        <w:rPr>
          <w:i/>
          <w:iCs/>
        </w:rPr>
      </w:pPr>
      <w:r w:rsidRPr="00095705">
        <w:rPr>
          <w:rStyle w:val="FootnoteReference"/>
          <w:sz w:val="20"/>
        </w:rPr>
        <w:footnoteRef/>
      </w:r>
      <w:r w:rsidRPr="00095705">
        <w:t xml:space="preserve"> </w:t>
      </w:r>
      <w:r w:rsidRPr="00095705">
        <w:rPr>
          <w:i/>
          <w:iCs/>
        </w:rPr>
        <w:t>Id.</w:t>
      </w:r>
    </w:p>
  </w:footnote>
  <w:footnote w:id="18">
    <w:p w:rsidR="00E625D0" w:rsidRPr="00095705" w:rsidP="00DB358F" w14:paraId="6ED7A065" w14:textId="1ADF902A">
      <w:pPr>
        <w:pStyle w:val="FootnoteText"/>
      </w:pPr>
      <w:r w:rsidRPr="00095705">
        <w:rPr>
          <w:rStyle w:val="FootnoteReference"/>
          <w:sz w:val="20"/>
        </w:rPr>
        <w:footnoteRef/>
      </w:r>
      <w:r w:rsidRPr="00095705">
        <w:t xml:space="preserve"> </w:t>
      </w:r>
      <w:r w:rsidRPr="00095705">
        <w:rPr>
          <w:i/>
          <w:iCs/>
        </w:rPr>
        <w:t>Id.</w:t>
      </w:r>
      <w:r w:rsidRPr="00095705">
        <w:t xml:space="preserve"> at 5.</w:t>
      </w:r>
    </w:p>
  </w:footnote>
  <w:footnote w:id="19">
    <w:p w:rsidR="0091761C" w:rsidRPr="00095705" w:rsidP="00DB358F" w14:paraId="625EEEB0" w14:textId="1900B262">
      <w:pPr>
        <w:pStyle w:val="FootnoteText"/>
      </w:pPr>
      <w:r w:rsidRPr="00095705">
        <w:rPr>
          <w:rStyle w:val="FootnoteReference"/>
          <w:sz w:val="20"/>
        </w:rPr>
        <w:footnoteRef/>
      </w:r>
      <w:r w:rsidRPr="00095705">
        <w:t xml:space="preserve"> </w:t>
      </w:r>
      <w:r w:rsidRPr="00095705">
        <w:rPr>
          <w:i/>
          <w:iCs/>
        </w:rPr>
        <w:t>Id.</w:t>
      </w:r>
    </w:p>
  </w:footnote>
  <w:footnote w:id="20">
    <w:p w:rsidR="00A60DEA" w:rsidRPr="00095705" w:rsidP="00A60DEA" w14:paraId="629BEAD1" w14:textId="169CC7F2">
      <w:pPr>
        <w:pStyle w:val="FootnoteText"/>
      </w:pPr>
      <w:r w:rsidRPr="00095705">
        <w:rPr>
          <w:rStyle w:val="FootnoteReference"/>
          <w:sz w:val="20"/>
        </w:rPr>
        <w:footnoteRef/>
      </w:r>
      <w:r w:rsidRPr="00095705">
        <w:t xml:space="preserve"> </w:t>
      </w:r>
      <w:r w:rsidRPr="00095705">
        <w:rPr>
          <w:i/>
          <w:iCs/>
        </w:rPr>
        <w:t>See</w:t>
      </w:r>
      <w:r w:rsidRPr="00095705">
        <w:t xml:space="preserve"> 47 U.S.C. § 214(a)</w:t>
      </w:r>
      <w:r w:rsidRPr="00095705" w:rsidR="00A801B6">
        <w:t xml:space="preserve">.  </w:t>
      </w:r>
      <w:r w:rsidRPr="00095705" w:rsidR="00F16D23">
        <w:t xml:space="preserve">The Commission has not found significant competitive harm in certain transactions involving the combination of providers where the transaction did not reduce competition and resulted in a stronger competitor.  </w:t>
      </w:r>
      <w:r w:rsidRPr="00095705" w:rsidR="00F16D23">
        <w:rPr>
          <w:i/>
          <w:iCs/>
        </w:rPr>
        <w:t>See, e.g</w:t>
      </w:r>
      <w:r w:rsidRPr="00095705" w:rsidR="00F16D23">
        <w:t xml:space="preserve">., </w:t>
      </w:r>
      <w:r w:rsidRPr="00095705" w:rsidR="00A801B6">
        <w:rPr>
          <w:i/>
        </w:rPr>
        <w:t>Applications of Level 3 Communications, Inc. and CenturyLink, Inc. for Consent to Transfer Control of Licenses and Authorizations</w:t>
      </w:r>
      <w:r w:rsidRPr="00095705" w:rsidR="00A801B6">
        <w:t xml:space="preserve">, Memorandum Opinion and Order, 32 FCC Rcd 9581, 9594, 9605, paras. 26 and 52 (2017) </w:t>
      </w:r>
      <w:r w:rsidRPr="00095705" w:rsidR="00F16D23">
        <w:t>(finding no harm to competition in CenturyLink’s incumbent LEC territory, nor outside of CenturyLink’s incumbent LEC territory, where applicants operate as competitive LECs</w:t>
      </w:r>
      <w:r w:rsidRPr="00095705" w:rsidR="00A801B6">
        <w:t xml:space="preserve">). </w:t>
      </w:r>
    </w:p>
  </w:footnote>
  <w:footnote w:id="21">
    <w:p w:rsidR="00005DB7" w14:paraId="33336730" w14:textId="28430736">
      <w:pPr>
        <w:pStyle w:val="FootnoteText"/>
      </w:pPr>
      <w:r>
        <w:rPr>
          <w:rStyle w:val="FootnoteReference"/>
        </w:rPr>
        <w:footnoteRef/>
      </w:r>
      <w:r>
        <w:t xml:space="preserve"> </w:t>
      </w:r>
      <w:r w:rsidRPr="00095705">
        <w:rPr>
          <w:i/>
          <w:iCs/>
        </w:rPr>
        <w:t xml:space="preserve">See </w:t>
      </w:r>
      <w:r w:rsidRPr="00095705">
        <w:t>47 CFR § 36.4 Appx. (“Study area boundaries shall be frozen as they are on Nov. 15, 1984.”)</w:t>
      </w:r>
      <w:r>
        <w:t>.</w:t>
      </w:r>
    </w:p>
  </w:footnote>
  <w:footnote w:id="22">
    <w:p w:rsidR="00847CE0" w:rsidRPr="00095705" w14:paraId="32BCF28E" w14:textId="3521A778">
      <w:pPr>
        <w:pStyle w:val="FootnoteText"/>
      </w:pPr>
      <w:r w:rsidRPr="00095705">
        <w:rPr>
          <w:rStyle w:val="FootnoteReference"/>
          <w:sz w:val="20"/>
        </w:rPr>
        <w:footnoteRef/>
      </w:r>
      <w:r w:rsidRPr="00095705">
        <w:t xml:space="preserve"> </w:t>
      </w:r>
      <w:r w:rsidRPr="00095705" w:rsidR="00C1701C">
        <w:t xml:space="preserve">Joint Petition for Waiver at </w:t>
      </w:r>
      <w:r w:rsidRPr="00095705">
        <w:t>1</w:t>
      </w:r>
      <w:r w:rsidRPr="00095705" w:rsidR="002B0589">
        <w:t>.</w:t>
      </w:r>
      <w:r w:rsidRPr="00095705" w:rsidR="00F6627E">
        <w:t xml:space="preserve">  </w:t>
      </w:r>
      <w:r w:rsidRPr="00095705" w:rsidR="00CB4E04">
        <w:t>The proposed transaction will also result in the modification of Michigan Bell’s existing s</w:t>
      </w:r>
      <w:r w:rsidRPr="00095705" w:rsidR="00BB3B50">
        <w:t xml:space="preserve">tudy </w:t>
      </w:r>
      <w:r w:rsidRPr="00095705" w:rsidR="00CB4E04">
        <w:t xml:space="preserve">area </w:t>
      </w:r>
      <w:r w:rsidRPr="00095705" w:rsidR="00BB3B50">
        <w:t xml:space="preserve">(SAC </w:t>
      </w:r>
      <w:r w:rsidRPr="00095705" w:rsidR="005552E4">
        <w:t xml:space="preserve">315090) </w:t>
      </w:r>
      <w:r w:rsidRPr="00095705" w:rsidR="00CB4E04">
        <w:t>to remove the 42 exchanges to be acquired by UP Fiber</w:t>
      </w:r>
      <w:r w:rsidR="00005DB7">
        <w:t xml:space="preserve">; </w:t>
      </w:r>
      <w:r w:rsidR="00005DB7">
        <w:rPr>
          <w:i/>
          <w:iCs/>
        </w:rPr>
        <w:t xml:space="preserve">see also </w:t>
      </w:r>
      <w:r w:rsidR="008C7720">
        <w:t>Joint Petition for Waiver</w:t>
      </w:r>
      <w:r w:rsidRPr="00095705" w:rsidR="00005DB7">
        <w:t xml:space="preserve">, </w:t>
      </w:r>
      <w:r w:rsidR="004865BC">
        <w:t>Attach</w:t>
      </w:r>
      <w:r w:rsidRPr="00095705" w:rsidR="00005DB7">
        <w:t xml:space="preserve"> A </w:t>
      </w:r>
      <w:r w:rsidR="001A1E3A">
        <w:t xml:space="preserve">(Exchanges Boundary Map </w:t>
      </w:r>
      <w:r w:rsidRPr="00095705" w:rsidR="00005DB7">
        <w:t xml:space="preserve">at 1 (identifying the </w:t>
      </w:r>
      <w:r w:rsidR="007E199F">
        <w:t>42 exchanges</w:t>
      </w:r>
      <w:r w:rsidR="001A498D">
        <w:t xml:space="preserve"> to be included in the new Up Fiber study area).</w:t>
      </w:r>
    </w:p>
  </w:footnote>
  <w:footnote w:id="23">
    <w:p w:rsidR="00491B38" w:rsidRPr="00095705" w14:paraId="49CB3B92" w14:textId="147F066E">
      <w:pPr>
        <w:pStyle w:val="FootnoteText"/>
      </w:pPr>
      <w:r w:rsidRPr="00095705">
        <w:rPr>
          <w:rStyle w:val="FootnoteReference"/>
          <w:sz w:val="20"/>
        </w:rPr>
        <w:footnoteRef/>
      </w:r>
      <w:r w:rsidRPr="00095705">
        <w:t xml:space="preserve"> </w:t>
      </w:r>
      <w:r w:rsidRPr="00095705" w:rsidR="002E5AC2">
        <w:rPr>
          <w:i/>
        </w:rPr>
        <w:t>See</w:t>
      </w:r>
      <w:r w:rsidRPr="00095705" w:rsidR="002E5AC2">
        <w:t xml:space="preserve"> FCC, Study Area Boundaries, </w:t>
      </w:r>
      <w:r w:rsidRPr="00095705" w:rsidR="00586E39">
        <w:t>https://www.fcc.gov/reports-research/maps/study-area-boundaries/.</w:t>
      </w:r>
    </w:p>
  </w:footnote>
  <w:footnote w:id="24">
    <w:p w:rsidR="00DD08C3" w:rsidRPr="00095705" w14:paraId="3F6782CD" w14:textId="0A9F10C8">
      <w:pPr>
        <w:pStyle w:val="FootnoteText"/>
      </w:pPr>
      <w:r w:rsidRPr="00095705">
        <w:rPr>
          <w:rStyle w:val="FootnoteReference"/>
          <w:sz w:val="20"/>
        </w:rPr>
        <w:footnoteRef/>
      </w:r>
      <w:r w:rsidRPr="00095705">
        <w:t xml:space="preserve"> Joint Petition for Waiver at </w:t>
      </w:r>
      <w:r w:rsidRPr="00095705" w:rsidR="00FF016E">
        <w:t>4</w:t>
      </w:r>
      <w:r w:rsidRPr="00095705">
        <w:t>.</w:t>
      </w:r>
    </w:p>
  </w:footnote>
  <w:footnote w:id="25">
    <w:p w:rsidR="002751E7" w:rsidRPr="00095705" w14:paraId="3557BFB3" w14:textId="292388A3">
      <w:pPr>
        <w:pStyle w:val="FootnoteText"/>
      </w:pPr>
      <w:r w:rsidRPr="00095705">
        <w:rPr>
          <w:rStyle w:val="FootnoteReference"/>
          <w:sz w:val="20"/>
        </w:rPr>
        <w:footnoteRef/>
      </w:r>
      <w:r w:rsidRPr="00095705">
        <w:t xml:space="preserve"> </w:t>
      </w:r>
      <w:r w:rsidRPr="00095705" w:rsidR="002A11A0">
        <w:t>47 U.S.C. § 214(e)(5).</w:t>
      </w:r>
    </w:p>
  </w:footnote>
  <w:footnote w:id="26">
    <w:p w:rsidR="0096299C" w:rsidRPr="00095705" w:rsidP="0096299C" w14:paraId="6655592F" w14:textId="77777777">
      <w:pPr>
        <w:pStyle w:val="FootnoteText"/>
      </w:pPr>
      <w:r w:rsidRPr="00095705">
        <w:rPr>
          <w:rStyle w:val="FootnoteReference"/>
          <w:sz w:val="20"/>
        </w:rPr>
        <w:footnoteRef/>
      </w:r>
      <w:r w:rsidRPr="00095705">
        <w:t xml:space="preserve"> </w:t>
      </w:r>
      <w:r w:rsidRPr="00095705">
        <w:rPr>
          <w:i/>
        </w:rPr>
        <w:t xml:space="preserve">See MTS and WATS Market Structure, Amendment of Part 67 of the Commission’s Rules and Establishment of a </w:t>
      </w:r>
      <w:r w:rsidRPr="00095705">
        <w:t>Joint</w:t>
      </w:r>
      <w:r w:rsidRPr="00095705">
        <w:rPr>
          <w:i/>
        </w:rPr>
        <w:t xml:space="preserve"> Board</w:t>
      </w:r>
      <w:r w:rsidRPr="00095705">
        <w:t>, CC Docket Nos. 78-72, 80-286, Decision and Order, 50 Fed. Reg. 939 (1985) (</w:t>
      </w:r>
      <w:r w:rsidRPr="00095705">
        <w:rPr>
          <w:i/>
        </w:rPr>
        <w:t>Part 67 Order</w:t>
      </w:r>
      <w:r w:rsidRPr="00095705">
        <w:t>) (adopting Recommended Decision and Order, 49 Fed. Reg. 48325 (1984));</w:t>
      </w:r>
      <w:r w:rsidRPr="00095705">
        <w:rPr>
          <w:i/>
        </w:rPr>
        <w:t xml:space="preserve"> see also </w:t>
      </w:r>
      <w:r w:rsidRPr="00095705">
        <w:t xml:space="preserve">47 CFR pt. 36 Appx. </w:t>
      </w:r>
    </w:p>
  </w:footnote>
  <w:footnote w:id="27">
    <w:p w:rsidR="0096299C" w:rsidRPr="00095705" w:rsidP="0096299C" w14:paraId="734B436D" w14:textId="77777777">
      <w:pPr>
        <w:pStyle w:val="FootnoteText"/>
      </w:pPr>
      <w:r w:rsidRPr="00095705">
        <w:rPr>
          <w:rStyle w:val="FootnoteReference"/>
          <w:sz w:val="20"/>
        </w:rPr>
        <w:footnoteRef/>
      </w:r>
      <w:r w:rsidRPr="00095705">
        <w:t xml:space="preserve"> </w:t>
      </w:r>
      <w:r w:rsidRPr="00095705">
        <w:rPr>
          <w:i/>
          <w:iCs/>
        </w:rPr>
        <w:t>Connect America Fund, et al.</w:t>
      </w:r>
      <w:r w:rsidRPr="00095705">
        <w:t>, WC Docket No. 10-90, CC Docket No. 96-45, Order, 31 FCC Rcd 10683, para. 2 (WCB 2016).</w:t>
      </w:r>
    </w:p>
  </w:footnote>
  <w:footnote w:id="28">
    <w:p w:rsidR="0096299C" w:rsidRPr="00095705" w:rsidP="0096299C" w14:paraId="2966B2B9" w14:textId="77777777">
      <w:pPr>
        <w:pStyle w:val="FootnoteText"/>
      </w:pPr>
      <w:r w:rsidRPr="00095705">
        <w:rPr>
          <w:rStyle w:val="FootnoteReference"/>
          <w:sz w:val="20"/>
        </w:rPr>
        <w:footnoteRef/>
      </w:r>
      <w:r w:rsidRPr="00095705">
        <w:t xml:space="preserve"> </w:t>
      </w:r>
      <w:r w:rsidRPr="00095705">
        <w:rPr>
          <w:i/>
        </w:rPr>
        <w:t>Part 67 Order</w:t>
      </w:r>
      <w:r w:rsidRPr="00095705">
        <w:rPr>
          <w:iCs/>
        </w:rPr>
        <w:t>, 50 Fed. Reg.</w:t>
      </w:r>
      <w:r w:rsidRPr="00095705">
        <w:t xml:space="preserve"> at 939, para. 1.  In 2011, the Commission adopted a streamlined process for study area waiver petitions under which the waiver is deemed granted on the 60th day after the reply comment due date unless the Bureau provides notice that the petition requires further analysis and review. </w:t>
      </w:r>
      <w:r w:rsidRPr="00095705">
        <w:rPr>
          <w:i/>
        </w:rPr>
        <w:t xml:space="preserve"> USF/ICC Transformation Order</w:t>
      </w:r>
      <w:r w:rsidRPr="00095705">
        <w:t>, 26 FCC Rcd at 17763, para. 267.  Because of the complex issues presented in the Study Area Waiver Petition, it was not eligible for streamlined processing.</w:t>
      </w:r>
    </w:p>
  </w:footnote>
  <w:footnote w:id="29">
    <w:p w:rsidR="0096299C" w:rsidRPr="00095705" w:rsidP="0096299C" w14:paraId="63E31C13" w14:textId="77777777">
      <w:pPr>
        <w:pStyle w:val="FootnoteText"/>
      </w:pPr>
      <w:r w:rsidRPr="00095705">
        <w:rPr>
          <w:rStyle w:val="FootnoteReference"/>
          <w:sz w:val="20"/>
        </w:rPr>
        <w:footnoteRef/>
      </w:r>
      <w:r w:rsidRPr="00095705">
        <w:t xml:space="preserve"> 47 CFR § 1.3.</w:t>
      </w:r>
    </w:p>
  </w:footnote>
  <w:footnote w:id="30">
    <w:p w:rsidR="0096299C" w:rsidRPr="00095705" w:rsidP="0096299C" w14:paraId="1AB8FFF0" w14:textId="77777777">
      <w:pPr>
        <w:pStyle w:val="FootnoteText"/>
      </w:pPr>
      <w:r w:rsidRPr="00095705">
        <w:rPr>
          <w:rStyle w:val="FootnoteReference"/>
          <w:sz w:val="20"/>
        </w:rPr>
        <w:footnoteRef/>
      </w:r>
      <w:r w:rsidRPr="00095705">
        <w:t xml:space="preserve"> </w:t>
      </w:r>
      <w:r w:rsidRPr="00095705">
        <w:rPr>
          <w:i/>
        </w:rPr>
        <w:t>Northeast Cellular Telephone Co. v. FCC</w:t>
      </w:r>
      <w:r w:rsidRPr="00095705">
        <w:t>, 897 F.2d 1164, 1166 (D.C. Cir. 1990) (</w:t>
      </w:r>
      <w:r w:rsidRPr="00095705">
        <w:rPr>
          <w:i/>
        </w:rPr>
        <w:t>Northeast Cellular</w:t>
      </w:r>
      <w:r w:rsidRPr="00095705">
        <w:t>).</w:t>
      </w:r>
    </w:p>
  </w:footnote>
  <w:footnote w:id="31">
    <w:p w:rsidR="0096299C" w:rsidRPr="00095705" w:rsidP="0096299C" w14:paraId="463F5767" w14:textId="77777777">
      <w:pPr>
        <w:pStyle w:val="FootnoteText"/>
      </w:pPr>
      <w:r w:rsidRPr="00095705">
        <w:rPr>
          <w:rStyle w:val="FootnoteReference"/>
          <w:sz w:val="20"/>
        </w:rPr>
        <w:footnoteRef/>
      </w:r>
      <w:r w:rsidRPr="00095705">
        <w:t xml:space="preserve"> </w:t>
      </w:r>
      <w:r w:rsidRPr="00095705">
        <w:rPr>
          <w:i/>
        </w:rPr>
        <w:t>WAIT Radio v. FCC</w:t>
      </w:r>
      <w:r w:rsidRPr="00095705">
        <w:t xml:space="preserve">, 418 F.2d 1153, 1159 (D.C. Cir. 1969); </w:t>
      </w:r>
      <w:r w:rsidRPr="00095705">
        <w:rPr>
          <w:i/>
        </w:rPr>
        <w:t>Northeast Cellular</w:t>
      </w:r>
      <w:r w:rsidRPr="00095705">
        <w:t>, 897 F.2d at 1166.</w:t>
      </w:r>
    </w:p>
  </w:footnote>
  <w:footnote w:id="32">
    <w:p w:rsidR="0096299C" w:rsidRPr="00095705" w:rsidP="0096299C" w14:paraId="0708F39F" w14:textId="77777777">
      <w:pPr>
        <w:pStyle w:val="FootnoteText"/>
      </w:pPr>
      <w:r w:rsidRPr="00095705">
        <w:rPr>
          <w:rStyle w:val="FootnoteReference"/>
          <w:sz w:val="20"/>
        </w:rPr>
        <w:footnoteRef/>
      </w:r>
      <w:r w:rsidRPr="00095705">
        <w:t xml:space="preserve"> </w:t>
      </w:r>
      <w:r w:rsidRPr="00095705">
        <w:rPr>
          <w:i/>
        </w:rPr>
        <w:t>Northeast Cellular</w:t>
      </w:r>
      <w:r w:rsidRPr="00095705">
        <w:t>, 897 F.2d at 1166.</w:t>
      </w:r>
    </w:p>
  </w:footnote>
  <w:footnote w:id="33">
    <w:p w:rsidR="006419EA" w:rsidRPr="00095705" w:rsidP="006419EA" w14:paraId="75FFB22C" w14:textId="7D766988">
      <w:pPr>
        <w:pStyle w:val="FootnoteText"/>
      </w:pPr>
      <w:r w:rsidRPr="00095705">
        <w:rPr>
          <w:rStyle w:val="FootnoteReference"/>
          <w:sz w:val="20"/>
        </w:rPr>
        <w:footnoteRef/>
      </w:r>
      <w:r w:rsidRPr="00095705">
        <w:t xml:space="preserve"> </w:t>
      </w:r>
      <w:r w:rsidRPr="00095705" w:rsidR="00220B21">
        <w:rPr>
          <w:i/>
          <w:iCs/>
        </w:rPr>
        <w:t>Connect America Fund et al.</w:t>
      </w:r>
      <w:r w:rsidRPr="00095705" w:rsidR="00220B21">
        <w:t xml:space="preserve">, Report and Order and Further Notice of Proposed Rulemaking, WC Docket No. 10- 90 et al., 26 FCC Rcd 17663, </w:t>
      </w:r>
      <w:r w:rsidRPr="00095705" w:rsidR="00690EFB">
        <w:t>17762, para. 265</w:t>
      </w:r>
      <w:r w:rsidRPr="00095705" w:rsidR="00220B21">
        <w:t xml:space="preserve"> (2011), </w:t>
      </w:r>
      <w:r w:rsidRPr="00EE44D3" w:rsidR="00220B21">
        <w:rPr>
          <w:i/>
          <w:iCs/>
        </w:rPr>
        <w:t>aff’d sub nom. In re FCC</w:t>
      </w:r>
      <w:r w:rsidRPr="00095705" w:rsidR="00220B21">
        <w:t>, 753 F.3d 1015 (10th Cir. 2014) (</w:t>
      </w:r>
      <w:r w:rsidRPr="00095705" w:rsidR="00220B21">
        <w:rPr>
          <w:i/>
          <w:iCs/>
        </w:rPr>
        <w:t>USF/ICC Transformation Order</w:t>
      </w:r>
      <w:r w:rsidRPr="00095705" w:rsidR="00690EFB">
        <w:t>).</w:t>
      </w:r>
      <w:r w:rsidRPr="00095705">
        <w:t xml:space="preserve"> </w:t>
      </w:r>
    </w:p>
  </w:footnote>
  <w:footnote w:id="34">
    <w:p w:rsidR="006419EA" w:rsidRPr="00095705" w:rsidP="006419EA" w14:paraId="6D63434F" w14:textId="77777777">
      <w:pPr>
        <w:pStyle w:val="FootnoteText"/>
        <w:rPr>
          <w:rFonts w:eastAsia="Malgun Gothic"/>
          <w:iCs/>
          <w:lang w:eastAsia="ko-KR"/>
        </w:rPr>
      </w:pPr>
      <w:r w:rsidRPr="00095705">
        <w:rPr>
          <w:rStyle w:val="FootnoteReference"/>
          <w:sz w:val="20"/>
        </w:rPr>
        <w:footnoteRef/>
      </w:r>
      <w:r w:rsidRPr="00095705">
        <w:t xml:space="preserve"> </w:t>
      </w:r>
      <w:r w:rsidRPr="00095705">
        <w:rPr>
          <w:i/>
        </w:rPr>
        <w:t>Id</w:t>
      </w:r>
      <w:r w:rsidRPr="00095705">
        <w:rPr>
          <w:iCs/>
        </w:rPr>
        <w:t>.</w:t>
      </w:r>
    </w:p>
  </w:footnote>
  <w:footnote w:id="35">
    <w:p w:rsidR="00C31FBB" w:rsidRPr="00095705" w14:paraId="505954F4" w14:textId="21BCBE90">
      <w:pPr>
        <w:pStyle w:val="FootnoteText"/>
      </w:pPr>
      <w:r w:rsidRPr="00095705">
        <w:rPr>
          <w:rStyle w:val="FootnoteReference"/>
          <w:sz w:val="20"/>
        </w:rPr>
        <w:footnoteRef/>
      </w:r>
      <w:r w:rsidRPr="00095705">
        <w:t xml:space="preserve"> </w:t>
      </w:r>
      <w:r w:rsidRPr="00095705" w:rsidR="00C02832">
        <w:t>Joint Petition for Waiver at</w:t>
      </w:r>
      <w:r w:rsidRPr="00095705" w:rsidR="00C02832">
        <w:rPr>
          <w:i/>
          <w:iCs/>
        </w:rPr>
        <w:t xml:space="preserve"> </w:t>
      </w:r>
      <w:r w:rsidRPr="00095705" w:rsidR="00C02832">
        <w:t>3</w:t>
      </w:r>
      <w:r w:rsidRPr="00095705" w:rsidR="005912A8">
        <w:t>.</w:t>
      </w:r>
    </w:p>
  </w:footnote>
  <w:footnote w:id="36">
    <w:p w:rsidR="0013306E" w:rsidRPr="00095705" w:rsidP="007547AF" w14:paraId="53D65EBA" w14:textId="0B92D99E">
      <w:pPr>
        <w:pStyle w:val="FootnoteText"/>
      </w:pPr>
      <w:r w:rsidRPr="00095705">
        <w:rPr>
          <w:rStyle w:val="FootnoteReference"/>
          <w:sz w:val="20"/>
        </w:rPr>
        <w:footnoteRef/>
      </w:r>
      <w:r w:rsidRPr="00095705">
        <w:t xml:space="preserve"> </w:t>
      </w:r>
      <w:r w:rsidRPr="00095705">
        <w:rPr>
          <w:i/>
          <w:iCs/>
        </w:rPr>
        <w:t xml:space="preserve">See id. </w:t>
      </w:r>
      <w:r w:rsidRPr="00095705">
        <w:t xml:space="preserve">at </w:t>
      </w:r>
      <w:r w:rsidRPr="00095705" w:rsidR="007673D1">
        <w:t>4,</w:t>
      </w:r>
      <w:r w:rsidRPr="00095705" w:rsidR="004263D9">
        <w:t xml:space="preserve"> </w:t>
      </w:r>
      <w:r w:rsidRPr="00095705" w:rsidR="002C7F3E">
        <w:t>First</w:t>
      </w:r>
      <w:r w:rsidRPr="00095705" w:rsidR="004263D9">
        <w:t xml:space="preserve"> Supplement at 1 (“UP Fiber confirms that it will not seek to be regulated as a rate-of-return ILEC nor will it seek to receive any legacy high-cost universal service support in the future”</w:t>
      </w:r>
      <w:r w:rsidRPr="00095705" w:rsidR="00D224FD">
        <w:t xml:space="preserve"> but </w:t>
      </w:r>
      <w:r w:rsidRPr="00095705" w:rsidR="000F7397">
        <w:t xml:space="preserve">reserves </w:t>
      </w:r>
      <w:r w:rsidRPr="00095705" w:rsidR="00D224FD">
        <w:t xml:space="preserve">the right </w:t>
      </w:r>
      <w:r w:rsidRPr="00095705" w:rsidR="009D008D">
        <w:t>for support awarded in the future t</w:t>
      </w:r>
      <w:r w:rsidRPr="00095705" w:rsidR="00C65544">
        <w:t xml:space="preserve">hrough </w:t>
      </w:r>
      <w:r w:rsidRPr="00095705" w:rsidR="007547AF">
        <w:t>“competitively awarded support programs that are available to all providers who are otherwise qualified to bid and receive such support.”)</w:t>
      </w:r>
      <w:r w:rsidRPr="00095705" w:rsidR="007673D1">
        <w:t xml:space="preserve">; </w:t>
      </w:r>
      <w:r w:rsidRPr="00095705" w:rsidR="00D83EEB">
        <w:t xml:space="preserve">NTCA </w:t>
      </w:r>
      <w:r w:rsidRPr="00095705" w:rsidR="00B57C53">
        <w:t>Comments</w:t>
      </w:r>
      <w:r w:rsidRPr="00095705" w:rsidR="00570499">
        <w:t xml:space="preserve"> at 3</w:t>
      </w:r>
      <w:r w:rsidRPr="00095705" w:rsidR="00DA5B67">
        <w:t xml:space="preserve">.  </w:t>
      </w:r>
      <w:r w:rsidRPr="00095705" w:rsidR="00DF2619">
        <w:t xml:space="preserve">Legacy high-cost support includes the Connect America Fund Broadband Loop Support </w:t>
      </w:r>
      <w:r w:rsidRPr="00095705" w:rsidR="00D24977">
        <w:t xml:space="preserve">(CAF BLS) </w:t>
      </w:r>
      <w:r w:rsidRPr="00095705" w:rsidR="00DF2619">
        <w:t xml:space="preserve">and High-Cost Loop Support </w:t>
      </w:r>
      <w:r w:rsidRPr="00095705" w:rsidR="00D24977">
        <w:t>(HCLS)</w:t>
      </w:r>
      <w:r w:rsidRPr="00095705" w:rsidR="00DF2619">
        <w:t xml:space="preserve"> mechanisms.  </w:t>
      </w:r>
      <w:r w:rsidRPr="00095705" w:rsidR="00DF2619">
        <w:rPr>
          <w:i/>
          <w:iCs/>
        </w:rPr>
        <w:t>See</w:t>
      </w:r>
      <w:r w:rsidRPr="00095705" w:rsidR="00DF2619">
        <w:t xml:space="preserve"> 47 CFR Part 54, Subparts K and M</w:t>
      </w:r>
      <w:r w:rsidRPr="00095705" w:rsidR="006355A0">
        <w:t>.</w:t>
      </w:r>
    </w:p>
  </w:footnote>
  <w:footnote w:id="37">
    <w:p w:rsidR="00103ABB" w:rsidRPr="00095705" w14:paraId="13DB7BD1" w14:textId="1D1FB579">
      <w:pPr>
        <w:pStyle w:val="FootnoteText"/>
      </w:pPr>
      <w:r w:rsidRPr="00095705">
        <w:rPr>
          <w:rStyle w:val="FootnoteReference"/>
          <w:sz w:val="20"/>
        </w:rPr>
        <w:footnoteRef/>
      </w:r>
      <w:r w:rsidRPr="00095705">
        <w:t xml:space="preserve"> Joint Petition for Waiver</w:t>
      </w:r>
      <w:r w:rsidRPr="00095705">
        <w:rPr>
          <w:i/>
          <w:iCs/>
        </w:rPr>
        <w:t xml:space="preserve"> </w:t>
      </w:r>
      <w:r w:rsidRPr="00095705">
        <w:t xml:space="preserve">at </w:t>
      </w:r>
      <w:r w:rsidRPr="00095705" w:rsidR="002F489D">
        <w:t>4.</w:t>
      </w:r>
    </w:p>
  </w:footnote>
  <w:footnote w:id="38">
    <w:p w:rsidR="004E3680" w:rsidRPr="00095705" w14:paraId="5996EBFE" w14:textId="2A491932">
      <w:pPr>
        <w:pStyle w:val="FootnoteText"/>
      </w:pPr>
      <w:r w:rsidRPr="00095705">
        <w:rPr>
          <w:rStyle w:val="FootnoteReference"/>
          <w:sz w:val="20"/>
        </w:rPr>
        <w:footnoteRef/>
      </w:r>
      <w:r w:rsidRPr="00095705">
        <w:t xml:space="preserve"> 47 CFR § 1.3.</w:t>
      </w:r>
    </w:p>
  </w:footnote>
  <w:footnote w:id="39">
    <w:p w:rsidR="000721E8" w:rsidRPr="00095705" w14:paraId="4AF0D307" w14:textId="2A787610">
      <w:pPr>
        <w:pStyle w:val="FootnoteText"/>
      </w:pPr>
      <w:r w:rsidRPr="00095705">
        <w:rPr>
          <w:rStyle w:val="FootnoteReference"/>
          <w:sz w:val="20"/>
        </w:rPr>
        <w:footnoteRef/>
      </w:r>
      <w:r w:rsidRPr="00095705">
        <w:t xml:space="preserve"> </w:t>
      </w:r>
      <w:r w:rsidRPr="00095705" w:rsidR="005A777C">
        <w:t>First Supplement at 2</w:t>
      </w:r>
      <w:r w:rsidRPr="00095705" w:rsidR="00002EAE">
        <w:t xml:space="preserve">; </w:t>
      </w:r>
      <w:r w:rsidRPr="00095705" w:rsidR="00296B06">
        <w:t>Letter from Danielle Burt and Patricia Cave, Counsel for UP Fiber, Inc., to Marlene H. Dortch, Secretary, FCC, WC Docket Nos. 25-181 &amp; 96-45 (filed Jan. 14, 2026)</w:t>
      </w:r>
      <w:r w:rsidRPr="00095705" w:rsidR="007B5524">
        <w:t xml:space="preserve"> (</w:t>
      </w:r>
      <w:r w:rsidRPr="00095705" w:rsidR="002D5ECB">
        <w:t>Second Supplement</w:t>
      </w:r>
      <w:r w:rsidRPr="00095705" w:rsidR="007B5524">
        <w:t>)</w:t>
      </w:r>
      <w:r w:rsidRPr="00095705" w:rsidR="00296B06">
        <w:t xml:space="preserve">. </w:t>
      </w:r>
    </w:p>
  </w:footnote>
  <w:footnote w:id="40">
    <w:p w:rsidR="005D64A1" w:rsidRPr="00095705" w14:paraId="3E23251D" w14:textId="04C5890A">
      <w:pPr>
        <w:pStyle w:val="FootnoteText"/>
      </w:pPr>
      <w:r w:rsidRPr="00095705">
        <w:rPr>
          <w:rStyle w:val="FootnoteReference"/>
          <w:sz w:val="20"/>
        </w:rPr>
        <w:footnoteRef/>
      </w:r>
      <w:r w:rsidRPr="00095705">
        <w:t xml:space="preserve"> 47 CFR § 61.41(c)(2). </w:t>
      </w:r>
    </w:p>
  </w:footnote>
  <w:footnote w:id="41">
    <w:p w:rsidR="00581469" w:rsidRPr="00095705" w:rsidP="001345D0" w14:paraId="4BD063E0" w14:textId="6D1BA385">
      <w:pPr>
        <w:pStyle w:val="FootnoteText"/>
      </w:pPr>
      <w:r w:rsidRPr="00095705">
        <w:rPr>
          <w:rStyle w:val="FootnoteReference"/>
          <w:sz w:val="20"/>
        </w:rPr>
        <w:footnoteRef/>
      </w:r>
      <w:r w:rsidRPr="00095705">
        <w:t xml:space="preserve"> </w:t>
      </w:r>
      <w:r w:rsidRPr="00095705" w:rsidR="001345D0">
        <w:rPr>
          <w:i/>
          <w:iCs/>
        </w:rPr>
        <w:t xml:space="preserve">See </w:t>
      </w:r>
      <w:r w:rsidRPr="00095705" w:rsidR="009E2AC3">
        <w:rPr>
          <w:i/>
          <w:iCs/>
        </w:rPr>
        <w:t>Consolidated Communications of Pennsylvania Company, Inc. et al.</w:t>
      </w:r>
      <w:r w:rsidRPr="00095705" w:rsidR="009E2AC3">
        <w:t xml:space="preserve">, WC Docket No. 19-275, Order, </w:t>
      </w:r>
      <w:r w:rsidRPr="00095705" w:rsidR="00916A8D">
        <w:t xml:space="preserve">37 FCC Rcd 4514, </w:t>
      </w:r>
      <w:r w:rsidRPr="00095705" w:rsidR="009C1FB3">
        <w:t>4515,</w:t>
      </w:r>
      <w:r w:rsidRPr="00095705" w:rsidR="009E2AC3">
        <w:t xml:space="preserve"> para. 3 (WCB Apr. 1, 2022)</w:t>
      </w:r>
      <w:r w:rsidRPr="00095705" w:rsidR="004B217C">
        <w:t xml:space="preserve"> (</w:t>
      </w:r>
      <w:r w:rsidRPr="00095705" w:rsidR="004B217C">
        <w:rPr>
          <w:i/>
          <w:iCs/>
        </w:rPr>
        <w:t>Consolidated Waiver Order</w:t>
      </w:r>
      <w:r w:rsidRPr="00095705" w:rsidR="004B217C">
        <w:t>)</w:t>
      </w:r>
      <w:r w:rsidRPr="00095705" w:rsidR="009E2AC3">
        <w:t xml:space="preserve">; </w:t>
      </w:r>
      <w:r w:rsidRPr="00095705" w:rsidR="001345D0">
        <w:rPr>
          <w:i/>
          <w:iCs/>
        </w:rPr>
        <w:t>Policy and Rules Concerning Rates for Dominant Carriers</w:t>
      </w:r>
      <w:r w:rsidRPr="00095705" w:rsidR="001345D0">
        <w:t>, CC Docket No. 87-313, Second Report and Order, 5 FCC Rcd 6786, 6819-20, para. 271-81 (1990).</w:t>
      </w:r>
    </w:p>
  </w:footnote>
  <w:footnote w:id="42">
    <w:p w:rsidR="004F2566" w:rsidRPr="00095705" w:rsidP="00263384" w14:paraId="1E7B0149" w14:textId="21FF8459">
      <w:pPr>
        <w:pStyle w:val="FootnoteText"/>
      </w:pPr>
      <w:r w:rsidRPr="00095705">
        <w:rPr>
          <w:rStyle w:val="FootnoteReference"/>
          <w:sz w:val="20"/>
        </w:rPr>
        <w:footnoteRef/>
      </w:r>
      <w:r w:rsidRPr="00095705">
        <w:t xml:space="preserve"> </w:t>
      </w:r>
      <w:r w:rsidRPr="00095705" w:rsidR="00263384">
        <w:rPr>
          <w:i/>
          <w:iCs/>
        </w:rPr>
        <w:t>See Policy and Rules Concerning Rates for Dominant Carrier</w:t>
      </w:r>
      <w:r w:rsidRPr="00095705" w:rsidR="00263384">
        <w:t xml:space="preserve">s, CC Docket No. 87-313, Order on Reconsideration, 6 FCC Rcd 2637, </w:t>
      </w:r>
      <w:r w:rsidRPr="00095705" w:rsidR="00DF06F5">
        <w:t>2706 n.207</w:t>
      </w:r>
      <w:r w:rsidRPr="00095705" w:rsidR="00263384">
        <w:t xml:space="preserve"> (1991).</w:t>
      </w:r>
    </w:p>
  </w:footnote>
  <w:footnote w:id="43">
    <w:p w:rsidR="00771E3E" w:rsidRPr="00095705" w:rsidP="00771E3E" w14:paraId="4B9B062E" w14:textId="5291842D">
      <w:pPr>
        <w:pStyle w:val="FootnoteText"/>
      </w:pPr>
      <w:r w:rsidRPr="00095705">
        <w:rPr>
          <w:rStyle w:val="FootnoteReference"/>
          <w:sz w:val="20"/>
        </w:rPr>
        <w:footnoteRef/>
      </w:r>
      <w:r w:rsidRPr="00095705">
        <w:t xml:space="preserve"> </w:t>
      </w:r>
      <w:r w:rsidRPr="00095705" w:rsidR="004011D7">
        <w:t>Joint</w:t>
      </w:r>
      <w:r w:rsidRPr="00095705">
        <w:t xml:space="preserve"> Waiver Pet</w:t>
      </w:r>
      <w:r w:rsidRPr="00095705" w:rsidR="004011D7">
        <w:t>ition</w:t>
      </w:r>
      <w:r w:rsidRPr="00095705" w:rsidR="00655E39">
        <w:t xml:space="preserve"> </w:t>
      </w:r>
      <w:r w:rsidRPr="00095705">
        <w:t>at 2</w:t>
      </w:r>
      <w:r w:rsidRPr="00095705" w:rsidR="00F21310">
        <w:t>.</w:t>
      </w:r>
      <w:r w:rsidRPr="00095705">
        <w:t xml:space="preserve"> </w:t>
      </w:r>
    </w:p>
  </w:footnote>
  <w:footnote w:id="44">
    <w:p w:rsidR="007B5524" w:rsidRPr="00095705" w:rsidP="004E7850" w14:paraId="610587C1" w14:textId="2627FDA5">
      <w:pPr>
        <w:pStyle w:val="FootnoteText"/>
      </w:pPr>
      <w:r w:rsidRPr="00095705">
        <w:rPr>
          <w:rStyle w:val="FootnoteReference"/>
          <w:sz w:val="20"/>
        </w:rPr>
        <w:footnoteRef/>
      </w:r>
      <w:r w:rsidRPr="00095705">
        <w:t xml:space="preserve"> </w:t>
      </w:r>
      <w:r w:rsidRPr="00095705" w:rsidR="00277195">
        <w:rPr>
          <w:i/>
          <w:iCs/>
        </w:rPr>
        <w:t>Id</w:t>
      </w:r>
      <w:r w:rsidRPr="00095705" w:rsidR="00277195">
        <w:t>.</w:t>
      </w:r>
      <w:r w:rsidRPr="00095705">
        <w:t xml:space="preserve"> at 2; </w:t>
      </w:r>
      <w:r w:rsidRPr="00095705" w:rsidR="000D58A1">
        <w:t xml:space="preserve">Fourth Supplement, </w:t>
      </w:r>
      <w:r w:rsidRPr="00095705" w:rsidR="000D58A1">
        <w:t>Exh</w:t>
      </w:r>
      <w:r w:rsidRPr="00095705" w:rsidR="000D58A1">
        <w:t>. D</w:t>
      </w:r>
      <w:r w:rsidRPr="00095705" w:rsidR="00277195">
        <w:t>, at 1</w:t>
      </w:r>
      <w:r w:rsidRPr="00095705">
        <w:t xml:space="preserve">.  </w:t>
      </w:r>
      <w:r w:rsidRPr="00095705" w:rsidR="007F5AEC">
        <w:t>While these two affiliates are technically rate-of-return carriers, they are not cost-based carriers receiving legacy support</w:t>
      </w:r>
      <w:r w:rsidRPr="00095705" w:rsidR="00A24B50">
        <w:t>, which would raise cost-shifting concerns for purposes of the Universal Service Fund</w:t>
      </w:r>
      <w:r w:rsidRPr="00095705" w:rsidR="007F5AEC">
        <w:t>.</w:t>
      </w:r>
      <w:r w:rsidRPr="00095705" w:rsidR="00B579FD">
        <w:t xml:space="preserve">  </w:t>
      </w:r>
    </w:p>
  </w:footnote>
  <w:footnote w:id="45">
    <w:p w:rsidR="00E14D72" w:rsidRPr="00095705" w14:paraId="62E1E5B0" w14:textId="15025520">
      <w:pPr>
        <w:pStyle w:val="FootnoteText"/>
      </w:pPr>
      <w:r w:rsidRPr="00095705">
        <w:rPr>
          <w:rStyle w:val="FootnoteReference"/>
          <w:sz w:val="20"/>
        </w:rPr>
        <w:footnoteRef/>
      </w:r>
      <w:r w:rsidRPr="00095705">
        <w:t xml:space="preserve"> Fourth Supplement, Decl. of Daniel M Miller, UP Fiber CEO, at 1 (committing “to prevent any entity or individual, including Mario Gabelli, to obtain (directly or indirectly) a 10% or greater equity or voting interest in UP Fiber if acquisition of such interest would result in UP Fiber becoming affiliated (pursuant to 47 U.S.C. § 153(2)) with a rate-of-return incumbent [LEC] receiving legacy High Cost Universal Service Fund Support, specifically [CAF BLS] and [HCLS] under Part 54, subparts K and M, of the Commission’s rules (or successor cost-based programs, if any)” and committing to provide the Commission with an annual certification to this effect)</w:t>
      </w:r>
      <w:r w:rsidRPr="00095705" w:rsidR="00B47AE3">
        <w:t xml:space="preserve">; </w:t>
      </w:r>
      <w:r w:rsidRPr="00095705" w:rsidR="00B47AE3">
        <w:rPr>
          <w:i/>
          <w:iCs/>
        </w:rPr>
        <w:t>s</w:t>
      </w:r>
      <w:r w:rsidRPr="00095705" w:rsidR="00C85236">
        <w:rPr>
          <w:i/>
          <w:iCs/>
        </w:rPr>
        <w:t>ee also</w:t>
      </w:r>
      <w:r w:rsidRPr="00095705" w:rsidR="00C63CA2">
        <w:rPr>
          <w:i/>
          <w:iCs/>
        </w:rPr>
        <w:t xml:space="preserve"> </w:t>
      </w:r>
      <w:r w:rsidRPr="00095705" w:rsidR="00C63CA2">
        <w:rPr>
          <w:i/>
        </w:rPr>
        <w:t>Consolidated Communications</w:t>
      </w:r>
      <w:r w:rsidRPr="00095705" w:rsidR="00C63CA2">
        <w:rPr>
          <w:i/>
          <w:iCs/>
        </w:rPr>
        <w:t xml:space="preserve"> Holdings, Inc., Petition for Waiver of Section 61.41(c) of the Commission’s Rules</w:t>
      </w:r>
      <w:r w:rsidRPr="00095705" w:rsidR="00C63CA2">
        <w:t>, WC Docket No. 15-74, Order, 30 FCC Rcd 10844, 10847, para. 9 n.33 (WCB 2015)</w:t>
      </w:r>
      <w:r w:rsidRPr="00095705" w:rsidR="00D4367B">
        <w:t xml:space="preserve"> (waiving the “all or nothing” rule </w:t>
      </w:r>
      <w:r w:rsidRPr="00095705" w:rsidR="00D42D87">
        <w:t xml:space="preserve">when rate-of-return carrier became </w:t>
      </w:r>
      <w:r w:rsidRPr="00095705" w:rsidR="001077C5">
        <w:t>affiliated with a price cap carrier)</w:t>
      </w:r>
      <w:r w:rsidRPr="00095705" w:rsidR="00C63CA2">
        <w:t xml:space="preserve">; </w:t>
      </w:r>
      <w:r w:rsidRPr="00095705" w:rsidR="004D1450">
        <w:rPr>
          <w:i/>
          <w:iCs/>
        </w:rPr>
        <w:t xml:space="preserve">and </w:t>
      </w:r>
      <w:r w:rsidRPr="00095705" w:rsidR="00C63CA2">
        <w:rPr>
          <w:i/>
          <w:iCs/>
        </w:rPr>
        <w:t>Connect America Fund et al</w:t>
      </w:r>
      <w:r w:rsidRPr="00095705" w:rsidR="00C63CA2">
        <w:t>., WC Docket Nos. 10-90 et al., Order, para. 1 (WCB 2014)</w:t>
      </w:r>
      <w:r w:rsidRPr="00095705" w:rsidR="00640AAD">
        <w:t xml:space="preserve"> (</w:t>
      </w:r>
      <w:r w:rsidRPr="00095705" w:rsidR="00B47AE3">
        <w:t xml:space="preserve">stating </w:t>
      </w:r>
      <w:r w:rsidRPr="00095705" w:rsidR="008F3195">
        <w:t xml:space="preserve">upon three </w:t>
      </w:r>
      <w:r w:rsidRPr="00095705" w:rsidR="00A07201">
        <w:t xml:space="preserve">rate-of-return local exchange carriers becoming affiliated with a price cap carrier, they were subject to </w:t>
      </w:r>
      <w:r w:rsidRPr="00095705" w:rsidR="00303584">
        <w:t xml:space="preserve">model-based high-cost support under </w:t>
      </w:r>
      <w:r w:rsidRPr="00095705" w:rsidR="00A07201">
        <w:t xml:space="preserve">Connect America </w:t>
      </w:r>
      <w:r w:rsidRPr="00095705" w:rsidR="00626569">
        <w:t xml:space="preserve">Fund </w:t>
      </w:r>
      <w:r w:rsidRPr="00095705" w:rsidR="00A07201">
        <w:t>Phase I and Phase II</w:t>
      </w:r>
      <w:r w:rsidRPr="00095705" w:rsidR="001B1054">
        <w:t>).</w:t>
      </w:r>
      <w:r w:rsidRPr="00095705" w:rsidR="0069343C">
        <w:t xml:space="preserve"> </w:t>
      </w:r>
    </w:p>
  </w:footnote>
  <w:footnote w:id="46">
    <w:p w:rsidR="00912CCD" w:rsidRPr="00095705" w:rsidP="00584FD8" w14:paraId="4321334C" w14:textId="046C2DF2">
      <w:pPr>
        <w:pStyle w:val="FootnoteText"/>
      </w:pPr>
      <w:r w:rsidRPr="00095705">
        <w:rPr>
          <w:rStyle w:val="FootnoteReference"/>
          <w:sz w:val="20"/>
        </w:rPr>
        <w:footnoteRef/>
      </w:r>
      <w:r w:rsidRPr="00095705">
        <w:t xml:space="preserve"> </w:t>
      </w:r>
      <w:r w:rsidRPr="00095705" w:rsidR="00064CDC">
        <w:rPr>
          <w:i/>
          <w:iCs/>
        </w:rPr>
        <w:t>See</w:t>
      </w:r>
      <w:r w:rsidRPr="00095705" w:rsidR="00064CDC">
        <w:t xml:space="preserve"> </w:t>
      </w:r>
      <w:r w:rsidRPr="00095705" w:rsidR="007B3550">
        <w:t>47 CFR § 1.3</w:t>
      </w:r>
      <w:r w:rsidRPr="00095705" w:rsidR="00064CDC">
        <w:t xml:space="preserve">; </w:t>
      </w:r>
      <w:r w:rsidRPr="00095705" w:rsidR="007B3550">
        <w:rPr>
          <w:i/>
          <w:iCs/>
        </w:rPr>
        <w:t>Northeast Cellular</w:t>
      </w:r>
      <w:r w:rsidRPr="00095705" w:rsidR="007B3550">
        <w:t xml:space="preserve">, 897 F.2d </w:t>
      </w:r>
      <w:r w:rsidRPr="00095705" w:rsidR="00064CDC">
        <w:t>at</w:t>
      </w:r>
      <w:r w:rsidRPr="00095705" w:rsidR="007B3550">
        <w:t xml:space="preserve"> 1166</w:t>
      </w:r>
      <w:r w:rsidRPr="00095705" w:rsidR="00064CDC">
        <w:t xml:space="preserve">; </w:t>
      </w:r>
      <w:r w:rsidRPr="00095705" w:rsidR="00A4026F">
        <w:rPr>
          <w:i/>
          <w:iCs/>
        </w:rPr>
        <w:t>WAIT Radio</w:t>
      </w:r>
      <w:r w:rsidRPr="00095705" w:rsidR="00A4026F">
        <w:t xml:space="preserve">, 418 F.2d </w:t>
      </w:r>
      <w:r w:rsidRPr="00095705" w:rsidR="00451457">
        <w:t>at</w:t>
      </w:r>
      <w:r w:rsidRPr="00095705" w:rsidR="00A4026F">
        <w:t xml:space="preserve"> 1159</w:t>
      </w:r>
      <w:r w:rsidRPr="00095705" w:rsidR="00451457">
        <w:t>.</w:t>
      </w:r>
      <w:r w:rsidRPr="00095705" w:rsidR="00A4026F">
        <w:t xml:space="preserve"> </w:t>
      </w:r>
    </w:p>
  </w:footnote>
  <w:footnote w:id="47">
    <w:p w:rsidR="00123085" w:rsidRPr="00095705" w14:paraId="725EFC30" w14:textId="51987959">
      <w:pPr>
        <w:pStyle w:val="FootnoteText"/>
      </w:pPr>
      <w:r w:rsidRPr="00095705">
        <w:rPr>
          <w:rStyle w:val="FootnoteReference"/>
          <w:sz w:val="20"/>
        </w:rPr>
        <w:footnoteRef/>
      </w:r>
      <w:r w:rsidRPr="00095705">
        <w:t xml:space="preserve"> </w:t>
      </w:r>
      <w:r w:rsidRPr="00095705" w:rsidR="00277195">
        <w:t>Second Supplement</w:t>
      </w:r>
      <w:r w:rsidRPr="00095705">
        <w:t xml:space="preserve"> at 1. </w:t>
      </w:r>
    </w:p>
  </w:footnote>
  <w:footnote w:id="48">
    <w:p w:rsidR="006116A1" w:rsidRPr="00095705" w:rsidP="00852319" w14:paraId="6B71A0EE" w14:textId="72760BC4">
      <w:pPr>
        <w:pStyle w:val="FootnoteText"/>
      </w:pPr>
      <w:r w:rsidRPr="00095705">
        <w:rPr>
          <w:rStyle w:val="FootnoteReference"/>
          <w:sz w:val="20"/>
        </w:rPr>
        <w:footnoteRef/>
      </w:r>
      <w:r w:rsidRPr="00095705">
        <w:t xml:space="preserve"> </w:t>
      </w:r>
      <w:r w:rsidRPr="00095705" w:rsidR="00852319">
        <w:t>47 CFR § 51.915(f)(5) (“Beginning July 1, 2019, a Price Cap carrier may no longer recover any amount related to revenue recovery under this paragraph from CAF ICC Support.”).</w:t>
      </w:r>
    </w:p>
  </w:footnote>
  <w:footnote w:id="49">
    <w:p w:rsidR="004B217C" w:rsidRPr="00095705" w14:paraId="2E6D6E7A" w14:textId="511A9EEA">
      <w:pPr>
        <w:pStyle w:val="FootnoteText"/>
      </w:pPr>
      <w:r w:rsidRPr="00095705">
        <w:rPr>
          <w:rStyle w:val="FootnoteReference"/>
          <w:sz w:val="20"/>
        </w:rPr>
        <w:footnoteRef/>
      </w:r>
      <w:r w:rsidRPr="00095705">
        <w:t xml:space="preserve"> </w:t>
      </w:r>
      <w:r w:rsidRPr="00095705" w:rsidR="00EB229C">
        <w:rPr>
          <w:i/>
          <w:iCs/>
        </w:rPr>
        <w:t>See Consolidated Waiver Order</w:t>
      </w:r>
      <w:r w:rsidRPr="00095705" w:rsidR="00EB229C">
        <w:t xml:space="preserve">, </w:t>
      </w:r>
      <w:r w:rsidRPr="00095705" w:rsidR="00916A8D">
        <w:t xml:space="preserve">37 </w:t>
      </w:r>
      <w:r w:rsidRPr="00095705" w:rsidR="00EB229C">
        <w:t xml:space="preserve">FCC Rcd at 4521, para. 16. </w:t>
      </w:r>
    </w:p>
  </w:footnote>
  <w:footnote w:id="50">
    <w:p w:rsidR="00F4672A" w:rsidRPr="00095705" w14:paraId="2528ED51" w14:textId="7BC1C6E4">
      <w:pPr>
        <w:pStyle w:val="FootnoteText"/>
      </w:pPr>
      <w:r w:rsidRPr="00095705">
        <w:rPr>
          <w:rStyle w:val="FootnoteReference"/>
          <w:sz w:val="20"/>
        </w:rPr>
        <w:footnoteRef/>
      </w:r>
      <w:r w:rsidRPr="00095705">
        <w:t xml:space="preserve"> </w:t>
      </w:r>
      <w:r w:rsidR="00CA4AA3">
        <w:t>Second</w:t>
      </w:r>
      <w:r w:rsidRPr="00095705" w:rsidR="00CA4AA3">
        <w:t xml:space="preserve"> </w:t>
      </w:r>
      <w:r w:rsidRPr="00095705" w:rsidR="006259A6">
        <w:t>Supplement</w:t>
      </w:r>
      <w:r w:rsidRPr="00095705">
        <w:t xml:space="preserve"> at 2. </w:t>
      </w:r>
    </w:p>
  </w:footnote>
  <w:footnote w:id="51">
    <w:p w:rsidR="00D61B76" w:rsidRPr="00095705" w14:paraId="2EBFA6B9" w14:textId="5E95358C">
      <w:pPr>
        <w:pStyle w:val="FootnoteText"/>
      </w:pPr>
      <w:r w:rsidRPr="00095705">
        <w:rPr>
          <w:rStyle w:val="FootnoteReference"/>
          <w:sz w:val="20"/>
        </w:rPr>
        <w:footnoteRef/>
      </w:r>
      <w:r w:rsidRPr="00095705">
        <w:t xml:space="preserve"> </w:t>
      </w:r>
      <w:r w:rsidRPr="00095705" w:rsidR="006259A6">
        <w:rPr>
          <w:i/>
          <w:iCs/>
        </w:rPr>
        <w:t>Id</w:t>
      </w:r>
      <w:r w:rsidRPr="00095705">
        <w:t>.</w:t>
      </w:r>
    </w:p>
  </w:footnote>
  <w:footnote w:id="52">
    <w:p w:rsidR="00276A7B" w:rsidRPr="00095705" w14:paraId="319FE6ED" w14:textId="4A9EAE9B">
      <w:pPr>
        <w:pStyle w:val="FootnoteText"/>
      </w:pPr>
      <w:r w:rsidRPr="00095705">
        <w:rPr>
          <w:rStyle w:val="FootnoteReference"/>
          <w:sz w:val="20"/>
        </w:rPr>
        <w:footnoteRef/>
      </w:r>
      <w:r w:rsidRPr="00095705">
        <w:t xml:space="preserve"> </w:t>
      </w:r>
      <w:r w:rsidRPr="00095705" w:rsidR="00397C06">
        <w:rPr>
          <w:i/>
          <w:iCs/>
        </w:rPr>
        <w:t xml:space="preserve">See </w:t>
      </w:r>
      <w:r w:rsidRPr="00095705" w:rsidR="00D61B76">
        <w:rPr>
          <w:i/>
          <w:iCs/>
        </w:rPr>
        <w:t>id</w:t>
      </w:r>
      <w:r w:rsidRPr="00095705">
        <w:t xml:space="preserve">. </w:t>
      </w:r>
    </w:p>
  </w:footnote>
  <w:footnote w:id="53">
    <w:p w:rsidR="008C189B" w:rsidRPr="00095705" w14:paraId="097A236F" w14:textId="7FB16665">
      <w:pPr>
        <w:pStyle w:val="FootnoteText"/>
      </w:pPr>
      <w:r w:rsidRPr="00095705">
        <w:rPr>
          <w:rStyle w:val="FootnoteReference"/>
          <w:sz w:val="20"/>
        </w:rPr>
        <w:footnoteRef/>
      </w:r>
      <w:r w:rsidRPr="00095705">
        <w:t xml:space="preserve"> </w:t>
      </w:r>
      <w:r w:rsidRPr="00095705">
        <w:rPr>
          <w:i/>
          <w:iCs/>
        </w:rPr>
        <w:t>Id.</w:t>
      </w:r>
      <w:r w:rsidRPr="00095705">
        <w:t xml:space="preserve"> at 2. </w:t>
      </w:r>
    </w:p>
  </w:footnote>
  <w:footnote w:id="54">
    <w:p w:rsidR="005955B7" w:rsidRPr="00095705" w14:paraId="798C1B82" w14:textId="7A75DE08">
      <w:pPr>
        <w:pStyle w:val="FootnoteText"/>
      </w:pPr>
      <w:r w:rsidRPr="00095705">
        <w:rPr>
          <w:rStyle w:val="FootnoteReference"/>
          <w:sz w:val="20"/>
        </w:rPr>
        <w:footnoteRef/>
      </w:r>
      <w:r w:rsidRPr="00095705">
        <w:t xml:space="preserve"> </w:t>
      </w:r>
      <w:r w:rsidRPr="00095705">
        <w:rPr>
          <w:i/>
          <w:iCs/>
        </w:rPr>
        <w:t>Id</w:t>
      </w:r>
      <w:r w:rsidRPr="00095705">
        <w:t>.</w:t>
      </w:r>
    </w:p>
  </w:footnote>
  <w:footnote w:id="55">
    <w:p w:rsidR="00CD4FEC" w:rsidRPr="00095705" w14:paraId="0406AA35" w14:textId="40D3976B">
      <w:pPr>
        <w:pStyle w:val="FootnoteText"/>
      </w:pPr>
      <w:r w:rsidRPr="00095705">
        <w:rPr>
          <w:rStyle w:val="FootnoteReference"/>
          <w:sz w:val="20"/>
        </w:rPr>
        <w:footnoteRef/>
      </w:r>
      <w:r w:rsidRPr="00095705">
        <w:t xml:space="preserve"> </w:t>
      </w:r>
      <w:r w:rsidRPr="00095705">
        <w:rPr>
          <w:i/>
          <w:iCs/>
        </w:rPr>
        <w:t>Id</w:t>
      </w:r>
      <w:r w:rsidRPr="00095705">
        <w:t xml:space="preserve">. at 3. </w:t>
      </w:r>
    </w:p>
  </w:footnote>
  <w:footnote w:id="56">
    <w:p w:rsidR="00983D81" w:rsidRPr="00095705" w14:paraId="2CD2FD76" w14:textId="4907E782">
      <w:pPr>
        <w:pStyle w:val="FootnoteText"/>
      </w:pPr>
      <w:r w:rsidRPr="00095705">
        <w:rPr>
          <w:rStyle w:val="FootnoteReference"/>
          <w:sz w:val="20"/>
        </w:rPr>
        <w:footnoteRef/>
      </w:r>
      <w:r w:rsidRPr="00095705">
        <w:t xml:space="preserve"> </w:t>
      </w:r>
      <w:r w:rsidRPr="00095705" w:rsidR="00D84385">
        <w:rPr>
          <w:i/>
          <w:iCs/>
        </w:rPr>
        <w:t xml:space="preserve">See </w:t>
      </w:r>
      <w:r w:rsidRPr="00095705" w:rsidR="00D84385">
        <w:t xml:space="preserve">47 U.S.C. </w:t>
      </w:r>
      <w:r w:rsidRPr="00095705" w:rsidR="00D700A6">
        <w:t xml:space="preserve">§ </w:t>
      </w:r>
      <w:r w:rsidRPr="00095705" w:rsidR="00D84385">
        <w:t>204(a)</w:t>
      </w:r>
      <w:r w:rsidRPr="00095705" w:rsidR="00A51371">
        <w:t xml:space="preserve">; 47 CFR </w:t>
      </w:r>
      <w:r w:rsidR="009B3E05">
        <w:t>§</w:t>
      </w:r>
      <w:r w:rsidRPr="00095705" w:rsidR="00E06EF4">
        <w:t xml:space="preserve">§ </w:t>
      </w:r>
      <w:r w:rsidRPr="00095705" w:rsidR="00A51371">
        <w:t>0.91</w:t>
      </w:r>
      <w:r w:rsidRPr="00095705" w:rsidR="00E06EF4">
        <w:t>, 0.291</w:t>
      </w:r>
      <w:r w:rsidRPr="00095705" w:rsidR="00D700A6">
        <w:t xml:space="preserve">; </w:t>
      </w:r>
      <w:r w:rsidRPr="00095705" w:rsidR="00D700A6">
        <w:rPr>
          <w:i/>
          <w:iCs/>
        </w:rPr>
        <w:t>s</w:t>
      </w:r>
      <w:r w:rsidRPr="00095705" w:rsidR="005B24AA">
        <w:rPr>
          <w:i/>
          <w:iCs/>
        </w:rPr>
        <w:t>ee, e.g.,</w:t>
      </w:r>
      <w:r w:rsidRPr="00095705" w:rsidR="005B24AA">
        <w:t xml:space="preserve"> </w:t>
      </w:r>
      <w:r w:rsidRPr="00095705" w:rsidR="005B24AA">
        <w:rPr>
          <w:i/>
          <w:iCs/>
        </w:rPr>
        <w:t>Northern Valley Communications, LLC Tariff No. 3</w:t>
      </w:r>
      <w:r w:rsidRPr="00095705" w:rsidR="005B24AA">
        <w:t xml:space="preserve">, WC Docket No. 20-11, Transmittal No. 12, </w:t>
      </w:r>
      <w:r w:rsidRPr="00095705" w:rsidR="00944CD4">
        <w:t xml:space="preserve">Order, </w:t>
      </w:r>
      <w:r w:rsidRPr="00095705" w:rsidR="00354185">
        <w:t xml:space="preserve">35 FCC Rcd 402 </w:t>
      </w:r>
      <w:r w:rsidRPr="00095705" w:rsidR="00944CD4">
        <w:t>(WCB/PPD 2020)</w:t>
      </w:r>
      <w:r w:rsidRPr="00095705" w:rsidR="00916C9D">
        <w:t>.</w:t>
      </w:r>
    </w:p>
  </w:footnote>
  <w:footnote w:id="57">
    <w:p w:rsidR="00303EE3" w:rsidRPr="00095705" w14:paraId="45185A8A" w14:textId="41CEAEC1">
      <w:pPr>
        <w:pStyle w:val="FootnoteText"/>
      </w:pPr>
      <w:r w:rsidRPr="00095705">
        <w:rPr>
          <w:rStyle w:val="FootnoteReference"/>
          <w:sz w:val="20"/>
        </w:rPr>
        <w:footnoteRef/>
      </w:r>
      <w:r w:rsidRPr="00095705">
        <w:t xml:space="preserve"> </w:t>
      </w:r>
      <w:r w:rsidRPr="00095705">
        <w:rPr>
          <w:i/>
          <w:iCs/>
        </w:rPr>
        <w:t xml:space="preserve">See </w:t>
      </w:r>
      <w:r w:rsidRPr="00095705">
        <w:t xml:space="preserve">47 CFR § 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52DBB5A" w14:textId="22037943">
    <w:pPr>
      <w:tabs>
        <w:tab w:val="center" w:pos="4680"/>
        <w:tab w:val="right" w:pos="9360"/>
      </w:tabs>
    </w:pPr>
    <w:r>
      <w:rPr>
        <w:b/>
      </w:rPr>
      <w:tab/>
      <w:t>Federal Communications Commission</w:t>
    </w:r>
    <w:r>
      <w:rPr>
        <w:b/>
      </w:rPr>
      <w:tab/>
    </w:r>
    <w:r w:rsidR="00227BA1">
      <w:rPr>
        <w:b/>
      </w:rPr>
      <w:t>DA 2</w:t>
    </w:r>
    <w:r w:rsidR="006B0D62">
      <w:rPr>
        <w:b/>
      </w:rPr>
      <w:t>6</w:t>
    </w:r>
    <w:r w:rsidR="00227BA1">
      <w:rPr>
        <w:b/>
      </w:rPr>
      <w:t>-</w:t>
    </w:r>
    <w:r w:rsidR="006B0D62">
      <w:rPr>
        <w:b/>
      </w:rPr>
      <w:t>181</w:t>
    </w:r>
  </w:p>
  <w:p w:rsidR="00BA3BA8" w14:paraId="66793785" w14:textId="7EE4E670">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5353E2A0"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2AC5FB22" w14:textId="5EEB975E">
    <w:pPr>
      <w:pStyle w:val="Header"/>
    </w:pPr>
    <w:r>
      <w:rPr>
        <w:noProof/>
      </w:rPr>
      <w:drawing>
        <wp:inline distT="0" distB="0" distL="0" distR="0">
          <wp:extent cx="59563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630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059305A"/>
    <w:multiLevelType w:val="multilevel"/>
    <w:tmpl w:val="57A4B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7">
    <w:nsid w:val="6A614CCE"/>
    <w:multiLevelType w:val="hybridMultilevel"/>
    <w:tmpl w:val="0F98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E20A48"/>
    <w:multiLevelType w:val="multilevel"/>
    <w:tmpl w:val="584238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223528">
    <w:abstractNumId w:val="2"/>
  </w:num>
  <w:num w:numId="2" w16cid:durableId="890339313">
    <w:abstractNumId w:val="6"/>
  </w:num>
  <w:num w:numId="3" w16cid:durableId="528419151">
    <w:abstractNumId w:val="4"/>
  </w:num>
  <w:num w:numId="4" w16cid:durableId="1245721454">
    <w:abstractNumId w:val="5"/>
  </w:num>
  <w:num w:numId="5" w16cid:durableId="1255556118">
    <w:abstractNumId w:val="3"/>
  </w:num>
  <w:num w:numId="6" w16cid:durableId="1286346123">
    <w:abstractNumId w:val="0"/>
  </w:num>
  <w:num w:numId="7" w16cid:durableId="2096245613">
    <w:abstractNumId w:val="7"/>
  </w:num>
  <w:num w:numId="8" w16cid:durableId="823476080">
    <w:abstractNumId w:val="1"/>
  </w:num>
  <w:num w:numId="9" w16cid:durableId="18316030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15"/>
    <w:rsid w:val="00001AFA"/>
    <w:rsid w:val="00001ED4"/>
    <w:rsid w:val="000023C8"/>
    <w:rsid w:val="00002E10"/>
    <w:rsid w:val="00002EAE"/>
    <w:rsid w:val="000044CC"/>
    <w:rsid w:val="0000580B"/>
    <w:rsid w:val="00005DB7"/>
    <w:rsid w:val="00006F52"/>
    <w:rsid w:val="000072DA"/>
    <w:rsid w:val="0000764A"/>
    <w:rsid w:val="00010AF0"/>
    <w:rsid w:val="00011203"/>
    <w:rsid w:val="00011507"/>
    <w:rsid w:val="000125F8"/>
    <w:rsid w:val="00012A3B"/>
    <w:rsid w:val="00014296"/>
    <w:rsid w:val="0001435C"/>
    <w:rsid w:val="000144CA"/>
    <w:rsid w:val="00014786"/>
    <w:rsid w:val="00014CFB"/>
    <w:rsid w:val="00015C8B"/>
    <w:rsid w:val="00015E42"/>
    <w:rsid w:val="00020605"/>
    <w:rsid w:val="00020CA1"/>
    <w:rsid w:val="00023210"/>
    <w:rsid w:val="0002473F"/>
    <w:rsid w:val="00024DE5"/>
    <w:rsid w:val="000258A1"/>
    <w:rsid w:val="000273BA"/>
    <w:rsid w:val="0002773E"/>
    <w:rsid w:val="00027C50"/>
    <w:rsid w:val="00027ED7"/>
    <w:rsid w:val="00032A3A"/>
    <w:rsid w:val="00032E44"/>
    <w:rsid w:val="00034155"/>
    <w:rsid w:val="000355E1"/>
    <w:rsid w:val="0003773E"/>
    <w:rsid w:val="00037838"/>
    <w:rsid w:val="00040D18"/>
    <w:rsid w:val="000418CB"/>
    <w:rsid w:val="00041977"/>
    <w:rsid w:val="000420DB"/>
    <w:rsid w:val="00044511"/>
    <w:rsid w:val="00045B67"/>
    <w:rsid w:val="000501BC"/>
    <w:rsid w:val="000506C7"/>
    <w:rsid w:val="0005203A"/>
    <w:rsid w:val="000522B6"/>
    <w:rsid w:val="00053C33"/>
    <w:rsid w:val="0005433C"/>
    <w:rsid w:val="00054EBC"/>
    <w:rsid w:val="00054F6F"/>
    <w:rsid w:val="0005524F"/>
    <w:rsid w:val="000562D4"/>
    <w:rsid w:val="00057098"/>
    <w:rsid w:val="00057899"/>
    <w:rsid w:val="0006043E"/>
    <w:rsid w:val="00060B65"/>
    <w:rsid w:val="00060B78"/>
    <w:rsid w:val="00061291"/>
    <w:rsid w:val="000639C2"/>
    <w:rsid w:val="0006472E"/>
    <w:rsid w:val="00064B2B"/>
    <w:rsid w:val="00064CDC"/>
    <w:rsid w:val="00066B9B"/>
    <w:rsid w:val="00066ED5"/>
    <w:rsid w:val="000678FC"/>
    <w:rsid w:val="000715F6"/>
    <w:rsid w:val="00071F0B"/>
    <w:rsid w:val="00072005"/>
    <w:rsid w:val="000721E8"/>
    <w:rsid w:val="00073939"/>
    <w:rsid w:val="000754F1"/>
    <w:rsid w:val="000756F0"/>
    <w:rsid w:val="00075A92"/>
    <w:rsid w:val="00076946"/>
    <w:rsid w:val="00077571"/>
    <w:rsid w:val="00077C93"/>
    <w:rsid w:val="00077F01"/>
    <w:rsid w:val="000802BB"/>
    <w:rsid w:val="00080732"/>
    <w:rsid w:val="00081FD5"/>
    <w:rsid w:val="000829C6"/>
    <w:rsid w:val="0008413B"/>
    <w:rsid w:val="00084CD6"/>
    <w:rsid w:val="0008592F"/>
    <w:rsid w:val="00085AC6"/>
    <w:rsid w:val="00085D6F"/>
    <w:rsid w:val="00090440"/>
    <w:rsid w:val="00090C28"/>
    <w:rsid w:val="00090CB3"/>
    <w:rsid w:val="00092842"/>
    <w:rsid w:val="0009421E"/>
    <w:rsid w:val="00094537"/>
    <w:rsid w:val="00095705"/>
    <w:rsid w:val="00096445"/>
    <w:rsid w:val="00097464"/>
    <w:rsid w:val="00097728"/>
    <w:rsid w:val="000A07A5"/>
    <w:rsid w:val="000A0899"/>
    <w:rsid w:val="000A0D26"/>
    <w:rsid w:val="000A0F72"/>
    <w:rsid w:val="000A2251"/>
    <w:rsid w:val="000A2FF6"/>
    <w:rsid w:val="000A42CE"/>
    <w:rsid w:val="000A55F0"/>
    <w:rsid w:val="000A59B0"/>
    <w:rsid w:val="000B0D34"/>
    <w:rsid w:val="000B0FEE"/>
    <w:rsid w:val="000B3B42"/>
    <w:rsid w:val="000B3C08"/>
    <w:rsid w:val="000B4F19"/>
    <w:rsid w:val="000B5AE4"/>
    <w:rsid w:val="000B6B22"/>
    <w:rsid w:val="000B75FC"/>
    <w:rsid w:val="000C0D35"/>
    <w:rsid w:val="000C6FE1"/>
    <w:rsid w:val="000C7E3F"/>
    <w:rsid w:val="000D16F9"/>
    <w:rsid w:val="000D1A5C"/>
    <w:rsid w:val="000D1DA9"/>
    <w:rsid w:val="000D356A"/>
    <w:rsid w:val="000D58A1"/>
    <w:rsid w:val="000D5FCE"/>
    <w:rsid w:val="000E0455"/>
    <w:rsid w:val="000E082F"/>
    <w:rsid w:val="000E1939"/>
    <w:rsid w:val="000E1BD8"/>
    <w:rsid w:val="000E1CD3"/>
    <w:rsid w:val="000E3877"/>
    <w:rsid w:val="000E39BF"/>
    <w:rsid w:val="000E462C"/>
    <w:rsid w:val="000E5AED"/>
    <w:rsid w:val="000E5B0D"/>
    <w:rsid w:val="000E7447"/>
    <w:rsid w:val="000E78A5"/>
    <w:rsid w:val="000F0BBF"/>
    <w:rsid w:val="000F2B30"/>
    <w:rsid w:val="000F422A"/>
    <w:rsid w:val="000F658D"/>
    <w:rsid w:val="000F687A"/>
    <w:rsid w:val="000F6E6E"/>
    <w:rsid w:val="000F7397"/>
    <w:rsid w:val="00100576"/>
    <w:rsid w:val="00100CF5"/>
    <w:rsid w:val="00102AE3"/>
    <w:rsid w:val="00102B45"/>
    <w:rsid w:val="00103088"/>
    <w:rsid w:val="00103ABB"/>
    <w:rsid w:val="001040C8"/>
    <w:rsid w:val="0010417C"/>
    <w:rsid w:val="001072D9"/>
    <w:rsid w:val="001077C5"/>
    <w:rsid w:val="001106B4"/>
    <w:rsid w:val="00113002"/>
    <w:rsid w:val="00113566"/>
    <w:rsid w:val="001142E9"/>
    <w:rsid w:val="00114776"/>
    <w:rsid w:val="00115F81"/>
    <w:rsid w:val="001204A2"/>
    <w:rsid w:val="001209F8"/>
    <w:rsid w:val="00122469"/>
    <w:rsid w:val="00122C8C"/>
    <w:rsid w:val="00123085"/>
    <w:rsid w:val="001235AD"/>
    <w:rsid w:val="00124029"/>
    <w:rsid w:val="00124199"/>
    <w:rsid w:val="00124953"/>
    <w:rsid w:val="00124ADD"/>
    <w:rsid w:val="0012650C"/>
    <w:rsid w:val="00127F42"/>
    <w:rsid w:val="00131D92"/>
    <w:rsid w:val="00132A1C"/>
    <w:rsid w:val="0013306E"/>
    <w:rsid w:val="00133DFA"/>
    <w:rsid w:val="001345D0"/>
    <w:rsid w:val="00135C42"/>
    <w:rsid w:val="00143CBF"/>
    <w:rsid w:val="00143D1B"/>
    <w:rsid w:val="001460AB"/>
    <w:rsid w:val="0014667B"/>
    <w:rsid w:val="00150B51"/>
    <w:rsid w:val="001523FD"/>
    <w:rsid w:val="00152C41"/>
    <w:rsid w:val="00152E62"/>
    <w:rsid w:val="00153541"/>
    <w:rsid w:val="00156C40"/>
    <w:rsid w:val="00160991"/>
    <w:rsid w:val="001622C3"/>
    <w:rsid w:val="00164E0A"/>
    <w:rsid w:val="001651E2"/>
    <w:rsid w:val="001656FE"/>
    <w:rsid w:val="00166E2C"/>
    <w:rsid w:val="00170FF4"/>
    <w:rsid w:val="001727B0"/>
    <w:rsid w:val="001729BF"/>
    <w:rsid w:val="00173F19"/>
    <w:rsid w:val="00177B23"/>
    <w:rsid w:val="00180846"/>
    <w:rsid w:val="00181AB5"/>
    <w:rsid w:val="00181EE1"/>
    <w:rsid w:val="0018443A"/>
    <w:rsid w:val="001846F2"/>
    <w:rsid w:val="0018541B"/>
    <w:rsid w:val="00187393"/>
    <w:rsid w:val="0019584C"/>
    <w:rsid w:val="00196A4D"/>
    <w:rsid w:val="00196A9B"/>
    <w:rsid w:val="00196EDD"/>
    <w:rsid w:val="001974FE"/>
    <w:rsid w:val="00197CA8"/>
    <w:rsid w:val="001A035D"/>
    <w:rsid w:val="001A1E3A"/>
    <w:rsid w:val="001A236E"/>
    <w:rsid w:val="001A2B7E"/>
    <w:rsid w:val="001A3202"/>
    <w:rsid w:val="001A44AC"/>
    <w:rsid w:val="001A46DC"/>
    <w:rsid w:val="001A498D"/>
    <w:rsid w:val="001A4B69"/>
    <w:rsid w:val="001A50C1"/>
    <w:rsid w:val="001A5115"/>
    <w:rsid w:val="001A698B"/>
    <w:rsid w:val="001A7110"/>
    <w:rsid w:val="001B0376"/>
    <w:rsid w:val="001B0BC5"/>
    <w:rsid w:val="001B0E87"/>
    <w:rsid w:val="001B1054"/>
    <w:rsid w:val="001B4751"/>
    <w:rsid w:val="001B4D2B"/>
    <w:rsid w:val="001B5CC1"/>
    <w:rsid w:val="001B5EDB"/>
    <w:rsid w:val="001C02DF"/>
    <w:rsid w:val="001C0F70"/>
    <w:rsid w:val="001C13FC"/>
    <w:rsid w:val="001C3415"/>
    <w:rsid w:val="001C373B"/>
    <w:rsid w:val="001C4CD7"/>
    <w:rsid w:val="001C5C83"/>
    <w:rsid w:val="001D17DD"/>
    <w:rsid w:val="001D44F4"/>
    <w:rsid w:val="001D5C28"/>
    <w:rsid w:val="001D5CE6"/>
    <w:rsid w:val="001D69AC"/>
    <w:rsid w:val="001D6A75"/>
    <w:rsid w:val="001D78F5"/>
    <w:rsid w:val="001D7C5F"/>
    <w:rsid w:val="001D7F69"/>
    <w:rsid w:val="001E025E"/>
    <w:rsid w:val="001E0ACB"/>
    <w:rsid w:val="001E215F"/>
    <w:rsid w:val="001E5D27"/>
    <w:rsid w:val="001E5F24"/>
    <w:rsid w:val="001E7ABE"/>
    <w:rsid w:val="001F25FF"/>
    <w:rsid w:val="001F269B"/>
    <w:rsid w:val="001F29CA"/>
    <w:rsid w:val="001F379B"/>
    <w:rsid w:val="001F3CF7"/>
    <w:rsid w:val="001F4A6F"/>
    <w:rsid w:val="001F51F0"/>
    <w:rsid w:val="001F7880"/>
    <w:rsid w:val="00200A3B"/>
    <w:rsid w:val="002011E0"/>
    <w:rsid w:val="00204B93"/>
    <w:rsid w:val="00204C75"/>
    <w:rsid w:val="00206550"/>
    <w:rsid w:val="00206821"/>
    <w:rsid w:val="00207218"/>
    <w:rsid w:val="00207277"/>
    <w:rsid w:val="00210216"/>
    <w:rsid w:val="00210815"/>
    <w:rsid w:val="00210A4C"/>
    <w:rsid w:val="00213C6F"/>
    <w:rsid w:val="00214178"/>
    <w:rsid w:val="002177D5"/>
    <w:rsid w:val="00217D49"/>
    <w:rsid w:val="0022021D"/>
    <w:rsid w:val="00220B21"/>
    <w:rsid w:val="00220F45"/>
    <w:rsid w:val="00221273"/>
    <w:rsid w:val="00222979"/>
    <w:rsid w:val="00224260"/>
    <w:rsid w:val="0022458B"/>
    <w:rsid w:val="00226169"/>
    <w:rsid w:val="002267B3"/>
    <w:rsid w:val="00227BA1"/>
    <w:rsid w:val="0023152E"/>
    <w:rsid w:val="00231F18"/>
    <w:rsid w:val="00232025"/>
    <w:rsid w:val="00232B3C"/>
    <w:rsid w:val="00232D72"/>
    <w:rsid w:val="00233A92"/>
    <w:rsid w:val="00234278"/>
    <w:rsid w:val="00234384"/>
    <w:rsid w:val="002344A5"/>
    <w:rsid w:val="0023603C"/>
    <w:rsid w:val="00243A78"/>
    <w:rsid w:val="00245034"/>
    <w:rsid w:val="00245D74"/>
    <w:rsid w:val="00246AA8"/>
    <w:rsid w:val="0024719A"/>
    <w:rsid w:val="002508E4"/>
    <w:rsid w:val="00250A94"/>
    <w:rsid w:val="0025241A"/>
    <w:rsid w:val="00257803"/>
    <w:rsid w:val="00260243"/>
    <w:rsid w:val="002610F6"/>
    <w:rsid w:val="00261730"/>
    <w:rsid w:val="00263205"/>
    <w:rsid w:val="00263384"/>
    <w:rsid w:val="00266341"/>
    <w:rsid w:val="0026642D"/>
    <w:rsid w:val="00270666"/>
    <w:rsid w:val="00271EAB"/>
    <w:rsid w:val="0027287C"/>
    <w:rsid w:val="00272B0A"/>
    <w:rsid w:val="00274502"/>
    <w:rsid w:val="002751E7"/>
    <w:rsid w:val="00275AFD"/>
    <w:rsid w:val="00276117"/>
    <w:rsid w:val="00276A7B"/>
    <w:rsid w:val="00277195"/>
    <w:rsid w:val="00283618"/>
    <w:rsid w:val="0028580A"/>
    <w:rsid w:val="00285CF5"/>
    <w:rsid w:val="0029064A"/>
    <w:rsid w:val="0029095F"/>
    <w:rsid w:val="00290EF2"/>
    <w:rsid w:val="00291215"/>
    <w:rsid w:val="002913F4"/>
    <w:rsid w:val="00291619"/>
    <w:rsid w:val="002920CB"/>
    <w:rsid w:val="00292744"/>
    <w:rsid w:val="00296173"/>
    <w:rsid w:val="00296B06"/>
    <w:rsid w:val="00296B98"/>
    <w:rsid w:val="002A0A40"/>
    <w:rsid w:val="002A11A0"/>
    <w:rsid w:val="002A19B0"/>
    <w:rsid w:val="002A2FEF"/>
    <w:rsid w:val="002B0040"/>
    <w:rsid w:val="002B0589"/>
    <w:rsid w:val="002B1971"/>
    <w:rsid w:val="002B4DB2"/>
    <w:rsid w:val="002B7DD7"/>
    <w:rsid w:val="002C1456"/>
    <w:rsid w:val="002C4ABC"/>
    <w:rsid w:val="002C5784"/>
    <w:rsid w:val="002C7F3E"/>
    <w:rsid w:val="002D16DF"/>
    <w:rsid w:val="002D232D"/>
    <w:rsid w:val="002D458F"/>
    <w:rsid w:val="002D4849"/>
    <w:rsid w:val="002D5ECB"/>
    <w:rsid w:val="002D6026"/>
    <w:rsid w:val="002D6456"/>
    <w:rsid w:val="002D7D89"/>
    <w:rsid w:val="002E18BA"/>
    <w:rsid w:val="002E31FF"/>
    <w:rsid w:val="002E4C60"/>
    <w:rsid w:val="002E5802"/>
    <w:rsid w:val="002E5AC2"/>
    <w:rsid w:val="002E7042"/>
    <w:rsid w:val="002E7AA2"/>
    <w:rsid w:val="002F1EF4"/>
    <w:rsid w:val="002F489D"/>
    <w:rsid w:val="002F7040"/>
    <w:rsid w:val="00301FE8"/>
    <w:rsid w:val="00302726"/>
    <w:rsid w:val="00303584"/>
    <w:rsid w:val="00303EE3"/>
    <w:rsid w:val="0030435A"/>
    <w:rsid w:val="00304B5D"/>
    <w:rsid w:val="00305EEA"/>
    <w:rsid w:val="00307593"/>
    <w:rsid w:val="00307A18"/>
    <w:rsid w:val="00310204"/>
    <w:rsid w:val="0031094B"/>
    <w:rsid w:val="0031169F"/>
    <w:rsid w:val="0031199B"/>
    <w:rsid w:val="00311D9B"/>
    <w:rsid w:val="003139A5"/>
    <w:rsid w:val="00313C3F"/>
    <w:rsid w:val="00313C6D"/>
    <w:rsid w:val="00314405"/>
    <w:rsid w:val="0031460C"/>
    <w:rsid w:val="00320597"/>
    <w:rsid w:val="00322897"/>
    <w:rsid w:val="00323875"/>
    <w:rsid w:val="00326DF2"/>
    <w:rsid w:val="00327466"/>
    <w:rsid w:val="003277AA"/>
    <w:rsid w:val="0033190F"/>
    <w:rsid w:val="00331E53"/>
    <w:rsid w:val="003329A0"/>
    <w:rsid w:val="00333766"/>
    <w:rsid w:val="003350A2"/>
    <w:rsid w:val="003354A6"/>
    <w:rsid w:val="00335946"/>
    <w:rsid w:val="00336F60"/>
    <w:rsid w:val="003376E1"/>
    <w:rsid w:val="00342D18"/>
    <w:rsid w:val="003447CE"/>
    <w:rsid w:val="00344903"/>
    <w:rsid w:val="00344FFB"/>
    <w:rsid w:val="00347405"/>
    <w:rsid w:val="003521AB"/>
    <w:rsid w:val="00353A37"/>
    <w:rsid w:val="00354185"/>
    <w:rsid w:val="0035651F"/>
    <w:rsid w:val="00356B06"/>
    <w:rsid w:val="00360148"/>
    <w:rsid w:val="003605D8"/>
    <w:rsid w:val="00360EEF"/>
    <w:rsid w:val="00361A85"/>
    <w:rsid w:val="00361DA9"/>
    <w:rsid w:val="00361EA0"/>
    <w:rsid w:val="0036253B"/>
    <w:rsid w:val="00362DB4"/>
    <w:rsid w:val="00362E6F"/>
    <w:rsid w:val="00365538"/>
    <w:rsid w:val="003676B3"/>
    <w:rsid w:val="003714DA"/>
    <w:rsid w:val="0037162A"/>
    <w:rsid w:val="003729DF"/>
    <w:rsid w:val="00372E4F"/>
    <w:rsid w:val="0037319D"/>
    <w:rsid w:val="003732EE"/>
    <w:rsid w:val="00374482"/>
    <w:rsid w:val="00374AA3"/>
    <w:rsid w:val="0037509D"/>
    <w:rsid w:val="003760B0"/>
    <w:rsid w:val="003760F6"/>
    <w:rsid w:val="00376348"/>
    <w:rsid w:val="003778B4"/>
    <w:rsid w:val="003805AC"/>
    <w:rsid w:val="003806C6"/>
    <w:rsid w:val="00380BAD"/>
    <w:rsid w:val="00380DF5"/>
    <w:rsid w:val="00381257"/>
    <w:rsid w:val="00381771"/>
    <w:rsid w:val="003819C8"/>
    <w:rsid w:val="003843AC"/>
    <w:rsid w:val="00384AFB"/>
    <w:rsid w:val="0038537E"/>
    <w:rsid w:val="00390C4A"/>
    <w:rsid w:val="003925A7"/>
    <w:rsid w:val="00392B9B"/>
    <w:rsid w:val="00393577"/>
    <w:rsid w:val="00393DD7"/>
    <w:rsid w:val="003947C2"/>
    <w:rsid w:val="0039505A"/>
    <w:rsid w:val="00396320"/>
    <w:rsid w:val="00397C06"/>
    <w:rsid w:val="003A13C0"/>
    <w:rsid w:val="003A26FF"/>
    <w:rsid w:val="003A2A78"/>
    <w:rsid w:val="003A3148"/>
    <w:rsid w:val="003A338C"/>
    <w:rsid w:val="003A46CE"/>
    <w:rsid w:val="003A5C8A"/>
    <w:rsid w:val="003B00C3"/>
    <w:rsid w:val="003B07B8"/>
    <w:rsid w:val="003B1C20"/>
    <w:rsid w:val="003B37F7"/>
    <w:rsid w:val="003B3AFF"/>
    <w:rsid w:val="003B4843"/>
    <w:rsid w:val="003B4968"/>
    <w:rsid w:val="003B4C13"/>
    <w:rsid w:val="003B5697"/>
    <w:rsid w:val="003B5BAE"/>
    <w:rsid w:val="003B5D85"/>
    <w:rsid w:val="003B7FF1"/>
    <w:rsid w:val="003C24DC"/>
    <w:rsid w:val="003C2F2C"/>
    <w:rsid w:val="003C5B87"/>
    <w:rsid w:val="003C6935"/>
    <w:rsid w:val="003D08B4"/>
    <w:rsid w:val="003D1982"/>
    <w:rsid w:val="003D1D8B"/>
    <w:rsid w:val="003D2789"/>
    <w:rsid w:val="003D4640"/>
    <w:rsid w:val="003D46F6"/>
    <w:rsid w:val="003D55B7"/>
    <w:rsid w:val="003D726B"/>
    <w:rsid w:val="003E28E6"/>
    <w:rsid w:val="003E620B"/>
    <w:rsid w:val="003E6FF9"/>
    <w:rsid w:val="003F1321"/>
    <w:rsid w:val="003F237C"/>
    <w:rsid w:val="003F241A"/>
    <w:rsid w:val="003F2524"/>
    <w:rsid w:val="003F48C2"/>
    <w:rsid w:val="003F627E"/>
    <w:rsid w:val="003F63BB"/>
    <w:rsid w:val="003F6834"/>
    <w:rsid w:val="004011D7"/>
    <w:rsid w:val="004022F8"/>
    <w:rsid w:val="00405C33"/>
    <w:rsid w:val="00406650"/>
    <w:rsid w:val="00407134"/>
    <w:rsid w:val="004071A9"/>
    <w:rsid w:val="004167F9"/>
    <w:rsid w:val="004204F3"/>
    <w:rsid w:val="004206C1"/>
    <w:rsid w:val="0042159C"/>
    <w:rsid w:val="0042359A"/>
    <w:rsid w:val="004235D8"/>
    <w:rsid w:val="00423E1D"/>
    <w:rsid w:val="00425283"/>
    <w:rsid w:val="004254B0"/>
    <w:rsid w:val="00425CEA"/>
    <w:rsid w:val="004263D9"/>
    <w:rsid w:val="004272E4"/>
    <w:rsid w:val="00427FC5"/>
    <w:rsid w:val="00430183"/>
    <w:rsid w:val="004309F5"/>
    <w:rsid w:val="00430ECB"/>
    <w:rsid w:val="0043162D"/>
    <w:rsid w:val="00434037"/>
    <w:rsid w:val="00435FAE"/>
    <w:rsid w:val="00436200"/>
    <w:rsid w:val="004364A5"/>
    <w:rsid w:val="004365B0"/>
    <w:rsid w:val="00436F3F"/>
    <w:rsid w:val="00437B01"/>
    <w:rsid w:val="00442037"/>
    <w:rsid w:val="004425DA"/>
    <w:rsid w:val="00443C2D"/>
    <w:rsid w:val="00444C5C"/>
    <w:rsid w:val="00444C92"/>
    <w:rsid w:val="00445E9F"/>
    <w:rsid w:val="00446B93"/>
    <w:rsid w:val="0045053A"/>
    <w:rsid w:val="0045086D"/>
    <w:rsid w:val="00451457"/>
    <w:rsid w:val="00451DBB"/>
    <w:rsid w:val="00453016"/>
    <w:rsid w:val="00453303"/>
    <w:rsid w:val="00453876"/>
    <w:rsid w:val="0045429D"/>
    <w:rsid w:val="004549A9"/>
    <w:rsid w:val="00455DD3"/>
    <w:rsid w:val="00456865"/>
    <w:rsid w:val="00457269"/>
    <w:rsid w:val="004601F1"/>
    <w:rsid w:val="00466EB6"/>
    <w:rsid w:val="004702D2"/>
    <w:rsid w:val="00470D39"/>
    <w:rsid w:val="004713B0"/>
    <w:rsid w:val="00473AAD"/>
    <w:rsid w:val="00474768"/>
    <w:rsid w:val="00477867"/>
    <w:rsid w:val="004800DD"/>
    <w:rsid w:val="00480887"/>
    <w:rsid w:val="00480C5D"/>
    <w:rsid w:val="0048498D"/>
    <w:rsid w:val="00485E0E"/>
    <w:rsid w:val="004865BC"/>
    <w:rsid w:val="00487552"/>
    <w:rsid w:val="0048798D"/>
    <w:rsid w:val="00490BCE"/>
    <w:rsid w:val="00491364"/>
    <w:rsid w:val="00491B38"/>
    <w:rsid w:val="00493C40"/>
    <w:rsid w:val="00494B08"/>
    <w:rsid w:val="00497E4F"/>
    <w:rsid w:val="004A2683"/>
    <w:rsid w:val="004A3706"/>
    <w:rsid w:val="004A3D38"/>
    <w:rsid w:val="004A4FA7"/>
    <w:rsid w:val="004A5BCF"/>
    <w:rsid w:val="004A6495"/>
    <w:rsid w:val="004A7358"/>
    <w:rsid w:val="004A7CA9"/>
    <w:rsid w:val="004B091F"/>
    <w:rsid w:val="004B0ECB"/>
    <w:rsid w:val="004B0F4E"/>
    <w:rsid w:val="004B217C"/>
    <w:rsid w:val="004B2700"/>
    <w:rsid w:val="004B28A1"/>
    <w:rsid w:val="004B34E6"/>
    <w:rsid w:val="004B5933"/>
    <w:rsid w:val="004B61D8"/>
    <w:rsid w:val="004B7DA1"/>
    <w:rsid w:val="004C246A"/>
    <w:rsid w:val="004C2AE5"/>
    <w:rsid w:val="004C3770"/>
    <w:rsid w:val="004C4B6C"/>
    <w:rsid w:val="004C4D50"/>
    <w:rsid w:val="004C4FB3"/>
    <w:rsid w:val="004C642B"/>
    <w:rsid w:val="004C72E4"/>
    <w:rsid w:val="004D1450"/>
    <w:rsid w:val="004D2B0C"/>
    <w:rsid w:val="004D333A"/>
    <w:rsid w:val="004D3A37"/>
    <w:rsid w:val="004D4147"/>
    <w:rsid w:val="004D41DB"/>
    <w:rsid w:val="004D437B"/>
    <w:rsid w:val="004D45A7"/>
    <w:rsid w:val="004D4D2C"/>
    <w:rsid w:val="004D5288"/>
    <w:rsid w:val="004D5BCD"/>
    <w:rsid w:val="004D60A3"/>
    <w:rsid w:val="004D6573"/>
    <w:rsid w:val="004D6934"/>
    <w:rsid w:val="004D6C56"/>
    <w:rsid w:val="004D7379"/>
    <w:rsid w:val="004E0274"/>
    <w:rsid w:val="004E287E"/>
    <w:rsid w:val="004E2D93"/>
    <w:rsid w:val="004E3680"/>
    <w:rsid w:val="004E44C1"/>
    <w:rsid w:val="004E7850"/>
    <w:rsid w:val="004E78D5"/>
    <w:rsid w:val="004F2083"/>
    <w:rsid w:val="004F24F3"/>
    <w:rsid w:val="004F2566"/>
    <w:rsid w:val="004F2A08"/>
    <w:rsid w:val="004F3017"/>
    <w:rsid w:val="004F4CB1"/>
    <w:rsid w:val="004F4D0C"/>
    <w:rsid w:val="004F5B3E"/>
    <w:rsid w:val="004F62DE"/>
    <w:rsid w:val="00500469"/>
    <w:rsid w:val="00500C04"/>
    <w:rsid w:val="0050162D"/>
    <w:rsid w:val="005047A0"/>
    <w:rsid w:val="00504A6F"/>
    <w:rsid w:val="00511247"/>
    <w:rsid w:val="00511ACD"/>
    <w:rsid w:val="0051228A"/>
    <w:rsid w:val="005125D3"/>
    <w:rsid w:val="005128E8"/>
    <w:rsid w:val="00521470"/>
    <w:rsid w:val="00521719"/>
    <w:rsid w:val="00523138"/>
    <w:rsid w:val="00523D82"/>
    <w:rsid w:val="00523F87"/>
    <w:rsid w:val="00524467"/>
    <w:rsid w:val="00524606"/>
    <w:rsid w:val="0052465F"/>
    <w:rsid w:val="00524C46"/>
    <w:rsid w:val="00527153"/>
    <w:rsid w:val="00527C87"/>
    <w:rsid w:val="00527E49"/>
    <w:rsid w:val="00530342"/>
    <w:rsid w:val="005315E1"/>
    <w:rsid w:val="00531CCB"/>
    <w:rsid w:val="0053245A"/>
    <w:rsid w:val="005324D8"/>
    <w:rsid w:val="005346C3"/>
    <w:rsid w:val="005347B2"/>
    <w:rsid w:val="00535296"/>
    <w:rsid w:val="0053587F"/>
    <w:rsid w:val="00535DE1"/>
    <w:rsid w:val="005410A2"/>
    <w:rsid w:val="0054180F"/>
    <w:rsid w:val="00542CC7"/>
    <w:rsid w:val="00543240"/>
    <w:rsid w:val="00543A5D"/>
    <w:rsid w:val="0054466D"/>
    <w:rsid w:val="00544D51"/>
    <w:rsid w:val="00545D70"/>
    <w:rsid w:val="0054682A"/>
    <w:rsid w:val="00546C43"/>
    <w:rsid w:val="00552A6F"/>
    <w:rsid w:val="00553284"/>
    <w:rsid w:val="0055338F"/>
    <w:rsid w:val="005543BF"/>
    <w:rsid w:val="00555130"/>
    <w:rsid w:val="00555189"/>
    <w:rsid w:val="005552E4"/>
    <w:rsid w:val="005569A5"/>
    <w:rsid w:val="00557D88"/>
    <w:rsid w:val="00560327"/>
    <w:rsid w:val="00560E51"/>
    <w:rsid w:val="0056358A"/>
    <w:rsid w:val="00565000"/>
    <w:rsid w:val="0056560A"/>
    <w:rsid w:val="00566197"/>
    <w:rsid w:val="005667D2"/>
    <w:rsid w:val="00566935"/>
    <w:rsid w:val="00566DBF"/>
    <w:rsid w:val="005672C3"/>
    <w:rsid w:val="005674F6"/>
    <w:rsid w:val="00570499"/>
    <w:rsid w:val="005704A8"/>
    <w:rsid w:val="0057151B"/>
    <w:rsid w:val="005715F7"/>
    <w:rsid w:val="00572DF6"/>
    <w:rsid w:val="005736E7"/>
    <w:rsid w:val="00574A87"/>
    <w:rsid w:val="0057718E"/>
    <w:rsid w:val="005777AB"/>
    <w:rsid w:val="00577808"/>
    <w:rsid w:val="00577AA9"/>
    <w:rsid w:val="00580190"/>
    <w:rsid w:val="0058038A"/>
    <w:rsid w:val="00580612"/>
    <w:rsid w:val="00581129"/>
    <w:rsid w:val="00581469"/>
    <w:rsid w:val="00584C6E"/>
    <w:rsid w:val="00584FD8"/>
    <w:rsid w:val="00585642"/>
    <w:rsid w:val="00586E39"/>
    <w:rsid w:val="00587924"/>
    <w:rsid w:val="00587AB5"/>
    <w:rsid w:val="00590794"/>
    <w:rsid w:val="00590D18"/>
    <w:rsid w:val="00590F69"/>
    <w:rsid w:val="005912A8"/>
    <w:rsid w:val="00593F60"/>
    <w:rsid w:val="0059545A"/>
    <w:rsid w:val="005955B7"/>
    <w:rsid w:val="005969DE"/>
    <w:rsid w:val="00596FF0"/>
    <w:rsid w:val="00597414"/>
    <w:rsid w:val="005A0523"/>
    <w:rsid w:val="005A0A08"/>
    <w:rsid w:val="005A1519"/>
    <w:rsid w:val="005A5F06"/>
    <w:rsid w:val="005A5F6D"/>
    <w:rsid w:val="005A64BB"/>
    <w:rsid w:val="005A6AD3"/>
    <w:rsid w:val="005A6DD0"/>
    <w:rsid w:val="005A777C"/>
    <w:rsid w:val="005A7C59"/>
    <w:rsid w:val="005B0F94"/>
    <w:rsid w:val="005B11D5"/>
    <w:rsid w:val="005B24AA"/>
    <w:rsid w:val="005B24ED"/>
    <w:rsid w:val="005B28CD"/>
    <w:rsid w:val="005B2D67"/>
    <w:rsid w:val="005B3707"/>
    <w:rsid w:val="005B40F9"/>
    <w:rsid w:val="005B430E"/>
    <w:rsid w:val="005B483A"/>
    <w:rsid w:val="005B55A0"/>
    <w:rsid w:val="005B7B4D"/>
    <w:rsid w:val="005C0D26"/>
    <w:rsid w:val="005C1712"/>
    <w:rsid w:val="005C225B"/>
    <w:rsid w:val="005C40ED"/>
    <w:rsid w:val="005D0103"/>
    <w:rsid w:val="005D1E23"/>
    <w:rsid w:val="005D290A"/>
    <w:rsid w:val="005D34F0"/>
    <w:rsid w:val="005D3797"/>
    <w:rsid w:val="005D37CE"/>
    <w:rsid w:val="005D3F17"/>
    <w:rsid w:val="005D5279"/>
    <w:rsid w:val="005D5847"/>
    <w:rsid w:val="005D64A1"/>
    <w:rsid w:val="005D7BFD"/>
    <w:rsid w:val="005E05C1"/>
    <w:rsid w:val="005E24A1"/>
    <w:rsid w:val="005E2548"/>
    <w:rsid w:val="005E2BE0"/>
    <w:rsid w:val="005E4E0F"/>
    <w:rsid w:val="005E5C92"/>
    <w:rsid w:val="005F1CFA"/>
    <w:rsid w:val="005F1DEA"/>
    <w:rsid w:val="005F4447"/>
    <w:rsid w:val="005F45B1"/>
    <w:rsid w:val="005F569A"/>
    <w:rsid w:val="005F6A2B"/>
    <w:rsid w:val="005F6CD2"/>
    <w:rsid w:val="005F7D5F"/>
    <w:rsid w:val="0060104E"/>
    <w:rsid w:val="006015E2"/>
    <w:rsid w:val="00601BA2"/>
    <w:rsid w:val="00601BD6"/>
    <w:rsid w:val="0060280F"/>
    <w:rsid w:val="00604296"/>
    <w:rsid w:val="006065FB"/>
    <w:rsid w:val="00610073"/>
    <w:rsid w:val="006103EA"/>
    <w:rsid w:val="00610CA1"/>
    <w:rsid w:val="00610DE6"/>
    <w:rsid w:val="006116A1"/>
    <w:rsid w:val="00612238"/>
    <w:rsid w:val="00612D68"/>
    <w:rsid w:val="006145FD"/>
    <w:rsid w:val="0061752F"/>
    <w:rsid w:val="00620006"/>
    <w:rsid w:val="00621D79"/>
    <w:rsid w:val="006247C1"/>
    <w:rsid w:val="006255B4"/>
    <w:rsid w:val="006259A6"/>
    <w:rsid w:val="00626569"/>
    <w:rsid w:val="00626672"/>
    <w:rsid w:val="00627C51"/>
    <w:rsid w:val="0063001D"/>
    <w:rsid w:val="00630549"/>
    <w:rsid w:val="00630F7A"/>
    <w:rsid w:val="0063217B"/>
    <w:rsid w:val="00633977"/>
    <w:rsid w:val="006341FE"/>
    <w:rsid w:val="0063468B"/>
    <w:rsid w:val="006355A0"/>
    <w:rsid w:val="00637188"/>
    <w:rsid w:val="00637A77"/>
    <w:rsid w:val="00640717"/>
    <w:rsid w:val="00640AAD"/>
    <w:rsid w:val="00640C97"/>
    <w:rsid w:val="006418B8"/>
    <w:rsid w:val="006419EA"/>
    <w:rsid w:val="00641B4F"/>
    <w:rsid w:val="00642682"/>
    <w:rsid w:val="006427A4"/>
    <w:rsid w:val="00642BB6"/>
    <w:rsid w:val="0064525A"/>
    <w:rsid w:val="006457F8"/>
    <w:rsid w:val="00645FD1"/>
    <w:rsid w:val="00646878"/>
    <w:rsid w:val="00646E2C"/>
    <w:rsid w:val="00646F8A"/>
    <w:rsid w:val="006478B4"/>
    <w:rsid w:val="00647904"/>
    <w:rsid w:val="00647C47"/>
    <w:rsid w:val="006509F2"/>
    <w:rsid w:val="00651A1F"/>
    <w:rsid w:val="00652768"/>
    <w:rsid w:val="00652EEA"/>
    <w:rsid w:val="00653D4F"/>
    <w:rsid w:val="00654C35"/>
    <w:rsid w:val="006553AC"/>
    <w:rsid w:val="00655E39"/>
    <w:rsid w:val="00657C02"/>
    <w:rsid w:val="0066064F"/>
    <w:rsid w:val="00661CE4"/>
    <w:rsid w:val="006628BA"/>
    <w:rsid w:val="00664879"/>
    <w:rsid w:val="0066592E"/>
    <w:rsid w:val="0066703A"/>
    <w:rsid w:val="006670FB"/>
    <w:rsid w:val="00670626"/>
    <w:rsid w:val="00671B0C"/>
    <w:rsid w:val="006738F4"/>
    <w:rsid w:val="006744CE"/>
    <w:rsid w:val="00674BA1"/>
    <w:rsid w:val="00674E9B"/>
    <w:rsid w:val="00674EF0"/>
    <w:rsid w:val="006757C0"/>
    <w:rsid w:val="006759DA"/>
    <w:rsid w:val="00675ECB"/>
    <w:rsid w:val="006764D0"/>
    <w:rsid w:val="00676A5D"/>
    <w:rsid w:val="00680147"/>
    <w:rsid w:val="00686EDB"/>
    <w:rsid w:val="00687017"/>
    <w:rsid w:val="00687E5B"/>
    <w:rsid w:val="00690005"/>
    <w:rsid w:val="006902CF"/>
    <w:rsid w:val="00690EFB"/>
    <w:rsid w:val="0069170E"/>
    <w:rsid w:val="00692457"/>
    <w:rsid w:val="0069297D"/>
    <w:rsid w:val="0069343C"/>
    <w:rsid w:val="00693D49"/>
    <w:rsid w:val="00695AD7"/>
    <w:rsid w:val="0069658D"/>
    <w:rsid w:val="006973A5"/>
    <w:rsid w:val="0069747A"/>
    <w:rsid w:val="00697541"/>
    <w:rsid w:val="006A0598"/>
    <w:rsid w:val="006A4727"/>
    <w:rsid w:val="006A5216"/>
    <w:rsid w:val="006A556F"/>
    <w:rsid w:val="006A557D"/>
    <w:rsid w:val="006B054F"/>
    <w:rsid w:val="006B0D62"/>
    <w:rsid w:val="006B1F45"/>
    <w:rsid w:val="006B32FD"/>
    <w:rsid w:val="006B5CBB"/>
    <w:rsid w:val="006B5DAD"/>
    <w:rsid w:val="006C03F2"/>
    <w:rsid w:val="006C0694"/>
    <w:rsid w:val="006C1424"/>
    <w:rsid w:val="006C2A2A"/>
    <w:rsid w:val="006C2CB7"/>
    <w:rsid w:val="006C36C2"/>
    <w:rsid w:val="006C6436"/>
    <w:rsid w:val="006C68D4"/>
    <w:rsid w:val="006D023F"/>
    <w:rsid w:val="006D1CF3"/>
    <w:rsid w:val="006D2A0B"/>
    <w:rsid w:val="006D2E38"/>
    <w:rsid w:val="006D3526"/>
    <w:rsid w:val="006D66A9"/>
    <w:rsid w:val="006D7128"/>
    <w:rsid w:val="006D7286"/>
    <w:rsid w:val="006E1297"/>
    <w:rsid w:val="006E1706"/>
    <w:rsid w:val="006E2E1A"/>
    <w:rsid w:val="006E3346"/>
    <w:rsid w:val="006F13BE"/>
    <w:rsid w:val="006F26A3"/>
    <w:rsid w:val="006F2D2C"/>
    <w:rsid w:val="006F2E00"/>
    <w:rsid w:val="006F348A"/>
    <w:rsid w:val="006F4BE2"/>
    <w:rsid w:val="006F67D0"/>
    <w:rsid w:val="006F7E3A"/>
    <w:rsid w:val="0070040A"/>
    <w:rsid w:val="007013DD"/>
    <w:rsid w:val="007033C7"/>
    <w:rsid w:val="0070459D"/>
    <w:rsid w:val="00704A7A"/>
    <w:rsid w:val="00705A82"/>
    <w:rsid w:val="00705CC1"/>
    <w:rsid w:val="007064AD"/>
    <w:rsid w:val="00706FA0"/>
    <w:rsid w:val="00707C3A"/>
    <w:rsid w:val="00711EBA"/>
    <w:rsid w:val="00713A35"/>
    <w:rsid w:val="00714176"/>
    <w:rsid w:val="00715AAA"/>
    <w:rsid w:val="00716531"/>
    <w:rsid w:val="00717632"/>
    <w:rsid w:val="007211A1"/>
    <w:rsid w:val="0072179A"/>
    <w:rsid w:val="007224F7"/>
    <w:rsid w:val="0072292C"/>
    <w:rsid w:val="007230A3"/>
    <w:rsid w:val="00724C5E"/>
    <w:rsid w:val="00724D2F"/>
    <w:rsid w:val="00726959"/>
    <w:rsid w:val="00727831"/>
    <w:rsid w:val="00727AE2"/>
    <w:rsid w:val="00731369"/>
    <w:rsid w:val="00731743"/>
    <w:rsid w:val="007324F6"/>
    <w:rsid w:val="007328A7"/>
    <w:rsid w:val="00732993"/>
    <w:rsid w:val="00733470"/>
    <w:rsid w:val="00733C91"/>
    <w:rsid w:val="00741B74"/>
    <w:rsid w:val="0074288F"/>
    <w:rsid w:val="0074704B"/>
    <w:rsid w:val="007478DC"/>
    <w:rsid w:val="00747E57"/>
    <w:rsid w:val="00753914"/>
    <w:rsid w:val="007547AF"/>
    <w:rsid w:val="00754F6A"/>
    <w:rsid w:val="00757BA1"/>
    <w:rsid w:val="00757C95"/>
    <w:rsid w:val="00760139"/>
    <w:rsid w:val="00760CD9"/>
    <w:rsid w:val="007629C0"/>
    <w:rsid w:val="007642C3"/>
    <w:rsid w:val="007656ED"/>
    <w:rsid w:val="0076575B"/>
    <w:rsid w:val="007669D5"/>
    <w:rsid w:val="007673D1"/>
    <w:rsid w:val="00767D49"/>
    <w:rsid w:val="00771A54"/>
    <w:rsid w:val="00771E3E"/>
    <w:rsid w:val="00772958"/>
    <w:rsid w:val="00772971"/>
    <w:rsid w:val="00773A97"/>
    <w:rsid w:val="00774523"/>
    <w:rsid w:val="00774E54"/>
    <w:rsid w:val="00777F5A"/>
    <w:rsid w:val="00780AEF"/>
    <w:rsid w:val="007818AD"/>
    <w:rsid w:val="00781A58"/>
    <w:rsid w:val="007834E3"/>
    <w:rsid w:val="0078396D"/>
    <w:rsid w:val="00783AFD"/>
    <w:rsid w:val="00785AA1"/>
    <w:rsid w:val="00786AFD"/>
    <w:rsid w:val="00786DA2"/>
    <w:rsid w:val="00792239"/>
    <w:rsid w:val="00794411"/>
    <w:rsid w:val="007945B7"/>
    <w:rsid w:val="00794C05"/>
    <w:rsid w:val="00794CC7"/>
    <w:rsid w:val="00795128"/>
    <w:rsid w:val="00795621"/>
    <w:rsid w:val="00795A1B"/>
    <w:rsid w:val="0079713B"/>
    <w:rsid w:val="007972AF"/>
    <w:rsid w:val="00797B57"/>
    <w:rsid w:val="00797BB7"/>
    <w:rsid w:val="007A041F"/>
    <w:rsid w:val="007A0905"/>
    <w:rsid w:val="007A0995"/>
    <w:rsid w:val="007A1F75"/>
    <w:rsid w:val="007A272C"/>
    <w:rsid w:val="007A3021"/>
    <w:rsid w:val="007A3CE4"/>
    <w:rsid w:val="007A56BA"/>
    <w:rsid w:val="007A6DD9"/>
    <w:rsid w:val="007B0148"/>
    <w:rsid w:val="007B09AF"/>
    <w:rsid w:val="007B22DE"/>
    <w:rsid w:val="007B23B1"/>
    <w:rsid w:val="007B2E04"/>
    <w:rsid w:val="007B3550"/>
    <w:rsid w:val="007B3A9A"/>
    <w:rsid w:val="007B3C95"/>
    <w:rsid w:val="007B4D14"/>
    <w:rsid w:val="007B5524"/>
    <w:rsid w:val="007B5655"/>
    <w:rsid w:val="007B578A"/>
    <w:rsid w:val="007B6182"/>
    <w:rsid w:val="007B6D48"/>
    <w:rsid w:val="007C5365"/>
    <w:rsid w:val="007D01F0"/>
    <w:rsid w:val="007D1B7D"/>
    <w:rsid w:val="007D3679"/>
    <w:rsid w:val="007D4F36"/>
    <w:rsid w:val="007D6E06"/>
    <w:rsid w:val="007D7315"/>
    <w:rsid w:val="007E0001"/>
    <w:rsid w:val="007E0DCB"/>
    <w:rsid w:val="007E199F"/>
    <w:rsid w:val="007E23D6"/>
    <w:rsid w:val="007E3835"/>
    <w:rsid w:val="007E5012"/>
    <w:rsid w:val="007E5495"/>
    <w:rsid w:val="007E6722"/>
    <w:rsid w:val="007E6834"/>
    <w:rsid w:val="007E6960"/>
    <w:rsid w:val="007E7B19"/>
    <w:rsid w:val="007F064D"/>
    <w:rsid w:val="007F1252"/>
    <w:rsid w:val="007F34E6"/>
    <w:rsid w:val="007F37D8"/>
    <w:rsid w:val="007F3A44"/>
    <w:rsid w:val="007F3CD5"/>
    <w:rsid w:val="007F43EA"/>
    <w:rsid w:val="007F5AEC"/>
    <w:rsid w:val="007F71E4"/>
    <w:rsid w:val="00800E93"/>
    <w:rsid w:val="008041C5"/>
    <w:rsid w:val="0080498F"/>
    <w:rsid w:val="008051B1"/>
    <w:rsid w:val="0080689A"/>
    <w:rsid w:val="008100AF"/>
    <w:rsid w:val="008102BF"/>
    <w:rsid w:val="008162E3"/>
    <w:rsid w:val="00816500"/>
    <w:rsid w:val="00820108"/>
    <w:rsid w:val="00820AE6"/>
    <w:rsid w:val="008222BE"/>
    <w:rsid w:val="008234C2"/>
    <w:rsid w:val="008243C6"/>
    <w:rsid w:val="00825E78"/>
    <w:rsid w:val="00827237"/>
    <w:rsid w:val="00827A8D"/>
    <w:rsid w:val="008307CA"/>
    <w:rsid w:val="008316DA"/>
    <w:rsid w:val="00831D6E"/>
    <w:rsid w:val="00832B82"/>
    <w:rsid w:val="0083392C"/>
    <w:rsid w:val="008340B1"/>
    <w:rsid w:val="008350C4"/>
    <w:rsid w:val="0083537F"/>
    <w:rsid w:val="00835FC6"/>
    <w:rsid w:val="00837A22"/>
    <w:rsid w:val="00843757"/>
    <w:rsid w:val="00844DC6"/>
    <w:rsid w:val="00845CAF"/>
    <w:rsid w:val="00845D89"/>
    <w:rsid w:val="008460A1"/>
    <w:rsid w:val="0084664D"/>
    <w:rsid w:val="00847CE0"/>
    <w:rsid w:val="00850B32"/>
    <w:rsid w:val="00851D43"/>
    <w:rsid w:val="00852319"/>
    <w:rsid w:val="008526F2"/>
    <w:rsid w:val="00853EC5"/>
    <w:rsid w:val="0085477F"/>
    <w:rsid w:val="00854C11"/>
    <w:rsid w:val="00855064"/>
    <w:rsid w:val="00857452"/>
    <w:rsid w:val="00857B1D"/>
    <w:rsid w:val="00865461"/>
    <w:rsid w:val="00867133"/>
    <w:rsid w:val="008677CA"/>
    <w:rsid w:val="00867E0C"/>
    <w:rsid w:val="00867E86"/>
    <w:rsid w:val="0087355F"/>
    <w:rsid w:val="008751BA"/>
    <w:rsid w:val="00875C54"/>
    <w:rsid w:val="00875D28"/>
    <w:rsid w:val="0087736D"/>
    <w:rsid w:val="0088050D"/>
    <w:rsid w:val="008816AA"/>
    <w:rsid w:val="00881759"/>
    <w:rsid w:val="00881EBA"/>
    <w:rsid w:val="00881F00"/>
    <w:rsid w:val="008821A8"/>
    <w:rsid w:val="00883259"/>
    <w:rsid w:val="00883B18"/>
    <w:rsid w:val="00884682"/>
    <w:rsid w:val="00885A4C"/>
    <w:rsid w:val="008900B0"/>
    <w:rsid w:val="00890651"/>
    <w:rsid w:val="00890B44"/>
    <w:rsid w:val="00892135"/>
    <w:rsid w:val="00892962"/>
    <w:rsid w:val="00892DDA"/>
    <w:rsid w:val="00893970"/>
    <w:rsid w:val="00895408"/>
    <w:rsid w:val="0089582E"/>
    <w:rsid w:val="008A054D"/>
    <w:rsid w:val="008A115D"/>
    <w:rsid w:val="008A3CA9"/>
    <w:rsid w:val="008A4486"/>
    <w:rsid w:val="008A47EA"/>
    <w:rsid w:val="008A489B"/>
    <w:rsid w:val="008A57A0"/>
    <w:rsid w:val="008A605C"/>
    <w:rsid w:val="008A7C37"/>
    <w:rsid w:val="008B034D"/>
    <w:rsid w:val="008B062B"/>
    <w:rsid w:val="008B1901"/>
    <w:rsid w:val="008B1B61"/>
    <w:rsid w:val="008B278A"/>
    <w:rsid w:val="008B33F7"/>
    <w:rsid w:val="008B3DDC"/>
    <w:rsid w:val="008B6CCF"/>
    <w:rsid w:val="008B7267"/>
    <w:rsid w:val="008C151E"/>
    <w:rsid w:val="008C189B"/>
    <w:rsid w:val="008C2EAB"/>
    <w:rsid w:val="008C36F1"/>
    <w:rsid w:val="008C580F"/>
    <w:rsid w:val="008C7720"/>
    <w:rsid w:val="008C77D0"/>
    <w:rsid w:val="008D1D9A"/>
    <w:rsid w:val="008D3855"/>
    <w:rsid w:val="008D4178"/>
    <w:rsid w:val="008D5EEB"/>
    <w:rsid w:val="008D6004"/>
    <w:rsid w:val="008D610E"/>
    <w:rsid w:val="008D77E8"/>
    <w:rsid w:val="008E0D78"/>
    <w:rsid w:val="008E217D"/>
    <w:rsid w:val="008E29AF"/>
    <w:rsid w:val="008E2D75"/>
    <w:rsid w:val="008E3DC5"/>
    <w:rsid w:val="008E44B0"/>
    <w:rsid w:val="008E496D"/>
    <w:rsid w:val="008E5BD3"/>
    <w:rsid w:val="008E7F85"/>
    <w:rsid w:val="008F1BDB"/>
    <w:rsid w:val="008F294D"/>
    <w:rsid w:val="008F3195"/>
    <w:rsid w:val="008F327C"/>
    <w:rsid w:val="008F3DF5"/>
    <w:rsid w:val="008F40E4"/>
    <w:rsid w:val="008F4A1E"/>
    <w:rsid w:val="008F547B"/>
    <w:rsid w:val="008F6BF8"/>
    <w:rsid w:val="00900815"/>
    <w:rsid w:val="00903A51"/>
    <w:rsid w:val="00904235"/>
    <w:rsid w:val="00905B48"/>
    <w:rsid w:val="00907504"/>
    <w:rsid w:val="00907999"/>
    <w:rsid w:val="00910980"/>
    <w:rsid w:val="00912CCD"/>
    <w:rsid w:val="0091313B"/>
    <w:rsid w:val="0091576C"/>
    <w:rsid w:val="00915D89"/>
    <w:rsid w:val="00916A8D"/>
    <w:rsid w:val="00916C9D"/>
    <w:rsid w:val="0091761C"/>
    <w:rsid w:val="0092061F"/>
    <w:rsid w:val="00922C25"/>
    <w:rsid w:val="009237AE"/>
    <w:rsid w:val="0092426A"/>
    <w:rsid w:val="00924427"/>
    <w:rsid w:val="00925570"/>
    <w:rsid w:val="009259D4"/>
    <w:rsid w:val="009260FC"/>
    <w:rsid w:val="009270F6"/>
    <w:rsid w:val="00931D34"/>
    <w:rsid w:val="00932163"/>
    <w:rsid w:val="00932F3A"/>
    <w:rsid w:val="0093439C"/>
    <w:rsid w:val="00934589"/>
    <w:rsid w:val="00937CA3"/>
    <w:rsid w:val="00940E0E"/>
    <w:rsid w:val="00942BC0"/>
    <w:rsid w:val="00942DB5"/>
    <w:rsid w:val="00944CD4"/>
    <w:rsid w:val="009459F4"/>
    <w:rsid w:val="009461A3"/>
    <w:rsid w:val="00946D22"/>
    <w:rsid w:val="00947778"/>
    <w:rsid w:val="009534C8"/>
    <w:rsid w:val="00953590"/>
    <w:rsid w:val="009537D6"/>
    <w:rsid w:val="00953A05"/>
    <w:rsid w:val="009558F1"/>
    <w:rsid w:val="00956121"/>
    <w:rsid w:val="009564B8"/>
    <w:rsid w:val="00957D46"/>
    <w:rsid w:val="00961922"/>
    <w:rsid w:val="00961D68"/>
    <w:rsid w:val="0096279A"/>
    <w:rsid w:val="0096299C"/>
    <w:rsid w:val="0096310D"/>
    <w:rsid w:val="00964AD2"/>
    <w:rsid w:val="00965ADA"/>
    <w:rsid w:val="00965B00"/>
    <w:rsid w:val="00966AEC"/>
    <w:rsid w:val="00967F85"/>
    <w:rsid w:val="009704B0"/>
    <w:rsid w:val="00970BD4"/>
    <w:rsid w:val="00971EDC"/>
    <w:rsid w:val="0097404F"/>
    <w:rsid w:val="00976A97"/>
    <w:rsid w:val="009777D3"/>
    <w:rsid w:val="009839BE"/>
    <w:rsid w:val="00983D81"/>
    <w:rsid w:val="00983FA9"/>
    <w:rsid w:val="009849E7"/>
    <w:rsid w:val="00984DE7"/>
    <w:rsid w:val="00986031"/>
    <w:rsid w:val="0098686F"/>
    <w:rsid w:val="009869BF"/>
    <w:rsid w:val="00991B7D"/>
    <w:rsid w:val="00992CC5"/>
    <w:rsid w:val="009939E8"/>
    <w:rsid w:val="00993D79"/>
    <w:rsid w:val="00993DF3"/>
    <w:rsid w:val="009947F0"/>
    <w:rsid w:val="00994C2E"/>
    <w:rsid w:val="009951D5"/>
    <w:rsid w:val="00995A98"/>
    <w:rsid w:val="00996C64"/>
    <w:rsid w:val="00997620"/>
    <w:rsid w:val="009A2345"/>
    <w:rsid w:val="009A443B"/>
    <w:rsid w:val="009A57A6"/>
    <w:rsid w:val="009A6574"/>
    <w:rsid w:val="009A7704"/>
    <w:rsid w:val="009A79C3"/>
    <w:rsid w:val="009A7BBE"/>
    <w:rsid w:val="009A7E0B"/>
    <w:rsid w:val="009B00C9"/>
    <w:rsid w:val="009B073F"/>
    <w:rsid w:val="009B0960"/>
    <w:rsid w:val="009B2B40"/>
    <w:rsid w:val="009B3E05"/>
    <w:rsid w:val="009B4248"/>
    <w:rsid w:val="009B45D8"/>
    <w:rsid w:val="009B6E5F"/>
    <w:rsid w:val="009B751F"/>
    <w:rsid w:val="009C0327"/>
    <w:rsid w:val="009C12C2"/>
    <w:rsid w:val="009C13B3"/>
    <w:rsid w:val="009C1C32"/>
    <w:rsid w:val="009C1FB3"/>
    <w:rsid w:val="009C2FDA"/>
    <w:rsid w:val="009C34B8"/>
    <w:rsid w:val="009C3782"/>
    <w:rsid w:val="009C470D"/>
    <w:rsid w:val="009C4FF8"/>
    <w:rsid w:val="009C5EF0"/>
    <w:rsid w:val="009C6240"/>
    <w:rsid w:val="009C707E"/>
    <w:rsid w:val="009D008D"/>
    <w:rsid w:val="009D0390"/>
    <w:rsid w:val="009D047E"/>
    <w:rsid w:val="009D1932"/>
    <w:rsid w:val="009D35FF"/>
    <w:rsid w:val="009D6BA2"/>
    <w:rsid w:val="009D6D3A"/>
    <w:rsid w:val="009D6F19"/>
    <w:rsid w:val="009E0297"/>
    <w:rsid w:val="009E2AC3"/>
    <w:rsid w:val="009E5143"/>
    <w:rsid w:val="009E51B8"/>
    <w:rsid w:val="009E5606"/>
    <w:rsid w:val="009F04E5"/>
    <w:rsid w:val="009F1A33"/>
    <w:rsid w:val="009F20C6"/>
    <w:rsid w:val="009F360A"/>
    <w:rsid w:val="009F5988"/>
    <w:rsid w:val="009F6E05"/>
    <w:rsid w:val="00A0013A"/>
    <w:rsid w:val="00A003DB"/>
    <w:rsid w:val="00A01186"/>
    <w:rsid w:val="00A0239E"/>
    <w:rsid w:val="00A02476"/>
    <w:rsid w:val="00A068AC"/>
    <w:rsid w:val="00A07201"/>
    <w:rsid w:val="00A12865"/>
    <w:rsid w:val="00A12D33"/>
    <w:rsid w:val="00A136AD"/>
    <w:rsid w:val="00A13731"/>
    <w:rsid w:val="00A14DCB"/>
    <w:rsid w:val="00A15267"/>
    <w:rsid w:val="00A15A72"/>
    <w:rsid w:val="00A20679"/>
    <w:rsid w:val="00A20ACA"/>
    <w:rsid w:val="00A22D06"/>
    <w:rsid w:val="00A24B50"/>
    <w:rsid w:val="00A25925"/>
    <w:rsid w:val="00A266CF"/>
    <w:rsid w:val="00A26920"/>
    <w:rsid w:val="00A26FCA"/>
    <w:rsid w:val="00A323A0"/>
    <w:rsid w:val="00A33565"/>
    <w:rsid w:val="00A3406C"/>
    <w:rsid w:val="00A353C7"/>
    <w:rsid w:val="00A35883"/>
    <w:rsid w:val="00A36082"/>
    <w:rsid w:val="00A362B4"/>
    <w:rsid w:val="00A37AE6"/>
    <w:rsid w:val="00A37B16"/>
    <w:rsid w:val="00A4026F"/>
    <w:rsid w:val="00A403EA"/>
    <w:rsid w:val="00A41050"/>
    <w:rsid w:val="00A413A8"/>
    <w:rsid w:val="00A41FAE"/>
    <w:rsid w:val="00A42C6E"/>
    <w:rsid w:val="00A4380D"/>
    <w:rsid w:val="00A50F09"/>
    <w:rsid w:val="00A51371"/>
    <w:rsid w:val="00A53E79"/>
    <w:rsid w:val="00A543B1"/>
    <w:rsid w:val="00A544EE"/>
    <w:rsid w:val="00A54F91"/>
    <w:rsid w:val="00A55EF5"/>
    <w:rsid w:val="00A5653E"/>
    <w:rsid w:val="00A5696B"/>
    <w:rsid w:val="00A57D60"/>
    <w:rsid w:val="00A57FA8"/>
    <w:rsid w:val="00A60DEA"/>
    <w:rsid w:val="00A61335"/>
    <w:rsid w:val="00A64BB1"/>
    <w:rsid w:val="00A7014E"/>
    <w:rsid w:val="00A70986"/>
    <w:rsid w:val="00A71889"/>
    <w:rsid w:val="00A724B5"/>
    <w:rsid w:val="00A72669"/>
    <w:rsid w:val="00A72908"/>
    <w:rsid w:val="00A731D6"/>
    <w:rsid w:val="00A73A00"/>
    <w:rsid w:val="00A73B5D"/>
    <w:rsid w:val="00A73F77"/>
    <w:rsid w:val="00A75C6C"/>
    <w:rsid w:val="00A770AA"/>
    <w:rsid w:val="00A77268"/>
    <w:rsid w:val="00A801B6"/>
    <w:rsid w:val="00A80D23"/>
    <w:rsid w:val="00A81306"/>
    <w:rsid w:val="00A824DD"/>
    <w:rsid w:val="00A83BB2"/>
    <w:rsid w:val="00A84C4F"/>
    <w:rsid w:val="00A87074"/>
    <w:rsid w:val="00A87BBB"/>
    <w:rsid w:val="00A9069C"/>
    <w:rsid w:val="00A92081"/>
    <w:rsid w:val="00A951EF"/>
    <w:rsid w:val="00A95E1B"/>
    <w:rsid w:val="00A9600D"/>
    <w:rsid w:val="00A969B5"/>
    <w:rsid w:val="00A974EA"/>
    <w:rsid w:val="00A97B65"/>
    <w:rsid w:val="00AA0EB6"/>
    <w:rsid w:val="00AA1101"/>
    <w:rsid w:val="00AA473F"/>
    <w:rsid w:val="00AA4A28"/>
    <w:rsid w:val="00AA4B82"/>
    <w:rsid w:val="00AA4F8B"/>
    <w:rsid w:val="00AA5EC9"/>
    <w:rsid w:val="00AA79AB"/>
    <w:rsid w:val="00AB08CC"/>
    <w:rsid w:val="00AB11A8"/>
    <w:rsid w:val="00AB26F6"/>
    <w:rsid w:val="00AB2BF3"/>
    <w:rsid w:val="00AB334A"/>
    <w:rsid w:val="00AB3A34"/>
    <w:rsid w:val="00AB5788"/>
    <w:rsid w:val="00AB73A6"/>
    <w:rsid w:val="00AB7CAC"/>
    <w:rsid w:val="00AC0125"/>
    <w:rsid w:val="00AC0E51"/>
    <w:rsid w:val="00AC0FF3"/>
    <w:rsid w:val="00AC16E8"/>
    <w:rsid w:val="00AC4135"/>
    <w:rsid w:val="00AC42B6"/>
    <w:rsid w:val="00AC46A4"/>
    <w:rsid w:val="00AC46CB"/>
    <w:rsid w:val="00AC5654"/>
    <w:rsid w:val="00AC6FB5"/>
    <w:rsid w:val="00AD0BB8"/>
    <w:rsid w:val="00AD0CEE"/>
    <w:rsid w:val="00AD191C"/>
    <w:rsid w:val="00AD1A3A"/>
    <w:rsid w:val="00AD2907"/>
    <w:rsid w:val="00AD3F93"/>
    <w:rsid w:val="00AD43E3"/>
    <w:rsid w:val="00AD440B"/>
    <w:rsid w:val="00AD44F0"/>
    <w:rsid w:val="00AD5482"/>
    <w:rsid w:val="00AD7B3F"/>
    <w:rsid w:val="00AE13E7"/>
    <w:rsid w:val="00AE5C71"/>
    <w:rsid w:val="00AE5FBC"/>
    <w:rsid w:val="00AE6622"/>
    <w:rsid w:val="00AF0210"/>
    <w:rsid w:val="00AF1DD4"/>
    <w:rsid w:val="00AF1EFD"/>
    <w:rsid w:val="00AF6576"/>
    <w:rsid w:val="00AF7AE0"/>
    <w:rsid w:val="00B00F75"/>
    <w:rsid w:val="00B03F26"/>
    <w:rsid w:val="00B04292"/>
    <w:rsid w:val="00B0429D"/>
    <w:rsid w:val="00B05118"/>
    <w:rsid w:val="00B05827"/>
    <w:rsid w:val="00B064AB"/>
    <w:rsid w:val="00B076D1"/>
    <w:rsid w:val="00B106DA"/>
    <w:rsid w:val="00B1291F"/>
    <w:rsid w:val="00B149B1"/>
    <w:rsid w:val="00B160E2"/>
    <w:rsid w:val="00B17998"/>
    <w:rsid w:val="00B2083E"/>
    <w:rsid w:val="00B21912"/>
    <w:rsid w:val="00B21BF7"/>
    <w:rsid w:val="00B22EAE"/>
    <w:rsid w:val="00B238B8"/>
    <w:rsid w:val="00B25166"/>
    <w:rsid w:val="00B25277"/>
    <w:rsid w:val="00B25B67"/>
    <w:rsid w:val="00B2607D"/>
    <w:rsid w:val="00B264D7"/>
    <w:rsid w:val="00B26AB4"/>
    <w:rsid w:val="00B306C7"/>
    <w:rsid w:val="00B31269"/>
    <w:rsid w:val="00B31B20"/>
    <w:rsid w:val="00B323B3"/>
    <w:rsid w:val="00B3353D"/>
    <w:rsid w:val="00B34632"/>
    <w:rsid w:val="00B35860"/>
    <w:rsid w:val="00B41238"/>
    <w:rsid w:val="00B414AF"/>
    <w:rsid w:val="00B423B9"/>
    <w:rsid w:val="00B42F98"/>
    <w:rsid w:val="00B4355B"/>
    <w:rsid w:val="00B43731"/>
    <w:rsid w:val="00B44272"/>
    <w:rsid w:val="00B45541"/>
    <w:rsid w:val="00B45E44"/>
    <w:rsid w:val="00B469EB"/>
    <w:rsid w:val="00B46BBC"/>
    <w:rsid w:val="00B479B6"/>
    <w:rsid w:val="00B47AE3"/>
    <w:rsid w:val="00B500D1"/>
    <w:rsid w:val="00B52B9A"/>
    <w:rsid w:val="00B5486D"/>
    <w:rsid w:val="00B568E2"/>
    <w:rsid w:val="00B56AD2"/>
    <w:rsid w:val="00B579FD"/>
    <w:rsid w:val="00B57C53"/>
    <w:rsid w:val="00B6018F"/>
    <w:rsid w:val="00B62B83"/>
    <w:rsid w:val="00B63501"/>
    <w:rsid w:val="00B63D0E"/>
    <w:rsid w:val="00B6730F"/>
    <w:rsid w:val="00B732D7"/>
    <w:rsid w:val="00B73730"/>
    <w:rsid w:val="00B73D3A"/>
    <w:rsid w:val="00B74428"/>
    <w:rsid w:val="00B75674"/>
    <w:rsid w:val="00B76DD7"/>
    <w:rsid w:val="00B77B1A"/>
    <w:rsid w:val="00B8028E"/>
    <w:rsid w:val="00B81038"/>
    <w:rsid w:val="00B814E9"/>
    <w:rsid w:val="00B817FA"/>
    <w:rsid w:val="00B826F3"/>
    <w:rsid w:val="00B83655"/>
    <w:rsid w:val="00B85247"/>
    <w:rsid w:val="00B87B44"/>
    <w:rsid w:val="00B90836"/>
    <w:rsid w:val="00B92B97"/>
    <w:rsid w:val="00B945B4"/>
    <w:rsid w:val="00B94D4F"/>
    <w:rsid w:val="00B97746"/>
    <w:rsid w:val="00BA068C"/>
    <w:rsid w:val="00BA0D76"/>
    <w:rsid w:val="00BA1A27"/>
    <w:rsid w:val="00BA1E5C"/>
    <w:rsid w:val="00BA3183"/>
    <w:rsid w:val="00BA3BA8"/>
    <w:rsid w:val="00BA4154"/>
    <w:rsid w:val="00BA4591"/>
    <w:rsid w:val="00BA6297"/>
    <w:rsid w:val="00BA689A"/>
    <w:rsid w:val="00BA7282"/>
    <w:rsid w:val="00BA729F"/>
    <w:rsid w:val="00BB05A6"/>
    <w:rsid w:val="00BB22B8"/>
    <w:rsid w:val="00BB3B50"/>
    <w:rsid w:val="00BC301B"/>
    <w:rsid w:val="00BC3CB4"/>
    <w:rsid w:val="00BC6BE1"/>
    <w:rsid w:val="00BC6BFE"/>
    <w:rsid w:val="00BD0A54"/>
    <w:rsid w:val="00BD0D4B"/>
    <w:rsid w:val="00BD3F0D"/>
    <w:rsid w:val="00BD78F7"/>
    <w:rsid w:val="00BE051F"/>
    <w:rsid w:val="00BE066D"/>
    <w:rsid w:val="00BE1CA9"/>
    <w:rsid w:val="00BE3B64"/>
    <w:rsid w:val="00BE489C"/>
    <w:rsid w:val="00BE5B28"/>
    <w:rsid w:val="00BE5B63"/>
    <w:rsid w:val="00BE6E11"/>
    <w:rsid w:val="00BE732D"/>
    <w:rsid w:val="00BF06BD"/>
    <w:rsid w:val="00BF08B2"/>
    <w:rsid w:val="00BF137A"/>
    <w:rsid w:val="00BF3786"/>
    <w:rsid w:val="00BF462D"/>
    <w:rsid w:val="00BF65E5"/>
    <w:rsid w:val="00BF693E"/>
    <w:rsid w:val="00BF6946"/>
    <w:rsid w:val="00BF7DD9"/>
    <w:rsid w:val="00C00AC9"/>
    <w:rsid w:val="00C011F2"/>
    <w:rsid w:val="00C01C0C"/>
    <w:rsid w:val="00C02832"/>
    <w:rsid w:val="00C04A51"/>
    <w:rsid w:val="00C05E8D"/>
    <w:rsid w:val="00C06A8A"/>
    <w:rsid w:val="00C10828"/>
    <w:rsid w:val="00C1156A"/>
    <w:rsid w:val="00C13C38"/>
    <w:rsid w:val="00C14D99"/>
    <w:rsid w:val="00C14E06"/>
    <w:rsid w:val="00C14F6B"/>
    <w:rsid w:val="00C1530B"/>
    <w:rsid w:val="00C15E87"/>
    <w:rsid w:val="00C15F7A"/>
    <w:rsid w:val="00C1701C"/>
    <w:rsid w:val="00C1777B"/>
    <w:rsid w:val="00C17E3C"/>
    <w:rsid w:val="00C203BF"/>
    <w:rsid w:val="00C204D4"/>
    <w:rsid w:val="00C221BD"/>
    <w:rsid w:val="00C23312"/>
    <w:rsid w:val="00C23431"/>
    <w:rsid w:val="00C242EC"/>
    <w:rsid w:val="00C24E77"/>
    <w:rsid w:val="00C25032"/>
    <w:rsid w:val="00C25E74"/>
    <w:rsid w:val="00C275BF"/>
    <w:rsid w:val="00C30922"/>
    <w:rsid w:val="00C3195A"/>
    <w:rsid w:val="00C31FBB"/>
    <w:rsid w:val="00C32D86"/>
    <w:rsid w:val="00C36E43"/>
    <w:rsid w:val="00C42A4B"/>
    <w:rsid w:val="00C42C20"/>
    <w:rsid w:val="00C42C2D"/>
    <w:rsid w:val="00C43498"/>
    <w:rsid w:val="00C43745"/>
    <w:rsid w:val="00C4406C"/>
    <w:rsid w:val="00C46B02"/>
    <w:rsid w:val="00C470EC"/>
    <w:rsid w:val="00C47679"/>
    <w:rsid w:val="00C506B0"/>
    <w:rsid w:val="00C51AC2"/>
    <w:rsid w:val="00C5224D"/>
    <w:rsid w:val="00C56937"/>
    <w:rsid w:val="00C57AE9"/>
    <w:rsid w:val="00C6013A"/>
    <w:rsid w:val="00C607F2"/>
    <w:rsid w:val="00C63CA2"/>
    <w:rsid w:val="00C640CB"/>
    <w:rsid w:val="00C65544"/>
    <w:rsid w:val="00C65657"/>
    <w:rsid w:val="00C65BE4"/>
    <w:rsid w:val="00C66410"/>
    <w:rsid w:val="00C66B43"/>
    <w:rsid w:val="00C6796C"/>
    <w:rsid w:val="00C70349"/>
    <w:rsid w:val="00C707B2"/>
    <w:rsid w:val="00C70BF0"/>
    <w:rsid w:val="00C71C69"/>
    <w:rsid w:val="00C73C1D"/>
    <w:rsid w:val="00C75247"/>
    <w:rsid w:val="00C75535"/>
    <w:rsid w:val="00C7738F"/>
    <w:rsid w:val="00C81363"/>
    <w:rsid w:val="00C81BE9"/>
    <w:rsid w:val="00C81C8F"/>
    <w:rsid w:val="00C828FD"/>
    <w:rsid w:val="00C8312B"/>
    <w:rsid w:val="00C83338"/>
    <w:rsid w:val="00C85236"/>
    <w:rsid w:val="00C85326"/>
    <w:rsid w:val="00C86122"/>
    <w:rsid w:val="00C86473"/>
    <w:rsid w:val="00C900C9"/>
    <w:rsid w:val="00C91F42"/>
    <w:rsid w:val="00C92BCD"/>
    <w:rsid w:val="00C92DB5"/>
    <w:rsid w:val="00C9300E"/>
    <w:rsid w:val="00C93271"/>
    <w:rsid w:val="00C93721"/>
    <w:rsid w:val="00C93AF0"/>
    <w:rsid w:val="00C9452C"/>
    <w:rsid w:val="00C94677"/>
    <w:rsid w:val="00C96237"/>
    <w:rsid w:val="00C96719"/>
    <w:rsid w:val="00C973A4"/>
    <w:rsid w:val="00CA1CB4"/>
    <w:rsid w:val="00CA1F00"/>
    <w:rsid w:val="00CA1F8D"/>
    <w:rsid w:val="00CA2D75"/>
    <w:rsid w:val="00CA3EEA"/>
    <w:rsid w:val="00CA4675"/>
    <w:rsid w:val="00CA4AA3"/>
    <w:rsid w:val="00CA4D20"/>
    <w:rsid w:val="00CA557C"/>
    <w:rsid w:val="00CA6FB9"/>
    <w:rsid w:val="00CB1BDA"/>
    <w:rsid w:val="00CB22BE"/>
    <w:rsid w:val="00CB34C1"/>
    <w:rsid w:val="00CB3C70"/>
    <w:rsid w:val="00CB4E04"/>
    <w:rsid w:val="00CB7E87"/>
    <w:rsid w:val="00CC0FE6"/>
    <w:rsid w:val="00CC2594"/>
    <w:rsid w:val="00CC3FF5"/>
    <w:rsid w:val="00CC5C46"/>
    <w:rsid w:val="00CD1AA6"/>
    <w:rsid w:val="00CD2D8E"/>
    <w:rsid w:val="00CD2F42"/>
    <w:rsid w:val="00CD38FA"/>
    <w:rsid w:val="00CD4FEC"/>
    <w:rsid w:val="00CD6B49"/>
    <w:rsid w:val="00CE0539"/>
    <w:rsid w:val="00CE0ACA"/>
    <w:rsid w:val="00CE0DFF"/>
    <w:rsid w:val="00CE135B"/>
    <w:rsid w:val="00CE1671"/>
    <w:rsid w:val="00CE1BA6"/>
    <w:rsid w:val="00CE2D7E"/>
    <w:rsid w:val="00CE325B"/>
    <w:rsid w:val="00CE6A08"/>
    <w:rsid w:val="00CF0E51"/>
    <w:rsid w:val="00CF0F82"/>
    <w:rsid w:val="00CF20B6"/>
    <w:rsid w:val="00CF31A3"/>
    <w:rsid w:val="00CF3554"/>
    <w:rsid w:val="00CF4C82"/>
    <w:rsid w:val="00CF64E1"/>
    <w:rsid w:val="00CF659B"/>
    <w:rsid w:val="00CF6AAD"/>
    <w:rsid w:val="00CF7191"/>
    <w:rsid w:val="00CF7847"/>
    <w:rsid w:val="00D01D75"/>
    <w:rsid w:val="00D02C6C"/>
    <w:rsid w:val="00D02E72"/>
    <w:rsid w:val="00D03A45"/>
    <w:rsid w:val="00D10D99"/>
    <w:rsid w:val="00D12361"/>
    <w:rsid w:val="00D13E65"/>
    <w:rsid w:val="00D143E7"/>
    <w:rsid w:val="00D14443"/>
    <w:rsid w:val="00D147F2"/>
    <w:rsid w:val="00D166F4"/>
    <w:rsid w:val="00D17346"/>
    <w:rsid w:val="00D20864"/>
    <w:rsid w:val="00D20FB4"/>
    <w:rsid w:val="00D224FD"/>
    <w:rsid w:val="00D23328"/>
    <w:rsid w:val="00D235A3"/>
    <w:rsid w:val="00D24977"/>
    <w:rsid w:val="00D25139"/>
    <w:rsid w:val="00D26A89"/>
    <w:rsid w:val="00D30164"/>
    <w:rsid w:val="00D303AE"/>
    <w:rsid w:val="00D30E1F"/>
    <w:rsid w:val="00D3124A"/>
    <w:rsid w:val="00D33826"/>
    <w:rsid w:val="00D34690"/>
    <w:rsid w:val="00D3475F"/>
    <w:rsid w:val="00D35E8C"/>
    <w:rsid w:val="00D37CFB"/>
    <w:rsid w:val="00D40A28"/>
    <w:rsid w:val="00D4193C"/>
    <w:rsid w:val="00D4260B"/>
    <w:rsid w:val="00D42735"/>
    <w:rsid w:val="00D42A1D"/>
    <w:rsid w:val="00D42D87"/>
    <w:rsid w:val="00D4367B"/>
    <w:rsid w:val="00D43D02"/>
    <w:rsid w:val="00D444AF"/>
    <w:rsid w:val="00D446E0"/>
    <w:rsid w:val="00D455A5"/>
    <w:rsid w:val="00D45865"/>
    <w:rsid w:val="00D45CCD"/>
    <w:rsid w:val="00D47154"/>
    <w:rsid w:val="00D4775F"/>
    <w:rsid w:val="00D47EF0"/>
    <w:rsid w:val="00D5035A"/>
    <w:rsid w:val="00D5194B"/>
    <w:rsid w:val="00D51F09"/>
    <w:rsid w:val="00D520D3"/>
    <w:rsid w:val="00D52187"/>
    <w:rsid w:val="00D550DD"/>
    <w:rsid w:val="00D55C84"/>
    <w:rsid w:val="00D56948"/>
    <w:rsid w:val="00D56B47"/>
    <w:rsid w:val="00D60661"/>
    <w:rsid w:val="00D60B48"/>
    <w:rsid w:val="00D61AB4"/>
    <w:rsid w:val="00D61B76"/>
    <w:rsid w:val="00D62156"/>
    <w:rsid w:val="00D63041"/>
    <w:rsid w:val="00D65498"/>
    <w:rsid w:val="00D65FA8"/>
    <w:rsid w:val="00D67F34"/>
    <w:rsid w:val="00D700A6"/>
    <w:rsid w:val="00D70544"/>
    <w:rsid w:val="00D71F9B"/>
    <w:rsid w:val="00D72090"/>
    <w:rsid w:val="00D720E2"/>
    <w:rsid w:val="00D72194"/>
    <w:rsid w:val="00D7294E"/>
    <w:rsid w:val="00D74B87"/>
    <w:rsid w:val="00D77026"/>
    <w:rsid w:val="00D7745D"/>
    <w:rsid w:val="00D808D2"/>
    <w:rsid w:val="00D830E2"/>
    <w:rsid w:val="00D833A6"/>
    <w:rsid w:val="00D83EEB"/>
    <w:rsid w:val="00D84385"/>
    <w:rsid w:val="00D84D93"/>
    <w:rsid w:val="00D84FFA"/>
    <w:rsid w:val="00D86B86"/>
    <w:rsid w:val="00D912B2"/>
    <w:rsid w:val="00D922E0"/>
    <w:rsid w:val="00D9266B"/>
    <w:rsid w:val="00D92BD3"/>
    <w:rsid w:val="00D92E57"/>
    <w:rsid w:val="00D97A20"/>
    <w:rsid w:val="00DA08EE"/>
    <w:rsid w:val="00DA12E4"/>
    <w:rsid w:val="00DA1DDB"/>
    <w:rsid w:val="00DA218D"/>
    <w:rsid w:val="00DA4259"/>
    <w:rsid w:val="00DA43E1"/>
    <w:rsid w:val="00DA53BC"/>
    <w:rsid w:val="00DA5602"/>
    <w:rsid w:val="00DA5907"/>
    <w:rsid w:val="00DA5B67"/>
    <w:rsid w:val="00DA68BB"/>
    <w:rsid w:val="00DB1E57"/>
    <w:rsid w:val="00DB358F"/>
    <w:rsid w:val="00DB3CBC"/>
    <w:rsid w:val="00DB51C7"/>
    <w:rsid w:val="00DB6B94"/>
    <w:rsid w:val="00DC0453"/>
    <w:rsid w:val="00DC0F6A"/>
    <w:rsid w:val="00DC2AC9"/>
    <w:rsid w:val="00DC33B9"/>
    <w:rsid w:val="00DC4E91"/>
    <w:rsid w:val="00DC5730"/>
    <w:rsid w:val="00DC6ECD"/>
    <w:rsid w:val="00DC74C3"/>
    <w:rsid w:val="00DC7B0F"/>
    <w:rsid w:val="00DD0514"/>
    <w:rsid w:val="00DD08C3"/>
    <w:rsid w:val="00DD2DF9"/>
    <w:rsid w:val="00DD2F2C"/>
    <w:rsid w:val="00DD39EA"/>
    <w:rsid w:val="00DD3BAD"/>
    <w:rsid w:val="00DD4318"/>
    <w:rsid w:val="00DD5E99"/>
    <w:rsid w:val="00DD7D46"/>
    <w:rsid w:val="00DE00F5"/>
    <w:rsid w:val="00DE1CC1"/>
    <w:rsid w:val="00DE2777"/>
    <w:rsid w:val="00DE343C"/>
    <w:rsid w:val="00DE5BC1"/>
    <w:rsid w:val="00DF017C"/>
    <w:rsid w:val="00DF06E2"/>
    <w:rsid w:val="00DF06F5"/>
    <w:rsid w:val="00DF08AA"/>
    <w:rsid w:val="00DF0BCD"/>
    <w:rsid w:val="00DF20BB"/>
    <w:rsid w:val="00DF24B5"/>
    <w:rsid w:val="00DF2619"/>
    <w:rsid w:val="00DF4F44"/>
    <w:rsid w:val="00DF596F"/>
    <w:rsid w:val="00DF6B5E"/>
    <w:rsid w:val="00DF6D7F"/>
    <w:rsid w:val="00DF7232"/>
    <w:rsid w:val="00DF7437"/>
    <w:rsid w:val="00E007B1"/>
    <w:rsid w:val="00E00E85"/>
    <w:rsid w:val="00E01DCF"/>
    <w:rsid w:val="00E027AF"/>
    <w:rsid w:val="00E03036"/>
    <w:rsid w:val="00E0313F"/>
    <w:rsid w:val="00E05C6F"/>
    <w:rsid w:val="00E064E4"/>
    <w:rsid w:val="00E068EF"/>
    <w:rsid w:val="00E06EF4"/>
    <w:rsid w:val="00E123C2"/>
    <w:rsid w:val="00E12AA6"/>
    <w:rsid w:val="00E13AB9"/>
    <w:rsid w:val="00E13DBA"/>
    <w:rsid w:val="00E14D72"/>
    <w:rsid w:val="00E15901"/>
    <w:rsid w:val="00E17341"/>
    <w:rsid w:val="00E17564"/>
    <w:rsid w:val="00E20C0C"/>
    <w:rsid w:val="00E21DEC"/>
    <w:rsid w:val="00E22214"/>
    <w:rsid w:val="00E2333F"/>
    <w:rsid w:val="00E24C83"/>
    <w:rsid w:val="00E3071E"/>
    <w:rsid w:val="00E31346"/>
    <w:rsid w:val="00E34568"/>
    <w:rsid w:val="00E34971"/>
    <w:rsid w:val="00E35893"/>
    <w:rsid w:val="00E3732F"/>
    <w:rsid w:val="00E37BFA"/>
    <w:rsid w:val="00E40CA9"/>
    <w:rsid w:val="00E41B9F"/>
    <w:rsid w:val="00E42ABA"/>
    <w:rsid w:val="00E42E85"/>
    <w:rsid w:val="00E46968"/>
    <w:rsid w:val="00E46BAF"/>
    <w:rsid w:val="00E47038"/>
    <w:rsid w:val="00E4783B"/>
    <w:rsid w:val="00E5131F"/>
    <w:rsid w:val="00E51A58"/>
    <w:rsid w:val="00E5233E"/>
    <w:rsid w:val="00E54371"/>
    <w:rsid w:val="00E557E5"/>
    <w:rsid w:val="00E5641B"/>
    <w:rsid w:val="00E56547"/>
    <w:rsid w:val="00E574B2"/>
    <w:rsid w:val="00E574B5"/>
    <w:rsid w:val="00E57729"/>
    <w:rsid w:val="00E604D9"/>
    <w:rsid w:val="00E61945"/>
    <w:rsid w:val="00E61C17"/>
    <w:rsid w:val="00E625A2"/>
    <w:rsid w:val="00E625D0"/>
    <w:rsid w:val="00E631F3"/>
    <w:rsid w:val="00E63CD0"/>
    <w:rsid w:val="00E63FC8"/>
    <w:rsid w:val="00E64D3F"/>
    <w:rsid w:val="00E6696C"/>
    <w:rsid w:val="00E67645"/>
    <w:rsid w:val="00E70FB2"/>
    <w:rsid w:val="00E713BB"/>
    <w:rsid w:val="00E71DE6"/>
    <w:rsid w:val="00E72419"/>
    <w:rsid w:val="00E737DD"/>
    <w:rsid w:val="00E7489D"/>
    <w:rsid w:val="00E74D16"/>
    <w:rsid w:val="00E7613F"/>
    <w:rsid w:val="00E7682C"/>
    <w:rsid w:val="00E77236"/>
    <w:rsid w:val="00E77C36"/>
    <w:rsid w:val="00E805DF"/>
    <w:rsid w:val="00E83725"/>
    <w:rsid w:val="00E85195"/>
    <w:rsid w:val="00E867F0"/>
    <w:rsid w:val="00E86900"/>
    <w:rsid w:val="00E86F9F"/>
    <w:rsid w:val="00E907A4"/>
    <w:rsid w:val="00E91307"/>
    <w:rsid w:val="00E91D5F"/>
    <w:rsid w:val="00E92EC5"/>
    <w:rsid w:val="00E94041"/>
    <w:rsid w:val="00E951B7"/>
    <w:rsid w:val="00E96F40"/>
    <w:rsid w:val="00E97CBA"/>
    <w:rsid w:val="00EA2C28"/>
    <w:rsid w:val="00EA358B"/>
    <w:rsid w:val="00EA5272"/>
    <w:rsid w:val="00EA5664"/>
    <w:rsid w:val="00EA57C2"/>
    <w:rsid w:val="00EA716E"/>
    <w:rsid w:val="00EA7DA5"/>
    <w:rsid w:val="00EB0596"/>
    <w:rsid w:val="00EB0686"/>
    <w:rsid w:val="00EB0B7B"/>
    <w:rsid w:val="00EB186D"/>
    <w:rsid w:val="00EB229C"/>
    <w:rsid w:val="00EB3E10"/>
    <w:rsid w:val="00EB5B78"/>
    <w:rsid w:val="00EC033E"/>
    <w:rsid w:val="00EC11DE"/>
    <w:rsid w:val="00EC3C69"/>
    <w:rsid w:val="00EC4E42"/>
    <w:rsid w:val="00EC5897"/>
    <w:rsid w:val="00EC66A6"/>
    <w:rsid w:val="00ED1A41"/>
    <w:rsid w:val="00ED6B99"/>
    <w:rsid w:val="00ED7181"/>
    <w:rsid w:val="00EE015E"/>
    <w:rsid w:val="00EE01EC"/>
    <w:rsid w:val="00EE0642"/>
    <w:rsid w:val="00EE09D3"/>
    <w:rsid w:val="00EE1873"/>
    <w:rsid w:val="00EE3C54"/>
    <w:rsid w:val="00EE44D3"/>
    <w:rsid w:val="00EE4871"/>
    <w:rsid w:val="00EE7E41"/>
    <w:rsid w:val="00EF06FE"/>
    <w:rsid w:val="00EF16FC"/>
    <w:rsid w:val="00EF1808"/>
    <w:rsid w:val="00EF19A0"/>
    <w:rsid w:val="00EF2A0A"/>
    <w:rsid w:val="00EF38A8"/>
    <w:rsid w:val="00EF466B"/>
    <w:rsid w:val="00EF7C60"/>
    <w:rsid w:val="00F00215"/>
    <w:rsid w:val="00F004C1"/>
    <w:rsid w:val="00F0231F"/>
    <w:rsid w:val="00F03D70"/>
    <w:rsid w:val="00F03EA1"/>
    <w:rsid w:val="00F04E1B"/>
    <w:rsid w:val="00F053A9"/>
    <w:rsid w:val="00F057FA"/>
    <w:rsid w:val="00F06858"/>
    <w:rsid w:val="00F0694F"/>
    <w:rsid w:val="00F07155"/>
    <w:rsid w:val="00F11975"/>
    <w:rsid w:val="00F169D0"/>
    <w:rsid w:val="00F16D23"/>
    <w:rsid w:val="00F17853"/>
    <w:rsid w:val="00F21310"/>
    <w:rsid w:val="00F21868"/>
    <w:rsid w:val="00F2276F"/>
    <w:rsid w:val="00F22CF2"/>
    <w:rsid w:val="00F240CD"/>
    <w:rsid w:val="00F245C1"/>
    <w:rsid w:val="00F24D00"/>
    <w:rsid w:val="00F26B52"/>
    <w:rsid w:val="00F27691"/>
    <w:rsid w:val="00F27F9D"/>
    <w:rsid w:val="00F30248"/>
    <w:rsid w:val="00F337C3"/>
    <w:rsid w:val="00F3603A"/>
    <w:rsid w:val="00F36557"/>
    <w:rsid w:val="00F36CD6"/>
    <w:rsid w:val="00F36D29"/>
    <w:rsid w:val="00F371E6"/>
    <w:rsid w:val="00F401D4"/>
    <w:rsid w:val="00F407EE"/>
    <w:rsid w:val="00F41062"/>
    <w:rsid w:val="00F411D7"/>
    <w:rsid w:val="00F43275"/>
    <w:rsid w:val="00F4350A"/>
    <w:rsid w:val="00F43900"/>
    <w:rsid w:val="00F451E6"/>
    <w:rsid w:val="00F45863"/>
    <w:rsid w:val="00F4672A"/>
    <w:rsid w:val="00F51093"/>
    <w:rsid w:val="00F51A20"/>
    <w:rsid w:val="00F52EB2"/>
    <w:rsid w:val="00F60979"/>
    <w:rsid w:val="00F61CEC"/>
    <w:rsid w:val="00F626A9"/>
    <w:rsid w:val="00F63682"/>
    <w:rsid w:val="00F65378"/>
    <w:rsid w:val="00F657B0"/>
    <w:rsid w:val="00F6627E"/>
    <w:rsid w:val="00F676C0"/>
    <w:rsid w:val="00F71625"/>
    <w:rsid w:val="00F71F6C"/>
    <w:rsid w:val="00F7273D"/>
    <w:rsid w:val="00F72EB2"/>
    <w:rsid w:val="00F73FE6"/>
    <w:rsid w:val="00F7404D"/>
    <w:rsid w:val="00F74981"/>
    <w:rsid w:val="00F751EA"/>
    <w:rsid w:val="00F7552D"/>
    <w:rsid w:val="00F758F7"/>
    <w:rsid w:val="00F77F34"/>
    <w:rsid w:val="00F8254A"/>
    <w:rsid w:val="00F84649"/>
    <w:rsid w:val="00F84A96"/>
    <w:rsid w:val="00F85110"/>
    <w:rsid w:val="00F85244"/>
    <w:rsid w:val="00F868EA"/>
    <w:rsid w:val="00F8770A"/>
    <w:rsid w:val="00F87913"/>
    <w:rsid w:val="00F96DB6"/>
    <w:rsid w:val="00F97570"/>
    <w:rsid w:val="00FA0345"/>
    <w:rsid w:val="00FA0415"/>
    <w:rsid w:val="00FA076C"/>
    <w:rsid w:val="00FA0830"/>
    <w:rsid w:val="00FA0DE0"/>
    <w:rsid w:val="00FA3205"/>
    <w:rsid w:val="00FA3AF1"/>
    <w:rsid w:val="00FA429B"/>
    <w:rsid w:val="00FA44FD"/>
    <w:rsid w:val="00FA49E9"/>
    <w:rsid w:val="00FA4AA2"/>
    <w:rsid w:val="00FA57C0"/>
    <w:rsid w:val="00FB004D"/>
    <w:rsid w:val="00FB03B9"/>
    <w:rsid w:val="00FB0C0A"/>
    <w:rsid w:val="00FB0D1A"/>
    <w:rsid w:val="00FB24F2"/>
    <w:rsid w:val="00FB51CC"/>
    <w:rsid w:val="00FB5932"/>
    <w:rsid w:val="00FB78EC"/>
    <w:rsid w:val="00FC13A3"/>
    <w:rsid w:val="00FC13F9"/>
    <w:rsid w:val="00FC180D"/>
    <w:rsid w:val="00FC1BE8"/>
    <w:rsid w:val="00FC4F67"/>
    <w:rsid w:val="00FC54AA"/>
    <w:rsid w:val="00FC6C4F"/>
    <w:rsid w:val="00FC7245"/>
    <w:rsid w:val="00FC7AB5"/>
    <w:rsid w:val="00FD11D3"/>
    <w:rsid w:val="00FD349B"/>
    <w:rsid w:val="00FD4571"/>
    <w:rsid w:val="00FD53B3"/>
    <w:rsid w:val="00FD63FC"/>
    <w:rsid w:val="00FD6D3D"/>
    <w:rsid w:val="00FD7BD6"/>
    <w:rsid w:val="00FE06DF"/>
    <w:rsid w:val="00FE0B08"/>
    <w:rsid w:val="00FE0E72"/>
    <w:rsid w:val="00FE0F2F"/>
    <w:rsid w:val="00FE1724"/>
    <w:rsid w:val="00FE22F5"/>
    <w:rsid w:val="00FE2F21"/>
    <w:rsid w:val="00FE345C"/>
    <w:rsid w:val="00FE3CD0"/>
    <w:rsid w:val="00FE4970"/>
    <w:rsid w:val="00FE4BC0"/>
    <w:rsid w:val="00FE52AD"/>
    <w:rsid w:val="00FE77E5"/>
    <w:rsid w:val="00FE79CA"/>
    <w:rsid w:val="00FF016E"/>
    <w:rsid w:val="00FF0794"/>
    <w:rsid w:val="00FF1CCC"/>
    <w:rsid w:val="00FF20A1"/>
    <w:rsid w:val="00FF46E2"/>
    <w:rsid w:val="00FF6441"/>
    <w:rsid w:val="00FF6DE0"/>
    <w:rsid w:val="00FF79A5"/>
    <w:rsid w:val="118DBBF6"/>
    <w:rsid w:val="13F6653B"/>
    <w:rsid w:val="267143BB"/>
    <w:rsid w:val="351C50C5"/>
    <w:rsid w:val="506760FD"/>
    <w:rsid w:val="52D3F29C"/>
    <w:rsid w:val="6BC3D847"/>
    <w:rsid w:val="75D8E3B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EF981F3"/>
  <w15:chartTrackingRefBased/>
  <w15:docId w15:val="{31235581-C969-4C30-8756-10E93303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Footnote Text Char Char Char1 Char Char Char,Footnote Text Char Char Char2 Char Char,Footnote Text Char1 Char1 Char Char Char,Footnote Text Char2 Char,Footnote Text Char2 Char Char Char,Footnote Text Char3 Char Char,f,fn"/>
    <w:link w:val="FootnoteTextChar1"/>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uiPriority w:val="99"/>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1">
    <w:name w:val="Footnote Text Char1"/>
    <w:aliases w:val="Footnote Text Char Char,Footnote Text Char Char Char1 Char Char Char Char,Footnote Text Char Char Char2 Char Char Char,Footnote Text Char1 Char1 Char Char Char Char,Footnote Text Char2 Char Char,Footnote Text Char3 Char Char Char"/>
    <w:link w:val="FootnoteText"/>
    <w:rsid w:val="00881759"/>
  </w:style>
  <w:style w:type="character" w:customStyle="1" w:styleId="xcontentpasted0">
    <w:name w:val="x_contentpasted0"/>
    <w:basedOn w:val="DefaultParagraphFont"/>
    <w:rsid w:val="00693D49"/>
  </w:style>
  <w:style w:type="paragraph" w:styleId="Revision">
    <w:name w:val="Revision"/>
    <w:hidden/>
    <w:uiPriority w:val="99"/>
    <w:semiHidden/>
    <w:rsid w:val="00D45CCD"/>
    <w:rPr>
      <w:snapToGrid w:val="0"/>
      <w:kern w:val="28"/>
      <w:sz w:val="22"/>
    </w:rPr>
  </w:style>
  <w:style w:type="paragraph" w:styleId="ListParagraph">
    <w:name w:val="List Paragraph"/>
    <w:basedOn w:val="Normal"/>
    <w:uiPriority w:val="34"/>
    <w:qFormat/>
    <w:rsid w:val="00DF0BCD"/>
    <w:pPr>
      <w:ind w:left="720"/>
      <w:contextualSpacing/>
    </w:pPr>
  </w:style>
  <w:style w:type="character" w:styleId="CommentReference">
    <w:name w:val="annotation reference"/>
    <w:basedOn w:val="DefaultParagraphFont"/>
    <w:uiPriority w:val="99"/>
    <w:semiHidden/>
    <w:unhideWhenUsed/>
    <w:rsid w:val="009849E7"/>
    <w:rPr>
      <w:sz w:val="16"/>
      <w:szCs w:val="16"/>
    </w:rPr>
  </w:style>
  <w:style w:type="paragraph" w:styleId="CommentText">
    <w:name w:val="annotation text"/>
    <w:basedOn w:val="Normal"/>
    <w:link w:val="CommentTextChar"/>
    <w:uiPriority w:val="99"/>
    <w:unhideWhenUsed/>
    <w:rsid w:val="009849E7"/>
    <w:rPr>
      <w:sz w:val="20"/>
    </w:rPr>
  </w:style>
  <w:style w:type="character" w:customStyle="1" w:styleId="CommentTextChar">
    <w:name w:val="Comment Text Char"/>
    <w:basedOn w:val="DefaultParagraphFont"/>
    <w:link w:val="CommentText"/>
    <w:uiPriority w:val="99"/>
    <w:rsid w:val="009849E7"/>
    <w:rPr>
      <w:snapToGrid w:val="0"/>
      <w:kern w:val="28"/>
    </w:rPr>
  </w:style>
  <w:style w:type="paragraph" w:styleId="CommentSubject">
    <w:name w:val="annotation subject"/>
    <w:basedOn w:val="CommentText"/>
    <w:next w:val="CommentText"/>
    <w:link w:val="CommentSubjectChar"/>
    <w:uiPriority w:val="99"/>
    <w:semiHidden/>
    <w:unhideWhenUsed/>
    <w:rsid w:val="009849E7"/>
    <w:rPr>
      <w:b/>
      <w:bCs/>
    </w:rPr>
  </w:style>
  <w:style w:type="character" w:customStyle="1" w:styleId="CommentSubjectChar">
    <w:name w:val="Comment Subject Char"/>
    <w:basedOn w:val="CommentTextChar"/>
    <w:link w:val="CommentSubject"/>
    <w:uiPriority w:val="99"/>
    <w:semiHidden/>
    <w:rsid w:val="009849E7"/>
    <w:rPr>
      <w:b/>
      <w:bCs/>
      <w:snapToGrid w:val="0"/>
      <w:kern w:val="28"/>
    </w:rPr>
  </w:style>
  <w:style w:type="character" w:styleId="Mention">
    <w:name w:val="Mention"/>
    <w:basedOn w:val="DefaultParagraphFont"/>
    <w:uiPriority w:val="99"/>
    <w:unhideWhenUsed/>
    <w:rsid w:val="004508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Gregory.Kwan@fcc.gov" TargetMode="External" /><Relationship Id="rId7" Type="http://schemas.openxmlformats.org/officeDocument/2006/relationships/hyperlink" Target="mailto:William.Layton@fcc.gov" TargetMode="External" /><Relationship Id="rId8" Type="http://schemas.openxmlformats.org/officeDocument/2006/relationships/hyperlink" Target="mailto:Christopher.Koves@fcc.gov"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