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BA3BA8" w14:paraId="743B5571" w14:textId="77777777">
      <w:pPr>
        <w:jc w:val="right"/>
        <w:rPr>
          <w:sz w:val="24"/>
        </w:rPr>
      </w:pPr>
    </w:p>
    <w:p w:rsidR="00CB371E" w:rsidP="00CB371E" w14:paraId="2349C47E" w14:textId="77777777">
      <w:pPr>
        <w:jc w:val="right"/>
        <w:rPr>
          <w:sz w:val="24"/>
        </w:rPr>
      </w:pPr>
    </w:p>
    <w:p w:rsidR="00CB371E" w:rsidRPr="00583309" w:rsidP="00CB371E" w14:paraId="6003D3BD" w14:textId="279126F0">
      <w:pPr>
        <w:jc w:val="right"/>
        <w:rPr>
          <w:b/>
          <w:bCs/>
          <w:sz w:val="24"/>
          <w:szCs w:val="24"/>
        </w:rPr>
      </w:pPr>
      <w:r w:rsidRPr="19321B0C">
        <w:rPr>
          <w:b/>
          <w:bCs/>
          <w:sz w:val="24"/>
          <w:szCs w:val="24"/>
        </w:rPr>
        <w:t>DA</w:t>
      </w:r>
      <w:r w:rsidR="00B61621">
        <w:rPr>
          <w:b/>
          <w:bCs/>
          <w:sz w:val="24"/>
          <w:szCs w:val="24"/>
        </w:rPr>
        <w:t xml:space="preserve"> </w:t>
      </w:r>
      <w:r w:rsidR="00F112D6">
        <w:rPr>
          <w:b/>
          <w:bCs/>
          <w:sz w:val="24"/>
          <w:szCs w:val="24"/>
        </w:rPr>
        <w:t>26-192</w:t>
      </w:r>
    </w:p>
    <w:p w:rsidR="00CB371E" w:rsidRPr="00583309" w:rsidP="00CB371E" w14:paraId="0DDEDBD2" w14:textId="0A7B2FD9">
      <w:pPr>
        <w:jc w:val="right"/>
        <w:rPr>
          <w:b/>
          <w:bCs/>
          <w:sz w:val="24"/>
          <w:szCs w:val="24"/>
        </w:rPr>
      </w:pPr>
      <w:r w:rsidRPr="5B56C679">
        <w:rPr>
          <w:b/>
          <w:bCs/>
          <w:sz w:val="24"/>
          <w:szCs w:val="24"/>
        </w:rPr>
        <w:t xml:space="preserve">Released: </w:t>
      </w:r>
      <w:r w:rsidR="00F112D6">
        <w:rPr>
          <w:b/>
          <w:bCs/>
          <w:sz w:val="24"/>
          <w:szCs w:val="24"/>
        </w:rPr>
        <w:t>February 26</w:t>
      </w:r>
      <w:r w:rsidRPr="5B56C679">
        <w:rPr>
          <w:b/>
          <w:bCs/>
          <w:sz w:val="24"/>
          <w:szCs w:val="24"/>
        </w:rPr>
        <w:t>, 202</w:t>
      </w:r>
      <w:r w:rsidR="00351F13">
        <w:rPr>
          <w:b/>
          <w:bCs/>
          <w:sz w:val="24"/>
          <w:szCs w:val="24"/>
        </w:rPr>
        <w:t>6</w:t>
      </w:r>
    </w:p>
    <w:p w:rsidR="00CB371E" w:rsidP="00CB371E" w14:paraId="39A3B8D1" w14:textId="77777777">
      <w:pPr>
        <w:jc w:val="right"/>
        <w:rPr>
          <w:sz w:val="24"/>
        </w:rPr>
      </w:pPr>
    </w:p>
    <w:p w:rsidR="00CB371E" w:rsidRPr="00C65EFC" w:rsidP="00C65EFC" w14:paraId="58F6063C" w14:textId="77777777">
      <w:pPr>
        <w:spacing w:after="240"/>
        <w:jc w:val="center"/>
        <w:rPr>
          <w:rFonts w:ascii="Times New Roman Bold" w:eastAsia="Times New Roman Bold" w:hAnsi="Times New Roman Bold" w:cs="Times New Roman Bold"/>
          <w:b/>
          <w:bCs/>
          <w:caps/>
          <w:bdr w:val="none" w:sz="0" w:space="0" w:color="auto" w:frame="1"/>
        </w:rPr>
      </w:pPr>
      <w:bookmarkStart w:id="0" w:name="TOChere"/>
      <w:r w:rsidRPr="01C1447F">
        <w:rPr>
          <w:rFonts w:ascii="Times New Roman Bold" w:eastAsia="Times New Roman Bold" w:hAnsi="Times New Roman Bold" w:cs="Times New Roman Bold"/>
          <w:b/>
          <w:bCs/>
          <w:caps/>
        </w:rPr>
        <w:t xml:space="preserve">space Bureau announces </w:t>
      </w:r>
      <w:r w:rsidR="008C7681">
        <w:rPr>
          <w:rFonts w:ascii="Times New Roman Bold" w:eastAsia="Times New Roman Bold" w:hAnsi="Times New Roman Bold" w:cs="Times New Roman Bold"/>
          <w:b/>
          <w:bCs/>
          <w:caps/>
        </w:rPr>
        <w:t xml:space="preserve">ONE YEAR </w:t>
      </w:r>
      <w:r w:rsidR="003D62B6">
        <w:rPr>
          <w:rFonts w:ascii="Times New Roman Bold" w:eastAsia="Times New Roman Bold" w:hAnsi="Times New Roman Bold" w:cs="Times New Roman Bold"/>
          <w:b/>
          <w:bCs/>
          <w:caps/>
        </w:rPr>
        <w:t xml:space="preserve">Extension of </w:t>
      </w:r>
      <w:r w:rsidRPr="01C1447F">
        <w:rPr>
          <w:rFonts w:ascii="Times New Roman Bold" w:eastAsia="Times New Roman Bold" w:hAnsi="Times New Roman Bold" w:cs="Times New Roman Bold"/>
          <w:b/>
          <w:bCs/>
          <w:caps/>
        </w:rPr>
        <w:t>temporary expedited processing procedures for earth station applications seeking special temporary authority</w:t>
      </w:r>
      <w:r>
        <w:t xml:space="preserve"> </w:t>
      </w:r>
    </w:p>
    <w:p w:rsidR="00555617" w:rsidRPr="003D62B6" w:rsidP="00555617" w14:paraId="715A239B" w14:textId="77777777">
      <w:pPr>
        <w:widowControl/>
        <w:spacing w:after="120" w:line="259" w:lineRule="auto"/>
        <w:ind w:firstLine="360"/>
      </w:pPr>
      <w:r>
        <w:t xml:space="preserve">With this Public Notice, the Space Bureau </w:t>
      </w:r>
      <w:r w:rsidR="0024313E">
        <w:t>extend</w:t>
      </w:r>
      <w:r w:rsidR="00B54C67">
        <w:t>s</w:t>
      </w:r>
      <w:r w:rsidR="00872356">
        <w:t xml:space="preserve"> for another </w:t>
      </w:r>
      <w:r w:rsidR="00B42250">
        <w:t>year</w:t>
      </w:r>
      <w:r w:rsidR="006F6C29">
        <w:t>, until March 10, 2027,</w:t>
      </w:r>
      <w:r w:rsidR="0024313E">
        <w:t xml:space="preserve"> the current </w:t>
      </w:r>
      <w:r w:rsidR="00B42250">
        <w:t xml:space="preserve">temporary </w:t>
      </w:r>
      <w:r w:rsidRPr="003D62B6" w:rsidR="003D62B6">
        <w:t>expedit</w:t>
      </w:r>
      <w:r w:rsidR="008D265B">
        <w:t>ed</w:t>
      </w:r>
      <w:r w:rsidRPr="003D62B6" w:rsidR="003D62B6">
        <w:t xml:space="preserve"> processing</w:t>
      </w:r>
      <w:r w:rsidR="008D265B">
        <w:t xml:space="preserve"> procedures</w:t>
      </w:r>
      <w:r w:rsidRPr="003D62B6" w:rsidR="003D62B6">
        <w:t xml:space="preserve"> </w:t>
      </w:r>
      <w:r w:rsidR="00C94BA3">
        <w:t xml:space="preserve">and associated waivers of the Commission’s procedural rules </w:t>
      </w:r>
      <w:r w:rsidR="00210558">
        <w:t xml:space="preserve">relating to </w:t>
      </w:r>
      <w:r w:rsidRPr="003D62B6" w:rsidR="003D62B6">
        <w:t>specific earth station applications for special temporary authority</w:t>
      </w:r>
      <w:r w:rsidR="00790C10">
        <w:t xml:space="preserve"> </w:t>
      </w:r>
      <w:r w:rsidRPr="00790C10" w:rsidR="00790C10">
        <w:t>(STA)</w:t>
      </w:r>
      <w:r w:rsidR="00B42250">
        <w:t>.</w:t>
      </w:r>
      <w:r>
        <w:rPr>
          <w:rStyle w:val="FootnoteReference"/>
        </w:rPr>
        <w:footnoteReference w:id="3"/>
      </w:r>
      <w:r w:rsidR="00B42250">
        <w:t xml:space="preserve"> </w:t>
      </w:r>
      <w:r w:rsidR="00630F2B">
        <w:t xml:space="preserve"> </w:t>
      </w:r>
      <w:r w:rsidRPr="00E670C9" w:rsidR="00E670C9">
        <w:t>We find that it is in the public interest and there is good cause to extend the waiver of the Commission’s procedural rules</w:t>
      </w:r>
      <w:r w:rsidRPr="00E670C9" w:rsidR="00E670C9">
        <w:rPr>
          <w:vertAlign w:val="superscript"/>
        </w:rPr>
        <w:t xml:space="preserve"> </w:t>
      </w:r>
      <w:r w:rsidRPr="00E670C9" w:rsidR="00E670C9">
        <w:t>for another year because</w:t>
      </w:r>
      <w:r w:rsidR="00E670C9">
        <w:t xml:space="preserve"> t</w:t>
      </w:r>
      <w:r w:rsidR="00B42250">
        <w:t xml:space="preserve">hese procedures, </w:t>
      </w:r>
      <w:r w:rsidR="008C7681">
        <w:t xml:space="preserve">which are </w:t>
      </w:r>
      <w:r w:rsidR="00B42250">
        <w:t xml:space="preserve">outlined </w:t>
      </w:r>
      <w:r w:rsidR="001A2634">
        <w:t xml:space="preserve">and explained </w:t>
      </w:r>
      <w:r w:rsidR="00B42250">
        <w:t>in the</w:t>
      </w:r>
      <w:r w:rsidR="001A2634">
        <w:t xml:space="preserve"> </w:t>
      </w:r>
      <w:r w:rsidR="00CC4E97">
        <w:t>2025</w:t>
      </w:r>
      <w:r w:rsidR="001A2634">
        <w:t xml:space="preserve"> Public Notice</w:t>
      </w:r>
      <w:r w:rsidR="00DF5F2C">
        <w:t>,</w:t>
      </w:r>
      <w:r>
        <w:rPr>
          <w:rStyle w:val="FootnoteReference"/>
        </w:rPr>
        <w:footnoteReference w:id="4"/>
      </w:r>
      <w:r w:rsidR="00DF5F2C">
        <w:t xml:space="preserve"> </w:t>
      </w:r>
      <w:r w:rsidR="00B42250">
        <w:t xml:space="preserve">have </w:t>
      </w:r>
      <w:r w:rsidR="008C7681">
        <w:t xml:space="preserve">enabled </w:t>
      </w:r>
      <w:r w:rsidR="00B42250">
        <w:t xml:space="preserve">the Bureau </w:t>
      </w:r>
      <w:r w:rsidR="008C7681">
        <w:t xml:space="preserve">to process record numbers of earth station STAs over the past year, </w:t>
      </w:r>
      <w:r w:rsidR="008F5CE2">
        <w:t xml:space="preserve">notwithstanding ongoing earth station application surges as </w:t>
      </w:r>
      <w:r w:rsidR="008C7681">
        <w:t>the space economy continues to grow and thrive.</w:t>
      </w:r>
      <w:r w:rsidR="00843E41">
        <w:t xml:space="preserve">  </w:t>
      </w:r>
      <w:r w:rsidR="008F5CE2">
        <w:t>Moreover, the Bureau’s experience administering these temporary procedures has demonstrated that these procedures are relatively easy to implement.</w:t>
      </w:r>
      <w:r w:rsidR="00843E41">
        <w:t xml:space="preserve">  </w:t>
      </w:r>
      <w:r w:rsidR="00AE4F8D">
        <w:t>The rationale</w:t>
      </w:r>
      <w:r w:rsidR="00812F08">
        <w:t xml:space="preserve"> set forth in the 2025 Public Notice</w:t>
      </w:r>
      <w:r w:rsidR="00DD5398">
        <w:t xml:space="preserve"> continues to apply at this time</w:t>
      </w:r>
      <w:r w:rsidR="00E02D0F">
        <w:t>, and the special procedures remain necessary to ensure the Bureau timely handles the surge of filings and to avoid creating another backlog</w:t>
      </w:r>
      <w:r w:rsidR="007C289A">
        <w:t>.</w:t>
      </w:r>
      <w:r>
        <w:rPr>
          <w:rStyle w:val="FootnoteReference"/>
        </w:rPr>
        <w:footnoteReference w:id="5"/>
      </w:r>
      <w:r w:rsidR="004F56A0">
        <w:t xml:space="preserve">  </w:t>
      </w:r>
      <w:r>
        <w:t xml:space="preserve">This one-year extension will ensure the continued prompt and efficient processing of earth station STA applications </w:t>
      </w:r>
      <w:r w:rsidRPr="003D62B6">
        <w:t xml:space="preserve">while the Commission considers more comprehensive </w:t>
      </w:r>
      <w:r>
        <w:t>rule changes to modernize its application processing</w:t>
      </w:r>
      <w:r w:rsidRPr="003D62B6">
        <w:t>.</w:t>
      </w:r>
      <w:r>
        <w:rPr>
          <w:vertAlign w:val="superscript"/>
        </w:rPr>
        <w:footnoteReference w:id="6"/>
      </w:r>
      <w:r w:rsidR="00843E41">
        <w:t xml:space="preserve">  </w:t>
      </w:r>
      <w:r>
        <w:t xml:space="preserve">Accordingly, we find good cause to extend </w:t>
      </w:r>
      <w:r w:rsidRPr="003D62B6">
        <w:t xml:space="preserve">these temporary expedited processing procedures </w:t>
      </w:r>
      <w:r>
        <w:t>for another year.</w:t>
      </w:r>
      <w:r>
        <w:rPr>
          <w:rStyle w:val="FootnoteReference"/>
        </w:rPr>
        <w:footnoteReference w:id="7"/>
      </w:r>
      <w:r>
        <w:t xml:space="preserve">  </w:t>
      </w:r>
    </w:p>
    <w:p w:rsidR="003D62B6" w:rsidRPr="003D62B6" w:rsidP="003D62B6" w14:paraId="2A14DC28" w14:textId="77777777">
      <w:pPr>
        <w:widowControl/>
        <w:spacing w:after="120" w:line="259" w:lineRule="auto"/>
        <w:jc w:val="center"/>
        <w:rPr>
          <w:b/>
          <w:bCs/>
        </w:rPr>
      </w:pPr>
      <w:r w:rsidRPr="003D62B6">
        <w:rPr>
          <w:b/>
          <w:bCs/>
        </w:rPr>
        <w:t>***</w:t>
      </w:r>
    </w:p>
    <w:p w:rsidR="003D62B6" w:rsidRPr="003D62B6" w:rsidP="003D62B6" w14:paraId="7D4EC544" w14:textId="77777777">
      <w:pPr>
        <w:widowControl/>
        <w:spacing w:after="120"/>
        <w:ind w:firstLine="720"/>
      </w:pPr>
      <w:r w:rsidRPr="003D62B6">
        <w:rPr>
          <w:i/>
          <w:iCs/>
        </w:rPr>
        <w:t>People with Disabilities</w:t>
      </w:r>
      <w:r w:rsidRPr="003D62B6">
        <w:t xml:space="preserve">:  To request materials in accessible formats for people with disabilities (braille, large print, electronic files, audio format), send an e-mail to </w:t>
      </w:r>
      <w:hyperlink r:id="rId6">
        <w:r w:rsidRPr="003D62B6">
          <w:rPr>
            <w:color w:val="0000FF"/>
            <w:u w:val="single"/>
          </w:rPr>
          <w:t>fcc504@fcc.gov</w:t>
        </w:r>
      </w:hyperlink>
      <w:r w:rsidRPr="003D62B6">
        <w:t xml:space="preserve"> or call the Consumer &amp; Governmental Affairs Bureau at 202-418-0530 (voice).</w:t>
      </w:r>
      <w:r w:rsidR="00DF5F2C">
        <w:t xml:space="preserve"> </w:t>
      </w:r>
    </w:p>
    <w:p w:rsidR="00B42250" w:rsidP="00DF5F2C" w14:paraId="51F2C0A2" w14:textId="77777777">
      <w:pPr>
        <w:widowControl/>
        <w:spacing w:after="120"/>
        <w:ind w:firstLine="720"/>
      </w:pPr>
      <w:r w:rsidRPr="003D62B6">
        <w:rPr>
          <w:i/>
          <w:iCs/>
        </w:rPr>
        <w:t xml:space="preserve">Additional Information.  </w:t>
      </w:r>
      <w:r w:rsidRPr="003D62B6">
        <w:t xml:space="preserve">For additional information, applicants should contact Delaney Wood, Earth Station Licensing Division, Space Bureau, at </w:t>
      </w:r>
      <w:hyperlink r:id="rId7" w:history="1">
        <w:r w:rsidRPr="003D62B6" w:rsidR="003B5175">
          <w:rPr>
            <w:rStyle w:val="Hyperlink"/>
          </w:rPr>
          <w:t>Delaney.Wood@fcc.gov</w:t>
        </w:r>
      </w:hyperlink>
      <w:r w:rsidR="003B5175">
        <w:t>.</w:t>
      </w:r>
      <w:r w:rsidR="00DF5F2C">
        <w:t xml:space="preserve"> </w:t>
      </w:r>
    </w:p>
    <w:p w:rsidR="00DF5F2C" w:rsidP="00DF5F2C" w14:paraId="68D4D54D" w14:textId="77777777">
      <w:pPr>
        <w:widowControl/>
        <w:spacing w:after="120"/>
        <w:ind w:firstLine="720"/>
      </w:pPr>
    </w:p>
    <w:p w:rsidR="00E01F9C" w:rsidRPr="008C045A" w:rsidP="00E01F9C" w14:paraId="4807CBA1" w14:textId="77777777">
      <w:pPr>
        <w:spacing w:after="120"/>
        <w:rPr>
          <w:b/>
          <w:szCs w:val="22"/>
        </w:rPr>
      </w:pPr>
      <w:r>
        <w:rPr>
          <w:b/>
          <w:szCs w:val="22"/>
        </w:rPr>
        <w:t>ATTACHMENT</w:t>
      </w:r>
    </w:p>
    <w:p w:rsidR="00E01F9C" w:rsidRPr="00DF5F2C" w:rsidP="00DF5F2C" w14:paraId="6E1BC577" w14:textId="77777777">
      <w:pPr>
        <w:widowControl/>
        <w:spacing w:after="120"/>
        <w:ind w:firstLine="720"/>
      </w:pPr>
    </w:p>
    <w:p w:rsidR="00CB371E" w:rsidRPr="008C045A" w:rsidP="00CB371E" w14:paraId="3A73483D" w14:textId="77777777">
      <w:pPr>
        <w:spacing w:after="120"/>
        <w:jc w:val="center"/>
        <w:rPr>
          <w:szCs w:val="22"/>
        </w:rPr>
      </w:pPr>
      <w:r w:rsidRPr="008C045A">
        <w:rPr>
          <w:b/>
          <w:szCs w:val="22"/>
        </w:rPr>
        <w:t>-FCC-</w:t>
      </w:r>
      <w:bookmarkEnd w:id="0"/>
    </w:p>
    <w:p w:rsidR="00BA3BA8" w:rsidP="00CB371E" w14:paraId="73A7161D" w14:textId="77777777">
      <w:pPr>
        <w:spacing w:before="120" w:after="240"/>
      </w:pPr>
    </w:p>
    <w:sectPr>
      <w:headerReference w:type="default" r:id="rId8"/>
      <w:footerReference w:type="even" r:id="rId9"/>
      <w:footerReference w:type="default" r:id="rId10"/>
      <w:headerReference w:type="first" r:id="rId11"/>
      <w:footerReference w:type="first" r:id="rId12"/>
      <w:endnotePr>
        <w:numFmt w:val="decimal"/>
      </w:endnotePr>
      <w:pgSz w:w="12240" w:h="15840"/>
      <w:pgMar w:top="1440" w:right="1440" w:bottom="720" w:left="1440" w:header="63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015B7D" w14:paraId="08F68692" w14:textId="77777777">
      <w:pPr>
        <w:spacing w:line="20" w:lineRule="exact"/>
      </w:pPr>
    </w:p>
  </w:endnote>
  <w:endnote w:type="continuationSeparator" w:id="1">
    <w:p w:rsidR="00015B7D" w14:paraId="1CFD5570" w14:textId="77777777">
      <w:r>
        <w:t xml:space="preserve"> </w:t>
      </w:r>
    </w:p>
  </w:endnote>
  <w:endnote w:type="continuationNotice" w:id="2">
    <w:p w:rsidR="00015B7D" w14:paraId="0DAE4558"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altName w:val="Times New Roman"/>
    <w:panose1 w:val="02020803070505020304"/>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69D9D0DE" w14:textId="77777777">
    <w:pPr>
      <w:pStyle w:val="Footer"/>
      <w:framePr w:wrap="around" w:vAnchor="text" w:hAnchor="margin" w:xAlign="center" w:y="1"/>
    </w:pPr>
    <w:r>
      <w:fldChar w:fldCharType="begin"/>
    </w:r>
    <w:r>
      <w:instrText xml:space="preserve">PAGE  </w:instrText>
    </w:r>
    <w:r>
      <w:fldChar w:fldCharType="separate"/>
    </w:r>
    <w:r>
      <w:fldChar w:fldCharType="end"/>
    </w:r>
  </w:p>
  <w:p w:rsidR="00BA3BA8" w14:paraId="642EBB4C"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3E999152"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5BF4FCDD"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015B7D" w14:paraId="063B1277" w14:textId="77777777">
      <w:r>
        <w:separator/>
      </w:r>
    </w:p>
  </w:footnote>
  <w:footnote w:type="continuationSeparator" w:id="1">
    <w:p w:rsidR="00015B7D" w14:paraId="6DAA0972" w14:textId="77777777">
      <w:pPr>
        <w:rPr>
          <w:sz w:val="20"/>
        </w:rPr>
      </w:pPr>
      <w:r>
        <w:rPr>
          <w:sz w:val="20"/>
        </w:rPr>
        <w:t xml:space="preserve">(Continued from previous page)  </w:t>
      </w:r>
      <w:r>
        <w:rPr>
          <w:sz w:val="20"/>
        </w:rPr>
        <w:separator/>
      </w:r>
    </w:p>
  </w:footnote>
  <w:footnote w:type="continuationNotice" w:id="2">
    <w:p w:rsidR="00015B7D" w14:paraId="46A98D52" w14:textId="77777777">
      <w:pPr>
        <w:jc w:val="right"/>
        <w:rPr>
          <w:sz w:val="20"/>
        </w:rPr>
      </w:pPr>
      <w:r>
        <w:rPr>
          <w:sz w:val="20"/>
        </w:rPr>
        <w:t>(continued….)</w:t>
      </w:r>
    </w:p>
  </w:footnote>
  <w:footnote w:id="3">
    <w:p w:rsidR="00B42250" w:rsidRPr="00931E81" w14:paraId="76745501" w14:textId="77777777">
      <w:pPr>
        <w:pStyle w:val="FootnoteText"/>
      </w:pPr>
      <w:r w:rsidRPr="002D3F1E">
        <w:rPr>
          <w:rStyle w:val="FootnoteReference"/>
          <w:sz w:val="20"/>
        </w:rPr>
        <w:footnoteRef/>
      </w:r>
      <w:r w:rsidRPr="00931E81">
        <w:t xml:space="preserve"> </w:t>
      </w:r>
      <w:r w:rsidRPr="00931E81">
        <w:rPr>
          <w:i/>
          <w:iCs/>
        </w:rPr>
        <w:t>Space Bureau Announces Temporary Expedited Processing Procedures for Earth Station Applications</w:t>
      </w:r>
      <w:r w:rsidRPr="00931E81">
        <w:t xml:space="preserve"> </w:t>
      </w:r>
      <w:r w:rsidRPr="00931E81">
        <w:rPr>
          <w:i/>
          <w:iCs/>
        </w:rPr>
        <w:t>Seeking Special Temporary Authority</w:t>
      </w:r>
      <w:r w:rsidRPr="00931E81">
        <w:t>, SB Docket No. 25-207, Public Notice, 40 FCC Rcd 1558 (</w:t>
      </w:r>
      <w:r w:rsidRPr="00745A5D" w:rsidR="0043573B">
        <w:t xml:space="preserve">SB </w:t>
      </w:r>
      <w:r w:rsidRPr="00931E81">
        <w:t>2025) (</w:t>
      </w:r>
      <w:r w:rsidRPr="002D3F1E" w:rsidR="00CC4E97">
        <w:rPr>
          <w:i/>
          <w:iCs/>
        </w:rPr>
        <w:t>2025 Public Notice</w:t>
      </w:r>
      <w:r w:rsidRPr="00931E81">
        <w:rPr>
          <w:i/>
          <w:iCs/>
        </w:rPr>
        <w:t>)</w:t>
      </w:r>
      <w:r w:rsidRPr="00931E81">
        <w:t xml:space="preserve">; 5 U.S.C. </w:t>
      </w:r>
      <w:r w:rsidRPr="00931E81" w:rsidR="004720E6">
        <w:t xml:space="preserve">§ </w:t>
      </w:r>
      <w:r w:rsidRPr="00931E81">
        <w:t>553(b)(3)(A) (exempting from APA rulemaking requirements rules of agency procedure).</w:t>
      </w:r>
    </w:p>
  </w:footnote>
  <w:footnote w:id="4">
    <w:p w:rsidR="003E29DF" w:rsidRPr="00931E81" w14:paraId="67EDF727" w14:textId="77777777">
      <w:pPr>
        <w:pStyle w:val="FootnoteText"/>
      </w:pPr>
      <w:r w:rsidRPr="002D3F1E">
        <w:rPr>
          <w:rStyle w:val="FootnoteReference"/>
          <w:sz w:val="20"/>
        </w:rPr>
        <w:footnoteRef/>
      </w:r>
      <w:r w:rsidRPr="00931E81">
        <w:t xml:space="preserve"> </w:t>
      </w:r>
      <w:r w:rsidRPr="002D3F1E" w:rsidR="00844C75">
        <w:rPr>
          <w:i/>
          <w:iCs/>
        </w:rPr>
        <w:t>2025 Public Notice</w:t>
      </w:r>
      <w:r w:rsidRPr="00931E81" w:rsidR="00844C75">
        <w:t>, 40 FCC Rcd at 1559-562.</w:t>
      </w:r>
    </w:p>
  </w:footnote>
  <w:footnote w:id="5">
    <w:p w:rsidR="00952BA5" w14:paraId="2F2F93AC" w14:textId="77777777">
      <w:pPr>
        <w:pStyle w:val="FootnoteText"/>
      </w:pPr>
      <w:r>
        <w:rPr>
          <w:rStyle w:val="FootnoteReference"/>
        </w:rPr>
        <w:footnoteRef/>
      </w:r>
      <w:r>
        <w:t xml:space="preserve"> </w:t>
      </w:r>
      <w:r w:rsidR="00D7099C">
        <w:rPr>
          <w:i/>
          <w:iCs/>
        </w:rPr>
        <w:t>Id.</w:t>
      </w:r>
    </w:p>
  </w:footnote>
  <w:footnote w:id="6">
    <w:p w:rsidR="00555617" w:rsidRPr="00931E81" w:rsidP="00555617" w14:paraId="4F40F4AA" w14:textId="77777777">
      <w:pPr>
        <w:pStyle w:val="FootnoteText"/>
      </w:pPr>
      <w:r w:rsidRPr="00931E81">
        <w:rPr>
          <w:rStyle w:val="FootnoteReference"/>
          <w:sz w:val="20"/>
        </w:rPr>
        <w:footnoteRef/>
      </w:r>
      <w:r w:rsidRPr="00931E81">
        <w:t xml:space="preserve"> </w:t>
      </w:r>
      <w:r w:rsidRPr="00931E81">
        <w:rPr>
          <w:i/>
          <w:iCs/>
        </w:rPr>
        <w:t xml:space="preserve">See Space Modernization for the 21st Century, </w:t>
      </w:r>
      <w:r w:rsidRPr="00931E81">
        <w:t xml:space="preserve">Notice of Proposed Rulemaking, SB Docket No. 25-306, FCC-25-69 </w:t>
      </w:r>
      <w:r w:rsidRPr="00931E81">
        <w:rPr>
          <w:i/>
          <w:iCs/>
        </w:rPr>
        <w:t>(2025) (Modernization NPRM)</w:t>
      </w:r>
      <w:r w:rsidRPr="00931E81" w:rsidR="00630F2B">
        <w:t xml:space="preserve">; </w:t>
      </w:r>
      <w:r w:rsidRPr="00931E81" w:rsidR="00630F2B">
        <w:rPr>
          <w:i/>
          <w:iCs/>
        </w:rPr>
        <w:t>see also</w:t>
      </w:r>
      <w:r w:rsidRPr="00931E81" w:rsidR="00DF5F2C">
        <w:t xml:space="preserve"> Letter from Gregory W. Coutros, Associate Chief, Earth Station Licensing Division, Space Bureau, to</w:t>
      </w:r>
      <w:r w:rsidRPr="002D3F1E" w:rsidR="00DF5F2C">
        <w:t xml:space="preserve"> Marlene H. Dortch, Secretary, FCC at 3-4 (Aug. 11, 2025) </w:t>
      </w:r>
      <w:r w:rsidRPr="00931E81" w:rsidR="00DF5F2C">
        <w:t xml:space="preserve">(on file in IB Docket Nos. 22-411 and 22-271) </w:t>
      </w:r>
      <w:r w:rsidRPr="00931E81" w:rsidR="00630F2B">
        <w:t xml:space="preserve">(highlighting the increase in processed earth station applications </w:t>
      </w:r>
      <w:r w:rsidRPr="00931E81" w:rsidR="00DF5F2C">
        <w:t xml:space="preserve">and the </w:t>
      </w:r>
      <w:r w:rsidRPr="00931E81" w:rsidR="000D49A1">
        <w:t>reduction in pending earth station applications in 2025).</w:t>
      </w:r>
    </w:p>
  </w:footnote>
  <w:footnote w:id="7">
    <w:p w:rsidR="00555617" w:rsidRPr="00931E81" w:rsidP="00555617" w14:paraId="09F70D08" w14:textId="77777777">
      <w:pPr>
        <w:pStyle w:val="FootnoteText"/>
      </w:pPr>
      <w:r w:rsidRPr="002D3F1E">
        <w:rPr>
          <w:rStyle w:val="FootnoteReference"/>
          <w:sz w:val="20"/>
        </w:rPr>
        <w:footnoteRef/>
      </w:r>
      <w:r w:rsidRPr="00931E81">
        <w:t xml:space="preserve"> The rationale and criteria for these procedures as enumerated in </w:t>
      </w:r>
      <w:r w:rsidRPr="00931E81" w:rsidR="002D3F1E">
        <w:t>the 2025</w:t>
      </w:r>
      <w:r w:rsidRPr="00931E81" w:rsidR="00A025A1">
        <w:t xml:space="preserve"> </w:t>
      </w:r>
      <w:r w:rsidRPr="00931E81">
        <w:t>Public Notice continue to apply.</w:t>
      </w:r>
      <w:r w:rsidRPr="00931E81" w:rsidR="00843E41">
        <w:t xml:space="preserve">  </w:t>
      </w:r>
      <w:r w:rsidRPr="00931E81" w:rsidR="000938FF">
        <w:t>40 FCC Rcd at 1559</w:t>
      </w:r>
      <w:r w:rsidRPr="00931E81" w:rsidR="009267F0">
        <w:t xml:space="preserve">, n.8.  </w:t>
      </w:r>
      <w:r w:rsidRPr="00931E81">
        <w:t>For example, these expedited procedures apply only to non-common carrier</w:t>
      </w:r>
      <w:r w:rsidRPr="00931E81" w:rsidR="00843E41">
        <w:t xml:space="preserve">, </w:t>
      </w:r>
      <w:r w:rsidRPr="00931E81">
        <w:t>non-broadcast earth station application that that are not otherwise covered by Section 309(b) of the Act and that propose to operate in frequency bands not subject to federal coordination.</w:t>
      </w:r>
      <w:r w:rsidRPr="00931E81" w:rsidR="000D49A1">
        <w:t xml:space="preserve">  </w:t>
      </w:r>
      <w:r w:rsidRPr="00931E81">
        <w:t xml:space="preserve">Non-common carrier, non-broadcast operations are not subject to the notice requirements of Section 309 of the Communications Act of 1934. </w:t>
      </w:r>
      <w:r w:rsidRPr="00931E81">
        <w:rPr>
          <w:i/>
          <w:iCs/>
        </w:rPr>
        <w:t>See</w:t>
      </w:r>
      <w:r w:rsidRPr="00931E81">
        <w:t xml:space="preserve"> 47 U.S.C. § 309(b) (enumerating the authorization and service types specifically requiring 30 day public notice); </w:t>
      </w:r>
      <w:r w:rsidRPr="00931E81">
        <w:rPr>
          <w:i/>
          <w:iCs/>
        </w:rPr>
        <w:t>see also</w:t>
      </w:r>
      <w:r w:rsidRPr="00931E81">
        <w:t xml:space="preserve"> 47 U.S.C. § 309(c)(2)(G) (noting that certain types of STAs are prima facie not covered by 47 USC § 309(b)); 47 U.S.C. § 309(f) (stating that this section applies to those authorizations and service types enumerated in 47 U.S.C. § 309(b)).</w:t>
      </w:r>
    </w:p>
    <w:p w:rsidR="00555617" w14:paraId="65BB9544" w14:textId="77777777">
      <w:pPr>
        <w:pStyle w:val="FootnoteTex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64F2D3AE" w14:textId="3AEF1097">
    <w:pPr>
      <w:tabs>
        <w:tab w:val="center" w:pos="4680"/>
        <w:tab w:val="right" w:pos="9360"/>
      </w:tabs>
    </w:pPr>
    <w:r>
      <w:rPr>
        <w:b/>
      </w:rPr>
      <w:tab/>
      <w:t>Federal Communications Commission</w:t>
    </w:r>
    <w:r>
      <w:rPr>
        <w:b/>
      </w:rPr>
      <w:tab/>
    </w:r>
    <w:r w:rsidR="00CB371E">
      <w:rPr>
        <w:b/>
      </w:rPr>
      <w:t xml:space="preserve">DA </w:t>
    </w:r>
    <w:r w:rsidR="00493F57">
      <w:rPr>
        <w:b/>
      </w:rPr>
      <w:t>26-192</w:t>
    </w:r>
  </w:p>
  <w:p w:rsidR="00BA3BA8" w14:paraId="52AFB4F1" w14:textId="77777777">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1380905932" name="Rectangle 15"/>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xtLst>
                        <a:ext xmlns:a="http://schemas.openxmlformats.org/drawingml/2006/main" uri="{91240B29-F687-4F45-9708-019B960494DF}">
                          <a14:hiddenLine xmlns:a14="http://schemas.microsoft.com/office/drawing/2010/main" w="635">
                            <a:solidFill>
                              <a:srgbClr val="000000"/>
                            </a:solidFill>
                            <a:miter lim="800000"/>
                            <a:headEnd/>
                            <a:tailEnd/>
                          </a14:hiddenLine>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15"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BA3BA8" w14:paraId="39BD6F9F" w14:textId="77777777">
    <w:pPr>
      <w:spacing w:before="40"/>
      <w:rPr>
        <w:rFonts w:ascii="Arial" w:hAnsi="Arial" w:cs="Arial"/>
        <w:b/>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rsidRPr="00F03EA1" w:rsidP="00F03EA1" w14:paraId="6634E9D8" w14:textId="77777777">
    <w:pPr>
      <w:pStyle w:val="Header"/>
    </w:pPr>
    <w:r>
      <w:rPr>
        <w:noProof/>
      </w:rPr>
      <w:drawing>
        <wp:inline distT="0" distB="0" distL="0" distR="0">
          <wp:extent cx="5953125" cy="14287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953125" cy="142875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14B81282"/>
    <w:multiLevelType w:val="multilevel"/>
    <w:tmpl w:val="DA9C29BA"/>
    <w:lvl w:ilvl="0">
      <w:start w:val="1"/>
      <w:numFmt w:val="decimal"/>
      <w:lvlText w:val="%1."/>
      <w:lvlJc w:val="left"/>
      <w:pPr>
        <w:ind w:left="0" w:firstLine="0"/>
      </w:pPr>
      <w:rPr>
        <w:rFonts w:hint="default"/>
      </w:rPr>
    </w:lvl>
    <w:lvl w:ilvl="1">
      <w:start w:val="1"/>
      <w:numFmt w:val="upperLetter"/>
      <w:lvlText w:val="%2."/>
      <w:lvlJc w:val="left"/>
      <w:pPr>
        <w:ind w:left="720" w:firstLine="0"/>
      </w:pPr>
      <w:rPr>
        <w:rFonts w:hint="default"/>
      </w:rPr>
    </w:lvl>
    <w:lvl w:ilvl="2">
      <w:start w:val="1"/>
      <w:numFmt w:val="decimal"/>
      <w:lvlText w:val="%3."/>
      <w:lvlJc w:val="left"/>
      <w:pPr>
        <w:ind w:left="1440" w:firstLine="0"/>
      </w:pPr>
      <w:rPr>
        <w:rFonts w:hint="default"/>
      </w:rPr>
    </w:lvl>
    <w:lvl w:ilvl="3">
      <w:start w:val="1"/>
      <w:numFmt w:val="lowerLetter"/>
      <w:lvlText w:val="%4)"/>
      <w:lvlJc w:val="left"/>
      <w:pPr>
        <w:ind w:left="2160" w:firstLine="0"/>
      </w:pPr>
      <w:rPr>
        <w:rFonts w:hint="default"/>
      </w:rPr>
    </w:lvl>
    <w:lvl w:ilvl="4">
      <w:start w:val="1"/>
      <w:numFmt w:val="decimal"/>
      <w:lvlText w:val="(%5)"/>
      <w:lvlJc w:val="left"/>
      <w:pPr>
        <w:ind w:left="2880" w:firstLine="0"/>
      </w:pPr>
      <w:rPr>
        <w:rFonts w:hint="default"/>
      </w:rPr>
    </w:lvl>
    <w:lvl w:ilvl="5">
      <w:start w:val="1"/>
      <w:numFmt w:val="lowerLetter"/>
      <w:lvlText w:val="(%6)"/>
      <w:lvlJc w:val="left"/>
      <w:pPr>
        <w:ind w:left="3600" w:firstLine="0"/>
      </w:pPr>
      <w:rPr>
        <w:rFonts w:hint="default"/>
      </w:rPr>
    </w:lvl>
    <w:lvl w:ilvl="6">
      <w:start w:val="1"/>
      <w:numFmt w:val="lowerRoman"/>
      <w:lvlText w:val="(%7)"/>
      <w:lvlJc w:val="left"/>
      <w:pPr>
        <w:ind w:left="4320" w:firstLine="0"/>
      </w:pPr>
      <w:rPr>
        <w:rFonts w:hint="default"/>
      </w:rPr>
    </w:lvl>
    <w:lvl w:ilvl="7">
      <w:start w:val="1"/>
      <w:numFmt w:val="lowerLetter"/>
      <w:lvlText w:val="(%8)"/>
      <w:lvlJc w:val="left"/>
      <w:pPr>
        <w:ind w:left="5040" w:firstLine="0"/>
      </w:pPr>
      <w:rPr>
        <w:rFonts w:hint="default"/>
      </w:rPr>
    </w:lvl>
    <w:lvl w:ilvl="8">
      <w:start w:val="1"/>
      <w:numFmt w:val="lowerRoman"/>
      <w:lvlText w:val="(%9)"/>
      <w:lvlJc w:val="left"/>
      <w:pPr>
        <w:ind w:left="5760" w:firstLine="0"/>
      </w:pPr>
      <w:rPr>
        <w:rFonts w:hint="default"/>
      </w:rPr>
    </w:lvl>
  </w:abstractNum>
  <w:abstractNum w:abstractNumId="2">
    <w:nsid w:val="23F40A0F"/>
    <w:multiLevelType w:val="singleLevel"/>
    <w:tmpl w:val="3244DD0A"/>
    <w:lvl w:ilvl="0">
      <w:start w:val="1"/>
      <w:numFmt w:val="bullet"/>
      <w:pStyle w:val="Bullet"/>
      <w:lvlText w:val=""/>
      <w:lvlJc w:val="left"/>
      <w:pPr>
        <w:tabs>
          <w:tab w:val="num" w:pos="360"/>
        </w:tabs>
        <w:ind w:left="360" w:hanging="360"/>
      </w:pPr>
      <w:rPr>
        <w:rFonts w:ascii="Symbol" w:hAnsi="Symbol" w:hint="default"/>
      </w:rPr>
    </w:lvl>
  </w:abstractNum>
  <w:abstractNum w:abstractNumId="3">
    <w:nsid w:val="248246F3"/>
    <w:multiLevelType w:val="singleLevel"/>
    <w:tmpl w:val="B1F45678"/>
    <w:lvl w:ilvl="0">
      <w:start w:val="1"/>
      <w:numFmt w:val="decimal"/>
      <w:lvlText w:val="%1."/>
      <w:lvlJc w:val="left"/>
      <w:pPr>
        <w:tabs>
          <w:tab w:val="num" w:pos="1080"/>
        </w:tabs>
        <w:ind w:left="0" w:firstLine="720"/>
      </w:pPr>
    </w:lvl>
  </w:abstractNum>
  <w:abstractNum w:abstractNumId="4">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5">
    <w:nsid w:val="29F145B6"/>
    <w:multiLevelType w:val="multilevel"/>
    <w:tmpl w:val="AFD63FC6"/>
    <w:lvl w:ilvl="0">
      <w:start w:val="3"/>
      <w:numFmt w:val="decimal"/>
      <w:lvlText w:val="%1."/>
      <w:lvlJc w:val="left"/>
      <w:pPr>
        <w:ind w:left="0" w:firstLine="0"/>
      </w:pPr>
      <w:rPr>
        <w:rFonts w:hint="default"/>
      </w:rPr>
    </w:lvl>
    <w:lvl w:ilvl="1">
      <w:start w:val="1"/>
      <w:numFmt w:val="upperLetter"/>
      <w:lvlText w:val="%2."/>
      <w:lvlJc w:val="left"/>
      <w:pPr>
        <w:ind w:left="720" w:firstLine="0"/>
      </w:pPr>
      <w:rPr>
        <w:rFonts w:hint="default"/>
      </w:rPr>
    </w:lvl>
    <w:lvl w:ilvl="2">
      <w:start w:val="1"/>
      <w:numFmt w:val="decimal"/>
      <w:lvlText w:val="%3."/>
      <w:lvlJc w:val="left"/>
      <w:pPr>
        <w:ind w:left="1440" w:firstLine="0"/>
      </w:pPr>
      <w:rPr>
        <w:rFonts w:hint="default"/>
      </w:rPr>
    </w:lvl>
    <w:lvl w:ilvl="3">
      <w:start w:val="1"/>
      <w:numFmt w:val="lowerLetter"/>
      <w:lvlText w:val="%4)"/>
      <w:lvlJc w:val="left"/>
      <w:pPr>
        <w:ind w:left="2160" w:firstLine="0"/>
      </w:pPr>
      <w:rPr>
        <w:rFonts w:hint="default"/>
      </w:rPr>
    </w:lvl>
    <w:lvl w:ilvl="4">
      <w:start w:val="1"/>
      <w:numFmt w:val="decimal"/>
      <w:lvlText w:val="(%5)"/>
      <w:lvlJc w:val="left"/>
      <w:pPr>
        <w:ind w:left="2880" w:firstLine="0"/>
      </w:pPr>
      <w:rPr>
        <w:rFonts w:hint="default"/>
      </w:rPr>
    </w:lvl>
    <w:lvl w:ilvl="5">
      <w:start w:val="1"/>
      <w:numFmt w:val="lowerLetter"/>
      <w:lvlText w:val="(%6)"/>
      <w:lvlJc w:val="left"/>
      <w:pPr>
        <w:ind w:left="3600" w:firstLine="0"/>
      </w:pPr>
      <w:rPr>
        <w:rFonts w:hint="default"/>
      </w:rPr>
    </w:lvl>
    <w:lvl w:ilvl="6">
      <w:start w:val="1"/>
      <w:numFmt w:val="lowerRoman"/>
      <w:lvlText w:val="(%7)"/>
      <w:lvlJc w:val="left"/>
      <w:pPr>
        <w:ind w:left="4320" w:firstLine="0"/>
      </w:pPr>
      <w:rPr>
        <w:rFonts w:hint="default"/>
      </w:rPr>
    </w:lvl>
    <w:lvl w:ilvl="7">
      <w:start w:val="1"/>
      <w:numFmt w:val="lowerLetter"/>
      <w:lvlText w:val="(%8)"/>
      <w:lvlJc w:val="left"/>
      <w:pPr>
        <w:ind w:left="5040" w:firstLine="0"/>
      </w:pPr>
      <w:rPr>
        <w:rFonts w:hint="default"/>
      </w:rPr>
    </w:lvl>
    <w:lvl w:ilvl="8">
      <w:start w:val="1"/>
      <w:numFmt w:val="lowerRoman"/>
      <w:lvlText w:val="(%9)"/>
      <w:lvlJc w:val="left"/>
      <w:pPr>
        <w:ind w:left="5760" w:firstLine="0"/>
      </w:pPr>
      <w:rPr>
        <w:rFonts w:hint="default"/>
      </w:rPr>
    </w:lvl>
  </w:abstractNum>
  <w:abstractNum w:abstractNumId="6">
    <w:nsid w:val="42963290"/>
    <w:multiLevelType w:val="hybridMultilevel"/>
    <w:tmpl w:val="FCE8F56C"/>
    <w:lvl w:ilvl="0">
      <w:start w:val="1"/>
      <w:numFmt w:val="decimal"/>
      <w:lvlText w:val="%1."/>
      <w:lvlJc w:val="left"/>
      <w:pPr>
        <w:ind w:left="720" w:hanging="360"/>
      </w:pPr>
      <w:rPr>
        <w:rFonts w:hint="default"/>
        <w:b w:val="0"/>
        <w:bCs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7">
    <w:nsid w:val="47EB4D7C"/>
    <w:multiLevelType w:val="hybridMultilevel"/>
    <w:tmpl w:val="983E1AD6"/>
    <w:lvl w:ilvl="0">
      <w:start w:val="0"/>
      <w:numFmt w:val="bullet"/>
      <w:lvlText w:val=""/>
      <w:lvlJc w:val="left"/>
      <w:pPr>
        <w:ind w:left="720" w:hanging="360"/>
      </w:pPr>
      <w:rPr>
        <w:rFonts w:ascii="Symbol" w:eastAsia="Aptos" w:hAnsi="Symbol" w:cs="Aptos"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8">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9">
    <w:nsid w:val="5BFC144B"/>
    <w:multiLevelType w:val="hybridMultilevel"/>
    <w:tmpl w:val="657E0D66"/>
    <w:lvl w:ilvl="0">
      <w:start w:val="1"/>
      <w:numFmt w:val="bullet"/>
      <w:lvlText w:val=""/>
      <w:lvlJc w:val="left"/>
      <w:pPr>
        <w:ind w:left="2160" w:hanging="360"/>
      </w:pPr>
      <w:rPr>
        <w:rFonts w:ascii="Symbol" w:hAnsi="Symbol" w:hint="default"/>
      </w:rPr>
    </w:lvl>
    <w:lvl w:ilvl="1" w:tentative="1">
      <w:start w:val="1"/>
      <w:numFmt w:val="bullet"/>
      <w:lvlText w:val="o"/>
      <w:lvlJc w:val="left"/>
      <w:pPr>
        <w:ind w:left="2880" w:hanging="360"/>
      </w:pPr>
      <w:rPr>
        <w:rFonts w:ascii="Courier New" w:hAnsi="Courier New" w:cs="Courier New" w:hint="default"/>
      </w:rPr>
    </w:lvl>
    <w:lvl w:ilvl="2" w:tentative="1">
      <w:start w:val="1"/>
      <w:numFmt w:val="bullet"/>
      <w:lvlText w:val=""/>
      <w:lvlJc w:val="left"/>
      <w:pPr>
        <w:ind w:left="3600" w:hanging="360"/>
      </w:pPr>
      <w:rPr>
        <w:rFonts w:ascii="Wingdings" w:hAnsi="Wingdings" w:hint="default"/>
      </w:rPr>
    </w:lvl>
    <w:lvl w:ilvl="3" w:tentative="1">
      <w:start w:val="1"/>
      <w:numFmt w:val="bullet"/>
      <w:lvlText w:val=""/>
      <w:lvlJc w:val="left"/>
      <w:pPr>
        <w:ind w:left="4320" w:hanging="360"/>
      </w:pPr>
      <w:rPr>
        <w:rFonts w:ascii="Symbol" w:hAnsi="Symbol" w:hint="default"/>
      </w:rPr>
    </w:lvl>
    <w:lvl w:ilvl="4" w:tentative="1">
      <w:start w:val="1"/>
      <w:numFmt w:val="bullet"/>
      <w:lvlText w:val="o"/>
      <w:lvlJc w:val="left"/>
      <w:pPr>
        <w:ind w:left="5040" w:hanging="360"/>
      </w:pPr>
      <w:rPr>
        <w:rFonts w:ascii="Courier New" w:hAnsi="Courier New" w:cs="Courier New" w:hint="default"/>
      </w:rPr>
    </w:lvl>
    <w:lvl w:ilvl="5" w:tentative="1">
      <w:start w:val="1"/>
      <w:numFmt w:val="bullet"/>
      <w:lvlText w:val=""/>
      <w:lvlJc w:val="left"/>
      <w:pPr>
        <w:ind w:left="5760" w:hanging="360"/>
      </w:pPr>
      <w:rPr>
        <w:rFonts w:ascii="Wingdings" w:hAnsi="Wingdings" w:hint="default"/>
      </w:rPr>
    </w:lvl>
    <w:lvl w:ilvl="6" w:tentative="1">
      <w:start w:val="1"/>
      <w:numFmt w:val="bullet"/>
      <w:lvlText w:val=""/>
      <w:lvlJc w:val="left"/>
      <w:pPr>
        <w:ind w:left="6480" w:hanging="360"/>
      </w:pPr>
      <w:rPr>
        <w:rFonts w:ascii="Symbol" w:hAnsi="Symbol" w:hint="default"/>
      </w:rPr>
    </w:lvl>
    <w:lvl w:ilvl="7" w:tentative="1">
      <w:start w:val="1"/>
      <w:numFmt w:val="bullet"/>
      <w:lvlText w:val="o"/>
      <w:lvlJc w:val="left"/>
      <w:pPr>
        <w:ind w:left="7200" w:hanging="360"/>
      </w:pPr>
      <w:rPr>
        <w:rFonts w:ascii="Courier New" w:hAnsi="Courier New" w:cs="Courier New" w:hint="default"/>
      </w:rPr>
    </w:lvl>
    <w:lvl w:ilvl="8" w:tentative="1">
      <w:start w:val="1"/>
      <w:numFmt w:val="bullet"/>
      <w:lvlText w:val=""/>
      <w:lvlJc w:val="left"/>
      <w:pPr>
        <w:ind w:left="7920" w:hanging="360"/>
      </w:pPr>
      <w:rPr>
        <w:rFonts w:ascii="Wingdings" w:hAnsi="Wingdings" w:hint="default"/>
      </w:rPr>
    </w:lvl>
  </w:abstractNum>
  <w:abstractNum w:abstractNumId="10">
    <w:nsid w:val="61182925"/>
    <w:multiLevelType w:val="singleLevel"/>
    <w:tmpl w:val="D180CED0"/>
    <w:lvl w:ilvl="0">
      <w:start w:val="1"/>
      <w:numFmt w:val="decimal"/>
      <w:pStyle w:val="ParaNum"/>
      <w:lvlText w:val="%1."/>
      <w:lvlJc w:val="left"/>
      <w:pPr>
        <w:tabs>
          <w:tab w:val="num" w:pos="1080"/>
        </w:tabs>
        <w:ind w:left="0" w:firstLine="720"/>
      </w:pPr>
    </w:lvl>
  </w:abstractNum>
  <w:num w:numId="1" w16cid:durableId="1755471355">
    <w:abstractNumId w:val="2"/>
  </w:num>
  <w:num w:numId="2" w16cid:durableId="667909235">
    <w:abstractNumId w:val="10"/>
  </w:num>
  <w:num w:numId="3" w16cid:durableId="601690852">
    <w:abstractNumId w:val="4"/>
  </w:num>
  <w:num w:numId="4" w16cid:durableId="1476870112">
    <w:abstractNumId w:val="8"/>
  </w:num>
  <w:num w:numId="5" w16cid:durableId="972633727">
    <w:abstractNumId w:val="3"/>
  </w:num>
  <w:num w:numId="6" w16cid:durableId="1870753555">
    <w:abstractNumId w:val="0"/>
  </w:num>
  <w:num w:numId="7" w16cid:durableId="531116909">
    <w:abstractNumId w:val="1"/>
  </w:num>
  <w:num w:numId="8" w16cid:durableId="177505329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2054501613">
    <w:abstractNumId w:val="5"/>
  </w:num>
  <w:num w:numId="10" w16cid:durableId="1052074626">
    <w:abstractNumId w:val="9"/>
  </w:num>
  <w:num w:numId="11" w16cid:durableId="348071835">
    <w:abstractNumId w:val="6"/>
  </w:num>
  <w:num w:numId="12" w16cid:durableId="116007254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B371E"/>
    <w:rsid w:val="00010A16"/>
    <w:rsid w:val="00014B49"/>
    <w:rsid w:val="00015B7D"/>
    <w:rsid w:val="00024B8F"/>
    <w:rsid w:val="00037C58"/>
    <w:rsid w:val="0007215E"/>
    <w:rsid w:val="00092876"/>
    <w:rsid w:val="000938FF"/>
    <w:rsid w:val="000A4FF0"/>
    <w:rsid w:val="000D49A1"/>
    <w:rsid w:val="000E0BDC"/>
    <w:rsid w:val="00100781"/>
    <w:rsid w:val="0010240A"/>
    <w:rsid w:val="00105FB1"/>
    <w:rsid w:val="00107744"/>
    <w:rsid w:val="001140F1"/>
    <w:rsid w:val="00122141"/>
    <w:rsid w:val="00130E83"/>
    <w:rsid w:val="00134655"/>
    <w:rsid w:val="00142A57"/>
    <w:rsid w:val="0016078F"/>
    <w:rsid w:val="00162209"/>
    <w:rsid w:val="00164FCD"/>
    <w:rsid w:val="0017372B"/>
    <w:rsid w:val="00174691"/>
    <w:rsid w:val="00175C77"/>
    <w:rsid w:val="00176A33"/>
    <w:rsid w:val="00190B62"/>
    <w:rsid w:val="0019167F"/>
    <w:rsid w:val="0019204A"/>
    <w:rsid w:val="0019473F"/>
    <w:rsid w:val="00197A67"/>
    <w:rsid w:val="001A2634"/>
    <w:rsid w:val="001B1416"/>
    <w:rsid w:val="001B398A"/>
    <w:rsid w:val="001C136C"/>
    <w:rsid w:val="001D4217"/>
    <w:rsid w:val="001F1300"/>
    <w:rsid w:val="00203153"/>
    <w:rsid w:val="002059B3"/>
    <w:rsid w:val="00210558"/>
    <w:rsid w:val="002253BC"/>
    <w:rsid w:val="0024100C"/>
    <w:rsid w:val="00241542"/>
    <w:rsid w:val="0024313E"/>
    <w:rsid w:val="00252A2A"/>
    <w:rsid w:val="00257D38"/>
    <w:rsid w:val="00285E0E"/>
    <w:rsid w:val="00294AB1"/>
    <w:rsid w:val="002A3B65"/>
    <w:rsid w:val="002B300C"/>
    <w:rsid w:val="002D1DC5"/>
    <w:rsid w:val="002D3F1E"/>
    <w:rsid w:val="002E1665"/>
    <w:rsid w:val="00305F55"/>
    <w:rsid w:val="00330D38"/>
    <w:rsid w:val="003328E4"/>
    <w:rsid w:val="00333C5A"/>
    <w:rsid w:val="00334781"/>
    <w:rsid w:val="00345411"/>
    <w:rsid w:val="00345D73"/>
    <w:rsid w:val="00351F13"/>
    <w:rsid w:val="00354CE9"/>
    <w:rsid w:val="00362E7E"/>
    <w:rsid w:val="00363DD7"/>
    <w:rsid w:val="00375DDC"/>
    <w:rsid w:val="00376D25"/>
    <w:rsid w:val="00382F47"/>
    <w:rsid w:val="00393144"/>
    <w:rsid w:val="003A0D6B"/>
    <w:rsid w:val="003B2EBE"/>
    <w:rsid w:val="003B4148"/>
    <w:rsid w:val="003B4DC5"/>
    <w:rsid w:val="003B5175"/>
    <w:rsid w:val="003D05B1"/>
    <w:rsid w:val="003D62B6"/>
    <w:rsid w:val="003E29DF"/>
    <w:rsid w:val="003E3ADC"/>
    <w:rsid w:val="0040240C"/>
    <w:rsid w:val="004036EF"/>
    <w:rsid w:val="00404961"/>
    <w:rsid w:val="00413984"/>
    <w:rsid w:val="00430183"/>
    <w:rsid w:val="004343B9"/>
    <w:rsid w:val="0043573B"/>
    <w:rsid w:val="004422ED"/>
    <w:rsid w:val="00445A40"/>
    <w:rsid w:val="0046078A"/>
    <w:rsid w:val="0046191D"/>
    <w:rsid w:val="004632C9"/>
    <w:rsid w:val="004651DD"/>
    <w:rsid w:val="00465300"/>
    <w:rsid w:val="004720E6"/>
    <w:rsid w:val="00482667"/>
    <w:rsid w:val="004847E8"/>
    <w:rsid w:val="00487C95"/>
    <w:rsid w:val="0049026D"/>
    <w:rsid w:val="00492CBB"/>
    <w:rsid w:val="00493F57"/>
    <w:rsid w:val="00494926"/>
    <w:rsid w:val="004950C1"/>
    <w:rsid w:val="004B5C00"/>
    <w:rsid w:val="004B65D0"/>
    <w:rsid w:val="004C3F24"/>
    <w:rsid w:val="004F34E9"/>
    <w:rsid w:val="004F56A0"/>
    <w:rsid w:val="005029C6"/>
    <w:rsid w:val="00520489"/>
    <w:rsid w:val="0052072D"/>
    <w:rsid w:val="00530E91"/>
    <w:rsid w:val="00540AF1"/>
    <w:rsid w:val="00555617"/>
    <w:rsid w:val="0055594B"/>
    <w:rsid w:val="0057484B"/>
    <w:rsid w:val="00583309"/>
    <w:rsid w:val="0058344F"/>
    <w:rsid w:val="005A22FF"/>
    <w:rsid w:val="005A477A"/>
    <w:rsid w:val="005B0FA1"/>
    <w:rsid w:val="005B1637"/>
    <w:rsid w:val="005B5A12"/>
    <w:rsid w:val="005C5D6E"/>
    <w:rsid w:val="005E0F9C"/>
    <w:rsid w:val="005F6204"/>
    <w:rsid w:val="00614481"/>
    <w:rsid w:val="00620E4B"/>
    <w:rsid w:val="00630F2B"/>
    <w:rsid w:val="00635213"/>
    <w:rsid w:val="0065021A"/>
    <w:rsid w:val="00666B78"/>
    <w:rsid w:val="00670B5A"/>
    <w:rsid w:val="00697557"/>
    <w:rsid w:val="00697938"/>
    <w:rsid w:val="006A2C6E"/>
    <w:rsid w:val="006A5136"/>
    <w:rsid w:val="006B0724"/>
    <w:rsid w:val="006B285F"/>
    <w:rsid w:val="006D34BE"/>
    <w:rsid w:val="006D60CB"/>
    <w:rsid w:val="006E1809"/>
    <w:rsid w:val="006E3AE8"/>
    <w:rsid w:val="006E708D"/>
    <w:rsid w:val="006F6C29"/>
    <w:rsid w:val="00706217"/>
    <w:rsid w:val="00713E53"/>
    <w:rsid w:val="00722A68"/>
    <w:rsid w:val="007236E6"/>
    <w:rsid w:val="00725BAF"/>
    <w:rsid w:val="007261ED"/>
    <w:rsid w:val="00745A5D"/>
    <w:rsid w:val="00747B41"/>
    <w:rsid w:val="00750A8D"/>
    <w:rsid w:val="00756345"/>
    <w:rsid w:val="007717A8"/>
    <w:rsid w:val="0078102D"/>
    <w:rsid w:val="0078168A"/>
    <w:rsid w:val="007829BD"/>
    <w:rsid w:val="00785273"/>
    <w:rsid w:val="00790C10"/>
    <w:rsid w:val="007A0E6A"/>
    <w:rsid w:val="007A55CE"/>
    <w:rsid w:val="007B635B"/>
    <w:rsid w:val="007C289A"/>
    <w:rsid w:val="007E1056"/>
    <w:rsid w:val="007E2E96"/>
    <w:rsid w:val="007E3C49"/>
    <w:rsid w:val="007E7FA2"/>
    <w:rsid w:val="007F7133"/>
    <w:rsid w:val="00801E7C"/>
    <w:rsid w:val="008102E9"/>
    <w:rsid w:val="00811AC3"/>
    <w:rsid w:val="00812F08"/>
    <w:rsid w:val="00816A2B"/>
    <w:rsid w:val="00821777"/>
    <w:rsid w:val="00822036"/>
    <w:rsid w:val="008225EC"/>
    <w:rsid w:val="008256AE"/>
    <w:rsid w:val="00842317"/>
    <w:rsid w:val="00843E41"/>
    <w:rsid w:val="00844C75"/>
    <w:rsid w:val="008534F2"/>
    <w:rsid w:val="00857B57"/>
    <w:rsid w:val="00872356"/>
    <w:rsid w:val="00890C61"/>
    <w:rsid w:val="0089300F"/>
    <w:rsid w:val="0089329B"/>
    <w:rsid w:val="008C045A"/>
    <w:rsid w:val="008C7681"/>
    <w:rsid w:val="008D265B"/>
    <w:rsid w:val="008D637D"/>
    <w:rsid w:val="008D669A"/>
    <w:rsid w:val="008E3E4A"/>
    <w:rsid w:val="008F5CE2"/>
    <w:rsid w:val="008F7B13"/>
    <w:rsid w:val="00904F48"/>
    <w:rsid w:val="00907183"/>
    <w:rsid w:val="009242A3"/>
    <w:rsid w:val="009267F0"/>
    <w:rsid w:val="00931E81"/>
    <w:rsid w:val="00936C89"/>
    <w:rsid w:val="00945F1C"/>
    <w:rsid w:val="00946581"/>
    <w:rsid w:val="00952BA5"/>
    <w:rsid w:val="00966E4C"/>
    <w:rsid w:val="00971BFD"/>
    <w:rsid w:val="009732CF"/>
    <w:rsid w:val="009812B4"/>
    <w:rsid w:val="00982518"/>
    <w:rsid w:val="009B6A20"/>
    <w:rsid w:val="009C25D9"/>
    <w:rsid w:val="009C3DF4"/>
    <w:rsid w:val="009C5045"/>
    <w:rsid w:val="009D226E"/>
    <w:rsid w:val="009D47FF"/>
    <w:rsid w:val="00A025A1"/>
    <w:rsid w:val="00A1596C"/>
    <w:rsid w:val="00A20679"/>
    <w:rsid w:val="00A32181"/>
    <w:rsid w:val="00A46928"/>
    <w:rsid w:val="00A47CBE"/>
    <w:rsid w:val="00A52BEA"/>
    <w:rsid w:val="00A73684"/>
    <w:rsid w:val="00A8497E"/>
    <w:rsid w:val="00A8608B"/>
    <w:rsid w:val="00A979C6"/>
    <w:rsid w:val="00AB6713"/>
    <w:rsid w:val="00AC7F4C"/>
    <w:rsid w:val="00AD4EAE"/>
    <w:rsid w:val="00AD5D79"/>
    <w:rsid w:val="00AE4608"/>
    <w:rsid w:val="00AE4F8D"/>
    <w:rsid w:val="00AE69C7"/>
    <w:rsid w:val="00AF2919"/>
    <w:rsid w:val="00B10762"/>
    <w:rsid w:val="00B2041E"/>
    <w:rsid w:val="00B24005"/>
    <w:rsid w:val="00B25FFF"/>
    <w:rsid w:val="00B30EDA"/>
    <w:rsid w:val="00B42250"/>
    <w:rsid w:val="00B54C67"/>
    <w:rsid w:val="00B61621"/>
    <w:rsid w:val="00B62868"/>
    <w:rsid w:val="00B6725D"/>
    <w:rsid w:val="00B850F2"/>
    <w:rsid w:val="00B9625D"/>
    <w:rsid w:val="00BA3BA8"/>
    <w:rsid w:val="00BB6CA1"/>
    <w:rsid w:val="00BE5EC7"/>
    <w:rsid w:val="00C2017B"/>
    <w:rsid w:val="00C3236C"/>
    <w:rsid w:val="00C324C7"/>
    <w:rsid w:val="00C437FC"/>
    <w:rsid w:val="00C45049"/>
    <w:rsid w:val="00C60341"/>
    <w:rsid w:val="00C65EFC"/>
    <w:rsid w:val="00C740D3"/>
    <w:rsid w:val="00C864E1"/>
    <w:rsid w:val="00C94BA3"/>
    <w:rsid w:val="00CA36E5"/>
    <w:rsid w:val="00CB29AF"/>
    <w:rsid w:val="00CB371E"/>
    <w:rsid w:val="00CC4E97"/>
    <w:rsid w:val="00CD3171"/>
    <w:rsid w:val="00CD4302"/>
    <w:rsid w:val="00CF6B60"/>
    <w:rsid w:val="00D0079B"/>
    <w:rsid w:val="00D0131C"/>
    <w:rsid w:val="00D01B9C"/>
    <w:rsid w:val="00D07AD1"/>
    <w:rsid w:val="00D22945"/>
    <w:rsid w:val="00D25BB7"/>
    <w:rsid w:val="00D30C75"/>
    <w:rsid w:val="00D42E47"/>
    <w:rsid w:val="00D444AB"/>
    <w:rsid w:val="00D5131B"/>
    <w:rsid w:val="00D53444"/>
    <w:rsid w:val="00D7099C"/>
    <w:rsid w:val="00D72AD2"/>
    <w:rsid w:val="00D754F9"/>
    <w:rsid w:val="00D954C0"/>
    <w:rsid w:val="00D95D0C"/>
    <w:rsid w:val="00DA1BB6"/>
    <w:rsid w:val="00DA73CB"/>
    <w:rsid w:val="00DB2DCD"/>
    <w:rsid w:val="00DB501F"/>
    <w:rsid w:val="00DB78F1"/>
    <w:rsid w:val="00DC1137"/>
    <w:rsid w:val="00DD4DD2"/>
    <w:rsid w:val="00DD5398"/>
    <w:rsid w:val="00DF16B5"/>
    <w:rsid w:val="00DF28C8"/>
    <w:rsid w:val="00DF5F2C"/>
    <w:rsid w:val="00E01F9C"/>
    <w:rsid w:val="00E02D0F"/>
    <w:rsid w:val="00E057B0"/>
    <w:rsid w:val="00E1432B"/>
    <w:rsid w:val="00E15E82"/>
    <w:rsid w:val="00E162DC"/>
    <w:rsid w:val="00E1767C"/>
    <w:rsid w:val="00E201C0"/>
    <w:rsid w:val="00E2247C"/>
    <w:rsid w:val="00E25D38"/>
    <w:rsid w:val="00E35657"/>
    <w:rsid w:val="00E42B3A"/>
    <w:rsid w:val="00E466A0"/>
    <w:rsid w:val="00E46BF7"/>
    <w:rsid w:val="00E64617"/>
    <w:rsid w:val="00E670C9"/>
    <w:rsid w:val="00E918CD"/>
    <w:rsid w:val="00E939E5"/>
    <w:rsid w:val="00E9607C"/>
    <w:rsid w:val="00EA4EC6"/>
    <w:rsid w:val="00EA6180"/>
    <w:rsid w:val="00ED0784"/>
    <w:rsid w:val="00ED3CDD"/>
    <w:rsid w:val="00EE0677"/>
    <w:rsid w:val="00EF4240"/>
    <w:rsid w:val="00EF466B"/>
    <w:rsid w:val="00EF5504"/>
    <w:rsid w:val="00F03EA1"/>
    <w:rsid w:val="00F112D6"/>
    <w:rsid w:val="00F3787C"/>
    <w:rsid w:val="00F46AFE"/>
    <w:rsid w:val="00F51B53"/>
    <w:rsid w:val="00F55164"/>
    <w:rsid w:val="00F551DE"/>
    <w:rsid w:val="00F563E0"/>
    <w:rsid w:val="00F649A8"/>
    <w:rsid w:val="00F73F32"/>
    <w:rsid w:val="00F82BEF"/>
    <w:rsid w:val="00F841EA"/>
    <w:rsid w:val="00F9061C"/>
    <w:rsid w:val="00FA0098"/>
    <w:rsid w:val="00FA16DE"/>
    <w:rsid w:val="00FA178C"/>
    <w:rsid w:val="00FA5C97"/>
    <w:rsid w:val="00FB3679"/>
    <w:rsid w:val="00FB39E0"/>
    <w:rsid w:val="00FD2830"/>
    <w:rsid w:val="00FD2F1F"/>
    <w:rsid w:val="00FD3FDE"/>
    <w:rsid w:val="00FD4832"/>
    <w:rsid w:val="00FD667F"/>
    <w:rsid w:val="00FE34C6"/>
    <w:rsid w:val="00FF71CA"/>
    <w:rsid w:val="00FF7C70"/>
    <w:rsid w:val="01886098"/>
    <w:rsid w:val="01C1447F"/>
    <w:rsid w:val="025976B9"/>
    <w:rsid w:val="09D021C2"/>
    <w:rsid w:val="0C269A30"/>
    <w:rsid w:val="19321B0C"/>
    <w:rsid w:val="396BC21B"/>
    <w:rsid w:val="4281CEA5"/>
    <w:rsid w:val="484849B2"/>
    <w:rsid w:val="4E8E5129"/>
    <w:rsid w:val="55662356"/>
    <w:rsid w:val="59565BE0"/>
    <w:rsid w:val="5A59746A"/>
    <w:rsid w:val="5B56C679"/>
    <w:rsid w:val="674103B6"/>
    <w:rsid w:val="67AFDF40"/>
    <w:rsid w:val="68228454"/>
    <w:rsid w:val="748A9732"/>
    <w:rsid w:val="7A3D10D0"/>
    <w:rsid w:val="7B501C07"/>
    <w:rsid w:val="7F1F86E1"/>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5DC9325C"/>
  <w15:chartTrackingRefBased/>
  <w15:docId w15:val="{713620DA-AE74-4D72-A94F-BE21D7C80C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CB371E"/>
    <w:pPr>
      <w:widowControl w:val="0"/>
    </w:pPr>
    <w:rPr>
      <w:snapToGrid w:val="0"/>
      <w:kern w:val="28"/>
      <w:sz w:val="22"/>
    </w:rPr>
  </w:style>
  <w:style w:type="paragraph" w:styleId="Heading1">
    <w:name w:val="heading 1"/>
    <w:basedOn w:val="Normal"/>
    <w:next w:val="ParaNum"/>
    <w:qFormat/>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pPr>
      <w:keepNext/>
      <w:numPr>
        <w:ilvl w:val="1"/>
        <w:numId w:val="3"/>
      </w:numPr>
      <w:spacing w:after="120"/>
      <w:outlineLvl w:val="1"/>
    </w:pPr>
    <w:rPr>
      <w:b/>
    </w:rPr>
  </w:style>
  <w:style w:type="paragraph" w:styleId="Heading3">
    <w:name w:val="heading 3"/>
    <w:basedOn w:val="Normal"/>
    <w:next w:val="ParaNum"/>
    <w:qFormat/>
    <w:pPr>
      <w:keepNext/>
      <w:numPr>
        <w:ilvl w:val="2"/>
        <w:numId w:val="3"/>
      </w:numPr>
      <w:tabs>
        <w:tab w:val="left" w:pos="2160"/>
      </w:tabs>
      <w:spacing w:after="120"/>
      <w:outlineLvl w:val="2"/>
    </w:pPr>
    <w:rPr>
      <w:b/>
    </w:rPr>
  </w:style>
  <w:style w:type="paragraph" w:styleId="Heading4">
    <w:name w:val="heading 4"/>
    <w:basedOn w:val="Normal"/>
    <w:next w:val="ParaNum"/>
    <w:qFormat/>
    <w:pPr>
      <w:keepNext/>
      <w:numPr>
        <w:ilvl w:val="3"/>
        <w:numId w:val="3"/>
      </w:numPr>
      <w:tabs>
        <w:tab w:val="left" w:pos="2880"/>
      </w:tabs>
      <w:spacing w:after="120"/>
      <w:outlineLvl w:val="3"/>
    </w:pPr>
    <w:rPr>
      <w:b/>
    </w:rPr>
  </w:style>
  <w:style w:type="paragraph" w:styleId="Heading5">
    <w:name w:val="heading 5"/>
    <w:basedOn w:val="Normal"/>
    <w:next w:val="ParaNum"/>
    <w:qFormat/>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pPr>
      <w:numPr>
        <w:ilvl w:val="5"/>
        <w:numId w:val="3"/>
      </w:numPr>
      <w:tabs>
        <w:tab w:val="left" w:pos="4320"/>
      </w:tabs>
      <w:spacing w:after="120"/>
      <w:outlineLvl w:val="5"/>
    </w:pPr>
    <w:rPr>
      <w:b/>
    </w:rPr>
  </w:style>
  <w:style w:type="paragraph" w:styleId="Heading7">
    <w:name w:val="heading 7"/>
    <w:basedOn w:val="Normal"/>
    <w:next w:val="ParaNum"/>
    <w:qFormat/>
    <w:pPr>
      <w:numPr>
        <w:ilvl w:val="6"/>
        <w:numId w:val="3"/>
      </w:numPr>
      <w:tabs>
        <w:tab w:val="left" w:pos="5040"/>
      </w:tabs>
      <w:spacing w:after="120"/>
      <w:ind w:left="5040" w:hanging="720"/>
      <w:outlineLvl w:val="6"/>
    </w:pPr>
    <w:rPr>
      <w:b/>
    </w:rPr>
  </w:style>
  <w:style w:type="paragraph" w:styleId="Heading8">
    <w:name w:val="heading 8"/>
    <w:basedOn w:val="Normal"/>
    <w:next w:val="ParaNum"/>
    <w:qFormat/>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aliases w:val="Footnote Text Char Char Char,Footnote Text Char Char Char Char Char,Footnote Text Char1 Char,Footnote Text Char1 Char Char Char,Footnote Text Char1 Char Char Char Char Char,f,fn,rrfootnote Char Char Char,Footnote Text Char2"/>
    <w:link w:val="FootnoteTextChar"/>
    <w:uiPriority w:val="99"/>
    <w:qFormat/>
    <w:pPr>
      <w:spacing w:after="120"/>
    </w:pPr>
  </w:style>
  <w:style w:type="character" w:styleId="FootnoteReference">
    <w:name w:val="footnote reference"/>
    <w:aliases w:val="(NECG) Footnote Reference,Appel note de bas de p,FR,Footnote Reference/,Style 12,Style 124,Style 13,Style 17,Style 3,Style 4,Style 6,fr,o,-E Funotenzeichen,A,Footnote Reference1,Ref,Style 1,Style 20,Style 34,Style 7,Style 9,callout"/>
    <w:uiPriority w:val="99"/>
    <w:qFormat/>
    <w:rPr>
      <w:rFonts w:ascii="Times New Roman" w:hAnsi="Times New Roman"/>
      <w:dstrike w:val="0"/>
      <w:color w:val="auto"/>
      <w:sz w:val="22"/>
      <w:vertAlign w:val="superscript"/>
    </w:rPr>
  </w:style>
  <w:style w:type="paragraph" w:styleId="TOC1">
    <w:name w:val="toc 1"/>
    <w:basedOn w:val="Normal"/>
    <w:next w:val="Normal"/>
    <w:uiPriority w:val="39"/>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rFonts w:ascii="Arial" w:hAnsi="Arial" w:cs="Arial"/>
      <w:b/>
      <w:sz w:val="96"/>
      <w:szCs w:val="96"/>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numPr>
        <w:numId w:val="1"/>
      </w:numPr>
      <w:tabs>
        <w:tab w:val="clear" w:pos="360"/>
        <w:tab w:val="left" w:pos="2160"/>
      </w:tabs>
      <w:spacing w:after="220"/>
      <w:ind w:left="2160" w:hanging="720"/>
    </w:pPr>
  </w:style>
  <w:style w:type="paragraph" w:customStyle="1" w:styleId="TableFormat">
    <w:name w:val="TableFormat"/>
    <w:basedOn w:val="Bullet"/>
    <w:pPr>
      <w:numPr>
        <w:numId w:val="0"/>
      </w:num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pPr>
      <w:jc w:val="center"/>
    </w:pPr>
    <w:rPr>
      <w:rFonts w:ascii="Times New Roman Bold" w:hAnsi="Times New Roman Bold"/>
      <w:b/>
      <w:bCs/>
      <w:caps/>
      <w:szCs w:val="22"/>
    </w:rPr>
  </w:style>
  <w:style w:type="character" w:styleId="Hyperlink">
    <w:name w:val="Hyperlink"/>
    <w:rPr>
      <w:color w:val="0000FF"/>
      <w:u w:val="single"/>
    </w:rPr>
  </w:style>
  <w:style w:type="character" w:customStyle="1" w:styleId="FooterChar">
    <w:name w:val="Footer Char"/>
    <w:link w:val="Footer"/>
    <w:uiPriority w:val="99"/>
    <w:rPr>
      <w:snapToGrid w:val="0"/>
      <w:kern w:val="28"/>
      <w:sz w:val="22"/>
    </w:rPr>
  </w:style>
  <w:style w:type="character" w:styleId="UnresolvedMention">
    <w:name w:val="Unresolved Mention"/>
    <w:uiPriority w:val="99"/>
    <w:semiHidden/>
    <w:unhideWhenUsed/>
    <w:rPr>
      <w:color w:val="605E5C"/>
      <w:shd w:val="clear" w:color="auto" w:fill="E1DFDD"/>
    </w:rPr>
  </w:style>
  <w:style w:type="character" w:customStyle="1" w:styleId="FootnoteTextChar">
    <w:name w:val="Footnote Text Char"/>
    <w:aliases w:val="Footnote Text Char Char Char Char,Footnote Text Char Char Char Char Char Char,Footnote Text Char1 Char Char,Footnote Text Char1 Char Char Char Char,Footnote Text Char1 Char Char Char Char Char Char,f Char,fn Char"/>
    <w:link w:val="FootnoteText"/>
    <w:uiPriority w:val="99"/>
    <w:rsid w:val="00CB371E"/>
  </w:style>
  <w:style w:type="paragraph" w:styleId="ListParagraph">
    <w:name w:val="List Paragraph"/>
    <w:basedOn w:val="Normal"/>
    <w:uiPriority w:val="34"/>
    <w:qFormat/>
    <w:rsid w:val="00CB371E"/>
    <w:pPr>
      <w:ind w:left="720"/>
      <w:contextualSpacing/>
    </w:pPr>
  </w:style>
  <w:style w:type="paragraph" w:styleId="Revision">
    <w:name w:val="Revision"/>
    <w:hidden/>
    <w:uiPriority w:val="99"/>
    <w:semiHidden/>
    <w:rsid w:val="00B54C67"/>
    <w:rPr>
      <w:snapToGrid w:val="0"/>
      <w:kern w:val="28"/>
      <w:sz w:val="22"/>
    </w:rPr>
  </w:style>
  <w:style w:type="character" w:styleId="CommentReference">
    <w:name w:val="annotation reference"/>
    <w:uiPriority w:val="99"/>
    <w:semiHidden/>
    <w:unhideWhenUsed/>
    <w:rsid w:val="00B54C67"/>
    <w:rPr>
      <w:sz w:val="16"/>
      <w:szCs w:val="16"/>
    </w:rPr>
  </w:style>
  <w:style w:type="paragraph" w:styleId="CommentText">
    <w:name w:val="annotation text"/>
    <w:basedOn w:val="Normal"/>
    <w:link w:val="CommentTextChar"/>
    <w:uiPriority w:val="99"/>
    <w:unhideWhenUsed/>
    <w:rsid w:val="00B54C67"/>
    <w:rPr>
      <w:sz w:val="20"/>
    </w:rPr>
  </w:style>
  <w:style w:type="character" w:customStyle="1" w:styleId="CommentTextChar">
    <w:name w:val="Comment Text Char"/>
    <w:link w:val="CommentText"/>
    <w:uiPriority w:val="99"/>
    <w:rsid w:val="00B54C67"/>
    <w:rPr>
      <w:snapToGrid w:val="0"/>
      <w:kern w:val="28"/>
    </w:rPr>
  </w:style>
  <w:style w:type="paragraph" w:styleId="CommentSubject">
    <w:name w:val="annotation subject"/>
    <w:basedOn w:val="CommentText"/>
    <w:next w:val="CommentText"/>
    <w:link w:val="CommentSubjectChar"/>
    <w:uiPriority w:val="99"/>
    <w:semiHidden/>
    <w:unhideWhenUsed/>
    <w:rsid w:val="00B54C67"/>
    <w:rPr>
      <w:b/>
      <w:bCs/>
    </w:rPr>
  </w:style>
  <w:style w:type="character" w:customStyle="1" w:styleId="CommentSubjectChar">
    <w:name w:val="Comment Subject Char"/>
    <w:link w:val="CommentSubject"/>
    <w:uiPriority w:val="99"/>
    <w:semiHidden/>
    <w:rsid w:val="00B54C67"/>
    <w:rPr>
      <w:b/>
      <w:bCs/>
      <w:snapToGrid w:val="0"/>
      <w:kern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2.xml" /><Relationship Id="rId11" Type="http://schemas.openxmlformats.org/officeDocument/2006/relationships/header" Target="header2.xml" /><Relationship Id="rId12" Type="http://schemas.openxmlformats.org/officeDocument/2006/relationships/footer" Target="footer3.xml" /><Relationship Id="rId13" Type="http://schemas.openxmlformats.org/officeDocument/2006/relationships/theme" Target="theme/theme1.xml" /><Relationship Id="rId14" Type="http://schemas.openxmlformats.org/officeDocument/2006/relationships/numbering" Target="numbering.xml" /><Relationship Id="rId15"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yperlink" Target="mailto:fcc504@fcc.gov" TargetMode="External" /><Relationship Id="rId7" Type="http://schemas.openxmlformats.org/officeDocument/2006/relationships/hyperlink" Target="mailto:Delaney.Wood@fcc.gov" TargetMode="External" /><Relationship Id="rId8" Type="http://schemas.openxmlformats.org/officeDocument/2006/relationships/header" Target="header1.xml" /><Relationship Id="rId9" Type="http://schemas.openxmlformats.org/officeDocument/2006/relationships/footer" Target="footer1.xm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Public%20Notice%20Portrait.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Public Notice Portrait</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