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rsidRPr="00DB3CBC" w14:paraId="3CC028A1" w14:textId="02CC3417">
      <w:pPr>
        <w:jc w:val="right"/>
        <w:rPr>
          <w:b/>
          <w:szCs w:val="22"/>
        </w:rPr>
      </w:pPr>
      <w:r w:rsidRPr="00DB3CBC">
        <w:rPr>
          <w:b/>
          <w:szCs w:val="22"/>
        </w:rPr>
        <w:t>DA 2</w:t>
      </w:r>
      <w:r w:rsidR="00F85296">
        <w:rPr>
          <w:b/>
          <w:szCs w:val="22"/>
        </w:rPr>
        <w:t>6</w:t>
      </w:r>
      <w:r w:rsidRPr="00DB3CBC">
        <w:rPr>
          <w:b/>
          <w:szCs w:val="22"/>
        </w:rPr>
        <w:t>-</w:t>
      </w:r>
      <w:r w:rsidR="00D13BEB">
        <w:rPr>
          <w:b/>
          <w:szCs w:val="22"/>
        </w:rPr>
        <w:t>195</w:t>
      </w:r>
    </w:p>
    <w:p w:rsidR="00BA3BA8" w:rsidRPr="00DB3CBC" w:rsidP="007B22DE" w14:paraId="32E38D31" w14:textId="4D244B99">
      <w:pPr>
        <w:spacing w:before="60"/>
        <w:jc w:val="right"/>
        <w:rPr>
          <w:b/>
          <w:szCs w:val="22"/>
        </w:rPr>
      </w:pPr>
      <w:r w:rsidRPr="00DB3CBC">
        <w:rPr>
          <w:b/>
          <w:szCs w:val="22"/>
        </w:rPr>
        <w:t xml:space="preserve">Released:  </w:t>
      </w:r>
      <w:r w:rsidR="00772A74">
        <w:rPr>
          <w:b/>
          <w:szCs w:val="22"/>
        </w:rPr>
        <w:t xml:space="preserve">February </w:t>
      </w:r>
      <w:r w:rsidR="00B6648F">
        <w:rPr>
          <w:b/>
          <w:szCs w:val="22"/>
        </w:rPr>
        <w:t>26</w:t>
      </w:r>
      <w:r w:rsidRPr="00DB3CBC" w:rsidR="001A5115">
        <w:rPr>
          <w:b/>
          <w:szCs w:val="22"/>
        </w:rPr>
        <w:t>, 202</w:t>
      </w:r>
      <w:r w:rsidR="006C2438">
        <w:rPr>
          <w:b/>
          <w:szCs w:val="22"/>
        </w:rPr>
        <w:t>6</w:t>
      </w:r>
    </w:p>
    <w:p w:rsidR="00881759" w:rsidP="00881759" w14:paraId="5EAC6F6F" w14:textId="77777777">
      <w:pPr>
        <w:jc w:val="center"/>
        <w:rPr>
          <w:b/>
          <w:bCs/>
          <w:szCs w:val="22"/>
        </w:rPr>
      </w:pPr>
      <w:bookmarkStart w:id="0" w:name="_Hlk166229554"/>
    </w:p>
    <w:p w:rsidR="007B6B5B" w:rsidP="00772A74" w14:paraId="697273A7" w14:textId="77777777">
      <w:pPr>
        <w:jc w:val="center"/>
        <w:rPr>
          <w:b/>
          <w:bCs/>
          <w:szCs w:val="22"/>
        </w:rPr>
      </w:pPr>
      <w:bookmarkStart w:id="1" w:name="_Hlk214289292"/>
      <w:r w:rsidRPr="00DB3CBC">
        <w:rPr>
          <w:b/>
          <w:bCs/>
          <w:szCs w:val="22"/>
        </w:rPr>
        <w:t xml:space="preserve">DOMESTIC </w:t>
      </w:r>
      <w:r w:rsidRPr="00DB3CBC">
        <w:rPr>
          <w:b/>
          <w:bCs/>
          <w:caps/>
          <w:szCs w:val="22"/>
        </w:rPr>
        <w:t>SECTION</w:t>
      </w:r>
      <w:r w:rsidRPr="00DB3CBC">
        <w:rPr>
          <w:b/>
          <w:bCs/>
          <w:szCs w:val="22"/>
        </w:rPr>
        <w:t xml:space="preserve"> 214 APPLICATION </w:t>
      </w:r>
      <w:r w:rsidR="00772A74">
        <w:rPr>
          <w:b/>
          <w:bCs/>
          <w:szCs w:val="22"/>
        </w:rPr>
        <w:t>GRANTED</w:t>
      </w:r>
      <w:r w:rsidRPr="00DB3CBC">
        <w:rPr>
          <w:b/>
          <w:bCs/>
          <w:szCs w:val="22"/>
        </w:rPr>
        <w:t xml:space="preserve"> FOR THE TRANSFER OF CONTROL OF</w:t>
      </w:r>
      <w:bookmarkEnd w:id="0"/>
      <w:r w:rsidR="00D3124A">
        <w:rPr>
          <w:b/>
          <w:bCs/>
          <w:szCs w:val="22"/>
        </w:rPr>
        <w:t xml:space="preserve"> </w:t>
      </w:r>
      <w:bookmarkStart w:id="2" w:name="_Hlk214008329"/>
      <w:r w:rsidR="00104248">
        <w:rPr>
          <w:b/>
          <w:bCs/>
          <w:szCs w:val="22"/>
        </w:rPr>
        <w:t>HAYNEVILLE HOLDING COMPANY, INC.</w:t>
      </w:r>
      <w:bookmarkEnd w:id="2"/>
      <w:r w:rsidR="006F7AD2">
        <w:rPr>
          <w:b/>
          <w:bCs/>
          <w:szCs w:val="22"/>
        </w:rPr>
        <w:t xml:space="preserve"> </w:t>
      </w:r>
    </w:p>
    <w:p w:rsidR="00BA3BA8" w:rsidP="00772A74" w14:paraId="4B1B7DC8" w14:textId="5F73683A">
      <w:pPr>
        <w:jc w:val="center"/>
        <w:rPr>
          <w:b/>
          <w:bCs/>
          <w:szCs w:val="22"/>
        </w:rPr>
      </w:pPr>
      <w:r>
        <w:rPr>
          <w:b/>
          <w:bCs/>
          <w:szCs w:val="22"/>
        </w:rPr>
        <w:t xml:space="preserve">TO SYNERGY TECHNOLOGY PARTNERS, INC. </w:t>
      </w:r>
      <w:bookmarkEnd w:id="1"/>
    </w:p>
    <w:p w:rsidR="00F723A8" w:rsidRPr="00F723A8" w:rsidP="00F723A8" w14:paraId="78B53233" w14:textId="77777777">
      <w:pPr>
        <w:jc w:val="center"/>
        <w:rPr>
          <w:b/>
          <w:bCs/>
          <w:szCs w:val="22"/>
        </w:rPr>
      </w:pPr>
    </w:p>
    <w:p w:rsidR="00BA3BA8" w:rsidRPr="00DB3CBC" w14:paraId="5A53D8D8" w14:textId="5D9001BA">
      <w:pPr>
        <w:jc w:val="center"/>
        <w:rPr>
          <w:b/>
          <w:szCs w:val="22"/>
        </w:rPr>
      </w:pPr>
      <w:r w:rsidRPr="00DB3CBC">
        <w:rPr>
          <w:b/>
          <w:szCs w:val="22"/>
        </w:rPr>
        <w:t>WC Docket No. 2</w:t>
      </w:r>
      <w:r w:rsidR="00D3124A">
        <w:rPr>
          <w:b/>
          <w:szCs w:val="22"/>
        </w:rPr>
        <w:t>5</w:t>
      </w:r>
      <w:r w:rsidR="00E37BFA">
        <w:rPr>
          <w:b/>
          <w:szCs w:val="22"/>
        </w:rPr>
        <w:t>-</w:t>
      </w:r>
      <w:r w:rsidR="00BB6E3D">
        <w:rPr>
          <w:b/>
          <w:szCs w:val="22"/>
        </w:rPr>
        <w:t>312</w:t>
      </w:r>
    </w:p>
    <w:p w:rsidR="00881759" w:rsidP="00881759" w14:paraId="5DB2BC4B" w14:textId="77777777">
      <w:pPr>
        <w:rPr>
          <w:b/>
          <w:szCs w:val="22"/>
        </w:rPr>
      </w:pPr>
      <w:bookmarkStart w:id="3" w:name="TOChere"/>
    </w:p>
    <w:p w:rsidR="00881759" w:rsidRPr="00AD440B" w:rsidP="00881759" w14:paraId="59378596" w14:textId="77777777">
      <w:pPr>
        <w:rPr>
          <w:b/>
          <w:szCs w:val="22"/>
        </w:rPr>
      </w:pPr>
    </w:p>
    <w:p w:rsidR="000A4370" w:rsidP="000A4370" w14:paraId="0F1C6589" w14:textId="4C0A4145">
      <w:pPr>
        <w:autoSpaceDE w:val="0"/>
        <w:autoSpaceDN w:val="0"/>
        <w:adjustRightInd w:val="0"/>
        <w:spacing w:after="120"/>
        <w:ind w:firstLine="720"/>
      </w:pPr>
      <w:r w:rsidRPr="52D3F29C">
        <w:t xml:space="preserve">By this Public Notice, the Wireline Competition Bureau </w:t>
      </w:r>
      <w:r w:rsidR="00772A74">
        <w:t>(Bureau) grants</w:t>
      </w:r>
      <w:r w:rsidR="00022B24">
        <w:t>, as conditioned,</w:t>
      </w:r>
      <w:r w:rsidR="00772A74">
        <w:t xml:space="preserve"> </w:t>
      </w:r>
      <w:r w:rsidRPr="52D3F29C">
        <w:t xml:space="preserve">an application filed by </w:t>
      </w:r>
      <w:bookmarkStart w:id="4" w:name="_Hlk187678845"/>
      <w:bookmarkStart w:id="5" w:name="_Hlk73713070"/>
      <w:bookmarkStart w:id="6" w:name="_Hlk67917977"/>
      <w:r w:rsidR="0056142F">
        <w:t>T</w:t>
      </w:r>
      <w:r w:rsidR="00821639">
        <w:t>he Stockholders of Hayneville Holding Company, Inc. (Hayneville Stockholders)</w:t>
      </w:r>
      <w:r w:rsidR="0056142F">
        <w:t xml:space="preserve"> </w:t>
      </w:r>
      <w:r w:rsidR="00821639">
        <w:t>and Synergy Technology Partners, Inc.</w:t>
      </w:r>
      <w:r w:rsidR="007F5C60">
        <w:t xml:space="preserve"> </w:t>
      </w:r>
      <w:r w:rsidR="00821639">
        <w:t>(Synergy)</w:t>
      </w:r>
      <w:bookmarkEnd w:id="4"/>
      <w:r w:rsidR="00821639">
        <w:t xml:space="preserve"> </w:t>
      </w:r>
      <w:r w:rsidR="00986FB9">
        <w:t>(</w:t>
      </w:r>
      <w:r w:rsidR="0056142F">
        <w:t>together</w:t>
      </w:r>
      <w:r>
        <w:t xml:space="preserve">, </w:t>
      </w:r>
      <w:r w:rsidRPr="52D3F29C">
        <w:t>Applicant</w:t>
      </w:r>
      <w:r>
        <w:t>s</w:t>
      </w:r>
      <w:r>
        <w:rPr>
          <w:szCs w:val="22"/>
        </w:rPr>
        <w:t>),</w:t>
      </w:r>
      <w:r w:rsidRPr="52D3F29C">
        <w:t xml:space="preserve"> pursuant to section 214(a) of the Communications Act of 1934, as amended, and section 63.04 of the Commission’s rules,</w:t>
      </w:r>
      <w:r>
        <w:rPr>
          <w:rStyle w:val="FootnoteReference"/>
        </w:rPr>
        <w:footnoteReference w:id="3"/>
      </w:r>
      <w:r w:rsidRPr="00523F87">
        <w:rPr>
          <w:szCs w:val="22"/>
        </w:rPr>
        <w:t xml:space="preserve"> </w:t>
      </w:r>
      <w:r w:rsidRPr="52D3F29C">
        <w:t>requesting</w:t>
      </w:r>
      <w:r w:rsidR="00C70BF0">
        <w:t xml:space="preserve"> </w:t>
      </w:r>
      <w:r w:rsidRPr="00C70BF0" w:rsidR="00C70BF0">
        <w:t xml:space="preserve">Commission </w:t>
      </w:r>
      <w:r w:rsidR="00922730">
        <w:t>consent</w:t>
      </w:r>
      <w:r w:rsidRPr="00642BB6" w:rsidR="00642BB6">
        <w:t xml:space="preserve"> </w:t>
      </w:r>
      <w:r w:rsidR="00745776">
        <w:t xml:space="preserve">for the </w:t>
      </w:r>
      <w:r w:rsidRPr="00642BB6" w:rsidR="00642BB6">
        <w:t xml:space="preserve">transfer </w:t>
      </w:r>
      <w:r w:rsidR="00745776">
        <w:t xml:space="preserve">of </w:t>
      </w:r>
      <w:r w:rsidRPr="00642BB6" w:rsidR="00642BB6">
        <w:t>control</w:t>
      </w:r>
      <w:r w:rsidR="0056142F">
        <w:t xml:space="preserve"> of Hayneville Holding Company, Inc. (Hayneville Holding) and its subsidiaries</w:t>
      </w:r>
      <w:r w:rsidR="00801532">
        <w:t xml:space="preserve">, </w:t>
      </w:r>
      <w:r w:rsidR="0056142F">
        <w:t xml:space="preserve">Hayneville Telephone Company, Inc. (Hayneville Telephone) and Hayneville Fiber Transport, Inc., d/b/a Camellia Communications (Hayneville Fiber), </w:t>
      </w:r>
      <w:bookmarkEnd w:id="5"/>
      <w:bookmarkEnd w:id="6"/>
      <w:r w:rsidR="00CD2110">
        <w:t xml:space="preserve">from </w:t>
      </w:r>
      <w:r w:rsidR="00192E72">
        <w:t>Hayneville Stockholders</w:t>
      </w:r>
      <w:r w:rsidR="00CD2110">
        <w:t xml:space="preserve"> to </w:t>
      </w:r>
      <w:r w:rsidR="003702B2">
        <w:t>Synergy</w:t>
      </w:r>
      <w:r w:rsidR="00CD2110">
        <w:t>.</w:t>
      </w:r>
      <w:r>
        <w:rPr>
          <w:vertAlign w:val="superscript"/>
        </w:rPr>
        <w:footnoteReference w:id="4"/>
      </w:r>
    </w:p>
    <w:p w:rsidR="000A4370" w:rsidRPr="000A4370" w:rsidP="000A4370" w14:paraId="0A21694E" w14:textId="18DE1E4C">
      <w:pPr>
        <w:autoSpaceDE w:val="0"/>
        <w:autoSpaceDN w:val="0"/>
        <w:adjustRightInd w:val="0"/>
        <w:spacing w:after="120"/>
        <w:ind w:firstLine="720"/>
      </w:pPr>
      <w:r w:rsidRPr="000A4370">
        <w:t xml:space="preserve">On </w:t>
      </w:r>
      <w:r>
        <w:t>January 15</w:t>
      </w:r>
      <w:r w:rsidRPr="000A4370">
        <w:t>, 202</w:t>
      </w:r>
      <w:r>
        <w:t>6</w:t>
      </w:r>
      <w:r w:rsidRPr="000A4370">
        <w:t>, the Bureau released a public notice seeking comment on the Application.</w:t>
      </w:r>
      <w:r>
        <w:rPr>
          <w:vertAlign w:val="superscript"/>
        </w:rPr>
        <w:footnoteReference w:id="5"/>
      </w:r>
      <w:r w:rsidRPr="000A4370">
        <w:t xml:space="preserve">  </w:t>
      </w:r>
      <w:r w:rsidRPr="007A595A">
        <w:t>The Bureau did not receive any comments or petitions in opposition to the Application.</w:t>
      </w:r>
    </w:p>
    <w:p w:rsidR="008C5339" w:rsidP="00014A53" w14:paraId="6F69EECD" w14:textId="2E6AD129">
      <w:pPr>
        <w:autoSpaceDE w:val="0"/>
        <w:autoSpaceDN w:val="0"/>
        <w:adjustRightInd w:val="0"/>
        <w:spacing w:after="120"/>
        <w:ind w:firstLine="720"/>
      </w:pPr>
      <w:r>
        <w:t>Hayneville Holding</w:t>
      </w:r>
      <w:r w:rsidR="008F3B79">
        <w:t>, an Alabama corporation,</w:t>
      </w:r>
      <w:r>
        <w:t xml:space="preserve"> is the parent company that holds Hayneville Fiber and Hayneville Telephone.</w:t>
      </w:r>
      <w:r>
        <w:rPr>
          <w:rStyle w:val="FootnoteReference"/>
        </w:rPr>
        <w:footnoteReference w:id="6"/>
      </w:r>
      <w:r>
        <w:t xml:space="preserve">  Hayneville Telephone</w:t>
      </w:r>
      <w:r w:rsidR="002E3B67">
        <w:t>, an Alabama corporation,</w:t>
      </w:r>
      <w:r>
        <w:t xml:space="preserve"> is an incumbent local exchange carrier (LEC) provid</w:t>
      </w:r>
      <w:r w:rsidR="007635A4">
        <w:t xml:space="preserve">ing </w:t>
      </w:r>
      <w:r>
        <w:t>traditional voice service, long-distance, and broadband services to rural customers in</w:t>
      </w:r>
      <w:r w:rsidRPr="009C22E4" w:rsidR="009C22E4">
        <w:t xml:space="preserve"> </w:t>
      </w:r>
      <w:r w:rsidR="007B7DF2">
        <w:t xml:space="preserve">central Alabama across </w:t>
      </w:r>
      <w:r w:rsidR="009C22E4">
        <w:t xml:space="preserve">the </w:t>
      </w:r>
      <w:r w:rsidRPr="009C22E4" w:rsidR="009C22E4">
        <w:t xml:space="preserve">Hayneville, </w:t>
      </w:r>
      <w:r w:rsidRPr="009C22E4" w:rsidR="009C22E4">
        <w:t>Lowndesboro</w:t>
      </w:r>
      <w:r w:rsidRPr="009C22E4" w:rsidR="009C22E4">
        <w:t>, and Gordonsville exchanges in Lo</w:t>
      </w:r>
      <w:r w:rsidR="00030F08">
        <w:t>w</w:t>
      </w:r>
      <w:r w:rsidRPr="009C22E4" w:rsidR="009C22E4">
        <w:t>ndes County</w:t>
      </w:r>
      <w:r>
        <w:t>.</w:t>
      </w:r>
      <w:r>
        <w:rPr>
          <w:rStyle w:val="FootnoteReference"/>
        </w:rPr>
        <w:footnoteReference w:id="7"/>
      </w:r>
      <w:r w:rsidR="007635A4">
        <w:t xml:space="preserve"> </w:t>
      </w:r>
      <w:r>
        <w:t xml:space="preserve"> Hayneville Telephone</w:t>
      </w:r>
      <w:r w:rsidR="00507129">
        <w:t>, a designated Eligible Telecommunications Carrier (ETC),</w:t>
      </w:r>
      <w:r>
        <w:t xml:space="preserve"> receives Connect America Fund  Broadband Loop Support (CAF</w:t>
      </w:r>
      <w:r w:rsidR="008F24D4">
        <w:t>-</w:t>
      </w:r>
      <w:r>
        <w:t>BLS</w:t>
      </w:r>
      <w:r w:rsidR="00A83583">
        <w:t>) and High Cost Loop Support (HCLS)</w:t>
      </w:r>
      <w:r w:rsidR="00A81C0B">
        <w:t xml:space="preserve"> as a cost company</w:t>
      </w:r>
      <w:r>
        <w:t>.</w:t>
      </w:r>
      <w:r>
        <w:rPr>
          <w:rStyle w:val="FootnoteReference"/>
        </w:rPr>
        <w:footnoteReference w:id="8"/>
      </w:r>
      <w:r w:rsidR="00507129">
        <w:t xml:space="preserve">  </w:t>
      </w:r>
      <w:r w:rsidR="00A50A28">
        <w:t>Hayneville Fiber</w:t>
      </w:r>
      <w:r w:rsidR="002E3B67">
        <w:t>, an Alabama corporation</w:t>
      </w:r>
      <w:r w:rsidR="00EF17CA">
        <w:t xml:space="preserve"> and designated ETC</w:t>
      </w:r>
      <w:r w:rsidR="0099174E">
        <w:t>,</w:t>
      </w:r>
      <w:r w:rsidR="00A50A28">
        <w:t xml:space="preserve"> is a </w:t>
      </w:r>
      <w:r w:rsidR="00A50A28">
        <w:t>wholesale telecommunications company that specializes in fiber-based wholesale interconnectivity and transport services.</w:t>
      </w:r>
      <w:r>
        <w:rPr>
          <w:rStyle w:val="FootnoteReference"/>
        </w:rPr>
        <w:footnoteReference w:id="9"/>
      </w:r>
      <w:r w:rsidR="00A50A28">
        <w:t xml:space="preserve">  Hayneville Fiber operates a fiber network spanning over 500 miles primarily along the I-65 corridor between Montgomery and Mobile, Alabama.</w:t>
      </w:r>
      <w:r>
        <w:rPr>
          <w:rStyle w:val="FootnoteReference"/>
        </w:rPr>
        <w:footnoteReference w:id="10"/>
      </w:r>
    </w:p>
    <w:p w:rsidR="0092649A" w:rsidP="009C22E4" w14:paraId="0623421C" w14:textId="02911009">
      <w:pPr>
        <w:autoSpaceDE w:val="0"/>
        <w:autoSpaceDN w:val="0"/>
        <w:adjustRightInd w:val="0"/>
        <w:spacing w:after="120"/>
        <w:ind w:firstLine="720"/>
      </w:pPr>
      <w:r>
        <w:t>Synergy</w:t>
      </w:r>
      <w:r w:rsidR="000C61FB">
        <w:t>,</w:t>
      </w:r>
      <w:r>
        <w:t xml:space="preserve"> a Tennessee corporation, provides telecommunications and information services through its subsidiary, A</w:t>
      </w:r>
      <w:r w:rsidR="00362064">
        <w:t xml:space="preserve">rdmore Telephone Company </w:t>
      </w:r>
      <w:r w:rsidR="001E3C15">
        <w:t xml:space="preserve">Inc. </w:t>
      </w:r>
      <w:r w:rsidR="00362064">
        <w:t>(ATC)</w:t>
      </w:r>
      <w:r>
        <w:t>.</w:t>
      </w:r>
      <w:r>
        <w:rPr>
          <w:rStyle w:val="FootnoteReference"/>
        </w:rPr>
        <w:footnoteReference w:id="11"/>
      </w:r>
      <w:r>
        <w:t xml:space="preserve">  ATC</w:t>
      </w:r>
      <w:r w:rsidR="001E3C15">
        <w:t>, an incumbent LEC in norther</w:t>
      </w:r>
      <w:r w:rsidR="009C22E4">
        <w:t>n</w:t>
      </w:r>
      <w:r w:rsidR="001E3C15">
        <w:t xml:space="preserve"> </w:t>
      </w:r>
      <w:r w:rsidR="009C22E4">
        <w:t>Alabama</w:t>
      </w:r>
      <w:r w:rsidR="001E3C15">
        <w:t>,</w:t>
      </w:r>
      <w:r>
        <w:t xml:space="preserve"> serves more than 8,000 customers in Alabama and Tennessee across Giles, Limestone, Lincoln</w:t>
      </w:r>
      <w:r w:rsidR="00081C89">
        <w:t>,</w:t>
      </w:r>
      <w:r>
        <w:t xml:space="preserve"> and Madison counties with </w:t>
      </w:r>
      <w:r w:rsidR="00081C89">
        <w:t>I</w:t>
      </w:r>
      <w:r>
        <w:t>nternet, security, and voice services.</w:t>
      </w:r>
      <w:r>
        <w:rPr>
          <w:rStyle w:val="FootnoteReference"/>
        </w:rPr>
        <w:footnoteReference w:id="12"/>
      </w:r>
      <w:r>
        <w:t xml:space="preserve">  ATC serves more than 15,000 locations and has expanded its fiber infrastructure in </w:t>
      </w:r>
      <w:r w:rsidR="00D96601">
        <w:t xml:space="preserve">the </w:t>
      </w:r>
      <w:r>
        <w:t xml:space="preserve">New Market, Elkmont, Ardmore, </w:t>
      </w:r>
      <w:r>
        <w:t>McBurg</w:t>
      </w:r>
      <w:r>
        <w:t>, and Minor Hill exchanges.</w:t>
      </w:r>
      <w:r>
        <w:rPr>
          <w:rStyle w:val="FootnoteReference"/>
        </w:rPr>
        <w:footnoteReference w:id="13"/>
      </w:r>
      <w:r>
        <w:t xml:space="preserve">  ATC</w:t>
      </w:r>
      <w:r w:rsidR="00CC0AD0">
        <w:t xml:space="preserve">, a </w:t>
      </w:r>
      <w:r w:rsidR="009C22E4">
        <w:t>designated</w:t>
      </w:r>
      <w:r w:rsidR="00CC0AD0">
        <w:t xml:space="preserve"> E</w:t>
      </w:r>
      <w:r w:rsidR="009C22E4">
        <w:t>T</w:t>
      </w:r>
      <w:r w:rsidR="00CC0AD0">
        <w:t>C,</w:t>
      </w:r>
      <w:r>
        <w:t xml:space="preserve"> receives CAF</w:t>
      </w:r>
      <w:r w:rsidR="005B1B2A">
        <w:t xml:space="preserve"> </w:t>
      </w:r>
      <w:r>
        <w:t xml:space="preserve">BLS </w:t>
      </w:r>
      <w:r w:rsidR="006B50A4">
        <w:t>and High Cost Loop</w:t>
      </w:r>
      <w:r>
        <w:t xml:space="preserve"> support</w:t>
      </w:r>
      <w:r w:rsidR="00606859">
        <w:t xml:space="preserve"> as a cost company</w:t>
      </w:r>
      <w:r>
        <w:t xml:space="preserve"> </w:t>
      </w:r>
      <w:r w:rsidR="002131A3">
        <w:t>in Alabama</w:t>
      </w:r>
      <w:r>
        <w:t>.</w:t>
      </w:r>
      <w:r>
        <w:rPr>
          <w:rStyle w:val="FootnoteReference"/>
        </w:rPr>
        <w:footnoteReference w:id="14"/>
      </w:r>
    </w:p>
    <w:p w:rsidR="00A46BB7" w:rsidP="001E3C15" w14:paraId="33108BE8" w14:textId="7E676E8E">
      <w:pPr>
        <w:autoSpaceDE w:val="0"/>
        <w:autoSpaceDN w:val="0"/>
        <w:adjustRightInd w:val="0"/>
        <w:spacing w:after="120"/>
        <w:ind w:firstLine="720"/>
      </w:pPr>
      <w:r>
        <w:t>Synergy</w:t>
      </w:r>
      <w:r w:rsidR="00611AAB">
        <w:t xml:space="preserve"> is a wholly owned subsidiary of W</w:t>
      </w:r>
      <w:r w:rsidR="00373B71">
        <w:t xml:space="preserve">estern </w:t>
      </w:r>
      <w:r w:rsidR="00611AAB">
        <w:t>K</w:t>
      </w:r>
      <w:r w:rsidR="00373B71">
        <w:t xml:space="preserve">entucky </w:t>
      </w:r>
      <w:r w:rsidR="008D323C">
        <w:t xml:space="preserve">Rural </w:t>
      </w:r>
      <w:r w:rsidR="00EB48BF">
        <w:t>Telephone</w:t>
      </w:r>
      <w:r w:rsidR="008D323C">
        <w:t xml:space="preserve"> Cooperative</w:t>
      </w:r>
      <w:r w:rsidR="00E31849">
        <w:t xml:space="preserve"> Corporation, Inc.</w:t>
      </w:r>
      <w:r w:rsidR="008D323C">
        <w:t xml:space="preserve"> (WK&amp;T)</w:t>
      </w:r>
      <w:r w:rsidR="00D435D6">
        <w:t>,</w:t>
      </w:r>
      <w:r w:rsidR="00611AAB">
        <w:t xml:space="preserve"> a member-owned telecommunications cooperative</w:t>
      </w:r>
      <w:r w:rsidR="00B864EE">
        <w:t>.</w:t>
      </w:r>
      <w:r>
        <w:rPr>
          <w:rStyle w:val="FootnoteReference"/>
        </w:rPr>
        <w:footnoteReference w:id="15"/>
      </w:r>
      <w:r w:rsidR="00B864EE">
        <w:t xml:space="preserve">  WK&amp;T</w:t>
      </w:r>
      <w:r w:rsidR="00611AAB">
        <w:t xml:space="preserve"> </w:t>
      </w:r>
      <w:r w:rsidR="00EB48BF">
        <w:t>operat</w:t>
      </w:r>
      <w:r w:rsidR="00B864EE">
        <w:t>es</w:t>
      </w:r>
      <w:r w:rsidR="00EB48BF">
        <w:t xml:space="preserve"> </w:t>
      </w:r>
      <w:r w:rsidR="00611AAB">
        <w:t xml:space="preserve">as an </w:t>
      </w:r>
      <w:r w:rsidR="00D435D6">
        <w:t xml:space="preserve">incumbent </w:t>
      </w:r>
      <w:r w:rsidR="00611AAB">
        <w:t>LEC in Kentucky</w:t>
      </w:r>
      <w:r w:rsidR="00B864EE">
        <w:t xml:space="preserve"> and </w:t>
      </w:r>
      <w:r w:rsidR="00611AAB">
        <w:t xml:space="preserve">receives Enhanced Alternative Connect America Cost </w:t>
      </w:r>
      <w:r w:rsidRPr="00E357C7" w:rsidR="00611AAB">
        <w:t xml:space="preserve">Model </w:t>
      </w:r>
      <w:r w:rsidRPr="00E357C7" w:rsidR="004C4EB2">
        <w:t>(E</w:t>
      </w:r>
      <w:r w:rsidRPr="00E357C7" w:rsidR="00036257">
        <w:t xml:space="preserve">nhanced </w:t>
      </w:r>
      <w:r w:rsidRPr="00E357C7" w:rsidR="004C4EB2">
        <w:t>A</w:t>
      </w:r>
      <w:r w:rsidRPr="00E357C7" w:rsidR="00036257">
        <w:t>-</w:t>
      </w:r>
      <w:r w:rsidRPr="00E357C7" w:rsidR="004C4EB2">
        <w:t xml:space="preserve">CAM) </w:t>
      </w:r>
      <w:r w:rsidRPr="00E357C7" w:rsidR="00B864EE">
        <w:t>support</w:t>
      </w:r>
      <w:r w:rsidRPr="00E357C7" w:rsidR="004C4EB2">
        <w:t xml:space="preserve"> </w:t>
      </w:r>
      <w:r w:rsidRPr="00E357C7" w:rsidR="00B864EE">
        <w:t xml:space="preserve">for its incumbent </w:t>
      </w:r>
      <w:r w:rsidRPr="00E357C7" w:rsidR="00611AAB">
        <w:t>LEC operations in that state.</w:t>
      </w:r>
      <w:r>
        <w:rPr>
          <w:rStyle w:val="FootnoteReference"/>
        </w:rPr>
        <w:footnoteReference w:id="16"/>
      </w:r>
      <w:r w:rsidRPr="00E357C7" w:rsidR="00611AAB">
        <w:t xml:space="preserve">  WK&amp;T also operates as an </w:t>
      </w:r>
      <w:r w:rsidRPr="00E357C7" w:rsidR="00075D7B">
        <w:t xml:space="preserve">incumbent </w:t>
      </w:r>
      <w:r w:rsidRPr="00E357C7" w:rsidR="00611AAB">
        <w:t xml:space="preserve">LEC in Tennessee and receives CAF-BLS </w:t>
      </w:r>
      <w:r w:rsidR="00020A45">
        <w:t xml:space="preserve">and HCLS </w:t>
      </w:r>
      <w:r w:rsidRPr="00E357C7" w:rsidR="00606859">
        <w:t>as an average schedule company</w:t>
      </w:r>
      <w:r>
        <w:rPr>
          <w:rStyle w:val="FootnoteReference"/>
        </w:rPr>
        <w:footnoteReference w:id="17"/>
      </w:r>
      <w:r w:rsidRPr="00E357C7" w:rsidR="00606859">
        <w:t xml:space="preserve"> </w:t>
      </w:r>
      <w:r w:rsidRPr="00E357C7" w:rsidR="00611AAB">
        <w:t xml:space="preserve">for its </w:t>
      </w:r>
      <w:r w:rsidRPr="00E357C7" w:rsidR="00A20B9D">
        <w:t>i</w:t>
      </w:r>
      <w:r w:rsidRPr="00E357C7" w:rsidR="00FD4DEF">
        <w:t>ncumbent</w:t>
      </w:r>
      <w:r w:rsidR="00FD4DEF">
        <w:t xml:space="preserve"> </w:t>
      </w:r>
      <w:r w:rsidR="00611AAB">
        <w:t>LEC operations in that state.</w:t>
      </w:r>
      <w:r>
        <w:rPr>
          <w:rStyle w:val="FootnoteReference"/>
        </w:rPr>
        <w:footnoteReference w:id="18"/>
      </w:r>
      <w:r w:rsidR="00611AAB">
        <w:t xml:space="preserve">  Additionally, WK&amp;T has competitiv</w:t>
      </w:r>
      <w:r w:rsidR="00B864EE">
        <w:t xml:space="preserve">e LEC </w:t>
      </w:r>
      <w:r w:rsidR="00507BBB">
        <w:t>opera</w:t>
      </w:r>
      <w:r w:rsidR="00AD4EC0">
        <w:t>tions</w:t>
      </w:r>
      <w:r w:rsidR="00611AAB">
        <w:t xml:space="preserve"> in the states </w:t>
      </w:r>
      <w:r w:rsidR="00AA34E1">
        <w:t xml:space="preserve">of </w:t>
      </w:r>
      <w:r w:rsidR="00B864EE">
        <w:t xml:space="preserve">Kentucky, </w:t>
      </w:r>
      <w:r w:rsidR="00611AAB">
        <w:t xml:space="preserve">Tennessee, and Illinois and receives Rural Digital Opportunity Fund </w:t>
      </w:r>
      <w:r w:rsidR="00036257">
        <w:t xml:space="preserve">(RDOF) </w:t>
      </w:r>
      <w:r w:rsidR="00611AAB">
        <w:t xml:space="preserve">support in portions of its </w:t>
      </w:r>
      <w:r w:rsidR="00A20B9D">
        <w:t xml:space="preserve">competitive </w:t>
      </w:r>
      <w:r w:rsidR="00611AAB">
        <w:t xml:space="preserve">LEC service territories </w:t>
      </w:r>
      <w:r>
        <w:t>in those states.</w:t>
      </w:r>
      <w:r>
        <w:rPr>
          <w:rStyle w:val="FootnoteReference"/>
        </w:rPr>
        <w:footnoteReference w:id="19"/>
      </w:r>
      <w:r>
        <w:t xml:space="preserve"> </w:t>
      </w:r>
      <w:r w:rsidR="003E0498">
        <w:t xml:space="preserve"> </w:t>
      </w:r>
      <w:r w:rsidR="00FB1469">
        <w:t>C</w:t>
      </w:r>
      <w:r w:rsidRPr="002D2297" w:rsidR="00FB1469">
        <w:t xml:space="preserve">onsistent with their reporting </w:t>
      </w:r>
      <w:r w:rsidR="00022B24">
        <w:t>on the</w:t>
      </w:r>
      <w:r w:rsidRPr="002D2297" w:rsidR="00FB1469">
        <w:t xml:space="preserve"> National Broadband Map</w:t>
      </w:r>
      <w:r w:rsidR="00FB1469">
        <w:t xml:space="preserve">, </w:t>
      </w:r>
      <w:r w:rsidR="003E0498">
        <w:t xml:space="preserve">Applicants </w:t>
      </w:r>
      <w:r w:rsidR="00FB1469">
        <w:t>note</w:t>
      </w:r>
      <w:r w:rsidR="003E0498">
        <w:t xml:space="preserve"> that there</w:t>
      </w:r>
      <w:r w:rsidR="00BF1A76">
        <w:t xml:space="preserve"> is no overlap of service areas </w:t>
      </w:r>
      <w:r w:rsidRPr="00AD4454" w:rsidR="003E0498">
        <w:t xml:space="preserve">between Applicants </w:t>
      </w:r>
      <w:r w:rsidRPr="00AD4454" w:rsidR="00BF1A76">
        <w:t xml:space="preserve">and their </w:t>
      </w:r>
      <w:r w:rsidRPr="00AD4454" w:rsidR="00B349C9">
        <w:t>affiliates</w:t>
      </w:r>
      <w:r w:rsidR="00DA2443">
        <w:t>.</w:t>
      </w:r>
      <w:r>
        <w:rPr>
          <w:rStyle w:val="FootnoteReference"/>
        </w:rPr>
        <w:footnoteReference w:id="20"/>
      </w:r>
      <w:r w:rsidR="00C4258A">
        <w:t xml:space="preserve"> </w:t>
      </w:r>
    </w:p>
    <w:p w:rsidR="00EC03B8" w:rsidP="00EC03B8" w14:paraId="7BBCF616" w14:textId="75954AE7">
      <w:pPr>
        <w:autoSpaceDE w:val="0"/>
        <w:autoSpaceDN w:val="0"/>
        <w:adjustRightInd w:val="0"/>
        <w:spacing w:after="120"/>
      </w:pPr>
      <w:r>
        <w:tab/>
      </w:r>
      <w:r w:rsidR="00446222">
        <w:t xml:space="preserve">Pursuant to the terms of the </w:t>
      </w:r>
      <w:r w:rsidR="00085CF2">
        <w:t xml:space="preserve">proposed transaction, </w:t>
      </w:r>
      <w:r w:rsidR="009A4CC5">
        <w:t>the Hayneville Stockholders and Synergy entered into a purchase agreement</w:t>
      </w:r>
      <w:r w:rsidR="00D614EC">
        <w:t xml:space="preserve"> where, subject to regulatory approvals, </w:t>
      </w:r>
      <w:r w:rsidR="009A4CC5">
        <w:t xml:space="preserve">Synergy agreed to acquire </w:t>
      </w:r>
      <w:r w:rsidR="00677553">
        <w:t xml:space="preserve">a </w:t>
      </w:r>
      <w:r w:rsidR="009A4CC5">
        <w:t>100% interest in Hayneville Holding, including all ownership interest</w:t>
      </w:r>
      <w:r w:rsidR="00677553">
        <w:t>s</w:t>
      </w:r>
      <w:r w:rsidR="009A4CC5">
        <w:t xml:space="preserve"> in Hayneville Telephone and </w:t>
      </w:r>
      <w:r w:rsidR="009A4CC5">
        <w:t>Hayneville Fiber.</w:t>
      </w:r>
      <w:r>
        <w:rPr>
          <w:rStyle w:val="FootnoteReference"/>
        </w:rPr>
        <w:footnoteReference w:id="21"/>
      </w:r>
      <w:r w:rsidR="009A4CC5">
        <w:t xml:space="preserve">  </w:t>
      </w:r>
      <w:r w:rsidR="00EF158A">
        <w:t xml:space="preserve">Applicants state, upon consummation of the proposed transaction, </w:t>
      </w:r>
      <w:r w:rsidR="00814880">
        <w:t xml:space="preserve">Hayneville Holding </w:t>
      </w:r>
      <w:r w:rsidR="00C3668B">
        <w:t xml:space="preserve">and its subsidiaries </w:t>
      </w:r>
      <w:r w:rsidR="00814880">
        <w:t>will continue to exist and operate under the same name</w:t>
      </w:r>
      <w:r w:rsidR="00724642">
        <w:t xml:space="preserve"> and </w:t>
      </w:r>
      <w:r w:rsidR="00814880">
        <w:t xml:space="preserve">will continue to provide service in their respective </w:t>
      </w:r>
      <w:r w:rsidR="001A6B2E">
        <w:t>service areas</w:t>
      </w:r>
      <w:r w:rsidR="00814880">
        <w:t>.</w:t>
      </w:r>
      <w:r>
        <w:rPr>
          <w:rStyle w:val="FootnoteReference"/>
        </w:rPr>
        <w:footnoteReference w:id="22"/>
      </w:r>
      <w:r w:rsidR="00D614EC">
        <w:t xml:space="preserve">  </w:t>
      </w:r>
      <w:r w:rsidR="00814880">
        <w:t xml:space="preserve"> </w:t>
      </w:r>
      <w:bookmarkStart w:id="8" w:name="_Hlk190430453"/>
    </w:p>
    <w:p w:rsidR="009E12D9" w:rsidRPr="009E12D9" w:rsidP="00D71D57" w14:paraId="12AEDA3D" w14:textId="4896721C">
      <w:pPr>
        <w:autoSpaceDE w:val="0"/>
        <w:autoSpaceDN w:val="0"/>
        <w:adjustRightInd w:val="0"/>
        <w:spacing w:after="120"/>
        <w:ind w:firstLine="720"/>
      </w:pPr>
      <w:r w:rsidRPr="0022700C">
        <w:t>Applicants assert that a grant of the Application would serve the public interest, convenience, and necessity</w:t>
      </w:r>
      <w:r>
        <w:rPr>
          <w:rStyle w:val="FootnoteReference"/>
        </w:rPr>
        <w:footnoteReference w:id="23"/>
      </w:r>
      <w:r w:rsidR="007C180D">
        <w:t xml:space="preserve"> and request </w:t>
      </w:r>
      <w:r w:rsidRPr="007C180D" w:rsidR="007C180D">
        <w:t>approval to consummate a transaction involving companies that receive high-cost universal service support under the different support mechanisms of fixed support and cost-based support</w:t>
      </w:r>
      <w:r w:rsidR="00022B24">
        <w:t xml:space="preserve"> </w:t>
      </w:r>
      <w:r w:rsidRPr="007C180D" w:rsidR="007C180D">
        <w:t>(a mixed support transaction</w:t>
      </w:r>
      <w:r w:rsidR="00FB5131">
        <w:t>)</w:t>
      </w:r>
      <w:r w:rsidRPr="007C180D" w:rsidR="007C180D">
        <w:t>.</w:t>
      </w:r>
      <w:r>
        <w:rPr>
          <w:rStyle w:val="FootnoteReference"/>
        </w:rPr>
        <w:footnoteReference w:id="24"/>
      </w:r>
      <w:r w:rsidRPr="007C180D" w:rsidR="007C180D">
        <w:t xml:space="preserve">  Specifically, </w:t>
      </w:r>
      <w:r w:rsidR="00E16D08">
        <w:t>WK&amp;T,</w:t>
      </w:r>
      <w:r w:rsidRPr="007C180D" w:rsidR="00E16D08">
        <w:t xml:space="preserve"> </w:t>
      </w:r>
      <w:r w:rsidR="00E16D08">
        <w:t>Synergy’s</w:t>
      </w:r>
      <w:r w:rsidR="00F41D76">
        <w:t xml:space="preserve"> </w:t>
      </w:r>
      <w:r w:rsidR="00E16D08">
        <w:t>parent company</w:t>
      </w:r>
      <w:r w:rsidR="00485ED7">
        <w:t>,</w:t>
      </w:r>
      <w:r w:rsidR="00C6255C">
        <w:t xml:space="preserve"> </w:t>
      </w:r>
      <w:r w:rsidR="001F3F9A">
        <w:t xml:space="preserve">which </w:t>
      </w:r>
      <w:r w:rsidR="00C6255C">
        <w:t>receives</w:t>
      </w:r>
      <w:r w:rsidR="00C90B3E">
        <w:t xml:space="preserve"> </w:t>
      </w:r>
      <w:r w:rsidR="00120A34">
        <w:t xml:space="preserve">fixed  </w:t>
      </w:r>
      <w:r w:rsidR="00E16D08">
        <w:t>support</w:t>
      </w:r>
      <w:r w:rsidR="00022B24">
        <w:t>,</w:t>
      </w:r>
      <w:r>
        <w:rPr>
          <w:rStyle w:val="FootnoteReference"/>
        </w:rPr>
        <w:footnoteReference w:id="25"/>
      </w:r>
      <w:r w:rsidRPr="007C180D" w:rsidR="007C180D">
        <w:t xml:space="preserve"> </w:t>
      </w:r>
      <w:r w:rsidRPr="009E12D9">
        <w:t xml:space="preserve">is acquiring </w:t>
      </w:r>
      <w:r w:rsidR="00D71D57">
        <w:t>Hayneville Telephone</w:t>
      </w:r>
      <w:r w:rsidRPr="009E12D9">
        <w:t>, which</w:t>
      </w:r>
      <w:r w:rsidR="009D61B5">
        <w:t xml:space="preserve"> receives </w:t>
      </w:r>
      <w:r w:rsidRPr="009E12D9">
        <w:t>cost-based suppor</w:t>
      </w:r>
      <w:r w:rsidR="009D61B5">
        <w:t>t.</w:t>
      </w:r>
      <w:r>
        <w:rPr>
          <w:vertAlign w:val="superscript"/>
        </w:rPr>
        <w:footnoteReference w:id="26"/>
      </w:r>
      <w:r w:rsidRPr="009E12D9">
        <w:t xml:space="preserve">  The Commission has found that this type of transaction could result in potential harm to its goal of ensuring that limited universal service funding is distributed efficiently and effectively.</w:t>
      </w:r>
      <w:r>
        <w:rPr>
          <w:vertAlign w:val="superscript"/>
        </w:rPr>
        <w:footnoteReference w:id="27"/>
      </w:r>
      <w:r w:rsidRPr="009E12D9">
        <w:t xml:space="preserve">  When a company receiving a fixed level of support</w:t>
      </w:r>
      <w:r w:rsidR="007C59F6">
        <w:t xml:space="preserve"> </w:t>
      </w:r>
      <w:r w:rsidRPr="009E12D9">
        <w:t xml:space="preserve">acquires or is acquired by </w:t>
      </w:r>
      <w:r w:rsidR="007C59F6">
        <w:t>a</w:t>
      </w:r>
      <w:r w:rsidR="00517EE6">
        <w:t xml:space="preserve"> cost</w:t>
      </w:r>
      <w:r w:rsidRPr="009E12D9">
        <w:t xml:space="preserve"> company, the combined companies could, and in some instances</w:t>
      </w:r>
      <w:r w:rsidR="007C59F6">
        <w:t xml:space="preserve"> </w:t>
      </w:r>
      <w:r w:rsidR="00DD1C70">
        <w:t>are</w:t>
      </w:r>
      <w:r w:rsidR="007C59F6">
        <w:t xml:space="preserve"> likely to, shift costs from the fixed support</w:t>
      </w:r>
      <w:r w:rsidRPr="009E12D9">
        <w:t xml:space="preserve"> company to the cost company.</w:t>
      </w:r>
      <w:r>
        <w:rPr>
          <w:vertAlign w:val="superscript"/>
        </w:rPr>
        <w:footnoteReference w:id="28"/>
      </w:r>
      <w:r w:rsidRPr="009E12D9">
        <w:t xml:space="preserve">  If cost shifting were to occur, the combined company, post-transaction, could obtain more high-cost universal service support than the two companies did as separate entities, not because of any new investment, expense, or buildout, but rather solely because of the application of accounting procedures.</w:t>
      </w:r>
      <w:r>
        <w:rPr>
          <w:vertAlign w:val="superscript"/>
        </w:rPr>
        <w:footnoteReference w:id="29"/>
      </w:r>
      <w:r w:rsidRPr="009E12D9">
        <w:t xml:space="preserve">  Such an outcome is inconsistent with the Commission’s general expectation that transactions generate efficiencies that reduce the combined company’s costs.</w:t>
      </w:r>
      <w:r>
        <w:rPr>
          <w:vertAlign w:val="superscript"/>
        </w:rPr>
        <w:footnoteReference w:id="30"/>
      </w:r>
      <w:r w:rsidRPr="009E12D9">
        <w:t xml:space="preserve">  Moreover, providing additional universal service support to a company as a result of cost shifting solely because it acquired or merged with another company is not an efficient use of limited universal service resources.</w:t>
      </w:r>
      <w:r>
        <w:rPr>
          <w:vertAlign w:val="superscript"/>
        </w:rPr>
        <w:footnoteReference w:id="31"/>
      </w:r>
    </w:p>
    <w:p w:rsidR="00EE0B07" w:rsidRPr="003E2419" w:rsidP="007F4087" w14:paraId="491F8931" w14:textId="1D856DF1">
      <w:pPr>
        <w:autoSpaceDE w:val="0"/>
        <w:autoSpaceDN w:val="0"/>
        <w:adjustRightInd w:val="0"/>
        <w:spacing w:after="120"/>
        <w:ind w:firstLine="720"/>
      </w:pPr>
      <w:r w:rsidRPr="009E12D9">
        <w:t xml:space="preserve">In the </w:t>
      </w:r>
      <w:r w:rsidRPr="009E12D9">
        <w:rPr>
          <w:i/>
        </w:rPr>
        <w:t>Hargray/</w:t>
      </w:r>
      <w:r w:rsidRPr="009E12D9">
        <w:rPr>
          <w:i/>
        </w:rPr>
        <w:t>ComSouth</w:t>
      </w:r>
      <w:r w:rsidRPr="009E12D9">
        <w:rPr>
          <w:i/>
        </w:rPr>
        <w:t xml:space="preserve"> Order</w:t>
      </w:r>
      <w:r w:rsidRPr="009E12D9">
        <w:t xml:space="preserve">, in which the Commission approved a mixed support transaction, it sought to prevent cost shifting and to protect the finite resources of the high-cost universal service fund by imposing a limited condition that capped high-cost universal service support based on the operating expenses of </w:t>
      </w:r>
      <w:r w:rsidR="00B660BB">
        <w:t>cost companies</w:t>
      </w:r>
      <w:r w:rsidRPr="009E12D9">
        <w:t>.</w:t>
      </w:r>
      <w:r>
        <w:rPr>
          <w:vertAlign w:val="superscript"/>
        </w:rPr>
        <w:footnoteReference w:id="32"/>
      </w:r>
      <w:r w:rsidRPr="009E12D9">
        <w:t xml:space="preserve">  The Commission directed the Bureau to apply the </w:t>
      </w:r>
      <w:r w:rsidRPr="00F3494B">
        <w:rPr>
          <w:i/>
          <w:iCs/>
        </w:rPr>
        <w:t>Hargray/</w:t>
      </w:r>
      <w:r w:rsidRPr="00F3494B">
        <w:rPr>
          <w:i/>
          <w:iCs/>
        </w:rPr>
        <w:t>ComSouth</w:t>
      </w:r>
      <w:r w:rsidRPr="007712A3">
        <w:t xml:space="preserve"> condition</w:t>
      </w:r>
      <w:r w:rsidRPr="009E12D9">
        <w:t xml:space="preserve"> where necessary to remedy a potential public interest harm caused by a mixed support transaction.</w:t>
      </w:r>
      <w:r>
        <w:rPr>
          <w:vertAlign w:val="superscript"/>
        </w:rPr>
        <w:footnoteReference w:id="33"/>
      </w:r>
      <w:r w:rsidRPr="009E12D9">
        <w:t xml:space="preserve"> </w:t>
      </w:r>
      <w:r w:rsidR="007F4087">
        <w:t xml:space="preserve"> </w:t>
      </w:r>
      <w:r w:rsidRPr="009E12D9">
        <w:t xml:space="preserve">Accordingly, to mitigate the potential for cost shifting, we grant the </w:t>
      </w:r>
      <w:r w:rsidRPr="009E12D9">
        <w:t xml:space="preserve">Application subject to the condition adopted in the </w:t>
      </w:r>
      <w:r w:rsidRPr="009E12D9">
        <w:rPr>
          <w:i/>
        </w:rPr>
        <w:t>Hargray/</w:t>
      </w:r>
      <w:r w:rsidRPr="009E12D9">
        <w:rPr>
          <w:i/>
        </w:rPr>
        <w:t>ComSouth</w:t>
      </w:r>
      <w:r w:rsidRPr="009E12D9">
        <w:rPr>
          <w:i/>
        </w:rPr>
        <w:t xml:space="preserve"> Order</w:t>
      </w:r>
      <w:r w:rsidRPr="009E12D9">
        <w:t>.</w:t>
      </w:r>
      <w:r>
        <w:rPr>
          <w:vertAlign w:val="superscript"/>
        </w:rPr>
        <w:footnoteReference w:id="34"/>
      </w:r>
      <w:r w:rsidRPr="009E12D9">
        <w:t xml:space="preserve">  The combined operating expenses of </w:t>
      </w:r>
      <w:r w:rsidR="009564D3">
        <w:t xml:space="preserve">all </w:t>
      </w:r>
      <w:r w:rsidR="006F5FE0">
        <w:t>cost compan</w:t>
      </w:r>
      <w:r w:rsidR="00B660BB">
        <w:t>y</w:t>
      </w:r>
      <w:r w:rsidR="006F5FE0">
        <w:t xml:space="preserve"> </w:t>
      </w:r>
      <w:r w:rsidRPr="009E12D9">
        <w:t>affiliates</w:t>
      </w:r>
      <w:r w:rsidR="006F5FE0">
        <w:t xml:space="preserve"> (covered companies)</w:t>
      </w:r>
      <w:r w:rsidR="009564D3">
        <w:t xml:space="preserve"> and any future acquired cost company affiliates</w:t>
      </w:r>
      <w:r>
        <w:rPr>
          <w:vertAlign w:val="superscript"/>
        </w:rPr>
        <w:footnoteReference w:id="35"/>
      </w:r>
      <w:r w:rsidRPr="009E12D9">
        <w:t xml:space="preserve"> shall be capped at the averaged combined operating expenses of the three calendar years preceding the transaction’s closing date for which the operating expense data are available.</w:t>
      </w:r>
      <w:r>
        <w:rPr>
          <w:vertAlign w:val="superscript"/>
        </w:rPr>
        <w:footnoteReference w:id="36"/>
      </w:r>
      <w:r w:rsidRPr="009E12D9">
        <w:t xml:space="preserve">  This cap shall remain in effect for seven years from the consummation of the transaction.</w:t>
      </w:r>
      <w:r>
        <w:rPr>
          <w:vertAlign w:val="superscript"/>
        </w:rPr>
        <w:footnoteReference w:id="37"/>
      </w:r>
      <w:r w:rsidRPr="009E12D9">
        <w:t xml:space="preserve">  </w:t>
      </w:r>
      <w:r w:rsidR="009564D3">
        <w:t xml:space="preserve">Moreover, </w:t>
      </w:r>
      <w:r w:rsidR="001F3F9A">
        <w:t>if an</w:t>
      </w:r>
      <w:r w:rsidR="00DC7646">
        <w:t xml:space="preserve"> </w:t>
      </w:r>
      <w:r w:rsidR="009564D3">
        <w:t xml:space="preserve">average schedule </w:t>
      </w:r>
      <w:r w:rsidR="001F3F9A">
        <w:t>company affiliate</w:t>
      </w:r>
      <w:r w:rsidR="009564D3">
        <w:t xml:space="preserve"> converts to a cost company, the </w:t>
      </w:r>
      <w:r w:rsidRPr="00F3494B" w:rsidR="009564D3">
        <w:rPr>
          <w:i/>
          <w:iCs/>
        </w:rPr>
        <w:t>Hargray</w:t>
      </w:r>
      <w:r w:rsidRPr="00F3494B" w:rsidR="007712A3">
        <w:rPr>
          <w:i/>
          <w:iCs/>
        </w:rPr>
        <w:t>/</w:t>
      </w:r>
      <w:r w:rsidRPr="00F3494B" w:rsidR="007712A3">
        <w:rPr>
          <w:i/>
          <w:iCs/>
        </w:rPr>
        <w:t>ComSouth</w:t>
      </w:r>
      <w:r w:rsidR="009564D3">
        <w:t xml:space="preserve"> condition will be triggered </w:t>
      </w:r>
      <w:r w:rsidR="00DC7646">
        <w:t>for this company</w:t>
      </w:r>
      <w:r w:rsidR="00572053">
        <w:t>.</w:t>
      </w:r>
      <w:r>
        <w:rPr>
          <w:rStyle w:val="FootnoteReference"/>
        </w:rPr>
        <w:footnoteReference w:id="38"/>
      </w:r>
      <w:r w:rsidR="00DC7646">
        <w:t xml:space="preserve"> </w:t>
      </w:r>
      <w:r w:rsidR="00572053">
        <w:t xml:space="preserve"> </w:t>
      </w:r>
      <w:r w:rsidR="006238A0">
        <w:t>The</w:t>
      </w:r>
      <w:r w:rsidRPr="006238A0" w:rsidR="006238A0">
        <w:t xml:space="preserve"> newly converted cost company’s operating expense would be capped at the average of the three previous years’ operating expense and combined with the inflation-adjusted operating expense data of any other affiliated cost </w:t>
      </w:r>
      <w:r w:rsidR="006238A0">
        <w:t>companies</w:t>
      </w:r>
      <w:r w:rsidR="001F3F9A">
        <w:t xml:space="preserve"> to create a new combined capped operating </w:t>
      </w:r>
      <w:r w:rsidR="001F3F9A">
        <w:t>expense.</w:t>
      </w:r>
      <w:r>
        <w:rPr>
          <w:rStyle w:val="FootnoteReference"/>
        </w:rPr>
        <w:footnoteReference w:id="39"/>
      </w:r>
      <w:r w:rsidR="009564D3">
        <w:t xml:space="preserve"> </w:t>
      </w:r>
      <w:r w:rsidR="00AF7915">
        <w:t xml:space="preserve"> </w:t>
      </w:r>
      <w:r w:rsidRPr="009E12D9">
        <w:t>The condition will sunset if all of a post-consummation company’s rate-of-return affiliates become fixed support companies at any point during the seven-year period.</w:t>
      </w:r>
      <w:r>
        <w:rPr>
          <w:vertAlign w:val="superscript"/>
        </w:rPr>
        <w:footnoteReference w:id="40"/>
      </w:r>
      <w:r w:rsidRPr="009E12D9">
        <w:t xml:space="preserve"> </w:t>
      </w:r>
    </w:p>
    <w:bookmarkEnd w:id="8"/>
    <w:p w:rsidR="0075209B" w:rsidRPr="0075209B" w:rsidP="0075209B" w14:paraId="135262DC" w14:textId="60AD5D9A">
      <w:pPr>
        <w:autoSpaceDE w:val="0"/>
        <w:autoSpaceDN w:val="0"/>
        <w:adjustRightInd w:val="0"/>
        <w:spacing w:after="120"/>
        <w:ind w:firstLine="720"/>
        <w:rPr>
          <w:szCs w:val="22"/>
        </w:rPr>
      </w:pPr>
      <w:r w:rsidRPr="0075209B">
        <w:rPr>
          <w:szCs w:val="22"/>
        </w:rPr>
        <w:t>We find</w:t>
      </w:r>
      <w:r w:rsidR="001E10DB">
        <w:rPr>
          <w:szCs w:val="22"/>
        </w:rPr>
        <w:t>, upon consideration of the record,</w:t>
      </w:r>
      <w:r w:rsidRPr="0075209B">
        <w:rPr>
          <w:szCs w:val="22"/>
        </w:rPr>
        <w:t xml:space="preserve"> that </w:t>
      </w:r>
      <w:r w:rsidR="00977AFD">
        <w:rPr>
          <w:szCs w:val="22"/>
        </w:rPr>
        <w:t>granting</w:t>
      </w:r>
      <w:r w:rsidRPr="0075209B">
        <w:rPr>
          <w:szCs w:val="22"/>
        </w:rPr>
        <w:t xml:space="preserve"> the Application</w:t>
      </w:r>
      <w:r w:rsidR="00977AFD">
        <w:rPr>
          <w:szCs w:val="22"/>
        </w:rPr>
        <w:t>, subject to compliance with the condition,</w:t>
      </w:r>
      <w:r w:rsidRPr="0075209B">
        <w:rPr>
          <w:szCs w:val="22"/>
        </w:rPr>
        <w:t xml:space="preserve"> will serve the public interest, convenience, and necessity.</w:t>
      </w:r>
      <w:bookmarkStart w:id="10" w:name="_Hlk216377346"/>
      <w:r>
        <w:rPr>
          <w:szCs w:val="22"/>
          <w:vertAlign w:val="superscript"/>
        </w:rPr>
        <w:footnoteReference w:id="41"/>
      </w:r>
      <w:r w:rsidRPr="0075209B">
        <w:rPr>
          <w:szCs w:val="22"/>
        </w:rPr>
        <w:t xml:space="preserve">  </w:t>
      </w:r>
      <w:bookmarkEnd w:id="10"/>
      <w:r w:rsidRPr="0075209B">
        <w:rPr>
          <w:szCs w:val="22"/>
        </w:rPr>
        <w:t>Therefore, pursuant to section 214 of the Act, 47 U.S.C. § 214, and sections 0.91, 0.291, and 63.04 of the Commission’s rules, 47 CFR §§ 0.91, 0.291, and 63.04, the Bureau hereby grants the Application discussed in this Public Notice</w:t>
      </w:r>
      <w:r w:rsidR="00043E3A">
        <w:rPr>
          <w:szCs w:val="22"/>
        </w:rPr>
        <w:t xml:space="preserve"> </w:t>
      </w:r>
      <w:r w:rsidRPr="00043E3A" w:rsidR="00043E3A">
        <w:rPr>
          <w:szCs w:val="22"/>
        </w:rPr>
        <w:t>subject to compliance with the condition described above</w:t>
      </w:r>
      <w:r w:rsidRPr="0075209B">
        <w:rPr>
          <w:szCs w:val="22"/>
        </w:rPr>
        <w:t>.</w:t>
      </w:r>
      <w:r>
        <w:rPr>
          <w:szCs w:val="22"/>
          <w:vertAlign w:val="superscript"/>
        </w:rPr>
        <w:footnoteReference w:id="42"/>
      </w:r>
      <w:r w:rsidRPr="0075209B">
        <w:rPr>
          <w:szCs w:val="22"/>
        </w:rPr>
        <w:t xml:space="preserve"> </w:t>
      </w:r>
    </w:p>
    <w:p w:rsidR="0075209B" w:rsidP="008B071F" w14:paraId="7C8771D3" w14:textId="56AFBFB8">
      <w:pPr>
        <w:autoSpaceDE w:val="0"/>
        <w:autoSpaceDN w:val="0"/>
        <w:adjustRightInd w:val="0"/>
        <w:spacing w:after="120"/>
        <w:ind w:firstLine="720"/>
        <w:rPr>
          <w:szCs w:val="22"/>
        </w:rPr>
      </w:pPr>
      <w:r w:rsidRPr="0075209B">
        <w:rPr>
          <w:szCs w:val="22"/>
        </w:rPr>
        <w:t>Pursuant to section 1.103 of the Commission’s rules, 47 CFR § 1.103, the grant is effective upon release of this Public Notice.  Petitions for reconsideration under section 1.106 or application for review under section 1.115 of the Commission's rules, 47 CFR §§ 1.106, 1.115, may be filed within 30 days of the date of this Public Notice.</w:t>
      </w:r>
    </w:p>
    <w:p w:rsidR="00DF0BCD" w:rsidP="00B07C84" w14:paraId="0CCA0729" w14:textId="569CAA74">
      <w:pPr>
        <w:autoSpaceDE w:val="0"/>
        <w:autoSpaceDN w:val="0"/>
        <w:adjustRightInd w:val="0"/>
        <w:spacing w:after="120"/>
        <w:ind w:firstLine="720"/>
      </w:pPr>
      <w:r w:rsidRPr="003B1C20">
        <w:rPr>
          <w:szCs w:val="22"/>
        </w:rPr>
        <w:t>For further information, please contact</w:t>
      </w:r>
      <w:r w:rsidR="0061190D">
        <w:rPr>
          <w:szCs w:val="22"/>
        </w:rPr>
        <w:t xml:space="preserve"> </w:t>
      </w:r>
      <w:r w:rsidR="000A024F">
        <w:rPr>
          <w:szCs w:val="22"/>
        </w:rPr>
        <w:t>Megan Danner</w:t>
      </w:r>
      <w:r w:rsidR="0061190D">
        <w:rPr>
          <w:szCs w:val="22"/>
        </w:rPr>
        <w:t xml:space="preserve">, </w:t>
      </w:r>
      <w:r>
        <w:rPr>
          <w:szCs w:val="22"/>
        </w:rPr>
        <w:t>Competition Policy Division, Wireline Competition Bureau,</w:t>
      </w:r>
      <w:r w:rsidRPr="003B1C20">
        <w:rPr>
          <w:szCs w:val="22"/>
        </w:rPr>
        <w:t xml:space="preserve"> at </w:t>
      </w:r>
      <w:hyperlink r:id="rId6" w:history="1">
        <w:r w:rsidRPr="006F164E" w:rsidR="00761A00">
          <w:rPr>
            <w:rStyle w:val="Hyperlink"/>
          </w:rPr>
          <w:t>Megan.Danner@fcc.gov</w:t>
        </w:r>
      </w:hyperlink>
      <w:r w:rsidR="00371F54">
        <w:t xml:space="preserve"> or (202) 418-1151</w:t>
      </w:r>
      <w:r w:rsidR="0061190D">
        <w:t>.</w:t>
      </w:r>
    </w:p>
    <w:p w:rsidR="003063B6" w:rsidP="0061190D" w14:paraId="3D81664B" w14:textId="77777777">
      <w:pPr>
        <w:autoSpaceDE w:val="0"/>
        <w:autoSpaceDN w:val="0"/>
        <w:adjustRightInd w:val="0"/>
        <w:spacing w:after="120"/>
        <w:ind w:firstLine="720"/>
      </w:pPr>
    </w:p>
    <w:p w:rsidR="003063B6" w:rsidRPr="0061190D" w:rsidP="0061190D" w14:paraId="283E2024" w14:textId="77777777">
      <w:pPr>
        <w:autoSpaceDE w:val="0"/>
        <w:autoSpaceDN w:val="0"/>
        <w:adjustRightInd w:val="0"/>
        <w:spacing w:after="120"/>
        <w:ind w:firstLine="720"/>
      </w:pPr>
    </w:p>
    <w:p w:rsidR="00BA3BA8" w:rsidRPr="00DF0BCD" w:rsidP="00DF0BCD" w14:paraId="7263D732" w14:textId="77777777">
      <w:pPr>
        <w:autoSpaceDE w:val="0"/>
        <w:autoSpaceDN w:val="0"/>
        <w:adjustRightInd w:val="0"/>
        <w:jc w:val="center"/>
        <w:rPr>
          <w:color w:val="000000"/>
          <w:szCs w:val="22"/>
        </w:rPr>
      </w:pPr>
      <w:r w:rsidRPr="007D6E06">
        <w:rPr>
          <w:b/>
          <w:szCs w:val="22"/>
        </w:rPr>
        <w:t>-FCC-</w:t>
      </w:r>
      <w:bookmarkEnd w:id="3"/>
    </w:p>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F703A" w14:paraId="798B1AC2" w14:textId="77777777">
      <w:pPr>
        <w:spacing w:line="20" w:lineRule="exact"/>
      </w:pPr>
    </w:p>
  </w:endnote>
  <w:endnote w:type="continuationSeparator" w:id="1">
    <w:p w:rsidR="008F703A" w14:paraId="3DDE2BFF" w14:textId="77777777">
      <w:r>
        <w:t xml:space="preserve"> </w:t>
      </w:r>
    </w:p>
  </w:endnote>
  <w:endnote w:type="continuationNotice" w:id="2">
    <w:p w:rsidR="008F703A" w14:paraId="415FB44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5603E9B"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84EA67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8CF78C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FC80F4A"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F703A" w14:paraId="3D5734B3" w14:textId="77777777">
      <w:r>
        <w:separator/>
      </w:r>
    </w:p>
  </w:footnote>
  <w:footnote w:type="continuationSeparator" w:id="1">
    <w:p w:rsidR="008F703A" w14:paraId="31FE71B4" w14:textId="77777777">
      <w:pPr>
        <w:rPr>
          <w:sz w:val="20"/>
        </w:rPr>
      </w:pPr>
      <w:r>
        <w:rPr>
          <w:sz w:val="20"/>
        </w:rPr>
        <w:t xml:space="preserve">(Continued from previous page)  </w:t>
      </w:r>
      <w:r>
        <w:rPr>
          <w:sz w:val="20"/>
        </w:rPr>
        <w:separator/>
      </w:r>
    </w:p>
  </w:footnote>
  <w:footnote w:type="continuationNotice" w:id="2">
    <w:p w:rsidR="008F703A" w14:paraId="47DCEE18" w14:textId="77777777">
      <w:pPr>
        <w:jc w:val="right"/>
        <w:rPr>
          <w:sz w:val="20"/>
        </w:rPr>
      </w:pPr>
      <w:r>
        <w:rPr>
          <w:sz w:val="20"/>
        </w:rPr>
        <w:t>(continued….)</w:t>
      </w:r>
    </w:p>
  </w:footnote>
  <w:footnote w:id="3">
    <w:p w:rsidR="00881759" w:rsidRPr="00824D12" w:rsidP="00824D12" w14:paraId="26CCB4B9" w14:textId="77777777">
      <w:pPr>
        <w:pStyle w:val="FootnoteText"/>
      </w:pPr>
      <w:r w:rsidRPr="00824D12">
        <w:rPr>
          <w:rStyle w:val="FootnoteReference"/>
          <w:sz w:val="20"/>
        </w:rPr>
        <w:footnoteRef/>
      </w:r>
      <w:r w:rsidRPr="00824D12">
        <w:t xml:space="preserve"> </w:t>
      </w:r>
      <w:r w:rsidRPr="00824D12">
        <w:rPr>
          <w:i/>
        </w:rPr>
        <w:t>See</w:t>
      </w:r>
      <w:r w:rsidRPr="00824D12">
        <w:t xml:space="preserve"> 47 U.S.C. § 214(a); 47 CFR § 63.04.</w:t>
      </w:r>
    </w:p>
  </w:footnote>
  <w:footnote w:id="4">
    <w:p w:rsidR="00881759" w:rsidRPr="00824D12" w:rsidP="00824D12" w14:paraId="163DEBCF" w14:textId="4C84DE6F">
      <w:pPr>
        <w:autoSpaceDE w:val="0"/>
        <w:autoSpaceDN w:val="0"/>
        <w:adjustRightInd w:val="0"/>
        <w:spacing w:after="120"/>
        <w:rPr>
          <w:sz w:val="20"/>
        </w:rPr>
      </w:pPr>
      <w:r w:rsidRPr="00824D12">
        <w:rPr>
          <w:rStyle w:val="FootnoteReference"/>
          <w:sz w:val="20"/>
        </w:rPr>
        <w:footnoteRef/>
      </w:r>
      <w:r w:rsidRPr="00824D12">
        <w:rPr>
          <w:sz w:val="20"/>
        </w:rPr>
        <w:t xml:space="preserve"> Domestic Section 214 Application for the Transfer of Control of </w:t>
      </w:r>
      <w:bookmarkStart w:id="7" w:name="_Hlk206416663"/>
      <w:r w:rsidRPr="00824D12" w:rsidR="0067583D">
        <w:rPr>
          <w:sz w:val="20"/>
        </w:rPr>
        <w:t>Hayneville Holding Company, Inc.</w:t>
      </w:r>
      <w:r w:rsidRPr="00824D12" w:rsidR="006F7AD2">
        <w:rPr>
          <w:sz w:val="20"/>
        </w:rPr>
        <w:t xml:space="preserve"> </w:t>
      </w:r>
      <w:r w:rsidRPr="00824D12" w:rsidR="0067583D">
        <w:rPr>
          <w:sz w:val="20"/>
        </w:rPr>
        <w:t xml:space="preserve">to Synergy Technology Partners, Inc., </w:t>
      </w:r>
      <w:bookmarkEnd w:id="7"/>
      <w:r w:rsidRPr="00824D12" w:rsidR="000A0F72">
        <w:rPr>
          <w:sz w:val="20"/>
        </w:rPr>
        <w:t xml:space="preserve">WC </w:t>
      </w:r>
      <w:r w:rsidRPr="00824D12">
        <w:rPr>
          <w:sz w:val="20"/>
        </w:rPr>
        <w:t>Docket No. 2</w:t>
      </w:r>
      <w:r w:rsidRPr="00824D12" w:rsidR="00642BB6">
        <w:rPr>
          <w:sz w:val="20"/>
        </w:rPr>
        <w:t>5</w:t>
      </w:r>
      <w:r w:rsidRPr="00824D12">
        <w:rPr>
          <w:sz w:val="20"/>
        </w:rPr>
        <w:t>-</w:t>
      </w:r>
      <w:r w:rsidRPr="00824D12" w:rsidR="00C51A6E">
        <w:rPr>
          <w:sz w:val="20"/>
        </w:rPr>
        <w:t>312</w:t>
      </w:r>
      <w:r w:rsidRPr="00824D12">
        <w:rPr>
          <w:sz w:val="20"/>
        </w:rPr>
        <w:t xml:space="preserve"> (filed </w:t>
      </w:r>
      <w:r w:rsidRPr="00824D12" w:rsidR="00986FB9">
        <w:rPr>
          <w:sz w:val="20"/>
        </w:rPr>
        <w:t>Nov</w:t>
      </w:r>
      <w:r w:rsidRPr="00824D12">
        <w:rPr>
          <w:sz w:val="20"/>
        </w:rPr>
        <w:t>.</w:t>
      </w:r>
      <w:r w:rsidRPr="00824D12" w:rsidR="00F03D70">
        <w:rPr>
          <w:sz w:val="20"/>
        </w:rPr>
        <w:t xml:space="preserve"> </w:t>
      </w:r>
      <w:r w:rsidRPr="00824D12" w:rsidR="006D53B4">
        <w:rPr>
          <w:sz w:val="20"/>
        </w:rPr>
        <w:t>1</w:t>
      </w:r>
      <w:r w:rsidRPr="00824D12" w:rsidR="00E46B0D">
        <w:rPr>
          <w:sz w:val="20"/>
        </w:rPr>
        <w:t>4</w:t>
      </w:r>
      <w:r w:rsidRPr="00824D12">
        <w:rPr>
          <w:sz w:val="20"/>
        </w:rPr>
        <w:t>, 202</w:t>
      </w:r>
      <w:r w:rsidRPr="00824D12" w:rsidR="005347B2">
        <w:rPr>
          <w:sz w:val="20"/>
        </w:rPr>
        <w:t>5</w:t>
      </w:r>
      <w:r w:rsidRPr="00824D12">
        <w:rPr>
          <w:sz w:val="20"/>
        </w:rPr>
        <w:t>) (Application).</w:t>
      </w:r>
      <w:r w:rsidRPr="00824D12" w:rsidR="00737A51">
        <w:rPr>
          <w:sz w:val="20"/>
        </w:rPr>
        <w:t xml:space="preserve">  </w:t>
      </w:r>
      <w:r w:rsidRPr="00824D12" w:rsidR="00C51A6E">
        <w:rPr>
          <w:sz w:val="20"/>
        </w:rPr>
        <w:t>Applicants filed</w:t>
      </w:r>
      <w:r w:rsidRPr="00824D12" w:rsidR="005B5F3D">
        <w:rPr>
          <w:sz w:val="20"/>
        </w:rPr>
        <w:t xml:space="preserve"> a supplement to the Application on December </w:t>
      </w:r>
      <w:r w:rsidRPr="00824D12" w:rsidR="002E2515">
        <w:rPr>
          <w:sz w:val="20"/>
        </w:rPr>
        <w:t>1</w:t>
      </w:r>
      <w:r w:rsidRPr="00824D12" w:rsidR="0031234B">
        <w:rPr>
          <w:sz w:val="20"/>
        </w:rPr>
        <w:t>7</w:t>
      </w:r>
      <w:r w:rsidRPr="00824D12" w:rsidR="005B5F3D">
        <w:rPr>
          <w:sz w:val="20"/>
        </w:rPr>
        <w:t xml:space="preserve">, 2025.  Letter from </w:t>
      </w:r>
      <w:r w:rsidRPr="00824D12" w:rsidR="000209D7">
        <w:rPr>
          <w:sz w:val="20"/>
        </w:rPr>
        <w:t>John Kuykendall</w:t>
      </w:r>
      <w:r w:rsidRPr="00824D12" w:rsidR="00EE7DBD">
        <w:rPr>
          <w:sz w:val="20"/>
        </w:rPr>
        <w:t xml:space="preserve">, </w:t>
      </w:r>
      <w:r w:rsidRPr="00824D12" w:rsidR="00326075">
        <w:rPr>
          <w:sz w:val="20"/>
        </w:rPr>
        <w:t>Regulatory Advisor</w:t>
      </w:r>
      <w:r w:rsidRPr="00824D12" w:rsidR="005B5F3D">
        <w:rPr>
          <w:sz w:val="20"/>
        </w:rPr>
        <w:t xml:space="preserve"> for </w:t>
      </w:r>
      <w:r w:rsidRPr="00824D12" w:rsidR="000209D7">
        <w:rPr>
          <w:sz w:val="20"/>
        </w:rPr>
        <w:t>Applicants</w:t>
      </w:r>
      <w:r w:rsidRPr="00824D12" w:rsidR="005B5F3D">
        <w:rPr>
          <w:sz w:val="20"/>
        </w:rPr>
        <w:t>, to Marlene H. Dortch, Secretary, FCC, WC Docket No.</w:t>
      </w:r>
      <w:r w:rsidRPr="00824D12" w:rsidR="00541351">
        <w:rPr>
          <w:sz w:val="20"/>
        </w:rPr>
        <w:t xml:space="preserve"> 25-312 (filed Dec. </w:t>
      </w:r>
      <w:r w:rsidRPr="00824D12" w:rsidR="002E2515">
        <w:rPr>
          <w:sz w:val="20"/>
        </w:rPr>
        <w:t>1</w:t>
      </w:r>
      <w:r w:rsidRPr="00824D12" w:rsidR="0031234B">
        <w:rPr>
          <w:sz w:val="20"/>
        </w:rPr>
        <w:t>7</w:t>
      </w:r>
      <w:r w:rsidRPr="00824D12" w:rsidR="00541351">
        <w:rPr>
          <w:sz w:val="20"/>
        </w:rPr>
        <w:t xml:space="preserve">, 2025) (Supplement).  </w:t>
      </w:r>
      <w:r w:rsidRPr="00824D12" w:rsidR="003E39CC">
        <w:rPr>
          <w:sz w:val="20"/>
        </w:rPr>
        <w:t xml:space="preserve">Applicants also filed applications for the transfer of authorizations associated with international services.  </w:t>
      </w:r>
      <w:r w:rsidRPr="00824D12" w:rsidR="007C5751">
        <w:rPr>
          <w:sz w:val="20"/>
        </w:rPr>
        <w:t xml:space="preserve">Any action on the domestic 214 application is without prejudice to Commission action on </w:t>
      </w:r>
      <w:r w:rsidRPr="00824D12" w:rsidR="00E13708">
        <w:rPr>
          <w:sz w:val="20"/>
        </w:rPr>
        <w:t xml:space="preserve">other </w:t>
      </w:r>
      <w:r w:rsidRPr="00824D12" w:rsidR="005969CF">
        <w:rPr>
          <w:sz w:val="20"/>
        </w:rPr>
        <w:t>related</w:t>
      </w:r>
      <w:r w:rsidRPr="00824D12" w:rsidR="00C51A6E">
        <w:rPr>
          <w:sz w:val="20"/>
        </w:rPr>
        <w:t>, pending</w:t>
      </w:r>
      <w:r w:rsidRPr="00824D12" w:rsidR="005969CF">
        <w:rPr>
          <w:sz w:val="20"/>
        </w:rPr>
        <w:t xml:space="preserve"> applications</w:t>
      </w:r>
      <w:r w:rsidRPr="00824D12" w:rsidR="00E13708">
        <w:rPr>
          <w:sz w:val="20"/>
        </w:rPr>
        <w:t xml:space="preserve">. </w:t>
      </w:r>
    </w:p>
  </w:footnote>
  <w:footnote w:id="5">
    <w:p w:rsidR="000A4370" w:rsidRPr="00824D12" w:rsidP="00824D12" w14:paraId="3ED1915B" w14:textId="5F506780">
      <w:pPr>
        <w:pStyle w:val="FootnoteText"/>
      </w:pPr>
      <w:r w:rsidRPr="002D2297">
        <w:rPr>
          <w:rStyle w:val="FootnoteReference"/>
          <w:sz w:val="20"/>
        </w:rPr>
        <w:footnoteRef/>
      </w:r>
      <w:r w:rsidRPr="00824D12">
        <w:t xml:space="preserve"> </w:t>
      </w:r>
      <w:r w:rsidRPr="00824D12">
        <w:rPr>
          <w:i/>
          <w:iCs/>
        </w:rPr>
        <w:t>See Domestic Section 214 Application Filed for the Transfer of Control of</w:t>
      </w:r>
      <w:r w:rsidRPr="00824D12" w:rsidR="005E60A0">
        <w:rPr>
          <w:i/>
          <w:iCs/>
        </w:rPr>
        <w:t xml:space="preserve"> Hayneville Holding Company, Inc. to Synergy Technology Partners, Inc.</w:t>
      </w:r>
      <w:r w:rsidRPr="00824D12" w:rsidR="005E60A0">
        <w:t>, WC Docket No. 25-312</w:t>
      </w:r>
      <w:r w:rsidRPr="00824D12">
        <w:t>, Public Notice, DA 2</w:t>
      </w:r>
      <w:r w:rsidRPr="00824D12" w:rsidR="005E60A0">
        <w:t>6</w:t>
      </w:r>
      <w:r w:rsidRPr="00824D12">
        <w:t>-</w:t>
      </w:r>
      <w:r w:rsidRPr="00824D12" w:rsidR="005E60A0">
        <w:t>52</w:t>
      </w:r>
      <w:r w:rsidRPr="00824D12">
        <w:t xml:space="preserve"> (WCB 202</w:t>
      </w:r>
      <w:r w:rsidRPr="00824D12" w:rsidR="005E60A0">
        <w:t>6</w:t>
      </w:r>
      <w:r w:rsidRPr="00824D12">
        <w:t>).</w:t>
      </w:r>
    </w:p>
  </w:footnote>
  <w:footnote w:id="6">
    <w:p w:rsidR="00476E21" w:rsidRPr="00824D12" w:rsidP="00824D12" w14:paraId="6CFDFE5B" w14:textId="558755F3">
      <w:pPr>
        <w:pStyle w:val="FootnoteText"/>
      </w:pPr>
      <w:r w:rsidRPr="002D2297">
        <w:rPr>
          <w:rStyle w:val="FootnoteReference"/>
          <w:sz w:val="20"/>
        </w:rPr>
        <w:footnoteRef/>
      </w:r>
      <w:r w:rsidRPr="00824D12">
        <w:t xml:space="preserve"> Application at </w:t>
      </w:r>
      <w:r w:rsidRPr="00824D12" w:rsidR="00E34668">
        <w:t>4-</w:t>
      </w:r>
      <w:r w:rsidRPr="00824D12" w:rsidR="00721A33">
        <w:t xml:space="preserve">5, </w:t>
      </w:r>
      <w:r w:rsidRPr="00824D12" w:rsidR="002E3B67">
        <w:t>1</w:t>
      </w:r>
      <w:r w:rsidRPr="00824D12" w:rsidR="00721A33">
        <w:t>1</w:t>
      </w:r>
      <w:r w:rsidRPr="00824D12">
        <w:t xml:space="preserve">. </w:t>
      </w:r>
    </w:p>
  </w:footnote>
  <w:footnote w:id="7">
    <w:p w:rsidR="007635A4" w:rsidRPr="00824D12" w:rsidP="00824D12" w14:paraId="1D190661" w14:textId="56EA7EAE">
      <w:pPr>
        <w:pStyle w:val="FootnoteText"/>
      </w:pPr>
      <w:r w:rsidRPr="002D2297">
        <w:rPr>
          <w:rStyle w:val="FootnoteReference"/>
          <w:sz w:val="20"/>
        </w:rPr>
        <w:footnoteRef/>
      </w:r>
      <w:r w:rsidRPr="00824D12">
        <w:t xml:space="preserve"> </w:t>
      </w:r>
      <w:r w:rsidRPr="00824D12">
        <w:rPr>
          <w:i/>
          <w:iCs/>
        </w:rPr>
        <w:t>Id</w:t>
      </w:r>
      <w:r w:rsidRPr="00824D12">
        <w:t xml:space="preserve">. at 5, 13.  </w:t>
      </w:r>
    </w:p>
  </w:footnote>
  <w:footnote w:id="8">
    <w:p w:rsidR="00507129" w:rsidRPr="00824D12" w:rsidP="00824D12" w14:paraId="23353382" w14:textId="307A7E8F">
      <w:pPr>
        <w:pStyle w:val="FootnoteText"/>
      </w:pPr>
      <w:r w:rsidRPr="002D2297">
        <w:rPr>
          <w:rStyle w:val="FootnoteReference"/>
          <w:sz w:val="20"/>
        </w:rPr>
        <w:footnoteRef/>
      </w:r>
      <w:r w:rsidRPr="00824D12">
        <w:t xml:space="preserve"> </w:t>
      </w:r>
      <w:r w:rsidRPr="00824D12">
        <w:rPr>
          <w:i/>
          <w:iCs/>
        </w:rPr>
        <w:t>Id</w:t>
      </w:r>
      <w:r w:rsidRPr="00824D12">
        <w:t xml:space="preserve">. at </w:t>
      </w:r>
      <w:r w:rsidRPr="00824D12" w:rsidR="007635A4">
        <w:t xml:space="preserve">5, </w:t>
      </w:r>
      <w:r w:rsidRPr="00824D12" w:rsidR="006C725B">
        <w:t>7-8</w:t>
      </w:r>
      <w:r w:rsidR="006228D7">
        <w:t>;</w:t>
      </w:r>
      <w:r w:rsidR="00B9044F">
        <w:t xml:space="preserve"> </w:t>
      </w:r>
      <w:r w:rsidRPr="00B9044F" w:rsidR="00B9044F">
        <w:t xml:space="preserve">High Cost Support Projected by State by Study Area - 2Q2026, </w:t>
      </w:r>
      <w:hyperlink r:id="rId1" w:history="1">
        <w:r w:rsidRPr="00B9044F" w:rsidR="00B9044F">
          <w:rPr>
            <w:rStyle w:val="Hyperlink"/>
          </w:rPr>
          <w:t>https://www.usac.org/about/reports-orders/fcc-filings/#results</w:t>
        </w:r>
      </w:hyperlink>
      <w:r w:rsidRPr="00B9044F" w:rsidR="00B9044F">
        <w:t>.</w:t>
      </w:r>
      <w:r w:rsidR="00B9044F">
        <w:t xml:space="preserve">  </w:t>
      </w:r>
      <w:r w:rsidRPr="00824D12">
        <w:t>Hayneville Telephone also</w:t>
      </w:r>
      <w:r w:rsidR="00417357">
        <w:t xml:space="preserve"> </w:t>
      </w:r>
      <w:r w:rsidRPr="00824D12">
        <w:t>participates in the Lifeline program</w:t>
      </w:r>
      <w:r w:rsidRPr="00824D12" w:rsidR="00E61C31">
        <w:t xml:space="preserve"> and will continue to do so post-consummation of the transaction.</w:t>
      </w:r>
      <w:r w:rsidRPr="00824D12">
        <w:t xml:space="preserve">  </w:t>
      </w:r>
      <w:r w:rsidR="006228D7">
        <w:t>Application</w:t>
      </w:r>
      <w:r w:rsidR="00863344">
        <w:t xml:space="preserve"> at 6-8.</w:t>
      </w:r>
      <w:r w:rsidRPr="00824D12">
        <w:t xml:space="preserve">  </w:t>
      </w:r>
      <w:r w:rsidRPr="00824D12" w:rsidR="003D5D04">
        <w:t xml:space="preserve">Cost companies are incumbent LECs that receive compensation for interstate telecommunications services based on their actual interstate investment and expenses, calculated from detailed cost studies. </w:t>
      </w:r>
      <w:r w:rsidR="002D2297">
        <w:t xml:space="preserve"> </w:t>
      </w:r>
      <w:r w:rsidRPr="00824D12" w:rsidR="003D5D04">
        <w:rPr>
          <w:i/>
          <w:iCs/>
        </w:rPr>
        <w:t xml:space="preserve">See </w:t>
      </w:r>
      <w:r w:rsidRPr="00824D12" w:rsidR="003D5D04">
        <w:rPr>
          <w:i/>
          <w:iCs/>
        </w:rPr>
        <w:t>Nemont</w:t>
      </w:r>
      <w:r w:rsidRPr="00824D12" w:rsidR="003D5D04">
        <w:rPr>
          <w:i/>
          <w:iCs/>
        </w:rPr>
        <w:t xml:space="preserve"> Telephone Cooperative, Inc., Missouri Valley Communications, Inc., Reservation Telephone Cooperative and Citizens Telecommunications Company of North Dakota</w:t>
      </w:r>
      <w:r w:rsidRPr="00824D12" w:rsidR="003D5D04">
        <w:t xml:space="preserve">, Order, 18 FCC </w:t>
      </w:r>
      <w:r w:rsidRPr="00824D12" w:rsidR="003D5D04">
        <w:t>Rcd</w:t>
      </w:r>
      <w:r w:rsidRPr="00824D12" w:rsidR="003D5D04">
        <w:t xml:space="preserve"> 838, 848, para. 27 (WCB 2003)</w:t>
      </w:r>
      <w:r w:rsidR="003D5D04">
        <w:t xml:space="preserve"> (</w:t>
      </w:r>
      <w:r w:rsidRPr="003D5D04" w:rsidR="003D5D04">
        <w:rPr>
          <w:i/>
          <w:iCs/>
        </w:rPr>
        <w:t>Nemont</w:t>
      </w:r>
      <w:r w:rsidRPr="003D5D04" w:rsidR="003D5D04">
        <w:rPr>
          <w:i/>
          <w:iCs/>
        </w:rPr>
        <w:t xml:space="preserve"> Order</w:t>
      </w:r>
      <w:r w:rsidR="003D5D04">
        <w:t>).</w:t>
      </w:r>
    </w:p>
  </w:footnote>
  <w:footnote w:id="9">
    <w:p w:rsidR="0075624D" w:rsidRPr="00824D12" w:rsidP="00824D12" w14:paraId="2BB230B7" w14:textId="5AF434BA">
      <w:pPr>
        <w:pStyle w:val="FootnoteText"/>
      </w:pPr>
      <w:r w:rsidRPr="001E6F4E">
        <w:rPr>
          <w:rStyle w:val="FootnoteReference"/>
          <w:sz w:val="20"/>
        </w:rPr>
        <w:footnoteRef/>
      </w:r>
      <w:r w:rsidRPr="00824D12">
        <w:t xml:space="preserve"> </w:t>
      </w:r>
      <w:r w:rsidR="00863344">
        <w:t>Application</w:t>
      </w:r>
      <w:r w:rsidRPr="00824D12">
        <w:t xml:space="preserve"> at 5</w:t>
      </w:r>
      <w:r w:rsidRPr="00824D12" w:rsidR="00EF17CA">
        <w:t>-6</w:t>
      </w:r>
      <w:r w:rsidRPr="00824D12">
        <w:t>, 13.</w:t>
      </w:r>
      <w:r w:rsidRPr="00824D12" w:rsidR="00EF17CA">
        <w:t xml:space="preserve">  Hayneville Fiber participates in the Lifeline program</w:t>
      </w:r>
      <w:r w:rsidRPr="00824D12" w:rsidR="00E61C31">
        <w:t xml:space="preserve"> and will continue to do so post-consummation of the transaction</w:t>
      </w:r>
      <w:r w:rsidRPr="00824D12" w:rsidR="00EF17CA">
        <w:t xml:space="preserve">. </w:t>
      </w:r>
      <w:r w:rsidRPr="00824D12" w:rsidR="00E61C31">
        <w:t xml:space="preserve"> </w:t>
      </w:r>
      <w:r w:rsidRPr="00824D12" w:rsidR="00E61C31">
        <w:rPr>
          <w:i/>
          <w:iCs/>
        </w:rPr>
        <w:t>Id</w:t>
      </w:r>
      <w:r w:rsidRPr="00824D12" w:rsidR="00E61C31">
        <w:t>. at 6-8.</w:t>
      </w:r>
    </w:p>
  </w:footnote>
  <w:footnote w:id="10">
    <w:p w:rsidR="0075624D" w:rsidRPr="00935E6A" w14:paraId="689E708D" w14:textId="77777777">
      <w:pPr>
        <w:pStyle w:val="FootnoteText"/>
      </w:pPr>
      <w:r>
        <w:rPr>
          <w:rStyle w:val="FootnoteReference"/>
        </w:rPr>
        <w:footnoteRef/>
      </w:r>
      <w:r>
        <w:t xml:space="preserve"> </w:t>
      </w:r>
      <w:r w:rsidR="00935E6A">
        <w:rPr>
          <w:i/>
          <w:iCs/>
        </w:rPr>
        <w:t>Id</w:t>
      </w:r>
      <w:r w:rsidR="00935E6A">
        <w:t>. at 5-6.</w:t>
      </w:r>
    </w:p>
  </w:footnote>
  <w:footnote w:id="11">
    <w:p w:rsidR="000C61FB" w:rsidRPr="00824D12" w:rsidP="00824D12" w14:paraId="15CF1845" w14:textId="38B9E8B6">
      <w:pPr>
        <w:pStyle w:val="FootnoteText"/>
      </w:pPr>
      <w:r w:rsidRPr="001E6F4E">
        <w:rPr>
          <w:rStyle w:val="FootnoteReference"/>
          <w:sz w:val="20"/>
        </w:rPr>
        <w:footnoteRef/>
      </w:r>
      <w:r w:rsidRPr="00824D12">
        <w:t xml:space="preserve"> </w:t>
      </w:r>
      <w:r w:rsidRPr="00824D12">
        <w:rPr>
          <w:i/>
          <w:iCs/>
        </w:rPr>
        <w:t>Id</w:t>
      </w:r>
      <w:r w:rsidRPr="00824D12">
        <w:t xml:space="preserve">. at </w:t>
      </w:r>
      <w:r w:rsidRPr="00824D12" w:rsidR="00362064">
        <w:t>3-4</w:t>
      </w:r>
      <w:r w:rsidRPr="00824D12">
        <w:t xml:space="preserve">, 11. </w:t>
      </w:r>
    </w:p>
  </w:footnote>
  <w:footnote w:id="12">
    <w:p w:rsidR="00F624ED" w:rsidRPr="00824D12" w:rsidP="00824D12" w14:paraId="13ED7BF6" w14:textId="312172A7">
      <w:pPr>
        <w:pStyle w:val="FootnoteText"/>
      </w:pPr>
      <w:r w:rsidRPr="001E6F4E">
        <w:rPr>
          <w:rStyle w:val="FootnoteReference"/>
          <w:sz w:val="20"/>
        </w:rPr>
        <w:footnoteRef/>
      </w:r>
      <w:r w:rsidRPr="00824D12">
        <w:t xml:space="preserve"> </w:t>
      </w:r>
      <w:r w:rsidRPr="00824D12">
        <w:rPr>
          <w:i/>
          <w:iCs/>
        </w:rPr>
        <w:t>Id</w:t>
      </w:r>
      <w:r w:rsidRPr="00824D12">
        <w:t xml:space="preserve">. at 4. </w:t>
      </w:r>
    </w:p>
  </w:footnote>
  <w:footnote w:id="13">
    <w:p w:rsidR="002C40F0" w:rsidRPr="00824D12" w:rsidP="00824D12" w14:paraId="69DF69C0" w14:textId="6F49B57F">
      <w:pPr>
        <w:pStyle w:val="FootnoteText"/>
      </w:pPr>
      <w:r w:rsidRPr="001E6F4E">
        <w:rPr>
          <w:rStyle w:val="FootnoteReference"/>
          <w:sz w:val="20"/>
        </w:rPr>
        <w:footnoteRef/>
      </w:r>
      <w:r w:rsidRPr="00824D12">
        <w:t xml:space="preserve"> </w:t>
      </w:r>
      <w:r w:rsidRPr="00824D12">
        <w:rPr>
          <w:i/>
          <w:iCs/>
        </w:rPr>
        <w:t>Id</w:t>
      </w:r>
      <w:r w:rsidRPr="00824D12" w:rsidR="00CC0AD0">
        <w:t>.</w:t>
      </w:r>
    </w:p>
  </w:footnote>
  <w:footnote w:id="14">
    <w:p w:rsidR="00CC0AD0" w:rsidRPr="00824D12" w:rsidP="00824D12" w14:paraId="732A2D31" w14:textId="58A84F4E">
      <w:pPr>
        <w:pStyle w:val="FootnoteText"/>
      </w:pPr>
      <w:r w:rsidRPr="001E6F4E">
        <w:rPr>
          <w:rStyle w:val="FootnoteReference"/>
          <w:sz w:val="20"/>
        </w:rPr>
        <w:footnoteRef/>
      </w:r>
      <w:r w:rsidRPr="00824D12">
        <w:t xml:space="preserve"> </w:t>
      </w:r>
      <w:r w:rsidRPr="00824D12">
        <w:rPr>
          <w:i/>
          <w:iCs/>
        </w:rPr>
        <w:t>Id</w:t>
      </w:r>
      <w:r w:rsidRPr="00824D12">
        <w:t xml:space="preserve">. at 4, </w:t>
      </w:r>
      <w:r w:rsidRPr="00824D12" w:rsidR="001F012C">
        <w:t xml:space="preserve">7. </w:t>
      </w:r>
      <w:r w:rsidRPr="00824D12" w:rsidR="00C76738">
        <w:t xml:space="preserve"> ATC also participates in the Lifeline program.  </w:t>
      </w:r>
      <w:r w:rsidRPr="00824D12" w:rsidR="00C76738">
        <w:rPr>
          <w:i/>
          <w:iCs/>
        </w:rPr>
        <w:t>Id</w:t>
      </w:r>
      <w:r w:rsidRPr="00824D12" w:rsidR="00C76738">
        <w:t xml:space="preserve">. </w:t>
      </w:r>
      <w:r w:rsidRPr="00824D12" w:rsidR="001F012C">
        <w:t xml:space="preserve"> </w:t>
      </w:r>
    </w:p>
  </w:footnote>
  <w:footnote w:id="15">
    <w:p w:rsidR="00B864EE" w:rsidRPr="00824D12" w:rsidP="00824D12" w14:paraId="6BF542C3" w14:textId="77777777">
      <w:pPr>
        <w:pStyle w:val="FootnoteText"/>
      </w:pPr>
      <w:r w:rsidRPr="001E6F4E">
        <w:rPr>
          <w:rStyle w:val="FootnoteReference"/>
          <w:sz w:val="20"/>
        </w:rPr>
        <w:footnoteRef/>
      </w:r>
      <w:r w:rsidRPr="00824D12">
        <w:t xml:space="preserve"> </w:t>
      </w:r>
      <w:r w:rsidRPr="00824D12">
        <w:rPr>
          <w:i/>
          <w:iCs/>
        </w:rPr>
        <w:t>Id</w:t>
      </w:r>
      <w:r w:rsidRPr="00824D12">
        <w:t xml:space="preserve">. at 3-4. </w:t>
      </w:r>
    </w:p>
  </w:footnote>
  <w:footnote w:id="16">
    <w:p w:rsidR="00B864EE" w:rsidRPr="00824D12" w:rsidP="00824D12" w14:paraId="244B0C23" w14:textId="4CDC7A13">
      <w:pPr>
        <w:pStyle w:val="FootnoteText"/>
      </w:pPr>
      <w:r w:rsidRPr="001E6F4E">
        <w:rPr>
          <w:rStyle w:val="FootnoteReference"/>
          <w:sz w:val="20"/>
        </w:rPr>
        <w:footnoteRef/>
      </w:r>
      <w:r w:rsidRPr="00824D12">
        <w:t xml:space="preserve"> </w:t>
      </w:r>
      <w:r w:rsidRPr="00824D12">
        <w:rPr>
          <w:i/>
          <w:iCs/>
        </w:rPr>
        <w:t>Id</w:t>
      </w:r>
      <w:r w:rsidRPr="00824D12">
        <w:t xml:space="preserve">. at 4, 7. </w:t>
      </w:r>
      <w:r w:rsidRPr="00824D12" w:rsidR="00CB6772">
        <w:t xml:space="preserve"> </w:t>
      </w:r>
    </w:p>
  </w:footnote>
  <w:footnote w:id="17">
    <w:p w:rsidR="004D7017" w14:paraId="4BAE0625" w14:textId="7C8110C0">
      <w:pPr>
        <w:pStyle w:val="FootnoteText"/>
      </w:pPr>
      <w:r>
        <w:rPr>
          <w:rStyle w:val="FootnoteReference"/>
        </w:rPr>
        <w:footnoteRef/>
      </w:r>
      <w:r>
        <w:t xml:space="preserve"> Average </w:t>
      </w:r>
      <w:r w:rsidRPr="00824D12">
        <w:t xml:space="preserve">schedule companies are those incumbent LECs that receive compensation for use of their interstate common carrier services on the basis of formulas that are designed to simulate the disbursements that would be received by a cost company that is representative of average schedule companies.  </w:t>
      </w:r>
      <w:r w:rsidRPr="00824D12">
        <w:rPr>
          <w:i/>
          <w:iCs/>
        </w:rPr>
        <w:t xml:space="preserve">See </w:t>
      </w:r>
      <w:r w:rsidRPr="00824D12">
        <w:rPr>
          <w:i/>
          <w:iCs/>
        </w:rPr>
        <w:t>Nemont</w:t>
      </w:r>
      <w:r w:rsidRPr="00824D12">
        <w:rPr>
          <w:i/>
          <w:iCs/>
        </w:rPr>
        <w:t xml:space="preserve"> </w:t>
      </w:r>
      <w:r w:rsidRPr="00F70076" w:rsidR="00B12707">
        <w:rPr>
          <w:i/>
          <w:iCs/>
        </w:rPr>
        <w:t>Order</w:t>
      </w:r>
      <w:r w:rsidR="00B12707">
        <w:t xml:space="preserve">, </w:t>
      </w:r>
      <w:r w:rsidR="00F70076">
        <w:t xml:space="preserve">18 FCC </w:t>
      </w:r>
      <w:r w:rsidR="00F70076">
        <w:t>Rcd</w:t>
      </w:r>
      <w:r w:rsidR="00F70076">
        <w:t xml:space="preserve"> at 848, para. 27.  </w:t>
      </w:r>
    </w:p>
  </w:footnote>
  <w:footnote w:id="18">
    <w:p w:rsidR="00FD4DEF" w:rsidRPr="00824D12" w:rsidP="00824D12" w14:paraId="52711A67" w14:textId="47060D72">
      <w:pPr>
        <w:pStyle w:val="FootnoteText"/>
      </w:pPr>
      <w:r w:rsidRPr="001E6F4E">
        <w:rPr>
          <w:rStyle w:val="FootnoteReference"/>
          <w:sz w:val="20"/>
        </w:rPr>
        <w:footnoteRef/>
      </w:r>
      <w:r w:rsidRPr="00824D12">
        <w:t xml:space="preserve"> </w:t>
      </w:r>
      <w:r w:rsidRPr="002C7B1A" w:rsidR="00863344">
        <w:t>Application at 4, 7</w:t>
      </w:r>
      <w:r w:rsidRPr="005D54ED">
        <w:t>.</w:t>
      </w:r>
      <w:r w:rsidR="00441272">
        <w:t xml:space="preserve">  WK&amp;T also receives HCLS.</w:t>
      </w:r>
      <w:r w:rsidRPr="00824D12">
        <w:t xml:space="preserve">  </w:t>
      </w:r>
      <w:r w:rsidRPr="00B9044F" w:rsidR="00F91B9B">
        <w:t xml:space="preserve">High Cost Support Projected by State by Study Area - 2Q2026, </w:t>
      </w:r>
      <w:hyperlink r:id="rId1" w:history="1">
        <w:r w:rsidRPr="00B9044F" w:rsidR="00F91B9B">
          <w:rPr>
            <w:rStyle w:val="Hyperlink"/>
          </w:rPr>
          <w:t>https://www.usac.org/about/reports-orders/fcc-filings/#results</w:t>
        </w:r>
      </w:hyperlink>
      <w:r w:rsidRPr="00B9044F" w:rsidR="00F91B9B">
        <w:t>.</w:t>
      </w:r>
      <w:r w:rsidR="00F91B9B">
        <w:t xml:space="preserve">  </w:t>
      </w:r>
    </w:p>
  </w:footnote>
  <w:footnote w:id="19">
    <w:p w:rsidR="00A20B9D" w:rsidRPr="00824D12" w:rsidP="00824D12" w14:paraId="3DD4A601" w14:textId="43913E7E">
      <w:pPr>
        <w:pStyle w:val="FootnoteText"/>
        <w:rPr>
          <w:iCs/>
        </w:rPr>
      </w:pPr>
      <w:r w:rsidRPr="001E6F4E">
        <w:rPr>
          <w:rStyle w:val="FootnoteReference"/>
          <w:sz w:val="20"/>
        </w:rPr>
        <w:footnoteRef/>
      </w:r>
      <w:r w:rsidRPr="00824D12">
        <w:t xml:space="preserve"> </w:t>
      </w:r>
      <w:r w:rsidRPr="00824D12">
        <w:rPr>
          <w:i/>
        </w:rPr>
        <w:t xml:space="preserve">Id.  </w:t>
      </w:r>
      <w:r w:rsidRPr="00824D12">
        <w:t>WK&amp;T also participates in the Lifeline program in the</w:t>
      </w:r>
      <w:r w:rsidRPr="00824D12" w:rsidR="007A456D">
        <w:t xml:space="preserve"> areas where it receives high-cost </w:t>
      </w:r>
      <w:r w:rsidRPr="00824D12" w:rsidR="00B46567">
        <w:t xml:space="preserve">universal service </w:t>
      </w:r>
      <w:r w:rsidRPr="00824D12" w:rsidR="007A456D">
        <w:t>support</w:t>
      </w:r>
      <w:r w:rsidRPr="00824D12">
        <w:t xml:space="preserve">.  </w:t>
      </w:r>
      <w:r w:rsidRPr="00824D12">
        <w:rPr>
          <w:i/>
          <w:iCs/>
        </w:rPr>
        <w:t>Id</w:t>
      </w:r>
      <w:r w:rsidRPr="00824D12">
        <w:t>. at 7.</w:t>
      </w:r>
    </w:p>
  </w:footnote>
  <w:footnote w:id="20">
    <w:p w:rsidR="00B349C9" w:rsidRPr="00E357C7" w:rsidP="00E357C7" w14:paraId="345676DD" w14:textId="2544477B">
      <w:pPr>
        <w:pStyle w:val="FootnoteText"/>
      </w:pPr>
      <w:r w:rsidRPr="001E6F4E">
        <w:rPr>
          <w:rStyle w:val="FootnoteReference"/>
          <w:sz w:val="20"/>
        </w:rPr>
        <w:footnoteRef/>
      </w:r>
      <w:r w:rsidRPr="00824D12">
        <w:t xml:space="preserve"> Supplement at 1</w:t>
      </w:r>
      <w:r w:rsidR="00106E3D">
        <w:t xml:space="preserve">; </w:t>
      </w:r>
      <w:r w:rsidRPr="00BC4BC5" w:rsidR="00BC4BC5">
        <w:t xml:space="preserve">National Broadband Map (NBM) data as of June 30, 2025, </w:t>
      </w:r>
      <w:hyperlink r:id="rId2" w:history="1">
        <w:r w:rsidRPr="00696E75" w:rsidR="00BC4BC5">
          <w:rPr>
            <w:rStyle w:val="Hyperlink"/>
          </w:rPr>
          <w:t>https://broadbandmap.fcc.gov/data-download/nationwide-data</w:t>
        </w:r>
      </w:hyperlink>
      <w:r w:rsidR="00BC4BC5">
        <w:t xml:space="preserve">.  </w:t>
      </w:r>
    </w:p>
  </w:footnote>
  <w:footnote w:id="21">
    <w:p w:rsidR="002C45B5" w:rsidRPr="00824D12" w:rsidP="00824D12" w14:paraId="438D291C" w14:textId="5211AECD">
      <w:pPr>
        <w:pStyle w:val="FootnoteText"/>
      </w:pPr>
      <w:r w:rsidRPr="001E6F4E">
        <w:rPr>
          <w:rStyle w:val="FootnoteReference"/>
          <w:sz w:val="20"/>
        </w:rPr>
        <w:footnoteRef/>
      </w:r>
      <w:r w:rsidRPr="00824D12">
        <w:t xml:space="preserve"> </w:t>
      </w:r>
      <w:r w:rsidRPr="00824D12" w:rsidR="00B349C9">
        <w:t>Application</w:t>
      </w:r>
      <w:r w:rsidRPr="00824D12">
        <w:t xml:space="preserve"> at</w:t>
      </w:r>
      <w:r w:rsidRPr="00824D12" w:rsidR="002D303C">
        <w:t xml:space="preserve"> 6. </w:t>
      </w:r>
    </w:p>
  </w:footnote>
  <w:footnote w:id="22">
    <w:p w:rsidR="00D614EC" w:rsidRPr="00824D12" w:rsidP="00824D12" w14:paraId="3A9950E3" w14:textId="77777777">
      <w:pPr>
        <w:pStyle w:val="FootnoteText"/>
      </w:pPr>
      <w:r w:rsidRPr="001E6F4E">
        <w:rPr>
          <w:rStyle w:val="FootnoteReference"/>
          <w:sz w:val="20"/>
        </w:rPr>
        <w:footnoteRef/>
      </w:r>
      <w:r w:rsidRPr="00824D12">
        <w:t xml:space="preserve"> </w:t>
      </w:r>
      <w:r w:rsidRPr="00824D12">
        <w:rPr>
          <w:i/>
          <w:iCs/>
        </w:rPr>
        <w:t>Id</w:t>
      </w:r>
      <w:r w:rsidRPr="00824D12">
        <w:t>.</w:t>
      </w:r>
    </w:p>
  </w:footnote>
  <w:footnote w:id="23">
    <w:p w:rsidR="00D92A33" w:rsidRPr="00824D12" w:rsidP="00824D12" w14:paraId="608C2C6E" w14:textId="0EC43452">
      <w:pPr>
        <w:pStyle w:val="FootnoteText"/>
      </w:pPr>
      <w:r w:rsidRPr="001E6F4E">
        <w:rPr>
          <w:rStyle w:val="FootnoteReference"/>
          <w:sz w:val="20"/>
        </w:rPr>
        <w:footnoteRef/>
      </w:r>
      <w:r w:rsidRPr="00824D12">
        <w:t xml:space="preserve"> </w:t>
      </w:r>
      <w:r w:rsidRPr="00824D12" w:rsidR="00794F54">
        <w:rPr>
          <w:i/>
          <w:iCs/>
        </w:rPr>
        <w:t>Id</w:t>
      </w:r>
      <w:r w:rsidRPr="00824D12" w:rsidR="00794F54">
        <w:t xml:space="preserve">. at </w:t>
      </w:r>
      <w:r w:rsidRPr="00824D12" w:rsidR="0069248D">
        <w:t>9-10.</w:t>
      </w:r>
    </w:p>
  </w:footnote>
  <w:footnote w:id="24">
    <w:p w:rsidR="003E2419" w:rsidRPr="00824D12" w:rsidP="00824D12" w14:paraId="17AC1910" w14:textId="1CC4D1C0">
      <w:pPr>
        <w:pStyle w:val="FootnoteText"/>
      </w:pPr>
      <w:r w:rsidRPr="00824D12">
        <w:rPr>
          <w:rStyle w:val="FootnoteReference"/>
          <w:sz w:val="20"/>
        </w:rPr>
        <w:footnoteRef/>
      </w:r>
      <w:r w:rsidRPr="00824D12">
        <w:t xml:space="preserve"> </w:t>
      </w:r>
      <w:r w:rsidRPr="00824D12">
        <w:rPr>
          <w:i/>
          <w:iCs/>
        </w:rPr>
        <w:t>Id</w:t>
      </w:r>
      <w:r w:rsidRPr="00824D12">
        <w:t>. at 8-9.</w:t>
      </w:r>
    </w:p>
  </w:footnote>
  <w:footnote w:id="25">
    <w:p w:rsidR="0053005D" w:rsidRPr="00824D12" w:rsidP="00824D12" w14:paraId="54028A25" w14:textId="54E8B907">
      <w:pPr>
        <w:pStyle w:val="FootnoteText"/>
      </w:pPr>
      <w:r w:rsidRPr="001E6F4E">
        <w:rPr>
          <w:rStyle w:val="FootnoteReference"/>
          <w:sz w:val="20"/>
        </w:rPr>
        <w:footnoteRef/>
      </w:r>
      <w:r w:rsidRPr="00824D12">
        <w:t xml:space="preserve"> </w:t>
      </w:r>
      <w:r w:rsidRPr="00824D12">
        <w:rPr>
          <w:i/>
          <w:iCs/>
        </w:rPr>
        <w:t>Id</w:t>
      </w:r>
      <w:r w:rsidRPr="00824D12">
        <w:t xml:space="preserve">. at </w:t>
      </w:r>
      <w:r w:rsidRPr="00824D12" w:rsidR="00D71D57">
        <w:t xml:space="preserve">7 (indicating WK&amp;T receives </w:t>
      </w:r>
      <w:r w:rsidRPr="00824D12" w:rsidR="0096036D">
        <w:t xml:space="preserve">fixed support in the form of </w:t>
      </w:r>
      <w:r w:rsidRPr="00824D12" w:rsidR="00D71D57">
        <w:t>Enhanced A-CAM and RDOF support).</w:t>
      </w:r>
    </w:p>
  </w:footnote>
  <w:footnote w:id="26">
    <w:p w:rsidR="009E12D9" w:rsidRPr="00824D12" w:rsidP="00824D12" w14:paraId="0D25D6E6" w14:textId="6DB0B1C0">
      <w:pPr>
        <w:pStyle w:val="FootnoteText"/>
        <w:rPr>
          <w:highlight w:val="yellow"/>
        </w:rPr>
      </w:pPr>
      <w:r w:rsidRPr="001E6F4E">
        <w:rPr>
          <w:rStyle w:val="FootnoteReference"/>
          <w:sz w:val="20"/>
        </w:rPr>
        <w:footnoteRef/>
      </w:r>
      <w:r w:rsidRPr="00824D12">
        <w:t xml:space="preserve"> </w:t>
      </w:r>
      <w:r w:rsidRPr="00824D12">
        <w:rPr>
          <w:i/>
          <w:iCs/>
        </w:rPr>
        <w:t>Id</w:t>
      </w:r>
      <w:r w:rsidRPr="00824D12">
        <w:t xml:space="preserve">. (indicating </w:t>
      </w:r>
      <w:r w:rsidRPr="00824D12" w:rsidR="00D71D57">
        <w:t>Hayneville Te</w:t>
      </w:r>
      <w:r w:rsidRPr="00824D12" w:rsidR="007F4087">
        <w:t xml:space="preserve">lephone receives </w:t>
      </w:r>
      <w:r w:rsidRPr="00824D12">
        <w:t>CAF BLS support</w:t>
      </w:r>
      <w:r w:rsidRPr="00824D12" w:rsidR="0096036D">
        <w:t xml:space="preserve"> as a cost company</w:t>
      </w:r>
      <w:r w:rsidRPr="00824D12">
        <w:t>)</w:t>
      </w:r>
      <w:r w:rsidR="00CD1D0F">
        <w:t xml:space="preserve">; </w:t>
      </w:r>
      <w:r w:rsidRPr="00B9044F" w:rsidR="00CD1D0F">
        <w:t xml:space="preserve">High Cost Support Projected by State by Study Area - 2Q2026, </w:t>
      </w:r>
      <w:hyperlink r:id="rId1" w:history="1">
        <w:r w:rsidRPr="00B9044F" w:rsidR="00CD1D0F">
          <w:rPr>
            <w:rStyle w:val="Hyperlink"/>
          </w:rPr>
          <w:t>https://www.usac.org/about/reports-orders/fcc-filings/#results</w:t>
        </w:r>
      </w:hyperlink>
      <w:r w:rsidR="00CD1D0F">
        <w:t xml:space="preserve"> (indicating Hayneville Telephone receives HCLS support)</w:t>
      </w:r>
      <w:r w:rsidRPr="00B9044F" w:rsidR="00CD1D0F">
        <w:t>.</w:t>
      </w:r>
      <w:r w:rsidR="00CD1D0F">
        <w:t xml:space="preserve">  </w:t>
      </w:r>
    </w:p>
  </w:footnote>
  <w:footnote w:id="27">
    <w:p w:rsidR="009E12D9" w:rsidRPr="00824D12" w:rsidP="00824D12" w14:paraId="7FB1E881" w14:textId="77777777">
      <w:pPr>
        <w:pStyle w:val="FootnoteText"/>
      </w:pPr>
      <w:r w:rsidRPr="001E6F4E">
        <w:rPr>
          <w:rStyle w:val="FootnoteReference"/>
          <w:sz w:val="20"/>
        </w:rPr>
        <w:footnoteRef/>
      </w:r>
      <w:r w:rsidRPr="00824D12">
        <w:t xml:space="preserve"> </w:t>
      </w:r>
      <w:r w:rsidRPr="00824D12">
        <w:rPr>
          <w:i/>
        </w:rPr>
        <w:t xml:space="preserve">Joint Application of W. Mansfield Jennings Limited Partnership and Hargray Communications Group, Inc. for Consent to the Transfer of Control of </w:t>
      </w:r>
      <w:r w:rsidRPr="00824D12">
        <w:rPr>
          <w:i/>
        </w:rPr>
        <w:t>ComSouth</w:t>
      </w:r>
      <w:r w:rsidRPr="00824D12">
        <w:rPr>
          <w:i/>
        </w:rPr>
        <w:t xml:space="preserve"> Corporation Pursuant to Section 214 of the Communications Act of 1934</w:t>
      </w:r>
      <w:r w:rsidRPr="00824D12">
        <w:t xml:space="preserve">, WC Docket 18-52, Memorandum Opinion and Order, 33 FCC </w:t>
      </w:r>
      <w:r w:rsidRPr="00824D12">
        <w:t>Rcd</w:t>
      </w:r>
      <w:r w:rsidRPr="00824D12">
        <w:t xml:space="preserve"> 4780, 4784, para. 19 (2018) (</w:t>
      </w:r>
      <w:r w:rsidRPr="00824D12">
        <w:rPr>
          <w:i/>
        </w:rPr>
        <w:t>Hargray/</w:t>
      </w:r>
      <w:r w:rsidRPr="00824D12">
        <w:rPr>
          <w:i/>
        </w:rPr>
        <w:t>ComSouth</w:t>
      </w:r>
      <w:r w:rsidRPr="00824D12">
        <w:rPr>
          <w:i/>
        </w:rPr>
        <w:t xml:space="preserve"> Order</w:t>
      </w:r>
      <w:r w:rsidRPr="00824D12">
        <w:t xml:space="preserve">).  </w:t>
      </w:r>
    </w:p>
  </w:footnote>
  <w:footnote w:id="28">
    <w:p w:rsidR="009E12D9" w:rsidRPr="00824D12" w:rsidP="00824D12" w14:paraId="67318A7B" w14:textId="77777777">
      <w:pPr>
        <w:pStyle w:val="FootnoteText"/>
      </w:pPr>
      <w:r w:rsidRPr="00824D12">
        <w:rPr>
          <w:rStyle w:val="FootnoteReference"/>
          <w:sz w:val="20"/>
        </w:rPr>
        <w:footnoteRef/>
      </w:r>
      <w:r w:rsidRPr="00824D12">
        <w:t xml:space="preserve"> </w:t>
      </w:r>
      <w:r w:rsidRPr="00824D12">
        <w:rPr>
          <w:i/>
        </w:rPr>
        <w:t>Id</w:t>
      </w:r>
      <w:r w:rsidRPr="00824D12">
        <w:t>. at 4785-86, para. 20.</w:t>
      </w:r>
    </w:p>
  </w:footnote>
  <w:footnote w:id="29">
    <w:p w:rsidR="009E12D9" w:rsidRPr="00824D12" w:rsidP="00824D12" w14:paraId="729A86FE" w14:textId="77777777">
      <w:pPr>
        <w:pStyle w:val="FootnoteText"/>
      </w:pPr>
      <w:r w:rsidRPr="00824D12">
        <w:rPr>
          <w:rStyle w:val="FootnoteReference"/>
          <w:sz w:val="20"/>
        </w:rPr>
        <w:footnoteRef/>
      </w:r>
      <w:r w:rsidRPr="00824D12">
        <w:t xml:space="preserve"> </w:t>
      </w:r>
      <w:r w:rsidRPr="00824D12">
        <w:rPr>
          <w:i/>
        </w:rPr>
        <w:t>Id</w:t>
      </w:r>
      <w:r w:rsidRPr="00824D12">
        <w:t>.</w:t>
      </w:r>
    </w:p>
  </w:footnote>
  <w:footnote w:id="30">
    <w:p w:rsidR="009E12D9" w:rsidRPr="00824D12" w:rsidP="00824D12" w14:paraId="2D39B736" w14:textId="77777777">
      <w:pPr>
        <w:pStyle w:val="FootnoteText"/>
      </w:pPr>
      <w:r w:rsidRPr="00824D12">
        <w:rPr>
          <w:rStyle w:val="FootnoteReference"/>
          <w:sz w:val="20"/>
        </w:rPr>
        <w:footnoteRef/>
      </w:r>
      <w:r w:rsidRPr="00824D12">
        <w:t xml:space="preserve"> </w:t>
      </w:r>
      <w:r w:rsidRPr="00824D12">
        <w:rPr>
          <w:i/>
        </w:rPr>
        <w:t>Id</w:t>
      </w:r>
      <w:r w:rsidRPr="00824D12">
        <w:t>.</w:t>
      </w:r>
    </w:p>
  </w:footnote>
  <w:footnote w:id="31">
    <w:p w:rsidR="009E12D9" w:rsidRPr="00824D12" w:rsidP="00824D12" w14:paraId="1A364CB0" w14:textId="77777777">
      <w:pPr>
        <w:pStyle w:val="FootnoteText"/>
      </w:pPr>
      <w:r w:rsidRPr="00824D12">
        <w:rPr>
          <w:rStyle w:val="FootnoteReference"/>
          <w:sz w:val="20"/>
        </w:rPr>
        <w:footnoteRef/>
      </w:r>
      <w:r w:rsidRPr="00824D12">
        <w:t xml:space="preserve"> </w:t>
      </w:r>
      <w:r w:rsidRPr="00824D12">
        <w:rPr>
          <w:i/>
        </w:rPr>
        <w:t>Id</w:t>
      </w:r>
      <w:r w:rsidRPr="00824D12">
        <w:t>. at 4786, para. 21.</w:t>
      </w:r>
    </w:p>
  </w:footnote>
  <w:footnote w:id="32">
    <w:p w:rsidR="009E12D9" w:rsidRPr="00824D12" w:rsidP="00824D12" w14:paraId="3028CD03" w14:textId="77777777">
      <w:pPr>
        <w:pStyle w:val="FootnoteText"/>
      </w:pPr>
      <w:r w:rsidRPr="00824D12">
        <w:rPr>
          <w:rStyle w:val="FootnoteReference"/>
          <w:sz w:val="20"/>
        </w:rPr>
        <w:footnoteRef/>
      </w:r>
      <w:r w:rsidRPr="00824D12">
        <w:t xml:space="preserve"> </w:t>
      </w:r>
      <w:r w:rsidRPr="00824D12">
        <w:rPr>
          <w:i/>
        </w:rPr>
        <w:t>Id</w:t>
      </w:r>
      <w:r w:rsidRPr="00824D12">
        <w:t>. at 4788-90, paras. 26-31.</w:t>
      </w:r>
    </w:p>
  </w:footnote>
  <w:footnote w:id="33">
    <w:p w:rsidR="009E12D9" w:rsidRPr="00824D12" w:rsidP="00824D12" w14:paraId="284DB419" w14:textId="43070E40">
      <w:pPr>
        <w:pStyle w:val="FootnoteText"/>
      </w:pPr>
      <w:r w:rsidRPr="001E6F4E">
        <w:rPr>
          <w:rStyle w:val="FootnoteReference"/>
          <w:sz w:val="20"/>
        </w:rPr>
        <w:footnoteRef/>
      </w:r>
      <w:r w:rsidRPr="00824D12">
        <w:t xml:space="preserve"> </w:t>
      </w:r>
      <w:r w:rsidRPr="00824D12">
        <w:rPr>
          <w:i/>
          <w:iCs/>
        </w:rPr>
        <w:t>Id.</w:t>
      </w:r>
      <w:r w:rsidRPr="00824D12">
        <w:t xml:space="preserve"> at 4789 n.72 (“We direct the Bureau to apply the condition where necessary to remedy a potential public interest harm caused by a mixed support transaction</w:t>
      </w:r>
      <w:r w:rsidRPr="00824D12">
        <w:rPr>
          <w:rFonts w:eastAsia="Calibri"/>
        </w:rPr>
        <w:t xml:space="preserve">.”); </w:t>
      </w:r>
      <w:r w:rsidRPr="00824D12">
        <w:rPr>
          <w:i/>
          <w:iCs/>
        </w:rPr>
        <w:t>see also Domestic Section 214 Application for the Transfer of Control of Lavaca Telephone Company, Inc. to Dobson Technologies Inc</w:t>
      </w:r>
      <w:r w:rsidRPr="00824D12">
        <w:t xml:space="preserve">., WC Docket No. 20-389, Order on Reconsideration, 36 FCC </w:t>
      </w:r>
      <w:r w:rsidRPr="00824D12">
        <w:t>Rcd</w:t>
      </w:r>
      <w:r w:rsidRPr="00824D12">
        <w:t xml:space="preserve"> 8859, 8864, para. 14 (2021) (reaffirming the Commission’s delegation to the Bureau to continue to apply the mixed support condition where necessary).</w:t>
      </w:r>
    </w:p>
  </w:footnote>
  <w:footnote w:id="34">
    <w:p w:rsidR="009E12D9" w:rsidRPr="00824D12" w:rsidP="00824D12" w14:paraId="4802EBEA" w14:textId="77777777">
      <w:pPr>
        <w:pStyle w:val="FootnoteText"/>
      </w:pPr>
      <w:r w:rsidRPr="00824D12">
        <w:rPr>
          <w:rStyle w:val="FootnoteReference"/>
          <w:sz w:val="20"/>
        </w:rPr>
        <w:footnoteRef/>
      </w:r>
      <w:r w:rsidRPr="00824D12">
        <w:t xml:space="preserve"> </w:t>
      </w:r>
      <w:r w:rsidRPr="00824D12">
        <w:rPr>
          <w:i/>
        </w:rPr>
        <w:t>Hargray/</w:t>
      </w:r>
      <w:r w:rsidRPr="00824D12">
        <w:rPr>
          <w:i/>
        </w:rPr>
        <w:t>ComSouth</w:t>
      </w:r>
      <w:r w:rsidRPr="00824D12">
        <w:rPr>
          <w:i/>
        </w:rPr>
        <w:t xml:space="preserve"> Order</w:t>
      </w:r>
      <w:r w:rsidRPr="00824D12">
        <w:rPr>
          <w:iCs/>
        </w:rPr>
        <w:t xml:space="preserve">, 33 FCC </w:t>
      </w:r>
      <w:r w:rsidRPr="00824D12">
        <w:rPr>
          <w:iCs/>
        </w:rPr>
        <w:t>Rcd</w:t>
      </w:r>
      <w:r w:rsidRPr="00824D12">
        <w:rPr>
          <w:iCs/>
        </w:rPr>
        <w:t xml:space="preserve"> at </w:t>
      </w:r>
      <w:r w:rsidRPr="00824D12">
        <w:t>4788-90, paras. 26-31.</w:t>
      </w:r>
    </w:p>
  </w:footnote>
  <w:footnote w:id="35">
    <w:p w:rsidR="009E12D9" w:rsidRPr="00824D12" w:rsidP="00824D12" w14:paraId="332138C4" w14:textId="4A49D5E9">
      <w:pPr>
        <w:pStyle w:val="FootnoteText"/>
        <w:rPr>
          <w:highlight w:val="yellow"/>
        </w:rPr>
      </w:pPr>
      <w:r w:rsidRPr="00824D12">
        <w:rPr>
          <w:rStyle w:val="FootnoteReference"/>
          <w:sz w:val="20"/>
        </w:rPr>
        <w:footnoteRef/>
      </w:r>
      <w:r w:rsidRPr="00824D12">
        <w:t xml:space="preserve"> </w:t>
      </w:r>
      <w:r w:rsidRPr="00824D12">
        <w:rPr>
          <w:i/>
        </w:rPr>
        <w:t>See</w:t>
      </w:r>
      <w:r w:rsidRPr="00824D12">
        <w:t xml:space="preserve"> 47 U.S.C. § 153(2).</w:t>
      </w:r>
      <w:r w:rsidRPr="00824D12" w:rsidR="006F5FE0">
        <w:t xml:space="preserve">  </w:t>
      </w:r>
      <w:r w:rsidRPr="00824D12" w:rsidR="00336AD9">
        <w:t xml:space="preserve"> </w:t>
      </w:r>
    </w:p>
  </w:footnote>
  <w:footnote w:id="36">
    <w:p w:rsidR="009E12D9" w:rsidRPr="00824D12" w:rsidP="00824D12" w14:paraId="1C8B78FE" w14:textId="2F952430">
      <w:pPr>
        <w:pStyle w:val="FootnoteText"/>
        <w:rPr>
          <w:color w:val="000000"/>
          <w:highlight w:val="yellow"/>
        </w:rPr>
      </w:pPr>
      <w:r w:rsidRPr="001E6F4E">
        <w:rPr>
          <w:rStyle w:val="FootnoteReference"/>
          <w:sz w:val="20"/>
        </w:rPr>
        <w:footnoteRef/>
      </w:r>
      <w:r w:rsidRPr="00824D12">
        <w:t xml:space="preserve"> </w:t>
      </w:r>
      <w:r w:rsidRPr="00484228" w:rsidR="00484228">
        <w:t xml:space="preserve">The cap </w:t>
      </w:r>
      <w:r w:rsidR="001E3E84">
        <w:t>applies to</w:t>
      </w:r>
      <w:r w:rsidRPr="00484228" w:rsidR="00484228">
        <w:t xml:space="preserve"> cost recovery under both CAF-BLS</w:t>
      </w:r>
      <w:r w:rsidR="00020A45">
        <w:t xml:space="preserve"> and HCLS</w:t>
      </w:r>
      <w:r w:rsidRPr="00484228" w:rsidR="00484228">
        <w:t xml:space="preserve"> and will be applied proportionately to each affiliate</w:t>
      </w:r>
      <w:r w:rsidR="00E51B0C">
        <w:t>’</w:t>
      </w:r>
      <w:r w:rsidRPr="00484228" w:rsidR="00484228">
        <w:t>s accounts used to determine the affiliate</w:t>
      </w:r>
      <w:r w:rsidR="00845795">
        <w:t>’</w:t>
      </w:r>
      <w:r w:rsidRPr="00484228" w:rsidR="00484228">
        <w:t>s eligible operating expense for HCLS and CAF-BLS</w:t>
      </w:r>
      <w:r w:rsidR="00484228">
        <w:t xml:space="preserve">.  </w:t>
      </w:r>
      <w:r w:rsidRPr="00824D12">
        <w:rPr>
          <w:i/>
          <w:color w:val="000000"/>
        </w:rPr>
        <w:t>Hargray/</w:t>
      </w:r>
      <w:r w:rsidRPr="00824D12">
        <w:rPr>
          <w:i/>
          <w:color w:val="000000"/>
        </w:rPr>
        <w:t>ComSouth</w:t>
      </w:r>
      <w:r w:rsidRPr="00824D12">
        <w:rPr>
          <w:i/>
          <w:color w:val="000000"/>
        </w:rPr>
        <w:t xml:space="preserve"> Order</w:t>
      </w:r>
      <w:r w:rsidRPr="00824D12">
        <w:rPr>
          <w:iCs/>
          <w:color w:val="000000"/>
        </w:rPr>
        <w:t xml:space="preserve">, 33 FCC </w:t>
      </w:r>
      <w:r w:rsidRPr="00824D12">
        <w:rPr>
          <w:iCs/>
          <w:color w:val="000000"/>
        </w:rPr>
        <w:t>Rcd</w:t>
      </w:r>
      <w:r w:rsidRPr="00824D12">
        <w:rPr>
          <w:iCs/>
          <w:color w:val="000000"/>
        </w:rPr>
        <w:t xml:space="preserve"> at </w:t>
      </w:r>
      <w:r w:rsidRPr="00824D12">
        <w:rPr>
          <w:color w:val="000000"/>
        </w:rPr>
        <w:t>4788-89, para</w:t>
      </w:r>
      <w:r w:rsidR="00481A5D">
        <w:rPr>
          <w:color w:val="000000"/>
        </w:rPr>
        <w:t>s</w:t>
      </w:r>
      <w:r w:rsidRPr="00824D12">
        <w:rPr>
          <w:color w:val="000000"/>
        </w:rPr>
        <w:t>. 27</w:t>
      </w:r>
      <w:r w:rsidR="00481A5D">
        <w:rPr>
          <w:color w:val="000000"/>
        </w:rPr>
        <w:t>-28</w:t>
      </w:r>
      <w:r w:rsidRPr="00824D12">
        <w:rPr>
          <w:color w:val="000000"/>
        </w:rPr>
        <w:t>.</w:t>
      </w:r>
      <w:bookmarkStart w:id="9" w:name="_Hlk171514411"/>
      <w:r w:rsidRPr="00824D12">
        <w:rPr>
          <w:color w:val="000000"/>
        </w:rPr>
        <w:t xml:space="preserve">  </w:t>
      </w:r>
      <w:bookmarkEnd w:id="9"/>
      <w:r w:rsidRPr="00824D12">
        <w:rPr>
          <w:snapToGrid w:val="0"/>
          <w:color w:val="000000"/>
          <w:kern w:val="28"/>
          <w:shd w:val="clear" w:color="auto" w:fill="FFFFFF"/>
        </w:rPr>
        <w:t xml:space="preserve">The cap will apply to the combined operating expenses of </w:t>
      </w:r>
      <w:r w:rsidRPr="00824D12" w:rsidR="00873D34">
        <w:rPr>
          <w:snapToGrid w:val="0"/>
          <w:color w:val="000000"/>
          <w:kern w:val="28"/>
          <w:shd w:val="clear" w:color="auto" w:fill="FFFFFF"/>
        </w:rPr>
        <w:t>cost company rate-of-return affiliates of</w:t>
      </w:r>
      <w:r w:rsidRPr="00824D12">
        <w:rPr>
          <w:snapToGrid w:val="0"/>
          <w:color w:val="000000"/>
          <w:kern w:val="28"/>
          <w:shd w:val="clear" w:color="auto" w:fill="FFFFFF"/>
        </w:rPr>
        <w:t xml:space="preserve"> </w:t>
      </w:r>
      <w:r w:rsidRPr="00824D12" w:rsidR="00873D34">
        <w:rPr>
          <w:snapToGrid w:val="0"/>
          <w:color w:val="000000"/>
          <w:kern w:val="28"/>
          <w:shd w:val="clear" w:color="auto" w:fill="FFFFFF"/>
        </w:rPr>
        <w:t xml:space="preserve">the </w:t>
      </w:r>
      <w:r w:rsidRPr="00824D12">
        <w:rPr>
          <w:snapToGrid w:val="0"/>
          <w:color w:val="000000"/>
          <w:kern w:val="28"/>
          <w:shd w:val="clear" w:color="auto" w:fill="FFFFFF"/>
        </w:rPr>
        <w:t xml:space="preserve">post-consummation company and any other existing rate-of-return affiliates that </w:t>
      </w:r>
      <w:r w:rsidRPr="00824D12" w:rsidR="00873D34">
        <w:rPr>
          <w:snapToGrid w:val="0"/>
          <w:color w:val="000000"/>
          <w:kern w:val="28"/>
          <w:shd w:val="clear" w:color="auto" w:fill="FFFFFF"/>
        </w:rPr>
        <w:t>it</w:t>
      </w:r>
      <w:r w:rsidRPr="00824D12">
        <w:rPr>
          <w:snapToGrid w:val="0"/>
          <w:color w:val="000000"/>
          <w:kern w:val="28"/>
          <w:shd w:val="clear" w:color="auto" w:fill="FFFFFF"/>
        </w:rPr>
        <w:t xml:space="preserve"> may acquire during the time in which the condition is in effect (together, covered entities).  To </w:t>
      </w:r>
      <w:r w:rsidRPr="00824D12" w:rsidR="00873D34">
        <w:rPr>
          <w:snapToGrid w:val="0"/>
          <w:color w:val="000000"/>
          <w:kern w:val="28"/>
          <w:shd w:val="clear" w:color="auto" w:fill="FFFFFF"/>
        </w:rPr>
        <w:t xml:space="preserve">allow </w:t>
      </w:r>
      <w:r w:rsidRPr="00824D12" w:rsidR="00F6111F">
        <w:rPr>
          <w:snapToGrid w:val="0"/>
          <w:color w:val="000000"/>
          <w:kern w:val="28"/>
          <w:shd w:val="clear" w:color="auto" w:fill="FFFFFF"/>
        </w:rPr>
        <w:t>for the</w:t>
      </w:r>
      <w:r w:rsidRPr="00824D12" w:rsidR="00873D34">
        <w:rPr>
          <w:snapToGrid w:val="0"/>
          <w:color w:val="000000"/>
          <w:kern w:val="28"/>
          <w:shd w:val="clear" w:color="auto" w:fill="FFFFFF"/>
        </w:rPr>
        <w:t xml:space="preserve"> </w:t>
      </w:r>
      <w:r w:rsidRPr="00824D12">
        <w:rPr>
          <w:snapToGrid w:val="0"/>
          <w:color w:val="000000"/>
          <w:kern w:val="28"/>
          <w:shd w:val="clear" w:color="auto" w:fill="FFFFFF"/>
        </w:rPr>
        <w:t>monitor</w:t>
      </w:r>
      <w:r w:rsidRPr="00824D12" w:rsidR="00F6111F">
        <w:rPr>
          <w:snapToGrid w:val="0"/>
          <w:color w:val="000000"/>
          <w:kern w:val="28"/>
          <w:shd w:val="clear" w:color="auto" w:fill="FFFFFF"/>
        </w:rPr>
        <w:t>ing of</w:t>
      </w:r>
      <w:r w:rsidRPr="00824D12">
        <w:rPr>
          <w:snapToGrid w:val="0"/>
          <w:color w:val="000000"/>
          <w:kern w:val="28"/>
          <w:shd w:val="clear" w:color="auto" w:fill="FFFFFF"/>
        </w:rPr>
        <w:t xml:space="preserve"> compliance with the </w:t>
      </w:r>
      <w:r w:rsidRPr="001E6F4E" w:rsidR="00B539ED">
        <w:rPr>
          <w:i/>
          <w:iCs/>
          <w:snapToGrid w:val="0"/>
          <w:color w:val="000000"/>
          <w:kern w:val="28"/>
          <w:shd w:val="clear" w:color="auto" w:fill="FFFFFF"/>
        </w:rPr>
        <w:t>Hargray/</w:t>
      </w:r>
      <w:r w:rsidRPr="001E6F4E" w:rsidR="00B539ED">
        <w:rPr>
          <w:i/>
          <w:iCs/>
          <w:snapToGrid w:val="0"/>
          <w:color w:val="000000"/>
          <w:kern w:val="28"/>
          <w:shd w:val="clear" w:color="auto" w:fill="FFFFFF"/>
        </w:rPr>
        <w:t>ComSouth</w:t>
      </w:r>
      <w:r w:rsidRPr="00824D12" w:rsidR="00B539ED">
        <w:rPr>
          <w:snapToGrid w:val="0"/>
          <w:color w:val="000000"/>
          <w:kern w:val="28"/>
          <w:shd w:val="clear" w:color="auto" w:fill="FFFFFF"/>
        </w:rPr>
        <w:t xml:space="preserve"> condition</w:t>
      </w:r>
      <w:r w:rsidRPr="00824D12">
        <w:rPr>
          <w:snapToGrid w:val="0"/>
          <w:color w:val="000000"/>
          <w:kern w:val="28"/>
          <w:shd w:val="clear" w:color="auto" w:fill="FFFFFF"/>
        </w:rPr>
        <w:t>, we direct the covered entities to submit their relevant cost data to the National Exchange Carrier Association (NECA)</w:t>
      </w:r>
      <w:r w:rsidRPr="00824D12" w:rsidR="00873D34">
        <w:rPr>
          <w:snapToGrid w:val="0"/>
          <w:color w:val="000000"/>
          <w:kern w:val="28"/>
          <w:shd w:val="clear" w:color="auto" w:fill="FFFFFF"/>
        </w:rPr>
        <w:t xml:space="preserve">, to the extent </w:t>
      </w:r>
      <w:r w:rsidRPr="00824D12" w:rsidR="009B424C">
        <w:rPr>
          <w:snapToGrid w:val="0"/>
          <w:color w:val="000000"/>
          <w:kern w:val="28"/>
          <w:shd w:val="clear" w:color="auto" w:fill="FFFFFF"/>
        </w:rPr>
        <w:t xml:space="preserve">the entities </w:t>
      </w:r>
      <w:r w:rsidR="00BC0F10">
        <w:rPr>
          <w:snapToGrid w:val="0"/>
          <w:color w:val="000000"/>
          <w:kern w:val="28"/>
          <w:shd w:val="clear" w:color="auto" w:fill="FFFFFF"/>
        </w:rPr>
        <w:t xml:space="preserve">do </w:t>
      </w:r>
      <w:r w:rsidRPr="00824D12" w:rsidR="00873D34">
        <w:rPr>
          <w:snapToGrid w:val="0"/>
          <w:color w:val="000000"/>
          <w:kern w:val="28"/>
          <w:shd w:val="clear" w:color="auto" w:fill="FFFFFF"/>
        </w:rPr>
        <w:t>not already do so</w:t>
      </w:r>
      <w:r w:rsidRPr="00824D12">
        <w:rPr>
          <w:snapToGrid w:val="0"/>
          <w:color w:val="000000"/>
          <w:kern w:val="28"/>
          <w:shd w:val="clear" w:color="auto" w:fill="FFFFFF"/>
        </w:rPr>
        <w:t xml:space="preserve">.  We direct NECA to provide the dollar amount of the operating expense costs that will be capped pursuant to this Public Notice to the Universal Service Administrative Company (USAC) within 30 days following submission of any covered entity’s cost data.  We further direct NECA to provide USAC with the reductions in CAF-BLS </w:t>
      </w:r>
      <w:r w:rsidR="00F70CFA">
        <w:rPr>
          <w:snapToGrid w:val="0"/>
          <w:color w:val="000000"/>
          <w:kern w:val="28"/>
          <w:shd w:val="clear" w:color="auto" w:fill="FFFFFF"/>
        </w:rPr>
        <w:t>and HCLS</w:t>
      </w:r>
      <w:r w:rsidRPr="00824D12">
        <w:rPr>
          <w:snapToGrid w:val="0"/>
          <w:color w:val="000000"/>
          <w:kern w:val="28"/>
          <w:shd w:val="clear" w:color="auto" w:fill="FFFFFF"/>
        </w:rPr>
        <w:t xml:space="preserve"> for any covered entity pursuant to this Public Notice for each year following the effective date of this Public Notice.  USAC shall validate all calculations received from NECA before making disbursements subject to any such support reductions.  We also direct all covered entities to provide USAC with an annual certification of compliance on or before December 31 of each year for the duration of the condition.  With the certification, each covered entity must also submit its latest audited </w:t>
      </w:r>
      <w:r w:rsidRPr="009F4C3D">
        <w:rPr>
          <w:snapToGrid w:val="0"/>
          <w:color w:val="000000"/>
          <w:kern w:val="28"/>
          <w:shd w:val="clear" w:color="auto" w:fill="FFFFFF"/>
        </w:rPr>
        <w:t xml:space="preserve">financial statements to USAC, including all notes and consolidating statements, on an annual basis, by December 31 of each year.  </w:t>
      </w:r>
      <w:r w:rsidRPr="009F4C3D">
        <w:rPr>
          <w:i/>
          <w:iCs/>
          <w:snapToGrid w:val="0"/>
          <w:color w:val="000000"/>
          <w:kern w:val="28"/>
          <w:bdr w:val="none" w:sz="0" w:space="0" w:color="auto" w:frame="1"/>
          <w:shd w:val="clear" w:color="auto" w:fill="FFFFFF"/>
        </w:rPr>
        <w:t>Id.</w:t>
      </w:r>
      <w:r w:rsidRPr="009F4C3D">
        <w:rPr>
          <w:snapToGrid w:val="0"/>
          <w:color w:val="000000"/>
          <w:kern w:val="28"/>
          <w:bdr w:val="none" w:sz="0" w:space="0" w:color="auto" w:frame="1"/>
          <w:shd w:val="clear" w:color="auto" w:fill="FFFFFF"/>
        </w:rPr>
        <w:t> at 4790</w:t>
      </w:r>
      <w:r w:rsidRPr="009F4C3D">
        <w:rPr>
          <w:snapToGrid w:val="0"/>
          <w:color w:val="000000"/>
          <w:kern w:val="28"/>
          <w:shd w:val="clear" w:color="auto" w:fill="FFFFFF"/>
        </w:rPr>
        <w:t xml:space="preserve">, para. 31.  </w:t>
      </w:r>
      <w:r w:rsidRPr="009F4C3D">
        <w:rPr>
          <w:color w:val="000000"/>
        </w:rPr>
        <w:t>The cap will apply to cost recovery under CAF-BLS</w:t>
      </w:r>
      <w:r w:rsidRPr="009F4C3D" w:rsidR="00F70CFA">
        <w:rPr>
          <w:color w:val="000000"/>
        </w:rPr>
        <w:t xml:space="preserve"> and HCLS</w:t>
      </w:r>
      <w:r w:rsidRPr="009F4C3D">
        <w:rPr>
          <w:color w:val="000000"/>
        </w:rPr>
        <w:t xml:space="preserve"> and will be applied proportionately to each affiliate’s accounts</w:t>
      </w:r>
      <w:r w:rsidRPr="00824D12">
        <w:rPr>
          <w:color w:val="000000"/>
        </w:rPr>
        <w:t xml:space="preserve"> used to determine the affiliate’s eligible operating expense for CAF-BLS</w:t>
      </w:r>
      <w:r w:rsidR="00F70CFA">
        <w:rPr>
          <w:color w:val="000000"/>
        </w:rPr>
        <w:t xml:space="preserve"> and for HCLS</w:t>
      </w:r>
      <w:r w:rsidRPr="00824D12">
        <w:rPr>
          <w:color w:val="000000"/>
        </w:rPr>
        <w:t xml:space="preserve">.  For example, if the cap requires that a post-consummation company’s eligible operating expense be reduced by 10%, then each account used to determine each rate-of-return affiliate’s eligible operating expenses shall be reduced by 10%.  For purposes of this cap, operating expenses shall include maintenance, network support/network operations/general, benefits, rent expenses, and corporate operations, while depreciation, return on investment, and taxes shall be excluded.  </w:t>
      </w:r>
      <w:r w:rsidRPr="00824D12">
        <w:rPr>
          <w:i/>
          <w:iCs/>
          <w:color w:val="000000"/>
        </w:rPr>
        <w:t xml:space="preserve">See id. </w:t>
      </w:r>
      <w:r w:rsidRPr="00824D12">
        <w:rPr>
          <w:color w:val="000000"/>
        </w:rPr>
        <w:t>at 4789, para. 28.  For all covered entities, the new cap shall also include an annual adjustment for inflation based on the Gross Domestic Product-Channel Price Index (GDP-CPI) for the years in which the new cap remains in effect.</w:t>
      </w:r>
      <w:r w:rsidRPr="00824D12">
        <w:rPr>
          <w:color w:val="000000"/>
          <w:vertAlign w:val="superscript"/>
        </w:rPr>
        <w:t xml:space="preserve">  </w:t>
      </w:r>
      <w:r w:rsidRPr="00824D12">
        <w:rPr>
          <w:i/>
          <w:color w:val="000000"/>
        </w:rPr>
        <w:t>Id.</w:t>
      </w:r>
      <w:r w:rsidRPr="00824D12">
        <w:rPr>
          <w:color w:val="000000"/>
        </w:rPr>
        <w:t xml:space="preserve"> at 4790, para. 30.</w:t>
      </w:r>
      <w:r w:rsidRPr="00824D12">
        <w:rPr>
          <w:rStyle w:val="CommentReference"/>
          <w:color w:val="000000"/>
          <w:sz w:val="20"/>
          <w:szCs w:val="20"/>
        </w:rPr>
        <w:t xml:space="preserve">  </w:t>
      </w:r>
      <w:r w:rsidRPr="00824D12" w:rsidR="000D0395">
        <w:rPr>
          <w:rStyle w:val="CommentReference"/>
          <w:color w:val="000000"/>
          <w:sz w:val="20"/>
          <w:szCs w:val="20"/>
        </w:rPr>
        <w:t xml:space="preserve">Synergy </w:t>
      </w:r>
      <w:r w:rsidRPr="00824D12">
        <w:rPr>
          <w:rStyle w:val="CommentReference"/>
          <w:color w:val="000000"/>
          <w:sz w:val="20"/>
          <w:szCs w:val="20"/>
        </w:rPr>
        <w:t xml:space="preserve">acknowledges its obligation to comply with the </w:t>
      </w:r>
      <w:r w:rsidRPr="001E6F4E">
        <w:rPr>
          <w:rStyle w:val="CommentReference"/>
          <w:i/>
          <w:iCs/>
          <w:color w:val="000000"/>
          <w:sz w:val="20"/>
          <w:szCs w:val="20"/>
        </w:rPr>
        <w:t>Hargray</w:t>
      </w:r>
      <w:r w:rsidRPr="001E6F4E" w:rsidR="007712A3">
        <w:rPr>
          <w:rStyle w:val="CommentReference"/>
          <w:i/>
          <w:iCs/>
          <w:color w:val="000000"/>
          <w:sz w:val="20"/>
          <w:szCs w:val="20"/>
        </w:rPr>
        <w:t>/</w:t>
      </w:r>
      <w:r w:rsidRPr="001E6F4E" w:rsidR="007712A3">
        <w:rPr>
          <w:rStyle w:val="CommentReference"/>
          <w:i/>
          <w:iCs/>
          <w:color w:val="000000"/>
          <w:sz w:val="20"/>
          <w:szCs w:val="20"/>
        </w:rPr>
        <w:t>Com</w:t>
      </w:r>
      <w:r w:rsidRPr="001E6F4E" w:rsidR="00021B6D">
        <w:rPr>
          <w:rStyle w:val="CommentReference"/>
          <w:i/>
          <w:iCs/>
          <w:color w:val="000000"/>
          <w:sz w:val="20"/>
          <w:szCs w:val="20"/>
        </w:rPr>
        <w:t>S</w:t>
      </w:r>
      <w:r w:rsidRPr="001E6F4E" w:rsidR="007712A3">
        <w:rPr>
          <w:rStyle w:val="CommentReference"/>
          <w:i/>
          <w:iCs/>
          <w:color w:val="000000"/>
          <w:sz w:val="20"/>
          <w:szCs w:val="20"/>
        </w:rPr>
        <w:t>outh</w:t>
      </w:r>
      <w:r w:rsidRPr="007712A3">
        <w:rPr>
          <w:rStyle w:val="CommentReference"/>
          <w:color w:val="000000"/>
          <w:sz w:val="20"/>
          <w:szCs w:val="20"/>
        </w:rPr>
        <w:t xml:space="preserve"> condition</w:t>
      </w:r>
      <w:r w:rsidRPr="00824D12">
        <w:rPr>
          <w:rStyle w:val="CommentReference"/>
          <w:color w:val="000000"/>
          <w:sz w:val="20"/>
          <w:szCs w:val="20"/>
        </w:rPr>
        <w:t xml:space="preserve">.  </w:t>
      </w:r>
      <w:r w:rsidR="006E04D7">
        <w:rPr>
          <w:rStyle w:val="CommentReference"/>
          <w:i/>
          <w:iCs/>
          <w:color w:val="000000"/>
          <w:sz w:val="20"/>
          <w:szCs w:val="20"/>
        </w:rPr>
        <w:t xml:space="preserve">See </w:t>
      </w:r>
      <w:r w:rsidRPr="00824D12">
        <w:rPr>
          <w:rStyle w:val="CommentReference"/>
          <w:color w:val="000000"/>
          <w:sz w:val="20"/>
          <w:szCs w:val="20"/>
        </w:rPr>
        <w:t xml:space="preserve">Application at </w:t>
      </w:r>
      <w:r w:rsidR="00A56A46">
        <w:rPr>
          <w:rStyle w:val="CommentReference"/>
          <w:color w:val="000000"/>
          <w:sz w:val="20"/>
          <w:szCs w:val="20"/>
        </w:rPr>
        <w:t>8-</w:t>
      </w:r>
      <w:r w:rsidRPr="00824D12">
        <w:rPr>
          <w:rStyle w:val="CommentReference"/>
          <w:color w:val="000000"/>
          <w:sz w:val="20"/>
          <w:szCs w:val="20"/>
        </w:rPr>
        <w:t>9.</w:t>
      </w:r>
    </w:p>
  </w:footnote>
  <w:footnote w:id="37">
    <w:p w:rsidR="009E12D9" w:rsidRPr="00824D12" w:rsidP="00824D12" w14:paraId="2DAD6E2F" w14:textId="433E3257">
      <w:pPr>
        <w:pStyle w:val="FootnoteText"/>
      </w:pPr>
      <w:r w:rsidRPr="00824D12">
        <w:rPr>
          <w:rStyle w:val="FootnoteReference"/>
          <w:sz w:val="20"/>
        </w:rPr>
        <w:footnoteRef/>
      </w:r>
      <w:r w:rsidRPr="00824D12">
        <w:t xml:space="preserve"> The Commission found seven years to be an appropriate period over which to monitor enforcement of the condition and to ensure that the combined entity, which will continue to receive support, does not shift costs from year-to-year.  </w:t>
      </w:r>
      <w:r w:rsidRPr="00824D12">
        <w:rPr>
          <w:i/>
          <w:color w:val="000000"/>
        </w:rPr>
        <w:t>Hargray/</w:t>
      </w:r>
      <w:r w:rsidRPr="00824D12">
        <w:rPr>
          <w:i/>
          <w:color w:val="000000"/>
        </w:rPr>
        <w:t>ComSouth</w:t>
      </w:r>
      <w:r w:rsidRPr="00824D12">
        <w:rPr>
          <w:i/>
          <w:color w:val="000000"/>
        </w:rPr>
        <w:t xml:space="preserve"> Order</w:t>
      </w:r>
      <w:r w:rsidRPr="00824D12">
        <w:rPr>
          <w:iCs/>
          <w:color w:val="000000"/>
        </w:rPr>
        <w:t xml:space="preserve">, 33 FCC </w:t>
      </w:r>
      <w:r w:rsidRPr="00824D12">
        <w:rPr>
          <w:iCs/>
          <w:color w:val="000000"/>
        </w:rPr>
        <w:t>Rcd</w:t>
      </w:r>
      <w:r w:rsidRPr="00824D12">
        <w:rPr>
          <w:iCs/>
          <w:color w:val="000000"/>
        </w:rPr>
        <w:t xml:space="preserve"> at </w:t>
      </w:r>
      <w:r w:rsidRPr="00824D12">
        <w:t xml:space="preserve">4789-90, para. 29 n.78.  </w:t>
      </w:r>
    </w:p>
  </w:footnote>
  <w:footnote w:id="38">
    <w:p w:rsidR="00572053" w:rsidRPr="00824D12" w:rsidP="00572053" w14:paraId="284CEFC3" w14:textId="1AD59016">
      <w:pPr>
        <w:pStyle w:val="FootnoteText"/>
      </w:pPr>
      <w:r w:rsidRPr="00824D12">
        <w:rPr>
          <w:rStyle w:val="FootnoteReference"/>
          <w:sz w:val="20"/>
        </w:rPr>
        <w:footnoteRef/>
      </w:r>
      <w:r w:rsidRPr="00824D12">
        <w:t xml:space="preserve"> The potential conversion of an average schedule company to a cost company constitutes a transaction</w:t>
      </w:r>
      <w:r w:rsidR="00863F6B">
        <w:t>-</w:t>
      </w:r>
      <w:r w:rsidRPr="00824D12">
        <w:t xml:space="preserve">specific harm because the conversion would </w:t>
      </w:r>
      <w:r w:rsidRPr="00C63E8F">
        <w:t xml:space="preserve">trigger </w:t>
      </w:r>
      <w:r w:rsidRPr="002C7B1A">
        <w:t>anew</w:t>
      </w:r>
      <w:r w:rsidRPr="00824D12">
        <w:t xml:space="preserve"> the cost shifting incentives that the </w:t>
      </w:r>
      <w:r w:rsidRPr="00E80120">
        <w:rPr>
          <w:i/>
          <w:iCs/>
        </w:rPr>
        <w:t>Hargray/</w:t>
      </w:r>
      <w:r w:rsidRPr="00E80120">
        <w:rPr>
          <w:i/>
          <w:iCs/>
        </w:rPr>
        <w:t>ComSouth</w:t>
      </w:r>
      <w:r w:rsidRPr="00824D12">
        <w:t xml:space="preserve"> condition was designed to limit, a potential that the Commission expressly recognized in the </w:t>
      </w:r>
      <w:r w:rsidRPr="00824D12">
        <w:rPr>
          <w:i/>
          <w:iCs/>
        </w:rPr>
        <w:t>Hargray/</w:t>
      </w:r>
      <w:r w:rsidRPr="00824D12">
        <w:rPr>
          <w:i/>
          <w:iCs/>
        </w:rPr>
        <w:t>ComSouth</w:t>
      </w:r>
      <w:r w:rsidRPr="00824D12">
        <w:t xml:space="preserve"> </w:t>
      </w:r>
      <w:r w:rsidRPr="00824D12">
        <w:rPr>
          <w:i/>
          <w:iCs/>
        </w:rPr>
        <w:t>Order</w:t>
      </w:r>
      <w:r w:rsidRPr="00824D12">
        <w:t xml:space="preserve">.  </w:t>
      </w:r>
      <w:r w:rsidRPr="00824D12">
        <w:rPr>
          <w:i/>
          <w:iCs/>
        </w:rPr>
        <w:t>Hargray/</w:t>
      </w:r>
      <w:r w:rsidRPr="00824D12">
        <w:rPr>
          <w:i/>
          <w:iCs/>
        </w:rPr>
        <w:t>ComSouth</w:t>
      </w:r>
      <w:r w:rsidRPr="00824D12">
        <w:rPr>
          <w:i/>
          <w:iCs/>
        </w:rPr>
        <w:t xml:space="preserve"> Order</w:t>
      </w:r>
      <w:r w:rsidRPr="00824D12">
        <w:t xml:space="preserve">, 33 FCC </w:t>
      </w:r>
      <w:r w:rsidRPr="00824D12">
        <w:t>Rcd</w:t>
      </w:r>
      <w:r w:rsidRPr="00824D12">
        <w:t xml:space="preserve"> at 4789 n.72 (directing the Bureau “to apply the condition where necessary to remedy a potential public interest harm caused by a mixed support transaction,” and “to a merger between an average schedule company and a model-based support company, and in such cases the condition would be triggered if the average schedule company converts to a cost company.”); </w:t>
      </w:r>
      <w:r w:rsidRPr="00824D12">
        <w:rPr>
          <w:i/>
          <w:iCs/>
        </w:rPr>
        <w:t>see Domestic Section 214 Applications Granted Subject to Condition</w:t>
      </w:r>
      <w:r w:rsidRPr="00824D12">
        <w:t xml:space="preserve">, WC Docket Nos. 17-101, 17-365, 18-68, 18-94, 18-95, 18-177, Public Notice, 33 FCC </w:t>
      </w:r>
      <w:r w:rsidRPr="00824D12">
        <w:t>Rcd</w:t>
      </w:r>
      <w:r w:rsidRPr="00824D12">
        <w:t xml:space="preserve"> 6784, 6787-88 (WCB 2018) (granting, subject to the </w:t>
      </w:r>
      <w:r w:rsidRPr="00E80120">
        <w:rPr>
          <w:i/>
          <w:iCs/>
        </w:rPr>
        <w:t>Hargray/</w:t>
      </w:r>
      <w:r w:rsidRPr="00E80120">
        <w:rPr>
          <w:i/>
          <w:iCs/>
        </w:rPr>
        <w:t>ComSouth</w:t>
      </w:r>
      <w:r w:rsidRPr="00824D12">
        <w:t xml:space="preserve"> condition, transfers of control involving average schedule companies and </w:t>
      </w:r>
      <w:r w:rsidR="002C1F22">
        <w:t>fixed</w:t>
      </w:r>
      <w:r w:rsidRPr="00824D12">
        <w:t xml:space="preserve"> support companies) (</w:t>
      </w:r>
      <w:r w:rsidRPr="00824D12">
        <w:rPr>
          <w:i/>
          <w:iCs/>
        </w:rPr>
        <w:t>Average Schedule Grant Public Notice</w:t>
      </w:r>
      <w:r w:rsidRPr="00824D12">
        <w:t xml:space="preserve">).  </w:t>
      </w:r>
    </w:p>
  </w:footnote>
  <w:footnote w:id="39">
    <w:p w:rsidR="00572053" w14:paraId="50917A02" w14:textId="50C01330">
      <w:pPr>
        <w:pStyle w:val="FootnoteText"/>
      </w:pPr>
      <w:r>
        <w:rPr>
          <w:rStyle w:val="FootnoteReference"/>
        </w:rPr>
        <w:footnoteRef/>
      </w:r>
      <w:r>
        <w:t xml:space="preserve"> </w:t>
      </w:r>
      <w:r w:rsidRPr="005E61A5" w:rsidR="005E61A5">
        <w:t xml:space="preserve">If it has not previously done so, </w:t>
      </w:r>
      <w:r w:rsidR="002C1F22">
        <w:t>WK&amp;T</w:t>
      </w:r>
      <w:r w:rsidRPr="005E61A5" w:rsidR="005E61A5">
        <w:t xml:space="preserve">, if it becomes a newly converted cost company, must submit its prior three years of operating expense data to the National Exchange Carrier Association (NECA).  NECA will then (1) validate and calculate that company’s average operating expense for those three years and (2) combine this three-year averaged capped operating expense with the current year’s inflation-adjusted operating expense data of any other affiliated cost companies to calculate the new total combined operating expense at which the newly converted and other cost-company affiliates will be capped.  The new combined, capped operating expense will then be applied to determine HCLS and CAF-BLS.  If the actual three-year operating expense average cannot be calculated for the newly converted cost company, NECA, in consultation with the Bureau, will use estimates based on NECA’s average schedule support formula.  </w:t>
      </w:r>
      <w:r w:rsidRPr="005E61A5" w:rsidR="005E61A5">
        <w:rPr>
          <w:i/>
          <w:iCs/>
        </w:rPr>
        <w:t>See Average Schedule Grant Public Notice</w:t>
      </w:r>
      <w:r w:rsidRPr="005E61A5" w:rsidR="005E61A5">
        <w:t xml:space="preserve">, 33 FCC </w:t>
      </w:r>
      <w:r w:rsidRPr="005E61A5" w:rsidR="005E61A5">
        <w:t>Rcd</w:t>
      </w:r>
      <w:r w:rsidRPr="005E61A5" w:rsidR="005E61A5">
        <w:t xml:space="preserve"> at 6788, n.31; </w:t>
      </w:r>
      <w:r w:rsidRPr="005E61A5" w:rsidR="005E61A5">
        <w:rPr>
          <w:i/>
          <w:iCs/>
        </w:rPr>
        <w:t>Domestic Section 214 Application Granted Subject to Condition</w:t>
      </w:r>
      <w:r w:rsidRPr="005E61A5" w:rsidR="005E61A5">
        <w:t xml:space="preserve">, WC Docket No. 18-129, Public Notice, 33 FCC </w:t>
      </w:r>
      <w:r w:rsidRPr="005E61A5" w:rsidR="005E61A5">
        <w:t>Rcd</w:t>
      </w:r>
      <w:r w:rsidRPr="005E61A5" w:rsidR="005E61A5">
        <w:t xml:space="preserve"> 8087, 8089, n.15 (WCB 2018) (granting, subject to the </w:t>
      </w:r>
      <w:r w:rsidRPr="00E80120" w:rsidR="005E61A5">
        <w:rPr>
          <w:i/>
          <w:iCs/>
        </w:rPr>
        <w:t>Hargray/</w:t>
      </w:r>
      <w:r w:rsidRPr="00E80120" w:rsidR="005E61A5">
        <w:rPr>
          <w:i/>
          <w:iCs/>
        </w:rPr>
        <w:t>ComSouth</w:t>
      </w:r>
      <w:r w:rsidRPr="005E61A5" w:rsidR="005E61A5">
        <w:t xml:space="preserve"> condition, the transfer of Hospers Telephone Exchange, Inc. d/b/a HTC Communications, an average schedule company, to Mutual Telephone Company of Sioux Center Iowa d/b/a Premier Communications, which owns both cost-based and fixed</w:t>
      </w:r>
      <w:r w:rsidR="00F25527">
        <w:t xml:space="preserve"> </w:t>
      </w:r>
      <w:r w:rsidRPr="005E61A5" w:rsidR="005E61A5">
        <w:t xml:space="preserve">support companies).  </w:t>
      </w:r>
    </w:p>
  </w:footnote>
  <w:footnote w:id="40">
    <w:p w:rsidR="009E12D9" w:rsidRPr="00824D12" w:rsidP="00824D12" w14:paraId="7168C69B" w14:textId="4C52E0BB">
      <w:pPr>
        <w:pStyle w:val="FootnoteText"/>
      </w:pPr>
      <w:r w:rsidRPr="00824D12">
        <w:rPr>
          <w:rStyle w:val="FootnoteReference"/>
          <w:sz w:val="20"/>
        </w:rPr>
        <w:footnoteRef/>
      </w:r>
      <w:r w:rsidRPr="00824D12">
        <w:t xml:space="preserve"> </w:t>
      </w:r>
      <w:r w:rsidRPr="00824D12" w:rsidR="00311A88">
        <w:rPr>
          <w:i/>
          <w:color w:val="000000"/>
        </w:rPr>
        <w:t>Hargray/</w:t>
      </w:r>
      <w:r w:rsidRPr="00824D12" w:rsidR="00311A88">
        <w:rPr>
          <w:i/>
          <w:color w:val="000000"/>
        </w:rPr>
        <w:t>ComSouth</w:t>
      </w:r>
      <w:r w:rsidRPr="00824D12" w:rsidR="00311A88">
        <w:rPr>
          <w:i/>
          <w:color w:val="000000"/>
        </w:rPr>
        <w:t xml:space="preserve"> Order</w:t>
      </w:r>
      <w:r w:rsidRPr="00824D12" w:rsidR="00311A88">
        <w:rPr>
          <w:iCs/>
          <w:color w:val="000000"/>
        </w:rPr>
        <w:t xml:space="preserve">, 33 FCC </w:t>
      </w:r>
      <w:r w:rsidRPr="00824D12" w:rsidR="00311A88">
        <w:rPr>
          <w:iCs/>
          <w:color w:val="000000"/>
        </w:rPr>
        <w:t>Rcd</w:t>
      </w:r>
      <w:r w:rsidRPr="00E80120" w:rsidR="00311A88">
        <w:rPr>
          <w:color w:val="000000"/>
        </w:rPr>
        <w:t xml:space="preserve"> at </w:t>
      </w:r>
      <w:r w:rsidRPr="00824D12">
        <w:t>4789-90, para. 29.</w:t>
      </w:r>
    </w:p>
  </w:footnote>
  <w:footnote w:id="41">
    <w:p w:rsidR="0075209B" w:rsidRPr="00824D12" w:rsidP="00824D12" w14:paraId="5D82F2B5" w14:textId="6664CDFC">
      <w:pPr>
        <w:pStyle w:val="FootnoteText"/>
        <w:rPr>
          <w:iCs/>
          <w:color w:val="212121"/>
        </w:rPr>
      </w:pPr>
      <w:r w:rsidRPr="00E80120">
        <w:rPr>
          <w:rStyle w:val="FootnoteReference"/>
          <w:sz w:val="20"/>
        </w:rPr>
        <w:footnoteRef/>
      </w:r>
      <w:r w:rsidRPr="00824D12">
        <w:t xml:space="preserve"> </w:t>
      </w:r>
      <w:r w:rsidRPr="00824D12">
        <w:rPr>
          <w:i/>
        </w:rPr>
        <w:t xml:space="preserve">See </w:t>
      </w:r>
      <w:r w:rsidRPr="00824D12">
        <w:rPr>
          <w:iCs/>
        </w:rPr>
        <w:t xml:space="preserve">47 U.S.C. § 214(a).  </w:t>
      </w:r>
    </w:p>
  </w:footnote>
  <w:footnote w:id="42">
    <w:p w:rsidR="0075209B" w:rsidRPr="00824D12" w:rsidP="00824D12" w14:paraId="12A25BA5" w14:textId="7929BF3A">
      <w:pPr>
        <w:pStyle w:val="FootnoteText"/>
      </w:pPr>
      <w:r w:rsidRPr="00E80120">
        <w:rPr>
          <w:rStyle w:val="FootnoteReference"/>
          <w:sz w:val="20"/>
        </w:rPr>
        <w:footnoteRef/>
      </w:r>
      <w:r w:rsidRPr="00824D12">
        <w:t xml:space="preserve"> We direct Applicants to submi</w:t>
      </w:r>
      <w:r w:rsidRPr="00824D12" w:rsidR="00545753">
        <w:t>t</w:t>
      </w:r>
      <w:r w:rsidRPr="00824D12">
        <w:t xml:space="preserve"> in the domestic section 214 docket a notice that the proposed transaction has closed with the consummation date</w:t>
      </w:r>
      <w:r w:rsidRPr="00824D12" w:rsidR="00545753">
        <w:t xml:space="preserve"> </w:t>
      </w:r>
      <w:r w:rsidRPr="00824D12">
        <w:t xml:space="preserve">and also provide a courtesy copy of the notice to </w:t>
      </w:r>
      <w:hyperlink r:id="rId3" w:history="1">
        <w:r w:rsidRPr="00824D12">
          <w:rPr>
            <w:rStyle w:val="Hyperlink"/>
          </w:rPr>
          <w:t>hcinfo@usac.org</w:t>
        </w:r>
      </w:hyperlink>
      <w:r w:rsidRPr="00824D12">
        <w:t xml:space="preserve">.  Applicants must </w:t>
      </w:r>
      <w:r w:rsidRPr="00824D12" w:rsidR="00545753">
        <w:t xml:space="preserve">also </w:t>
      </w:r>
      <w:r w:rsidRPr="00824D12">
        <w:t xml:space="preserve">submit a copy of the consummation notice via email to </w:t>
      </w:r>
      <w:hyperlink r:id="rId4" w:history="1">
        <w:r w:rsidRPr="00824D12" w:rsidR="005B0341">
          <w:rPr>
            <w:rStyle w:val="Hyperlink"/>
          </w:rPr>
          <w:t>Megan.Danner@fcc.gov</w:t>
        </w:r>
      </w:hyperlink>
      <w:r w:rsidRPr="00824D12">
        <w:t xml:space="preserve"> and </w:t>
      </w:r>
      <w:hyperlink r:id="rId5" w:history="1">
        <w:r w:rsidRPr="00824D12">
          <w:rPr>
            <w:rStyle w:val="Hyperlink"/>
          </w:rPr>
          <w:t>Nissa.Laughner@fcc.gov</w:t>
        </w:r>
      </w:hyperlink>
      <w:r w:rsidRPr="00824D12">
        <w:t>.</w:t>
      </w:r>
      <w:r w:rsidRPr="00824D12" w:rsidR="00442662">
        <w:t xml:space="preserve"> </w:t>
      </w:r>
      <w:r w:rsidR="008726E5">
        <w:t xml:space="preserve"> </w:t>
      </w:r>
      <w:r w:rsidRPr="00824D12" w:rsidR="00545753">
        <w:t xml:space="preserve">These filings must be submitted within 30 days of the consummation.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16FA3A7" w14:textId="2FBDF930">
    <w:pPr>
      <w:tabs>
        <w:tab w:val="center" w:pos="4680"/>
        <w:tab w:val="right" w:pos="9360"/>
      </w:tabs>
    </w:pPr>
    <w:r>
      <w:rPr>
        <w:b/>
      </w:rPr>
      <w:tab/>
      <w:t>Federal Communications Commission</w:t>
    </w:r>
    <w:r>
      <w:rPr>
        <w:b/>
      </w:rPr>
      <w:tab/>
    </w:r>
    <w:r w:rsidR="00227BA1">
      <w:rPr>
        <w:b/>
      </w:rPr>
      <w:t>DA 2</w:t>
    </w:r>
    <w:r w:rsidR="00272119">
      <w:rPr>
        <w:b/>
      </w:rPr>
      <w:t>6</w:t>
    </w:r>
    <w:r w:rsidR="00227BA1">
      <w:rPr>
        <w:b/>
      </w:rPr>
      <w:t>-</w:t>
    </w:r>
    <w:r w:rsidR="00D13BEB">
      <w:rPr>
        <w:b/>
      </w:rPr>
      <w:t>195</w:t>
    </w:r>
  </w:p>
  <w:p w:rsidR="00BA3BA8" w14:paraId="62E64237"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6871E42"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3F4F6A3D"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7">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6"/>
  </w:num>
  <w:num w:numId="3" w16cid:durableId="528419151">
    <w:abstractNumId w:val="4"/>
  </w:num>
  <w:num w:numId="4" w16cid:durableId="1245721454">
    <w:abstractNumId w:val="5"/>
  </w:num>
  <w:num w:numId="5" w16cid:durableId="1255556118">
    <w:abstractNumId w:val="3"/>
  </w:num>
  <w:num w:numId="6" w16cid:durableId="1286346123">
    <w:abstractNumId w:val="0"/>
  </w:num>
  <w:num w:numId="7" w16cid:durableId="2096245613">
    <w:abstractNumId w:val="7"/>
  </w:num>
  <w:num w:numId="8" w16cid:durableId="823476080">
    <w:abstractNumId w:val="1"/>
  </w:num>
  <w:num w:numId="9" w16cid:durableId="18316030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ED4"/>
    <w:rsid w:val="00002E10"/>
    <w:rsid w:val="00011507"/>
    <w:rsid w:val="00014786"/>
    <w:rsid w:val="00014A53"/>
    <w:rsid w:val="000209D7"/>
    <w:rsid w:val="00020A45"/>
    <w:rsid w:val="00020D51"/>
    <w:rsid w:val="00021B6D"/>
    <w:rsid w:val="00022B24"/>
    <w:rsid w:val="00024DE5"/>
    <w:rsid w:val="00027C50"/>
    <w:rsid w:val="00030F08"/>
    <w:rsid w:val="000322BB"/>
    <w:rsid w:val="0003236E"/>
    <w:rsid w:val="000330AA"/>
    <w:rsid w:val="00034155"/>
    <w:rsid w:val="000360F7"/>
    <w:rsid w:val="00036257"/>
    <w:rsid w:val="000408A9"/>
    <w:rsid w:val="000418CB"/>
    <w:rsid w:val="00043E3A"/>
    <w:rsid w:val="0004692B"/>
    <w:rsid w:val="0004701B"/>
    <w:rsid w:val="000532D2"/>
    <w:rsid w:val="0005433C"/>
    <w:rsid w:val="00054D61"/>
    <w:rsid w:val="00054EBC"/>
    <w:rsid w:val="00060B78"/>
    <w:rsid w:val="000639C2"/>
    <w:rsid w:val="0006557E"/>
    <w:rsid w:val="00066108"/>
    <w:rsid w:val="00066ED5"/>
    <w:rsid w:val="00070716"/>
    <w:rsid w:val="000754F1"/>
    <w:rsid w:val="00075B56"/>
    <w:rsid w:val="00075D7B"/>
    <w:rsid w:val="00077571"/>
    <w:rsid w:val="00077C93"/>
    <w:rsid w:val="00081C89"/>
    <w:rsid w:val="00081FD5"/>
    <w:rsid w:val="00085CF2"/>
    <w:rsid w:val="00085D6F"/>
    <w:rsid w:val="0009395A"/>
    <w:rsid w:val="000962AF"/>
    <w:rsid w:val="000A024F"/>
    <w:rsid w:val="000A0D26"/>
    <w:rsid w:val="000A0F72"/>
    <w:rsid w:val="000A1A7D"/>
    <w:rsid w:val="000A1F02"/>
    <w:rsid w:val="000A2FF6"/>
    <w:rsid w:val="000A4370"/>
    <w:rsid w:val="000A4EE1"/>
    <w:rsid w:val="000A55F0"/>
    <w:rsid w:val="000A5FC8"/>
    <w:rsid w:val="000A61D7"/>
    <w:rsid w:val="000B3B42"/>
    <w:rsid w:val="000B3C96"/>
    <w:rsid w:val="000B4994"/>
    <w:rsid w:val="000B4B3C"/>
    <w:rsid w:val="000B4F36"/>
    <w:rsid w:val="000C1A37"/>
    <w:rsid w:val="000C27B4"/>
    <w:rsid w:val="000C5FB4"/>
    <w:rsid w:val="000C61FB"/>
    <w:rsid w:val="000C644C"/>
    <w:rsid w:val="000D0395"/>
    <w:rsid w:val="000D0642"/>
    <w:rsid w:val="000D1DA9"/>
    <w:rsid w:val="000D2703"/>
    <w:rsid w:val="000D4D8D"/>
    <w:rsid w:val="000D5998"/>
    <w:rsid w:val="000E0455"/>
    <w:rsid w:val="000E082F"/>
    <w:rsid w:val="000E1CD3"/>
    <w:rsid w:val="000E564A"/>
    <w:rsid w:val="000E5B0D"/>
    <w:rsid w:val="000E61D6"/>
    <w:rsid w:val="000E7447"/>
    <w:rsid w:val="000E7AEB"/>
    <w:rsid w:val="000F0BBF"/>
    <w:rsid w:val="000F47E8"/>
    <w:rsid w:val="00100576"/>
    <w:rsid w:val="00101CC6"/>
    <w:rsid w:val="00102E61"/>
    <w:rsid w:val="00103AB5"/>
    <w:rsid w:val="00104248"/>
    <w:rsid w:val="00106E3D"/>
    <w:rsid w:val="00111E7C"/>
    <w:rsid w:val="00113279"/>
    <w:rsid w:val="00113566"/>
    <w:rsid w:val="00115F81"/>
    <w:rsid w:val="00116E4B"/>
    <w:rsid w:val="00120A34"/>
    <w:rsid w:val="00122469"/>
    <w:rsid w:val="00124029"/>
    <w:rsid w:val="00124CC1"/>
    <w:rsid w:val="0012673A"/>
    <w:rsid w:val="00131950"/>
    <w:rsid w:val="00131D92"/>
    <w:rsid w:val="001335C3"/>
    <w:rsid w:val="00143CBF"/>
    <w:rsid w:val="00153541"/>
    <w:rsid w:val="0015367E"/>
    <w:rsid w:val="001563A7"/>
    <w:rsid w:val="00156BF9"/>
    <w:rsid w:val="00164C49"/>
    <w:rsid w:val="00166E2C"/>
    <w:rsid w:val="00167AF7"/>
    <w:rsid w:val="00170FF4"/>
    <w:rsid w:val="00171702"/>
    <w:rsid w:val="00172785"/>
    <w:rsid w:val="00174128"/>
    <w:rsid w:val="00174D5B"/>
    <w:rsid w:val="00177B23"/>
    <w:rsid w:val="00180846"/>
    <w:rsid w:val="00181AB5"/>
    <w:rsid w:val="001829D4"/>
    <w:rsid w:val="001830F6"/>
    <w:rsid w:val="00184D48"/>
    <w:rsid w:val="0018541B"/>
    <w:rsid w:val="001870BE"/>
    <w:rsid w:val="00187E2E"/>
    <w:rsid w:val="00190576"/>
    <w:rsid w:val="00191A47"/>
    <w:rsid w:val="00192E72"/>
    <w:rsid w:val="00192F2E"/>
    <w:rsid w:val="0019682E"/>
    <w:rsid w:val="001A035D"/>
    <w:rsid w:val="001A42B4"/>
    <w:rsid w:val="001A5115"/>
    <w:rsid w:val="001A5314"/>
    <w:rsid w:val="001A5B64"/>
    <w:rsid w:val="001A6998"/>
    <w:rsid w:val="001A6B2E"/>
    <w:rsid w:val="001A7110"/>
    <w:rsid w:val="001B1547"/>
    <w:rsid w:val="001B3492"/>
    <w:rsid w:val="001B4E0C"/>
    <w:rsid w:val="001C02DF"/>
    <w:rsid w:val="001C13FC"/>
    <w:rsid w:val="001C1E68"/>
    <w:rsid w:val="001C3CB8"/>
    <w:rsid w:val="001C4D63"/>
    <w:rsid w:val="001C5AEF"/>
    <w:rsid w:val="001C7A5D"/>
    <w:rsid w:val="001E0B61"/>
    <w:rsid w:val="001E10DB"/>
    <w:rsid w:val="001E35D3"/>
    <w:rsid w:val="001E3C15"/>
    <w:rsid w:val="001E3E84"/>
    <w:rsid w:val="001E46CE"/>
    <w:rsid w:val="001E6F4E"/>
    <w:rsid w:val="001F012C"/>
    <w:rsid w:val="001F0641"/>
    <w:rsid w:val="001F0EF7"/>
    <w:rsid w:val="001F2886"/>
    <w:rsid w:val="001F3F9A"/>
    <w:rsid w:val="001F5F9D"/>
    <w:rsid w:val="001F649E"/>
    <w:rsid w:val="001F6B5F"/>
    <w:rsid w:val="001F77B0"/>
    <w:rsid w:val="00204109"/>
    <w:rsid w:val="00204C75"/>
    <w:rsid w:val="00206967"/>
    <w:rsid w:val="002078E0"/>
    <w:rsid w:val="002105B8"/>
    <w:rsid w:val="0021147D"/>
    <w:rsid w:val="002131A3"/>
    <w:rsid w:val="00215491"/>
    <w:rsid w:val="00215635"/>
    <w:rsid w:val="002177D5"/>
    <w:rsid w:val="002212BF"/>
    <w:rsid w:val="00222F21"/>
    <w:rsid w:val="00223A6B"/>
    <w:rsid w:val="0022700C"/>
    <w:rsid w:val="00227BA1"/>
    <w:rsid w:val="00231F18"/>
    <w:rsid w:val="00232B3C"/>
    <w:rsid w:val="00233D8C"/>
    <w:rsid w:val="002350DE"/>
    <w:rsid w:val="0023603C"/>
    <w:rsid w:val="00237BDD"/>
    <w:rsid w:val="00237F00"/>
    <w:rsid w:val="002404D5"/>
    <w:rsid w:val="00241198"/>
    <w:rsid w:val="002431BB"/>
    <w:rsid w:val="00250417"/>
    <w:rsid w:val="00250A94"/>
    <w:rsid w:val="002610F6"/>
    <w:rsid w:val="00261106"/>
    <w:rsid w:val="00261219"/>
    <w:rsid w:val="00261EFB"/>
    <w:rsid w:val="00266968"/>
    <w:rsid w:val="00266D80"/>
    <w:rsid w:val="00267854"/>
    <w:rsid w:val="00272119"/>
    <w:rsid w:val="00272AF4"/>
    <w:rsid w:val="00273779"/>
    <w:rsid w:val="0027442E"/>
    <w:rsid w:val="00275AFD"/>
    <w:rsid w:val="00283618"/>
    <w:rsid w:val="002839DD"/>
    <w:rsid w:val="0028573E"/>
    <w:rsid w:val="00292F1D"/>
    <w:rsid w:val="00294AB5"/>
    <w:rsid w:val="00295661"/>
    <w:rsid w:val="0029592C"/>
    <w:rsid w:val="002A00F6"/>
    <w:rsid w:val="002A2EC2"/>
    <w:rsid w:val="002A413B"/>
    <w:rsid w:val="002A43D4"/>
    <w:rsid w:val="002A62FA"/>
    <w:rsid w:val="002B0AFA"/>
    <w:rsid w:val="002B1B89"/>
    <w:rsid w:val="002B3117"/>
    <w:rsid w:val="002B31BE"/>
    <w:rsid w:val="002B7374"/>
    <w:rsid w:val="002B7DA7"/>
    <w:rsid w:val="002C0D1D"/>
    <w:rsid w:val="002C1F22"/>
    <w:rsid w:val="002C29B5"/>
    <w:rsid w:val="002C40F0"/>
    <w:rsid w:val="002C45B5"/>
    <w:rsid w:val="002C4ABC"/>
    <w:rsid w:val="002C5784"/>
    <w:rsid w:val="002C7B1A"/>
    <w:rsid w:val="002D2297"/>
    <w:rsid w:val="002D28E6"/>
    <w:rsid w:val="002D2CE0"/>
    <w:rsid w:val="002D303C"/>
    <w:rsid w:val="002D6026"/>
    <w:rsid w:val="002D6248"/>
    <w:rsid w:val="002D6456"/>
    <w:rsid w:val="002E2515"/>
    <w:rsid w:val="002E2CE4"/>
    <w:rsid w:val="002E3B67"/>
    <w:rsid w:val="002E6686"/>
    <w:rsid w:val="002F0B44"/>
    <w:rsid w:val="002F13F6"/>
    <w:rsid w:val="002F58F1"/>
    <w:rsid w:val="002F7DC7"/>
    <w:rsid w:val="00304B5D"/>
    <w:rsid w:val="003063B6"/>
    <w:rsid w:val="0031169F"/>
    <w:rsid w:val="0031199B"/>
    <w:rsid w:val="00311A88"/>
    <w:rsid w:val="0031234B"/>
    <w:rsid w:val="0031512D"/>
    <w:rsid w:val="00322897"/>
    <w:rsid w:val="00325279"/>
    <w:rsid w:val="00326075"/>
    <w:rsid w:val="00326DF2"/>
    <w:rsid w:val="00330500"/>
    <w:rsid w:val="0033190F"/>
    <w:rsid w:val="00331B6D"/>
    <w:rsid w:val="003326C9"/>
    <w:rsid w:val="00333766"/>
    <w:rsid w:val="0033584E"/>
    <w:rsid w:val="003358A8"/>
    <w:rsid w:val="00336AD9"/>
    <w:rsid w:val="00342C15"/>
    <w:rsid w:val="003447CE"/>
    <w:rsid w:val="00344869"/>
    <w:rsid w:val="003476C4"/>
    <w:rsid w:val="00351D10"/>
    <w:rsid w:val="003544A2"/>
    <w:rsid w:val="0035616A"/>
    <w:rsid w:val="00356B06"/>
    <w:rsid w:val="003576BB"/>
    <w:rsid w:val="0036017D"/>
    <w:rsid w:val="00361D87"/>
    <w:rsid w:val="00361EA0"/>
    <w:rsid w:val="00362064"/>
    <w:rsid w:val="003620EA"/>
    <w:rsid w:val="00362B42"/>
    <w:rsid w:val="003702B2"/>
    <w:rsid w:val="00371F54"/>
    <w:rsid w:val="003729DF"/>
    <w:rsid w:val="00373506"/>
    <w:rsid w:val="00373B71"/>
    <w:rsid w:val="00374AA3"/>
    <w:rsid w:val="00382CF2"/>
    <w:rsid w:val="00384074"/>
    <w:rsid w:val="0038537E"/>
    <w:rsid w:val="00385BFD"/>
    <w:rsid w:val="00386085"/>
    <w:rsid w:val="00390C4A"/>
    <w:rsid w:val="00392A66"/>
    <w:rsid w:val="003934BC"/>
    <w:rsid w:val="003935CB"/>
    <w:rsid w:val="00393E33"/>
    <w:rsid w:val="003A28F1"/>
    <w:rsid w:val="003A46CE"/>
    <w:rsid w:val="003A5E4D"/>
    <w:rsid w:val="003A6C0B"/>
    <w:rsid w:val="003B07B8"/>
    <w:rsid w:val="003B1C20"/>
    <w:rsid w:val="003B3AFF"/>
    <w:rsid w:val="003B4968"/>
    <w:rsid w:val="003B4C13"/>
    <w:rsid w:val="003B5C0C"/>
    <w:rsid w:val="003C2C09"/>
    <w:rsid w:val="003C38DE"/>
    <w:rsid w:val="003C74CB"/>
    <w:rsid w:val="003D1982"/>
    <w:rsid w:val="003D1CA6"/>
    <w:rsid w:val="003D5071"/>
    <w:rsid w:val="003D5D04"/>
    <w:rsid w:val="003E0498"/>
    <w:rsid w:val="003E2419"/>
    <w:rsid w:val="003E31BF"/>
    <w:rsid w:val="003E39CC"/>
    <w:rsid w:val="003E6BA3"/>
    <w:rsid w:val="003F18E7"/>
    <w:rsid w:val="003F21DF"/>
    <w:rsid w:val="003F241A"/>
    <w:rsid w:val="00401576"/>
    <w:rsid w:val="00403D5B"/>
    <w:rsid w:val="0040551F"/>
    <w:rsid w:val="00406650"/>
    <w:rsid w:val="00406BED"/>
    <w:rsid w:val="00406C77"/>
    <w:rsid w:val="00411297"/>
    <w:rsid w:val="00411B54"/>
    <w:rsid w:val="00413B26"/>
    <w:rsid w:val="00414CF7"/>
    <w:rsid w:val="00417357"/>
    <w:rsid w:val="00417470"/>
    <w:rsid w:val="004204F3"/>
    <w:rsid w:val="004212F5"/>
    <w:rsid w:val="00421A17"/>
    <w:rsid w:val="00424C6F"/>
    <w:rsid w:val="00430183"/>
    <w:rsid w:val="00430ECB"/>
    <w:rsid w:val="004325F7"/>
    <w:rsid w:val="00432930"/>
    <w:rsid w:val="00434059"/>
    <w:rsid w:val="004368D4"/>
    <w:rsid w:val="00440FFD"/>
    <w:rsid w:val="00441272"/>
    <w:rsid w:val="004425DA"/>
    <w:rsid w:val="00442662"/>
    <w:rsid w:val="00442677"/>
    <w:rsid w:val="004459B1"/>
    <w:rsid w:val="00446158"/>
    <w:rsid w:val="00446222"/>
    <w:rsid w:val="00447595"/>
    <w:rsid w:val="0044761E"/>
    <w:rsid w:val="00447B22"/>
    <w:rsid w:val="004506E6"/>
    <w:rsid w:val="00450F7B"/>
    <w:rsid w:val="0045128E"/>
    <w:rsid w:val="00451DBB"/>
    <w:rsid w:val="00453303"/>
    <w:rsid w:val="0045429D"/>
    <w:rsid w:val="004553A0"/>
    <w:rsid w:val="004554A5"/>
    <w:rsid w:val="00457269"/>
    <w:rsid w:val="00461808"/>
    <w:rsid w:val="0046267A"/>
    <w:rsid w:val="00470585"/>
    <w:rsid w:val="00470F31"/>
    <w:rsid w:val="00476CEF"/>
    <w:rsid w:val="00476E21"/>
    <w:rsid w:val="00477B18"/>
    <w:rsid w:val="0048006D"/>
    <w:rsid w:val="00481A5D"/>
    <w:rsid w:val="00484228"/>
    <w:rsid w:val="004856C1"/>
    <w:rsid w:val="00485ED7"/>
    <w:rsid w:val="00486DAE"/>
    <w:rsid w:val="00487B80"/>
    <w:rsid w:val="00491364"/>
    <w:rsid w:val="00492BD7"/>
    <w:rsid w:val="0049567C"/>
    <w:rsid w:val="00497F51"/>
    <w:rsid w:val="004A3383"/>
    <w:rsid w:val="004A6313"/>
    <w:rsid w:val="004B0B75"/>
    <w:rsid w:val="004B28A1"/>
    <w:rsid w:val="004B5A07"/>
    <w:rsid w:val="004B5C54"/>
    <w:rsid w:val="004B7D18"/>
    <w:rsid w:val="004B7E2D"/>
    <w:rsid w:val="004C1DD9"/>
    <w:rsid w:val="004C3770"/>
    <w:rsid w:val="004C43C2"/>
    <w:rsid w:val="004C4B6C"/>
    <w:rsid w:val="004C4EB2"/>
    <w:rsid w:val="004C4FB3"/>
    <w:rsid w:val="004D1728"/>
    <w:rsid w:val="004D1D6B"/>
    <w:rsid w:val="004D5303"/>
    <w:rsid w:val="004D60A3"/>
    <w:rsid w:val="004D7017"/>
    <w:rsid w:val="004E0548"/>
    <w:rsid w:val="004E2D93"/>
    <w:rsid w:val="004E50B0"/>
    <w:rsid w:val="004E5186"/>
    <w:rsid w:val="004E5451"/>
    <w:rsid w:val="004F2276"/>
    <w:rsid w:val="004F3017"/>
    <w:rsid w:val="00504A6F"/>
    <w:rsid w:val="00507129"/>
    <w:rsid w:val="00507BBB"/>
    <w:rsid w:val="00511247"/>
    <w:rsid w:val="005125D3"/>
    <w:rsid w:val="005135C2"/>
    <w:rsid w:val="00513FDC"/>
    <w:rsid w:val="00517EE6"/>
    <w:rsid w:val="00521470"/>
    <w:rsid w:val="00523F87"/>
    <w:rsid w:val="00524467"/>
    <w:rsid w:val="00527515"/>
    <w:rsid w:val="0053005D"/>
    <w:rsid w:val="005347B2"/>
    <w:rsid w:val="00537E06"/>
    <w:rsid w:val="00540F82"/>
    <w:rsid w:val="00541050"/>
    <w:rsid w:val="00541351"/>
    <w:rsid w:val="00541829"/>
    <w:rsid w:val="00543CBE"/>
    <w:rsid w:val="00544106"/>
    <w:rsid w:val="0054466D"/>
    <w:rsid w:val="00545753"/>
    <w:rsid w:val="005528FC"/>
    <w:rsid w:val="00560F78"/>
    <w:rsid w:val="0056142F"/>
    <w:rsid w:val="00561899"/>
    <w:rsid w:val="005624F2"/>
    <w:rsid w:val="00563D7E"/>
    <w:rsid w:val="0056472C"/>
    <w:rsid w:val="00565000"/>
    <w:rsid w:val="0056560A"/>
    <w:rsid w:val="00565DE3"/>
    <w:rsid w:val="005661D2"/>
    <w:rsid w:val="005704A8"/>
    <w:rsid w:val="00570B39"/>
    <w:rsid w:val="00570F2C"/>
    <w:rsid w:val="00572053"/>
    <w:rsid w:val="00574547"/>
    <w:rsid w:val="00576CF4"/>
    <w:rsid w:val="00580D6D"/>
    <w:rsid w:val="00583688"/>
    <w:rsid w:val="005854C0"/>
    <w:rsid w:val="00585642"/>
    <w:rsid w:val="00593839"/>
    <w:rsid w:val="0059572C"/>
    <w:rsid w:val="005969CF"/>
    <w:rsid w:val="005969DE"/>
    <w:rsid w:val="005A3E0B"/>
    <w:rsid w:val="005A5F6D"/>
    <w:rsid w:val="005A6AD3"/>
    <w:rsid w:val="005A6CD3"/>
    <w:rsid w:val="005A6DD0"/>
    <w:rsid w:val="005A70CA"/>
    <w:rsid w:val="005A7E08"/>
    <w:rsid w:val="005B0341"/>
    <w:rsid w:val="005B1B2A"/>
    <w:rsid w:val="005B28CD"/>
    <w:rsid w:val="005B3354"/>
    <w:rsid w:val="005B3707"/>
    <w:rsid w:val="005B40F9"/>
    <w:rsid w:val="005B4A33"/>
    <w:rsid w:val="005B55A0"/>
    <w:rsid w:val="005B5F3D"/>
    <w:rsid w:val="005B7E28"/>
    <w:rsid w:val="005C07E8"/>
    <w:rsid w:val="005C197D"/>
    <w:rsid w:val="005D34F0"/>
    <w:rsid w:val="005D54ED"/>
    <w:rsid w:val="005D6116"/>
    <w:rsid w:val="005D7CFA"/>
    <w:rsid w:val="005E089C"/>
    <w:rsid w:val="005E3D69"/>
    <w:rsid w:val="005E409B"/>
    <w:rsid w:val="005E60A0"/>
    <w:rsid w:val="005E61A5"/>
    <w:rsid w:val="005F1406"/>
    <w:rsid w:val="005F1ABD"/>
    <w:rsid w:val="005F45B1"/>
    <w:rsid w:val="005F4ACF"/>
    <w:rsid w:val="006015E2"/>
    <w:rsid w:val="006019B6"/>
    <w:rsid w:val="00602351"/>
    <w:rsid w:val="00603E0E"/>
    <w:rsid w:val="00606859"/>
    <w:rsid w:val="00610073"/>
    <w:rsid w:val="006103EA"/>
    <w:rsid w:val="0061190D"/>
    <w:rsid w:val="00611AAB"/>
    <w:rsid w:val="00614449"/>
    <w:rsid w:val="006156D3"/>
    <w:rsid w:val="006228D7"/>
    <w:rsid w:val="006238A0"/>
    <w:rsid w:val="006247C1"/>
    <w:rsid w:val="006255D8"/>
    <w:rsid w:val="006264D9"/>
    <w:rsid w:val="006266DF"/>
    <w:rsid w:val="0063001D"/>
    <w:rsid w:val="00630549"/>
    <w:rsid w:val="00636A0F"/>
    <w:rsid w:val="00640C97"/>
    <w:rsid w:val="006425CC"/>
    <w:rsid w:val="00642BB6"/>
    <w:rsid w:val="0064379C"/>
    <w:rsid w:val="00647C47"/>
    <w:rsid w:val="00653A9F"/>
    <w:rsid w:val="00654C35"/>
    <w:rsid w:val="006553AC"/>
    <w:rsid w:val="0065672B"/>
    <w:rsid w:val="00657C02"/>
    <w:rsid w:val="0066064F"/>
    <w:rsid w:val="006628BA"/>
    <w:rsid w:val="00662E42"/>
    <w:rsid w:val="0066592E"/>
    <w:rsid w:val="00672674"/>
    <w:rsid w:val="006748F5"/>
    <w:rsid w:val="00674EF0"/>
    <w:rsid w:val="0067583D"/>
    <w:rsid w:val="00675DA6"/>
    <w:rsid w:val="006764D0"/>
    <w:rsid w:val="00677553"/>
    <w:rsid w:val="0067782D"/>
    <w:rsid w:val="00680155"/>
    <w:rsid w:val="00680D61"/>
    <w:rsid w:val="00681B5D"/>
    <w:rsid w:val="006845F2"/>
    <w:rsid w:val="00687E5B"/>
    <w:rsid w:val="0069248D"/>
    <w:rsid w:val="0069270A"/>
    <w:rsid w:val="00693D49"/>
    <w:rsid w:val="00694233"/>
    <w:rsid w:val="00696E75"/>
    <w:rsid w:val="006A2D17"/>
    <w:rsid w:val="006A31D3"/>
    <w:rsid w:val="006A3988"/>
    <w:rsid w:val="006A5216"/>
    <w:rsid w:val="006B054F"/>
    <w:rsid w:val="006B05CE"/>
    <w:rsid w:val="006B32FD"/>
    <w:rsid w:val="006B37BD"/>
    <w:rsid w:val="006B3B41"/>
    <w:rsid w:val="006B4E5C"/>
    <w:rsid w:val="006B50A4"/>
    <w:rsid w:val="006B7869"/>
    <w:rsid w:val="006C2438"/>
    <w:rsid w:val="006C26A8"/>
    <w:rsid w:val="006C2A2A"/>
    <w:rsid w:val="006C2E8B"/>
    <w:rsid w:val="006C68D4"/>
    <w:rsid w:val="006C725B"/>
    <w:rsid w:val="006D131A"/>
    <w:rsid w:val="006D30C4"/>
    <w:rsid w:val="006D53B4"/>
    <w:rsid w:val="006D56C3"/>
    <w:rsid w:val="006D6158"/>
    <w:rsid w:val="006D73DE"/>
    <w:rsid w:val="006D7D49"/>
    <w:rsid w:val="006E04D7"/>
    <w:rsid w:val="006E1D52"/>
    <w:rsid w:val="006E20B6"/>
    <w:rsid w:val="006E32E5"/>
    <w:rsid w:val="006E683A"/>
    <w:rsid w:val="006F164E"/>
    <w:rsid w:val="006F1BEE"/>
    <w:rsid w:val="006F2FEA"/>
    <w:rsid w:val="006F5FE0"/>
    <w:rsid w:val="006F7AD2"/>
    <w:rsid w:val="0070151E"/>
    <w:rsid w:val="00704754"/>
    <w:rsid w:val="00704A7A"/>
    <w:rsid w:val="00705CC1"/>
    <w:rsid w:val="00706C9B"/>
    <w:rsid w:val="00706FA0"/>
    <w:rsid w:val="007111D1"/>
    <w:rsid w:val="00714176"/>
    <w:rsid w:val="007141EF"/>
    <w:rsid w:val="00715082"/>
    <w:rsid w:val="00715ABB"/>
    <w:rsid w:val="00716A1B"/>
    <w:rsid w:val="007213C8"/>
    <w:rsid w:val="00721A33"/>
    <w:rsid w:val="007238D7"/>
    <w:rsid w:val="00724642"/>
    <w:rsid w:val="007248AA"/>
    <w:rsid w:val="00725CF1"/>
    <w:rsid w:val="00730A79"/>
    <w:rsid w:val="00730F4A"/>
    <w:rsid w:val="00732C53"/>
    <w:rsid w:val="00737A51"/>
    <w:rsid w:val="007414D0"/>
    <w:rsid w:val="007415D0"/>
    <w:rsid w:val="0074288F"/>
    <w:rsid w:val="007431F7"/>
    <w:rsid w:val="00745776"/>
    <w:rsid w:val="0075047E"/>
    <w:rsid w:val="0075141B"/>
    <w:rsid w:val="00751B7C"/>
    <w:rsid w:val="0075209B"/>
    <w:rsid w:val="00753914"/>
    <w:rsid w:val="007561E9"/>
    <w:rsid w:val="0075624D"/>
    <w:rsid w:val="00757BA1"/>
    <w:rsid w:val="00761A00"/>
    <w:rsid w:val="007635A4"/>
    <w:rsid w:val="007642C3"/>
    <w:rsid w:val="007646F8"/>
    <w:rsid w:val="00765163"/>
    <w:rsid w:val="0076575B"/>
    <w:rsid w:val="00767D49"/>
    <w:rsid w:val="007712A3"/>
    <w:rsid w:val="00771DC2"/>
    <w:rsid w:val="00772958"/>
    <w:rsid w:val="00772A74"/>
    <w:rsid w:val="00773A3F"/>
    <w:rsid w:val="00774883"/>
    <w:rsid w:val="00777F5A"/>
    <w:rsid w:val="007818AD"/>
    <w:rsid w:val="007821A7"/>
    <w:rsid w:val="00783A0A"/>
    <w:rsid w:val="00786869"/>
    <w:rsid w:val="0079085A"/>
    <w:rsid w:val="00792CE7"/>
    <w:rsid w:val="00793443"/>
    <w:rsid w:val="00794C05"/>
    <w:rsid w:val="00794F54"/>
    <w:rsid w:val="007950CC"/>
    <w:rsid w:val="00795128"/>
    <w:rsid w:val="00795359"/>
    <w:rsid w:val="007962C3"/>
    <w:rsid w:val="00797BB7"/>
    <w:rsid w:val="007A05FB"/>
    <w:rsid w:val="007A272C"/>
    <w:rsid w:val="007A456D"/>
    <w:rsid w:val="007A554F"/>
    <w:rsid w:val="007A56BA"/>
    <w:rsid w:val="007A595A"/>
    <w:rsid w:val="007A780A"/>
    <w:rsid w:val="007B0148"/>
    <w:rsid w:val="007B1FB8"/>
    <w:rsid w:val="007B22DE"/>
    <w:rsid w:val="007B4D14"/>
    <w:rsid w:val="007B6B5B"/>
    <w:rsid w:val="007B6D48"/>
    <w:rsid w:val="007B7658"/>
    <w:rsid w:val="007B7DF2"/>
    <w:rsid w:val="007C180D"/>
    <w:rsid w:val="007C19FC"/>
    <w:rsid w:val="007C3E33"/>
    <w:rsid w:val="007C5751"/>
    <w:rsid w:val="007C59F6"/>
    <w:rsid w:val="007D14E0"/>
    <w:rsid w:val="007D4242"/>
    <w:rsid w:val="007D6B45"/>
    <w:rsid w:val="007D6E06"/>
    <w:rsid w:val="007E0001"/>
    <w:rsid w:val="007E25B3"/>
    <w:rsid w:val="007E5364"/>
    <w:rsid w:val="007E5A18"/>
    <w:rsid w:val="007E6960"/>
    <w:rsid w:val="007F099B"/>
    <w:rsid w:val="007F3A44"/>
    <w:rsid w:val="007F4087"/>
    <w:rsid w:val="007F43EA"/>
    <w:rsid w:val="007F4AC7"/>
    <w:rsid w:val="007F5541"/>
    <w:rsid w:val="007F59E2"/>
    <w:rsid w:val="007F5C60"/>
    <w:rsid w:val="007F6A9D"/>
    <w:rsid w:val="00801532"/>
    <w:rsid w:val="00802899"/>
    <w:rsid w:val="0080582E"/>
    <w:rsid w:val="008060BC"/>
    <w:rsid w:val="00807984"/>
    <w:rsid w:val="00814880"/>
    <w:rsid w:val="008154D8"/>
    <w:rsid w:val="00816CCC"/>
    <w:rsid w:val="00817AEE"/>
    <w:rsid w:val="00821639"/>
    <w:rsid w:val="00824D12"/>
    <w:rsid w:val="00830008"/>
    <w:rsid w:val="00830B4A"/>
    <w:rsid w:val="008320DF"/>
    <w:rsid w:val="0083218D"/>
    <w:rsid w:val="00833429"/>
    <w:rsid w:val="00833FF7"/>
    <w:rsid w:val="008350C4"/>
    <w:rsid w:val="008366A1"/>
    <w:rsid w:val="00840D03"/>
    <w:rsid w:val="00845068"/>
    <w:rsid w:val="00845795"/>
    <w:rsid w:val="00845A6F"/>
    <w:rsid w:val="00850B32"/>
    <w:rsid w:val="00851D43"/>
    <w:rsid w:val="00851F90"/>
    <w:rsid w:val="00855064"/>
    <w:rsid w:val="008559C9"/>
    <w:rsid w:val="00857452"/>
    <w:rsid w:val="008632FB"/>
    <w:rsid w:val="00863344"/>
    <w:rsid w:val="00863A6D"/>
    <w:rsid w:val="00863F6B"/>
    <w:rsid w:val="00864FE5"/>
    <w:rsid w:val="00865461"/>
    <w:rsid w:val="00867133"/>
    <w:rsid w:val="008674AC"/>
    <w:rsid w:val="00867E86"/>
    <w:rsid w:val="00870A97"/>
    <w:rsid w:val="0087121E"/>
    <w:rsid w:val="0087210E"/>
    <w:rsid w:val="008726E5"/>
    <w:rsid w:val="00873D34"/>
    <w:rsid w:val="00875C54"/>
    <w:rsid w:val="008770B4"/>
    <w:rsid w:val="00881759"/>
    <w:rsid w:val="00882D56"/>
    <w:rsid w:val="00885C6D"/>
    <w:rsid w:val="00895408"/>
    <w:rsid w:val="008A362A"/>
    <w:rsid w:val="008A605C"/>
    <w:rsid w:val="008B071F"/>
    <w:rsid w:val="008B1A0B"/>
    <w:rsid w:val="008B1B61"/>
    <w:rsid w:val="008B20E0"/>
    <w:rsid w:val="008B3295"/>
    <w:rsid w:val="008B415F"/>
    <w:rsid w:val="008C13D6"/>
    <w:rsid w:val="008C1FF5"/>
    <w:rsid w:val="008C24E2"/>
    <w:rsid w:val="008C5339"/>
    <w:rsid w:val="008C580F"/>
    <w:rsid w:val="008C77D0"/>
    <w:rsid w:val="008D0642"/>
    <w:rsid w:val="008D323C"/>
    <w:rsid w:val="008D3855"/>
    <w:rsid w:val="008D5EEB"/>
    <w:rsid w:val="008D5FA1"/>
    <w:rsid w:val="008D72A4"/>
    <w:rsid w:val="008D75ED"/>
    <w:rsid w:val="008E217D"/>
    <w:rsid w:val="008E29AF"/>
    <w:rsid w:val="008E57B2"/>
    <w:rsid w:val="008E5D2E"/>
    <w:rsid w:val="008F1BDB"/>
    <w:rsid w:val="008F24D4"/>
    <w:rsid w:val="008F327C"/>
    <w:rsid w:val="008F3B5D"/>
    <w:rsid w:val="008F3B79"/>
    <w:rsid w:val="008F3D7F"/>
    <w:rsid w:val="008F40E4"/>
    <w:rsid w:val="008F703A"/>
    <w:rsid w:val="008F7977"/>
    <w:rsid w:val="00900548"/>
    <w:rsid w:val="00904AB8"/>
    <w:rsid w:val="00906245"/>
    <w:rsid w:val="00906AA4"/>
    <w:rsid w:val="00906EEA"/>
    <w:rsid w:val="00907633"/>
    <w:rsid w:val="00907999"/>
    <w:rsid w:val="00913BF5"/>
    <w:rsid w:val="00913FFD"/>
    <w:rsid w:val="00914043"/>
    <w:rsid w:val="00915D89"/>
    <w:rsid w:val="0091609D"/>
    <w:rsid w:val="009160BB"/>
    <w:rsid w:val="00917723"/>
    <w:rsid w:val="00920509"/>
    <w:rsid w:val="00922171"/>
    <w:rsid w:val="00922730"/>
    <w:rsid w:val="00922C25"/>
    <w:rsid w:val="009237AE"/>
    <w:rsid w:val="009262E3"/>
    <w:rsid w:val="0092649A"/>
    <w:rsid w:val="009270F6"/>
    <w:rsid w:val="00932163"/>
    <w:rsid w:val="00934589"/>
    <w:rsid w:val="009349AB"/>
    <w:rsid w:val="00935E6A"/>
    <w:rsid w:val="009365AD"/>
    <w:rsid w:val="00937CA3"/>
    <w:rsid w:val="00953F33"/>
    <w:rsid w:val="00954CF8"/>
    <w:rsid w:val="009564D3"/>
    <w:rsid w:val="0096036D"/>
    <w:rsid w:val="00962261"/>
    <w:rsid w:val="009719C6"/>
    <w:rsid w:val="00975CD6"/>
    <w:rsid w:val="009777D3"/>
    <w:rsid w:val="00977AFD"/>
    <w:rsid w:val="00981120"/>
    <w:rsid w:val="0098124E"/>
    <w:rsid w:val="009839BE"/>
    <w:rsid w:val="00983FA0"/>
    <w:rsid w:val="00986FB9"/>
    <w:rsid w:val="009875FE"/>
    <w:rsid w:val="00990C73"/>
    <w:rsid w:val="0099127A"/>
    <w:rsid w:val="0099174E"/>
    <w:rsid w:val="00991B7D"/>
    <w:rsid w:val="009939E8"/>
    <w:rsid w:val="00993A2B"/>
    <w:rsid w:val="009A00D2"/>
    <w:rsid w:val="009A233E"/>
    <w:rsid w:val="009A443B"/>
    <w:rsid w:val="009A4CC5"/>
    <w:rsid w:val="009A5332"/>
    <w:rsid w:val="009A57A6"/>
    <w:rsid w:val="009B127F"/>
    <w:rsid w:val="009B1817"/>
    <w:rsid w:val="009B424C"/>
    <w:rsid w:val="009B45D8"/>
    <w:rsid w:val="009B4F9C"/>
    <w:rsid w:val="009C12C2"/>
    <w:rsid w:val="009C13B3"/>
    <w:rsid w:val="009C22E4"/>
    <w:rsid w:val="009C242E"/>
    <w:rsid w:val="009C6240"/>
    <w:rsid w:val="009D0992"/>
    <w:rsid w:val="009D12DB"/>
    <w:rsid w:val="009D1A3D"/>
    <w:rsid w:val="009D5EA8"/>
    <w:rsid w:val="009D61B5"/>
    <w:rsid w:val="009D7898"/>
    <w:rsid w:val="009E0297"/>
    <w:rsid w:val="009E12D9"/>
    <w:rsid w:val="009E424E"/>
    <w:rsid w:val="009F4C3D"/>
    <w:rsid w:val="009F6175"/>
    <w:rsid w:val="00A003DB"/>
    <w:rsid w:val="00A04618"/>
    <w:rsid w:val="00A12D33"/>
    <w:rsid w:val="00A14CA5"/>
    <w:rsid w:val="00A174BD"/>
    <w:rsid w:val="00A174E2"/>
    <w:rsid w:val="00A20679"/>
    <w:rsid w:val="00A20A69"/>
    <w:rsid w:val="00A20B9D"/>
    <w:rsid w:val="00A2265B"/>
    <w:rsid w:val="00A229B3"/>
    <w:rsid w:val="00A266CF"/>
    <w:rsid w:val="00A2796B"/>
    <w:rsid w:val="00A323BC"/>
    <w:rsid w:val="00A32790"/>
    <w:rsid w:val="00A3439D"/>
    <w:rsid w:val="00A343BB"/>
    <w:rsid w:val="00A353C7"/>
    <w:rsid w:val="00A40DF8"/>
    <w:rsid w:val="00A4118C"/>
    <w:rsid w:val="00A44654"/>
    <w:rsid w:val="00A44D09"/>
    <w:rsid w:val="00A456FE"/>
    <w:rsid w:val="00A46BB7"/>
    <w:rsid w:val="00A50A28"/>
    <w:rsid w:val="00A543B1"/>
    <w:rsid w:val="00A55E5E"/>
    <w:rsid w:val="00A56A46"/>
    <w:rsid w:val="00A57918"/>
    <w:rsid w:val="00A57D60"/>
    <w:rsid w:val="00A65401"/>
    <w:rsid w:val="00A7014E"/>
    <w:rsid w:val="00A702BE"/>
    <w:rsid w:val="00A70986"/>
    <w:rsid w:val="00A70F79"/>
    <w:rsid w:val="00A731D6"/>
    <w:rsid w:val="00A751BD"/>
    <w:rsid w:val="00A752C7"/>
    <w:rsid w:val="00A77DBF"/>
    <w:rsid w:val="00A81306"/>
    <w:rsid w:val="00A81C0B"/>
    <w:rsid w:val="00A83583"/>
    <w:rsid w:val="00A849B3"/>
    <w:rsid w:val="00A87BBB"/>
    <w:rsid w:val="00A9361A"/>
    <w:rsid w:val="00A94E33"/>
    <w:rsid w:val="00A974EA"/>
    <w:rsid w:val="00AA34E1"/>
    <w:rsid w:val="00AA489A"/>
    <w:rsid w:val="00AA5B14"/>
    <w:rsid w:val="00AA66FF"/>
    <w:rsid w:val="00AB1F09"/>
    <w:rsid w:val="00AB5788"/>
    <w:rsid w:val="00AB73A6"/>
    <w:rsid w:val="00AB76ED"/>
    <w:rsid w:val="00AB7CAC"/>
    <w:rsid w:val="00AC0E51"/>
    <w:rsid w:val="00AC15E2"/>
    <w:rsid w:val="00AC246B"/>
    <w:rsid w:val="00AC2F67"/>
    <w:rsid w:val="00AC519A"/>
    <w:rsid w:val="00AC68B2"/>
    <w:rsid w:val="00AC6C48"/>
    <w:rsid w:val="00AD2606"/>
    <w:rsid w:val="00AD28A3"/>
    <w:rsid w:val="00AD2907"/>
    <w:rsid w:val="00AD3F93"/>
    <w:rsid w:val="00AD440B"/>
    <w:rsid w:val="00AD4454"/>
    <w:rsid w:val="00AD47ED"/>
    <w:rsid w:val="00AD4EC0"/>
    <w:rsid w:val="00AD6DC2"/>
    <w:rsid w:val="00AF1DD4"/>
    <w:rsid w:val="00AF6576"/>
    <w:rsid w:val="00AF7364"/>
    <w:rsid w:val="00AF7915"/>
    <w:rsid w:val="00B00711"/>
    <w:rsid w:val="00B07C84"/>
    <w:rsid w:val="00B1096B"/>
    <w:rsid w:val="00B12707"/>
    <w:rsid w:val="00B12AD5"/>
    <w:rsid w:val="00B160E2"/>
    <w:rsid w:val="00B17670"/>
    <w:rsid w:val="00B17998"/>
    <w:rsid w:val="00B264D7"/>
    <w:rsid w:val="00B31269"/>
    <w:rsid w:val="00B31B20"/>
    <w:rsid w:val="00B349C9"/>
    <w:rsid w:val="00B37FA0"/>
    <w:rsid w:val="00B42A14"/>
    <w:rsid w:val="00B442DE"/>
    <w:rsid w:val="00B46567"/>
    <w:rsid w:val="00B51F0C"/>
    <w:rsid w:val="00B531C0"/>
    <w:rsid w:val="00B539ED"/>
    <w:rsid w:val="00B5486D"/>
    <w:rsid w:val="00B568E2"/>
    <w:rsid w:val="00B6018F"/>
    <w:rsid w:val="00B60CFF"/>
    <w:rsid w:val="00B612D2"/>
    <w:rsid w:val="00B63501"/>
    <w:rsid w:val="00B63D0E"/>
    <w:rsid w:val="00B660BB"/>
    <w:rsid w:val="00B6648F"/>
    <w:rsid w:val="00B715B8"/>
    <w:rsid w:val="00B72CFB"/>
    <w:rsid w:val="00B73730"/>
    <w:rsid w:val="00B73D3A"/>
    <w:rsid w:val="00B73D75"/>
    <w:rsid w:val="00B751AE"/>
    <w:rsid w:val="00B823D3"/>
    <w:rsid w:val="00B83321"/>
    <w:rsid w:val="00B848FF"/>
    <w:rsid w:val="00B85493"/>
    <w:rsid w:val="00B8649F"/>
    <w:rsid w:val="00B864EE"/>
    <w:rsid w:val="00B9044F"/>
    <w:rsid w:val="00B922A0"/>
    <w:rsid w:val="00B9265B"/>
    <w:rsid w:val="00B945B4"/>
    <w:rsid w:val="00B94B41"/>
    <w:rsid w:val="00B95055"/>
    <w:rsid w:val="00BA068C"/>
    <w:rsid w:val="00BA0768"/>
    <w:rsid w:val="00BA3BA8"/>
    <w:rsid w:val="00BA4FA8"/>
    <w:rsid w:val="00BA52D5"/>
    <w:rsid w:val="00BA689A"/>
    <w:rsid w:val="00BB05A6"/>
    <w:rsid w:val="00BB2C4F"/>
    <w:rsid w:val="00BB6E3D"/>
    <w:rsid w:val="00BC07BD"/>
    <w:rsid w:val="00BC0F10"/>
    <w:rsid w:val="00BC21D8"/>
    <w:rsid w:val="00BC27C5"/>
    <w:rsid w:val="00BC3EE4"/>
    <w:rsid w:val="00BC4BC5"/>
    <w:rsid w:val="00BC55D0"/>
    <w:rsid w:val="00BD3F0D"/>
    <w:rsid w:val="00BD71EB"/>
    <w:rsid w:val="00BD7960"/>
    <w:rsid w:val="00BE0067"/>
    <w:rsid w:val="00BE4E05"/>
    <w:rsid w:val="00BE7B13"/>
    <w:rsid w:val="00BF0A95"/>
    <w:rsid w:val="00BF1A76"/>
    <w:rsid w:val="00BF3786"/>
    <w:rsid w:val="00BF4229"/>
    <w:rsid w:val="00BF462D"/>
    <w:rsid w:val="00BF5F35"/>
    <w:rsid w:val="00BF65EA"/>
    <w:rsid w:val="00BF6AF2"/>
    <w:rsid w:val="00BF7DD9"/>
    <w:rsid w:val="00C019D4"/>
    <w:rsid w:val="00C0400D"/>
    <w:rsid w:val="00C10FD9"/>
    <w:rsid w:val="00C14E06"/>
    <w:rsid w:val="00C15B23"/>
    <w:rsid w:val="00C172C1"/>
    <w:rsid w:val="00C1777B"/>
    <w:rsid w:val="00C201FF"/>
    <w:rsid w:val="00C203BF"/>
    <w:rsid w:val="00C23FA3"/>
    <w:rsid w:val="00C302E4"/>
    <w:rsid w:val="00C327FE"/>
    <w:rsid w:val="00C32D86"/>
    <w:rsid w:val="00C3306C"/>
    <w:rsid w:val="00C3458A"/>
    <w:rsid w:val="00C35919"/>
    <w:rsid w:val="00C3663C"/>
    <w:rsid w:val="00C3668B"/>
    <w:rsid w:val="00C36E43"/>
    <w:rsid w:val="00C4258A"/>
    <w:rsid w:val="00C42A4B"/>
    <w:rsid w:val="00C43069"/>
    <w:rsid w:val="00C43745"/>
    <w:rsid w:val="00C4406C"/>
    <w:rsid w:val="00C447EC"/>
    <w:rsid w:val="00C463A8"/>
    <w:rsid w:val="00C470EC"/>
    <w:rsid w:val="00C506B0"/>
    <w:rsid w:val="00C51A6E"/>
    <w:rsid w:val="00C51AC2"/>
    <w:rsid w:val="00C57DF3"/>
    <w:rsid w:val="00C6255C"/>
    <w:rsid w:val="00C62A2C"/>
    <w:rsid w:val="00C63A6F"/>
    <w:rsid w:val="00C63E8F"/>
    <w:rsid w:val="00C645A4"/>
    <w:rsid w:val="00C65657"/>
    <w:rsid w:val="00C65BE4"/>
    <w:rsid w:val="00C70BF0"/>
    <w:rsid w:val="00C733D9"/>
    <w:rsid w:val="00C745A0"/>
    <w:rsid w:val="00C7487D"/>
    <w:rsid w:val="00C74C1C"/>
    <w:rsid w:val="00C76738"/>
    <w:rsid w:val="00C81363"/>
    <w:rsid w:val="00C84F3D"/>
    <w:rsid w:val="00C85012"/>
    <w:rsid w:val="00C85326"/>
    <w:rsid w:val="00C87949"/>
    <w:rsid w:val="00C90B3E"/>
    <w:rsid w:val="00C92164"/>
    <w:rsid w:val="00C936CD"/>
    <w:rsid w:val="00C946F9"/>
    <w:rsid w:val="00C94A9D"/>
    <w:rsid w:val="00C9590A"/>
    <w:rsid w:val="00C97D11"/>
    <w:rsid w:val="00CA1F8D"/>
    <w:rsid w:val="00CA2D75"/>
    <w:rsid w:val="00CA6FB9"/>
    <w:rsid w:val="00CB0EAE"/>
    <w:rsid w:val="00CB22BE"/>
    <w:rsid w:val="00CB34C1"/>
    <w:rsid w:val="00CB4117"/>
    <w:rsid w:val="00CB6772"/>
    <w:rsid w:val="00CC0AD0"/>
    <w:rsid w:val="00CC474B"/>
    <w:rsid w:val="00CC7B67"/>
    <w:rsid w:val="00CD1AA6"/>
    <w:rsid w:val="00CD1D0F"/>
    <w:rsid w:val="00CD2110"/>
    <w:rsid w:val="00CD255F"/>
    <w:rsid w:val="00CD2D8E"/>
    <w:rsid w:val="00CD3AB9"/>
    <w:rsid w:val="00CD5E12"/>
    <w:rsid w:val="00CD6E5B"/>
    <w:rsid w:val="00CE5AED"/>
    <w:rsid w:val="00CF20B6"/>
    <w:rsid w:val="00CF2D15"/>
    <w:rsid w:val="00CF64E1"/>
    <w:rsid w:val="00CF663E"/>
    <w:rsid w:val="00CF7191"/>
    <w:rsid w:val="00CF7CD8"/>
    <w:rsid w:val="00D01AA0"/>
    <w:rsid w:val="00D02694"/>
    <w:rsid w:val="00D039A0"/>
    <w:rsid w:val="00D03A45"/>
    <w:rsid w:val="00D03AA4"/>
    <w:rsid w:val="00D07E94"/>
    <w:rsid w:val="00D105DE"/>
    <w:rsid w:val="00D11212"/>
    <w:rsid w:val="00D1307F"/>
    <w:rsid w:val="00D13BEB"/>
    <w:rsid w:val="00D13E86"/>
    <w:rsid w:val="00D15BDB"/>
    <w:rsid w:val="00D25139"/>
    <w:rsid w:val="00D2587A"/>
    <w:rsid w:val="00D26A89"/>
    <w:rsid w:val="00D27A7F"/>
    <w:rsid w:val="00D3124A"/>
    <w:rsid w:val="00D3277B"/>
    <w:rsid w:val="00D33631"/>
    <w:rsid w:val="00D369EC"/>
    <w:rsid w:val="00D43278"/>
    <w:rsid w:val="00D432D8"/>
    <w:rsid w:val="00D435D6"/>
    <w:rsid w:val="00D43D02"/>
    <w:rsid w:val="00D45CCD"/>
    <w:rsid w:val="00D46706"/>
    <w:rsid w:val="00D47317"/>
    <w:rsid w:val="00D4775F"/>
    <w:rsid w:val="00D47B09"/>
    <w:rsid w:val="00D52187"/>
    <w:rsid w:val="00D54346"/>
    <w:rsid w:val="00D550DD"/>
    <w:rsid w:val="00D56394"/>
    <w:rsid w:val="00D57BBE"/>
    <w:rsid w:val="00D60B02"/>
    <w:rsid w:val="00D614EC"/>
    <w:rsid w:val="00D63041"/>
    <w:rsid w:val="00D66980"/>
    <w:rsid w:val="00D67C8B"/>
    <w:rsid w:val="00D67E75"/>
    <w:rsid w:val="00D71D57"/>
    <w:rsid w:val="00D72090"/>
    <w:rsid w:val="00D727F2"/>
    <w:rsid w:val="00D7571E"/>
    <w:rsid w:val="00D83DAB"/>
    <w:rsid w:val="00D86121"/>
    <w:rsid w:val="00D92A33"/>
    <w:rsid w:val="00D96601"/>
    <w:rsid w:val="00D97E48"/>
    <w:rsid w:val="00DA218D"/>
    <w:rsid w:val="00DA2443"/>
    <w:rsid w:val="00DA3340"/>
    <w:rsid w:val="00DA43E1"/>
    <w:rsid w:val="00DA4D80"/>
    <w:rsid w:val="00DA4E8F"/>
    <w:rsid w:val="00DA5151"/>
    <w:rsid w:val="00DA5602"/>
    <w:rsid w:val="00DA66EB"/>
    <w:rsid w:val="00DA6BF8"/>
    <w:rsid w:val="00DB3651"/>
    <w:rsid w:val="00DB3CBC"/>
    <w:rsid w:val="00DB46FA"/>
    <w:rsid w:val="00DC0431"/>
    <w:rsid w:val="00DC2AC9"/>
    <w:rsid w:val="00DC46FB"/>
    <w:rsid w:val="00DC4E8A"/>
    <w:rsid w:val="00DC5C76"/>
    <w:rsid w:val="00DC74C3"/>
    <w:rsid w:val="00DC7646"/>
    <w:rsid w:val="00DD1341"/>
    <w:rsid w:val="00DD1C70"/>
    <w:rsid w:val="00DD2461"/>
    <w:rsid w:val="00DD3035"/>
    <w:rsid w:val="00DD32E3"/>
    <w:rsid w:val="00DD39EA"/>
    <w:rsid w:val="00DD55CF"/>
    <w:rsid w:val="00DE4224"/>
    <w:rsid w:val="00DF06E2"/>
    <w:rsid w:val="00DF08AA"/>
    <w:rsid w:val="00DF0BCD"/>
    <w:rsid w:val="00DF0CFA"/>
    <w:rsid w:val="00DF3828"/>
    <w:rsid w:val="00DF55CF"/>
    <w:rsid w:val="00DF596F"/>
    <w:rsid w:val="00E00E85"/>
    <w:rsid w:val="00E01975"/>
    <w:rsid w:val="00E01DCF"/>
    <w:rsid w:val="00E068EF"/>
    <w:rsid w:val="00E0697B"/>
    <w:rsid w:val="00E07B81"/>
    <w:rsid w:val="00E123C2"/>
    <w:rsid w:val="00E130E6"/>
    <w:rsid w:val="00E134C4"/>
    <w:rsid w:val="00E13708"/>
    <w:rsid w:val="00E13DBA"/>
    <w:rsid w:val="00E15375"/>
    <w:rsid w:val="00E15901"/>
    <w:rsid w:val="00E16D08"/>
    <w:rsid w:val="00E17216"/>
    <w:rsid w:val="00E215CB"/>
    <w:rsid w:val="00E217E2"/>
    <w:rsid w:val="00E21C0E"/>
    <w:rsid w:val="00E2333F"/>
    <w:rsid w:val="00E31849"/>
    <w:rsid w:val="00E332D8"/>
    <w:rsid w:val="00E3437D"/>
    <w:rsid w:val="00E34668"/>
    <w:rsid w:val="00E357C7"/>
    <w:rsid w:val="00E37BFA"/>
    <w:rsid w:val="00E431D9"/>
    <w:rsid w:val="00E446E8"/>
    <w:rsid w:val="00E44C06"/>
    <w:rsid w:val="00E46968"/>
    <w:rsid w:val="00E46B0D"/>
    <w:rsid w:val="00E46BAF"/>
    <w:rsid w:val="00E4783B"/>
    <w:rsid w:val="00E5134E"/>
    <w:rsid w:val="00E51A58"/>
    <w:rsid w:val="00E51B0C"/>
    <w:rsid w:val="00E51D82"/>
    <w:rsid w:val="00E5242C"/>
    <w:rsid w:val="00E542A7"/>
    <w:rsid w:val="00E557E5"/>
    <w:rsid w:val="00E574B5"/>
    <w:rsid w:val="00E61C31"/>
    <w:rsid w:val="00E62D2A"/>
    <w:rsid w:val="00E62E3F"/>
    <w:rsid w:val="00E64E14"/>
    <w:rsid w:val="00E654E2"/>
    <w:rsid w:val="00E6590A"/>
    <w:rsid w:val="00E66036"/>
    <w:rsid w:val="00E71561"/>
    <w:rsid w:val="00E7216E"/>
    <w:rsid w:val="00E75CED"/>
    <w:rsid w:val="00E75D8D"/>
    <w:rsid w:val="00E80120"/>
    <w:rsid w:val="00E834B1"/>
    <w:rsid w:val="00E83866"/>
    <w:rsid w:val="00E86F9F"/>
    <w:rsid w:val="00E91FAE"/>
    <w:rsid w:val="00E96F40"/>
    <w:rsid w:val="00EA002D"/>
    <w:rsid w:val="00EA1E91"/>
    <w:rsid w:val="00EA2C28"/>
    <w:rsid w:val="00EA358B"/>
    <w:rsid w:val="00EA5272"/>
    <w:rsid w:val="00EA57C2"/>
    <w:rsid w:val="00EB0686"/>
    <w:rsid w:val="00EB0AB4"/>
    <w:rsid w:val="00EB0B7B"/>
    <w:rsid w:val="00EB26A4"/>
    <w:rsid w:val="00EB48BF"/>
    <w:rsid w:val="00EB5B78"/>
    <w:rsid w:val="00EB6772"/>
    <w:rsid w:val="00EB6DF7"/>
    <w:rsid w:val="00EB7671"/>
    <w:rsid w:val="00EC033E"/>
    <w:rsid w:val="00EC03B8"/>
    <w:rsid w:val="00EC4E42"/>
    <w:rsid w:val="00EC58F9"/>
    <w:rsid w:val="00EC75B5"/>
    <w:rsid w:val="00EC760E"/>
    <w:rsid w:val="00ED3F07"/>
    <w:rsid w:val="00ED4AD1"/>
    <w:rsid w:val="00ED6D95"/>
    <w:rsid w:val="00EE01EC"/>
    <w:rsid w:val="00EE0642"/>
    <w:rsid w:val="00EE0B07"/>
    <w:rsid w:val="00EE1669"/>
    <w:rsid w:val="00EE2F45"/>
    <w:rsid w:val="00EE531D"/>
    <w:rsid w:val="00EE5661"/>
    <w:rsid w:val="00EE588D"/>
    <w:rsid w:val="00EE7661"/>
    <w:rsid w:val="00EE7DBD"/>
    <w:rsid w:val="00EF158A"/>
    <w:rsid w:val="00EF17CA"/>
    <w:rsid w:val="00EF1D4F"/>
    <w:rsid w:val="00EF466B"/>
    <w:rsid w:val="00EF77F2"/>
    <w:rsid w:val="00F00215"/>
    <w:rsid w:val="00F004C1"/>
    <w:rsid w:val="00F00C55"/>
    <w:rsid w:val="00F03085"/>
    <w:rsid w:val="00F03D70"/>
    <w:rsid w:val="00F03EA1"/>
    <w:rsid w:val="00F04762"/>
    <w:rsid w:val="00F049DA"/>
    <w:rsid w:val="00F0518B"/>
    <w:rsid w:val="00F056F5"/>
    <w:rsid w:val="00F10913"/>
    <w:rsid w:val="00F11975"/>
    <w:rsid w:val="00F11D23"/>
    <w:rsid w:val="00F125FA"/>
    <w:rsid w:val="00F23B1A"/>
    <w:rsid w:val="00F245C1"/>
    <w:rsid w:val="00F25527"/>
    <w:rsid w:val="00F25C1F"/>
    <w:rsid w:val="00F26217"/>
    <w:rsid w:val="00F26568"/>
    <w:rsid w:val="00F27691"/>
    <w:rsid w:val="00F311DC"/>
    <w:rsid w:val="00F320BF"/>
    <w:rsid w:val="00F348C3"/>
    <w:rsid w:val="00F3494B"/>
    <w:rsid w:val="00F34F75"/>
    <w:rsid w:val="00F35FA1"/>
    <w:rsid w:val="00F407EE"/>
    <w:rsid w:val="00F41062"/>
    <w:rsid w:val="00F411D7"/>
    <w:rsid w:val="00F41832"/>
    <w:rsid w:val="00F41D76"/>
    <w:rsid w:val="00F42E61"/>
    <w:rsid w:val="00F4350A"/>
    <w:rsid w:val="00F52EB2"/>
    <w:rsid w:val="00F56CD6"/>
    <w:rsid w:val="00F6111F"/>
    <w:rsid w:val="00F624ED"/>
    <w:rsid w:val="00F652C1"/>
    <w:rsid w:val="00F657B0"/>
    <w:rsid w:val="00F6705C"/>
    <w:rsid w:val="00F676C8"/>
    <w:rsid w:val="00F70076"/>
    <w:rsid w:val="00F70CFA"/>
    <w:rsid w:val="00F723A8"/>
    <w:rsid w:val="00F73F7A"/>
    <w:rsid w:val="00F73FE6"/>
    <w:rsid w:val="00F74981"/>
    <w:rsid w:val="00F7588F"/>
    <w:rsid w:val="00F758F7"/>
    <w:rsid w:val="00F75C02"/>
    <w:rsid w:val="00F83C29"/>
    <w:rsid w:val="00F84B9C"/>
    <w:rsid w:val="00F84CE6"/>
    <w:rsid w:val="00F85296"/>
    <w:rsid w:val="00F91208"/>
    <w:rsid w:val="00F91267"/>
    <w:rsid w:val="00F915F9"/>
    <w:rsid w:val="00F91B9B"/>
    <w:rsid w:val="00F92524"/>
    <w:rsid w:val="00FA256A"/>
    <w:rsid w:val="00FA49E9"/>
    <w:rsid w:val="00FA55F5"/>
    <w:rsid w:val="00FA6869"/>
    <w:rsid w:val="00FA77B1"/>
    <w:rsid w:val="00FB1469"/>
    <w:rsid w:val="00FB27A5"/>
    <w:rsid w:val="00FB5131"/>
    <w:rsid w:val="00FB51CC"/>
    <w:rsid w:val="00FC0B82"/>
    <w:rsid w:val="00FC1793"/>
    <w:rsid w:val="00FC180D"/>
    <w:rsid w:val="00FC1BE8"/>
    <w:rsid w:val="00FC4234"/>
    <w:rsid w:val="00FC4A2A"/>
    <w:rsid w:val="00FC61EE"/>
    <w:rsid w:val="00FD0AC0"/>
    <w:rsid w:val="00FD1A27"/>
    <w:rsid w:val="00FD4D33"/>
    <w:rsid w:val="00FD4DEF"/>
    <w:rsid w:val="00FD5434"/>
    <w:rsid w:val="00FE15BE"/>
    <w:rsid w:val="00FE4970"/>
    <w:rsid w:val="00FE4B50"/>
    <w:rsid w:val="00FE52AD"/>
    <w:rsid w:val="00FE72C9"/>
    <w:rsid w:val="00FF0794"/>
    <w:rsid w:val="00FF6441"/>
    <w:rsid w:val="00FF6F7A"/>
    <w:rsid w:val="35B2D715"/>
    <w:rsid w:val="52D3F29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83D04E6"/>
  <w15:chartTrackingRefBased/>
  <w15:docId w15:val="{A241935D-FB7B-4DEB-8AC6-90883335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uiPriority w:val="99"/>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 w:type="character" w:styleId="Mention">
    <w:name w:val="Mention"/>
    <w:basedOn w:val="DefaultParagraphFont"/>
    <w:uiPriority w:val="99"/>
    <w:unhideWhenUsed/>
    <w:rsid w:val="00FD0AC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Megan.Danner@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usac.org%2Fabout%2Freports-orders%2Ffcc-filings%2F%23results&amp;data=05%7C02%7CNissa.Laughner%40fcc.gov%7Ce15550d14514474afca208de6f0abb59%7C72970aed36694ca8b960dd016bc72973%7C0%7C0%7C639070289036181748%7CUnknown%7CTWFpbGZsb3d8eyJFbXB0eU1hcGkiOnRydWUsIlYiOiIwLjAuMDAwMCIsIlAiOiJXaW4zMiIsIkFOIjoiTWFpbCIsIldUIjoyfQ%3D%3D%7C0%7C%7C%7C&amp;sdata=3x1GeGOVBK84p%2FNIbTPAXaEnyAlm7jBFYsAk53hoQeA%3D&amp;reserved=0" TargetMode="External" /><Relationship Id="rId2" Type="http://schemas.openxmlformats.org/officeDocument/2006/relationships/hyperlink" Target="https://broadbandmap.fcc.gov/data-download/nationwide-data" TargetMode="External" /><Relationship Id="rId3" Type="http://schemas.openxmlformats.org/officeDocument/2006/relationships/hyperlink" Target="mailto:hcinfo@usac.org" TargetMode="External" /><Relationship Id="rId4" Type="http://schemas.openxmlformats.org/officeDocument/2006/relationships/hyperlink" Target="mailto:Megan.Danner@fcc.gov" TargetMode="External" /><Relationship Id="rId5" Type="http://schemas.openxmlformats.org/officeDocument/2006/relationships/hyperlink" Target="mailto:Nissa.Laughner@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