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68316A" w:rsidP="0068316A" w14:paraId="0DAE385F" w14:textId="34606968">
      <w:pPr>
        <w:jc w:val="right"/>
        <w:rPr>
          <w:b/>
          <w:sz w:val="24"/>
        </w:rPr>
      </w:pPr>
      <w:r w:rsidRPr="0068316A">
        <w:rPr>
          <w:b/>
          <w:szCs w:val="22"/>
        </w:rPr>
        <w:t>DA 26-</w:t>
      </w:r>
      <w:r w:rsidR="00C13570">
        <w:rPr>
          <w:b/>
          <w:szCs w:val="22"/>
        </w:rPr>
        <w:t>197</w:t>
      </w:r>
    </w:p>
    <w:p w:rsidR="00BA3BA8" w:rsidP="00C4599B" w14:paraId="6FB5486F" w14:textId="4018A1F6">
      <w:pPr>
        <w:jc w:val="right"/>
        <w:rPr>
          <w:b/>
          <w:sz w:val="24"/>
        </w:rPr>
      </w:pPr>
      <w:r w:rsidRPr="0068316A">
        <w:rPr>
          <w:b/>
          <w:sz w:val="24"/>
        </w:rPr>
        <w:t xml:space="preserve">Released:  </w:t>
      </w:r>
      <w:r w:rsidRPr="0068316A" w:rsidR="00AC2513">
        <w:rPr>
          <w:b/>
          <w:szCs w:val="22"/>
        </w:rPr>
        <w:t xml:space="preserve">February </w:t>
      </w:r>
      <w:r w:rsidR="007E5BE4">
        <w:rPr>
          <w:b/>
          <w:szCs w:val="22"/>
        </w:rPr>
        <w:t>27</w:t>
      </w:r>
      <w:r w:rsidRPr="0068316A" w:rsidR="00AC2513">
        <w:rPr>
          <w:b/>
          <w:szCs w:val="22"/>
        </w:rPr>
        <w:t>, 2026</w:t>
      </w:r>
    </w:p>
    <w:p w:rsidR="00BA3BA8" w14:paraId="18A8C5CF" w14:textId="77777777">
      <w:pPr>
        <w:jc w:val="right"/>
        <w:rPr>
          <w:sz w:val="24"/>
        </w:rPr>
      </w:pPr>
    </w:p>
    <w:p w:rsidR="00E72797" w:rsidP="00132AA6" w14:paraId="527321BA" w14:textId="77777777">
      <w:pPr>
        <w:jc w:val="center"/>
        <w:rPr>
          <w:b/>
          <w:szCs w:val="22"/>
        </w:rPr>
      </w:pPr>
      <w:r w:rsidRPr="00640FBA">
        <w:rPr>
          <w:b/>
          <w:szCs w:val="22"/>
        </w:rPr>
        <w:t>OFFICE OF INTERNATIONAL</w:t>
      </w:r>
      <w:r w:rsidRPr="00640FBA">
        <w:rPr>
          <w:b/>
          <w:spacing w:val="-8"/>
          <w:szCs w:val="22"/>
        </w:rPr>
        <w:t xml:space="preserve"> </w:t>
      </w:r>
      <w:r w:rsidRPr="00640FBA">
        <w:rPr>
          <w:b/>
          <w:szCs w:val="22"/>
        </w:rPr>
        <w:t>AFFAIRS</w:t>
      </w:r>
      <w:r w:rsidRPr="00640FBA">
        <w:rPr>
          <w:b/>
          <w:spacing w:val="-9"/>
          <w:szCs w:val="22"/>
        </w:rPr>
        <w:t xml:space="preserve"> </w:t>
      </w:r>
      <w:r w:rsidRPr="00640FBA">
        <w:rPr>
          <w:b/>
          <w:szCs w:val="22"/>
        </w:rPr>
        <w:t>REMINDS</w:t>
      </w:r>
      <w:r w:rsidRPr="00640FBA">
        <w:rPr>
          <w:b/>
          <w:spacing w:val="-8"/>
          <w:szCs w:val="22"/>
        </w:rPr>
        <w:t xml:space="preserve"> </w:t>
      </w:r>
      <w:r w:rsidRPr="00640FBA">
        <w:rPr>
          <w:b/>
          <w:szCs w:val="22"/>
        </w:rPr>
        <w:t>CABLE</w:t>
      </w:r>
      <w:r w:rsidRPr="00640FBA">
        <w:rPr>
          <w:b/>
          <w:spacing w:val="-8"/>
          <w:szCs w:val="22"/>
        </w:rPr>
        <w:t xml:space="preserve"> </w:t>
      </w:r>
      <w:r w:rsidRPr="00640FBA">
        <w:rPr>
          <w:b/>
          <w:szCs w:val="22"/>
        </w:rPr>
        <w:t>LANDING</w:t>
      </w:r>
      <w:r w:rsidRPr="00640FBA">
        <w:rPr>
          <w:b/>
          <w:spacing w:val="-8"/>
          <w:szCs w:val="22"/>
        </w:rPr>
        <w:t xml:space="preserve"> </w:t>
      </w:r>
      <w:r w:rsidRPr="00640FBA">
        <w:rPr>
          <w:b/>
          <w:szCs w:val="22"/>
        </w:rPr>
        <w:t xml:space="preserve">LICENSEES </w:t>
      </w:r>
    </w:p>
    <w:p w:rsidR="00AD1185" w:rsidP="00132AA6" w14:paraId="7D3A25DB" w14:textId="2892BB63">
      <w:pPr>
        <w:jc w:val="center"/>
        <w:rPr>
          <w:b/>
          <w:szCs w:val="22"/>
        </w:rPr>
      </w:pPr>
      <w:r w:rsidRPr="00640FBA">
        <w:rPr>
          <w:b/>
          <w:szCs w:val="22"/>
        </w:rPr>
        <w:t xml:space="preserve">AND COMMON CARRIERS TO FILE ANNUAL </w:t>
      </w:r>
      <w:r>
        <w:rPr>
          <w:b/>
          <w:szCs w:val="22"/>
        </w:rPr>
        <w:t>CIRCUIT</w:t>
      </w:r>
      <w:r w:rsidRPr="00640FBA">
        <w:rPr>
          <w:b/>
          <w:szCs w:val="22"/>
        </w:rPr>
        <w:t xml:space="preserve"> </w:t>
      </w:r>
    </w:p>
    <w:p w:rsidR="00BA3BA8" w:rsidP="00132AA6" w14:paraId="1DB956DD" w14:textId="0944EAC5">
      <w:pPr>
        <w:jc w:val="center"/>
        <w:rPr>
          <w:b/>
          <w:szCs w:val="22"/>
        </w:rPr>
      </w:pPr>
      <w:r w:rsidRPr="00640FBA">
        <w:rPr>
          <w:b/>
          <w:szCs w:val="22"/>
        </w:rPr>
        <w:t xml:space="preserve">CAPACITY </w:t>
      </w:r>
      <w:r w:rsidR="007C0292">
        <w:rPr>
          <w:b/>
          <w:szCs w:val="22"/>
        </w:rPr>
        <w:t xml:space="preserve">HOLDER </w:t>
      </w:r>
      <w:r w:rsidRPr="00640FBA">
        <w:rPr>
          <w:b/>
          <w:szCs w:val="22"/>
        </w:rPr>
        <w:t>REPORT BY M</w:t>
      </w:r>
      <w:r>
        <w:rPr>
          <w:b/>
          <w:szCs w:val="22"/>
        </w:rPr>
        <w:t>ARCH</w:t>
      </w:r>
      <w:r w:rsidRPr="00640FBA">
        <w:rPr>
          <w:b/>
          <w:szCs w:val="22"/>
        </w:rPr>
        <w:t xml:space="preserve"> 31, </w:t>
      </w:r>
      <w:r w:rsidRPr="00640FBA" w:rsidR="00CF1385">
        <w:rPr>
          <w:b/>
          <w:szCs w:val="22"/>
        </w:rPr>
        <w:t>202</w:t>
      </w:r>
      <w:r w:rsidR="00CF1385">
        <w:rPr>
          <w:b/>
          <w:szCs w:val="22"/>
        </w:rPr>
        <w:t>6</w:t>
      </w:r>
    </w:p>
    <w:p w:rsidR="00AD1185" w:rsidP="00C4599B" w14:paraId="136A04F2" w14:textId="77777777">
      <w:pPr>
        <w:jc w:val="center"/>
        <w:rPr>
          <w:rFonts w:ascii="Times New Roman Bold" w:hAnsi="Times New Roman Bold"/>
          <w:b/>
          <w:caps/>
          <w:sz w:val="24"/>
        </w:rPr>
      </w:pPr>
    </w:p>
    <w:p w:rsidR="00BA3BA8" w14:paraId="6A462CC2" w14:textId="5EB6B96F">
      <w:pPr>
        <w:spacing w:after="240"/>
        <w:jc w:val="center"/>
        <w:rPr>
          <w:b/>
          <w:sz w:val="24"/>
        </w:rPr>
      </w:pPr>
      <w:r w:rsidRPr="00640FBA">
        <w:rPr>
          <w:b/>
          <w:i/>
          <w:szCs w:val="22"/>
        </w:rPr>
        <w:t>Electronic</w:t>
      </w:r>
      <w:r w:rsidRPr="00640FBA">
        <w:rPr>
          <w:b/>
          <w:i/>
          <w:spacing w:val="-3"/>
          <w:szCs w:val="22"/>
        </w:rPr>
        <w:t xml:space="preserve"> </w:t>
      </w:r>
      <w:r w:rsidRPr="00640FBA">
        <w:rPr>
          <w:b/>
          <w:i/>
          <w:szCs w:val="22"/>
        </w:rPr>
        <w:t>Filing</w:t>
      </w:r>
      <w:r w:rsidRPr="00640FBA">
        <w:rPr>
          <w:b/>
          <w:i/>
          <w:spacing w:val="-3"/>
          <w:szCs w:val="22"/>
        </w:rPr>
        <w:t xml:space="preserve"> </w:t>
      </w:r>
      <w:r w:rsidRPr="00640FBA">
        <w:rPr>
          <w:b/>
          <w:i/>
          <w:szCs w:val="22"/>
        </w:rPr>
        <w:t>Window</w:t>
      </w:r>
      <w:r w:rsidRPr="00640FBA">
        <w:rPr>
          <w:b/>
          <w:i/>
          <w:spacing w:val="-6"/>
          <w:szCs w:val="22"/>
        </w:rPr>
        <w:t xml:space="preserve"> </w:t>
      </w:r>
      <w:r w:rsidRPr="00640FBA">
        <w:rPr>
          <w:b/>
          <w:i/>
          <w:szCs w:val="22"/>
        </w:rPr>
        <w:t>Opens</w:t>
      </w:r>
      <w:r w:rsidRPr="00640FBA">
        <w:rPr>
          <w:b/>
          <w:i/>
          <w:spacing w:val="-1"/>
          <w:szCs w:val="22"/>
        </w:rPr>
        <w:t xml:space="preserve"> </w:t>
      </w:r>
      <w:r w:rsidRPr="00640FBA">
        <w:rPr>
          <w:b/>
          <w:i/>
          <w:szCs w:val="22"/>
        </w:rPr>
        <w:t>on</w:t>
      </w:r>
      <w:r w:rsidRPr="00640FBA">
        <w:rPr>
          <w:b/>
          <w:i/>
          <w:spacing w:val="-2"/>
          <w:szCs w:val="22"/>
        </w:rPr>
        <w:t xml:space="preserve"> </w:t>
      </w:r>
      <w:r w:rsidRPr="00640FBA">
        <w:rPr>
          <w:b/>
          <w:i/>
          <w:szCs w:val="22"/>
        </w:rPr>
        <w:t>March</w:t>
      </w:r>
      <w:r w:rsidRPr="00640FBA">
        <w:rPr>
          <w:b/>
          <w:i/>
          <w:spacing w:val="-3"/>
          <w:szCs w:val="22"/>
        </w:rPr>
        <w:t xml:space="preserve"> </w:t>
      </w:r>
      <w:r w:rsidRPr="00640FBA">
        <w:rPr>
          <w:b/>
          <w:i/>
          <w:szCs w:val="22"/>
        </w:rPr>
        <w:t>1,</w:t>
      </w:r>
      <w:r w:rsidRPr="00640FBA">
        <w:rPr>
          <w:b/>
          <w:i/>
          <w:spacing w:val="-2"/>
          <w:szCs w:val="22"/>
        </w:rPr>
        <w:t xml:space="preserve"> </w:t>
      </w:r>
      <w:r w:rsidRPr="00640FBA">
        <w:rPr>
          <w:b/>
          <w:i/>
          <w:szCs w:val="22"/>
        </w:rPr>
        <w:t>202</w:t>
      </w:r>
      <w:r>
        <w:rPr>
          <w:b/>
          <w:i/>
          <w:szCs w:val="22"/>
        </w:rPr>
        <w:t>6</w:t>
      </w:r>
    </w:p>
    <w:p w:rsidR="0064660F" w:rsidP="00C91467" w14:paraId="30AFF1BE" w14:textId="3C7D334B">
      <w:pPr>
        <w:ind w:firstLine="720"/>
      </w:pPr>
      <w:bookmarkStart w:id="0" w:name="TOChere"/>
      <w:r w:rsidRPr="00640FBA">
        <w:rPr>
          <w:szCs w:val="22"/>
        </w:rPr>
        <w:t>We remind cable landing licensees and common carriers</w:t>
      </w:r>
      <w:r w:rsidR="00AD1185">
        <w:rPr>
          <w:szCs w:val="22"/>
        </w:rPr>
        <w:t xml:space="preserve"> </w:t>
      </w:r>
      <w:r w:rsidRPr="00640FBA">
        <w:rPr>
          <w:szCs w:val="22"/>
        </w:rPr>
        <w:t xml:space="preserve">that </w:t>
      </w:r>
      <w:r w:rsidR="00F9766B">
        <w:rPr>
          <w:szCs w:val="22"/>
        </w:rPr>
        <w:t xml:space="preserve">they must </w:t>
      </w:r>
      <w:r w:rsidR="005B04DA">
        <w:rPr>
          <w:szCs w:val="22"/>
        </w:rPr>
        <w:t xml:space="preserve">each </w:t>
      </w:r>
      <w:r w:rsidR="004B2B57">
        <w:rPr>
          <w:szCs w:val="22"/>
        </w:rPr>
        <w:t>report the</w:t>
      </w:r>
      <w:r w:rsidR="00087A61">
        <w:rPr>
          <w:szCs w:val="22"/>
        </w:rPr>
        <w:t>ir</w:t>
      </w:r>
      <w:r w:rsidR="00F9766B">
        <w:rPr>
          <w:szCs w:val="22"/>
        </w:rPr>
        <w:t xml:space="preserve"> </w:t>
      </w:r>
      <w:r w:rsidR="005E2242">
        <w:rPr>
          <w:szCs w:val="22"/>
        </w:rPr>
        <w:t xml:space="preserve">circuit capacity </w:t>
      </w:r>
      <w:r w:rsidRPr="00640FBA">
        <w:rPr>
          <w:szCs w:val="22"/>
        </w:rPr>
        <w:t xml:space="preserve">data </w:t>
      </w:r>
      <w:r w:rsidR="003F268D">
        <w:rPr>
          <w:szCs w:val="22"/>
        </w:rPr>
        <w:t>in</w:t>
      </w:r>
      <w:r w:rsidRPr="00640FBA">
        <w:rPr>
          <w:szCs w:val="22"/>
        </w:rPr>
        <w:t xml:space="preserve"> </w:t>
      </w:r>
      <w:r w:rsidR="004B2B57">
        <w:rPr>
          <w:szCs w:val="22"/>
        </w:rPr>
        <w:t xml:space="preserve">the </w:t>
      </w:r>
      <w:r w:rsidRPr="00640FBA">
        <w:rPr>
          <w:szCs w:val="22"/>
        </w:rPr>
        <w:t xml:space="preserve">annual </w:t>
      </w:r>
      <w:r w:rsidR="00D60A3E">
        <w:rPr>
          <w:szCs w:val="22"/>
        </w:rPr>
        <w:t xml:space="preserve">Circuit </w:t>
      </w:r>
      <w:r w:rsidRPr="00640FBA">
        <w:rPr>
          <w:szCs w:val="22"/>
        </w:rPr>
        <w:t>C</w:t>
      </w:r>
      <w:r w:rsidR="00FC6440">
        <w:rPr>
          <w:szCs w:val="22"/>
        </w:rPr>
        <w:t>apacity Holder</w:t>
      </w:r>
      <w:r w:rsidRPr="00640FBA">
        <w:rPr>
          <w:szCs w:val="22"/>
        </w:rPr>
        <w:t xml:space="preserve"> Report </w:t>
      </w:r>
      <w:r w:rsidR="003F268D">
        <w:rPr>
          <w:szCs w:val="22"/>
        </w:rPr>
        <w:t>by</w:t>
      </w:r>
      <w:r w:rsidRPr="00640FBA">
        <w:rPr>
          <w:szCs w:val="22"/>
        </w:rPr>
        <w:t xml:space="preserve"> March 31, 202</w:t>
      </w:r>
      <w:r w:rsidR="007C2A6E">
        <w:rPr>
          <w:szCs w:val="22"/>
        </w:rPr>
        <w:t>6</w:t>
      </w:r>
      <w:r w:rsidRPr="00640FBA">
        <w:rPr>
          <w:szCs w:val="22"/>
        </w:rPr>
        <w:t>.</w:t>
      </w:r>
      <w:r>
        <w:rPr>
          <w:rStyle w:val="FootnoteReference"/>
        </w:rPr>
        <w:footnoteReference w:id="3"/>
      </w:r>
      <w:r w:rsidRPr="00640FBA">
        <w:rPr>
          <w:szCs w:val="22"/>
        </w:rPr>
        <w:t xml:space="preserve">  </w:t>
      </w:r>
      <w:r w:rsidR="00F42C14">
        <w:rPr>
          <w:szCs w:val="22"/>
        </w:rPr>
        <w:t xml:space="preserve">Since the last </w:t>
      </w:r>
      <w:r w:rsidR="007E4ABE">
        <w:rPr>
          <w:szCs w:val="22"/>
        </w:rPr>
        <w:t xml:space="preserve">collection </w:t>
      </w:r>
      <w:r w:rsidR="002217DA">
        <w:rPr>
          <w:szCs w:val="22"/>
        </w:rPr>
        <w:t xml:space="preserve">held </w:t>
      </w:r>
      <w:r w:rsidR="007E4ABE">
        <w:rPr>
          <w:szCs w:val="22"/>
        </w:rPr>
        <w:t xml:space="preserve">in 2025, the Commission </w:t>
      </w:r>
      <w:r w:rsidR="0014483A">
        <w:rPr>
          <w:szCs w:val="22"/>
        </w:rPr>
        <w:t xml:space="preserve">adopted </w:t>
      </w:r>
      <w:r w:rsidR="00F0071E">
        <w:rPr>
          <w:szCs w:val="22"/>
        </w:rPr>
        <w:t>changes</w:t>
      </w:r>
      <w:r w:rsidR="009C6521">
        <w:rPr>
          <w:szCs w:val="22"/>
        </w:rPr>
        <w:t xml:space="preserve"> </w:t>
      </w:r>
      <w:r w:rsidR="00851C7C">
        <w:rPr>
          <w:szCs w:val="22"/>
        </w:rPr>
        <w:t xml:space="preserve">in the </w:t>
      </w:r>
      <w:r w:rsidR="00851C7C">
        <w:rPr>
          <w:i/>
          <w:iCs/>
          <w:szCs w:val="22"/>
        </w:rPr>
        <w:t xml:space="preserve">2025 Submarine Cable Report and Order </w:t>
      </w:r>
      <w:r w:rsidR="009C6521">
        <w:rPr>
          <w:szCs w:val="22"/>
        </w:rPr>
        <w:t xml:space="preserve">that </w:t>
      </w:r>
      <w:r w:rsidRPr="00E64DA6" w:rsidR="000453E7">
        <w:t>eliminate</w:t>
      </w:r>
      <w:r w:rsidR="000453E7">
        <w:t>d</w:t>
      </w:r>
      <w:r w:rsidRPr="00E64DA6" w:rsidR="000453E7">
        <w:t xml:space="preserve"> the requirement</w:t>
      </w:r>
      <w:r w:rsidR="000453E7">
        <w:t xml:space="preserve"> for licensees</w:t>
      </w:r>
      <w:r w:rsidRPr="00E64DA6" w:rsidR="000453E7">
        <w:t xml:space="preserve"> to file </w:t>
      </w:r>
      <w:r w:rsidR="006A4221">
        <w:t>the</w:t>
      </w:r>
      <w:r w:rsidRPr="00E64DA6" w:rsidR="000453E7">
        <w:t xml:space="preserve"> Cable Operator Report</w:t>
      </w:r>
      <w:r w:rsidR="00BE2D96">
        <w:t xml:space="preserve">, and consolidated reporting </w:t>
      </w:r>
      <w:r w:rsidR="00231E75">
        <w:t>obligations</w:t>
      </w:r>
      <w:r w:rsidR="00BE2D96">
        <w:t xml:space="preserve"> into a single report, the Capacity Holder Report</w:t>
      </w:r>
      <w:r w:rsidR="00C05A28">
        <w:t>.</w:t>
      </w:r>
      <w:r>
        <w:rPr>
          <w:rStyle w:val="FootnoteReference"/>
        </w:rPr>
        <w:footnoteReference w:id="4"/>
      </w:r>
      <w:r w:rsidR="00C05A28">
        <w:t xml:space="preserve">  </w:t>
      </w:r>
      <w:r w:rsidR="0092463B">
        <w:t>This change is now effective.</w:t>
      </w:r>
      <w:r>
        <w:rPr>
          <w:rStyle w:val="FootnoteReference"/>
        </w:rPr>
        <w:footnoteReference w:id="5"/>
      </w:r>
      <w:r w:rsidR="0092463B">
        <w:t xml:space="preserve">  </w:t>
      </w:r>
      <w:r w:rsidR="00231E75">
        <w:t>Accordingly</w:t>
      </w:r>
      <w:r w:rsidR="007D78A6">
        <w:t xml:space="preserve">, </w:t>
      </w:r>
      <w:r w:rsidR="00AD490D">
        <w:t>c</w:t>
      </w:r>
      <w:r w:rsidR="004D2F1B">
        <w:t xml:space="preserve">able landing licensees and common carriers </w:t>
      </w:r>
      <w:r w:rsidR="00AD490D">
        <w:t>must</w:t>
      </w:r>
      <w:r w:rsidR="004D2F1B">
        <w:t xml:space="preserve"> </w:t>
      </w:r>
      <w:r w:rsidR="00121B9C">
        <w:t xml:space="preserve">report their </w:t>
      </w:r>
      <w:r w:rsidR="00AD490D">
        <w:t xml:space="preserve">circuit </w:t>
      </w:r>
      <w:r w:rsidR="00121B9C">
        <w:t xml:space="preserve">capacity on </w:t>
      </w:r>
      <w:r w:rsidR="001C7A7E">
        <w:t>U.S</w:t>
      </w:r>
      <w:r w:rsidR="00E547ED">
        <w:t>.</w:t>
      </w:r>
      <w:r w:rsidR="001C7A7E">
        <w:t>-</w:t>
      </w:r>
      <w:r w:rsidR="00121B9C">
        <w:t xml:space="preserve"> international cables </w:t>
      </w:r>
      <w:r w:rsidR="00A8693D">
        <w:t xml:space="preserve">for data as of December 31, 2025, </w:t>
      </w:r>
      <w:r w:rsidR="00B87FF4">
        <w:t>i</w:t>
      </w:r>
      <w:r w:rsidR="00121B9C">
        <w:t xml:space="preserve">n </w:t>
      </w:r>
      <w:r w:rsidR="00231E75">
        <w:t>one consolidated filing</w:t>
      </w:r>
      <w:r w:rsidR="00121B9C">
        <w:t>, the Capacity Holder Report</w:t>
      </w:r>
      <w:r w:rsidR="004D2F1B">
        <w:t>.</w:t>
      </w:r>
      <w:r>
        <w:rPr>
          <w:rStyle w:val="FootnoteReference"/>
        </w:rPr>
        <w:footnoteReference w:id="6"/>
      </w:r>
      <w:r w:rsidR="00C00BDD">
        <w:t xml:space="preserve">  </w:t>
      </w:r>
    </w:p>
    <w:p w:rsidR="0064660F" w:rsidP="00C91467" w14:paraId="16AC2860" w14:textId="77777777">
      <w:pPr>
        <w:ind w:firstLine="720"/>
      </w:pPr>
    </w:p>
    <w:p w:rsidR="00D60A3E" w:rsidP="00C91467" w14:paraId="037AA56D" w14:textId="2D9196B2">
      <w:pPr>
        <w:ind w:firstLine="720"/>
      </w:pPr>
      <w:r>
        <w:rPr>
          <w:szCs w:val="22"/>
        </w:rPr>
        <w:t xml:space="preserve">In the </w:t>
      </w:r>
      <w:r w:rsidRPr="00E52456">
        <w:rPr>
          <w:i/>
          <w:iCs/>
          <w:szCs w:val="22"/>
        </w:rPr>
        <w:t xml:space="preserve">2025 </w:t>
      </w:r>
      <w:r w:rsidRPr="00E52456">
        <w:rPr>
          <w:i/>
          <w:iCs/>
        </w:rPr>
        <w:t>Submarine Cable Report and Order</w:t>
      </w:r>
      <w:r>
        <w:t>, t</w:t>
      </w:r>
      <w:r w:rsidR="009E1266">
        <w:t xml:space="preserve">he Commission </w:t>
      </w:r>
      <w:r w:rsidR="00015D31">
        <w:t xml:space="preserve">also </w:t>
      </w:r>
      <w:r w:rsidR="00BE53B4">
        <w:rPr>
          <w:rFonts w:eastAsia="Calibri"/>
        </w:rPr>
        <w:t xml:space="preserve">adopted other </w:t>
      </w:r>
      <w:r w:rsidRPr="00994C40" w:rsidR="009E1266">
        <w:rPr>
          <w:rFonts w:eastAsia="Calibri"/>
        </w:rPr>
        <w:t>circuit capacity reporting requirements</w:t>
      </w:r>
      <w:r w:rsidRPr="00994C40" w:rsidR="009E1266">
        <w:t xml:space="preserve"> to enhance the quality and usefulness of the data for national security and other purposes</w:t>
      </w:r>
      <w:r w:rsidR="003B50B9">
        <w:t>.</w:t>
      </w:r>
      <w:r w:rsidRPr="00F71C92" w:rsidR="00F71C92">
        <w:rPr>
          <w:rStyle w:val="FootnoteReference"/>
          <w:rFonts w:eastAsia="Calibri"/>
        </w:rPr>
        <w:t xml:space="preserve"> </w:t>
      </w:r>
      <w:r>
        <w:rPr>
          <w:rStyle w:val="FootnoteReference"/>
          <w:rFonts w:eastAsia="Calibri"/>
        </w:rPr>
        <w:footnoteReference w:id="7"/>
      </w:r>
      <w:r w:rsidR="003B50B9">
        <w:t xml:space="preserve">  These </w:t>
      </w:r>
      <w:r w:rsidR="00DC32FD">
        <w:t xml:space="preserve">other </w:t>
      </w:r>
      <w:r w:rsidR="00BB16B6">
        <w:t xml:space="preserve">reporting requirements </w:t>
      </w:r>
      <w:r w:rsidR="001A5C52">
        <w:t>are not yet effective</w:t>
      </w:r>
      <w:r w:rsidR="009E1266">
        <w:rPr>
          <w:rFonts w:eastAsia="Calibri"/>
        </w:rPr>
        <w:t xml:space="preserve">.  </w:t>
      </w:r>
      <w:r w:rsidR="001D3A32">
        <w:t xml:space="preserve">We will </w:t>
      </w:r>
      <w:r w:rsidRPr="001D3A32" w:rsidR="001D3A32">
        <w:t>announce the effective date</w:t>
      </w:r>
      <w:r w:rsidR="007E37C7">
        <w:t xml:space="preserve"> of </w:t>
      </w:r>
      <w:r w:rsidR="00124381">
        <w:t>the</w:t>
      </w:r>
      <w:r w:rsidR="006F3AFD">
        <w:t xml:space="preserve">se requirements </w:t>
      </w:r>
      <w:r w:rsidR="007E37C7">
        <w:t xml:space="preserve">in the Federal Register and </w:t>
      </w:r>
      <w:r w:rsidR="00F45574">
        <w:t>in a</w:t>
      </w:r>
      <w:r w:rsidR="007E37C7">
        <w:t xml:space="preserve"> </w:t>
      </w:r>
      <w:r w:rsidR="00FA7B92">
        <w:t>p</w:t>
      </w:r>
      <w:r w:rsidR="007E37C7">
        <w:t xml:space="preserve">ublic </w:t>
      </w:r>
      <w:r w:rsidR="00FA7B92">
        <w:t>n</w:t>
      </w:r>
      <w:r w:rsidR="007E37C7">
        <w:t>otice.</w:t>
      </w:r>
      <w:r>
        <w:rPr>
          <w:rStyle w:val="FootnoteReference"/>
        </w:rPr>
        <w:footnoteReference w:id="8"/>
      </w:r>
      <w:r w:rsidR="00A17CBC">
        <w:t xml:space="preserve">  </w:t>
      </w:r>
    </w:p>
    <w:p w:rsidR="0064660F" w:rsidRPr="00640FBA" w:rsidP="0064660F" w14:paraId="459ADB9E" w14:textId="77777777">
      <w:pPr>
        <w:ind w:firstLine="720"/>
        <w:rPr>
          <w:szCs w:val="22"/>
        </w:rPr>
      </w:pPr>
      <w:r w:rsidRPr="00E52456">
        <w:rPr>
          <w:b/>
          <w:bCs/>
        </w:rPr>
        <w:t>Circuit Capacity Holder Report.</w:t>
      </w:r>
      <w:r>
        <w:t xml:space="preserve">  </w:t>
      </w:r>
      <w:r w:rsidRPr="00640FBA">
        <w:rPr>
          <w:szCs w:val="22"/>
        </w:rPr>
        <w:t>Section</w:t>
      </w:r>
      <w:r w:rsidRPr="00640FBA">
        <w:rPr>
          <w:spacing w:val="-3"/>
          <w:szCs w:val="22"/>
        </w:rPr>
        <w:t xml:space="preserve"> </w:t>
      </w:r>
      <w:r w:rsidRPr="00640FBA">
        <w:rPr>
          <w:szCs w:val="22"/>
        </w:rPr>
        <w:t>43.82</w:t>
      </w:r>
      <w:r>
        <w:rPr>
          <w:szCs w:val="22"/>
        </w:rPr>
        <w:t>(a)(2)</w:t>
      </w:r>
      <w:r w:rsidRPr="00640FBA">
        <w:rPr>
          <w:szCs w:val="22"/>
        </w:rPr>
        <w:t xml:space="preserve"> of the Commission’s rules </w:t>
      </w:r>
      <w:r w:rsidRPr="00640FBA">
        <w:rPr>
          <w:bCs/>
          <w:szCs w:val="22"/>
        </w:rPr>
        <w:t>requires</w:t>
      </w:r>
      <w:r w:rsidRPr="00640FBA">
        <w:rPr>
          <w:szCs w:val="22"/>
        </w:rPr>
        <w:t xml:space="preserve"> </w:t>
      </w:r>
      <w:r>
        <w:rPr>
          <w:szCs w:val="22"/>
        </w:rPr>
        <w:t>each</w:t>
      </w:r>
      <w:r w:rsidRPr="00640FBA">
        <w:rPr>
          <w:szCs w:val="22"/>
        </w:rPr>
        <w:t xml:space="preserve"> </w:t>
      </w:r>
      <w:r>
        <w:rPr>
          <w:szCs w:val="22"/>
        </w:rPr>
        <w:t xml:space="preserve">cable landing </w:t>
      </w:r>
      <w:r w:rsidRPr="00640FBA">
        <w:rPr>
          <w:szCs w:val="22"/>
        </w:rPr>
        <w:t xml:space="preserve">licensee </w:t>
      </w:r>
      <w:r>
        <w:rPr>
          <w:szCs w:val="22"/>
        </w:rPr>
        <w:t>and</w:t>
      </w:r>
      <w:r w:rsidRPr="00640FBA">
        <w:rPr>
          <w:szCs w:val="22"/>
        </w:rPr>
        <w:t xml:space="preserve"> common carrier with capacity on a submarine cable between the United States and</w:t>
      </w:r>
      <w:r w:rsidRPr="00640FBA">
        <w:rPr>
          <w:spacing w:val="-1"/>
          <w:szCs w:val="22"/>
        </w:rPr>
        <w:t xml:space="preserve"> </w:t>
      </w:r>
      <w:r w:rsidRPr="00640FBA">
        <w:rPr>
          <w:szCs w:val="22"/>
        </w:rPr>
        <w:t>a</w:t>
      </w:r>
      <w:r w:rsidRPr="00640FBA">
        <w:rPr>
          <w:spacing w:val="-3"/>
          <w:szCs w:val="22"/>
        </w:rPr>
        <w:t xml:space="preserve"> </w:t>
      </w:r>
      <w:r w:rsidRPr="00640FBA">
        <w:rPr>
          <w:szCs w:val="22"/>
        </w:rPr>
        <w:t>foreign</w:t>
      </w:r>
      <w:r w:rsidRPr="00640FBA">
        <w:rPr>
          <w:spacing w:val="-4"/>
          <w:szCs w:val="22"/>
        </w:rPr>
        <w:t xml:space="preserve"> </w:t>
      </w:r>
      <w:r w:rsidRPr="00640FBA">
        <w:rPr>
          <w:szCs w:val="22"/>
        </w:rPr>
        <w:t>point</w:t>
      </w:r>
      <w:r w:rsidRPr="00640FBA">
        <w:rPr>
          <w:spacing w:val="-3"/>
          <w:szCs w:val="22"/>
        </w:rPr>
        <w:t xml:space="preserve"> </w:t>
      </w:r>
      <w:r w:rsidRPr="00640FBA">
        <w:rPr>
          <w:szCs w:val="22"/>
        </w:rPr>
        <w:t>to</w:t>
      </w:r>
      <w:r w:rsidRPr="00640FBA">
        <w:rPr>
          <w:spacing w:val="-1"/>
          <w:szCs w:val="22"/>
        </w:rPr>
        <w:t xml:space="preserve"> </w:t>
      </w:r>
      <w:r w:rsidRPr="00640FBA">
        <w:rPr>
          <w:szCs w:val="22"/>
        </w:rPr>
        <w:t>file</w:t>
      </w:r>
      <w:r w:rsidRPr="00640FBA">
        <w:rPr>
          <w:spacing w:val="-1"/>
          <w:szCs w:val="22"/>
        </w:rPr>
        <w:t xml:space="preserve"> </w:t>
      </w:r>
      <w:r>
        <w:rPr>
          <w:spacing w:val="-1"/>
          <w:szCs w:val="22"/>
        </w:rPr>
        <w:t xml:space="preserve">a </w:t>
      </w:r>
      <w:r w:rsidRPr="00640FBA">
        <w:rPr>
          <w:szCs w:val="22"/>
        </w:rPr>
        <w:t>Capacity Holder Report.</w:t>
      </w:r>
      <w:r>
        <w:rPr>
          <w:rStyle w:val="FootnoteReference"/>
        </w:rPr>
        <w:footnoteReference w:id="9"/>
      </w:r>
      <w:r w:rsidRPr="00640FBA">
        <w:rPr>
          <w:spacing w:val="40"/>
          <w:szCs w:val="22"/>
        </w:rPr>
        <w:t xml:space="preserve"> </w:t>
      </w:r>
      <w:r w:rsidRPr="00640FBA">
        <w:rPr>
          <w:szCs w:val="22"/>
        </w:rPr>
        <w:t>Cable landing licensees and common carriers must file a Capacity Holder Report identifying</w:t>
      </w:r>
      <w:r w:rsidRPr="00640FBA">
        <w:rPr>
          <w:spacing w:val="-2"/>
          <w:szCs w:val="22"/>
        </w:rPr>
        <w:t xml:space="preserve"> </w:t>
      </w:r>
      <w:r w:rsidRPr="00640FBA">
        <w:rPr>
          <w:szCs w:val="22"/>
        </w:rPr>
        <w:t>the</w:t>
      </w:r>
      <w:r w:rsidRPr="00640FBA">
        <w:rPr>
          <w:spacing w:val="-2"/>
          <w:szCs w:val="22"/>
        </w:rPr>
        <w:t xml:space="preserve"> </w:t>
      </w:r>
      <w:r w:rsidRPr="00640FBA">
        <w:rPr>
          <w:szCs w:val="22"/>
        </w:rPr>
        <w:t>capacity</w:t>
      </w:r>
      <w:r w:rsidRPr="00640FBA">
        <w:rPr>
          <w:spacing w:val="-2"/>
          <w:szCs w:val="22"/>
        </w:rPr>
        <w:t xml:space="preserve"> </w:t>
      </w:r>
      <w:r w:rsidRPr="00640FBA">
        <w:rPr>
          <w:szCs w:val="22"/>
        </w:rPr>
        <w:t>that</w:t>
      </w:r>
      <w:r w:rsidRPr="00640FBA">
        <w:rPr>
          <w:spacing w:val="-1"/>
          <w:szCs w:val="22"/>
        </w:rPr>
        <w:t xml:space="preserve"> </w:t>
      </w:r>
      <w:r w:rsidRPr="00640FBA">
        <w:rPr>
          <w:szCs w:val="22"/>
        </w:rPr>
        <w:t>they</w:t>
      </w:r>
      <w:r w:rsidRPr="00640FBA">
        <w:rPr>
          <w:spacing w:val="-2"/>
          <w:szCs w:val="22"/>
        </w:rPr>
        <w:t xml:space="preserve"> </w:t>
      </w:r>
      <w:r w:rsidRPr="00640FBA">
        <w:rPr>
          <w:szCs w:val="22"/>
        </w:rPr>
        <w:t>own</w:t>
      </w:r>
      <w:r w:rsidRPr="00640FBA">
        <w:rPr>
          <w:spacing w:val="-2"/>
          <w:szCs w:val="22"/>
        </w:rPr>
        <w:t xml:space="preserve"> </w:t>
      </w:r>
      <w:r w:rsidRPr="00640FBA">
        <w:rPr>
          <w:szCs w:val="22"/>
        </w:rPr>
        <w:t>or hold</w:t>
      </w:r>
      <w:r w:rsidRPr="00640FBA">
        <w:rPr>
          <w:spacing w:val="-2"/>
          <w:szCs w:val="22"/>
        </w:rPr>
        <w:t xml:space="preserve"> </w:t>
      </w:r>
      <w:r w:rsidRPr="00640FBA">
        <w:rPr>
          <w:szCs w:val="22"/>
        </w:rPr>
        <w:t>through</w:t>
      </w:r>
      <w:r w:rsidRPr="00640FBA">
        <w:rPr>
          <w:spacing w:val="-5"/>
          <w:szCs w:val="22"/>
        </w:rPr>
        <w:t xml:space="preserve"> </w:t>
      </w:r>
      <w:r w:rsidRPr="00640FBA">
        <w:rPr>
          <w:szCs w:val="22"/>
        </w:rPr>
        <w:t>an</w:t>
      </w:r>
      <w:r w:rsidRPr="00640FBA">
        <w:rPr>
          <w:spacing w:val="-2"/>
          <w:szCs w:val="22"/>
        </w:rPr>
        <w:t xml:space="preserve"> </w:t>
      </w:r>
      <w:r w:rsidRPr="00640FBA">
        <w:rPr>
          <w:szCs w:val="22"/>
        </w:rPr>
        <w:t>indefeasible</w:t>
      </w:r>
      <w:r w:rsidRPr="00640FBA">
        <w:rPr>
          <w:spacing w:val="-2"/>
          <w:szCs w:val="22"/>
        </w:rPr>
        <w:t xml:space="preserve"> </w:t>
      </w:r>
      <w:r w:rsidRPr="00640FBA">
        <w:rPr>
          <w:szCs w:val="22"/>
        </w:rPr>
        <w:t>right</w:t>
      </w:r>
      <w:r w:rsidRPr="00640FBA">
        <w:rPr>
          <w:spacing w:val="-1"/>
          <w:szCs w:val="22"/>
        </w:rPr>
        <w:t xml:space="preserve"> </w:t>
      </w:r>
      <w:r w:rsidRPr="00640FBA">
        <w:rPr>
          <w:szCs w:val="22"/>
        </w:rPr>
        <w:t>of</w:t>
      </w:r>
      <w:r w:rsidRPr="00640FBA">
        <w:rPr>
          <w:spacing w:val="-4"/>
          <w:szCs w:val="22"/>
        </w:rPr>
        <w:t xml:space="preserve"> </w:t>
      </w:r>
      <w:r w:rsidRPr="00640FBA">
        <w:rPr>
          <w:szCs w:val="22"/>
        </w:rPr>
        <w:t>use</w:t>
      </w:r>
      <w:r w:rsidRPr="00640FBA">
        <w:rPr>
          <w:spacing w:val="-4"/>
          <w:szCs w:val="22"/>
        </w:rPr>
        <w:t xml:space="preserve"> </w:t>
      </w:r>
      <w:r w:rsidRPr="00640FBA">
        <w:rPr>
          <w:szCs w:val="22"/>
        </w:rPr>
        <w:t>(IRU)</w:t>
      </w:r>
      <w:r w:rsidRPr="00640FBA">
        <w:rPr>
          <w:spacing w:val="-2"/>
          <w:szCs w:val="22"/>
        </w:rPr>
        <w:t xml:space="preserve"> </w:t>
      </w:r>
      <w:r w:rsidRPr="00640FBA">
        <w:rPr>
          <w:szCs w:val="22"/>
        </w:rPr>
        <w:t>or</w:t>
      </w:r>
      <w:r w:rsidRPr="00640FBA">
        <w:rPr>
          <w:spacing w:val="-2"/>
          <w:szCs w:val="22"/>
        </w:rPr>
        <w:t xml:space="preserve"> </w:t>
      </w:r>
      <w:r w:rsidRPr="00640FBA">
        <w:rPr>
          <w:szCs w:val="22"/>
        </w:rPr>
        <w:t>an</w:t>
      </w:r>
      <w:r w:rsidRPr="00640FBA">
        <w:rPr>
          <w:spacing w:val="-4"/>
          <w:szCs w:val="22"/>
        </w:rPr>
        <w:t xml:space="preserve"> </w:t>
      </w:r>
      <w:r w:rsidRPr="00640FBA">
        <w:rPr>
          <w:szCs w:val="22"/>
        </w:rPr>
        <w:t>inter</w:t>
      </w:r>
      <w:r>
        <w:rPr>
          <w:szCs w:val="22"/>
        </w:rPr>
        <w:t>-</w:t>
      </w:r>
      <w:r w:rsidRPr="00640FBA">
        <w:rPr>
          <w:szCs w:val="22"/>
        </w:rPr>
        <w:t>carrier lease (ICL) as of December 31, 202</w:t>
      </w:r>
      <w:r>
        <w:rPr>
          <w:szCs w:val="22"/>
        </w:rPr>
        <w:t>5</w:t>
      </w:r>
      <w:r w:rsidRPr="00640FBA">
        <w:rPr>
          <w:szCs w:val="22"/>
        </w:rPr>
        <w:t>.</w:t>
      </w:r>
      <w:r>
        <w:rPr>
          <w:rStyle w:val="FootnoteReference"/>
        </w:rPr>
        <w:footnoteReference w:id="10"/>
      </w:r>
    </w:p>
    <w:p w:rsidR="0064660F" w:rsidP="0064660F" w14:paraId="60E81975" w14:textId="77777777">
      <w:pPr>
        <w:widowControl/>
        <w:ind w:firstLine="720"/>
        <w:rPr>
          <w:b/>
          <w:szCs w:val="22"/>
        </w:rPr>
      </w:pPr>
    </w:p>
    <w:p w:rsidR="0064660F" w:rsidRPr="00640FBA" w:rsidP="0064660F" w14:paraId="43258E45" w14:textId="3FD29DF1">
      <w:pPr>
        <w:pStyle w:val="ListParagraph"/>
        <w:numPr>
          <w:ilvl w:val="0"/>
          <w:numId w:val="7"/>
        </w:numPr>
        <w:tabs>
          <w:tab w:val="left" w:pos="840"/>
        </w:tabs>
        <w:spacing w:line="230" w:lineRule="auto"/>
      </w:pPr>
      <w:r>
        <w:rPr>
          <w:b/>
          <w:bCs/>
        </w:rPr>
        <w:t xml:space="preserve">Filing on Behalf of </w:t>
      </w:r>
      <w:r w:rsidRPr="002A36A4">
        <w:rPr>
          <w:b/>
          <w:bCs/>
        </w:rPr>
        <w:t>Affiliated Entities.</w:t>
      </w:r>
      <w:r>
        <w:t xml:space="preserve">  </w:t>
      </w:r>
      <w:r w:rsidRPr="00640FBA">
        <w:t>If</w:t>
      </w:r>
      <w:r w:rsidRPr="00640FBA">
        <w:rPr>
          <w:spacing w:val="-2"/>
        </w:rPr>
        <w:t xml:space="preserve"> </w:t>
      </w:r>
      <w:r w:rsidRPr="00640FBA">
        <w:t>a</w:t>
      </w:r>
      <w:r w:rsidRPr="00640FBA">
        <w:rPr>
          <w:spacing w:val="-2"/>
        </w:rPr>
        <w:t xml:space="preserve"> </w:t>
      </w:r>
      <w:r w:rsidRPr="00640FBA">
        <w:t>Filing</w:t>
      </w:r>
      <w:r w:rsidRPr="00640FBA">
        <w:rPr>
          <w:spacing w:val="-2"/>
        </w:rPr>
        <w:t xml:space="preserve"> </w:t>
      </w:r>
      <w:r w:rsidRPr="00640FBA">
        <w:t>Entity</w:t>
      </w:r>
      <w:r w:rsidRPr="00640FBA">
        <w:rPr>
          <w:spacing w:val="-5"/>
        </w:rPr>
        <w:t xml:space="preserve"> </w:t>
      </w:r>
      <w:r w:rsidRPr="00640FBA">
        <w:t>is</w:t>
      </w:r>
      <w:r w:rsidRPr="00640FBA">
        <w:rPr>
          <w:spacing w:val="-4"/>
        </w:rPr>
        <w:t xml:space="preserve"> </w:t>
      </w:r>
      <w:r w:rsidRPr="00640FBA">
        <w:t>filing</w:t>
      </w:r>
      <w:r w:rsidRPr="00640FBA">
        <w:rPr>
          <w:spacing w:val="-2"/>
        </w:rPr>
        <w:t xml:space="preserve"> </w:t>
      </w:r>
      <w:r w:rsidRPr="00640FBA">
        <w:t>on</w:t>
      </w:r>
      <w:r w:rsidRPr="00640FBA">
        <w:rPr>
          <w:spacing w:val="-2"/>
        </w:rPr>
        <w:t xml:space="preserve"> </w:t>
      </w:r>
      <w:r w:rsidRPr="00640FBA">
        <w:t>behalf</w:t>
      </w:r>
      <w:r w:rsidRPr="00640FBA">
        <w:rPr>
          <w:spacing w:val="-2"/>
        </w:rPr>
        <w:t xml:space="preserve"> </w:t>
      </w:r>
      <w:r w:rsidRPr="00640FBA">
        <w:t>of</w:t>
      </w:r>
      <w:r w:rsidRPr="00640FBA">
        <w:rPr>
          <w:spacing w:val="-2"/>
        </w:rPr>
        <w:t xml:space="preserve"> </w:t>
      </w:r>
      <w:r w:rsidRPr="00640FBA">
        <w:t>an</w:t>
      </w:r>
      <w:r w:rsidRPr="00640FBA">
        <w:rPr>
          <w:spacing w:val="-4"/>
        </w:rPr>
        <w:t xml:space="preserve"> </w:t>
      </w:r>
      <w:r w:rsidRPr="00640FBA">
        <w:t>affiliated</w:t>
      </w:r>
      <w:r w:rsidRPr="00640FBA">
        <w:rPr>
          <w:spacing w:val="-2"/>
        </w:rPr>
        <w:t xml:space="preserve"> </w:t>
      </w:r>
      <w:r w:rsidRPr="00640FBA">
        <w:t>entity</w:t>
      </w:r>
      <w:r w:rsidRPr="00640FBA">
        <w:rPr>
          <w:spacing w:val="-2"/>
        </w:rPr>
        <w:t xml:space="preserve"> </w:t>
      </w:r>
      <w:r w:rsidRPr="00640FBA">
        <w:t>or</w:t>
      </w:r>
      <w:r w:rsidRPr="00640FBA">
        <w:rPr>
          <w:spacing w:val="-4"/>
        </w:rPr>
        <w:t xml:space="preserve"> </w:t>
      </w:r>
      <w:r w:rsidRPr="00640FBA">
        <w:t>entities, the</w:t>
      </w:r>
      <w:r w:rsidRPr="00640FBA">
        <w:rPr>
          <w:spacing w:val="-2"/>
        </w:rPr>
        <w:t xml:space="preserve"> </w:t>
      </w:r>
      <w:r w:rsidRPr="00640FBA">
        <w:t>Filing</w:t>
      </w:r>
      <w:r w:rsidRPr="00640FBA">
        <w:rPr>
          <w:spacing w:val="-2"/>
        </w:rPr>
        <w:t xml:space="preserve"> </w:t>
      </w:r>
      <w:r w:rsidRPr="00640FBA">
        <w:t xml:space="preserve">Entity should </w:t>
      </w:r>
      <w:r w:rsidRPr="00640FBA">
        <w:rPr>
          <w:spacing w:val="-1"/>
        </w:rPr>
        <w:t>submit</w:t>
      </w:r>
      <w:r w:rsidRPr="00640FBA">
        <w:t xml:space="preserve"> a list of the entities for which it is filing </w:t>
      </w:r>
      <w:r>
        <w:t xml:space="preserve">circuit capacity </w:t>
      </w:r>
      <w:r w:rsidRPr="00640FBA">
        <w:t xml:space="preserve">data </w:t>
      </w:r>
      <w:r>
        <w:t xml:space="preserve">by sending </w:t>
      </w:r>
      <w:r w:rsidRPr="00640FBA">
        <w:t xml:space="preserve">an email to </w:t>
      </w:r>
      <w:hyperlink r:id="rId6">
        <w:r w:rsidRPr="00640FBA">
          <w:rPr>
            <w:color w:val="0000FF"/>
            <w:spacing w:val="-2"/>
            <w:u w:val="single" w:color="0000FF"/>
          </w:rPr>
          <w:t>Circuit.Capacity@fcc.gov</w:t>
        </w:r>
      </w:hyperlink>
      <w:r w:rsidRPr="00640FBA">
        <w:rPr>
          <w:spacing w:val="-2"/>
        </w:rPr>
        <w:t>.</w:t>
      </w:r>
      <w:r>
        <w:rPr>
          <w:rStyle w:val="FootnoteReference"/>
          <w:spacing w:val="-2"/>
          <w:szCs w:val="20"/>
        </w:rPr>
        <w:footnoteReference w:id="11"/>
      </w:r>
      <w:r w:rsidR="00AC5DC3">
        <w:rPr>
          <w:spacing w:val="-2"/>
        </w:rPr>
        <w:t xml:space="preserve">  </w:t>
      </w:r>
    </w:p>
    <w:p w:rsidR="0064660F" w:rsidP="00385D0E" w14:paraId="10D1938C" w14:textId="77777777">
      <w:pPr>
        <w:ind w:firstLine="720"/>
        <w:rPr>
          <w:b/>
          <w:szCs w:val="22"/>
        </w:rPr>
      </w:pPr>
    </w:p>
    <w:p w:rsidR="00385D0E" w:rsidRPr="00640FBA" w:rsidP="00385D0E" w14:paraId="4463E7E8" w14:textId="4411DAA5">
      <w:pPr>
        <w:ind w:firstLine="720"/>
        <w:rPr>
          <w:szCs w:val="22"/>
        </w:rPr>
      </w:pPr>
      <w:r w:rsidRPr="00640FBA">
        <w:rPr>
          <w:b/>
          <w:szCs w:val="22"/>
        </w:rPr>
        <w:t>Section 43.82 Online Filing Manual and System.</w:t>
      </w:r>
      <w:r w:rsidRPr="00640FBA">
        <w:rPr>
          <w:b/>
          <w:spacing w:val="40"/>
          <w:szCs w:val="22"/>
        </w:rPr>
        <w:t xml:space="preserve"> </w:t>
      </w:r>
      <w:r w:rsidRPr="00640FBA">
        <w:rPr>
          <w:szCs w:val="22"/>
        </w:rPr>
        <w:t xml:space="preserve">Filers should refer to the </w:t>
      </w:r>
      <w:r w:rsidR="00913CCB">
        <w:rPr>
          <w:szCs w:val="22"/>
        </w:rPr>
        <w:t xml:space="preserve">updated </w:t>
      </w:r>
      <w:r w:rsidRPr="00AE1DBE">
        <w:rPr>
          <w:szCs w:val="22"/>
        </w:rPr>
        <w:t>Filing</w:t>
      </w:r>
      <w:r w:rsidRPr="00AE1DBE">
        <w:rPr>
          <w:spacing w:val="-5"/>
          <w:szCs w:val="22"/>
        </w:rPr>
        <w:t xml:space="preserve"> </w:t>
      </w:r>
      <w:r w:rsidRPr="00AE1DBE">
        <w:rPr>
          <w:szCs w:val="22"/>
        </w:rPr>
        <w:t>Manual</w:t>
      </w:r>
      <w:r w:rsidRPr="00AE1DBE">
        <w:rPr>
          <w:spacing w:val="-4"/>
          <w:szCs w:val="22"/>
        </w:rPr>
        <w:t xml:space="preserve"> </w:t>
      </w:r>
      <w:r w:rsidRPr="00AE1DBE">
        <w:rPr>
          <w:szCs w:val="22"/>
        </w:rPr>
        <w:t>for</w:t>
      </w:r>
      <w:r w:rsidRPr="00640FBA">
        <w:rPr>
          <w:spacing w:val="-4"/>
          <w:szCs w:val="22"/>
        </w:rPr>
        <w:t xml:space="preserve"> </w:t>
      </w:r>
      <w:r w:rsidRPr="00640FBA">
        <w:rPr>
          <w:szCs w:val="22"/>
        </w:rPr>
        <w:t>Section</w:t>
      </w:r>
      <w:r w:rsidRPr="00640FBA">
        <w:rPr>
          <w:spacing w:val="-3"/>
          <w:szCs w:val="22"/>
        </w:rPr>
        <w:t xml:space="preserve"> </w:t>
      </w:r>
      <w:r w:rsidRPr="00640FBA">
        <w:rPr>
          <w:szCs w:val="22"/>
        </w:rPr>
        <w:t>43.82</w:t>
      </w:r>
      <w:r w:rsidRPr="00640FBA">
        <w:rPr>
          <w:spacing w:val="-3"/>
          <w:szCs w:val="22"/>
        </w:rPr>
        <w:t xml:space="preserve"> </w:t>
      </w:r>
      <w:r w:rsidRPr="00640FBA">
        <w:rPr>
          <w:szCs w:val="22"/>
        </w:rPr>
        <w:t>Circuit</w:t>
      </w:r>
      <w:r w:rsidRPr="00640FBA">
        <w:rPr>
          <w:spacing w:val="-2"/>
          <w:szCs w:val="22"/>
        </w:rPr>
        <w:t xml:space="preserve"> </w:t>
      </w:r>
      <w:r w:rsidRPr="00640FBA">
        <w:rPr>
          <w:szCs w:val="22"/>
        </w:rPr>
        <w:t>Capacity</w:t>
      </w:r>
      <w:r w:rsidRPr="00640FBA">
        <w:rPr>
          <w:spacing w:val="-3"/>
          <w:szCs w:val="22"/>
        </w:rPr>
        <w:t xml:space="preserve"> </w:t>
      </w:r>
      <w:r w:rsidRPr="00640FBA">
        <w:rPr>
          <w:szCs w:val="22"/>
        </w:rPr>
        <w:t>Reports</w:t>
      </w:r>
      <w:r w:rsidRPr="00640FBA">
        <w:rPr>
          <w:spacing w:val="-4"/>
          <w:szCs w:val="22"/>
        </w:rPr>
        <w:t xml:space="preserve"> </w:t>
      </w:r>
      <w:r w:rsidRPr="00640FBA">
        <w:rPr>
          <w:szCs w:val="22"/>
        </w:rPr>
        <w:t>(Filing</w:t>
      </w:r>
      <w:r w:rsidRPr="00640FBA">
        <w:rPr>
          <w:spacing w:val="-3"/>
          <w:szCs w:val="22"/>
        </w:rPr>
        <w:t xml:space="preserve"> </w:t>
      </w:r>
      <w:r w:rsidRPr="00640FBA">
        <w:rPr>
          <w:szCs w:val="22"/>
        </w:rPr>
        <w:t>Manual)</w:t>
      </w:r>
      <w:r w:rsidRPr="00640FBA">
        <w:rPr>
          <w:spacing w:val="-3"/>
          <w:szCs w:val="22"/>
        </w:rPr>
        <w:t xml:space="preserve"> </w:t>
      </w:r>
      <w:r w:rsidRPr="00640FBA">
        <w:rPr>
          <w:szCs w:val="22"/>
        </w:rPr>
        <w:t>for</w:t>
      </w:r>
      <w:r w:rsidRPr="00640FBA">
        <w:rPr>
          <w:spacing w:val="-3"/>
          <w:szCs w:val="22"/>
        </w:rPr>
        <w:t xml:space="preserve"> </w:t>
      </w:r>
      <w:r w:rsidR="00BF68BC">
        <w:rPr>
          <w:spacing w:val="-3"/>
          <w:szCs w:val="22"/>
        </w:rPr>
        <w:t xml:space="preserve">current </w:t>
      </w:r>
      <w:r w:rsidRPr="00640FBA">
        <w:rPr>
          <w:szCs w:val="22"/>
        </w:rPr>
        <w:t>instructions</w:t>
      </w:r>
      <w:r w:rsidRPr="00640FBA">
        <w:rPr>
          <w:spacing w:val="-3"/>
          <w:szCs w:val="22"/>
        </w:rPr>
        <w:t xml:space="preserve"> </w:t>
      </w:r>
      <w:r w:rsidRPr="00640FBA">
        <w:rPr>
          <w:szCs w:val="22"/>
        </w:rPr>
        <w:t xml:space="preserve">on how to file the </w:t>
      </w:r>
      <w:r w:rsidRPr="00640FBA" w:rsidR="007B184F">
        <w:rPr>
          <w:szCs w:val="22"/>
        </w:rPr>
        <w:t>Capacity Holder Report</w:t>
      </w:r>
      <w:r w:rsidRPr="00640FBA">
        <w:rPr>
          <w:szCs w:val="22"/>
        </w:rPr>
        <w:t>,</w:t>
      </w:r>
      <w:r w:rsidR="00AD3BE9">
        <w:rPr>
          <w:szCs w:val="22"/>
        </w:rPr>
        <w:t xml:space="preserve"> including </w:t>
      </w:r>
      <w:r w:rsidRPr="00640FBA">
        <w:rPr>
          <w:szCs w:val="22"/>
        </w:rPr>
        <w:t>who must file</w:t>
      </w:r>
      <w:r w:rsidR="00AD3BE9">
        <w:rPr>
          <w:szCs w:val="22"/>
        </w:rPr>
        <w:t xml:space="preserve">, </w:t>
      </w:r>
      <w:r w:rsidRPr="00640FBA">
        <w:rPr>
          <w:szCs w:val="22"/>
        </w:rPr>
        <w:t>the required information, and the filing procedures.</w:t>
      </w:r>
      <w:r>
        <w:rPr>
          <w:rStyle w:val="FootnoteReference"/>
          <w:szCs w:val="22"/>
        </w:rPr>
        <w:footnoteReference w:id="12"/>
      </w:r>
    </w:p>
    <w:p w:rsidR="00385D0E" w:rsidRPr="00640FBA" w:rsidP="00385D0E" w14:paraId="47C47EDB" w14:textId="77777777">
      <w:pPr>
        <w:pStyle w:val="BodyText"/>
        <w:spacing w:before="5"/>
      </w:pPr>
    </w:p>
    <w:p w:rsidR="00385D0E" w:rsidRPr="00640FBA" w:rsidP="00385D0E" w14:paraId="58436DA6" w14:textId="21C6789D">
      <w:pPr>
        <w:pStyle w:val="ListParagraph"/>
        <w:numPr>
          <w:ilvl w:val="0"/>
          <w:numId w:val="7"/>
        </w:numPr>
        <w:tabs>
          <w:tab w:val="left" w:pos="840"/>
        </w:tabs>
        <w:spacing w:line="230" w:lineRule="auto"/>
      </w:pPr>
      <w:r w:rsidRPr="00640FBA">
        <w:rPr>
          <w:b/>
        </w:rPr>
        <w:t>Filing</w:t>
      </w:r>
      <w:r w:rsidRPr="00640FBA">
        <w:rPr>
          <w:b/>
          <w:spacing w:val="-4"/>
        </w:rPr>
        <w:t xml:space="preserve"> </w:t>
      </w:r>
      <w:r w:rsidRPr="00640FBA">
        <w:rPr>
          <w:b/>
        </w:rPr>
        <w:t>Manual</w:t>
      </w:r>
      <w:r w:rsidRPr="00640FBA">
        <w:rPr>
          <w:b/>
          <w:spacing w:val="-2"/>
        </w:rPr>
        <w:t xml:space="preserve"> </w:t>
      </w:r>
      <w:r w:rsidRPr="00640FBA">
        <w:t>-</w:t>
      </w:r>
      <w:r w:rsidRPr="00640FBA">
        <w:rPr>
          <w:spacing w:val="-6"/>
        </w:rPr>
        <w:t xml:space="preserve"> </w:t>
      </w:r>
      <w:r w:rsidRPr="00640FBA">
        <w:t>The</w:t>
      </w:r>
      <w:r w:rsidRPr="00640FBA">
        <w:rPr>
          <w:spacing w:val="-4"/>
        </w:rPr>
        <w:t xml:space="preserve"> </w:t>
      </w:r>
      <w:r w:rsidRPr="00640FBA">
        <w:t>Filing</w:t>
      </w:r>
      <w:r w:rsidRPr="00640FBA">
        <w:rPr>
          <w:spacing w:val="-7"/>
        </w:rPr>
        <w:t xml:space="preserve"> </w:t>
      </w:r>
      <w:r w:rsidRPr="00640FBA">
        <w:t>Manual</w:t>
      </w:r>
      <w:r w:rsidRPr="00640FBA">
        <w:rPr>
          <w:spacing w:val="-6"/>
        </w:rPr>
        <w:t xml:space="preserve"> </w:t>
      </w:r>
      <w:r w:rsidRPr="00640FBA">
        <w:t>is</w:t>
      </w:r>
      <w:r w:rsidRPr="00640FBA">
        <w:rPr>
          <w:spacing w:val="-4"/>
        </w:rPr>
        <w:t xml:space="preserve"> </w:t>
      </w:r>
      <w:r w:rsidRPr="00823E6E" w:rsidR="00740B9A">
        <w:t>attached to this Public Notice</w:t>
      </w:r>
      <w:r w:rsidR="001B507B">
        <w:rPr>
          <w:spacing w:val="-1"/>
        </w:rPr>
        <w:t>.</w:t>
      </w:r>
    </w:p>
    <w:p w:rsidR="00385D0E" w:rsidRPr="00640FBA" w:rsidP="00385D0E" w14:paraId="2DD26E32" w14:textId="77777777">
      <w:pPr>
        <w:pStyle w:val="ListParagraph"/>
        <w:numPr>
          <w:ilvl w:val="0"/>
          <w:numId w:val="7"/>
        </w:numPr>
        <w:tabs>
          <w:tab w:val="left" w:pos="840"/>
        </w:tabs>
        <w:spacing w:before="5" w:line="230" w:lineRule="auto"/>
        <w:ind w:right="348"/>
      </w:pPr>
      <w:r w:rsidRPr="00640FBA">
        <w:rPr>
          <w:b/>
        </w:rPr>
        <w:t xml:space="preserve">Section 43.82 Online Filing System </w:t>
      </w:r>
      <w:r w:rsidRPr="00640FBA">
        <w:t>- Filing Entities must file their Circuit Capacity Reports through</w:t>
      </w:r>
      <w:r w:rsidRPr="00640FBA">
        <w:rPr>
          <w:spacing w:val="-4"/>
        </w:rPr>
        <w:t xml:space="preserve"> </w:t>
      </w:r>
      <w:r w:rsidRPr="00640FBA">
        <w:t>the</w:t>
      </w:r>
      <w:r w:rsidRPr="00640FBA">
        <w:rPr>
          <w:spacing w:val="-4"/>
        </w:rPr>
        <w:t xml:space="preserve"> </w:t>
      </w:r>
      <w:r w:rsidRPr="00640FBA">
        <w:t>section</w:t>
      </w:r>
      <w:r w:rsidRPr="00640FBA">
        <w:rPr>
          <w:spacing w:val="-7"/>
        </w:rPr>
        <w:t xml:space="preserve"> </w:t>
      </w:r>
      <w:r w:rsidRPr="00640FBA">
        <w:t>43.82</w:t>
      </w:r>
      <w:r w:rsidRPr="00640FBA">
        <w:rPr>
          <w:spacing w:val="-4"/>
        </w:rPr>
        <w:t xml:space="preserve"> </w:t>
      </w:r>
      <w:r w:rsidRPr="00640FBA">
        <w:t>online</w:t>
      </w:r>
      <w:r w:rsidRPr="00640FBA">
        <w:rPr>
          <w:spacing w:val="-4"/>
        </w:rPr>
        <w:t xml:space="preserve"> </w:t>
      </w:r>
      <w:r w:rsidRPr="00640FBA">
        <w:t>filing</w:t>
      </w:r>
      <w:r w:rsidRPr="00640FBA">
        <w:rPr>
          <w:spacing w:val="-7"/>
        </w:rPr>
        <w:t xml:space="preserve"> </w:t>
      </w:r>
      <w:r w:rsidRPr="00640FBA">
        <w:t>system</w:t>
      </w:r>
      <w:r w:rsidRPr="00640FBA">
        <w:rPr>
          <w:spacing w:val="-3"/>
        </w:rPr>
        <w:t xml:space="preserve"> </w:t>
      </w:r>
      <w:r w:rsidRPr="00640FBA">
        <w:t xml:space="preserve">at </w:t>
      </w:r>
      <w:hyperlink r:id="rId7">
        <w:r w:rsidRPr="00640FBA">
          <w:rPr>
            <w:color w:val="0000FF"/>
            <w:u w:val="single" w:color="0000FF"/>
          </w:rPr>
          <w:t>https://apps2.fcc.gov/section4362/login.xhtml</w:t>
        </w:r>
      </w:hyperlink>
      <w:r w:rsidRPr="00640FBA">
        <w:t>.</w:t>
      </w:r>
    </w:p>
    <w:p w:rsidR="00385D0E" w:rsidRPr="00640FBA" w:rsidP="00385D0E" w14:paraId="7CDA356C" w14:textId="77777777">
      <w:pPr>
        <w:ind w:firstLine="720"/>
        <w:rPr>
          <w:szCs w:val="22"/>
        </w:rPr>
      </w:pPr>
    </w:p>
    <w:p w:rsidR="00385D0E" w:rsidRPr="00640FBA" w:rsidP="00385D0E" w14:paraId="074FC10C" w14:textId="6F600EBA">
      <w:pPr>
        <w:ind w:firstLine="720"/>
        <w:rPr>
          <w:szCs w:val="22"/>
        </w:rPr>
      </w:pPr>
      <w:r w:rsidRPr="00D81ABE">
        <w:rPr>
          <w:b/>
          <w:bCs/>
          <w:szCs w:val="22"/>
        </w:rPr>
        <w:t>C</w:t>
      </w:r>
      <w:r w:rsidR="0090187D">
        <w:rPr>
          <w:b/>
          <w:bCs/>
          <w:szCs w:val="22"/>
        </w:rPr>
        <w:t>ORES</w:t>
      </w:r>
      <w:r w:rsidRPr="00D81ABE">
        <w:rPr>
          <w:b/>
          <w:bCs/>
          <w:szCs w:val="22"/>
        </w:rPr>
        <w:t xml:space="preserve"> Information.</w:t>
      </w:r>
      <w:r>
        <w:rPr>
          <w:szCs w:val="22"/>
        </w:rPr>
        <w:t xml:space="preserve">  </w:t>
      </w:r>
      <w:r w:rsidRPr="00640FBA">
        <w:rPr>
          <w:szCs w:val="22"/>
        </w:rPr>
        <w:t>Each</w:t>
      </w:r>
      <w:r w:rsidRPr="00640FBA">
        <w:rPr>
          <w:spacing w:val="-5"/>
          <w:szCs w:val="22"/>
        </w:rPr>
        <w:t xml:space="preserve"> </w:t>
      </w:r>
      <w:r w:rsidRPr="00640FBA">
        <w:rPr>
          <w:szCs w:val="22"/>
        </w:rPr>
        <w:t>Filing</w:t>
      </w:r>
      <w:r w:rsidRPr="00640FBA">
        <w:rPr>
          <w:spacing w:val="-3"/>
          <w:szCs w:val="22"/>
        </w:rPr>
        <w:t xml:space="preserve"> </w:t>
      </w:r>
      <w:r w:rsidRPr="00640FBA">
        <w:rPr>
          <w:szCs w:val="22"/>
        </w:rPr>
        <w:t>Entity</w:t>
      </w:r>
      <w:r w:rsidRPr="00640FBA">
        <w:rPr>
          <w:spacing w:val="-6"/>
          <w:szCs w:val="22"/>
        </w:rPr>
        <w:t xml:space="preserve"> </w:t>
      </w:r>
      <w:r w:rsidRPr="00640FBA">
        <w:rPr>
          <w:szCs w:val="22"/>
        </w:rPr>
        <w:t>must</w:t>
      </w:r>
      <w:r w:rsidRPr="00640FBA">
        <w:rPr>
          <w:spacing w:val="-2"/>
          <w:szCs w:val="22"/>
        </w:rPr>
        <w:t xml:space="preserve"> </w:t>
      </w:r>
      <w:r w:rsidRPr="00640FBA">
        <w:rPr>
          <w:szCs w:val="22"/>
        </w:rPr>
        <w:t>use</w:t>
      </w:r>
      <w:r w:rsidRPr="00640FBA">
        <w:rPr>
          <w:spacing w:val="-5"/>
          <w:szCs w:val="22"/>
        </w:rPr>
        <w:t xml:space="preserve"> </w:t>
      </w:r>
      <w:r w:rsidRPr="00640FBA">
        <w:rPr>
          <w:szCs w:val="22"/>
        </w:rPr>
        <w:t>a</w:t>
      </w:r>
      <w:r w:rsidRPr="00640FBA">
        <w:rPr>
          <w:spacing w:val="-3"/>
          <w:szCs w:val="22"/>
        </w:rPr>
        <w:t xml:space="preserve"> </w:t>
      </w:r>
      <w:r w:rsidRPr="00640FBA">
        <w:rPr>
          <w:szCs w:val="22"/>
        </w:rPr>
        <w:t>single</w:t>
      </w:r>
      <w:r w:rsidRPr="00640FBA">
        <w:rPr>
          <w:spacing w:val="-5"/>
          <w:szCs w:val="22"/>
        </w:rPr>
        <w:t xml:space="preserve"> </w:t>
      </w:r>
      <w:r w:rsidRPr="00640FBA">
        <w:rPr>
          <w:szCs w:val="22"/>
        </w:rPr>
        <w:t>CORES</w:t>
      </w:r>
      <w:r w:rsidRPr="00640FBA">
        <w:rPr>
          <w:spacing w:val="-3"/>
          <w:szCs w:val="22"/>
        </w:rPr>
        <w:t xml:space="preserve"> </w:t>
      </w:r>
      <w:r w:rsidRPr="00640FBA">
        <w:rPr>
          <w:szCs w:val="22"/>
        </w:rPr>
        <w:t>FCC</w:t>
      </w:r>
      <w:r w:rsidRPr="00640FBA">
        <w:rPr>
          <w:spacing w:val="-4"/>
          <w:szCs w:val="22"/>
        </w:rPr>
        <w:t xml:space="preserve"> </w:t>
      </w:r>
      <w:r w:rsidRPr="00640FBA">
        <w:rPr>
          <w:szCs w:val="22"/>
        </w:rPr>
        <w:t>Registration</w:t>
      </w:r>
      <w:r w:rsidRPr="00640FBA">
        <w:rPr>
          <w:spacing w:val="-3"/>
          <w:szCs w:val="22"/>
        </w:rPr>
        <w:t xml:space="preserve"> </w:t>
      </w:r>
      <w:r w:rsidRPr="00640FBA">
        <w:rPr>
          <w:szCs w:val="22"/>
        </w:rPr>
        <w:t>Number</w:t>
      </w:r>
      <w:r w:rsidRPr="00640FBA">
        <w:rPr>
          <w:spacing w:val="-3"/>
          <w:szCs w:val="22"/>
        </w:rPr>
        <w:t xml:space="preserve"> </w:t>
      </w:r>
      <w:r w:rsidRPr="00640FBA">
        <w:rPr>
          <w:szCs w:val="22"/>
        </w:rPr>
        <w:t>(FRN)</w:t>
      </w:r>
      <w:r w:rsidRPr="00640FBA">
        <w:rPr>
          <w:spacing w:val="-5"/>
          <w:szCs w:val="22"/>
        </w:rPr>
        <w:t xml:space="preserve"> when filing data on: </w:t>
      </w:r>
      <w:r w:rsidRPr="00640FBA">
        <w:rPr>
          <w:szCs w:val="22"/>
        </w:rPr>
        <w:t xml:space="preserve"> (1)</w:t>
      </w:r>
      <w:r w:rsidRPr="00640FBA">
        <w:rPr>
          <w:spacing w:val="-3"/>
          <w:szCs w:val="22"/>
        </w:rPr>
        <w:t xml:space="preserve"> </w:t>
      </w:r>
      <w:r w:rsidRPr="00640FBA">
        <w:rPr>
          <w:szCs w:val="22"/>
        </w:rPr>
        <w:t>Filing</w:t>
      </w:r>
      <w:r w:rsidRPr="00640FBA">
        <w:rPr>
          <w:spacing w:val="-3"/>
          <w:szCs w:val="22"/>
        </w:rPr>
        <w:t xml:space="preserve"> </w:t>
      </w:r>
      <w:r w:rsidRPr="00640FBA">
        <w:rPr>
          <w:szCs w:val="22"/>
        </w:rPr>
        <w:t>Entity</w:t>
      </w:r>
      <w:r w:rsidRPr="00640FBA">
        <w:rPr>
          <w:spacing w:val="-6"/>
          <w:szCs w:val="22"/>
        </w:rPr>
        <w:t xml:space="preserve"> </w:t>
      </w:r>
      <w:r w:rsidRPr="00640FBA">
        <w:rPr>
          <w:szCs w:val="22"/>
        </w:rPr>
        <w:t>contact</w:t>
      </w:r>
      <w:r w:rsidRPr="00640FBA">
        <w:rPr>
          <w:spacing w:val="-2"/>
          <w:szCs w:val="22"/>
        </w:rPr>
        <w:t xml:space="preserve"> </w:t>
      </w:r>
      <w:r w:rsidRPr="00640FBA">
        <w:rPr>
          <w:szCs w:val="22"/>
        </w:rPr>
        <w:t>information;</w:t>
      </w:r>
      <w:r w:rsidRPr="00640FBA">
        <w:rPr>
          <w:spacing w:val="-2"/>
          <w:szCs w:val="22"/>
        </w:rPr>
        <w:t xml:space="preserve"> </w:t>
      </w:r>
      <w:r w:rsidRPr="00640FBA">
        <w:rPr>
          <w:szCs w:val="22"/>
        </w:rPr>
        <w:t>(2)</w:t>
      </w:r>
      <w:r w:rsidRPr="00640FBA">
        <w:rPr>
          <w:spacing w:val="-3"/>
          <w:szCs w:val="22"/>
        </w:rPr>
        <w:t xml:space="preserve"> </w:t>
      </w:r>
      <w:r w:rsidRPr="00640FBA">
        <w:rPr>
          <w:szCs w:val="22"/>
        </w:rPr>
        <w:t>preparer</w:t>
      </w:r>
      <w:r w:rsidRPr="00640FBA">
        <w:rPr>
          <w:spacing w:val="-4"/>
          <w:szCs w:val="22"/>
        </w:rPr>
        <w:t xml:space="preserve"> </w:t>
      </w:r>
      <w:r w:rsidRPr="00640FBA">
        <w:rPr>
          <w:szCs w:val="22"/>
        </w:rPr>
        <w:t>contact</w:t>
      </w:r>
      <w:r w:rsidRPr="00640FBA">
        <w:rPr>
          <w:spacing w:val="-5"/>
          <w:szCs w:val="22"/>
        </w:rPr>
        <w:t xml:space="preserve"> </w:t>
      </w:r>
      <w:r w:rsidRPr="00640FBA">
        <w:rPr>
          <w:szCs w:val="22"/>
        </w:rPr>
        <w:t>information;</w:t>
      </w:r>
      <w:r w:rsidRPr="00640FBA">
        <w:rPr>
          <w:spacing w:val="-5"/>
          <w:szCs w:val="22"/>
        </w:rPr>
        <w:t xml:space="preserve"> </w:t>
      </w:r>
      <w:r w:rsidRPr="00640FBA">
        <w:rPr>
          <w:szCs w:val="22"/>
        </w:rPr>
        <w:t>(3)</w:t>
      </w:r>
      <w:r w:rsidRPr="00640FBA">
        <w:rPr>
          <w:spacing w:val="-5"/>
          <w:szCs w:val="22"/>
        </w:rPr>
        <w:t xml:space="preserve"> </w:t>
      </w:r>
      <w:r w:rsidRPr="00640FBA">
        <w:rPr>
          <w:szCs w:val="22"/>
        </w:rPr>
        <w:t>authorizations/licenses;</w:t>
      </w:r>
      <w:r w:rsidRPr="00640FBA">
        <w:rPr>
          <w:spacing w:val="-4"/>
          <w:szCs w:val="22"/>
        </w:rPr>
        <w:t xml:space="preserve"> </w:t>
      </w:r>
      <w:r w:rsidRPr="00640FBA">
        <w:rPr>
          <w:szCs w:val="22"/>
        </w:rPr>
        <w:t>(4) submarine cable capacity holder data; and (</w:t>
      </w:r>
      <w:r w:rsidR="000F75CD">
        <w:rPr>
          <w:szCs w:val="22"/>
        </w:rPr>
        <w:t>5</w:t>
      </w:r>
      <w:r w:rsidRPr="00640FBA">
        <w:rPr>
          <w:szCs w:val="22"/>
        </w:rPr>
        <w:t>) certifying official’s information.</w:t>
      </w:r>
      <w:r w:rsidRPr="00640FBA">
        <w:rPr>
          <w:spacing w:val="40"/>
          <w:szCs w:val="22"/>
        </w:rPr>
        <w:t xml:space="preserve"> </w:t>
      </w:r>
      <w:r w:rsidRPr="00640FBA">
        <w:rPr>
          <w:szCs w:val="22"/>
        </w:rPr>
        <w:t>Filers</w:t>
      </w:r>
      <w:r w:rsidRPr="00640FBA">
        <w:rPr>
          <w:spacing w:val="-2"/>
          <w:szCs w:val="22"/>
        </w:rPr>
        <w:t xml:space="preserve"> </w:t>
      </w:r>
      <w:r w:rsidRPr="00640FBA">
        <w:rPr>
          <w:szCs w:val="22"/>
        </w:rPr>
        <w:t>must</w:t>
      </w:r>
      <w:r w:rsidRPr="00640FBA">
        <w:rPr>
          <w:spacing w:val="-3"/>
          <w:szCs w:val="22"/>
        </w:rPr>
        <w:t xml:space="preserve"> </w:t>
      </w:r>
      <w:r w:rsidRPr="00640FBA">
        <w:rPr>
          <w:szCs w:val="22"/>
        </w:rPr>
        <w:t>enter</w:t>
      </w:r>
      <w:r w:rsidRPr="00640FBA">
        <w:rPr>
          <w:spacing w:val="-3"/>
          <w:szCs w:val="22"/>
        </w:rPr>
        <w:t xml:space="preserve"> </w:t>
      </w:r>
      <w:r w:rsidRPr="00640FBA">
        <w:rPr>
          <w:szCs w:val="22"/>
        </w:rPr>
        <w:t>the</w:t>
      </w:r>
      <w:r w:rsidRPr="00640FBA">
        <w:rPr>
          <w:spacing w:val="-4"/>
          <w:szCs w:val="22"/>
        </w:rPr>
        <w:t xml:space="preserve"> </w:t>
      </w:r>
      <w:r w:rsidRPr="00640FBA">
        <w:rPr>
          <w:szCs w:val="22"/>
        </w:rPr>
        <w:t>data</w:t>
      </w:r>
      <w:r w:rsidRPr="00640FBA">
        <w:rPr>
          <w:spacing w:val="-2"/>
          <w:szCs w:val="22"/>
        </w:rPr>
        <w:t xml:space="preserve"> </w:t>
      </w:r>
      <w:r w:rsidRPr="00640FBA">
        <w:rPr>
          <w:szCs w:val="22"/>
        </w:rPr>
        <w:t>directly</w:t>
      </w:r>
      <w:r w:rsidRPr="00640FBA">
        <w:rPr>
          <w:spacing w:val="-2"/>
          <w:szCs w:val="22"/>
        </w:rPr>
        <w:t xml:space="preserve"> </w:t>
      </w:r>
      <w:r w:rsidRPr="00640FBA">
        <w:rPr>
          <w:szCs w:val="22"/>
        </w:rPr>
        <w:t>into</w:t>
      </w:r>
      <w:r w:rsidRPr="00640FBA">
        <w:rPr>
          <w:spacing w:val="-4"/>
          <w:szCs w:val="22"/>
        </w:rPr>
        <w:t xml:space="preserve"> </w:t>
      </w:r>
      <w:r w:rsidRPr="00640FBA">
        <w:rPr>
          <w:szCs w:val="22"/>
        </w:rPr>
        <w:t>the</w:t>
      </w:r>
      <w:r w:rsidRPr="00640FBA">
        <w:rPr>
          <w:spacing w:val="-3"/>
          <w:szCs w:val="22"/>
        </w:rPr>
        <w:t xml:space="preserve"> </w:t>
      </w:r>
      <w:r w:rsidRPr="00640FBA">
        <w:rPr>
          <w:szCs w:val="22"/>
        </w:rPr>
        <w:t>online</w:t>
      </w:r>
      <w:r w:rsidRPr="00640FBA">
        <w:rPr>
          <w:spacing w:val="-2"/>
          <w:szCs w:val="22"/>
        </w:rPr>
        <w:t xml:space="preserve"> </w:t>
      </w:r>
      <w:r w:rsidRPr="00640FBA">
        <w:rPr>
          <w:szCs w:val="22"/>
        </w:rPr>
        <w:t>forms</w:t>
      </w:r>
      <w:r w:rsidRPr="00640FBA">
        <w:rPr>
          <w:spacing w:val="-3"/>
          <w:szCs w:val="22"/>
        </w:rPr>
        <w:t xml:space="preserve"> </w:t>
      </w:r>
      <w:r w:rsidRPr="00640FBA">
        <w:rPr>
          <w:szCs w:val="22"/>
        </w:rPr>
        <w:t>in</w:t>
      </w:r>
      <w:r w:rsidRPr="00640FBA">
        <w:rPr>
          <w:spacing w:val="-4"/>
          <w:szCs w:val="22"/>
        </w:rPr>
        <w:t xml:space="preserve"> </w:t>
      </w:r>
      <w:r w:rsidRPr="00640FBA">
        <w:rPr>
          <w:szCs w:val="22"/>
        </w:rPr>
        <w:t>the</w:t>
      </w:r>
      <w:r w:rsidRPr="00640FBA">
        <w:rPr>
          <w:spacing w:val="-2"/>
          <w:szCs w:val="22"/>
        </w:rPr>
        <w:t xml:space="preserve"> </w:t>
      </w:r>
      <w:r w:rsidRPr="00640FBA">
        <w:rPr>
          <w:szCs w:val="22"/>
        </w:rPr>
        <w:t>section</w:t>
      </w:r>
      <w:r w:rsidRPr="00640FBA">
        <w:rPr>
          <w:spacing w:val="-6"/>
          <w:szCs w:val="22"/>
        </w:rPr>
        <w:t xml:space="preserve"> </w:t>
      </w:r>
      <w:r w:rsidRPr="00640FBA">
        <w:rPr>
          <w:szCs w:val="22"/>
        </w:rPr>
        <w:t>43.82</w:t>
      </w:r>
      <w:r w:rsidRPr="00640FBA">
        <w:rPr>
          <w:spacing w:val="-2"/>
          <w:szCs w:val="22"/>
        </w:rPr>
        <w:t xml:space="preserve"> </w:t>
      </w:r>
      <w:r w:rsidRPr="00640FBA">
        <w:rPr>
          <w:szCs w:val="22"/>
        </w:rPr>
        <w:t>online</w:t>
      </w:r>
      <w:r w:rsidRPr="00640FBA">
        <w:rPr>
          <w:spacing w:val="-2"/>
          <w:szCs w:val="22"/>
        </w:rPr>
        <w:t xml:space="preserve"> </w:t>
      </w:r>
      <w:r w:rsidRPr="00640FBA">
        <w:rPr>
          <w:szCs w:val="22"/>
        </w:rPr>
        <w:t>filing system.</w:t>
      </w:r>
      <w:r w:rsidRPr="00640FBA">
        <w:rPr>
          <w:spacing w:val="40"/>
          <w:szCs w:val="22"/>
        </w:rPr>
        <w:t xml:space="preserve"> </w:t>
      </w:r>
      <w:r w:rsidR="00FE5D0B">
        <w:rPr>
          <w:szCs w:val="22"/>
        </w:rPr>
        <w:t>E</w:t>
      </w:r>
      <w:r w:rsidRPr="00640FBA">
        <w:rPr>
          <w:szCs w:val="22"/>
        </w:rPr>
        <w:t>ach Filing Entity must provide the correct FCC authorization/license numbers associated with its filing.  All contact information must be kept up-to-date.</w:t>
      </w:r>
    </w:p>
    <w:p w:rsidR="00385D0E" w:rsidP="00E35896" w14:paraId="19AD9F63" w14:textId="77777777">
      <w:pPr>
        <w:pStyle w:val="BodyText"/>
      </w:pPr>
    </w:p>
    <w:p w:rsidR="00385D0E" w:rsidRPr="00640FBA" w:rsidP="00385D0E" w14:paraId="34C84B05" w14:textId="7C8738CC">
      <w:pPr>
        <w:ind w:firstLine="720"/>
        <w:rPr>
          <w:b/>
          <w:szCs w:val="22"/>
        </w:rPr>
      </w:pPr>
      <w:r w:rsidRPr="00D81ABE">
        <w:rPr>
          <w:b/>
          <w:bCs/>
          <w:szCs w:val="22"/>
        </w:rPr>
        <w:t>Sample Templates.</w:t>
      </w:r>
      <w:r>
        <w:rPr>
          <w:szCs w:val="22"/>
        </w:rPr>
        <w:t xml:space="preserve">  </w:t>
      </w:r>
      <w:r w:rsidRPr="00640FBA">
        <w:rPr>
          <w:szCs w:val="22"/>
        </w:rPr>
        <w:t xml:space="preserve">For ease of reference, we provide </w:t>
      </w:r>
      <w:r w:rsidR="00DD77A4">
        <w:rPr>
          <w:szCs w:val="22"/>
        </w:rPr>
        <w:t xml:space="preserve">a </w:t>
      </w:r>
      <w:r w:rsidRPr="00640FBA">
        <w:rPr>
          <w:szCs w:val="22"/>
        </w:rPr>
        <w:t>sample template of the Capacity Holder Report in Attachment 1</w:t>
      </w:r>
      <w:r w:rsidR="00F2009A">
        <w:rPr>
          <w:szCs w:val="22"/>
        </w:rPr>
        <w:t xml:space="preserve"> and </w:t>
      </w:r>
      <w:r w:rsidRPr="00640FBA">
        <w:rPr>
          <w:szCs w:val="22"/>
        </w:rPr>
        <w:t>the current license number for each U.S.-international</w:t>
      </w:r>
      <w:r w:rsidRPr="00640FBA">
        <w:rPr>
          <w:spacing w:val="-5"/>
          <w:szCs w:val="22"/>
        </w:rPr>
        <w:t xml:space="preserve"> </w:t>
      </w:r>
      <w:r w:rsidRPr="00640FBA">
        <w:rPr>
          <w:szCs w:val="22"/>
        </w:rPr>
        <w:t>submarine</w:t>
      </w:r>
      <w:r w:rsidRPr="00640FBA">
        <w:rPr>
          <w:spacing w:val="-3"/>
          <w:szCs w:val="22"/>
        </w:rPr>
        <w:t xml:space="preserve"> </w:t>
      </w:r>
      <w:r w:rsidRPr="00640FBA">
        <w:rPr>
          <w:szCs w:val="22"/>
        </w:rPr>
        <w:t>cable</w:t>
      </w:r>
      <w:r w:rsidRPr="00640FBA">
        <w:rPr>
          <w:spacing w:val="-5"/>
          <w:szCs w:val="22"/>
        </w:rPr>
        <w:t xml:space="preserve"> </w:t>
      </w:r>
      <w:r w:rsidRPr="00640FBA">
        <w:rPr>
          <w:szCs w:val="22"/>
        </w:rPr>
        <w:t>in</w:t>
      </w:r>
      <w:r w:rsidRPr="00640FBA">
        <w:rPr>
          <w:spacing w:val="-3"/>
          <w:szCs w:val="22"/>
        </w:rPr>
        <w:t xml:space="preserve"> </w:t>
      </w:r>
      <w:r w:rsidRPr="00640FBA">
        <w:rPr>
          <w:szCs w:val="22"/>
        </w:rPr>
        <w:t>Attachment</w:t>
      </w:r>
      <w:r w:rsidRPr="00640FBA">
        <w:rPr>
          <w:spacing w:val="-2"/>
          <w:szCs w:val="22"/>
        </w:rPr>
        <w:t xml:space="preserve"> </w:t>
      </w:r>
      <w:r w:rsidR="002F48E0">
        <w:rPr>
          <w:spacing w:val="-2"/>
          <w:szCs w:val="22"/>
        </w:rPr>
        <w:t>2</w:t>
      </w:r>
      <w:r w:rsidR="00E76119">
        <w:rPr>
          <w:spacing w:val="-2"/>
          <w:szCs w:val="22"/>
        </w:rPr>
        <w:t xml:space="preserve"> in this public notice</w:t>
      </w:r>
      <w:r w:rsidRPr="00640FBA">
        <w:rPr>
          <w:szCs w:val="22"/>
        </w:rPr>
        <w:t>.</w:t>
      </w:r>
      <w:r w:rsidRPr="00640FBA">
        <w:rPr>
          <w:spacing w:val="40"/>
          <w:szCs w:val="22"/>
        </w:rPr>
        <w:t xml:space="preserve"> </w:t>
      </w:r>
      <w:r w:rsidRPr="00D81ABE">
        <w:rPr>
          <w:bCs/>
          <w:szCs w:val="22"/>
        </w:rPr>
        <w:t>Filing</w:t>
      </w:r>
      <w:r w:rsidRPr="00D81ABE">
        <w:rPr>
          <w:bCs/>
          <w:spacing w:val="-3"/>
          <w:szCs w:val="22"/>
        </w:rPr>
        <w:t xml:space="preserve"> </w:t>
      </w:r>
      <w:r w:rsidRPr="00D81ABE">
        <w:rPr>
          <w:bCs/>
          <w:szCs w:val="22"/>
        </w:rPr>
        <w:t>Entities</w:t>
      </w:r>
      <w:r w:rsidRPr="00D81ABE">
        <w:rPr>
          <w:bCs/>
          <w:spacing w:val="-3"/>
          <w:szCs w:val="22"/>
        </w:rPr>
        <w:t xml:space="preserve"> </w:t>
      </w:r>
      <w:r w:rsidRPr="00D81ABE">
        <w:rPr>
          <w:bCs/>
          <w:szCs w:val="22"/>
        </w:rPr>
        <w:t>should</w:t>
      </w:r>
      <w:r w:rsidRPr="00D81ABE">
        <w:rPr>
          <w:bCs/>
          <w:spacing w:val="-3"/>
          <w:szCs w:val="22"/>
        </w:rPr>
        <w:t xml:space="preserve"> </w:t>
      </w:r>
      <w:r w:rsidR="0098768F">
        <w:rPr>
          <w:bCs/>
          <w:spacing w:val="-3"/>
          <w:szCs w:val="22"/>
        </w:rPr>
        <w:t xml:space="preserve">access and </w:t>
      </w:r>
      <w:r w:rsidRPr="00D81ABE">
        <w:rPr>
          <w:bCs/>
          <w:szCs w:val="22"/>
        </w:rPr>
        <w:t>use</w:t>
      </w:r>
      <w:r w:rsidRPr="00D81ABE">
        <w:rPr>
          <w:bCs/>
          <w:spacing w:val="-3"/>
          <w:szCs w:val="22"/>
        </w:rPr>
        <w:t xml:space="preserve"> </w:t>
      </w:r>
      <w:r w:rsidRPr="00D81ABE">
        <w:rPr>
          <w:bCs/>
          <w:szCs w:val="22"/>
        </w:rPr>
        <w:t>the</w:t>
      </w:r>
      <w:r w:rsidRPr="00D81ABE">
        <w:rPr>
          <w:bCs/>
          <w:spacing w:val="-3"/>
          <w:szCs w:val="22"/>
        </w:rPr>
        <w:t xml:space="preserve"> </w:t>
      </w:r>
      <w:r w:rsidRPr="00D81ABE">
        <w:rPr>
          <w:bCs/>
          <w:szCs w:val="22"/>
        </w:rPr>
        <w:t>template</w:t>
      </w:r>
      <w:r w:rsidRPr="00D81ABE">
        <w:rPr>
          <w:bCs/>
          <w:spacing w:val="-3"/>
          <w:szCs w:val="22"/>
        </w:rPr>
        <w:t xml:space="preserve"> </w:t>
      </w:r>
      <w:r w:rsidRPr="00D81ABE">
        <w:rPr>
          <w:bCs/>
          <w:szCs w:val="22"/>
        </w:rPr>
        <w:t>from</w:t>
      </w:r>
      <w:r w:rsidRPr="00D81ABE">
        <w:rPr>
          <w:bCs/>
          <w:spacing w:val="-5"/>
          <w:szCs w:val="22"/>
        </w:rPr>
        <w:t xml:space="preserve"> </w:t>
      </w:r>
      <w:r w:rsidRPr="00D81ABE">
        <w:rPr>
          <w:bCs/>
          <w:szCs w:val="22"/>
        </w:rPr>
        <w:t xml:space="preserve">the </w:t>
      </w:r>
      <w:r w:rsidR="0098768F">
        <w:rPr>
          <w:bCs/>
          <w:szCs w:val="22"/>
        </w:rPr>
        <w:t>S</w:t>
      </w:r>
      <w:r w:rsidRPr="00D81ABE">
        <w:rPr>
          <w:bCs/>
          <w:szCs w:val="22"/>
        </w:rPr>
        <w:t xml:space="preserve">ection </w:t>
      </w:r>
      <w:r w:rsidRPr="00D81ABE">
        <w:rPr>
          <w:bCs/>
          <w:szCs w:val="22"/>
        </w:rPr>
        <w:t xml:space="preserve">43.82 </w:t>
      </w:r>
      <w:r w:rsidR="0098768F">
        <w:rPr>
          <w:bCs/>
          <w:szCs w:val="22"/>
        </w:rPr>
        <w:t>O</w:t>
      </w:r>
      <w:r w:rsidRPr="00D81ABE">
        <w:rPr>
          <w:bCs/>
          <w:szCs w:val="22"/>
        </w:rPr>
        <w:t xml:space="preserve">nline </w:t>
      </w:r>
      <w:r w:rsidR="0098768F">
        <w:rPr>
          <w:bCs/>
          <w:szCs w:val="22"/>
        </w:rPr>
        <w:t>F</w:t>
      </w:r>
      <w:r w:rsidRPr="00D81ABE">
        <w:rPr>
          <w:bCs/>
          <w:szCs w:val="22"/>
        </w:rPr>
        <w:t xml:space="preserve">iling </w:t>
      </w:r>
      <w:r w:rsidR="0098768F">
        <w:rPr>
          <w:bCs/>
          <w:szCs w:val="22"/>
        </w:rPr>
        <w:t>S</w:t>
      </w:r>
      <w:r w:rsidRPr="00D81ABE">
        <w:rPr>
          <w:bCs/>
          <w:szCs w:val="22"/>
        </w:rPr>
        <w:t>ystem to file their data</w:t>
      </w:r>
      <w:r w:rsidR="00F54FA5">
        <w:rPr>
          <w:bCs/>
          <w:szCs w:val="22"/>
        </w:rPr>
        <w:t xml:space="preserve"> with the Commission</w:t>
      </w:r>
      <w:r w:rsidRPr="00D81ABE" w:rsidR="00F2009A">
        <w:rPr>
          <w:bCs/>
          <w:szCs w:val="22"/>
        </w:rPr>
        <w:t xml:space="preserve">.  </w:t>
      </w:r>
      <w:r w:rsidRPr="000354CF" w:rsidR="00F2009A">
        <w:rPr>
          <w:bCs/>
          <w:szCs w:val="22"/>
        </w:rPr>
        <w:t xml:space="preserve">Filing Entities </w:t>
      </w:r>
      <w:r w:rsidRPr="00575E17" w:rsidR="00F2009A">
        <w:rPr>
          <w:b/>
          <w:i/>
          <w:iCs/>
          <w:szCs w:val="22"/>
        </w:rPr>
        <w:t xml:space="preserve">must </w:t>
      </w:r>
      <w:r w:rsidRPr="00575E17">
        <w:rPr>
          <w:b/>
          <w:i/>
          <w:iCs/>
          <w:szCs w:val="22"/>
        </w:rPr>
        <w:t>not</w:t>
      </w:r>
      <w:r w:rsidRPr="000354CF">
        <w:rPr>
          <w:bCs/>
          <w:szCs w:val="22"/>
        </w:rPr>
        <w:t xml:space="preserve"> </w:t>
      </w:r>
      <w:r w:rsidRPr="000354CF" w:rsidR="00F2009A">
        <w:rPr>
          <w:bCs/>
          <w:szCs w:val="22"/>
        </w:rPr>
        <w:t xml:space="preserve">use </w:t>
      </w:r>
      <w:r w:rsidRPr="000354CF">
        <w:rPr>
          <w:bCs/>
          <w:szCs w:val="22"/>
        </w:rPr>
        <w:t>the sample template included in this Public Notice or templates from prior years</w:t>
      </w:r>
      <w:r w:rsidR="00534089">
        <w:rPr>
          <w:bCs/>
          <w:szCs w:val="22"/>
        </w:rPr>
        <w:t xml:space="preserve"> because doing so would </w:t>
      </w:r>
      <w:r w:rsidR="00ED4AFD">
        <w:rPr>
          <w:bCs/>
          <w:szCs w:val="22"/>
        </w:rPr>
        <w:t>render the filing incomplete and</w:t>
      </w:r>
      <w:r w:rsidR="00695AB1">
        <w:rPr>
          <w:bCs/>
          <w:szCs w:val="22"/>
        </w:rPr>
        <w:t xml:space="preserve"> possibly, late</w:t>
      </w:r>
      <w:r w:rsidRPr="000354CF">
        <w:rPr>
          <w:bCs/>
          <w:szCs w:val="22"/>
        </w:rPr>
        <w:t>.</w:t>
      </w:r>
      <w:r>
        <w:rPr>
          <w:b/>
          <w:szCs w:val="22"/>
        </w:rPr>
        <w:t xml:space="preserve"> </w:t>
      </w:r>
    </w:p>
    <w:p w:rsidR="0064660F" w:rsidRPr="00640FBA" w:rsidP="00385D0E" w14:paraId="32E866CE" w14:textId="77777777">
      <w:pPr>
        <w:pStyle w:val="BodyText"/>
        <w:spacing w:before="44"/>
        <w:rPr>
          <w:b/>
        </w:rPr>
      </w:pPr>
    </w:p>
    <w:p w:rsidR="00385D0E" w:rsidRPr="00640FBA" w:rsidP="00385D0E" w14:paraId="68480DF4" w14:textId="63975372">
      <w:pPr>
        <w:pStyle w:val="ListParagraph"/>
        <w:numPr>
          <w:ilvl w:val="0"/>
          <w:numId w:val="7"/>
        </w:numPr>
        <w:tabs>
          <w:tab w:val="left" w:pos="840"/>
        </w:tabs>
        <w:spacing w:line="230" w:lineRule="auto"/>
        <w:ind w:right="217"/>
      </w:pPr>
      <w:r w:rsidRPr="00640FBA">
        <w:rPr>
          <w:b/>
        </w:rPr>
        <w:t>Attachment</w:t>
      </w:r>
      <w:r w:rsidRPr="00640FBA">
        <w:rPr>
          <w:b/>
          <w:spacing w:val="-5"/>
        </w:rPr>
        <w:t xml:space="preserve"> </w:t>
      </w:r>
      <w:r w:rsidR="00946909">
        <w:rPr>
          <w:b/>
        </w:rPr>
        <w:t>1</w:t>
      </w:r>
      <w:r w:rsidRPr="00640FBA">
        <w:rPr>
          <w:b/>
          <w:spacing w:val="-4"/>
        </w:rPr>
        <w:t xml:space="preserve"> </w:t>
      </w:r>
      <w:r w:rsidRPr="00640FBA">
        <w:t>–</w:t>
      </w:r>
      <w:r w:rsidRPr="00640FBA">
        <w:rPr>
          <w:spacing w:val="-4"/>
        </w:rPr>
        <w:t xml:space="preserve"> </w:t>
      </w:r>
      <w:r w:rsidRPr="00640FBA">
        <w:rPr>
          <w:spacing w:val="-1"/>
        </w:rPr>
        <w:t>Sample</w:t>
      </w:r>
      <w:r w:rsidRPr="00640FBA">
        <w:rPr>
          <w:spacing w:val="-4"/>
        </w:rPr>
        <w:t xml:space="preserve"> </w:t>
      </w:r>
      <w:r w:rsidRPr="00640FBA">
        <w:t>Capacity</w:t>
      </w:r>
      <w:r w:rsidRPr="00640FBA">
        <w:rPr>
          <w:spacing w:val="-5"/>
        </w:rPr>
        <w:t xml:space="preserve"> </w:t>
      </w:r>
      <w:r w:rsidRPr="00640FBA">
        <w:t>Holder</w:t>
      </w:r>
      <w:r w:rsidRPr="00640FBA">
        <w:rPr>
          <w:spacing w:val="-4"/>
        </w:rPr>
        <w:t xml:space="preserve"> </w:t>
      </w:r>
      <w:r w:rsidRPr="00640FBA">
        <w:rPr>
          <w:spacing w:val="-2"/>
        </w:rPr>
        <w:t>Report</w:t>
      </w:r>
    </w:p>
    <w:p w:rsidR="00385D0E" w:rsidRPr="00640FBA" w:rsidP="00385D0E" w14:paraId="2F4C48F2" w14:textId="27794968">
      <w:pPr>
        <w:pStyle w:val="ListParagraph"/>
        <w:numPr>
          <w:ilvl w:val="0"/>
          <w:numId w:val="7"/>
        </w:numPr>
        <w:tabs>
          <w:tab w:val="left" w:pos="840"/>
        </w:tabs>
        <w:spacing w:line="230" w:lineRule="auto"/>
      </w:pPr>
      <w:r w:rsidRPr="00640FBA">
        <w:rPr>
          <w:b/>
          <w:bCs/>
        </w:rPr>
        <w:t>Attachment</w:t>
      </w:r>
      <w:r w:rsidRPr="00640FBA">
        <w:rPr>
          <w:b/>
          <w:bCs/>
          <w:spacing w:val="-4"/>
        </w:rPr>
        <w:t xml:space="preserve"> </w:t>
      </w:r>
      <w:r w:rsidR="00946909">
        <w:rPr>
          <w:b/>
          <w:bCs/>
        </w:rPr>
        <w:t>2</w:t>
      </w:r>
      <w:r w:rsidRPr="00640FBA">
        <w:rPr>
          <w:b/>
          <w:bCs/>
          <w:spacing w:val="-3"/>
        </w:rPr>
        <w:t xml:space="preserve"> </w:t>
      </w:r>
      <w:r w:rsidRPr="00640FBA">
        <w:t>–</w:t>
      </w:r>
      <w:r w:rsidRPr="00640FBA">
        <w:rPr>
          <w:spacing w:val="-4"/>
        </w:rPr>
        <w:t xml:space="preserve"> </w:t>
      </w:r>
      <w:r w:rsidRPr="00640FBA">
        <w:t>Current</w:t>
      </w:r>
      <w:r w:rsidRPr="00640FBA">
        <w:rPr>
          <w:spacing w:val="-3"/>
        </w:rPr>
        <w:t xml:space="preserve"> </w:t>
      </w:r>
      <w:r w:rsidRPr="00640FBA">
        <w:t>License</w:t>
      </w:r>
      <w:r w:rsidRPr="00640FBA">
        <w:rPr>
          <w:spacing w:val="-5"/>
        </w:rPr>
        <w:t xml:space="preserve"> </w:t>
      </w:r>
      <w:r w:rsidRPr="00640FBA">
        <w:t>Numbers</w:t>
      </w:r>
      <w:r w:rsidRPr="00640FBA">
        <w:rPr>
          <w:spacing w:val="-6"/>
        </w:rPr>
        <w:t xml:space="preserve"> </w:t>
      </w:r>
      <w:r w:rsidRPr="00640FBA">
        <w:t>for</w:t>
      </w:r>
      <w:r w:rsidRPr="00640FBA">
        <w:rPr>
          <w:spacing w:val="-4"/>
        </w:rPr>
        <w:t xml:space="preserve"> </w:t>
      </w:r>
      <w:r w:rsidRPr="00640FBA">
        <w:t>U.S.-International</w:t>
      </w:r>
      <w:r w:rsidRPr="00640FBA">
        <w:rPr>
          <w:spacing w:val="-5"/>
        </w:rPr>
        <w:t xml:space="preserve"> </w:t>
      </w:r>
      <w:r w:rsidRPr="00640FBA">
        <w:t>Submarine</w:t>
      </w:r>
      <w:r w:rsidRPr="00640FBA">
        <w:rPr>
          <w:spacing w:val="-4"/>
        </w:rPr>
        <w:t xml:space="preserve"> </w:t>
      </w:r>
      <w:r w:rsidRPr="00640FBA">
        <w:t>Cables</w:t>
      </w:r>
      <w:r w:rsidRPr="00640FBA">
        <w:rPr>
          <w:spacing w:val="-4"/>
        </w:rPr>
        <w:t xml:space="preserve"> </w:t>
      </w:r>
      <w:r w:rsidRPr="00640FBA">
        <w:t>as</w:t>
      </w:r>
      <w:r w:rsidRPr="00640FBA">
        <w:rPr>
          <w:spacing w:val="-4"/>
        </w:rPr>
        <w:t xml:space="preserve"> </w:t>
      </w:r>
      <w:r w:rsidRPr="00640FBA">
        <w:t xml:space="preserve">of </w:t>
      </w:r>
      <w:r w:rsidR="00610041">
        <w:t>December 31</w:t>
      </w:r>
      <w:r w:rsidRPr="00FE0EDB" w:rsidR="00FE0EDB">
        <w:t>, 202</w:t>
      </w:r>
      <w:r w:rsidR="00610041">
        <w:t>5</w:t>
      </w:r>
    </w:p>
    <w:p w:rsidR="00CA2BBF" w:rsidRPr="00640FBA" w:rsidP="00E35896" w14:paraId="2D49024F" w14:textId="77777777">
      <w:pPr>
        <w:pStyle w:val="BodyText"/>
      </w:pPr>
    </w:p>
    <w:p w:rsidR="00CA2BBF" w:rsidRPr="00640FBA" w:rsidP="00CA2BBF" w14:paraId="64EA5B7A" w14:textId="6FA00934">
      <w:pPr>
        <w:ind w:firstLine="720"/>
        <w:rPr>
          <w:szCs w:val="22"/>
        </w:rPr>
      </w:pPr>
      <w:r>
        <w:rPr>
          <w:b/>
          <w:bCs/>
          <w:szCs w:val="22"/>
        </w:rPr>
        <w:t>En</w:t>
      </w:r>
      <w:r w:rsidRPr="00DD7DC8">
        <w:rPr>
          <w:b/>
          <w:bCs/>
          <w:szCs w:val="22"/>
        </w:rPr>
        <w:t xml:space="preserve">forcement </w:t>
      </w:r>
      <w:r>
        <w:rPr>
          <w:b/>
          <w:bCs/>
          <w:szCs w:val="22"/>
        </w:rPr>
        <w:t>of</w:t>
      </w:r>
      <w:r w:rsidRPr="00DD7DC8">
        <w:rPr>
          <w:b/>
          <w:bCs/>
          <w:szCs w:val="22"/>
        </w:rPr>
        <w:t xml:space="preserve"> Circuit Capacity Rules.</w:t>
      </w:r>
      <w:r w:rsidRPr="00640FBA">
        <w:rPr>
          <w:b/>
          <w:spacing w:val="40"/>
          <w:szCs w:val="22"/>
        </w:rPr>
        <w:t xml:space="preserve"> </w:t>
      </w:r>
      <w:r w:rsidRPr="00640FBA">
        <w:rPr>
          <w:szCs w:val="22"/>
        </w:rPr>
        <w:t>We</w:t>
      </w:r>
      <w:r w:rsidRPr="00640FBA">
        <w:rPr>
          <w:spacing w:val="-1"/>
          <w:szCs w:val="22"/>
        </w:rPr>
        <w:t xml:space="preserve"> </w:t>
      </w:r>
      <w:r w:rsidRPr="00640FBA">
        <w:rPr>
          <w:szCs w:val="22"/>
        </w:rPr>
        <w:t>remind</w:t>
      </w:r>
      <w:r w:rsidRPr="00640FBA">
        <w:rPr>
          <w:spacing w:val="-4"/>
          <w:szCs w:val="22"/>
        </w:rPr>
        <w:t xml:space="preserve"> </w:t>
      </w:r>
      <w:r w:rsidRPr="00640FBA">
        <w:rPr>
          <w:szCs w:val="22"/>
        </w:rPr>
        <w:t>cable</w:t>
      </w:r>
      <w:r w:rsidRPr="00640FBA">
        <w:rPr>
          <w:spacing w:val="-3"/>
          <w:szCs w:val="22"/>
        </w:rPr>
        <w:t xml:space="preserve"> </w:t>
      </w:r>
      <w:r w:rsidRPr="00640FBA">
        <w:rPr>
          <w:szCs w:val="22"/>
        </w:rPr>
        <w:t>landing</w:t>
      </w:r>
      <w:r w:rsidRPr="00640FBA">
        <w:rPr>
          <w:spacing w:val="-1"/>
          <w:szCs w:val="22"/>
        </w:rPr>
        <w:t xml:space="preserve"> </w:t>
      </w:r>
      <w:r w:rsidRPr="00640FBA">
        <w:rPr>
          <w:szCs w:val="22"/>
        </w:rPr>
        <w:t xml:space="preserve">licensees and common carriers of their obligation to file timely and accurate reports </w:t>
      </w:r>
      <w:r w:rsidRPr="00640FBA">
        <w:rPr>
          <w:b/>
          <w:szCs w:val="22"/>
        </w:rPr>
        <w:t xml:space="preserve">by </w:t>
      </w:r>
      <w:r w:rsidRPr="00441E67">
        <w:rPr>
          <w:b/>
          <w:iCs/>
          <w:szCs w:val="22"/>
        </w:rPr>
        <w:t>March</w:t>
      </w:r>
      <w:r w:rsidRPr="00441E67">
        <w:rPr>
          <w:b/>
          <w:iCs/>
          <w:spacing w:val="-3"/>
          <w:szCs w:val="22"/>
        </w:rPr>
        <w:t xml:space="preserve"> </w:t>
      </w:r>
      <w:r>
        <w:rPr>
          <w:b/>
          <w:iCs/>
          <w:spacing w:val="-3"/>
          <w:szCs w:val="22"/>
        </w:rPr>
        <w:t>3</w:t>
      </w:r>
      <w:r w:rsidRPr="00441E67">
        <w:rPr>
          <w:b/>
          <w:iCs/>
          <w:szCs w:val="22"/>
        </w:rPr>
        <w:t>1,</w:t>
      </w:r>
      <w:r w:rsidRPr="00441E67">
        <w:rPr>
          <w:b/>
          <w:iCs/>
          <w:spacing w:val="-2"/>
          <w:szCs w:val="22"/>
        </w:rPr>
        <w:t xml:space="preserve"> </w:t>
      </w:r>
      <w:r w:rsidRPr="00441E67">
        <w:rPr>
          <w:b/>
          <w:iCs/>
          <w:szCs w:val="22"/>
        </w:rPr>
        <w:t>2026</w:t>
      </w:r>
      <w:r w:rsidRPr="00640FBA">
        <w:rPr>
          <w:szCs w:val="22"/>
        </w:rPr>
        <w:t>.</w:t>
      </w:r>
      <w:r w:rsidRPr="00640FBA">
        <w:rPr>
          <w:spacing w:val="40"/>
          <w:szCs w:val="22"/>
        </w:rPr>
        <w:t xml:space="preserve"> </w:t>
      </w:r>
      <w:r w:rsidRPr="00640FBA">
        <w:rPr>
          <w:szCs w:val="22"/>
        </w:rPr>
        <w:t>We encourage</w:t>
      </w:r>
      <w:r w:rsidRPr="00640FBA">
        <w:rPr>
          <w:spacing w:val="-1"/>
          <w:szCs w:val="22"/>
        </w:rPr>
        <w:t xml:space="preserve"> </w:t>
      </w:r>
      <w:r w:rsidRPr="00640FBA">
        <w:rPr>
          <w:szCs w:val="22"/>
        </w:rPr>
        <w:t>Filing</w:t>
      </w:r>
      <w:r w:rsidRPr="00640FBA">
        <w:rPr>
          <w:spacing w:val="-1"/>
          <w:szCs w:val="22"/>
        </w:rPr>
        <w:t xml:space="preserve"> </w:t>
      </w:r>
      <w:r w:rsidRPr="00640FBA">
        <w:rPr>
          <w:szCs w:val="22"/>
        </w:rPr>
        <w:t>Entities</w:t>
      </w:r>
      <w:r w:rsidRPr="00640FBA">
        <w:rPr>
          <w:spacing w:val="-3"/>
          <w:szCs w:val="22"/>
        </w:rPr>
        <w:t xml:space="preserve"> </w:t>
      </w:r>
      <w:r w:rsidRPr="00640FBA">
        <w:rPr>
          <w:szCs w:val="22"/>
        </w:rPr>
        <w:t>to</w:t>
      </w:r>
      <w:r w:rsidRPr="00640FBA">
        <w:rPr>
          <w:spacing w:val="-4"/>
          <w:szCs w:val="22"/>
        </w:rPr>
        <w:t xml:space="preserve"> </w:t>
      </w:r>
      <w:r w:rsidRPr="00640FBA">
        <w:rPr>
          <w:szCs w:val="22"/>
        </w:rPr>
        <w:t>file</w:t>
      </w:r>
      <w:r w:rsidRPr="00640FBA">
        <w:rPr>
          <w:spacing w:val="-3"/>
          <w:szCs w:val="22"/>
        </w:rPr>
        <w:t xml:space="preserve"> </w:t>
      </w:r>
      <w:r w:rsidRPr="00640FBA">
        <w:rPr>
          <w:szCs w:val="22"/>
        </w:rPr>
        <w:t>their</w:t>
      </w:r>
      <w:r w:rsidRPr="00640FBA">
        <w:rPr>
          <w:spacing w:val="-3"/>
          <w:szCs w:val="22"/>
        </w:rPr>
        <w:t xml:space="preserve"> </w:t>
      </w:r>
      <w:r w:rsidRPr="00640FBA">
        <w:rPr>
          <w:szCs w:val="22"/>
        </w:rPr>
        <w:t>reports</w:t>
      </w:r>
      <w:r w:rsidRPr="00640FBA">
        <w:rPr>
          <w:spacing w:val="-1"/>
          <w:szCs w:val="22"/>
        </w:rPr>
        <w:t xml:space="preserve"> </w:t>
      </w:r>
      <w:r w:rsidRPr="00640FBA">
        <w:rPr>
          <w:szCs w:val="22"/>
        </w:rPr>
        <w:t>as</w:t>
      </w:r>
      <w:r w:rsidRPr="00640FBA">
        <w:rPr>
          <w:spacing w:val="-3"/>
          <w:szCs w:val="22"/>
        </w:rPr>
        <w:t xml:space="preserve"> </w:t>
      </w:r>
      <w:r w:rsidRPr="00640FBA">
        <w:rPr>
          <w:szCs w:val="22"/>
        </w:rPr>
        <w:t>early</w:t>
      </w:r>
      <w:r w:rsidRPr="00640FBA">
        <w:rPr>
          <w:spacing w:val="-4"/>
          <w:szCs w:val="22"/>
        </w:rPr>
        <w:t xml:space="preserve"> </w:t>
      </w:r>
      <w:r w:rsidRPr="00640FBA">
        <w:rPr>
          <w:szCs w:val="22"/>
        </w:rPr>
        <w:t>as</w:t>
      </w:r>
      <w:r w:rsidRPr="00640FBA">
        <w:rPr>
          <w:spacing w:val="-3"/>
          <w:szCs w:val="22"/>
        </w:rPr>
        <w:t xml:space="preserve"> </w:t>
      </w:r>
      <w:r w:rsidRPr="00640FBA">
        <w:rPr>
          <w:szCs w:val="22"/>
        </w:rPr>
        <w:t>possible</w:t>
      </w:r>
      <w:r w:rsidRPr="00640FBA">
        <w:rPr>
          <w:spacing w:val="-1"/>
          <w:szCs w:val="22"/>
        </w:rPr>
        <w:t xml:space="preserve"> </w:t>
      </w:r>
      <w:r w:rsidRPr="00640FBA">
        <w:rPr>
          <w:szCs w:val="22"/>
        </w:rPr>
        <w:t>during</w:t>
      </w:r>
      <w:r w:rsidRPr="00640FBA">
        <w:rPr>
          <w:spacing w:val="-4"/>
          <w:szCs w:val="22"/>
        </w:rPr>
        <w:t xml:space="preserve"> </w:t>
      </w:r>
      <w:r w:rsidRPr="00640FBA">
        <w:rPr>
          <w:szCs w:val="22"/>
        </w:rPr>
        <w:t>the</w:t>
      </w:r>
      <w:r w:rsidRPr="00640FBA">
        <w:rPr>
          <w:spacing w:val="-3"/>
          <w:szCs w:val="22"/>
        </w:rPr>
        <w:t xml:space="preserve"> </w:t>
      </w:r>
      <w:r w:rsidRPr="00640FBA">
        <w:rPr>
          <w:szCs w:val="22"/>
        </w:rPr>
        <w:t>filing</w:t>
      </w:r>
      <w:r w:rsidRPr="00640FBA">
        <w:rPr>
          <w:spacing w:val="-4"/>
          <w:szCs w:val="22"/>
        </w:rPr>
        <w:t xml:space="preserve"> </w:t>
      </w:r>
      <w:r w:rsidRPr="00640FBA">
        <w:rPr>
          <w:szCs w:val="22"/>
        </w:rPr>
        <w:t>window.</w:t>
      </w:r>
      <w:r w:rsidRPr="00640FBA">
        <w:rPr>
          <w:spacing w:val="40"/>
          <w:szCs w:val="22"/>
        </w:rPr>
        <w:t xml:space="preserve"> </w:t>
      </w:r>
      <w:r w:rsidRPr="00640FBA">
        <w:rPr>
          <w:szCs w:val="22"/>
        </w:rPr>
        <w:t>A</w:t>
      </w:r>
      <w:r w:rsidRPr="00640FBA">
        <w:rPr>
          <w:spacing w:val="-2"/>
          <w:szCs w:val="22"/>
        </w:rPr>
        <w:t xml:space="preserve"> </w:t>
      </w:r>
      <w:r w:rsidRPr="00640FBA">
        <w:rPr>
          <w:szCs w:val="22"/>
        </w:rPr>
        <w:t>failure</w:t>
      </w:r>
      <w:r w:rsidRPr="00640FBA">
        <w:rPr>
          <w:spacing w:val="-1"/>
          <w:szCs w:val="22"/>
        </w:rPr>
        <w:t xml:space="preserve"> </w:t>
      </w:r>
      <w:r w:rsidRPr="00640FBA">
        <w:rPr>
          <w:szCs w:val="22"/>
        </w:rPr>
        <w:t xml:space="preserve">to comply with the section 43.82 requirements may subject such entities to </w:t>
      </w:r>
      <w:r w:rsidR="00694B6A">
        <w:rPr>
          <w:szCs w:val="22"/>
        </w:rPr>
        <w:t xml:space="preserve">an </w:t>
      </w:r>
      <w:r w:rsidRPr="00640FBA">
        <w:rPr>
          <w:szCs w:val="22"/>
        </w:rPr>
        <w:t>enforcement action.</w:t>
      </w:r>
      <w:r w:rsidR="001E4037">
        <w:rPr>
          <w:szCs w:val="22"/>
        </w:rPr>
        <w:t xml:space="preserve">  </w:t>
      </w:r>
      <w:r w:rsidRPr="001B6C66" w:rsidR="001E4037">
        <w:t xml:space="preserve">Filing Entities that are unable to file by the deadline must submit an online waiver request seeking an extension of time to file as soon as possible, but no later than </w:t>
      </w:r>
      <w:r w:rsidR="001E4037">
        <w:t>March 31</w:t>
      </w:r>
      <w:r w:rsidRPr="00FD4844" w:rsidR="001E4037">
        <w:t>, 2026.</w:t>
      </w:r>
      <w:r>
        <w:rPr>
          <w:rStyle w:val="FootnoteReference"/>
        </w:rPr>
        <w:footnoteReference w:id="13"/>
      </w:r>
      <w:r w:rsidR="001E4037">
        <w:rPr>
          <w:szCs w:val="22"/>
        </w:rPr>
        <w:t xml:space="preserve">  </w:t>
      </w:r>
    </w:p>
    <w:p w:rsidR="00CA2BBF" w:rsidRPr="00C4599B" w:rsidP="00385D0E" w14:paraId="3145B2CC" w14:textId="77777777">
      <w:pPr>
        <w:ind w:firstLine="720"/>
        <w:rPr>
          <w:b/>
          <w:szCs w:val="22"/>
        </w:rPr>
      </w:pPr>
    </w:p>
    <w:p w:rsidR="00385D0E" w:rsidRPr="00640FBA" w:rsidP="00385D0E" w14:paraId="701A08C7" w14:textId="38C41DDF">
      <w:pPr>
        <w:ind w:firstLine="720"/>
        <w:rPr>
          <w:szCs w:val="22"/>
        </w:rPr>
      </w:pPr>
      <w:r w:rsidRPr="00C4599B">
        <w:rPr>
          <w:b/>
          <w:bCs/>
          <w:szCs w:val="22"/>
        </w:rPr>
        <w:t>FCC Contact Information.</w:t>
      </w:r>
      <w:r>
        <w:rPr>
          <w:szCs w:val="22"/>
        </w:rPr>
        <w:t xml:space="preserve">  </w:t>
      </w:r>
      <w:r w:rsidRPr="00640FBA">
        <w:rPr>
          <w:szCs w:val="22"/>
        </w:rPr>
        <w:t>FCC</w:t>
      </w:r>
      <w:r w:rsidRPr="00640FBA">
        <w:rPr>
          <w:spacing w:val="-3"/>
          <w:szCs w:val="22"/>
        </w:rPr>
        <w:t xml:space="preserve"> </w:t>
      </w:r>
      <w:r w:rsidRPr="00640FBA">
        <w:rPr>
          <w:szCs w:val="22"/>
        </w:rPr>
        <w:t>staff</w:t>
      </w:r>
      <w:r w:rsidRPr="00640FBA">
        <w:rPr>
          <w:spacing w:val="-2"/>
          <w:szCs w:val="22"/>
        </w:rPr>
        <w:t xml:space="preserve"> </w:t>
      </w:r>
      <w:r w:rsidRPr="00640FBA">
        <w:rPr>
          <w:szCs w:val="22"/>
        </w:rPr>
        <w:t>will</w:t>
      </w:r>
      <w:r w:rsidRPr="00640FBA">
        <w:rPr>
          <w:spacing w:val="-4"/>
          <w:szCs w:val="22"/>
        </w:rPr>
        <w:t xml:space="preserve"> </w:t>
      </w:r>
      <w:r w:rsidRPr="00640FBA">
        <w:rPr>
          <w:szCs w:val="22"/>
        </w:rPr>
        <w:t>send</w:t>
      </w:r>
      <w:r w:rsidRPr="00640FBA">
        <w:rPr>
          <w:spacing w:val="-5"/>
          <w:szCs w:val="22"/>
        </w:rPr>
        <w:t xml:space="preserve"> </w:t>
      </w:r>
      <w:r w:rsidRPr="00640FBA">
        <w:rPr>
          <w:szCs w:val="22"/>
        </w:rPr>
        <w:t>emails</w:t>
      </w:r>
      <w:r w:rsidRPr="00640FBA">
        <w:rPr>
          <w:spacing w:val="-4"/>
          <w:szCs w:val="22"/>
        </w:rPr>
        <w:t xml:space="preserve"> </w:t>
      </w:r>
      <w:r w:rsidRPr="00640FBA">
        <w:rPr>
          <w:szCs w:val="22"/>
        </w:rPr>
        <w:t>through</w:t>
      </w:r>
      <w:r w:rsidRPr="00640FBA">
        <w:rPr>
          <w:spacing w:val="-2"/>
          <w:szCs w:val="22"/>
        </w:rPr>
        <w:t xml:space="preserve"> </w:t>
      </w:r>
      <w:r w:rsidRPr="00640FBA">
        <w:rPr>
          <w:szCs w:val="22"/>
        </w:rPr>
        <w:t>the</w:t>
      </w:r>
      <w:r w:rsidRPr="00640FBA">
        <w:rPr>
          <w:spacing w:val="-2"/>
          <w:szCs w:val="22"/>
        </w:rPr>
        <w:t xml:space="preserve"> </w:t>
      </w:r>
      <w:r w:rsidR="0080052D">
        <w:rPr>
          <w:szCs w:val="22"/>
        </w:rPr>
        <w:t>S</w:t>
      </w:r>
      <w:r w:rsidRPr="00640FBA">
        <w:rPr>
          <w:szCs w:val="22"/>
        </w:rPr>
        <w:t>ection</w:t>
      </w:r>
      <w:r w:rsidRPr="00640FBA">
        <w:rPr>
          <w:spacing w:val="-5"/>
          <w:szCs w:val="22"/>
        </w:rPr>
        <w:t xml:space="preserve"> </w:t>
      </w:r>
      <w:r w:rsidRPr="00640FBA">
        <w:rPr>
          <w:szCs w:val="22"/>
        </w:rPr>
        <w:t>43.82</w:t>
      </w:r>
      <w:r w:rsidRPr="00640FBA">
        <w:rPr>
          <w:spacing w:val="-2"/>
          <w:szCs w:val="22"/>
        </w:rPr>
        <w:t xml:space="preserve"> </w:t>
      </w:r>
      <w:r w:rsidR="0080052D">
        <w:rPr>
          <w:szCs w:val="22"/>
        </w:rPr>
        <w:t>O</w:t>
      </w:r>
      <w:r w:rsidRPr="00640FBA">
        <w:rPr>
          <w:szCs w:val="22"/>
        </w:rPr>
        <w:t>nline</w:t>
      </w:r>
      <w:r w:rsidRPr="00640FBA">
        <w:rPr>
          <w:spacing w:val="-2"/>
          <w:szCs w:val="22"/>
        </w:rPr>
        <w:t xml:space="preserve"> </w:t>
      </w:r>
      <w:r w:rsidR="0080052D">
        <w:rPr>
          <w:szCs w:val="22"/>
        </w:rPr>
        <w:t>F</w:t>
      </w:r>
      <w:r w:rsidRPr="00640FBA">
        <w:rPr>
          <w:szCs w:val="22"/>
        </w:rPr>
        <w:t>iling</w:t>
      </w:r>
      <w:r w:rsidRPr="00640FBA">
        <w:rPr>
          <w:spacing w:val="-5"/>
          <w:szCs w:val="22"/>
        </w:rPr>
        <w:t xml:space="preserve"> </w:t>
      </w:r>
      <w:r w:rsidR="001E4037">
        <w:rPr>
          <w:szCs w:val="22"/>
        </w:rPr>
        <w:t>S</w:t>
      </w:r>
      <w:r w:rsidRPr="00640FBA">
        <w:rPr>
          <w:szCs w:val="22"/>
        </w:rPr>
        <w:t>ystem.</w:t>
      </w:r>
      <w:r w:rsidRPr="00640FBA">
        <w:rPr>
          <w:spacing w:val="40"/>
          <w:szCs w:val="22"/>
        </w:rPr>
        <w:t xml:space="preserve"> </w:t>
      </w:r>
      <w:r w:rsidRPr="00640FBA">
        <w:rPr>
          <w:szCs w:val="22"/>
        </w:rPr>
        <w:t>All</w:t>
      </w:r>
      <w:r w:rsidRPr="00640FBA">
        <w:rPr>
          <w:spacing w:val="-1"/>
          <w:szCs w:val="22"/>
        </w:rPr>
        <w:t xml:space="preserve"> </w:t>
      </w:r>
      <w:r w:rsidRPr="00640FBA">
        <w:rPr>
          <w:szCs w:val="22"/>
        </w:rPr>
        <w:t xml:space="preserve">system-generated emails will be from </w:t>
      </w:r>
      <w:hyperlink r:id="rId8">
        <w:r w:rsidRPr="00640FBA">
          <w:rPr>
            <w:color w:val="0000FF"/>
            <w:szCs w:val="22"/>
            <w:u w:val="single" w:color="0000FF"/>
          </w:rPr>
          <w:t>FCC-INTL-Part43@fcc.gov</w:t>
        </w:r>
        <w:r w:rsidRPr="00640FBA">
          <w:rPr>
            <w:szCs w:val="22"/>
          </w:rPr>
          <w:t>.</w:t>
        </w:r>
      </w:hyperlink>
      <w:r w:rsidRPr="00640FBA">
        <w:rPr>
          <w:spacing w:val="40"/>
          <w:szCs w:val="22"/>
        </w:rPr>
        <w:t xml:space="preserve"> </w:t>
      </w:r>
      <w:r w:rsidRPr="00640FBA">
        <w:rPr>
          <w:szCs w:val="22"/>
        </w:rPr>
        <w:t xml:space="preserve">Filing Entities should ensure that their systems will accept emails from this </w:t>
      </w:r>
      <w:r w:rsidR="0080321B">
        <w:rPr>
          <w:szCs w:val="22"/>
        </w:rPr>
        <w:t xml:space="preserve">email </w:t>
      </w:r>
      <w:r w:rsidRPr="00640FBA">
        <w:rPr>
          <w:szCs w:val="22"/>
        </w:rPr>
        <w:t>address</w:t>
      </w:r>
      <w:r w:rsidR="005D0F8D">
        <w:rPr>
          <w:szCs w:val="22"/>
        </w:rPr>
        <w:t xml:space="preserve"> and check spam folders in case the emails </w:t>
      </w:r>
      <w:r w:rsidR="00D545C7">
        <w:rPr>
          <w:szCs w:val="22"/>
        </w:rPr>
        <w:t>are flagged</w:t>
      </w:r>
      <w:r w:rsidRPr="00640FBA">
        <w:rPr>
          <w:szCs w:val="22"/>
        </w:rPr>
        <w:t>.</w:t>
      </w:r>
      <w:r w:rsidRPr="00640FBA">
        <w:rPr>
          <w:spacing w:val="40"/>
          <w:szCs w:val="22"/>
        </w:rPr>
        <w:t xml:space="preserve"> </w:t>
      </w:r>
      <w:r w:rsidR="00EA1FDD">
        <w:rPr>
          <w:szCs w:val="22"/>
        </w:rPr>
        <w:t>A</w:t>
      </w:r>
      <w:r w:rsidRPr="00640FBA">
        <w:rPr>
          <w:szCs w:val="22"/>
        </w:rPr>
        <w:t xml:space="preserve">ny section 43.82 requests or any other questions should be emailed to </w:t>
      </w:r>
      <w:hyperlink r:id="rId6">
        <w:r w:rsidRPr="00640FBA">
          <w:rPr>
            <w:color w:val="0000FF"/>
            <w:szCs w:val="22"/>
            <w:u w:val="single" w:color="0000FF"/>
          </w:rPr>
          <w:t>Circuit.Capacity@fcc.gov</w:t>
        </w:r>
        <w:r w:rsidRPr="00640FBA">
          <w:rPr>
            <w:szCs w:val="22"/>
          </w:rPr>
          <w:t>.</w:t>
        </w:r>
      </w:hyperlink>
      <w:r w:rsidR="00CA2BBF">
        <w:t xml:space="preserve">  </w:t>
      </w:r>
    </w:p>
    <w:p w:rsidR="00385D0E" w:rsidRPr="00640FBA" w:rsidP="00E35896" w14:paraId="31CFAA63" w14:textId="77777777">
      <w:pPr>
        <w:pStyle w:val="BodyText"/>
      </w:pPr>
    </w:p>
    <w:p w:rsidR="00BA3BA8" w:rsidP="00012B27" w14:paraId="3AE435B3" w14:textId="56BABAE5">
      <w:pPr>
        <w:ind w:firstLine="720"/>
      </w:pPr>
      <w:r w:rsidRPr="00640FBA">
        <w:rPr>
          <w:szCs w:val="22"/>
        </w:rPr>
        <w:t>For additional information, contact Stacey Ashton, Telecommunications and Analysis Division, Office of International</w:t>
      </w:r>
      <w:r w:rsidRPr="00640FBA">
        <w:rPr>
          <w:spacing w:val="-4"/>
          <w:szCs w:val="22"/>
        </w:rPr>
        <w:t xml:space="preserve"> Affairs</w:t>
      </w:r>
      <w:r w:rsidRPr="00640FBA">
        <w:rPr>
          <w:szCs w:val="22"/>
        </w:rPr>
        <w:t>,</w:t>
      </w:r>
      <w:r w:rsidRPr="00640FBA">
        <w:rPr>
          <w:spacing w:val="-4"/>
          <w:szCs w:val="22"/>
        </w:rPr>
        <w:t xml:space="preserve"> </w:t>
      </w:r>
      <w:hyperlink r:id="rId9">
        <w:r w:rsidRPr="00640FBA">
          <w:rPr>
            <w:color w:val="0000FF"/>
            <w:szCs w:val="22"/>
            <w:u w:val="single" w:color="0000FF"/>
          </w:rPr>
          <w:t>Stacey.Ashton@fcc.gov</w:t>
        </w:r>
        <w:r w:rsidRPr="00640FBA">
          <w:rPr>
            <w:szCs w:val="22"/>
          </w:rPr>
          <w:t>,</w:t>
        </w:r>
      </w:hyperlink>
      <w:r w:rsidRPr="00640FBA">
        <w:rPr>
          <w:spacing w:val="-5"/>
          <w:szCs w:val="22"/>
        </w:rPr>
        <w:t xml:space="preserve"> </w:t>
      </w:r>
      <w:r w:rsidR="009307A2">
        <w:rPr>
          <w:spacing w:val="-5"/>
          <w:szCs w:val="22"/>
        </w:rPr>
        <w:t>(</w:t>
      </w:r>
      <w:r w:rsidRPr="00640FBA">
        <w:rPr>
          <w:szCs w:val="22"/>
        </w:rPr>
        <w:t>202</w:t>
      </w:r>
      <w:r w:rsidR="009307A2">
        <w:rPr>
          <w:szCs w:val="22"/>
        </w:rPr>
        <w:t xml:space="preserve">) </w:t>
      </w:r>
      <w:r w:rsidRPr="00640FBA">
        <w:rPr>
          <w:szCs w:val="22"/>
        </w:rPr>
        <w:t>418-2214.</w:t>
      </w:r>
    </w:p>
    <w:bookmarkEnd w:id="0"/>
    <w:p w:rsidR="00BA3BA8" w14:paraId="5FECE553" w14:textId="77777777"/>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30C16" w14:paraId="0336B52B" w14:textId="77777777">
      <w:pPr>
        <w:spacing w:line="20" w:lineRule="exact"/>
      </w:pPr>
    </w:p>
  </w:endnote>
  <w:endnote w:type="continuationSeparator" w:id="1">
    <w:p w:rsidR="00730C16" w14:paraId="3FA78145" w14:textId="77777777">
      <w:r>
        <w:t xml:space="preserve"> </w:t>
      </w:r>
    </w:p>
  </w:endnote>
  <w:endnote w:type="continuationNotice" w:id="2">
    <w:p w:rsidR="00730C16" w14:paraId="480A289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8DA39A2"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16E1FA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B4B840D"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5A352BB"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0C16" w14:paraId="48C7EBD4" w14:textId="77777777">
      <w:r>
        <w:separator/>
      </w:r>
    </w:p>
  </w:footnote>
  <w:footnote w:type="continuationSeparator" w:id="1">
    <w:p w:rsidR="00730C16" w14:paraId="2D13E34F" w14:textId="77777777">
      <w:pPr>
        <w:rPr>
          <w:sz w:val="20"/>
        </w:rPr>
      </w:pPr>
      <w:r>
        <w:rPr>
          <w:sz w:val="20"/>
        </w:rPr>
        <w:t xml:space="preserve">(Continued from previous page)  </w:t>
      </w:r>
      <w:r>
        <w:rPr>
          <w:sz w:val="20"/>
        </w:rPr>
        <w:separator/>
      </w:r>
    </w:p>
  </w:footnote>
  <w:footnote w:type="continuationNotice" w:id="2">
    <w:p w:rsidR="00730C16" w14:paraId="0AFDE6DF" w14:textId="77777777">
      <w:pPr>
        <w:jc w:val="right"/>
        <w:rPr>
          <w:sz w:val="20"/>
        </w:rPr>
      </w:pPr>
      <w:r>
        <w:rPr>
          <w:sz w:val="20"/>
        </w:rPr>
        <w:t>(continued….)</w:t>
      </w:r>
    </w:p>
  </w:footnote>
  <w:footnote w:id="3">
    <w:p w:rsidR="00385D0E" w:rsidRPr="001B6C66" w:rsidP="00385D0E" w14:paraId="513BCF18" w14:textId="71243AC2">
      <w:pPr>
        <w:pStyle w:val="FootnoteText"/>
      </w:pPr>
      <w:r w:rsidRPr="001B6C66">
        <w:rPr>
          <w:rStyle w:val="FootnoteReference"/>
          <w:sz w:val="20"/>
        </w:rPr>
        <w:footnoteRef/>
      </w:r>
      <w:r w:rsidRPr="001B6C66">
        <w:t xml:space="preserve"> 47</w:t>
      </w:r>
      <w:r w:rsidRPr="001B6C66">
        <w:rPr>
          <w:spacing w:val="-2"/>
        </w:rPr>
        <w:t xml:space="preserve"> </w:t>
      </w:r>
      <w:r w:rsidRPr="001B6C66">
        <w:t>CFR</w:t>
      </w:r>
      <w:r w:rsidRPr="001B6C66">
        <w:rPr>
          <w:spacing w:val="-3"/>
        </w:rPr>
        <w:t xml:space="preserve"> </w:t>
      </w:r>
      <w:r w:rsidRPr="001B6C66">
        <w:t>§</w:t>
      </w:r>
      <w:r w:rsidRPr="001B6C66">
        <w:rPr>
          <w:spacing w:val="-2"/>
        </w:rPr>
        <w:t xml:space="preserve"> </w:t>
      </w:r>
      <w:r w:rsidRPr="001B6C66">
        <w:t>43.82(a)</w:t>
      </w:r>
      <w:r w:rsidR="0019052E">
        <w:t>(2)</w:t>
      </w:r>
      <w:r w:rsidR="0057009B">
        <w:t xml:space="preserve">; </w:t>
      </w:r>
      <w:r w:rsidR="0057009B">
        <w:rPr>
          <w:i/>
          <w:iCs/>
        </w:rPr>
        <w:t>see</w:t>
      </w:r>
      <w:r w:rsidRPr="001B6C66">
        <w:rPr>
          <w:spacing w:val="-2"/>
        </w:rPr>
        <w:t xml:space="preserve"> </w:t>
      </w:r>
      <w:r w:rsidRPr="00FD3161" w:rsidR="00C07BAD">
        <w:rPr>
          <w:i/>
          <w:iCs/>
        </w:rPr>
        <w:t>Review of Submarine Cable Landing License Rules and Procedures to Assess Evolving National Security, Law Enforcement, Foreign Policy, and Trade Policy Risks</w:t>
      </w:r>
      <w:r w:rsidRPr="00C535DF" w:rsidR="00C07BAD">
        <w:t>;</w:t>
      </w:r>
      <w:r w:rsidRPr="00FD3161" w:rsidR="00C07BAD">
        <w:rPr>
          <w:i/>
          <w:iCs/>
        </w:rPr>
        <w:t xml:space="preserve"> Amendment of the Schedule of Application Fees Set Forth in Sections 1.1102 through 1.1109 of the Commission’s Rules</w:t>
      </w:r>
      <w:r w:rsidRPr="00F766DA" w:rsidR="00C07BAD">
        <w:t xml:space="preserve">, OI Docket No. 24-523, MD Docket No. 24-524, Report and Order and Further Notice of Proposed Rulemaking, </w:t>
      </w:r>
      <w:r w:rsidRPr="00670FC0" w:rsidR="00C07BAD">
        <w:t xml:space="preserve">40 FCC </w:t>
      </w:r>
      <w:r w:rsidRPr="00670FC0" w:rsidR="00C07BAD">
        <w:t>Rcd</w:t>
      </w:r>
      <w:r w:rsidRPr="00670FC0" w:rsidR="00C07BAD">
        <w:t xml:space="preserve"> 6481</w:t>
      </w:r>
      <w:r w:rsidR="00C07BAD">
        <w:t xml:space="preserve">, </w:t>
      </w:r>
      <w:r w:rsidRPr="00E8037E" w:rsidR="00E8037E">
        <w:t>6573</w:t>
      </w:r>
      <w:r w:rsidR="00E8037E">
        <w:t>, para. 190</w:t>
      </w:r>
      <w:r w:rsidR="00C07BAD">
        <w:t xml:space="preserve"> </w:t>
      </w:r>
      <w:r w:rsidRPr="00F766DA" w:rsidR="00C07BAD">
        <w:t>(2025) (</w:t>
      </w:r>
      <w:r w:rsidRPr="00D81ABE" w:rsidR="00C05A28">
        <w:rPr>
          <w:i/>
          <w:iCs/>
        </w:rPr>
        <w:t>2025</w:t>
      </w:r>
      <w:r w:rsidR="00C05A28">
        <w:t xml:space="preserve"> </w:t>
      </w:r>
      <w:r w:rsidRPr="0057038F" w:rsidR="00C07BAD">
        <w:rPr>
          <w:i/>
          <w:iCs/>
        </w:rPr>
        <w:t>Submarine Cable</w:t>
      </w:r>
      <w:r w:rsidR="00C07BAD">
        <w:t xml:space="preserve"> </w:t>
      </w:r>
      <w:r w:rsidRPr="00FD3161" w:rsidR="00C07BAD">
        <w:rPr>
          <w:i/>
          <w:iCs/>
        </w:rPr>
        <w:t>Report and Order</w:t>
      </w:r>
      <w:r w:rsidRPr="00F766DA" w:rsidR="00C07BAD">
        <w:t xml:space="preserve">); </w:t>
      </w:r>
      <w:r w:rsidRPr="00FD3161" w:rsidR="00C07BAD">
        <w:rPr>
          <w:i/>
          <w:iCs/>
        </w:rPr>
        <w:t>corrected by</w:t>
      </w:r>
      <w:r w:rsidRPr="00F766DA" w:rsidR="00C07BAD">
        <w:t xml:space="preserve"> Erratum, </w:t>
      </w:r>
      <w:hyperlink r:id="rId1" w:history="1">
        <w:r w:rsidRPr="004E67AE" w:rsidR="00C07BAD">
          <w:rPr>
            <w:rStyle w:val="Hyperlink"/>
          </w:rPr>
          <w:t>https://docs.fcc.gov/public/attachments/DOC-414544A1.pdf</w:t>
        </w:r>
      </w:hyperlink>
      <w:r w:rsidR="00C07BAD">
        <w:t xml:space="preserve"> </w:t>
      </w:r>
      <w:r w:rsidRPr="00F766DA" w:rsidR="00C07BAD">
        <w:t xml:space="preserve">(OIA and OMD, rel. Sep. 16, 2025); </w:t>
      </w:r>
      <w:r w:rsidRPr="00FD3161" w:rsidR="00C07BAD">
        <w:rPr>
          <w:i/>
          <w:iCs/>
        </w:rPr>
        <w:t>corrected by</w:t>
      </w:r>
      <w:r w:rsidRPr="00F766DA" w:rsidR="00C07BAD">
        <w:t xml:space="preserve"> Second Erratum, </w:t>
      </w:r>
      <w:hyperlink r:id="rId2" w:history="1">
        <w:r w:rsidRPr="00D47BEF" w:rsidR="00C07BAD">
          <w:rPr>
            <w:rStyle w:val="Hyperlink"/>
          </w:rPr>
          <w:t>https://docs.fcc.gov/public/attachments/DOC-415107A1.pdf</w:t>
        </w:r>
      </w:hyperlink>
      <w:r w:rsidR="00C07BAD">
        <w:t xml:space="preserve"> </w:t>
      </w:r>
      <w:r w:rsidRPr="00F766DA" w:rsidR="00C07BAD">
        <w:t>(OIA and OMD, rel. Oct. 24, 2025)</w:t>
      </w:r>
      <w:r w:rsidR="00196972">
        <w:t xml:space="preserve">.  </w:t>
      </w:r>
    </w:p>
  </w:footnote>
  <w:footnote w:id="4">
    <w:p w:rsidR="00781785" w14:paraId="24083A86" w14:textId="0F2F0E5D">
      <w:pPr>
        <w:pStyle w:val="FootnoteText"/>
      </w:pPr>
      <w:r>
        <w:rPr>
          <w:rStyle w:val="FootnoteReference"/>
        </w:rPr>
        <w:footnoteRef/>
      </w:r>
      <w:r>
        <w:t xml:space="preserve"> </w:t>
      </w:r>
      <w:r w:rsidRPr="0038269A" w:rsidR="004C2822">
        <w:rPr>
          <w:i/>
          <w:iCs/>
        </w:rPr>
        <w:t>2025</w:t>
      </w:r>
      <w:r w:rsidR="004C2822">
        <w:t xml:space="preserve"> </w:t>
      </w:r>
      <w:r w:rsidRPr="0057038F" w:rsidR="004C2822">
        <w:rPr>
          <w:i/>
          <w:iCs/>
        </w:rPr>
        <w:t>Submarine Cable</w:t>
      </w:r>
      <w:r w:rsidR="004C2822">
        <w:t xml:space="preserve"> </w:t>
      </w:r>
      <w:r w:rsidRPr="00FD3161" w:rsidR="004C2822">
        <w:rPr>
          <w:i/>
          <w:iCs/>
        </w:rPr>
        <w:t>Report and Order</w:t>
      </w:r>
      <w:r w:rsidRPr="00F766DA" w:rsidR="004C2822">
        <w:t xml:space="preserve">, </w:t>
      </w:r>
      <w:r w:rsidRPr="00670FC0" w:rsidR="004C2822">
        <w:t xml:space="preserve">40 FCC </w:t>
      </w:r>
      <w:r w:rsidRPr="00670FC0" w:rsidR="004C2822">
        <w:t>Rcd</w:t>
      </w:r>
      <w:r w:rsidR="004C2822">
        <w:t xml:space="preserve"> at </w:t>
      </w:r>
      <w:r w:rsidRPr="00BA44D0" w:rsidR="004C2822">
        <w:t>6485</w:t>
      </w:r>
      <w:r w:rsidRPr="005B1129" w:rsidR="008508A2">
        <w:t xml:space="preserve">, </w:t>
      </w:r>
      <w:r w:rsidRPr="00BA44D0" w:rsidR="005B1129">
        <w:t>6573</w:t>
      </w:r>
      <w:r w:rsidR="004C2822">
        <w:t>, para</w:t>
      </w:r>
      <w:r w:rsidR="002647BD">
        <w:t>s</w:t>
      </w:r>
      <w:r w:rsidR="004C2822">
        <w:t>. 7</w:t>
      </w:r>
      <w:r w:rsidR="002647BD">
        <w:t>, 190</w:t>
      </w:r>
      <w:r w:rsidR="00F00327">
        <w:t xml:space="preserve"> and Appendix A</w:t>
      </w:r>
      <w:r w:rsidR="00383E92">
        <w:t xml:space="preserve"> (</w:t>
      </w:r>
      <w:r w:rsidR="001D30E4">
        <w:t xml:space="preserve">adopting the </w:t>
      </w:r>
      <w:r w:rsidR="001802FE">
        <w:t xml:space="preserve">change to eliminate the </w:t>
      </w:r>
      <w:r w:rsidR="005737CE">
        <w:t>Cable Operator Report)</w:t>
      </w:r>
      <w:r w:rsidR="008508A2">
        <w:t>.</w:t>
      </w:r>
    </w:p>
  </w:footnote>
  <w:footnote w:id="5">
    <w:p w:rsidR="008508A2" w14:paraId="55984A47" w14:textId="5BC51941">
      <w:pPr>
        <w:pStyle w:val="FootnoteText"/>
      </w:pPr>
      <w:r>
        <w:rPr>
          <w:rStyle w:val="FootnoteReference"/>
        </w:rPr>
        <w:footnoteRef/>
      </w:r>
      <w:r>
        <w:t xml:space="preserve"> </w:t>
      </w:r>
      <w:r>
        <w:rPr>
          <w:i/>
          <w:iCs/>
        </w:rPr>
        <w:t xml:space="preserve">See </w:t>
      </w:r>
      <w:r>
        <w:t xml:space="preserve">Federal Communications Commission, Review of Submarine Cable Landing License Rules and Procedures To Assess Evolving National Security, Law Enforcement, Foreign Policy, and Trade Policy Risks, </w:t>
      </w:r>
      <w:r w:rsidRPr="00304724">
        <w:t>90 F</w:t>
      </w:r>
      <w:r>
        <w:t xml:space="preserve">ed </w:t>
      </w:r>
      <w:r w:rsidRPr="00304724">
        <w:t>R</w:t>
      </w:r>
      <w:r>
        <w:t>eg</w:t>
      </w:r>
      <w:r w:rsidRPr="00304724">
        <w:t xml:space="preserve"> 48648</w:t>
      </w:r>
      <w:r>
        <w:t xml:space="preserve"> (</w:t>
      </w:r>
      <w:r w:rsidRPr="00A864B1">
        <w:t>Oct</w:t>
      </w:r>
      <w:r>
        <w:t>.</w:t>
      </w:r>
      <w:r w:rsidRPr="00A864B1">
        <w:t xml:space="preserve"> 27, 2025</w:t>
      </w:r>
      <w:r>
        <w:t>) (Federal Register Notice) (a</w:t>
      </w:r>
      <w:r w:rsidRPr="00A71E13">
        <w:t>mend</w:t>
      </w:r>
      <w:r>
        <w:t>ing</w:t>
      </w:r>
      <w:r w:rsidRPr="00A71E13">
        <w:t xml:space="preserve"> </w:t>
      </w:r>
      <w:r>
        <w:t xml:space="preserve">47 CFR </w:t>
      </w:r>
      <w:r w:rsidRPr="00A71E13">
        <w:t>§ 43.82 by removing and reserving paragraph (a)(1)</w:t>
      </w:r>
      <w:r>
        <w:t xml:space="preserve">, effective </w:t>
      </w:r>
      <w:r w:rsidRPr="001362B8">
        <w:t>November 26, 2025</w:t>
      </w:r>
      <w:r>
        <w:t>).</w:t>
      </w:r>
    </w:p>
  </w:footnote>
  <w:footnote w:id="6">
    <w:p w:rsidR="004D2F1B" w14:paraId="459ED829" w14:textId="2C355A0D">
      <w:pPr>
        <w:pStyle w:val="FootnoteText"/>
      </w:pPr>
      <w:r>
        <w:rPr>
          <w:rStyle w:val="FootnoteReference"/>
        </w:rPr>
        <w:footnoteRef/>
      </w:r>
      <w:r>
        <w:t xml:space="preserve"> </w:t>
      </w:r>
      <w:r w:rsidRPr="0038269A">
        <w:rPr>
          <w:i/>
          <w:iCs/>
        </w:rPr>
        <w:t>2025</w:t>
      </w:r>
      <w:r>
        <w:t xml:space="preserve"> </w:t>
      </w:r>
      <w:r w:rsidRPr="0057038F">
        <w:rPr>
          <w:i/>
          <w:iCs/>
        </w:rPr>
        <w:t>Submarine Cable</w:t>
      </w:r>
      <w:r>
        <w:t xml:space="preserve"> </w:t>
      </w:r>
      <w:r w:rsidRPr="00FD3161">
        <w:rPr>
          <w:i/>
          <w:iCs/>
        </w:rPr>
        <w:t>Report and Order</w:t>
      </w:r>
      <w:r w:rsidRPr="00F766DA">
        <w:t xml:space="preserve">, </w:t>
      </w:r>
      <w:r w:rsidRPr="00670FC0">
        <w:t xml:space="preserve">40 FCC </w:t>
      </w:r>
      <w:r w:rsidRPr="00670FC0">
        <w:t>Rcd</w:t>
      </w:r>
      <w:r>
        <w:t xml:space="preserve"> at </w:t>
      </w:r>
      <w:r w:rsidRPr="00F30F1B">
        <w:t>648</w:t>
      </w:r>
      <w:r w:rsidR="00F663B6">
        <w:t>5</w:t>
      </w:r>
      <w:r>
        <w:t xml:space="preserve">, para. </w:t>
      </w:r>
      <w:r w:rsidR="00F663B6">
        <w:t>7</w:t>
      </w:r>
      <w:r>
        <w:t>.</w:t>
      </w:r>
    </w:p>
  </w:footnote>
  <w:footnote w:id="7">
    <w:p w:rsidR="00F71C92" w:rsidRPr="00015B04" w:rsidP="00F71C92" w14:paraId="06276BDD" w14:textId="77777777">
      <w:pPr>
        <w:pStyle w:val="FootnoteText"/>
      </w:pPr>
      <w:r>
        <w:rPr>
          <w:rStyle w:val="FootnoteReference"/>
        </w:rPr>
        <w:footnoteRef/>
      </w:r>
      <w:r>
        <w:t xml:space="preserve"> </w:t>
      </w:r>
      <w:r>
        <w:rPr>
          <w:i/>
          <w:iCs/>
        </w:rPr>
        <w:t xml:space="preserve">Id. </w:t>
      </w:r>
      <w:r>
        <w:t xml:space="preserve">at </w:t>
      </w:r>
      <w:r w:rsidRPr="007C123C">
        <w:t>6572</w:t>
      </w:r>
      <w:r>
        <w:t>, para. 189.</w:t>
      </w:r>
    </w:p>
  </w:footnote>
  <w:footnote w:id="8">
    <w:p w:rsidR="00A17CBC" w:rsidP="00A33986" w14:paraId="064A2F6E" w14:textId="07654B1F">
      <w:pPr>
        <w:pStyle w:val="FootnoteText"/>
      </w:pPr>
      <w:r>
        <w:rPr>
          <w:rStyle w:val="FootnoteReference"/>
        </w:rPr>
        <w:footnoteRef/>
      </w:r>
      <w:r w:rsidRPr="00D91CAC">
        <w:t xml:space="preserve"> </w:t>
      </w:r>
      <w:r w:rsidRPr="005E609E" w:rsidR="005E609E">
        <w:t xml:space="preserve">In the </w:t>
      </w:r>
      <w:r w:rsidRPr="00C4599B" w:rsidR="005E609E">
        <w:rPr>
          <w:i/>
          <w:iCs/>
        </w:rPr>
        <w:t>2025 Submarine Cable Report and Order</w:t>
      </w:r>
      <w:r w:rsidR="005E609E">
        <w:t>,</w:t>
      </w:r>
      <w:r w:rsidRPr="005E609E" w:rsidR="005E609E">
        <w:t xml:space="preserve"> </w:t>
      </w:r>
      <w:r w:rsidR="005E609E">
        <w:t>t</w:t>
      </w:r>
      <w:r w:rsidRPr="0068316A">
        <w:t xml:space="preserve">he Commission adopted other changes </w:t>
      </w:r>
      <w:r w:rsidR="006F5C36">
        <w:t xml:space="preserve">to the circuit capacity reporting requirements </w:t>
      </w:r>
      <w:r w:rsidRPr="0068316A">
        <w:t xml:space="preserve">that include:  (1) requiring Capacity Holder Reports for domestic cables; (2) </w:t>
      </w:r>
      <w:r w:rsidRPr="00C4599B">
        <w:t>integrat</w:t>
      </w:r>
      <w:r w:rsidRPr="00C4599B" w:rsidR="00C81BF8">
        <w:t>ing</w:t>
      </w:r>
      <w:r w:rsidRPr="0068316A">
        <w:t xml:space="preserve"> information about available, planned</w:t>
      </w:r>
      <w:r w:rsidRPr="0068316A" w:rsidR="00C469B7">
        <w:t>,</w:t>
      </w:r>
      <w:r w:rsidRPr="0068316A">
        <w:t xml:space="preserve"> and design capacity</w:t>
      </w:r>
      <w:r w:rsidRPr="0068316A" w:rsidR="00F365E5">
        <w:t xml:space="preserve"> in</w:t>
      </w:r>
      <w:r w:rsidRPr="0068316A" w:rsidR="000E2314">
        <w:t>to</w:t>
      </w:r>
      <w:r w:rsidRPr="0068316A" w:rsidR="00F365E5">
        <w:t xml:space="preserve"> the Capacity Holder Report</w:t>
      </w:r>
      <w:r w:rsidRPr="0068316A">
        <w:t xml:space="preserve">; (3) identifying, with respect to each sale, lease, or purchase of a fiber pair and/or spectrum, the submarine cable, the U.S. and foreign landing points of the fiber pair and/or spectrum, and the entity that manages the fiber pair and/or spectrum, if different from the entity that owns it; (4) </w:t>
      </w:r>
      <w:r w:rsidRPr="00C4599B">
        <w:t>requiring cable landing licensees and common carriers to identify whether they own or control submarine line terminal equipment (SLTE) on the U.S. and/or foreign ends of each submarine cable landing in the United States;</w:t>
      </w:r>
      <w:r w:rsidRPr="0068316A">
        <w:t xml:space="preserve"> (5) allowing any subsidiary, parent entity, or affiliate to file the Capacity Holder Report on behalf of a licensee or common carrier, so long as the legal name of the licensee or common carrier is identified in the report </w:t>
      </w:r>
      <w:r w:rsidRPr="0068316A" w:rsidR="00F23B67">
        <w:t>and</w:t>
      </w:r>
      <w:r w:rsidRPr="0068316A" w:rsidR="00086474">
        <w:t xml:space="preserve"> </w:t>
      </w:r>
      <w:r w:rsidRPr="0068316A">
        <w:t>an officer</w:t>
      </w:r>
      <w:r w:rsidRPr="0068316A" w:rsidR="00F23B67">
        <w:t xml:space="preserve"> of the licensee or common carrier</w:t>
      </w:r>
      <w:r w:rsidRPr="0068316A">
        <w:t xml:space="preserve"> certifies; (6) codifying a compliance provision; and (7) shar</w:t>
      </w:r>
      <w:r w:rsidRPr="0068316A" w:rsidR="009E1266">
        <w:t>ing</w:t>
      </w:r>
      <w:r w:rsidRPr="0068316A">
        <w:t xml:space="preserve"> with the Committee</w:t>
      </w:r>
      <w:r w:rsidRPr="0068316A" w:rsidR="00A33986">
        <w:t xml:space="preserve"> for the Assessment of Foreign Participation in the United States Telecommunications Services Sector</w:t>
      </w:r>
      <w:r w:rsidRPr="0068316A">
        <w:t>, D</w:t>
      </w:r>
      <w:r w:rsidRPr="0068316A" w:rsidR="00D47AFF">
        <w:t xml:space="preserve">epartment of </w:t>
      </w:r>
      <w:r w:rsidRPr="0068316A">
        <w:t>H</w:t>
      </w:r>
      <w:r w:rsidRPr="0068316A" w:rsidR="00D47AFF">
        <w:t xml:space="preserve">omeland </w:t>
      </w:r>
      <w:r w:rsidRPr="0068316A">
        <w:t>S</w:t>
      </w:r>
      <w:r w:rsidRPr="0068316A" w:rsidR="00D47AFF">
        <w:t>ecurity</w:t>
      </w:r>
      <w:r w:rsidRPr="0068316A">
        <w:t>, and the State Department the</w:t>
      </w:r>
      <w:r w:rsidRPr="00D91CAC">
        <w:t xml:space="preserve"> capacity data filed on a confidential basis without the pre-notification requirements of section 0.442(d).  </w:t>
      </w:r>
      <w:r w:rsidR="002A024E">
        <w:rPr>
          <w:i/>
          <w:iCs/>
        </w:rPr>
        <w:t>Id.</w:t>
      </w:r>
      <w:r w:rsidRPr="00D91CAC">
        <w:t xml:space="preserve"> at 6574-8</w:t>
      </w:r>
      <w:r w:rsidR="00230016">
        <w:t>2</w:t>
      </w:r>
      <w:r w:rsidRPr="00D91CAC">
        <w:t xml:space="preserve">, </w:t>
      </w:r>
      <w:r w:rsidRPr="009240C9" w:rsidR="007C030A">
        <w:t>6624</w:t>
      </w:r>
      <w:r w:rsidR="007C030A">
        <w:t xml:space="preserve">, </w:t>
      </w:r>
      <w:r w:rsidRPr="00D91CAC">
        <w:t>paras. 193-213</w:t>
      </w:r>
      <w:r w:rsidR="007C030A">
        <w:t>,</w:t>
      </w:r>
      <w:r>
        <w:t xml:space="preserve"> 335; Federal Register Notice, </w:t>
      </w:r>
      <w:r w:rsidRPr="00304724">
        <w:t>90 F</w:t>
      </w:r>
      <w:r>
        <w:t xml:space="preserve">ed </w:t>
      </w:r>
      <w:r w:rsidRPr="00304724">
        <w:t>R</w:t>
      </w:r>
      <w:r>
        <w:t xml:space="preserve">eg at </w:t>
      </w:r>
      <w:r w:rsidRPr="003F1B25">
        <w:t>48648</w:t>
      </w:r>
      <w:r>
        <w:t xml:space="preserve">, </w:t>
      </w:r>
      <w:r w:rsidRPr="006D0A5E">
        <w:t>48703</w:t>
      </w:r>
      <w:r w:rsidR="002A024E">
        <w:t xml:space="preserve">; </w:t>
      </w:r>
      <w:r w:rsidR="00862AEB">
        <w:rPr>
          <w:i/>
          <w:iCs/>
        </w:rPr>
        <w:t xml:space="preserve">see </w:t>
      </w:r>
      <w:r w:rsidR="002A024E">
        <w:t xml:space="preserve">47 CFR </w:t>
      </w:r>
      <w:r w:rsidR="00862AEB">
        <w:t xml:space="preserve">§ </w:t>
      </w:r>
      <w:r w:rsidRPr="00D91CAC" w:rsidR="00634344">
        <w:t>0.442(d)</w:t>
      </w:r>
      <w:r>
        <w:t>.</w:t>
      </w:r>
    </w:p>
  </w:footnote>
  <w:footnote w:id="9">
    <w:p w:rsidR="0064660F" w:rsidRPr="001B6C66" w:rsidP="0064660F" w14:paraId="12CFD512" w14:textId="77777777">
      <w:pPr>
        <w:pStyle w:val="FootnoteText"/>
      </w:pPr>
      <w:r w:rsidRPr="001B6C66">
        <w:rPr>
          <w:rStyle w:val="FootnoteReference"/>
          <w:sz w:val="20"/>
        </w:rPr>
        <w:footnoteRef/>
      </w:r>
      <w:r w:rsidRPr="001B6C66">
        <w:t xml:space="preserve"> 47 CFR § 43.82(a)</w:t>
      </w:r>
      <w:r>
        <w:t>(2)</w:t>
      </w:r>
      <w:r w:rsidRPr="001B6C66">
        <w:t>.</w:t>
      </w:r>
    </w:p>
  </w:footnote>
  <w:footnote w:id="10">
    <w:p w:rsidR="0064660F" w:rsidRPr="001B6C66" w:rsidP="0064660F" w14:paraId="4A2DCB83" w14:textId="3D08C353">
      <w:pPr>
        <w:pStyle w:val="FootnoteText"/>
      </w:pPr>
      <w:r w:rsidRPr="001B6C66">
        <w:rPr>
          <w:rStyle w:val="FootnoteReference"/>
          <w:sz w:val="20"/>
        </w:rPr>
        <w:footnoteRef/>
      </w:r>
      <w:r w:rsidRPr="001B6C66">
        <w:t xml:space="preserve"> </w:t>
      </w:r>
      <w:r w:rsidRPr="00075DA6">
        <w:rPr>
          <w:i/>
          <w:iCs/>
        </w:rPr>
        <w:t>Id.</w:t>
      </w:r>
      <w:r w:rsidRPr="001B6C66">
        <w:t xml:space="preserve">; </w:t>
      </w:r>
      <w:r w:rsidRPr="003C3470">
        <w:t>Filing</w:t>
      </w:r>
      <w:r w:rsidRPr="003C3470">
        <w:rPr>
          <w:spacing w:val="-2"/>
        </w:rPr>
        <w:t xml:space="preserve"> </w:t>
      </w:r>
      <w:r w:rsidRPr="003C3470">
        <w:t>Manual</w:t>
      </w:r>
      <w:r w:rsidRPr="003C3470">
        <w:rPr>
          <w:spacing w:val="-2"/>
        </w:rPr>
        <w:t xml:space="preserve"> </w:t>
      </w:r>
      <w:r w:rsidRPr="003C3470">
        <w:t>for</w:t>
      </w:r>
      <w:r w:rsidRPr="003C3470">
        <w:rPr>
          <w:spacing w:val="-3"/>
        </w:rPr>
        <w:t xml:space="preserve"> </w:t>
      </w:r>
      <w:r w:rsidRPr="003C3470">
        <w:t>S</w:t>
      </w:r>
      <w:r w:rsidRPr="001B6C66">
        <w:t>ection</w:t>
      </w:r>
      <w:r w:rsidRPr="001B6C66">
        <w:rPr>
          <w:spacing w:val="-2"/>
        </w:rPr>
        <w:t xml:space="preserve"> </w:t>
      </w:r>
      <w:r w:rsidRPr="001B6C66">
        <w:t>43.82</w:t>
      </w:r>
      <w:r w:rsidRPr="001B6C66">
        <w:rPr>
          <w:spacing w:val="-3"/>
        </w:rPr>
        <w:t xml:space="preserve"> </w:t>
      </w:r>
      <w:r w:rsidRPr="001B6C66">
        <w:t>Circuit</w:t>
      </w:r>
      <w:r w:rsidRPr="001B6C66">
        <w:rPr>
          <w:spacing w:val="-3"/>
        </w:rPr>
        <w:t xml:space="preserve"> </w:t>
      </w:r>
      <w:r w:rsidRPr="001B6C66">
        <w:t>Capacity</w:t>
      </w:r>
      <w:r w:rsidRPr="001B6C66">
        <w:rPr>
          <w:spacing w:val="-2"/>
        </w:rPr>
        <w:t xml:space="preserve"> </w:t>
      </w:r>
      <w:r w:rsidRPr="001B6C66">
        <w:t>Reports</w:t>
      </w:r>
      <w:r w:rsidRPr="009A2190">
        <w:t>,</w:t>
      </w:r>
      <w:r w:rsidRPr="009A2190">
        <w:rPr>
          <w:spacing w:val="-3"/>
        </w:rPr>
        <w:t xml:space="preserve"> </w:t>
      </w:r>
      <w:r w:rsidRPr="009A2190">
        <w:t>at</w:t>
      </w:r>
      <w:r w:rsidRPr="009A2190">
        <w:rPr>
          <w:spacing w:val="-3"/>
        </w:rPr>
        <w:t xml:space="preserve"> </w:t>
      </w:r>
      <w:r w:rsidRPr="009A2190">
        <w:t>2,</w:t>
      </w:r>
      <w:r w:rsidRPr="009A2190">
        <w:rPr>
          <w:spacing w:val="-4"/>
        </w:rPr>
        <w:t xml:space="preserve"> </w:t>
      </w:r>
      <w:r w:rsidRPr="009A2190">
        <w:t>para.</w:t>
      </w:r>
      <w:r w:rsidRPr="009A2190">
        <w:rPr>
          <w:spacing w:val="-4"/>
        </w:rPr>
        <w:t xml:space="preserve"> </w:t>
      </w:r>
      <w:r w:rsidRPr="009A2190">
        <w:t>1</w:t>
      </w:r>
      <w:r w:rsidRPr="001B6C66">
        <w:t xml:space="preserve"> (Feb. 202</w:t>
      </w:r>
      <w:r w:rsidR="0062731E">
        <w:t>6</w:t>
      </w:r>
      <w:r w:rsidRPr="001B6C66">
        <w:t>) (Filing Manual)</w:t>
      </w:r>
      <w:r w:rsidR="00E75D68">
        <w:t>;</w:t>
      </w:r>
      <w:r w:rsidRPr="00DE2640">
        <w:t xml:space="preserve"> </w:t>
      </w:r>
      <w:r w:rsidR="00E75D68">
        <w:rPr>
          <w:i/>
          <w:iCs/>
        </w:rPr>
        <w:t>see also</w:t>
      </w:r>
      <w:r>
        <w:t xml:space="preserve"> </w:t>
      </w:r>
      <w:r>
        <w:rPr>
          <w:i/>
          <w:iCs/>
        </w:rPr>
        <w:t xml:space="preserve">2025 </w:t>
      </w:r>
      <w:r w:rsidRPr="0057038F">
        <w:rPr>
          <w:i/>
          <w:iCs/>
        </w:rPr>
        <w:t>Submarine Cable</w:t>
      </w:r>
      <w:r>
        <w:t xml:space="preserve"> </w:t>
      </w:r>
      <w:r w:rsidRPr="00FD3161">
        <w:rPr>
          <w:i/>
          <w:iCs/>
        </w:rPr>
        <w:t>Report and Order</w:t>
      </w:r>
      <w:r w:rsidRPr="00F766DA">
        <w:t xml:space="preserve">, </w:t>
      </w:r>
      <w:r w:rsidRPr="00670FC0">
        <w:t xml:space="preserve">40 FCC </w:t>
      </w:r>
      <w:r w:rsidRPr="00670FC0">
        <w:t>Rcd</w:t>
      </w:r>
      <w:r>
        <w:t xml:space="preserve"> at </w:t>
      </w:r>
      <w:r w:rsidRPr="002F4919">
        <w:t>6572</w:t>
      </w:r>
      <w:r>
        <w:t>-</w:t>
      </w:r>
      <w:r w:rsidRPr="009D75EA">
        <w:t>82</w:t>
      </w:r>
      <w:r>
        <w:t xml:space="preserve">, paras. 189-213; Federal Register Notice, </w:t>
      </w:r>
      <w:r w:rsidRPr="00304724">
        <w:t>90 F</w:t>
      </w:r>
      <w:r>
        <w:t xml:space="preserve">ed </w:t>
      </w:r>
      <w:r w:rsidRPr="00304724">
        <w:t>R</w:t>
      </w:r>
      <w:r>
        <w:t xml:space="preserve">eg at </w:t>
      </w:r>
      <w:r w:rsidRPr="00C521BD">
        <w:t>48648</w:t>
      </w:r>
      <w:r>
        <w:t xml:space="preserve"> (stating the Commission will publish a document in the Federal Register announcing the effective date of rule sections that are delayed indefinitely, including amendatory instruction 22 (47 CFR</w:t>
      </w:r>
      <w:r w:rsidRPr="00A71E13">
        <w:t xml:space="preserve"> §</w:t>
      </w:r>
      <w:r>
        <w:t xml:space="preserve"> </w:t>
      </w:r>
      <w:r w:rsidRPr="00A71E13">
        <w:t>43.82</w:t>
      </w:r>
      <w:r>
        <w:t>)).  As required, the</w:t>
      </w:r>
      <w:r w:rsidRPr="008B58AE">
        <w:rPr>
          <w:szCs w:val="22"/>
        </w:rPr>
        <w:t xml:space="preserve"> Office of International Affairs revise</w:t>
      </w:r>
      <w:r w:rsidR="000F214B">
        <w:rPr>
          <w:szCs w:val="22"/>
        </w:rPr>
        <w:t>d</w:t>
      </w:r>
      <w:r w:rsidRPr="008B58AE">
        <w:rPr>
          <w:szCs w:val="22"/>
        </w:rPr>
        <w:t xml:space="preserve"> the Filing Manual to conform with the </w:t>
      </w:r>
      <w:r w:rsidR="008E54E9">
        <w:rPr>
          <w:szCs w:val="22"/>
        </w:rPr>
        <w:t xml:space="preserve">elimination of the </w:t>
      </w:r>
      <w:r w:rsidR="00FE4371">
        <w:rPr>
          <w:szCs w:val="22"/>
        </w:rPr>
        <w:t>C</w:t>
      </w:r>
      <w:r w:rsidR="008E54E9">
        <w:rPr>
          <w:szCs w:val="22"/>
        </w:rPr>
        <w:t xml:space="preserve">able </w:t>
      </w:r>
      <w:r w:rsidR="00FE4371">
        <w:rPr>
          <w:szCs w:val="22"/>
        </w:rPr>
        <w:t>O</w:t>
      </w:r>
      <w:r w:rsidR="008E54E9">
        <w:rPr>
          <w:szCs w:val="22"/>
        </w:rPr>
        <w:t xml:space="preserve">perator </w:t>
      </w:r>
      <w:r w:rsidR="00FE4371">
        <w:rPr>
          <w:szCs w:val="22"/>
        </w:rPr>
        <w:t>R</w:t>
      </w:r>
      <w:r w:rsidR="008E54E9">
        <w:rPr>
          <w:szCs w:val="22"/>
        </w:rPr>
        <w:t xml:space="preserve">eport </w:t>
      </w:r>
      <w:r>
        <w:rPr>
          <w:szCs w:val="22"/>
        </w:rPr>
        <w:t xml:space="preserve">adopted in the </w:t>
      </w:r>
      <w:r>
        <w:rPr>
          <w:i/>
          <w:iCs/>
        </w:rPr>
        <w:t xml:space="preserve">2025 </w:t>
      </w:r>
      <w:r>
        <w:rPr>
          <w:rStyle w:val="normaltextrun"/>
          <w:rFonts w:asciiTheme="majorBidi" w:hAnsiTheme="majorBidi" w:cstheme="majorBidi"/>
          <w:i/>
          <w:szCs w:val="22"/>
        </w:rPr>
        <w:t>Submarine Cable</w:t>
      </w:r>
      <w:r w:rsidRPr="00E234F4">
        <w:rPr>
          <w:rStyle w:val="normaltextrun"/>
          <w:rFonts w:asciiTheme="majorBidi" w:hAnsiTheme="majorBidi" w:cstheme="majorBidi"/>
          <w:i/>
          <w:szCs w:val="22"/>
        </w:rPr>
        <w:t xml:space="preserve"> Report and </w:t>
      </w:r>
      <w:r w:rsidRPr="009D4D00">
        <w:rPr>
          <w:i/>
          <w:iCs/>
          <w:szCs w:val="22"/>
        </w:rPr>
        <w:t>O</w:t>
      </w:r>
      <w:r w:rsidRPr="00D119F0">
        <w:rPr>
          <w:i/>
          <w:iCs/>
          <w:szCs w:val="22"/>
        </w:rPr>
        <w:t>rder</w:t>
      </w:r>
      <w:r w:rsidRPr="008B58AE">
        <w:rPr>
          <w:szCs w:val="22"/>
        </w:rPr>
        <w:t>.</w:t>
      </w:r>
      <w:r w:rsidRPr="00CF6ACC">
        <w:rPr>
          <w:i/>
          <w:iCs/>
        </w:rPr>
        <w:t xml:space="preserve"> </w:t>
      </w:r>
      <w:r>
        <w:rPr>
          <w:i/>
          <w:iCs/>
        </w:rPr>
        <w:t xml:space="preserve"> 2025 </w:t>
      </w:r>
      <w:r w:rsidRPr="0057038F">
        <w:rPr>
          <w:i/>
          <w:iCs/>
        </w:rPr>
        <w:t>Submarine Cable</w:t>
      </w:r>
      <w:r>
        <w:t xml:space="preserve"> </w:t>
      </w:r>
      <w:r w:rsidRPr="00FD3161">
        <w:rPr>
          <w:i/>
          <w:iCs/>
        </w:rPr>
        <w:t>Report and Order</w:t>
      </w:r>
      <w:r w:rsidRPr="00F766DA">
        <w:t xml:space="preserve">, </w:t>
      </w:r>
      <w:r w:rsidRPr="00670FC0">
        <w:t xml:space="preserve">40 FCC </w:t>
      </w:r>
      <w:r w:rsidRPr="00670FC0">
        <w:t>Rcd</w:t>
      </w:r>
      <w:r>
        <w:t xml:space="preserve"> at</w:t>
      </w:r>
      <w:r w:rsidRPr="0043236C">
        <w:t xml:space="preserve"> 6573</w:t>
      </w:r>
      <w:r>
        <w:t>, para. 189</w:t>
      </w:r>
      <w:r w:rsidR="00B128B8">
        <w:t xml:space="preserve">; Office of Management and Budget, Notice of Office of Management and Budget Action, OMB Control No. </w:t>
      </w:r>
      <w:r w:rsidRPr="005963F7" w:rsidR="00B128B8">
        <w:t>3060-1156</w:t>
      </w:r>
      <w:r w:rsidR="00B128B8">
        <w:t xml:space="preserve"> (Feb. </w:t>
      </w:r>
      <w:r w:rsidRPr="00A354D9" w:rsidR="00B128B8">
        <w:t>19</w:t>
      </w:r>
      <w:r w:rsidR="00B128B8">
        <w:t xml:space="preserve">, </w:t>
      </w:r>
      <w:r w:rsidRPr="00A354D9" w:rsidR="00B128B8">
        <w:t>2026</w:t>
      </w:r>
      <w:r w:rsidR="00B128B8">
        <w:t xml:space="preserve">), </w:t>
      </w:r>
      <w:hyperlink r:id="rId3" w:history="1">
        <w:r w:rsidRPr="00D254DC" w:rsidR="00B128B8">
          <w:rPr>
            <w:rStyle w:val="Hyperlink"/>
          </w:rPr>
          <w:t>https://www.reginfo.gov/public/do/PRAViewICR?ref_nbr=202602-3060-020</w:t>
        </w:r>
      </w:hyperlink>
      <w:r w:rsidR="00B128B8">
        <w:t xml:space="preserve">; </w:t>
      </w:r>
      <w:r w:rsidRPr="00943C1A" w:rsidR="00B128B8">
        <w:rPr>
          <w:i/>
          <w:iCs/>
        </w:rPr>
        <w:t>see</w:t>
      </w:r>
      <w:r w:rsidR="00B128B8">
        <w:t xml:space="preserve"> Office of Management and Budget, Notice of Office of Management and Budget Action, OMB Control No. </w:t>
      </w:r>
      <w:r w:rsidRPr="005963F7" w:rsidR="00B128B8">
        <w:t xml:space="preserve">3060-1156 </w:t>
      </w:r>
      <w:r w:rsidR="00B128B8">
        <w:t xml:space="preserve">(Jan. </w:t>
      </w:r>
      <w:r w:rsidRPr="00AA33FD" w:rsidR="00B128B8">
        <w:t>30</w:t>
      </w:r>
      <w:r w:rsidR="00B128B8">
        <w:t xml:space="preserve">, </w:t>
      </w:r>
      <w:r w:rsidRPr="00AA33FD" w:rsidR="00B128B8">
        <w:t>2026</w:t>
      </w:r>
      <w:r w:rsidR="00B128B8">
        <w:t xml:space="preserve">), </w:t>
      </w:r>
      <w:hyperlink r:id="rId4" w:history="1">
        <w:r w:rsidRPr="004D17DB" w:rsidR="00B128B8">
          <w:rPr>
            <w:rStyle w:val="Hyperlink"/>
          </w:rPr>
          <w:t>https://www.reginfo.gov/public/do/PRAViewICR?ref_nbr=202601-3060-017</w:t>
        </w:r>
      </w:hyperlink>
      <w:r>
        <w:t>.</w:t>
      </w:r>
    </w:p>
  </w:footnote>
  <w:footnote w:id="11">
    <w:p w:rsidR="0064660F" w:rsidRPr="001B6C66" w:rsidP="0064660F" w14:paraId="59E52E5D" w14:textId="4F680492">
      <w:pPr>
        <w:pStyle w:val="FootnoteText"/>
      </w:pPr>
      <w:r w:rsidRPr="0099043B">
        <w:rPr>
          <w:rStyle w:val="FootnoteReference"/>
          <w:sz w:val="20"/>
        </w:rPr>
        <w:footnoteRef/>
      </w:r>
      <w:r w:rsidRPr="0099043B">
        <w:t xml:space="preserve"> Filing Manual at </w:t>
      </w:r>
      <w:r w:rsidRPr="00EA2433">
        <w:t xml:space="preserve">2, </w:t>
      </w:r>
      <w:r w:rsidRPr="00EA2433" w:rsidR="00103F72">
        <w:t>6</w:t>
      </w:r>
      <w:r w:rsidRPr="00EA2433">
        <w:t>, paras. 6, 3</w:t>
      </w:r>
      <w:r w:rsidRPr="00EA2433" w:rsidR="00BC56B2">
        <w:t>2</w:t>
      </w:r>
      <w:r w:rsidRPr="0099043B">
        <w:t>.</w:t>
      </w:r>
    </w:p>
  </w:footnote>
  <w:footnote w:id="12">
    <w:p w:rsidR="00054FCB" w14:paraId="4975C163" w14:textId="0ED8E3A2">
      <w:pPr>
        <w:pStyle w:val="FootnoteText"/>
      </w:pPr>
      <w:r>
        <w:rPr>
          <w:rStyle w:val="FootnoteReference"/>
        </w:rPr>
        <w:footnoteRef/>
      </w:r>
      <w:r w:rsidR="00385E67">
        <w:rPr>
          <w:szCs w:val="22"/>
        </w:rPr>
        <w:t xml:space="preserve"> </w:t>
      </w:r>
      <w:r w:rsidR="00385E67">
        <w:rPr>
          <w:i/>
          <w:iCs/>
          <w:szCs w:val="22"/>
        </w:rPr>
        <w:t xml:space="preserve">See generally </w:t>
      </w:r>
      <w:r w:rsidRPr="0099043B" w:rsidR="00385E67">
        <w:t>Filing Manual</w:t>
      </w:r>
      <w:r w:rsidR="00F32723">
        <w:rPr>
          <w:szCs w:val="22"/>
        </w:rPr>
        <w:t>.</w:t>
      </w:r>
    </w:p>
  </w:footnote>
  <w:footnote w:id="13">
    <w:p w:rsidR="00CA2BBF" w:rsidRPr="001B6C66" w:rsidP="00CA2BBF" w14:paraId="0DC43BCD" w14:textId="1A68AA47">
      <w:pPr>
        <w:pStyle w:val="FootnoteText"/>
      </w:pPr>
      <w:r w:rsidRPr="001B6C66">
        <w:rPr>
          <w:rStyle w:val="FootnoteReference"/>
          <w:sz w:val="20"/>
        </w:rPr>
        <w:footnoteRef/>
      </w:r>
      <w:r w:rsidRPr="001B6C66">
        <w:t xml:space="preserve"> Filing Manual at </w:t>
      </w:r>
      <w:r w:rsidRPr="00BF6A63">
        <w:t>3, para. 11</w:t>
      </w:r>
      <w:r w:rsidRPr="001B6C66">
        <w:t xml:space="preserve">; </w:t>
      </w:r>
      <w:r w:rsidRPr="000876BA">
        <w:rPr>
          <w:i/>
          <w:iCs/>
        </w:rPr>
        <w:t>see</w:t>
      </w:r>
      <w:r w:rsidRPr="001B6C66">
        <w:t xml:space="preserve"> 47 CFR §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09B799A" w14:textId="13331809">
    <w:pPr>
      <w:tabs>
        <w:tab w:val="center" w:pos="4680"/>
        <w:tab w:val="right" w:pos="9360"/>
      </w:tabs>
    </w:pPr>
    <w:r>
      <w:rPr>
        <w:b/>
      </w:rPr>
      <w:tab/>
      <w:t>Federal Communications Commission</w:t>
    </w:r>
    <w:r>
      <w:rPr>
        <w:b/>
      </w:rPr>
      <w:tab/>
    </w:r>
    <w:r w:rsidRPr="00F51AAC" w:rsidR="00F51AAC">
      <w:rPr>
        <w:b/>
      </w:rPr>
      <w:t>DA 26-197</w:t>
    </w:r>
  </w:p>
  <w:p w:rsidR="00BA3BA8" w14:paraId="4794E5C8" w14:textId="29487D22">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6400585"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0F6EC49F" w14:textId="361404CD">
    <w:pPr>
      <w:pStyle w:val="Header"/>
    </w:pPr>
    <w:r>
      <w:rPr>
        <w:noProof/>
      </w:rPr>
      <w:drawing>
        <wp:inline distT="0" distB="0" distL="0" distR="0">
          <wp:extent cx="5953125"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125"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307530A"/>
    <w:multiLevelType w:val="hybridMultilevel"/>
    <w:tmpl w:val="D0C6EBA2"/>
    <w:lvl w:ilvl="0">
      <w:start w:val="0"/>
      <w:numFmt w:val="bullet"/>
      <w:lvlText w:val=""/>
      <w:lvlJc w:val="left"/>
      <w:pPr>
        <w:ind w:left="1199"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907" w:hanging="360"/>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794" w:hanging="360"/>
      </w:pPr>
      <w:rPr>
        <w:rFonts w:hint="default"/>
        <w:lang w:val="en-US" w:eastAsia="en-US" w:bidi="ar-SA"/>
      </w:rPr>
    </w:lvl>
    <w:lvl w:ilvl="3">
      <w:start w:val="0"/>
      <w:numFmt w:val="bullet"/>
      <w:lvlText w:val="•"/>
      <w:lvlJc w:val="left"/>
      <w:pPr>
        <w:ind w:left="3690" w:hanging="360"/>
      </w:pPr>
      <w:rPr>
        <w:rFonts w:hint="default"/>
        <w:lang w:val="en-US" w:eastAsia="en-US" w:bidi="ar-SA"/>
      </w:rPr>
    </w:lvl>
    <w:lvl w:ilvl="4">
      <w:start w:val="0"/>
      <w:numFmt w:val="bullet"/>
      <w:lvlText w:val="•"/>
      <w:lvlJc w:val="left"/>
      <w:pPr>
        <w:ind w:left="4585" w:hanging="360"/>
      </w:pPr>
      <w:rPr>
        <w:rFonts w:hint="default"/>
        <w:lang w:val="en-US" w:eastAsia="en-US" w:bidi="ar-SA"/>
      </w:rPr>
    </w:lvl>
    <w:lvl w:ilvl="5">
      <w:start w:val="0"/>
      <w:numFmt w:val="bullet"/>
      <w:lvlText w:val="•"/>
      <w:lvlJc w:val="left"/>
      <w:pPr>
        <w:ind w:left="5481"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167" w:hanging="360"/>
      </w:pPr>
      <w:rPr>
        <w:rFonts w:hint="default"/>
        <w:lang w:val="en-US" w:eastAsia="en-US" w:bidi="ar-SA"/>
      </w:r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211846585">
    <w:abstractNumId w:val="1"/>
  </w:num>
  <w:num w:numId="2" w16cid:durableId="573122644">
    <w:abstractNumId w:val="6"/>
  </w:num>
  <w:num w:numId="3" w16cid:durableId="1230268417">
    <w:abstractNumId w:val="3"/>
  </w:num>
  <w:num w:numId="4" w16cid:durableId="880285340">
    <w:abstractNumId w:val="5"/>
  </w:num>
  <w:num w:numId="5" w16cid:durableId="93716627">
    <w:abstractNumId w:val="2"/>
  </w:num>
  <w:num w:numId="6" w16cid:durableId="718866026">
    <w:abstractNumId w:val="0"/>
  </w:num>
  <w:num w:numId="7" w16cid:durableId="1945065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B4"/>
    <w:rsid w:val="0000138C"/>
    <w:rsid w:val="00001C28"/>
    <w:rsid w:val="00002ACB"/>
    <w:rsid w:val="00005239"/>
    <w:rsid w:val="00005774"/>
    <w:rsid w:val="00012B27"/>
    <w:rsid w:val="00015B04"/>
    <w:rsid w:val="00015D31"/>
    <w:rsid w:val="00020898"/>
    <w:rsid w:val="00024BB3"/>
    <w:rsid w:val="000354CF"/>
    <w:rsid w:val="00042493"/>
    <w:rsid w:val="00044A56"/>
    <w:rsid w:val="000453E7"/>
    <w:rsid w:val="00045AE3"/>
    <w:rsid w:val="00046035"/>
    <w:rsid w:val="00046C56"/>
    <w:rsid w:val="00050225"/>
    <w:rsid w:val="00053729"/>
    <w:rsid w:val="00053E3F"/>
    <w:rsid w:val="0005431A"/>
    <w:rsid w:val="00054FCB"/>
    <w:rsid w:val="00055B2C"/>
    <w:rsid w:val="00064E58"/>
    <w:rsid w:val="000652C7"/>
    <w:rsid w:val="00067490"/>
    <w:rsid w:val="00070B08"/>
    <w:rsid w:val="00075DA6"/>
    <w:rsid w:val="00077448"/>
    <w:rsid w:val="00080A92"/>
    <w:rsid w:val="000813DC"/>
    <w:rsid w:val="000829CD"/>
    <w:rsid w:val="00083EA3"/>
    <w:rsid w:val="0008427C"/>
    <w:rsid w:val="00084F15"/>
    <w:rsid w:val="00085F13"/>
    <w:rsid w:val="00086474"/>
    <w:rsid w:val="000876BA"/>
    <w:rsid w:val="00087A61"/>
    <w:rsid w:val="00091F7C"/>
    <w:rsid w:val="0009682E"/>
    <w:rsid w:val="00097BAA"/>
    <w:rsid w:val="000A6C00"/>
    <w:rsid w:val="000B38E9"/>
    <w:rsid w:val="000B57F2"/>
    <w:rsid w:val="000C22E9"/>
    <w:rsid w:val="000C2441"/>
    <w:rsid w:val="000C393E"/>
    <w:rsid w:val="000C648B"/>
    <w:rsid w:val="000C7961"/>
    <w:rsid w:val="000D0718"/>
    <w:rsid w:val="000D5620"/>
    <w:rsid w:val="000D707E"/>
    <w:rsid w:val="000E1701"/>
    <w:rsid w:val="000E2314"/>
    <w:rsid w:val="000E276D"/>
    <w:rsid w:val="000E4BA8"/>
    <w:rsid w:val="000E658D"/>
    <w:rsid w:val="000F20DB"/>
    <w:rsid w:val="000F214B"/>
    <w:rsid w:val="000F3773"/>
    <w:rsid w:val="000F746D"/>
    <w:rsid w:val="000F75CD"/>
    <w:rsid w:val="00102438"/>
    <w:rsid w:val="001035DC"/>
    <w:rsid w:val="00103E54"/>
    <w:rsid w:val="00103F72"/>
    <w:rsid w:val="00104481"/>
    <w:rsid w:val="0010716E"/>
    <w:rsid w:val="00110820"/>
    <w:rsid w:val="001111F5"/>
    <w:rsid w:val="001129CC"/>
    <w:rsid w:val="0011376E"/>
    <w:rsid w:val="00120EBE"/>
    <w:rsid w:val="00121B9C"/>
    <w:rsid w:val="00122F8D"/>
    <w:rsid w:val="00124381"/>
    <w:rsid w:val="00131814"/>
    <w:rsid w:val="00132AA6"/>
    <w:rsid w:val="00132AC5"/>
    <w:rsid w:val="001362B8"/>
    <w:rsid w:val="00137849"/>
    <w:rsid w:val="0014144C"/>
    <w:rsid w:val="0014174B"/>
    <w:rsid w:val="00142A7A"/>
    <w:rsid w:val="00143428"/>
    <w:rsid w:val="0014483A"/>
    <w:rsid w:val="00146EA0"/>
    <w:rsid w:val="001541DE"/>
    <w:rsid w:val="0016401D"/>
    <w:rsid w:val="00174824"/>
    <w:rsid w:val="00174830"/>
    <w:rsid w:val="0017604A"/>
    <w:rsid w:val="001802FE"/>
    <w:rsid w:val="00180ADB"/>
    <w:rsid w:val="00183C32"/>
    <w:rsid w:val="00183D21"/>
    <w:rsid w:val="00184248"/>
    <w:rsid w:val="0019052E"/>
    <w:rsid w:val="001937C6"/>
    <w:rsid w:val="00196972"/>
    <w:rsid w:val="001A17D4"/>
    <w:rsid w:val="001A3892"/>
    <w:rsid w:val="001A5C52"/>
    <w:rsid w:val="001A68F0"/>
    <w:rsid w:val="001A7C17"/>
    <w:rsid w:val="001B0BCC"/>
    <w:rsid w:val="001B4505"/>
    <w:rsid w:val="001B4C0E"/>
    <w:rsid w:val="001B507B"/>
    <w:rsid w:val="001B6C66"/>
    <w:rsid w:val="001B6FC9"/>
    <w:rsid w:val="001B7D40"/>
    <w:rsid w:val="001B7D49"/>
    <w:rsid w:val="001C45B0"/>
    <w:rsid w:val="001C5416"/>
    <w:rsid w:val="001C7987"/>
    <w:rsid w:val="001C7A7E"/>
    <w:rsid w:val="001D30E4"/>
    <w:rsid w:val="001D3A32"/>
    <w:rsid w:val="001D6F63"/>
    <w:rsid w:val="001E1C4E"/>
    <w:rsid w:val="001E4037"/>
    <w:rsid w:val="001E4811"/>
    <w:rsid w:val="001E77AC"/>
    <w:rsid w:val="001F307E"/>
    <w:rsid w:val="001F41D7"/>
    <w:rsid w:val="001F51F2"/>
    <w:rsid w:val="001F5512"/>
    <w:rsid w:val="001F64B3"/>
    <w:rsid w:val="00203E2E"/>
    <w:rsid w:val="0020748F"/>
    <w:rsid w:val="0021024E"/>
    <w:rsid w:val="00212236"/>
    <w:rsid w:val="00214B8E"/>
    <w:rsid w:val="00221459"/>
    <w:rsid w:val="002217DA"/>
    <w:rsid w:val="00223C3D"/>
    <w:rsid w:val="002241CE"/>
    <w:rsid w:val="00224F3C"/>
    <w:rsid w:val="00230016"/>
    <w:rsid w:val="002316DB"/>
    <w:rsid w:val="00231E75"/>
    <w:rsid w:val="00236817"/>
    <w:rsid w:val="00244A28"/>
    <w:rsid w:val="00245BEA"/>
    <w:rsid w:val="00252C35"/>
    <w:rsid w:val="00256414"/>
    <w:rsid w:val="00261794"/>
    <w:rsid w:val="00261E17"/>
    <w:rsid w:val="00263748"/>
    <w:rsid w:val="002647BD"/>
    <w:rsid w:val="00270722"/>
    <w:rsid w:val="002766E1"/>
    <w:rsid w:val="00277E1A"/>
    <w:rsid w:val="002806F1"/>
    <w:rsid w:val="00282F7A"/>
    <w:rsid w:val="00283170"/>
    <w:rsid w:val="00290751"/>
    <w:rsid w:val="00292268"/>
    <w:rsid w:val="00292ABB"/>
    <w:rsid w:val="00293D6E"/>
    <w:rsid w:val="00294216"/>
    <w:rsid w:val="0029556A"/>
    <w:rsid w:val="0029678C"/>
    <w:rsid w:val="002A024E"/>
    <w:rsid w:val="002A3279"/>
    <w:rsid w:val="002A36A4"/>
    <w:rsid w:val="002A6B55"/>
    <w:rsid w:val="002B538B"/>
    <w:rsid w:val="002C4316"/>
    <w:rsid w:val="002D17E9"/>
    <w:rsid w:val="002D1B67"/>
    <w:rsid w:val="002D4E4C"/>
    <w:rsid w:val="002D641C"/>
    <w:rsid w:val="002E273E"/>
    <w:rsid w:val="002F4616"/>
    <w:rsid w:val="002F48E0"/>
    <w:rsid w:val="002F4919"/>
    <w:rsid w:val="002F6EC8"/>
    <w:rsid w:val="002F7709"/>
    <w:rsid w:val="00304724"/>
    <w:rsid w:val="00313C59"/>
    <w:rsid w:val="00320357"/>
    <w:rsid w:val="003210EE"/>
    <w:rsid w:val="0032210C"/>
    <w:rsid w:val="00327220"/>
    <w:rsid w:val="00327A7A"/>
    <w:rsid w:val="00327C8C"/>
    <w:rsid w:val="00330BBC"/>
    <w:rsid w:val="00330FB9"/>
    <w:rsid w:val="00332454"/>
    <w:rsid w:val="003342A8"/>
    <w:rsid w:val="00344B8B"/>
    <w:rsid w:val="003479F6"/>
    <w:rsid w:val="00350D05"/>
    <w:rsid w:val="00353560"/>
    <w:rsid w:val="003573E5"/>
    <w:rsid w:val="00361589"/>
    <w:rsid w:val="003620AA"/>
    <w:rsid w:val="00370BBD"/>
    <w:rsid w:val="003746B6"/>
    <w:rsid w:val="00374FC7"/>
    <w:rsid w:val="00377B7C"/>
    <w:rsid w:val="0038193D"/>
    <w:rsid w:val="0038269A"/>
    <w:rsid w:val="00383E92"/>
    <w:rsid w:val="00385D0E"/>
    <w:rsid w:val="00385E67"/>
    <w:rsid w:val="0038682C"/>
    <w:rsid w:val="00393729"/>
    <w:rsid w:val="00396486"/>
    <w:rsid w:val="00396D54"/>
    <w:rsid w:val="003A0077"/>
    <w:rsid w:val="003A0980"/>
    <w:rsid w:val="003A1A6C"/>
    <w:rsid w:val="003A276A"/>
    <w:rsid w:val="003A356B"/>
    <w:rsid w:val="003A722F"/>
    <w:rsid w:val="003B1E2A"/>
    <w:rsid w:val="003B31E2"/>
    <w:rsid w:val="003B46AD"/>
    <w:rsid w:val="003B50B9"/>
    <w:rsid w:val="003B7520"/>
    <w:rsid w:val="003C32FD"/>
    <w:rsid w:val="003C3470"/>
    <w:rsid w:val="003E0C06"/>
    <w:rsid w:val="003E1329"/>
    <w:rsid w:val="003E6D82"/>
    <w:rsid w:val="003E728A"/>
    <w:rsid w:val="003F1B25"/>
    <w:rsid w:val="003F268D"/>
    <w:rsid w:val="003F2E64"/>
    <w:rsid w:val="003F7329"/>
    <w:rsid w:val="003F79B4"/>
    <w:rsid w:val="0040212C"/>
    <w:rsid w:val="00405EEE"/>
    <w:rsid w:val="00406AF1"/>
    <w:rsid w:val="00412BA0"/>
    <w:rsid w:val="004148AF"/>
    <w:rsid w:val="0041656B"/>
    <w:rsid w:val="00420075"/>
    <w:rsid w:val="00420CED"/>
    <w:rsid w:val="004211C1"/>
    <w:rsid w:val="00422481"/>
    <w:rsid w:val="004225F8"/>
    <w:rsid w:val="004237FB"/>
    <w:rsid w:val="00423EC0"/>
    <w:rsid w:val="00430183"/>
    <w:rsid w:val="0043236C"/>
    <w:rsid w:val="00432EDE"/>
    <w:rsid w:val="00432FD9"/>
    <w:rsid w:val="0043684B"/>
    <w:rsid w:val="00436E4C"/>
    <w:rsid w:val="00441E67"/>
    <w:rsid w:val="004447B1"/>
    <w:rsid w:val="00446A7A"/>
    <w:rsid w:val="00446F48"/>
    <w:rsid w:val="00450997"/>
    <w:rsid w:val="00452B01"/>
    <w:rsid w:val="004566AA"/>
    <w:rsid w:val="004607FC"/>
    <w:rsid w:val="00460CB0"/>
    <w:rsid w:val="004610D6"/>
    <w:rsid w:val="0046694D"/>
    <w:rsid w:val="00472721"/>
    <w:rsid w:val="004755DF"/>
    <w:rsid w:val="00477E3D"/>
    <w:rsid w:val="0048046E"/>
    <w:rsid w:val="0048156D"/>
    <w:rsid w:val="004832D5"/>
    <w:rsid w:val="0048693C"/>
    <w:rsid w:val="00486C60"/>
    <w:rsid w:val="00492B4B"/>
    <w:rsid w:val="004A25D4"/>
    <w:rsid w:val="004A66C9"/>
    <w:rsid w:val="004B1D52"/>
    <w:rsid w:val="004B2B57"/>
    <w:rsid w:val="004B3327"/>
    <w:rsid w:val="004B5E34"/>
    <w:rsid w:val="004C2822"/>
    <w:rsid w:val="004C5BBE"/>
    <w:rsid w:val="004D1777"/>
    <w:rsid w:val="004D17DB"/>
    <w:rsid w:val="004D25EE"/>
    <w:rsid w:val="004D2F1B"/>
    <w:rsid w:val="004D50B5"/>
    <w:rsid w:val="004D6465"/>
    <w:rsid w:val="004E14C1"/>
    <w:rsid w:val="004E3914"/>
    <w:rsid w:val="004E3C93"/>
    <w:rsid w:val="004E3D3A"/>
    <w:rsid w:val="004E608F"/>
    <w:rsid w:val="004E67AE"/>
    <w:rsid w:val="004F221E"/>
    <w:rsid w:val="004F3847"/>
    <w:rsid w:val="004F5AD1"/>
    <w:rsid w:val="004F5D63"/>
    <w:rsid w:val="004F7DA3"/>
    <w:rsid w:val="005030E8"/>
    <w:rsid w:val="005054A4"/>
    <w:rsid w:val="00505B77"/>
    <w:rsid w:val="00514460"/>
    <w:rsid w:val="00514CFC"/>
    <w:rsid w:val="0051705F"/>
    <w:rsid w:val="0052002C"/>
    <w:rsid w:val="00523B28"/>
    <w:rsid w:val="00524E04"/>
    <w:rsid w:val="00533C53"/>
    <w:rsid w:val="00534089"/>
    <w:rsid w:val="005343A8"/>
    <w:rsid w:val="0054053F"/>
    <w:rsid w:val="00540AA7"/>
    <w:rsid w:val="00540C73"/>
    <w:rsid w:val="00542FAF"/>
    <w:rsid w:val="00544741"/>
    <w:rsid w:val="00545061"/>
    <w:rsid w:val="00546236"/>
    <w:rsid w:val="00551FAB"/>
    <w:rsid w:val="00553483"/>
    <w:rsid w:val="00557E5F"/>
    <w:rsid w:val="00561A45"/>
    <w:rsid w:val="00563FC7"/>
    <w:rsid w:val="0056606D"/>
    <w:rsid w:val="0057009B"/>
    <w:rsid w:val="0057038F"/>
    <w:rsid w:val="005737CE"/>
    <w:rsid w:val="005738DC"/>
    <w:rsid w:val="00574A6A"/>
    <w:rsid w:val="00575451"/>
    <w:rsid w:val="00575E17"/>
    <w:rsid w:val="00580F72"/>
    <w:rsid w:val="00583405"/>
    <w:rsid w:val="00584AF4"/>
    <w:rsid w:val="0058513C"/>
    <w:rsid w:val="005944F5"/>
    <w:rsid w:val="00594911"/>
    <w:rsid w:val="005963F7"/>
    <w:rsid w:val="005A0807"/>
    <w:rsid w:val="005A1FE6"/>
    <w:rsid w:val="005A6A6D"/>
    <w:rsid w:val="005A7A44"/>
    <w:rsid w:val="005B0333"/>
    <w:rsid w:val="005B04DA"/>
    <w:rsid w:val="005B1129"/>
    <w:rsid w:val="005B7DF1"/>
    <w:rsid w:val="005C3872"/>
    <w:rsid w:val="005C5908"/>
    <w:rsid w:val="005C620B"/>
    <w:rsid w:val="005D0F8D"/>
    <w:rsid w:val="005D58F7"/>
    <w:rsid w:val="005D5EAD"/>
    <w:rsid w:val="005E07A2"/>
    <w:rsid w:val="005E2242"/>
    <w:rsid w:val="005E2662"/>
    <w:rsid w:val="005E2DEA"/>
    <w:rsid w:val="005E3949"/>
    <w:rsid w:val="005E40C0"/>
    <w:rsid w:val="005E4CBE"/>
    <w:rsid w:val="005E609E"/>
    <w:rsid w:val="005E74D3"/>
    <w:rsid w:val="005F2ADD"/>
    <w:rsid w:val="005F323A"/>
    <w:rsid w:val="005F356D"/>
    <w:rsid w:val="005F623A"/>
    <w:rsid w:val="005F792E"/>
    <w:rsid w:val="005F7BF2"/>
    <w:rsid w:val="006008CF"/>
    <w:rsid w:val="00601602"/>
    <w:rsid w:val="00606713"/>
    <w:rsid w:val="00610041"/>
    <w:rsid w:val="00615E1E"/>
    <w:rsid w:val="00622FBA"/>
    <w:rsid w:val="00623E3C"/>
    <w:rsid w:val="006257C8"/>
    <w:rsid w:val="0062731E"/>
    <w:rsid w:val="00634344"/>
    <w:rsid w:val="00640FBA"/>
    <w:rsid w:val="006465F2"/>
    <w:rsid w:val="0064660F"/>
    <w:rsid w:val="006467AC"/>
    <w:rsid w:val="00650569"/>
    <w:rsid w:val="00656F64"/>
    <w:rsid w:val="00660EF1"/>
    <w:rsid w:val="00665079"/>
    <w:rsid w:val="006706B3"/>
    <w:rsid w:val="00670A37"/>
    <w:rsid w:val="00670FC0"/>
    <w:rsid w:val="00671C6D"/>
    <w:rsid w:val="0068316A"/>
    <w:rsid w:val="006833AE"/>
    <w:rsid w:val="00684226"/>
    <w:rsid w:val="0068796C"/>
    <w:rsid w:val="00694B6A"/>
    <w:rsid w:val="00695AB1"/>
    <w:rsid w:val="006A0A4D"/>
    <w:rsid w:val="006A2728"/>
    <w:rsid w:val="006A4221"/>
    <w:rsid w:val="006A5405"/>
    <w:rsid w:val="006B05DA"/>
    <w:rsid w:val="006B0ED6"/>
    <w:rsid w:val="006B2006"/>
    <w:rsid w:val="006C3782"/>
    <w:rsid w:val="006C6796"/>
    <w:rsid w:val="006D094D"/>
    <w:rsid w:val="006D0A5E"/>
    <w:rsid w:val="006E0FCC"/>
    <w:rsid w:val="006E1EA2"/>
    <w:rsid w:val="006E5C32"/>
    <w:rsid w:val="006E65C7"/>
    <w:rsid w:val="006F20FB"/>
    <w:rsid w:val="006F3AFD"/>
    <w:rsid w:val="006F449A"/>
    <w:rsid w:val="006F5C36"/>
    <w:rsid w:val="006F600F"/>
    <w:rsid w:val="006F6147"/>
    <w:rsid w:val="0070106B"/>
    <w:rsid w:val="00705147"/>
    <w:rsid w:val="00712137"/>
    <w:rsid w:val="00713267"/>
    <w:rsid w:val="007203A7"/>
    <w:rsid w:val="00720E46"/>
    <w:rsid w:val="00721722"/>
    <w:rsid w:val="00723AD1"/>
    <w:rsid w:val="0072406C"/>
    <w:rsid w:val="00730C16"/>
    <w:rsid w:val="00740B9A"/>
    <w:rsid w:val="0074103E"/>
    <w:rsid w:val="00742CA3"/>
    <w:rsid w:val="00747144"/>
    <w:rsid w:val="00757648"/>
    <w:rsid w:val="00760157"/>
    <w:rsid w:val="007615D2"/>
    <w:rsid w:val="007619DB"/>
    <w:rsid w:val="0076216F"/>
    <w:rsid w:val="00763904"/>
    <w:rsid w:val="00765800"/>
    <w:rsid w:val="00774135"/>
    <w:rsid w:val="00781785"/>
    <w:rsid w:val="007823C0"/>
    <w:rsid w:val="0078308A"/>
    <w:rsid w:val="007876C5"/>
    <w:rsid w:val="0079373F"/>
    <w:rsid w:val="007A1434"/>
    <w:rsid w:val="007A7AD2"/>
    <w:rsid w:val="007B184F"/>
    <w:rsid w:val="007B2233"/>
    <w:rsid w:val="007B34BE"/>
    <w:rsid w:val="007B6E19"/>
    <w:rsid w:val="007B6E63"/>
    <w:rsid w:val="007B7CD6"/>
    <w:rsid w:val="007B7F01"/>
    <w:rsid w:val="007C0292"/>
    <w:rsid w:val="007C030A"/>
    <w:rsid w:val="007C123C"/>
    <w:rsid w:val="007C2A6E"/>
    <w:rsid w:val="007D03AC"/>
    <w:rsid w:val="007D78A6"/>
    <w:rsid w:val="007E37C7"/>
    <w:rsid w:val="007E4ABE"/>
    <w:rsid w:val="007E5BE4"/>
    <w:rsid w:val="007E68D7"/>
    <w:rsid w:val="007F01AE"/>
    <w:rsid w:val="007F03D4"/>
    <w:rsid w:val="0080052D"/>
    <w:rsid w:val="00801DE1"/>
    <w:rsid w:val="00803046"/>
    <w:rsid w:val="008030C3"/>
    <w:rsid w:val="0080321B"/>
    <w:rsid w:val="008045C3"/>
    <w:rsid w:val="00806531"/>
    <w:rsid w:val="00806B09"/>
    <w:rsid w:val="00807780"/>
    <w:rsid w:val="00807A3F"/>
    <w:rsid w:val="00807E30"/>
    <w:rsid w:val="00810FF0"/>
    <w:rsid w:val="0081206B"/>
    <w:rsid w:val="00817CB9"/>
    <w:rsid w:val="00823E6E"/>
    <w:rsid w:val="00823E92"/>
    <w:rsid w:val="00826F6A"/>
    <w:rsid w:val="00840FF0"/>
    <w:rsid w:val="00842EF1"/>
    <w:rsid w:val="008470D9"/>
    <w:rsid w:val="008504C2"/>
    <w:rsid w:val="008508A2"/>
    <w:rsid w:val="00851C7C"/>
    <w:rsid w:val="00852D62"/>
    <w:rsid w:val="008531C6"/>
    <w:rsid w:val="00854BDF"/>
    <w:rsid w:val="00862913"/>
    <w:rsid w:val="00862AEB"/>
    <w:rsid w:val="00863786"/>
    <w:rsid w:val="00866B15"/>
    <w:rsid w:val="0087030B"/>
    <w:rsid w:val="008747C6"/>
    <w:rsid w:val="00881303"/>
    <w:rsid w:val="008929C1"/>
    <w:rsid w:val="00897593"/>
    <w:rsid w:val="00897A96"/>
    <w:rsid w:val="008A2346"/>
    <w:rsid w:val="008A5624"/>
    <w:rsid w:val="008A64E5"/>
    <w:rsid w:val="008B37A5"/>
    <w:rsid w:val="008B58AE"/>
    <w:rsid w:val="008C1D07"/>
    <w:rsid w:val="008C4F11"/>
    <w:rsid w:val="008C51D7"/>
    <w:rsid w:val="008E54E9"/>
    <w:rsid w:val="008E6DB4"/>
    <w:rsid w:val="0090096B"/>
    <w:rsid w:val="0090187D"/>
    <w:rsid w:val="00902C7A"/>
    <w:rsid w:val="00913CCB"/>
    <w:rsid w:val="00915026"/>
    <w:rsid w:val="00923F7E"/>
    <w:rsid w:val="009240C9"/>
    <w:rsid w:val="0092463B"/>
    <w:rsid w:val="00924BA8"/>
    <w:rsid w:val="009307A2"/>
    <w:rsid w:val="009412D7"/>
    <w:rsid w:val="00941F5C"/>
    <w:rsid w:val="009426B1"/>
    <w:rsid w:val="00943423"/>
    <w:rsid w:val="00943C1A"/>
    <w:rsid w:val="00946909"/>
    <w:rsid w:val="00952FC2"/>
    <w:rsid w:val="0096503F"/>
    <w:rsid w:val="009651B7"/>
    <w:rsid w:val="00966969"/>
    <w:rsid w:val="0096702D"/>
    <w:rsid w:val="009678F2"/>
    <w:rsid w:val="0097749A"/>
    <w:rsid w:val="00981A59"/>
    <w:rsid w:val="00983186"/>
    <w:rsid w:val="0098711B"/>
    <w:rsid w:val="00987628"/>
    <w:rsid w:val="0098768F"/>
    <w:rsid w:val="009902FB"/>
    <w:rsid w:val="0099043B"/>
    <w:rsid w:val="00994C40"/>
    <w:rsid w:val="009A2190"/>
    <w:rsid w:val="009A39C9"/>
    <w:rsid w:val="009A54AA"/>
    <w:rsid w:val="009B2923"/>
    <w:rsid w:val="009B54B1"/>
    <w:rsid w:val="009C320A"/>
    <w:rsid w:val="009C6521"/>
    <w:rsid w:val="009C67D5"/>
    <w:rsid w:val="009D1640"/>
    <w:rsid w:val="009D491F"/>
    <w:rsid w:val="009D4D00"/>
    <w:rsid w:val="009D55E9"/>
    <w:rsid w:val="009D75EA"/>
    <w:rsid w:val="009E1266"/>
    <w:rsid w:val="009E30AA"/>
    <w:rsid w:val="009F35C4"/>
    <w:rsid w:val="009F5F35"/>
    <w:rsid w:val="00A00AF2"/>
    <w:rsid w:val="00A01C1D"/>
    <w:rsid w:val="00A02DE9"/>
    <w:rsid w:val="00A07922"/>
    <w:rsid w:val="00A1129D"/>
    <w:rsid w:val="00A11E84"/>
    <w:rsid w:val="00A135E0"/>
    <w:rsid w:val="00A14C7C"/>
    <w:rsid w:val="00A17CBC"/>
    <w:rsid w:val="00A20679"/>
    <w:rsid w:val="00A21E6B"/>
    <w:rsid w:val="00A23AD5"/>
    <w:rsid w:val="00A2420C"/>
    <w:rsid w:val="00A31B12"/>
    <w:rsid w:val="00A32721"/>
    <w:rsid w:val="00A33986"/>
    <w:rsid w:val="00A33FF5"/>
    <w:rsid w:val="00A34CD7"/>
    <w:rsid w:val="00A354D9"/>
    <w:rsid w:val="00A37A19"/>
    <w:rsid w:val="00A568F4"/>
    <w:rsid w:val="00A56D38"/>
    <w:rsid w:val="00A60FAC"/>
    <w:rsid w:val="00A6198A"/>
    <w:rsid w:val="00A63DB3"/>
    <w:rsid w:val="00A71E13"/>
    <w:rsid w:val="00A7225A"/>
    <w:rsid w:val="00A77CAE"/>
    <w:rsid w:val="00A824C5"/>
    <w:rsid w:val="00A864B1"/>
    <w:rsid w:val="00A8693D"/>
    <w:rsid w:val="00A87A7B"/>
    <w:rsid w:val="00AA33FD"/>
    <w:rsid w:val="00AB1EEA"/>
    <w:rsid w:val="00AB2D93"/>
    <w:rsid w:val="00AB3638"/>
    <w:rsid w:val="00AB6063"/>
    <w:rsid w:val="00AC0230"/>
    <w:rsid w:val="00AC0C49"/>
    <w:rsid w:val="00AC1FE2"/>
    <w:rsid w:val="00AC2513"/>
    <w:rsid w:val="00AC5DC3"/>
    <w:rsid w:val="00AC5EF3"/>
    <w:rsid w:val="00AD1185"/>
    <w:rsid w:val="00AD2539"/>
    <w:rsid w:val="00AD36B1"/>
    <w:rsid w:val="00AD3BE9"/>
    <w:rsid w:val="00AD490D"/>
    <w:rsid w:val="00AE1DBE"/>
    <w:rsid w:val="00AE1DD1"/>
    <w:rsid w:val="00AE52B6"/>
    <w:rsid w:val="00AE588B"/>
    <w:rsid w:val="00AE7B03"/>
    <w:rsid w:val="00AE7ECB"/>
    <w:rsid w:val="00AF66F5"/>
    <w:rsid w:val="00AF72D0"/>
    <w:rsid w:val="00B0456B"/>
    <w:rsid w:val="00B05E6E"/>
    <w:rsid w:val="00B06F7C"/>
    <w:rsid w:val="00B103B1"/>
    <w:rsid w:val="00B128B8"/>
    <w:rsid w:val="00B17490"/>
    <w:rsid w:val="00B20FC3"/>
    <w:rsid w:val="00B23584"/>
    <w:rsid w:val="00B25378"/>
    <w:rsid w:val="00B323D0"/>
    <w:rsid w:val="00B358B4"/>
    <w:rsid w:val="00B36BB2"/>
    <w:rsid w:val="00B40812"/>
    <w:rsid w:val="00B425D2"/>
    <w:rsid w:val="00B42DDA"/>
    <w:rsid w:val="00B47873"/>
    <w:rsid w:val="00B51C8F"/>
    <w:rsid w:val="00B53D38"/>
    <w:rsid w:val="00B56ADA"/>
    <w:rsid w:val="00B56F8A"/>
    <w:rsid w:val="00B624AC"/>
    <w:rsid w:val="00B67E6A"/>
    <w:rsid w:val="00B734CF"/>
    <w:rsid w:val="00B76EFC"/>
    <w:rsid w:val="00B81755"/>
    <w:rsid w:val="00B87975"/>
    <w:rsid w:val="00B87BD8"/>
    <w:rsid w:val="00B87BEF"/>
    <w:rsid w:val="00B87FF4"/>
    <w:rsid w:val="00B912B4"/>
    <w:rsid w:val="00B912DE"/>
    <w:rsid w:val="00B94B42"/>
    <w:rsid w:val="00B95088"/>
    <w:rsid w:val="00B9510F"/>
    <w:rsid w:val="00BA33B7"/>
    <w:rsid w:val="00BA3BA8"/>
    <w:rsid w:val="00BA44D0"/>
    <w:rsid w:val="00BA4B30"/>
    <w:rsid w:val="00BA4EA5"/>
    <w:rsid w:val="00BA5063"/>
    <w:rsid w:val="00BA5510"/>
    <w:rsid w:val="00BB16B6"/>
    <w:rsid w:val="00BB3A92"/>
    <w:rsid w:val="00BC0187"/>
    <w:rsid w:val="00BC26B0"/>
    <w:rsid w:val="00BC2836"/>
    <w:rsid w:val="00BC2FF7"/>
    <w:rsid w:val="00BC3C19"/>
    <w:rsid w:val="00BC484B"/>
    <w:rsid w:val="00BC56B2"/>
    <w:rsid w:val="00BD4882"/>
    <w:rsid w:val="00BE2D96"/>
    <w:rsid w:val="00BE53B4"/>
    <w:rsid w:val="00BF19C6"/>
    <w:rsid w:val="00BF4E69"/>
    <w:rsid w:val="00BF55D8"/>
    <w:rsid w:val="00BF68BC"/>
    <w:rsid w:val="00BF6A63"/>
    <w:rsid w:val="00BF6BFF"/>
    <w:rsid w:val="00C00BDD"/>
    <w:rsid w:val="00C01184"/>
    <w:rsid w:val="00C05A28"/>
    <w:rsid w:val="00C07BAD"/>
    <w:rsid w:val="00C13570"/>
    <w:rsid w:val="00C22C09"/>
    <w:rsid w:val="00C26708"/>
    <w:rsid w:val="00C27CEE"/>
    <w:rsid w:val="00C4599B"/>
    <w:rsid w:val="00C469B7"/>
    <w:rsid w:val="00C511AD"/>
    <w:rsid w:val="00C521BD"/>
    <w:rsid w:val="00C535DF"/>
    <w:rsid w:val="00C54935"/>
    <w:rsid w:val="00C56E8B"/>
    <w:rsid w:val="00C60B64"/>
    <w:rsid w:val="00C6409B"/>
    <w:rsid w:val="00C66355"/>
    <w:rsid w:val="00C66F27"/>
    <w:rsid w:val="00C67963"/>
    <w:rsid w:val="00C7294D"/>
    <w:rsid w:val="00C81BF8"/>
    <w:rsid w:val="00C876CB"/>
    <w:rsid w:val="00C90601"/>
    <w:rsid w:val="00C91467"/>
    <w:rsid w:val="00C91F20"/>
    <w:rsid w:val="00CA0601"/>
    <w:rsid w:val="00CA2BBF"/>
    <w:rsid w:val="00CB003B"/>
    <w:rsid w:val="00CB50AA"/>
    <w:rsid w:val="00CB5A2C"/>
    <w:rsid w:val="00CB65CB"/>
    <w:rsid w:val="00CB6CE3"/>
    <w:rsid w:val="00CB7F03"/>
    <w:rsid w:val="00CC10B5"/>
    <w:rsid w:val="00CC2B25"/>
    <w:rsid w:val="00CC4944"/>
    <w:rsid w:val="00CC4F6C"/>
    <w:rsid w:val="00CC6B70"/>
    <w:rsid w:val="00CD3A64"/>
    <w:rsid w:val="00CD3AB7"/>
    <w:rsid w:val="00CD4986"/>
    <w:rsid w:val="00CE2632"/>
    <w:rsid w:val="00CF04C9"/>
    <w:rsid w:val="00CF0E56"/>
    <w:rsid w:val="00CF10D6"/>
    <w:rsid w:val="00CF1385"/>
    <w:rsid w:val="00CF1855"/>
    <w:rsid w:val="00CF6ACC"/>
    <w:rsid w:val="00CF7817"/>
    <w:rsid w:val="00CF79AF"/>
    <w:rsid w:val="00D06B51"/>
    <w:rsid w:val="00D0711E"/>
    <w:rsid w:val="00D119F0"/>
    <w:rsid w:val="00D13B2E"/>
    <w:rsid w:val="00D15418"/>
    <w:rsid w:val="00D16A4C"/>
    <w:rsid w:val="00D172F2"/>
    <w:rsid w:val="00D17E06"/>
    <w:rsid w:val="00D201F1"/>
    <w:rsid w:val="00D215E7"/>
    <w:rsid w:val="00D254DC"/>
    <w:rsid w:val="00D31F1C"/>
    <w:rsid w:val="00D321AB"/>
    <w:rsid w:val="00D33C83"/>
    <w:rsid w:val="00D344C9"/>
    <w:rsid w:val="00D3513F"/>
    <w:rsid w:val="00D4046C"/>
    <w:rsid w:val="00D417BE"/>
    <w:rsid w:val="00D430E7"/>
    <w:rsid w:val="00D43EFD"/>
    <w:rsid w:val="00D45B73"/>
    <w:rsid w:val="00D469DF"/>
    <w:rsid w:val="00D47AFF"/>
    <w:rsid w:val="00D47BEF"/>
    <w:rsid w:val="00D545C7"/>
    <w:rsid w:val="00D60A3E"/>
    <w:rsid w:val="00D6245F"/>
    <w:rsid w:val="00D62650"/>
    <w:rsid w:val="00D66289"/>
    <w:rsid w:val="00D70EC0"/>
    <w:rsid w:val="00D71156"/>
    <w:rsid w:val="00D71633"/>
    <w:rsid w:val="00D74016"/>
    <w:rsid w:val="00D7545A"/>
    <w:rsid w:val="00D80F26"/>
    <w:rsid w:val="00D81076"/>
    <w:rsid w:val="00D81ABE"/>
    <w:rsid w:val="00D85834"/>
    <w:rsid w:val="00D86385"/>
    <w:rsid w:val="00D9086F"/>
    <w:rsid w:val="00D91577"/>
    <w:rsid w:val="00D91CAC"/>
    <w:rsid w:val="00D93BE4"/>
    <w:rsid w:val="00DA03B8"/>
    <w:rsid w:val="00DA03C1"/>
    <w:rsid w:val="00DB2323"/>
    <w:rsid w:val="00DB4FC2"/>
    <w:rsid w:val="00DB55E3"/>
    <w:rsid w:val="00DC0C90"/>
    <w:rsid w:val="00DC0F59"/>
    <w:rsid w:val="00DC1FD0"/>
    <w:rsid w:val="00DC3130"/>
    <w:rsid w:val="00DC32FD"/>
    <w:rsid w:val="00DC4660"/>
    <w:rsid w:val="00DC6D3D"/>
    <w:rsid w:val="00DD0896"/>
    <w:rsid w:val="00DD47E5"/>
    <w:rsid w:val="00DD77A4"/>
    <w:rsid w:val="00DD7DC8"/>
    <w:rsid w:val="00DE2640"/>
    <w:rsid w:val="00DF07AF"/>
    <w:rsid w:val="00DF29D2"/>
    <w:rsid w:val="00E05174"/>
    <w:rsid w:val="00E152E0"/>
    <w:rsid w:val="00E171F9"/>
    <w:rsid w:val="00E17B57"/>
    <w:rsid w:val="00E206B5"/>
    <w:rsid w:val="00E234F4"/>
    <w:rsid w:val="00E23AFD"/>
    <w:rsid w:val="00E304FC"/>
    <w:rsid w:val="00E34B5F"/>
    <w:rsid w:val="00E35896"/>
    <w:rsid w:val="00E41D1E"/>
    <w:rsid w:val="00E4748C"/>
    <w:rsid w:val="00E4779B"/>
    <w:rsid w:val="00E51D52"/>
    <w:rsid w:val="00E52456"/>
    <w:rsid w:val="00E547ED"/>
    <w:rsid w:val="00E55B26"/>
    <w:rsid w:val="00E563B1"/>
    <w:rsid w:val="00E57798"/>
    <w:rsid w:val="00E63A69"/>
    <w:rsid w:val="00E64972"/>
    <w:rsid w:val="00E64DA6"/>
    <w:rsid w:val="00E65D80"/>
    <w:rsid w:val="00E70C71"/>
    <w:rsid w:val="00E72797"/>
    <w:rsid w:val="00E75D68"/>
    <w:rsid w:val="00E75F40"/>
    <w:rsid w:val="00E76119"/>
    <w:rsid w:val="00E8037E"/>
    <w:rsid w:val="00E8592D"/>
    <w:rsid w:val="00E86CB3"/>
    <w:rsid w:val="00E87CB8"/>
    <w:rsid w:val="00E977F7"/>
    <w:rsid w:val="00EA1FDD"/>
    <w:rsid w:val="00EA2433"/>
    <w:rsid w:val="00EA3AEB"/>
    <w:rsid w:val="00EA6656"/>
    <w:rsid w:val="00EA7661"/>
    <w:rsid w:val="00EA7A33"/>
    <w:rsid w:val="00EB2A9B"/>
    <w:rsid w:val="00EB3448"/>
    <w:rsid w:val="00EB526F"/>
    <w:rsid w:val="00EC0480"/>
    <w:rsid w:val="00EC2A77"/>
    <w:rsid w:val="00EC3EFD"/>
    <w:rsid w:val="00ED4AFD"/>
    <w:rsid w:val="00EE17CA"/>
    <w:rsid w:val="00EE55C2"/>
    <w:rsid w:val="00EF0962"/>
    <w:rsid w:val="00EF3CCA"/>
    <w:rsid w:val="00EF466B"/>
    <w:rsid w:val="00F00327"/>
    <w:rsid w:val="00F0071E"/>
    <w:rsid w:val="00F03EA1"/>
    <w:rsid w:val="00F10220"/>
    <w:rsid w:val="00F17324"/>
    <w:rsid w:val="00F2009A"/>
    <w:rsid w:val="00F23B67"/>
    <w:rsid w:val="00F30F1B"/>
    <w:rsid w:val="00F32723"/>
    <w:rsid w:val="00F32CCA"/>
    <w:rsid w:val="00F363E5"/>
    <w:rsid w:val="00F365E5"/>
    <w:rsid w:val="00F415CA"/>
    <w:rsid w:val="00F42C14"/>
    <w:rsid w:val="00F45574"/>
    <w:rsid w:val="00F45C5C"/>
    <w:rsid w:val="00F46608"/>
    <w:rsid w:val="00F51AAC"/>
    <w:rsid w:val="00F51F44"/>
    <w:rsid w:val="00F51F75"/>
    <w:rsid w:val="00F53E82"/>
    <w:rsid w:val="00F54C43"/>
    <w:rsid w:val="00F54FA5"/>
    <w:rsid w:val="00F55F0C"/>
    <w:rsid w:val="00F663B6"/>
    <w:rsid w:val="00F715FE"/>
    <w:rsid w:val="00F71C92"/>
    <w:rsid w:val="00F74295"/>
    <w:rsid w:val="00F76253"/>
    <w:rsid w:val="00F766DA"/>
    <w:rsid w:val="00F77844"/>
    <w:rsid w:val="00F77D9D"/>
    <w:rsid w:val="00F80A7B"/>
    <w:rsid w:val="00F80B9F"/>
    <w:rsid w:val="00F82FA4"/>
    <w:rsid w:val="00F83396"/>
    <w:rsid w:val="00F83B7A"/>
    <w:rsid w:val="00F84AB5"/>
    <w:rsid w:val="00F91BF6"/>
    <w:rsid w:val="00F95B4B"/>
    <w:rsid w:val="00F9766B"/>
    <w:rsid w:val="00FA171D"/>
    <w:rsid w:val="00FA2D2E"/>
    <w:rsid w:val="00FA5729"/>
    <w:rsid w:val="00FA7B92"/>
    <w:rsid w:val="00FA7FB8"/>
    <w:rsid w:val="00FB7436"/>
    <w:rsid w:val="00FC4169"/>
    <w:rsid w:val="00FC428B"/>
    <w:rsid w:val="00FC6330"/>
    <w:rsid w:val="00FC6440"/>
    <w:rsid w:val="00FD2482"/>
    <w:rsid w:val="00FD3161"/>
    <w:rsid w:val="00FD4844"/>
    <w:rsid w:val="00FE0EDB"/>
    <w:rsid w:val="00FE1E4A"/>
    <w:rsid w:val="00FE3837"/>
    <w:rsid w:val="00FE4371"/>
    <w:rsid w:val="00FE5D0B"/>
    <w:rsid w:val="00FF32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C6EDA6"/>
  <w15:chartTrackingRefBased/>
  <w15:docId w15:val="{DF02D0B0-3C3D-48D9-BA17-CE1A344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semiHidde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paragraph" w:styleId="BodyText">
    <w:name w:val="Body Text"/>
    <w:basedOn w:val="Normal"/>
    <w:link w:val="BodyTextChar"/>
    <w:uiPriority w:val="1"/>
    <w:qFormat/>
    <w:rsid w:val="00385D0E"/>
    <w:pPr>
      <w:autoSpaceDE w:val="0"/>
      <w:autoSpaceDN w:val="0"/>
    </w:pPr>
    <w:rPr>
      <w:snapToGrid/>
      <w:kern w:val="0"/>
      <w:szCs w:val="22"/>
    </w:rPr>
  </w:style>
  <w:style w:type="character" w:customStyle="1" w:styleId="BodyTextChar">
    <w:name w:val="Body Text Char"/>
    <w:basedOn w:val="DefaultParagraphFont"/>
    <w:link w:val="BodyText"/>
    <w:uiPriority w:val="1"/>
    <w:rsid w:val="00385D0E"/>
    <w:rPr>
      <w:sz w:val="22"/>
      <w:szCs w:val="22"/>
    </w:rPr>
  </w:style>
  <w:style w:type="paragraph" w:styleId="ListParagraph">
    <w:name w:val="List Paragraph"/>
    <w:basedOn w:val="Normal"/>
    <w:uiPriority w:val="1"/>
    <w:qFormat/>
    <w:rsid w:val="00385D0E"/>
    <w:pPr>
      <w:autoSpaceDE w:val="0"/>
      <w:autoSpaceDN w:val="0"/>
      <w:ind w:left="1548" w:hanging="360"/>
    </w:pPr>
    <w:rPr>
      <w:snapToGrid/>
      <w:kern w:val="0"/>
      <w:szCs w:val="22"/>
    </w:rPr>
  </w:style>
  <w:style w:type="character" w:customStyle="1" w:styleId="normaltextrun">
    <w:name w:val="normaltextrun"/>
    <w:basedOn w:val="DefaultParagraphFont"/>
    <w:rsid w:val="00292ABB"/>
  </w:style>
  <w:style w:type="character" w:styleId="FollowedHyperlink">
    <w:name w:val="FollowedHyperlink"/>
    <w:basedOn w:val="DefaultParagraphFont"/>
    <w:uiPriority w:val="99"/>
    <w:semiHidden/>
    <w:unhideWhenUsed/>
    <w:rsid w:val="00F715FE"/>
    <w:rPr>
      <w:color w:val="96607D" w:themeColor="followedHyperlink"/>
      <w:u w:val="single"/>
    </w:rPr>
  </w:style>
  <w:style w:type="paragraph" w:styleId="Revision">
    <w:name w:val="Revision"/>
    <w:hidden/>
    <w:uiPriority w:val="99"/>
    <w:semiHidden/>
    <w:rsid w:val="00574A6A"/>
    <w:rPr>
      <w:snapToGrid w:val="0"/>
      <w:kern w:val="28"/>
      <w:sz w:val="22"/>
    </w:rPr>
  </w:style>
  <w:style w:type="character" w:styleId="CommentReference">
    <w:name w:val="annotation reference"/>
    <w:basedOn w:val="DefaultParagraphFont"/>
    <w:uiPriority w:val="99"/>
    <w:semiHidden/>
    <w:unhideWhenUsed/>
    <w:rsid w:val="001E1C4E"/>
    <w:rPr>
      <w:sz w:val="16"/>
      <w:szCs w:val="16"/>
    </w:rPr>
  </w:style>
  <w:style w:type="paragraph" w:styleId="CommentText">
    <w:name w:val="annotation text"/>
    <w:basedOn w:val="Normal"/>
    <w:link w:val="CommentTextChar"/>
    <w:uiPriority w:val="99"/>
    <w:unhideWhenUsed/>
    <w:rsid w:val="001E1C4E"/>
    <w:rPr>
      <w:sz w:val="20"/>
    </w:rPr>
  </w:style>
  <w:style w:type="character" w:customStyle="1" w:styleId="CommentTextChar">
    <w:name w:val="Comment Text Char"/>
    <w:basedOn w:val="DefaultParagraphFont"/>
    <w:link w:val="CommentText"/>
    <w:uiPriority w:val="99"/>
    <w:rsid w:val="001E1C4E"/>
    <w:rPr>
      <w:snapToGrid w:val="0"/>
      <w:kern w:val="28"/>
    </w:rPr>
  </w:style>
  <w:style w:type="paragraph" w:styleId="CommentSubject">
    <w:name w:val="annotation subject"/>
    <w:basedOn w:val="CommentText"/>
    <w:next w:val="CommentText"/>
    <w:link w:val="CommentSubjectChar"/>
    <w:uiPriority w:val="99"/>
    <w:semiHidden/>
    <w:unhideWhenUsed/>
    <w:rsid w:val="001E1C4E"/>
    <w:rPr>
      <w:b/>
      <w:bCs/>
    </w:rPr>
  </w:style>
  <w:style w:type="character" w:customStyle="1" w:styleId="CommentSubjectChar">
    <w:name w:val="Comment Subject Char"/>
    <w:basedOn w:val="CommentTextChar"/>
    <w:link w:val="CommentSubject"/>
    <w:uiPriority w:val="99"/>
    <w:semiHidden/>
    <w:rsid w:val="001E1C4E"/>
    <w:rPr>
      <w:b/>
      <w:bCs/>
      <w:snapToGrid w:val="0"/>
      <w:kern w:val="28"/>
    </w:rPr>
  </w:style>
  <w:style w:type="character" w:styleId="Mention">
    <w:name w:val="Mention"/>
    <w:basedOn w:val="DefaultParagraphFont"/>
    <w:uiPriority w:val="99"/>
    <w:unhideWhenUsed/>
    <w:rsid w:val="001E1C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Circuit.Capacity@fcc.gov" TargetMode="External" /><Relationship Id="rId7" Type="http://schemas.openxmlformats.org/officeDocument/2006/relationships/hyperlink" Target="https://apps2.fcc.gov/section4362/login.xhtml" TargetMode="External" /><Relationship Id="rId8" Type="http://schemas.openxmlformats.org/officeDocument/2006/relationships/hyperlink" Target="mailto:FCC-INTL-Part43@fcc.gov" TargetMode="External" /><Relationship Id="rId9" Type="http://schemas.openxmlformats.org/officeDocument/2006/relationships/hyperlink" Target="mailto:Stacey.Ashton@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14544A1.pdf" TargetMode="External" /><Relationship Id="rId2" Type="http://schemas.openxmlformats.org/officeDocument/2006/relationships/hyperlink" Target="https://docs.fcc.gov/public/attachments/DOC-415107A1.pdf" TargetMode="External" /><Relationship Id="rId3" Type="http://schemas.openxmlformats.org/officeDocument/2006/relationships/hyperlink" Target="https://www.reginfo.gov/public/do/PRAViewICR?ref_nbr=202602-3060-020" TargetMode="External" /><Relationship Id="rId4" Type="http://schemas.openxmlformats.org/officeDocument/2006/relationships/hyperlink" Target="https://www.reginfo.gov/public/do/PRAViewICR?ref_nbr=202601-3060-017"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