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3F534F" w14:paraId="3CF9CC60" w14:textId="77777777">
      <w:pPr>
        <w:jc w:val="right"/>
        <w:rPr>
          <w:b/>
          <w:sz w:val="24"/>
        </w:rPr>
      </w:pPr>
    </w:p>
    <w:p w:rsidR="00BA3BA8" w14:paraId="3F171B6D" w14:textId="5F57829E">
      <w:pPr>
        <w:jc w:val="right"/>
        <w:rPr>
          <w:b/>
          <w:sz w:val="24"/>
        </w:rPr>
      </w:pPr>
      <w:r>
        <w:rPr>
          <w:b/>
          <w:sz w:val="24"/>
        </w:rPr>
        <w:t>DA 2</w:t>
      </w:r>
      <w:r w:rsidR="0075283B">
        <w:rPr>
          <w:b/>
          <w:sz w:val="24"/>
        </w:rPr>
        <w:t>6</w:t>
      </w:r>
      <w:r>
        <w:rPr>
          <w:b/>
          <w:sz w:val="24"/>
        </w:rPr>
        <w:t>-</w:t>
      </w:r>
      <w:r w:rsidR="001C293E">
        <w:rPr>
          <w:b/>
          <w:sz w:val="24"/>
        </w:rPr>
        <w:t>198</w:t>
      </w:r>
    </w:p>
    <w:p w:rsidR="00BA3BA8" w14:paraId="74840477" w14:textId="53EA9137">
      <w:pPr>
        <w:spacing w:before="60"/>
        <w:jc w:val="right"/>
        <w:rPr>
          <w:b/>
          <w:sz w:val="24"/>
        </w:rPr>
      </w:pPr>
      <w:r>
        <w:rPr>
          <w:b/>
          <w:sz w:val="24"/>
        </w:rPr>
        <w:t xml:space="preserve">Released:  </w:t>
      </w:r>
      <w:r w:rsidR="005F78DA">
        <w:rPr>
          <w:b/>
          <w:sz w:val="24"/>
        </w:rPr>
        <w:t>February</w:t>
      </w:r>
      <w:r w:rsidR="00350610">
        <w:rPr>
          <w:b/>
          <w:sz w:val="24"/>
        </w:rPr>
        <w:t xml:space="preserve"> </w:t>
      </w:r>
      <w:r w:rsidR="001209A3">
        <w:rPr>
          <w:b/>
          <w:sz w:val="24"/>
        </w:rPr>
        <w:t>27</w:t>
      </w:r>
      <w:r w:rsidR="00087ED8">
        <w:rPr>
          <w:b/>
          <w:sz w:val="24"/>
        </w:rPr>
        <w:t>, 202</w:t>
      </w:r>
      <w:r w:rsidR="00784FAE">
        <w:rPr>
          <w:b/>
          <w:sz w:val="24"/>
        </w:rPr>
        <w:t>6</w:t>
      </w:r>
    </w:p>
    <w:p w:rsidR="00BA3BA8" w14:paraId="07AC45EA" w14:textId="77777777">
      <w:pPr>
        <w:jc w:val="right"/>
        <w:rPr>
          <w:sz w:val="24"/>
        </w:rPr>
      </w:pPr>
    </w:p>
    <w:p w:rsidR="00F765B6" w:rsidP="00F765B6" w14:paraId="72D2665E" w14:textId="4843B958">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TRANSFER OF CONTROL OF</w:t>
      </w:r>
      <w:r>
        <w:rPr>
          <w:b/>
          <w:bCs/>
          <w:szCs w:val="22"/>
        </w:rPr>
        <w:t xml:space="preserve"> </w:t>
      </w:r>
      <w:r w:rsidRPr="002903BF" w:rsidR="002903BF">
        <w:rPr>
          <w:rFonts w:ascii="Times New Roman Bold" w:hAnsi="Times New Roman Bold"/>
          <w:b/>
          <w:bCs/>
          <w:caps/>
          <w:szCs w:val="22"/>
        </w:rPr>
        <w:t>CCI Network Services,</w:t>
      </w:r>
      <w:r w:rsidRPr="002903BF" w:rsidR="002903BF">
        <w:rPr>
          <w:b/>
          <w:bCs/>
          <w:szCs w:val="22"/>
        </w:rPr>
        <w:t xml:space="preserve"> LLC </w:t>
      </w:r>
      <w:r w:rsidR="002903BF">
        <w:rPr>
          <w:b/>
          <w:bCs/>
          <w:szCs w:val="22"/>
        </w:rPr>
        <w:t xml:space="preserve">FROM NETWORK SERVICES HOLDINGS, LLC </w:t>
      </w:r>
      <w:r w:rsidR="00020F8F">
        <w:rPr>
          <w:b/>
          <w:bCs/>
          <w:szCs w:val="22"/>
        </w:rPr>
        <w:t xml:space="preserve">TO </w:t>
      </w:r>
      <w:r w:rsidRPr="00020F8F" w:rsidR="00020F8F">
        <w:rPr>
          <w:b/>
          <w:bCs/>
          <w:szCs w:val="22"/>
        </w:rPr>
        <w:t>APPSMART TGN, INC.</w:t>
      </w:r>
    </w:p>
    <w:p w:rsidR="00F765B6" w:rsidRPr="00DB3CBC" w:rsidP="00F765B6" w14:paraId="0CAE2AB9" w14:textId="77777777">
      <w:pPr>
        <w:jc w:val="center"/>
        <w:rPr>
          <w:b/>
          <w:bCs/>
          <w:szCs w:val="22"/>
        </w:rPr>
      </w:pPr>
    </w:p>
    <w:p w:rsidR="00BA3BA8" w:rsidP="00F765B6" w14:paraId="4434B72A" w14:textId="13EB5A08">
      <w:pPr>
        <w:jc w:val="center"/>
        <w:rPr>
          <w:b/>
          <w:bCs/>
          <w:szCs w:val="22"/>
        </w:rPr>
      </w:pPr>
      <w:r>
        <w:rPr>
          <w:b/>
          <w:szCs w:val="22"/>
        </w:rPr>
        <w:t>NON-S</w:t>
      </w:r>
      <w:r w:rsidRPr="00DB3CBC" w:rsidR="00F765B6">
        <w:rPr>
          <w:b/>
          <w:szCs w:val="22"/>
        </w:rPr>
        <w:t>TREAMLINED PLEADING CYCLE ESTABLISHED</w:t>
      </w:r>
    </w:p>
    <w:p w:rsidR="00F765B6" w:rsidRPr="00F765B6" w:rsidP="00F765B6" w14:paraId="60BE1411" w14:textId="77777777">
      <w:pPr>
        <w:jc w:val="center"/>
        <w:rPr>
          <w:b/>
          <w:bCs/>
          <w:szCs w:val="22"/>
        </w:rPr>
      </w:pPr>
    </w:p>
    <w:p w:rsidR="00BA3BA8" w14:paraId="3563A964" w14:textId="5C95AEDF">
      <w:pPr>
        <w:jc w:val="center"/>
        <w:rPr>
          <w:b/>
          <w:sz w:val="24"/>
        </w:rPr>
      </w:pPr>
      <w:r>
        <w:rPr>
          <w:b/>
          <w:sz w:val="24"/>
        </w:rPr>
        <w:t>WC Docket No. 25-</w:t>
      </w:r>
      <w:r w:rsidR="00350610">
        <w:rPr>
          <w:b/>
          <w:sz w:val="24"/>
        </w:rPr>
        <w:t>343</w:t>
      </w:r>
    </w:p>
    <w:p w:rsidR="00087ED8" w:rsidP="00087ED8" w14:paraId="7E2B515C" w14:textId="77777777">
      <w:pPr>
        <w:rPr>
          <w:b/>
          <w:szCs w:val="22"/>
        </w:rPr>
      </w:pPr>
    </w:p>
    <w:p w:rsidR="00087ED8" w:rsidRPr="00AD440B" w:rsidP="00087ED8" w14:paraId="317736F9" w14:textId="6BA93794">
      <w:pPr>
        <w:rPr>
          <w:b/>
          <w:szCs w:val="22"/>
        </w:rPr>
      </w:pPr>
      <w:r w:rsidRPr="00AD440B">
        <w:rPr>
          <w:b/>
          <w:szCs w:val="22"/>
        </w:rPr>
        <w:t xml:space="preserve">Comments Due:  </w:t>
      </w:r>
      <w:r w:rsidR="001B1673">
        <w:rPr>
          <w:b/>
          <w:szCs w:val="22"/>
        </w:rPr>
        <w:t>March</w:t>
      </w:r>
      <w:r w:rsidR="00FC605B">
        <w:rPr>
          <w:b/>
          <w:szCs w:val="22"/>
        </w:rPr>
        <w:t xml:space="preserve"> </w:t>
      </w:r>
      <w:r w:rsidR="001B1673">
        <w:rPr>
          <w:b/>
          <w:szCs w:val="22"/>
        </w:rPr>
        <w:t>13</w:t>
      </w:r>
      <w:r w:rsidRPr="00AD440B">
        <w:rPr>
          <w:b/>
          <w:szCs w:val="22"/>
        </w:rPr>
        <w:t>, 202</w:t>
      </w:r>
      <w:r w:rsidR="00784FAE">
        <w:rPr>
          <w:b/>
          <w:szCs w:val="22"/>
        </w:rPr>
        <w:t>6</w:t>
      </w:r>
    </w:p>
    <w:p w:rsidR="00087ED8" w:rsidP="00087ED8" w14:paraId="4584CF30" w14:textId="21651AE7">
      <w:pPr>
        <w:tabs>
          <w:tab w:val="left" w:pos="6366"/>
        </w:tabs>
        <w:rPr>
          <w:b/>
          <w:szCs w:val="22"/>
        </w:rPr>
      </w:pPr>
      <w:r w:rsidRPr="00AD440B">
        <w:rPr>
          <w:b/>
          <w:szCs w:val="22"/>
        </w:rPr>
        <w:t>Reply Comment</w:t>
      </w:r>
      <w:r>
        <w:rPr>
          <w:b/>
          <w:szCs w:val="22"/>
        </w:rPr>
        <w:t>s</w:t>
      </w:r>
      <w:r w:rsidRPr="00AD440B">
        <w:rPr>
          <w:b/>
          <w:szCs w:val="22"/>
        </w:rPr>
        <w:t xml:space="preserve"> Due:  </w:t>
      </w:r>
      <w:r w:rsidR="001B1673">
        <w:rPr>
          <w:b/>
          <w:szCs w:val="22"/>
        </w:rPr>
        <w:t>March 20</w:t>
      </w:r>
      <w:r w:rsidRPr="00AD440B">
        <w:rPr>
          <w:b/>
          <w:szCs w:val="22"/>
        </w:rPr>
        <w:t>, 202</w:t>
      </w:r>
      <w:r w:rsidR="00173C02">
        <w:rPr>
          <w:b/>
          <w:szCs w:val="22"/>
        </w:rPr>
        <w:t>6</w:t>
      </w:r>
    </w:p>
    <w:p w:rsidR="00087ED8" w:rsidP="00087ED8" w14:paraId="56DDC2CF" w14:textId="77777777">
      <w:pPr>
        <w:rPr>
          <w:b/>
          <w:sz w:val="24"/>
        </w:rPr>
      </w:pPr>
    </w:p>
    <w:p w:rsidR="00F765B6" w:rsidP="00D95721" w14:paraId="69D3C2D8" w14:textId="5FE04E46">
      <w:pPr>
        <w:autoSpaceDE w:val="0"/>
        <w:autoSpaceDN w:val="0"/>
        <w:adjustRightInd w:val="0"/>
        <w:spacing w:after="120"/>
        <w:ind w:firstLine="720"/>
        <w:rPr>
          <w:szCs w:val="22"/>
        </w:rPr>
      </w:pPr>
      <w:r w:rsidRPr="00FD7EE2">
        <w:rPr>
          <w:szCs w:val="22"/>
        </w:rPr>
        <w:t xml:space="preserve">By this Public Notice, the Wireline Competition Bureau seeks comment from interested parties on an application filed by </w:t>
      </w:r>
      <w:bookmarkStart w:id="0" w:name="_Hlk73713070"/>
      <w:bookmarkStart w:id="1" w:name="_Hlk67917977"/>
      <w:r w:rsidRPr="00020F8F" w:rsidR="00020F8F">
        <w:rPr>
          <w:szCs w:val="22"/>
        </w:rPr>
        <w:t>Network Services Holdings, LLC (</w:t>
      </w:r>
      <w:r w:rsidR="002903BF">
        <w:rPr>
          <w:szCs w:val="22"/>
        </w:rPr>
        <w:t>Network Services</w:t>
      </w:r>
      <w:r w:rsidRPr="00020F8F" w:rsidR="00020F8F">
        <w:rPr>
          <w:szCs w:val="22"/>
        </w:rPr>
        <w:t xml:space="preserve">), CCI Network Services, LLC (CCI) and </w:t>
      </w:r>
      <w:r w:rsidRPr="00020F8F" w:rsidR="00020F8F">
        <w:rPr>
          <w:szCs w:val="22"/>
        </w:rPr>
        <w:t>AppSmart</w:t>
      </w:r>
      <w:r w:rsidRPr="00020F8F" w:rsidR="00020F8F">
        <w:rPr>
          <w:szCs w:val="22"/>
        </w:rPr>
        <w:t xml:space="preserve"> TGN, Inc. (</w:t>
      </w:r>
      <w:bookmarkStart w:id="2" w:name="_Hlk216104623"/>
      <w:r w:rsidRPr="00020F8F" w:rsidR="00020F8F">
        <w:rPr>
          <w:szCs w:val="22"/>
        </w:rPr>
        <w:t>AppSmart</w:t>
      </w:r>
      <w:r w:rsidRPr="00020F8F" w:rsidR="00020F8F">
        <w:rPr>
          <w:szCs w:val="22"/>
        </w:rPr>
        <w:t xml:space="preserve"> TGN</w:t>
      </w:r>
      <w:bookmarkEnd w:id="2"/>
      <w:r w:rsidR="002903BF">
        <w:rPr>
          <w:szCs w:val="22"/>
        </w:rPr>
        <w:t>) (collectively,</w:t>
      </w:r>
      <w:r w:rsidRPr="00020F8F" w:rsidR="00020F8F">
        <w:rPr>
          <w:szCs w:val="22"/>
        </w:rPr>
        <w:t xml:space="preserve"> Applicants</w:t>
      </w:r>
      <w:r w:rsidRPr="00FD7EE2">
        <w:rPr>
          <w:szCs w:val="22"/>
        </w:rPr>
        <w:t>), pursuant to section 214(a) of the</w:t>
      </w:r>
      <w:r w:rsidR="00002E74">
        <w:rPr>
          <w:szCs w:val="22"/>
        </w:rPr>
        <w:t xml:space="preserve"> </w:t>
      </w:r>
      <w:r w:rsidRPr="00FD7EE2">
        <w:rPr>
          <w:szCs w:val="22"/>
        </w:rPr>
        <w:t>Communications Act of 1934, as amended, and sectio</w:t>
      </w:r>
      <w:r w:rsidRPr="002E63E2">
        <w:rPr>
          <w:szCs w:val="22"/>
        </w:rPr>
        <w:t>n</w:t>
      </w:r>
      <w:r w:rsidRPr="00FD7EE2">
        <w:rPr>
          <w:szCs w:val="22"/>
        </w:rPr>
        <w:t xml:space="preserve"> 63.</w:t>
      </w:r>
      <w:r w:rsidR="00624C75">
        <w:rPr>
          <w:szCs w:val="22"/>
        </w:rPr>
        <w:t>04</w:t>
      </w:r>
      <w:r w:rsidRPr="00FD7EE2">
        <w:rPr>
          <w:szCs w:val="22"/>
        </w:rPr>
        <w:t xml:space="preserve"> of the </w:t>
      </w:r>
      <w:r w:rsidR="00624C75">
        <w:rPr>
          <w:szCs w:val="22"/>
        </w:rPr>
        <w:t xml:space="preserve">Federal Communication </w:t>
      </w:r>
      <w:r w:rsidRPr="00FD7EE2">
        <w:rPr>
          <w:szCs w:val="22"/>
        </w:rPr>
        <w:t xml:space="preserve">Commission’s </w:t>
      </w:r>
      <w:r w:rsidR="004D0CC1">
        <w:rPr>
          <w:szCs w:val="22"/>
        </w:rPr>
        <w:t xml:space="preserve">(Commission) </w:t>
      </w:r>
      <w:r w:rsidRPr="00FD7EE2">
        <w:rPr>
          <w:szCs w:val="22"/>
        </w:rPr>
        <w:t>rules,</w:t>
      </w:r>
      <w:r>
        <w:rPr>
          <w:rStyle w:val="FootnoteReference"/>
          <w:szCs w:val="22"/>
        </w:rPr>
        <w:footnoteReference w:id="3"/>
      </w:r>
      <w:r w:rsidRPr="00FD7EE2">
        <w:rPr>
          <w:szCs w:val="22"/>
        </w:rPr>
        <w:t xml:space="preserve"> </w:t>
      </w:r>
      <w:bookmarkEnd w:id="0"/>
      <w:bookmarkEnd w:id="1"/>
      <w:r w:rsidRPr="00020F8F" w:rsidR="00020F8F">
        <w:rPr>
          <w:szCs w:val="22"/>
        </w:rPr>
        <w:t xml:space="preserve">requesting approval </w:t>
      </w:r>
      <w:r w:rsidRPr="00D95721" w:rsidR="00D95721">
        <w:rPr>
          <w:szCs w:val="22"/>
        </w:rPr>
        <w:t xml:space="preserve">to transfer ownership and control of </w:t>
      </w:r>
      <w:r w:rsidR="00D95721">
        <w:rPr>
          <w:szCs w:val="22"/>
        </w:rPr>
        <w:t>CCI</w:t>
      </w:r>
      <w:r w:rsidRPr="00D95721" w:rsidR="00D95721">
        <w:rPr>
          <w:szCs w:val="22"/>
        </w:rPr>
        <w:t xml:space="preserve"> to </w:t>
      </w:r>
      <w:r w:rsidRPr="00D95721" w:rsidR="00D95721">
        <w:rPr>
          <w:szCs w:val="22"/>
        </w:rPr>
        <w:t>AppSmart</w:t>
      </w:r>
      <w:r w:rsidRPr="00D95721" w:rsidR="00D95721">
        <w:rPr>
          <w:szCs w:val="22"/>
        </w:rPr>
        <w:t xml:space="preserve"> TGN</w:t>
      </w:r>
      <w:r w:rsidRPr="004353B8" w:rsidR="0075199B">
        <w:rPr>
          <w:szCs w:val="22"/>
        </w:rPr>
        <w:t>.</w:t>
      </w:r>
      <w:r w:rsidRPr="00E62AC9" w:rsidR="00E62AC9">
        <w:rPr>
          <w:szCs w:val="22"/>
          <w:vertAlign w:val="superscript"/>
        </w:rPr>
        <w:t xml:space="preserve"> </w:t>
      </w:r>
      <w:r>
        <w:rPr>
          <w:szCs w:val="22"/>
          <w:vertAlign w:val="superscript"/>
        </w:rPr>
        <w:footnoteReference w:id="4"/>
      </w:r>
    </w:p>
    <w:p w:rsidR="00D95721" w:rsidP="00D95721" w14:paraId="6F1118D0" w14:textId="76DD496B">
      <w:pPr>
        <w:autoSpaceDE w:val="0"/>
        <w:autoSpaceDN w:val="0"/>
        <w:adjustRightInd w:val="0"/>
        <w:spacing w:before="120" w:after="120"/>
        <w:ind w:firstLine="720"/>
        <w:rPr>
          <w:szCs w:val="22"/>
        </w:rPr>
      </w:pPr>
      <w:r w:rsidRPr="00D95721">
        <w:rPr>
          <w:szCs w:val="22"/>
        </w:rPr>
        <w:t>CCI is a Utah limited liability company that provides voice, data, and information services</w:t>
      </w:r>
      <w:r>
        <w:rPr>
          <w:szCs w:val="22"/>
        </w:rPr>
        <w:t xml:space="preserve"> </w:t>
      </w:r>
      <w:r w:rsidRPr="00D95721">
        <w:rPr>
          <w:szCs w:val="22"/>
        </w:rPr>
        <w:t>to business customers across the United States</w:t>
      </w:r>
      <w:r w:rsidR="00670A9E">
        <w:rPr>
          <w:szCs w:val="22"/>
        </w:rPr>
        <w:t xml:space="preserve"> to enterprise customers</w:t>
      </w:r>
      <w:r w:rsidRPr="00D95721">
        <w:rPr>
          <w:szCs w:val="22"/>
        </w:rPr>
        <w:t>.</w:t>
      </w:r>
      <w:r>
        <w:rPr>
          <w:rStyle w:val="FootnoteReference"/>
          <w:szCs w:val="22"/>
        </w:rPr>
        <w:footnoteReference w:id="5"/>
      </w:r>
      <w:r w:rsidRPr="00D95721" w:rsidR="00670A9E">
        <w:rPr>
          <w:szCs w:val="22"/>
        </w:rPr>
        <w:t xml:space="preserve"> </w:t>
      </w:r>
      <w:r w:rsidR="00670A9E">
        <w:rPr>
          <w:szCs w:val="22"/>
        </w:rPr>
        <w:t xml:space="preserve"> </w:t>
      </w:r>
      <w:r w:rsidRPr="00D95721">
        <w:rPr>
          <w:szCs w:val="22"/>
        </w:rPr>
        <w:t>CCI purchases services for resale from underlying</w:t>
      </w:r>
      <w:r>
        <w:rPr>
          <w:szCs w:val="22"/>
        </w:rPr>
        <w:t xml:space="preserve"> </w:t>
      </w:r>
      <w:r w:rsidRPr="00D95721">
        <w:rPr>
          <w:szCs w:val="22"/>
        </w:rPr>
        <w:t>carriers and service providers, and owns or leases and operates certain switches, circuits, and other</w:t>
      </w:r>
      <w:r>
        <w:rPr>
          <w:szCs w:val="22"/>
        </w:rPr>
        <w:t xml:space="preserve"> </w:t>
      </w:r>
      <w:r w:rsidRPr="00D95721">
        <w:rPr>
          <w:szCs w:val="22"/>
        </w:rPr>
        <w:t>facilities to provide certain of its services</w:t>
      </w:r>
      <w:r w:rsidR="00670A9E">
        <w:rPr>
          <w:szCs w:val="22"/>
        </w:rPr>
        <w:t>.</w:t>
      </w:r>
      <w:r>
        <w:rPr>
          <w:rStyle w:val="FootnoteReference"/>
          <w:szCs w:val="22"/>
        </w:rPr>
        <w:footnoteReference w:id="6"/>
      </w:r>
      <w:r w:rsidR="00670A9E">
        <w:rPr>
          <w:szCs w:val="22"/>
        </w:rPr>
        <w:t xml:space="preserve">  </w:t>
      </w:r>
      <w:r w:rsidRPr="00D95721">
        <w:rPr>
          <w:szCs w:val="22"/>
        </w:rPr>
        <w:t>Network Services</w:t>
      </w:r>
      <w:r w:rsidR="00670A9E">
        <w:rPr>
          <w:szCs w:val="22"/>
        </w:rPr>
        <w:t xml:space="preserve"> is </w:t>
      </w:r>
      <w:r w:rsidRPr="00D95721">
        <w:rPr>
          <w:szCs w:val="22"/>
        </w:rPr>
        <w:t>a Delaware limited liability company and a holding company that does not</w:t>
      </w:r>
      <w:r>
        <w:rPr>
          <w:szCs w:val="22"/>
        </w:rPr>
        <w:t xml:space="preserve"> </w:t>
      </w:r>
      <w:r w:rsidRPr="00D95721">
        <w:rPr>
          <w:szCs w:val="22"/>
        </w:rPr>
        <w:t>have its own operations.</w:t>
      </w:r>
      <w:r>
        <w:rPr>
          <w:rStyle w:val="FootnoteReference"/>
          <w:szCs w:val="22"/>
        </w:rPr>
        <w:footnoteReference w:id="7"/>
      </w:r>
      <w:r w:rsidR="00E62AC9">
        <w:rPr>
          <w:szCs w:val="22"/>
        </w:rPr>
        <w:t xml:space="preserve">  </w:t>
      </w:r>
    </w:p>
    <w:p w:rsidR="00D95721" w:rsidRPr="00D95721" w:rsidP="008628B1" w14:paraId="401B4697" w14:textId="449EE2F7">
      <w:pPr>
        <w:autoSpaceDE w:val="0"/>
        <w:autoSpaceDN w:val="0"/>
        <w:adjustRightInd w:val="0"/>
        <w:spacing w:before="120" w:after="120"/>
        <w:ind w:firstLine="720"/>
      </w:pPr>
      <w:r w:rsidRPr="00D95721">
        <w:t>AppSmart</w:t>
      </w:r>
      <w:r w:rsidRPr="00D95721">
        <w:t xml:space="preserve"> TGN, a Delaware corporation, provides limited international and toll-free telecommunications services on a resale basis to business customers in Michigan, Florida, Illinois, Indiana, New York, and Wisconsin.</w:t>
      </w:r>
      <w:r>
        <w:rPr>
          <w:vertAlign w:val="superscript"/>
        </w:rPr>
        <w:footnoteReference w:id="8"/>
      </w:r>
      <w:r w:rsidRPr="00D95721">
        <w:t xml:space="preserve">  </w:t>
      </w:r>
      <w:r w:rsidR="005C04DA">
        <w:t>AppSmart</w:t>
      </w:r>
      <w:r w:rsidR="005C04DA">
        <w:t xml:space="preserve"> TGN’s</w:t>
      </w:r>
      <w:r w:rsidRPr="00D95721">
        <w:t xml:space="preserve"> parent company, </w:t>
      </w:r>
      <w:r w:rsidRPr="00D95721">
        <w:t>AppDirect</w:t>
      </w:r>
      <w:r w:rsidRPr="00D95721">
        <w:t>, Inc. (</w:t>
      </w:r>
      <w:r w:rsidRPr="00D95721">
        <w:t>AppDirect</w:t>
      </w:r>
      <w:r w:rsidRPr="00D95721">
        <w:t>), a Delaware corporation, provides business-to-business cloud marketplace and cloud management services across the United States.</w:t>
      </w:r>
      <w:r>
        <w:rPr>
          <w:vertAlign w:val="superscript"/>
        </w:rPr>
        <w:footnoteReference w:id="9"/>
      </w:r>
      <w:r w:rsidRPr="00D95721">
        <w:t xml:space="preserve">  </w:t>
      </w:r>
      <w:r w:rsidR="008628B1">
        <w:t>AppSmart</w:t>
      </w:r>
      <w:r w:rsidR="008628B1">
        <w:t xml:space="preserve"> TGN’s telecommunications provider affiliates are resale-only </w:t>
      </w:r>
      <w:r w:rsidR="008628B1">
        <w:t>providers.</w:t>
      </w:r>
      <w:r>
        <w:rPr>
          <w:rStyle w:val="FootnoteReference"/>
        </w:rPr>
        <w:footnoteReference w:id="10"/>
      </w:r>
      <w:r w:rsidR="008628B1">
        <w:t xml:space="preserve">  </w:t>
      </w:r>
      <w:r w:rsidRPr="005C04DA" w:rsidR="005C04DA">
        <w:t xml:space="preserve">Applicants state that the following Canadian citizens hold a 10% or greater interest in </w:t>
      </w:r>
      <w:r w:rsidRPr="005C04DA" w:rsidR="005C04DA">
        <w:t>AppDirect</w:t>
      </w:r>
      <w:r w:rsidRPr="005C04DA" w:rsidR="005C04DA">
        <w:t>:  Nicolas Desmarais (11.7% equity and 44.5% voting);</w:t>
      </w:r>
      <w:r w:rsidRPr="005C04DA" w:rsidR="00D85EAC">
        <w:t xml:space="preserve"> </w:t>
      </w:r>
      <w:r w:rsidRPr="005C04DA" w:rsidR="005C04DA">
        <w:t xml:space="preserve">Paul Desmarais Jr. (12.6% equity and 6% voting); and Danial Saks </w:t>
      </w:r>
      <w:r w:rsidR="005C04DA">
        <w:t>(</w:t>
      </w:r>
      <w:r w:rsidRPr="005C04DA" w:rsidR="005C04DA">
        <w:t>5% equity and 23.6% voting).</w:t>
      </w:r>
      <w:r>
        <w:rPr>
          <w:vertAlign w:val="superscript"/>
        </w:rPr>
        <w:footnoteReference w:id="11"/>
      </w:r>
      <w:r w:rsidRPr="005C04DA" w:rsidR="005C04DA">
        <w:t xml:space="preserve">  </w:t>
      </w:r>
    </w:p>
    <w:p w:rsidR="00D95721" w:rsidRPr="00D95721" w:rsidP="004E479C" w14:paraId="716FEA31" w14:textId="7FB868E0">
      <w:pPr>
        <w:autoSpaceDE w:val="0"/>
        <w:autoSpaceDN w:val="0"/>
        <w:adjustRightInd w:val="0"/>
        <w:spacing w:before="120" w:after="120"/>
        <w:ind w:firstLine="720"/>
      </w:pPr>
      <w:r w:rsidRPr="00D95721">
        <w:t xml:space="preserve">Pursuant to the terms of the proposed transaction, </w:t>
      </w:r>
      <w:r w:rsidRPr="00D95721">
        <w:t>AppSmart</w:t>
      </w:r>
      <w:r w:rsidRPr="00D95721">
        <w:t xml:space="preserve"> TGN will acquire one hundred percent (100%) of the issued and outstanding </w:t>
      </w:r>
      <w:r w:rsidRPr="003C5CEA" w:rsidR="003C5CEA">
        <w:t>membership interest of CC</w:t>
      </w:r>
      <w:r w:rsidR="005116F7">
        <w:t>I</w:t>
      </w:r>
      <w:r w:rsidR="003C5CEA">
        <w:t>.</w:t>
      </w:r>
      <w:r>
        <w:rPr>
          <w:rStyle w:val="FootnoteReference"/>
        </w:rPr>
        <w:footnoteReference w:id="12"/>
      </w:r>
      <w:r w:rsidR="003C5CEA">
        <w:t xml:space="preserve">  </w:t>
      </w:r>
      <w:r w:rsidRPr="00D95721">
        <w:t xml:space="preserve">Applicants state that after consummation of the transaction, </w:t>
      </w:r>
      <w:r w:rsidR="00591E8B">
        <w:t xml:space="preserve">CCI </w:t>
      </w:r>
      <w:r w:rsidRPr="00D95721">
        <w:t>will continue to exist and operate under the same name.</w:t>
      </w:r>
      <w:r>
        <w:rPr>
          <w:vertAlign w:val="superscript"/>
        </w:rPr>
        <w:footnoteReference w:id="13"/>
      </w:r>
      <w:r w:rsidRPr="00D95721">
        <w:t xml:space="preserve">  Applicants assert that transaction will entail a change in the equity ownership of</w:t>
      </w:r>
      <w:r w:rsidR="00591E8B">
        <w:t xml:space="preserve"> CCI</w:t>
      </w:r>
      <w:r w:rsidRPr="00D95721">
        <w:t xml:space="preserve">; there will be </w:t>
      </w:r>
      <w:r w:rsidR="004E479C">
        <w:t>no transfer of its assets or liabilities</w:t>
      </w:r>
      <w:r w:rsidRPr="00D95721">
        <w:t>.</w:t>
      </w:r>
      <w:r>
        <w:rPr>
          <w:vertAlign w:val="superscript"/>
        </w:rPr>
        <w:footnoteReference w:id="14"/>
      </w:r>
      <w:r w:rsidRPr="00D95721">
        <w:t xml:space="preserve">  </w:t>
      </w:r>
    </w:p>
    <w:p w:rsidR="00D95721" w:rsidRPr="00D95721" w:rsidP="00D95721" w14:paraId="6D7843BF" w14:textId="027BD7D0">
      <w:pPr>
        <w:autoSpaceDE w:val="0"/>
        <w:autoSpaceDN w:val="0"/>
        <w:adjustRightInd w:val="0"/>
        <w:spacing w:before="120" w:after="120"/>
        <w:ind w:firstLine="720"/>
        <w:rPr>
          <w:bCs/>
          <w:snapToGrid/>
          <w:kern w:val="0"/>
        </w:rPr>
      </w:pPr>
      <w:r>
        <w:rPr>
          <w:snapToGrid/>
          <w:kern w:val="0"/>
        </w:rPr>
        <w:t>Applicants assert that a grant of the Application would serve the public interest, convenience and necessity.</w:t>
      </w:r>
      <w:r>
        <w:rPr>
          <w:rStyle w:val="FootnoteReference"/>
          <w:snapToGrid/>
          <w:kern w:val="0"/>
        </w:rPr>
        <w:footnoteReference w:id="15"/>
      </w:r>
      <w:r>
        <w:rPr>
          <w:snapToGrid/>
          <w:kern w:val="0"/>
        </w:rPr>
        <w:t xml:space="preserve">  </w:t>
      </w:r>
      <w:r w:rsidRPr="00D95721">
        <w:rPr>
          <w:snapToGrid/>
          <w:kern w:val="0"/>
        </w:rPr>
        <w:t>Applicants do not request streamlined treatment for the domestic 214 application pursuant to section 63.03 of the Commission’s rules.</w:t>
      </w:r>
      <w:r>
        <w:rPr>
          <w:snapToGrid/>
          <w:kern w:val="0"/>
          <w:vertAlign w:val="superscript"/>
        </w:rPr>
        <w:footnoteReference w:id="16"/>
      </w:r>
      <w:r w:rsidRPr="00D95721">
        <w:rPr>
          <w:snapToGrid/>
          <w:kern w:val="0"/>
        </w:rPr>
        <w:t xml:space="preserve">  </w:t>
      </w:r>
      <w:r w:rsidRPr="00D95721">
        <w:rPr>
          <w:bCs/>
          <w:snapToGrid/>
          <w:kern w:val="0"/>
        </w:rPr>
        <w:t>We accept the Application for non-streamlined processing.</w:t>
      </w:r>
      <w:r>
        <w:rPr>
          <w:bCs/>
          <w:snapToGrid/>
          <w:kern w:val="0"/>
          <w:vertAlign w:val="superscript"/>
        </w:rPr>
        <w:footnoteReference w:id="17"/>
      </w:r>
    </w:p>
    <w:p w:rsidR="00D95721" w:rsidRPr="00D95721" w:rsidP="00D95721" w14:paraId="39CBF098" w14:textId="29385EF0">
      <w:pPr>
        <w:autoSpaceDE w:val="0"/>
        <w:autoSpaceDN w:val="0"/>
        <w:adjustRightInd w:val="0"/>
        <w:spacing w:before="120" w:after="120"/>
        <w:ind w:firstLine="720"/>
        <w:rPr>
          <w:color w:val="000000"/>
        </w:rPr>
      </w:pPr>
      <w:r w:rsidRPr="00D95721">
        <w:rPr>
          <w:bCs/>
          <w:color w:val="000000"/>
          <w:u w:val="single"/>
        </w:rPr>
        <w:t>No Referral to Executive Branch Agencies:</w:t>
      </w:r>
      <w:r w:rsidRPr="00D95721">
        <w:rPr>
          <w:b/>
          <w:bCs/>
          <w:color w:val="000000"/>
        </w:rPr>
        <w:t xml:space="preserve">  </w:t>
      </w:r>
      <w:r w:rsidRPr="00D95721">
        <w:rPr>
          <w:color w:val="000000"/>
        </w:rPr>
        <w:t xml:space="preserve">The Commission determined in the </w:t>
      </w:r>
      <w:r w:rsidRPr="00D95721">
        <w:rPr>
          <w:i/>
          <w:iCs/>
          <w:color w:val="000000"/>
        </w:rPr>
        <w:t>Executive Branch Review Process Order</w:t>
      </w:r>
      <w:r w:rsidRPr="00D95721">
        <w:rPr>
          <w:color w:val="000000"/>
        </w:rPr>
        <w:t xml:space="preserve"> that it would generally exclude from referral to the Executive Branch applications where the applicants have “an existing mitigation agreement, there are no new reportable foreign owners of the applicant since the effective date of the mitigation agreement, and the applicant agrees to </w:t>
      </w:r>
      <w:r w:rsidRPr="000A243D">
        <w:t>continue to comply with the terms of that mitigation agreement.”</w:t>
      </w:r>
      <w:r>
        <w:rPr>
          <w:vertAlign w:val="superscript"/>
        </w:rPr>
        <w:footnoteReference w:id="18"/>
      </w:r>
      <w:r w:rsidRPr="000A243D">
        <w:t xml:space="preserve">  Applicants argue that the Application qualifies for an exclusion from referral to the Executive Branch since it meets those criteria.</w:t>
      </w:r>
      <w:r>
        <w:rPr>
          <w:vertAlign w:val="superscript"/>
        </w:rPr>
        <w:footnoteReference w:id="19"/>
      </w:r>
      <w:r w:rsidRPr="000A243D">
        <w:t xml:space="preserve">  Applicants state that </w:t>
      </w:r>
      <w:r w:rsidRPr="000A243D">
        <w:t>AppSmart</w:t>
      </w:r>
      <w:r w:rsidRPr="000A243D">
        <w:t xml:space="preserve"> TGN is </w:t>
      </w:r>
      <w:r w:rsidRPr="000A243D" w:rsidR="001C71B2">
        <w:t>subject to an agreement with an Executive Branch agency concerning national security and/or law enforcement</w:t>
      </w:r>
      <w:r w:rsidRPr="000A243D">
        <w:t>).</w:t>
      </w:r>
      <w:r>
        <w:rPr>
          <w:vertAlign w:val="superscript"/>
        </w:rPr>
        <w:footnoteReference w:id="20"/>
      </w:r>
      <w:r w:rsidRPr="000A243D">
        <w:t xml:space="preserve">  Applicants </w:t>
      </w:r>
      <w:r w:rsidRPr="001C71B2">
        <w:t xml:space="preserve">further state that there are no new reportable foreign owners of </w:t>
      </w:r>
      <w:r w:rsidRPr="001C71B2">
        <w:t>AppSmart</w:t>
      </w:r>
      <w:r w:rsidRPr="001C71B2">
        <w:t xml:space="preserve"> TGN since the effective date of the</w:t>
      </w:r>
      <w:r w:rsidRPr="001C71B2" w:rsidR="001C71B2">
        <w:t xml:space="preserve"> agreement</w:t>
      </w:r>
      <w:r w:rsidRPr="001C71B2">
        <w:t xml:space="preserve"> and that </w:t>
      </w:r>
      <w:r w:rsidRPr="001C71B2">
        <w:t>AppSmart</w:t>
      </w:r>
      <w:r w:rsidRPr="001C71B2">
        <w:t xml:space="preserve"> TGN agrees to continue to comply with the terms of the </w:t>
      </w:r>
      <w:r w:rsidRPr="001C71B2" w:rsidR="001C71B2">
        <w:t>agreement</w:t>
      </w:r>
      <w:r>
        <w:rPr>
          <w:vertAlign w:val="superscript"/>
        </w:rPr>
        <w:footnoteReference w:id="21"/>
      </w:r>
      <w:r w:rsidRPr="001C71B2">
        <w:t xml:space="preserve">  Further, Applicants request that we condition grant of the Application on continued compliance with t</w:t>
      </w:r>
      <w:r w:rsidRPr="001C71B2" w:rsidR="001C71B2">
        <w:t xml:space="preserve">he existing mitigation agreement applicable to </w:t>
      </w:r>
      <w:r w:rsidRPr="001C71B2" w:rsidR="001C71B2">
        <w:t>AppSmart</w:t>
      </w:r>
      <w:r w:rsidRPr="001C71B2" w:rsidR="001C71B2">
        <w:t xml:space="preserve"> TGN</w:t>
      </w:r>
      <w:r w:rsidRPr="001C71B2">
        <w:t>.</w:t>
      </w:r>
      <w:r>
        <w:rPr>
          <w:vertAlign w:val="superscript"/>
        </w:rPr>
        <w:footnoteReference w:id="22"/>
      </w:r>
      <w:r w:rsidRPr="001C71B2">
        <w:t xml:space="preserve">  </w:t>
      </w:r>
    </w:p>
    <w:p w:rsidR="00D95721" w:rsidRPr="00D95721" w:rsidP="00D95721" w14:paraId="5FD9DAF2" w14:textId="77777777">
      <w:pPr>
        <w:autoSpaceDE w:val="0"/>
        <w:autoSpaceDN w:val="0"/>
        <w:adjustRightInd w:val="0"/>
        <w:spacing w:before="120" w:after="120"/>
        <w:ind w:firstLine="720"/>
        <w:rPr>
          <w:color w:val="000000"/>
        </w:rPr>
      </w:pPr>
      <w:r w:rsidRPr="00D95721">
        <w:rPr>
          <w:color w:val="000000"/>
        </w:rPr>
        <w:t xml:space="preserve">We find that Applicants have made a showing that this Application comes within an exclusion from referral to the Executive Branch for national security, law enforcement, foreign policy, and trade policy review.  Although we are not formally referring the Application, we will provide a courtesy copy </w:t>
      </w:r>
      <w:r w:rsidRPr="00D95721">
        <w:rPr>
          <w:color w:val="000000"/>
        </w:rPr>
        <w:t>of this public notice to the Executive Branch agencies.</w:t>
      </w:r>
      <w:r>
        <w:rPr>
          <w:color w:val="000000"/>
          <w:vertAlign w:val="superscript"/>
        </w:rPr>
        <w:footnoteReference w:id="23"/>
      </w:r>
    </w:p>
    <w:p w:rsidR="00D95721" w:rsidRPr="00D95721" w:rsidP="00350C2A" w14:paraId="08B15E39" w14:textId="00B84374">
      <w:pPr>
        <w:ind w:left="720"/>
      </w:pPr>
      <w:r w:rsidRPr="00D95721">
        <w:rPr>
          <w:szCs w:val="22"/>
        </w:rPr>
        <w:t>Domestic Section 214 Filed for the Transfer of Control of</w:t>
      </w:r>
      <w:r w:rsidR="002903BF">
        <w:rPr>
          <w:szCs w:val="22"/>
        </w:rPr>
        <w:t xml:space="preserve"> </w:t>
      </w:r>
      <w:r w:rsidRPr="002903BF" w:rsidR="002903BF">
        <w:rPr>
          <w:szCs w:val="22"/>
        </w:rPr>
        <w:t xml:space="preserve">CCI Network Services, LLC from Network </w:t>
      </w:r>
      <w:r w:rsidRPr="00350C2A" w:rsidR="00350C2A">
        <w:rPr>
          <w:szCs w:val="22"/>
        </w:rPr>
        <w:t xml:space="preserve">Services Holdings, LLC to </w:t>
      </w:r>
      <w:r w:rsidRPr="00350C2A" w:rsidR="00350C2A">
        <w:rPr>
          <w:szCs w:val="22"/>
        </w:rPr>
        <w:t>AppSmart</w:t>
      </w:r>
      <w:r w:rsidRPr="00350C2A" w:rsidR="00350C2A">
        <w:rPr>
          <w:szCs w:val="22"/>
        </w:rPr>
        <w:t xml:space="preserve"> TGN, Inc</w:t>
      </w:r>
      <w:r w:rsidRPr="00D95721">
        <w:rPr>
          <w:szCs w:val="22"/>
        </w:rPr>
        <w:t>., WC Docket No. 24-</w:t>
      </w:r>
      <w:r w:rsidR="00350C2A">
        <w:rPr>
          <w:szCs w:val="22"/>
        </w:rPr>
        <w:t>343</w:t>
      </w:r>
      <w:r w:rsidRPr="00D95721">
        <w:rPr>
          <w:szCs w:val="22"/>
        </w:rPr>
        <w:t xml:space="preserve"> (filed </w:t>
      </w:r>
      <w:r w:rsidR="00350C2A">
        <w:rPr>
          <w:szCs w:val="22"/>
        </w:rPr>
        <w:t>Dec</w:t>
      </w:r>
      <w:r w:rsidRPr="00D95721">
        <w:rPr>
          <w:szCs w:val="22"/>
        </w:rPr>
        <w:t xml:space="preserve">. </w:t>
      </w:r>
      <w:r w:rsidR="00350C2A">
        <w:rPr>
          <w:szCs w:val="22"/>
        </w:rPr>
        <w:t>8</w:t>
      </w:r>
      <w:r w:rsidRPr="00D95721">
        <w:rPr>
          <w:szCs w:val="22"/>
        </w:rPr>
        <w:t>, 202</w:t>
      </w:r>
      <w:r w:rsidR="00350C2A">
        <w:rPr>
          <w:szCs w:val="22"/>
        </w:rPr>
        <w:t>5</w:t>
      </w:r>
      <w:r w:rsidRPr="00D95721">
        <w:rPr>
          <w:szCs w:val="22"/>
        </w:rPr>
        <w:t>).</w:t>
      </w:r>
    </w:p>
    <w:p w:rsidR="001E5FA4" w:rsidRPr="009A6574" w:rsidP="001E5FA4" w14:paraId="28849A2C" w14:textId="77777777">
      <w:pPr>
        <w:ind w:left="720"/>
        <w:rPr>
          <w:szCs w:val="22"/>
        </w:rPr>
      </w:pPr>
    </w:p>
    <w:p w:rsidR="009A6574" w:rsidRPr="009A6574" w:rsidP="009A6574" w14:paraId="60CD2467" w14:textId="77777777">
      <w:pPr>
        <w:keepNext/>
        <w:autoSpaceDE w:val="0"/>
        <w:autoSpaceDN w:val="0"/>
        <w:adjustRightInd w:val="0"/>
        <w:spacing w:after="120"/>
        <w:rPr>
          <w:szCs w:val="22"/>
        </w:rPr>
      </w:pPr>
      <w:r w:rsidRPr="009A6574">
        <w:rPr>
          <w:b/>
          <w:szCs w:val="22"/>
          <w:u w:val="single"/>
        </w:rPr>
        <w:t>GENERAL INFORMATION</w:t>
      </w:r>
    </w:p>
    <w:p w:rsidR="009A6574" w:rsidRPr="009A6574" w:rsidP="009A6574" w14:paraId="38FA6F17" w14:textId="2CF912BA">
      <w:pPr>
        <w:autoSpaceDE w:val="0"/>
        <w:autoSpaceDN w:val="0"/>
        <w:adjustRightInd w:val="0"/>
        <w:spacing w:after="120"/>
        <w:ind w:firstLine="720"/>
        <w:rPr>
          <w:szCs w:val="22"/>
        </w:rPr>
      </w:pPr>
      <w:r w:rsidRPr="009A6574">
        <w:rPr>
          <w:szCs w:val="22"/>
        </w:rPr>
        <w:t xml:space="preserve">The </w:t>
      </w:r>
      <w:r w:rsidR="007A76A8">
        <w:rPr>
          <w:szCs w:val="22"/>
        </w:rPr>
        <w:t>A</w:t>
      </w:r>
      <w:r w:rsidRPr="009A6574">
        <w:rPr>
          <w:szCs w:val="22"/>
        </w:rPr>
        <w:t>pplication identified herein has been found, upon initial review, to be acceptable for filing.  The Commission reserves the right to return any application if, upon further examination, it is determined to be defective and not in conformance with the Commission’s rules and policies.</w:t>
      </w:r>
    </w:p>
    <w:p w:rsidR="009A6574" w:rsidRPr="009A6574" w:rsidP="009A6574" w14:paraId="7A849FDE" w14:textId="77777777">
      <w:pPr>
        <w:autoSpaceDE w:val="0"/>
        <w:autoSpaceDN w:val="0"/>
        <w:adjustRightInd w:val="0"/>
        <w:spacing w:after="120"/>
        <w:ind w:firstLine="720"/>
        <w:rPr>
          <w:szCs w:val="22"/>
        </w:rPr>
      </w:pPr>
      <w:r w:rsidRPr="009A6574">
        <w:rPr>
          <w:szCs w:val="22"/>
        </w:rPr>
        <w:t>Interested parties may file comments</w:t>
      </w:r>
      <w:r w:rsidRPr="009A6574">
        <w:rPr>
          <w:bCs/>
          <w:szCs w:val="22"/>
        </w:rPr>
        <w:t xml:space="preserve"> and reply comments on or before the dates indicated on the first page of this document.</w:t>
      </w:r>
      <w:r w:rsidRPr="009A6574">
        <w:rPr>
          <w:szCs w:val="22"/>
        </w:rPr>
        <w:t xml:space="preserve">  Comments may be filed using the Commission’s Electronic Comment Filing System (ECFS).</w:t>
      </w:r>
    </w:p>
    <w:p w:rsidR="009A6574" w:rsidRPr="009A6574" w:rsidP="009A6574" w14:paraId="4CF5F1AC" w14:textId="77777777">
      <w:pPr>
        <w:numPr>
          <w:ilvl w:val="0"/>
          <w:numId w:val="8"/>
        </w:numPr>
        <w:autoSpaceDE w:val="0"/>
        <w:autoSpaceDN w:val="0"/>
        <w:adjustRightInd w:val="0"/>
        <w:spacing w:after="120"/>
        <w:rPr>
          <w:szCs w:val="22"/>
        </w:rPr>
      </w:pPr>
      <w:r w:rsidRPr="009A6574">
        <w:rPr>
          <w:szCs w:val="22"/>
        </w:rPr>
        <w:t xml:space="preserve">Electronic Filers:  Comments may be filed electronically using the Internet by accessing the ECFS:  </w:t>
      </w:r>
      <w:hyperlink r:id="rId6" w:history="1">
        <w:r w:rsidRPr="009A6574">
          <w:rPr>
            <w:color w:val="0000FF"/>
            <w:szCs w:val="22"/>
            <w:u w:val="single"/>
          </w:rPr>
          <w:t>https://www.fcc.gov/ecfs/</w:t>
        </w:r>
      </w:hyperlink>
      <w:r w:rsidRPr="009A6574">
        <w:rPr>
          <w:szCs w:val="22"/>
        </w:rPr>
        <w:t>.</w:t>
      </w:r>
    </w:p>
    <w:p w:rsidR="009A6574" w:rsidRPr="009A6574" w:rsidP="009A6574" w14:paraId="12452E3A" w14:textId="77777777">
      <w:pPr>
        <w:numPr>
          <w:ilvl w:val="0"/>
          <w:numId w:val="9"/>
        </w:numPr>
        <w:autoSpaceDE w:val="0"/>
        <w:autoSpaceDN w:val="0"/>
        <w:adjustRightInd w:val="0"/>
        <w:spacing w:after="120"/>
        <w:rPr>
          <w:szCs w:val="22"/>
        </w:rPr>
      </w:pPr>
      <w:r w:rsidRPr="009A6574">
        <w:rPr>
          <w:szCs w:val="22"/>
        </w:rPr>
        <w:t>Paper Filers: Parties who choose to file by paper must file an original and one copy of each filing.</w:t>
      </w:r>
    </w:p>
    <w:p w:rsidR="009A6574" w:rsidRPr="009A6574" w:rsidP="009A6574" w14:paraId="030B1947" w14:textId="77777777">
      <w:pPr>
        <w:numPr>
          <w:ilvl w:val="1"/>
          <w:numId w:val="9"/>
        </w:numPr>
        <w:autoSpaceDE w:val="0"/>
        <w:autoSpaceDN w:val="0"/>
        <w:adjustRightInd w:val="0"/>
        <w:spacing w:after="120"/>
        <w:rPr>
          <w:b/>
          <w:bCs/>
          <w:szCs w:val="22"/>
        </w:rPr>
      </w:pPr>
      <w:r w:rsidRPr="009A6574">
        <w:rPr>
          <w:szCs w:val="22"/>
        </w:rPr>
        <w:t xml:space="preserve">Filings can be sent by hand or messenger delivery, by commercial courier, or by the U.S. Postal Service.  </w:t>
      </w:r>
      <w:r w:rsidRPr="009A6574">
        <w:rPr>
          <w:b/>
          <w:bCs/>
          <w:szCs w:val="22"/>
        </w:rPr>
        <w:t>All filings must be addressed to the Secretary, Federal Communications Commission.</w:t>
      </w:r>
    </w:p>
    <w:p w:rsidR="009A6574" w:rsidRPr="009A6574" w:rsidP="009A6574" w14:paraId="5BD560BA" w14:textId="77777777">
      <w:pPr>
        <w:numPr>
          <w:ilvl w:val="1"/>
          <w:numId w:val="9"/>
        </w:numPr>
        <w:autoSpaceDE w:val="0"/>
        <w:autoSpaceDN w:val="0"/>
        <w:adjustRightInd w:val="0"/>
        <w:spacing w:after="120"/>
        <w:rPr>
          <w:szCs w:val="22"/>
        </w:rPr>
      </w:pPr>
      <w:r w:rsidRPr="009A6574">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9A6574" w:rsidRPr="009A6574" w:rsidP="009A6574" w14:paraId="23ECB8A9" w14:textId="77777777">
      <w:pPr>
        <w:numPr>
          <w:ilvl w:val="1"/>
          <w:numId w:val="9"/>
        </w:numPr>
        <w:autoSpaceDE w:val="0"/>
        <w:autoSpaceDN w:val="0"/>
        <w:adjustRightInd w:val="0"/>
        <w:spacing w:after="120"/>
        <w:rPr>
          <w:szCs w:val="22"/>
        </w:rPr>
      </w:pPr>
      <w:r w:rsidRPr="009A6574">
        <w:rPr>
          <w:szCs w:val="22"/>
        </w:rPr>
        <w:t>Commercial courier deliveries (any deliveries not by the U.S. Postal Service) must be sent to 9050 Junction Drive, Annapolis Junction, MD 20701.</w:t>
      </w:r>
    </w:p>
    <w:p w:rsidR="009A6574" w:rsidRPr="009A6574" w:rsidP="009A6574" w14:paraId="4B74E3E4" w14:textId="77777777">
      <w:pPr>
        <w:numPr>
          <w:ilvl w:val="1"/>
          <w:numId w:val="9"/>
        </w:numPr>
        <w:autoSpaceDE w:val="0"/>
        <w:autoSpaceDN w:val="0"/>
        <w:adjustRightInd w:val="0"/>
        <w:spacing w:after="120"/>
        <w:rPr>
          <w:szCs w:val="22"/>
        </w:rPr>
      </w:pPr>
      <w:r w:rsidRPr="009A6574">
        <w:rPr>
          <w:szCs w:val="22"/>
        </w:rPr>
        <w:t>Filings sent by U.S. Postal Service First-Class Mail, Priority Mail, and Priority Mail Express must be sent to 45 L Street NE, Washington, DC 20554.</w:t>
      </w:r>
    </w:p>
    <w:p w:rsidR="009A6574" w:rsidRPr="009A6574" w:rsidP="009A6574" w14:paraId="5E577A04" w14:textId="691C916E">
      <w:pPr>
        <w:autoSpaceDE w:val="0"/>
        <w:autoSpaceDN w:val="0"/>
        <w:adjustRightInd w:val="0"/>
        <w:spacing w:after="120"/>
        <w:ind w:firstLine="720"/>
        <w:rPr>
          <w:szCs w:val="22"/>
        </w:rPr>
      </w:pPr>
      <w:r w:rsidRPr="009A6574">
        <w:rPr>
          <w:szCs w:val="22"/>
        </w:rPr>
        <w:t xml:space="preserve">People with Disabilities:  To request materials in accessible formats for people with disabilities (braille, large print, electronic files, audio format), send an e-mail to </w:t>
      </w:r>
      <w:hyperlink r:id="rId7" w:history="1">
        <w:r w:rsidRPr="009A6574">
          <w:rPr>
            <w:color w:val="0000FF"/>
            <w:szCs w:val="22"/>
            <w:u w:val="single"/>
          </w:rPr>
          <w:t>fcc504@fcc.gov</w:t>
        </w:r>
      </w:hyperlink>
      <w:r w:rsidRPr="009A6574">
        <w:rPr>
          <w:szCs w:val="22"/>
        </w:rPr>
        <w:t xml:space="preserve"> or call the Consumer &amp; Governmental Affairs Bureau at 202-418-0530.</w:t>
      </w:r>
    </w:p>
    <w:p w:rsidR="009A6574" w:rsidRPr="009A6574" w:rsidP="009A6574" w14:paraId="5CF0E3A3" w14:textId="77777777">
      <w:pPr>
        <w:autoSpaceDE w:val="0"/>
        <w:autoSpaceDN w:val="0"/>
        <w:adjustRightInd w:val="0"/>
        <w:spacing w:after="120"/>
        <w:ind w:firstLine="720"/>
        <w:rPr>
          <w:b/>
          <w:szCs w:val="22"/>
        </w:rPr>
      </w:pPr>
      <w:r w:rsidRPr="009A6574">
        <w:rPr>
          <w:b/>
          <w:szCs w:val="22"/>
        </w:rPr>
        <w:t>In addition, e-mail one copy of each pleading to each of the following:</w:t>
      </w:r>
    </w:p>
    <w:p w:rsidR="00A2759C" w:rsidRPr="00A2759C" w:rsidP="009A6574" w14:paraId="637701D3" w14:textId="6B69EDA0">
      <w:pPr>
        <w:numPr>
          <w:ilvl w:val="0"/>
          <w:numId w:val="7"/>
        </w:numPr>
        <w:autoSpaceDE w:val="0"/>
        <w:autoSpaceDN w:val="0"/>
        <w:adjustRightInd w:val="0"/>
        <w:spacing w:after="120"/>
        <w:rPr>
          <w:szCs w:val="22"/>
        </w:rPr>
      </w:pPr>
      <w:bookmarkStart w:id="6" w:name="_Hlk184675228"/>
      <w:r w:rsidRPr="00A2759C">
        <w:rPr>
          <w:szCs w:val="22"/>
        </w:rPr>
        <w:t>Megan Danner</w:t>
      </w:r>
      <w:bookmarkEnd w:id="6"/>
      <w:r w:rsidRPr="00A2759C">
        <w:rPr>
          <w:szCs w:val="22"/>
        </w:rPr>
        <w:t xml:space="preserve">, Competition Policy Division, Wireline Competition Bureau, </w:t>
      </w:r>
      <w:bookmarkStart w:id="7" w:name="_Hlk176882534"/>
      <w:hyperlink r:id="rId8" w:history="1">
        <w:r w:rsidRPr="00A2759C">
          <w:rPr>
            <w:rStyle w:val="Hyperlink"/>
            <w:szCs w:val="22"/>
          </w:rPr>
          <w:t>megan.danner@fcc.gov</w:t>
        </w:r>
        <w:bookmarkEnd w:id="7"/>
      </w:hyperlink>
      <w:r w:rsidR="0065171E">
        <w:t xml:space="preserve">; </w:t>
      </w:r>
    </w:p>
    <w:p w:rsidR="009730D0" w:rsidP="009A6574" w14:paraId="70307CDE" w14:textId="5723B92C">
      <w:pPr>
        <w:numPr>
          <w:ilvl w:val="0"/>
          <w:numId w:val="7"/>
        </w:numPr>
        <w:autoSpaceDE w:val="0"/>
        <w:autoSpaceDN w:val="0"/>
        <w:adjustRightInd w:val="0"/>
        <w:spacing w:after="120"/>
        <w:rPr>
          <w:szCs w:val="22"/>
        </w:rPr>
      </w:pPr>
      <w:r>
        <w:t xml:space="preserve"> </w:t>
      </w:r>
      <w:r w:rsidR="008A41E3">
        <w:t>Karen Johnson</w:t>
      </w:r>
      <w:r w:rsidRPr="00A2759C" w:rsidR="00A2759C">
        <w:t xml:space="preserve">, Office of International Affairs, </w:t>
      </w:r>
      <w:hyperlink r:id="rId9" w:history="1">
        <w:r w:rsidRPr="0042124E" w:rsidR="008A41E3">
          <w:rPr>
            <w:rStyle w:val="Hyperlink"/>
          </w:rPr>
          <w:t>karen.johnson@fcc.gov</w:t>
        </w:r>
      </w:hyperlink>
      <w:r w:rsidRPr="00A2759C" w:rsidR="00A2759C">
        <w:t>; and</w:t>
      </w:r>
    </w:p>
    <w:p w:rsidR="009A6574" w:rsidRPr="009A6574" w:rsidP="009A6574" w14:paraId="2FE2597B" w14:textId="481BDE6B">
      <w:pPr>
        <w:numPr>
          <w:ilvl w:val="0"/>
          <w:numId w:val="7"/>
        </w:numPr>
        <w:autoSpaceDE w:val="0"/>
        <w:autoSpaceDN w:val="0"/>
        <w:adjustRightInd w:val="0"/>
        <w:spacing w:after="120"/>
        <w:rPr>
          <w:szCs w:val="22"/>
        </w:rPr>
      </w:pPr>
      <w:r w:rsidRPr="009A6574">
        <w:rPr>
          <w:szCs w:val="22"/>
        </w:rPr>
        <w:t xml:space="preserve">Jim Bird, Office of General Counsel, </w:t>
      </w:r>
      <w:hyperlink r:id="rId10">
        <w:r w:rsidRPr="009A6574">
          <w:rPr>
            <w:color w:val="0000FF"/>
            <w:szCs w:val="22"/>
            <w:u w:val="single"/>
          </w:rPr>
          <w:t>jim.bird@fcc.gov</w:t>
        </w:r>
      </w:hyperlink>
      <w:r w:rsidRPr="009A6574">
        <w:rPr>
          <w:szCs w:val="22"/>
        </w:rPr>
        <w:t>.</w:t>
      </w:r>
    </w:p>
    <w:p w:rsidR="009A6574" w:rsidRPr="009A6574" w:rsidP="009A6574" w14:paraId="198F9030" w14:textId="77777777">
      <w:pPr>
        <w:autoSpaceDE w:val="0"/>
        <w:autoSpaceDN w:val="0"/>
        <w:adjustRightInd w:val="0"/>
        <w:spacing w:after="120"/>
        <w:ind w:firstLine="720"/>
        <w:rPr>
          <w:szCs w:val="22"/>
        </w:rPr>
      </w:pPr>
      <w:r w:rsidRPr="009A6574">
        <w:rPr>
          <w:szCs w:val="22"/>
        </w:rPr>
        <w:t xml:space="preserve">The proceeding in this Notice shall be treated as a “permit-but-disclose” proceeding in accordance with the Commission’s </w:t>
      </w:r>
      <w:r w:rsidRPr="009A6574">
        <w:rPr>
          <w:i/>
          <w:szCs w:val="22"/>
        </w:rPr>
        <w:t xml:space="preserve">ex </w:t>
      </w:r>
      <w:r w:rsidRPr="009A6574">
        <w:rPr>
          <w:i/>
          <w:szCs w:val="22"/>
        </w:rPr>
        <w:t>parte</w:t>
      </w:r>
      <w:r w:rsidRPr="009A6574">
        <w:rPr>
          <w:szCs w:val="22"/>
        </w:rPr>
        <w:t xml:space="preserve"> rules.  Persons making </w:t>
      </w:r>
      <w:r w:rsidRPr="009A6574">
        <w:rPr>
          <w:i/>
          <w:szCs w:val="22"/>
        </w:rPr>
        <w:t xml:space="preserve">ex </w:t>
      </w:r>
      <w:r w:rsidRPr="009A6574">
        <w:rPr>
          <w:i/>
          <w:szCs w:val="22"/>
        </w:rPr>
        <w:t>parte</w:t>
      </w:r>
      <w:r w:rsidRPr="009A6574">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9A6574">
        <w:rPr>
          <w:i/>
          <w:szCs w:val="22"/>
        </w:rPr>
        <w:t xml:space="preserve">ex </w:t>
      </w:r>
      <w:r w:rsidRPr="009A6574">
        <w:rPr>
          <w:i/>
          <w:szCs w:val="22"/>
        </w:rPr>
        <w:t>parte</w:t>
      </w:r>
      <w:r w:rsidRPr="009A6574">
        <w:rPr>
          <w:szCs w:val="22"/>
        </w:rPr>
        <w:t xml:space="preserve"> presentations are reminded that memoranda summarizing the presentation must (1) list all persons attending or otherwise participating in the meeting at which the </w:t>
      </w:r>
      <w:r w:rsidRPr="009A6574">
        <w:rPr>
          <w:i/>
          <w:szCs w:val="22"/>
        </w:rPr>
        <w:t xml:space="preserve">ex </w:t>
      </w:r>
      <w:r w:rsidRPr="009A6574">
        <w:rPr>
          <w:i/>
          <w:szCs w:val="22"/>
        </w:rPr>
        <w:t>parte</w:t>
      </w:r>
      <w:r w:rsidRPr="009A6574">
        <w:rPr>
          <w:szCs w:val="22"/>
        </w:rPr>
        <w:t xml:space="preserve"> presentation was made, and (2) summarize all data presented and arguments made during the presentation.  If the presentation consisted in whole or in part of the presentation of data or arguments already reflected in the </w:t>
      </w:r>
      <w:r w:rsidRPr="009A6574">
        <w:rPr>
          <w:szCs w:val="22"/>
        </w:rPr>
        <w:t xml:space="preserve">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9A6574">
        <w:rPr>
          <w:i/>
          <w:szCs w:val="22"/>
        </w:rPr>
        <w:t xml:space="preserve">ex </w:t>
      </w:r>
      <w:r w:rsidRPr="009A6574">
        <w:rPr>
          <w:i/>
          <w:szCs w:val="22"/>
        </w:rPr>
        <w:t>parte</w:t>
      </w:r>
      <w:r w:rsidRPr="009A6574">
        <w:rPr>
          <w:szCs w:val="22"/>
        </w:rPr>
        <w:t xml:space="preserve"> meetings are deemed to be written </w:t>
      </w:r>
      <w:r w:rsidRPr="009A6574">
        <w:rPr>
          <w:i/>
          <w:szCs w:val="22"/>
        </w:rPr>
        <w:t xml:space="preserve">ex </w:t>
      </w:r>
      <w:r w:rsidRPr="009A6574">
        <w:rPr>
          <w:i/>
          <w:szCs w:val="22"/>
        </w:rPr>
        <w:t>parte</w:t>
      </w:r>
      <w:r w:rsidRPr="009A6574">
        <w:rPr>
          <w:szCs w:val="22"/>
        </w:rPr>
        <w:t xml:space="preserve"> presentations and must be filed consistent with rule 1.1206(b), 47 CFR § 1.1206(b).  Participants in this proceeding should familiarize themselves with the Commission’s </w:t>
      </w:r>
      <w:r w:rsidRPr="009A6574">
        <w:rPr>
          <w:i/>
          <w:szCs w:val="22"/>
        </w:rPr>
        <w:t xml:space="preserve">ex </w:t>
      </w:r>
      <w:r w:rsidRPr="009A6574">
        <w:rPr>
          <w:i/>
          <w:szCs w:val="22"/>
        </w:rPr>
        <w:t>parte</w:t>
      </w:r>
      <w:r w:rsidRPr="009A6574">
        <w:rPr>
          <w:szCs w:val="22"/>
        </w:rPr>
        <w:t xml:space="preserve"> rules.</w:t>
      </w:r>
    </w:p>
    <w:p w:rsidR="00C46195" w:rsidP="00FA1BB4" w14:paraId="41669F2A" w14:textId="77777777">
      <w:pPr>
        <w:autoSpaceDE w:val="0"/>
        <w:autoSpaceDN w:val="0"/>
        <w:adjustRightInd w:val="0"/>
        <w:spacing w:after="120"/>
        <w:ind w:firstLine="720"/>
        <w:rPr>
          <w:szCs w:val="22"/>
        </w:rPr>
      </w:pPr>
      <w:r w:rsidRPr="009A6574">
        <w:rPr>
          <w:szCs w:val="22"/>
        </w:rPr>
        <w:t xml:space="preserve">To allow the Commission to consider fully all substantive issues regarding the </w:t>
      </w:r>
      <w:r w:rsidR="00272E2F">
        <w:rPr>
          <w:szCs w:val="22"/>
        </w:rPr>
        <w:t>A</w:t>
      </w:r>
      <w:r w:rsidRPr="009A6574">
        <w:rPr>
          <w:szCs w:val="22"/>
        </w:rPr>
        <w:t>pplication in as timely and efficient a manner as possible, petitioners and commenters should raise all issues in their initial filings.  New issues may not be raised in responses or replies.</w:t>
      </w:r>
      <w:r>
        <w:rPr>
          <w:szCs w:val="22"/>
          <w:vertAlign w:val="superscript"/>
        </w:rPr>
        <w:footnoteReference w:id="24"/>
      </w:r>
      <w:r w:rsidRPr="009A6574">
        <w:rPr>
          <w:szCs w:val="22"/>
        </w:rPr>
        <w:t xml:space="preserve">  A party or interested person seeking to raise a new issue after the pleading cycle has closed must show good cause why it was not possible for it to have raised the issue previously.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w:t>
      </w:r>
      <w:r w:rsidR="000E1B9C">
        <w:rPr>
          <w:szCs w:val="22"/>
        </w:rPr>
        <w:t xml:space="preserve">  </w:t>
      </w:r>
    </w:p>
    <w:p w:rsidR="007B768E" w:rsidP="00FA1BB4" w14:paraId="0BE93553" w14:textId="4C786279">
      <w:pPr>
        <w:autoSpaceDE w:val="0"/>
        <w:autoSpaceDN w:val="0"/>
        <w:adjustRightInd w:val="0"/>
        <w:spacing w:after="120"/>
        <w:ind w:firstLine="720"/>
      </w:pPr>
      <w:r w:rsidRPr="009A6574">
        <w:rPr>
          <w:szCs w:val="22"/>
        </w:rPr>
        <w:t xml:space="preserve">For further information, please contact </w:t>
      </w:r>
      <w:bookmarkStart w:id="8" w:name="_Hlk184675186"/>
      <w:r w:rsidRPr="00A2759C" w:rsidR="00A2759C">
        <w:rPr>
          <w:szCs w:val="22"/>
        </w:rPr>
        <w:t>Megan Danner</w:t>
      </w:r>
      <w:bookmarkEnd w:id="8"/>
      <w:r w:rsidRPr="009A6574">
        <w:rPr>
          <w:szCs w:val="22"/>
        </w:rPr>
        <w:t xml:space="preserve">, Competition Policy Division, Wireline Competition Bureau, at </w:t>
      </w:r>
      <w:bookmarkStart w:id="9" w:name="_Hlk184674953"/>
      <w:r w:rsidRPr="00A2759C" w:rsidR="00A2759C">
        <w:t>(202) 418-1151</w:t>
      </w:r>
      <w:bookmarkEnd w:id="9"/>
      <w:r w:rsidR="00D86188">
        <w:t>.</w:t>
      </w:r>
    </w:p>
    <w:p w:rsidR="00B317F7" w:rsidP="00FA1BB4" w14:paraId="472E584F" w14:textId="77777777">
      <w:pPr>
        <w:autoSpaceDE w:val="0"/>
        <w:autoSpaceDN w:val="0"/>
        <w:adjustRightInd w:val="0"/>
        <w:spacing w:after="120"/>
        <w:ind w:firstLine="720"/>
      </w:pPr>
    </w:p>
    <w:p w:rsidR="00B317F7" w:rsidRPr="009A6574" w:rsidP="00FA1BB4" w14:paraId="5D38E2F6" w14:textId="77777777">
      <w:pPr>
        <w:autoSpaceDE w:val="0"/>
        <w:autoSpaceDN w:val="0"/>
        <w:adjustRightInd w:val="0"/>
        <w:spacing w:after="120"/>
        <w:ind w:firstLine="720"/>
        <w:rPr>
          <w:szCs w:val="22"/>
        </w:rPr>
      </w:pPr>
    </w:p>
    <w:p w:rsidR="009A6574" w:rsidRPr="00100CF5" w:rsidP="00100CF5" w14:paraId="0EF7F7CD" w14:textId="56E745C8">
      <w:pPr>
        <w:autoSpaceDE w:val="0"/>
        <w:autoSpaceDN w:val="0"/>
        <w:adjustRightInd w:val="0"/>
        <w:jc w:val="center"/>
        <w:rPr>
          <w:color w:val="000000"/>
          <w:szCs w:val="22"/>
        </w:rPr>
      </w:pPr>
      <w:r w:rsidRPr="009A6574">
        <w:rPr>
          <w:b/>
          <w:szCs w:val="22"/>
        </w:rPr>
        <w:t>-FCC-</w:t>
      </w:r>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67F75" w14:paraId="7CD103E8" w14:textId="77777777">
      <w:pPr>
        <w:spacing w:line="20" w:lineRule="exact"/>
      </w:pPr>
    </w:p>
  </w:endnote>
  <w:endnote w:type="continuationSeparator" w:id="1">
    <w:p w:rsidR="00767F75" w14:paraId="1E7C7A74" w14:textId="77777777">
      <w:r>
        <w:t xml:space="preserve"> </w:t>
      </w:r>
    </w:p>
  </w:endnote>
  <w:endnote w:type="continuationNotice" w:id="2">
    <w:p w:rsidR="00767F75" w14:paraId="4837677C"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F7D93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6556FC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D5708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DB919B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67F75" w14:paraId="129C4143" w14:textId="77777777">
      <w:r>
        <w:separator/>
      </w:r>
    </w:p>
  </w:footnote>
  <w:footnote w:type="continuationSeparator" w:id="1">
    <w:p w:rsidR="00767F75" w14:paraId="4CA13925" w14:textId="77777777">
      <w:pPr>
        <w:rPr>
          <w:sz w:val="20"/>
        </w:rPr>
      </w:pPr>
      <w:r>
        <w:rPr>
          <w:sz w:val="20"/>
        </w:rPr>
        <w:t xml:space="preserve">(Continued from previous page)  </w:t>
      </w:r>
      <w:r>
        <w:rPr>
          <w:sz w:val="20"/>
        </w:rPr>
        <w:separator/>
      </w:r>
    </w:p>
  </w:footnote>
  <w:footnote w:type="continuationNotice" w:id="2">
    <w:p w:rsidR="00767F75" w14:paraId="667A364A" w14:textId="77777777">
      <w:pPr>
        <w:jc w:val="right"/>
        <w:rPr>
          <w:sz w:val="20"/>
        </w:rPr>
      </w:pPr>
      <w:r>
        <w:rPr>
          <w:sz w:val="20"/>
        </w:rPr>
        <w:t>(continued….)</w:t>
      </w:r>
    </w:p>
  </w:footnote>
  <w:footnote w:id="3">
    <w:p w:rsidR="00087ED8" w:rsidRPr="005240CD" w:rsidP="00087ED8" w14:paraId="6CA89F55" w14:textId="38556F75">
      <w:pPr>
        <w:pStyle w:val="FootnoteText"/>
      </w:pPr>
      <w:r w:rsidRPr="005240CD">
        <w:rPr>
          <w:rStyle w:val="FootnoteReference"/>
          <w:sz w:val="20"/>
        </w:rPr>
        <w:footnoteRef/>
      </w:r>
      <w:r w:rsidRPr="005240CD">
        <w:t xml:space="preserve"> </w:t>
      </w:r>
      <w:r w:rsidRPr="005240CD">
        <w:rPr>
          <w:i/>
        </w:rPr>
        <w:t>See</w:t>
      </w:r>
      <w:r w:rsidRPr="005240CD">
        <w:t xml:space="preserve"> 47 U.S.C. § 214(a); 47 CFR § 63.</w:t>
      </w:r>
      <w:r w:rsidR="00624C75">
        <w:t>04</w:t>
      </w:r>
      <w:r w:rsidRPr="005240CD">
        <w:t>.</w:t>
      </w:r>
    </w:p>
  </w:footnote>
  <w:footnote w:id="4">
    <w:p w:rsidR="00E62AC9" w:rsidRPr="00152875" w:rsidP="00E62AC9" w14:paraId="75A29BE3" w14:textId="4EE39B8D">
      <w:pPr>
        <w:pStyle w:val="FootnoteText"/>
      </w:pPr>
      <w:r w:rsidRPr="00152875">
        <w:rPr>
          <w:rStyle w:val="FootnoteReference"/>
          <w:sz w:val="20"/>
        </w:rPr>
        <w:footnoteRef/>
      </w:r>
      <w:r w:rsidRPr="00152875">
        <w:t xml:space="preserve"> Domestic Section 214 Application for the </w:t>
      </w:r>
      <w:bookmarkStart w:id="3" w:name="_Hlk193461235"/>
      <w:r w:rsidRPr="00152875">
        <w:t xml:space="preserve">Transfer of Control of </w:t>
      </w:r>
      <w:bookmarkStart w:id="4" w:name="_Hlk207797656"/>
      <w:r w:rsidR="002903BF">
        <w:t xml:space="preserve">CCI Network Services, LLC from </w:t>
      </w:r>
      <w:r w:rsidRPr="00E62AC9">
        <w:t>Network Services Holdings, L</w:t>
      </w:r>
      <w:r>
        <w:t>LC</w:t>
      </w:r>
      <w:r w:rsidRPr="00E62AC9">
        <w:t xml:space="preserve"> </w:t>
      </w:r>
      <w:r>
        <w:t>t</w:t>
      </w:r>
      <w:r w:rsidRPr="00E62AC9">
        <w:t xml:space="preserve">o </w:t>
      </w:r>
      <w:r w:rsidRPr="00E62AC9">
        <w:t>App</w:t>
      </w:r>
      <w:r>
        <w:t>S</w:t>
      </w:r>
      <w:r w:rsidRPr="00E62AC9">
        <w:t>mart</w:t>
      </w:r>
      <w:r w:rsidRPr="00E62AC9">
        <w:t xml:space="preserve"> T</w:t>
      </w:r>
      <w:r>
        <w:t>GN</w:t>
      </w:r>
      <w:r w:rsidRPr="00E62AC9">
        <w:t>, Inc</w:t>
      </w:r>
      <w:r w:rsidRPr="00152875">
        <w:t>.</w:t>
      </w:r>
      <w:bookmarkEnd w:id="4"/>
      <w:r w:rsidRPr="00152875">
        <w:t xml:space="preserve">, </w:t>
      </w:r>
      <w:bookmarkEnd w:id="3"/>
      <w:r w:rsidRPr="00152875">
        <w:t>WC Docket No. 25-</w:t>
      </w:r>
      <w:r>
        <w:t>343</w:t>
      </w:r>
      <w:r w:rsidRPr="00152875">
        <w:t xml:space="preserve"> (filed </w:t>
      </w:r>
      <w:r>
        <w:t>Dec</w:t>
      </w:r>
      <w:r w:rsidRPr="00152875">
        <w:t xml:space="preserve">. </w:t>
      </w:r>
      <w:r>
        <w:t>8</w:t>
      </w:r>
      <w:r w:rsidRPr="00152875">
        <w:t>, 2025) (Application)</w:t>
      </w:r>
      <w:r>
        <w:t>.</w:t>
      </w:r>
      <w:r>
        <w:rPr>
          <w:snapToGrid w:val="0"/>
          <w:kern w:val="28"/>
        </w:rPr>
        <w:t xml:space="preserve">  </w:t>
      </w:r>
      <w:r w:rsidRPr="00B96C67">
        <w:t>Applicants are also filing applications for the transfer of international authorizations.</w:t>
      </w:r>
      <w:r>
        <w:t xml:space="preserve">  </w:t>
      </w:r>
      <w:r w:rsidRPr="00152875">
        <w:t>Any action on the Application is without prejudice to Commission action on other related, pending applications.</w:t>
      </w:r>
    </w:p>
  </w:footnote>
  <w:footnote w:id="5">
    <w:p w:rsidR="00670A9E" w:rsidP="00670A9E" w14:paraId="325C773E" w14:textId="77777777">
      <w:pPr>
        <w:pStyle w:val="FootnoteText"/>
      </w:pPr>
      <w:r>
        <w:rPr>
          <w:rStyle w:val="FootnoteReference"/>
        </w:rPr>
        <w:footnoteRef/>
      </w:r>
      <w:r>
        <w:t xml:space="preserve"> Application at 2.</w:t>
      </w:r>
    </w:p>
  </w:footnote>
  <w:footnote w:id="6">
    <w:p w:rsidR="00670A9E" w:rsidRPr="00670A9E" w14:paraId="12F3BBA7" w14:textId="7FA42074">
      <w:pPr>
        <w:pStyle w:val="FootnoteText"/>
      </w:pPr>
      <w:r>
        <w:rPr>
          <w:rStyle w:val="FootnoteReference"/>
        </w:rPr>
        <w:footnoteRef/>
      </w:r>
      <w:r>
        <w:t xml:space="preserve"> </w:t>
      </w:r>
      <w:r>
        <w:rPr>
          <w:i/>
          <w:iCs/>
        </w:rPr>
        <w:t>Id</w:t>
      </w:r>
      <w:r>
        <w:t xml:space="preserve">. </w:t>
      </w:r>
    </w:p>
  </w:footnote>
  <w:footnote w:id="7">
    <w:p w:rsidR="00670A9E" w:rsidRPr="00670A9E" w14:paraId="435EF765" w14:textId="39B52F1D">
      <w:pPr>
        <w:pStyle w:val="FootnoteText"/>
        <w:rPr>
          <w:i/>
          <w:iCs/>
        </w:rPr>
      </w:pPr>
      <w:r>
        <w:rPr>
          <w:rStyle w:val="FootnoteReference"/>
        </w:rPr>
        <w:footnoteRef/>
      </w:r>
      <w:r>
        <w:t xml:space="preserve"> </w:t>
      </w:r>
      <w:r>
        <w:rPr>
          <w:i/>
          <w:iCs/>
        </w:rPr>
        <w:t>Id</w:t>
      </w:r>
      <w:r>
        <w:t>.</w:t>
      </w:r>
      <w:r>
        <w:rPr>
          <w:i/>
          <w:iCs/>
        </w:rPr>
        <w:t xml:space="preserve">  </w:t>
      </w:r>
    </w:p>
  </w:footnote>
  <w:footnote w:id="8">
    <w:p w:rsidR="00D95721" w:rsidRPr="00DC48E5" w:rsidP="00D95721" w14:paraId="177863A9" w14:textId="200B81CF">
      <w:pPr>
        <w:pStyle w:val="FootnoteText"/>
      </w:pPr>
      <w:r>
        <w:rPr>
          <w:rStyle w:val="FootnoteReference"/>
        </w:rPr>
        <w:footnoteRef/>
      </w:r>
      <w:r>
        <w:t xml:space="preserve"> </w:t>
      </w:r>
      <w:r>
        <w:rPr>
          <w:i/>
          <w:iCs/>
        </w:rPr>
        <w:t>Id</w:t>
      </w:r>
      <w:r>
        <w:t>.</w:t>
      </w:r>
    </w:p>
  </w:footnote>
  <w:footnote w:id="9">
    <w:p w:rsidR="00D95721" w:rsidRPr="000E6E97" w:rsidP="007476E0" w14:paraId="009411A8" w14:textId="3C371350">
      <w:pPr>
        <w:pStyle w:val="FootnoteText"/>
      </w:pPr>
      <w:r>
        <w:rPr>
          <w:rStyle w:val="FootnoteReference"/>
        </w:rPr>
        <w:footnoteRef/>
      </w:r>
      <w:r>
        <w:t xml:space="preserve"> </w:t>
      </w:r>
      <w:r>
        <w:rPr>
          <w:i/>
          <w:iCs/>
        </w:rPr>
        <w:t>Id</w:t>
      </w:r>
      <w:r>
        <w:t xml:space="preserve">. </w:t>
      </w:r>
    </w:p>
  </w:footnote>
  <w:footnote w:id="10">
    <w:p w:rsidR="008628B1" w:rsidRPr="00EF71F1" w14:paraId="1E75FCF7" w14:textId="5C3B0A77">
      <w:pPr>
        <w:pStyle w:val="FootnoteText"/>
      </w:pPr>
      <w:r>
        <w:rPr>
          <w:rStyle w:val="FootnoteReference"/>
        </w:rPr>
        <w:footnoteRef/>
      </w:r>
      <w:r>
        <w:t xml:space="preserve"> </w:t>
      </w:r>
      <w:r w:rsidR="00EF71F1">
        <w:rPr>
          <w:i/>
          <w:iCs/>
        </w:rPr>
        <w:t>Id</w:t>
      </w:r>
      <w:r w:rsidR="00EF71F1">
        <w:t xml:space="preserve">. </w:t>
      </w:r>
      <w:r w:rsidR="00AA5DF0">
        <w:t>at 10-11.</w:t>
      </w:r>
    </w:p>
  </w:footnote>
  <w:footnote w:id="11">
    <w:p w:rsidR="005C04DA" w:rsidRPr="008962DE" w:rsidP="008962DE" w14:paraId="3370B422" w14:textId="4F488E13">
      <w:pPr>
        <w:pStyle w:val="FootnoteText"/>
      </w:pPr>
      <w:r w:rsidRPr="008962DE">
        <w:rPr>
          <w:rStyle w:val="FootnoteReference"/>
          <w:sz w:val="20"/>
        </w:rPr>
        <w:footnoteRef/>
      </w:r>
      <w:r w:rsidRPr="008962DE">
        <w:t xml:space="preserve"> </w:t>
      </w:r>
      <w:r w:rsidR="008962DE">
        <w:t xml:space="preserve">Post-Transaction Ownership of Licensees, </w:t>
      </w:r>
      <w:r w:rsidR="008962DE">
        <w:t>Exh</w:t>
      </w:r>
      <w:r w:rsidR="008962DE">
        <w:t>.</w:t>
      </w:r>
      <w:r w:rsidR="00D85EAC">
        <w:t xml:space="preserve"> </w:t>
      </w:r>
      <w:r w:rsidR="008962DE">
        <w:t xml:space="preserve">B. to Application, at 2; </w:t>
      </w:r>
      <w:r w:rsidRPr="008962DE" w:rsidR="008962DE">
        <w:t>Post-</w:t>
      </w:r>
      <w:r w:rsidR="008962DE">
        <w:t>Closing Ownership Structure</w:t>
      </w:r>
      <w:r w:rsidRPr="008962DE" w:rsidR="008962DE">
        <w:t xml:space="preserve">, </w:t>
      </w:r>
      <w:r w:rsidRPr="008962DE" w:rsidR="008962DE">
        <w:t>Exh.</w:t>
      </w:r>
      <w:r w:rsidR="008962DE">
        <w:t>A</w:t>
      </w:r>
      <w:r w:rsidRPr="008962DE" w:rsidR="008962DE">
        <w:t>. to Application, at 2</w:t>
      </w:r>
      <w:r w:rsidR="008962DE">
        <w:t>.</w:t>
      </w:r>
    </w:p>
  </w:footnote>
  <w:footnote w:id="12">
    <w:p w:rsidR="00591E8B" w:rsidRPr="008962DE" w14:paraId="5E6580B3" w14:textId="509312E2">
      <w:pPr>
        <w:pStyle w:val="FootnoteText"/>
      </w:pPr>
      <w:r w:rsidRPr="008962DE">
        <w:rPr>
          <w:rStyle w:val="FootnoteReference"/>
          <w:sz w:val="20"/>
        </w:rPr>
        <w:footnoteRef/>
      </w:r>
      <w:r w:rsidR="00EF71F1">
        <w:t xml:space="preserve"> Application</w:t>
      </w:r>
      <w:r w:rsidRPr="008962DE">
        <w:t xml:space="preserve"> at 3. </w:t>
      </w:r>
    </w:p>
  </w:footnote>
  <w:footnote w:id="13">
    <w:p w:rsidR="00D95721" w:rsidRPr="008962DE" w:rsidP="00D95721" w14:paraId="51C38D0F" w14:textId="77777777">
      <w:pPr>
        <w:pStyle w:val="FootnoteText"/>
      </w:pPr>
      <w:r w:rsidRPr="008962DE">
        <w:rPr>
          <w:rStyle w:val="FootnoteReference"/>
          <w:sz w:val="20"/>
        </w:rPr>
        <w:footnoteRef/>
      </w:r>
      <w:r w:rsidRPr="008962DE">
        <w:t xml:space="preserve"> </w:t>
      </w:r>
      <w:r w:rsidRPr="008962DE">
        <w:rPr>
          <w:i/>
          <w:iCs/>
        </w:rPr>
        <w:t>Id</w:t>
      </w:r>
      <w:r w:rsidRPr="008962DE">
        <w:t>.</w:t>
      </w:r>
    </w:p>
  </w:footnote>
  <w:footnote w:id="14">
    <w:p w:rsidR="00D95721" w:rsidRPr="00C631C5" w:rsidP="00D95721" w14:paraId="56074793" w14:textId="77777777">
      <w:pPr>
        <w:pStyle w:val="FootnoteText"/>
      </w:pPr>
      <w:r w:rsidRPr="008962DE">
        <w:rPr>
          <w:rStyle w:val="FootnoteReference"/>
          <w:sz w:val="20"/>
        </w:rPr>
        <w:footnoteRef/>
      </w:r>
      <w:r w:rsidRPr="008962DE">
        <w:t xml:space="preserve"> </w:t>
      </w:r>
      <w:r w:rsidRPr="008962DE">
        <w:rPr>
          <w:i/>
          <w:iCs/>
        </w:rPr>
        <w:t>Id</w:t>
      </w:r>
      <w:r w:rsidRPr="008962DE">
        <w:t>.</w:t>
      </w:r>
      <w:r>
        <w:t xml:space="preserve"> </w:t>
      </w:r>
    </w:p>
  </w:footnote>
  <w:footnote w:id="15">
    <w:p w:rsidR="00DC368C" w:rsidRPr="00DC368C" w14:paraId="640A5F18" w14:textId="0EECF305">
      <w:pPr>
        <w:pStyle w:val="FootnoteText"/>
        <w:rPr>
          <w:iCs/>
        </w:rPr>
      </w:pPr>
      <w:r>
        <w:rPr>
          <w:rStyle w:val="FootnoteReference"/>
        </w:rPr>
        <w:footnoteRef/>
      </w:r>
      <w:r>
        <w:t xml:space="preserve"> </w:t>
      </w:r>
      <w:r>
        <w:rPr>
          <w:i/>
          <w:iCs/>
        </w:rPr>
        <w:t>Id</w:t>
      </w:r>
      <w:r>
        <w:rPr>
          <w:iCs/>
        </w:rPr>
        <w:t>. at 3-5.</w:t>
      </w:r>
    </w:p>
  </w:footnote>
  <w:footnote w:id="16">
    <w:p w:rsidR="00D95721" w:rsidP="00D95721" w14:paraId="0735A49D" w14:textId="0E82A4FC">
      <w:pPr>
        <w:pStyle w:val="FootnoteText"/>
      </w:pPr>
      <w:r>
        <w:rPr>
          <w:rStyle w:val="FootnoteReference"/>
        </w:rPr>
        <w:footnoteRef/>
      </w:r>
      <w:r>
        <w:t xml:space="preserve"> </w:t>
      </w:r>
      <w:bookmarkStart w:id="5" w:name="_Hlk98844830"/>
      <w:r>
        <w:rPr>
          <w:i/>
          <w:iCs/>
        </w:rPr>
        <w:t>Id</w:t>
      </w:r>
      <w:r>
        <w:t xml:space="preserve">. at </w:t>
      </w:r>
      <w:r w:rsidR="00DC368C">
        <w:t>11</w:t>
      </w:r>
      <w:r w:rsidRPr="00DB5B57">
        <w:t>.</w:t>
      </w:r>
      <w:bookmarkEnd w:id="5"/>
    </w:p>
  </w:footnote>
  <w:footnote w:id="17">
    <w:p w:rsidR="00D95721" w:rsidRPr="00210404" w:rsidP="00D95721" w14:paraId="2FF8DA33" w14:textId="77777777">
      <w:pPr>
        <w:pStyle w:val="FootnoteText"/>
      </w:pPr>
      <w:r w:rsidRPr="00210404">
        <w:rPr>
          <w:rStyle w:val="FootnoteReference"/>
        </w:rPr>
        <w:footnoteRef/>
      </w:r>
      <w:r w:rsidRPr="00210404">
        <w:t xml:space="preserve"> </w:t>
      </w:r>
      <w:r w:rsidRPr="00210404">
        <w:rPr>
          <w:color w:val="020100"/>
        </w:rPr>
        <w:t>47 CFR § 63.03(c)(1)(v).</w:t>
      </w:r>
    </w:p>
  </w:footnote>
  <w:footnote w:id="18">
    <w:p w:rsidR="00D95721" w:rsidRPr="00DF7EFA" w:rsidP="00D95721" w14:paraId="78D7B515" w14:textId="77777777">
      <w:pPr>
        <w:pStyle w:val="FootnoteText"/>
      </w:pPr>
      <w:r w:rsidRPr="00D52FE6">
        <w:rPr>
          <w:rStyle w:val="FootnoteReference"/>
          <w:rFonts w:eastAsia="Yu Gothic Light"/>
        </w:rPr>
        <w:footnoteRef/>
      </w:r>
      <w:r w:rsidRPr="00A87953">
        <w:t xml:space="preserve"> </w:t>
      </w:r>
      <w:r w:rsidRPr="00DF7EFA">
        <w:rPr>
          <w:i/>
          <w:iCs/>
        </w:rPr>
        <w:t>Process Reform for Executive Branch Review of Certain FCC Applications and Petitions Involving Foreign Ownership</w:t>
      </w:r>
      <w:r w:rsidRPr="00DF7EFA">
        <w:t xml:space="preserve">, IB Docket No. 16-155, Report and Order, 35 FCC </w:t>
      </w:r>
      <w:r w:rsidRPr="00DF7EFA">
        <w:t>Rcd</w:t>
      </w:r>
      <w:r w:rsidRPr="00DF7EFA">
        <w:t xml:space="preserve"> 10927, 10939, para. 30 (2020) (</w:t>
      </w:r>
      <w:r w:rsidRPr="00DF7EFA">
        <w:rPr>
          <w:i/>
          <w:iCs/>
        </w:rPr>
        <w:t>Executive Branch Review Process Order</w:t>
      </w:r>
      <w:r w:rsidRPr="00DF7EFA">
        <w:t xml:space="preserve">); </w:t>
      </w:r>
      <w:r w:rsidRPr="00DF7EFA">
        <w:rPr>
          <w:i/>
          <w:iCs/>
        </w:rPr>
        <w:t>see also</w:t>
      </w:r>
      <w:r w:rsidRPr="00DF7EFA">
        <w:t xml:space="preserve"> 47 CFR § 1.40001(a)(2)(iii). </w:t>
      </w:r>
    </w:p>
  </w:footnote>
  <w:footnote w:id="19">
    <w:p w:rsidR="00D95721" w:rsidRPr="00DF7EFA" w:rsidP="00D95721" w14:paraId="064AEFAD" w14:textId="5AB4228F">
      <w:pPr>
        <w:pStyle w:val="FootnoteText"/>
      </w:pPr>
      <w:r w:rsidRPr="00D52FE6">
        <w:rPr>
          <w:rStyle w:val="FootnoteReference"/>
          <w:rFonts w:eastAsia="Yu Gothic Light"/>
        </w:rPr>
        <w:footnoteRef/>
      </w:r>
      <w:r w:rsidRPr="00DF7EFA">
        <w:t xml:space="preserve"> Application at 1</w:t>
      </w:r>
      <w:r w:rsidR="00DC368C">
        <w:t>2</w:t>
      </w:r>
      <w:r w:rsidRPr="00DF7EFA">
        <w:t>.</w:t>
      </w:r>
    </w:p>
  </w:footnote>
  <w:footnote w:id="20">
    <w:p w:rsidR="00D95721" w:rsidRPr="00DF7EFA" w:rsidP="00D95721" w14:paraId="03D97BDF" w14:textId="14885671">
      <w:pPr>
        <w:pStyle w:val="FootnoteText"/>
        <w:rPr>
          <w:i/>
          <w:iCs/>
        </w:rPr>
      </w:pPr>
      <w:r w:rsidRPr="00DF7EFA">
        <w:rPr>
          <w:rStyle w:val="FootnoteReference"/>
        </w:rPr>
        <w:footnoteRef/>
      </w:r>
      <w:r w:rsidRPr="00DF7EFA">
        <w:t xml:space="preserve"> </w:t>
      </w:r>
      <w:r w:rsidRPr="00DF7EFA">
        <w:rPr>
          <w:i/>
          <w:iCs/>
        </w:rPr>
        <w:t xml:space="preserve">See Domestic Section 214 Application Granted </w:t>
      </w:r>
      <w:r w:rsidR="001C71B2">
        <w:rPr>
          <w:i/>
          <w:iCs/>
        </w:rPr>
        <w:t>f</w:t>
      </w:r>
      <w:r w:rsidRPr="00DF7EFA">
        <w:rPr>
          <w:i/>
          <w:iCs/>
        </w:rPr>
        <w:t xml:space="preserve">or The Transfer </w:t>
      </w:r>
      <w:r w:rsidR="001C71B2">
        <w:rPr>
          <w:i/>
          <w:iCs/>
        </w:rPr>
        <w:t>o</w:t>
      </w:r>
      <w:r w:rsidRPr="00DF7EFA">
        <w:rPr>
          <w:i/>
          <w:iCs/>
        </w:rPr>
        <w:t xml:space="preserve">f Control </w:t>
      </w:r>
      <w:r w:rsidR="001C71B2">
        <w:rPr>
          <w:i/>
          <w:iCs/>
        </w:rPr>
        <w:t>o</w:t>
      </w:r>
      <w:r w:rsidRPr="00DF7EFA">
        <w:rPr>
          <w:i/>
          <w:iCs/>
        </w:rPr>
        <w:t xml:space="preserve">f </w:t>
      </w:r>
      <w:r w:rsidRPr="00DF7EFA">
        <w:rPr>
          <w:i/>
          <w:iCs/>
        </w:rPr>
        <w:t>AppSmart</w:t>
      </w:r>
      <w:r w:rsidRPr="00DF7EFA">
        <w:rPr>
          <w:i/>
          <w:iCs/>
        </w:rPr>
        <w:t xml:space="preserve"> TGN, Inc. (f/k/a </w:t>
      </w:r>
      <w:r w:rsidRPr="00DF7EFA">
        <w:rPr>
          <w:i/>
          <w:iCs/>
        </w:rPr>
        <w:t>Telegration</w:t>
      </w:r>
      <w:r w:rsidRPr="00DF7EFA">
        <w:rPr>
          <w:i/>
          <w:iCs/>
        </w:rPr>
        <w:t xml:space="preserve">, Inc.) </w:t>
      </w:r>
      <w:r w:rsidR="001C71B2">
        <w:rPr>
          <w:i/>
          <w:iCs/>
        </w:rPr>
        <w:t>to</w:t>
      </w:r>
      <w:r w:rsidRPr="00DF7EFA">
        <w:rPr>
          <w:i/>
          <w:iCs/>
        </w:rPr>
        <w:t xml:space="preserve"> </w:t>
      </w:r>
      <w:r w:rsidRPr="00DF7EFA">
        <w:rPr>
          <w:i/>
          <w:iCs/>
        </w:rPr>
        <w:t>AppDirect</w:t>
      </w:r>
      <w:r w:rsidRPr="00DF7EFA">
        <w:rPr>
          <w:i/>
          <w:iCs/>
        </w:rPr>
        <w:t>, Inc.</w:t>
      </w:r>
      <w:r w:rsidR="001C71B2">
        <w:t>,</w:t>
      </w:r>
      <w:r w:rsidRPr="00DF7EFA">
        <w:rPr>
          <w:i/>
          <w:iCs/>
        </w:rPr>
        <w:t xml:space="preserve"> </w:t>
      </w:r>
      <w:r w:rsidRPr="00DF7EFA">
        <w:t xml:space="preserve">WC Docket No. 20-229, Public Notice, 36 FCC </w:t>
      </w:r>
      <w:r w:rsidRPr="00DF7EFA">
        <w:t>Rcd</w:t>
      </w:r>
      <w:r w:rsidRPr="00DF7EFA">
        <w:t xml:space="preserve"> 9890 (WCB 2021).</w:t>
      </w:r>
    </w:p>
  </w:footnote>
  <w:footnote w:id="21">
    <w:p w:rsidR="00D95721" w:rsidRPr="00DF7EFA" w:rsidP="00D95721" w14:paraId="4971BA15" w14:textId="20ABA8CE">
      <w:pPr>
        <w:pStyle w:val="FootnoteText"/>
      </w:pPr>
      <w:r w:rsidRPr="00D52FE6">
        <w:rPr>
          <w:rStyle w:val="FootnoteReference"/>
          <w:rFonts w:eastAsia="Yu Gothic Light"/>
        </w:rPr>
        <w:footnoteRef/>
      </w:r>
      <w:r w:rsidRPr="00DF7EFA">
        <w:t xml:space="preserve"> Application at 1</w:t>
      </w:r>
      <w:r w:rsidR="00DC368C">
        <w:t>2</w:t>
      </w:r>
      <w:r w:rsidRPr="00DF7EFA">
        <w:t>.</w:t>
      </w:r>
    </w:p>
  </w:footnote>
  <w:footnote w:id="22">
    <w:p w:rsidR="00D95721" w:rsidRPr="00DC368C" w:rsidP="00D95721" w14:paraId="2AFC8794" w14:textId="3A0AAC73">
      <w:pPr>
        <w:pStyle w:val="FootnoteText"/>
      </w:pPr>
      <w:r w:rsidRPr="00DF7EFA">
        <w:rPr>
          <w:rStyle w:val="FootnoteReference"/>
        </w:rPr>
        <w:footnoteRef/>
      </w:r>
      <w:r w:rsidRPr="00DF7EFA">
        <w:t xml:space="preserve"> </w:t>
      </w:r>
      <w:r w:rsidR="00DC368C">
        <w:rPr>
          <w:i/>
          <w:iCs/>
        </w:rPr>
        <w:t>Id</w:t>
      </w:r>
      <w:r w:rsidR="00DC368C">
        <w:t xml:space="preserve">. </w:t>
      </w:r>
    </w:p>
  </w:footnote>
  <w:footnote w:id="23">
    <w:p w:rsidR="00D95721" w:rsidRPr="00DF7EFA" w:rsidP="00D95721" w14:paraId="34EA0B56" w14:textId="77777777">
      <w:pPr>
        <w:pStyle w:val="FootnoteText"/>
      </w:pPr>
      <w:r w:rsidRPr="00D52FE6">
        <w:rPr>
          <w:rStyle w:val="FootnoteReference"/>
          <w:rFonts w:eastAsia="Yu Gothic Light"/>
        </w:rPr>
        <w:footnoteRef/>
      </w:r>
      <w:r w:rsidRPr="00DF7EFA">
        <w:t xml:space="preserve"> </w:t>
      </w:r>
      <w:r w:rsidRPr="00DF7EFA">
        <w:rPr>
          <w:i/>
          <w:iCs/>
        </w:rPr>
        <w:t>See</w:t>
      </w:r>
      <w:r w:rsidRPr="00DF7EFA">
        <w:t xml:space="preserve"> </w:t>
      </w:r>
      <w:r w:rsidRPr="00DF7EFA">
        <w:rPr>
          <w:i/>
          <w:iCs/>
        </w:rPr>
        <w:t>Executive Branch Review Process Order</w:t>
      </w:r>
      <w:r w:rsidRPr="00DF7EFA">
        <w:t xml:space="preserve"> at 10939, para 30 n.81.</w:t>
      </w:r>
    </w:p>
  </w:footnote>
  <w:footnote w:id="24">
    <w:p w:rsidR="009A6574" w:rsidRPr="005D6116" w:rsidP="009A6574" w14:paraId="4C6E3716" w14:textId="77777777">
      <w:pPr>
        <w:pStyle w:val="FootnoteText"/>
      </w:pPr>
      <w:r w:rsidRPr="0029337E">
        <w:rPr>
          <w:rStyle w:val="FootnoteReference"/>
          <w:sz w:val="20"/>
        </w:rPr>
        <w:footnoteRef/>
      </w:r>
      <w:r w:rsidRPr="0029337E">
        <w:t xml:space="preserve"> </w:t>
      </w:r>
      <w:r w:rsidRPr="0029337E">
        <w:rPr>
          <w:i/>
        </w:rPr>
        <w:t>See</w:t>
      </w:r>
      <w:r w:rsidRPr="0029337E">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E7FCBA3" w14:textId="74DEDBC8">
    <w:pPr>
      <w:tabs>
        <w:tab w:val="center" w:pos="4680"/>
        <w:tab w:val="right" w:pos="9360"/>
      </w:tabs>
    </w:pPr>
    <w:r>
      <w:rPr>
        <w:b/>
      </w:rPr>
      <w:tab/>
      <w:t>Federal Communications Commission</w:t>
    </w:r>
    <w:r>
      <w:rPr>
        <w:b/>
      </w:rPr>
      <w:tab/>
    </w:r>
    <w:r w:rsidR="009A6574">
      <w:rPr>
        <w:b/>
      </w:rPr>
      <w:t>DA 25-</w:t>
    </w:r>
    <w:r w:rsidR="00F83684">
      <w:rPr>
        <w:b/>
      </w:rPr>
      <w:t>XXX</w:t>
    </w:r>
  </w:p>
  <w:p w:rsidR="00BA3BA8" w14:paraId="47B3F9FE" w14:textId="02D68A6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E8A4D9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FBD0559" w14:textId="37959955">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445072">
    <w:abstractNumId w:val="2"/>
  </w:num>
  <w:num w:numId="2" w16cid:durableId="10450596">
    <w:abstractNumId w:val="6"/>
  </w:num>
  <w:num w:numId="3" w16cid:durableId="1446579033">
    <w:abstractNumId w:val="4"/>
  </w:num>
  <w:num w:numId="4" w16cid:durableId="301204587">
    <w:abstractNumId w:val="5"/>
  </w:num>
  <w:num w:numId="5" w16cid:durableId="444347286">
    <w:abstractNumId w:val="3"/>
  </w:num>
  <w:num w:numId="6" w16cid:durableId="1088965938">
    <w:abstractNumId w:val="0"/>
  </w:num>
  <w:num w:numId="7" w16cid:durableId="2096245613">
    <w:abstractNumId w:val="7"/>
  </w:num>
  <w:num w:numId="8" w16cid:durableId="823476080">
    <w:abstractNumId w:val="1"/>
  </w:num>
  <w:num w:numId="9" w16cid:durableId="18316030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0B06"/>
    <w:rsid w:val="00002E74"/>
    <w:rsid w:val="000038D9"/>
    <w:rsid w:val="00004948"/>
    <w:rsid w:val="00004AAB"/>
    <w:rsid w:val="00004E27"/>
    <w:rsid w:val="00005B46"/>
    <w:rsid w:val="00007F5A"/>
    <w:rsid w:val="00012118"/>
    <w:rsid w:val="00012F17"/>
    <w:rsid w:val="00017BB3"/>
    <w:rsid w:val="00020F8F"/>
    <w:rsid w:val="0003015C"/>
    <w:rsid w:val="00031AD7"/>
    <w:rsid w:val="00036266"/>
    <w:rsid w:val="000362A1"/>
    <w:rsid w:val="00037EBE"/>
    <w:rsid w:val="00041462"/>
    <w:rsid w:val="00042BB8"/>
    <w:rsid w:val="00046BE3"/>
    <w:rsid w:val="00046C1F"/>
    <w:rsid w:val="00046F29"/>
    <w:rsid w:val="0004702F"/>
    <w:rsid w:val="000471AB"/>
    <w:rsid w:val="00051728"/>
    <w:rsid w:val="0005299F"/>
    <w:rsid w:val="000535A1"/>
    <w:rsid w:val="00054236"/>
    <w:rsid w:val="000556E3"/>
    <w:rsid w:val="0006073B"/>
    <w:rsid w:val="00061291"/>
    <w:rsid w:val="00063429"/>
    <w:rsid w:val="00063E6F"/>
    <w:rsid w:val="00064C9C"/>
    <w:rsid w:val="0006688D"/>
    <w:rsid w:val="000712F4"/>
    <w:rsid w:val="00077798"/>
    <w:rsid w:val="00087ED8"/>
    <w:rsid w:val="00090590"/>
    <w:rsid w:val="00095FCC"/>
    <w:rsid w:val="00097F57"/>
    <w:rsid w:val="000A243D"/>
    <w:rsid w:val="000B0D38"/>
    <w:rsid w:val="000B4827"/>
    <w:rsid w:val="000C0301"/>
    <w:rsid w:val="000C0F2B"/>
    <w:rsid w:val="000C3005"/>
    <w:rsid w:val="000C3B67"/>
    <w:rsid w:val="000D0B4C"/>
    <w:rsid w:val="000D2157"/>
    <w:rsid w:val="000D2A51"/>
    <w:rsid w:val="000D5986"/>
    <w:rsid w:val="000E1B9C"/>
    <w:rsid w:val="000E22A0"/>
    <w:rsid w:val="000E3B87"/>
    <w:rsid w:val="000E4841"/>
    <w:rsid w:val="000E6E97"/>
    <w:rsid w:val="000F38FE"/>
    <w:rsid w:val="000F60A6"/>
    <w:rsid w:val="000F6199"/>
    <w:rsid w:val="00100CF5"/>
    <w:rsid w:val="00100D16"/>
    <w:rsid w:val="00100D1B"/>
    <w:rsid w:val="0010711E"/>
    <w:rsid w:val="00113228"/>
    <w:rsid w:val="00115417"/>
    <w:rsid w:val="00117461"/>
    <w:rsid w:val="00120429"/>
    <w:rsid w:val="001209A3"/>
    <w:rsid w:val="00122500"/>
    <w:rsid w:val="0012560A"/>
    <w:rsid w:val="00127A29"/>
    <w:rsid w:val="00127E62"/>
    <w:rsid w:val="00135BDE"/>
    <w:rsid w:val="00152042"/>
    <w:rsid w:val="00152875"/>
    <w:rsid w:val="001609E6"/>
    <w:rsid w:val="0017198F"/>
    <w:rsid w:val="00173C02"/>
    <w:rsid w:val="00177993"/>
    <w:rsid w:val="001835C8"/>
    <w:rsid w:val="00193605"/>
    <w:rsid w:val="00194A6D"/>
    <w:rsid w:val="0019745A"/>
    <w:rsid w:val="001A16F7"/>
    <w:rsid w:val="001B1673"/>
    <w:rsid w:val="001C293E"/>
    <w:rsid w:val="001C2D1F"/>
    <w:rsid w:val="001C320E"/>
    <w:rsid w:val="001C71B2"/>
    <w:rsid w:val="001D0EEA"/>
    <w:rsid w:val="001D52C0"/>
    <w:rsid w:val="001E1179"/>
    <w:rsid w:val="001E5FA4"/>
    <w:rsid w:val="001E6249"/>
    <w:rsid w:val="001E6703"/>
    <w:rsid w:val="001F0E87"/>
    <w:rsid w:val="001F128C"/>
    <w:rsid w:val="001F38E1"/>
    <w:rsid w:val="001F4221"/>
    <w:rsid w:val="001F79F3"/>
    <w:rsid w:val="00202C57"/>
    <w:rsid w:val="00203026"/>
    <w:rsid w:val="002038FE"/>
    <w:rsid w:val="00205D50"/>
    <w:rsid w:val="00210404"/>
    <w:rsid w:val="002110B1"/>
    <w:rsid w:val="00211274"/>
    <w:rsid w:val="002155E6"/>
    <w:rsid w:val="00220043"/>
    <w:rsid w:val="002215DE"/>
    <w:rsid w:val="00221A0B"/>
    <w:rsid w:val="00222508"/>
    <w:rsid w:val="00223624"/>
    <w:rsid w:val="00224009"/>
    <w:rsid w:val="00226C6A"/>
    <w:rsid w:val="00227F1C"/>
    <w:rsid w:val="0023260B"/>
    <w:rsid w:val="00234D09"/>
    <w:rsid w:val="00234E1B"/>
    <w:rsid w:val="002378B1"/>
    <w:rsid w:val="00241C32"/>
    <w:rsid w:val="00251F14"/>
    <w:rsid w:val="00261FEA"/>
    <w:rsid w:val="00262130"/>
    <w:rsid w:val="00263F0F"/>
    <w:rsid w:val="00264590"/>
    <w:rsid w:val="00272E2F"/>
    <w:rsid w:val="00275745"/>
    <w:rsid w:val="0028099D"/>
    <w:rsid w:val="002850A5"/>
    <w:rsid w:val="002903BF"/>
    <w:rsid w:val="002925CB"/>
    <w:rsid w:val="0029337E"/>
    <w:rsid w:val="002936B5"/>
    <w:rsid w:val="00294FFC"/>
    <w:rsid w:val="00296394"/>
    <w:rsid w:val="002A25E9"/>
    <w:rsid w:val="002C01A4"/>
    <w:rsid w:val="002C6511"/>
    <w:rsid w:val="002D0821"/>
    <w:rsid w:val="002D2741"/>
    <w:rsid w:val="002D348A"/>
    <w:rsid w:val="002D6333"/>
    <w:rsid w:val="002E124C"/>
    <w:rsid w:val="002E63E2"/>
    <w:rsid w:val="002E68DD"/>
    <w:rsid w:val="002E721C"/>
    <w:rsid w:val="002F0AA2"/>
    <w:rsid w:val="002F0E63"/>
    <w:rsid w:val="002F3AA1"/>
    <w:rsid w:val="002F4BBA"/>
    <w:rsid w:val="002F564D"/>
    <w:rsid w:val="002F5B0C"/>
    <w:rsid w:val="002F5E68"/>
    <w:rsid w:val="00301F5F"/>
    <w:rsid w:val="00306AD0"/>
    <w:rsid w:val="00306ED8"/>
    <w:rsid w:val="00310069"/>
    <w:rsid w:val="00324DF0"/>
    <w:rsid w:val="00331BDC"/>
    <w:rsid w:val="0033236C"/>
    <w:rsid w:val="00332514"/>
    <w:rsid w:val="0033704B"/>
    <w:rsid w:val="00343094"/>
    <w:rsid w:val="003448B1"/>
    <w:rsid w:val="00350610"/>
    <w:rsid w:val="00350801"/>
    <w:rsid w:val="00350C2A"/>
    <w:rsid w:val="00353F87"/>
    <w:rsid w:val="00357FFE"/>
    <w:rsid w:val="0036025D"/>
    <w:rsid w:val="003608CD"/>
    <w:rsid w:val="00362095"/>
    <w:rsid w:val="003638AC"/>
    <w:rsid w:val="003648C1"/>
    <w:rsid w:val="00367402"/>
    <w:rsid w:val="00373A38"/>
    <w:rsid w:val="00374E30"/>
    <w:rsid w:val="00375D7E"/>
    <w:rsid w:val="00377323"/>
    <w:rsid w:val="00377BF8"/>
    <w:rsid w:val="00382E62"/>
    <w:rsid w:val="003852F9"/>
    <w:rsid w:val="003860DB"/>
    <w:rsid w:val="0039176C"/>
    <w:rsid w:val="00392119"/>
    <w:rsid w:val="003971E3"/>
    <w:rsid w:val="003A3EF1"/>
    <w:rsid w:val="003A4CE3"/>
    <w:rsid w:val="003A77F9"/>
    <w:rsid w:val="003B1989"/>
    <w:rsid w:val="003B2A52"/>
    <w:rsid w:val="003B3F71"/>
    <w:rsid w:val="003B7C23"/>
    <w:rsid w:val="003C4ADD"/>
    <w:rsid w:val="003C5CEA"/>
    <w:rsid w:val="003C5EB7"/>
    <w:rsid w:val="003D1D8A"/>
    <w:rsid w:val="003E7453"/>
    <w:rsid w:val="003E7E10"/>
    <w:rsid w:val="003F534F"/>
    <w:rsid w:val="003F562F"/>
    <w:rsid w:val="00405079"/>
    <w:rsid w:val="004052BF"/>
    <w:rsid w:val="00406B3D"/>
    <w:rsid w:val="00407B16"/>
    <w:rsid w:val="00412235"/>
    <w:rsid w:val="0042124E"/>
    <w:rsid w:val="00422657"/>
    <w:rsid w:val="0042386B"/>
    <w:rsid w:val="00425017"/>
    <w:rsid w:val="004257C9"/>
    <w:rsid w:val="00425EEC"/>
    <w:rsid w:val="004279D4"/>
    <w:rsid w:val="00430183"/>
    <w:rsid w:val="004348D1"/>
    <w:rsid w:val="004353B8"/>
    <w:rsid w:val="00437A9D"/>
    <w:rsid w:val="0044022C"/>
    <w:rsid w:val="0044101E"/>
    <w:rsid w:val="00445802"/>
    <w:rsid w:val="00446296"/>
    <w:rsid w:val="00447F39"/>
    <w:rsid w:val="00450153"/>
    <w:rsid w:val="0045157C"/>
    <w:rsid w:val="004547AC"/>
    <w:rsid w:val="00455999"/>
    <w:rsid w:val="004565CF"/>
    <w:rsid w:val="00460354"/>
    <w:rsid w:val="00472299"/>
    <w:rsid w:val="0047356B"/>
    <w:rsid w:val="004774CD"/>
    <w:rsid w:val="00480E3A"/>
    <w:rsid w:val="00481AA6"/>
    <w:rsid w:val="00484899"/>
    <w:rsid w:val="00493540"/>
    <w:rsid w:val="004960BB"/>
    <w:rsid w:val="004A194E"/>
    <w:rsid w:val="004A275F"/>
    <w:rsid w:val="004A312C"/>
    <w:rsid w:val="004A656E"/>
    <w:rsid w:val="004B0798"/>
    <w:rsid w:val="004B4321"/>
    <w:rsid w:val="004B445B"/>
    <w:rsid w:val="004C4E77"/>
    <w:rsid w:val="004C6B78"/>
    <w:rsid w:val="004D0CC1"/>
    <w:rsid w:val="004D18E2"/>
    <w:rsid w:val="004D1C23"/>
    <w:rsid w:val="004D2749"/>
    <w:rsid w:val="004D41EF"/>
    <w:rsid w:val="004D43A8"/>
    <w:rsid w:val="004D73DE"/>
    <w:rsid w:val="004E0DF2"/>
    <w:rsid w:val="004E479C"/>
    <w:rsid w:val="004E68F9"/>
    <w:rsid w:val="004E6E04"/>
    <w:rsid w:val="004F0544"/>
    <w:rsid w:val="005036CD"/>
    <w:rsid w:val="00505F44"/>
    <w:rsid w:val="005116F7"/>
    <w:rsid w:val="00512F61"/>
    <w:rsid w:val="00514099"/>
    <w:rsid w:val="00520D46"/>
    <w:rsid w:val="0052256B"/>
    <w:rsid w:val="005240CD"/>
    <w:rsid w:val="00542B69"/>
    <w:rsid w:val="005437C2"/>
    <w:rsid w:val="00543D0D"/>
    <w:rsid w:val="00547C2C"/>
    <w:rsid w:val="00550719"/>
    <w:rsid w:val="00555BE6"/>
    <w:rsid w:val="005613BD"/>
    <w:rsid w:val="00561F16"/>
    <w:rsid w:val="00563CCE"/>
    <w:rsid w:val="00566D27"/>
    <w:rsid w:val="005674AF"/>
    <w:rsid w:val="00570245"/>
    <w:rsid w:val="005772D2"/>
    <w:rsid w:val="00581178"/>
    <w:rsid w:val="00583484"/>
    <w:rsid w:val="0058357C"/>
    <w:rsid w:val="005868AE"/>
    <w:rsid w:val="00591E8B"/>
    <w:rsid w:val="00595407"/>
    <w:rsid w:val="00597AA8"/>
    <w:rsid w:val="00597D45"/>
    <w:rsid w:val="005A5F30"/>
    <w:rsid w:val="005B1343"/>
    <w:rsid w:val="005B6C08"/>
    <w:rsid w:val="005C04DA"/>
    <w:rsid w:val="005C3A2C"/>
    <w:rsid w:val="005C3F9E"/>
    <w:rsid w:val="005C40CC"/>
    <w:rsid w:val="005C5728"/>
    <w:rsid w:val="005D2ACB"/>
    <w:rsid w:val="005D54C9"/>
    <w:rsid w:val="005D6116"/>
    <w:rsid w:val="005D681D"/>
    <w:rsid w:val="005E1085"/>
    <w:rsid w:val="005E695B"/>
    <w:rsid w:val="005F0D1D"/>
    <w:rsid w:val="005F1E10"/>
    <w:rsid w:val="005F6F3A"/>
    <w:rsid w:val="005F78DA"/>
    <w:rsid w:val="005F7DAE"/>
    <w:rsid w:val="005F7FB1"/>
    <w:rsid w:val="00600F4C"/>
    <w:rsid w:val="00606340"/>
    <w:rsid w:val="006117E4"/>
    <w:rsid w:val="00611912"/>
    <w:rsid w:val="00615DB4"/>
    <w:rsid w:val="00616B73"/>
    <w:rsid w:val="006170BC"/>
    <w:rsid w:val="00617E52"/>
    <w:rsid w:val="00624C75"/>
    <w:rsid w:val="00627E7A"/>
    <w:rsid w:val="0063041B"/>
    <w:rsid w:val="00640260"/>
    <w:rsid w:val="00642A6C"/>
    <w:rsid w:val="006466EF"/>
    <w:rsid w:val="0065127F"/>
    <w:rsid w:val="0065171E"/>
    <w:rsid w:val="00654756"/>
    <w:rsid w:val="00655AF0"/>
    <w:rsid w:val="00657DDE"/>
    <w:rsid w:val="00660C00"/>
    <w:rsid w:val="00661FC7"/>
    <w:rsid w:val="00670A9E"/>
    <w:rsid w:val="006721EA"/>
    <w:rsid w:val="00672942"/>
    <w:rsid w:val="00675BDA"/>
    <w:rsid w:val="00676CC4"/>
    <w:rsid w:val="00680877"/>
    <w:rsid w:val="00682CCE"/>
    <w:rsid w:val="0068569A"/>
    <w:rsid w:val="00690B02"/>
    <w:rsid w:val="006924C6"/>
    <w:rsid w:val="006936F0"/>
    <w:rsid w:val="0069525C"/>
    <w:rsid w:val="006962CD"/>
    <w:rsid w:val="006A01A1"/>
    <w:rsid w:val="006A5873"/>
    <w:rsid w:val="006A73A6"/>
    <w:rsid w:val="006B008F"/>
    <w:rsid w:val="006B4D7E"/>
    <w:rsid w:val="006B733E"/>
    <w:rsid w:val="006C2885"/>
    <w:rsid w:val="006C3085"/>
    <w:rsid w:val="006C7C8D"/>
    <w:rsid w:val="006D15F7"/>
    <w:rsid w:val="006D5EEC"/>
    <w:rsid w:val="006E1093"/>
    <w:rsid w:val="006E6AC1"/>
    <w:rsid w:val="006E7014"/>
    <w:rsid w:val="006F0A89"/>
    <w:rsid w:val="006F27F7"/>
    <w:rsid w:val="006F3A8F"/>
    <w:rsid w:val="006F5527"/>
    <w:rsid w:val="00703B04"/>
    <w:rsid w:val="00710844"/>
    <w:rsid w:val="007114AA"/>
    <w:rsid w:val="00712C6E"/>
    <w:rsid w:val="007137E6"/>
    <w:rsid w:val="00715F26"/>
    <w:rsid w:val="00720D0B"/>
    <w:rsid w:val="00721E64"/>
    <w:rsid w:val="007220C5"/>
    <w:rsid w:val="00722941"/>
    <w:rsid w:val="00724BD7"/>
    <w:rsid w:val="00725203"/>
    <w:rsid w:val="00726B19"/>
    <w:rsid w:val="00730ED2"/>
    <w:rsid w:val="0073551E"/>
    <w:rsid w:val="0073555A"/>
    <w:rsid w:val="00737C11"/>
    <w:rsid w:val="0074215A"/>
    <w:rsid w:val="007440F7"/>
    <w:rsid w:val="0074610C"/>
    <w:rsid w:val="007476E0"/>
    <w:rsid w:val="0075199B"/>
    <w:rsid w:val="0075211C"/>
    <w:rsid w:val="0075283B"/>
    <w:rsid w:val="00755682"/>
    <w:rsid w:val="00760916"/>
    <w:rsid w:val="00764837"/>
    <w:rsid w:val="007672DB"/>
    <w:rsid w:val="00767F75"/>
    <w:rsid w:val="007703E2"/>
    <w:rsid w:val="00773C82"/>
    <w:rsid w:val="00780B05"/>
    <w:rsid w:val="00784FAE"/>
    <w:rsid w:val="007878A8"/>
    <w:rsid w:val="007909D2"/>
    <w:rsid w:val="00792E9C"/>
    <w:rsid w:val="007A0B1C"/>
    <w:rsid w:val="007A76A8"/>
    <w:rsid w:val="007B24B5"/>
    <w:rsid w:val="007B5B90"/>
    <w:rsid w:val="007B75D8"/>
    <w:rsid w:val="007B768E"/>
    <w:rsid w:val="007C1FB2"/>
    <w:rsid w:val="007C44E2"/>
    <w:rsid w:val="007C47E9"/>
    <w:rsid w:val="007E214C"/>
    <w:rsid w:val="007E3401"/>
    <w:rsid w:val="007E5A46"/>
    <w:rsid w:val="007E6694"/>
    <w:rsid w:val="007F246A"/>
    <w:rsid w:val="007F4E90"/>
    <w:rsid w:val="007F513E"/>
    <w:rsid w:val="007F6F0D"/>
    <w:rsid w:val="008001A8"/>
    <w:rsid w:val="0080308F"/>
    <w:rsid w:val="00803554"/>
    <w:rsid w:val="00805043"/>
    <w:rsid w:val="00811C21"/>
    <w:rsid w:val="00814A65"/>
    <w:rsid w:val="00815E52"/>
    <w:rsid w:val="00822EC1"/>
    <w:rsid w:val="00827200"/>
    <w:rsid w:val="008333A8"/>
    <w:rsid w:val="00835D73"/>
    <w:rsid w:val="008409C3"/>
    <w:rsid w:val="008439AC"/>
    <w:rsid w:val="00843A26"/>
    <w:rsid w:val="00843FBB"/>
    <w:rsid w:val="008446C4"/>
    <w:rsid w:val="00847C00"/>
    <w:rsid w:val="008505D1"/>
    <w:rsid w:val="00853C59"/>
    <w:rsid w:val="00853F70"/>
    <w:rsid w:val="00861C4C"/>
    <w:rsid w:val="00862183"/>
    <w:rsid w:val="008628B1"/>
    <w:rsid w:val="00867B91"/>
    <w:rsid w:val="0088540B"/>
    <w:rsid w:val="00887B3E"/>
    <w:rsid w:val="00890BB3"/>
    <w:rsid w:val="00895ADF"/>
    <w:rsid w:val="008962DE"/>
    <w:rsid w:val="008A41E3"/>
    <w:rsid w:val="008A50AF"/>
    <w:rsid w:val="008A5D66"/>
    <w:rsid w:val="008A7F49"/>
    <w:rsid w:val="008B45FF"/>
    <w:rsid w:val="008B49CB"/>
    <w:rsid w:val="008C2810"/>
    <w:rsid w:val="008C52B0"/>
    <w:rsid w:val="008C5979"/>
    <w:rsid w:val="008C6B76"/>
    <w:rsid w:val="008D153D"/>
    <w:rsid w:val="008D51AC"/>
    <w:rsid w:val="008E4291"/>
    <w:rsid w:val="008E6D53"/>
    <w:rsid w:val="008E7B71"/>
    <w:rsid w:val="008F0133"/>
    <w:rsid w:val="008F2464"/>
    <w:rsid w:val="008F3D7F"/>
    <w:rsid w:val="008F63C2"/>
    <w:rsid w:val="0090068E"/>
    <w:rsid w:val="0090085B"/>
    <w:rsid w:val="0091360C"/>
    <w:rsid w:val="00916FF2"/>
    <w:rsid w:val="00930A4F"/>
    <w:rsid w:val="00932416"/>
    <w:rsid w:val="00942823"/>
    <w:rsid w:val="009436BA"/>
    <w:rsid w:val="00947A1D"/>
    <w:rsid w:val="0095786E"/>
    <w:rsid w:val="00961640"/>
    <w:rsid w:val="00963BDF"/>
    <w:rsid w:val="0096724E"/>
    <w:rsid w:val="00967FA7"/>
    <w:rsid w:val="00970436"/>
    <w:rsid w:val="00970AB4"/>
    <w:rsid w:val="0097116C"/>
    <w:rsid w:val="009730D0"/>
    <w:rsid w:val="00975B47"/>
    <w:rsid w:val="00975E64"/>
    <w:rsid w:val="00985D43"/>
    <w:rsid w:val="0098781C"/>
    <w:rsid w:val="00993789"/>
    <w:rsid w:val="00994AAA"/>
    <w:rsid w:val="0099513E"/>
    <w:rsid w:val="00997C1E"/>
    <w:rsid w:val="009A32C6"/>
    <w:rsid w:val="009A6574"/>
    <w:rsid w:val="009B535C"/>
    <w:rsid w:val="009B7388"/>
    <w:rsid w:val="009C0A7D"/>
    <w:rsid w:val="009C1A73"/>
    <w:rsid w:val="009C3BAA"/>
    <w:rsid w:val="009C5D15"/>
    <w:rsid w:val="009D3A0F"/>
    <w:rsid w:val="009D6CF4"/>
    <w:rsid w:val="009E1FC1"/>
    <w:rsid w:val="009E7758"/>
    <w:rsid w:val="009F08E4"/>
    <w:rsid w:val="009F15A6"/>
    <w:rsid w:val="009F17E3"/>
    <w:rsid w:val="009F1985"/>
    <w:rsid w:val="009F19EB"/>
    <w:rsid w:val="009F4B25"/>
    <w:rsid w:val="009F5EB3"/>
    <w:rsid w:val="009F6080"/>
    <w:rsid w:val="00A009F5"/>
    <w:rsid w:val="00A13A21"/>
    <w:rsid w:val="00A17504"/>
    <w:rsid w:val="00A178D6"/>
    <w:rsid w:val="00A20679"/>
    <w:rsid w:val="00A21F9F"/>
    <w:rsid w:val="00A2759C"/>
    <w:rsid w:val="00A32BB9"/>
    <w:rsid w:val="00A37D78"/>
    <w:rsid w:val="00A403AF"/>
    <w:rsid w:val="00A42F86"/>
    <w:rsid w:val="00A43A21"/>
    <w:rsid w:val="00A50211"/>
    <w:rsid w:val="00A5379D"/>
    <w:rsid w:val="00A55FE7"/>
    <w:rsid w:val="00A560DD"/>
    <w:rsid w:val="00A56168"/>
    <w:rsid w:val="00A62D56"/>
    <w:rsid w:val="00A70C25"/>
    <w:rsid w:val="00A72ADD"/>
    <w:rsid w:val="00A7746C"/>
    <w:rsid w:val="00A833D8"/>
    <w:rsid w:val="00A84410"/>
    <w:rsid w:val="00A878EA"/>
    <w:rsid w:val="00A87953"/>
    <w:rsid w:val="00A92E38"/>
    <w:rsid w:val="00A9577B"/>
    <w:rsid w:val="00AA395F"/>
    <w:rsid w:val="00AA5DF0"/>
    <w:rsid w:val="00AA5F16"/>
    <w:rsid w:val="00AA7DB8"/>
    <w:rsid w:val="00AC0588"/>
    <w:rsid w:val="00AC77DA"/>
    <w:rsid w:val="00AD3735"/>
    <w:rsid w:val="00AD440B"/>
    <w:rsid w:val="00AD72DE"/>
    <w:rsid w:val="00AD7754"/>
    <w:rsid w:val="00AE5AF8"/>
    <w:rsid w:val="00AF0B31"/>
    <w:rsid w:val="00AF110D"/>
    <w:rsid w:val="00AF2080"/>
    <w:rsid w:val="00AF6C91"/>
    <w:rsid w:val="00B10761"/>
    <w:rsid w:val="00B14550"/>
    <w:rsid w:val="00B16DA2"/>
    <w:rsid w:val="00B23E3B"/>
    <w:rsid w:val="00B24A61"/>
    <w:rsid w:val="00B26BE8"/>
    <w:rsid w:val="00B26C49"/>
    <w:rsid w:val="00B317F7"/>
    <w:rsid w:val="00B340BB"/>
    <w:rsid w:val="00B36883"/>
    <w:rsid w:val="00B37703"/>
    <w:rsid w:val="00B40078"/>
    <w:rsid w:val="00B41D08"/>
    <w:rsid w:val="00B43470"/>
    <w:rsid w:val="00B47CAC"/>
    <w:rsid w:val="00B52BAA"/>
    <w:rsid w:val="00B5558E"/>
    <w:rsid w:val="00B62C35"/>
    <w:rsid w:val="00B72C93"/>
    <w:rsid w:val="00B7733D"/>
    <w:rsid w:val="00B83D65"/>
    <w:rsid w:val="00B91092"/>
    <w:rsid w:val="00B92646"/>
    <w:rsid w:val="00B933D7"/>
    <w:rsid w:val="00B93645"/>
    <w:rsid w:val="00B93C0A"/>
    <w:rsid w:val="00B96C67"/>
    <w:rsid w:val="00BA0A27"/>
    <w:rsid w:val="00BA3BA8"/>
    <w:rsid w:val="00BA740E"/>
    <w:rsid w:val="00BA764B"/>
    <w:rsid w:val="00BB69BF"/>
    <w:rsid w:val="00BB7385"/>
    <w:rsid w:val="00BC3763"/>
    <w:rsid w:val="00BD46C6"/>
    <w:rsid w:val="00BE3034"/>
    <w:rsid w:val="00BE3148"/>
    <w:rsid w:val="00BE6327"/>
    <w:rsid w:val="00BF0A80"/>
    <w:rsid w:val="00BF33D5"/>
    <w:rsid w:val="00BF3FBD"/>
    <w:rsid w:val="00C11922"/>
    <w:rsid w:val="00C129A5"/>
    <w:rsid w:val="00C13952"/>
    <w:rsid w:val="00C14219"/>
    <w:rsid w:val="00C2228E"/>
    <w:rsid w:val="00C24A7F"/>
    <w:rsid w:val="00C2790C"/>
    <w:rsid w:val="00C32393"/>
    <w:rsid w:val="00C35F4C"/>
    <w:rsid w:val="00C36566"/>
    <w:rsid w:val="00C36F65"/>
    <w:rsid w:val="00C416C3"/>
    <w:rsid w:val="00C44387"/>
    <w:rsid w:val="00C45315"/>
    <w:rsid w:val="00C46195"/>
    <w:rsid w:val="00C543CB"/>
    <w:rsid w:val="00C60B2F"/>
    <w:rsid w:val="00C618CA"/>
    <w:rsid w:val="00C631C5"/>
    <w:rsid w:val="00C631D5"/>
    <w:rsid w:val="00C72BF7"/>
    <w:rsid w:val="00C74762"/>
    <w:rsid w:val="00C766A5"/>
    <w:rsid w:val="00C82BF0"/>
    <w:rsid w:val="00C90947"/>
    <w:rsid w:val="00C934D7"/>
    <w:rsid w:val="00C93608"/>
    <w:rsid w:val="00CB3B8D"/>
    <w:rsid w:val="00CB3CB7"/>
    <w:rsid w:val="00CB4323"/>
    <w:rsid w:val="00CC3076"/>
    <w:rsid w:val="00CC49AD"/>
    <w:rsid w:val="00CD2E15"/>
    <w:rsid w:val="00CD75AA"/>
    <w:rsid w:val="00CE6D0B"/>
    <w:rsid w:val="00CF2988"/>
    <w:rsid w:val="00CF78A3"/>
    <w:rsid w:val="00D1719C"/>
    <w:rsid w:val="00D21ADC"/>
    <w:rsid w:val="00D21E19"/>
    <w:rsid w:val="00D22F0D"/>
    <w:rsid w:val="00D24F57"/>
    <w:rsid w:val="00D26FCC"/>
    <w:rsid w:val="00D27221"/>
    <w:rsid w:val="00D32898"/>
    <w:rsid w:val="00D332C7"/>
    <w:rsid w:val="00D35959"/>
    <w:rsid w:val="00D40DF4"/>
    <w:rsid w:val="00D42674"/>
    <w:rsid w:val="00D442AD"/>
    <w:rsid w:val="00D51530"/>
    <w:rsid w:val="00D55D6B"/>
    <w:rsid w:val="00D61CFF"/>
    <w:rsid w:val="00D66B58"/>
    <w:rsid w:val="00D67B07"/>
    <w:rsid w:val="00D80708"/>
    <w:rsid w:val="00D807A2"/>
    <w:rsid w:val="00D819DB"/>
    <w:rsid w:val="00D85107"/>
    <w:rsid w:val="00D85EAC"/>
    <w:rsid w:val="00D86188"/>
    <w:rsid w:val="00D92355"/>
    <w:rsid w:val="00D92A44"/>
    <w:rsid w:val="00D948D4"/>
    <w:rsid w:val="00D95483"/>
    <w:rsid w:val="00D95721"/>
    <w:rsid w:val="00DA0A04"/>
    <w:rsid w:val="00DA3B0F"/>
    <w:rsid w:val="00DA7D94"/>
    <w:rsid w:val="00DB3CBC"/>
    <w:rsid w:val="00DB3F48"/>
    <w:rsid w:val="00DB5B57"/>
    <w:rsid w:val="00DC368C"/>
    <w:rsid w:val="00DC48E5"/>
    <w:rsid w:val="00DC5376"/>
    <w:rsid w:val="00DD0752"/>
    <w:rsid w:val="00DD16D9"/>
    <w:rsid w:val="00DD2109"/>
    <w:rsid w:val="00DD57CE"/>
    <w:rsid w:val="00DD6D33"/>
    <w:rsid w:val="00DD76D3"/>
    <w:rsid w:val="00DD79FB"/>
    <w:rsid w:val="00DE3D67"/>
    <w:rsid w:val="00DE609A"/>
    <w:rsid w:val="00DE694C"/>
    <w:rsid w:val="00DF16C8"/>
    <w:rsid w:val="00DF7EFA"/>
    <w:rsid w:val="00E02EA8"/>
    <w:rsid w:val="00E05DBD"/>
    <w:rsid w:val="00E0751C"/>
    <w:rsid w:val="00E10B4C"/>
    <w:rsid w:val="00E14FA7"/>
    <w:rsid w:val="00E16542"/>
    <w:rsid w:val="00E168F9"/>
    <w:rsid w:val="00E16D39"/>
    <w:rsid w:val="00E20B14"/>
    <w:rsid w:val="00E223D3"/>
    <w:rsid w:val="00E36A31"/>
    <w:rsid w:val="00E37A1F"/>
    <w:rsid w:val="00E406FE"/>
    <w:rsid w:val="00E41FC5"/>
    <w:rsid w:val="00E42688"/>
    <w:rsid w:val="00E56BF7"/>
    <w:rsid w:val="00E62AC9"/>
    <w:rsid w:val="00E63466"/>
    <w:rsid w:val="00E64176"/>
    <w:rsid w:val="00E7395B"/>
    <w:rsid w:val="00E73988"/>
    <w:rsid w:val="00E750CE"/>
    <w:rsid w:val="00E862D2"/>
    <w:rsid w:val="00E941CF"/>
    <w:rsid w:val="00E9713E"/>
    <w:rsid w:val="00EA4CCF"/>
    <w:rsid w:val="00EA77D8"/>
    <w:rsid w:val="00EA7D56"/>
    <w:rsid w:val="00EB0CC2"/>
    <w:rsid w:val="00EC0A70"/>
    <w:rsid w:val="00EC13A8"/>
    <w:rsid w:val="00EC5C18"/>
    <w:rsid w:val="00ED029F"/>
    <w:rsid w:val="00ED27CA"/>
    <w:rsid w:val="00ED2A66"/>
    <w:rsid w:val="00ED3CBB"/>
    <w:rsid w:val="00ED5781"/>
    <w:rsid w:val="00ED6F3B"/>
    <w:rsid w:val="00ED7555"/>
    <w:rsid w:val="00EE0A65"/>
    <w:rsid w:val="00EE231C"/>
    <w:rsid w:val="00EE248D"/>
    <w:rsid w:val="00EE3AA3"/>
    <w:rsid w:val="00EE3AED"/>
    <w:rsid w:val="00EF038F"/>
    <w:rsid w:val="00EF0A38"/>
    <w:rsid w:val="00EF29AE"/>
    <w:rsid w:val="00EF466B"/>
    <w:rsid w:val="00EF53AB"/>
    <w:rsid w:val="00EF6D42"/>
    <w:rsid w:val="00EF71F1"/>
    <w:rsid w:val="00F03EA1"/>
    <w:rsid w:val="00F12819"/>
    <w:rsid w:val="00F13F7B"/>
    <w:rsid w:val="00F24605"/>
    <w:rsid w:val="00F305F3"/>
    <w:rsid w:val="00F36961"/>
    <w:rsid w:val="00F37544"/>
    <w:rsid w:val="00F376E7"/>
    <w:rsid w:val="00F40EAF"/>
    <w:rsid w:val="00F505F3"/>
    <w:rsid w:val="00F53FA8"/>
    <w:rsid w:val="00F56B64"/>
    <w:rsid w:val="00F611F1"/>
    <w:rsid w:val="00F616C5"/>
    <w:rsid w:val="00F6176D"/>
    <w:rsid w:val="00F75BA9"/>
    <w:rsid w:val="00F765B6"/>
    <w:rsid w:val="00F77A26"/>
    <w:rsid w:val="00F83684"/>
    <w:rsid w:val="00F92238"/>
    <w:rsid w:val="00F94C49"/>
    <w:rsid w:val="00F95BD2"/>
    <w:rsid w:val="00F967AE"/>
    <w:rsid w:val="00F97C00"/>
    <w:rsid w:val="00F97CF5"/>
    <w:rsid w:val="00FA0905"/>
    <w:rsid w:val="00FA1BB4"/>
    <w:rsid w:val="00FA2C96"/>
    <w:rsid w:val="00FA7F67"/>
    <w:rsid w:val="00FB1411"/>
    <w:rsid w:val="00FC0869"/>
    <w:rsid w:val="00FC490A"/>
    <w:rsid w:val="00FC605B"/>
    <w:rsid w:val="00FC7C69"/>
    <w:rsid w:val="00FD6FEE"/>
    <w:rsid w:val="00FD7EE2"/>
    <w:rsid w:val="00FE0417"/>
    <w:rsid w:val="00FE07A6"/>
    <w:rsid w:val="00FE6AE3"/>
    <w:rsid w:val="00FE76A8"/>
    <w:rsid w:val="00FF5086"/>
    <w:rsid w:val="00FF6D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D6FAB69"/>
  <w15:chartTrackingRefBased/>
  <w15:docId w15:val="{DAAD0186-DCC2-4F3D-B2F5-8A5988BA0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 w:type="paragraph" w:customStyle="1" w:styleId="Default">
    <w:name w:val="Default"/>
    <w:rsid w:val="00D95721"/>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im.bird@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megan.danner@fcc.gov" TargetMode="External" /><Relationship Id="rId9" Type="http://schemas.openxmlformats.org/officeDocument/2006/relationships/hyperlink" Target="mailto:karen.johnson@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