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013A8B" w:rsidRPr="00333FD4" w:rsidP="00013A8B" w14:paraId="7C873D8B" w14:textId="4F8DA123">
      <w:pPr>
        <w:jc w:val="right"/>
        <w:rPr>
          <w:b/>
          <w:szCs w:val="22"/>
        </w:rPr>
      </w:pPr>
      <w:r w:rsidRPr="00333FD4">
        <w:rPr>
          <w:b/>
          <w:szCs w:val="22"/>
        </w:rPr>
        <w:t xml:space="preserve">DA </w:t>
      </w:r>
      <w:r w:rsidR="00013939">
        <w:rPr>
          <w:b/>
          <w:szCs w:val="22"/>
        </w:rPr>
        <w:t>26</w:t>
      </w:r>
      <w:r w:rsidRPr="00333FD4">
        <w:rPr>
          <w:b/>
          <w:szCs w:val="22"/>
        </w:rPr>
        <w:t>-</w:t>
      </w:r>
      <w:r w:rsidR="00A42A40">
        <w:rPr>
          <w:b/>
          <w:szCs w:val="22"/>
        </w:rPr>
        <w:t>205</w:t>
      </w:r>
    </w:p>
    <w:p w:rsidR="00013A8B" w:rsidRPr="00333FD4" w:rsidP="00013A8B" w14:paraId="6B5109C2" w14:textId="16BC2947">
      <w:pPr>
        <w:spacing w:before="60"/>
        <w:jc w:val="right"/>
        <w:rPr>
          <w:b/>
          <w:szCs w:val="22"/>
        </w:rPr>
      </w:pPr>
      <w:r w:rsidRPr="00333FD4">
        <w:rPr>
          <w:b/>
          <w:szCs w:val="22"/>
        </w:rPr>
        <w:t xml:space="preserve">Released:  </w:t>
      </w:r>
      <w:r w:rsidR="00013939">
        <w:rPr>
          <w:b/>
          <w:szCs w:val="22"/>
        </w:rPr>
        <w:t>February</w:t>
      </w:r>
      <w:r w:rsidRPr="00333FD4" w:rsidR="00333FD4">
        <w:rPr>
          <w:b/>
          <w:szCs w:val="22"/>
        </w:rPr>
        <w:t xml:space="preserve"> </w:t>
      </w:r>
      <w:r w:rsidRPr="00545779" w:rsidR="00545779">
        <w:rPr>
          <w:b/>
          <w:szCs w:val="22"/>
        </w:rPr>
        <w:t>2</w:t>
      </w:r>
      <w:r w:rsidR="00A42A40">
        <w:rPr>
          <w:b/>
          <w:szCs w:val="22"/>
        </w:rPr>
        <w:t>7</w:t>
      </w:r>
      <w:r w:rsidRPr="00333FD4" w:rsidR="00333FD4">
        <w:rPr>
          <w:b/>
          <w:szCs w:val="22"/>
        </w:rPr>
        <w:t>, 202</w:t>
      </w:r>
      <w:r w:rsidR="00013939">
        <w:rPr>
          <w:b/>
          <w:szCs w:val="22"/>
        </w:rPr>
        <w:t>6</w:t>
      </w:r>
    </w:p>
    <w:p w:rsidR="00F96F63" w:rsidP="00F96F63" w14:paraId="5589EEF6" w14:textId="77777777">
      <w:pPr>
        <w:rPr>
          <w:sz w:val="24"/>
        </w:rPr>
      </w:pPr>
    </w:p>
    <w:p w:rsidR="00333FD4" w:rsidP="0038019D" w14:paraId="3C08808D" w14:textId="01CCD449">
      <w:pPr>
        <w:ind w:hanging="187"/>
        <w:jc w:val="center"/>
        <w:rPr>
          <w:b/>
          <w:szCs w:val="22"/>
        </w:rPr>
      </w:pPr>
      <w:r>
        <w:rPr>
          <w:b/>
          <w:szCs w:val="22"/>
        </w:rPr>
        <w:t>Guard Band Licensee</w:t>
      </w:r>
      <w:r w:rsidR="0013116D">
        <w:rPr>
          <w:b/>
          <w:szCs w:val="22"/>
        </w:rPr>
        <w:t>s</w:t>
      </w:r>
      <w:r>
        <w:rPr>
          <w:b/>
          <w:szCs w:val="22"/>
        </w:rPr>
        <w:t xml:space="preserve"> and Band Manager</w:t>
      </w:r>
      <w:r w:rsidR="0013116D">
        <w:rPr>
          <w:b/>
          <w:szCs w:val="22"/>
        </w:rPr>
        <w:t xml:space="preserve">s No Longer Required to </w:t>
      </w:r>
      <w:r w:rsidR="0071380A">
        <w:rPr>
          <w:b/>
          <w:szCs w:val="22"/>
        </w:rPr>
        <w:t xml:space="preserve">File </w:t>
      </w:r>
      <w:r>
        <w:rPr>
          <w:b/>
          <w:szCs w:val="22"/>
        </w:rPr>
        <w:t xml:space="preserve">Annual Reports </w:t>
      </w:r>
    </w:p>
    <w:p w:rsidR="00333FD4" w:rsidP="00333FD4" w14:paraId="2D3887E0" w14:textId="77777777">
      <w:pPr>
        <w:ind w:hanging="180"/>
        <w:rPr>
          <w:szCs w:val="22"/>
        </w:rPr>
      </w:pPr>
    </w:p>
    <w:p w:rsidR="00333FD4" w:rsidP="00333FD4" w14:paraId="6CC1705E" w14:textId="5139B102">
      <w:pPr>
        <w:rPr>
          <w:szCs w:val="22"/>
        </w:rPr>
      </w:pPr>
      <w:r>
        <w:rPr>
          <w:szCs w:val="22"/>
        </w:rPr>
        <w:tab/>
        <w:t xml:space="preserve">By this Public Notice, the Wireless Telecommunications Bureau (Bureau) </w:t>
      </w:r>
      <w:r w:rsidR="0071380A">
        <w:rPr>
          <w:szCs w:val="22"/>
        </w:rPr>
        <w:t xml:space="preserve">advises </w:t>
      </w:r>
      <w:r>
        <w:rPr>
          <w:szCs w:val="22"/>
        </w:rPr>
        <w:t>700 MHz Guard Band Licensees</w:t>
      </w:r>
      <w:r>
        <w:rPr>
          <w:rStyle w:val="FootnoteReference"/>
          <w:szCs w:val="22"/>
        </w:rPr>
        <w:footnoteReference w:id="3"/>
      </w:r>
      <w:r>
        <w:rPr>
          <w:szCs w:val="22"/>
        </w:rPr>
        <w:t xml:space="preserve"> and 220 MHz Band Managers</w:t>
      </w:r>
      <w:r>
        <w:rPr>
          <w:rStyle w:val="FootnoteReference"/>
          <w:szCs w:val="22"/>
        </w:rPr>
        <w:footnoteReference w:id="4"/>
      </w:r>
      <w:r>
        <w:rPr>
          <w:szCs w:val="22"/>
        </w:rPr>
        <w:t xml:space="preserve"> (hereafter “Licensees”) </w:t>
      </w:r>
      <w:r w:rsidR="0071380A">
        <w:rPr>
          <w:szCs w:val="22"/>
        </w:rPr>
        <w:t xml:space="preserve">that they are no longer required to </w:t>
      </w:r>
      <w:r w:rsidR="002465B1">
        <w:rPr>
          <w:szCs w:val="22"/>
        </w:rPr>
        <w:t>file annual reports.</w:t>
      </w:r>
      <w:r w:rsidR="00BE5C52">
        <w:rPr>
          <w:szCs w:val="22"/>
        </w:rPr>
        <w:t xml:space="preserve">  Heretofore, </w:t>
      </w:r>
      <w:r w:rsidR="00340531">
        <w:rPr>
          <w:szCs w:val="22"/>
        </w:rPr>
        <w:t>Licensees were required to file annual reports by March 1 of each year</w:t>
      </w:r>
      <w:r w:rsidR="001865E9">
        <w:rPr>
          <w:szCs w:val="22"/>
        </w:rPr>
        <w:t xml:space="preserve">, </w:t>
      </w:r>
      <w:r w:rsidR="006E6457">
        <w:rPr>
          <w:szCs w:val="22"/>
        </w:rPr>
        <w:t>submitting</w:t>
      </w:r>
      <w:r w:rsidR="001865E9">
        <w:rPr>
          <w:szCs w:val="22"/>
        </w:rPr>
        <w:t xml:space="preserve"> information </w:t>
      </w:r>
      <w:r w:rsidRPr="005063CE" w:rsidR="005063CE">
        <w:rPr>
          <w:szCs w:val="22"/>
        </w:rPr>
        <w:t>about the manner in which the spectrum in each of their markets is being utilized</w:t>
      </w:r>
      <w:r w:rsidR="005063CE">
        <w:rPr>
          <w:szCs w:val="22"/>
        </w:rPr>
        <w:t>.</w:t>
      </w:r>
      <w:r>
        <w:rPr>
          <w:rStyle w:val="FootnoteReference"/>
          <w:szCs w:val="22"/>
        </w:rPr>
        <w:footnoteReference w:id="5"/>
      </w:r>
      <w:r w:rsidR="002465B1">
        <w:rPr>
          <w:szCs w:val="22"/>
        </w:rPr>
        <w:t xml:space="preserve">  </w:t>
      </w:r>
      <w:r w:rsidR="00E300D7">
        <w:rPr>
          <w:szCs w:val="22"/>
        </w:rPr>
        <w:t>Effective</w:t>
      </w:r>
      <w:r w:rsidR="00890CD8">
        <w:rPr>
          <w:szCs w:val="22"/>
        </w:rPr>
        <w:t xml:space="preserve"> on</w:t>
      </w:r>
      <w:r w:rsidR="00E300D7">
        <w:rPr>
          <w:szCs w:val="22"/>
        </w:rPr>
        <w:t xml:space="preserve"> February 1</w:t>
      </w:r>
      <w:r w:rsidR="0070006F">
        <w:rPr>
          <w:szCs w:val="22"/>
        </w:rPr>
        <w:t>0</w:t>
      </w:r>
      <w:r w:rsidR="00E300D7">
        <w:rPr>
          <w:szCs w:val="22"/>
        </w:rPr>
        <w:t xml:space="preserve">, 2026, </w:t>
      </w:r>
      <w:r w:rsidR="00557B3C">
        <w:rPr>
          <w:szCs w:val="22"/>
        </w:rPr>
        <w:t>section 27.607</w:t>
      </w:r>
      <w:r>
        <w:rPr>
          <w:rStyle w:val="FootnoteReference"/>
          <w:szCs w:val="22"/>
        </w:rPr>
        <w:footnoteReference w:id="6"/>
      </w:r>
      <w:r w:rsidR="00A51C5C">
        <w:rPr>
          <w:szCs w:val="22"/>
        </w:rPr>
        <w:t xml:space="preserve"> </w:t>
      </w:r>
      <w:r w:rsidR="00890CD8">
        <w:rPr>
          <w:szCs w:val="22"/>
        </w:rPr>
        <w:t>was</w:t>
      </w:r>
      <w:r w:rsidR="00557B3C">
        <w:rPr>
          <w:szCs w:val="22"/>
        </w:rPr>
        <w:t xml:space="preserve"> removed </w:t>
      </w:r>
      <w:r w:rsidR="00BB51C5">
        <w:rPr>
          <w:szCs w:val="22"/>
        </w:rPr>
        <w:t>from the Code of Federal Regulations</w:t>
      </w:r>
      <w:r w:rsidR="00616DEE">
        <w:rPr>
          <w:szCs w:val="22"/>
        </w:rPr>
        <w:t xml:space="preserve"> pursuant to the Commission’s Direct Final Rule</w:t>
      </w:r>
      <w:r w:rsidR="001B304A">
        <w:rPr>
          <w:szCs w:val="22"/>
        </w:rPr>
        <w:t>,</w:t>
      </w:r>
      <w:r w:rsidR="00616DEE">
        <w:rPr>
          <w:szCs w:val="22"/>
        </w:rPr>
        <w:t xml:space="preserve"> adopted</w:t>
      </w:r>
      <w:r w:rsidR="004B15E3">
        <w:rPr>
          <w:szCs w:val="22"/>
        </w:rPr>
        <w:t xml:space="preserve"> </w:t>
      </w:r>
      <w:r w:rsidR="002F41B0">
        <w:rPr>
          <w:szCs w:val="22"/>
        </w:rPr>
        <w:t>October 2</w:t>
      </w:r>
      <w:r w:rsidR="000862A2">
        <w:rPr>
          <w:szCs w:val="22"/>
        </w:rPr>
        <w:t>8</w:t>
      </w:r>
      <w:r w:rsidR="004B15E3">
        <w:rPr>
          <w:szCs w:val="22"/>
        </w:rPr>
        <w:t>, 2025</w:t>
      </w:r>
      <w:r w:rsidR="00BB51C5">
        <w:rPr>
          <w:szCs w:val="22"/>
        </w:rPr>
        <w:t>.</w:t>
      </w:r>
      <w:r>
        <w:rPr>
          <w:rStyle w:val="FootnoteReference"/>
          <w:szCs w:val="22"/>
        </w:rPr>
        <w:footnoteReference w:id="7"/>
      </w:r>
      <w:r w:rsidR="00BB51C5">
        <w:rPr>
          <w:szCs w:val="22"/>
        </w:rPr>
        <w:t xml:space="preserve">  </w:t>
      </w:r>
      <w:r w:rsidR="00C96D7F">
        <w:rPr>
          <w:szCs w:val="22"/>
        </w:rPr>
        <w:t xml:space="preserve">The Bureau further advises Licensees that </w:t>
      </w:r>
      <w:r w:rsidR="00637076">
        <w:rPr>
          <w:szCs w:val="22"/>
        </w:rPr>
        <w:t xml:space="preserve">while they are no longer required to report annually </w:t>
      </w:r>
      <w:r w:rsidR="00033B35">
        <w:rPr>
          <w:szCs w:val="22"/>
        </w:rPr>
        <w:t xml:space="preserve">on </w:t>
      </w:r>
      <w:r w:rsidR="006656A2">
        <w:rPr>
          <w:szCs w:val="22"/>
        </w:rPr>
        <w:t xml:space="preserve">spectrum usage and service offerings, they are nevertheless </w:t>
      </w:r>
      <w:r w:rsidR="001F7D31">
        <w:rPr>
          <w:szCs w:val="22"/>
        </w:rPr>
        <w:t xml:space="preserve">still required to </w:t>
      </w:r>
      <w:r w:rsidR="00D437A0">
        <w:rPr>
          <w:szCs w:val="22"/>
        </w:rPr>
        <w:t>satisfy</w:t>
      </w:r>
      <w:r w:rsidR="001F7D31">
        <w:rPr>
          <w:szCs w:val="22"/>
        </w:rPr>
        <w:t xml:space="preserve"> all </w:t>
      </w:r>
      <w:r w:rsidR="00307D3C">
        <w:rPr>
          <w:szCs w:val="22"/>
        </w:rPr>
        <w:t xml:space="preserve">ongoing </w:t>
      </w:r>
      <w:r w:rsidR="001F7D31">
        <w:rPr>
          <w:szCs w:val="22"/>
        </w:rPr>
        <w:t xml:space="preserve">performance </w:t>
      </w:r>
      <w:r w:rsidR="00CD069F">
        <w:rPr>
          <w:szCs w:val="22"/>
        </w:rPr>
        <w:t>requirements</w:t>
      </w:r>
      <w:r w:rsidR="001F4148">
        <w:rPr>
          <w:szCs w:val="22"/>
        </w:rPr>
        <w:t>, including but not limited to band manager activities,</w:t>
      </w:r>
      <w:r w:rsidR="00D437A0">
        <w:rPr>
          <w:szCs w:val="22"/>
        </w:rPr>
        <w:t xml:space="preserve"> </w:t>
      </w:r>
      <w:r w:rsidR="003E413B">
        <w:rPr>
          <w:szCs w:val="22"/>
        </w:rPr>
        <w:t>and to comply with the Commission’s rules regarding discontinuance,</w:t>
      </w:r>
      <w:r>
        <w:rPr>
          <w:rStyle w:val="FootnoteReference"/>
          <w:szCs w:val="22"/>
        </w:rPr>
        <w:footnoteReference w:id="8"/>
      </w:r>
      <w:r w:rsidR="003E413B">
        <w:rPr>
          <w:szCs w:val="22"/>
        </w:rPr>
        <w:t xml:space="preserve"> </w:t>
      </w:r>
      <w:r w:rsidR="00D437A0">
        <w:rPr>
          <w:szCs w:val="22"/>
        </w:rPr>
        <w:t xml:space="preserve">in order to </w:t>
      </w:r>
      <w:r w:rsidR="00DD4C09">
        <w:rPr>
          <w:szCs w:val="22"/>
        </w:rPr>
        <w:t xml:space="preserve">maintain the “active” status of their </w:t>
      </w:r>
      <w:r w:rsidR="001D23A3">
        <w:rPr>
          <w:szCs w:val="22"/>
        </w:rPr>
        <w:t>licenses</w:t>
      </w:r>
      <w:r w:rsidR="00386AB2">
        <w:rPr>
          <w:szCs w:val="22"/>
        </w:rPr>
        <w:t xml:space="preserve"> and to satisfy the Commission’s performance requirements </w:t>
      </w:r>
      <w:r w:rsidR="004F17BD">
        <w:rPr>
          <w:szCs w:val="22"/>
        </w:rPr>
        <w:t xml:space="preserve">at </w:t>
      </w:r>
      <w:r w:rsidR="00331E7B">
        <w:rPr>
          <w:szCs w:val="22"/>
        </w:rPr>
        <w:t>renewal</w:t>
      </w:r>
      <w:r w:rsidR="001D23A3">
        <w:rPr>
          <w:szCs w:val="22"/>
        </w:rPr>
        <w:t>.</w:t>
      </w:r>
      <w:r>
        <w:rPr>
          <w:rStyle w:val="FootnoteReference"/>
          <w:szCs w:val="22"/>
        </w:rPr>
        <w:footnoteReference w:id="9"/>
      </w:r>
      <w:r>
        <w:rPr>
          <w:szCs w:val="22"/>
        </w:rPr>
        <w:t xml:space="preserve">  </w:t>
      </w:r>
    </w:p>
    <w:p w:rsidR="00333FD4" w:rsidP="00333FD4" w14:paraId="60806738" w14:textId="77777777">
      <w:pPr>
        <w:rPr>
          <w:b/>
          <w:szCs w:val="22"/>
        </w:rPr>
      </w:pPr>
    </w:p>
    <w:p w:rsidR="00333FD4" w:rsidRPr="00E46125" w:rsidP="00333FD4" w14:paraId="2B35DDEB" w14:textId="2401A824">
      <w:pPr>
        <w:rPr>
          <w:b/>
          <w:szCs w:val="22"/>
        </w:rPr>
      </w:pPr>
      <w:r w:rsidRPr="00E46125">
        <w:rPr>
          <w:b/>
          <w:szCs w:val="22"/>
        </w:rPr>
        <w:t xml:space="preserve">Accessing </w:t>
      </w:r>
      <w:r w:rsidR="00B82A33">
        <w:rPr>
          <w:b/>
          <w:szCs w:val="22"/>
        </w:rPr>
        <w:t xml:space="preserve">Previous </w:t>
      </w:r>
      <w:r>
        <w:rPr>
          <w:b/>
          <w:szCs w:val="22"/>
        </w:rPr>
        <w:t xml:space="preserve">Annual </w:t>
      </w:r>
      <w:r w:rsidRPr="00E46125">
        <w:rPr>
          <w:b/>
          <w:szCs w:val="22"/>
        </w:rPr>
        <w:t>Reports</w:t>
      </w:r>
    </w:p>
    <w:p w:rsidR="00333FD4" w:rsidP="00333FD4" w14:paraId="4C8F478D" w14:textId="77777777">
      <w:pPr>
        <w:rPr>
          <w:szCs w:val="22"/>
        </w:rPr>
      </w:pPr>
    </w:p>
    <w:p w:rsidR="00EE53A1" w:rsidP="00333FD4" w14:paraId="45EE882E" w14:textId="4904C5F5">
      <w:pPr>
        <w:ind w:firstLine="720"/>
        <w:rPr>
          <w:szCs w:val="22"/>
        </w:rPr>
      </w:pPr>
      <w:r>
        <w:rPr>
          <w:szCs w:val="22"/>
        </w:rPr>
        <w:t xml:space="preserve">Previously </w:t>
      </w:r>
      <w:r w:rsidR="0047198D">
        <w:rPr>
          <w:szCs w:val="22"/>
        </w:rPr>
        <w:t>submitted</w:t>
      </w:r>
      <w:r w:rsidR="00333FD4">
        <w:rPr>
          <w:szCs w:val="22"/>
        </w:rPr>
        <w:t xml:space="preserve"> reports may </w:t>
      </w:r>
      <w:r>
        <w:rPr>
          <w:szCs w:val="22"/>
        </w:rPr>
        <w:t xml:space="preserve">still </w:t>
      </w:r>
      <w:r w:rsidR="00333FD4">
        <w:rPr>
          <w:szCs w:val="22"/>
        </w:rPr>
        <w:t xml:space="preserve">be viewed at </w:t>
      </w:r>
      <w:hyperlink r:id="rId6" w:history="1">
        <w:r w:rsidRPr="00381A07" w:rsidR="00333FD4">
          <w:rPr>
            <w:rStyle w:val="Hyperlink"/>
          </w:rPr>
          <w:t>https://www.fcc.gov/annual-guard-band-reports</w:t>
        </w:r>
      </w:hyperlink>
      <w:r w:rsidR="00333FD4">
        <w:rPr>
          <w:szCs w:val="22"/>
        </w:rPr>
        <w:t xml:space="preserve"> or by ULS license search at </w:t>
      </w:r>
      <w:hyperlink r:id="rId7" w:history="1">
        <w:r w:rsidRPr="002F2350" w:rsidR="00333FD4">
          <w:rPr>
            <w:rStyle w:val="Hyperlink"/>
            <w:szCs w:val="22"/>
          </w:rPr>
          <w:t>http://wireless2.fcc.gov/UlsApp/UlsSearch/searchLicense.jsp</w:t>
        </w:r>
      </w:hyperlink>
      <w:r w:rsidR="00333FD4">
        <w:rPr>
          <w:szCs w:val="22"/>
        </w:rPr>
        <w:t xml:space="preserve">.  When accessing annual reports in ULS, search for the license by call sign and view the report in license details under attachments.  </w:t>
      </w:r>
    </w:p>
    <w:p w:rsidR="00EE53A1" w:rsidP="00333FD4" w14:paraId="3245664E" w14:textId="77777777">
      <w:pPr>
        <w:ind w:firstLine="720"/>
        <w:rPr>
          <w:szCs w:val="22"/>
        </w:rPr>
      </w:pPr>
    </w:p>
    <w:p w:rsidR="00333FD4" w:rsidP="0038019D" w14:paraId="00BC2C2C" w14:textId="51A5B77A">
      <w:pPr>
        <w:ind w:firstLine="720"/>
        <w:rPr>
          <w:szCs w:val="22"/>
        </w:rPr>
      </w:pPr>
      <w:r>
        <w:rPr>
          <w:szCs w:val="22"/>
        </w:rPr>
        <w:t xml:space="preserve">For additional information </w:t>
      </w:r>
      <w:r w:rsidR="001D23A3">
        <w:rPr>
          <w:szCs w:val="22"/>
        </w:rPr>
        <w:t>regarding ongoing guard band manager obligations</w:t>
      </w:r>
      <w:r>
        <w:rPr>
          <w:szCs w:val="22"/>
        </w:rPr>
        <w:t xml:space="preserve">, please contact Thomas Reed of the Bureau’s Mobility Division at 202-418-0531 or Thomas.Reed@fcc.gov. </w:t>
      </w:r>
    </w:p>
    <w:p w:rsidR="00930ECF" w:rsidRPr="00930ECF" w:rsidP="00F96F63" w14:paraId="27A13D9E" w14:textId="77777777">
      <w:pPr>
        <w:rPr>
          <w:sz w:val="24"/>
        </w:rPr>
      </w:pPr>
    </w:p>
    <w:sectPr w:rsidSect="002677E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1440" w:bottom="720" w:left="1440" w:header="63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97569E" w14:paraId="4789C0C9" w14:textId="77777777">
      <w:pPr>
        <w:spacing w:line="20" w:lineRule="exact"/>
      </w:pPr>
    </w:p>
  </w:endnote>
  <w:endnote w:type="continuationSeparator" w:id="1">
    <w:p w:rsidR="0097569E" w14:paraId="7B30A2AE" w14:textId="77777777">
      <w:r>
        <w:t xml:space="preserve"> </w:t>
      </w:r>
    </w:p>
  </w:endnote>
  <w:endnote w:type="continuationNotice" w:id="2">
    <w:p w:rsidR="0097569E" w14:paraId="45B8985C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7393" w:rsidP="0055614C" w14:paraId="0D9F7C73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6F7393" w14:paraId="3A75F38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7393" w:rsidP="00910F12" w14:paraId="3320352C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7393" w14:paraId="29752B21" w14:textId="77777777">
    <w:pPr>
      <w:pStyle w:val="Footer"/>
      <w:tabs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97569E" w14:paraId="304491F6" w14:textId="77777777">
      <w:r>
        <w:separator/>
      </w:r>
    </w:p>
  </w:footnote>
  <w:footnote w:type="continuationSeparator" w:id="1">
    <w:p w:rsidR="0097569E" w14:paraId="0F9049AE" w14:textId="77777777">
      <w:pPr>
        <w:rPr>
          <w:sz w:val="20"/>
        </w:rPr>
      </w:pPr>
      <w:r>
        <w:rPr>
          <w:sz w:val="20"/>
        </w:rPr>
        <w:t xml:space="preserve">(Continued from previous page)  </w:t>
      </w:r>
      <w:r>
        <w:rPr>
          <w:sz w:val="20"/>
        </w:rPr>
        <w:separator/>
      </w:r>
    </w:p>
  </w:footnote>
  <w:footnote w:type="continuationNotice" w:id="2">
    <w:p w:rsidR="0097569E" w:rsidP="00910F12" w14:paraId="720E2B3B" w14:textId="77777777">
      <w:pPr>
        <w:jc w:val="right"/>
        <w:rPr>
          <w:sz w:val="20"/>
        </w:rPr>
      </w:pPr>
      <w:r>
        <w:rPr>
          <w:sz w:val="20"/>
        </w:rPr>
        <w:t>(continued….)</w:t>
      </w:r>
    </w:p>
  </w:footnote>
  <w:footnote w:id="3">
    <w:p w:rsidR="00333FD4" w:rsidRPr="0035595D" w:rsidP="00333FD4" w14:paraId="4DF733E7" w14:textId="1FD537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478BE">
        <w:rPr>
          <w:i/>
        </w:rPr>
        <w:t>See</w:t>
      </w:r>
      <w:r w:rsidRPr="00D478BE">
        <w:t xml:space="preserve"> </w:t>
      </w:r>
      <w:r w:rsidR="00F42AA6">
        <w:t xml:space="preserve">former </w:t>
      </w:r>
      <w:r w:rsidRPr="00D478BE">
        <w:t>47 CFR § 27.607.</w:t>
      </w:r>
    </w:p>
  </w:footnote>
  <w:footnote w:id="4">
    <w:p w:rsidR="00333FD4" w:rsidRPr="00503D86" w:rsidP="00333FD4" w14:paraId="1F8F0D4C" w14:textId="0347FD8B">
      <w:pPr>
        <w:pStyle w:val="FootnoteText"/>
      </w:pPr>
      <w:r>
        <w:rPr>
          <w:rStyle w:val="FootnoteReference"/>
        </w:rPr>
        <w:footnoteRef/>
      </w:r>
      <w:r>
        <w:rPr>
          <w:i/>
        </w:rPr>
        <w:t xml:space="preserve"> See</w:t>
      </w:r>
      <w:r>
        <w:t xml:space="preserve"> </w:t>
      </w:r>
      <w:r w:rsidRPr="00EE2C68">
        <w:rPr>
          <w:i/>
        </w:rPr>
        <w:t>Request for Waivers to Provide Band Management Services Utilizing Licenses in the 220</w:t>
      </w:r>
      <w:r w:rsidRPr="00B85C56" w:rsidR="00B85C56">
        <w:rPr>
          <w:i/>
        </w:rPr>
        <w:t>–</w:t>
      </w:r>
      <w:r w:rsidRPr="00EE2C68">
        <w:rPr>
          <w:i/>
        </w:rPr>
        <w:t>222 MHz Band</w:t>
      </w:r>
      <w:r>
        <w:t xml:space="preserve">, WT Docket 02-224, </w:t>
      </w:r>
      <w:r w:rsidRPr="00EE2C68">
        <w:t>Memorandum Opinion and Order</w:t>
      </w:r>
      <w:r>
        <w:t>, 17 FCC Rcd 20464, 20470 (WTB 2002) (</w:t>
      </w:r>
      <w:r>
        <w:rPr>
          <w:i/>
        </w:rPr>
        <w:t>Access 220 MO&amp;O</w:t>
      </w:r>
      <w:r>
        <w:t xml:space="preserve">); </w:t>
      </w:r>
      <w:r w:rsidRPr="00EE2C68">
        <w:rPr>
          <w:i/>
        </w:rPr>
        <w:t>Access 220, LLC., Assignor, and Spectrum Equity, Inc., Assignee, Application for Assignment of 220 MHz Licenses and Request for Waiver</w:t>
      </w:r>
      <w:r w:rsidRPr="00503D86">
        <w:t xml:space="preserve">, </w:t>
      </w:r>
      <w:r w:rsidRPr="00EE2C68">
        <w:t>Memorandum Opinion and Order</w:t>
      </w:r>
      <w:r w:rsidRPr="00503D86">
        <w:t xml:space="preserve">, 27 FCC Rcd 9321 (WTB 2012).  </w:t>
      </w:r>
    </w:p>
  </w:footnote>
  <w:footnote w:id="5">
    <w:p w:rsidR="00F42AA6" w14:paraId="565AB9EE" w14:textId="2D487C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452C5">
        <w:rPr>
          <w:i/>
          <w:iCs/>
        </w:rPr>
        <w:t>See</w:t>
      </w:r>
      <w:r w:rsidRPr="00F42AA6">
        <w:t xml:space="preserve"> </w:t>
      </w:r>
      <w:r w:rsidRPr="00574572">
        <w:rPr>
          <w:i/>
          <w:iCs/>
        </w:rPr>
        <w:t>Service Rules for the 746–764 and 776–794 MHz Bands, and Revisions to Part 27 of the Commission’s Rules</w:t>
      </w:r>
      <w:r w:rsidRPr="00F42AA6">
        <w:t>, WT Docket No. 99-168, Second Report and Order, 15 FCC Rcd 5299, para. 79 (2000); 47 CFR § 27.607(b).</w:t>
      </w:r>
    </w:p>
  </w:footnote>
  <w:footnote w:id="6">
    <w:p w:rsidR="00A51C5C" w:rsidRPr="00503D86" w:rsidP="00A51C5C" w14:paraId="6DE67D65" w14:textId="77777777">
      <w:pPr>
        <w:pStyle w:val="FootnoteText"/>
      </w:pPr>
      <w:r w:rsidRPr="00503D86">
        <w:rPr>
          <w:rStyle w:val="FootnoteReference"/>
        </w:rPr>
        <w:footnoteRef/>
      </w:r>
      <w:r w:rsidRPr="00503D86">
        <w:t xml:space="preserve"> Section 27.60</w:t>
      </w:r>
      <w:r>
        <w:t>7</w:t>
      </w:r>
      <w:r w:rsidRPr="00503D86">
        <w:t xml:space="preserve">(b) provides that the annual reports must be filed by March 1.  </w:t>
      </w:r>
      <w:r>
        <w:t xml:space="preserve">47 CFR. § 27.607(b).  </w:t>
      </w:r>
    </w:p>
  </w:footnote>
  <w:footnote w:id="7">
    <w:p w:rsidR="00BB51C5" w14:paraId="30ECB736" w14:textId="50DF43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926E2" w:rsidR="00B62D76">
        <w:rPr>
          <w:i/>
          <w:iCs/>
        </w:rPr>
        <w:t>See</w:t>
      </w:r>
      <w:r w:rsidR="00B62D76">
        <w:t xml:space="preserve"> </w:t>
      </w:r>
      <w:r w:rsidRPr="00F926E2" w:rsidR="00574572">
        <w:rPr>
          <w:i/>
          <w:iCs/>
        </w:rPr>
        <w:t>Delete, Delete, Delete</w:t>
      </w:r>
      <w:r w:rsidR="00F926E2">
        <w:t xml:space="preserve">, GN Docket No. 25-133, </w:t>
      </w:r>
      <w:r w:rsidR="00986A6A">
        <w:t>Direct Final Order,</w:t>
      </w:r>
      <w:r w:rsidR="001B1118">
        <w:t xml:space="preserve"> </w:t>
      </w:r>
      <w:r w:rsidRPr="00776CC7" w:rsidR="001B1118">
        <w:t>2025 WL 3677914</w:t>
      </w:r>
      <w:r w:rsidR="001B1118">
        <w:rPr>
          <w:b/>
          <w:bCs/>
        </w:rPr>
        <w:t xml:space="preserve"> </w:t>
      </w:r>
      <w:r w:rsidR="00986A6A">
        <w:t>(WTB 2025)</w:t>
      </w:r>
      <w:r w:rsidR="005832B4">
        <w:t>, 90 Fed. Reg</w:t>
      </w:r>
      <w:r w:rsidR="002F41B0">
        <w:t>.</w:t>
      </w:r>
      <w:r w:rsidR="005064C6">
        <w:t xml:space="preserve"> 57698, </w:t>
      </w:r>
      <w:r w:rsidR="007C455D">
        <w:t>57705 (Dec. 12, 2025).</w:t>
      </w:r>
    </w:p>
  </w:footnote>
  <w:footnote w:id="8">
    <w:p w:rsidR="003E413B" w14:paraId="6E89DB6F" w14:textId="20402C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11D2E">
        <w:rPr>
          <w:i/>
          <w:iCs/>
        </w:rPr>
        <w:t>See</w:t>
      </w:r>
      <w:r>
        <w:t xml:space="preserve"> </w:t>
      </w:r>
      <w:r w:rsidR="00D03BCA">
        <w:t xml:space="preserve">47 CFR </w:t>
      </w:r>
      <w:r w:rsidR="00331E7B">
        <w:t>§ 1.9</w:t>
      </w:r>
      <w:r w:rsidR="00111D2E">
        <w:t>53.</w:t>
      </w:r>
    </w:p>
  </w:footnote>
  <w:footnote w:id="9">
    <w:p w:rsidR="00331E7B" w14:paraId="75AA1C52" w14:textId="31A430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11D2E" w:rsidR="00111D2E">
        <w:rPr>
          <w:i/>
          <w:iCs/>
        </w:rPr>
        <w:t>See</w:t>
      </w:r>
      <w:r w:rsidR="00111D2E">
        <w:t xml:space="preserve"> 47 CFR § 1.949.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38BC" w:rsidRPr="009838BC" w:rsidP="009838BC" w14:paraId="3E43B890" w14:textId="42BF8E62">
    <w:pPr>
      <w:tabs>
        <w:tab w:val="center" w:pos="4680"/>
        <w:tab w:val="right" w:pos="9360"/>
      </w:tabs>
    </w:pPr>
    <w:r w:rsidRPr="009838BC">
      <w:rPr>
        <w:b/>
      </w:rPr>
      <w:tab/>
      <w:t>Federal Communications Commission</w:t>
    </w:r>
    <w:r w:rsidRPr="009838BC">
      <w:rPr>
        <w:b/>
      </w:rPr>
      <w:tab/>
    </w:r>
    <w:r w:rsidR="0067099C">
      <w:rPr>
        <w:b/>
      </w:rPr>
      <w:t>DA 2</w:t>
    </w:r>
    <w:r w:rsidR="008B3F31">
      <w:rPr>
        <w:b/>
      </w:rPr>
      <w:t>5</w:t>
    </w:r>
    <w:r w:rsidR="0067099C">
      <w:rPr>
        <w:b/>
      </w:rPr>
      <w:t>-</w:t>
    </w:r>
    <w:r w:rsidRPr="0067099C" w:rsidR="0067099C">
      <w:rPr>
        <w:b/>
        <w:highlight w:val="yellow"/>
      </w:rPr>
      <w:t>XXX</w:t>
    </w:r>
  </w:p>
  <w:p w:rsidR="009838BC" w:rsidRPr="009838BC" w:rsidP="009838BC" w14:paraId="470C3824" w14:textId="6C94C48E">
    <w:pPr>
      <w:tabs>
        <w:tab w:val="left" w:pos="-720"/>
      </w:tabs>
      <w:suppressAutoHyphens/>
      <w:spacing w:line="19" w:lineRule="exact"/>
      <w:rPr>
        <w:spacing w:val="-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2700000" dist="35921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2049" style="width:468pt;height:0.95pt;margin-top:0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color="black" stroked="f" strokeweight="0.05pt">
              <w10:wrap anchorx="margin"/>
            </v:rect>
          </w:pict>
        </mc:Fallback>
      </mc:AlternateContent>
    </w:r>
  </w:p>
  <w:p w:rsidR="009838BC" w:rsidRPr="009838BC" w:rsidP="009838BC" w14:paraId="3AD29006" w14:textId="77777777">
    <w:pPr>
      <w:spacing w:before="40"/>
      <w:rPr>
        <w:rFonts w:ascii="Arial" w:hAnsi="Arial" w:cs="Arial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38BC" w:rsidRPr="00357D50" w:rsidP="009838BC" w14:paraId="472260D1" w14:textId="0BD52D58">
    <w:pPr>
      <w:spacing w:before="40"/>
      <w:rPr>
        <w:rFonts w:ascii="Arial" w:hAnsi="Arial" w:cs="Arial"/>
        <w:b/>
        <w:sz w:val="96"/>
      </w:rPr>
    </w:pPr>
    <w:r>
      <w:rPr>
        <w:noProof/>
        <w:snapToGrid/>
      </w:rPr>
      <w:drawing>
        <wp:inline distT="0" distB="0" distL="0" distR="0">
          <wp:extent cx="5943600" cy="1426210"/>
          <wp:effectExtent l="0" t="0" r="0" b="2540"/>
          <wp:docPr id="1701168459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168459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26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503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720089</wp:posOffset>
              </wp:positionV>
              <wp:extent cx="59436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2050" style="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square;position:absolute;visibility:visible;z-index:251661312" from="416.8pt,56.7pt" to="884.8pt,56.7pt" o:allowincell="f">
              <w10:wrap anchorx="margin"/>
            </v:line>
          </w:pict>
        </mc:Fallback>
      </mc:AlternateContent>
    </w:r>
  </w:p>
  <w:p w:rsidR="006F7393" w:rsidRPr="009838BC" w:rsidP="009838BC" w14:paraId="0CE911B0" w14:textId="77777777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4B453C"/>
    <w:multiLevelType w:val="singleLevel"/>
    <w:tmpl w:val="40A8E97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">
    <w:nsid w:val="23F40A0F"/>
    <w:multiLevelType w:val="singleLevel"/>
    <w:tmpl w:val="3244D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8246F3"/>
    <w:multiLevelType w:val="singleLevel"/>
    <w:tmpl w:val="B1F4567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">
    <w:nsid w:val="27E06CBB"/>
    <w:multiLevelType w:val="multilevel"/>
    <w:tmpl w:val="F1A8698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>
    <w:nsid w:val="4DF61CE4"/>
    <w:multiLevelType w:val="multilevel"/>
    <w:tmpl w:val="F1A8698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>
    <w:nsid w:val="61182925"/>
    <w:multiLevelType w:val="singleLevel"/>
    <w:tmpl w:val="D180CED0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1114785542">
    <w:abstractNumId w:val="1"/>
  </w:num>
  <w:num w:numId="2" w16cid:durableId="785195582">
    <w:abstractNumId w:val="5"/>
  </w:num>
  <w:num w:numId="3" w16cid:durableId="1310555008">
    <w:abstractNumId w:val="3"/>
  </w:num>
  <w:num w:numId="4" w16cid:durableId="836384636">
    <w:abstractNumId w:val="4"/>
  </w:num>
  <w:num w:numId="5" w16cid:durableId="497116591">
    <w:abstractNumId w:val="2"/>
  </w:num>
  <w:num w:numId="6" w16cid:durableId="31438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linkStyle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D4"/>
    <w:rsid w:val="000072CE"/>
    <w:rsid w:val="00013939"/>
    <w:rsid w:val="00013A8B"/>
    <w:rsid w:val="00021445"/>
    <w:rsid w:val="000328B3"/>
    <w:rsid w:val="00033B35"/>
    <w:rsid w:val="00036039"/>
    <w:rsid w:val="00037F90"/>
    <w:rsid w:val="000452C5"/>
    <w:rsid w:val="000862A2"/>
    <w:rsid w:val="000875BF"/>
    <w:rsid w:val="00096D8C"/>
    <w:rsid w:val="000C0B65"/>
    <w:rsid w:val="000E3D42"/>
    <w:rsid w:val="000E5884"/>
    <w:rsid w:val="00110701"/>
    <w:rsid w:val="00111D2E"/>
    <w:rsid w:val="00122BD5"/>
    <w:rsid w:val="0013116D"/>
    <w:rsid w:val="001865E9"/>
    <w:rsid w:val="00187C73"/>
    <w:rsid w:val="001942EA"/>
    <w:rsid w:val="00196589"/>
    <w:rsid w:val="001979D9"/>
    <w:rsid w:val="001B1118"/>
    <w:rsid w:val="001B304A"/>
    <w:rsid w:val="001D23A3"/>
    <w:rsid w:val="001D6BCF"/>
    <w:rsid w:val="001E01CA"/>
    <w:rsid w:val="001F2E99"/>
    <w:rsid w:val="001F4148"/>
    <w:rsid w:val="001F7D31"/>
    <w:rsid w:val="002060D9"/>
    <w:rsid w:val="00226822"/>
    <w:rsid w:val="002465B1"/>
    <w:rsid w:val="00252CF3"/>
    <w:rsid w:val="00260594"/>
    <w:rsid w:val="002677E2"/>
    <w:rsid w:val="00285017"/>
    <w:rsid w:val="0029503A"/>
    <w:rsid w:val="002A2D2E"/>
    <w:rsid w:val="002D22A8"/>
    <w:rsid w:val="002E7F55"/>
    <w:rsid w:val="002F0036"/>
    <w:rsid w:val="002F2350"/>
    <w:rsid w:val="002F41B0"/>
    <w:rsid w:val="002F63B5"/>
    <w:rsid w:val="00307D3C"/>
    <w:rsid w:val="00323CA3"/>
    <w:rsid w:val="00331E7B"/>
    <w:rsid w:val="00333FD4"/>
    <w:rsid w:val="00337936"/>
    <w:rsid w:val="00340531"/>
    <w:rsid w:val="00343749"/>
    <w:rsid w:val="0035595D"/>
    <w:rsid w:val="003567B0"/>
    <w:rsid w:val="00357D50"/>
    <w:rsid w:val="003737FD"/>
    <w:rsid w:val="0038019D"/>
    <w:rsid w:val="00381A07"/>
    <w:rsid w:val="00386AB2"/>
    <w:rsid w:val="003925DC"/>
    <w:rsid w:val="00393101"/>
    <w:rsid w:val="003B0550"/>
    <w:rsid w:val="003B694F"/>
    <w:rsid w:val="003D7C61"/>
    <w:rsid w:val="003E413B"/>
    <w:rsid w:val="003F171C"/>
    <w:rsid w:val="00412FC5"/>
    <w:rsid w:val="00422276"/>
    <w:rsid w:val="004242F1"/>
    <w:rsid w:val="00437243"/>
    <w:rsid w:val="00445A00"/>
    <w:rsid w:val="00451B0F"/>
    <w:rsid w:val="0046125F"/>
    <w:rsid w:val="0047198D"/>
    <w:rsid w:val="00487524"/>
    <w:rsid w:val="00496106"/>
    <w:rsid w:val="004A69C7"/>
    <w:rsid w:val="004B15E3"/>
    <w:rsid w:val="004B395B"/>
    <w:rsid w:val="004B42B9"/>
    <w:rsid w:val="004C12D0"/>
    <w:rsid w:val="004C2EE3"/>
    <w:rsid w:val="004E4A22"/>
    <w:rsid w:val="004F17BD"/>
    <w:rsid w:val="00503D86"/>
    <w:rsid w:val="005063CE"/>
    <w:rsid w:val="005064C6"/>
    <w:rsid w:val="00511968"/>
    <w:rsid w:val="00545779"/>
    <w:rsid w:val="0055614C"/>
    <w:rsid w:val="00557B3C"/>
    <w:rsid w:val="00574572"/>
    <w:rsid w:val="005832B4"/>
    <w:rsid w:val="00607BA5"/>
    <w:rsid w:val="00616DEE"/>
    <w:rsid w:val="00626EB6"/>
    <w:rsid w:val="00632AAA"/>
    <w:rsid w:val="006353A3"/>
    <w:rsid w:val="00637076"/>
    <w:rsid w:val="0064029B"/>
    <w:rsid w:val="00655D03"/>
    <w:rsid w:val="006656A2"/>
    <w:rsid w:val="0067099C"/>
    <w:rsid w:val="00683F84"/>
    <w:rsid w:val="006A6A81"/>
    <w:rsid w:val="006D37FB"/>
    <w:rsid w:val="006E26AF"/>
    <w:rsid w:val="006E6457"/>
    <w:rsid w:val="006F7393"/>
    <w:rsid w:val="0070006F"/>
    <w:rsid w:val="0070224F"/>
    <w:rsid w:val="007115F7"/>
    <w:rsid w:val="0071380A"/>
    <w:rsid w:val="00727CFC"/>
    <w:rsid w:val="00751335"/>
    <w:rsid w:val="00774629"/>
    <w:rsid w:val="00776CC7"/>
    <w:rsid w:val="00785689"/>
    <w:rsid w:val="0079754B"/>
    <w:rsid w:val="007A1E6D"/>
    <w:rsid w:val="007C455D"/>
    <w:rsid w:val="007C52A9"/>
    <w:rsid w:val="007F5243"/>
    <w:rsid w:val="007F57EF"/>
    <w:rsid w:val="00822CE0"/>
    <w:rsid w:val="00827DD2"/>
    <w:rsid w:val="00837C62"/>
    <w:rsid w:val="00837DA6"/>
    <w:rsid w:val="00841AB1"/>
    <w:rsid w:val="00890CD8"/>
    <w:rsid w:val="008951FF"/>
    <w:rsid w:val="008B3F31"/>
    <w:rsid w:val="008C22FD"/>
    <w:rsid w:val="00910F12"/>
    <w:rsid w:val="00926503"/>
    <w:rsid w:val="00930ECF"/>
    <w:rsid w:val="0097569E"/>
    <w:rsid w:val="009838BC"/>
    <w:rsid w:val="00986A6A"/>
    <w:rsid w:val="009A1870"/>
    <w:rsid w:val="009F06D1"/>
    <w:rsid w:val="00A06D4E"/>
    <w:rsid w:val="00A37C67"/>
    <w:rsid w:val="00A42A40"/>
    <w:rsid w:val="00A45F4F"/>
    <w:rsid w:val="00A51C5C"/>
    <w:rsid w:val="00A600A9"/>
    <w:rsid w:val="00A7474C"/>
    <w:rsid w:val="00A9004F"/>
    <w:rsid w:val="00AA55B7"/>
    <w:rsid w:val="00AA5B9E"/>
    <w:rsid w:val="00AB2407"/>
    <w:rsid w:val="00AB53DF"/>
    <w:rsid w:val="00AC2329"/>
    <w:rsid w:val="00AF2368"/>
    <w:rsid w:val="00B07E5C"/>
    <w:rsid w:val="00B216D3"/>
    <w:rsid w:val="00B326E3"/>
    <w:rsid w:val="00B62D76"/>
    <w:rsid w:val="00B811F7"/>
    <w:rsid w:val="00B8241E"/>
    <w:rsid w:val="00B82A33"/>
    <w:rsid w:val="00B82EF3"/>
    <w:rsid w:val="00B85C56"/>
    <w:rsid w:val="00BA5DC6"/>
    <w:rsid w:val="00BA6196"/>
    <w:rsid w:val="00BA6FF1"/>
    <w:rsid w:val="00BB51C5"/>
    <w:rsid w:val="00BC6D8C"/>
    <w:rsid w:val="00BD0EF8"/>
    <w:rsid w:val="00BE5C52"/>
    <w:rsid w:val="00BF00A1"/>
    <w:rsid w:val="00C16AF2"/>
    <w:rsid w:val="00C34006"/>
    <w:rsid w:val="00C41273"/>
    <w:rsid w:val="00C426B1"/>
    <w:rsid w:val="00C75BF2"/>
    <w:rsid w:val="00C82B6B"/>
    <w:rsid w:val="00C90D6A"/>
    <w:rsid w:val="00C96D7F"/>
    <w:rsid w:val="00CC72B6"/>
    <w:rsid w:val="00CD069F"/>
    <w:rsid w:val="00CD178C"/>
    <w:rsid w:val="00CD33ED"/>
    <w:rsid w:val="00D0218D"/>
    <w:rsid w:val="00D03BCA"/>
    <w:rsid w:val="00D437A0"/>
    <w:rsid w:val="00D478BE"/>
    <w:rsid w:val="00D66F7F"/>
    <w:rsid w:val="00D82A9D"/>
    <w:rsid w:val="00DA2529"/>
    <w:rsid w:val="00DB130A"/>
    <w:rsid w:val="00DC10A1"/>
    <w:rsid w:val="00DC655F"/>
    <w:rsid w:val="00DD43A7"/>
    <w:rsid w:val="00DD4C09"/>
    <w:rsid w:val="00DD53A3"/>
    <w:rsid w:val="00DD7EBD"/>
    <w:rsid w:val="00DE0AB8"/>
    <w:rsid w:val="00DF62B6"/>
    <w:rsid w:val="00E07225"/>
    <w:rsid w:val="00E155B7"/>
    <w:rsid w:val="00E300D7"/>
    <w:rsid w:val="00E46125"/>
    <w:rsid w:val="00E5409F"/>
    <w:rsid w:val="00E57DC7"/>
    <w:rsid w:val="00E81C87"/>
    <w:rsid w:val="00E853ED"/>
    <w:rsid w:val="00EA7083"/>
    <w:rsid w:val="00EC0185"/>
    <w:rsid w:val="00EC3C5B"/>
    <w:rsid w:val="00EE2C68"/>
    <w:rsid w:val="00EE53A1"/>
    <w:rsid w:val="00F021FA"/>
    <w:rsid w:val="00F03C48"/>
    <w:rsid w:val="00F15887"/>
    <w:rsid w:val="00F42AA6"/>
    <w:rsid w:val="00F57ACA"/>
    <w:rsid w:val="00F62E97"/>
    <w:rsid w:val="00F64209"/>
    <w:rsid w:val="00F86E0D"/>
    <w:rsid w:val="00F926E2"/>
    <w:rsid w:val="00F93BF5"/>
    <w:rsid w:val="00F9529F"/>
    <w:rsid w:val="00F96F63"/>
    <w:rsid w:val="00FA02A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51727F0"/>
  <w15:chartTrackingRefBased/>
  <w15:docId w15:val="{54EE31C0-6B82-45B4-B5FE-6661CEF5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2A40"/>
    <w:pPr>
      <w:widowControl w:val="0"/>
    </w:pPr>
    <w:rPr>
      <w:snapToGrid w:val="0"/>
      <w:kern w:val="28"/>
      <w:sz w:val="22"/>
    </w:rPr>
  </w:style>
  <w:style w:type="paragraph" w:styleId="Heading1">
    <w:name w:val="heading 1"/>
    <w:basedOn w:val="Normal"/>
    <w:next w:val="ParaNum"/>
    <w:qFormat/>
    <w:rsid w:val="00A42A40"/>
    <w:pPr>
      <w:keepNext/>
      <w:numPr>
        <w:numId w:val="3"/>
      </w:numPr>
      <w:tabs>
        <w:tab w:val="left" w:pos="720"/>
      </w:tabs>
      <w:suppressAutoHyphens/>
      <w:spacing w:after="120"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Normal"/>
    <w:next w:val="ParaNum"/>
    <w:autoRedefine/>
    <w:qFormat/>
    <w:rsid w:val="00A42A40"/>
    <w:pPr>
      <w:keepNext/>
      <w:numPr>
        <w:ilvl w:val="1"/>
        <w:numId w:val="3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ParaNum"/>
    <w:qFormat/>
    <w:rsid w:val="00A42A40"/>
    <w:pPr>
      <w:keepNext/>
      <w:numPr>
        <w:ilvl w:val="2"/>
        <w:numId w:val="3"/>
      </w:numPr>
      <w:tabs>
        <w:tab w:val="left" w:pos="216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ParaNum"/>
    <w:qFormat/>
    <w:rsid w:val="00A42A40"/>
    <w:pPr>
      <w:keepNext/>
      <w:numPr>
        <w:ilvl w:val="3"/>
        <w:numId w:val="3"/>
      </w:numPr>
      <w:tabs>
        <w:tab w:val="left" w:pos="2880"/>
      </w:tabs>
      <w:spacing w:after="120"/>
      <w:outlineLvl w:val="3"/>
    </w:pPr>
    <w:rPr>
      <w:b/>
    </w:rPr>
  </w:style>
  <w:style w:type="paragraph" w:styleId="Heading5">
    <w:name w:val="heading 5"/>
    <w:basedOn w:val="Normal"/>
    <w:next w:val="ParaNum"/>
    <w:qFormat/>
    <w:rsid w:val="00A42A40"/>
    <w:pPr>
      <w:keepNext/>
      <w:numPr>
        <w:ilvl w:val="4"/>
        <w:numId w:val="3"/>
      </w:numPr>
      <w:tabs>
        <w:tab w:val="left" w:pos="3600"/>
      </w:tabs>
      <w:suppressAutoHyphens/>
      <w:spacing w:after="120"/>
      <w:outlineLvl w:val="4"/>
    </w:pPr>
    <w:rPr>
      <w:b/>
    </w:rPr>
  </w:style>
  <w:style w:type="paragraph" w:styleId="Heading6">
    <w:name w:val="heading 6"/>
    <w:basedOn w:val="Normal"/>
    <w:next w:val="ParaNum"/>
    <w:qFormat/>
    <w:rsid w:val="00A42A40"/>
    <w:pPr>
      <w:numPr>
        <w:ilvl w:val="5"/>
        <w:numId w:val="3"/>
      </w:numPr>
      <w:tabs>
        <w:tab w:val="left" w:pos="4320"/>
      </w:tabs>
      <w:spacing w:after="120"/>
      <w:outlineLvl w:val="5"/>
    </w:pPr>
    <w:rPr>
      <w:b/>
    </w:rPr>
  </w:style>
  <w:style w:type="paragraph" w:styleId="Heading7">
    <w:name w:val="heading 7"/>
    <w:basedOn w:val="Normal"/>
    <w:next w:val="ParaNum"/>
    <w:qFormat/>
    <w:rsid w:val="00A42A40"/>
    <w:pPr>
      <w:numPr>
        <w:ilvl w:val="6"/>
        <w:numId w:val="3"/>
      </w:numPr>
      <w:tabs>
        <w:tab w:val="left" w:pos="5040"/>
      </w:tabs>
      <w:spacing w:after="120"/>
      <w:ind w:left="5040" w:hanging="720"/>
      <w:outlineLvl w:val="6"/>
    </w:pPr>
    <w:rPr>
      <w:b/>
    </w:rPr>
  </w:style>
  <w:style w:type="paragraph" w:styleId="Heading8">
    <w:name w:val="heading 8"/>
    <w:basedOn w:val="Normal"/>
    <w:next w:val="ParaNum"/>
    <w:qFormat/>
    <w:rsid w:val="00A42A40"/>
    <w:pPr>
      <w:numPr>
        <w:ilvl w:val="7"/>
        <w:numId w:val="3"/>
      </w:numPr>
      <w:tabs>
        <w:tab w:val="clear" w:pos="5400"/>
        <w:tab w:val="left" w:pos="5760"/>
      </w:tabs>
      <w:spacing w:after="120"/>
      <w:ind w:left="5760" w:hanging="720"/>
      <w:outlineLvl w:val="7"/>
    </w:pPr>
    <w:rPr>
      <w:b/>
    </w:rPr>
  </w:style>
  <w:style w:type="paragraph" w:styleId="Heading9">
    <w:name w:val="heading 9"/>
    <w:basedOn w:val="Normal"/>
    <w:next w:val="ParaNum"/>
    <w:qFormat/>
    <w:rsid w:val="00A42A40"/>
    <w:pPr>
      <w:numPr>
        <w:ilvl w:val="8"/>
        <w:numId w:val="3"/>
      </w:numPr>
      <w:tabs>
        <w:tab w:val="clear" w:pos="6120"/>
        <w:tab w:val="left" w:pos="6480"/>
      </w:tabs>
      <w:spacing w:after="120"/>
      <w:ind w:left="6480" w:hanging="720"/>
      <w:outlineLvl w:val="8"/>
    </w:pPr>
    <w:rPr>
      <w:b/>
    </w:rPr>
  </w:style>
  <w:style w:type="character" w:default="1" w:styleId="DefaultParagraphFont">
    <w:name w:val="Default Paragraph Font"/>
    <w:semiHidden/>
    <w:rsid w:val="00A42A4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A42A40"/>
  </w:style>
  <w:style w:type="paragraph" w:customStyle="1" w:styleId="ParaNum">
    <w:name w:val="ParaNum"/>
    <w:basedOn w:val="Normal"/>
    <w:rsid w:val="00A42A40"/>
    <w:pPr>
      <w:numPr>
        <w:numId w:val="2"/>
      </w:numPr>
      <w:tabs>
        <w:tab w:val="clear" w:pos="1080"/>
        <w:tab w:val="num" w:pos="1440"/>
      </w:tabs>
      <w:spacing w:after="120"/>
    </w:pPr>
  </w:style>
  <w:style w:type="paragraph" w:styleId="EndnoteText">
    <w:name w:val="endnote text"/>
    <w:basedOn w:val="Normal"/>
    <w:semiHidden/>
    <w:rsid w:val="00A42A40"/>
    <w:rPr>
      <w:sz w:val="20"/>
    </w:rPr>
  </w:style>
  <w:style w:type="character" w:styleId="EndnoteReference">
    <w:name w:val="endnote reference"/>
    <w:semiHidden/>
    <w:rsid w:val="00A42A40"/>
    <w:rPr>
      <w:vertAlign w:val="superscript"/>
    </w:rPr>
  </w:style>
  <w:style w:type="paragraph" w:styleId="FootnoteText">
    <w:name w:val="footnote text"/>
    <w:semiHidden/>
    <w:rsid w:val="00A42A40"/>
    <w:pPr>
      <w:spacing w:after="120"/>
    </w:pPr>
  </w:style>
  <w:style w:type="character" w:styleId="FootnoteReference">
    <w:name w:val="footnote reference"/>
    <w:semiHidden/>
    <w:rsid w:val="00A42A40"/>
    <w:rPr>
      <w:rFonts w:ascii="Times New Roman" w:hAnsi="Times New Roman"/>
      <w:dstrike w:val="0"/>
      <w:color w:val="auto"/>
      <w:sz w:val="22"/>
      <w:vertAlign w:val="superscript"/>
    </w:rPr>
  </w:style>
  <w:style w:type="paragraph" w:styleId="TOC1">
    <w:name w:val="toc 1"/>
    <w:basedOn w:val="Normal"/>
    <w:next w:val="Normal"/>
    <w:uiPriority w:val="39"/>
    <w:rsid w:val="00A42A40"/>
    <w:pPr>
      <w:tabs>
        <w:tab w:val="left" w:pos="360"/>
        <w:tab w:val="right" w:leader="dot" w:pos="9360"/>
      </w:tabs>
      <w:suppressAutoHyphens/>
      <w:ind w:left="360" w:right="720" w:hanging="360"/>
    </w:pPr>
    <w:rPr>
      <w:caps/>
      <w:noProof/>
    </w:rPr>
  </w:style>
  <w:style w:type="paragraph" w:styleId="TOC2">
    <w:name w:val="toc 2"/>
    <w:basedOn w:val="Normal"/>
    <w:next w:val="Normal"/>
    <w:semiHidden/>
    <w:rsid w:val="00A42A40"/>
    <w:pPr>
      <w:tabs>
        <w:tab w:val="left" w:pos="720"/>
        <w:tab w:val="right" w:leader="dot" w:pos="9360"/>
      </w:tabs>
      <w:suppressAutoHyphens/>
      <w:ind w:left="720" w:right="720" w:hanging="360"/>
    </w:pPr>
    <w:rPr>
      <w:noProof/>
    </w:rPr>
  </w:style>
  <w:style w:type="paragraph" w:styleId="TOC3">
    <w:name w:val="toc 3"/>
    <w:basedOn w:val="Normal"/>
    <w:next w:val="Normal"/>
    <w:semiHidden/>
    <w:rsid w:val="00A42A40"/>
    <w:pPr>
      <w:tabs>
        <w:tab w:val="left" w:pos="1080"/>
        <w:tab w:val="right" w:leader="dot" w:pos="9360"/>
      </w:tabs>
      <w:suppressAutoHyphens/>
      <w:ind w:left="1080" w:right="720" w:hanging="360"/>
    </w:pPr>
    <w:rPr>
      <w:noProof/>
    </w:rPr>
  </w:style>
  <w:style w:type="paragraph" w:styleId="TOC4">
    <w:name w:val="toc 4"/>
    <w:basedOn w:val="Normal"/>
    <w:next w:val="Normal"/>
    <w:autoRedefine/>
    <w:semiHidden/>
    <w:rsid w:val="00A42A40"/>
    <w:pPr>
      <w:tabs>
        <w:tab w:val="left" w:pos="1440"/>
        <w:tab w:val="right" w:leader="dot" w:pos="9360"/>
      </w:tabs>
      <w:suppressAutoHyphens/>
      <w:ind w:left="1440" w:right="720" w:hanging="360"/>
    </w:pPr>
    <w:rPr>
      <w:noProof/>
    </w:rPr>
  </w:style>
  <w:style w:type="paragraph" w:styleId="TOC5">
    <w:name w:val="toc 5"/>
    <w:basedOn w:val="Normal"/>
    <w:next w:val="Normal"/>
    <w:autoRedefine/>
    <w:semiHidden/>
    <w:rsid w:val="00A42A40"/>
    <w:pPr>
      <w:tabs>
        <w:tab w:val="left" w:pos="1800"/>
        <w:tab w:val="right" w:leader="dot" w:pos="9360"/>
      </w:tabs>
      <w:suppressAutoHyphens/>
      <w:ind w:left="1800" w:right="720" w:hanging="360"/>
    </w:pPr>
    <w:rPr>
      <w:noProof/>
    </w:rPr>
  </w:style>
  <w:style w:type="paragraph" w:styleId="TOC6">
    <w:name w:val="toc 6"/>
    <w:basedOn w:val="Normal"/>
    <w:next w:val="Normal"/>
    <w:autoRedefine/>
    <w:semiHidden/>
    <w:rsid w:val="00A42A40"/>
    <w:pPr>
      <w:tabs>
        <w:tab w:val="left" w:pos="2160"/>
        <w:tab w:val="right" w:leader="dot" w:pos="9360"/>
      </w:tabs>
      <w:suppressAutoHyphens/>
      <w:ind w:left="2160" w:hanging="360"/>
    </w:pPr>
    <w:rPr>
      <w:noProof/>
    </w:rPr>
  </w:style>
  <w:style w:type="paragraph" w:styleId="TOC7">
    <w:name w:val="toc 7"/>
    <w:basedOn w:val="Normal"/>
    <w:next w:val="Normal"/>
    <w:autoRedefine/>
    <w:semiHidden/>
    <w:rsid w:val="00A42A40"/>
    <w:pPr>
      <w:tabs>
        <w:tab w:val="left" w:pos="2520"/>
        <w:tab w:val="right" w:leader="dot" w:pos="9360"/>
      </w:tabs>
      <w:suppressAutoHyphens/>
      <w:ind w:left="2520" w:hanging="360"/>
    </w:pPr>
    <w:rPr>
      <w:noProof/>
    </w:rPr>
  </w:style>
  <w:style w:type="paragraph" w:styleId="TOC8">
    <w:name w:val="toc 8"/>
    <w:basedOn w:val="Normal"/>
    <w:next w:val="Normal"/>
    <w:autoRedefine/>
    <w:semiHidden/>
    <w:rsid w:val="00A42A40"/>
    <w:pPr>
      <w:tabs>
        <w:tab w:val="left" w:pos="2880"/>
        <w:tab w:val="right" w:leader="dot" w:pos="9360"/>
      </w:tabs>
      <w:suppressAutoHyphens/>
      <w:ind w:left="2880" w:hanging="360"/>
    </w:pPr>
    <w:rPr>
      <w:noProof/>
    </w:rPr>
  </w:style>
  <w:style w:type="paragraph" w:styleId="TOC9">
    <w:name w:val="toc 9"/>
    <w:basedOn w:val="Normal"/>
    <w:next w:val="Normal"/>
    <w:autoRedefine/>
    <w:semiHidden/>
    <w:rsid w:val="00A42A40"/>
    <w:pPr>
      <w:tabs>
        <w:tab w:val="left" w:pos="3240"/>
        <w:tab w:val="right" w:leader="dot" w:pos="9360"/>
      </w:tabs>
      <w:suppressAutoHyphens/>
      <w:ind w:left="3240" w:hanging="360"/>
    </w:pPr>
    <w:rPr>
      <w:noProof/>
    </w:rPr>
  </w:style>
  <w:style w:type="paragraph" w:styleId="TOAHeading">
    <w:name w:val="toa heading"/>
    <w:basedOn w:val="Normal"/>
    <w:next w:val="Normal"/>
    <w:semiHidden/>
    <w:rsid w:val="00A42A40"/>
    <w:pPr>
      <w:tabs>
        <w:tab w:val="right" w:pos="9360"/>
      </w:tabs>
      <w:suppressAutoHyphens/>
    </w:pPr>
  </w:style>
  <w:style w:type="character" w:customStyle="1" w:styleId="EquationCaption">
    <w:name w:val="_Equation Caption"/>
    <w:rsid w:val="00A42A40"/>
  </w:style>
  <w:style w:type="paragraph" w:styleId="Header">
    <w:name w:val="header"/>
    <w:basedOn w:val="Normal"/>
    <w:autoRedefine/>
    <w:rsid w:val="00A42A40"/>
    <w:pPr>
      <w:tabs>
        <w:tab w:val="center" w:pos="4680"/>
        <w:tab w:val="right" w:pos="9360"/>
      </w:tabs>
    </w:pPr>
    <w:rPr>
      <w:rFonts w:ascii="Arial" w:hAnsi="Arial" w:cs="Arial"/>
      <w:b/>
      <w:sz w:val="96"/>
      <w:szCs w:val="96"/>
    </w:rPr>
  </w:style>
  <w:style w:type="paragraph" w:styleId="Footer">
    <w:name w:val="footer"/>
    <w:basedOn w:val="Normal"/>
    <w:link w:val="FooterChar"/>
    <w:uiPriority w:val="99"/>
    <w:rsid w:val="00A42A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2A40"/>
  </w:style>
  <w:style w:type="paragraph" w:styleId="BlockText">
    <w:name w:val="Block Text"/>
    <w:basedOn w:val="Normal"/>
    <w:rsid w:val="00A42A40"/>
    <w:pPr>
      <w:spacing w:after="240"/>
      <w:ind w:left="1440" w:right="1440"/>
    </w:pPr>
  </w:style>
  <w:style w:type="paragraph" w:customStyle="1" w:styleId="Paratitle">
    <w:name w:val="Para title"/>
    <w:basedOn w:val="Normal"/>
    <w:rsid w:val="00A42A40"/>
    <w:pPr>
      <w:tabs>
        <w:tab w:val="center" w:pos="9270"/>
      </w:tabs>
      <w:spacing w:after="240"/>
    </w:pPr>
    <w:rPr>
      <w:spacing w:val="-2"/>
    </w:rPr>
  </w:style>
  <w:style w:type="paragraph" w:customStyle="1" w:styleId="Bullet">
    <w:name w:val="Bullet"/>
    <w:basedOn w:val="Normal"/>
    <w:rsid w:val="00A42A40"/>
    <w:pPr>
      <w:numPr>
        <w:numId w:val="1"/>
      </w:numPr>
      <w:tabs>
        <w:tab w:val="clear" w:pos="360"/>
        <w:tab w:val="left" w:pos="2160"/>
      </w:tabs>
      <w:spacing w:after="220"/>
      <w:ind w:left="2160" w:hanging="720"/>
    </w:pPr>
  </w:style>
  <w:style w:type="paragraph" w:customStyle="1" w:styleId="TableFormat">
    <w:name w:val="TableFormat"/>
    <w:basedOn w:val="Bullet"/>
    <w:rsid w:val="00A42A40"/>
    <w:pPr>
      <w:numPr>
        <w:numId w:val="0"/>
      </w:numPr>
      <w:tabs>
        <w:tab w:val="clear" w:pos="2160"/>
        <w:tab w:val="left" w:pos="5040"/>
      </w:tabs>
      <w:ind w:left="5040" w:hanging="3600"/>
    </w:pPr>
  </w:style>
  <w:style w:type="paragraph" w:customStyle="1" w:styleId="TOCTitle">
    <w:name w:val="TOC Title"/>
    <w:basedOn w:val="Normal"/>
    <w:rsid w:val="00A42A40"/>
    <w:pPr>
      <w:spacing w:before="240" w:after="240"/>
      <w:jc w:val="center"/>
    </w:pPr>
    <w:rPr>
      <w:rFonts w:ascii="Times New Roman Bold" w:hAnsi="Times New Roman Bold"/>
      <w:b/>
      <w:caps/>
      <w:spacing w:val="-2"/>
    </w:rPr>
  </w:style>
  <w:style w:type="paragraph" w:customStyle="1" w:styleId="StyleBoldCentered">
    <w:name w:val="Style Bold Centered"/>
    <w:basedOn w:val="Normal"/>
    <w:rsid w:val="00A42A40"/>
    <w:pPr>
      <w:jc w:val="center"/>
    </w:pPr>
    <w:rPr>
      <w:rFonts w:ascii="Times New Roman Bold" w:hAnsi="Times New Roman Bold"/>
      <w:b/>
      <w:bCs/>
      <w:caps/>
      <w:szCs w:val="22"/>
    </w:rPr>
  </w:style>
  <w:style w:type="character" w:styleId="Hyperlink">
    <w:name w:val="Hyperlink"/>
    <w:rsid w:val="00A42A40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A42A40"/>
    <w:rPr>
      <w:snapToGrid w:val="0"/>
      <w:kern w:val="28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29503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0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03A"/>
    <w:rPr>
      <w:rFonts w:ascii="Segoe UI" w:hAnsi="Segoe UI" w:cs="Segoe UI"/>
      <w:snapToGrid w:val="0"/>
      <w:kern w:val="28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950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503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503A"/>
    <w:rPr>
      <w:snapToGrid w:val="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0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03A"/>
    <w:rPr>
      <w:b/>
      <w:bCs/>
      <w:snapToGrid w:val="0"/>
      <w:kern w:val="28"/>
    </w:rPr>
  </w:style>
  <w:style w:type="paragraph" w:styleId="Revision">
    <w:name w:val="Revision"/>
    <w:hidden/>
    <w:uiPriority w:val="99"/>
    <w:semiHidden/>
    <w:rsid w:val="00110701"/>
    <w:rPr>
      <w:snapToGrid w:val="0"/>
      <w:kern w:val="28"/>
      <w:sz w:val="22"/>
    </w:rPr>
  </w:style>
  <w:style w:type="character" w:styleId="UnresolvedMention">
    <w:name w:val="Unresolved Mention"/>
    <w:uiPriority w:val="99"/>
    <w:semiHidden/>
    <w:unhideWhenUsed/>
    <w:rsid w:val="00A42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yperlink" Target="https://www.fcc.gov/annual-guard-band-reports" TargetMode="External" /><Relationship Id="rId7" Type="http://schemas.openxmlformats.org/officeDocument/2006/relationships/hyperlink" Target="http://wireless2.fcc.gov/UlsApp/UlsSearch/searchLicense.jsp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M:\Form\OS%20Process\Public%20Notice%20Portrai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Public Notice Portrait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