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2A28C00F"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785CDBE8" w14:textId="77777777">
      <w:pPr>
        <w:pStyle w:val="StyleBoldCentered"/>
      </w:pPr>
      <w:r>
        <w:t>F</w:t>
      </w:r>
      <w:r>
        <w:rPr>
          <w:caps w:val="0"/>
        </w:rPr>
        <w:t>ederal Communications Commission</w:t>
      </w:r>
    </w:p>
    <w:p w:rsidR="004C2EE3" w:rsidP="00096D8C" w14:paraId="1D6D5908" w14:textId="77777777">
      <w:pPr>
        <w:pStyle w:val="StyleBoldCentered"/>
      </w:pPr>
      <w:r>
        <w:rPr>
          <w:caps w:val="0"/>
        </w:rPr>
        <w:t>Washington, D.C. 20554</w:t>
      </w:r>
    </w:p>
    <w:p w:rsidR="004C2EE3" w:rsidP="0070224F" w14:paraId="06FD443A" w14:textId="77777777"/>
    <w:p w:rsidR="004C2EE3" w:rsidP="0070224F" w14:paraId="3D2F2103" w14:textId="77777777"/>
    <w:tbl>
      <w:tblPr>
        <w:tblW w:w="0" w:type="auto"/>
        <w:tblLayout w:type="fixed"/>
        <w:tblLook w:val="0000"/>
      </w:tblPr>
      <w:tblGrid>
        <w:gridCol w:w="4698"/>
        <w:gridCol w:w="630"/>
        <w:gridCol w:w="4248"/>
      </w:tblGrid>
      <w:tr w14:paraId="44654895" w14:textId="77777777">
        <w:tblPrEx>
          <w:tblW w:w="0" w:type="auto"/>
          <w:tblLayout w:type="fixed"/>
          <w:tblLook w:val="0000"/>
        </w:tblPrEx>
        <w:tc>
          <w:tcPr>
            <w:tcW w:w="4698" w:type="dxa"/>
          </w:tcPr>
          <w:p w:rsidR="004C2EE3" w14:paraId="541255EB" w14:textId="77777777">
            <w:pPr>
              <w:tabs>
                <w:tab w:val="center" w:pos="4680"/>
              </w:tabs>
              <w:suppressAutoHyphens/>
              <w:rPr>
                <w:spacing w:val="-2"/>
              </w:rPr>
            </w:pPr>
            <w:r>
              <w:rPr>
                <w:spacing w:val="-2"/>
              </w:rPr>
              <w:t>In the Matter of</w:t>
            </w:r>
          </w:p>
          <w:p w:rsidR="004C2EE3" w14:paraId="5E76EC70" w14:textId="77777777">
            <w:pPr>
              <w:tabs>
                <w:tab w:val="center" w:pos="4680"/>
              </w:tabs>
              <w:suppressAutoHyphens/>
              <w:rPr>
                <w:spacing w:val="-2"/>
              </w:rPr>
            </w:pPr>
          </w:p>
          <w:p w:rsidR="004C2EE3" w:rsidRPr="007115F7" w:rsidP="0016060B" w14:paraId="13597D40" w14:textId="03413CB7">
            <w:pPr>
              <w:tabs>
                <w:tab w:val="center" w:pos="4680"/>
              </w:tabs>
              <w:suppressAutoHyphens/>
              <w:rPr>
                <w:spacing w:val="-2"/>
              </w:rPr>
            </w:pPr>
            <w:r w:rsidRPr="0016060B">
              <w:rPr>
                <w:spacing w:val="-2"/>
              </w:rPr>
              <w:t xml:space="preserve">Application for Consent to the </w:t>
            </w:r>
            <w:r w:rsidRPr="00DD0A9D" w:rsidR="00DD0A9D">
              <w:rPr>
                <w:spacing w:val="-2"/>
              </w:rPr>
              <w:t xml:space="preserve">Assignment of </w:t>
            </w:r>
            <w:r w:rsidR="00ED1C8E">
              <w:rPr>
                <w:spacing w:val="-2"/>
              </w:rPr>
              <w:t xml:space="preserve">the </w:t>
            </w:r>
            <w:r w:rsidRPr="00DD0A9D" w:rsidR="00DD0A9D">
              <w:rPr>
                <w:spacing w:val="-2"/>
              </w:rPr>
              <w:t xml:space="preserve">License </w:t>
            </w:r>
            <w:r w:rsidR="00ED1C8E">
              <w:rPr>
                <w:spacing w:val="-2"/>
              </w:rPr>
              <w:t xml:space="preserve">of </w:t>
            </w:r>
            <w:r w:rsidRPr="00DD0A9D" w:rsidR="00DD0A9D">
              <w:rPr>
                <w:spacing w:val="-2"/>
              </w:rPr>
              <w:t>WR</w:t>
            </w:r>
            <w:r w:rsidR="00B84CF1">
              <w:rPr>
                <w:spacing w:val="-2"/>
              </w:rPr>
              <w:t>T</w:t>
            </w:r>
            <w:r w:rsidRPr="00DD0A9D" w:rsidR="00DD0A9D">
              <w:rPr>
                <w:spacing w:val="-2"/>
              </w:rPr>
              <w:t>V</w:t>
            </w:r>
            <w:r w:rsidR="00DD0A9D">
              <w:rPr>
                <w:spacing w:val="-2"/>
              </w:rPr>
              <w:t>(TV), Indian</w:t>
            </w:r>
            <w:r w:rsidR="003F592C">
              <w:rPr>
                <w:spacing w:val="-2"/>
              </w:rPr>
              <w:t>a</w:t>
            </w:r>
            <w:r w:rsidR="00DD0A9D">
              <w:rPr>
                <w:spacing w:val="-2"/>
              </w:rPr>
              <w:t>polis, Indiana</w:t>
            </w:r>
            <w:r w:rsidR="00ED1C8E">
              <w:rPr>
                <w:spacing w:val="-2"/>
              </w:rPr>
              <w:t>,</w:t>
            </w:r>
            <w:r w:rsidR="003F592C">
              <w:rPr>
                <w:spacing w:val="-2"/>
              </w:rPr>
              <w:t xml:space="preserve"> </w:t>
            </w:r>
            <w:r w:rsidRPr="00DD0A9D" w:rsidR="00DD0A9D">
              <w:rPr>
                <w:spacing w:val="-2"/>
              </w:rPr>
              <w:t>from Scripps Broadcasting Holdings LLC to CCB License, LLC</w:t>
            </w:r>
            <w:r w:rsidR="007E493E">
              <w:rPr>
                <w:spacing w:val="-2"/>
              </w:rPr>
              <w:t xml:space="preserve"> </w:t>
            </w:r>
          </w:p>
        </w:tc>
        <w:tc>
          <w:tcPr>
            <w:tcW w:w="630" w:type="dxa"/>
          </w:tcPr>
          <w:p w:rsidR="004C2EE3" w14:paraId="6B26BDB0" w14:textId="77777777">
            <w:pPr>
              <w:tabs>
                <w:tab w:val="center" w:pos="4680"/>
              </w:tabs>
              <w:suppressAutoHyphens/>
              <w:rPr>
                <w:b/>
                <w:spacing w:val="-2"/>
              </w:rPr>
            </w:pPr>
            <w:r>
              <w:rPr>
                <w:b/>
                <w:spacing w:val="-2"/>
              </w:rPr>
              <w:t>)</w:t>
            </w:r>
          </w:p>
          <w:p w:rsidR="004C2EE3" w14:paraId="4848070B" w14:textId="77777777">
            <w:pPr>
              <w:tabs>
                <w:tab w:val="center" w:pos="4680"/>
              </w:tabs>
              <w:suppressAutoHyphens/>
              <w:rPr>
                <w:b/>
                <w:spacing w:val="-2"/>
              </w:rPr>
            </w:pPr>
            <w:r>
              <w:rPr>
                <w:b/>
                <w:spacing w:val="-2"/>
              </w:rPr>
              <w:t>)</w:t>
            </w:r>
          </w:p>
          <w:p w:rsidR="004C2EE3" w14:paraId="0E42FF73" w14:textId="77777777">
            <w:pPr>
              <w:tabs>
                <w:tab w:val="center" w:pos="4680"/>
              </w:tabs>
              <w:suppressAutoHyphens/>
              <w:rPr>
                <w:b/>
                <w:spacing w:val="-2"/>
              </w:rPr>
            </w:pPr>
            <w:r>
              <w:rPr>
                <w:b/>
                <w:spacing w:val="-2"/>
              </w:rPr>
              <w:t>)</w:t>
            </w:r>
          </w:p>
          <w:p w:rsidR="004C2EE3" w14:paraId="3B4E9912" w14:textId="77777777">
            <w:pPr>
              <w:tabs>
                <w:tab w:val="center" w:pos="4680"/>
              </w:tabs>
              <w:suppressAutoHyphens/>
              <w:rPr>
                <w:b/>
                <w:spacing w:val="-2"/>
              </w:rPr>
            </w:pPr>
            <w:r>
              <w:rPr>
                <w:b/>
                <w:spacing w:val="-2"/>
              </w:rPr>
              <w:t>)</w:t>
            </w:r>
          </w:p>
          <w:p w:rsidR="004C2EE3" w14:paraId="51532D84" w14:textId="77777777">
            <w:pPr>
              <w:tabs>
                <w:tab w:val="center" w:pos="4680"/>
              </w:tabs>
              <w:suppressAutoHyphens/>
              <w:rPr>
                <w:b/>
                <w:spacing w:val="-2"/>
              </w:rPr>
            </w:pPr>
            <w:r>
              <w:rPr>
                <w:b/>
                <w:spacing w:val="-2"/>
              </w:rPr>
              <w:t>)</w:t>
            </w:r>
          </w:p>
          <w:p w:rsidR="004C2EE3" w:rsidP="003F592C" w14:paraId="1E0BBF8A" w14:textId="10E8F826">
            <w:pPr>
              <w:tabs>
                <w:tab w:val="center" w:pos="4680"/>
              </w:tabs>
              <w:suppressAutoHyphens/>
              <w:rPr>
                <w:spacing w:val="-2"/>
              </w:rPr>
            </w:pPr>
            <w:r>
              <w:rPr>
                <w:b/>
                <w:spacing w:val="-2"/>
              </w:rPr>
              <w:t>)</w:t>
            </w:r>
          </w:p>
        </w:tc>
        <w:tc>
          <w:tcPr>
            <w:tcW w:w="4248" w:type="dxa"/>
          </w:tcPr>
          <w:p w:rsidR="004C2EE3" w14:paraId="43BFD88A" w14:textId="77777777">
            <w:pPr>
              <w:tabs>
                <w:tab w:val="center" w:pos="4680"/>
              </w:tabs>
              <w:suppressAutoHyphens/>
              <w:rPr>
                <w:spacing w:val="-2"/>
              </w:rPr>
            </w:pPr>
          </w:p>
          <w:p w:rsidR="004C2EE3" w14:paraId="31E303F2" w14:textId="77777777">
            <w:pPr>
              <w:pStyle w:val="TOAHeading"/>
              <w:tabs>
                <w:tab w:val="center" w:pos="4680"/>
                <w:tab w:val="clear" w:pos="9360"/>
              </w:tabs>
              <w:rPr>
                <w:spacing w:val="-2"/>
              </w:rPr>
            </w:pPr>
          </w:p>
          <w:p w:rsidR="004C2EE3" w14:paraId="6D1B1E46" w14:textId="4929C308">
            <w:pPr>
              <w:tabs>
                <w:tab w:val="center" w:pos="4680"/>
              </w:tabs>
              <w:suppressAutoHyphens/>
              <w:rPr>
                <w:spacing w:val="-2"/>
              </w:rPr>
            </w:pPr>
            <w:r w:rsidRPr="003F592C">
              <w:rPr>
                <w:spacing w:val="-2"/>
              </w:rPr>
              <w:t>LMS File No. 0000284262</w:t>
            </w:r>
          </w:p>
        </w:tc>
      </w:tr>
    </w:tbl>
    <w:p w:rsidR="004C2EE3" w:rsidP="0070224F" w14:paraId="7C9E5E5B" w14:textId="77777777"/>
    <w:p w:rsidR="00841AB1" w:rsidP="00F021FA" w14:paraId="6296CE48" w14:textId="0DE93FEF">
      <w:pPr>
        <w:pStyle w:val="StyleBoldCentered"/>
      </w:pPr>
      <w:r>
        <w:t>ORDER</w:t>
      </w:r>
    </w:p>
    <w:p w:rsidR="004C2EE3" w14:paraId="4E74787F" w14:textId="77777777">
      <w:pPr>
        <w:tabs>
          <w:tab w:val="left" w:pos="-720"/>
        </w:tabs>
        <w:suppressAutoHyphens/>
        <w:spacing w:line="227" w:lineRule="auto"/>
        <w:rPr>
          <w:spacing w:val="-2"/>
        </w:rPr>
      </w:pPr>
    </w:p>
    <w:p w:rsidR="004C2EE3" w:rsidP="00133F79" w14:paraId="653F7FE5" w14:textId="000EB510">
      <w:pPr>
        <w:tabs>
          <w:tab w:val="left" w:pos="720"/>
          <w:tab w:val="right" w:pos="9360"/>
        </w:tabs>
        <w:suppressAutoHyphens/>
        <w:spacing w:line="227" w:lineRule="auto"/>
        <w:rPr>
          <w:spacing w:val="-2"/>
        </w:rPr>
      </w:pPr>
      <w:r>
        <w:rPr>
          <w:b/>
          <w:spacing w:val="-2"/>
        </w:rPr>
        <w:t xml:space="preserve">Adopted:  </w:t>
      </w:r>
      <w:r w:rsidR="003F592C">
        <w:rPr>
          <w:b/>
          <w:spacing w:val="-2"/>
        </w:rPr>
        <w:t xml:space="preserve">February </w:t>
      </w:r>
      <w:r w:rsidR="00306FF1">
        <w:rPr>
          <w:b/>
          <w:spacing w:val="-2"/>
        </w:rPr>
        <w:t>27</w:t>
      </w:r>
      <w:r w:rsidR="003F592C">
        <w:rPr>
          <w:b/>
          <w:spacing w:val="-2"/>
        </w:rPr>
        <w:t>,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Pr="003F592C" w:rsidR="003F592C">
        <w:rPr>
          <w:b/>
          <w:spacing w:val="-2"/>
        </w:rPr>
        <w:t xml:space="preserve">February </w:t>
      </w:r>
      <w:r w:rsidR="00306FF1">
        <w:rPr>
          <w:b/>
          <w:spacing w:val="-2"/>
        </w:rPr>
        <w:t>27</w:t>
      </w:r>
      <w:r w:rsidRPr="003F592C" w:rsidR="003F592C">
        <w:rPr>
          <w:b/>
          <w:spacing w:val="-2"/>
        </w:rPr>
        <w:t>, 2026</w:t>
      </w:r>
    </w:p>
    <w:p w:rsidR="00822CE0" w14:paraId="501A5346" w14:textId="77777777"/>
    <w:p w:rsidR="004C2EE3" w14:paraId="1CF99187" w14:textId="7B3F9B4F">
      <w:pPr>
        <w:rPr>
          <w:spacing w:val="-2"/>
        </w:rPr>
      </w:pPr>
      <w:r>
        <w:t xml:space="preserve">By </w:t>
      </w:r>
      <w:r w:rsidR="004E4A22">
        <w:t>the</w:t>
      </w:r>
      <w:r w:rsidR="00142596">
        <w:t xml:space="preserve"> </w:t>
      </w:r>
      <w:r w:rsidR="004902D7">
        <w:rPr>
          <w:spacing w:val="-2"/>
        </w:rPr>
        <w:t>Chief</w:t>
      </w:r>
      <w:r w:rsidRPr="00FF38F3" w:rsidR="00FF38F3">
        <w:rPr>
          <w:spacing w:val="-2"/>
        </w:rPr>
        <w:t>, Media Bureau</w:t>
      </w:r>
      <w:r>
        <w:rPr>
          <w:spacing w:val="-2"/>
        </w:rPr>
        <w:t>:</w:t>
      </w:r>
    </w:p>
    <w:p w:rsidR="00822CE0" w14:paraId="2D50AD81" w14:textId="77777777">
      <w:pPr>
        <w:rPr>
          <w:spacing w:val="-2"/>
        </w:rPr>
      </w:pPr>
    </w:p>
    <w:p w:rsidR="00412FC5" w:rsidP="00C36B4C" w14:paraId="0B1CEFF4" w14:textId="4CB810AC">
      <w:pPr>
        <w:pStyle w:val="Heading1"/>
      </w:pPr>
      <w:r>
        <w:t>introduction</w:t>
      </w:r>
    </w:p>
    <w:p w:rsidR="003D22D9" w:rsidP="003D22D9" w14:paraId="32B640B5" w14:textId="1A2CBAFA">
      <w:pPr>
        <w:pStyle w:val="ParaNum"/>
      </w:pPr>
      <w:r w:rsidRPr="000A31DE">
        <w:t>The</w:t>
      </w:r>
      <w:r>
        <w:t xml:space="preserve"> Media Bureau</w:t>
      </w:r>
      <w:r w:rsidRPr="000A31DE">
        <w:t xml:space="preserve"> has before </w:t>
      </w:r>
      <w:r>
        <w:t>it the above-captioned</w:t>
      </w:r>
      <w:r w:rsidR="00EC745B">
        <w:t>, unopposed</w:t>
      </w:r>
      <w:r>
        <w:t xml:space="preserve"> </w:t>
      </w:r>
      <w:r w:rsidRPr="000A31DE">
        <w:t>application</w:t>
      </w:r>
      <w:r>
        <w:t xml:space="preserve"> </w:t>
      </w:r>
      <w:r w:rsidRPr="000A31DE">
        <w:t>seek</w:t>
      </w:r>
      <w:r>
        <w:t>ing</w:t>
      </w:r>
      <w:r w:rsidRPr="000A31DE">
        <w:t xml:space="preserve"> consent to the assignment of </w:t>
      </w:r>
      <w:r>
        <w:t>the license of</w:t>
      </w:r>
      <w:r w:rsidRPr="000A31DE">
        <w:t xml:space="preserve"> </w:t>
      </w:r>
      <w:r>
        <w:t xml:space="preserve">television </w:t>
      </w:r>
      <w:r w:rsidRPr="000A31DE">
        <w:t>station</w:t>
      </w:r>
      <w:r>
        <w:t xml:space="preserve"> W</w:t>
      </w:r>
      <w:r w:rsidR="00E56671">
        <w:t>RT</w:t>
      </w:r>
      <w:r>
        <w:t>V(TV), Indianapolis, Indiana</w:t>
      </w:r>
      <w:r w:rsidR="00D21C14">
        <w:t xml:space="preserve"> (WRTV)</w:t>
      </w:r>
      <w:r w:rsidR="00A50FCB">
        <w:t>,</w:t>
      </w:r>
      <w:r>
        <w:t xml:space="preserve"> from </w:t>
      </w:r>
      <w:r w:rsidRPr="0012692F">
        <w:t>Scripps Broadcasting Holdings LLC to CCB License, LLC</w:t>
      </w:r>
      <w:r>
        <w:t xml:space="preserve"> (Circle City)</w:t>
      </w:r>
      <w:r w:rsidRPr="000A31DE">
        <w:t>.</w:t>
      </w:r>
      <w:r>
        <w:rPr>
          <w:rStyle w:val="FootnoteReference"/>
        </w:rPr>
        <w:footnoteReference w:id="3"/>
      </w:r>
      <w:r w:rsidRPr="000A31DE">
        <w:t xml:space="preserve">  </w:t>
      </w:r>
      <w:r>
        <w:t xml:space="preserve">The Application includes a request </w:t>
      </w:r>
      <w:r w:rsidR="0036664F">
        <w:t>for</w:t>
      </w:r>
      <w:r>
        <w:t xml:space="preserve"> waive</w:t>
      </w:r>
      <w:r w:rsidR="0036664F">
        <w:t>r of</w:t>
      </w:r>
      <w:r>
        <w:t xml:space="preserve"> </w:t>
      </w:r>
      <w:r w:rsidRPr="007B2183">
        <w:t>the Local Television Ownership Rule</w:t>
      </w:r>
      <w:r>
        <w:rPr>
          <w:vertAlign w:val="superscript"/>
        </w:rPr>
        <w:footnoteReference w:id="4"/>
      </w:r>
      <w:r>
        <w:t xml:space="preserve"> to allow Circle City to own three </w:t>
      </w:r>
      <w:r w:rsidR="003B5095">
        <w:t xml:space="preserve">television </w:t>
      </w:r>
      <w:r>
        <w:t xml:space="preserve">stations in </w:t>
      </w:r>
      <w:r w:rsidR="00261E38">
        <w:t>the Indianapolis</w:t>
      </w:r>
      <w:r>
        <w:t xml:space="preserve"> </w:t>
      </w:r>
      <w:r w:rsidR="00AB7C66">
        <w:t>Designated Market Area (DMA)</w:t>
      </w:r>
      <w:r>
        <w:t>.</w:t>
      </w:r>
      <w:r>
        <w:rPr>
          <w:rStyle w:val="FootnoteReference"/>
        </w:rPr>
        <w:footnoteReference w:id="5"/>
      </w:r>
      <w:r w:rsidRPr="000A31DE">
        <w:t xml:space="preserve">  For the reasons set forth below, </w:t>
      </w:r>
      <w:r>
        <w:t>we</w:t>
      </w:r>
      <w:r w:rsidRPr="000A31DE">
        <w:t xml:space="preserve"> </w:t>
      </w:r>
      <w:r>
        <w:t xml:space="preserve">grant the </w:t>
      </w:r>
      <w:r w:rsidR="00DA474B">
        <w:t>W</w:t>
      </w:r>
      <w:r>
        <w:t xml:space="preserve">aiver </w:t>
      </w:r>
      <w:r w:rsidR="00DA474B">
        <w:t>R</w:t>
      </w:r>
      <w:r w:rsidR="000D0251">
        <w:t xml:space="preserve">equest </w:t>
      </w:r>
      <w:r>
        <w:t>and th</w:t>
      </w:r>
      <w:r w:rsidRPr="000A31DE">
        <w:t>e Application.</w:t>
      </w:r>
    </w:p>
    <w:p w:rsidR="009A6397" w:rsidP="003D22D9" w14:paraId="702E1F0E" w14:textId="3633D663">
      <w:pPr>
        <w:pStyle w:val="Heading1"/>
      </w:pPr>
      <w:r>
        <w:t>background</w:t>
      </w:r>
    </w:p>
    <w:p w:rsidR="00BE7255" w:rsidP="00E22019" w14:paraId="7316B1C4" w14:textId="1034B71E">
      <w:pPr>
        <w:pStyle w:val="ParaNum"/>
        <w:widowControl/>
      </w:pPr>
      <w:r>
        <w:t>T</w:t>
      </w:r>
      <w:r w:rsidRPr="007F32F2">
        <w:t>he Local Television Ownership Rule provide</w:t>
      </w:r>
      <w:r>
        <w:t>s</w:t>
      </w:r>
      <w:r w:rsidRPr="007F32F2">
        <w:t xml:space="preserve"> that an entity may own two television stations licensed in the same DMA if:  </w:t>
      </w:r>
      <w:r w:rsidR="00D631F0">
        <w:t>“</w:t>
      </w:r>
      <w:r w:rsidRPr="007F32F2">
        <w:t>(</w:t>
      </w:r>
      <w:r w:rsidR="00160277">
        <w:t>i</w:t>
      </w:r>
      <w:r w:rsidRPr="007F32F2">
        <w:t>) the digital noise limited service contours of the stations . . . do not overlap; or (</w:t>
      </w:r>
      <w:r w:rsidR="00D631F0">
        <w:t>ii</w:t>
      </w:r>
      <w:r w:rsidRPr="007F32F2">
        <w:t>) at the time the application to acquire . . . the station(s) is filed, at least one of the stations is not ranked among the top-four stations in the DMA, based on the Sunday to Saturday, 7 a.m. to 1 a.m. daypart audience share ratings averaged over a 12</w:t>
      </w:r>
      <w:r>
        <w:t>-</w:t>
      </w:r>
      <w:r w:rsidRPr="007F32F2">
        <w:t>month period immediately preceding the date of the application, as measured by Nielsen Media Research or by any comparable professional, accepted audience ratings service.</w:t>
      </w:r>
      <w:r w:rsidR="00D631F0">
        <w:t>”</w:t>
      </w:r>
      <w:r>
        <w:rPr>
          <w:rStyle w:val="FootnoteReference"/>
        </w:rPr>
        <w:footnoteReference w:id="6"/>
      </w:r>
      <w:r w:rsidR="005F616B">
        <w:t xml:space="preserve">  </w:t>
      </w:r>
      <w:r w:rsidR="0012114E">
        <w:t>Following</w:t>
      </w:r>
      <w:r w:rsidR="00115DBC">
        <w:t xml:space="preserve"> </w:t>
      </w:r>
      <w:r w:rsidR="00115DBC">
        <w:rPr>
          <w:i/>
          <w:iCs/>
        </w:rPr>
        <w:t>Zimmer Radio</w:t>
      </w:r>
      <w:r w:rsidR="00113E83">
        <w:t>’s vacatur</w:t>
      </w:r>
      <w:r w:rsidR="00E8665B">
        <w:t xml:space="preserve"> </w:t>
      </w:r>
      <w:r w:rsidRPr="0037523B" w:rsidR="0037523B">
        <w:t xml:space="preserve">of the </w:t>
      </w:r>
      <w:r w:rsidRPr="00EB0C11" w:rsidR="00EB0C11">
        <w:t>latter provision—the Top-Four Prohibition—</w:t>
      </w:r>
      <w:r w:rsidR="00DB727A">
        <w:t xml:space="preserve">we have </w:t>
      </w:r>
      <w:r w:rsidR="00221D8C">
        <w:t xml:space="preserve">determined that </w:t>
      </w:r>
      <w:r w:rsidR="00491DB8">
        <w:t xml:space="preserve">ownership of any two stations in a single DMA </w:t>
      </w:r>
      <w:r w:rsidR="003044D7">
        <w:t>is rule compliant</w:t>
      </w:r>
      <w:r w:rsidR="00B9004E">
        <w:t>.</w:t>
      </w:r>
      <w:r>
        <w:rPr>
          <w:vertAlign w:val="superscript"/>
        </w:rPr>
        <w:footnoteReference w:id="7"/>
      </w:r>
      <w:r w:rsidR="00814494">
        <w:t xml:space="preserve">  </w:t>
      </w:r>
      <w:r w:rsidR="00554005">
        <w:t>Ownership of more than two stations, however</w:t>
      </w:r>
      <w:r w:rsidR="00F7613C">
        <w:t>,</w:t>
      </w:r>
      <w:r w:rsidR="0078074D">
        <w:t xml:space="preserve"> </w:t>
      </w:r>
      <w:r w:rsidR="006D14A7">
        <w:t xml:space="preserve">is impermissible, </w:t>
      </w:r>
      <w:r w:rsidR="00F7613C">
        <w:t xml:space="preserve">unless the </w:t>
      </w:r>
      <w:r w:rsidR="00924E41">
        <w:t xml:space="preserve">Commission finds good cause to </w:t>
      </w:r>
      <w:r w:rsidR="00513244">
        <w:t>waive application</w:t>
      </w:r>
      <w:r w:rsidR="00F7613C">
        <w:t xml:space="preserve"> of the </w:t>
      </w:r>
      <w:r w:rsidR="00B20AD2">
        <w:t>Local Television Ownership R</w:t>
      </w:r>
      <w:r w:rsidR="00F7613C">
        <w:t>ule.</w:t>
      </w:r>
    </w:p>
    <w:p w:rsidR="00A64FB8" w:rsidP="004A06A4" w14:paraId="18A77B9A" w14:textId="6819BC33">
      <w:pPr>
        <w:pStyle w:val="ParaNum"/>
        <w:widowControl/>
      </w:pPr>
      <w:r w:rsidRPr="00FD49C6">
        <w:t>Circle City</w:t>
      </w:r>
      <w:r w:rsidR="008A37C4">
        <w:t xml:space="preserve">, an independent broadcaster controlled by industry veteran, and Indianapolis native, </w:t>
      </w:r>
      <w:r w:rsidR="008A37C4">
        <w:t>DuJuan</w:t>
      </w:r>
      <w:r w:rsidR="008A37C4">
        <w:t xml:space="preserve"> McCoy,</w:t>
      </w:r>
      <w:r w:rsidRPr="00FD49C6">
        <w:t xml:space="preserve"> currently is the licensee of WISH-TV, Indianapolis, Indiana</w:t>
      </w:r>
      <w:r w:rsidR="00D21C14">
        <w:t xml:space="preserve"> (WISH-TV)</w:t>
      </w:r>
      <w:r w:rsidRPr="00FD49C6">
        <w:t>, and WNDY</w:t>
      </w:r>
      <w:r w:rsidR="00F25AB8">
        <w:noBreakHyphen/>
      </w:r>
      <w:r w:rsidRPr="00FD49C6">
        <w:t>TV, Marion, Indiana</w:t>
      </w:r>
      <w:r w:rsidR="00D21C14">
        <w:t xml:space="preserve"> (WNDY-TV)</w:t>
      </w:r>
      <w:r w:rsidRPr="00FD49C6">
        <w:t>.</w:t>
      </w:r>
      <w:r>
        <w:rPr>
          <w:rStyle w:val="FootnoteReference"/>
        </w:rPr>
        <w:footnoteReference w:id="8"/>
      </w:r>
      <w:r w:rsidR="00900E1B">
        <w:t xml:space="preserve">  </w:t>
      </w:r>
      <w:r w:rsidRPr="00BF4D83" w:rsidR="00BF4D83">
        <w:t xml:space="preserve">In </w:t>
      </w:r>
      <w:r w:rsidR="00AC6409">
        <w:t>its</w:t>
      </w:r>
      <w:r w:rsidRPr="00BF4D83" w:rsidR="00BF4D83">
        <w:t xml:space="preserve"> Waiver Request, </w:t>
      </w:r>
      <w:r w:rsidR="00AC6409">
        <w:t>Circle City</w:t>
      </w:r>
      <w:r w:rsidRPr="00BF4D83" w:rsidR="00BF4D83">
        <w:t xml:space="preserve"> contend</w:t>
      </w:r>
      <w:r w:rsidR="00AC6409">
        <w:t>s</w:t>
      </w:r>
      <w:r w:rsidRPr="00BF4D83" w:rsidR="00BF4D83">
        <w:t xml:space="preserve"> that </w:t>
      </w:r>
      <w:r w:rsidR="00152E6A">
        <w:t>common ownership</w:t>
      </w:r>
      <w:r w:rsidRPr="00BF4D83" w:rsidR="00BF4D83">
        <w:t xml:space="preserve"> of the Stations</w:t>
      </w:r>
      <w:r w:rsidR="00B31BBB">
        <w:t xml:space="preserve"> </w:t>
      </w:r>
      <w:r w:rsidR="00495FF0">
        <w:t>will enhance operational efficiencies</w:t>
      </w:r>
      <w:r w:rsidR="00251FD9">
        <w:t xml:space="preserve"> and strengthen </w:t>
      </w:r>
      <w:r w:rsidR="00225FFC">
        <w:t>it</w:t>
      </w:r>
      <w:r w:rsidR="00251FD9">
        <w:t>s market position</w:t>
      </w:r>
      <w:r w:rsidR="00B702F5">
        <w:t xml:space="preserve">, which </w:t>
      </w:r>
      <w:r w:rsidR="00B702F5">
        <w:t>will</w:t>
      </w:r>
      <w:r w:rsidR="00A7567D">
        <w:t>, in turn,</w:t>
      </w:r>
      <w:r w:rsidR="00B702F5">
        <w:t xml:space="preserve"> advance the public interest.</w:t>
      </w:r>
      <w:r>
        <w:rPr>
          <w:rStyle w:val="FootnoteReference"/>
        </w:rPr>
        <w:footnoteReference w:id="9"/>
      </w:r>
      <w:r w:rsidRPr="00BF4D83" w:rsidR="00BF4D83">
        <w:t xml:space="preserve"> </w:t>
      </w:r>
      <w:r w:rsidR="00A62DD1">
        <w:t xml:space="preserve"> Circle City also asserts that</w:t>
      </w:r>
      <w:r w:rsidR="004D3982">
        <w:t xml:space="preserve"> the proposed combination will not harm competition</w:t>
      </w:r>
      <w:r w:rsidR="00474051">
        <w:t>; rather, it will ensure Circle City’s</w:t>
      </w:r>
      <w:r w:rsidR="00053F29">
        <w:t xml:space="preserve"> continu</w:t>
      </w:r>
      <w:r w:rsidR="00282E31">
        <w:t>ing</w:t>
      </w:r>
      <w:r w:rsidR="00053F29">
        <w:t xml:space="preserve"> viability as an independent local voice and </w:t>
      </w:r>
      <w:r w:rsidR="00D32E16">
        <w:t>preserve meaningful competition in the Indianapolis DMA.</w:t>
      </w:r>
      <w:r>
        <w:rPr>
          <w:rStyle w:val="FootnoteReference"/>
        </w:rPr>
        <w:footnoteReference w:id="10"/>
      </w:r>
    </w:p>
    <w:p w:rsidR="007C0930" w:rsidP="00032A7A" w14:paraId="3C651C02" w14:textId="529D8731">
      <w:pPr>
        <w:pStyle w:val="ParaNum"/>
        <w:widowControl/>
      </w:pPr>
      <w:r>
        <w:t>More specifically, Circle City</w:t>
      </w:r>
      <w:r>
        <w:t xml:space="preserve"> </w:t>
      </w:r>
      <w:r w:rsidR="006A2FF1">
        <w:t>argue</w:t>
      </w:r>
      <w:r>
        <w:t>s</w:t>
      </w:r>
      <w:r>
        <w:t xml:space="preserve"> that the proposed combination will advance</w:t>
      </w:r>
      <w:r w:rsidR="005734AC">
        <w:t xml:space="preserve"> the public interest </w:t>
      </w:r>
      <w:r>
        <w:t xml:space="preserve">by allowing </w:t>
      </w:r>
      <w:r w:rsidR="008E5899">
        <w:t>it</w:t>
      </w:r>
      <w:r>
        <w:t xml:space="preserve"> to strengthen its long-standing local service</w:t>
      </w:r>
      <w:r w:rsidR="00501E12">
        <w:t xml:space="preserve"> amid growing challenges</w:t>
      </w:r>
      <w:r w:rsidR="00D74AB4">
        <w:t xml:space="preserve">, including </w:t>
      </w:r>
      <w:r w:rsidR="00440C18">
        <w:t xml:space="preserve">intense competition from other broadcasters and a wide range of </w:t>
      </w:r>
      <w:r w:rsidR="00D1480F">
        <w:t>non-broadcast video services</w:t>
      </w:r>
      <w:r>
        <w:t>.</w:t>
      </w:r>
      <w:r>
        <w:rPr>
          <w:rStyle w:val="FootnoteReference"/>
        </w:rPr>
        <w:footnoteReference w:id="11"/>
      </w:r>
      <w:r>
        <w:t xml:space="preserve">  </w:t>
      </w:r>
      <w:r w:rsidR="006424B7">
        <w:t>Circle City</w:t>
      </w:r>
      <w:r>
        <w:t xml:space="preserve"> submits that</w:t>
      </w:r>
      <w:r w:rsidR="006424B7">
        <w:t>, despite</w:t>
      </w:r>
      <w:r w:rsidR="00767B5A">
        <w:t xml:space="preserve"> struggling to compete for local advertising and retransmission revenue without a </w:t>
      </w:r>
      <w:r w:rsidR="00AA6EA6">
        <w:t>“Big Four” network affiliation</w:t>
      </w:r>
      <w:r>
        <w:t xml:space="preserve">, it </w:t>
      </w:r>
      <w:r w:rsidR="00234EDC">
        <w:t xml:space="preserve">has </w:t>
      </w:r>
      <w:r>
        <w:t xml:space="preserve">substantially increased the local news and entertainment programming on </w:t>
      </w:r>
      <w:r w:rsidR="008B5FA0">
        <w:t>its</w:t>
      </w:r>
      <w:r>
        <w:t xml:space="preserve"> stations.  </w:t>
      </w:r>
      <w:r w:rsidRPr="004616D2">
        <w:t>WISH-TV now broadcasts over 85 hours of local news per week, with WNDY</w:t>
      </w:r>
      <w:r w:rsidRPr="004616D2">
        <w:noBreakHyphen/>
        <w:t>TV adding an additional 25 hours</w:t>
      </w:r>
      <w:r>
        <w:t xml:space="preserve">.  </w:t>
      </w:r>
      <w:r w:rsidR="00FB40A2">
        <w:t>In addition</w:t>
      </w:r>
      <w:r>
        <w:t>, Circle City airs more than 280 hours of local sports coverage per year</w:t>
      </w:r>
      <w:r w:rsidR="002D709E">
        <w:t>, as well as</w:t>
      </w:r>
      <w:r>
        <w:t xml:space="preserve"> numerous full-length community service shows.</w:t>
      </w:r>
      <w:r>
        <w:rPr>
          <w:rStyle w:val="FootnoteReference"/>
        </w:rPr>
        <w:footnoteReference w:id="12"/>
      </w:r>
      <w:r>
        <w:t xml:space="preserve">  </w:t>
      </w:r>
    </w:p>
    <w:p w:rsidR="00AA638D" w:rsidP="00032A7A" w14:paraId="64B9E3E8" w14:textId="003A93BE">
      <w:pPr>
        <w:pStyle w:val="ParaNum"/>
        <w:widowControl/>
      </w:pPr>
      <w:r>
        <w:t xml:space="preserve">Addressing </w:t>
      </w:r>
      <w:r w:rsidR="00B51117">
        <w:t xml:space="preserve">the consequences of </w:t>
      </w:r>
      <w:r>
        <w:t xml:space="preserve">its lack of a “Big Four” network affiliation, </w:t>
      </w:r>
      <w:r w:rsidRPr="00AA638D">
        <w:t xml:space="preserve">Circle City </w:t>
      </w:r>
      <w:r w:rsidR="009159E9">
        <w:t>states</w:t>
      </w:r>
      <w:r w:rsidRPr="00AA638D">
        <w:t xml:space="preserve"> that certain major </w:t>
      </w:r>
      <w:r>
        <w:t>m</w:t>
      </w:r>
      <w:r w:rsidRPr="00AA638D">
        <w:t xml:space="preserve">ultichannel </w:t>
      </w:r>
      <w:r>
        <w:t>v</w:t>
      </w:r>
      <w:r w:rsidRPr="00AA638D">
        <w:t xml:space="preserve">ideo </w:t>
      </w:r>
      <w:r>
        <w:t>p</w:t>
      </w:r>
      <w:r w:rsidRPr="00AA638D">
        <w:t xml:space="preserve">rogramming </w:t>
      </w:r>
      <w:r>
        <w:t>d</w:t>
      </w:r>
      <w:r w:rsidRPr="00AA638D">
        <w:t xml:space="preserve">istributors (MVPDs) and virtual MVPDs have been unwilling </w:t>
      </w:r>
      <w:r w:rsidR="00EF3C2C">
        <w:t xml:space="preserve">to </w:t>
      </w:r>
      <w:r w:rsidRPr="00AA638D">
        <w:t xml:space="preserve">engage in retransmission consent negotiations </w:t>
      </w:r>
      <w:r w:rsidR="00511FA5">
        <w:t>with small, independent broadcasters</w:t>
      </w:r>
      <w:r w:rsidRPr="00AA638D">
        <w:t>.</w:t>
      </w:r>
      <w:r>
        <w:rPr>
          <w:rStyle w:val="FootnoteReference"/>
        </w:rPr>
        <w:footnoteReference w:id="13"/>
      </w:r>
      <w:r w:rsidRPr="00AA638D">
        <w:t xml:space="preserve">  </w:t>
      </w:r>
      <w:r w:rsidR="003853E7">
        <w:t xml:space="preserve">It </w:t>
      </w:r>
      <w:r w:rsidR="00017F2A">
        <w:t>asserts that</w:t>
      </w:r>
      <w:r w:rsidR="00F77123">
        <w:t xml:space="preserve">, without </w:t>
      </w:r>
      <w:r w:rsidR="002C1C67">
        <w:t xml:space="preserve">carriage by these </w:t>
      </w:r>
      <w:r w:rsidR="006C52B5">
        <w:t xml:space="preserve">entities, it has </w:t>
      </w:r>
      <w:r w:rsidR="00B37017">
        <w:t>suffered extreme disadvantages in obtaining national, and even local, advertising.</w:t>
      </w:r>
      <w:r>
        <w:rPr>
          <w:rStyle w:val="FootnoteReference"/>
        </w:rPr>
        <w:footnoteReference w:id="14"/>
      </w:r>
      <w:r w:rsidR="00B37017">
        <w:t xml:space="preserve">  </w:t>
      </w:r>
      <w:r w:rsidR="00D9532B">
        <w:t>Circle City</w:t>
      </w:r>
      <w:r w:rsidRPr="00AA638D">
        <w:t xml:space="preserve"> </w:t>
      </w:r>
      <w:r w:rsidR="00606BDE">
        <w:t xml:space="preserve">contends that its </w:t>
      </w:r>
      <w:r w:rsidR="003C4281">
        <w:t xml:space="preserve">acquisition of </w:t>
      </w:r>
      <w:r w:rsidR="006720D6">
        <w:t>ABC affiliate WRTV</w:t>
      </w:r>
      <w:r w:rsidR="0084295D">
        <w:t xml:space="preserve">, </w:t>
      </w:r>
      <w:r w:rsidR="00F83CEB">
        <w:t xml:space="preserve">which </w:t>
      </w:r>
      <w:r w:rsidR="004E56E5">
        <w:t xml:space="preserve">it </w:t>
      </w:r>
      <w:r w:rsidR="0097288F">
        <w:t xml:space="preserve">expects </w:t>
      </w:r>
      <w:r w:rsidR="00F83CEB">
        <w:t xml:space="preserve">will </w:t>
      </w:r>
      <w:r w:rsidR="00034539">
        <w:t>enabl</w:t>
      </w:r>
      <w:r w:rsidR="00F83CEB">
        <w:t>e</w:t>
      </w:r>
      <w:r w:rsidR="00034539">
        <w:t xml:space="preserve"> it to </w:t>
      </w:r>
      <w:r w:rsidR="0094306F">
        <w:t>participate in retransmission consent negotiations on a more equal footing,</w:t>
      </w:r>
      <w:r w:rsidR="006720D6">
        <w:t xml:space="preserve"> </w:t>
      </w:r>
      <w:r w:rsidR="00A52892">
        <w:t xml:space="preserve">is “existential,” such that, </w:t>
      </w:r>
      <w:r w:rsidR="00F04B2D">
        <w:t xml:space="preserve">without a grant of its Waiver Request, </w:t>
      </w:r>
      <w:r w:rsidR="003E2868">
        <w:t xml:space="preserve">it </w:t>
      </w:r>
      <w:r w:rsidR="00047D2A">
        <w:t xml:space="preserve">will have </w:t>
      </w:r>
      <w:r w:rsidR="00CB1FF1">
        <w:t>“</w:t>
      </w:r>
      <w:r w:rsidR="00047D2A">
        <w:t>no choice</w:t>
      </w:r>
      <w:r w:rsidR="00CB1FF1">
        <w:t>”</w:t>
      </w:r>
      <w:r w:rsidR="00047D2A">
        <w:t xml:space="preserve"> but to attempt to divest WNDY-TV.</w:t>
      </w:r>
      <w:r>
        <w:rPr>
          <w:vertAlign w:val="superscript"/>
        </w:rPr>
        <w:footnoteReference w:id="15"/>
      </w:r>
    </w:p>
    <w:p w:rsidR="00032A7A" w:rsidP="003552BA" w14:paraId="2C181C0C" w14:textId="033A8BE8">
      <w:pPr>
        <w:pStyle w:val="ParaNum"/>
        <w:widowControl/>
      </w:pPr>
      <w:r>
        <w:t>Circle City</w:t>
      </w:r>
      <w:r w:rsidR="006A2FF1">
        <w:t xml:space="preserve"> further contend</w:t>
      </w:r>
      <w:r>
        <w:t>s</w:t>
      </w:r>
      <w:r w:rsidR="006A2FF1">
        <w:t xml:space="preserve"> that </w:t>
      </w:r>
      <w:r w:rsidR="00FB043B">
        <w:t xml:space="preserve">common ownership of the Stations </w:t>
      </w:r>
      <w:r w:rsidR="006A2FF1">
        <w:t>will</w:t>
      </w:r>
      <w:r w:rsidR="000110BA">
        <w:t>, in fact,</w:t>
      </w:r>
      <w:r w:rsidR="006A2FF1">
        <w:t xml:space="preserve"> preserve meaningful competition in </w:t>
      </w:r>
      <w:r w:rsidR="00312FDB">
        <w:t xml:space="preserve">the </w:t>
      </w:r>
      <w:r w:rsidR="00E326CD">
        <w:t>Indianapolis DMA</w:t>
      </w:r>
      <w:r w:rsidR="006A2FF1">
        <w:t>.</w:t>
      </w:r>
      <w:r>
        <w:rPr>
          <w:rStyle w:val="FootnoteReference"/>
        </w:rPr>
        <w:footnoteReference w:id="16"/>
      </w:r>
      <w:r w:rsidR="006A2FF1">
        <w:t xml:space="preserve">  </w:t>
      </w:r>
      <w:r w:rsidR="00E97F92">
        <w:t xml:space="preserve">Circle City observes that the </w:t>
      </w:r>
      <w:r w:rsidR="008F7FC3">
        <w:t>market</w:t>
      </w:r>
      <w:r w:rsidR="00187D97">
        <w:t>, ranked 25</w:t>
      </w:r>
      <w:r w:rsidRPr="0090515D" w:rsidR="00187D97">
        <w:rPr>
          <w:vertAlign w:val="superscript"/>
        </w:rPr>
        <w:t>th</w:t>
      </w:r>
      <w:r w:rsidR="00187D97">
        <w:t xml:space="preserve"> by Nielsen,</w:t>
      </w:r>
      <w:r w:rsidR="00E97F92">
        <w:t xml:space="preserve"> includes </w:t>
      </w:r>
      <w:r w:rsidR="003309F3">
        <w:t xml:space="preserve">13 full-power television stations, currently controlled by </w:t>
      </w:r>
      <w:r w:rsidR="0076095F">
        <w:t>ten independent owners.</w:t>
      </w:r>
      <w:r>
        <w:rPr>
          <w:rStyle w:val="FootnoteReference"/>
        </w:rPr>
        <w:footnoteReference w:id="17"/>
      </w:r>
      <w:r w:rsidR="0076095F">
        <w:t xml:space="preserve">  </w:t>
      </w:r>
      <w:r w:rsidR="00EC2F6B">
        <w:t>The highest</w:t>
      </w:r>
      <w:r w:rsidR="002A212D">
        <w:t xml:space="preserve">-ranked station is </w:t>
      </w:r>
      <w:r w:rsidR="00A7600D">
        <w:t xml:space="preserve">NBC affiliate </w:t>
      </w:r>
      <w:r w:rsidR="00630558">
        <w:t>WTHR(TV), Indianapolis, Indiana</w:t>
      </w:r>
      <w:r w:rsidR="00E33CCC">
        <w:t xml:space="preserve">, licensed to a subsidiary of TEGNA Inc. (TEGNA).  </w:t>
      </w:r>
      <w:r w:rsidR="008C266C">
        <w:t xml:space="preserve">FOX </w:t>
      </w:r>
      <w:r w:rsidR="003B7EE8">
        <w:t>affiliate WXIN(TV), Indianapolis, Indiana, and CBS affiliate WTTV(TV), Bloomington, Indiana, both licensed to a subsidiary of Nexstar</w:t>
      </w:r>
      <w:r w:rsidR="002D5F9B">
        <w:t xml:space="preserve"> </w:t>
      </w:r>
      <w:r w:rsidR="00D326F1">
        <w:t>M</w:t>
      </w:r>
      <w:r w:rsidR="005A504F">
        <w:t>edia Inc. (Nexstar)</w:t>
      </w:r>
      <w:r w:rsidR="00312FDB">
        <w:t xml:space="preserve">, </w:t>
      </w:r>
      <w:r w:rsidR="00BE7585">
        <w:t xml:space="preserve">are ranked </w:t>
      </w:r>
      <w:r w:rsidR="005A575B">
        <w:t xml:space="preserve">a </w:t>
      </w:r>
      <w:r w:rsidR="00C740D5">
        <w:t xml:space="preserve">relatively </w:t>
      </w:r>
      <w:r w:rsidR="005A575B">
        <w:t xml:space="preserve">close </w:t>
      </w:r>
      <w:r w:rsidR="004B1DCA">
        <w:t>second and third, respectively.</w:t>
      </w:r>
      <w:r>
        <w:rPr>
          <w:rStyle w:val="FootnoteReference"/>
        </w:rPr>
        <w:footnoteReference w:id="18"/>
      </w:r>
      <w:r w:rsidR="004B1DCA">
        <w:t xml:space="preserve">  </w:t>
      </w:r>
      <w:r w:rsidR="005B71A5">
        <w:t>WRTV is ranked fourth</w:t>
      </w:r>
      <w:r w:rsidR="00F3667D">
        <w:t>, and Circle City’s current stations, CW affiliate</w:t>
      </w:r>
      <w:r w:rsidR="005B71A5">
        <w:t xml:space="preserve"> WISH-TV </w:t>
      </w:r>
      <w:r w:rsidR="00F3667D">
        <w:t xml:space="preserve">and </w:t>
      </w:r>
      <w:r w:rsidR="000C4E34">
        <w:t>MyNetworkTV affiliate WNDY-TV, are ranked fifth and sixth</w:t>
      </w:r>
      <w:r w:rsidR="00976D12">
        <w:t>.</w:t>
      </w:r>
      <w:r>
        <w:rPr>
          <w:rStyle w:val="FootnoteReference"/>
        </w:rPr>
        <w:footnoteReference w:id="19"/>
      </w:r>
      <w:r w:rsidR="003552BA">
        <w:t xml:space="preserve">  </w:t>
      </w:r>
      <w:r w:rsidR="00FC3E89">
        <w:t>According to Circle City, c</w:t>
      </w:r>
      <w:r w:rsidR="0024286B">
        <w:t>ommonly owned, the Stations</w:t>
      </w:r>
      <w:r w:rsidR="00B272EC">
        <w:t xml:space="preserve"> </w:t>
      </w:r>
      <w:r w:rsidR="00076308">
        <w:t xml:space="preserve">would </w:t>
      </w:r>
      <w:r w:rsidR="008D3E82">
        <w:t xml:space="preserve">have less than half </w:t>
      </w:r>
      <w:r w:rsidR="00A93D17">
        <w:t xml:space="preserve">of </w:t>
      </w:r>
      <w:r w:rsidR="008D3E82">
        <w:t xml:space="preserve">the </w:t>
      </w:r>
      <w:r w:rsidR="00844F2D">
        <w:t xml:space="preserve">audience </w:t>
      </w:r>
      <w:r w:rsidR="008D3E82">
        <w:t xml:space="preserve">share </w:t>
      </w:r>
      <w:r w:rsidR="008D3E82">
        <w:t xml:space="preserve">of each of Nexstar and TEGNA, and </w:t>
      </w:r>
      <w:r w:rsidR="00A93D17">
        <w:t>less than one</w:t>
      </w:r>
      <w:r w:rsidR="00FA28F1">
        <w:t>-</w:t>
      </w:r>
      <w:r w:rsidR="00A93D17">
        <w:t>fifth of the share of a combined Nexstar/TEGNA</w:t>
      </w:r>
      <w:r w:rsidR="002F1208">
        <w:t>, in the Indianapolis DMA</w:t>
      </w:r>
      <w:r w:rsidR="00A93D17">
        <w:t>.</w:t>
      </w:r>
      <w:r>
        <w:rPr>
          <w:vertAlign w:val="superscript"/>
        </w:rPr>
        <w:footnoteReference w:id="20"/>
      </w:r>
      <w:r w:rsidR="0024286B">
        <w:t xml:space="preserve">  Circle City </w:t>
      </w:r>
      <w:r w:rsidR="00B364A4">
        <w:t>asserts that common ownership</w:t>
      </w:r>
      <w:r w:rsidR="00FC3E89">
        <w:t xml:space="preserve"> of the Stations</w:t>
      </w:r>
      <w:r w:rsidR="003D69A6">
        <w:t xml:space="preserve"> would position it as the </w:t>
      </w:r>
      <w:r w:rsidR="0018776D">
        <w:t>“last bastion preserving competition in local news and advertising</w:t>
      </w:r>
      <w:r w:rsidR="00477AA3">
        <w:t xml:space="preserve"> with Nexstar and TEGNA,” without creating </w:t>
      </w:r>
      <w:r w:rsidR="00763E81">
        <w:t>the “market power to raise advertising rates above competitive levels.”</w:t>
      </w:r>
      <w:r>
        <w:rPr>
          <w:rStyle w:val="FootnoteReference"/>
        </w:rPr>
        <w:footnoteReference w:id="21"/>
      </w:r>
    </w:p>
    <w:p w:rsidR="004329FB" w:rsidP="004329FB" w14:paraId="24C0E81A" w14:textId="3351334A">
      <w:pPr>
        <w:pStyle w:val="Heading1"/>
      </w:pPr>
      <w:r>
        <w:t>discussion</w:t>
      </w:r>
    </w:p>
    <w:p w:rsidR="005B3B72" w:rsidP="000F55EE" w14:paraId="3ED7294A" w14:textId="58112D99">
      <w:pPr>
        <w:pStyle w:val="ParaNum"/>
        <w:widowControl/>
      </w:pPr>
      <w:r w:rsidRPr="00EF7CA1">
        <w:t xml:space="preserve">Section 310(d) of the </w:t>
      </w:r>
      <w:r w:rsidR="00A53DFC">
        <w:t xml:space="preserve">Communications </w:t>
      </w:r>
      <w:r w:rsidRPr="00EF7CA1">
        <w:t>Act</w:t>
      </w:r>
      <w:r w:rsidR="00A53DFC">
        <w:t xml:space="preserve"> of 1934, as amended (Act),</w:t>
      </w:r>
      <w:r w:rsidRPr="00EF7CA1">
        <w:t xml:space="preserve"> provides that no station license shall be transferred or assigned except upon application to the Commission and upon a finding by the Commission “that the public interest, convenience, and necessity will be served thereby.”</w:t>
      </w:r>
      <w:r>
        <w:rPr>
          <w:rStyle w:val="FootnoteReference"/>
          <w:szCs w:val="22"/>
        </w:rPr>
        <w:footnoteReference w:id="22"/>
      </w:r>
      <w:r w:rsidRPr="00EF7CA1">
        <w:t xml:space="preserve">  In making this determination, we first assess whether the proposed transaction complies with the specific provisions of the Act, other applicable statutes, and the Commission’s rules.</w:t>
      </w:r>
      <w:r>
        <w:rPr>
          <w:vertAlign w:val="superscript"/>
        </w:rPr>
        <w:footnoteReference w:id="23"/>
      </w:r>
      <w:r w:rsidRPr="00EF7CA1">
        <w:t xml:space="preserve">  If the proposed transaction does not violate a statute or rule, we then consider whether the transaction could result in public interest harms by substantially frustrating or impairing the objectives or implementation of the Act or related statutes.</w:t>
      </w:r>
      <w:r>
        <w:rPr>
          <w:vertAlign w:val="superscript"/>
        </w:rPr>
        <w:footnoteReference w:id="24"/>
      </w:r>
      <w:r w:rsidRPr="00EF7CA1">
        <w:t xml:space="preserve"> </w:t>
      </w:r>
      <w:r>
        <w:t xml:space="preserve"> </w:t>
      </w:r>
    </w:p>
    <w:p w:rsidR="005B3B72" w:rsidP="005B3B72" w14:paraId="5F57CBD4" w14:textId="4A43E66F">
      <w:pPr>
        <w:pStyle w:val="ParaNum"/>
      </w:pPr>
      <w:r>
        <w:t>As noted above, t</w:t>
      </w:r>
      <w:r>
        <w:t xml:space="preserve">he proposed transaction would result in a violation of the </w:t>
      </w:r>
      <w:r w:rsidRPr="00F16A32">
        <w:t>Local Television Ownership Rule</w:t>
      </w:r>
      <w:r>
        <w:t xml:space="preserve">.  </w:t>
      </w:r>
      <w:r w:rsidRPr="00003849" w:rsidR="00003849">
        <w:t>The Commission’s rules</w:t>
      </w:r>
      <w:r w:rsidR="004E6B78">
        <w:t>, however,</w:t>
      </w:r>
      <w:r w:rsidRPr="00003849" w:rsidR="00003849">
        <w:t xml:space="preserve"> may be waived for good cause shown.</w:t>
      </w:r>
      <w:bookmarkStart w:id="1" w:name="a0d3g7u0u4_ref"/>
      <w:bookmarkStart w:id="2" w:name="a0d3g7u0u4_reffirst_footref"/>
      <w:bookmarkEnd w:id="1"/>
      <w:bookmarkEnd w:id="2"/>
      <w:r>
        <w:rPr>
          <w:vertAlign w:val="superscript"/>
        </w:rPr>
        <w:footnoteReference w:id="25"/>
      </w:r>
      <w:r w:rsidRPr="00003849" w:rsidR="00003849">
        <w:t xml:space="preserve">  When an applicant seeks waiver of a rule, it must plead with particularity the facts and circumstances which warrant such action.</w:t>
      </w:r>
      <w:bookmarkStart w:id="3" w:name="a0c5d2g7f7_ref"/>
      <w:bookmarkStart w:id="4" w:name="a0c5d2g7f7_reffirst_footref"/>
      <w:bookmarkEnd w:id="3"/>
      <w:bookmarkEnd w:id="4"/>
      <w:r>
        <w:rPr>
          <w:vertAlign w:val="superscript"/>
        </w:rPr>
        <w:footnoteReference w:id="26"/>
      </w:r>
      <w:r w:rsidRPr="00003849" w:rsidR="00003849">
        <w:t xml:space="preserve">  </w:t>
      </w:r>
      <w:r w:rsidRPr="00140478" w:rsidR="00140478">
        <w:t>Waiver is appropriate where the particular facts would make strict compliance with the rule inconsistent with the public interest, or where special circumstances “warrant a deviation from the general rule and such deviation will serve the public interest.”</w:t>
      </w:r>
      <w:r>
        <w:rPr>
          <w:vertAlign w:val="superscript"/>
        </w:rPr>
        <w:footnoteReference w:id="27"/>
      </w:r>
      <w:r w:rsidRPr="00140478" w:rsidR="00140478">
        <w:t xml:space="preserve">  In making this determination, the Commission may take into account considerations of hardship, equity, or more effective implementation of overall policy on an individual basis.</w:t>
      </w:r>
      <w:r>
        <w:rPr>
          <w:vertAlign w:val="superscript"/>
        </w:rPr>
        <w:footnoteReference w:id="28"/>
      </w:r>
    </w:p>
    <w:p w:rsidR="00161A7A" w:rsidP="005053DC" w14:paraId="12A4E48D" w14:textId="586C82FB">
      <w:pPr>
        <w:pStyle w:val="ParaNum"/>
      </w:pPr>
      <w:r w:rsidRPr="000071B3">
        <w:t>W</w:t>
      </w:r>
      <w:r w:rsidR="00EC2D9F">
        <w:t>e find that special circumstances</w:t>
      </w:r>
      <w:r w:rsidR="0072281C">
        <w:t xml:space="preserve"> </w:t>
      </w:r>
      <w:r w:rsidR="00076DBF">
        <w:t>warrant</w:t>
      </w:r>
      <w:r w:rsidR="008E4EEE">
        <w:t xml:space="preserve"> grant of </w:t>
      </w:r>
      <w:r w:rsidR="00E97B77">
        <w:t>the</w:t>
      </w:r>
      <w:r w:rsidR="008E4EEE">
        <w:t xml:space="preserve"> Waiver Request.</w:t>
      </w:r>
      <w:r>
        <w:rPr>
          <w:rStyle w:val="FootnoteReference"/>
        </w:rPr>
        <w:footnoteReference w:id="29"/>
      </w:r>
      <w:r w:rsidR="008E4EEE">
        <w:t xml:space="preserve">  </w:t>
      </w:r>
      <w:r w:rsidR="004C134F">
        <w:t xml:space="preserve">Circle City has </w:t>
      </w:r>
      <w:r w:rsidR="004900E7">
        <w:t>determined that it</w:t>
      </w:r>
      <w:r w:rsidR="007916B6">
        <w:t>s acquisition of</w:t>
      </w:r>
      <w:r w:rsidR="004900E7">
        <w:t xml:space="preserve"> </w:t>
      </w:r>
      <w:r w:rsidR="00C872BF">
        <w:t xml:space="preserve">ABC affiliate </w:t>
      </w:r>
      <w:r w:rsidR="004900E7">
        <w:t xml:space="preserve">WRTV </w:t>
      </w:r>
      <w:r w:rsidR="007916B6">
        <w:t xml:space="preserve">is essential to its </w:t>
      </w:r>
      <w:r w:rsidR="001B4142">
        <w:t xml:space="preserve">continuing viability as a </w:t>
      </w:r>
      <w:r w:rsidR="000613F9">
        <w:t>broadcaster in the Indianapolis DMA.</w:t>
      </w:r>
      <w:r>
        <w:rPr>
          <w:rStyle w:val="FootnoteReference"/>
        </w:rPr>
        <w:footnoteReference w:id="30"/>
      </w:r>
      <w:r w:rsidR="000613F9">
        <w:t xml:space="preserve">  </w:t>
      </w:r>
      <w:r w:rsidR="00C9098C">
        <w:t>A</w:t>
      </w:r>
      <w:r w:rsidR="00CC746D">
        <w:t xml:space="preserve">s Circle City acknowledges, absent grant of the Waiver Request, </w:t>
      </w:r>
      <w:r w:rsidR="00A646BF">
        <w:t xml:space="preserve">this would require it to attempt to sell WNDY-TV, </w:t>
      </w:r>
      <w:r w:rsidR="006474AE">
        <w:t xml:space="preserve">a </w:t>
      </w:r>
      <w:r w:rsidR="007B01D3">
        <w:t xml:space="preserve">prospect </w:t>
      </w:r>
      <w:r w:rsidR="00524258">
        <w:t>considerably</w:t>
      </w:r>
      <w:r w:rsidR="00613080">
        <w:t xml:space="preserve"> </w:t>
      </w:r>
      <w:r w:rsidR="007B01D3">
        <w:t xml:space="preserve">complicated by that station’s </w:t>
      </w:r>
      <w:r w:rsidR="000501A7">
        <w:t>exceedingly low audience share</w:t>
      </w:r>
      <w:r w:rsidR="009D64E5">
        <w:t>, as well as</w:t>
      </w:r>
      <w:r w:rsidR="004D0237">
        <w:t xml:space="preserve"> the lack of </w:t>
      </w:r>
      <w:r w:rsidR="00613080">
        <w:t>its own infrastructure and staff</w:t>
      </w:r>
      <w:r w:rsidR="00A54053">
        <w:t>.</w:t>
      </w:r>
      <w:r>
        <w:rPr>
          <w:rStyle w:val="FootnoteReference"/>
        </w:rPr>
        <w:footnoteReference w:id="31"/>
      </w:r>
      <w:r w:rsidR="00A54053">
        <w:t xml:space="preserve">  </w:t>
      </w:r>
      <w:r w:rsidR="00934C32">
        <w:t xml:space="preserve">Any prospective buyer would have to </w:t>
      </w:r>
      <w:r w:rsidR="00E5403B">
        <w:t xml:space="preserve">invest significant capital to </w:t>
      </w:r>
      <w:r w:rsidR="00F140F7">
        <w:t xml:space="preserve">build facilities to </w:t>
      </w:r>
      <w:r w:rsidR="00E5403B">
        <w:t>operate the station independently</w:t>
      </w:r>
      <w:r w:rsidR="00F140F7">
        <w:t xml:space="preserve">, </w:t>
      </w:r>
      <w:r w:rsidR="00EF659A">
        <w:t xml:space="preserve">likely </w:t>
      </w:r>
      <w:r w:rsidR="00F140F7">
        <w:t xml:space="preserve">without </w:t>
      </w:r>
      <w:r w:rsidR="00016910">
        <w:t xml:space="preserve">garnering sufficient advertising and retransmission revenue to obtain quality </w:t>
      </w:r>
      <w:r w:rsidR="00016910">
        <w:t>programming, as Circle City</w:t>
      </w:r>
      <w:r w:rsidR="00D66E04">
        <w:t xml:space="preserve">’s experience attests.  Moreover, </w:t>
      </w:r>
      <w:r w:rsidR="00B21F9E">
        <w:t xml:space="preserve">we cannot assume that such buyer would continue to produce and air on WNDY-TV the </w:t>
      </w:r>
      <w:r w:rsidR="00122A4F">
        <w:t>substantial amount of local news and c</w:t>
      </w:r>
      <w:r w:rsidR="0087220D">
        <w:t xml:space="preserve">ommunity service </w:t>
      </w:r>
      <w:r w:rsidR="009561FC">
        <w:t>programming</w:t>
      </w:r>
      <w:r w:rsidR="00A84E74">
        <w:t xml:space="preserve"> that Circle City</w:t>
      </w:r>
      <w:r w:rsidR="00C95D41">
        <w:t xml:space="preserve"> </w:t>
      </w:r>
      <w:r w:rsidR="00DA4ABC">
        <w:t>doe</w:t>
      </w:r>
      <w:r w:rsidR="00C95D41">
        <w:t xml:space="preserve">s.  </w:t>
      </w:r>
      <w:r w:rsidR="00525350">
        <w:t xml:space="preserve">The public interest would not be served by </w:t>
      </w:r>
      <w:r w:rsidR="00CF3B6A">
        <w:t>severely diminishing</w:t>
      </w:r>
      <w:r w:rsidR="0078324F">
        <w:t xml:space="preserve"> WNDY-T</w:t>
      </w:r>
      <w:r w:rsidR="00F5699A">
        <w:t xml:space="preserve">V as an independently-operated station or, in the event a buyer could not be found, </w:t>
      </w:r>
      <w:r>
        <w:t>letting it go dark.</w:t>
      </w:r>
    </w:p>
    <w:p w:rsidR="00A101ED" w:rsidRPr="00B960E0" w:rsidP="00B84CF1" w14:paraId="6941531E" w14:textId="02D686C1">
      <w:pPr>
        <w:pStyle w:val="ParaNum"/>
      </w:pPr>
      <w:r w:rsidRPr="005F5CB3">
        <w:t xml:space="preserve">We further find that common ownership of the Stations would not harm competition in the Indianapolis DMA, but bolster it, by strengthening Circle City’s position relative to station owners with significantly greater market power.  </w:t>
      </w:r>
      <w:r w:rsidR="00E1441B">
        <w:t xml:space="preserve">In addition, Circle City </w:t>
      </w:r>
      <w:r w:rsidR="007A21EF">
        <w:t>commits to investing the resulting increased revenue</w:t>
      </w:r>
      <w:r w:rsidR="00B27463">
        <w:t xml:space="preserve"> into the Stations</w:t>
      </w:r>
      <w:r w:rsidR="009D59EC">
        <w:t xml:space="preserve"> to deliver</w:t>
      </w:r>
      <w:r w:rsidR="000E115C">
        <w:t xml:space="preserve"> even greater local news, sports, and public affairs programming.</w:t>
      </w:r>
      <w:r>
        <w:rPr>
          <w:rStyle w:val="FootnoteReference"/>
        </w:rPr>
        <w:footnoteReference w:id="32"/>
      </w:r>
      <w:r w:rsidR="000E115C">
        <w:t xml:space="preserve">  Thus, s</w:t>
      </w:r>
      <w:r w:rsidR="002049E9">
        <w:t>trict compliance with the Local Television Ownership Rule</w:t>
      </w:r>
      <w:r w:rsidR="000D0D08">
        <w:t xml:space="preserve"> would be inconsistent with the </w:t>
      </w:r>
      <w:r w:rsidR="00C31989">
        <w:t>purpose of th</w:t>
      </w:r>
      <w:r w:rsidR="001435B7">
        <w:t>at rule</w:t>
      </w:r>
      <w:r w:rsidR="006256D6">
        <w:t xml:space="preserve">—promoting competition </w:t>
      </w:r>
      <w:r w:rsidR="00AE2B4D">
        <w:t>among broadcast television stations—</w:t>
      </w:r>
      <w:r w:rsidR="001435B7">
        <w:t>and, therefore, inconsistent with the public interest.</w:t>
      </w:r>
      <w:r>
        <w:rPr>
          <w:rStyle w:val="FootnoteReference"/>
        </w:rPr>
        <w:footnoteReference w:id="33"/>
      </w:r>
      <w:r w:rsidR="00BE6F90">
        <w:t xml:space="preserve">  Moreover, we find that grant of the </w:t>
      </w:r>
      <w:r w:rsidR="00387D98">
        <w:t>Application</w:t>
      </w:r>
      <w:r w:rsidR="00BE6F90">
        <w:t xml:space="preserve"> will </w:t>
      </w:r>
      <w:r w:rsidR="001E54FD">
        <w:t>result in more effective implementation of Commission policy</w:t>
      </w:r>
      <w:r w:rsidR="00BE6F90">
        <w:t xml:space="preserve"> by </w:t>
      </w:r>
      <w:r w:rsidR="00DE1B03">
        <w:t xml:space="preserve">preserving and promoting </w:t>
      </w:r>
      <w:r w:rsidR="002E41BE">
        <w:t>increased local programming in the Indianapolis DMA.</w:t>
      </w:r>
      <w:r w:rsidR="00A84881">
        <w:t xml:space="preserve"> </w:t>
      </w:r>
    </w:p>
    <w:p w:rsidR="00716163" w:rsidP="001C7334" w14:paraId="0D5450DD" w14:textId="4F74FE69">
      <w:pPr>
        <w:pStyle w:val="ParaNum"/>
      </w:pPr>
      <w:r w:rsidRPr="0095698B">
        <w:t xml:space="preserve">Finally, based on our own review of the </w:t>
      </w:r>
      <w:r w:rsidR="00AC4D1D">
        <w:t>Application and the record in this matter</w:t>
      </w:r>
      <w:r w:rsidRPr="0095698B">
        <w:t xml:space="preserve">, </w:t>
      </w:r>
      <w:r w:rsidRPr="0048007C" w:rsidR="0048007C">
        <w:t>we conclude that the potential public interest benefits of the proposed combination</w:t>
      </w:r>
      <w:r w:rsidR="00531B06">
        <w:t xml:space="preserve"> </w:t>
      </w:r>
      <w:r w:rsidRPr="0048007C" w:rsidR="0048007C">
        <w:t>outweigh the potential harms</w:t>
      </w:r>
      <w:r w:rsidR="00CC2990">
        <w:t xml:space="preserve">.  </w:t>
      </w:r>
      <w:r w:rsidR="003352A7">
        <w:t>Indeed, a</w:t>
      </w:r>
      <w:r w:rsidR="00086184">
        <w:t xml:space="preserve">ny potential competitive harm would be minimal in light of the </w:t>
      </w:r>
      <w:r w:rsidR="00DD4C73">
        <w:t xml:space="preserve">market strength of the top three stations, the unusual breadth of the number of </w:t>
      </w:r>
      <w:r w:rsidR="00921FA6">
        <w:t xml:space="preserve">full-power broadcast </w:t>
      </w:r>
      <w:r w:rsidR="00DD4C73">
        <w:t>stations in the Indianapolis DMA</w:t>
      </w:r>
      <w:r w:rsidR="00B62E65">
        <w:t>,</w:t>
      </w:r>
      <w:r w:rsidR="00921FA6">
        <w:t xml:space="preserve"> and the degree of independent ownership</w:t>
      </w:r>
      <w:r w:rsidR="00FA28F1">
        <w:t xml:space="preserve"> of those stations</w:t>
      </w:r>
      <w:r w:rsidR="00DD4C73">
        <w:t>.</w:t>
      </w:r>
      <w:r w:rsidR="00CC2990">
        <w:t xml:space="preserve"> </w:t>
      </w:r>
      <w:r w:rsidR="001C7334">
        <w:t xml:space="preserve"> </w:t>
      </w:r>
      <w:r w:rsidR="0074217D">
        <w:t>We</w:t>
      </w:r>
      <w:r w:rsidRPr="0095698B">
        <w:t xml:space="preserve"> have not identified any </w:t>
      </w:r>
      <w:r w:rsidR="001C7334">
        <w:t xml:space="preserve">other </w:t>
      </w:r>
      <w:r w:rsidRPr="0095698B">
        <w:t>issues or potential public interest harms that would require further consideration</w:t>
      </w:r>
      <w:r w:rsidR="0074217D">
        <w:t xml:space="preserve">, and </w:t>
      </w:r>
      <w:r w:rsidR="00ED3185">
        <w:t xml:space="preserve">we </w:t>
      </w:r>
      <w:r w:rsidR="0074217D">
        <w:t xml:space="preserve">conclude that </w:t>
      </w:r>
      <w:r w:rsidR="000342A9">
        <w:t>Circle City’s acquisition of</w:t>
      </w:r>
      <w:r w:rsidR="00B6678C">
        <w:t xml:space="preserve"> station WRTV would </w:t>
      </w:r>
      <w:r w:rsidR="000342A9">
        <w:t>serve</w:t>
      </w:r>
      <w:r w:rsidR="00B6678C">
        <w:t xml:space="preserve"> the public interest.</w:t>
      </w:r>
    </w:p>
    <w:p w:rsidR="00716163" w:rsidP="005F7F5A" w14:paraId="01897899" w14:textId="16507973">
      <w:pPr>
        <w:pStyle w:val="Heading1"/>
      </w:pPr>
      <w:r w:rsidRPr="005F7F5A">
        <w:t>ORDERING CLAUSES</w:t>
      </w:r>
    </w:p>
    <w:p w:rsidR="001E18E6" w:rsidRPr="00FB02D4" w:rsidP="00CE2D07" w14:paraId="1C82C6E1" w14:textId="02BFED33">
      <w:pPr>
        <w:pStyle w:val="ParaNum"/>
      </w:pPr>
      <w:r w:rsidRPr="008E3999">
        <w:t xml:space="preserve">Accordingly, </w:t>
      </w:r>
      <w:r w:rsidRPr="008E3999">
        <w:rPr>
          <w:b/>
          <w:bCs/>
        </w:rPr>
        <w:t>IT IS ORDERED</w:t>
      </w:r>
      <w:r>
        <w:t xml:space="preserve"> </w:t>
      </w:r>
      <w:r w:rsidRPr="008E3999">
        <w:t>that</w:t>
      </w:r>
      <w:r w:rsidR="00465625">
        <w:t>, pursuant to section 1.3 of the Commission’s rules, 47 CFR § 1.3,</w:t>
      </w:r>
      <w:r>
        <w:t xml:space="preserve"> </w:t>
      </w:r>
      <w:r w:rsidRPr="001E18E6">
        <w:t xml:space="preserve">the </w:t>
      </w:r>
      <w:r w:rsidR="00AC4D1D">
        <w:t>request of</w:t>
      </w:r>
      <w:r w:rsidRPr="001E18E6">
        <w:t xml:space="preserve"> </w:t>
      </w:r>
      <w:r>
        <w:t>C</w:t>
      </w:r>
      <w:r w:rsidR="00AC4D1D">
        <w:t>CB License, LLC</w:t>
      </w:r>
      <w:r w:rsidR="000E7573">
        <w:t>, for waiver of section 73.3555(b) of the Commission’s rules, 47</w:t>
      </w:r>
      <w:r w:rsidR="00465625">
        <w:t xml:space="preserve"> CFR § 73.3555(b)</w:t>
      </w:r>
      <w:r w:rsidR="00F558A1">
        <w:t xml:space="preserve"> (vacated in part by </w:t>
      </w:r>
      <w:r w:rsidRPr="0090515D" w:rsidR="00F558A1">
        <w:rPr>
          <w:i/>
          <w:iCs/>
        </w:rPr>
        <w:t>Zimmer Radio</w:t>
      </w:r>
      <w:r w:rsidR="00F558A1">
        <w:t>)</w:t>
      </w:r>
      <w:r w:rsidRPr="001E18E6">
        <w:t xml:space="preserve">, </w:t>
      </w:r>
      <w:r w:rsidRPr="001E18E6">
        <w:rPr>
          <w:b/>
        </w:rPr>
        <w:t>IS GRANTED</w:t>
      </w:r>
      <w:r w:rsidR="00DE227D">
        <w:rPr>
          <w:bCs/>
        </w:rPr>
        <w:t>.</w:t>
      </w:r>
    </w:p>
    <w:p w:rsidR="00DE227D" w:rsidRPr="00271FFF" w:rsidP="00FB02D4" w14:paraId="4E0F3FA6" w14:textId="79F85656">
      <w:pPr>
        <w:pStyle w:val="ParaNum"/>
      </w:pPr>
      <w:r w:rsidRPr="007B53C7">
        <w:rPr>
          <w:b/>
        </w:rPr>
        <w:t>IT IS FURTHER ORDERED</w:t>
      </w:r>
      <w:r>
        <w:t xml:space="preserve"> that the application </w:t>
      </w:r>
      <w:r w:rsidR="00FE4CCC">
        <w:t xml:space="preserve">for consent to the assignment of the license of WRTV(TV), Indianapolis, Indiana, from Scripps Broadcasting Holdings LLC to CCB License, LLC </w:t>
      </w:r>
      <w:r>
        <w:t>(</w:t>
      </w:r>
      <w:r w:rsidRPr="009979C9" w:rsidR="009979C9">
        <w:rPr>
          <w:spacing w:val="-2"/>
        </w:rPr>
        <w:t>LMS File No. 0000284262</w:t>
      </w:r>
      <w:r>
        <w:rPr>
          <w:szCs w:val="22"/>
        </w:rPr>
        <w:t>)</w:t>
      </w:r>
      <w:r w:rsidR="00FE4CCC">
        <w:rPr>
          <w:szCs w:val="22"/>
        </w:rPr>
        <w:t>,</w:t>
      </w:r>
      <w:r>
        <w:rPr>
          <w:szCs w:val="22"/>
        </w:rPr>
        <w:t xml:space="preserve"> </w:t>
      </w:r>
      <w:r w:rsidRPr="007B53C7">
        <w:rPr>
          <w:b/>
          <w:szCs w:val="22"/>
        </w:rPr>
        <w:t>IS GRANTED</w:t>
      </w:r>
      <w:r w:rsidRPr="00036E11">
        <w:rPr>
          <w:szCs w:val="22"/>
        </w:rPr>
        <w:t>.</w:t>
      </w:r>
    </w:p>
    <w:p w:rsidR="00CE2D07" w:rsidP="0090515D" w14:paraId="462EDEDF" w14:textId="3F1EA691">
      <w:pPr>
        <w:pStyle w:val="ParaNum"/>
        <w:keepNext/>
        <w:widowControl/>
      </w:pPr>
      <w:r w:rsidRPr="002427A5">
        <w:t>These actions are taken pursuant to Sections 0.61 and 0.283 of the Commission’s rules,</w:t>
      </w:r>
      <w:r>
        <w:t xml:space="preserve"> </w:t>
      </w:r>
      <w:r w:rsidRPr="002427A5">
        <w:t>47 CFR §§ 0.61, 0.283, and Sections 4(</w:t>
      </w:r>
      <w:r w:rsidRPr="002427A5">
        <w:t>i</w:t>
      </w:r>
      <w:r w:rsidRPr="002427A5">
        <w:t>) and (j), and 310(d) of the Communications Act of 1934, as</w:t>
      </w:r>
      <w:r>
        <w:t xml:space="preserve"> </w:t>
      </w:r>
      <w:r w:rsidRPr="002427A5">
        <w:t>amended, 47</w:t>
      </w:r>
      <w:r>
        <w:t> </w:t>
      </w:r>
      <w:r w:rsidRPr="002427A5">
        <w:t>U.S.C. §§ 154(</w:t>
      </w:r>
      <w:r w:rsidRPr="002427A5">
        <w:t>i</w:t>
      </w:r>
      <w:r w:rsidRPr="002427A5">
        <w:t>), 154(j), 310(d).</w:t>
      </w:r>
    </w:p>
    <w:p w:rsidR="00272423" w:rsidP="00A252B1" w14:paraId="1713AEC8" w14:textId="77777777">
      <w:pPr>
        <w:keepNext/>
        <w:widowControl/>
        <w:ind w:left="3600" w:firstLine="720"/>
      </w:pPr>
      <w:r>
        <w:t>FEDERAL COMMUNICATIONS COMMISSION</w:t>
      </w:r>
    </w:p>
    <w:p w:rsidR="00272423" w:rsidP="00A252B1" w14:paraId="6924F503" w14:textId="77777777">
      <w:pPr>
        <w:keepNext/>
        <w:widowControl/>
      </w:pPr>
    </w:p>
    <w:p w:rsidR="00272423" w:rsidP="00A252B1" w14:paraId="49D8636F" w14:textId="77777777">
      <w:pPr>
        <w:keepNext/>
        <w:widowControl/>
      </w:pPr>
    </w:p>
    <w:p w:rsidR="00272423" w:rsidP="00A252B1" w14:paraId="0D6B7005" w14:textId="77777777">
      <w:pPr>
        <w:keepNext/>
        <w:widowControl/>
      </w:pPr>
    </w:p>
    <w:p w:rsidR="00272423" w:rsidP="0090515D" w14:paraId="6DB5295C" w14:textId="77777777">
      <w:pPr>
        <w:keepNext/>
        <w:widowControl/>
      </w:pPr>
    </w:p>
    <w:p w:rsidR="00272423" w:rsidP="0090515D" w14:paraId="5A009B71" w14:textId="20F90C30">
      <w:pPr>
        <w:keepNext/>
        <w:widowControl/>
      </w:pPr>
      <w:r>
        <w:tab/>
      </w:r>
      <w:r>
        <w:tab/>
      </w:r>
      <w:r>
        <w:tab/>
      </w:r>
      <w:r>
        <w:tab/>
      </w:r>
      <w:r>
        <w:tab/>
      </w:r>
      <w:r>
        <w:tab/>
      </w:r>
      <w:r w:rsidR="00142596">
        <w:t>Erin Boone</w:t>
      </w:r>
    </w:p>
    <w:p w:rsidR="00272423" w:rsidRPr="00ED03B7" w:rsidP="00CC759C" w14:paraId="2571BAB0" w14:textId="0147CCE1">
      <w:pPr>
        <w:pStyle w:val="ParaNum"/>
        <w:numPr>
          <w:ilvl w:val="0"/>
          <w:numId w:val="0"/>
        </w:numPr>
      </w:pPr>
      <w:r>
        <w:tab/>
      </w:r>
      <w:r>
        <w:tab/>
      </w:r>
      <w:r>
        <w:tab/>
      </w:r>
      <w:r>
        <w:tab/>
      </w:r>
      <w:r>
        <w:tab/>
      </w:r>
      <w:r>
        <w:tab/>
        <w:t>Chief, Media Bureau</w:t>
      </w: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19C7" w14:paraId="0EAECFD2" w14:textId="77777777">
      <w:pPr>
        <w:spacing w:line="20" w:lineRule="exact"/>
      </w:pPr>
    </w:p>
  </w:endnote>
  <w:endnote w:type="continuationSeparator" w:id="1">
    <w:p w:rsidR="00C919C7" w14:paraId="0FEA9408" w14:textId="77777777">
      <w:r>
        <w:t xml:space="preserve"> </w:t>
      </w:r>
    </w:p>
  </w:endnote>
  <w:endnote w:type="continuationNotice" w:id="2">
    <w:p w:rsidR="00C919C7" w14:paraId="1D5619E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D61B82B"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8E352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7ADE9BB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49085FD2"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3E5DD77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19C7" w14:paraId="150F0462" w14:textId="77777777">
      <w:r>
        <w:separator/>
      </w:r>
    </w:p>
  </w:footnote>
  <w:footnote w:type="continuationSeparator" w:id="1">
    <w:p w:rsidR="00C919C7" w:rsidP="00C721AC" w14:paraId="1F700C12" w14:textId="77777777">
      <w:pPr>
        <w:spacing w:before="120"/>
        <w:rPr>
          <w:sz w:val="20"/>
        </w:rPr>
      </w:pPr>
      <w:r>
        <w:rPr>
          <w:sz w:val="20"/>
        </w:rPr>
        <w:t xml:space="preserve">(Continued from previous page)  </w:t>
      </w:r>
      <w:r>
        <w:rPr>
          <w:sz w:val="20"/>
        </w:rPr>
        <w:separator/>
      </w:r>
    </w:p>
  </w:footnote>
  <w:footnote w:type="continuationNotice" w:id="2">
    <w:p w:rsidR="00C919C7" w:rsidP="00C721AC" w14:paraId="152E9EA9" w14:textId="77777777">
      <w:pPr>
        <w:jc w:val="right"/>
        <w:rPr>
          <w:sz w:val="20"/>
        </w:rPr>
      </w:pPr>
      <w:r>
        <w:rPr>
          <w:sz w:val="20"/>
        </w:rPr>
        <w:t>(continued….)</w:t>
      </w:r>
    </w:p>
  </w:footnote>
  <w:footnote w:id="3">
    <w:p w:rsidR="003D22D9" w:rsidP="003D22D9" w14:paraId="14DD3493" w14:textId="77777777">
      <w:pPr>
        <w:pStyle w:val="FootnoteText"/>
      </w:pPr>
      <w:r>
        <w:rPr>
          <w:rStyle w:val="FootnoteReference"/>
        </w:rPr>
        <w:footnoteRef/>
      </w:r>
      <w:r>
        <w:t xml:space="preserve"> </w:t>
      </w:r>
      <w:r w:rsidRPr="00875097">
        <w:t>LMS File No. </w:t>
      </w:r>
      <w:r w:rsidRPr="0012692F">
        <w:t>0000284262</w:t>
      </w:r>
      <w:r>
        <w:t xml:space="preserve"> (filed Dec. 8, 2025) (Application).</w:t>
      </w:r>
    </w:p>
  </w:footnote>
  <w:footnote w:id="4">
    <w:p w:rsidR="003D22D9" w:rsidP="003D22D9" w14:paraId="0536B68F" w14:textId="17FB7474">
      <w:pPr>
        <w:pStyle w:val="FootnoteText"/>
        <w:widowControl w:val="0"/>
      </w:pPr>
      <w:r>
        <w:rPr>
          <w:rStyle w:val="FootnoteReference"/>
        </w:rPr>
        <w:footnoteRef/>
      </w:r>
      <w:r>
        <w:t xml:space="preserve"> </w:t>
      </w:r>
      <w:r w:rsidRPr="00C92002">
        <w:t>47 CFR § 73.3555(b)</w:t>
      </w:r>
      <w:r>
        <w:t xml:space="preserve"> </w:t>
      </w:r>
      <w:r w:rsidRPr="00F5101E">
        <w:t xml:space="preserve">(vacated in part by </w:t>
      </w:r>
      <w:r w:rsidRPr="00F5101E">
        <w:rPr>
          <w:i/>
          <w:iCs/>
        </w:rPr>
        <w:t>Zimmer Radio of Mid-Missouri, Inc. v. FCC et al.</w:t>
      </w:r>
      <w:r w:rsidRPr="00F5101E">
        <w:t>, 145 F.4th 828 (8th Cir. 2025) (</w:t>
      </w:r>
      <w:r w:rsidRPr="00F5101E">
        <w:rPr>
          <w:i/>
          <w:iCs/>
        </w:rPr>
        <w:t>Zimmer Radio</w:t>
      </w:r>
      <w:r w:rsidRPr="00F5101E">
        <w:t>)) (Local Television Ownership Rule)</w:t>
      </w:r>
      <w:r w:rsidRPr="00C92002">
        <w:t>.</w:t>
      </w:r>
    </w:p>
  </w:footnote>
  <w:footnote w:id="5">
    <w:p w:rsidR="00FC4067" w14:paraId="08D65418" w14:textId="52778E21">
      <w:pPr>
        <w:pStyle w:val="FootnoteText"/>
      </w:pPr>
      <w:r>
        <w:rPr>
          <w:rStyle w:val="FootnoteReference"/>
        </w:rPr>
        <w:footnoteRef/>
      </w:r>
      <w:r>
        <w:t xml:space="preserve"> </w:t>
      </w:r>
      <w:r w:rsidRPr="00FC4067">
        <w:t>Application, WRTV Assignment Application Multiple Ownership and Waiver Request (Waiver Request)</w:t>
      </w:r>
      <w:r w:rsidR="00DA474B">
        <w:t>.</w:t>
      </w:r>
    </w:p>
  </w:footnote>
  <w:footnote w:id="6">
    <w:p w:rsidR="00BE7255" w:rsidP="00032A7A" w14:paraId="48AEA284" w14:textId="7F5D22A3">
      <w:pPr>
        <w:pStyle w:val="FootnoteText"/>
        <w:widowControl w:val="0"/>
      </w:pPr>
      <w:r>
        <w:rPr>
          <w:rStyle w:val="FootnoteReference"/>
        </w:rPr>
        <w:footnoteRef/>
      </w:r>
      <w:r>
        <w:t xml:space="preserve"> </w:t>
      </w:r>
      <w:r w:rsidRPr="00C92002">
        <w:t>47 CFR § 73.3555(b)</w:t>
      </w:r>
      <w:r>
        <w:t xml:space="preserve"> </w:t>
      </w:r>
      <w:r w:rsidRPr="00F5101E">
        <w:t xml:space="preserve">(vacated in part by </w:t>
      </w:r>
      <w:r w:rsidRPr="00F5101E">
        <w:rPr>
          <w:i/>
          <w:iCs/>
        </w:rPr>
        <w:t>Zimmer Radio</w:t>
      </w:r>
      <w:r w:rsidRPr="00F5101E">
        <w:t>)</w:t>
      </w:r>
      <w:r w:rsidRPr="00C92002">
        <w:t xml:space="preserve">.  </w:t>
      </w:r>
    </w:p>
  </w:footnote>
  <w:footnote w:id="7">
    <w:p w:rsidR="00480685" w:rsidRPr="009F0AC7" w:rsidP="00480685" w14:paraId="1519C507" w14:textId="2AF71B04">
      <w:pPr>
        <w:pStyle w:val="FootnoteText"/>
      </w:pPr>
      <w:r>
        <w:rPr>
          <w:rStyle w:val="FootnoteReference"/>
        </w:rPr>
        <w:footnoteRef/>
      </w:r>
      <w:r>
        <w:t xml:space="preserve"> </w:t>
      </w:r>
      <w:r w:rsidRPr="00933E5B" w:rsidR="00933E5B">
        <w:rPr>
          <w:i/>
          <w:iCs/>
        </w:rPr>
        <w:t>Letter from Chief, Video Division to Sinclair</w:t>
      </w:r>
      <w:r w:rsidR="00494FC1">
        <w:rPr>
          <w:i/>
          <w:iCs/>
        </w:rPr>
        <w:t>,</w:t>
      </w:r>
      <w:r w:rsidRPr="00933E5B" w:rsidR="00933E5B">
        <w:rPr>
          <w:i/>
          <w:iCs/>
        </w:rPr>
        <w:t xml:space="preserve"> Inc., et al.</w:t>
      </w:r>
      <w:r w:rsidRPr="0090515D" w:rsidR="00933E5B">
        <w:t>, Letter Order,</w:t>
      </w:r>
      <w:r w:rsidR="009F7667">
        <w:t xml:space="preserve"> DA 26-108</w:t>
      </w:r>
      <w:r w:rsidRPr="0090515D" w:rsidR="00933E5B">
        <w:t xml:space="preserve"> (</w:t>
      </w:r>
      <w:r w:rsidR="00997138">
        <w:t>MB</w:t>
      </w:r>
      <w:r w:rsidRPr="0090515D" w:rsidR="00933E5B">
        <w:t xml:space="preserve"> Feb. 3, 2026)</w:t>
      </w:r>
      <w:r>
        <w:t>.</w:t>
      </w:r>
    </w:p>
  </w:footnote>
  <w:footnote w:id="8">
    <w:p w:rsidR="00E11196" w14:paraId="3325AC75" w14:textId="64214525">
      <w:pPr>
        <w:pStyle w:val="FootnoteText"/>
      </w:pPr>
      <w:r>
        <w:rPr>
          <w:rStyle w:val="FootnoteReference"/>
        </w:rPr>
        <w:footnoteRef/>
      </w:r>
      <w:r>
        <w:t xml:space="preserve"> </w:t>
      </w:r>
      <w:r w:rsidRPr="00580A7D" w:rsidR="00580A7D">
        <w:t>We will refer to WISH-TV, WNDY-TV, and WRTV, collectively, as the Stations.</w:t>
      </w:r>
    </w:p>
  </w:footnote>
  <w:footnote w:id="9">
    <w:p w:rsidR="00B702F5" w:rsidRPr="00991091" w14:paraId="4D73C6FA" w14:textId="78329C8F">
      <w:pPr>
        <w:pStyle w:val="FootnoteText"/>
      </w:pPr>
      <w:r>
        <w:rPr>
          <w:rStyle w:val="FootnoteReference"/>
        </w:rPr>
        <w:footnoteRef/>
      </w:r>
      <w:r>
        <w:t xml:space="preserve"> </w:t>
      </w:r>
      <w:r w:rsidR="00624391">
        <w:t>Waiver Request</w:t>
      </w:r>
      <w:r w:rsidR="00991091">
        <w:t xml:space="preserve"> at 1.</w:t>
      </w:r>
    </w:p>
  </w:footnote>
  <w:footnote w:id="10">
    <w:p w:rsidR="00D32E16" w14:paraId="207AE11D" w14:textId="7377D506">
      <w:pPr>
        <w:pStyle w:val="FootnoteText"/>
      </w:pPr>
      <w:r>
        <w:rPr>
          <w:rStyle w:val="FootnoteReference"/>
        </w:rPr>
        <w:footnoteRef/>
      </w:r>
      <w:r>
        <w:t xml:space="preserve"> </w:t>
      </w:r>
      <w:r w:rsidRPr="0090515D">
        <w:rPr>
          <w:i/>
          <w:iCs/>
        </w:rPr>
        <w:t>Id</w:t>
      </w:r>
      <w:r>
        <w:t>.</w:t>
      </w:r>
    </w:p>
  </w:footnote>
  <w:footnote w:id="11">
    <w:p w:rsidR="007C0930" w:rsidP="00032A7A" w14:paraId="0DF04A67" w14:textId="2C2D0E69">
      <w:pPr>
        <w:pStyle w:val="FootnoteText"/>
      </w:pPr>
      <w:r>
        <w:rPr>
          <w:rStyle w:val="FootnoteReference"/>
        </w:rPr>
        <w:footnoteRef/>
      </w:r>
      <w:r>
        <w:t xml:space="preserve"> </w:t>
      </w:r>
      <w:r w:rsidR="00624391">
        <w:rPr>
          <w:i/>
          <w:iCs/>
        </w:rPr>
        <w:t>Id</w:t>
      </w:r>
      <w:r w:rsidR="00624391">
        <w:t>.</w:t>
      </w:r>
      <w:r>
        <w:t xml:space="preserve"> at 3-5.</w:t>
      </w:r>
    </w:p>
  </w:footnote>
  <w:footnote w:id="12">
    <w:p w:rsidR="007C0930" w:rsidRPr="004A0E57" w14:paraId="2FAE57A4" w14:textId="77777777">
      <w:pPr>
        <w:pStyle w:val="FootnoteText"/>
      </w:pPr>
      <w:r>
        <w:rPr>
          <w:rStyle w:val="FootnoteReference"/>
        </w:rPr>
        <w:footnoteRef/>
      </w:r>
      <w:r>
        <w:t xml:space="preserve"> </w:t>
      </w:r>
      <w:r>
        <w:rPr>
          <w:i/>
          <w:iCs/>
        </w:rPr>
        <w:t>Id.</w:t>
      </w:r>
      <w:r>
        <w:t xml:space="preserve"> at 4, Att. B “Local Sporting Events Broadcast on WISH-TV and WNDY-TV,” Att. C “</w:t>
      </w:r>
      <w:r w:rsidRPr="00907C72">
        <w:t>Locally-Produced Programming on WISH-TV and WNDY-TV</w:t>
      </w:r>
      <w:r>
        <w:t>.”</w:t>
      </w:r>
    </w:p>
  </w:footnote>
  <w:footnote w:id="13">
    <w:p w:rsidR="00D205D4" w14:paraId="2647463D" w14:textId="582F87EA">
      <w:pPr>
        <w:pStyle w:val="FootnoteText"/>
      </w:pPr>
      <w:r>
        <w:rPr>
          <w:rStyle w:val="FootnoteReference"/>
        </w:rPr>
        <w:footnoteRef/>
      </w:r>
      <w:r>
        <w:t xml:space="preserve"> </w:t>
      </w:r>
      <w:r w:rsidRPr="0090515D">
        <w:rPr>
          <w:i/>
          <w:iCs/>
        </w:rPr>
        <w:t>Id.</w:t>
      </w:r>
      <w:r>
        <w:t xml:space="preserve"> at 4.</w:t>
      </w:r>
    </w:p>
  </w:footnote>
  <w:footnote w:id="14">
    <w:p w:rsidR="006C51EA" w14:paraId="7E13ACD1" w14:textId="7C5C11C1">
      <w:pPr>
        <w:pStyle w:val="FootnoteText"/>
      </w:pPr>
      <w:r>
        <w:rPr>
          <w:rStyle w:val="FootnoteReference"/>
        </w:rPr>
        <w:footnoteRef/>
      </w:r>
      <w:r>
        <w:t xml:space="preserve"> </w:t>
      </w:r>
      <w:r w:rsidRPr="0090515D">
        <w:rPr>
          <w:i/>
          <w:iCs/>
        </w:rPr>
        <w:t>Id</w:t>
      </w:r>
      <w:r>
        <w:t>.</w:t>
      </w:r>
    </w:p>
  </w:footnote>
  <w:footnote w:id="15">
    <w:p w:rsidR="00AA638D" w:rsidRPr="008A536E" w:rsidP="00AA638D" w14:paraId="10FBA928" w14:textId="65AF606E">
      <w:pPr>
        <w:pStyle w:val="FootnoteText"/>
      </w:pPr>
      <w:r>
        <w:rPr>
          <w:rStyle w:val="FootnoteReference"/>
        </w:rPr>
        <w:footnoteRef/>
      </w:r>
      <w:r>
        <w:t xml:space="preserve"> </w:t>
      </w:r>
      <w:r w:rsidR="003A4081">
        <w:rPr>
          <w:i/>
          <w:iCs/>
        </w:rPr>
        <w:t>I</w:t>
      </w:r>
      <w:r>
        <w:rPr>
          <w:i/>
          <w:iCs/>
        </w:rPr>
        <w:t>d</w:t>
      </w:r>
      <w:r>
        <w:t>. at 8 (“I</w:t>
      </w:r>
      <w:r w:rsidRPr="003E1523">
        <w:t>f the combination is not permitted, given the existential circumstances of Circle City’s position in the Indianapolis market, Circle City will have no choice but to attempt to divest WNDY-TV so that Circle City can acquire WRTV and its Big Four affiliation without the need for a waiver of the local television ownership rule.</w:t>
      </w:r>
      <w:r>
        <w:t>”).</w:t>
      </w:r>
    </w:p>
  </w:footnote>
  <w:footnote w:id="16">
    <w:p w:rsidR="0017132B" w:rsidRPr="0017132B" w14:paraId="21EEE540" w14:textId="7BEB5D15">
      <w:pPr>
        <w:pStyle w:val="FootnoteText"/>
      </w:pPr>
      <w:r>
        <w:rPr>
          <w:rStyle w:val="FootnoteReference"/>
        </w:rPr>
        <w:footnoteRef/>
      </w:r>
      <w:r>
        <w:t xml:space="preserve"> </w:t>
      </w:r>
      <w:r>
        <w:rPr>
          <w:i/>
          <w:iCs/>
        </w:rPr>
        <w:t>Id</w:t>
      </w:r>
      <w:r>
        <w:t>. at 5-8.</w:t>
      </w:r>
    </w:p>
  </w:footnote>
  <w:footnote w:id="17">
    <w:p w:rsidR="007A6AAC" w14:paraId="1486D9AD" w14:textId="4094E1CF">
      <w:pPr>
        <w:pStyle w:val="FootnoteText"/>
      </w:pPr>
      <w:r>
        <w:rPr>
          <w:rStyle w:val="FootnoteReference"/>
        </w:rPr>
        <w:footnoteRef/>
      </w:r>
      <w:r>
        <w:t xml:space="preserve"> </w:t>
      </w:r>
      <w:r w:rsidRPr="0090515D">
        <w:rPr>
          <w:i/>
          <w:iCs/>
        </w:rPr>
        <w:t>Id</w:t>
      </w:r>
      <w:r>
        <w:t>. at 1-</w:t>
      </w:r>
      <w:r w:rsidR="00E1094F">
        <w:t>2.</w:t>
      </w:r>
    </w:p>
  </w:footnote>
  <w:footnote w:id="18">
    <w:p w:rsidR="007413FC" w14:paraId="45E800F8" w14:textId="48EB3B95">
      <w:pPr>
        <w:pStyle w:val="FootnoteText"/>
      </w:pPr>
      <w:r>
        <w:rPr>
          <w:rStyle w:val="FootnoteReference"/>
        </w:rPr>
        <w:footnoteRef/>
      </w:r>
      <w:r>
        <w:t xml:space="preserve"> We note that</w:t>
      </w:r>
      <w:r w:rsidR="008A3261">
        <w:t xml:space="preserve"> </w:t>
      </w:r>
      <w:r w:rsidR="00CF2271">
        <w:t>applications are pending</w:t>
      </w:r>
      <w:r w:rsidR="003C0FA4">
        <w:t xml:space="preserve"> seeking consent to the transfer of control of TEGNA to Nexstar.  </w:t>
      </w:r>
      <w:r w:rsidRPr="00B2511B" w:rsidR="00B2511B">
        <w:rPr>
          <w:i/>
          <w:iCs/>
        </w:rPr>
        <w:t xml:space="preserve">See Media Bureau Establishes Pleading Cycle for Applications to Transfer Control of TEGNA Inc. to Nexstar Media Inc. and Permit-But-Disclose Ex </w:t>
      </w:r>
      <w:r w:rsidRPr="00B2511B" w:rsidR="00B2511B">
        <w:rPr>
          <w:i/>
          <w:iCs/>
        </w:rPr>
        <w:t>Parte</w:t>
      </w:r>
      <w:r w:rsidRPr="00B2511B" w:rsidR="00B2511B">
        <w:t xml:space="preserve"> </w:t>
      </w:r>
      <w:r w:rsidRPr="00B2511B" w:rsidR="00B2511B">
        <w:rPr>
          <w:i/>
          <w:iCs/>
        </w:rPr>
        <w:t>Status for the Proceeding</w:t>
      </w:r>
      <w:r w:rsidRPr="00B2511B" w:rsidR="00B2511B">
        <w:t>, MB Docket No. 25-331, Public Notice, DA 25-1000 (MB Dec. 1, 2025)</w:t>
      </w:r>
      <w:r w:rsidR="00B2511B">
        <w:t>.</w:t>
      </w:r>
    </w:p>
  </w:footnote>
  <w:footnote w:id="19">
    <w:p w:rsidR="00976D12" w:rsidRPr="00976D12" w14:paraId="346FE425" w14:textId="65AE5501">
      <w:pPr>
        <w:pStyle w:val="FootnoteText"/>
      </w:pPr>
      <w:r>
        <w:rPr>
          <w:rStyle w:val="FootnoteReference"/>
        </w:rPr>
        <w:footnoteRef/>
      </w:r>
      <w:r>
        <w:t xml:space="preserve"> </w:t>
      </w:r>
      <w:r>
        <w:rPr>
          <w:i/>
          <w:iCs/>
        </w:rPr>
        <w:t>Id</w:t>
      </w:r>
      <w:r>
        <w:t>. at 2.</w:t>
      </w:r>
    </w:p>
  </w:footnote>
  <w:footnote w:id="20">
    <w:p w:rsidR="00BF4D83" w:rsidRPr="003F5AD7" w:rsidP="00BF4D83" w14:paraId="0CE90D0C" w14:textId="14133F8B">
      <w:pPr>
        <w:pStyle w:val="FootnoteText"/>
      </w:pPr>
      <w:r>
        <w:rPr>
          <w:rStyle w:val="FootnoteReference"/>
        </w:rPr>
        <w:footnoteRef/>
      </w:r>
      <w:r>
        <w:t xml:space="preserve"> </w:t>
      </w:r>
      <w:r>
        <w:rPr>
          <w:i/>
          <w:iCs/>
        </w:rPr>
        <w:t>Id</w:t>
      </w:r>
      <w:r>
        <w:t xml:space="preserve">. at </w:t>
      </w:r>
      <w:r w:rsidR="00B034D4">
        <w:t>6</w:t>
      </w:r>
      <w:r>
        <w:t>.</w:t>
      </w:r>
    </w:p>
  </w:footnote>
  <w:footnote w:id="21">
    <w:p w:rsidR="00763E81" w14:paraId="1CB7EF44" w14:textId="342174CF">
      <w:pPr>
        <w:pStyle w:val="FootnoteText"/>
      </w:pPr>
      <w:r>
        <w:rPr>
          <w:rStyle w:val="FootnoteReference"/>
        </w:rPr>
        <w:footnoteRef/>
      </w:r>
      <w:r>
        <w:t xml:space="preserve"> </w:t>
      </w:r>
      <w:r w:rsidRPr="0090515D" w:rsidR="00205B87">
        <w:rPr>
          <w:i/>
          <w:iCs/>
        </w:rPr>
        <w:t>Id</w:t>
      </w:r>
      <w:r w:rsidR="00205B87">
        <w:t>. at 7.</w:t>
      </w:r>
    </w:p>
  </w:footnote>
  <w:footnote w:id="22">
    <w:p w:rsidR="005B3B72" w:rsidP="005B3B72" w14:paraId="46337CF3" w14:textId="77777777">
      <w:pPr>
        <w:pStyle w:val="FootnoteText"/>
        <w:widowControl w:val="0"/>
      </w:pPr>
      <w:r>
        <w:rPr>
          <w:rStyle w:val="FootnoteReference"/>
        </w:rPr>
        <w:footnoteRef/>
      </w:r>
      <w:r>
        <w:t xml:space="preserve"> </w:t>
      </w:r>
      <w:bookmarkStart w:id="0" w:name="_Hlk216883754"/>
      <w:r>
        <w:t>47 U.S.C. § 310(d)</w:t>
      </w:r>
      <w:bookmarkEnd w:id="0"/>
      <w:r>
        <w:t xml:space="preserve">.  </w:t>
      </w:r>
    </w:p>
  </w:footnote>
  <w:footnote w:id="23">
    <w:p w:rsidR="005B3B72" w:rsidP="005B3B72" w14:paraId="404D568F" w14:textId="7F4BDBC0">
      <w:pPr>
        <w:pStyle w:val="FootnoteText"/>
        <w:widowControl w:val="0"/>
      </w:pPr>
      <w:r>
        <w:rPr>
          <w:rStyle w:val="FootnoteReference"/>
        </w:rPr>
        <w:footnoteRef/>
      </w:r>
      <w:r>
        <w:t xml:space="preserve"> </w:t>
      </w:r>
      <w:r w:rsidRPr="009B26A2">
        <w:rPr>
          <w:i/>
          <w:iCs/>
        </w:rPr>
        <w:t>Applications for Consent to the Transfer of Control of Paramount Global</w:t>
      </w:r>
      <w:r>
        <w:t xml:space="preserve">, Memorandum Opinion and Order, 40 FCC </w:t>
      </w:r>
      <w:r>
        <w:t>Rcd</w:t>
      </w:r>
      <w:r>
        <w:t xml:space="preserve"> 5689, 5701, para. 25 (2025).</w:t>
      </w:r>
    </w:p>
  </w:footnote>
  <w:footnote w:id="24">
    <w:p w:rsidR="005B3B72" w:rsidP="005B3B72" w14:paraId="71FE9572" w14:textId="77777777">
      <w:pPr>
        <w:pStyle w:val="FootnoteText"/>
        <w:widowControl w:val="0"/>
      </w:pPr>
      <w:r>
        <w:rPr>
          <w:rStyle w:val="FootnoteReference"/>
        </w:rPr>
        <w:footnoteRef/>
      </w:r>
      <w:r>
        <w:t xml:space="preserve"> </w:t>
      </w:r>
      <w:r>
        <w:rPr>
          <w:i/>
          <w:iCs/>
        </w:rPr>
        <w:t>Id.</w:t>
      </w:r>
    </w:p>
  </w:footnote>
  <w:footnote w:id="25">
    <w:p w:rsidR="00003849" w:rsidRPr="0060415A" w:rsidP="00003849" w14:paraId="04B98167" w14:textId="77777777">
      <w:pPr>
        <w:pStyle w:val="FootnoteText"/>
      </w:pPr>
      <w:r w:rsidRPr="0060415A">
        <w:rPr>
          <w:rStyle w:val="FootnoteReference"/>
        </w:rPr>
        <w:footnoteRef/>
      </w:r>
      <w:r w:rsidRPr="0060415A">
        <w:t xml:space="preserve"> 47 CFR § 1.3.</w:t>
      </w:r>
    </w:p>
  </w:footnote>
  <w:footnote w:id="26">
    <w:p w:rsidR="00003849" w:rsidRPr="0060415A" w:rsidP="00003849" w14:paraId="5BA5F241" w14:textId="621C0266">
      <w:pPr>
        <w:pStyle w:val="FootnoteText"/>
      </w:pPr>
      <w:r w:rsidRPr="0060415A">
        <w:rPr>
          <w:rStyle w:val="FootnoteReference"/>
        </w:rPr>
        <w:footnoteRef/>
      </w:r>
      <w:r w:rsidRPr="0060415A">
        <w:t xml:space="preserve"> </w:t>
      </w:r>
      <w:r w:rsidRPr="0060415A">
        <w:rPr>
          <w:i/>
        </w:rPr>
        <w:t>WAIT Radio v. FCC</w:t>
      </w:r>
      <w:r w:rsidRPr="0060415A">
        <w:t>, 418 F.2d 1153, 1157, para. 2 (D.C. Cir. 1969).</w:t>
      </w:r>
    </w:p>
  </w:footnote>
  <w:footnote w:id="27">
    <w:p w:rsidR="00140478" w:rsidP="00140478" w14:paraId="28A25BEB" w14:textId="77777777">
      <w:pPr>
        <w:pStyle w:val="FootnoteText"/>
      </w:pPr>
      <w:r>
        <w:rPr>
          <w:rStyle w:val="FootnoteReference"/>
        </w:rPr>
        <w:footnoteRef/>
      </w:r>
      <w:r>
        <w:t xml:space="preserve"> </w:t>
      </w:r>
      <w:r>
        <w:rPr>
          <w:i/>
          <w:iCs/>
        </w:rPr>
        <w:t xml:space="preserve">Id. </w:t>
      </w:r>
      <w:r w:rsidRPr="005C7494">
        <w:t>at</w:t>
      </w:r>
      <w:r w:rsidRPr="00677712">
        <w:t xml:space="preserve"> </w:t>
      </w:r>
      <w:r w:rsidRPr="0043340E">
        <w:t>1159</w:t>
      </w:r>
      <w:r>
        <w:t xml:space="preserve">; </w:t>
      </w:r>
      <w:r w:rsidRPr="009E3FB8">
        <w:rPr>
          <w:i/>
          <w:iCs/>
        </w:rPr>
        <w:t>NetworkIP</w:t>
      </w:r>
      <w:r w:rsidRPr="009E3FB8">
        <w:rPr>
          <w:i/>
          <w:iCs/>
        </w:rPr>
        <w:t>, LLC v. FCC</w:t>
      </w:r>
      <w:r>
        <w:t>, 548 F.3d 116, 127 (D.C. Cir. 2008).</w:t>
      </w:r>
    </w:p>
  </w:footnote>
  <w:footnote w:id="28">
    <w:p w:rsidR="00140478" w:rsidP="00140478" w14:paraId="77AD15DE" w14:textId="1B781322">
      <w:pPr>
        <w:pStyle w:val="FootnoteText"/>
      </w:pPr>
      <w:r>
        <w:rPr>
          <w:rStyle w:val="FootnoteReference"/>
        </w:rPr>
        <w:footnoteRef/>
      </w:r>
      <w:r>
        <w:t xml:space="preserve"> </w:t>
      </w:r>
      <w:r w:rsidRPr="008541E6">
        <w:rPr>
          <w:i/>
          <w:iCs/>
        </w:rPr>
        <w:t>Northeast Cellular Telephone Co. v. FCC</w:t>
      </w:r>
      <w:r w:rsidRPr="00AA403C">
        <w:t>, 897 F.2d 1164, 1166 (D.C. Cir. 1990</w:t>
      </w:r>
      <w:r w:rsidR="006B7361">
        <w:t>).</w:t>
      </w:r>
    </w:p>
  </w:footnote>
  <w:footnote w:id="29">
    <w:p w:rsidR="00B76D6E" w14:paraId="55E9CEFE" w14:textId="142F4467">
      <w:pPr>
        <w:pStyle w:val="FootnoteText"/>
      </w:pPr>
      <w:r>
        <w:rPr>
          <w:rStyle w:val="FootnoteReference"/>
        </w:rPr>
        <w:footnoteRef/>
      </w:r>
      <w:r>
        <w:t xml:space="preserve"> </w:t>
      </w:r>
      <w:r w:rsidRPr="00BF5944" w:rsidR="00C14B54">
        <w:t xml:space="preserve">The Commission </w:t>
      </w:r>
      <w:r w:rsidRPr="00BF5944" w:rsidR="00260A8B">
        <w:t xml:space="preserve">previously has granted </w:t>
      </w:r>
      <w:r w:rsidRPr="00BF5944" w:rsidR="005532AA">
        <w:t xml:space="preserve">a </w:t>
      </w:r>
      <w:r w:rsidRPr="00BF5944" w:rsidR="00260A8B">
        <w:t xml:space="preserve">permanent waiver of its </w:t>
      </w:r>
      <w:r w:rsidRPr="00BF5944" w:rsidR="006E3BA3">
        <w:t>multiple</w:t>
      </w:r>
      <w:r w:rsidRPr="00BF5944" w:rsidR="00260A8B">
        <w:t xml:space="preserve"> ownership rules.  </w:t>
      </w:r>
      <w:r w:rsidRPr="00BF5944" w:rsidR="00C86F3C">
        <w:rPr>
          <w:i/>
          <w:iCs/>
        </w:rPr>
        <w:t xml:space="preserve">See </w:t>
      </w:r>
      <w:r w:rsidRPr="00BF5944" w:rsidR="00F37B28">
        <w:rPr>
          <w:i/>
          <w:iCs/>
        </w:rPr>
        <w:t>Fox Television Stations Inc.</w:t>
      </w:r>
      <w:r w:rsidRPr="00BF5944" w:rsidR="00F37B28">
        <w:t xml:space="preserve">, </w:t>
      </w:r>
      <w:r w:rsidRPr="00BF5944" w:rsidR="00204E3F">
        <w:t xml:space="preserve">Declaratory Ruling, </w:t>
      </w:r>
      <w:r w:rsidRPr="00BF5944" w:rsidR="001352FE">
        <w:t xml:space="preserve">8 FCC </w:t>
      </w:r>
      <w:r w:rsidRPr="00BF5944" w:rsidR="001352FE">
        <w:t>Rcd</w:t>
      </w:r>
      <w:r w:rsidRPr="00BF5944" w:rsidR="001352FE">
        <w:t xml:space="preserve"> 5341 (1993)</w:t>
      </w:r>
      <w:r w:rsidRPr="00BF5944" w:rsidR="005532AA">
        <w:t xml:space="preserve"> (permanent waiver of the newspaper/broadcast cross-ownership rule)</w:t>
      </w:r>
      <w:r w:rsidRPr="00BF5944" w:rsidR="00012F8F">
        <w:t>.</w:t>
      </w:r>
      <w:r w:rsidR="00AF318E">
        <w:t xml:space="preserve"> </w:t>
      </w:r>
    </w:p>
  </w:footnote>
  <w:footnote w:id="30">
    <w:p w:rsidR="00634664" w14:paraId="5FE9AD42" w14:textId="34FEE48B">
      <w:pPr>
        <w:pStyle w:val="FootnoteText"/>
      </w:pPr>
      <w:r>
        <w:rPr>
          <w:rStyle w:val="FootnoteReference"/>
        </w:rPr>
        <w:footnoteRef/>
      </w:r>
      <w:r>
        <w:t xml:space="preserve"> </w:t>
      </w:r>
      <w:r>
        <w:rPr>
          <w:i/>
          <w:iCs/>
        </w:rPr>
        <w:t>S</w:t>
      </w:r>
      <w:r w:rsidRPr="00634664">
        <w:rPr>
          <w:i/>
          <w:iCs/>
        </w:rPr>
        <w:t>ee supra</w:t>
      </w:r>
      <w:r w:rsidRPr="00634664">
        <w:t xml:space="preserve"> n</w:t>
      </w:r>
      <w:r w:rsidR="00494FC1">
        <w:t xml:space="preserve">ote </w:t>
      </w:r>
      <w:r w:rsidRPr="00634664">
        <w:t>13</w:t>
      </w:r>
      <w:r>
        <w:t>.</w:t>
      </w:r>
    </w:p>
  </w:footnote>
  <w:footnote w:id="31">
    <w:p w:rsidR="00A54053" w14:paraId="514BD88C" w14:textId="79AE3E1D">
      <w:pPr>
        <w:pStyle w:val="FootnoteText"/>
      </w:pPr>
      <w:r>
        <w:rPr>
          <w:rStyle w:val="FootnoteReference"/>
        </w:rPr>
        <w:footnoteRef/>
      </w:r>
      <w:r>
        <w:t xml:space="preserve"> Waiver Request at 8</w:t>
      </w:r>
      <w:r w:rsidR="00406A1E">
        <w:t xml:space="preserve"> (“Because WNDY-TV has been operated in conjunction with WISH-TV</w:t>
      </w:r>
      <w:r w:rsidR="003A1F0B">
        <w:t xml:space="preserve"> for many years, WNDY-TV does not have its own infrastructure or staff in place . . . .”)</w:t>
      </w:r>
      <w:r>
        <w:t>.</w:t>
      </w:r>
    </w:p>
  </w:footnote>
  <w:footnote w:id="32">
    <w:p w:rsidR="000E115C" w14:paraId="3247B724" w14:textId="675486B8">
      <w:pPr>
        <w:pStyle w:val="FootnoteText"/>
      </w:pPr>
      <w:r>
        <w:rPr>
          <w:rStyle w:val="FootnoteReference"/>
        </w:rPr>
        <w:footnoteRef/>
      </w:r>
      <w:r>
        <w:t xml:space="preserve"> </w:t>
      </w:r>
      <w:r w:rsidRPr="00C23C7A" w:rsidR="001C437E">
        <w:rPr>
          <w:i/>
          <w:iCs/>
        </w:rPr>
        <w:t>Id</w:t>
      </w:r>
      <w:r w:rsidRPr="00821E2E">
        <w:rPr>
          <w:i/>
          <w:iCs/>
        </w:rPr>
        <w:t>.</w:t>
      </w:r>
      <w:r w:rsidR="00BF4725">
        <w:t xml:space="preserve"> at 7.</w:t>
      </w:r>
    </w:p>
  </w:footnote>
  <w:footnote w:id="33">
    <w:p w:rsidR="001C437E" w14:paraId="34D8714C" w14:textId="1EFE09E1">
      <w:pPr>
        <w:pStyle w:val="FootnoteText"/>
      </w:pPr>
      <w:r>
        <w:rPr>
          <w:rStyle w:val="FootnoteReference"/>
        </w:rPr>
        <w:footnoteRef/>
      </w:r>
      <w:r>
        <w:t xml:space="preserve"> </w:t>
      </w:r>
      <w:r w:rsidRPr="000F5F5D" w:rsidR="003B1FCF">
        <w:rPr>
          <w:i/>
          <w:iCs/>
        </w:rPr>
        <w:t>See</w:t>
      </w:r>
      <w:r w:rsidR="003B1FCF">
        <w:t xml:space="preserve"> </w:t>
      </w:r>
      <w:r w:rsidRPr="001C437E">
        <w:rPr>
          <w:i/>
          <w:iCs/>
        </w:rPr>
        <w:t>2014 Quadrennial Regulatory Review</w:t>
      </w:r>
      <w:r w:rsidRPr="001C437E">
        <w:t xml:space="preserve">, MB Docket Nos. 14-50 et al., Order on Reconsideration and Notice of Proposed Rulemaking, 32 FCC </w:t>
      </w:r>
      <w:r w:rsidRPr="001C437E">
        <w:t>Rcd</w:t>
      </w:r>
      <w:r w:rsidRPr="001C437E">
        <w:t>. 9802, 9833, para. 71 (2017)</w:t>
      </w:r>
      <w:r w:rsidR="003B1FCF">
        <w:t xml:space="preserve">; </w:t>
      </w:r>
      <w:r w:rsidRPr="000F5F5D" w:rsidR="006A09E6">
        <w:rPr>
          <w:i/>
          <w:iCs/>
        </w:rPr>
        <w:t xml:space="preserve">2018 </w:t>
      </w:r>
      <w:r w:rsidRPr="000F5F5D" w:rsidR="00E87099">
        <w:rPr>
          <w:i/>
          <w:iCs/>
        </w:rPr>
        <w:t>Quadrennial Review</w:t>
      </w:r>
      <w:r w:rsidR="00E87099">
        <w:t xml:space="preserve">, </w:t>
      </w:r>
      <w:r w:rsidR="004E08F9">
        <w:t>MB Docket No</w:t>
      </w:r>
      <w:r w:rsidR="00E5027A">
        <w:t>.</w:t>
      </w:r>
      <w:r w:rsidR="004E08F9">
        <w:t xml:space="preserve"> </w:t>
      </w:r>
      <w:r w:rsidR="00E805C7">
        <w:t>18</w:t>
      </w:r>
      <w:r w:rsidR="00FA28F1">
        <w:noBreakHyphen/>
      </w:r>
      <w:r w:rsidR="00E805C7">
        <w:t>349</w:t>
      </w:r>
      <w:r w:rsidR="004E08F9">
        <w:t xml:space="preserve">, Report and Order, 38 FCC </w:t>
      </w:r>
      <w:r w:rsidR="004E08F9">
        <w:t>Rcd</w:t>
      </w:r>
      <w:r w:rsidR="004E08F9">
        <w:t xml:space="preserve"> </w:t>
      </w:r>
      <w:r w:rsidR="000E3E01">
        <w:t>12782, 12827, para. 81 (Local Television Ownership Rule</w:t>
      </w:r>
      <w:r w:rsidR="00B47E70">
        <w:t xml:space="preserve"> “remains first and foremost competition-focused”)</w:t>
      </w:r>
      <w:r w:rsidRPr="001C43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9F36ABB" w14:textId="6FF8205C">
    <w:pPr>
      <w:pStyle w:val="Header"/>
      <w:rPr>
        <w:b w:val="0"/>
      </w:rPr>
    </w:pPr>
    <w:r>
      <w:tab/>
      <w:t>Federal Communications Commission</w:t>
    </w:r>
    <w:r>
      <w:tab/>
    </w:r>
    <w:r w:rsidR="007654F1">
      <w:t>DA 26-</w:t>
    </w:r>
    <w:r w:rsidR="00FE7D04">
      <w:t>207</w:t>
    </w:r>
  </w:p>
  <w:p w:rsidR="00D25FB5" w14:paraId="3A5274E1" w14:textId="00E7DDBC">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085AB9A1"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59CDE31" w14:textId="553A6D34">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3F592C">
      <w:t xml:space="preserve">DA </w:t>
    </w:r>
    <w:r w:rsidR="00D62256">
      <w:t>26-</w:t>
    </w:r>
    <w:r w:rsidR="00FE7D04">
      <w:t>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843325298">
    <w:abstractNumId w:val="1"/>
  </w:num>
  <w:num w:numId="2" w16cid:durableId="224684351">
    <w:abstractNumId w:val="5"/>
  </w:num>
  <w:num w:numId="3" w16cid:durableId="1746486880">
    <w:abstractNumId w:val="3"/>
  </w:num>
  <w:num w:numId="4" w16cid:durableId="517429085">
    <w:abstractNumId w:val="4"/>
  </w:num>
  <w:num w:numId="5" w16cid:durableId="1603798913">
    <w:abstractNumId w:val="2"/>
  </w:num>
  <w:num w:numId="6" w16cid:durableId="2146312855">
    <w:abstractNumId w:val="0"/>
  </w:num>
  <w:num w:numId="7" w16cid:durableId="1393887907">
    <w:abstractNumId w:val="5"/>
    <w:lvlOverride w:ilvl="0">
      <w:startOverride w:val="1"/>
    </w:lvlOverride>
  </w:num>
  <w:num w:numId="8" w16cid:durableId="1825469770">
    <w:abstractNumId w:val="5"/>
  </w:num>
  <w:num w:numId="9" w16cid:durableId="1649435245">
    <w:abstractNumId w:val="5"/>
  </w:num>
  <w:num w:numId="10" w16cid:durableId="1216626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97"/>
    <w:rsid w:val="0000106C"/>
    <w:rsid w:val="00003849"/>
    <w:rsid w:val="000062BA"/>
    <w:rsid w:val="000071B3"/>
    <w:rsid w:val="000110BA"/>
    <w:rsid w:val="000116EF"/>
    <w:rsid w:val="00012F8F"/>
    <w:rsid w:val="00016910"/>
    <w:rsid w:val="00017F2A"/>
    <w:rsid w:val="0002161B"/>
    <w:rsid w:val="00032A7A"/>
    <w:rsid w:val="000342A9"/>
    <w:rsid w:val="00034539"/>
    <w:rsid w:val="00036039"/>
    <w:rsid w:val="00036E11"/>
    <w:rsid w:val="0003729A"/>
    <w:rsid w:val="00037BC2"/>
    <w:rsid w:val="00037F90"/>
    <w:rsid w:val="00047D2A"/>
    <w:rsid w:val="000501A7"/>
    <w:rsid w:val="000537C0"/>
    <w:rsid w:val="00053F29"/>
    <w:rsid w:val="000613F9"/>
    <w:rsid w:val="00071C93"/>
    <w:rsid w:val="000761C7"/>
    <w:rsid w:val="00076308"/>
    <w:rsid w:val="00076DBF"/>
    <w:rsid w:val="00086184"/>
    <w:rsid w:val="000875BF"/>
    <w:rsid w:val="000925CB"/>
    <w:rsid w:val="00092A42"/>
    <w:rsid w:val="000931B2"/>
    <w:rsid w:val="000945CE"/>
    <w:rsid w:val="00096D8C"/>
    <w:rsid w:val="000A31DE"/>
    <w:rsid w:val="000A5AF9"/>
    <w:rsid w:val="000A64DF"/>
    <w:rsid w:val="000B605A"/>
    <w:rsid w:val="000C06FB"/>
    <w:rsid w:val="000C0B65"/>
    <w:rsid w:val="000C262B"/>
    <w:rsid w:val="000C46BB"/>
    <w:rsid w:val="000C4E34"/>
    <w:rsid w:val="000D0251"/>
    <w:rsid w:val="000D0D08"/>
    <w:rsid w:val="000D40C9"/>
    <w:rsid w:val="000E05FE"/>
    <w:rsid w:val="000E115C"/>
    <w:rsid w:val="000E17CB"/>
    <w:rsid w:val="000E3D42"/>
    <w:rsid w:val="000E3E01"/>
    <w:rsid w:val="000E7573"/>
    <w:rsid w:val="000F3D26"/>
    <w:rsid w:val="000F55EE"/>
    <w:rsid w:val="000F5F5D"/>
    <w:rsid w:val="0010082F"/>
    <w:rsid w:val="001046FA"/>
    <w:rsid w:val="00113DF7"/>
    <w:rsid w:val="00113E83"/>
    <w:rsid w:val="00115DBC"/>
    <w:rsid w:val="00120B66"/>
    <w:rsid w:val="0012114E"/>
    <w:rsid w:val="00122A4F"/>
    <w:rsid w:val="00122BD5"/>
    <w:rsid w:val="0012692F"/>
    <w:rsid w:val="00127529"/>
    <w:rsid w:val="00127D12"/>
    <w:rsid w:val="00131108"/>
    <w:rsid w:val="00133F79"/>
    <w:rsid w:val="00134F85"/>
    <w:rsid w:val="001352FE"/>
    <w:rsid w:val="00140478"/>
    <w:rsid w:val="00142596"/>
    <w:rsid w:val="001435B7"/>
    <w:rsid w:val="001450F8"/>
    <w:rsid w:val="001508D6"/>
    <w:rsid w:val="0015196E"/>
    <w:rsid w:val="00152E6A"/>
    <w:rsid w:val="00155F38"/>
    <w:rsid w:val="001573A3"/>
    <w:rsid w:val="00160277"/>
    <w:rsid w:val="0016060B"/>
    <w:rsid w:val="00161A7A"/>
    <w:rsid w:val="00161C52"/>
    <w:rsid w:val="001622C4"/>
    <w:rsid w:val="0017132B"/>
    <w:rsid w:val="00175B61"/>
    <w:rsid w:val="001814F3"/>
    <w:rsid w:val="0018776D"/>
    <w:rsid w:val="00187D97"/>
    <w:rsid w:val="00194A66"/>
    <w:rsid w:val="001A2542"/>
    <w:rsid w:val="001A7C2D"/>
    <w:rsid w:val="001B06B9"/>
    <w:rsid w:val="001B4142"/>
    <w:rsid w:val="001C25FB"/>
    <w:rsid w:val="001C437E"/>
    <w:rsid w:val="001C7334"/>
    <w:rsid w:val="001D63C5"/>
    <w:rsid w:val="001D6673"/>
    <w:rsid w:val="001D6BCF"/>
    <w:rsid w:val="001E01CA"/>
    <w:rsid w:val="001E18E6"/>
    <w:rsid w:val="001E54FD"/>
    <w:rsid w:val="001F4C09"/>
    <w:rsid w:val="001F5A95"/>
    <w:rsid w:val="001F6B46"/>
    <w:rsid w:val="002049E9"/>
    <w:rsid w:val="00204E3F"/>
    <w:rsid w:val="00205B87"/>
    <w:rsid w:val="0021009C"/>
    <w:rsid w:val="00211C91"/>
    <w:rsid w:val="00221D8C"/>
    <w:rsid w:val="002257AC"/>
    <w:rsid w:val="00225FFC"/>
    <w:rsid w:val="002326A0"/>
    <w:rsid w:val="0023464F"/>
    <w:rsid w:val="00234EDC"/>
    <w:rsid w:val="002427A5"/>
    <w:rsid w:val="0024286B"/>
    <w:rsid w:val="00251FD9"/>
    <w:rsid w:val="002579B6"/>
    <w:rsid w:val="00260A8B"/>
    <w:rsid w:val="00261E38"/>
    <w:rsid w:val="00263B5A"/>
    <w:rsid w:val="00266783"/>
    <w:rsid w:val="00271FFF"/>
    <w:rsid w:val="00272423"/>
    <w:rsid w:val="002742F4"/>
    <w:rsid w:val="00275C47"/>
    <w:rsid w:val="00275CF5"/>
    <w:rsid w:val="00276C2D"/>
    <w:rsid w:val="00277837"/>
    <w:rsid w:val="00282E31"/>
    <w:rsid w:val="0028301F"/>
    <w:rsid w:val="00285017"/>
    <w:rsid w:val="00292DFA"/>
    <w:rsid w:val="002A212D"/>
    <w:rsid w:val="002A2D2E"/>
    <w:rsid w:val="002A490D"/>
    <w:rsid w:val="002C00E8"/>
    <w:rsid w:val="002C0D59"/>
    <w:rsid w:val="002C1C67"/>
    <w:rsid w:val="002D02D0"/>
    <w:rsid w:val="002D08F3"/>
    <w:rsid w:val="002D5F9B"/>
    <w:rsid w:val="002D709E"/>
    <w:rsid w:val="002E41BE"/>
    <w:rsid w:val="002F1208"/>
    <w:rsid w:val="003044D7"/>
    <w:rsid w:val="00306FF1"/>
    <w:rsid w:val="00311F0B"/>
    <w:rsid w:val="00312604"/>
    <w:rsid w:val="00312FDB"/>
    <w:rsid w:val="00326D9D"/>
    <w:rsid w:val="003309F3"/>
    <w:rsid w:val="00334EEF"/>
    <w:rsid w:val="003352A7"/>
    <w:rsid w:val="0034085B"/>
    <w:rsid w:val="00343749"/>
    <w:rsid w:val="00353652"/>
    <w:rsid w:val="003552BA"/>
    <w:rsid w:val="00357697"/>
    <w:rsid w:val="003660ED"/>
    <w:rsid w:val="0036664F"/>
    <w:rsid w:val="0037523B"/>
    <w:rsid w:val="0038424B"/>
    <w:rsid w:val="003853E7"/>
    <w:rsid w:val="0038560F"/>
    <w:rsid w:val="00387D98"/>
    <w:rsid w:val="00392863"/>
    <w:rsid w:val="0039496A"/>
    <w:rsid w:val="0039657C"/>
    <w:rsid w:val="00397E6A"/>
    <w:rsid w:val="003A0423"/>
    <w:rsid w:val="003A1F0B"/>
    <w:rsid w:val="003A4081"/>
    <w:rsid w:val="003A58A9"/>
    <w:rsid w:val="003B0550"/>
    <w:rsid w:val="003B0E18"/>
    <w:rsid w:val="003B1FCF"/>
    <w:rsid w:val="003B5095"/>
    <w:rsid w:val="003B64D8"/>
    <w:rsid w:val="003B694F"/>
    <w:rsid w:val="003B7EE8"/>
    <w:rsid w:val="003C0FA4"/>
    <w:rsid w:val="003C2826"/>
    <w:rsid w:val="003C4281"/>
    <w:rsid w:val="003C6AC5"/>
    <w:rsid w:val="003D22D9"/>
    <w:rsid w:val="003D69A6"/>
    <w:rsid w:val="003E1523"/>
    <w:rsid w:val="003E2868"/>
    <w:rsid w:val="003F171C"/>
    <w:rsid w:val="003F3350"/>
    <w:rsid w:val="003F592C"/>
    <w:rsid w:val="003F5AD7"/>
    <w:rsid w:val="003F5EC6"/>
    <w:rsid w:val="003F617B"/>
    <w:rsid w:val="003F6378"/>
    <w:rsid w:val="00402273"/>
    <w:rsid w:val="00406A1E"/>
    <w:rsid w:val="00410BD8"/>
    <w:rsid w:val="00412FC5"/>
    <w:rsid w:val="00420F06"/>
    <w:rsid w:val="00422276"/>
    <w:rsid w:val="004242F1"/>
    <w:rsid w:val="004329FB"/>
    <w:rsid w:val="0043340E"/>
    <w:rsid w:val="0043666D"/>
    <w:rsid w:val="0044017B"/>
    <w:rsid w:val="00440C18"/>
    <w:rsid w:val="00442D87"/>
    <w:rsid w:val="0044405D"/>
    <w:rsid w:val="00445A00"/>
    <w:rsid w:val="004500A3"/>
    <w:rsid w:val="00451B0F"/>
    <w:rsid w:val="00452921"/>
    <w:rsid w:val="00453E9C"/>
    <w:rsid w:val="00455665"/>
    <w:rsid w:val="004616D2"/>
    <w:rsid w:val="00461F3B"/>
    <w:rsid w:val="00465625"/>
    <w:rsid w:val="00472946"/>
    <w:rsid w:val="00473B4B"/>
    <w:rsid w:val="00474051"/>
    <w:rsid w:val="0047743E"/>
    <w:rsid w:val="00477AA3"/>
    <w:rsid w:val="0048007C"/>
    <w:rsid w:val="00480685"/>
    <w:rsid w:val="004900E6"/>
    <w:rsid w:val="004900E7"/>
    <w:rsid w:val="004902D7"/>
    <w:rsid w:val="00491DB8"/>
    <w:rsid w:val="00494FC1"/>
    <w:rsid w:val="00495FF0"/>
    <w:rsid w:val="004A06A4"/>
    <w:rsid w:val="004A0E57"/>
    <w:rsid w:val="004A301F"/>
    <w:rsid w:val="004A42FA"/>
    <w:rsid w:val="004A5DA7"/>
    <w:rsid w:val="004B18BF"/>
    <w:rsid w:val="004B1DCA"/>
    <w:rsid w:val="004B22C6"/>
    <w:rsid w:val="004C134F"/>
    <w:rsid w:val="004C2EE3"/>
    <w:rsid w:val="004D0237"/>
    <w:rsid w:val="004D3982"/>
    <w:rsid w:val="004E08F9"/>
    <w:rsid w:val="004E1828"/>
    <w:rsid w:val="004E3C76"/>
    <w:rsid w:val="004E4396"/>
    <w:rsid w:val="004E4A22"/>
    <w:rsid w:val="004E56E5"/>
    <w:rsid w:val="004E6B78"/>
    <w:rsid w:val="004F6898"/>
    <w:rsid w:val="00501C6B"/>
    <w:rsid w:val="00501E12"/>
    <w:rsid w:val="005053DC"/>
    <w:rsid w:val="0050618C"/>
    <w:rsid w:val="00511968"/>
    <w:rsid w:val="00511FA5"/>
    <w:rsid w:val="00513244"/>
    <w:rsid w:val="00517488"/>
    <w:rsid w:val="00524258"/>
    <w:rsid w:val="00525350"/>
    <w:rsid w:val="00531B06"/>
    <w:rsid w:val="0054119D"/>
    <w:rsid w:val="005430FC"/>
    <w:rsid w:val="005532AA"/>
    <w:rsid w:val="00553FB7"/>
    <w:rsid w:val="00554005"/>
    <w:rsid w:val="0055614C"/>
    <w:rsid w:val="00564834"/>
    <w:rsid w:val="00566D06"/>
    <w:rsid w:val="00571AE9"/>
    <w:rsid w:val="005734AC"/>
    <w:rsid w:val="00575FDA"/>
    <w:rsid w:val="00580A7D"/>
    <w:rsid w:val="00580A7E"/>
    <w:rsid w:val="0058237B"/>
    <w:rsid w:val="00593D17"/>
    <w:rsid w:val="005A464D"/>
    <w:rsid w:val="005A504F"/>
    <w:rsid w:val="005A575B"/>
    <w:rsid w:val="005A587A"/>
    <w:rsid w:val="005B1BAA"/>
    <w:rsid w:val="005B3837"/>
    <w:rsid w:val="005B3B72"/>
    <w:rsid w:val="005B71A5"/>
    <w:rsid w:val="005C5CB8"/>
    <w:rsid w:val="005C7494"/>
    <w:rsid w:val="005D527C"/>
    <w:rsid w:val="005D5D11"/>
    <w:rsid w:val="005D6E35"/>
    <w:rsid w:val="005E119D"/>
    <w:rsid w:val="005E14C2"/>
    <w:rsid w:val="005E45D0"/>
    <w:rsid w:val="005F5CB3"/>
    <w:rsid w:val="005F616B"/>
    <w:rsid w:val="005F7F5A"/>
    <w:rsid w:val="006026F4"/>
    <w:rsid w:val="0060415A"/>
    <w:rsid w:val="00606BDE"/>
    <w:rsid w:val="00607BA5"/>
    <w:rsid w:val="0061180A"/>
    <w:rsid w:val="00613080"/>
    <w:rsid w:val="00616452"/>
    <w:rsid w:val="00620AFC"/>
    <w:rsid w:val="00624391"/>
    <w:rsid w:val="006256D6"/>
    <w:rsid w:val="00626EB6"/>
    <w:rsid w:val="00630558"/>
    <w:rsid w:val="00631590"/>
    <w:rsid w:val="0063309D"/>
    <w:rsid w:val="00634664"/>
    <w:rsid w:val="006424B7"/>
    <w:rsid w:val="00646413"/>
    <w:rsid w:val="00647402"/>
    <w:rsid w:val="006474AE"/>
    <w:rsid w:val="00651C2A"/>
    <w:rsid w:val="00655D03"/>
    <w:rsid w:val="00656650"/>
    <w:rsid w:val="006654AC"/>
    <w:rsid w:val="00666282"/>
    <w:rsid w:val="006720D6"/>
    <w:rsid w:val="00677712"/>
    <w:rsid w:val="00683388"/>
    <w:rsid w:val="00683F84"/>
    <w:rsid w:val="00692DD4"/>
    <w:rsid w:val="00694067"/>
    <w:rsid w:val="006A09E6"/>
    <w:rsid w:val="006A2FF1"/>
    <w:rsid w:val="006A6A81"/>
    <w:rsid w:val="006B1E3D"/>
    <w:rsid w:val="006B7361"/>
    <w:rsid w:val="006B7B97"/>
    <w:rsid w:val="006C51EA"/>
    <w:rsid w:val="006C52B5"/>
    <w:rsid w:val="006C58CB"/>
    <w:rsid w:val="006D14A7"/>
    <w:rsid w:val="006D775E"/>
    <w:rsid w:val="006D7BF5"/>
    <w:rsid w:val="006E3BA3"/>
    <w:rsid w:val="006E4814"/>
    <w:rsid w:val="006E6831"/>
    <w:rsid w:val="006F003C"/>
    <w:rsid w:val="006F7393"/>
    <w:rsid w:val="0070224F"/>
    <w:rsid w:val="007115F7"/>
    <w:rsid w:val="00716163"/>
    <w:rsid w:val="0072281C"/>
    <w:rsid w:val="00722E39"/>
    <w:rsid w:val="00733772"/>
    <w:rsid w:val="007366E4"/>
    <w:rsid w:val="007413FC"/>
    <w:rsid w:val="00741ECD"/>
    <w:rsid w:val="0074217D"/>
    <w:rsid w:val="00747D0F"/>
    <w:rsid w:val="0076095F"/>
    <w:rsid w:val="00761506"/>
    <w:rsid w:val="00762982"/>
    <w:rsid w:val="00763E81"/>
    <w:rsid w:val="00764F8C"/>
    <w:rsid w:val="007654F1"/>
    <w:rsid w:val="00767B5A"/>
    <w:rsid w:val="007705D6"/>
    <w:rsid w:val="0078074D"/>
    <w:rsid w:val="0078324F"/>
    <w:rsid w:val="007837DB"/>
    <w:rsid w:val="00785689"/>
    <w:rsid w:val="00786AC1"/>
    <w:rsid w:val="007916B6"/>
    <w:rsid w:val="00791A5F"/>
    <w:rsid w:val="0079754B"/>
    <w:rsid w:val="007A1E6D"/>
    <w:rsid w:val="007A21EF"/>
    <w:rsid w:val="007A6AAC"/>
    <w:rsid w:val="007B01D3"/>
    <w:rsid w:val="007B0EB2"/>
    <w:rsid w:val="007B11D1"/>
    <w:rsid w:val="007B2183"/>
    <w:rsid w:val="007B45BF"/>
    <w:rsid w:val="007B53C7"/>
    <w:rsid w:val="007B7B82"/>
    <w:rsid w:val="007C0930"/>
    <w:rsid w:val="007C6C26"/>
    <w:rsid w:val="007E2C8A"/>
    <w:rsid w:val="007E493E"/>
    <w:rsid w:val="007E4B00"/>
    <w:rsid w:val="007E7FAB"/>
    <w:rsid w:val="007F32F2"/>
    <w:rsid w:val="00802B0D"/>
    <w:rsid w:val="00810B6F"/>
    <w:rsid w:val="00812675"/>
    <w:rsid w:val="00814494"/>
    <w:rsid w:val="00820052"/>
    <w:rsid w:val="00821E2E"/>
    <w:rsid w:val="00822700"/>
    <w:rsid w:val="00822CE0"/>
    <w:rsid w:val="008400A7"/>
    <w:rsid w:val="00840648"/>
    <w:rsid w:val="00840B0C"/>
    <w:rsid w:val="00841AB1"/>
    <w:rsid w:val="0084295D"/>
    <w:rsid w:val="00844F2D"/>
    <w:rsid w:val="008450BA"/>
    <w:rsid w:val="00853294"/>
    <w:rsid w:val="008541E6"/>
    <w:rsid w:val="00860276"/>
    <w:rsid w:val="00863717"/>
    <w:rsid w:val="0087220D"/>
    <w:rsid w:val="00875097"/>
    <w:rsid w:val="00876B88"/>
    <w:rsid w:val="0087733D"/>
    <w:rsid w:val="00883E2D"/>
    <w:rsid w:val="00884024"/>
    <w:rsid w:val="00890ACF"/>
    <w:rsid w:val="008965E8"/>
    <w:rsid w:val="008978FC"/>
    <w:rsid w:val="008A3261"/>
    <w:rsid w:val="008A37C4"/>
    <w:rsid w:val="008A536E"/>
    <w:rsid w:val="008B1505"/>
    <w:rsid w:val="008B25C5"/>
    <w:rsid w:val="008B5FA0"/>
    <w:rsid w:val="008C266C"/>
    <w:rsid w:val="008C68F1"/>
    <w:rsid w:val="008D3E82"/>
    <w:rsid w:val="008E181C"/>
    <w:rsid w:val="008E3999"/>
    <w:rsid w:val="008E4586"/>
    <w:rsid w:val="008E4EEE"/>
    <w:rsid w:val="008E5899"/>
    <w:rsid w:val="008F30D4"/>
    <w:rsid w:val="008F7FC3"/>
    <w:rsid w:val="00900E1B"/>
    <w:rsid w:val="0090515D"/>
    <w:rsid w:val="00907C72"/>
    <w:rsid w:val="00914D7C"/>
    <w:rsid w:val="009159E9"/>
    <w:rsid w:val="00921803"/>
    <w:rsid w:val="00921FA6"/>
    <w:rsid w:val="00923BDF"/>
    <w:rsid w:val="00924E41"/>
    <w:rsid w:val="009251C5"/>
    <w:rsid w:val="00926503"/>
    <w:rsid w:val="00926C64"/>
    <w:rsid w:val="00933E5B"/>
    <w:rsid w:val="00934C32"/>
    <w:rsid w:val="0094306F"/>
    <w:rsid w:val="00953AD6"/>
    <w:rsid w:val="009561FC"/>
    <w:rsid w:val="0095698B"/>
    <w:rsid w:val="009726D8"/>
    <w:rsid w:val="0097288F"/>
    <w:rsid w:val="00976D12"/>
    <w:rsid w:val="009857C4"/>
    <w:rsid w:val="00991091"/>
    <w:rsid w:val="00995553"/>
    <w:rsid w:val="00997138"/>
    <w:rsid w:val="009979C9"/>
    <w:rsid w:val="009A6397"/>
    <w:rsid w:val="009B26A2"/>
    <w:rsid w:val="009B3F3D"/>
    <w:rsid w:val="009C5E66"/>
    <w:rsid w:val="009D110C"/>
    <w:rsid w:val="009D59EC"/>
    <w:rsid w:val="009D64E5"/>
    <w:rsid w:val="009D656E"/>
    <w:rsid w:val="009D7308"/>
    <w:rsid w:val="009D7CEB"/>
    <w:rsid w:val="009E3FB8"/>
    <w:rsid w:val="009E616B"/>
    <w:rsid w:val="009F0AC7"/>
    <w:rsid w:val="009F3AF7"/>
    <w:rsid w:val="009F7667"/>
    <w:rsid w:val="009F76DB"/>
    <w:rsid w:val="00A04214"/>
    <w:rsid w:val="00A101ED"/>
    <w:rsid w:val="00A206A9"/>
    <w:rsid w:val="00A252B1"/>
    <w:rsid w:val="00A31229"/>
    <w:rsid w:val="00A32C3B"/>
    <w:rsid w:val="00A45F4F"/>
    <w:rsid w:val="00A4622A"/>
    <w:rsid w:val="00A50FCB"/>
    <w:rsid w:val="00A52892"/>
    <w:rsid w:val="00A535F9"/>
    <w:rsid w:val="00A53DFC"/>
    <w:rsid w:val="00A54053"/>
    <w:rsid w:val="00A569F3"/>
    <w:rsid w:val="00A600A9"/>
    <w:rsid w:val="00A62DD1"/>
    <w:rsid w:val="00A646BF"/>
    <w:rsid w:val="00A64FB8"/>
    <w:rsid w:val="00A74FBC"/>
    <w:rsid w:val="00A7567D"/>
    <w:rsid w:val="00A7600D"/>
    <w:rsid w:val="00A84881"/>
    <w:rsid w:val="00A84E74"/>
    <w:rsid w:val="00A92024"/>
    <w:rsid w:val="00A93D17"/>
    <w:rsid w:val="00A95CF5"/>
    <w:rsid w:val="00A96AF8"/>
    <w:rsid w:val="00AA403C"/>
    <w:rsid w:val="00AA55B7"/>
    <w:rsid w:val="00AA5B9E"/>
    <w:rsid w:val="00AA638D"/>
    <w:rsid w:val="00AA6EA6"/>
    <w:rsid w:val="00AB2407"/>
    <w:rsid w:val="00AB53DF"/>
    <w:rsid w:val="00AB7C66"/>
    <w:rsid w:val="00AC24BF"/>
    <w:rsid w:val="00AC478D"/>
    <w:rsid w:val="00AC4D1D"/>
    <w:rsid w:val="00AC6409"/>
    <w:rsid w:val="00AC7C55"/>
    <w:rsid w:val="00AD4E52"/>
    <w:rsid w:val="00AE0EBF"/>
    <w:rsid w:val="00AE2B4D"/>
    <w:rsid w:val="00AE6881"/>
    <w:rsid w:val="00AF318E"/>
    <w:rsid w:val="00B034D4"/>
    <w:rsid w:val="00B06D6B"/>
    <w:rsid w:val="00B07E5C"/>
    <w:rsid w:val="00B10B49"/>
    <w:rsid w:val="00B2096C"/>
    <w:rsid w:val="00B20AD2"/>
    <w:rsid w:val="00B21F9E"/>
    <w:rsid w:val="00B23664"/>
    <w:rsid w:val="00B2511B"/>
    <w:rsid w:val="00B263D9"/>
    <w:rsid w:val="00B272EC"/>
    <w:rsid w:val="00B27463"/>
    <w:rsid w:val="00B3094C"/>
    <w:rsid w:val="00B31031"/>
    <w:rsid w:val="00B31BBB"/>
    <w:rsid w:val="00B364A4"/>
    <w:rsid w:val="00B37017"/>
    <w:rsid w:val="00B415FD"/>
    <w:rsid w:val="00B41CE6"/>
    <w:rsid w:val="00B42FB9"/>
    <w:rsid w:val="00B432BB"/>
    <w:rsid w:val="00B47E70"/>
    <w:rsid w:val="00B51117"/>
    <w:rsid w:val="00B52E2B"/>
    <w:rsid w:val="00B53C6F"/>
    <w:rsid w:val="00B555A1"/>
    <w:rsid w:val="00B60FB6"/>
    <w:rsid w:val="00B62E65"/>
    <w:rsid w:val="00B6678C"/>
    <w:rsid w:val="00B702F5"/>
    <w:rsid w:val="00B74163"/>
    <w:rsid w:val="00B76D6E"/>
    <w:rsid w:val="00B8063B"/>
    <w:rsid w:val="00B811F7"/>
    <w:rsid w:val="00B81552"/>
    <w:rsid w:val="00B8162D"/>
    <w:rsid w:val="00B84CF1"/>
    <w:rsid w:val="00B85484"/>
    <w:rsid w:val="00B9004E"/>
    <w:rsid w:val="00B90CC8"/>
    <w:rsid w:val="00B960E0"/>
    <w:rsid w:val="00BA0347"/>
    <w:rsid w:val="00BA39FB"/>
    <w:rsid w:val="00BA5DC6"/>
    <w:rsid w:val="00BA6196"/>
    <w:rsid w:val="00BC4A55"/>
    <w:rsid w:val="00BC56BB"/>
    <w:rsid w:val="00BC6D8C"/>
    <w:rsid w:val="00BE246A"/>
    <w:rsid w:val="00BE2717"/>
    <w:rsid w:val="00BE6F90"/>
    <w:rsid w:val="00BE715B"/>
    <w:rsid w:val="00BE7255"/>
    <w:rsid w:val="00BE7585"/>
    <w:rsid w:val="00BF174A"/>
    <w:rsid w:val="00BF4725"/>
    <w:rsid w:val="00BF4D83"/>
    <w:rsid w:val="00BF5944"/>
    <w:rsid w:val="00BF7DFE"/>
    <w:rsid w:val="00C02203"/>
    <w:rsid w:val="00C02F24"/>
    <w:rsid w:val="00C108B3"/>
    <w:rsid w:val="00C134D8"/>
    <w:rsid w:val="00C14B54"/>
    <w:rsid w:val="00C179F5"/>
    <w:rsid w:val="00C17EDA"/>
    <w:rsid w:val="00C23C7A"/>
    <w:rsid w:val="00C302AA"/>
    <w:rsid w:val="00C31180"/>
    <w:rsid w:val="00C31989"/>
    <w:rsid w:val="00C33772"/>
    <w:rsid w:val="00C34006"/>
    <w:rsid w:val="00C36B4C"/>
    <w:rsid w:val="00C3785D"/>
    <w:rsid w:val="00C41B80"/>
    <w:rsid w:val="00C426B1"/>
    <w:rsid w:val="00C50E15"/>
    <w:rsid w:val="00C5290B"/>
    <w:rsid w:val="00C54139"/>
    <w:rsid w:val="00C66160"/>
    <w:rsid w:val="00C721AC"/>
    <w:rsid w:val="00C73161"/>
    <w:rsid w:val="00C73418"/>
    <w:rsid w:val="00C740D5"/>
    <w:rsid w:val="00C74CBE"/>
    <w:rsid w:val="00C80F04"/>
    <w:rsid w:val="00C85174"/>
    <w:rsid w:val="00C86F3C"/>
    <w:rsid w:val="00C872BF"/>
    <w:rsid w:val="00C9098C"/>
    <w:rsid w:val="00C90D6A"/>
    <w:rsid w:val="00C919C7"/>
    <w:rsid w:val="00C92002"/>
    <w:rsid w:val="00C93555"/>
    <w:rsid w:val="00C9579C"/>
    <w:rsid w:val="00C95D41"/>
    <w:rsid w:val="00CA247E"/>
    <w:rsid w:val="00CA67D8"/>
    <w:rsid w:val="00CA6D21"/>
    <w:rsid w:val="00CB1FF1"/>
    <w:rsid w:val="00CB385C"/>
    <w:rsid w:val="00CB40EA"/>
    <w:rsid w:val="00CB4CF6"/>
    <w:rsid w:val="00CB50F1"/>
    <w:rsid w:val="00CB7A58"/>
    <w:rsid w:val="00CC2990"/>
    <w:rsid w:val="00CC501A"/>
    <w:rsid w:val="00CC72B6"/>
    <w:rsid w:val="00CC746D"/>
    <w:rsid w:val="00CC759C"/>
    <w:rsid w:val="00CD72FE"/>
    <w:rsid w:val="00CE02E2"/>
    <w:rsid w:val="00CE2D07"/>
    <w:rsid w:val="00CE2F5D"/>
    <w:rsid w:val="00CE610B"/>
    <w:rsid w:val="00CF2271"/>
    <w:rsid w:val="00CF311C"/>
    <w:rsid w:val="00CF3B6A"/>
    <w:rsid w:val="00D0218D"/>
    <w:rsid w:val="00D06BE4"/>
    <w:rsid w:val="00D11A31"/>
    <w:rsid w:val="00D1480F"/>
    <w:rsid w:val="00D205D4"/>
    <w:rsid w:val="00D21C14"/>
    <w:rsid w:val="00D25FB5"/>
    <w:rsid w:val="00D300CA"/>
    <w:rsid w:val="00D326F1"/>
    <w:rsid w:val="00D32E16"/>
    <w:rsid w:val="00D340E0"/>
    <w:rsid w:val="00D44223"/>
    <w:rsid w:val="00D50353"/>
    <w:rsid w:val="00D62256"/>
    <w:rsid w:val="00D631F0"/>
    <w:rsid w:val="00D66E04"/>
    <w:rsid w:val="00D72CD0"/>
    <w:rsid w:val="00D74AB4"/>
    <w:rsid w:val="00D87104"/>
    <w:rsid w:val="00D9532B"/>
    <w:rsid w:val="00DA2529"/>
    <w:rsid w:val="00DA474B"/>
    <w:rsid w:val="00DA4ABC"/>
    <w:rsid w:val="00DB130A"/>
    <w:rsid w:val="00DB2EBB"/>
    <w:rsid w:val="00DB3F60"/>
    <w:rsid w:val="00DB6245"/>
    <w:rsid w:val="00DB727A"/>
    <w:rsid w:val="00DC10A1"/>
    <w:rsid w:val="00DC655F"/>
    <w:rsid w:val="00DD0A9D"/>
    <w:rsid w:val="00DD0B59"/>
    <w:rsid w:val="00DD4C73"/>
    <w:rsid w:val="00DD7EBD"/>
    <w:rsid w:val="00DE1B03"/>
    <w:rsid w:val="00DE227D"/>
    <w:rsid w:val="00DE69D8"/>
    <w:rsid w:val="00DF62B6"/>
    <w:rsid w:val="00E07225"/>
    <w:rsid w:val="00E07819"/>
    <w:rsid w:val="00E1094F"/>
    <w:rsid w:val="00E11196"/>
    <w:rsid w:val="00E1441B"/>
    <w:rsid w:val="00E17D58"/>
    <w:rsid w:val="00E22019"/>
    <w:rsid w:val="00E326CD"/>
    <w:rsid w:val="00E33CCC"/>
    <w:rsid w:val="00E47C58"/>
    <w:rsid w:val="00E5027A"/>
    <w:rsid w:val="00E538B0"/>
    <w:rsid w:val="00E5403B"/>
    <w:rsid w:val="00E5409F"/>
    <w:rsid w:val="00E56671"/>
    <w:rsid w:val="00E56ED8"/>
    <w:rsid w:val="00E57060"/>
    <w:rsid w:val="00E67471"/>
    <w:rsid w:val="00E70A46"/>
    <w:rsid w:val="00E76F96"/>
    <w:rsid w:val="00E805C7"/>
    <w:rsid w:val="00E835FF"/>
    <w:rsid w:val="00E8665B"/>
    <w:rsid w:val="00E87099"/>
    <w:rsid w:val="00E872B3"/>
    <w:rsid w:val="00E97B77"/>
    <w:rsid w:val="00E97F92"/>
    <w:rsid w:val="00EA1771"/>
    <w:rsid w:val="00EB0C11"/>
    <w:rsid w:val="00EB69AC"/>
    <w:rsid w:val="00EC114D"/>
    <w:rsid w:val="00EC2D9F"/>
    <w:rsid w:val="00EC2F6B"/>
    <w:rsid w:val="00EC745B"/>
    <w:rsid w:val="00ED03B7"/>
    <w:rsid w:val="00ED1C8E"/>
    <w:rsid w:val="00ED3185"/>
    <w:rsid w:val="00ED6F7E"/>
    <w:rsid w:val="00EE6488"/>
    <w:rsid w:val="00EF3C2C"/>
    <w:rsid w:val="00EF54E3"/>
    <w:rsid w:val="00EF659A"/>
    <w:rsid w:val="00EF7CA1"/>
    <w:rsid w:val="00F021FA"/>
    <w:rsid w:val="00F03F6F"/>
    <w:rsid w:val="00F04B2D"/>
    <w:rsid w:val="00F05A04"/>
    <w:rsid w:val="00F140F7"/>
    <w:rsid w:val="00F16A32"/>
    <w:rsid w:val="00F17513"/>
    <w:rsid w:val="00F20968"/>
    <w:rsid w:val="00F21262"/>
    <w:rsid w:val="00F23F1B"/>
    <w:rsid w:val="00F25AB8"/>
    <w:rsid w:val="00F30D3A"/>
    <w:rsid w:val="00F355A8"/>
    <w:rsid w:val="00F3667D"/>
    <w:rsid w:val="00F37B28"/>
    <w:rsid w:val="00F432FE"/>
    <w:rsid w:val="00F4398A"/>
    <w:rsid w:val="00F5101E"/>
    <w:rsid w:val="00F558A1"/>
    <w:rsid w:val="00F5699A"/>
    <w:rsid w:val="00F62E97"/>
    <w:rsid w:val="00F64209"/>
    <w:rsid w:val="00F67109"/>
    <w:rsid w:val="00F67F1B"/>
    <w:rsid w:val="00F7098C"/>
    <w:rsid w:val="00F75347"/>
    <w:rsid w:val="00F75F1B"/>
    <w:rsid w:val="00F7613C"/>
    <w:rsid w:val="00F77123"/>
    <w:rsid w:val="00F83CEB"/>
    <w:rsid w:val="00F93BF5"/>
    <w:rsid w:val="00F95073"/>
    <w:rsid w:val="00FA16C1"/>
    <w:rsid w:val="00FA28F1"/>
    <w:rsid w:val="00FA5903"/>
    <w:rsid w:val="00FB02D4"/>
    <w:rsid w:val="00FB043B"/>
    <w:rsid w:val="00FB40A2"/>
    <w:rsid w:val="00FB436E"/>
    <w:rsid w:val="00FB5B6E"/>
    <w:rsid w:val="00FC0B9F"/>
    <w:rsid w:val="00FC1B3D"/>
    <w:rsid w:val="00FC3E89"/>
    <w:rsid w:val="00FC4067"/>
    <w:rsid w:val="00FC5DD5"/>
    <w:rsid w:val="00FC7D50"/>
    <w:rsid w:val="00FD1EC6"/>
    <w:rsid w:val="00FD49C6"/>
    <w:rsid w:val="00FD4BBB"/>
    <w:rsid w:val="00FD7C69"/>
    <w:rsid w:val="00FD7CEA"/>
    <w:rsid w:val="00FE4CCC"/>
    <w:rsid w:val="00FE7D04"/>
    <w:rsid w:val="00FF2249"/>
    <w:rsid w:val="00FF38F3"/>
    <w:rsid w:val="00FF71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905BBA"/>
  <w15:chartTrackingRefBased/>
  <w15:docId w15:val="{458D4FD6-0A71-40E1-AC2C-CAAD4A20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6FF1"/>
    <w:pPr>
      <w:widowControl w:val="0"/>
    </w:pPr>
    <w:rPr>
      <w:snapToGrid w:val="0"/>
      <w:kern w:val="28"/>
      <w:sz w:val="22"/>
    </w:rPr>
  </w:style>
  <w:style w:type="paragraph" w:styleId="Heading1">
    <w:name w:val="heading 1"/>
    <w:basedOn w:val="Normal"/>
    <w:next w:val="ParaNum"/>
    <w:qFormat/>
    <w:rsid w:val="00306FF1"/>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306FF1"/>
    <w:pPr>
      <w:keepNext/>
      <w:numPr>
        <w:ilvl w:val="1"/>
        <w:numId w:val="3"/>
      </w:numPr>
      <w:spacing w:after="120"/>
      <w:outlineLvl w:val="1"/>
    </w:pPr>
    <w:rPr>
      <w:b/>
    </w:rPr>
  </w:style>
  <w:style w:type="paragraph" w:styleId="Heading3">
    <w:name w:val="heading 3"/>
    <w:basedOn w:val="Normal"/>
    <w:next w:val="ParaNum"/>
    <w:qFormat/>
    <w:rsid w:val="00306FF1"/>
    <w:pPr>
      <w:keepNext/>
      <w:numPr>
        <w:ilvl w:val="2"/>
        <w:numId w:val="3"/>
      </w:numPr>
      <w:tabs>
        <w:tab w:val="left" w:pos="2160"/>
      </w:tabs>
      <w:spacing w:after="120"/>
      <w:outlineLvl w:val="2"/>
    </w:pPr>
    <w:rPr>
      <w:b/>
    </w:rPr>
  </w:style>
  <w:style w:type="paragraph" w:styleId="Heading4">
    <w:name w:val="heading 4"/>
    <w:basedOn w:val="Normal"/>
    <w:next w:val="ParaNum"/>
    <w:qFormat/>
    <w:rsid w:val="00306FF1"/>
    <w:pPr>
      <w:keepNext/>
      <w:numPr>
        <w:ilvl w:val="3"/>
        <w:numId w:val="3"/>
      </w:numPr>
      <w:tabs>
        <w:tab w:val="left" w:pos="2880"/>
      </w:tabs>
      <w:spacing w:after="120"/>
      <w:outlineLvl w:val="3"/>
    </w:pPr>
    <w:rPr>
      <w:b/>
    </w:rPr>
  </w:style>
  <w:style w:type="paragraph" w:styleId="Heading5">
    <w:name w:val="heading 5"/>
    <w:basedOn w:val="Normal"/>
    <w:next w:val="ParaNum"/>
    <w:qFormat/>
    <w:rsid w:val="00306FF1"/>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306FF1"/>
    <w:pPr>
      <w:numPr>
        <w:ilvl w:val="5"/>
        <w:numId w:val="3"/>
      </w:numPr>
      <w:tabs>
        <w:tab w:val="left" w:pos="4320"/>
      </w:tabs>
      <w:spacing w:after="120"/>
      <w:outlineLvl w:val="5"/>
    </w:pPr>
    <w:rPr>
      <w:b/>
    </w:rPr>
  </w:style>
  <w:style w:type="paragraph" w:styleId="Heading7">
    <w:name w:val="heading 7"/>
    <w:basedOn w:val="Normal"/>
    <w:next w:val="ParaNum"/>
    <w:qFormat/>
    <w:rsid w:val="00306FF1"/>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306FF1"/>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306FF1"/>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06F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6FF1"/>
  </w:style>
  <w:style w:type="paragraph" w:customStyle="1" w:styleId="ParaNum">
    <w:name w:val="ParaNum"/>
    <w:basedOn w:val="Normal"/>
    <w:link w:val="ParaNumChar"/>
    <w:rsid w:val="00306FF1"/>
    <w:pPr>
      <w:numPr>
        <w:numId w:val="2"/>
      </w:numPr>
      <w:tabs>
        <w:tab w:val="clear" w:pos="1080"/>
        <w:tab w:val="num" w:pos="1440"/>
      </w:tabs>
      <w:spacing w:after="120"/>
    </w:pPr>
  </w:style>
  <w:style w:type="paragraph" w:styleId="EndnoteText">
    <w:name w:val="endnote text"/>
    <w:basedOn w:val="Normal"/>
    <w:semiHidden/>
    <w:rsid w:val="00306FF1"/>
    <w:rPr>
      <w:sz w:val="20"/>
    </w:rPr>
  </w:style>
  <w:style w:type="character" w:styleId="EndnoteReference">
    <w:name w:val="endnote reference"/>
    <w:semiHidden/>
    <w:rsid w:val="00306FF1"/>
    <w:rPr>
      <w:vertAlign w:val="superscript"/>
    </w:rPr>
  </w:style>
  <w:style w:type="paragraph" w:styleId="FootnoteText">
    <w:name w:val="footnote text"/>
    <w:aliases w:val="Footnote Text Char Char Char4 Char,Footnote Text Char1,Footnote Text Char2,Footnote Text Char4 Char1 Char,Footnote Text Char4 Char1 Char Char Char Char,Footnote Text Char7 Char,Footnote Text Char7 Char Char Char Char,f,fn,fn Char Char"/>
    <w:link w:val="FootnoteTextChar"/>
    <w:rsid w:val="00306FF1"/>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sid w:val="00306FF1"/>
    <w:rPr>
      <w:rFonts w:ascii="Times New Roman" w:hAnsi="Times New Roman"/>
      <w:dstrike w:val="0"/>
      <w:color w:val="auto"/>
      <w:sz w:val="20"/>
      <w:vertAlign w:val="superscript"/>
    </w:rPr>
  </w:style>
  <w:style w:type="paragraph" w:styleId="TOC1">
    <w:name w:val="toc 1"/>
    <w:basedOn w:val="Normal"/>
    <w:next w:val="Normal"/>
    <w:semiHidden/>
    <w:rsid w:val="00306FF1"/>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306FF1"/>
    <w:pPr>
      <w:tabs>
        <w:tab w:val="left" w:pos="720"/>
        <w:tab w:val="right" w:leader="dot" w:pos="9360"/>
      </w:tabs>
      <w:suppressAutoHyphens/>
      <w:ind w:left="720" w:right="720" w:hanging="360"/>
    </w:pPr>
    <w:rPr>
      <w:noProof/>
    </w:rPr>
  </w:style>
  <w:style w:type="paragraph" w:styleId="TOC3">
    <w:name w:val="toc 3"/>
    <w:basedOn w:val="Normal"/>
    <w:next w:val="Normal"/>
    <w:semiHidden/>
    <w:rsid w:val="00306FF1"/>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06FF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06FF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06FF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06FF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06FF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06FF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06FF1"/>
    <w:pPr>
      <w:tabs>
        <w:tab w:val="right" w:pos="9360"/>
      </w:tabs>
      <w:suppressAutoHyphens/>
    </w:pPr>
  </w:style>
  <w:style w:type="character" w:customStyle="1" w:styleId="EquationCaption">
    <w:name w:val="_Equation Caption"/>
    <w:rsid w:val="00306FF1"/>
  </w:style>
  <w:style w:type="paragraph" w:styleId="Header">
    <w:name w:val="header"/>
    <w:basedOn w:val="Normal"/>
    <w:autoRedefine/>
    <w:rsid w:val="00306FF1"/>
    <w:pPr>
      <w:tabs>
        <w:tab w:val="center" w:pos="4680"/>
        <w:tab w:val="right" w:pos="9360"/>
      </w:tabs>
    </w:pPr>
    <w:rPr>
      <w:b/>
    </w:rPr>
  </w:style>
  <w:style w:type="paragraph" w:styleId="Footer">
    <w:name w:val="footer"/>
    <w:basedOn w:val="Normal"/>
    <w:link w:val="FooterChar"/>
    <w:uiPriority w:val="99"/>
    <w:rsid w:val="00306FF1"/>
    <w:pPr>
      <w:tabs>
        <w:tab w:val="center" w:pos="4320"/>
        <w:tab w:val="right" w:pos="8640"/>
      </w:tabs>
    </w:pPr>
  </w:style>
  <w:style w:type="character" w:styleId="PageNumber">
    <w:name w:val="page number"/>
    <w:basedOn w:val="DefaultParagraphFont"/>
    <w:rsid w:val="00306FF1"/>
  </w:style>
  <w:style w:type="paragraph" w:styleId="BlockText">
    <w:name w:val="Block Text"/>
    <w:basedOn w:val="Normal"/>
    <w:rsid w:val="00306FF1"/>
    <w:pPr>
      <w:spacing w:after="240"/>
      <w:ind w:left="1440" w:right="1440"/>
    </w:pPr>
  </w:style>
  <w:style w:type="paragraph" w:customStyle="1" w:styleId="Paratitle">
    <w:name w:val="Para title"/>
    <w:basedOn w:val="Normal"/>
    <w:rsid w:val="00306FF1"/>
    <w:pPr>
      <w:tabs>
        <w:tab w:val="center" w:pos="9270"/>
      </w:tabs>
      <w:spacing w:after="240"/>
    </w:pPr>
    <w:rPr>
      <w:spacing w:val="-2"/>
    </w:rPr>
  </w:style>
  <w:style w:type="paragraph" w:customStyle="1" w:styleId="Bullet">
    <w:name w:val="Bullet"/>
    <w:basedOn w:val="Normal"/>
    <w:rsid w:val="00306FF1"/>
    <w:pPr>
      <w:tabs>
        <w:tab w:val="left" w:pos="2160"/>
      </w:tabs>
      <w:spacing w:after="220"/>
      <w:ind w:left="2160" w:hanging="720"/>
    </w:pPr>
  </w:style>
  <w:style w:type="paragraph" w:customStyle="1" w:styleId="TableFormat">
    <w:name w:val="TableFormat"/>
    <w:basedOn w:val="Bullet"/>
    <w:rsid w:val="00306FF1"/>
    <w:pPr>
      <w:tabs>
        <w:tab w:val="clear" w:pos="2160"/>
        <w:tab w:val="left" w:pos="5040"/>
      </w:tabs>
      <w:ind w:left="5040" w:hanging="3600"/>
    </w:pPr>
  </w:style>
  <w:style w:type="paragraph" w:customStyle="1" w:styleId="TOCTitle">
    <w:name w:val="TOC Title"/>
    <w:basedOn w:val="Normal"/>
    <w:rsid w:val="00306FF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06FF1"/>
    <w:pPr>
      <w:jc w:val="center"/>
    </w:pPr>
    <w:rPr>
      <w:rFonts w:ascii="Times New Roman Bold" w:hAnsi="Times New Roman Bold"/>
      <w:b/>
      <w:bCs/>
      <w:caps/>
      <w:szCs w:val="22"/>
    </w:rPr>
  </w:style>
  <w:style w:type="character" w:styleId="Hyperlink">
    <w:name w:val="Hyperlink"/>
    <w:rsid w:val="00306FF1"/>
    <w:rPr>
      <w:color w:val="0000FF"/>
      <w:u w:val="single"/>
    </w:rPr>
  </w:style>
  <w:style w:type="character" w:customStyle="1" w:styleId="FooterChar">
    <w:name w:val="Footer Char"/>
    <w:link w:val="Footer"/>
    <w:uiPriority w:val="99"/>
    <w:rsid w:val="00306FF1"/>
    <w:rPr>
      <w:snapToGrid w:val="0"/>
      <w:kern w:val="28"/>
      <w:sz w:val="22"/>
    </w:rPr>
  </w:style>
  <w:style w:type="character" w:customStyle="1" w:styleId="FootnoteTextChar">
    <w:name w:val="Footnote Text Char"/>
    <w:aliases w:val="Footnote Text Char Char Char4 Char Char,Footnote Text Char1 Char,Footnote Text Char2 Char,Footnote Text Char4 Char1 Char Char,Footnote Text Char4 Char1 Char Char Char Char Char,Footnote Text Char7 Char Char,f Char,fn Char"/>
    <w:basedOn w:val="DefaultParagraphFont"/>
    <w:link w:val="FootnoteText"/>
    <w:rsid w:val="003D22D9"/>
  </w:style>
  <w:style w:type="paragraph" w:customStyle="1" w:styleId="Default">
    <w:name w:val="Default"/>
    <w:rsid w:val="00716163"/>
    <w:pPr>
      <w:autoSpaceDE w:val="0"/>
      <w:autoSpaceDN w:val="0"/>
      <w:adjustRightInd w:val="0"/>
    </w:pPr>
    <w:rPr>
      <w:color w:val="000000"/>
      <w:sz w:val="24"/>
      <w:szCs w:val="24"/>
    </w:rPr>
  </w:style>
  <w:style w:type="character" w:customStyle="1" w:styleId="ParaNumChar">
    <w:name w:val="ParaNum Char"/>
    <w:link w:val="ParaNum"/>
    <w:rsid w:val="00DE227D"/>
    <w:rPr>
      <w:snapToGrid w:val="0"/>
      <w:kern w:val="28"/>
      <w:sz w:val="22"/>
    </w:rPr>
  </w:style>
  <w:style w:type="paragraph" w:styleId="Revision">
    <w:name w:val="Revision"/>
    <w:hidden/>
    <w:uiPriority w:val="99"/>
    <w:semiHidden/>
    <w:rsid w:val="00ED1C8E"/>
    <w:rPr>
      <w:snapToGrid w:val="0"/>
      <w:kern w:val="28"/>
      <w:sz w:val="22"/>
    </w:rPr>
  </w:style>
  <w:style w:type="character" w:styleId="CommentReference">
    <w:name w:val="annotation reference"/>
    <w:rsid w:val="0058237B"/>
    <w:rPr>
      <w:sz w:val="16"/>
      <w:szCs w:val="16"/>
    </w:rPr>
  </w:style>
  <w:style w:type="paragraph" w:styleId="CommentText">
    <w:name w:val="annotation text"/>
    <w:basedOn w:val="Normal"/>
    <w:link w:val="CommentTextChar"/>
    <w:rsid w:val="0058237B"/>
    <w:rPr>
      <w:sz w:val="20"/>
    </w:rPr>
  </w:style>
  <w:style w:type="character" w:customStyle="1" w:styleId="CommentTextChar">
    <w:name w:val="Comment Text Char"/>
    <w:link w:val="CommentText"/>
    <w:rsid w:val="0058237B"/>
    <w:rPr>
      <w:snapToGrid w:val="0"/>
      <w:kern w:val="28"/>
    </w:rPr>
  </w:style>
  <w:style w:type="paragraph" w:styleId="CommentSubject">
    <w:name w:val="annotation subject"/>
    <w:basedOn w:val="CommentText"/>
    <w:next w:val="CommentText"/>
    <w:link w:val="CommentSubjectChar"/>
    <w:rsid w:val="0058237B"/>
    <w:rPr>
      <w:b/>
      <w:bCs/>
    </w:rPr>
  </w:style>
  <w:style w:type="character" w:customStyle="1" w:styleId="CommentSubjectChar">
    <w:name w:val="Comment Subject Char"/>
    <w:link w:val="CommentSubject"/>
    <w:rsid w:val="0058237B"/>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