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Style w:val="TableGrid"/>
        <w:tblpPr w:leftFromText="180" w:rightFromText="180" w:vertAnchor="page" w:horzAnchor="margin" w:tblpX="-90" w:tblpY="939"/>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0C6C74EF" w14:textId="77777777" w:rsidTr="00411100">
        <w:tblPrEx>
          <w:tblW w:w="5144" w:type="pct"/>
          <w:tblLook w:val="04A0"/>
        </w:tblPrEx>
        <w:trPr>
          <w:cantSplit/>
          <w:trHeight w:val="1978"/>
        </w:trPr>
        <w:tc>
          <w:tcPr>
            <w:tcW w:w="5000" w:type="pct"/>
            <w:vAlign w:val="center"/>
          </w:tcPr>
          <w:p w:rsidR="00B126DC" w:rsidP="00411100" w14:paraId="5F30F2F9" w14:textId="77777777">
            <w:pPr>
              <w:pStyle w:val="PN-Header"/>
            </w:pPr>
            <w:r>
              <w:ptab w:relativeTo="margin" w:alignment="left" w:leader="none"/>
            </w:r>
            <w:r>
              <w:rPr>
                <w:noProof/>
              </w:rPr>
              <w:drawing>
                <wp:inline distT="0" distB="0" distL="0" distR="0">
                  <wp:extent cx="484632" cy="484632"/>
                  <wp:effectExtent l="0" t="0" r="0" b="0"/>
                  <wp:docPr id="1" name="Picture 1" descr="F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FCC Logo"/>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4632" cy="484632"/>
                          </a:xfrm>
                          <a:prstGeom prst="rect">
                            <a:avLst/>
                          </a:prstGeom>
                        </pic:spPr>
                      </pic:pic>
                    </a:graphicData>
                  </a:graphic>
                </wp:inline>
              </w:drawing>
            </w:r>
            <w:r>
              <w:t xml:space="preserve"> PUBLIC NOTICE</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4707"/>
              <w:gridCol w:w="4707"/>
            </w:tblGrid>
            <w:tr w14:paraId="03FA2EA0" w14:textId="77777777" w:rsidTr="00411100">
              <w:tblPrEx>
                <w:tblW w:w="5000" w:type="pct"/>
                <w:tblLook w:val="04A0"/>
              </w:tblPrEx>
              <w:trPr>
                <w:trHeight w:val="861"/>
              </w:trPr>
              <w:tc>
                <w:tcPr>
                  <w:tcW w:w="2500" w:type="pct"/>
                  <w:vAlign w:val="center"/>
                </w:tcPr>
                <w:p w:rsidR="00EE0ACA" w:rsidRPr="00EE0ACA" w:rsidP="008764CE" w14:paraId="73E61F88" w14:textId="77777777">
                  <w:pPr>
                    <w:pStyle w:val="FCCAddress"/>
                    <w:framePr w:hSpace="180" w:wrap="around" w:vAnchor="page" w:hAnchor="margin" w:x="-90" w:y="939"/>
                    <w:rPr>
                      <w:sz w:val="22"/>
                      <w:szCs w:val="20"/>
                    </w:rPr>
                  </w:pPr>
                  <w:r>
                    <w:ptab w:relativeTo="margin" w:alignment="left" w:leader="none"/>
                  </w:r>
                  <w:r>
                    <w:ptab w:relativeTo="margin" w:alignment="left" w:leader="none"/>
                  </w:r>
                  <w:r w:rsidRPr="00EE0ACA">
                    <w:rPr>
                      <w:sz w:val="22"/>
                      <w:szCs w:val="20"/>
                    </w:rPr>
                    <w:t>Federal Communications Commission</w:t>
                  </w:r>
                </w:p>
                <w:p w:rsidR="00EE0ACA" w:rsidRPr="00EE0ACA" w:rsidP="008764CE" w14:paraId="5E54A5E1" w14:textId="77777777">
                  <w:pPr>
                    <w:pStyle w:val="FCCAddress"/>
                    <w:framePr w:hSpace="180" w:wrap="around" w:vAnchor="page" w:hAnchor="margin" w:x="-90" w:y="939"/>
                    <w:rPr>
                      <w:sz w:val="22"/>
                      <w:szCs w:val="20"/>
                    </w:rPr>
                  </w:pPr>
                  <w:r w:rsidRPr="00EE0ACA">
                    <w:rPr>
                      <w:sz w:val="22"/>
                      <w:szCs w:val="20"/>
                    </w:rPr>
                    <w:t>45 L Street NE</w:t>
                  </w:r>
                </w:p>
                <w:p w:rsidR="00EE0ACA" w:rsidRPr="00EE0ACA" w:rsidP="008764CE" w14:paraId="706CA424" w14:textId="77777777">
                  <w:pPr>
                    <w:framePr w:hSpace="180" w:wrap="around" w:vAnchor="page" w:hAnchor="margin" w:x="-90" w:y="939"/>
                    <w:rPr>
                      <w:rFonts w:ascii="Arial" w:hAnsi="Arial" w:cs="Arial"/>
                      <w:b/>
                      <w:sz w:val="22"/>
                      <w:szCs w:val="20"/>
                    </w:rPr>
                  </w:pPr>
                  <w:r w:rsidRPr="00EE0ACA">
                    <w:rPr>
                      <w:rFonts w:ascii="Arial" w:hAnsi="Arial" w:cs="Arial"/>
                      <w:b/>
                      <w:sz w:val="22"/>
                      <w:szCs w:val="20"/>
                    </w:rPr>
                    <w:t>Washington, DC 20554</w:t>
                  </w:r>
                </w:p>
              </w:tc>
              <w:tc>
                <w:tcPr>
                  <w:tcW w:w="2500" w:type="pct"/>
                  <w:vAlign w:val="center"/>
                </w:tcPr>
                <w:p w:rsidR="00EE0ACA" w:rsidP="008764CE" w14:paraId="12E1FF81" w14:textId="77777777">
                  <w:pPr>
                    <w:pStyle w:val="FCCMedia"/>
                    <w:framePr w:hSpace="180" w:wrap="around" w:vAnchor="page" w:hAnchor="margin" w:x="-90" w:y="939"/>
                  </w:pPr>
                  <w:r>
                    <w:t>News Media Information</w:t>
                  </w:r>
                  <w:r w:rsidR="001767AB">
                    <w:t>:</w:t>
                  </w:r>
                  <w:r>
                    <w:t xml:space="preserve"> 202-418-0500</w:t>
                  </w:r>
                </w:p>
                <w:p w:rsidR="00EE0ACA" w:rsidP="008764CE" w14:paraId="0313A63F" w14:textId="77777777">
                  <w:pPr>
                    <w:pStyle w:val="FCCMedia"/>
                    <w:framePr w:hSpace="180" w:wrap="around" w:vAnchor="page" w:hAnchor="margin" w:x="-90" w:y="939"/>
                  </w:pPr>
                  <w:r>
                    <w:t xml:space="preserve">Internet: </w:t>
                  </w:r>
                  <w:hyperlink r:id="rId6" w:history="1">
                    <w:r>
                      <w:rPr>
                        <w:rStyle w:val="Hyperlink"/>
                        <w:szCs w:val="16"/>
                      </w:rPr>
                      <w:t>www.fcc.gov</w:t>
                    </w:r>
                  </w:hyperlink>
                </w:p>
                <w:p w:rsidR="00EE0ACA" w:rsidRPr="00EE0ACA" w:rsidP="008764CE" w14:paraId="23DD8313" w14:textId="77777777">
                  <w:pPr>
                    <w:framePr w:hSpace="180" w:wrap="around" w:vAnchor="page" w:hAnchor="margin" w:x="-90" w:y="939"/>
                    <w:jc w:val="right"/>
                    <w:rPr>
                      <w:rFonts w:ascii="Arial" w:hAnsi="Arial" w:cs="Arial"/>
                      <w:b/>
                      <w:bCs/>
                      <w:sz w:val="16"/>
                      <w:szCs w:val="16"/>
                    </w:rPr>
                  </w:pPr>
                  <w:r w:rsidRPr="00EE0ACA">
                    <w:rPr>
                      <w:rFonts w:ascii="Arial" w:hAnsi="Arial" w:cs="Arial"/>
                      <w:b/>
                      <w:bCs/>
                      <w:sz w:val="16"/>
                      <w:szCs w:val="16"/>
                    </w:rPr>
                    <w:t>TTY: 888-835-5322</w:t>
                  </w:r>
                </w:p>
              </w:tc>
            </w:tr>
          </w:tbl>
          <w:p w:rsidR="00B126DC" w:rsidP="00411100" w14:paraId="2FDB5584" w14:textId="77777777"/>
        </w:tc>
      </w:tr>
    </w:tbl>
    <w:p w:rsidR="007E48D9" w:rsidP="000F3DAF" w14:paraId="37CEAF58" w14:textId="77777777">
      <w:pPr>
        <w:pStyle w:val="PN-DANumber"/>
        <w:rPr>
          <w:snapToGrid w:val="0"/>
        </w:rPr>
      </w:pPr>
    </w:p>
    <w:p w:rsidR="000F3DAF" w:rsidRPr="001447D2" w:rsidP="00215CA0" w14:paraId="0F29977E" w14:textId="45FE50DA">
      <w:pPr>
        <w:pStyle w:val="PN-DANumber"/>
        <w:rPr>
          <w:snapToGrid w:val="0"/>
          <w:sz w:val="22"/>
          <w:szCs w:val="22"/>
        </w:rPr>
      </w:pPr>
      <w:r w:rsidRPr="001447D2">
        <w:rPr>
          <w:snapToGrid w:val="0"/>
          <w:sz w:val="22"/>
          <w:szCs w:val="22"/>
        </w:rPr>
        <w:t>DA</w:t>
      </w:r>
      <w:r w:rsidRPr="001447D2" w:rsidR="00452F15">
        <w:rPr>
          <w:snapToGrid w:val="0"/>
          <w:sz w:val="22"/>
          <w:szCs w:val="22"/>
        </w:rPr>
        <w:t xml:space="preserve"> </w:t>
      </w:r>
      <w:r w:rsidRPr="00660975" w:rsidR="00660975">
        <w:rPr>
          <w:snapToGrid w:val="0"/>
          <w:sz w:val="22"/>
          <w:szCs w:val="22"/>
        </w:rPr>
        <w:t>26-208</w:t>
      </w:r>
    </w:p>
    <w:p w:rsidR="000F3DAF" w:rsidRPr="001447D2" w:rsidP="00215CA0" w14:paraId="49A56C0E" w14:textId="4EE1EB09">
      <w:pPr>
        <w:pStyle w:val="PNDA-Release"/>
        <w:rPr>
          <w:snapToGrid w:val="0"/>
          <w:sz w:val="22"/>
          <w:szCs w:val="22"/>
        </w:rPr>
      </w:pPr>
      <w:r w:rsidRPr="001447D2">
        <w:rPr>
          <w:snapToGrid w:val="0"/>
          <w:sz w:val="22"/>
          <w:szCs w:val="22"/>
        </w:rPr>
        <w:t xml:space="preserve">Released:  </w:t>
      </w:r>
      <w:r w:rsidR="000D4F8B">
        <w:rPr>
          <w:snapToGrid w:val="0"/>
          <w:sz w:val="22"/>
          <w:szCs w:val="22"/>
        </w:rPr>
        <w:t>March</w:t>
      </w:r>
      <w:r w:rsidRPr="001447D2" w:rsidR="00B768A5">
        <w:rPr>
          <w:snapToGrid w:val="0"/>
          <w:sz w:val="22"/>
          <w:szCs w:val="22"/>
        </w:rPr>
        <w:t xml:space="preserve"> </w:t>
      </w:r>
      <w:r w:rsidR="008A6A75">
        <w:rPr>
          <w:snapToGrid w:val="0"/>
          <w:sz w:val="22"/>
          <w:szCs w:val="22"/>
        </w:rPr>
        <w:t>2</w:t>
      </w:r>
      <w:r w:rsidRPr="001447D2" w:rsidR="00163E81">
        <w:rPr>
          <w:snapToGrid w:val="0"/>
          <w:sz w:val="22"/>
          <w:szCs w:val="22"/>
        </w:rPr>
        <w:t>,</w:t>
      </w:r>
      <w:r w:rsidRPr="001447D2" w:rsidR="00B768A5">
        <w:rPr>
          <w:snapToGrid w:val="0"/>
          <w:sz w:val="22"/>
          <w:szCs w:val="22"/>
        </w:rPr>
        <w:t xml:space="preserve"> 202</w:t>
      </w:r>
      <w:r w:rsidR="000D4F8B">
        <w:rPr>
          <w:snapToGrid w:val="0"/>
          <w:sz w:val="22"/>
          <w:szCs w:val="22"/>
        </w:rPr>
        <w:t>6</w:t>
      </w:r>
    </w:p>
    <w:p w:rsidR="00452F15" w:rsidRPr="001447D2" w:rsidP="00215CA0" w14:paraId="6A2F2029" w14:textId="745BB31C">
      <w:pPr>
        <w:pStyle w:val="PN-Title"/>
        <w:spacing w:before="480"/>
        <w:rPr>
          <w:snapToGrid w:val="0"/>
          <w:sz w:val="22"/>
        </w:rPr>
      </w:pPr>
      <w:r w:rsidRPr="001447D2">
        <w:rPr>
          <w:snapToGrid w:val="0"/>
          <w:sz w:val="22"/>
        </w:rPr>
        <w:t>Space Bureau</w:t>
      </w:r>
      <w:r w:rsidRPr="001447D2" w:rsidR="00E163C2">
        <w:rPr>
          <w:snapToGrid w:val="0"/>
          <w:sz w:val="22"/>
        </w:rPr>
        <w:t xml:space="preserve"> </w:t>
      </w:r>
      <w:r w:rsidR="004B3F47">
        <w:rPr>
          <w:snapToGrid w:val="0"/>
          <w:sz w:val="22"/>
        </w:rPr>
        <w:t xml:space="preserve">AND OFFICE OF INTERNATIONAL AFFAIRS </w:t>
      </w:r>
      <w:r w:rsidR="009F7FAB">
        <w:rPr>
          <w:snapToGrid w:val="0"/>
          <w:sz w:val="22"/>
        </w:rPr>
        <w:t>SEEK COMMENT ON SATELLITE MARKET ACCESS RECIPROCITY</w:t>
      </w:r>
    </w:p>
    <w:p w:rsidR="000F3DAF" w:rsidRPr="001447D2" w:rsidP="00215CA0" w14:paraId="2CF1C540" w14:textId="55B89363">
      <w:pPr>
        <w:pStyle w:val="PN-Subtitle"/>
        <w:rPr>
          <w:snapToGrid w:val="0"/>
          <w:sz w:val="22"/>
        </w:rPr>
      </w:pPr>
      <w:r>
        <w:rPr>
          <w:snapToGrid w:val="0"/>
          <w:sz w:val="22"/>
        </w:rPr>
        <w:t>GN</w:t>
      </w:r>
      <w:r w:rsidRPr="36A49FE0" w:rsidR="19D97964">
        <w:rPr>
          <w:snapToGrid w:val="0"/>
          <w:sz w:val="22"/>
        </w:rPr>
        <w:t xml:space="preserve"> </w:t>
      </w:r>
      <w:r w:rsidRPr="001447D2" w:rsidR="00E163C2">
        <w:rPr>
          <w:snapToGrid w:val="0"/>
          <w:sz w:val="22"/>
        </w:rPr>
        <w:t xml:space="preserve">Docket No. </w:t>
      </w:r>
      <w:r w:rsidRPr="001447D2" w:rsidR="00DA036C">
        <w:rPr>
          <w:snapToGrid w:val="0"/>
          <w:sz w:val="22"/>
        </w:rPr>
        <w:t>2</w:t>
      </w:r>
      <w:r w:rsidR="000D4F8B">
        <w:rPr>
          <w:snapToGrid w:val="0"/>
          <w:sz w:val="22"/>
        </w:rPr>
        <w:t>6</w:t>
      </w:r>
      <w:r w:rsidRPr="001447D2" w:rsidR="00DA036C">
        <w:rPr>
          <w:snapToGrid w:val="0"/>
          <w:sz w:val="22"/>
        </w:rPr>
        <w:t>-</w:t>
      </w:r>
      <w:r w:rsidRPr="00F17C89" w:rsidR="00F17C89">
        <w:rPr>
          <w:snapToGrid w:val="0"/>
          <w:sz w:val="22"/>
        </w:rPr>
        <w:t>48</w:t>
      </w:r>
    </w:p>
    <w:p w:rsidR="00240832" w:rsidP="00215CA0" w14:paraId="2821B760" w14:textId="77777777">
      <w:pPr>
        <w:pStyle w:val="PN-Subtitle"/>
        <w:spacing w:after="0"/>
        <w:jc w:val="left"/>
        <w:rPr>
          <w:snapToGrid w:val="0"/>
          <w:sz w:val="22"/>
        </w:rPr>
      </w:pPr>
    </w:p>
    <w:p w:rsidR="002D2820" w:rsidRPr="00215CA0" w:rsidP="00215CA0" w14:paraId="5228E17F" w14:textId="4C028598">
      <w:pPr>
        <w:pStyle w:val="PN-Subtitle"/>
        <w:spacing w:after="0"/>
        <w:jc w:val="left"/>
        <w:rPr>
          <w:snapToGrid w:val="0"/>
          <w:sz w:val="22"/>
        </w:rPr>
      </w:pPr>
      <w:r w:rsidRPr="00215CA0">
        <w:rPr>
          <w:snapToGrid w:val="0"/>
          <w:sz w:val="22"/>
        </w:rPr>
        <w:t xml:space="preserve">Comment Deadline:  </w:t>
      </w:r>
      <w:r w:rsidR="00BF5111">
        <w:rPr>
          <w:snapToGrid w:val="0"/>
          <w:sz w:val="22"/>
        </w:rPr>
        <w:t>April 1</w:t>
      </w:r>
      <w:r w:rsidRPr="00215CA0" w:rsidR="00EE6E34">
        <w:rPr>
          <w:snapToGrid w:val="0"/>
          <w:sz w:val="22"/>
        </w:rPr>
        <w:t>, 2026</w:t>
      </w:r>
    </w:p>
    <w:p w:rsidR="00452F15" w:rsidRPr="00215CA0" w:rsidP="00215CA0" w14:paraId="055F964A" w14:textId="27781B6A">
      <w:pPr>
        <w:pStyle w:val="PN-Subtitle"/>
        <w:spacing w:after="0"/>
        <w:jc w:val="left"/>
        <w:rPr>
          <w:snapToGrid w:val="0"/>
          <w:sz w:val="22"/>
        </w:rPr>
      </w:pPr>
      <w:r w:rsidRPr="00215CA0">
        <w:rPr>
          <w:snapToGrid w:val="0"/>
          <w:sz w:val="22"/>
        </w:rPr>
        <w:t xml:space="preserve">Reply Comment Deadline:  </w:t>
      </w:r>
      <w:r w:rsidR="00BF5111">
        <w:rPr>
          <w:snapToGrid w:val="0"/>
          <w:sz w:val="22"/>
        </w:rPr>
        <w:t>April 16</w:t>
      </w:r>
      <w:r w:rsidRPr="00215CA0" w:rsidR="00EE6E34">
        <w:rPr>
          <w:snapToGrid w:val="0"/>
          <w:sz w:val="22"/>
        </w:rPr>
        <w:t>, 2026</w:t>
      </w:r>
      <w:r w:rsidR="008511F0">
        <w:rPr>
          <w:snapToGrid w:val="0"/>
          <w:sz w:val="22"/>
        </w:rPr>
        <w:t xml:space="preserve"> </w:t>
      </w:r>
    </w:p>
    <w:p w:rsidR="001542B2" w:rsidRPr="00215CA0" w:rsidP="00215CA0" w14:paraId="3F153D7F" w14:textId="77777777">
      <w:pPr>
        <w:rPr>
          <w:snapToGrid w:val="0"/>
          <w:sz w:val="22"/>
        </w:rPr>
      </w:pPr>
    </w:p>
    <w:p w:rsidR="004B3F47" w:rsidP="00AD48F9" w14:paraId="471CAABB" w14:textId="61710DCB">
      <w:pPr>
        <w:pStyle w:val="ParaNum"/>
        <w:numPr>
          <w:ilvl w:val="0"/>
          <w:numId w:val="0"/>
        </w:numPr>
        <w:spacing w:after="0"/>
        <w:ind w:firstLine="720"/>
        <w:rPr>
          <w:snapToGrid w:val="0"/>
          <w:sz w:val="22"/>
        </w:rPr>
      </w:pPr>
      <w:r w:rsidRPr="00215CA0">
        <w:rPr>
          <w:snapToGrid w:val="0"/>
          <w:sz w:val="22"/>
        </w:rPr>
        <w:t xml:space="preserve">By this Public Notice, the </w:t>
      </w:r>
      <w:r w:rsidRPr="00215CA0" w:rsidR="00234F39">
        <w:rPr>
          <w:snapToGrid w:val="0"/>
          <w:sz w:val="22"/>
        </w:rPr>
        <w:t>Space</w:t>
      </w:r>
      <w:r w:rsidRPr="00215CA0">
        <w:rPr>
          <w:snapToGrid w:val="0"/>
          <w:sz w:val="22"/>
        </w:rPr>
        <w:t xml:space="preserve"> Bureau </w:t>
      </w:r>
      <w:r w:rsidRPr="00215CA0" w:rsidR="006D2AEF">
        <w:rPr>
          <w:snapToGrid w:val="0"/>
          <w:sz w:val="22"/>
        </w:rPr>
        <w:t xml:space="preserve">(SB) </w:t>
      </w:r>
      <w:r w:rsidRPr="00215CA0" w:rsidR="004471D4">
        <w:rPr>
          <w:snapToGrid w:val="0"/>
          <w:sz w:val="22"/>
        </w:rPr>
        <w:t xml:space="preserve">and Office of International Affairs </w:t>
      </w:r>
      <w:r w:rsidRPr="00215CA0" w:rsidR="006D2AEF">
        <w:rPr>
          <w:snapToGrid w:val="0"/>
          <w:sz w:val="22"/>
        </w:rPr>
        <w:t xml:space="preserve">(OIA) </w:t>
      </w:r>
      <w:r w:rsidRPr="00215CA0" w:rsidR="00B90801">
        <w:rPr>
          <w:snapToGrid w:val="0"/>
          <w:sz w:val="22"/>
        </w:rPr>
        <w:t xml:space="preserve">seek comment on the </w:t>
      </w:r>
      <w:r w:rsidRPr="00215CA0" w:rsidR="009C3382">
        <w:rPr>
          <w:snapToGrid w:val="0"/>
          <w:sz w:val="22"/>
        </w:rPr>
        <w:t xml:space="preserve">state of </w:t>
      </w:r>
      <w:r w:rsidRPr="00215CA0" w:rsidR="004D0C3C">
        <w:rPr>
          <w:snapToGrid w:val="0"/>
          <w:sz w:val="22"/>
        </w:rPr>
        <w:t>international reciprocity in satellite service regulation</w:t>
      </w:r>
      <w:r w:rsidRPr="00215CA0">
        <w:rPr>
          <w:snapToGrid w:val="0"/>
          <w:sz w:val="22"/>
        </w:rPr>
        <w:t>.</w:t>
      </w:r>
      <w:r w:rsidRPr="00215CA0" w:rsidR="00666721">
        <w:rPr>
          <w:snapToGrid w:val="0"/>
          <w:sz w:val="22"/>
        </w:rPr>
        <w:t xml:space="preserve">  </w:t>
      </w:r>
      <w:r w:rsidRPr="00215CA0">
        <w:rPr>
          <w:snapToGrid w:val="0"/>
          <w:sz w:val="22"/>
        </w:rPr>
        <w:t xml:space="preserve">This record will assist </w:t>
      </w:r>
      <w:r w:rsidRPr="00215CA0" w:rsidR="006D2AEF">
        <w:rPr>
          <w:snapToGrid w:val="0"/>
          <w:sz w:val="22"/>
        </w:rPr>
        <w:t xml:space="preserve">SB and OIA </w:t>
      </w:r>
      <w:r w:rsidRPr="00215CA0">
        <w:rPr>
          <w:snapToGrid w:val="0"/>
          <w:sz w:val="22"/>
        </w:rPr>
        <w:t xml:space="preserve">in implementing existing Commission rules and policies, inform international advocacy in support of U.S. commercial space and other interests, and </w:t>
      </w:r>
      <w:r w:rsidRPr="00215CA0" w:rsidR="00FE7B9F">
        <w:rPr>
          <w:snapToGrid w:val="0"/>
          <w:sz w:val="22"/>
        </w:rPr>
        <w:t xml:space="preserve">may </w:t>
      </w:r>
      <w:r w:rsidRPr="00215CA0">
        <w:rPr>
          <w:snapToGrid w:val="0"/>
          <w:sz w:val="22"/>
        </w:rPr>
        <w:t xml:space="preserve">develop </w:t>
      </w:r>
      <w:r w:rsidRPr="00215CA0" w:rsidR="00583697">
        <w:rPr>
          <w:snapToGrid w:val="0"/>
          <w:sz w:val="22"/>
        </w:rPr>
        <w:t xml:space="preserve">into </w:t>
      </w:r>
      <w:r w:rsidRPr="00215CA0" w:rsidR="00FE7B9F">
        <w:rPr>
          <w:snapToGrid w:val="0"/>
          <w:sz w:val="22"/>
        </w:rPr>
        <w:t xml:space="preserve">proposals </w:t>
      </w:r>
      <w:r w:rsidRPr="00215CA0">
        <w:rPr>
          <w:snapToGrid w:val="0"/>
          <w:sz w:val="22"/>
        </w:rPr>
        <w:t xml:space="preserve">for </w:t>
      </w:r>
      <w:r w:rsidRPr="00215CA0" w:rsidR="00583697">
        <w:rPr>
          <w:snapToGrid w:val="0"/>
          <w:sz w:val="22"/>
        </w:rPr>
        <w:t>f</w:t>
      </w:r>
      <w:r w:rsidRPr="00215CA0" w:rsidR="00D84090">
        <w:rPr>
          <w:snapToGrid w:val="0"/>
          <w:sz w:val="22"/>
        </w:rPr>
        <w:t>u</w:t>
      </w:r>
      <w:r w:rsidRPr="00215CA0" w:rsidR="00583697">
        <w:rPr>
          <w:snapToGrid w:val="0"/>
          <w:sz w:val="22"/>
        </w:rPr>
        <w:t xml:space="preserve">rther </w:t>
      </w:r>
      <w:r w:rsidRPr="00215CA0" w:rsidR="00D84090">
        <w:rPr>
          <w:snapToGrid w:val="0"/>
          <w:sz w:val="22"/>
        </w:rPr>
        <w:t xml:space="preserve">consideration and </w:t>
      </w:r>
      <w:r w:rsidRPr="00215CA0">
        <w:rPr>
          <w:snapToGrid w:val="0"/>
          <w:sz w:val="22"/>
        </w:rPr>
        <w:t>action.</w:t>
      </w:r>
    </w:p>
    <w:p w:rsidR="00AD48F9" w:rsidRPr="00215CA0" w:rsidP="00AD48F9" w14:paraId="579A9253" w14:textId="77777777">
      <w:pPr>
        <w:pStyle w:val="ParaNum"/>
        <w:numPr>
          <w:ilvl w:val="0"/>
          <w:numId w:val="0"/>
        </w:numPr>
        <w:spacing w:after="0"/>
        <w:ind w:firstLine="720"/>
        <w:rPr>
          <w:snapToGrid w:val="0"/>
          <w:sz w:val="22"/>
        </w:rPr>
      </w:pPr>
    </w:p>
    <w:p w:rsidR="00897028" w:rsidP="00AD48F9" w14:paraId="07CD2B61" w14:textId="7CC06771">
      <w:pPr>
        <w:pStyle w:val="ParaNum"/>
        <w:numPr>
          <w:ilvl w:val="0"/>
          <w:numId w:val="0"/>
        </w:numPr>
        <w:spacing w:after="0"/>
        <w:ind w:firstLine="720"/>
        <w:rPr>
          <w:snapToGrid w:val="0"/>
          <w:sz w:val="22"/>
        </w:rPr>
      </w:pPr>
      <w:r w:rsidRPr="00215CA0">
        <w:rPr>
          <w:i/>
          <w:iCs/>
          <w:snapToGrid w:val="0"/>
          <w:sz w:val="22"/>
        </w:rPr>
        <w:t>Background</w:t>
      </w:r>
      <w:r w:rsidRPr="00215CA0">
        <w:rPr>
          <w:snapToGrid w:val="0"/>
          <w:sz w:val="22"/>
        </w:rPr>
        <w:t xml:space="preserve">.  </w:t>
      </w:r>
      <w:r w:rsidRPr="00215CA0" w:rsidR="0040069C">
        <w:rPr>
          <w:snapToGrid w:val="0"/>
          <w:sz w:val="22"/>
        </w:rPr>
        <w:t>For decades, t</w:t>
      </w:r>
      <w:r w:rsidRPr="00215CA0" w:rsidR="00D03069">
        <w:rPr>
          <w:snapToGrid w:val="0"/>
          <w:sz w:val="22"/>
        </w:rPr>
        <w:t xml:space="preserve">he United States has </w:t>
      </w:r>
      <w:r w:rsidRPr="00215CA0" w:rsidR="002E2C08">
        <w:rPr>
          <w:snapToGrid w:val="0"/>
          <w:sz w:val="22"/>
        </w:rPr>
        <w:t>welcomed</w:t>
      </w:r>
      <w:r w:rsidRPr="00215CA0" w:rsidR="00886516">
        <w:rPr>
          <w:snapToGrid w:val="0"/>
          <w:sz w:val="22"/>
        </w:rPr>
        <w:t xml:space="preserve"> foreign satellite operators </w:t>
      </w:r>
      <w:r w:rsidRPr="00215CA0" w:rsidR="0040069C">
        <w:rPr>
          <w:snapToGrid w:val="0"/>
          <w:sz w:val="22"/>
        </w:rPr>
        <w:t>seeking</w:t>
      </w:r>
      <w:r w:rsidRPr="00215CA0" w:rsidR="003027A8">
        <w:rPr>
          <w:snapToGrid w:val="0"/>
          <w:sz w:val="22"/>
        </w:rPr>
        <w:t xml:space="preserve"> en</w:t>
      </w:r>
      <w:r w:rsidRPr="00215CA0" w:rsidR="0040069C">
        <w:rPr>
          <w:snapToGrid w:val="0"/>
          <w:sz w:val="22"/>
        </w:rPr>
        <w:t>try</w:t>
      </w:r>
      <w:r w:rsidRPr="00215CA0" w:rsidR="00DB07A9">
        <w:rPr>
          <w:snapToGrid w:val="0"/>
          <w:sz w:val="22"/>
        </w:rPr>
        <w:t xml:space="preserve"> </w:t>
      </w:r>
      <w:r w:rsidRPr="00215CA0" w:rsidR="008B5D95">
        <w:rPr>
          <w:sz w:val="22"/>
        </w:rPr>
        <w:t>in</w:t>
      </w:r>
      <w:r w:rsidRPr="00215CA0" w:rsidR="00DB07A9">
        <w:rPr>
          <w:snapToGrid w:val="0"/>
          <w:sz w:val="22"/>
        </w:rPr>
        <w:t>to</w:t>
      </w:r>
      <w:r w:rsidRPr="00215CA0" w:rsidR="003027A8">
        <w:rPr>
          <w:snapToGrid w:val="0"/>
          <w:sz w:val="22"/>
        </w:rPr>
        <w:t xml:space="preserve"> the </w:t>
      </w:r>
      <w:r w:rsidRPr="00215CA0" w:rsidR="0017610F">
        <w:rPr>
          <w:snapToGrid w:val="0"/>
          <w:sz w:val="22"/>
        </w:rPr>
        <w:t>domestic market</w:t>
      </w:r>
      <w:r w:rsidRPr="00215CA0" w:rsidR="00DB07A9">
        <w:rPr>
          <w:snapToGrid w:val="0"/>
          <w:sz w:val="22"/>
        </w:rPr>
        <w:t>place</w:t>
      </w:r>
      <w:r w:rsidRPr="00215CA0" w:rsidR="003027A8">
        <w:rPr>
          <w:snapToGrid w:val="0"/>
          <w:sz w:val="22"/>
        </w:rPr>
        <w:t xml:space="preserve">.  </w:t>
      </w:r>
      <w:r w:rsidRPr="00215CA0" w:rsidR="00042C7E">
        <w:rPr>
          <w:snapToGrid w:val="0"/>
          <w:sz w:val="22"/>
        </w:rPr>
        <w:t xml:space="preserve">In 1997, the Commission </w:t>
      </w:r>
      <w:r w:rsidRPr="00215CA0" w:rsidR="00BA1646">
        <w:rPr>
          <w:snapToGrid w:val="0"/>
          <w:sz w:val="22"/>
        </w:rPr>
        <w:t>adopted</w:t>
      </w:r>
      <w:r w:rsidRPr="00215CA0" w:rsidR="00822068">
        <w:rPr>
          <w:snapToGrid w:val="0"/>
          <w:sz w:val="22"/>
        </w:rPr>
        <w:t xml:space="preserve"> a </w:t>
      </w:r>
      <w:r w:rsidRPr="00215CA0" w:rsidR="00FE7B9F">
        <w:rPr>
          <w:snapToGrid w:val="0"/>
          <w:sz w:val="22"/>
        </w:rPr>
        <w:t xml:space="preserve">comprehensive </w:t>
      </w:r>
      <w:r w:rsidRPr="00215CA0" w:rsidR="00822068">
        <w:rPr>
          <w:snapToGrid w:val="0"/>
          <w:sz w:val="22"/>
        </w:rPr>
        <w:t xml:space="preserve">framework </w:t>
      </w:r>
      <w:r w:rsidRPr="00215CA0" w:rsidR="002E2C08">
        <w:rPr>
          <w:snapToGrid w:val="0"/>
          <w:sz w:val="22"/>
        </w:rPr>
        <w:t xml:space="preserve">to enable </w:t>
      </w:r>
      <w:r w:rsidRPr="00215CA0" w:rsidR="00822068">
        <w:rPr>
          <w:snapToGrid w:val="0"/>
          <w:sz w:val="22"/>
        </w:rPr>
        <w:t>non-U.S.-licensed space stations to serve the U.S. market.</w:t>
      </w:r>
      <w:r>
        <w:rPr>
          <w:rStyle w:val="FootnoteReference"/>
          <w:snapToGrid w:val="0"/>
          <w:sz w:val="22"/>
        </w:rPr>
        <w:footnoteReference w:id="2"/>
      </w:r>
      <w:r w:rsidRPr="00215CA0" w:rsidR="00464E12">
        <w:rPr>
          <w:snapToGrid w:val="0"/>
          <w:sz w:val="22"/>
        </w:rPr>
        <w:t xml:space="preserve">  </w:t>
      </w:r>
      <w:r w:rsidRPr="00215CA0" w:rsidR="002E2C08">
        <w:rPr>
          <w:snapToGrid w:val="0"/>
          <w:sz w:val="22"/>
        </w:rPr>
        <w:t>Implementing the</w:t>
      </w:r>
      <w:r w:rsidRPr="00215CA0" w:rsidR="009C1DF8">
        <w:rPr>
          <w:snapToGrid w:val="0"/>
          <w:sz w:val="22"/>
        </w:rPr>
        <w:t xml:space="preserve"> </w:t>
      </w:r>
      <w:r w:rsidRPr="00215CA0" w:rsidR="6E787D11">
        <w:rPr>
          <w:snapToGrid w:val="0"/>
          <w:sz w:val="22"/>
        </w:rPr>
        <w:t>U.S.</w:t>
      </w:r>
      <w:r w:rsidRPr="00215CA0" w:rsidR="009C1DF8">
        <w:rPr>
          <w:snapToGrid w:val="0"/>
          <w:sz w:val="22"/>
        </w:rPr>
        <w:t xml:space="preserve"> market-opening commitments</w:t>
      </w:r>
      <w:r w:rsidRPr="00215CA0" w:rsidR="00FE7B9F">
        <w:rPr>
          <w:snapToGrid w:val="0"/>
          <w:sz w:val="22"/>
        </w:rPr>
        <w:t xml:space="preserve"> in the </w:t>
      </w:r>
      <w:r w:rsidRPr="00215CA0" w:rsidR="0017554F">
        <w:rPr>
          <w:snapToGrid w:val="0"/>
          <w:sz w:val="22"/>
        </w:rPr>
        <w:t xml:space="preserve">WTO </w:t>
      </w:r>
      <w:r w:rsidRPr="00215CA0" w:rsidR="002207F9">
        <w:rPr>
          <w:snapToGrid w:val="0"/>
          <w:sz w:val="22"/>
        </w:rPr>
        <w:t>Basic</w:t>
      </w:r>
      <w:r w:rsidRPr="00215CA0" w:rsidR="002E2C08">
        <w:rPr>
          <w:snapToGrid w:val="0"/>
          <w:sz w:val="22"/>
        </w:rPr>
        <w:t xml:space="preserve"> Te</w:t>
      </w:r>
      <w:r w:rsidRPr="00215CA0" w:rsidR="002207F9">
        <w:rPr>
          <w:snapToGrid w:val="0"/>
          <w:sz w:val="22"/>
        </w:rPr>
        <w:t>lecommunications Agreement (BTA)</w:t>
      </w:r>
      <w:r w:rsidRPr="00215CA0" w:rsidR="009C1DF8">
        <w:rPr>
          <w:snapToGrid w:val="0"/>
          <w:sz w:val="22"/>
        </w:rPr>
        <w:t>,</w:t>
      </w:r>
      <w:r>
        <w:rPr>
          <w:rStyle w:val="FootnoteReference"/>
          <w:snapToGrid w:val="0"/>
          <w:sz w:val="22"/>
        </w:rPr>
        <w:footnoteReference w:id="3"/>
      </w:r>
      <w:r w:rsidRPr="00215CA0" w:rsidR="009C1DF8">
        <w:rPr>
          <w:snapToGrid w:val="0"/>
          <w:sz w:val="22"/>
        </w:rPr>
        <w:t xml:space="preserve"> </w:t>
      </w:r>
      <w:r w:rsidRPr="00215CA0" w:rsidR="00FE7B9F">
        <w:rPr>
          <w:snapToGrid w:val="0"/>
          <w:sz w:val="22"/>
        </w:rPr>
        <w:t>t</w:t>
      </w:r>
      <w:r w:rsidRPr="00215CA0" w:rsidR="00BB326B">
        <w:rPr>
          <w:snapToGrid w:val="0"/>
          <w:sz w:val="22"/>
        </w:rPr>
        <w:t xml:space="preserve">he </w:t>
      </w:r>
      <w:r w:rsidRPr="00215CA0" w:rsidR="00ED78A3">
        <w:rPr>
          <w:snapToGrid w:val="0"/>
          <w:sz w:val="22"/>
        </w:rPr>
        <w:t>C</w:t>
      </w:r>
      <w:r w:rsidRPr="00215CA0" w:rsidR="00BB326B">
        <w:rPr>
          <w:snapToGrid w:val="0"/>
          <w:sz w:val="22"/>
        </w:rPr>
        <w:t>ommission adopted a</w:t>
      </w:r>
      <w:r w:rsidRPr="00215CA0" w:rsidR="00AE476C">
        <w:rPr>
          <w:snapToGrid w:val="0"/>
          <w:sz w:val="22"/>
        </w:rPr>
        <w:t xml:space="preserve"> presumption in favor of entry </w:t>
      </w:r>
      <w:r w:rsidRPr="00215CA0" w:rsidR="0094426B">
        <w:rPr>
          <w:snapToGrid w:val="0"/>
          <w:sz w:val="22"/>
        </w:rPr>
        <w:t xml:space="preserve">for </w:t>
      </w:r>
      <w:r w:rsidRPr="00215CA0" w:rsidR="00BB326B">
        <w:rPr>
          <w:snapToGrid w:val="0"/>
          <w:sz w:val="22"/>
        </w:rPr>
        <w:t>satellite systems licensed by WTO Members to provide satellite services covered by the U.S. commitments under the WTO B</w:t>
      </w:r>
      <w:r w:rsidRPr="00215CA0" w:rsidR="00451AF4">
        <w:rPr>
          <w:sz w:val="22"/>
        </w:rPr>
        <w:t>TA</w:t>
      </w:r>
      <w:r w:rsidRPr="00215CA0" w:rsidR="00BB326B">
        <w:rPr>
          <w:snapToGrid w:val="0"/>
          <w:sz w:val="22"/>
        </w:rPr>
        <w:t>.</w:t>
      </w:r>
      <w:r>
        <w:rPr>
          <w:rStyle w:val="FootnoteReference"/>
          <w:snapToGrid w:val="0"/>
          <w:sz w:val="22"/>
        </w:rPr>
        <w:footnoteReference w:id="4"/>
      </w:r>
      <w:r w:rsidRPr="00215CA0" w:rsidR="00BB326B">
        <w:rPr>
          <w:snapToGrid w:val="0"/>
          <w:sz w:val="22"/>
        </w:rPr>
        <w:t xml:space="preserve"> </w:t>
      </w:r>
      <w:r w:rsidRPr="00215CA0" w:rsidR="00A475B6">
        <w:rPr>
          <w:snapToGrid w:val="0"/>
          <w:sz w:val="22"/>
        </w:rPr>
        <w:t xml:space="preserve"> </w:t>
      </w:r>
      <w:r w:rsidRPr="00215CA0" w:rsidR="00ED78A3">
        <w:rPr>
          <w:snapToGrid w:val="0"/>
          <w:sz w:val="22"/>
        </w:rPr>
        <w:t xml:space="preserve">For </w:t>
      </w:r>
      <w:r w:rsidRPr="00215CA0" w:rsidR="00896090">
        <w:rPr>
          <w:sz w:val="22"/>
        </w:rPr>
        <w:t xml:space="preserve">non-WTO BTA covered </w:t>
      </w:r>
      <w:r w:rsidRPr="00215CA0" w:rsidR="00D84090">
        <w:rPr>
          <w:snapToGrid w:val="0"/>
          <w:sz w:val="22"/>
        </w:rPr>
        <w:t>space station market access requests</w:t>
      </w:r>
      <w:r w:rsidRPr="00215CA0" w:rsidR="00ED78A3">
        <w:rPr>
          <w:snapToGrid w:val="0"/>
          <w:sz w:val="22"/>
        </w:rPr>
        <w:t xml:space="preserve">, the Commission </w:t>
      </w:r>
      <w:r w:rsidRPr="00215CA0" w:rsidR="0088562B">
        <w:rPr>
          <w:snapToGrid w:val="0"/>
          <w:sz w:val="22"/>
        </w:rPr>
        <w:t xml:space="preserve">required the </w:t>
      </w:r>
      <w:r w:rsidRPr="00215CA0" w:rsidR="002A6F83">
        <w:rPr>
          <w:snapToGrid w:val="0"/>
          <w:sz w:val="22"/>
        </w:rPr>
        <w:t xml:space="preserve">party seeking access to demonstrate that </w:t>
      </w:r>
      <w:r w:rsidRPr="00215CA0" w:rsidR="00D74172">
        <w:rPr>
          <w:snapToGrid w:val="0"/>
          <w:sz w:val="22"/>
        </w:rPr>
        <w:t>U.S.-</w:t>
      </w:r>
      <w:r w:rsidRPr="00215CA0" w:rsidR="00D74172">
        <w:rPr>
          <w:snapToGrid w:val="0"/>
          <w:sz w:val="22"/>
        </w:rPr>
        <w:t xml:space="preserve">licensed satellite systems have effective competitive opportunities to provide analogous services in </w:t>
      </w:r>
      <w:r w:rsidRPr="00215CA0" w:rsidR="008C1B1C">
        <w:rPr>
          <w:snapToGrid w:val="0"/>
          <w:sz w:val="22"/>
        </w:rPr>
        <w:t>the country in which the non-U.S. licensed space station is licensed</w:t>
      </w:r>
      <w:r w:rsidRPr="00215CA0" w:rsidR="00D573FE">
        <w:rPr>
          <w:sz w:val="22"/>
        </w:rPr>
        <w:t xml:space="preserve"> </w:t>
      </w:r>
      <w:r w:rsidRPr="00215CA0" w:rsidR="00D573FE">
        <w:rPr>
          <w:snapToGrid w:val="0"/>
          <w:sz w:val="22"/>
        </w:rPr>
        <w:t>and all countries in which communications with the U.S. earth station will originate or terminate</w:t>
      </w:r>
      <w:r w:rsidRPr="00215CA0" w:rsidR="008C1B1C">
        <w:rPr>
          <w:snapToGrid w:val="0"/>
          <w:sz w:val="22"/>
        </w:rPr>
        <w:t>.</w:t>
      </w:r>
      <w:r>
        <w:rPr>
          <w:rStyle w:val="FootnoteReference"/>
          <w:snapToGrid w:val="0"/>
          <w:sz w:val="22"/>
        </w:rPr>
        <w:footnoteReference w:id="5"/>
      </w:r>
      <w:r w:rsidRPr="00215CA0" w:rsidR="008C1B1C">
        <w:rPr>
          <w:snapToGrid w:val="0"/>
          <w:sz w:val="22"/>
        </w:rPr>
        <w:t xml:space="preserve">  </w:t>
      </w:r>
      <w:r w:rsidRPr="00215CA0" w:rsidR="00D84090">
        <w:rPr>
          <w:snapToGrid w:val="0"/>
          <w:sz w:val="22"/>
        </w:rPr>
        <w:t>While the Commission adopted a presumption that entry by WTO Member satellite systems will promote competition in the U.S. satellite services market, it also generally required non-U.S.-licensed satellite operators to meet the same technical and other requirements as U.S. space station license applicants.</w:t>
      </w:r>
      <w:r>
        <w:rPr>
          <w:rStyle w:val="FootnoteReference"/>
          <w:snapToGrid w:val="0"/>
          <w:sz w:val="22"/>
        </w:rPr>
        <w:footnoteReference w:id="6"/>
      </w:r>
    </w:p>
    <w:p w:rsidR="00AD48F9" w:rsidRPr="00215CA0" w:rsidP="00AD48F9" w14:paraId="2C358381" w14:textId="77777777">
      <w:pPr>
        <w:pStyle w:val="ParaNum"/>
        <w:numPr>
          <w:ilvl w:val="0"/>
          <w:numId w:val="0"/>
        </w:numPr>
        <w:spacing w:after="0"/>
        <w:ind w:firstLine="720"/>
        <w:rPr>
          <w:snapToGrid w:val="0"/>
          <w:sz w:val="22"/>
        </w:rPr>
      </w:pPr>
    </w:p>
    <w:p w:rsidR="00FA3290" w:rsidRPr="00215CA0" w:rsidP="00AD48F9" w14:paraId="45C43FF3" w14:textId="7C4D5A79">
      <w:pPr>
        <w:pStyle w:val="ParaNum"/>
        <w:numPr>
          <w:ilvl w:val="0"/>
          <w:numId w:val="0"/>
        </w:numPr>
        <w:spacing w:after="0"/>
        <w:ind w:firstLine="720"/>
        <w:rPr>
          <w:snapToGrid w:val="0"/>
          <w:sz w:val="22"/>
        </w:rPr>
      </w:pPr>
      <w:r w:rsidRPr="00215CA0">
        <w:rPr>
          <w:snapToGrid w:val="0"/>
          <w:sz w:val="22"/>
        </w:rPr>
        <w:t>In adopting this framework and presumption</w:t>
      </w:r>
      <w:r w:rsidRPr="00215CA0" w:rsidR="00EB0A31">
        <w:rPr>
          <w:snapToGrid w:val="0"/>
          <w:sz w:val="22"/>
        </w:rPr>
        <w:t>, t</w:t>
      </w:r>
      <w:r w:rsidRPr="00215CA0" w:rsidR="00934F63">
        <w:rPr>
          <w:snapToGrid w:val="0"/>
          <w:sz w:val="22"/>
        </w:rPr>
        <w:t xml:space="preserve">he Commission </w:t>
      </w:r>
      <w:r w:rsidRPr="00215CA0" w:rsidR="0027693E">
        <w:rPr>
          <w:snapToGrid w:val="0"/>
          <w:sz w:val="22"/>
        </w:rPr>
        <w:t>sought to afford</w:t>
      </w:r>
      <w:r w:rsidRPr="00215CA0" w:rsidR="00EB0A31">
        <w:rPr>
          <w:snapToGrid w:val="0"/>
          <w:sz w:val="22"/>
        </w:rPr>
        <w:t xml:space="preserve"> </w:t>
      </w:r>
      <w:r w:rsidRPr="00215CA0" w:rsidR="0049671B">
        <w:rPr>
          <w:snapToGrid w:val="0"/>
          <w:sz w:val="22"/>
        </w:rPr>
        <w:t>greater opportunities for U.S. companies to enter previously closed foreign markets</w:t>
      </w:r>
      <w:r w:rsidRPr="00215CA0" w:rsidR="00EB0A31">
        <w:rPr>
          <w:snapToGrid w:val="0"/>
          <w:sz w:val="22"/>
        </w:rPr>
        <w:t xml:space="preserve"> and </w:t>
      </w:r>
      <w:r w:rsidRPr="00215CA0" w:rsidR="0049671B">
        <w:rPr>
          <w:snapToGrid w:val="0"/>
          <w:sz w:val="22"/>
        </w:rPr>
        <w:t>thereby stimulat</w:t>
      </w:r>
      <w:r w:rsidRPr="00215CA0" w:rsidR="00EB0A31">
        <w:rPr>
          <w:snapToGrid w:val="0"/>
          <w:sz w:val="22"/>
        </w:rPr>
        <w:t>e</w:t>
      </w:r>
      <w:r w:rsidRPr="00215CA0" w:rsidR="0049671B">
        <w:rPr>
          <w:snapToGrid w:val="0"/>
          <w:sz w:val="22"/>
        </w:rPr>
        <w:t xml:space="preserve"> a more competitive global satellite services market.</w:t>
      </w:r>
      <w:r>
        <w:rPr>
          <w:rStyle w:val="FootnoteReference"/>
          <w:snapToGrid w:val="0"/>
          <w:sz w:val="22"/>
        </w:rPr>
        <w:footnoteReference w:id="7"/>
      </w:r>
      <w:r w:rsidRPr="00215CA0" w:rsidR="008A6507">
        <w:rPr>
          <w:snapToGrid w:val="0"/>
          <w:sz w:val="22"/>
        </w:rPr>
        <w:t xml:space="preserve">  Today, approximately one-fourth of the over 200 satellite systems approved under </w:t>
      </w:r>
      <w:r w:rsidRPr="00215CA0" w:rsidR="00232D6F">
        <w:rPr>
          <w:snapToGrid w:val="0"/>
          <w:sz w:val="22"/>
        </w:rPr>
        <w:t>p</w:t>
      </w:r>
      <w:r w:rsidRPr="00215CA0" w:rsidR="008A6507">
        <w:rPr>
          <w:snapToGrid w:val="0"/>
          <w:sz w:val="22"/>
        </w:rPr>
        <w:t>art 25 are licensed by foreign administrations.</w:t>
      </w:r>
      <w:r>
        <w:rPr>
          <w:rStyle w:val="FootnoteReference"/>
          <w:snapToGrid w:val="0"/>
          <w:sz w:val="22"/>
        </w:rPr>
        <w:footnoteReference w:id="8"/>
      </w:r>
      <w:r w:rsidRPr="00215CA0" w:rsidR="0068141F">
        <w:rPr>
          <w:snapToGrid w:val="0"/>
          <w:sz w:val="22"/>
        </w:rPr>
        <w:t xml:space="preserve"> </w:t>
      </w:r>
      <w:r w:rsidRPr="00215CA0" w:rsidR="0027693E">
        <w:rPr>
          <w:snapToGrid w:val="0"/>
          <w:sz w:val="22"/>
        </w:rPr>
        <w:t xml:space="preserve"> The Commission’s market-access analysis at that time considered the effect on competition in the United States (including any presumption in favor of entry),</w:t>
      </w:r>
      <w:r>
        <w:rPr>
          <w:rStyle w:val="FootnoteReference"/>
          <w:snapToGrid w:val="0"/>
          <w:sz w:val="22"/>
        </w:rPr>
        <w:footnoteReference w:id="9"/>
      </w:r>
      <w:r w:rsidRPr="00215CA0" w:rsidR="0027693E">
        <w:rPr>
          <w:snapToGrid w:val="0"/>
          <w:sz w:val="22"/>
        </w:rPr>
        <w:t xml:space="preserve"> as well as eligibility and operating requirements,</w:t>
      </w:r>
      <w:r>
        <w:rPr>
          <w:rStyle w:val="FootnoteReference"/>
          <w:snapToGrid w:val="0"/>
          <w:sz w:val="22"/>
        </w:rPr>
        <w:footnoteReference w:id="10"/>
      </w:r>
      <w:r w:rsidRPr="00215CA0" w:rsidR="0027693E">
        <w:rPr>
          <w:snapToGrid w:val="0"/>
          <w:sz w:val="22"/>
        </w:rPr>
        <w:t xml:space="preserve"> spectrum availability,</w:t>
      </w:r>
      <w:r>
        <w:rPr>
          <w:rStyle w:val="FootnoteReference"/>
          <w:snapToGrid w:val="0"/>
          <w:sz w:val="22"/>
        </w:rPr>
        <w:footnoteReference w:id="11"/>
      </w:r>
      <w:r w:rsidRPr="00215CA0" w:rsidR="0027693E">
        <w:rPr>
          <w:snapToGrid w:val="0"/>
          <w:sz w:val="22"/>
        </w:rPr>
        <w:t xml:space="preserve"> and national security, law enforcement, foreign policy, and trade concerns.</w:t>
      </w:r>
      <w:r>
        <w:rPr>
          <w:rStyle w:val="FootnoteReference"/>
          <w:snapToGrid w:val="0"/>
          <w:sz w:val="22"/>
        </w:rPr>
        <w:footnoteReference w:id="12"/>
      </w:r>
    </w:p>
    <w:p w:rsidR="00AD48F9" w:rsidRPr="00AA0D45" w:rsidP="00AD48F9" w14:paraId="1FFB62EB" w14:textId="77777777">
      <w:pPr>
        <w:pStyle w:val="ParaNum"/>
        <w:numPr>
          <w:ilvl w:val="0"/>
          <w:numId w:val="0"/>
        </w:numPr>
        <w:spacing w:after="0"/>
        <w:ind w:firstLine="720"/>
        <w:rPr>
          <w:snapToGrid w:val="0"/>
          <w:sz w:val="22"/>
        </w:rPr>
      </w:pPr>
    </w:p>
    <w:p w:rsidR="00B13418" w:rsidRPr="00215CA0" w:rsidP="00AD48F9" w14:paraId="1C13BEBB" w14:textId="7C77EE3C">
      <w:pPr>
        <w:pStyle w:val="ParaNum"/>
        <w:numPr>
          <w:ilvl w:val="0"/>
          <w:numId w:val="0"/>
        </w:numPr>
        <w:spacing w:after="0"/>
        <w:ind w:firstLine="720"/>
        <w:rPr>
          <w:snapToGrid w:val="0"/>
          <w:sz w:val="22"/>
        </w:rPr>
      </w:pPr>
      <w:r w:rsidRPr="00215CA0">
        <w:rPr>
          <w:i/>
          <w:iCs/>
          <w:snapToGrid w:val="0"/>
          <w:sz w:val="22"/>
        </w:rPr>
        <w:t xml:space="preserve">Status of </w:t>
      </w:r>
      <w:r w:rsidRPr="00215CA0" w:rsidR="001D4B3A">
        <w:rPr>
          <w:i/>
          <w:iCs/>
          <w:snapToGrid w:val="0"/>
          <w:sz w:val="22"/>
        </w:rPr>
        <w:t>I</w:t>
      </w:r>
      <w:r w:rsidRPr="00215CA0" w:rsidR="0010552B">
        <w:rPr>
          <w:i/>
          <w:iCs/>
          <w:snapToGrid w:val="0"/>
          <w:sz w:val="22"/>
        </w:rPr>
        <w:t>nternational</w:t>
      </w:r>
      <w:r w:rsidRPr="00215CA0">
        <w:rPr>
          <w:i/>
          <w:iCs/>
          <w:snapToGrid w:val="0"/>
          <w:sz w:val="22"/>
        </w:rPr>
        <w:t xml:space="preserve"> </w:t>
      </w:r>
      <w:r w:rsidRPr="00215CA0" w:rsidR="001D4B3A">
        <w:rPr>
          <w:i/>
          <w:iCs/>
          <w:snapToGrid w:val="0"/>
          <w:sz w:val="22"/>
        </w:rPr>
        <w:t>R</w:t>
      </w:r>
      <w:r w:rsidRPr="00215CA0">
        <w:rPr>
          <w:i/>
          <w:iCs/>
          <w:snapToGrid w:val="0"/>
          <w:sz w:val="22"/>
        </w:rPr>
        <w:t>eciprocity</w:t>
      </w:r>
      <w:r w:rsidRPr="00215CA0">
        <w:rPr>
          <w:snapToGrid w:val="0"/>
          <w:sz w:val="22"/>
        </w:rPr>
        <w:t xml:space="preserve">. </w:t>
      </w:r>
      <w:r w:rsidRPr="00215CA0" w:rsidR="008041CD">
        <w:rPr>
          <w:snapToGrid w:val="0"/>
          <w:sz w:val="22"/>
        </w:rPr>
        <w:t xml:space="preserve"> </w:t>
      </w:r>
      <w:r w:rsidRPr="00215CA0" w:rsidR="00DB07A9">
        <w:rPr>
          <w:snapToGrid w:val="0"/>
          <w:sz w:val="22"/>
        </w:rPr>
        <w:t xml:space="preserve">Since the Commission adopted its market-access framework nearly 30 years ago, </w:t>
      </w:r>
      <w:r w:rsidRPr="00215CA0" w:rsidR="005C288E">
        <w:rPr>
          <w:snapToGrid w:val="0"/>
          <w:sz w:val="22"/>
        </w:rPr>
        <w:t>t</w:t>
      </w:r>
      <w:r w:rsidRPr="00215CA0" w:rsidR="008041CD">
        <w:rPr>
          <w:snapToGrid w:val="0"/>
          <w:sz w:val="22"/>
        </w:rPr>
        <w:t>he international regulatory landscape</w:t>
      </w:r>
      <w:r w:rsidRPr="00215CA0" w:rsidR="00413917">
        <w:rPr>
          <w:snapToGrid w:val="0"/>
          <w:sz w:val="22"/>
        </w:rPr>
        <w:t xml:space="preserve"> </w:t>
      </w:r>
      <w:r w:rsidRPr="00215CA0" w:rsidR="009C144F">
        <w:rPr>
          <w:snapToGrid w:val="0"/>
          <w:sz w:val="22"/>
        </w:rPr>
        <w:t>has changed</w:t>
      </w:r>
      <w:r w:rsidRPr="00215CA0" w:rsidR="008A6507">
        <w:rPr>
          <w:snapToGrid w:val="0"/>
          <w:sz w:val="22"/>
        </w:rPr>
        <w:t>.</w:t>
      </w:r>
      <w:r>
        <w:rPr>
          <w:rStyle w:val="FootnoteReference"/>
          <w:snapToGrid w:val="0"/>
          <w:sz w:val="22"/>
        </w:rPr>
        <w:footnoteReference w:id="13"/>
      </w:r>
      <w:r w:rsidRPr="00215CA0">
        <w:rPr>
          <w:snapToGrid w:val="0"/>
          <w:sz w:val="22"/>
        </w:rPr>
        <w:t xml:space="preserve"> </w:t>
      </w:r>
      <w:r w:rsidRPr="00215CA0" w:rsidR="00E7350F">
        <w:rPr>
          <w:snapToGrid w:val="0"/>
          <w:sz w:val="22"/>
        </w:rPr>
        <w:t xml:space="preserve"> </w:t>
      </w:r>
      <w:r w:rsidRPr="00215CA0" w:rsidR="00413917">
        <w:rPr>
          <w:snapToGrid w:val="0"/>
          <w:sz w:val="22"/>
        </w:rPr>
        <w:t>Even</w:t>
      </w:r>
      <w:r w:rsidRPr="00215CA0" w:rsidR="00F866E0">
        <w:rPr>
          <w:snapToGrid w:val="0"/>
          <w:sz w:val="22"/>
        </w:rPr>
        <w:t xml:space="preserve"> </w:t>
      </w:r>
      <w:r w:rsidR="005F4DE8">
        <w:rPr>
          <w:snapToGrid w:val="0"/>
          <w:sz w:val="22"/>
        </w:rPr>
        <w:t>as</w:t>
      </w:r>
      <w:r w:rsidRPr="00215CA0" w:rsidR="00F866E0">
        <w:rPr>
          <w:snapToGrid w:val="0"/>
          <w:sz w:val="22"/>
        </w:rPr>
        <w:t xml:space="preserve"> </w:t>
      </w:r>
      <w:r w:rsidR="005F4DE8">
        <w:rPr>
          <w:snapToGrid w:val="0"/>
          <w:sz w:val="22"/>
        </w:rPr>
        <w:t xml:space="preserve">the </w:t>
      </w:r>
      <w:r w:rsidRPr="00215CA0" w:rsidR="00F866E0">
        <w:rPr>
          <w:snapToGrid w:val="0"/>
          <w:sz w:val="22"/>
        </w:rPr>
        <w:t xml:space="preserve">U.S. </w:t>
      </w:r>
      <w:r w:rsidRPr="00215CA0" w:rsidR="00B35E4E">
        <w:rPr>
          <w:snapToGrid w:val="0"/>
          <w:sz w:val="22"/>
        </w:rPr>
        <w:t xml:space="preserve">continued to </w:t>
      </w:r>
      <w:r w:rsidRPr="00215CA0" w:rsidR="00F866E0">
        <w:rPr>
          <w:snapToGrid w:val="0"/>
          <w:sz w:val="22"/>
        </w:rPr>
        <w:t xml:space="preserve">provide market access to foreign satellite operators, </w:t>
      </w:r>
      <w:r w:rsidRPr="00215CA0" w:rsidR="009C144F">
        <w:rPr>
          <w:snapToGrid w:val="0"/>
          <w:sz w:val="22"/>
        </w:rPr>
        <w:t>longstanding</w:t>
      </w:r>
      <w:r w:rsidRPr="00215CA0" w:rsidR="00F866E0">
        <w:rPr>
          <w:snapToGrid w:val="0"/>
          <w:sz w:val="22"/>
        </w:rPr>
        <w:t xml:space="preserve"> </w:t>
      </w:r>
      <w:r w:rsidRPr="00215CA0" w:rsidR="00E7350F">
        <w:rPr>
          <w:snapToGrid w:val="0"/>
          <w:sz w:val="22"/>
        </w:rPr>
        <w:t xml:space="preserve">competitive restrictions </w:t>
      </w:r>
      <w:r w:rsidRPr="00215CA0" w:rsidR="004F11E2">
        <w:rPr>
          <w:snapToGrid w:val="0"/>
          <w:sz w:val="22"/>
        </w:rPr>
        <w:t>by other countries</w:t>
      </w:r>
      <w:r w:rsidR="005F4DE8">
        <w:rPr>
          <w:snapToGrid w:val="0"/>
          <w:sz w:val="22"/>
        </w:rPr>
        <w:t xml:space="preserve"> have</w:t>
      </w:r>
      <w:r w:rsidRPr="00215CA0" w:rsidR="004F11E2">
        <w:rPr>
          <w:snapToGrid w:val="0"/>
          <w:sz w:val="22"/>
        </w:rPr>
        <w:t xml:space="preserve"> nevertheless </w:t>
      </w:r>
      <w:r w:rsidRPr="00215CA0" w:rsidR="00FF79E0">
        <w:rPr>
          <w:snapToGrid w:val="0"/>
          <w:sz w:val="22"/>
        </w:rPr>
        <w:t>persist</w:t>
      </w:r>
      <w:r w:rsidRPr="00215CA0" w:rsidR="004F11E2">
        <w:rPr>
          <w:snapToGrid w:val="0"/>
          <w:sz w:val="22"/>
        </w:rPr>
        <w:t>ed</w:t>
      </w:r>
      <w:r w:rsidRPr="00215CA0" w:rsidR="00022EC8">
        <w:rPr>
          <w:snapToGrid w:val="0"/>
          <w:sz w:val="22"/>
        </w:rPr>
        <w:t xml:space="preserve">.  And </w:t>
      </w:r>
      <w:r w:rsidRPr="00215CA0" w:rsidR="004F11E2">
        <w:rPr>
          <w:snapToGrid w:val="0"/>
          <w:sz w:val="22"/>
        </w:rPr>
        <w:t xml:space="preserve">more recently, notable </w:t>
      </w:r>
      <w:r w:rsidRPr="00215CA0" w:rsidR="005A0EEB">
        <w:rPr>
          <w:snapToGrid w:val="0"/>
          <w:sz w:val="22"/>
        </w:rPr>
        <w:t xml:space="preserve">new </w:t>
      </w:r>
      <w:r w:rsidR="00B62FB3">
        <w:rPr>
          <w:snapToGrid w:val="0"/>
          <w:sz w:val="22"/>
        </w:rPr>
        <w:t>barriers abroad</w:t>
      </w:r>
      <w:r w:rsidRPr="00215CA0" w:rsidR="00022EC8">
        <w:rPr>
          <w:snapToGrid w:val="0"/>
          <w:sz w:val="22"/>
        </w:rPr>
        <w:t xml:space="preserve"> have emerged against U.S. companies</w:t>
      </w:r>
      <w:r w:rsidRPr="00215CA0" w:rsidR="00E7350F">
        <w:rPr>
          <w:snapToGrid w:val="0"/>
          <w:sz w:val="22"/>
        </w:rPr>
        <w:t>.</w:t>
      </w:r>
    </w:p>
    <w:p w:rsidR="00AD48F9" w:rsidP="00AD48F9" w14:paraId="75D2FCD1" w14:textId="77777777">
      <w:pPr>
        <w:pStyle w:val="ParaNum"/>
        <w:numPr>
          <w:ilvl w:val="0"/>
          <w:numId w:val="0"/>
        </w:numPr>
        <w:spacing w:after="0"/>
        <w:ind w:firstLine="720"/>
        <w:rPr>
          <w:snapToGrid w:val="0"/>
          <w:sz w:val="22"/>
        </w:rPr>
      </w:pPr>
    </w:p>
    <w:p w:rsidR="005A0EEB" w:rsidRPr="00215CA0" w:rsidP="00AD48F9" w14:paraId="34E504C1" w14:textId="3E94E10C">
      <w:pPr>
        <w:pStyle w:val="ParaNum"/>
        <w:numPr>
          <w:ilvl w:val="0"/>
          <w:numId w:val="0"/>
        </w:numPr>
        <w:spacing w:after="0"/>
        <w:ind w:firstLine="720"/>
        <w:rPr>
          <w:snapToGrid w:val="0"/>
          <w:sz w:val="22"/>
        </w:rPr>
      </w:pPr>
      <w:r w:rsidRPr="00215CA0">
        <w:rPr>
          <w:snapToGrid w:val="0"/>
          <w:sz w:val="22"/>
        </w:rPr>
        <w:t xml:space="preserve">In the European Union (EU), </w:t>
      </w:r>
      <w:r w:rsidRPr="00215CA0" w:rsidR="00EC55BE">
        <w:rPr>
          <w:sz w:val="22"/>
        </w:rPr>
        <w:t>the</w:t>
      </w:r>
      <w:r w:rsidRPr="00215CA0">
        <w:rPr>
          <w:snapToGrid w:val="0"/>
          <w:sz w:val="22"/>
        </w:rPr>
        <w:t xml:space="preserve"> draft EU Space </w:t>
      </w:r>
      <w:r w:rsidRPr="00215CA0" w:rsidR="00EB23AB">
        <w:rPr>
          <w:sz w:val="22"/>
        </w:rPr>
        <w:t>Act</w:t>
      </w:r>
      <w:r w:rsidRPr="00215CA0">
        <w:rPr>
          <w:sz w:val="22"/>
        </w:rPr>
        <w:t xml:space="preserve"> </w:t>
      </w:r>
      <w:r w:rsidRPr="00215CA0">
        <w:rPr>
          <w:snapToGrid w:val="0"/>
          <w:sz w:val="22"/>
        </w:rPr>
        <w:t xml:space="preserve">includes </w:t>
      </w:r>
      <w:r w:rsidRPr="00215CA0" w:rsidR="0035186A">
        <w:rPr>
          <w:sz w:val="22"/>
        </w:rPr>
        <w:t>targeted</w:t>
      </w:r>
      <w:r w:rsidRPr="00215CA0" w:rsidR="00D17621">
        <w:rPr>
          <w:sz w:val="22"/>
        </w:rPr>
        <w:t xml:space="preserve"> supplemental </w:t>
      </w:r>
      <w:r w:rsidRPr="00215CA0">
        <w:rPr>
          <w:snapToGrid w:val="0"/>
          <w:sz w:val="22"/>
        </w:rPr>
        <w:t>requirements for non-EU entities to gain access to the EU market.</w:t>
      </w:r>
      <w:r>
        <w:rPr>
          <w:rStyle w:val="FootnoteReference"/>
          <w:snapToGrid w:val="0"/>
          <w:sz w:val="22"/>
        </w:rPr>
        <w:footnoteReference w:id="14"/>
      </w:r>
      <w:r w:rsidRPr="00215CA0">
        <w:rPr>
          <w:snapToGrid w:val="0"/>
          <w:sz w:val="22"/>
        </w:rPr>
        <w:t xml:space="preserve">  </w:t>
      </w:r>
      <w:r w:rsidRPr="00215CA0" w:rsidR="0043341A">
        <w:rPr>
          <w:snapToGrid w:val="0"/>
          <w:sz w:val="22"/>
        </w:rPr>
        <w:t xml:space="preserve">The United States submitted comments on the </w:t>
      </w:r>
      <w:r w:rsidRPr="00215CA0" w:rsidR="0043341A">
        <w:rPr>
          <w:snapToGrid w:val="0"/>
          <w:sz w:val="22"/>
        </w:rPr>
        <w:t>original draft law expressing “deep concern regarding measures in the proposed Act that would impose unacceptable regulatory burdens on U.S. providers of space services to European customers.”</w:t>
      </w:r>
      <w:r>
        <w:rPr>
          <w:rStyle w:val="FootnoteReference"/>
          <w:snapToGrid w:val="0"/>
          <w:sz w:val="22"/>
        </w:rPr>
        <w:footnoteReference w:id="15"/>
      </w:r>
      <w:r w:rsidRPr="00215CA0" w:rsidR="0043341A">
        <w:rPr>
          <w:snapToGrid w:val="0"/>
          <w:sz w:val="22"/>
        </w:rPr>
        <w:t xml:space="preserve">  The United States noted the potential for non-tariff barriers to “introduce challenges in the areas of space weather, remote sensing, space exploration, spaceflight safety, space debris mitigation and remediation, communications, as well as cooperations with the European Space Agency.”</w:t>
      </w:r>
      <w:r>
        <w:rPr>
          <w:rStyle w:val="FootnoteReference"/>
          <w:snapToGrid w:val="0"/>
          <w:sz w:val="22"/>
        </w:rPr>
        <w:footnoteReference w:id="16"/>
      </w:r>
      <w:r w:rsidRPr="00215CA0" w:rsidR="0043341A">
        <w:rPr>
          <w:snapToGrid w:val="0"/>
          <w:sz w:val="22"/>
        </w:rPr>
        <w:t xml:space="preserve">  </w:t>
      </w:r>
      <w:r w:rsidRPr="00215CA0">
        <w:rPr>
          <w:snapToGrid w:val="0"/>
          <w:sz w:val="22"/>
        </w:rPr>
        <w:t xml:space="preserve">Under the EU proposal, some of these requirements may be waived if the European Commission determines </w:t>
      </w:r>
      <w:r w:rsidRPr="00215CA0" w:rsidR="00D17621">
        <w:rPr>
          <w:sz w:val="22"/>
        </w:rPr>
        <w:t xml:space="preserve">that </w:t>
      </w:r>
      <w:r w:rsidRPr="00215CA0">
        <w:rPr>
          <w:snapToGrid w:val="0"/>
          <w:sz w:val="22"/>
        </w:rPr>
        <w:t>the non-EU jurisdiction’s regulatory framework is sufficiently equivalent to its own.</w:t>
      </w:r>
      <w:r>
        <w:rPr>
          <w:rStyle w:val="FootnoteReference"/>
          <w:snapToGrid w:val="0"/>
          <w:sz w:val="22"/>
        </w:rPr>
        <w:footnoteReference w:id="17"/>
      </w:r>
      <w:r w:rsidRPr="00215CA0">
        <w:rPr>
          <w:snapToGrid w:val="0"/>
          <w:sz w:val="22"/>
        </w:rPr>
        <w:t xml:space="preserve">  The United States specifically requested</w:t>
      </w:r>
      <w:r w:rsidRPr="00215CA0" w:rsidR="00C651B0">
        <w:rPr>
          <w:sz w:val="22"/>
        </w:rPr>
        <w:t xml:space="preserve"> that </w:t>
      </w:r>
      <w:r w:rsidRPr="00215CA0">
        <w:rPr>
          <w:snapToGrid w:val="0"/>
          <w:sz w:val="22"/>
        </w:rPr>
        <w:t>the EU “provide an equivalency decision with respect to the U.S. regulatory framework” which would “avoid duplicative compliance procedures for U.S. space operators and U.S. space service providers working with European counterparts.”</w:t>
      </w:r>
      <w:r>
        <w:rPr>
          <w:rStyle w:val="FootnoteReference"/>
          <w:snapToGrid w:val="0"/>
          <w:sz w:val="22"/>
        </w:rPr>
        <w:footnoteReference w:id="18"/>
      </w:r>
    </w:p>
    <w:p w:rsidR="00AD48F9" w:rsidP="00AD48F9" w14:paraId="5F8F3442" w14:textId="77777777">
      <w:pPr>
        <w:pStyle w:val="ParaNum"/>
        <w:numPr>
          <w:ilvl w:val="0"/>
          <w:numId w:val="0"/>
        </w:numPr>
        <w:spacing w:after="0"/>
        <w:ind w:firstLine="720"/>
        <w:rPr>
          <w:snapToGrid w:val="0"/>
          <w:sz w:val="22"/>
        </w:rPr>
      </w:pPr>
    </w:p>
    <w:p w:rsidR="00F7573E" w:rsidRPr="00215CA0" w:rsidP="00AD48F9" w14:paraId="521FF65C" w14:textId="708A6465">
      <w:pPr>
        <w:pStyle w:val="ParaNum"/>
        <w:numPr>
          <w:ilvl w:val="0"/>
          <w:numId w:val="0"/>
        </w:numPr>
        <w:spacing w:after="0"/>
        <w:ind w:firstLine="720"/>
        <w:rPr>
          <w:snapToGrid w:val="0"/>
          <w:sz w:val="22"/>
        </w:rPr>
      </w:pPr>
      <w:r w:rsidRPr="00215CA0">
        <w:rPr>
          <w:snapToGrid w:val="0"/>
          <w:sz w:val="22"/>
        </w:rPr>
        <w:t xml:space="preserve">In addition, in January 2026 the EU released a draft Digital Networks Act (DNA) which </w:t>
      </w:r>
      <w:r w:rsidRPr="00215CA0" w:rsidR="001230D4">
        <w:rPr>
          <w:snapToGrid w:val="0"/>
          <w:sz w:val="22"/>
        </w:rPr>
        <w:t xml:space="preserve">is meant to </w:t>
      </w:r>
      <w:r w:rsidRPr="00215CA0" w:rsidR="00992D55">
        <w:rPr>
          <w:snapToGrid w:val="0"/>
          <w:sz w:val="22"/>
        </w:rPr>
        <w:t xml:space="preserve">work with </w:t>
      </w:r>
      <w:r w:rsidRPr="00215CA0">
        <w:rPr>
          <w:snapToGrid w:val="0"/>
          <w:sz w:val="22"/>
        </w:rPr>
        <w:t>measures proposed under the draft EU Space Act.</w:t>
      </w:r>
      <w:r>
        <w:rPr>
          <w:rStyle w:val="FootnoteReference"/>
          <w:snapToGrid w:val="0"/>
          <w:sz w:val="22"/>
        </w:rPr>
        <w:footnoteReference w:id="19"/>
      </w:r>
      <w:r w:rsidRPr="00215CA0">
        <w:rPr>
          <w:snapToGrid w:val="0"/>
          <w:sz w:val="22"/>
        </w:rPr>
        <w:t xml:space="preserve">  The draft EU DNA pursues a harmonized and centralized EU framework for authorization</w:t>
      </w:r>
      <w:r w:rsidRPr="00215CA0" w:rsidR="00C32ED3">
        <w:rPr>
          <w:snapToGrid w:val="0"/>
          <w:sz w:val="22"/>
        </w:rPr>
        <w:t>s</w:t>
      </w:r>
      <w:r w:rsidRPr="00215CA0">
        <w:rPr>
          <w:snapToGrid w:val="0"/>
          <w:sz w:val="22"/>
        </w:rPr>
        <w:t xml:space="preserve"> </w:t>
      </w:r>
      <w:r w:rsidRPr="00215CA0" w:rsidR="003050B7">
        <w:rPr>
          <w:snapToGrid w:val="0"/>
          <w:sz w:val="22"/>
        </w:rPr>
        <w:t xml:space="preserve">to </w:t>
      </w:r>
      <w:r w:rsidRPr="00215CA0">
        <w:rPr>
          <w:snapToGrid w:val="0"/>
          <w:sz w:val="22"/>
        </w:rPr>
        <w:t>use satellite spectrum that would grant EU-level rights of use under common conditions,</w:t>
      </w:r>
      <w:r>
        <w:rPr>
          <w:rStyle w:val="FootnoteReference"/>
          <w:snapToGrid w:val="0"/>
          <w:sz w:val="22"/>
        </w:rPr>
        <w:footnoteReference w:id="20"/>
      </w:r>
      <w:r w:rsidRPr="00215CA0">
        <w:rPr>
          <w:snapToGrid w:val="0"/>
          <w:sz w:val="22"/>
        </w:rPr>
        <w:t xml:space="preserve"> which may replace some elements of authorization by individual EU member-states with which U.S. satellite operators have become accustomed.</w:t>
      </w:r>
      <w:r w:rsidRPr="00215CA0">
        <w:rPr>
          <w:snapToGrid w:val="0"/>
          <w:sz w:val="22"/>
        </w:rPr>
        <w:t xml:space="preserve">  It is not clear the EU DNA would require whole-scale re-licensing of U.S. systems in Europe.</w:t>
      </w:r>
    </w:p>
    <w:p w:rsidR="00AD48F9" w:rsidP="00AD48F9" w14:paraId="42FAE77B" w14:textId="77777777">
      <w:pPr>
        <w:pStyle w:val="ParaNum"/>
        <w:numPr>
          <w:ilvl w:val="0"/>
          <w:numId w:val="0"/>
        </w:numPr>
        <w:spacing w:after="0"/>
        <w:ind w:firstLine="720"/>
        <w:rPr>
          <w:snapToGrid w:val="0"/>
          <w:sz w:val="22"/>
        </w:rPr>
      </w:pPr>
    </w:p>
    <w:p w:rsidR="00226173" w:rsidRPr="00215CA0" w:rsidP="00AD48F9" w14:paraId="6DA091FF" w14:textId="083A6B22">
      <w:pPr>
        <w:pStyle w:val="ParaNum"/>
        <w:numPr>
          <w:ilvl w:val="0"/>
          <w:numId w:val="0"/>
        </w:numPr>
        <w:spacing w:after="0"/>
        <w:ind w:firstLine="720"/>
        <w:rPr>
          <w:snapToGrid w:val="0"/>
          <w:sz w:val="22"/>
        </w:rPr>
      </w:pPr>
      <w:r w:rsidRPr="00215CA0">
        <w:rPr>
          <w:snapToGrid w:val="0"/>
          <w:sz w:val="22"/>
        </w:rPr>
        <w:t>O</w:t>
      </w:r>
      <w:r w:rsidRPr="00215CA0" w:rsidR="086DA7C8">
        <w:rPr>
          <w:snapToGrid w:val="0"/>
          <w:sz w:val="22"/>
        </w:rPr>
        <w:t xml:space="preserve">ther barriers </w:t>
      </w:r>
      <w:r w:rsidRPr="00215CA0" w:rsidR="7053C169">
        <w:rPr>
          <w:snapToGrid w:val="0"/>
          <w:sz w:val="22"/>
        </w:rPr>
        <w:t>exist</w:t>
      </w:r>
      <w:r w:rsidRPr="00215CA0" w:rsidR="00097617">
        <w:rPr>
          <w:snapToGrid w:val="0"/>
          <w:sz w:val="22"/>
        </w:rPr>
        <w:t xml:space="preserve"> across </w:t>
      </w:r>
      <w:r w:rsidRPr="00215CA0" w:rsidR="002864C5">
        <w:rPr>
          <w:snapToGrid w:val="0"/>
          <w:sz w:val="22"/>
        </w:rPr>
        <w:t>the globe</w:t>
      </w:r>
      <w:r w:rsidRPr="00215CA0" w:rsidR="086DA7C8">
        <w:rPr>
          <w:snapToGrid w:val="0"/>
          <w:sz w:val="22"/>
        </w:rPr>
        <w:t xml:space="preserve">.  </w:t>
      </w:r>
      <w:r w:rsidRPr="00215CA0" w:rsidR="25B79424">
        <w:rPr>
          <w:snapToGrid w:val="0"/>
          <w:sz w:val="22"/>
        </w:rPr>
        <w:t>Satellite television markets</w:t>
      </w:r>
      <w:r w:rsidRPr="00215CA0" w:rsidR="71066F2B">
        <w:rPr>
          <w:snapToGrid w:val="0"/>
          <w:sz w:val="22"/>
        </w:rPr>
        <w:t xml:space="preserve">, for example, </w:t>
      </w:r>
      <w:r w:rsidRPr="00215CA0" w:rsidR="25B79424">
        <w:rPr>
          <w:snapToGrid w:val="0"/>
          <w:sz w:val="22"/>
        </w:rPr>
        <w:t>appear to have remained less competitive</w:t>
      </w:r>
      <w:r w:rsidRPr="00215CA0" w:rsidR="71066F2B">
        <w:rPr>
          <w:snapToGrid w:val="0"/>
          <w:sz w:val="22"/>
        </w:rPr>
        <w:t xml:space="preserve"> than markets for other satellite services</w:t>
      </w:r>
      <w:r w:rsidRPr="00215CA0" w:rsidR="25B79424">
        <w:rPr>
          <w:snapToGrid w:val="0"/>
          <w:sz w:val="22"/>
        </w:rPr>
        <w:t>, a concern that initially prompted the United States to take an exemption for DTH and DBS</w:t>
      </w:r>
      <w:r w:rsidRPr="00215CA0" w:rsidR="0017528F">
        <w:rPr>
          <w:snapToGrid w:val="0"/>
          <w:sz w:val="22"/>
        </w:rPr>
        <w:t xml:space="preserve"> services</w:t>
      </w:r>
      <w:r w:rsidRPr="00215CA0" w:rsidR="25B79424">
        <w:rPr>
          <w:snapToGrid w:val="0"/>
          <w:sz w:val="22"/>
        </w:rPr>
        <w:t>.</w:t>
      </w:r>
      <w:r>
        <w:rPr>
          <w:rStyle w:val="FootnoteReference"/>
          <w:snapToGrid w:val="0"/>
          <w:sz w:val="22"/>
        </w:rPr>
        <w:footnoteReference w:id="21"/>
      </w:r>
      <w:r w:rsidRPr="00215CA0" w:rsidR="25B79424">
        <w:rPr>
          <w:snapToGrid w:val="0"/>
          <w:sz w:val="22"/>
        </w:rPr>
        <w:t xml:space="preserve"> </w:t>
      </w:r>
      <w:r w:rsidRPr="00215CA0" w:rsidR="003A666C">
        <w:rPr>
          <w:snapToGrid w:val="0"/>
          <w:sz w:val="22"/>
        </w:rPr>
        <w:t xml:space="preserve"> </w:t>
      </w:r>
      <w:r w:rsidRPr="00215CA0" w:rsidR="00500118">
        <w:rPr>
          <w:snapToGrid w:val="0"/>
          <w:sz w:val="22"/>
        </w:rPr>
        <w:t>For example,</w:t>
      </w:r>
      <w:r w:rsidRPr="00215CA0" w:rsidR="25B79424">
        <w:rPr>
          <w:snapToGrid w:val="0"/>
          <w:sz w:val="22"/>
        </w:rPr>
        <w:t xml:space="preserve"> the Canadian government require</w:t>
      </w:r>
      <w:r w:rsidRPr="00215CA0" w:rsidR="00757E20">
        <w:rPr>
          <w:snapToGrid w:val="0"/>
          <w:sz w:val="22"/>
        </w:rPr>
        <w:t xml:space="preserve">s </w:t>
      </w:r>
      <w:r w:rsidRPr="00215CA0" w:rsidR="25B79424">
        <w:rPr>
          <w:snapToGrid w:val="0"/>
          <w:sz w:val="22"/>
        </w:rPr>
        <w:t>that more than 50</w:t>
      </w:r>
      <w:r w:rsidRPr="00215CA0" w:rsidR="16726F2F">
        <w:rPr>
          <w:sz w:val="22"/>
        </w:rPr>
        <w:t>%</w:t>
      </w:r>
      <w:r w:rsidRPr="00215CA0" w:rsidR="25B79424">
        <w:rPr>
          <w:snapToGrid w:val="0"/>
          <w:sz w:val="22"/>
        </w:rPr>
        <w:t xml:space="preserve"> of the satellite television channels received by subscribers must be Canadian channels and that non-Canadian channels be pre-approved.</w:t>
      </w:r>
      <w:r>
        <w:rPr>
          <w:rStyle w:val="FootnoteReference"/>
          <w:snapToGrid w:val="0"/>
          <w:sz w:val="22"/>
        </w:rPr>
        <w:footnoteReference w:id="22"/>
      </w:r>
      <w:r w:rsidRPr="00215CA0" w:rsidR="25B79424">
        <w:rPr>
          <w:snapToGrid w:val="0"/>
          <w:sz w:val="22"/>
        </w:rPr>
        <w:t xml:space="preserve">  </w:t>
      </w:r>
      <w:r w:rsidRPr="00215CA0" w:rsidR="1841B315">
        <w:rPr>
          <w:snapToGrid w:val="0"/>
          <w:sz w:val="22"/>
        </w:rPr>
        <w:t>In India, for example, the Ministry of Information and Broadcasting maintains a preference for Indian satellites to provide capacity for DTH television services.</w:t>
      </w:r>
      <w:r>
        <w:rPr>
          <w:rStyle w:val="FootnoteReference"/>
          <w:snapToGrid w:val="0"/>
          <w:sz w:val="22"/>
        </w:rPr>
        <w:footnoteReference w:id="23"/>
      </w:r>
      <w:r w:rsidRPr="00215CA0" w:rsidR="1841B315">
        <w:rPr>
          <w:snapToGrid w:val="0"/>
          <w:sz w:val="22"/>
        </w:rPr>
        <w:t xml:space="preserve"> </w:t>
      </w:r>
      <w:r w:rsidRPr="00215CA0" w:rsidR="2AF1DD56">
        <w:rPr>
          <w:snapToGrid w:val="0"/>
          <w:sz w:val="22"/>
        </w:rPr>
        <w:t xml:space="preserve"> </w:t>
      </w:r>
      <w:r w:rsidRPr="00215CA0" w:rsidR="00DA3D9E">
        <w:rPr>
          <w:snapToGrid w:val="0"/>
          <w:sz w:val="22"/>
        </w:rPr>
        <w:t>I</w:t>
      </w:r>
      <w:r w:rsidRPr="00215CA0" w:rsidR="2AF1DD56">
        <w:rPr>
          <w:snapToGrid w:val="0"/>
          <w:sz w:val="22"/>
        </w:rPr>
        <w:t xml:space="preserve">n the Republic of Korea, satellite retransmission channels are limited to no more </w:t>
      </w:r>
      <w:r w:rsidRPr="00215CA0" w:rsidR="2AF1DD56">
        <w:rPr>
          <w:snapToGrid w:val="0"/>
          <w:sz w:val="22"/>
        </w:rPr>
        <w:t>than 20% of the total number of operating channels.</w:t>
      </w:r>
      <w:r>
        <w:rPr>
          <w:rStyle w:val="FootnoteReference"/>
          <w:snapToGrid w:val="0"/>
          <w:sz w:val="22"/>
        </w:rPr>
        <w:footnoteReference w:id="24"/>
      </w:r>
      <w:r w:rsidRPr="00215CA0" w:rsidR="1841B315">
        <w:rPr>
          <w:snapToGrid w:val="0"/>
          <w:sz w:val="22"/>
        </w:rPr>
        <w:t xml:space="preserve"> </w:t>
      </w:r>
      <w:r w:rsidRPr="00215CA0" w:rsidR="00444E05">
        <w:rPr>
          <w:snapToGrid w:val="0"/>
          <w:sz w:val="22"/>
        </w:rPr>
        <w:t xml:space="preserve"> </w:t>
      </w:r>
      <w:r w:rsidRPr="00215CA0">
        <w:rPr>
          <w:sz w:val="22"/>
        </w:rPr>
        <w:t>Yet other countries require satellite operators to partner with local incumbents or meet domestic ownership criteria.</w:t>
      </w:r>
      <w:r>
        <w:rPr>
          <w:rStyle w:val="FootnoteReference"/>
          <w:sz w:val="22"/>
        </w:rPr>
        <w:footnoteReference w:id="25"/>
      </w:r>
    </w:p>
    <w:p w:rsidR="00AD48F9" w:rsidP="00AD48F9" w14:paraId="40A8EBF4" w14:textId="77777777">
      <w:pPr>
        <w:pStyle w:val="ParaNum"/>
        <w:numPr>
          <w:ilvl w:val="0"/>
          <w:numId w:val="0"/>
        </w:numPr>
        <w:spacing w:after="0"/>
        <w:ind w:firstLine="720"/>
        <w:rPr>
          <w:snapToGrid w:val="0"/>
          <w:sz w:val="22"/>
        </w:rPr>
      </w:pPr>
    </w:p>
    <w:p w:rsidR="00787608" w:rsidRPr="00215CA0" w:rsidP="00AD48F9" w14:paraId="34B3E785" w14:textId="408EC85A">
      <w:pPr>
        <w:pStyle w:val="ParaNum"/>
        <w:numPr>
          <w:ilvl w:val="0"/>
          <w:numId w:val="0"/>
        </w:numPr>
        <w:spacing w:after="0"/>
        <w:ind w:firstLine="720"/>
        <w:rPr>
          <w:sz w:val="22"/>
        </w:rPr>
      </w:pPr>
      <w:r w:rsidRPr="00215CA0">
        <w:rPr>
          <w:snapToGrid w:val="0"/>
          <w:sz w:val="22"/>
        </w:rPr>
        <w:t>National funding restrictions may also disproportionally affect U.S. satellite operators.  In the United Kingdom, for example, the UK Space Agency allocates a significant portion of its budget—approximately 75%, or $603 million, in 2023-2024—to European Space Agency (ESA) procurements, while U.S. companies are generally prohibited from competing on ESA contracts because the United States is not an ESA member state.</w:t>
      </w:r>
      <w:r>
        <w:rPr>
          <w:rStyle w:val="FootnoteReference"/>
          <w:snapToGrid w:val="0"/>
          <w:sz w:val="22"/>
        </w:rPr>
        <w:footnoteReference w:id="26"/>
      </w:r>
      <w:r w:rsidRPr="00215CA0">
        <w:rPr>
          <w:snapToGrid w:val="0"/>
          <w:sz w:val="22"/>
        </w:rPr>
        <w:t xml:space="preserve">  </w:t>
      </w:r>
      <w:r w:rsidRPr="00215CA0" w:rsidR="56C48F48">
        <w:rPr>
          <w:snapToGrid w:val="0"/>
          <w:sz w:val="22"/>
        </w:rPr>
        <w:t xml:space="preserve">Fee discrepancies </w:t>
      </w:r>
      <w:r w:rsidRPr="00215CA0">
        <w:rPr>
          <w:snapToGrid w:val="0"/>
          <w:sz w:val="22"/>
        </w:rPr>
        <w:t>disadvantaging</w:t>
      </w:r>
      <w:r w:rsidRPr="00215CA0" w:rsidR="56C48F48">
        <w:rPr>
          <w:snapToGrid w:val="0"/>
          <w:sz w:val="22"/>
        </w:rPr>
        <w:t xml:space="preserve"> U.</w:t>
      </w:r>
      <w:r w:rsidRPr="00215CA0">
        <w:rPr>
          <w:snapToGrid w:val="0"/>
          <w:sz w:val="22"/>
        </w:rPr>
        <w:t>S</w:t>
      </w:r>
      <w:r w:rsidRPr="00215CA0" w:rsidR="56C48F48">
        <w:rPr>
          <w:snapToGrid w:val="0"/>
          <w:sz w:val="22"/>
        </w:rPr>
        <w:t xml:space="preserve">. satellite operators may also arise.  In Brazil, for example, foreign operators are required to pay higher annual fees for landing rights than Brazilian </w:t>
      </w:r>
      <w:r w:rsidRPr="00215CA0" w:rsidR="28A2E0D4">
        <w:rPr>
          <w:sz w:val="22"/>
        </w:rPr>
        <w:t>operators</w:t>
      </w:r>
      <w:r w:rsidRPr="00215CA0" w:rsidR="56C48F48">
        <w:rPr>
          <w:snapToGrid w:val="0"/>
          <w:sz w:val="22"/>
        </w:rPr>
        <w:t>.</w:t>
      </w:r>
      <w:r>
        <w:rPr>
          <w:rStyle w:val="FootnoteReference"/>
          <w:snapToGrid w:val="0"/>
          <w:sz w:val="22"/>
        </w:rPr>
        <w:footnoteReference w:id="27"/>
      </w:r>
      <w:r w:rsidRPr="00215CA0" w:rsidR="56C48F48">
        <w:rPr>
          <w:snapToGrid w:val="0"/>
          <w:sz w:val="22"/>
        </w:rPr>
        <w:t xml:space="preserve">  </w:t>
      </w:r>
      <w:r w:rsidRPr="00215CA0" w:rsidR="5F122E9B">
        <w:rPr>
          <w:snapToGrid w:val="0"/>
          <w:sz w:val="22"/>
        </w:rPr>
        <w:t xml:space="preserve">And local presence requirements may disadvantage U.S.-incorporated companies. </w:t>
      </w:r>
      <w:r w:rsidRPr="00215CA0" w:rsidR="2DC2EAFC">
        <w:rPr>
          <w:snapToGrid w:val="0"/>
          <w:sz w:val="22"/>
        </w:rPr>
        <w:t xml:space="preserve"> </w:t>
      </w:r>
      <w:r w:rsidRPr="00215CA0" w:rsidR="5F122E9B">
        <w:rPr>
          <w:snapToGrid w:val="0"/>
          <w:sz w:val="22"/>
        </w:rPr>
        <w:t>In states of the Gulf Cooperation Council, telecommunications licenses are typically limited to locally registered entities</w:t>
      </w:r>
      <w:r w:rsidRPr="00215CA0" w:rsidR="48C55B49">
        <w:rPr>
          <w:snapToGrid w:val="0"/>
          <w:sz w:val="22"/>
        </w:rPr>
        <w:t>,</w:t>
      </w:r>
      <w:r w:rsidRPr="00215CA0" w:rsidR="5F122E9B">
        <w:rPr>
          <w:snapToGrid w:val="0"/>
          <w:sz w:val="22"/>
        </w:rPr>
        <w:t xml:space="preserve"> and broader foreign‑equity limits and government contracting requirements constrain foreign satellite service entry.</w:t>
      </w:r>
      <w:r>
        <w:rPr>
          <w:rStyle w:val="FootnoteReference"/>
          <w:snapToGrid w:val="0"/>
          <w:sz w:val="22"/>
        </w:rPr>
        <w:footnoteReference w:id="28"/>
      </w:r>
    </w:p>
    <w:p w:rsidR="00AD48F9" w:rsidRPr="00AA0D45" w:rsidP="00AD48F9" w14:paraId="043B5E75" w14:textId="77777777">
      <w:pPr>
        <w:pStyle w:val="ParaNum"/>
        <w:numPr>
          <w:ilvl w:val="0"/>
          <w:numId w:val="0"/>
        </w:numPr>
        <w:spacing w:after="0"/>
        <w:ind w:firstLine="720"/>
        <w:rPr>
          <w:snapToGrid w:val="0"/>
          <w:sz w:val="22"/>
        </w:rPr>
      </w:pPr>
    </w:p>
    <w:p w:rsidR="00967D0C" w:rsidRPr="00215CA0" w:rsidP="00AD48F9" w14:paraId="0E370A80" w14:textId="391F9121">
      <w:pPr>
        <w:pStyle w:val="ParaNum"/>
        <w:numPr>
          <w:ilvl w:val="0"/>
          <w:numId w:val="0"/>
        </w:numPr>
        <w:spacing w:after="0"/>
        <w:ind w:firstLine="720"/>
        <w:rPr>
          <w:sz w:val="22"/>
        </w:rPr>
      </w:pPr>
      <w:r w:rsidRPr="00215CA0">
        <w:rPr>
          <w:i/>
          <w:iCs/>
          <w:snapToGrid w:val="0"/>
          <w:sz w:val="22"/>
        </w:rPr>
        <w:t xml:space="preserve">Comment </w:t>
      </w:r>
      <w:r w:rsidRPr="00215CA0" w:rsidR="52A75E22">
        <w:rPr>
          <w:i/>
          <w:iCs/>
          <w:sz w:val="22"/>
        </w:rPr>
        <w:t>S</w:t>
      </w:r>
      <w:r w:rsidRPr="00215CA0">
        <w:rPr>
          <w:i/>
          <w:iCs/>
          <w:snapToGrid w:val="0"/>
          <w:sz w:val="22"/>
        </w:rPr>
        <w:t>ought</w:t>
      </w:r>
      <w:r w:rsidRPr="00215CA0">
        <w:rPr>
          <w:snapToGrid w:val="0"/>
          <w:sz w:val="22"/>
        </w:rPr>
        <w:t>.</w:t>
      </w:r>
      <w:r w:rsidRPr="00215CA0" w:rsidR="73ACD44B">
        <w:rPr>
          <w:snapToGrid w:val="0"/>
          <w:sz w:val="22"/>
        </w:rPr>
        <w:t xml:space="preserve">  </w:t>
      </w:r>
      <w:r w:rsidRPr="00215CA0" w:rsidR="45D9399E">
        <w:rPr>
          <w:snapToGrid w:val="0"/>
          <w:sz w:val="22"/>
        </w:rPr>
        <w:t>In light of the</w:t>
      </w:r>
      <w:r w:rsidRPr="00215CA0" w:rsidR="3687D1B4">
        <w:rPr>
          <w:snapToGrid w:val="0"/>
          <w:sz w:val="22"/>
        </w:rPr>
        <w:t>se</w:t>
      </w:r>
      <w:r w:rsidRPr="00215CA0" w:rsidR="45D9399E">
        <w:rPr>
          <w:snapToGrid w:val="0"/>
          <w:sz w:val="22"/>
        </w:rPr>
        <w:t xml:space="preserve"> growing </w:t>
      </w:r>
      <w:r w:rsidRPr="00215CA0" w:rsidR="00807018">
        <w:rPr>
          <w:sz w:val="22"/>
        </w:rPr>
        <w:t>competitive and economic</w:t>
      </w:r>
      <w:r w:rsidRPr="00215CA0" w:rsidR="002339D4">
        <w:rPr>
          <w:sz w:val="22"/>
        </w:rPr>
        <w:t xml:space="preserve"> dis</w:t>
      </w:r>
      <w:r w:rsidRPr="00215CA0" w:rsidR="00C67C59">
        <w:rPr>
          <w:sz w:val="22"/>
        </w:rPr>
        <w:t>advantages</w:t>
      </w:r>
      <w:r w:rsidRPr="00215CA0" w:rsidR="001E720D">
        <w:rPr>
          <w:sz w:val="22"/>
        </w:rPr>
        <w:t xml:space="preserve">, </w:t>
      </w:r>
      <w:r w:rsidRPr="00215CA0" w:rsidR="45D9399E">
        <w:rPr>
          <w:snapToGrid w:val="0"/>
          <w:sz w:val="22"/>
        </w:rPr>
        <w:t xml:space="preserve">and </w:t>
      </w:r>
      <w:r w:rsidRPr="00215CA0" w:rsidR="5273FA0E">
        <w:rPr>
          <w:sz w:val="22"/>
        </w:rPr>
        <w:t>potential</w:t>
      </w:r>
      <w:r w:rsidRPr="00215CA0" w:rsidR="45D9399E">
        <w:rPr>
          <w:snapToGrid w:val="0"/>
          <w:sz w:val="22"/>
        </w:rPr>
        <w:t xml:space="preserve"> </w:t>
      </w:r>
      <w:r w:rsidRPr="00215CA0" w:rsidR="3687D1B4">
        <w:rPr>
          <w:snapToGrid w:val="0"/>
          <w:sz w:val="22"/>
        </w:rPr>
        <w:t>barriers to U.S. satellite operators participating in foreign markets, w</w:t>
      </w:r>
      <w:r w:rsidRPr="00215CA0" w:rsidR="370A86FE">
        <w:rPr>
          <w:snapToGrid w:val="0"/>
          <w:sz w:val="22"/>
        </w:rPr>
        <w:t xml:space="preserve">e invite comment on the current state and expected evolution of satellite market access reciprocity in foreign countries.  </w:t>
      </w:r>
      <w:r w:rsidRPr="00215CA0" w:rsidR="0857AED6">
        <w:rPr>
          <w:sz w:val="22"/>
        </w:rPr>
        <w:t>As observed above</w:t>
      </w:r>
      <w:r w:rsidRPr="00215CA0" w:rsidR="5D4909AE">
        <w:rPr>
          <w:sz w:val="22"/>
        </w:rPr>
        <w:t xml:space="preserve">, the Commission applies a presumption that the public interest is served by granting market access to </w:t>
      </w:r>
      <w:r w:rsidRPr="00215CA0" w:rsidR="425AF336">
        <w:rPr>
          <w:sz w:val="22"/>
        </w:rPr>
        <w:t xml:space="preserve">satellites licensed by </w:t>
      </w:r>
      <w:r w:rsidRPr="00215CA0" w:rsidR="6E8BEB5B">
        <w:rPr>
          <w:sz w:val="22"/>
        </w:rPr>
        <w:t>WTO members</w:t>
      </w:r>
      <w:r w:rsidRPr="00215CA0" w:rsidR="425AF336">
        <w:rPr>
          <w:sz w:val="22"/>
        </w:rPr>
        <w:t xml:space="preserve"> that are providing WTO</w:t>
      </w:r>
      <w:r w:rsidRPr="00215CA0" w:rsidR="006258EF">
        <w:rPr>
          <w:sz w:val="22"/>
        </w:rPr>
        <w:t>-</w:t>
      </w:r>
      <w:r w:rsidRPr="00215CA0" w:rsidR="425AF336">
        <w:rPr>
          <w:sz w:val="22"/>
        </w:rPr>
        <w:t>covered services.  This presumption was based on</w:t>
      </w:r>
      <w:r w:rsidRPr="00215CA0" w:rsidR="61DA9FC0">
        <w:rPr>
          <w:sz w:val="22"/>
        </w:rPr>
        <w:t xml:space="preserve"> an</w:t>
      </w:r>
      <w:r w:rsidRPr="00215CA0" w:rsidR="425AF336">
        <w:rPr>
          <w:sz w:val="22"/>
        </w:rPr>
        <w:t xml:space="preserve"> assumption that commitments made under the WTO</w:t>
      </w:r>
      <w:r w:rsidRPr="00215CA0" w:rsidR="6748E733">
        <w:rPr>
          <w:sz w:val="22"/>
        </w:rPr>
        <w:t xml:space="preserve"> are sufficient to eliminate </w:t>
      </w:r>
      <w:r w:rsidRPr="00215CA0" w:rsidR="6748E733">
        <w:rPr>
          <w:i/>
          <w:iCs/>
          <w:sz w:val="22"/>
        </w:rPr>
        <w:t>de jure</w:t>
      </w:r>
      <w:r w:rsidRPr="00215CA0" w:rsidR="6748E733">
        <w:rPr>
          <w:sz w:val="22"/>
        </w:rPr>
        <w:t xml:space="preserve"> or </w:t>
      </w:r>
      <w:r w:rsidRPr="00215CA0" w:rsidR="6748E733">
        <w:rPr>
          <w:i/>
          <w:iCs/>
          <w:sz w:val="22"/>
        </w:rPr>
        <w:t>de facto</w:t>
      </w:r>
      <w:r w:rsidRPr="00215CA0" w:rsidR="6748E733">
        <w:rPr>
          <w:sz w:val="22"/>
        </w:rPr>
        <w:t xml:space="preserve"> barriers to entry by U.S-licensed satellites in member countries</w:t>
      </w:r>
      <w:r w:rsidRPr="00215CA0" w:rsidR="7E090079">
        <w:rPr>
          <w:sz w:val="22"/>
        </w:rPr>
        <w:t xml:space="preserve"> for those covered services</w:t>
      </w:r>
      <w:r w:rsidRPr="00215CA0" w:rsidR="6748E733">
        <w:rPr>
          <w:sz w:val="22"/>
        </w:rPr>
        <w:t>.  We seek comment on whether that a</w:t>
      </w:r>
      <w:r w:rsidRPr="00215CA0" w:rsidR="64977E25">
        <w:rPr>
          <w:sz w:val="22"/>
        </w:rPr>
        <w:t>ssumption is still accurate.</w:t>
      </w:r>
      <w:r w:rsidRPr="00215CA0" w:rsidR="370A86FE">
        <w:rPr>
          <w:snapToGrid w:val="0"/>
          <w:sz w:val="22"/>
        </w:rPr>
        <w:t xml:space="preserve"> </w:t>
      </w:r>
      <w:r w:rsidR="00E67A99">
        <w:rPr>
          <w:snapToGrid w:val="0"/>
          <w:sz w:val="22"/>
        </w:rPr>
        <w:t xml:space="preserve"> </w:t>
      </w:r>
      <w:r w:rsidRPr="00215CA0" w:rsidR="370A86FE">
        <w:rPr>
          <w:snapToGrid w:val="0"/>
          <w:sz w:val="22"/>
        </w:rPr>
        <w:t xml:space="preserve">Are there any cases today where the Commission applies a presumption of entry but, in fact, there may be a lack of effective competitive opportunities to provide analogous services in the country in which the non-U.S. licensed </w:t>
      </w:r>
      <w:r w:rsidRPr="00215CA0" w:rsidR="1F61A374">
        <w:rPr>
          <w:sz w:val="22"/>
        </w:rPr>
        <w:t>satellite operator</w:t>
      </w:r>
      <w:r w:rsidRPr="00215CA0" w:rsidR="370A86FE">
        <w:rPr>
          <w:snapToGrid w:val="0"/>
          <w:sz w:val="22"/>
        </w:rPr>
        <w:t xml:space="preserve"> is </w:t>
      </w:r>
      <w:r w:rsidRPr="00215CA0" w:rsidR="72680B37">
        <w:rPr>
          <w:snapToGrid w:val="0"/>
          <w:sz w:val="22"/>
        </w:rPr>
        <w:t>authorized to provide service</w:t>
      </w:r>
      <w:r w:rsidRPr="00215CA0" w:rsidR="370A86FE">
        <w:rPr>
          <w:snapToGrid w:val="0"/>
          <w:sz w:val="22"/>
        </w:rPr>
        <w:t xml:space="preserve">?  </w:t>
      </w:r>
      <w:r w:rsidRPr="00215CA0" w:rsidR="2A4DE7E3">
        <w:rPr>
          <w:snapToGrid w:val="0"/>
          <w:sz w:val="22"/>
        </w:rPr>
        <w:t xml:space="preserve">Should we assess such effective competitive opportunities in any manner that is different from our current framework? </w:t>
      </w:r>
      <w:r w:rsidRPr="00215CA0" w:rsidR="0056774D">
        <w:rPr>
          <w:snapToGrid w:val="0"/>
          <w:sz w:val="22"/>
        </w:rPr>
        <w:t xml:space="preserve"> </w:t>
      </w:r>
      <w:r w:rsidRPr="00215CA0" w:rsidR="0056774D">
        <w:rPr>
          <w:sz w:val="22"/>
        </w:rPr>
        <w:t xml:space="preserve">Should a competitive reciprocal opportunities test by the FCC apply equally to WTO and non-WTO foreign licensed systems? </w:t>
      </w:r>
      <w:r w:rsidRPr="00215CA0" w:rsidR="0056774D">
        <w:rPr>
          <w:snapToGrid w:val="0"/>
          <w:sz w:val="22"/>
        </w:rPr>
        <w:t xml:space="preserve"> </w:t>
      </w:r>
      <w:r w:rsidRPr="00215CA0" w:rsidR="00F436D1">
        <w:rPr>
          <w:sz w:val="22"/>
        </w:rPr>
        <w:t>How might our assessment take account of, or be authorized by, our rights</w:t>
      </w:r>
      <w:r w:rsidRPr="00215CA0" w:rsidR="00E2703A">
        <w:rPr>
          <w:sz w:val="22"/>
        </w:rPr>
        <w:t xml:space="preserve"> and treaty obligations</w:t>
      </w:r>
      <w:r w:rsidRPr="00215CA0" w:rsidR="00DE6E44">
        <w:rPr>
          <w:sz w:val="22"/>
        </w:rPr>
        <w:t xml:space="preserve"> under existing trade agreements (</w:t>
      </w:r>
      <w:r w:rsidRPr="00AA0D45" w:rsidR="00DE6E44">
        <w:rPr>
          <w:i/>
          <w:iCs/>
          <w:sz w:val="22"/>
        </w:rPr>
        <w:t>e.g.</w:t>
      </w:r>
      <w:r w:rsidRPr="00215CA0" w:rsidR="00DE6E44">
        <w:rPr>
          <w:sz w:val="22"/>
        </w:rPr>
        <w:t>, bilateral, regional, or multilateral</w:t>
      </w:r>
      <w:r w:rsidR="001E6461">
        <w:rPr>
          <w:sz w:val="22"/>
        </w:rPr>
        <w:t>)</w:t>
      </w:r>
      <w:r w:rsidRPr="00215CA0" w:rsidR="00D827B4">
        <w:rPr>
          <w:sz w:val="22"/>
        </w:rPr>
        <w:t>?</w:t>
      </w:r>
      <w:r>
        <w:rPr>
          <w:rStyle w:val="FootnoteReference"/>
          <w:snapToGrid w:val="0"/>
          <w:sz w:val="22"/>
        </w:rPr>
        <w:footnoteReference w:id="29"/>
      </w:r>
      <w:r w:rsidRPr="00215CA0" w:rsidR="00DE6E44">
        <w:rPr>
          <w:sz w:val="22"/>
        </w:rPr>
        <w:t xml:space="preserve"> </w:t>
      </w:r>
      <w:r w:rsidR="001E6461">
        <w:rPr>
          <w:sz w:val="22"/>
        </w:rPr>
        <w:t xml:space="preserve"> </w:t>
      </w:r>
      <w:r w:rsidRPr="00215CA0" w:rsidR="2741D2B6">
        <w:rPr>
          <w:snapToGrid w:val="0"/>
          <w:sz w:val="22"/>
        </w:rPr>
        <w:t xml:space="preserve">Are there any other considerations we should take into account regarding </w:t>
      </w:r>
      <w:r w:rsidRPr="00215CA0" w:rsidR="58F308E7">
        <w:rPr>
          <w:snapToGrid w:val="0"/>
          <w:sz w:val="22"/>
        </w:rPr>
        <w:t>foreign laws and legal developments</w:t>
      </w:r>
      <w:r w:rsidRPr="00215CA0" w:rsidR="2741D2B6">
        <w:rPr>
          <w:snapToGrid w:val="0"/>
          <w:sz w:val="22"/>
        </w:rPr>
        <w:t xml:space="preserve"> with respect to the implementation of our rules and policies?</w:t>
      </w:r>
    </w:p>
    <w:p w:rsidR="00AD48F9" w:rsidRPr="00AA0D45" w:rsidP="00AD48F9" w14:paraId="1BB90EE8" w14:textId="77777777">
      <w:pPr>
        <w:spacing w:after="0"/>
        <w:ind w:firstLine="720"/>
        <w:rPr>
          <w:sz w:val="22"/>
        </w:rPr>
      </w:pPr>
    </w:p>
    <w:p w:rsidR="004A7241" w:rsidRPr="00215CA0" w:rsidP="00AD48F9" w14:paraId="10756BBE" w14:textId="09B91075">
      <w:pPr>
        <w:spacing w:after="0"/>
        <w:ind w:firstLine="720"/>
        <w:rPr>
          <w:sz w:val="22"/>
        </w:rPr>
      </w:pPr>
      <w:r w:rsidRPr="00215CA0">
        <w:rPr>
          <w:i/>
          <w:iCs/>
          <w:sz w:val="22"/>
        </w:rPr>
        <w:t xml:space="preserve">Ex </w:t>
      </w:r>
      <w:r w:rsidRPr="00215CA0">
        <w:rPr>
          <w:i/>
          <w:iCs/>
          <w:sz w:val="22"/>
        </w:rPr>
        <w:t>Parte</w:t>
      </w:r>
      <w:r w:rsidRPr="00215CA0">
        <w:rPr>
          <w:i/>
          <w:iCs/>
          <w:sz w:val="22"/>
        </w:rPr>
        <w:t xml:space="preserve"> Rules</w:t>
      </w:r>
      <w:r w:rsidRPr="00215CA0">
        <w:rPr>
          <w:sz w:val="22"/>
        </w:rPr>
        <w:t xml:space="preserve">. </w:t>
      </w:r>
      <w:r w:rsidRPr="00215CA0" w:rsidR="00800BEB">
        <w:rPr>
          <w:sz w:val="22"/>
        </w:rPr>
        <w:t xml:space="preserve"> </w:t>
      </w:r>
      <w:r w:rsidRPr="00215CA0">
        <w:rPr>
          <w:sz w:val="22"/>
        </w:rPr>
        <w:t xml:space="preserve">This proceeding has been designated as a “permit-but-disclose” proceeding in accordance with the Commission’s </w:t>
      </w:r>
      <w:r w:rsidRPr="00215CA0">
        <w:rPr>
          <w:i/>
          <w:iCs/>
          <w:sz w:val="22"/>
        </w:rPr>
        <w:t xml:space="preserve">ex </w:t>
      </w:r>
      <w:r w:rsidRPr="00215CA0">
        <w:rPr>
          <w:i/>
          <w:iCs/>
          <w:sz w:val="22"/>
        </w:rPr>
        <w:t>parte</w:t>
      </w:r>
      <w:r w:rsidRPr="00215CA0">
        <w:rPr>
          <w:sz w:val="22"/>
        </w:rPr>
        <w:t xml:space="preserve"> rules.</w:t>
      </w:r>
      <w:r>
        <w:rPr>
          <w:rStyle w:val="FootnoteReference"/>
          <w:sz w:val="22"/>
        </w:rPr>
        <w:footnoteReference w:id="30"/>
      </w:r>
      <w:r w:rsidRPr="00215CA0">
        <w:rPr>
          <w:sz w:val="22"/>
        </w:rPr>
        <w:t xml:space="preserve">  Persons making </w:t>
      </w:r>
      <w:r w:rsidRPr="00215CA0">
        <w:rPr>
          <w:i/>
          <w:iCs/>
          <w:sz w:val="22"/>
        </w:rPr>
        <w:t xml:space="preserve">ex </w:t>
      </w:r>
      <w:r w:rsidRPr="00215CA0">
        <w:rPr>
          <w:i/>
          <w:iCs/>
          <w:sz w:val="22"/>
        </w:rPr>
        <w:t>parte</w:t>
      </w:r>
      <w:r w:rsidRPr="00215CA0">
        <w:rPr>
          <w:sz w:val="22"/>
        </w:rP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215CA0">
        <w:rPr>
          <w:i/>
          <w:iCs/>
          <w:sz w:val="22"/>
        </w:rPr>
        <w:t xml:space="preserve">ex </w:t>
      </w:r>
      <w:r w:rsidRPr="00215CA0">
        <w:rPr>
          <w:i/>
          <w:iCs/>
          <w:sz w:val="22"/>
        </w:rPr>
        <w:t>parte</w:t>
      </w:r>
      <w:r w:rsidRPr="00215CA0">
        <w:rPr>
          <w:sz w:val="22"/>
        </w:rPr>
        <w:t xml:space="preserve"> presentations are reminded that memoranda summarizing the presentation </w:t>
      </w:r>
      <w:r w:rsidRPr="00215CA0">
        <w:rPr>
          <w:sz w:val="22"/>
        </w:rPr>
        <w:t xml:space="preserve">must (1) list all persons attending or otherwise participating in the meeting at which the </w:t>
      </w:r>
      <w:r w:rsidRPr="00215CA0">
        <w:rPr>
          <w:i/>
          <w:iCs/>
          <w:sz w:val="22"/>
        </w:rPr>
        <w:t xml:space="preserve">ex </w:t>
      </w:r>
      <w:r w:rsidRPr="00215CA0">
        <w:rPr>
          <w:i/>
          <w:iCs/>
          <w:sz w:val="22"/>
        </w:rPr>
        <w:t>parte</w:t>
      </w:r>
      <w:r w:rsidRPr="00215CA0">
        <w:rPr>
          <w:sz w:val="22"/>
        </w:rPr>
        <w:t xml:space="preserv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215CA0">
        <w:rPr>
          <w:i/>
          <w:iCs/>
          <w:sz w:val="22"/>
        </w:rPr>
        <w:t xml:space="preserve">ex </w:t>
      </w:r>
      <w:r w:rsidRPr="00215CA0">
        <w:rPr>
          <w:i/>
          <w:iCs/>
          <w:sz w:val="22"/>
        </w:rPr>
        <w:t>parte</w:t>
      </w:r>
      <w:r w:rsidRPr="00215CA0">
        <w:rPr>
          <w:sz w:val="22"/>
        </w:rPr>
        <w:t xml:space="preserve"> meetings are deemed to be written </w:t>
      </w:r>
      <w:r w:rsidRPr="00215CA0">
        <w:rPr>
          <w:i/>
          <w:iCs/>
          <w:sz w:val="22"/>
        </w:rPr>
        <w:t xml:space="preserve">ex </w:t>
      </w:r>
      <w:r w:rsidRPr="00215CA0">
        <w:rPr>
          <w:i/>
          <w:iCs/>
          <w:sz w:val="22"/>
        </w:rPr>
        <w:t>parte</w:t>
      </w:r>
      <w:r w:rsidRPr="00215CA0">
        <w:rPr>
          <w:sz w:val="22"/>
        </w:rPr>
        <w:t xml:space="preserve"> presentations and must be filed consistent with rule 1.1206(b).  In proceedings governed by rule 1.49(f) or for which the Commission has made available a method of electronic filing, written ex </w:t>
      </w:r>
      <w:r w:rsidRPr="00215CA0">
        <w:rPr>
          <w:i/>
          <w:iCs/>
          <w:sz w:val="22"/>
        </w:rPr>
        <w:t>parte</w:t>
      </w:r>
      <w:r w:rsidRPr="00215CA0">
        <w:rPr>
          <w:sz w:val="22"/>
        </w:rPr>
        <w:t xml:space="preserve"> presentations and memoranda summarizing oral </w:t>
      </w:r>
      <w:r w:rsidRPr="00AA0D45">
        <w:rPr>
          <w:i/>
          <w:iCs/>
          <w:sz w:val="22"/>
        </w:rPr>
        <w:t xml:space="preserve">ex </w:t>
      </w:r>
      <w:r w:rsidRPr="00AA0D45">
        <w:rPr>
          <w:i/>
          <w:iCs/>
          <w:sz w:val="22"/>
        </w:rPr>
        <w:t>parte</w:t>
      </w:r>
      <w:r w:rsidRPr="00215CA0">
        <w:rPr>
          <w:sz w:val="22"/>
        </w:rPr>
        <w:t xml:space="preserve"> presentations, and all attachments thereto, must be filed through the electronic comment filing system available for that proceeding, and must be filed in their native format (</w:t>
      </w:r>
      <w:r w:rsidRPr="00AA0D45">
        <w:rPr>
          <w:i/>
          <w:iCs/>
          <w:sz w:val="22"/>
        </w:rPr>
        <w:t>e.g.</w:t>
      </w:r>
      <w:r w:rsidRPr="00215CA0">
        <w:rPr>
          <w:sz w:val="22"/>
        </w:rPr>
        <w:t xml:space="preserve">, .doc, .xml, .ppt, searchable.pdf).  Participants in this proceeding should familiarize themselves with the Commission’s </w:t>
      </w:r>
      <w:r w:rsidRPr="00215CA0">
        <w:rPr>
          <w:i/>
          <w:iCs/>
          <w:sz w:val="22"/>
        </w:rPr>
        <w:t xml:space="preserve">ex </w:t>
      </w:r>
      <w:r w:rsidRPr="00215CA0">
        <w:rPr>
          <w:i/>
          <w:iCs/>
          <w:sz w:val="22"/>
        </w:rPr>
        <w:t>parte</w:t>
      </w:r>
      <w:r w:rsidRPr="00215CA0">
        <w:rPr>
          <w:sz w:val="22"/>
        </w:rPr>
        <w:t xml:space="preserve"> rules.</w:t>
      </w:r>
    </w:p>
    <w:p w:rsidR="00AD48F9" w:rsidP="00AD48F9" w14:paraId="5ADECB59" w14:textId="77777777">
      <w:pPr>
        <w:spacing w:after="0"/>
        <w:ind w:firstLine="720"/>
        <w:rPr>
          <w:i/>
          <w:iCs/>
          <w:sz w:val="22"/>
        </w:rPr>
      </w:pPr>
    </w:p>
    <w:p w:rsidR="004A7241" w:rsidRPr="00215CA0" w:rsidP="00AD48F9" w14:paraId="08344F03" w14:textId="442CB551">
      <w:pPr>
        <w:spacing w:after="0"/>
        <w:ind w:firstLine="720"/>
        <w:rPr>
          <w:sz w:val="22"/>
        </w:rPr>
      </w:pPr>
      <w:r w:rsidRPr="00215CA0">
        <w:rPr>
          <w:i/>
          <w:iCs/>
          <w:sz w:val="22"/>
        </w:rPr>
        <w:t>Filing Requirements</w:t>
      </w:r>
      <w:r w:rsidRPr="00215CA0">
        <w:rPr>
          <w:sz w:val="22"/>
        </w:rPr>
        <w:t xml:space="preserve">. </w:t>
      </w:r>
      <w:r w:rsidRPr="00215CA0" w:rsidR="007E6164">
        <w:rPr>
          <w:sz w:val="22"/>
        </w:rPr>
        <w:t xml:space="preserve"> </w:t>
      </w:r>
      <w:r w:rsidRPr="00215CA0">
        <w:rPr>
          <w:sz w:val="22"/>
        </w:rPr>
        <w:t xml:space="preserve">Pursuant to sections 1.415 and 1.419 of the Commission’s rules, 47 CFR §§ 1.415, 1.419, interested parties may file comments and reply comments on or before the dates indicated on the first page of this document.  Comments may be filed using the Commission’s Electronic Comment Filing System (ECFS). </w:t>
      </w:r>
      <w:r w:rsidRPr="00215CA0" w:rsidR="00962180">
        <w:rPr>
          <w:sz w:val="22"/>
        </w:rPr>
        <w:t xml:space="preserve"> </w:t>
      </w:r>
      <w:r w:rsidRPr="00215CA0">
        <w:rPr>
          <w:i/>
          <w:iCs/>
          <w:sz w:val="22"/>
        </w:rPr>
        <w:t>See Electronic Filing of Documents in Rulemaking Proceedings</w:t>
      </w:r>
      <w:r w:rsidRPr="00215CA0">
        <w:rPr>
          <w:sz w:val="22"/>
        </w:rPr>
        <w:t>,</w:t>
      </w:r>
      <w:r w:rsidRPr="00215CA0" w:rsidR="00B71B16">
        <w:rPr>
          <w:i/>
          <w:iCs/>
          <w:sz w:val="22"/>
        </w:rPr>
        <w:t xml:space="preserve"> </w:t>
      </w:r>
      <w:r w:rsidRPr="00215CA0">
        <w:rPr>
          <w:sz w:val="22"/>
        </w:rPr>
        <w:t>63 FR 24121 (1998).</w:t>
      </w:r>
    </w:p>
    <w:p w:rsidR="00AD48F9" w:rsidP="00AD48F9" w14:paraId="740C6E64" w14:textId="77777777">
      <w:pPr>
        <w:spacing w:after="0"/>
        <w:ind w:firstLine="720"/>
        <w:rPr>
          <w:i/>
          <w:iCs/>
          <w:sz w:val="22"/>
        </w:rPr>
      </w:pPr>
    </w:p>
    <w:p w:rsidR="004A7241" w:rsidRPr="00215CA0" w:rsidP="00AD48F9" w14:paraId="606B9E72" w14:textId="74802B5C">
      <w:pPr>
        <w:spacing w:after="0"/>
        <w:ind w:firstLine="720"/>
        <w:rPr>
          <w:sz w:val="22"/>
        </w:rPr>
      </w:pPr>
      <w:r w:rsidRPr="00215CA0">
        <w:rPr>
          <w:i/>
          <w:iCs/>
          <w:sz w:val="22"/>
        </w:rPr>
        <w:t>Electronic Filers</w:t>
      </w:r>
      <w:r w:rsidRPr="00215CA0">
        <w:rPr>
          <w:sz w:val="22"/>
        </w:rPr>
        <w:t xml:space="preserve">:  Comments may be filed electronically using the Internet by accessing the ECFS:  </w:t>
      </w:r>
      <w:hyperlink r:id="rId7" w:history="1">
        <w:r w:rsidRPr="00215CA0" w:rsidR="00B71B16">
          <w:rPr>
            <w:rStyle w:val="Hyperlink"/>
            <w:sz w:val="22"/>
          </w:rPr>
          <w:t>http://www.fcc.gov/ecfs/</w:t>
        </w:r>
      </w:hyperlink>
      <w:r w:rsidRPr="00215CA0">
        <w:rPr>
          <w:sz w:val="22"/>
        </w:rPr>
        <w:t>.</w:t>
      </w:r>
    </w:p>
    <w:p w:rsidR="00AD48F9" w:rsidP="00AD48F9" w14:paraId="1D28F42C" w14:textId="77777777">
      <w:pPr>
        <w:pStyle w:val="ListParagraph"/>
        <w:spacing w:after="0"/>
        <w:rPr>
          <w:i/>
          <w:iCs/>
          <w:sz w:val="22"/>
        </w:rPr>
      </w:pPr>
    </w:p>
    <w:p w:rsidR="004A7241" w:rsidRPr="00215CA0" w:rsidP="00AD48F9" w14:paraId="1BAA5B53" w14:textId="3291C46A">
      <w:pPr>
        <w:pStyle w:val="ListParagraph"/>
        <w:spacing w:after="0"/>
        <w:rPr>
          <w:sz w:val="22"/>
        </w:rPr>
      </w:pPr>
      <w:r w:rsidRPr="00215CA0">
        <w:rPr>
          <w:i/>
          <w:iCs/>
          <w:sz w:val="22"/>
        </w:rPr>
        <w:t xml:space="preserve">Paper Filers: </w:t>
      </w:r>
      <w:r w:rsidRPr="00215CA0">
        <w:rPr>
          <w:sz w:val="22"/>
        </w:rPr>
        <w:t>Parties who choose to file by paper must file an original and one copy of each</w:t>
      </w:r>
    </w:p>
    <w:p w:rsidR="004A7241" w:rsidRPr="00215CA0" w:rsidP="00AD48F9" w14:paraId="717E45CF" w14:textId="77777777">
      <w:pPr>
        <w:pStyle w:val="ListParagraph"/>
        <w:spacing w:after="0"/>
        <w:rPr>
          <w:sz w:val="22"/>
        </w:rPr>
      </w:pPr>
      <w:r w:rsidRPr="00215CA0">
        <w:rPr>
          <w:sz w:val="22"/>
        </w:rPr>
        <w:t>filing.</w:t>
      </w:r>
    </w:p>
    <w:p w:rsidR="004A7241" w:rsidRPr="00215CA0" w:rsidP="00AD48F9" w14:paraId="1448FB0E" w14:textId="77777777">
      <w:pPr>
        <w:pStyle w:val="ListParagraph"/>
        <w:widowControl w:val="0"/>
        <w:numPr>
          <w:ilvl w:val="0"/>
          <w:numId w:val="44"/>
        </w:numPr>
        <w:spacing w:after="0"/>
        <w:rPr>
          <w:sz w:val="22"/>
        </w:rPr>
      </w:pPr>
      <w:r w:rsidRPr="00215CA0">
        <w:rPr>
          <w:sz w:val="22"/>
        </w:rPr>
        <w:t xml:space="preserve">Filings can be sent by hand or messenger delivery, by commercial courier, or by the U.S. Postal Service. </w:t>
      </w:r>
      <w:r w:rsidRPr="00215CA0">
        <w:rPr>
          <w:b/>
          <w:bCs/>
          <w:sz w:val="22"/>
        </w:rPr>
        <w:t>All filings must be addressed to the Secretary, Federal Communications Commission.</w:t>
      </w:r>
    </w:p>
    <w:p w:rsidR="004A7241" w:rsidRPr="00215CA0" w:rsidP="00AD48F9" w14:paraId="4ED40E71" w14:textId="77777777">
      <w:pPr>
        <w:pStyle w:val="ListParagraph"/>
        <w:widowControl w:val="0"/>
        <w:numPr>
          <w:ilvl w:val="0"/>
          <w:numId w:val="44"/>
        </w:numPr>
        <w:spacing w:after="0"/>
        <w:rPr>
          <w:sz w:val="22"/>
        </w:rPr>
      </w:pPr>
      <w:r w:rsidRPr="00215CA0">
        <w:rPr>
          <w:sz w:val="22"/>
        </w:rPr>
        <w:t>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w:t>
      </w:r>
    </w:p>
    <w:p w:rsidR="004A7241" w:rsidRPr="00215CA0" w:rsidP="00AD48F9" w14:paraId="383AF465" w14:textId="77777777">
      <w:pPr>
        <w:pStyle w:val="ListParagraph"/>
        <w:widowControl w:val="0"/>
        <w:numPr>
          <w:ilvl w:val="0"/>
          <w:numId w:val="44"/>
        </w:numPr>
        <w:spacing w:after="0"/>
        <w:rPr>
          <w:sz w:val="22"/>
        </w:rPr>
      </w:pPr>
      <w:r w:rsidRPr="00215CA0">
        <w:rPr>
          <w:sz w:val="22"/>
        </w:rPr>
        <w:t>Commercial courier deliveries (any deliveries not by the U.S. Postal Service) must be sent to 9050 Junction Drive, Annapolis Junction, MD 20701.</w:t>
      </w:r>
    </w:p>
    <w:p w:rsidR="004A7241" w:rsidRPr="00215CA0" w:rsidP="00AD48F9" w14:paraId="48BE9D62" w14:textId="77777777">
      <w:pPr>
        <w:pStyle w:val="ListParagraph"/>
        <w:widowControl w:val="0"/>
        <w:numPr>
          <w:ilvl w:val="0"/>
          <w:numId w:val="44"/>
        </w:numPr>
        <w:spacing w:after="0"/>
        <w:rPr>
          <w:sz w:val="22"/>
        </w:rPr>
      </w:pPr>
      <w:r w:rsidRPr="00215CA0">
        <w:rPr>
          <w:sz w:val="22"/>
        </w:rPr>
        <w:t>Filings sent by U.S. Postal Service First-Class Mail, Priority Mail, and Priority Mail Express must be sent to 45 L Street NE, Washington, DC 20554.</w:t>
      </w:r>
    </w:p>
    <w:p w:rsidR="00AD48F9" w:rsidP="00AD48F9" w14:paraId="6C2A1D59" w14:textId="77777777">
      <w:pPr>
        <w:spacing w:after="0"/>
        <w:rPr>
          <w:sz w:val="22"/>
        </w:rPr>
      </w:pPr>
      <w:r w:rsidRPr="00215CA0">
        <w:rPr>
          <w:sz w:val="22"/>
        </w:rPr>
        <w:tab/>
      </w:r>
    </w:p>
    <w:p w:rsidR="004A7241" w:rsidRPr="00215CA0" w:rsidP="00AD48F9" w14:paraId="53A89882" w14:textId="37C3C35A">
      <w:pPr>
        <w:spacing w:after="0"/>
        <w:ind w:firstLine="720"/>
        <w:rPr>
          <w:sz w:val="22"/>
        </w:rPr>
      </w:pPr>
      <w:r w:rsidRPr="00215CA0">
        <w:rPr>
          <w:i/>
          <w:iCs/>
          <w:sz w:val="22"/>
        </w:rPr>
        <w:t>People with Disabilities</w:t>
      </w:r>
      <w:r w:rsidRPr="00215CA0">
        <w:rPr>
          <w:sz w:val="22"/>
        </w:rPr>
        <w:t xml:space="preserve">.  To request materials in accessible formats for people with disabilities (braille, large print, electronic files, audio format), send an e-mail to </w:t>
      </w:r>
      <w:hyperlink r:id="rId8" w:history="1">
        <w:r w:rsidRPr="00215CA0">
          <w:rPr>
            <w:rStyle w:val="Hyperlink"/>
            <w:sz w:val="22"/>
          </w:rPr>
          <w:t>fcc504@fcc.gov</w:t>
        </w:r>
      </w:hyperlink>
      <w:r w:rsidRPr="00215CA0">
        <w:rPr>
          <w:sz w:val="22"/>
        </w:rPr>
        <w:t xml:space="preserve"> or call the FCC’s Consumer and Governmental Affairs Bureau at (202) 418-0530 (voice).</w:t>
      </w:r>
    </w:p>
    <w:p w:rsidR="00AD48F9" w:rsidP="00AD48F9" w14:paraId="45893F1F" w14:textId="77777777">
      <w:pPr>
        <w:spacing w:after="0"/>
        <w:rPr>
          <w:sz w:val="22"/>
        </w:rPr>
      </w:pPr>
      <w:r w:rsidRPr="00215CA0">
        <w:rPr>
          <w:sz w:val="22"/>
        </w:rPr>
        <w:tab/>
      </w:r>
    </w:p>
    <w:p w:rsidR="00AD48F9" w:rsidP="00AA0D45" w14:paraId="72EAF54A" w14:textId="0234C696">
      <w:pPr>
        <w:spacing w:after="0"/>
        <w:ind w:firstLine="720"/>
        <w:rPr>
          <w:snapToGrid w:val="0"/>
          <w:sz w:val="22"/>
        </w:rPr>
      </w:pPr>
      <w:r w:rsidRPr="00215CA0">
        <w:rPr>
          <w:i/>
          <w:iCs/>
          <w:sz w:val="22"/>
        </w:rPr>
        <w:t>Availability of Documents</w:t>
      </w:r>
      <w:r w:rsidRPr="00215CA0">
        <w:rPr>
          <w:sz w:val="22"/>
        </w:rPr>
        <w:t xml:space="preserve">.  Comments, reply comments, and </w:t>
      </w:r>
      <w:r w:rsidRPr="00215CA0">
        <w:rPr>
          <w:i/>
          <w:iCs/>
          <w:sz w:val="22"/>
        </w:rPr>
        <w:t xml:space="preserve">ex </w:t>
      </w:r>
      <w:r w:rsidRPr="00215CA0">
        <w:rPr>
          <w:i/>
          <w:iCs/>
          <w:sz w:val="22"/>
        </w:rPr>
        <w:t>parte</w:t>
      </w:r>
      <w:r w:rsidRPr="00215CA0">
        <w:rPr>
          <w:sz w:val="22"/>
        </w:rPr>
        <w:t xml:space="preserve"> submissions will be available via ECFS. Documents will be available electronically in ASCII, Microsoft Word, and/or Adobe Acrobat.</w:t>
      </w:r>
    </w:p>
    <w:p w:rsidR="00A06028" w:rsidRPr="00215CA0" w:rsidP="00AD48F9" w14:paraId="7EA69C0F" w14:textId="77777777">
      <w:pPr>
        <w:pStyle w:val="ParaNum"/>
        <w:numPr>
          <w:ilvl w:val="0"/>
          <w:numId w:val="0"/>
        </w:numPr>
        <w:spacing w:after="0"/>
        <w:ind w:firstLine="720"/>
        <w:rPr>
          <w:snapToGrid w:val="0"/>
          <w:sz w:val="22"/>
        </w:rPr>
      </w:pPr>
    </w:p>
    <w:p w:rsidR="00AA7621" w:rsidRPr="00215CA0" w:rsidP="00AD48F9" w14:paraId="50BD02D5" w14:textId="77777777">
      <w:pPr>
        <w:pStyle w:val="ParaNum"/>
        <w:numPr>
          <w:ilvl w:val="0"/>
          <w:numId w:val="0"/>
        </w:numPr>
        <w:spacing w:after="0"/>
        <w:jc w:val="center"/>
        <w:rPr>
          <w:b/>
          <w:bCs/>
          <w:snapToGrid w:val="0"/>
          <w:sz w:val="22"/>
        </w:rPr>
      </w:pPr>
      <w:r w:rsidRPr="00215CA0">
        <w:rPr>
          <w:b/>
          <w:bCs/>
          <w:snapToGrid w:val="0"/>
          <w:sz w:val="22"/>
        </w:rPr>
        <w:t>- FCC -</w:t>
      </w:r>
    </w:p>
    <w:sectPr w:rsidSect="00EE0ACA">
      <w:headerReference w:type="default" r:id="rId9"/>
      <w:footerReference w:type="default" r:id="rId10"/>
      <w:footnotePr>
        <w:numRestart w:val="eachSect"/>
      </w:footnotePr>
      <w:endnotePr>
        <w:numFmt w:val="decimal"/>
      </w:endnotePr>
      <w:type w:val="continuous"/>
      <w:pgSz w:w="12240" w:h="15840" w:code="1"/>
      <w:pgMar w:top="1440" w:right="1440" w:bottom="720" w:left="1440" w:header="720" w:footer="720" w:gutter="0"/>
      <w:pgBorders w:offsetFrom="page">
        <w:top w:val="single" w:sz="4" w:space="24" w:color="FFFFFF" w:themeColor="background1"/>
        <w:left w:val="single" w:sz="4" w:space="24" w:color="FFFFFF" w:themeColor="background1"/>
        <w:right w:val="single" w:sz="4" w:space="24" w:color="FFFFFF" w:themeColor="background1"/>
      </w:pgBorders>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1C7C" w:rsidP="00CF2522" w14:paraId="10A6D04C" w14:textId="77777777">
    <w:pPr>
      <w:pStyle w:val="Footer"/>
    </w:pPr>
    <w:r>
      <w:fldChar w:fldCharType="begin"/>
    </w:r>
    <w:r>
      <w:instrText xml:space="preserve"> PAGE   \* MERGEFORMAT </w:instrText>
    </w:r>
    <w:r>
      <w:fldChar w:fldCharType="separate"/>
    </w:r>
    <w:r w:rsidR="006826D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266D" w14:paraId="67651756" w14:textId="77777777">
      <w:pPr>
        <w:spacing w:after="0"/>
      </w:pPr>
      <w:r>
        <w:separator/>
      </w:r>
    </w:p>
  </w:footnote>
  <w:footnote w:type="continuationSeparator" w:id="1">
    <w:p w:rsidR="001A266D" w14:paraId="43C83624" w14:textId="77777777">
      <w:pPr>
        <w:spacing w:after="0"/>
      </w:pPr>
      <w:r>
        <w:continuationSeparator/>
      </w:r>
    </w:p>
  </w:footnote>
  <w:footnote w:id="2">
    <w:p w:rsidR="00464E12" w:rsidP="00E37566" w14:paraId="10500BFE" w14:textId="195451F0">
      <w:pPr>
        <w:pStyle w:val="FootnoteText"/>
      </w:pPr>
      <w:r>
        <w:rPr>
          <w:rStyle w:val="FootnoteReference"/>
        </w:rPr>
        <w:footnoteRef/>
      </w:r>
      <w:r>
        <w:t xml:space="preserve"> </w:t>
      </w:r>
      <w:r w:rsidRPr="00E37566" w:rsidR="00E37566">
        <w:rPr>
          <w:i/>
          <w:iCs/>
        </w:rPr>
        <w:t>Amendment of the Commission’s Regulatory Policies to Allow Non-U.S.-Licensed Space Stations to Provide Domestic and International Satellite Service in the United States</w:t>
      </w:r>
      <w:r w:rsidR="00E37566">
        <w:t xml:space="preserve">, Report and Order, 12 FCC </w:t>
      </w:r>
      <w:r w:rsidR="00E37566">
        <w:t>Rcd</w:t>
      </w:r>
      <w:r w:rsidR="00E37566">
        <w:t xml:space="preserve"> 24094 (1997) (</w:t>
      </w:r>
      <w:r w:rsidR="00C54614">
        <w:rPr>
          <w:i/>
          <w:iCs/>
        </w:rPr>
        <w:t>Market Access</w:t>
      </w:r>
      <w:r w:rsidRPr="00C54614" w:rsidR="00E37566">
        <w:rPr>
          <w:i/>
          <w:iCs/>
        </w:rPr>
        <w:t xml:space="preserve"> Order</w:t>
      </w:r>
      <w:r w:rsidR="00E37566">
        <w:t xml:space="preserve">), on reconsideration, First Order on Reconsideration, 15 FCC </w:t>
      </w:r>
      <w:r w:rsidR="00E37566">
        <w:t>Rcd</w:t>
      </w:r>
      <w:r w:rsidR="00E37566">
        <w:t xml:space="preserve"> 7207 (1999)</w:t>
      </w:r>
      <w:r w:rsidR="002B2450">
        <w:t xml:space="preserve">, </w:t>
      </w:r>
      <w:r w:rsidR="000B7CA1">
        <w:t xml:space="preserve">on further reconsideration, </w:t>
      </w:r>
      <w:r w:rsidR="002B2450">
        <w:t xml:space="preserve">Second Order on Reconsideration, </w:t>
      </w:r>
      <w:r w:rsidRPr="000B7CA1" w:rsidR="000B7CA1">
        <w:t xml:space="preserve">16 FCC </w:t>
      </w:r>
      <w:r w:rsidRPr="000B7CA1" w:rsidR="000B7CA1">
        <w:t>Rcd</w:t>
      </w:r>
      <w:r w:rsidRPr="000B7CA1" w:rsidR="000B7CA1">
        <w:t xml:space="preserve"> 19794 (2001)</w:t>
      </w:r>
      <w:r w:rsidR="00E37566">
        <w:t>.</w:t>
      </w:r>
    </w:p>
  </w:footnote>
  <w:footnote w:id="3">
    <w:p w:rsidR="002E2C08" w:rsidP="002E2C08" w14:paraId="0F95BF59" w14:textId="0CB4DF4F">
      <w:pPr>
        <w:pStyle w:val="FootnoteText"/>
      </w:pPr>
      <w:r>
        <w:rPr>
          <w:rStyle w:val="FootnoteReference"/>
        </w:rPr>
        <w:footnoteRef/>
      </w:r>
      <w:r>
        <w:t xml:space="preserve"> </w:t>
      </w:r>
      <w:r w:rsidRPr="00C54614">
        <w:rPr>
          <w:i/>
          <w:iCs/>
        </w:rPr>
        <w:t>Market</w:t>
      </w:r>
      <w:r>
        <w:rPr>
          <w:i/>
          <w:iCs/>
        </w:rPr>
        <w:t xml:space="preserve"> Access</w:t>
      </w:r>
      <w:r w:rsidRPr="00C54614">
        <w:rPr>
          <w:i/>
          <w:iCs/>
        </w:rPr>
        <w:t xml:space="preserve"> Order</w:t>
      </w:r>
      <w:r>
        <w:t xml:space="preserve">, 12 FCC </w:t>
      </w:r>
      <w:r>
        <w:t>Rcd</w:t>
      </w:r>
      <w:r>
        <w:t xml:space="preserve"> at 24096, para. 2.  The WTO </w:t>
      </w:r>
      <w:r w:rsidR="0072427C">
        <w:t>BTA</w:t>
      </w:r>
      <w:r>
        <w:t xml:space="preserve"> </w:t>
      </w:r>
      <w:r w:rsidRPr="00F0254F">
        <w:t>was concluded under the framework established by the General Agreement on Trade in Service (GATS), which is one of the agreements negotiated in conjunction with the creation of the WTO.</w:t>
      </w:r>
      <w:r>
        <w:t xml:space="preserve">  </w:t>
      </w:r>
      <w:r w:rsidRPr="00E253BA">
        <w:rPr>
          <w:i/>
          <w:iCs/>
        </w:rPr>
        <w:t>Id.</w:t>
      </w:r>
      <w:r>
        <w:t xml:space="preserve"> at </w:t>
      </w:r>
      <w:r w:rsidRPr="00E253BA">
        <w:t>24102</w:t>
      </w:r>
      <w:r>
        <w:t>, para. 19.</w:t>
      </w:r>
      <w:r w:rsidRPr="00E253BA">
        <w:t xml:space="preserve"> </w:t>
      </w:r>
      <w:r>
        <w:t xml:space="preserve"> </w:t>
      </w:r>
      <w:r w:rsidRPr="00724CAF">
        <w:t xml:space="preserve">Under Article II of the GATS, all WTO Members must provide </w:t>
      </w:r>
      <w:r>
        <w:t xml:space="preserve">most-favored nation </w:t>
      </w:r>
      <w:r w:rsidRPr="00724CAF">
        <w:t xml:space="preserve">treatment to like services and service suppliers of all other WTO Members. </w:t>
      </w:r>
      <w:r>
        <w:t xml:space="preserve"> </w:t>
      </w:r>
      <w:r w:rsidRPr="005A774B">
        <w:rPr>
          <w:i/>
          <w:iCs/>
        </w:rPr>
        <w:t>Id.</w:t>
      </w:r>
      <w:r>
        <w:t xml:space="preserve"> at </w:t>
      </w:r>
      <w:r w:rsidRPr="00E253BA">
        <w:t>24102</w:t>
      </w:r>
      <w:r>
        <w:t xml:space="preserve">, para. 21.  </w:t>
      </w:r>
      <w:r w:rsidRPr="007721F9">
        <w:t xml:space="preserve">Under the terms of the </w:t>
      </w:r>
      <w:r>
        <w:t xml:space="preserve">WTO </w:t>
      </w:r>
      <w:r w:rsidR="0072427C">
        <w:t>BTA</w:t>
      </w:r>
      <w:r w:rsidRPr="007721F9">
        <w:t xml:space="preserve">, the United States and 49 other WTO members </w:t>
      </w:r>
      <w:r w:rsidRPr="006E04D0">
        <w:t>committed to open their markets to foreign competition in satellite services</w:t>
      </w:r>
      <w:r>
        <w:t xml:space="preserve"> in various ways</w:t>
      </w:r>
      <w:r w:rsidRPr="007721F9">
        <w:t xml:space="preserve">. </w:t>
      </w:r>
      <w:r>
        <w:t xml:space="preserve"> </w:t>
      </w:r>
      <w:r w:rsidRPr="00E253BA">
        <w:rPr>
          <w:i/>
          <w:iCs/>
        </w:rPr>
        <w:t>Id.</w:t>
      </w:r>
      <w:r>
        <w:t xml:space="preserve"> at </w:t>
      </w:r>
      <w:r w:rsidRPr="00E253BA">
        <w:t>24102</w:t>
      </w:r>
      <w:r>
        <w:t>, para. 19.</w:t>
      </w:r>
      <w:r w:rsidRPr="00E253BA">
        <w:t xml:space="preserve"> </w:t>
      </w:r>
      <w:r>
        <w:t xml:space="preserve"> </w:t>
      </w:r>
      <w:r w:rsidRPr="007721F9">
        <w:t xml:space="preserve">The United States made market access commitments for </w:t>
      </w:r>
      <w:r>
        <w:t xml:space="preserve">satellite services including the </w:t>
      </w:r>
      <w:r w:rsidRPr="007721F9">
        <w:t>fixed</w:t>
      </w:r>
      <w:r>
        <w:t xml:space="preserve">- </w:t>
      </w:r>
      <w:r w:rsidRPr="007721F9">
        <w:t>and mobile</w:t>
      </w:r>
      <w:r>
        <w:t>-</w:t>
      </w:r>
      <w:r w:rsidRPr="007721F9">
        <w:t xml:space="preserve">satellite services, but did not make market access commitments for Direct-to-Home (DTH) Service, Direct Broadcast Satellite </w:t>
      </w:r>
      <w:r w:rsidRPr="007721F9" w:rsidR="00FE1C43">
        <w:t>(DBS)</w:t>
      </w:r>
      <w:r w:rsidR="00FE1C43">
        <w:t xml:space="preserve"> </w:t>
      </w:r>
      <w:r w:rsidRPr="007721F9">
        <w:t xml:space="preserve">Service, and Digital Audio Radio Service (DARS), and took a </w:t>
      </w:r>
      <w:r>
        <w:t>m</w:t>
      </w:r>
      <w:r w:rsidRPr="00567DFC">
        <w:t>ost</w:t>
      </w:r>
      <w:r>
        <w:t>-f</w:t>
      </w:r>
      <w:r w:rsidRPr="00567DFC">
        <w:t xml:space="preserve">avored </w:t>
      </w:r>
      <w:r>
        <w:t>n</w:t>
      </w:r>
      <w:r w:rsidRPr="00567DFC">
        <w:t>ation</w:t>
      </w:r>
      <w:r w:rsidRPr="007721F9">
        <w:t xml:space="preserve"> exemption for these services</w:t>
      </w:r>
      <w:r>
        <w:t xml:space="preserve">.  </w:t>
      </w:r>
      <w:r w:rsidRPr="00807D35">
        <w:rPr>
          <w:i/>
          <w:iCs/>
        </w:rPr>
        <w:t>Id.</w:t>
      </w:r>
      <w:r>
        <w:t xml:space="preserve"> at </w:t>
      </w:r>
      <w:r w:rsidRPr="00807D35">
        <w:t>24104</w:t>
      </w:r>
      <w:r w:rsidR="00E13DE9">
        <w:t>,</w:t>
      </w:r>
      <w:r>
        <w:t xml:space="preserve"> para. 25.</w:t>
      </w:r>
    </w:p>
  </w:footnote>
  <w:footnote w:id="4">
    <w:p w:rsidR="008C1B1C" w14:paraId="07B691E5" w14:textId="423F0937">
      <w:pPr>
        <w:pStyle w:val="FootnoteText"/>
      </w:pPr>
      <w:r>
        <w:rPr>
          <w:rStyle w:val="FootnoteReference"/>
        </w:rPr>
        <w:footnoteRef/>
      </w:r>
      <w:r>
        <w:t xml:space="preserve"> </w:t>
      </w:r>
      <w:r w:rsidRPr="00807D35" w:rsidR="00167401">
        <w:rPr>
          <w:i/>
          <w:iCs/>
        </w:rPr>
        <w:t>Id.</w:t>
      </w:r>
      <w:r w:rsidR="00167401">
        <w:t xml:space="preserve"> at </w:t>
      </w:r>
      <w:r w:rsidRPr="00167401" w:rsidR="00167401">
        <w:t>24099</w:t>
      </w:r>
      <w:r w:rsidR="00167401">
        <w:t>,</w:t>
      </w:r>
      <w:r w:rsidRPr="00167401" w:rsidR="00167401">
        <w:t xml:space="preserve"> </w:t>
      </w:r>
      <w:r w:rsidR="00D8797D">
        <w:t>p</w:t>
      </w:r>
      <w:r w:rsidR="009750AF">
        <w:t xml:space="preserve">ara. 11; 47 CFR </w:t>
      </w:r>
      <w:r w:rsidRPr="00FD1F07" w:rsidR="00FD1F07">
        <w:t>§</w:t>
      </w:r>
      <w:r w:rsidR="00FD1F07">
        <w:t xml:space="preserve"> </w:t>
      </w:r>
      <w:r w:rsidR="009750AF">
        <w:t>25.137(a).</w:t>
      </w:r>
      <w:r w:rsidR="00C74EFA">
        <w:t xml:space="preserve">  </w:t>
      </w:r>
      <w:r w:rsidR="00FE7B9F">
        <w:t xml:space="preserve">The presumption in favor of entry may be </w:t>
      </w:r>
      <w:r w:rsidRPr="00FE7B9F" w:rsidR="00FE7B9F">
        <w:t>rebut</w:t>
      </w:r>
      <w:r w:rsidR="00FE7B9F">
        <w:t>ted</w:t>
      </w:r>
      <w:r w:rsidRPr="00FE7B9F" w:rsidR="00FE7B9F">
        <w:t xml:space="preserve"> </w:t>
      </w:r>
      <w:r w:rsidR="00FE7B9F">
        <w:t xml:space="preserve">by opposing parties that show </w:t>
      </w:r>
      <w:r w:rsidRPr="00FE7B9F" w:rsidR="00FE7B9F">
        <w:t>granting the application would cause competitive harm in the U.S. satellite services market.</w:t>
      </w:r>
      <w:r w:rsidR="00FE7B9F">
        <w:t xml:space="preserve">  </w:t>
      </w:r>
      <w:r w:rsidR="00FE5DB3">
        <w:rPr>
          <w:i/>
          <w:iCs/>
        </w:rPr>
        <w:t>Market Access Order</w:t>
      </w:r>
      <w:r w:rsidR="005D1D61">
        <w:t xml:space="preserve">, 12 FCC </w:t>
      </w:r>
      <w:r w:rsidR="005D1D61">
        <w:t>Rcd</w:t>
      </w:r>
      <w:r w:rsidR="005D1D61">
        <w:t xml:space="preserve"> </w:t>
      </w:r>
      <w:r w:rsidR="00FE7B9F">
        <w:t xml:space="preserve">at </w:t>
      </w:r>
      <w:r w:rsidRPr="00FE7B9F" w:rsidR="00FE7B9F">
        <w:t>24098</w:t>
      </w:r>
      <w:r w:rsidR="00FE7B9F">
        <w:t>, para. 7.  In addition, w</w:t>
      </w:r>
      <w:r w:rsidRPr="00C74EFA" w:rsidR="00C74EFA">
        <w:t xml:space="preserve">here necessary to constrain the potential for anticompetitive harm in the U.S. market for satellite services, </w:t>
      </w:r>
      <w:r w:rsidR="00FE7B9F">
        <w:t>the Commission</w:t>
      </w:r>
      <w:r w:rsidRPr="00C74EFA" w:rsidR="00C74EFA">
        <w:t xml:space="preserve"> reserve</w:t>
      </w:r>
      <w:r w:rsidR="00FE7B9F">
        <w:t>d</w:t>
      </w:r>
      <w:r w:rsidRPr="00C74EFA" w:rsidR="00C74EFA">
        <w:t xml:space="preserve"> the right to attach conditions to a grant of authority, and in exceptional case</w:t>
      </w:r>
      <w:r w:rsidR="00FE7B9F">
        <w:t>s</w:t>
      </w:r>
      <w:r w:rsidRPr="00C74EFA" w:rsidR="00C74EFA">
        <w:t>, to deny an application.</w:t>
      </w:r>
      <w:r w:rsidR="00CA22A8">
        <w:t xml:space="preserve">  </w:t>
      </w:r>
      <w:r w:rsidRPr="00807D35" w:rsidR="00CA22A8">
        <w:rPr>
          <w:i/>
          <w:iCs/>
        </w:rPr>
        <w:t>Id.</w:t>
      </w:r>
      <w:r w:rsidR="00CA22A8">
        <w:t xml:space="preserve"> at </w:t>
      </w:r>
      <w:r w:rsidRPr="00167401" w:rsidR="00CA22A8">
        <w:t>24099</w:t>
      </w:r>
      <w:r w:rsidR="00CA22A8">
        <w:t>,</w:t>
      </w:r>
      <w:r w:rsidRPr="00167401" w:rsidR="00CA22A8">
        <w:t xml:space="preserve"> </w:t>
      </w:r>
      <w:r w:rsidR="00CA22A8">
        <w:t>para. 11.</w:t>
      </w:r>
    </w:p>
  </w:footnote>
  <w:footnote w:id="5">
    <w:p w:rsidR="00353E78" w14:paraId="0D3A0795" w14:textId="266D1E9A">
      <w:pPr>
        <w:pStyle w:val="FootnoteText"/>
      </w:pPr>
      <w:r>
        <w:rPr>
          <w:rStyle w:val="FootnoteReference"/>
        </w:rPr>
        <w:footnoteRef/>
      </w:r>
      <w:r>
        <w:t xml:space="preserve"> </w:t>
      </w:r>
      <w:r w:rsidRPr="000D1CBC">
        <w:rPr>
          <w:i/>
          <w:iCs/>
        </w:rPr>
        <w:t>Id.</w:t>
      </w:r>
      <w:r>
        <w:t xml:space="preserve"> at </w:t>
      </w:r>
      <w:r w:rsidRPr="00167401">
        <w:t>24099</w:t>
      </w:r>
      <w:r>
        <w:t>-</w:t>
      </w:r>
      <w:r w:rsidRPr="00353E78">
        <w:t>24100</w:t>
      </w:r>
      <w:r>
        <w:t xml:space="preserve">, paras. 12-13; 47 CFR </w:t>
      </w:r>
      <w:r w:rsidRPr="00BC33A5" w:rsidR="00BC33A5">
        <w:t>§</w:t>
      </w:r>
      <w:r w:rsidR="00BC33A5">
        <w:t xml:space="preserve"> </w:t>
      </w:r>
      <w:r>
        <w:t>25.137(a)</w:t>
      </w:r>
      <w:r w:rsidR="00445898">
        <w:t>(2)</w:t>
      </w:r>
      <w:r>
        <w:t>.</w:t>
      </w:r>
      <w:r w:rsidR="009122FD">
        <w:t xml:space="preserve">  </w:t>
      </w:r>
      <w:r w:rsidR="0039086F">
        <w:t xml:space="preserve">Referred to as the </w:t>
      </w:r>
      <w:r w:rsidRPr="0039086F" w:rsidR="0039086F">
        <w:t xml:space="preserve">Effective Competitive Opportunities </w:t>
      </w:r>
      <w:r w:rsidR="0039086F">
        <w:t>–</w:t>
      </w:r>
      <w:r w:rsidRPr="0039086F" w:rsidR="0039086F">
        <w:t xml:space="preserve"> Satellite</w:t>
      </w:r>
      <w:r w:rsidR="0039086F">
        <w:t xml:space="preserve"> or ECO-SAT</w:t>
      </w:r>
      <w:r w:rsidRPr="0039086F" w:rsidR="0039086F">
        <w:t xml:space="preserve"> test</w:t>
      </w:r>
      <w:r w:rsidR="0039086F">
        <w:t>.</w:t>
      </w:r>
    </w:p>
  </w:footnote>
  <w:footnote w:id="6">
    <w:p w:rsidR="0017554F" w:rsidP="00DB5DD2" w14:paraId="795BE657" w14:textId="18F54B98">
      <w:pPr>
        <w:pStyle w:val="FootnoteText"/>
      </w:pPr>
      <w:r>
        <w:rPr>
          <w:rStyle w:val="FootnoteReference"/>
        </w:rPr>
        <w:footnoteRef/>
      </w:r>
      <w:r>
        <w:t xml:space="preserve"> </w:t>
      </w:r>
      <w:r w:rsidR="005F643B">
        <w:rPr>
          <w:i/>
          <w:iCs/>
        </w:rPr>
        <w:t>Market Access Order</w:t>
      </w:r>
      <w:r w:rsidR="005F643B">
        <w:t xml:space="preserve">, 12 FCC </w:t>
      </w:r>
      <w:r w:rsidR="005F643B">
        <w:t>Rcd</w:t>
      </w:r>
      <w:r w:rsidR="005F643B">
        <w:t xml:space="preserve"> </w:t>
      </w:r>
      <w:r>
        <w:t xml:space="preserve">at </w:t>
      </w:r>
      <w:r w:rsidRPr="00353E78">
        <w:t>24100</w:t>
      </w:r>
      <w:r>
        <w:t xml:space="preserve">, para. 15; </w:t>
      </w:r>
      <w:r w:rsidRPr="0042008A">
        <w:rPr>
          <w:i/>
          <w:iCs/>
        </w:rPr>
        <w:t>see, e.g.</w:t>
      </w:r>
      <w:r>
        <w:t xml:space="preserve">, 47 CFR </w:t>
      </w:r>
      <w:r w:rsidRPr="00BC33A5">
        <w:t>§</w:t>
      </w:r>
      <w:r>
        <w:t xml:space="preserve"> 25.137(b)-(f).  In following years, the Commission has refined its rules to </w:t>
      </w:r>
      <w:r w:rsidR="00DB5DD2">
        <w:t xml:space="preserve">further align its treatment of U.S.- and non-U.S.-licensed space stations, </w:t>
      </w:r>
      <w:r w:rsidRPr="00DB5DD2" w:rsidR="00DB5DD2">
        <w:rPr>
          <w:i/>
          <w:iCs/>
        </w:rPr>
        <w:t>see, e.g.</w:t>
      </w:r>
      <w:r w:rsidR="00DB5DD2">
        <w:t xml:space="preserve">, </w:t>
      </w:r>
      <w:r w:rsidRPr="00DB5DD2" w:rsidR="00DB5DD2">
        <w:rPr>
          <w:i/>
          <w:iCs/>
        </w:rPr>
        <w:t>Expediting Initial Processing of Satellite and Earth Station Applications</w:t>
      </w:r>
      <w:r w:rsidR="00DB5DD2">
        <w:t>, Second Report and Order, IB Docket Nos. 22-411, 22-271, FCC 25-48, para. 38</w:t>
      </w:r>
      <w:r w:rsidRPr="00DB5DD2" w:rsidR="00DB5DD2">
        <w:t xml:space="preserve"> </w:t>
      </w:r>
      <w:r w:rsidR="00DB5DD2">
        <w:t xml:space="preserve">(2025), while also noting instances where non-U.S.-licensed operators may hold regulatory advantages over U.S.-licensed operators. </w:t>
      </w:r>
      <w:r w:rsidRPr="00DB5DD2" w:rsidR="00DB5DD2">
        <w:rPr>
          <w:i/>
          <w:iCs/>
        </w:rPr>
        <w:t xml:space="preserve"> </w:t>
      </w:r>
      <w:r w:rsidRPr="0003153D" w:rsidR="00DB5DD2">
        <w:rPr>
          <w:i/>
          <w:iCs/>
        </w:rPr>
        <w:t>See, e.g.</w:t>
      </w:r>
      <w:r w:rsidR="00DB5DD2">
        <w:t xml:space="preserve">, </w:t>
      </w:r>
      <w:r w:rsidRPr="00DB5DD2" w:rsidR="00DB5DD2">
        <w:rPr>
          <w:i/>
          <w:iCs/>
        </w:rPr>
        <w:t>Assessment and Collection of Regulatory Fees for Fiscal Year 2020</w:t>
      </w:r>
      <w:r w:rsidRPr="00966566" w:rsidR="00DB5DD2">
        <w:t xml:space="preserve">, Report and Order and Notice of Proposed Rulemaking, 35 FCC </w:t>
      </w:r>
      <w:r w:rsidRPr="00966566" w:rsidR="00DB5DD2">
        <w:t>Rcd</w:t>
      </w:r>
      <w:r w:rsidRPr="00966566" w:rsidR="00DB5DD2">
        <w:t xml:space="preserve"> 4976, 4979</w:t>
      </w:r>
      <w:r w:rsidR="00DB5DD2">
        <w:t>, para. 7</w:t>
      </w:r>
      <w:r w:rsidRPr="00966566" w:rsidR="00DB5DD2">
        <w:t xml:space="preserve"> (2020)</w:t>
      </w:r>
      <w:r w:rsidR="00DB5DD2">
        <w:t xml:space="preserve">; </w:t>
      </w:r>
      <w:r w:rsidRPr="00CA11BD" w:rsidR="00DB5DD2">
        <w:rPr>
          <w:i/>
          <w:iCs/>
        </w:rPr>
        <w:t>see also Space Modernization for the 21st Century</w:t>
      </w:r>
      <w:r w:rsidRPr="00CA11BD" w:rsidR="00DB5DD2">
        <w:t>, Notice of Proposed Rulemaking, SB Docket No. 25-306, FCC 25-69, para. 83 (2025) (seeking comment on how to “ensure that operators who are granted authorization to access the U.S. market via a petition for declaratory ruling do not receive an advantage over entities holding a U.S. satellite license”).</w:t>
      </w:r>
    </w:p>
  </w:footnote>
  <w:footnote w:id="7">
    <w:p w:rsidR="0049671B" w14:paraId="4042858A" w14:textId="64622DB3">
      <w:pPr>
        <w:pStyle w:val="FootnoteText"/>
      </w:pPr>
      <w:r>
        <w:rPr>
          <w:rStyle w:val="FootnoteReference"/>
        </w:rPr>
        <w:footnoteRef/>
      </w:r>
      <w:r w:rsidRPr="00785829">
        <w:rPr>
          <w:lang w:val="nb-NO"/>
        </w:rPr>
        <w:t xml:space="preserve"> </w:t>
      </w:r>
      <w:r w:rsidRPr="00AA0D45" w:rsidR="001144C9">
        <w:rPr>
          <w:i/>
          <w:iCs/>
          <w:lang w:val="nb-NO"/>
        </w:rPr>
        <w:t>Market Acccess Order</w:t>
      </w:r>
      <w:r w:rsidR="001144C9">
        <w:rPr>
          <w:lang w:val="nb-NO"/>
        </w:rPr>
        <w:t xml:space="preserve">, </w:t>
      </w:r>
      <w:r w:rsidR="001144C9">
        <w:t xml:space="preserve">12 FCC </w:t>
      </w:r>
      <w:r w:rsidR="001144C9">
        <w:t>Rcd</w:t>
      </w:r>
      <w:r w:rsidR="001144C9">
        <w:t xml:space="preserve"> </w:t>
      </w:r>
      <w:r w:rsidRPr="00785829" w:rsidR="00912571">
        <w:rPr>
          <w:lang w:val="nb-NO"/>
        </w:rPr>
        <w:t xml:space="preserve">at 24099, para. </w:t>
      </w:r>
      <w:r w:rsidR="00912571">
        <w:t>10.</w:t>
      </w:r>
    </w:p>
  </w:footnote>
  <w:footnote w:id="8">
    <w:p w:rsidR="008A6507" w:rsidP="008A6507" w14:paraId="36E2739C" w14:textId="0E29CF40">
      <w:pPr>
        <w:pStyle w:val="FootnoteText"/>
      </w:pPr>
      <w:r>
        <w:rPr>
          <w:rStyle w:val="FootnoteReference"/>
        </w:rPr>
        <w:footnoteRef/>
      </w:r>
      <w:r>
        <w:t xml:space="preserve"> </w:t>
      </w:r>
      <w:r w:rsidRPr="009D4303">
        <w:rPr>
          <w:i/>
          <w:iCs/>
        </w:rPr>
        <w:t>See generally</w:t>
      </w:r>
      <w:r>
        <w:t xml:space="preserve"> Approved Space Station List, </w:t>
      </w:r>
      <w:hyperlink r:id="rId1" w:history="1">
        <w:r w:rsidRPr="00353F2A">
          <w:rPr>
            <w:rStyle w:val="Hyperlink"/>
          </w:rPr>
          <w:t>https://www.fcc.gov/approved-space-station-list</w:t>
        </w:r>
      </w:hyperlink>
      <w:r>
        <w:t>.  These foreign administrations are (order</w:t>
      </w:r>
      <w:r w:rsidR="00917CA5">
        <w:t>ed</w:t>
      </w:r>
      <w:r>
        <w:t xml:space="preserve"> by number of approved satellite systems): </w:t>
      </w:r>
      <w:r w:rsidR="00F1633A">
        <w:t xml:space="preserve"> </w:t>
      </w:r>
      <w:r>
        <w:t>The United Kingdom, Canada, Brazil, The Netherlands, France, Gibraltar, Japan, Mexico, Luxembourg, Papua New Guinea, Spain, Argentina, Australia, Colombia, and Norway.</w:t>
      </w:r>
    </w:p>
  </w:footnote>
  <w:footnote w:id="9">
    <w:p w:rsidR="0027693E" w:rsidRPr="00CA11BD" w:rsidP="0027693E" w14:paraId="333C4053" w14:textId="7113E7A1">
      <w:pPr>
        <w:pStyle w:val="FootnoteText"/>
        <w:rPr>
          <w:lang w:val="nb-NO"/>
        </w:rPr>
      </w:pPr>
      <w:r>
        <w:rPr>
          <w:rStyle w:val="FootnoteReference"/>
        </w:rPr>
        <w:footnoteRef/>
      </w:r>
      <w:r>
        <w:t xml:space="preserve"> </w:t>
      </w:r>
      <w:r w:rsidR="003D6B40">
        <w:rPr>
          <w:i/>
          <w:iCs/>
        </w:rPr>
        <w:t>Id.</w:t>
      </w:r>
      <w:r>
        <w:t xml:space="preserve"> </w:t>
      </w:r>
      <w:r w:rsidRPr="007C3D1E">
        <w:t xml:space="preserve">at 24107-56, </w:t>
      </w:r>
      <w:r>
        <w:t>paras.</w:t>
      </w:r>
      <w:r w:rsidRPr="007C3D1E">
        <w:t xml:space="preserve"> </w:t>
      </w:r>
      <w:r w:rsidRPr="00CA11BD">
        <w:rPr>
          <w:lang w:val="nb-NO"/>
        </w:rPr>
        <w:t>30-145.</w:t>
      </w:r>
    </w:p>
  </w:footnote>
  <w:footnote w:id="10">
    <w:p w:rsidR="0027693E" w:rsidRPr="00CA11BD" w:rsidP="0027693E" w14:paraId="297C84E6" w14:textId="77777777">
      <w:pPr>
        <w:pStyle w:val="FootnoteText"/>
        <w:rPr>
          <w:lang w:val="nb-NO"/>
        </w:rPr>
      </w:pPr>
      <w:r>
        <w:rPr>
          <w:rStyle w:val="FootnoteReference"/>
        </w:rPr>
        <w:footnoteRef/>
      </w:r>
      <w:r w:rsidRPr="00CA11BD">
        <w:rPr>
          <w:lang w:val="nb-NO"/>
        </w:rPr>
        <w:t xml:space="preserve"> </w:t>
      </w:r>
      <w:r w:rsidRPr="00CA11BD">
        <w:rPr>
          <w:i/>
          <w:iCs/>
          <w:lang w:val="nb-NO"/>
        </w:rPr>
        <w:t>Id.</w:t>
      </w:r>
      <w:r w:rsidRPr="00CA11BD">
        <w:rPr>
          <w:lang w:val="nb-NO"/>
        </w:rPr>
        <w:t xml:space="preserve"> at 24159-69, paras. 151-74.</w:t>
      </w:r>
    </w:p>
  </w:footnote>
  <w:footnote w:id="11">
    <w:p w:rsidR="0027693E" w:rsidRPr="00785829" w:rsidP="0027693E" w14:paraId="29032FBE" w14:textId="77777777">
      <w:pPr>
        <w:pStyle w:val="FootnoteText"/>
        <w:rPr>
          <w:lang w:val="nb-NO"/>
        </w:rPr>
      </w:pPr>
      <w:r>
        <w:rPr>
          <w:rStyle w:val="FootnoteReference"/>
        </w:rPr>
        <w:footnoteRef/>
      </w:r>
      <w:r w:rsidRPr="00785829">
        <w:rPr>
          <w:lang w:val="nb-NO"/>
        </w:rPr>
        <w:t xml:space="preserve"> </w:t>
      </w:r>
      <w:r w:rsidRPr="00785829">
        <w:rPr>
          <w:i/>
          <w:iCs/>
          <w:lang w:val="nb-NO"/>
        </w:rPr>
        <w:t>Id.</w:t>
      </w:r>
      <w:r w:rsidRPr="00785829">
        <w:rPr>
          <w:lang w:val="nb-NO"/>
        </w:rPr>
        <w:t xml:space="preserve"> at 24157-59, paras. 146-50.</w:t>
      </w:r>
    </w:p>
  </w:footnote>
  <w:footnote w:id="12">
    <w:p w:rsidR="0027693E" w:rsidRPr="00785829" w:rsidP="0027693E" w14:paraId="7A4B4ABC" w14:textId="77777777">
      <w:pPr>
        <w:pStyle w:val="FootnoteText"/>
        <w:rPr>
          <w:lang w:val="nb-NO"/>
        </w:rPr>
      </w:pPr>
      <w:r>
        <w:rPr>
          <w:rStyle w:val="FootnoteReference"/>
        </w:rPr>
        <w:footnoteRef/>
      </w:r>
      <w:r w:rsidRPr="00785829">
        <w:rPr>
          <w:lang w:val="nb-NO"/>
        </w:rPr>
        <w:t xml:space="preserve"> </w:t>
      </w:r>
      <w:r w:rsidRPr="00785829">
        <w:rPr>
          <w:i/>
          <w:iCs/>
          <w:lang w:val="nb-NO"/>
        </w:rPr>
        <w:t>Id.</w:t>
      </w:r>
      <w:r w:rsidRPr="00785829">
        <w:rPr>
          <w:lang w:val="nb-NO"/>
        </w:rPr>
        <w:t xml:space="preserve"> at 24169-72, paras. 175-82.</w:t>
      </w:r>
    </w:p>
  </w:footnote>
  <w:footnote w:id="13">
    <w:p w:rsidR="00E7350F" w:rsidP="00E7350F" w14:paraId="43A41982" w14:textId="4A171F15">
      <w:pPr>
        <w:pStyle w:val="FootnoteText"/>
      </w:pPr>
      <w:r>
        <w:rPr>
          <w:rStyle w:val="FootnoteReference"/>
        </w:rPr>
        <w:footnoteRef/>
      </w:r>
      <w:r>
        <w:t xml:space="preserve"> </w:t>
      </w:r>
      <w:r w:rsidRPr="007832E7">
        <w:rPr>
          <w:i/>
          <w:iCs/>
        </w:rPr>
        <w:t>See</w:t>
      </w:r>
      <w:r>
        <w:rPr>
          <w:i/>
          <w:iCs/>
        </w:rPr>
        <w:t>, e.g.</w:t>
      </w:r>
      <w:r w:rsidRPr="00E7350F">
        <w:t>,</w:t>
      </w:r>
      <w:r>
        <w:t xml:space="preserve"> </w:t>
      </w:r>
      <w:r w:rsidRPr="00250E06">
        <w:t>2025 National Trade Estimate Report on</w:t>
      </w:r>
      <w:r>
        <w:t xml:space="preserve"> Foreign Trade Barriers (NTE Report), </w:t>
      </w:r>
      <w:hyperlink r:id="rId2" w:history="1">
        <w:r w:rsidRPr="00973D13">
          <w:rPr>
            <w:rStyle w:val="Hyperlink"/>
          </w:rPr>
          <w:t>https://ustr.gov/sites/default/files/files/Press/Reports/2025NTE.pdf</w:t>
        </w:r>
      </w:hyperlink>
      <w:r>
        <w:t>.</w:t>
      </w:r>
    </w:p>
  </w:footnote>
  <w:footnote w:id="14">
    <w:p w:rsidR="005A0EEB" w:rsidP="005A0EEB" w14:paraId="42634E34" w14:textId="7410575F">
      <w:pPr>
        <w:pStyle w:val="FootnoteText"/>
      </w:pPr>
      <w:r>
        <w:rPr>
          <w:rStyle w:val="FootnoteReference"/>
        </w:rPr>
        <w:footnoteRef/>
      </w:r>
      <w:r>
        <w:t xml:space="preserve"> </w:t>
      </w:r>
      <w:r w:rsidRPr="004F23FA">
        <w:rPr>
          <w:i/>
          <w:iCs/>
        </w:rPr>
        <w:t>See</w:t>
      </w:r>
      <w:r w:rsidRPr="004F23FA">
        <w:t xml:space="preserve"> Proposal </w:t>
      </w:r>
      <w:r w:rsidR="00E3044B">
        <w:t xml:space="preserve">for A </w:t>
      </w:r>
      <w:r w:rsidRPr="001237C7" w:rsidR="00E3044B">
        <w:t>Regulation of the European Parliament and of the Council</w:t>
      </w:r>
      <w:r w:rsidR="00E3044B">
        <w:t xml:space="preserve"> </w:t>
      </w:r>
      <w:r w:rsidRPr="004F23FA">
        <w:t>on Safety, Resilience and Sustainability of Space Activities in the Union No. 2025/033, COM (2025)</w:t>
      </w:r>
      <w:r>
        <w:t xml:space="preserve"> (</w:t>
      </w:r>
      <w:r w:rsidR="00D3235E">
        <w:t>d</w:t>
      </w:r>
      <w:r>
        <w:t>raft EU Space Act)</w:t>
      </w:r>
      <w:r w:rsidRPr="004F23FA">
        <w:t>.</w:t>
      </w:r>
    </w:p>
  </w:footnote>
  <w:footnote w:id="15">
    <w:p w:rsidR="0043341A" w:rsidP="0043341A" w14:paraId="2AC7119C" w14:textId="1941384E">
      <w:pPr>
        <w:pStyle w:val="FootnoteText"/>
      </w:pPr>
      <w:r>
        <w:rPr>
          <w:rStyle w:val="FootnoteReference"/>
        </w:rPr>
        <w:footnoteRef/>
      </w:r>
      <w:r>
        <w:t xml:space="preserve"> Comments of the United States of America on the Proposed EU Space Act, </w:t>
      </w:r>
      <w:r w:rsidRPr="00A713D6">
        <w:t>Ref. Ares</w:t>
      </w:r>
      <w:r w:rsidR="00890B06">
        <w:t xml:space="preserve"> </w:t>
      </w:r>
      <w:r w:rsidRPr="00A713D6">
        <w:t>(2025)</w:t>
      </w:r>
      <w:r w:rsidR="00890B06">
        <w:t xml:space="preserve"> </w:t>
      </w:r>
      <w:r w:rsidRPr="00A713D6">
        <w:t>9484819</w:t>
      </w:r>
      <w:r>
        <w:t xml:space="preserve"> at 1 (U.S. Comments on draft EU Space Act).</w:t>
      </w:r>
    </w:p>
  </w:footnote>
  <w:footnote w:id="16">
    <w:p w:rsidR="0043341A" w:rsidP="0043341A" w14:paraId="31FB49C4" w14:textId="77777777">
      <w:pPr>
        <w:pStyle w:val="FootnoteText"/>
      </w:pPr>
      <w:r>
        <w:rPr>
          <w:rStyle w:val="FootnoteReference"/>
        </w:rPr>
        <w:footnoteRef/>
      </w:r>
      <w:r>
        <w:t xml:space="preserve"> </w:t>
      </w:r>
      <w:r w:rsidRPr="00785829">
        <w:rPr>
          <w:i/>
          <w:iCs/>
        </w:rPr>
        <w:t>Id.</w:t>
      </w:r>
    </w:p>
  </w:footnote>
  <w:footnote w:id="17">
    <w:p w:rsidR="001428B1" w14:paraId="3838966E" w14:textId="5EE9FC81">
      <w:pPr>
        <w:pStyle w:val="FootnoteText"/>
      </w:pPr>
      <w:r>
        <w:rPr>
          <w:rStyle w:val="FootnoteReference"/>
        </w:rPr>
        <w:footnoteRef/>
      </w:r>
      <w:r>
        <w:t xml:space="preserve"> </w:t>
      </w:r>
      <w:r w:rsidR="003767CF">
        <w:t>Draft EU Space Act</w:t>
      </w:r>
      <w:r w:rsidR="00C424B6">
        <w:t>,</w:t>
      </w:r>
      <w:r w:rsidR="003767CF">
        <w:t xml:space="preserve"> </w:t>
      </w:r>
      <w:r w:rsidR="00F97AAA">
        <w:t>A</w:t>
      </w:r>
      <w:r w:rsidR="008561B3">
        <w:t>rts. 105-08.</w:t>
      </w:r>
    </w:p>
  </w:footnote>
  <w:footnote w:id="18">
    <w:p w:rsidR="005A0EEB" w:rsidP="005A0EEB" w14:paraId="7E53E2A9" w14:textId="4E498EE8">
      <w:pPr>
        <w:pStyle w:val="FootnoteText"/>
      </w:pPr>
      <w:r>
        <w:rPr>
          <w:rStyle w:val="FootnoteReference"/>
        </w:rPr>
        <w:footnoteRef/>
      </w:r>
      <w:r>
        <w:t xml:space="preserve"> </w:t>
      </w:r>
      <w:r w:rsidR="003767CF">
        <w:t xml:space="preserve">U.S. Comments on draft EU Space Act </w:t>
      </w:r>
      <w:r>
        <w:t xml:space="preserve">at 3-4; </w:t>
      </w:r>
      <w:r w:rsidRPr="00D500FC">
        <w:rPr>
          <w:i/>
          <w:iCs/>
        </w:rPr>
        <w:t>see also</w:t>
      </w:r>
      <w:r>
        <w:t xml:space="preserve"> </w:t>
      </w:r>
      <w:r w:rsidR="00B3259D">
        <w:t>d</w:t>
      </w:r>
      <w:r>
        <w:t>raft EU Space Act, Arts</w:t>
      </w:r>
      <w:r w:rsidR="00947017">
        <w:t>.</w:t>
      </w:r>
      <w:r>
        <w:t xml:space="preserve"> 16 and 105.  An updated draft of the legislation submitted by </w:t>
      </w:r>
      <w:r w:rsidR="003C66FB">
        <w:t xml:space="preserve">the </w:t>
      </w:r>
      <w:r>
        <w:t>Danish presidency appears to have addressed some of the United States’ concerns</w:t>
      </w:r>
      <w:r w:rsidR="002B544F">
        <w:t xml:space="preserve">, </w:t>
      </w:r>
      <w:r w:rsidRPr="00AA0D45" w:rsidR="002B544F">
        <w:rPr>
          <w:i/>
          <w:iCs/>
        </w:rPr>
        <w:t>see</w:t>
      </w:r>
      <w:r w:rsidR="002B544F">
        <w:t xml:space="preserve"> </w:t>
      </w:r>
      <w:hyperlink r:id="rId3" w:history="1">
        <w:r w:rsidRPr="000C021A" w:rsidR="002626B7">
          <w:rPr>
            <w:rStyle w:val="Hyperlink"/>
          </w:rPr>
          <w:t>https://data.consilium.europa.eu/doc/document/ST-16437-2025-INIT/en/pdf</w:t>
        </w:r>
      </w:hyperlink>
      <w:r>
        <w:t>.</w:t>
      </w:r>
    </w:p>
  </w:footnote>
  <w:footnote w:id="19">
    <w:p w:rsidR="005A0EEB" w:rsidP="005A0EEB" w14:paraId="732B6953" w14:textId="618877C9">
      <w:pPr>
        <w:pStyle w:val="FootnoteText"/>
      </w:pPr>
      <w:r>
        <w:rPr>
          <w:rStyle w:val="FootnoteReference"/>
        </w:rPr>
        <w:footnoteRef/>
      </w:r>
      <w:r>
        <w:t xml:space="preserve"> </w:t>
      </w:r>
      <w:r w:rsidRPr="005E3604">
        <w:t xml:space="preserve">Proposal for a </w:t>
      </w:r>
      <w:r w:rsidRPr="005E3604" w:rsidR="00C17B5C">
        <w:t xml:space="preserve">Regulation </w:t>
      </w:r>
      <w:r w:rsidR="00C17B5C">
        <w:t>o</w:t>
      </w:r>
      <w:r w:rsidRPr="005E3604" w:rsidR="00C17B5C">
        <w:t xml:space="preserve">f </w:t>
      </w:r>
      <w:r w:rsidR="00C17B5C">
        <w:t>t</w:t>
      </w:r>
      <w:r w:rsidRPr="005E3604" w:rsidR="00C17B5C">
        <w:t xml:space="preserve">he European Parliament </w:t>
      </w:r>
      <w:r w:rsidR="00C17B5C">
        <w:t>a</w:t>
      </w:r>
      <w:r w:rsidRPr="005E3604" w:rsidR="00C17B5C">
        <w:t xml:space="preserve">nd </w:t>
      </w:r>
      <w:r w:rsidR="00C17B5C">
        <w:t>o</w:t>
      </w:r>
      <w:r w:rsidRPr="005E3604" w:rsidR="00C17B5C">
        <w:t xml:space="preserve">f </w:t>
      </w:r>
      <w:r w:rsidR="00C17B5C">
        <w:t>t</w:t>
      </w:r>
      <w:r w:rsidRPr="005E3604" w:rsidR="00C17B5C">
        <w:t xml:space="preserve">he Council </w:t>
      </w:r>
      <w:r w:rsidRPr="005E3604">
        <w:t xml:space="preserve">on digital networks, amending Regulation (EU) 2015/2120, Directive 2002/58/EC and Decision No 676/2002/EC and repealing Regulation (EU) 2018/1971, Directive (EU) 2018/1972 and Decision No 243/2012/EU </w:t>
      </w:r>
      <w:r>
        <w:t>(Jan. 21, 2026).</w:t>
      </w:r>
    </w:p>
  </w:footnote>
  <w:footnote w:id="20">
    <w:p w:rsidR="005A0EEB" w:rsidP="005A0EEB" w14:paraId="63747FC6" w14:textId="77777777">
      <w:pPr>
        <w:pStyle w:val="FootnoteText"/>
      </w:pPr>
      <w:r>
        <w:rPr>
          <w:rStyle w:val="FootnoteReference"/>
        </w:rPr>
        <w:footnoteRef/>
      </w:r>
      <w:r>
        <w:t xml:space="preserve"> </w:t>
      </w:r>
      <w:r w:rsidRPr="00BB7E95">
        <w:rPr>
          <w:i/>
          <w:iCs/>
        </w:rPr>
        <w:t>Id.</w:t>
      </w:r>
      <w:r>
        <w:t xml:space="preserve"> at 55; </w:t>
      </w:r>
      <w:r w:rsidRPr="00A5329F">
        <w:rPr>
          <w:i/>
          <w:iCs/>
        </w:rPr>
        <w:t>see also id.</w:t>
      </w:r>
      <w:r>
        <w:t xml:space="preserve"> at 154-161.  For space stations relying on an International Telecommunication Union (ITU) filing done by a “third country,” such as the United States, the draft requires a demonstration that “the jurisdiction of that country provides for effective resolution of harmful interference and implements tools for immediate accountability in case of unlawful use.”  </w:t>
      </w:r>
      <w:r w:rsidRPr="00E810CA">
        <w:rPr>
          <w:i/>
          <w:iCs/>
        </w:rPr>
        <w:t>Id.</w:t>
      </w:r>
      <w:r>
        <w:t xml:space="preserve"> at 157, Art. 39, 4(e).</w:t>
      </w:r>
    </w:p>
  </w:footnote>
  <w:footnote w:id="21">
    <w:p w:rsidR="0003412F" w14:paraId="5CAFB385" w14:textId="79C7F780">
      <w:pPr>
        <w:pStyle w:val="FootnoteText"/>
      </w:pPr>
      <w:r>
        <w:rPr>
          <w:rStyle w:val="FootnoteReference"/>
        </w:rPr>
        <w:footnoteRef/>
      </w:r>
      <w:r>
        <w:t xml:space="preserve"> </w:t>
      </w:r>
      <w:r w:rsidRPr="00AA0D45" w:rsidR="00862BC9">
        <w:rPr>
          <w:i/>
          <w:iCs/>
        </w:rPr>
        <w:t>See</w:t>
      </w:r>
      <w:r w:rsidR="00862BC9">
        <w:t xml:space="preserve"> World Trade Organization, Trade in Services Exemptions, </w:t>
      </w:r>
      <w:r w:rsidRPr="00CE4428" w:rsidR="00862BC9">
        <w:t>GATS/EL/90/Suppl.2</w:t>
      </w:r>
      <w:r w:rsidR="00862BC9">
        <w:t xml:space="preserve">, The United States - List of Article II (MFN) Exemptions Supplement 2, (Apr. 11, 1997), </w:t>
      </w:r>
      <w:hyperlink r:id="rId4" w:history="1">
        <w:r w:rsidRPr="005B58A9" w:rsidR="00862BC9">
          <w:rPr>
            <w:rStyle w:val="Hyperlink"/>
          </w:rPr>
          <w:t>https://docs.wto.org/dol2fe/Pages/SS/directdoc.aspx?filename=Q:/SCHD/GATS-EL/EL90S2.pdf&amp;Open=True</w:t>
        </w:r>
      </w:hyperlink>
      <w:r w:rsidR="00862BC9">
        <w:t xml:space="preserve"> at 2, stating, as the conditions creating the need for the exemption, the “[n]</w:t>
      </w:r>
      <w:r w:rsidRPr="00450EBA" w:rsidR="00862BC9">
        <w:t>eed</w:t>
      </w:r>
      <w:r w:rsidRPr="00450EBA" w:rsidR="00862BC9">
        <w:t xml:space="preserve"> to ensure substantially full market access and national treatment in certain markets</w:t>
      </w:r>
      <w:r w:rsidR="00862BC9">
        <w:t xml:space="preserve">.” </w:t>
      </w:r>
      <w:r w:rsidR="0039086F">
        <w:t xml:space="preserve"> These services are subject to the Commission’s ECO-SAT test.</w:t>
      </w:r>
    </w:p>
  </w:footnote>
  <w:footnote w:id="22">
    <w:p w:rsidR="00367341" w14:paraId="188F3200" w14:textId="45E2E64F">
      <w:pPr>
        <w:pStyle w:val="FootnoteText"/>
      </w:pPr>
      <w:r>
        <w:rPr>
          <w:rStyle w:val="FootnoteReference"/>
        </w:rPr>
        <w:footnoteRef/>
      </w:r>
      <w:r>
        <w:t xml:space="preserve"> </w:t>
      </w:r>
      <w:r w:rsidR="00BA371C">
        <w:t xml:space="preserve">NTE Report </w:t>
      </w:r>
      <w:r>
        <w:t>at 44.</w:t>
      </w:r>
      <w:r w:rsidR="00445920">
        <w:t xml:space="preserve">  </w:t>
      </w:r>
      <w:r w:rsidRPr="00785829" w:rsidR="00445920">
        <w:rPr>
          <w:snapToGrid w:val="0"/>
          <w:szCs w:val="20"/>
        </w:rPr>
        <w:t>Foreign channels are further prohibited from owning video distribution infrastructure in Canada.</w:t>
      </w:r>
      <w:r w:rsidR="00445920">
        <w:rPr>
          <w:snapToGrid w:val="0"/>
          <w:szCs w:val="20"/>
        </w:rPr>
        <w:t xml:space="preserve">  </w:t>
      </w:r>
      <w:r w:rsidR="00445920">
        <w:t>N</w:t>
      </w:r>
      <w:r w:rsidRPr="004E57D7" w:rsidR="00445920">
        <w:rPr>
          <w:snapToGrid w:val="0"/>
          <w:szCs w:val="20"/>
        </w:rPr>
        <w:t xml:space="preserve">on-Canadian channels can become Canadian by ceding majority equity control to a Canadian partner, as some U.S. channels have done.  </w:t>
      </w:r>
      <w:r w:rsidRPr="004E57D7" w:rsidR="00445920">
        <w:rPr>
          <w:i/>
          <w:iCs/>
          <w:snapToGrid w:val="0"/>
          <w:szCs w:val="20"/>
        </w:rPr>
        <w:t>Id.</w:t>
      </w:r>
    </w:p>
  </w:footnote>
  <w:footnote w:id="23">
    <w:p w:rsidR="003D6756" w:rsidRPr="00462F00" w:rsidP="003D6756" w14:paraId="2B9C78BE" w14:textId="2CAA3EC4">
      <w:pPr>
        <w:pStyle w:val="FootnoteText"/>
      </w:pPr>
      <w:r>
        <w:rPr>
          <w:rStyle w:val="FootnoteReference"/>
        </w:rPr>
        <w:footnoteRef/>
      </w:r>
      <w:r>
        <w:t xml:space="preserve"> </w:t>
      </w:r>
      <w:r w:rsidRPr="00AA0D45" w:rsidR="00BA371C">
        <w:rPr>
          <w:i/>
          <w:iCs/>
        </w:rPr>
        <w:t>Id.</w:t>
      </w:r>
      <w:r w:rsidR="00BA371C">
        <w:t xml:space="preserve"> </w:t>
      </w:r>
      <w:r>
        <w:t xml:space="preserve">at 208.  </w:t>
      </w:r>
      <w:r w:rsidRPr="003D6756">
        <w:t xml:space="preserve">In practice, </w:t>
      </w:r>
      <w:r>
        <w:t xml:space="preserve">Indian </w:t>
      </w:r>
      <w:r w:rsidRPr="003D6756">
        <w:t xml:space="preserve">DTH licensees have not been permitted to contract directly with foreign satellite operators. </w:t>
      </w:r>
      <w:r>
        <w:t xml:space="preserve"> </w:t>
      </w:r>
      <w:r w:rsidRPr="003D6756">
        <w:t xml:space="preserve">Rather, DTH licensees must procure satellite capacity through Antrix, the commercial arm of the Indian Space Research Organization, which only permits foreign procurements if it does not have available capacity on Indian satellites. </w:t>
      </w:r>
      <w:r>
        <w:t xml:space="preserve"> </w:t>
      </w:r>
      <w:r w:rsidRPr="00462F00">
        <w:rPr>
          <w:i/>
          <w:iCs/>
        </w:rPr>
        <w:t>Id.</w:t>
      </w:r>
    </w:p>
  </w:footnote>
  <w:footnote w:id="24">
    <w:p w:rsidR="00787608" w:rsidRPr="00462F00" w:rsidP="00787608" w14:paraId="2E39626F" w14:textId="77777777">
      <w:pPr>
        <w:pStyle w:val="FootnoteText"/>
      </w:pPr>
      <w:r>
        <w:rPr>
          <w:rStyle w:val="FootnoteReference"/>
        </w:rPr>
        <w:footnoteRef/>
      </w:r>
      <w:r w:rsidRPr="00462F00">
        <w:t xml:space="preserve"> </w:t>
      </w:r>
      <w:r w:rsidRPr="00462F00">
        <w:rPr>
          <w:i/>
          <w:iCs/>
        </w:rPr>
        <w:t>Id.</w:t>
      </w:r>
      <w:r w:rsidRPr="00462F00">
        <w:t xml:space="preserve"> at 254.</w:t>
      </w:r>
    </w:p>
  </w:footnote>
  <w:footnote w:id="25">
    <w:p w:rsidR="00A424F9" w14:paraId="0C41C40B" w14:textId="42338430">
      <w:pPr>
        <w:pStyle w:val="FootnoteText"/>
      </w:pPr>
      <w:r>
        <w:rPr>
          <w:rStyle w:val="FootnoteReference"/>
        </w:rPr>
        <w:footnoteRef/>
      </w:r>
      <w:r>
        <w:t xml:space="preserve"> </w:t>
      </w:r>
      <w:r w:rsidRPr="00AA0D45" w:rsidR="00D81A2A">
        <w:rPr>
          <w:i/>
          <w:iCs/>
        </w:rPr>
        <w:t>See, e.g., id.</w:t>
      </w:r>
      <w:r w:rsidR="00D81A2A">
        <w:t xml:space="preserve"> at </w:t>
      </w:r>
      <w:r w:rsidR="0014766A">
        <w:t xml:space="preserve">187, </w:t>
      </w:r>
      <w:r w:rsidR="00F97144">
        <w:t xml:space="preserve">337, </w:t>
      </w:r>
      <w:r w:rsidR="00C2185C">
        <w:t xml:space="preserve">353, </w:t>
      </w:r>
      <w:r w:rsidR="005E5B59">
        <w:t>355</w:t>
      </w:r>
      <w:r w:rsidR="008234EC">
        <w:t>-</w:t>
      </w:r>
      <w:r w:rsidR="002D2B97">
        <w:t>56</w:t>
      </w:r>
      <w:r w:rsidR="0014766A">
        <w:t>.</w:t>
      </w:r>
    </w:p>
  </w:footnote>
  <w:footnote w:id="26">
    <w:p w:rsidR="0063595E" w:rsidRPr="00462F00" w:rsidP="0063595E" w14:paraId="090EF04B" w14:textId="5B950FF0">
      <w:pPr>
        <w:pStyle w:val="FootnoteText"/>
      </w:pPr>
      <w:r>
        <w:rPr>
          <w:rStyle w:val="FootnoteReference"/>
        </w:rPr>
        <w:footnoteRef/>
      </w:r>
      <w:r w:rsidRPr="00462F00">
        <w:t xml:space="preserve"> </w:t>
      </w:r>
      <w:r w:rsidRPr="00462F00" w:rsidR="00F32A94">
        <w:rPr>
          <w:i/>
          <w:iCs/>
        </w:rPr>
        <w:t>Id.</w:t>
      </w:r>
      <w:r w:rsidRPr="00462F00">
        <w:t xml:space="preserve"> at 366.</w:t>
      </w:r>
    </w:p>
  </w:footnote>
  <w:footnote w:id="27">
    <w:p w:rsidR="00787608" w:rsidRPr="00462F00" w:rsidP="00787608" w14:paraId="5B3B27F5" w14:textId="5699BF3E">
      <w:pPr>
        <w:pStyle w:val="FootnoteText"/>
      </w:pPr>
      <w:r>
        <w:rPr>
          <w:rStyle w:val="FootnoteReference"/>
        </w:rPr>
        <w:footnoteRef/>
      </w:r>
      <w:r w:rsidRPr="00462F00">
        <w:t xml:space="preserve"> </w:t>
      </w:r>
      <w:r w:rsidRPr="00462F00" w:rsidR="00F32A94">
        <w:rPr>
          <w:i/>
          <w:iCs/>
        </w:rPr>
        <w:t>Id.</w:t>
      </w:r>
      <w:r w:rsidRPr="00462F00">
        <w:t xml:space="preserve"> at 33.</w:t>
      </w:r>
    </w:p>
  </w:footnote>
  <w:footnote w:id="28">
    <w:p w:rsidR="00F32A94" w:rsidRPr="00462F00" w14:paraId="28F38DB9" w14:textId="055DFA76">
      <w:pPr>
        <w:pStyle w:val="FootnoteText"/>
      </w:pPr>
      <w:r>
        <w:rPr>
          <w:rStyle w:val="FootnoteReference"/>
        </w:rPr>
        <w:footnoteRef/>
      </w:r>
      <w:r w:rsidRPr="00462F00">
        <w:t xml:space="preserve"> </w:t>
      </w:r>
      <w:r w:rsidRPr="00AA0D45" w:rsidR="000E0281">
        <w:rPr>
          <w:i/>
          <w:iCs/>
        </w:rPr>
        <w:t xml:space="preserve">See </w:t>
      </w:r>
      <w:r w:rsidRPr="000E0281" w:rsidR="000E0281">
        <w:rPr>
          <w:i/>
          <w:iCs/>
        </w:rPr>
        <w:t>i</w:t>
      </w:r>
      <w:r w:rsidRPr="00462F00">
        <w:rPr>
          <w:i/>
          <w:iCs/>
        </w:rPr>
        <w:t>d.</w:t>
      </w:r>
      <w:r w:rsidRPr="00462F00">
        <w:t xml:space="preserve"> at </w:t>
      </w:r>
      <w:r w:rsidR="003A28DE">
        <w:t>187</w:t>
      </w:r>
      <w:r w:rsidRPr="00462F00">
        <w:t>.</w:t>
      </w:r>
    </w:p>
  </w:footnote>
  <w:footnote w:id="29">
    <w:p w:rsidR="00D827B4" w:rsidRPr="00D827B4" w14:paraId="71AFAEE4" w14:textId="15476E70">
      <w:pPr>
        <w:pStyle w:val="FootnoteText"/>
      </w:pPr>
      <w:r>
        <w:rPr>
          <w:rStyle w:val="FootnoteReference"/>
        </w:rPr>
        <w:footnoteRef/>
      </w:r>
      <w:r w:rsidRPr="00D827B4">
        <w:t xml:space="preserve"> </w:t>
      </w:r>
      <w:r w:rsidR="00A901BB">
        <w:t xml:space="preserve">Any comments </w:t>
      </w:r>
      <w:r w:rsidR="00CC1201">
        <w:t>regarding</w:t>
      </w:r>
      <w:r w:rsidR="00A901BB">
        <w:t xml:space="preserve"> WRC-27 issues including, but not limited to, satellite spectrum use or harmful interference, should be instead made through the appropriate channels for WRC-27. </w:t>
      </w:r>
      <w:r w:rsidR="00250710">
        <w:t xml:space="preserve"> </w:t>
      </w:r>
      <w:r w:rsidR="00A901BB">
        <w:rPr>
          <w:i/>
          <w:iCs/>
        </w:rPr>
        <w:t xml:space="preserve">See </w:t>
      </w:r>
      <w:r w:rsidR="00A901BB">
        <w:t xml:space="preserve">Federal Communications Commission, </w:t>
      </w:r>
      <w:r w:rsidRPr="004E57D7" w:rsidR="00A901BB">
        <w:rPr>
          <w:i/>
          <w:iCs/>
        </w:rPr>
        <w:t>WRC-27</w:t>
      </w:r>
      <w:r w:rsidR="00A901BB">
        <w:t xml:space="preserve">, </w:t>
      </w:r>
      <w:hyperlink r:id="rId5" w:history="1">
        <w:r w:rsidRPr="00250710" w:rsidR="00250710">
          <w:rPr>
            <w:rStyle w:val="Hyperlink"/>
          </w:rPr>
          <w:t>https://www.fcc.gov/wrc-27</w:t>
        </w:r>
      </w:hyperlink>
      <w:r w:rsidR="00A901BB">
        <w:t xml:space="preserve"> (last visited Feb. </w:t>
      </w:r>
      <w:r w:rsidR="00762358">
        <w:t>27</w:t>
      </w:r>
      <w:r w:rsidR="00A901BB">
        <w:t>, 2026).</w:t>
      </w:r>
    </w:p>
  </w:footnote>
  <w:footnote w:id="30">
    <w:p w:rsidR="004A7241" w:rsidRPr="00785829" w:rsidP="004A7241" w14:paraId="3E1FAF0A" w14:textId="5A2BBF08">
      <w:pPr>
        <w:pStyle w:val="FootnoteText"/>
        <w:rPr>
          <w:lang w:val="nb-NO"/>
        </w:rPr>
      </w:pPr>
      <w:r w:rsidRPr="00E25532">
        <w:rPr>
          <w:rStyle w:val="FootnoteReference"/>
        </w:rPr>
        <w:footnoteRef/>
      </w:r>
      <w:r w:rsidRPr="00785829">
        <w:rPr>
          <w:i/>
          <w:iCs/>
          <w:lang w:val="nb-NO"/>
        </w:rPr>
        <w:t xml:space="preserve"> </w:t>
      </w:r>
      <w:r w:rsidRPr="00785829">
        <w:rPr>
          <w:rFonts w:ascii="TimesNewRomanPSMT" w:hAnsi="TimesNewRomanPSMT" w:cs="TimesNewRomanPSMT"/>
          <w:lang w:val="nb-NO"/>
        </w:rPr>
        <w:t xml:space="preserve">47 CFR § 1.1200 </w:t>
      </w:r>
      <w:r w:rsidRPr="00785829">
        <w:rPr>
          <w:rFonts w:ascii="TimesNewRomanPS-ItalicMT" w:hAnsi="TimesNewRomanPS-ItalicMT" w:cs="TimesNewRomanPS-ItalicMT"/>
          <w:i/>
          <w:iCs/>
          <w:lang w:val="nb-NO"/>
        </w:rPr>
        <w:t>et seq</w:t>
      </w:r>
      <w:r w:rsidRPr="00785829">
        <w:rPr>
          <w:rFonts w:ascii="TimesNewRomanPSMT" w:hAnsi="TimesNewRomanPSMT" w:cs="TimesNewRomanPSMT"/>
          <w:lang w:val="nb-N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1C7C" w:rsidRPr="002D2820" w:rsidP="002D2820" w14:paraId="112D8ED0" w14:textId="105D3760">
    <w:pPr>
      <w:pStyle w:val="Header"/>
      <w:pBdr>
        <w:bottom w:val="single" w:sz="4" w:space="1" w:color="auto"/>
      </w:pBdr>
      <w:tabs>
        <w:tab w:val="clear" w:pos="4680"/>
        <w:tab w:val="clear" w:pos="9360"/>
      </w:tabs>
      <w:rPr>
        <w:b/>
        <w:bCs/>
      </w:rPr>
    </w:pPr>
    <w:r>
      <w:ptab w:relativeTo="margin" w:alignment="center" w:leader="none"/>
    </w:r>
    <w:r w:rsidRPr="002D2820">
      <w:rPr>
        <w:b/>
        <w:bCs/>
      </w:rPr>
      <w:t>Federal Communications Commission</w:t>
    </w:r>
    <w:r>
      <w:ptab w:relativeTo="margin" w:alignment="right" w:leader="none"/>
    </w:r>
    <w:r w:rsidRPr="002D2820">
      <w:rPr>
        <w:b/>
        <w:bCs/>
      </w:rPr>
      <w:fldChar w:fldCharType="begin"/>
    </w:r>
    <w:r w:rsidRPr="002D2820">
      <w:rPr>
        <w:b/>
        <w:bCs/>
      </w:rPr>
      <w:instrText xml:space="preserve"> STYLEREF  "PN-DA Number"  \* MERGEFORMAT </w:instrText>
    </w:r>
    <w:r w:rsidRPr="002D2820">
      <w:rPr>
        <w:b/>
        <w:bCs/>
      </w:rPr>
      <w:fldChar w:fldCharType="separate"/>
    </w:r>
    <w:r w:rsidR="008511F0">
      <w:rPr>
        <w:b/>
        <w:bCs/>
        <w:noProof/>
      </w:rPr>
      <w:t>DA 26-208</w:t>
    </w:r>
    <w:r w:rsidRPr="002D2820">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0B699"/>
    <w:multiLevelType w:val="hybridMultilevel"/>
    <w:tmpl w:val="FFFFFFFF"/>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
    <w:nsid w:val="09E708B7"/>
    <w:multiLevelType w:val="hybridMultilevel"/>
    <w:tmpl w:val="43022212"/>
    <w:lvl w:ilvl="0">
      <w:start w:val="1"/>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E3F0CDD"/>
    <w:multiLevelType w:val="multilevel"/>
    <w:tmpl w:val="FD2C1B58"/>
    <w:lvl w:ilvl="0">
      <w:start w:val="1"/>
      <w:numFmt w:val="decimal"/>
      <w:pStyle w:val="NIList"/>
      <w:lvlText w:val="(%1)"/>
      <w:lvlJc w:val="left"/>
      <w:pPr>
        <w:tabs>
          <w:tab w:val="num" w:pos="1440"/>
        </w:tabs>
        <w:ind w:left="1080" w:hanging="360"/>
      </w:pPr>
      <w:rPr>
        <w:rFonts w:hint="default"/>
      </w:rPr>
    </w:lvl>
    <w:lvl w:ilvl="1">
      <w:start w:val="1"/>
      <w:numFmt w:val="lowerLetter"/>
      <w:pStyle w:val="NIList2"/>
      <w:lvlText w:val="(%2)"/>
      <w:lvlJc w:val="left"/>
      <w:pPr>
        <w:tabs>
          <w:tab w:val="num" w:pos="1800"/>
        </w:tabs>
        <w:ind w:left="1440" w:hanging="360"/>
      </w:pPr>
      <w:rPr>
        <w:rFonts w:hint="default"/>
      </w:rPr>
    </w:lvl>
    <w:lvl w:ilvl="2">
      <w:start w:val="1"/>
      <w:numFmt w:val="lowerRoman"/>
      <w:pStyle w:val="NIList3"/>
      <w:lvlText w:val="%3."/>
      <w:lvlJc w:val="left"/>
      <w:pPr>
        <w:tabs>
          <w:tab w:val="num" w:pos="2160"/>
        </w:tabs>
        <w:ind w:left="1800" w:hanging="360"/>
      </w:pPr>
      <w:rPr>
        <w:rFonts w:hint="default"/>
      </w:rPr>
    </w:lvl>
    <w:lvl w:ilvl="3">
      <w:start w:val="1"/>
      <w:numFmt w:val="lowerLetter"/>
      <w:pStyle w:val="NIList4"/>
      <w:lvlText w:val="%4."/>
      <w:lvlJc w:val="left"/>
      <w:pPr>
        <w:tabs>
          <w:tab w:val="num" w:pos="2520"/>
        </w:tabs>
        <w:ind w:left="2160" w:hanging="360"/>
      </w:pPr>
      <w:rPr>
        <w:rFonts w:hint="default"/>
      </w:rPr>
    </w:lvl>
    <w:lvl w:ilvl="4">
      <w:start w:val="1"/>
      <w:numFmt w:val="decimal"/>
      <w:pStyle w:val="NIList5"/>
      <w:lvlText w:val="(%5)"/>
      <w:lvlJc w:val="left"/>
      <w:pPr>
        <w:tabs>
          <w:tab w:val="num" w:pos="2880"/>
        </w:tabs>
        <w:ind w:left="2520" w:hanging="360"/>
      </w:pPr>
      <w:rPr>
        <w:rFonts w:hint="default"/>
      </w:rPr>
    </w:lvl>
    <w:lvl w:ilvl="5">
      <w:start w:val="1"/>
      <w:numFmt w:val="lowerLetter"/>
      <w:pStyle w:val="NIList6"/>
      <w:lvlText w:val="(%6)"/>
      <w:lvlJc w:val="left"/>
      <w:pPr>
        <w:tabs>
          <w:tab w:val="num" w:pos="3240"/>
        </w:tabs>
        <w:ind w:left="2880" w:hanging="360"/>
      </w:pPr>
      <w:rPr>
        <w:rFonts w:hint="default"/>
      </w:rPr>
    </w:lvl>
    <w:lvl w:ilvl="6">
      <w:start w:val="1"/>
      <w:numFmt w:val="lowerRoman"/>
      <w:pStyle w:val="NIList7"/>
      <w:lvlText w:val="(%7)"/>
      <w:lvlJc w:val="left"/>
      <w:pPr>
        <w:tabs>
          <w:tab w:val="num" w:pos="3600"/>
        </w:tabs>
        <w:ind w:left="3240" w:hanging="360"/>
      </w:pPr>
      <w:rPr>
        <w:rFonts w:hint="default"/>
      </w:rPr>
    </w:lvl>
    <w:lvl w:ilvl="7">
      <w:start w:val="1"/>
      <w:numFmt w:val="lowerLetter"/>
      <w:pStyle w:val="NIList8"/>
      <w:lvlText w:val="%8."/>
      <w:lvlJc w:val="left"/>
      <w:pPr>
        <w:tabs>
          <w:tab w:val="num" w:pos="3960"/>
        </w:tabs>
        <w:ind w:left="3600" w:hanging="360"/>
      </w:pPr>
      <w:rPr>
        <w:rFonts w:hint="default"/>
      </w:rPr>
    </w:lvl>
    <w:lvl w:ilvl="8">
      <w:start w:val="1"/>
      <w:numFmt w:val="decimal"/>
      <w:pStyle w:val="NIList9"/>
      <w:lvlText w:val="%9."/>
      <w:lvlJc w:val="left"/>
      <w:pPr>
        <w:tabs>
          <w:tab w:val="num" w:pos="4320"/>
        </w:tabs>
        <w:ind w:left="3960" w:hanging="360"/>
      </w:pPr>
      <w:rPr>
        <w:rFonts w:hint="default"/>
      </w:rPr>
    </w:lvl>
  </w:abstractNum>
  <w:abstractNum w:abstractNumId="3">
    <w:nsid w:val="24E105C4"/>
    <w:multiLevelType w:val="hybridMultilevel"/>
    <w:tmpl w:val="D3261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E06CBB"/>
    <w:multiLevelType w:val="multilevel"/>
    <w:tmpl w:val="7764A49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88D7453"/>
    <w:multiLevelType w:val="hybridMultilevel"/>
    <w:tmpl w:val="F1362418"/>
    <w:lvl w:ilvl="0">
      <w:start w:val="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0E2263"/>
    <w:multiLevelType w:val="multilevel"/>
    <w:tmpl w:val="815C31AA"/>
    <w:lvl w:ilvl="0">
      <w:start w:val="0"/>
      <w:numFmt w:val="bullet"/>
      <w:pStyle w:val="NIBullet"/>
      <w:lvlText w:val="•"/>
      <w:lvlJc w:val="left"/>
      <w:pPr>
        <w:ind w:left="1080" w:hanging="360"/>
      </w:pPr>
      <w:rPr>
        <w:rFonts w:ascii="Calibri" w:hAnsi="Calibri" w:hint="default"/>
      </w:rPr>
    </w:lvl>
    <w:lvl w:ilvl="1">
      <w:start w:val="1"/>
      <w:numFmt w:val="bullet"/>
      <w:pStyle w:val="NIBullet2"/>
      <w:lvlText w:val="o"/>
      <w:lvlJc w:val="left"/>
      <w:pPr>
        <w:ind w:left="1440" w:hanging="360"/>
      </w:pPr>
      <w:rPr>
        <w:rFonts w:ascii="Courier New" w:hAnsi="Courier New" w:hint="default"/>
      </w:rPr>
    </w:lvl>
    <w:lvl w:ilvl="2">
      <w:start w:val="1"/>
      <w:numFmt w:val="bullet"/>
      <w:pStyle w:val="NIBullet3"/>
      <w:lvlText w:val=""/>
      <w:lvlJc w:val="left"/>
      <w:pPr>
        <w:ind w:left="1800" w:hanging="360"/>
      </w:pPr>
      <w:rPr>
        <w:rFonts w:ascii="Wingdings" w:hAnsi="Wingdings" w:hint="default"/>
      </w:rPr>
    </w:lvl>
    <w:lvl w:ilvl="3">
      <w:start w:val="1"/>
      <w:numFmt w:val="bullet"/>
      <w:pStyle w:val="NIBullet4"/>
      <w:lvlText w:val=""/>
      <w:lvlJc w:val="left"/>
      <w:pPr>
        <w:ind w:left="2160" w:hanging="360"/>
      </w:pPr>
      <w:rPr>
        <w:rFonts w:ascii="Symbol" w:hAnsi="Symbol" w:hint="default"/>
      </w:rPr>
    </w:lvl>
    <w:lvl w:ilvl="4">
      <w:start w:val="1"/>
      <w:numFmt w:val="bullet"/>
      <w:pStyle w:val="NIBullet5"/>
      <w:lvlText w:val="o"/>
      <w:lvlJc w:val="left"/>
      <w:pPr>
        <w:ind w:left="2520" w:hanging="360"/>
      </w:pPr>
      <w:rPr>
        <w:rFonts w:ascii="Courier New" w:hAnsi="Courier New" w:hint="default"/>
      </w:rPr>
    </w:lvl>
    <w:lvl w:ilvl="5">
      <w:start w:val="1"/>
      <w:numFmt w:val="bullet"/>
      <w:pStyle w:val="NIBullet6"/>
      <w:lvlText w:val=""/>
      <w:lvlJc w:val="left"/>
      <w:pPr>
        <w:ind w:left="2880" w:hanging="360"/>
      </w:pPr>
      <w:rPr>
        <w:rFonts w:ascii="Wingdings" w:hAnsi="Wingdings" w:hint="default"/>
      </w:rPr>
    </w:lvl>
    <w:lvl w:ilvl="6">
      <w:start w:val="1"/>
      <w:numFmt w:val="bullet"/>
      <w:pStyle w:val="NIBullet7"/>
      <w:lvlText w:val=""/>
      <w:lvlJc w:val="left"/>
      <w:pPr>
        <w:ind w:left="3240" w:hanging="360"/>
      </w:pPr>
      <w:rPr>
        <w:rFonts w:ascii="Symbol" w:hAnsi="Symbol" w:hint="default"/>
      </w:rPr>
    </w:lvl>
    <w:lvl w:ilvl="7">
      <w:start w:val="1"/>
      <w:numFmt w:val="bullet"/>
      <w:pStyle w:val="NIBullet8"/>
      <w:lvlText w:val="o"/>
      <w:lvlJc w:val="left"/>
      <w:pPr>
        <w:ind w:left="3600" w:hanging="360"/>
      </w:pPr>
      <w:rPr>
        <w:rFonts w:ascii="Courier New" w:hAnsi="Courier New" w:hint="default"/>
      </w:rPr>
    </w:lvl>
    <w:lvl w:ilvl="8">
      <w:start w:val="1"/>
      <w:numFmt w:val="bullet"/>
      <w:pStyle w:val="NIBullet9"/>
      <w:lvlText w:val=""/>
      <w:lvlJc w:val="left"/>
      <w:pPr>
        <w:ind w:left="3960" w:hanging="360"/>
      </w:pPr>
      <w:rPr>
        <w:rFonts w:ascii="Wingdings" w:hAnsi="Wingdings" w:hint="default"/>
      </w:rPr>
    </w:lvl>
  </w:abstractNum>
  <w:abstractNum w:abstractNumId="7">
    <w:nsid w:val="2E024E21"/>
    <w:multiLevelType w:val="multilevel"/>
    <w:tmpl w:val="5C742F5E"/>
    <w:lvl w:ilvl="0">
      <w:start w:val="1"/>
      <w:numFmt w:val="bullet"/>
      <w:pStyle w:val="ParaNumBullet"/>
      <w:lvlText w:val=""/>
      <w:lvlJc w:val="left"/>
      <w:pPr>
        <w:tabs>
          <w:tab w:val="num" w:pos="1800"/>
        </w:tabs>
        <w:ind w:left="1800" w:hanging="360"/>
      </w:pPr>
      <w:rPr>
        <w:rFonts w:ascii="Symbol" w:hAnsi="Symbol" w:hint="default"/>
      </w:rPr>
    </w:lvl>
    <w:lvl w:ilvl="1">
      <w:start w:val="1"/>
      <w:numFmt w:val="bullet"/>
      <w:pStyle w:val="ParaNumBullet2"/>
      <w:lvlText w:val="o"/>
      <w:lvlJc w:val="left"/>
      <w:pPr>
        <w:tabs>
          <w:tab w:val="num" w:pos="1872"/>
        </w:tabs>
        <w:ind w:left="2160" w:hanging="360"/>
      </w:pPr>
      <w:rPr>
        <w:rFonts w:ascii="Courier New" w:hAnsi="Courier New" w:hint="default"/>
      </w:rPr>
    </w:lvl>
    <w:lvl w:ilvl="2">
      <w:start w:val="1"/>
      <w:numFmt w:val="bullet"/>
      <w:pStyle w:val="ParaNumBullet3"/>
      <w:lvlText w:val=""/>
      <w:lvlJc w:val="left"/>
      <w:pPr>
        <w:ind w:left="2520" w:hanging="360"/>
      </w:pPr>
      <w:rPr>
        <w:rFonts w:ascii="Wingdings" w:hAnsi="Wingdings" w:hint="default"/>
      </w:rPr>
    </w:lvl>
    <w:lvl w:ilvl="3">
      <w:start w:val="1"/>
      <w:numFmt w:val="bullet"/>
      <w:pStyle w:val="ParaNumBullet4"/>
      <w:lvlText w:val=""/>
      <w:lvlJc w:val="left"/>
      <w:pPr>
        <w:ind w:left="3240" w:hanging="360"/>
      </w:pPr>
      <w:rPr>
        <w:rFonts w:ascii="Symbol" w:hAnsi="Symbol" w:hint="default"/>
      </w:rPr>
    </w:lvl>
    <w:lvl w:ilvl="4">
      <w:start w:val="1"/>
      <w:numFmt w:val="bullet"/>
      <w:pStyle w:val="ParaNumBullet5"/>
      <w:lvlText w:val="o"/>
      <w:lvlJc w:val="left"/>
      <w:pPr>
        <w:ind w:left="3960" w:hanging="360"/>
      </w:pPr>
      <w:rPr>
        <w:rFonts w:ascii="Courier New" w:hAnsi="Courier New" w:hint="default"/>
      </w:rPr>
    </w:lvl>
    <w:lvl w:ilvl="5">
      <w:start w:val="1"/>
      <w:numFmt w:val="bullet"/>
      <w:pStyle w:val="ParaNumBullet6"/>
      <w:lvlText w:val=""/>
      <w:lvlJc w:val="left"/>
      <w:pPr>
        <w:ind w:left="4320" w:hanging="360"/>
      </w:pPr>
      <w:rPr>
        <w:rFonts w:ascii="Wingdings" w:hAnsi="Wingdings" w:hint="default"/>
      </w:rPr>
    </w:lvl>
    <w:lvl w:ilvl="6">
      <w:start w:val="1"/>
      <w:numFmt w:val="bullet"/>
      <w:pStyle w:val="ParaNumBullet7"/>
      <w:lvlText w:val=""/>
      <w:lvlJc w:val="left"/>
      <w:pPr>
        <w:ind w:left="5040" w:hanging="360"/>
      </w:pPr>
      <w:rPr>
        <w:rFonts w:ascii="Symbol" w:hAnsi="Symbol" w:hint="default"/>
      </w:rPr>
    </w:lvl>
    <w:lvl w:ilvl="7">
      <w:start w:val="1"/>
      <w:numFmt w:val="bullet"/>
      <w:pStyle w:val="ParaNumBullet8"/>
      <w:lvlText w:val="o"/>
      <w:lvlJc w:val="left"/>
      <w:pPr>
        <w:ind w:left="5760" w:hanging="360"/>
      </w:pPr>
      <w:rPr>
        <w:rFonts w:ascii="Courier New" w:hAnsi="Courier New" w:hint="default"/>
      </w:rPr>
    </w:lvl>
    <w:lvl w:ilvl="8">
      <w:start w:val="1"/>
      <w:numFmt w:val="bullet"/>
      <w:pStyle w:val="ParaNumBullet9"/>
      <w:lvlText w:val=""/>
      <w:lvlJc w:val="left"/>
      <w:pPr>
        <w:ind w:left="6480" w:hanging="360"/>
      </w:pPr>
      <w:rPr>
        <w:rFonts w:ascii="Wingdings" w:hAnsi="Wingdings" w:hint="default"/>
      </w:rPr>
    </w:lvl>
  </w:abstractNum>
  <w:abstractNum w:abstractNumId="8">
    <w:nsid w:val="38FF409B"/>
    <w:multiLevelType w:val="multilevel"/>
    <w:tmpl w:val="8A903D64"/>
    <w:styleLink w:val="Appendices"/>
    <w:lvl w:ilvl="0">
      <w:start w:val="1"/>
      <w:numFmt w:val="upperLetter"/>
      <w:suff w:val="space"/>
      <w:lvlText w:val="Appendix %1: "/>
      <w:lvlJc w:val="center"/>
      <w:pPr>
        <w:ind w:left="0" w:firstLine="0"/>
      </w:pPr>
      <w:rPr>
        <w:rFonts w:hint="default"/>
      </w:rPr>
    </w:lvl>
    <w:lvl w:ilvl="1">
      <w:start w:val="1"/>
      <w:numFmt w:val="upperLetter"/>
      <w:pStyle w:val="AppendixHeading1"/>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52F57BE"/>
    <w:multiLevelType w:val="multilevel"/>
    <w:tmpl w:val="F312A238"/>
    <w:lvl w:ilvl="0">
      <w:start w:val="1"/>
      <w:numFmt w:val="decimal"/>
      <w:pStyle w:val="AttachmentParaNum"/>
      <w:lvlText w:val="%1."/>
      <w:lvlJc w:val="center"/>
      <w:pPr>
        <w:tabs>
          <w:tab w:val="num" w:pos="1440"/>
        </w:tabs>
        <w:ind w:left="0" w:firstLine="720"/>
      </w:pPr>
      <w:rPr>
        <w:rFonts w:hint="default"/>
      </w:rPr>
    </w:lvl>
    <w:lvl w:ilvl="1">
      <w:start w:val="1"/>
      <w:numFmt w:val="lowerLetter"/>
      <w:lvlText w:val="%2."/>
      <w:lvlJc w:val="left"/>
      <w:pPr>
        <w:ind w:left="0" w:firstLine="1440"/>
      </w:pPr>
      <w:rPr>
        <w:rFonts w:hint="default"/>
        <w:b w:val="0"/>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Restart w:val="1"/>
      <w:lvlText w:val="%7."/>
      <w:lvlJc w:val="left"/>
      <w:pPr>
        <w:ind w:left="4320" w:firstLine="0"/>
      </w:pPr>
      <w:rPr>
        <w:rFonts w:hint="default"/>
        <w:b w:val="0"/>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nsid w:val="464C1501"/>
    <w:multiLevelType w:val="multilevel"/>
    <w:tmpl w:val="0C78C348"/>
    <w:styleLink w:val="AttachmentList"/>
    <w:lvl w:ilvl="0">
      <w:start w:val="1"/>
      <w:numFmt w:val="upperLetter"/>
      <w:lvlText w:val="ATTACHMENT %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8EF4214"/>
    <w:multiLevelType w:val="multilevel"/>
    <w:tmpl w:val="70669302"/>
    <w:styleLink w:val="Style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94941A1"/>
    <w:multiLevelType w:val="multilevel"/>
    <w:tmpl w:val="5CC4427E"/>
    <w:styleLink w:val="PNOrderedList"/>
    <w:lvl w:ilvl="0">
      <w:start w:val="1"/>
      <w:numFmt w:val="decimal"/>
      <w:pStyle w:val="ParaNum"/>
      <w:lvlText w:val="%1."/>
      <w:lvlJc w:val="left"/>
      <w:pPr>
        <w:ind w:left="0" w:firstLine="720"/>
      </w:pPr>
      <w:rPr>
        <w:rFonts w:hint="default"/>
      </w:rPr>
    </w:lvl>
    <w:lvl w:ilvl="1">
      <w:start w:val="1"/>
      <w:numFmt w:val="lowerLetter"/>
      <w:pStyle w:val="ParaNumLevel2"/>
      <w:lvlText w:val="%2."/>
      <w:lvlJc w:val="left"/>
      <w:pPr>
        <w:ind w:left="1800" w:hanging="360"/>
      </w:pPr>
      <w:rPr>
        <w:rFonts w:hint="default"/>
      </w:rPr>
    </w:lvl>
    <w:lvl w:ilvl="2">
      <w:start w:val="1"/>
      <w:numFmt w:val="lowerRoman"/>
      <w:pStyle w:val="ParaNumLevel3"/>
      <w:lvlText w:val="%3."/>
      <w:lvlJc w:val="left"/>
      <w:pPr>
        <w:ind w:left="2160" w:hanging="360"/>
      </w:pPr>
      <w:rPr>
        <w:rFonts w:hint="default"/>
      </w:rPr>
    </w:lvl>
    <w:lvl w:ilvl="3">
      <w:start w:val="1"/>
      <w:numFmt w:val="decimal"/>
      <w:pStyle w:val="ParaNumLevel4"/>
      <w:lvlText w:val="(%4)"/>
      <w:lvlJc w:val="left"/>
      <w:pPr>
        <w:ind w:left="2520" w:hanging="360"/>
      </w:pPr>
      <w:rPr>
        <w:rFonts w:hint="default"/>
      </w:rPr>
    </w:lvl>
    <w:lvl w:ilvl="4">
      <w:start w:val="1"/>
      <w:numFmt w:val="lowerLetter"/>
      <w:pStyle w:val="ParaNumLevel5"/>
      <w:lvlText w:val="%5."/>
      <w:lvlJc w:val="left"/>
      <w:pPr>
        <w:ind w:left="2880" w:hanging="360"/>
      </w:pPr>
      <w:rPr>
        <w:rFonts w:hint="default"/>
      </w:rPr>
    </w:lvl>
    <w:lvl w:ilvl="5">
      <w:start w:val="1"/>
      <w:numFmt w:val="lowerRoman"/>
      <w:pStyle w:val="ParaNumLevel6"/>
      <w:lvlText w:val="%6."/>
      <w:lvlJc w:val="left"/>
      <w:pPr>
        <w:ind w:left="3240" w:hanging="360"/>
      </w:pPr>
      <w:rPr>
        <w:rFonts w:hint="default"/>
      </w:rPr>
    </w:lvl>
    <w:lvl w:ilvl="6">
      <w:start w:val="1"/>
      <w:numFmt w:val="decimal"/>
      <w:pStyle w:val="ParaNumLevel7"/>
      <w:lvlText w:val="%7."/>
      <w:lvlJc w:val="left"/>
      <w:pPr>
        <w:ind w:left="3600" w:hanging="360"/>
      </w:pPr>
      <w:rPr>
        <w:rFonts w:hint="default"/>
      </w:rPr>
    </w:lvl>
    <w:lvl w:ilvl="7">
      <w:start w:val="1"/>
      <w:numFmt w:val="lowerLetter"/>
      <w:pStyle w:val="ParaNumLevel8"/>
      <w:lvlText w:val="%8."/>
      <w:lvlJc w:val="left"/>
      <w:pPr>
        <w:tabs>
          <w:tab w:val="num" w:pos="7200"/>
        </w:tabs>
        <w:ind w:left="3960" w:hanging="360"/>
      </w:pPr>
      <w:rPr>
        <w:rFonts w:hint="default"/>
      </w:rPr>
    </w:lvl>
    <w:lvl w:ilvl="8">
      <w:start w:val="1"/>
      <w:numFmt w:val="lowerRoman"/>
      <w:pStyle w:val="ParaNumLevel9"/>
      <w:lvlText w:val="%9."/>
      <w:lvlJc w:val="left"/>
      <w:pPr>
        <w:ind w:left="4320" w:hanging="360"/>
      </w:pPr>
      <w:rPr>
        <w:rFonts w:hint="default"/>
      </w:rPr>
    </w:lvl>
  </w:abstractNum>
  <w:abstractNum w:abstractNumId="13">
    <w:nsid w:val="49C42BB6"/>
    <w:multiLevelType w:val="hybridMultilevel"/>
    <w:tmpl w:val="0204983C"/>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E4757F"/>
    <w:multiLevelType w:val="hybridMultilevel"/>
    <w:tmpl w:val="D79AB5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3D3FE9"/>
    <w:multiLevelType w:val="multilevel"/>
    <w:tmpl w:val="8A903D64"/>
    <w:numStyleLink w:val="Appendices"/>
  </w:abstractNum>
  <w:abstractNum w:abstractNumId="16">
    <w:nsid w:val="58CF3656"/>
    <w:multiLevelType w:val="hybridMultilevel"/>
    <w:tmpl w:val="88745008"/>
    <w:lvl w:ilvl="0">
      <w:start w:val="1"/>
      <w:numFmt w:val="upperLetter"/>
      <w:pStyle w:val="Attachment"/>
      <w:lvlText w:val="Attachment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F1658"/>
    <w:multiLevelType w:val="hybridMultilevel"/>
    <w:tmpl w:val="DD3848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667483"/>
    <w:multiLevelType w:val="hybridMultilevel"/>
    <w:tmpl w:val="F672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EE43DF"/>
    <w:multiLevelType w:val="hybridMultilevel"/>
    <w:tmpl w:val="F81A8A40"/>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B99400C"/>
    <w:multiLevelType w:val="hybridMultilevel"/>
    <w:tmpl w:val="68306E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588643B"/>
    <w:multiLevelType w:val="hybridMultilevel"/>
    <w:tmpl w:val="6B1CA2FC"/>
    <w:lvl w:ilvl="0">
      <w:start w:val="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B281033"/>
    <w:multiLevelType w:val="multilevel"/>
    <w:tmpl w:val="C212A1AC"/>
    <w:styleLink w:val="Style1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1872"/>
        </w:tabs>
        <w:ind w:left="216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1058778">
    <w:abstractNumId w:val="8"/>
  </w:num>
  <w:num w:numId="2" w16cid:durableId="1800763324">
    <w:abstractNumId w:val="9"/>
  </w:num>
  <w:num w:numId="3" w16cid:durableId="838422060">
    <w:abstractNumId w:val="4"/>
  </w:num>
  <w:num w:numId="4" w16cid:durableId="153617109">
    <w:abstractNumId w:val="11"/>
  </w:num>
  <w:num w:numId="5" w16cid:durableId="1916432980">
    <w:abstractNumId w:val="22"/>
  </w:num>
  <w:num w:numId="6" w16cid:durableId="1148400227">
    <w:abstractNumId w:val="7"/>
  </w:num>
  <w:num w:numId="7" w16cid:durableId="556664648">
    <w:abstractNumId w:val="12"/>
    <w:lvlOverride w:ilvl="0">
      <w:lvl w:ilvl="0">
        <w:start w:val="1"/>
        <w:numFmt w:val="decimal"/>
        <w:pStyle w:val="ParaNum"/>
        <w:lvlText w:val="%1."/>
        <w:lvlJc w:val="left"/>
        <w:pPr>
          <w:ind w:left="0" w:firstLine="720"/>
        </w:pPr>
        <w:rPr>
          <w:rFonts w:hint="default"/>
          <w:b w:val="0"/>
        </w:rPr>
      </w:lvl>
    </w:lvlOverride>
  </w:num>
  <w:num w:numId="8" w16cid:durableId="1172791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324688">
    <w:abstractNumId w:val="15"/>
  </w:num>
  <w:num w:numId="10" w16cid:durableId="1561819739">
    <w:abstractNumId w:val="16"/>
  </w:num>
  <w:num w:numId="11" w16cid:durableId="1787001356">
    <w:abstractNumId w:val="18"/>
  </w:num>
  <w:num w:numId="12" w16cid:durableId="1152330561">
    <w:abstractNumId w:val="3"/>
  </w:num>
  <w:num w:numId="13" w16cid:durableId="1273590388">
    <w:abstractNumId w:val="19"/>
  </w:num>
  <w:num w:numId="14" w16cid:durableId="530655624">
    <w:abstractNumId w:val="13"/>
  </w:num>
  <w:num w:numId="15" w16cid:durableId="1757245440">
    <w:abstractNumId w:val="10"/>
  </w:num>
  <w:num w:numId="16" w16cid:durableId="1857226905">
    <w:abstractNumId w:val="12"/>
  </w:num>
  <w:num w:numId="17" w16cid:durableId="169756322">
    <w:abstractNumId w:val="6"/>
  </w:num>
  <w:num w:numId="18" w16cid:durableId="1332220651">
    <w:abstractNumId w:val="2"/>
  </w:num>
  <w:num w:numId="19" w16cid:durableId="794718758">
    <w:abstractNumId w:val="14"/>
  </w:num>
  <w:num w:numId="20" w16cid:durableId="742685362">
    <w:abstractNumId w:val="12"/>
  </w:num>
  <w:num w:numId="21" w16cid:durableId="737703074">
    <w:abstractNumId w:val="7"/>
  </w:num>
  <w:num w:numId="22" w16cid:durableId="154107623">
    <w:abstractNumId w:val="7"/>
  </w:num>
  <w:num w:numId="23" w16cid:durableId="977226516">
    <w:abstractNumId w:val="7"/>
  </w:num>
  <w:num w:numId="24" w16cid:durableId="2111969776">
    <w:abstractNumId w:val="7"/>
  </w:num>
  <w:num w:numId="25" w16cid:durableId="1913268127">
    <w:abstractNumId w:val="7"/>
  </w:num>
  <w:num w:numId="26" w16cid:durableId="643196088">
    <w:abstractNumId w:val="7"/>
  </w:num>
  <w:num w:numId="27" w16cid:durableId="10033135">
    <w:abstractNumId w:val="7"/>
  </w:num>
  <w:num w:numId="28" w16cid:durableId="2057662102">
    <w:abstractNumId w:val="7"/>
  </w:num>
  <w:num w:numId="29" w16cid:durableId="389574093">
    <w:abstractNumId w:val="7"/>
  </w:num>
  <w:num w:numId="30" w16cid:durableId="1993630658">
    <w:abstractNumId w:val="12"/>
  </w:num>
  <w:num w:numId="31" w16cid:durableId="831023473">
    <w:abstractNumId w:val="12"/>
  </w:num>
  <w:num w:numId="32" w16cid:durableId="1241478036">
    <w:abstractNumId w:val="12"/>
  </w:num>
  <w:num w:numId="33" w16cid:durableId="1407070772">
    <w:abstractNumId w:val="12"/>
  </w:num>
  <w:num w:numId="34" w16cid:durableId="936209786">
    <w:abstractNumId w:val="12"/>
  </w:num>
  <w:num w:numId="35" w16cid:durableId="1441531548">
    <w:abstractNumId w:val="12"/>
  </w:num>
  <w:num w:numId="36" w16cid:durableId="1520044628">
    <w:abstractNumId w:val="12"/>
  </w:num>
  <w:num w:numId="37" w16cid:durableId="498230927">
    <w:abstractNumId w:val="12"/>
  </w:num>
  <w:num w:numId="38" w16cid:durableId="1367749996">
    <w:abstractNumId w:val="12"/>
  </w:num>
  <w:num w:numId="39" w16cid:durableId="1844007454">
    <w:abstractNumId w:val="20"/>
  </w:num>
  <w:num w:numId="40" w16cid:durableId="416291474">
    <w:abstractNumId w:val="17"/>
  </w:num>
  <w:num w:numId="41" w16cid:durableId="538396162">
    <w:abstractNumId w:val="1"/>
  </w:num>
  <w:num w:numId="42" w16cid:durableId="1974171505">
    <w:abstractNumId w:val="21"/>
  </w:num>
  <w:num w:numId="43" w16cid:durableId="90516448">
    <w:abstractNumId w:val="5"/>
  </w:num>
  <w:num w:numId="44" w16cid:durableId="15519754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characterSpacingControl w:val="doNotCompress"/>
  <w:footnotePr>
    <w:numRestart w:val="eachSect"/>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A5"/>
    <w:rsid w:val="0000471B"/>
    <w:rsid w:val="00007ACA"/>
    <w:rsid w:val="000121AA"/>
    <w:rsid w:val="00013439"/>
    <w:rsid w:val="00014DF3"/>
    <w:rsid w:val="00015D6E"/>
    <w:rsid w:val="000200C6"/>
    <w:rsid w:val="00022EC8"/>
    <w:rsid w:val="00022EEF"/>
    <w:rsid w:val="000249A1"/>
    <w:rsid w:val="00027C40"/>
    <w:rsid w:val="00030A5D"/>
    <w:rsid w:val="0003153D"/>
    <w:rsid w:val="0003412F"/>
    <w:rsid w:val="00042C7E"/>
    <w:rsid w:val="000477DF"/>
    <w:rsid w:val="000539B2"/>
    <w:rsid w:val="00056791"/>
    <w:rsid w:val="0006412B"/>
    <w:rsid w:val="0006673A"/>
    <w:rsid w:val="00067098"/>
    <w:rsid w:val="000701CE"/>
    <w:rsid w:val="000701E9"/>
    <w:rsid w:val="00072986"/>
    <w:rsid w:val="00076921"/>
    <w:rsid w:val="0008476E"/>
    <w:rsid w:val="00084F01"/>
    <w:rsid w:val="00086B9F"/>
    <w:rsid w:val="00091436"/>
    <w:rsid w:val="00094905"/>
    <w:rsid w:val="00096126"/>
    <w:rsid w:val="00097617"/>
    <w:rsid w:val="000A1A9D"/>
    <w:rsid w:val="000A343C"/>
    <w:rsid w:val="000A3D4D"/>
    <w:rsid w:val="000A5457"/>
    <w:rsid w:val="000B2DCE"/>
    <w:rsid w:val="000B4822"/>
    <w:rsid w:val="000B6351"/>
    <w:rsid w:val="000B7CA1"/>
    <w:rsid w:val="000C021A"/>
    <w:rsid w:val="000C04A1"/>
    <w:rsid w:val="000C2E62"/>
    <w:rsid w:val="000D1CBC"/>
    <w:rsid w:val="000D4F8B"/>
    <w:rsid w:val="000D57AF"/>
    <w:rsid w:val="000E0281"/>
    <w:rsid w:val="000E08F7"/>
    <w:rsid w:val="000F3DAF"/>
    <w:rsid w:val="000F3EDD"/>
    <w:rsid w:val="000F78E8"/>
    <w:rsid w:val="000F7E95"/>
    <w:rsid w:val="0010290C"/>
    <w:rsid w:val="001035D4"/>
    <w:rsid w:val="00105240"/>
    <w:rsid w:val="0010552B"/>
    <w:rsid w:val="00111C11"/>
    <w:rsid w:val="00112D92"/>
    <w:rsid w:val="001144C9"/>
    <w:rsid w:val="001230D4"/>
    <w:rsid w:val="001237C7"/>
    <w:rsid w:val="00125226"/>
    <w:rsid w:val="00131758"/>
    <w:rsid w:val="00131ABB"/>
    <w:rsid w:val="00132421"/>
    <w:rsid w:val="00133560"/>
    <w:rsid w:val="0013636A"/>
    <w:rsid w:val="00137E9C"/>
    <w:rsid w:val="0014233E"/>
    <w:rsid w:val="001428B1"/>
    <w:rsid w:val="00143C08"/>
    <w:rsid w:val="001447D2"/>
    <w:rsid w:val="0014485A"/>
    <w:rsid w:val="00146BF6"/>
    <w:rsid w:val="00146E3D"/>
    <w:rsid w:val="0014766A"/>
    <w:rsid w:val="001516EF"/>
    <w:rsid w:val="001542B2"/>
    <w:rsid w:val="001550C3"/>
    <w:rsid w:val="00155CCA"/>
    <w:rsid w:val="00160408"/>
    <w:rsid w:val="00162BB9"/>
    <w:rsid w:val="00163E81"/>
    <w:rsid w:val="00164C9A"/>
    <w:rsid w:val="00164D5F"/>
    <w:rsid w:val="00165451"/>
    <w:rsid w:val="00166893"/>
    <w:rsid w:val="001673AC"/>
    <w:rsid w:val="00167401"/>
    <w:rsid w:val="001675C3"/>
    <w:rsid w:val="0017528F"/>
    <w:rsid w:val="0017554F"/>
    <w:rsid w:val="00175B45"/>
    <w:rsid w:val="0017610F"/>
    <w:rsid w:val="001767AB"/>
    <w:rsid w:val="0017758F"/>
    <w:rsid w:val="00181ADC"/>
    <w:rsid w:val="00183E52"/>
    <w:rsid w:val="001844F4"/>
    <w:rsid w:val="00185695"/>
    <w:rsid w:val="00192A00"/>
    <w:rsid w:val="00192F4C"/>
    <w:rsid w:val="001A247A"/>
    <w:rsid w:val="001A266D"/>
    <w:rsid w:val="001A3272"/>
    <w:rsid w:val="001A3F85"/>
    <w:rsid w:val="001A4D52"/>
    <w:rsid w:val="001A7B96"/>
    <w:rsid w:val="001B3D8B"/>
    <w:rsid w:val="001B4277"/>
    <w:rsid w:val="001C4639"/>
    <w:rsid w:val="001D1023"/>
    <w:rsid w:val="001D4B3A"/>
    <w:rsid w:val="001D69CC"/>
    <w:rsid w:val="001D7167"/>
    <w:rsid w:val="001D7413"/>
    <w:rsid w:val="001E601C"/>
    <w:rsid w:val="001E6461"/>
    <w:rsid w:val="001E6E0F"/>
    <w:rsid w:val="001E720D"/>
    <w:rsid w:val="001F7427"/>
    <w:rsid w:val="001F7DF1"/>
    <w:rsid w:val="002005ED"/>
    <w:rsid w:val="00201D55"/>
    <w:rsid w:val="00213D20"/>
    <w:rsid w:val="00214C2D"/>
    <w:rsid w:val="00215CA0"/>
    <w:rsid w:val="002207F9"/>
    <w:rsid w:val="00222BDB"/>
    <w:rsid w:val="00223114"/>
    <w:rsid w:val="00223F85"/>
    <w:rsid w:val="00226173"/>
    <w:rsid w:val="00227815"/>
    <w:rsid w:val="002305A2"/>
    <w:rsid w:val="0023060E"/>
    <w:rsid w:val="00232D6F"/>
    <w:rsid w:val="002339D4"/>
    <w:rsid w:val="00234F39"/>
    <w:rsid w:val="00240832"/>
    <w:rsid w:val="00240957"/>
    <w:rsid w:val="00240C84"/>
    <w:rsid w:val="00243AB0"/>
    <w:rsid w:val="002442C8"/>
    <w:rsid w:val="00245001"/>
    <w:rsid w:val="00250710"/>
    <w:rsid w:val="00250E06"/>
    <w:rsid w:val="00251523"/>
    <w:rsid w:val="00251703"/>
    <w:rsid w:val="0025273D"/>
    <w:rsid w:val="00254B9B"/>
    <w:rsid w:val="00260A4C"/>
    <w:rsid w:val="002614EA"/>
    <w:rsid w:val="00261B77"/>
    <w:rsid w:val="002626B7"/>
    <w:rsid w:val="002671C5"/>
    <w:rsid w:val="00270474"/>
    <w:rsid w:val="00271B6F"/>
    <w:rsid w:val="00273C82"/>
    <w:rsid w:val="0027554F"/>
    <w:rsid w:val="0027693E"/>
    <w:rsid w:val="002864C5"/>
    <w:rsid w:val="002A04DF"/>
    <w:rsid w:val="002A26DD"/>
    <w:rsid w:val="002A3340"/>
    <w:rsid w:val="002A67D1"/>
    <w:rsid w:val="002A6F83"/>
    <w:rsid w:val="002A786F"/>
    <w:rsid w:val="002B2450"/>
    <w:rsid w:val="002B544F"/>
    <w:rsid w:val="002B6AFF"/>
    <w:rsid w:val="002C2996"/>
    <w:rsid w:val="002C4261"/>
    <w:rsid w:val="002D1041"/>
    <w:rsid w:val="002D2820"/>
    <w:rsid w:val="002D2B97"/>
    <w:rsid w:val="002D4C31"/>
    <w:rsid w:val="002D6B5B"/>
    <w:rsid w:val="002E14F2"/>
    <w:rsid w:val="002E2173"/>
    <w:rsid w:val="002E2C08"/>
    <w:rsid w:val="002E3B1E"/>
    <w:rsid w:val="002F0CFB"/>
    <w:rsid w:val="002F2119"/>
    <w:rsid w:val="002F2FA3"/>
    <w:rsid w:val="002F6E41"/>
    <w:rsid w:val="002F73F1"/>
    <w:rsid w:val="00300DBF"/>
    <w:rsid w:val="003027A8"/>
    <w:rsid w:val="00302854"/>
    <w:rsid w:val="003030F1"/>
    <w:rsid w:val="003050B7"/>
    <w:rsid w:val="0030645D"/>
    <w:rsid w:val="003064A1"/>
    <w:rsid w:val="003076A5"/>
    <w:rsid w:val="00312D01"/>
    <w:rsid w:val="003176D1"/>
    <w:rsid w:val="00320C1C"/>
    <w:rsid w:val="003234B7"/>
    <w:rsid w:val="003309E0"/>
    <w:rsid w:val="00332B60"/>
    <w:rsid w:val="00334531"/>
    <w:rsid w:val="00335E63"/>
    <w:rsid w:val="00337050"/>
    <w:rsid w:val="00337C31"/>
    <w:rsid w:val="0034007E"/>
    <w:rsid w:val="003406EE"/>
    <w:rsid w:val="003450A7"/>
    <w:rsid w:val="00351589"/>
    <w:rsid w:val="0035186A"/>
    <w:rsid w:val="00352190"/>
    <w:rsid w:val="00353E78"/>
    <w:rsid w:val="00353F2A"/>
    <w:rsid w:val="003560D0"/>
    <w:rsid w:val="00357B2D"/>
    <w:rsid w:val="00357EAD"/>
    <w:rsid w:val="00360651"/>
    <w:rsid w:val="003659FE"/>
    <w:rsid w:val="00367341"/>
    <w:rsid w:val="00370AB3"/>
    <w:rsid w:val="00370FA8"/>
    <w:rsid w:val="003725BE"/>
    <w:rsid w:val="0037295F"/>
    <w:rsid w:val="00374616"/>
    <w:rsid w:val="003749D7"/>
    <w:rsid w:val="0037597D"/>
    <w:rsid w:val="003767CF"/>
    <w:rsid w:val="0038086C"/>
    <w:rsid w:val="00382999"/>
    <w:rsid w:val="0038590D"/>
    <w:rsid w:val="0039086F"/>
    <w:rsid w:val="0039134A"/>
    <w:rsid w:val="0039196C"/>
    <w:rsid w:val="003929F4"/>
    <w:rsid w:val="00392E0C"/>
    <w:rsid w:val="0039742C"/>
    <w:rsid w:val="003A28DE"/>
    <w:rsid w:val="003A56D9"/>
    <w:rsid w:val="003A666C"/>
    <w:rsid w:val="003B0B5C"/>
    <w:rsid w:val="003B1C40"/>
    <w:rsid w:val="003B644B"/>
    <w:rsid w:val="003B76C9"/>
    <w:rsid w:val="003B7AC3"/>
    <w:rsid w:val="003C6543"/>
    <w:rsid w:val="003C66FB"/>
    <w:rsid w:val="003C6F69"/>
    <w:rsid w:val="003D1097"/>
    <w:rsid w:val="003D2CF4"/>
    <w:rsid w:val="003D2EE3"/>
    <w:rsid w:val="003D4E66"/>
    <w:rsid w:val="003D4F93"/>
    <w:rsid w:val="003D5EBC"/>
    <w:rsid w:val="003D6756"/>
    <w:rsid w:val="003D6B40"/>
    <w:rsid w:val="003E1612"/>
    <w:rsid w:val="003E253E"/>
    <w:rsid w:val="003E6966"/>
    <w:rsid w:val="0040069C"/>
    <w:rsid w:val="00403ECE"/>
    <w:rsid w:val="0040426C"/>
    <w:rsid w:val="00410959"/>
    <w:rsid w:val="00411100"/>
    <w:rsid w:val="00411BCA"/>
    <w:rsid w:val="00413917"/>
    <w:rsid w:val="00416853"/>
    <w:rsid w:val="00416AD9"/>
    <w:rsid w:val="0042008A"/>
    <w:rsid w:val="00421079"/>
    <w:rsid w:val="0042444D"/>
    <w:rsid w:val="004308F2"/>
    <w:rsid w:val="0043341A"/>
    <w:rsid w:val="004342BF"/>
    <w:rsid w:val="00435CAB"/>
    <w:rsid w:val="00437AAA"/>
    <w:rsid w:val="0044359B"/>
    <w:rsid w:val="00444E05"/>
    <w:rsid w:val="00445898"/>
    <w:rsid w:val="00445920"/>
    <w:rsid w:val="004471D4"/>
    <w:rsid w:val="00450EBA"/>
    <w:rsid w:val="00451AF4"/>
    <w:rsid w:val="00452F15"/>
    <w:rsid w:val="00455E95"/>
    <w:rsid w:val="00462F00"/>
    <w:rsid w:val="00464E12"/>
    <w:rsid w:val="004668C6"/>
    <w:rsid w:val="004740A7"/>
    <w:rsid w:val="00475A4F"/>
    <w:rsid w:val="00483F97"/>
    <w:rsid w:val="004853C4"/>
    <w:rsid w:val="0048616D"/>
    <w:rsid w:val="00490C85"/>
    <w:rsid w:val="00492058"/>
    <w:rsid w:val="00495D93"/>
    <w:rsid w:val="004962B3"/>
    <w:rsid w:val="0049671B"/>
    <w:rsid w:val="00496F2D"/>
    <w:rsid w:val="004973CA"/>
    <w:rsid w:val="004A2577"/>
    <w:rsid w:val="004A7241"/>
    <w:rsid w:val="004B0B6D"/>
    <w:rsid w:val="004B3F47"/>
    <w:rsid w:val="004B7DBC"/>
    <w:rsid w:val="004C1A0C"/>
    <w:rsid w:val="004C57AD"/>
    <w:rsid w:val="004D0C3C"/>
    <w:rsid w:val="004D2014"/>
    <w:rsid w:val="004D3858"/>
    <w:rsid w:val="004D5940"/>
    <w:rsid w:val="004D601B"/>
    <w:rsid w:val="004E11BB"/>
    <w:rsid w:val="004E2FE7"/>
    <w:rsid w:val="004E44CF"/>
    <w:rsid w:val="004E4FEC"/>
    <w:rsid w:val="004E54BD"/>
    <w:rsid w:val="004E57D7"/>
    <w:rsid w:val="004E65C8"/>
    <w:rsid w:val="004F11E2"/>
    <w:rsid w:val="004F1A79"/>
    <w:rsid w:val="004F208F"/>
    <w:rsid w:val="004F23FA"/>
    <w:rsid w:val="004F52E8"/>
    <w:rsid w:val="004F57B9"/>
    <w:rsid w:val="004F6035"/>
    <w:rsid w:val="00500118"/>
    <w:rsid w:val="00504BED"/>
    <w:rsid w:val="00504F49"/>
    <w:rsid w:val="00505B2A"/>
    <w:rsid w:val="00506638"/>
    <w:rsid w:val="00507EB2"/>
    <w:rsid w:val="00516CBD"/>
    <w:rsid w:val="005178DF"/>
    <w:rsid w:val="005243C0"/>
    <w:rsid w:val="005310BB"/>
    <w:rsid w:val="00531727"/>
    <w:rsid w:val="00532653"/>
    <w:rsid w:val="00532A4E"/>
    <w:rsid w:val="00533F1D"/>
    <w:rsid w:val="00536560"/>
    <w:rsid w:val="00540D69"/>
    <w:rsid w:val="0054326F"/>
    <w:rsid w:val="005603D0"/>
    <w:rsid w:val="005635E6"/>
    <w:rsid w:val="0056774D"/>
    <w:rsid w:val="00567DFC"/>
    <w:rsid w:val="00573A89"/>
    <w:rsid w:val="00576265"/>
    <w:rsid w:val="00577929"/>
    <w:rsid w:val="00583697"/>
    <w:rsid w:val="005879FC"/>
    <w:rsid w:val="00591269"/>
    <w:rsid w:val="005935AB"/>
    <w:rsid w:val="005A0EEB"/>
    <w:rsid w:val="005A1B08"/>
    <w:rsid w:val="005A294C"/>
    <w:rsid w:val="005A774B"/>
    <w:rsid w:val="005B00B4"/>
    <w:rsid w:val="005B0430"/>
    <w:rsid w:val="005B136D"/>
    <w:rsid w:val="005B2555"/>
    <w:rsid w:val="005B53FA"/>
    <w:rsid w:val="005B58A9"/>
    <w:rsid w:val="005C288E"/>
    <w:rsid w:val="005C5897"/>
    <w:rsid w:val="005C6879"/>
    <w:rsid w:val="005D1D61"/>
    <w:rsid w:val="005E0C94"/>
    <w:rsid w:val="005E1F06"/>
    <w:rsid w:val="005E3604"/>
    <w:rsid w:val="005E3CC6"/>
    <w:rsid w:val="005E5B59"/>
    <w:rsid w:val="005F4DE8"/>
    <w:rsid w:val="005F5138"/>
    <w:rsid w:val="005F643B"/>
    <w:rsid w:val="005F798A"/>
    <w:rsid w:val="0060359F"/>
    <w:rsid w:val="0060649F"/>
    <w:rsid w:val="00611BDD"/>
    <w:rsid w:val="006129A5"/>
    <w:rsid w:val="006161F4"/>
    <w:rsid w:val="006167EE"/>
    <w:rsid w:val="00620F8A"/>
    <w:rsid w:val="0062255E"/>
    <w:rsid w:val="006239ED"/>
    <w:rsid w:val="006258EF"/>
    <w:rsid w:val="00626BA3"/>
    <w:rsid w:val="0062798D"/>
    <w:rsid w:val="00631595"/>
    <w:rsid w:val="0063595E"/>
    <w:rsid w:val="00635A8D"/>
    <w:rsid w:val="0064269A"/>
    <w:rsid w:val="00644ABD"/>
    <w:rsid w:val="00656B94"/>
    <w:rsid w:val="006575D6"/>
    <w:rsid w:val="00660975"/>
    <w:rsid w:val="00661D73"/>
    <w:rsid w:val="006649C3"/>
    <w:rsid w:val="00666721"/>
    <w:rsid w:val="006720B3"/>
    <w:rsid w:val="006733F7"/>
    <w:rsid w:val="00674330"/>
    <w:rsid w:val="0067684C"/>
    <w:rsid w:val="00676C56"/>
    <w:rsid w:val="0068141F"/>
    <w:rsid w:val="006826DF"/>
    <w:rsid w:val="0069437B"/>
    <w:rsid w:val="006A0A88"/>
    <w:rsid w:val="006A1C8A"/>
    <w:rsid w:val="006A3643"/>
    <w:rsid w:val="006A532B"/>
    <w:rsid w:val="006B44EA"/>
    <w:rsid w:val="006B6058"/>
    <w:rsid w:val="006C1F34"/>
    <w:rsid w:val="006C2607"/>
    <w:rsid w:val="006C6E77"/>
    <w:rsid w:val="006C7CEB"/>
    <w:rsid w:val="006D0D88"/>
    <w:rsid w:val="006D214E"/>
    <w:rsid w:val="006D2AEF"/>
    <w:rsid w:val="006D3DC9"/>
    <w:rsid w:val="006E04D0"/>
    <w:rsid w:val="006E088B"/>
    <w:rsid w:val="006E39D8"/>
    <w:rsid w:val="006E3A02"/>
    <w:rsid w:val="006E78F1"/>
    <w:rsid w:val="006E7AB8"/>
    <w:rsid w:val="006F011E"/>
    <w:rsid w:val="006F40E2"/>
    <w:rsid w:val="006F4A9E"/>
    <w:rsid w:val="006F77DE"/>
    <w:rsid w:val="006F7D0C"/>
    <w:rsid w:val="00700D66"/>
    <w:rsid w:val="00701EBE"/>
    <w:rsid w:val="007043A0"/>
    <w:rsid w:val="0070444F"/>
    <w:rsid w:val="00705F45"/>
    <w:rsid w:val="00706842"/>
    <w:rsid w:val="007104E9"/>
    <w:rsid w:val="00710AC5"/>
    <w:rsid w:val="007131C2"/>
    <w:rsid w:val="00716327"/>
    <w:rsid w:val="00717460"/>
    <w:rsid w:val="00722DCE"/>
    <w:rsid w:val="0072427C"/>
    <w:rsid w:val="00724814"/>
    <w:rsid w:val="00724CAF"/>
    <w:rsid w:val="0073095E"/>
    <w:rsid w:val="007318AA"/>
    <w:rsid w:val="007327C1"/>
    <w:rsid w:val="0073389F"/>
    <w:rsid w:val="007365CE"/>
    <w:rsid w:val="00737153"/>
    <w:rsid w:val="00741B5C"/>
    <w:rsid w:val="0074685C"/>
    <w:rsid w:val="00750347"/>
    <w:rsid w:val="00750A3C"/>
    <w:rsid w:val="007516EF"/>
    <w:rsid w:val="00757E20"/>
    <w:rsid w:val="00761BD6"/>
    <w:rsid w:val="00762358"/>
    <w:rsid w:val="0076556C"/>
    <w:rsid w:val="007675EA"/>
    <w:rsid w:val="00770694"/>
    <w:rsid w:val="00771CAB"/>
    <w:rsid w:val="007721F9"/>
    <w:rsid w:val="007738B8"/>
    <w:rsid w:val="00776B9E"/>
    <w:rsid w:val="00777CC7"/>
    <w:rsid w:val="00777F4A"/>
    <w:rsid w:val="007820E7"/>
    <w:rsid w:val="0078238D"/>
    <w:rsid w:val="0078323C"/>
    <w:rsid w:val="007832E7"/>
    <w:rsid w:val="00784799"/>
    <w:rsid w:val="00785829"/>
    <w:rsid w:val="0078626E"/>
    <w:rsid w:val="00787608"/>
    <w:rsid w:val="00794781"/>
    <w:rsid w:val="00794D4E"/>
    <w:rsid w:val="00795B30"/>
    <w:rsid w:val="00797C69"/>
    <w:rsid w:val="007A014A"/>
    <w:rsid w:val="007A0A0F"/>
    <w:rsid w:val="007B0EF7"/>
    <w:rsid w:val="007B0FA8"/>
    <w:rsid w:val="007B10D5"/>
    <w:rsid w:val="007B1252"/>
    <w:rsid w:val="007B2620"/>
    <w:rsid w:val="007B362E"/>
    <w:rsid w:val="007B48A9"/>
    <w:rsid w:val="007B5EEF"/>
    <w:rsid w:val="007C3D1E"/>
    <w:rsid w:val="007C5152"/>
    <w:rsid w:val="007C6389"/>
    <w:rsid w:val="007D02E3"/>
    <w:rsid w:val="007D0F0B"/>
    <w:rsid w:val="007D755C"/>
    <w:rsid w:val="007D7F21"/>
    <w:rsid w:val="007E13F6"/>
    <w:rsid w:val="007E26DA"/>
    <w:rsid w:val="007E2E64"/>
    <w:rsid w:val="007E48D9"/>
    <w:rsid w:val="007E595C"/>
    <w:rsid w:val="007E6164"/>
    <w:rsid w:val="007E7A50"/>
    <w:rsid w:val="007F0698"/>
    <w:rsid w:val="007F0CEF"/>
    <w:rsid w:val="007F4670"/>
    <w:rsid w:val="007F7F94"/>
    <w:rsid w:val="00800BEB"/>
    <w:rsid w:val="008041CD"/>
    <w:rsid w:val="00804F45"/>
    <w:rsid w:val="008058D4"/>
    <w:rsid w:val="00807018"/>
    <w:rsid w:val="00807D35"/>
    <w:rsid w:val="00812557"/>
    <w:rsid w:val="00815DDD"/>
    <w:rsid w:val="00816511"/>
    <w:rsid w:val="00822068"/>
    <w:rsid w:val="008234EC"/>
    <w:rsid w:val="008237B4"/>
    <w:rsid w:val="00824F3F"/>
    <w:rsid w:val="008335E9"/>
    <w:rsid w:val="008350D9"/>
    <w:rsid w:val="008352BA"/>
    <w:rsid w:val="0083540A"/>
    <w:rsid w:val="008377B0"/>
    <w:rsid w:val="00844A5A"/>
    <w:rsid w:val="00845061"/>
    <w:rsid w:val="00847E4A"/>
    <w:rsid w:val="00847FEE"/>
    <w:rsid w:val="00850BDC"/>
    <w:rsid w:val="008511F0"/>
    <w:rsid w:val="00852707"/>
    <w:rsid w:val="00852E0E"/>
    <w:rsid w:val="00855B0D"/>
    <w:rsid w:val="008561B3"/>
    <w:rsid w:val="00862935"/>
    <w:rsid w:val="00862BC9"/>
    <w:rsid w:val="00867B8C"/>
    <w:rsid w:val="008713EA"/>
    <w:rsid w:val="00875F34"/>
    <w:rsid w:val="008764CE"/>
    <w:rsid w:val="0087654B"/>
    <w:rsid w:val="00881502"/>
    <w:rsid w:val="00882551"/>
    <w:rsid w:val="008835A2"/>
    <w:rsid w:val="0088562B"/>
    <w:rsid w:val="00885DD4"/>
    <w:rsid w:val="00886516"/>
    <w:rsid w:val="00886977"/>
    <w:rsid w:val="00886FA3"/>
    <w:rsid w:val="00890B06"/>
    <w:rsid w:val="008929B0"/>
    <w:rsid w:val="008948DC"/>
    <w:rsid w:val="00896090"/>
    <w:rsid w:val="008968F0"/>
    <w:rsid w:val="00897028"/>
    <w:rsid w:val="008A1603"/>
    <w:rsid w:val="008A6142"/>
    <w:rsid w:val="008A6507"/>
    <w:rsid w:val="008A6A75"/>
    <w:rsid w:val="008A6D0B"/>
    <w:rsid w:val="008B17AE"/>
    <w:rsid w:val="008B3D4E"/>
    <w:rsid w:val="008B4204"/>
    <w:rsid w:val="008B425C"/>
    <w:rsid w:val="008B5D95"/>
    <w:rsid w:val="008B7E01"/>
    <w:rsid w:val="008B7E7C"/>
    <w:rsid w:val="008C1B1C"/>
    <w:rsid w:val="008C2B1F"/>
    <w:rsid w:val="008D0685"/>
    <w:rsid w:val="008D73AD"/>
    <w:rsid w:val="008E0ECD"/>
    <w:rsid w:val="008E1F88"/>
    <w:rsid w:val="008E4995"/>
    <w:rsid w:val="0091004E"/>
    <w:rsid w:val="00911D92"/>
    <w:rsid w:val="009122FD"/>
    <w:rsid w:val="00912571"/>
    <w:rsid w:val="009161D1"/>
    <w:rsid w:val="00917CA5"/>
    <w:rsid w:val="00924F65"/>
    <w:rsid w:val="00925458"/>
    <w:rsid w:val="009278F2"/>
    <w:rsid w:val="00927E0F"/>
    <w:rsid w:val="009314D2"/>
    <w:rsid w:val="00934F63"/>
    <w:rsid w:val="009356CF"/>
    <w:rsid w:val="00940D1E"/>
    <w:rsid w:val="0094426B"/>
    <w:rsid w:val="0094625F"/>
    <w:rsid w:val="00947017"/>
    <w:rsid w:val="00951C5C"/>
    <w:rsid w:val="00952CCC"/>
    <w:rsid w:val="00957713"/>
    <w:rsid w:val="009615B7"/>
    <w:rsid w:val="00962180"/>
    <w:rsid w:val="009656B9"/>
    <w:rsid w:val="00965A0B"/>
    <w:rsid w:val="00966566"/>
    <w:rsid w:val="00967D0C"/>
    <w:rsid w:val="00970211"/>
    <w:rsid w:val="00973326"/>
    <w:rsid w:val="00973D13"/>
    <w:rsid w:val="009750AF"/>
    <w:rsid w:val="00975621"/>
    <w:rsid w:val="0097653D"/>
    <w:rsid w:val="00977191"/>
    <w:rsid w:val="009802E9"/>
    <w:rsid w:val="00982F9A"/>
    <w:rsid w:val="00992D55"/>
    <w:rsid w:val="00993EA4"/>
    <w:rsid w:val="00994A6B"/>
    <w:rsid w:val="00995E3A"/>
    <w:rsid w:val="00997F25"/>
    <w:rsid w:val="009B1EF6"/>
    <w:rsid w:val="009B425F"/>
    <w:rsid w:val="009B5943"/>
    <w:rsid w:val="009B5D07"/>
    <w:rsid w:val="009C0108"/>
    <w:rsid w:val="009C144F"/>
    <w:rsid w:val="009C1DF8"/>
    <w:rsid w:val="009C2F40"/>
    <w:rsid w:val="009C3382"/>
    <w:rsid w:val="009C5A8B"/>
    <w:rsid w:val="009C5C72"/>
    <w:rsid w:val="009D2DA2"/>
    <w:rsid w:val="009D3B21"/>
    <w:rsid w:val="009D4303"/>
    <w:rsid w:val="009D5CBB"/>
    <w:rsid w:val="009D6684"/>
    <w:rsid w:val="009E066B"/>
    <w:rsid w:val="009E2FEC"/>
    <w:rsid w:val="009E4814"/>
    <w:rsid w:val="009E703A"/>
    <w:rsid w:val="009F0946"/>
    <w:rsid w:val="009F61DC"/>
    <w:rsid w:val="009F66C9"/>
    <w:rsid w:val="009F7FAB"/>
    <w:rsid w:val="00A03F22"/>
    <w:rsid w:val="00A044E5"/>
    <w:rsid w:val="00A05395"/>
    <w:rsid w:val="00A06028"/>
    <w:rsid w:val="00A116B0"/>
    <w:rsid w:val="00A144E2"/>
    <w:rsid w:val="00A14597"/>
    <w:rsid w:val="00A15670"/>
    <w:rsid w:val="00A23204"/>
    <w:rsid w:val="00A2375A"/>
    <w:rsid w:val="00A23AFB"/>
    <w:rsid w:val="00A24893"/>
    <w:rsid w:val="00A31590"/>
    <w:rsid w:val="00A33859"/>
    <w:rsid w:val="00A34104"/>
    <w:rsid w:val="00A40C2C"/>
    <w:rsid w:val="00A424F9"/>
    <w:rsid w:val="00A42B6B"/>
    <w:rsid w:val="00A45F19"/>
    <w:rsid w:val="00A4665C"/>
    <w:rsid w:val="00A46F18"/>
    <w:rsid w:val="00A475B6"/>
    <w:rsid w:val="00A5329F"/>
    <w:rsid w:val="00A542A2"/>
    <w:rsid w:val="00A55797"/>
    <w:rsid w:val="00A616B4"/>
    <w:rsid w:val="00A713D6"/>
    <w:rsid w:val="00A71E3B"/>
    <w:rsid w:val="00A7399D"/>
    <w:rsid w:val="00A74D22"/>
    <w:rsid w:val="00A81ED2"/>
    <w:rsid w:val="00A824AA"/>
    <w:rsid w:val="00A83ECC"/>
    <w:rsid w:val="00A84A3B"/>
    <w:rsid w:val="00A8545E"/>
    <w:rsid w:val="00A901BB"/>
    <w:rsid w:val="00A904E5"/>
    <w:rsid w:val="00A917BB"/>
    <w:rsid w:val="00A92BDD"/>
    <w:rsid w:val="00A9415E"/>
    <w:rsid w:val="00AA0D45"/>
    <w:rsid w:val="00AA6D70"/>
    <w:rsid w:val="00AA7621"/>
    <w:rsid w:val="00AB658A"/>
    <w:rsid w:val="00AB6EE0"/>
    <w:rsid w:val="00AB7143"/>
    <w:rsid w:val="00AC2DB5"/>
    <w:rsid w:val="00AC5246"/>
    <w:rsid w:val="00AC5267"/>
    <w:rsid w:val="00AC5A2D"/>
    <w:rsid w:val="00AC6202"/>
    <w:rsid w:val="00AC740E"/>
    <w:rsid w:val="00AD365E"/>
    <w:rsid w:val="00AD48F9"/>
    <w:rsid w:val="00AE01D0"/>
    <w:rsid w:val="00AE0C8B"/>
    <w:rsid w:val="00AE19E5"/>
    <w:rsid w:val="00AE3DB1"/>
    <w:rsid w:val="00AE476C"/>
    <w:rsid w:val="00AF233C"/>
    <w:rsid w:val="00AF44B6"/>
    <w:rsid w:val="00AF4C24"/>
    <w:rsid w:val="00AF6709"/>
    <w:rsid w:val="00B00591"/>
    <w:rsid w:val="00B016AF"/>
    <w:rsid w:val="00B019D7"/>
    <w:rsid w:val="00B04569"/>
    <w:rsid w:val="00B062E6"/>
    <w:rsid w:val="00B10CEE"/>
    <w:rsid w:val="00B10FE9"/>
    <w:rsid w:val="00B12488"/>
    <w:rsid w:val="00B126DC"/>
    <w:rsid w:val="00B131D0"/>
    <w:rsid w:val="00B13418"/>
    <w:rsid w:val="00B2491E"/>
    <w:rsid w:val="00B263E3"/>
    <w:rsid w:val="00B32115"/>
    <w:rsid w:val="00B32518"/>
    <w:rsid w:val="00B3259D"/>
    <w:rsid w:val="00B35E4E"/>
    <w:rsid w:val="00B37B84"/>
    <w:rsid w:val="00B41B84"/>
    <w:rsid w:val="00B43808"/>
    <w:rsid w:val="00B472C5"/>
    <w:rsid w:val="00B566FD"/>
    <w:rsid w:val="00B56F96"/>
    <w:rsid w:val="00B62FB3"/>
    <w:rsid w:val="00B66CB2"/>
    <w:rsid w:val="00B71B16"/>
    <w:rsid w:val="00B768A5"/>
    <w:rsid w:val="00B7775D"/>
    <w:rsid w:val="00B81782"/>
    <w:rsid w:val="00B82A77"/>
    <w:rsid w:val="00B833AE"/>
    <w:rsid w:val="00B90801"/>
    <w:rsid w:val="00B923DF"/>
    <w:rsid w:val="00B9311D"/>
    <w:rsid w:val="00B93D4E"/>
    <w:rsid w:val="00BA1646"/>
    <w:rsid w:val="00BA1FAA"/>
    <w:rsid w:val="00BA2024"/>
    <w:rsid w:val="00BA3712"/>
    <w:rsid w:val="00BA371C"/>
    <w:rsid w:val="00BA3ADE"/>
    <w:rsid w:val="00BA795D"/>
    <w:rsid w:val="00BB0010"/>
    <w:rsid w:val="00BB21CC"/>
    <w:rsid w:val="00BB25B5"/>
    <w:rsid w:val="00BB326B"/>
    <w:rsid w:val="00BB4646"/>
    <w:rsid w:val="00BB7633"/>
    <w:rsid w:val="00BB7E95"/>
    <w:rsid w:val="00BC0C3F"/>
    <w:rsid w:val="00BC2609"/>
    <w:rsid w:val="00BC2BA6"/>
    <w:rsid w:val="00BC3051"/>
    <w:rsid w:val="00BC33A5"/>
    <w:rsid w:val="00BC4725"/>
    <w:rsid w:val="00BD6B85"/>
    <w:rsid w:val="00BD7D72"/>
    <w:rsid w:val="00BE3FF6"/>
    <w:rsid w:val="00BE7400"/>
    <w:rsid w:val="00BF1768"/>
    <w:rsid w:val="00BF20A1"/>
    <w:rsid w:val="00BF5111"/>
    <w:rsid w:val="00BF7DD0"/>
    <w:rsid w:val="00C0155C"/>
    <w:rsid w:val="00C03BEF"/>
    <w:rsid w:val="00C04C46"/>
    <w:rsid w:val="00C12032"/>
    <w:rsid w:val="00C13AF4"/>
    <w:rsid w:val="00C14CB8"/>
    <w:rsid w:val="00C16543"/>
    <w:rsid w:val="00C17681"/>
    <w:rsid w:val="00C17B5C"/>
    <w:rsid w:val="00C2185C"/>
    <w:rsid w:val="00C21E9B"/>
    <w:rsid w:val="00C24988"/>
    <w:rsid w:val="00C27D45"/>
    <w:rsid w:val="00C32ED3"/>
    <w:rsid w:val="00C32FD0"/>
    <w:rsid w:val="00C330A1"/>
    <w:rsid w:val="00C334A0"/>
    <w:rsid w:val="00C36BF2"/>
    <w:rsid w:val="00C37EAD"/>
    <w:rsid w:val="00C40C79"/>
    <w:rsid w:val="00C424B6"/>
    <w:rsid w:val="00C4308D"/>
    <w:rsid w:val="00C4439D"/>
    <w:rsid w:val="00C4481D"/>
    <w:rsid w:val="00C47E93"/>
    <w:rsid w:val="00C4B063"/>
    <w:rsid w:val="00C50E0B"/>
    <w:rsid w:val="00C54614"/>
    <w:rsid w:val="00C565DC"/>
    <w:rsid w:val="00C57170"/>
    <w:rsid w:val="00C651B0"/>
    <w:rsid w:val="00C67C59"/>
    <w:rsid w:val="00C67DB8"/>
    <w:rsid w:val="00C719E6"/>
    <w:rsid w:val="00C74EFA"/>
    <w:rsid w:val="00C77047"/>
    <w:rsid w:val="00C834A5"/>
    <w:rsid w:val="00C8390C"/>
    <w:rsid w:val="00C86583"/>
    <w:rsid w:val="00C93D80"/>
    <w:rsid w:val="00C93F94"/>
    <w:rsid w:val="00C95FE0"/>
    <w:rsid w:val="00CA11BD"/>
    <w:rsid w:val="00CA22A8"/>
    <w:rsid w:val="00CA4465"/>
    <w:rsid w:val="00CA6BFF"/>
    <w:rsid w:val="00CB3C4C"/>
    <w:rsid w:val="00CC0C7E"/>
    <w:rsid w:val="00CC1201"/>
    <w:rsid w:val="00CC3E53"/>
    <w:rsid w:val="00CC48DB"/>
    <w:rsid w:val="00CD77A9"/>
    <w:rsid w:val="00CE0373"/>
    <w:rsid w:val="00CE19DA"/>
    <w:rsid w:val="00CE26EC"/>
    <w:rsid w:val="00CE3004"/>
    <w:rsid w:val="00CE4428"/>
    <w:rsid w:val="00CE5FC6"/>
    <w:rsid w:val="00CE6AF4"/>
    <w:rsid w:val="00CE79C2"/>
    <w:rsid w:val="00CE7EB8"/>
    <w:rsid w:val="00CF2522"/>
    <w:rsid w:val="00D03069"/>
    <w:rsid w:val="00D114FF"/>
    <w:rsid w:val="00D11CBE"/>
    <w:rsid w:val="00D129C5"/>
    <w:rsid w:val="00D12C7D"/>
    <w:rsid w:val="00D13C04"/>
    <w:rsid w:val="00D149C1"/>
    <w:rsid w:val="00D172E9"/>
    <w:rsid w:val="00D17621"/>
    <w:rsid w:val="00D2079D"/>
    <w:rsid w:val="00D21E25"/>
    <w:rsid w:val="00D2628B"/>
    <w:rsid w:val="00D26E57"/>
    <w:rsid w:val="00D27F77"/>
    <w:rsid w:val="00D31DFE"/>
    <w:rsid w:val="00D3235E"/>
    <w:rsid w:val="00D327B4"/>
    <w:rsid w:val="00D364BA"/>
    <w:rsid w:val="00D40B4F"/>
    <w:rsid w:val="00D44A05"/>
    <w:rsid w:val="00D500FC"/>
    <w:rsid w:val="00D51C70"/>
    <w:rsid w:val="00D51C7C"/>
    <w:rsid w:val="00D542DA"/>
    <w:rsid w:val="00D55C02"/>
    <w:rsid w:val="00D573FE"/>
    <w:rsid w:val="00D604EB"/>
    <w:rsid w:val="00D67632"/>
    <w:rsid w:val="00D70C59"/>
    <w:rsid w:val="00D71FEC"/>
    <w:rsid w:val="00D730B0"/>
    <w:rsid w:val="00D731F1"/>
    <w:rsid w:val="00D73D1C"/>
    <w:rsid w:val="00D74172"/>
    <w:rsid w:val="00D75358"/>
    <w:rsid w:val="00D81A2A"/>
    <w:rsid w:val="00D827B4"/>
    <w:rsid w:val="00D839DC"/>
    <w:rsid w:val="00D84090"/>
    <w:rsid w:val="00D8797D"/>
    <w:rsid w:val="00DA036C"/>
    <w:rsid w:val="00DA0606"/>
    <w:rsid w:val="00DA291C"/>
    <w:rsid w:val="00DA3D9E"/>
    <w:rsid w:val="00DA42CA"/>
    <w:rsid w:val="00DA5832"/>
    <w:rsid w:val="00DA696B"/>
    <w:rsid w:val="00DB07A9"/>
    <w:rsid w:val="00DB4E04"/>
    <w:rsid w:val="00DB4FE3"/>
    <w:rsid w:val="00DB5DD2"/>
    <w:rsid w:val="00DB6C31"/>
    <w:rsid w:val="00DB6E12"/>
    <w:rsid w:val="00DC052C"/>
    <w:rsid w:val="00DC0B77"/>
    <w:rsid w:val="00DC5010"/>
    <w:rsid w:val="00DD2F18"/>
    <w:rsid w:val="00DD4E2B"/>
    <w:rsid w:val="00DE120C"/>
    <w:rsid w:val="00DE12C5"/>
    <w:rsid w:val="00DE208F"/>
    <w:rsid w:val="00DE4734"/>
    <w:rsid w:val="00DE6E44"/>
    <w:rsid w:val="00DE70F4"/>
    <w:rsid w:val="00DF236A"/>
    <w:rsid w:val="00DF6430"/>
    <w:rsid w:val="00DF7216"/>
    <w:rsid w:val="00E01036"/>
    <w:rsid w:val="00E06728"/>
    <w:rsid w:val="00E07EE9"/>
    <w:rsid w:val="00E10183"/>
    <w:rsid w:val="00E11BB1"/>
    <w:rsid w:val="00E132B1"/>
    <w:rsid w:val="00E1366A"/>
    <w:rsid w:val="00E13DE9"/>
    <w:rsid w:val="00E13E68"/>
    <w:rsid w:val="00E13ED2"/>
    <w:rsid w:val="00E155AA"/>
    <w:rsid w:val="00E163C2"/>
    <w:rsid w:val="00E16FBB"/>
    <w:rsid w:val="00E20DD0"/>
    <w:rsid w:val="00E253BA"/>
    <w:rsid w:val="00E2703A"/>
    <w:rsid w:val="00E3044B"/>
    <w:rsid w:val="00E30B93"/>
    <w:rsid w:val="00E332F7"/>
    <w:rsid w:val="00E37012"/>
    <w:rsid w:val="00E37566"/>
    <w:rsid w:val="00E43D8B"/>
    <w:rsid w:val="00E440F2"/>
    <w:rsid w:val="00E45C78"/>
    <w:rsid w:val="00E46152"/>
    <w:rsid w:val="00E506B9"/>
    <w:rsid w:val="00E51122"/>
    <w:rsid w:val="00E52C27"/>
    <w:rsid w:val="00E55F28"/>
    <w:rsid w:val="00E61349"/>
    <w:rsid w:val="00E62041"/>
    <w:rsid w:val="00E62EEC"/>
    <w:rsid w:val="00E63ACB"/>
    <w:rsid w:val="00E64376"/>
    <w:rsid w:val="00E64CC4"/>
    <w:rsid w:val="00E65BF0"/>
    <w:rsid w:val="00E67047"/>
    <w:rsid w:val="00E67A99"/>
    <w:rsid w:val="00E7350F"/>
    <w:rsid w:val="00E753ED"/>
    <w:rsid w:val="00E776E4"/>
    <w:rsid w:val="00E810CA"/>
    <w:rsid w:val="00E81979"/>
    <w:rsid w:val="00E819A3"/>
    <w:rsid w:val="00E83444"/>
    <w:rsid w:val="00E865D7"/>
    <w:rsid w:val="00E873F8"/>
    <w:rsid w:val="00E91DEC"/>
    <w:rsid w:val="00E96E61"/>
    <w:rsid w:val="00EA030C"/>
    <w:rsid w:val="00EA10A8"/>
    <w:rsid w:val="00EA3719"/>
    <w:rsid w:val="00EA76AB"/>
    <w:rsid w:val="00EB0A31"/>
    <w:rsid w:val="00EB23AB"/>
    <w:rsid w:val="00EC1C0E"/>
    <w:rsid w:val="00EC47F3"/>
    <w:rsid w:val="00EC55BE"/>
    <w:rsid w:val="00EC672F"/>
    <w:rsid w:val="00ED118A"/>
    <w:rsid w:val="00ED67F9"/>
    <w:rsid w:val="00ED6C62"/>
    <w:rsid w:val="00ED78A3"/>
    <w:rsid w:val="00EE0ACA"/>
    <w:rsid w:val="00EE4619"/>
    <w:rsid w:val="00EE6E34"/>
    <w:rsid w:val="00EF5C38"/>
    <w:rsid w:val="00EF7A63"/>
    <w:rsid w:val="00F0151E"/>
    <w:rsid w:val="00F0254F"/>
    <w:rsid w:val="00F04AC6"/>
    <w:rsid w:val="00F067D0"/>
    <w:rsid w:val="00F13F6B"/>
    <w:rsid w:val="00F15E8C"/>
    <w:rsid w:val="00F1633A"/>
    <w:rsid w:val="00F17C89"/>
    <w:rsid w:val="00F22B01"/>
    <w:rsid w:val="00F240E3"/>
    <w:rsid w:val="00F2451A"/>
    <w:rsid w:val="00F2506D"/>
    <w:rsid w:val="00F26624"/>
    <w:rsid w:val="00F30D1F"/>
    <w:rsid w:val="00F32A94"/>
    <w:rsid w:val="00F40373"/>
    <w:rsid w:val="00F436D1"/>
    <w:rsid w:val="00F5021E"/>
    <w:rsid w:val="00F576CF"/>
    <w:rsid w:val="00F60CA4"/>
    <w:rsid w:val="00F676DB"/>
    <w:rsid w:val="00F73C38"/>
    <w:rsid w:val="00F7573E"/>
    <w:rsid w:val="00F75CA7"/>
    <w:rsid w:val="00F7639F"/>
    <w:rsid w:val="00F775F4"/>
    <w:rsid w:val="00F80BEB"/>
    <w:rsid w:val="00F8219C"/>
    <w:rsid w:val="00F85147"/>
    <w:rsid w:val="00F86625"/>
    <w:rsid w:val="00F866E0"/>
    <w:rsid w:val="00F93656"/>
    <w:rsid w:val="00F9532A"/>
    <w:rsid w:val="00F967D3"/>
    <w:rsid w:val="00F97144"/>
    <w:rsid w:val="00F97AAA"/>
    <w:rsid w:val="00FA03F1"/>
    <w:rsid w:val="00FA05A0"/>
    <w:rsid w:val="00FA0AE5"/>
    <w:rsid w:val="00FA3290"/>
    <w:rsid w:val="00FA43E8"/>
    <w:rsid w:val="00FA73A4"/>
    <w:rsid w:val="00FB1665"/>
    <w:rsid w:val="00FB4252"/>
    <w:rsid w:val="00FB59EA"/>
    <w:rsid w:val="00FB6C97"/>
    <w:rsid w:val="00FC6DEF"/>
    <w:rsid w:val="00FD023B"/>
    <w:rsid w:val="00FD1F07"/>
    <w:rsid w:val="00FD3A78"/>
    <w:rsid w:val="00FE1C43"/>
    <w:rsid w:val="00FE1E06"/>
    <w:rsid w:val="00FE2E9D"/>
    <w:rsid w:val="00FE4F75"/>
    <w:rsid w:val="00FE5DB3"/>
    <w:rsid w:val="00FE6325"/>
    <w:rsid w:val="00FE7B9F"/>
    <w:rsid w:val="00FE7D53"/>
    <w:rsid w:val="00FE7DB2"/>
    <w:rsid w:val="00FF79E0"/>
    <w:rsid w:val="044DA31B"/>
    <w:rsid w:val="05A8D61B"/>
    <w:rsid w:val="06A25108"/>
    <w:rsid w:val="06DEC0D7"/>
    <w:rsid w:val="0857AED6"/>
    <w:rsid w:val="086DA7C8"/>
    <w:rsid w:val="089F2EF0"/>
    <w:rsid w:val="099846A5"/>
    <w:rsid w:val="09D9CD46"/>
    <w:rsid w:val="0AFECD68"/>
    <w:rsid w:val="0BEF8838"/>
    <w:rsid w:val="0DF4EAAF"/>
    <w:rsid w:val="0EC9B1FC"/>
    <w:rsid w:val="0EEFF8DE"/>
    <w:rsid w:val="10340DC9"/>
    <w:rsid w:val="10EE9318"/>
    <w:rsid w:val="115748A4"/>
    <w:rsid w:val="125C9C1A"/>
    <w:rsid w:val="12AACDF0"/>
    <w:rsid w:val="138A0460"/>
    <w:rsid w:val="1476A034"/>
    <w:rsid w:val="162256B5"/>
    <w:rsid w:val="16726F2F"/>
    <w:rsid w:val="17811E60"/>
    <w:rsid w:val="1838DCC1"/>
    <w:rsid w:val="1841B315"/>
    <w:rsid w:val="1919202E"/>
    <w:rsid w:val="19D97964"/>
    <w:rsid w:val="1BA8B0B4"/>
    <w:rsid w:val="1BD2FEB4"/>
    <w:rsid w:val="1D902045"/>
    <w:rsid w:val="1DA60545"/>
    <w:rsid w:val="1E4422AB"/>
    <w:rsid w:val="1E9912CA"/>
    <w:rsid w:val="1F61A374"/>
    <w:rsid w:val="216A60EE"/>
    <w:rsid w:val="2294C4F2"/>
    <w:rsid w:val="24015F84"/>
    <w:rsid w:val="25B79424"/>
    <w:rsid w:val="268EF612"/>
    <w:rsid w:val="26A4A074"/>
    <w:rsid w:val="273914A8"/>
    <w:rsid w:val="2741D2B6"/>
    <w:rsid w:val="2789B9B2"/>
    <w:rsid w:val="280C20C5"/>
    <w:rsid w:val="28A2E0D4"/>
    <w:rsid w:val="29F32D80"/>
    <w:rsid w:val="2A4DE7E3"/>
    <w:rsid w:val="2A50079D"/>
    <w:rsid w:val="2AF1DD56"/>
    <w:rsid w:val="2B244E92"/>
    <w:rsid w:val="2D565D84"/>
    <w:rsid w:val="2D78F28F"/>
    <w:rsid w:val="2DC2EAFC"/>
    <w:rsid w:val="2FA4F75B"/>
    <w:rsid w:val="30B19E12"/>
    <w:rsid w:val="326AB399"/>
    <w:rsid w:val="33ECE225"/>
    <w:rsid w:val="3687D1B4"/>
    <w:rsid w:val="369E01DB"/>
    <w:rsid w:val="36A49FE0"/>
    <w:rsid w:val="36D1947A"/>
    <w:rsid w:val="370A86FE"/>
    <w:rsid w:val="3836ADF4"/>
    <w:rsid w:val="3BC122BC"/>
    <w:rsid w:val="3E676855"/>
    <w:rsid w:val="3F05F902"/>
    <w:rsid w:val="3FFC7C29"/>
    <w:rsid w:val="4222C767"/>
    <w:rsid w:val="425AF336"/>
    <w:rsid w:val="45D9399E"/>
    <w:rsid w:val="48505537"/>
    <w:rsid w:val="48C55B49"/>
    <w:rsid w:val="4BAEF58D"/>
    <w:rsid w:val="4C9B9D00"/>
    <w:rsid w:val="4CFDBFE6"/>
    <w:rsid w:val="4D2A168B"/>
    <w:rsid w:val="51E7E98B"/>
    <w:rsid w:val="5273FA0E"/>
    <w:rsid w:val="52A75E22"/>
    <w:rsid w:val="52DB9540"/>
    <w:rsid w:val="53DC6BB6"/>
    <w:rsid w:val="543C3FDD"/>
    <w:rsid w:val="5507116E"/>
    <w:rsid w:val="56385156"/>
    <w:rsid w:val="56C48F48"/>
    <w:rsid w:val="576FA4A0"/>
    <w:rsid w:val="58292BE6"/>
    <w:rsid w:val="58F308E7"/>
    <w:rsid w:val="5A8412F9"/>
    <w:rsid w:val="5AC54244"/>
    <w:rsid w:val="5C1D00EB"/>
    <w:rsid w:val="5D4909AE"/>
    <w:rsid w:val="5F122E9B"/>
    <w:rsid w:val="5F2E533D"/>
    <w:rsid w:val="5F4B2D9E"/>
    <w:rsid w:val="609475AE"/>
    <w:rsid w:val="61DA9FC0"/>
    <w:rsid w:val="62B89520"/>
    <w:rsid w:val="63023F9B"/>
    <w:rsid w:val="64977E25"/>
    <w:rsid w:val="64996A14"/>
    <w:rsid w:val="6529A7C0"/>
    <w:rsid w:val="6748E733"/>
    <w:rsid w:val="69C00676"/>
    <w:rsid w:val="6B53C46E"/>
    <w:rsid w:val="6C953D3B"/>
    <w:rsid w:val="6D0BF492"/>
    <w:rsid w:val="6D935933"/>
    <w:rsid w:val="6E787D11"/>
    <w:rsid w:val="6E7B60D8"/>
    <w:rsid w:val="6E8BEB5B"/>
    <w:rsid w:val="703BA496"/>
    <w:rsid w:val="7053C169"/>
    <w:rsid w:val="708F4D4B"/>
    <w:rsid w:val="71066F2B"/>
    <w:rsid w:val="72680B37"/>
    <w:rsid w:val="73479E5B"/>
    <w:rsid w:val="73ACD44B"/>
    <w:rsid w:val="73FCDCF5"/>
    <w:rsid w:val="7451C32C"/>
    <w:rsid w:val="7649D68B"/>
    <w:rsid w:val="76A94216"/>
    <w:rsid w:val="771FB241"/>
    <w:rsid w:val="79313B92"/>
    <w:rsid w:val="79D5C9AD"/>
    <w:rsid w:val="7A3216FB"/>
    <w:rsid w:val="7B9009CA"/>
    <w:rsid w:val="7C026E19"/>
    <w:rsid w:val="7C27377E"/>
    <w:rsid w:val="7D8A4000"/>
    <w:rsid w:val="7E090079"/>
    <w:rsid w:val="7E4017F8"/>
    <w:rsid w:val="7FDFB39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2EFD1E"/>
  <w15:chartTrackingRefBased/>
  <w15:docId w15:val="{345CC8EC-1CDF-43D7-B822-32FF9E4D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6EE"/>
    <w:pPr>
      <w:spacing w:after="120"/>
    </w:pPr>
    <w:rPr>
      <w:sz w:val="24"/>
    </w:rPr>
  </w:style>
  <w:style w:type="paragraph" w:styleId="Heading1">
    <w:name w:val="heading 1"/>
    <w:basedOn w:val="Normal"/>
    <w:next w:val="Normal"/>
    <w:link w:val="Heading1Char"/>
    <w:qFormat/>
    <w:rsid w:val="00AF44B6"/>
    <w:pPr>
      <w:keepNext/>
      <w:numPr>
        <w:numId w:val="3"/>
      </w:numPr>
      <w:suppressAutoHyphens/>
      <w:outlineLvl w:val="0"/>
    </w:pPr>
    <w:rPr>
      <w:b/>
      <w:caps/>
    </w:rPr>
  </w:style>
  <w:style w:type="paragraph" w:styleId="Heading2">
    <w:name w:val="heading 2"/>
    <w:basedOn w:val="Normal"/>
    <w:next w:val="Normal"/>
    <w:link w:val="Heading2Char"/>
    <w:qFormat/>
    <w:rsid w:val="00AF44B6"/>
    <w:pPr>
      <w:keepNext/>
      <w:numPr>
        <w:ilvl w:val="1"/>
        <w:numId w:val="3"/>
      </w:numPr>
      <w:outlineLvl w:val="1"/>
    </w:pPr>
    <w:rPr>
      <w:b/>
    </w:rPr>
  </w:style>
  <w:style w:type="paragraph" w:styleId="Heading3">
    <w:name w:val="heading 3"/>
    <w:basedOn w:val="Normal"/>
    <w:next w:val="Normal"/>
    <w:link w:val="Heading3Char"/>
    <w:qFormat/>
    <w:rsid w:val="00AF44B6"/>
    <w:pPr>
      <w:numPr>
        <w:ilvl w:val="2"/>
        <w:numId w:val="3"/>
      </w:numPr>
      <w:tabs>
        <w:tab w:val="left" w:pos="2160"/>
      </w:tabs>
      <w:outlineLvl w:val="2"/>
    </w:pPr>
    <w:rPr>
      <w:b/>
    </w:rPr>
  </w:style>
  <w:style w:type="paragraph" w:styleId="Heading4">
    <w:name w:val="heading 4"/>
    <w:basedOn w:val="Normal"/>
    <w:next w:val="Normal"/>
    <w:link w:val="Heading4Char"/>
    <w:qFormat/>
    <w:rsid w:val="00AF44B6"/>
    <w:pPr>
      <w:numPr>
        <w:ilvl w:val="3"/>
        <w:numId w:val="3"/>
      </w:numPr>
      <w:tabs>
        <w:tab w:val="left" w:pos="2880"/>
      </w:tabs>
      <w:outlineLvl w:val="3"/>
    </w:pPr>
    <w:rPr>
      <w:b/>
    </w:rPr>
  </w:style>
  <w:style w:type="paragraph" w:styleId="Heading5">
    <w:name w:val="heading 5"/>
    <w:basedOn w:val="Normal"/>
    <w:next w:val="Normal"/>
    <w:link w:val="Heading5Char"/>
    <w:qFormat/>
    <w:rsid w:val="00AF44B6"/>
    <w:pPr>
      <w:numPr>
        <w:ilvl w:val="4"/>
        <w:numId w:val="3"/>
      </w:numPr>
      <w:tabs>
        <w:tab w:val="left" w:pos="3600"/>
      </w:tabs>
      <w:suppressAutoHyphens/>
      <w:outlineLvl w:val="4"/>
    </w:pPr>
    <w:rPr>
      <w:b/>
    </w:rPr>
  </w:style>
  <w:style w:type="paragraph" w:styleId="Heading6">
    <w:name w:val="heading 6"/>
    <w:basedOn w:val="Normal"/>
    <w:next w:val="Normal"/>
    <w:link w:val="Heading6Char"/>
    <w:uiPriority w:val="95"/>
    <w:qFormat/>
    <w:rsid w:val="00AF44B6"/>
    <w:pPr>
      <w:numPr>
        <w:ilvl w:val="5"/>
        <w:numId w:val="3"/>
      </w:numPr>
      <w:tabs>
        <w:tab w:val="left" w:pos="4320"/>
      </w:tabs>
      <w:outlineLvl w:val="5"/>
    </w:pPr>
    <w:rPr>
      <w:b/>
    </w:rPr>
  </w:style>
  <w:style w:type="paragraph" w:styleId="Heading7">
    <w:name w:val="heading 7"/>
    <w:basedOn w:val="Normal"/>
    <w:next w:val="Normal"/>
    <w:link w:val="Heading7Char"/>
    <w:uiPriority w:val="95"/>
    <w:qFormat/>
    <w:rsid w:val="00AF44B6"/>
    <w:pPr>
      <w:numPr>
        <w:ilvl w:val="6"/>
        <w:numId w:val="3"/>
      </w:numPr>
      <w:tabs>
        <w:tab w:val="left" w:pos="5040"/>
      </w:tabs>
      <w:outlineLvl w:val="6"/>
    </w:pPr>
    <w:rPr>
      <w:b/>
    </w:rPr>
  </w:style>
  <w:style w:type="paragraph" w:styleId="Heading8">
    <w:name w:val="heading 8"/>
    <w:basedOn w:val="Normal"/>
    <w:next w:val="Normal"/>
    <w:link w:val="Heading8Char"/>
    <w:uiPriority w:val="95"/>
    <w:qFormat/>
    <w:rsid w:val="00AF44B6"/>
    <w:pPr>
      <w:numPr>
        <w:ilvl w:val="7"/>
        <w:numId w:val="3"/>
      </w:numPr>
      <w:tabs>
        <w:tab w:val="left" w:pos="5760"/>
      </w:tabs>
      <w:outlineLvl w:val="7"/>
    </w:pPr>
    <w:rPr>
      <w:b/>
    </w:rPr>
  </w:style>
  <w:style w:type="paragraph" w:styleId="Heading9">
    <w:name w:val="heading 9"/>
    <w:basedOn w:val="Normal"/>
    <w:next w:val="Normal"/>
    <w:link w:val="Heading9Char"/>
    <w:uiPriority w:val="95"/>
    <w:qFormat/>
    <w:rsid w:val="00AF44B6"/>
    <w:pPr>
      <w:numPr>
        <w:ilvl w:val="8"/>
        <w:numId w:val="3"/>
      </w:numPr>
      <w:tabs>
        <w:tab w:val="left" w:pos="648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semiHidden/>
    <w:rsid w:val="00AF44B6"/>
    <w:rPr>
      <w:rFonts w:ascii="Calibri" w:hAnsi="Calibri"/>
    </w:rPr>
  </w:style>
  <w:style w:type="paragraph" w:customStyle="1" w:styleId="TitleCenteredBold">
    <w:name w:val="Title Centered Bold"/>
    <w:basedOn w:val="Normal"/>
    <w:next w:val="Normal"/>
    <w:uiPriority w:val="99"/>
    <w:semiHidden/>
    <w:rsid w:val="00AF44B6"/>
    <w:pPr>
      <w:suppressAutoHyphens/>
      <w:spacing w:after="0"/>
      <w:jc w:val="center"/>
    </w:pPr>
    <w:rPr>
      <w:b/>
    </w:rPr>
  </w:style>
  <w:style w:type="paragraph" w:styleId="Header">
    <w:name w:val="header"/>
    <w:basedOn w:val="Normal"/>
    <w:link w:val="HeaderChar"/>
    <w:uiPriority w:val="99"/>
    <w:unhideWhenUsed/>
    <w:rsid w:val="003064A1"/>
    <w:pPr>
      <w:tabs>
        <w:tab w:val="center" w:pos="4680"/>
        <w:tab w:val="right" w:pos="9360"/>
      </w:tabs>
      <w:spacing w:after="0"/>
    </w:pPr>
  </w:style>
  <w:style w:type="numbering" w:customStyle="1" w:styleId="Appendices">
    <w:name w:val="Appendices"/>
    <w:uiPriority w:val="99"/>
    <w:rsid w:val="00F73C38"/>
    <w:pPr>
      <w:numPr>
        <w:numId w:val="1"/>
      </w:numPr>
    </w:pPr>
  </w:style>
  <w:style w:type="paragraph" w:customStyle="1" w:styleId="TitleCAPSCenteredBold">
    <w:name w:val="Title CAPS Centered Bold"/>
    <w:basedOn w:val="TitleCenteredBold"/>
    <w:next w:val="Normal"/>
    <w:uiPriority w:val="96"/>
    <w:qFormat/>
    <w:rsid w:val="00AF44B6"/>
    <w:rPr>
      <w:caps/>
    </w:rPr>
  </w:style>
  <w:style w:type="paragraph" w:customStyle="1" w:styleId="Appendix">
    <w:name w:val="Appendix"/>
    <w:basedOn w:val="TitleCAPSCenteredBold"/>
    <w:next w:val="NormalIndent"/>
    <w:qFormat/>
    <w:rsid w:val="00CF2522"/>
    <w:pPr>
      <w:spacing w:after="120"/>
    </w:pPr>
  </w:style>
  <w:style w:type="paragraph" w:styleId="NormalIndent">
    <w:name w:val="Normal Indent"/>
    <w:basedOn w:val="Normal"/>
    <w:qFormat/>
    <w:rsid w:val="00AF44B6"/>
    <w:pPr>
      <w:ind w:firstLine="720"/>
    </w:pPr>
  </w:style>
  <w:style w:type="paragraph" w:customStyle="1" w:styleId="TitleCenteredCapsBoldUnderline">
    <w:name w:val="Title Centered Caps Bold Underline"/>
    <w:basedOn w:val="Normal"/>
    <w:next w:val="Normal"/>
    <w:uiPriority w:val="99"/>
    <w:semiHidden/>
    <w:qFormat/>
    <w:rsid w:val="00AF44B6"/>
    <w:pPr>
      <w:jc w:val="center"/>
    </w:pPr>
    <w:rPr>
      <w:rFonts w:eastAsia="Calibri"/>
      <w:b/>
      <w:bCs/>
      <w:caps/>
      <w:snapToGrid w:val="0"/>
      <w:u w:val="single"/>
    </w:rPr>
  </w:style>
  <w:style w:type="paragraph" w:customStyle="1" w:styleId="Attachment">
    <w:name w:val="Attachment"/>
    <w:basedOn w:val="TitleCenteredCapsBoldUnderline"/>
    <w:next w:val="Normal"/>
    <w:uiPriority w:val="99"/>
    <w:semiHidden/>
    <w:qFormat/>
    <w:rsid w:val="00C4439D"/>
    <w:pPr>
      <w:numPr>
        <w:numId w:val="10"/>
      </w:numPr>
      <w:spacing w:after="0"/>
    </w:pPr>
    <w:rPr>
      <w:u w:val="none"/>
    </w:rPr>
  </w:style>
  <w:style w:type="character" w:styleId="CommentReference">
    <w:name w:val="annotation reference"/>
    <w:uiPriority w:val="99"/>
    <w:semiHidden/>
    <w:rsid w:val="00AF44B6"/>
    <w:rPr>
      <w:sz w:val="16"/>
      <w:szCs w:val="16"/>
    </w:rPr>
  </w:style>
  <w:style w:type="paragraph" w:styleId="CommentText">
    <w:name w:val="annotation text"/>
    <w:basedOn w:val="Normal"/>
    <w:link w:val="CommentTextChar"/>
    <w:uiPriority w:val="99"/>
    <w:semiHidden/>
    <w:rsid w:val="00AF44B6"/>
    <w:rPr>
      <w:sz w:val="20"/>
    </w:rPr>
  </w:style>
  <w:style w:type="character" w:customStyle="1" w:styleId="CommentTextChar">
    <w:name w:val="Comment Text Char"/>
    <w:link w:val="CommentText"/>
    <w:uiPriority w:val="99"/>
    <w:semiHidden/>
    <w:rsid w:val="00AF44B6"/>
    <w:rPr>
      <w:rFonts w:ascii="Calibri" w:eastAsia="Times New Roman" w:hAnsi="Calibri"/>
      <w:snapToGrid w:val="0"/>
      <w:kern w:val="28"/>
    </w:rPr>
  </w:style>
  <w:style w:type="paragraph" w:styleId="CommentSubject">
    <w:name w:val="annotation subject"/>
    <w:basedOn w:val="CommentText"/>
    <w:next w:val="CommentText"/>
    <w:link w:val="CommentSubjectChar"/>
    <w:uiPriority w:val="99"/>
    <w:semiHidden/>
    <w:rsid w:val="00AF44B6"/>
    <w:rPr>
      <w:b/>
      <w:bCs/>
    </w:rPr>
  </w:style>
  <w:style w:type="character" w:customStyle="1" w:styleId="CommentSubjectChar">
    <w:name w:val="Comment Subject Char"/>
    <w:link w:val="CommentSubject"/>
    <w:uiPriority w:val="99"/>
    <w:semiHidden/>
    <w:rsid w:val="00AF44B6"/>
    <w:rPr>
      <w:rFonts w:ascii="Calibri" w:eastAsia="Times New Roman" w:hAnsi="Calibri"/>
      <w:b/>
      <w:bCs/>
      <w:snapToGrid w:val="0"/>
      <w:kern w:val="28"/>
    </w:rPr>
  </w:style>
  <w:style w:type="character" w:customStyle="1" w:styleId="HeaderChar">
    <w:name w:val="Header Char"/>
    <w:basedOn w:val="DefaultParagraphFont"/>
    <w:link w:val="Header"/>
    <w:uiPriority w:val="99"/>
    <w:rsid w:val="003064A1"/>
    <w:rPr>
      <w:rFonts w:ascii="Calibri" w:eastAsia="Times New Roman" w:hAnsi="Calibri"/>
      <w:snapToGrid w:val="0"/>
      <w:kern w:val="28"/>
      <w:sz w:val="22"/>
    </w:rPr>
  </w:style>
  <w:style w:type="character" w:styleId="EndnoteReference">
    <w:name w:val="endnote reference"/>
    <w:semiHidden/>
    <w:rsid w:val="00AF44B6"/>
    <w:rPr>
      <w:vertAlign w:val="superscript"/>
    </w:rPr>
  </w:style>
  <w:style w:type="paragraph" w:styleId="EndnoteText">
    <w:name w:val="endnote text"/>
    <w:basedOn w:val="Normal"/>
    <w:link w:val="EndnoteTextChar"/>
    <w:semiHidden/>
    <w:rsid w:val="00AF44B6"/>
    <w:rPr>
      <w:sz w:val="20"/>
    </w:rPr>
  </w:style>
  <w:style w:type="character" w:customStyle="1" w:styleId="EndnoteTextChar">
    <w:name w:val="Endnote Text Char"/>
    <w:basedOn w:val="DefaultParagraphFont"/>
    <w:link w:val="EndnoteText"/>
    <w:semiHidden/>
    <w:rsid w:val="00AF44B6"/>
    <w:rPr>
      <w:rFonts w:ascii="Calibri" w:eastAsia="Times New Roman" w:hAnsi="Calibri"/>
      <w:snapToGrid w:val="0"/>
      <w:kern w:val="28"/>
    </w:rPr>
  </w:style>
  <w:style w:type="paragraph" w:styleId="Footer">
    <w:name w:val="footer"/>
    <w:basedOn w:val="Normal"/>
    <w:link w:val="FooterChar"/>
    <w:uiPriority w:val="99"/>
    <w:semiHidden/>
    <w:rsid w:val="00AF44B6"/>
    <w:pPr>
      <w:jc w:val="center"/>
    </w:pPr>
  </w:style>
  <w:style w:type="character" w:customStyle="1" w:styleId="FooterChar">
    <w:name w:val="Footer Char"/>
    <w:link w:val="Footer"/>
    <w:uiPriority w:val="99"/>
    <w:semiHidden/>
    <w:rsid w:val="00AF44B6"/>
    <w:rPr>
      <w:rFonts w:ascii="Calibri" w:eastAsia="Times New Roman" w:hAnsi="Calibri"/>
      <w:snapToGrid w:val="0"/>
      <w:kern w:val="28"/>
      <w:sz w:val="22"/>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6649C3"/>
    <w:rPr>
      <w:rFonts w:ascii="Times New Roman" w:hAnsi="Times New Roman"/>
      <w:dstrike w:val="0"/>
      <w:color w:val="auto"/>
      <w:sz w:val="20"/>
      <w:vertAlign w:val="superscript"/>
    </w:rPr>
  </w:style>
  <w:style w:type="character" w:customStyle="1" w:styleId="FootnoteReferenceNECG">
    <w:name w:val="Footnote Reference(NECG)"/>
    <w:uiPriority w:val="99"/>
    <w:semiHidden/>
    <w:rsid w:val="006649C3"/>
    <w:rPr>
      <w:rFonts w:ascii="Times New Roman" w:hAnsi="Times New Roman"/>
      <w:dstrike w:val="0"/>
      <w:color w:val="auto"/>
      <w:sz w:val="20"/>
      <w:vertAlign w:val="superscript"/>
    </w:rPr>
  </w:style>
  <w:style w:type="paragraph" w:styleId="FootnoteText">
    <w:name w:val="footnote text"/>
    <w:basedOn w:val="Normal"/>
    <w:link w:val="FootnoteTextChar"/>
    <w:uiPriority w:val="99"/>
    <w:semiHidden/>
    <w:rsid w:val="006649C3"/>
    <w:rPr>
      <w:sz w:val="20"/>
    </w:rPr>
  </w:style>
  <w:style w:type="character" w:customStyle="1" w:styleId="FootnoteTextChar">
    <w:name w:val="Footnote Text Char"/>
    <w:link w:val="FootnoteText"/>
    <w:uiPriority w:val="99"/>
    <w:semiHidden/>
    <w:rsid w:val="006649C3"/>
    <w:rPr>
      <w:sz w:val="20"/>
    </w:rPr>
  </w:style>
  <w:style w:type="paragraph" w:customStyle="1" w:styleId="FootnoteTextFCC">
    <w:name w:val="Footnote Text FCC"/>
    <w:basedOn w:val="Normal"/>
    <w:uiPriority w:val="99"/>
    <w:semiHidden/>
    <w:rsid w:val="006649C3"/>
    <w:rPr>
      <w:sz w:val="20"/>
    </w:rPr>
  </w:style>
  <w:style w:type="character" w:customStyle="1" w:styleId="Heading1Char">
    <w:name w:val="Heading 1 Char"/>
    <w:basedOn w:val="DefaultParagraphFont"/>
    <w:link w:val="Heading1"/>
    <w:rsid w:val="00AF44B6"/>
    <w:rPr>
      <w:b/>
      <w:caps/>
    </w:rPr>
  </w:style>
  <w:style w:type="character" w:customStyle="1" w:styleId="Heading2Char">
    <w:name w:val="Heading 2 Char"/>
    <w:basedOn w:val="DefaultParagraphFont"/>
    <w:link w:val="Heading2"/>
    <w:rsid w:val="00AF44B6"/>
    <w:rPr>
      <w:b/>
    </w:rPr>
  </w:style>
  <w:style w:type="character" w:customStyle="1" w:styleId="Heading3Char">
    <w:name w:val="Heading 3 Char"/>
    <w:basedOn w:val="DefaultParagraphFont"/>
    <w:link w:val="Heading3"/>
    <w:rsid w:val="00AF44B6"/>
    <w:rPr>
      <w:b/>
    </w:rPr>
  </w:style>
  <w:style w:type="character" w:customStyle="1" w:styleId="Heading4Char">
    <w:name w:val="Heading 4 Char"/>
    <w:basedOn w:val="DefaultParagraphFont"/>
    <w:link w:val="Heading4"/>
    <w:rsid w:val="00AF44B6"/>
    <w:rPr>
      <w:b/>
    </w:rPr>
  </w:style>
  <w:style w:type="character" w:customStyle="1" w:styleId="Heading5Char">
    <w:name w:val="Heading 5 Char"/>
    <w:basedOn w:val="DefaultParagraphFont"/>
    <w:link w:val="Heading5"/>
    <w:rsid w:val="00AF44B6"/>
    <w:rPr>
      <w:b/>
    </w:rPr>
  </w:style>
  <w:style w:type="character" w:customStyle="1" w:styleId="Heading6Char">
    <w:name w:val="Heading 6 Char"/>
    <w:basedOn w:val="DefaultParagraphFont"/>
    <w:link w:val="Heading6"/>
    <w:uiPriority w:val="95"/>
    <w:rsid w:val="00164C9A"/>
    <w:rPr>
      <w:b/>
    </w:rPr>
  </w:style>
  <w:style w:type="character" w:customStyle="1" w:styleId="Heading7Char">
    <w:name w:val="Heading 7 Char"/>
    <w:basedOn w:val="DefaultParagraphFont"/>
    <w:link w:val="Heading7"/>
    <w:uiPriority w:val="95"/>
    <w:rsid w:val="00164C9A"/>
    <w:rPr>
      <w:b/>
    </w:rPr>
  </w:style>
  <w:style w:type="character" w:customStyle="1" w:styleId="Heading8Char">
    <w:name w:val="Heading 8 Char"/>
    <w:basedOn w:val="DefaultParagraphFont"/>
    <w:link w:val="Heading8"/>
    <w:uiPriority w:val="95"/>
    <w:rsid w:val="00164C9A"/>
    <w:rPr>
      <w:b/>
    </w:rPr>
  </w:style>
  <w:style w:type="character" w:customStyle="1" w:styleId="Heading9Char">
    <w:name w:val="Heading 9 Char"/>
    <w:basedOn w:val="DefaultParagraphFont"/>
    <w:link w:val="Heading9"/>
    <w:uiPriority w:val="95"/>
    <w:rsid w:val="00164C9A"/>
    <w:rPr>
      <w:b/>
    </w:rPr>
  </w:style>
  <w:style w:type="character" w:styleId="Hyperlink">
    <w:name w:val="Hyperlink"/>
    <w:uiPriority w:val="99"/>
    <w:rsid w:val="00AF44B6"/>
    <w:rPr>
      <w:color w:val="0000FF"/>
      <w:u w:val="single"/>
    </w:rPr>
  </w:style>
  <w:style w:type="paragraph" w:customStyle="1" w:styleId="NormalTextIndent">
    <w:name w:val="Normal Text Indent"/>
    <w:basedOn w:val="Normal"/>
    <w:uiPriority w:val="3"/>
    <w:semiHidden/>
    <w:rsid w:val="00AF44B6"/>
    <w:pPr>
      <w:spacing w:after="220"/>
      <w:ind w:firstLine="720"/>
    </w:pPr>
  </w:style>
  <w:style w:type="paragraph" w:customStyle="1" w:styleId="NIBullet">
    <w:name w:val="NI Bullet"/>
    <w:basedOn w:val="NormalTextIndent"/>
    <w:uiPriority w:val="4"/>
    <w:qFormat/>
    <w:rsid w:val="00B10CEE"/>
    <w:pPr>
      <w:numPr>
        <w:numId w:val="17"/>
      </w:numPr>
      <w:spacing w:after="120"/>
      <w:jc w:val="both"/>
    </w:pPr>
  </w:style>
  <w:style w:type="paragraph" w:customStyle="1" w:styleId="NIBullet2">
    <w:name w:val="NI Bullet 2"/>
    <w:basedOn w:val="NIBullet"/>
    <w:uiPriority w:val="98"/>
    <w:rsid w:val="00B10CEE"/>
    <w:pPr>
      <w:numPr>
        <w:ilvl w:val="1"/>
      </w:numPr>
    </w:pPr>
  </w:style>
  <w:style w:type="paragraph" w:customStyle="1" w:styleId="NIBullet3">
    <w:name w:val="NI Bullet 3"/>
    <w:basedOn w:val="NIBullet"/>
    <w:uiPriority w:val="98"/>
    <w:rsid w:val="00B10CEE"/>
    <w:pPr>
      <w:numPr>
        <w:ilvl w:val="2"/>
      </w:numPr>
    </w:pPr>
  </w:style>
  <w:style w:type="paragraph" w:customStyle="1" w:styleId="NIBullet4">
    <w:name w:val="NI Bullet 4"/>
    <w:basedOn w:val="NIBullet"/>
    <w:uiPriority w:val="98"/>
    <w:unhideWhenUsed/>
    <w:rsid w:val="00B10CEE"/>
    <w:pPr>
      <w:numPr>
        <w:ilvl w:val="3"/>
      </w:numPr>
    </w:pPr>
  </w:style>
  <w:style w:type="paragraph" w:customStyle="1" w:styleId="NIBullet5">
    <w:name w:val="NI Bullet 5"/>
    <w:basedOn w:val="NIBullet4"/>
    <w:uiPriority w:val="98"/>
    <w:unhideWhenUsed/>
    <w:rsid w:val="00B10CEE"/>
    <w:pPr>
      <w:numPr>
        <w:ilvl w:val="4"/>
      </w:numPr>
    </w:pPr>
  </w:style>
  <w:style w:type="paragraph" w:customStyle="1" w:styleId="NIBullet6">
    <w:name w:val="NI Bullet 6"/>
    <w:basedOn w:val="NIBullet5"/>
    <w:uiPriority w:val="98"/>
    <w:unhideWhenUsed/>
    <w:rsid w:val="00B10CEE"/>
    <w:pPr>
      <w:numPr>
        <w:ilvl w:val="5"/>
      </w:numPr>
    </w:pPr>
  </w:style>
  <w:style w:type="paragraph" w:customStyle="1" w:styleId="NIBullet7">
    <w:name w:val="NI Bullet 7"/>
    <w:basedOn w:val="NIBullet6"/>
    <w:uiPriority w:val="98"/>
    <w:unhideWhenUsed/>
    <w:rsid w:val="00B10CEE"/>
    <w:pPr>
      <w:numPr>
        <w:ilvl w:val="6"/>
      </w:numPr>
    </w:pPr>
  </w:style>
  <w:style w:type="paragraph" w:customStyle="1" w:styleId="NIBullet8">
    <w:name w:val="NI Bullet 8"/>
    <w:basedOn w:val="NIBullet7"/>
    <w:uiPriority w:val="98"/>
    <w:unhideWhenUsed/>
    <w:rsid w:val="00B10CEE"/>
    <w:pPr>
      <w:numPr>
        <w:ilvl w:val="7"/>
      </w:numPr>
    </w:pPr>
  </w:style>
  <w:style w:type="paragraph" w:customStyle="1" w:styleId="NIBullet9">
    <w:name w:val="NI Bullet 9"/>
    <w:basedOn w:val="NIBullet8"/>
    <w:uiPriority w:val="98"/>
    <w:unhideWhenUsed/>
    <w:rsid w:val="00B10CEE"/>
    <w:pPr>
      <w:numPr>
        <w:ilvl w:val="8"/>
      </w:numPr>
    </w:pPr>
  </w:style>
  <w:style w:type="paragraph" w:customStyle="1" w:styleId="NIList">
    <w:name w:val="NI List"/>
    <w:basedOn w:val="NormalIndent"/>
    <w:uiPriority w:val="2"/>
    <w:rsid w:val="00B10CEE"/>
    <w:pPr>
      <w:numPr>
        <w:numId w:val="18"/>
      </w:numPr>
      <w:jc w:val="both"/>
    </w:pPr>
  </w:style>
  <w:style w:type="paragraph" w:customStyle="1" w:styleId="NIList2">
    <w:name w:val="NI List 2"/>
    <w:basedOn w:val="NIList"/>
    <w:uiPriority w:val="98"/>
    <w:rsid w:val="00B10CEE"/>
    <w:pPr>
      <w:numPr>
        <w:ilvl w:val="1"/>
      </w:numPr>
      <w:tabs>
        <w:tab w:val="left" w:pos="2250"/>
      </w:tabs>
    </w:pPr>
  </w:style>
  <w:style w:type="paragraph" w:customStyle="1" w:styleId="NIList3">
    <w:name w:val="NI List 3"/>
    <w:basedOn w:val="NIList"/>
    <w:uiPriority w:val="98"/>
    <w:rsid w:val="00B10CEE"/>
    <w:pPr>
      <w:numPr>
        <w:ilvl w:val="2"/>
      </w:numPr>
    </w:pPr>
  </w:style>
  <w:style w:type="paragraph" w:customStyle="1" w:styleId="NIList4">
    <w:name w:val="NI List 4"/>
    <w:basedOn w:val="NIList3"/>
    <w:uiPriority w:val="98"/>
    <w:unhideWhenUsed/>
    <w:rsid w:val="00B10CEE"/>
    <w:pPr>
      <w:numPr>
        <w:ilvl w:val="3"/>
      </w:numPr>
    </w:pPr>
  </w:style>
  <w:style w:type="paragraph" w:customStyle="1" w:styleId="NIList5">
    <w:name w:val="NI List 5"/>
    <w:basedOn w:val="NIList4"/>
    <w:uiPriority w:val="98"/>
    <w:unhideWhenUsed/>
    <w:rsid w:val="00B10CEE"/>
    <w:pPr>
      <w:numPr>
        <w:ilvl w:val="4"/>
      </w:numPr>
    </w:pPr>
  </w:style>
  <w:style w:type="paragraph" w:customStyle="1" w:styleId="NIList6">
    <w:name w:val="NI List 6"/>
    <w:basedOn w:val="NIList5"/>
    <w:uiPriority w:val="98"/>
    <w:unhideWhenUsed/>
    <w:rsid w:val="00B10CEE"/>
    <w:pPr>
      <w:numPr>
        <w:ilvl w:val="5"/>
      </w:numPr>
    </w:pPr>
  </w:style>
  <w:style w:type="paragraph" w:customStyle="1" w:styleId="NIList7">
    <w:name w:val="NI List 7"/>
    <w:basedOn w:val="NIList6"/>
    <w:uiPriority w:val="98"/>
    <w:unhideWhenUsed/>
    <w:rsid w:val="00B10CEE"/>
    <w:pPr>
      <w:numPr>
        <w:ilvl w:val="6"/>
      </w:numPr>
    </w:pPr>
  </w:style>
  <w:style w:type="paragraph" w:customStyle="1" w:styleId="NIList8">
    <w:name w:val="NI List 8"/>
    <w:basedOn w:val="NIList7"/>
    <w:uiPriority w:val="98"/>
    <w:unhideWhenUsed/>
    <w:rsid w:val="00B10CEE"/>
    <w:pPr>
      <w:numPr>
        <w:ilvl w:val="7"/>
      </w:numPr>
    </w:pPr>
  </w:style>
  <w:style w:type="paragraph" w:customStyle="1" w:styleId="NIList9">
    <w:name w:val="NI List 9"/>
    <w:basedOn w:val="NIList8"/>
    <w:uiPriority w:val="98"/>
    <w:unhideWhenUsed/>
    <w:rsid w:val="00B10CEE"/>
    <w:pPr>
      <w:numPr>
        <w:ilvl w:val="8"/>
      </w:numPr>
    </w:pPr>
  </w:style>
  <w:style w:type="paragraph" w:customStyle="1" w:styleId="NormalBold">
    <w:name w:val="Normal Bold"/>
    <w:basedOn w:val="Normal"/>
    <w:next w:val="Normal"/>
    <w:uiPriority w:val="1"/>
    <w:semiHidden/>
    <w:qFormat/>
    <w:rsid w:val="00AF44B6"/>
    <w:rPr>
      <w:b/>
    </w:rPr>
  </w:style>
  <w:style w:type="paragraph" w:customStyle="1" w:styleId="NormalCenteredBold">
    <w:name w:val="Normal Centered Bold"/>
    <w:basedOn w:val="Normal"/>
    <w:next w:val="Normal"/>
    <w:uiPriority w:val="1"/>
    <w:semiHidden/>
    <w:qFormat/>
    <w:rsid w:val="00AF44B6"/>
    <w:pPr>
      <w:jc w:val="center"/>
    </w:pPr>
    <w:rPr>
      <w:rFonts w:eastAsia="Calibri"/>
      <w:b/>
    </w:rPr>
  </w:style>
  <w:style w:type="character" w:styleId="PageNumber">
    <w:name w:val="page number"/>
    <w:uiPriority w:val="1"/>
    <w:semiHidden/>
    <w:rsid w:val="006649C3"/>
    <w:rPr>
      <w:rFonts w:ascii="Times New Roman" w:hAnsi="Times New Roman"/>
      <w:b w:val="0"/>
      <w:i w:val="0"/>
      <w:sz w:val="22"/>
    </w:rPr>
  </w:style>
  <w:style w:type="paragraph" w:customStyle="1" w:styleId="ParaText">
    <w:name w:val="Para Text"/>
    <w:basedOn w:val="Normal"/>
    <w:next w:val="Normal"/>
    <w:uiPriority w:val="99"/>
    <w:semiHidden/>
    <w:qFormat/>
    <w:rsid w:val="00AF44B6"/>
    <w:pPr>
      <w:ind w:left="720" w:right="720"/>
    </w:pPr>
  </w:style>
  <w:style w:type="paragraph" w:customStyle="1" w:styleId="ParaNum">
    <w:name w:val="ParaNum"/>
    <w:basedOn w:val="Normal"/>
    <w:link w:val="ParaNumChar"/>
    <w:qFormat/>
    <w:rsid w:val="008B7E01"/>
    <w:pPr>
      <w:numPr>
        <w:numId w:val="38"/>
      </w:numPr>
    </w:pPr>
  </w:style>
  <w:style w:type="character" w:customStyle="1" w:styleId="ParaNumChar">
    <w:name w:val="ParaNum Char"/>
    <w:link w:val="ParaNum"/>
    <w:rsid w:val="008B7E01"/>
  </w:style>
  <w:style w:type="paragraph" w:customStyle="1" w:styleId="ParaNumBullet">
    <w:name w:val="ParaNum Bullet"/>
    <w:basedOn w:val="ParaNum"/>
    <w:uiPriority w:val="1"/>
    <w:qFormat/>
    <w:rsid w:val="008B7E01"/>
    <w:pPr>
      <w:numPr>
        <w:numId w:val="29"/>
      </w:numPr>
    </w:pPr>
  </w:style>
  <w:style w:type="paragraph" w:customStyle="1" w:styleId="ReferenceLine">
    <w:name w:val="Reference Line"/>
    <w:basedOn w:val="Normal"/>
    <w:next w:val="NormalIndent"/>
    <w:uiPriority w:val="96"/>
    <w:rsid w:val="00AF44B6"/>
  </w:style>
  <w:style w:type="paragraph" w:customStyle="1" w:styleId="SeparateStatementHeading">
    <w:name w:val="Separate Statement Heading"/>
    <w:basedOn w:val="TitleCAPSCenteredBold"/>
    <w:next w:val="Normal"/>
    <w:uiPriority w:val="96"/>
    <w:rsid w:val="00AF44B6"/>
  </w:style>
  <w:style w:type="paragraph" w:customStyle="1" w:styleId="SeparateStatementPosition">
    <w:name w:val="Separate Statement Position"/>
    <w:basedOn w:val="TitleCAPSCenteredBold"/>
    <w:next w:val="ReferenceLine"/>
    <w:uiPriority w:val="96"/>
    <w:qFormat/>
    <w:rsid w:val="00D13C04"/>
    <w:pPr>
      <w:spacing w:after="120"/>
    </w:pPr>
  </w:style>
  <w:style w:type="paragraph" w:customStyle="1" w:styleId="Signature-AgencyName">
    <w:name w:val="Signature - Agency Name"/>
    <w:basedOn w:val="Normal"/>
    <w:uiPriority w:val="95"/>
    <w:rsid w:val="00BB4646"/>
    <w:pPr>
      <w:spacing w:after="0"/>
    </w:pPr>
    <w:rPr>
      <w:rFonts w:eastAsia="Calibri"/>
      <w:caps/>
    </w:rPr>
  </w:style>
  <w:style w:type="paragraph" w:customStyle="1" w:styleId="SignatureFCC">
    <w:name w:val="Signature FCC"/>
    <w:basedOn w:val="Normal"/>
    <w:next w:val="Normal"/>
    <w:uiPriority w:val="99"/>
    <w:semiHidden/>
    <w:rsid w:val="00AF44B6"/>
    <w:pPr>
      <w:widowControl w:val="0"/>
      <w:ind w:left="4320"/>
    </w:pPr>
    <w:rPr>
      <w:caps/>
    </w:rPr>
  </w:style>
  <w:style w:type="paragraph" w:customStyle="1" w:styleId="SignatureLines">
    <w:name w:val="Signature Lines"/>
    <w:basedOn w:val="Normal"/>
    <w:uiPriority w:val="95"/>
    <w:rsid w:val="00F73C38"/>
    <w:pPr>
      <w:spacing w:after="0"/>
    </w:pPr>
    <w:rPr>
      <w:rFonts w:eastAsia="Calibri"/>
    </w:rPr>
  </w:style>
  <w:style w:type="paragraph" w:customStyle="1" w:styleId="Space6">
    <w:name w:val="Space 6"/>
    <w:basedOn w:val="Normal"/>
    <w:uiPriority w:val="1"/>
    <w:semiHidden/>
    <w:rsid w:val="003064A1"/>
    <w:rPr>
      <w:sz w:val="12"/>
    </w:rPr>
  </w:style>
  <w:style w:type="numbering" w:customStyle="1" w:styleId="Style10">
    <w:name w:val="Style1"/>
    <w:uiPriority w:val="99"/>
    <w:rsid w:val="00AF44B6"/>
    <w:pPr>
      <w:numPr>
        <w:numId w:val="5"/>
      </w:numPr>
    </w:pPr>
  </w:style>
  <w:style w:type="numbering" w:customStyle="1" w:styleId="Style2">
    <w:name w:val="Style2"/>
    <w:uiPriority w:val="99"/>
    <w:rsid w:val="00AF44B6"/>
    <w:pPr>
      <w:numPr>
        <w:numId w:val="4"/>
      </w:numPr>
    </w:pPr>
  </w:style>
  <w:style w:type="table" w:styleId="TableGrid">
    <w:name w:val="Table Grid"/>
    <w:basedOn w:val="TableNormal"/>
    <w:uiPriority w:val="39"/>
    <w:rsid w:val="006649C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rmat">
    <w:name w:val="TableFormat"/>
    <w:basedOn w:val="Normal"/>
    <w:uiPriority w:val="99"/>
    <w:semiHidden/>
    <w:rsid w:val="00AF44B6"/>
    <w:pPr>
      <w:tabs>
        <w:tab w:val="left" w:pos="5040"/>
      </w:tabs>
      <w:spacing w:after="220"/>
      <w:ind w:left="5040" w:hanging="3600"/>
    </w:pPr>
  </w:style>
  <w:style w:type="paragraph" w:customStyle="1" w:styleId="TitleBold">
    <w:name w:val="Title Bold"/>
    <w:basedOn w:val="Normal"/>
    <w:next w:val="Normal"/>
    <w:uiPriority w:val="99"/>
    <w:semiHidden/>
    <w:qFormat/>
    <w:rsid w:val="00AF44B6"/>
    <w:pPr>
      <w:tabs>
        <w:tab w:val="left" w:pos="720"/>
        <w:tab w:val="right" w:pos="9360"/>
      </w:tabs>
      <w:suppressAutoHyphens/>
    </w:pPr>
    <w:rPr>
      <w:b/>
      <w:spacing w:val="-2"/>
    </w:rPr>
  </w:style>
  <w:style w:type="paragraph" w:customStyle="1" w:styleId="TitleBoldRight">
    <w:name w:val="Title Bold Right"/>
    <w:basedOn w:val="Normal"/>
    <w:next w:val="Normal"/>
    <w:uiPriority w:val="99"/>
    <w:semiHidden/>
    <w:rsid w:val="00AF44B6"/>
    <w:pPr>
      <w:tabs>
        <w:tab w:val="left" w:pos="720"/>
        <w:tab w:val="right" w:pos="9360"/>
      </w:tabs>
      <w:suppressAutoHyphens/>
      <w:jc w:val="center"/>
    </w:pPr>
    <w:rPr>
      <w:b/>
      <w:spacing w:val="-2"/>
    </w:rPr>
  </w:style>
  <w:style w:type="paragraph" w:styleId="TOAHeading">
    <w:name w:val="toa heading"/>
    <w:basedOn w:val="Normal"/>
    <w:next w:val="Normal"/>
    <w:semiHidden/>
    <w:rsid w:val="00AF44B6"/>
    <w:pPr>
      <w:tabs>
        <w:tab w:val="right" w:pos="9360"/>
      </w:tabs>
      <w:suppressAutoHyphens/>
    </w:pPr>
  </w:style>
  <w:style w:type="paragraph" w:styleId="TOC1">
    <w:name w:val="toc 1"/>
    <w:basedOn w:val="Normal"/>
    <w:next w:val="Normal"/>
    <w:uiPriority w:val="39"/>
    <w:rsid w:val="00AF44B6"/>
    <w:pPr>
      <w:tabs>
        <w:tab w:val="right" w:leader="dot" w:pos="9360"/>
      </w:tabs>
      <w:suppressAutoHyphens/>
      <w:spacing w:after="0"/>
      <w:ind w:left="504" w:right="720" w:hanging="504"/>
    </w:pPr>
    <w:rPr>
      <w:noProof/>
    </w:rPr>
  </w:style>
  <w:style w:type="paragraph" w:styleId="TOC2">
    <w:name w:val="toc 2"/>
    <w:basedOn w:val="Normal"/>
    <w:next w:val="Normal"/>
    <w:uiPriority w:val="39"/>
    <w:rsid w:val="00AF44B6"/>
    <w:pPr>
      <w:tabs>
        <w:tab w:val="right" w:leader="dot" w:pos="9360"/>
      </w:tabs>
      <w:suppressAutoHyphens/>
      <w:spacing w:after="0"/>
      <w:ind w:left="1008" w:right="720" w:hanging="504"/>
    </w:pPr>
    <w:rPr>
      <w:noProof/>
    </w:rPr>
  </w:style>
  <w:style w:type="paragraph" w:styleId="TOC3">
    <w:name w:val="toc 3"/>
    <w:basedOn w:val="Normal"/>
    <w:next w:val="Normal"/>
    <w:uiPriority w:val="39"/>
    <w:rsid w:val="00AF44B6"/>
    <w:pPr>
      <w:tabs>
        <w:tab w:val="right" w:leader="dot" w:pos="9360"/>
      </w:tabs>
      <w:suppressAutoHyphens/>
      <w:spacing w:after="0"/>
      <w:ind w:left="1368" w:right="720" w:hanging="504"/>
    </w:pPr>
    <w:rPr>
      <w:noProof/>
    </w:rPr>
  </w:style>
  <w:style w:type="paragraph" w:styleId="TOC4">
    <w:name w:val="toc 4"/>
    <w:basedOn w:val="Normal"/>
    <w:next w:val="Normal"/>
    <w:autoRedefine/>
    <w:semiHidden/>
    <w:rsid w:val="00AF44B6"/>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F44B6"/>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F44B6"/>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F44B6"/>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F44B6"/>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F44B6"/>
    <w:pPr>
      <w:tabs>
        <w:tab w:val="left" w:pos="3240"/>
        <w:tab w:val="right" w:leader="dot" w:pos="9360"/>
      </w:tabs>
      <w:suppressAutoHyphens/>
      <w:ind w:left="3240" w:hanging="360"/>
    </w:pPr>
    <w:rPr>
      <w:noProof/>
    </w:rPr>
  </w:style>
  <w:style w:type="paragraph" w:customStyle="1" w:styleId="TOCAppendix">
    <w:name w:val="TOC Appendix"/>
    <w:basedOn w:val="Normal"/>
    <w:uiPriority w:val="99"/>
    <w:semiHidden/>
    <w:rsid w:val="006649C3"/>
    <w:pPr>
      <w:widowControl w:val="0"/>
      <w:tabs>
        <w:tab w:val="center" w:pos="9270"/>
      </w:tabs>
    </w:pPr>
    <w:rPr>
      <w:spacing w:val="-2"/>
    </w:rPr>
  </w:style>
  <w:style w:type="paragraph" w:styleId="TOCHeading">
    <w:name w:val="TOC Heading"/>
    <w:basedOn w:val="Heading1"/>
    <w:next w:val="Normal"/>
    <w:uiPriority w:val="39"/>
    <w:semiHidden/>
    <w:rsid w:val="006649C3"/>
    <w:pPr>
      <w:keepLines/>
      <w:numPr>
        <w:numId w:val="0"/>
      </w:numPr>
      <w:suppressAutoHyphens w:val="0"/>
      <w:spacing w:before="240" w:after="0" w:line="259" w:lineRule="auto"/>
      <w:outlineLvl w:val="9"/>
    </w:pPr>
    <w:rPr>
      <w:rFonts w:eastAsiaTheme="majorEastAsia" w:cstheme="majorBidi"/>
      <w:b w:val="0"/>
      <w:caps w:val="0"/>
      <w:snapToGrid w:val="0"/>
      <w:color w:val="2E74B5" w:themeColor="accent1" w:themeShade="BF"/>
      <w:sz w:val="32"/>
      <w:szCs w:val="32"/>
    </w:rPr>
  </w:style>
  <w:style w:type="paragraph" w:customStyle="1" w:styleId="TOCParaTitle">
    <w:name w:val="TOC Para Title"/>
    <w:basedOn w:val="Normal"/>
    <w:next w:val="Normal"/>
    <w:uiPriority w:val="99"/>
    <w:semiHidden/>
    <w:rsid w:val="006649C3"/>
    <w:pPr>
      <w:widowControl w:val="0"/>
      <w:tabs>
        <w:tab w:val="center" w:pos="9270"/>
      </w:tabs>
      <w:spacing w:after="240"/>
    </w:pPr>
    <w:rPr>
      <w:spacing w:val="-2"/>
    </w:rPr>
  </w:style>
  <w:style w:type="paragraph" w:customStyle="1" w:styleId="TOCSubtitlePlain">
    <w:name w:val="TOC Subtitle Plain"/>
    <w:basedOn w:val="Normal"/>
    <w:next w:val="Normal"/>
    <w:uiPriority w:val="99"/>
    <w:semiHidden/>
    <w:rsid w:val="00AF44B6"/>
    <w:pPr>
      <w:tabs>
        <w:tab w:val="center" w:pos="9270"/>
      </w:tabs>
    </w:pPr>
    <w:rPr>
      <w:spacing w:val="-2"/>
    </w:rPr>
  </w:style>
  <w:style w:type="paragraph" w:customStyle="1" w:styleId="TOCTitle">
    <w:name w:val="TOC Title"/>
    <w:basedOn w:val="TitleCAPSCenteredBold"/>
    <w:uiPriority w:val="99"/>
    <w:semiHidden/>
    <w:rsid w:val="00AF44B6"/>
  </w:style>
  <w:style w:type="paragraph" w:customStyle="1" w:styleId="AppendixHeading1">
    <w:name w:val="Appendix Heading 1"/>
    <w:basedOn w:val="Heading2"/>
    <w:next w:val="Normal"/>
    <w:rsid w:val="00AC5267"/>
    <w:pPr>
      <w:numPr>
        <w:numId w:val="9"/>
      </w:numPr>
    </w:pPr>
  </w:style>
  <w:style w:type="paragraph" w:customStyle="1" w:styleId="AppendixParaNum">
    <w:name w:val="Appendix ParaNum"/>
    <w:basedOn w:val="ParaNum"/>
    <w:qFormat/>
    <w:rsid w:val="0039134A"/>
    <w:pPr>
      <w:widowControl w:val="0"/>
      <w:numPr>
        <w:numId w:val="0"/>
      </w:numPr>
    </w:pPr>
  </w:style>
  <w:style w:type="paragraph" w:customStyle="1" w:styleId="ParaNumBullet2">
    <w:name w:val="ParaNum Bullet 2"/>
    <w:basedOn w:val="ParaNumBullet"/>
    <w:uiPriority w:val="97"/>
    <w:rsid w:val="008B7E01"/>
    <w:pPr>
      <w:numPr>
        <w:ilvl w:val="1"/>
      </w:numPr>
    </w:pPr>
  </w:style>
  <w:style w:type="paragraph" w:customStyle="1" w:styleId="ParaNumBullet3">
    <w:name w:val="ParaNum Bullet 3"/>
    <w:basedOn w:val="ParaNumBullet"/>
    <w:uiPriority w:val="97"/>
    <w:rsid w:val="008B7E01"/>
    <w:pPr>
      <w:numPr>
        <w:ilvl w:val="2"/>
      </w:numPr>
    </w:pPr>
  </w:style>
  <w:style w:type="paragraph" w:customStyle="1" w:styleId="ParaNumBullet4">
    <w:name w:val="ParaNum Bullet 4"/>
    <w:basedOn w:val="ParaNumBullet"/>
    <w:uiPriority w:val="97"/>
    <w:rsid w:val="008B7E01"/>
    <w:pPr>
      <w:numPr>
        <w:ilvl w:val="3"/>
      </w:numPr>
    </w:pPr>
  </w:style>
  <w:style w:type="paragraph" w:customStyle="1" w:styleId="ParaNumBullet5">
    <w:name w:val="ParaNum Bullet 5"/>
    <w:basedOn w:val="ParaNumBullet4"/>
    <w:uiPriority w:val="97"/>
    <w:rsid w:val="008B7E01"/>
    <w:pPr>
      <w:numPr>
        <w:ilvl w:val="4"/>
      </w:numPr>
    </w:pPr>
  </w:style>
  <w:style w:type="paragraph" w:customStyle="1" w:styleId="ParaNumBullet6">
    <w:name w:val="ParaNum Bullet 6"/>
    <w:basedOn w:val="ParaNumBullet5"/>
    <w:uiPriority w:val="97"/>
    <w:rsid w:val="008B7E01"/>
    <w:pPr>
      <w:numPr>
        <w:ilvl w:val="5"/>
      </w:numPr>
    </w:pPr>
  </w:style>
  <w:style w:type="paragraph" w:customStyle="1" w:styleId="ParaNumBullet7">
    <w:name w:val="ParaNum Bullet 7"/>
    <w:basedOn w:val="ParaNumBullet6"/>
    <w:uiPriority w:val="97"/>
    <w:rsid w:val="008B7E01"/>
    <w:pPr>
      <w:numPr>
        <w:ilvl w:val="6"/>
      </w:numPr>
    </w:pPr>
  </w:style>
  <w:style w:type="paragraph" w:customStyle="1" w:styleId="ParaNumBullet8">
    <w:name w:val="ParaNum Bullet 8"/>
    <w:basedOn w:val="ParaNumBullet7"/>
    <w:uiPriority w:val="97"/>
    <w:rsid w:val="008B7E01"/>
    <w:pPr>
      <w:numPr>
        <w:ilvl w:val="7"/>
      </w:numPr>
    </w:pPr>
  </w:style>
  <w:style w:type="paragraph" w:customStyle="1" w:styleId="ParaNumBullet9">
    <w:name w:val="ParaNum Bullet 9"/>
    <w:basedOn w:val="ParaNumBullet"/>
    <w:uiPriority w:val="97"/>
    <w:rsid w:val="008B7E01"/>
    <w:pPr>
      <w:numPr>
        <w:ilvl w:val="8"/>
      </w:numPr>
    </w:pPr>
  </w:style>
  <w:style w:type="paragraph" w:customStyle="1" w:styleId="ParaNumLevel2">
    <w:name w:val="ParaNum Level 2"/>
    <w:basedOn w:val="ParaNum"/>
    <w:rsid w:val="008B7E01"/>
    <w:pPr>
      <w:numPr>
        <w:ilvl w:val="1"/>
      </w:numPr>
    </w:pPr>
  </w:style>
  <w:style w:type="paragraph" w:customStyle="1" w:styleId="ParaNumLevel3">
    <w:name w:val="ParaNum Level 3"/>
    <w:basedOn w:val="ParaNum"/>
    <w:uiPriority w:val="97"/>
    <w:rsid w:val="008B7E01"/>
    <w:pPr>
      <w:numPr>
        <w:ilvl w:val="2"/>
      </w:numPr>
    </w:pPr>
  </w:style>
  <w:style w:type="paragraph" w:customStyle="1" w:styleId="ParaNumLevel4">
    <w:name w:val="ParaNum Level 4"/>
    <w:basedOn w:val="ParaNum"/>
    <w:uiPriority w:val="97"/>
    <w:rsid w:val="008B7E01"/>
    <w:pPr>
      <w:numPr>
        <w:ilvl w:val="3"/>
      </w:numPr>
    </w:pPr>
  </w:style>
  <w:style w:type="paragraph" w:customStyle="1" w:styleId="ParaNumLevel5">
    <w:name w:val="ParaNum Level 5"/>
    <w:basedOn w:val="ParaNum"/>
    <w:uiPriority w:val="97"/>
    <w:rsid w:val="008B7E01"/>
    <w:pPr>
      <w:numPr>
        <w:ilvl w:val="4"/>
      </w:numPr>
    </w:pPr>
  </w:style>
  <w:style w:type="paragraph" w:customStyle="1" w:styleId="ParaNumLevel6">
    <w:name w:val="ParaNum Level 6"/>
    <w:basedOn w:val="ParaNum"/>
    <w:uiPriority w:val="97"/>
    <w:rsid w:val="008B7E01"/>
    <w:pPr>
      <w:numPr>
        <w:ilvl w:val="5"/>
      </w:numPr>
    </w:pPr>
  </w:style>
  <w:style w:type="paragraph" w:customStyle="1" w:styleId="ParaNumLevel7">
    <w:name w:val="ParaNum Level 7"/>
    <w:basedOn w:val="ParaNum"/>
    <w:uiPriority w:val="97"/>
    <w:rsid w:val="008B7E01"/>
    <w:pPr>
      <w:numPr>
        <w:ilvl w:val="6"/>
      </w:numPr>
    </w:pPr>
  </w:style>
  <w:style w:type="paragraph" w:customStyle="1" w:styleId="ParaNumLevel8">
    <w:name w:val="ParaNum Level 8"/>
    <w:basedOn w:val="ParaNum"/>
    <w:uiPriority w:val="97"/>
    <w:rsid w:val="008B7E01"/>
    <w:pPr>
      <w:numPr>
        <w:ilvl w:val="7"/>
      </w:numPr>
    </w:pPr>
  </w:style>
  <w:style w:type="paragraph" w:customStyle="1" w:styleId="ParaNumLevel9">
    <w:name w:val="ParaNum Level 9"/>
    <w:basedOn w:val="ParaNum"/>
    <w:uiPriority w:val="97"/>
    <w:rsid w:val="008B7E01"/>
    <w:pPr>
      <w:numPr>
        <w:ilvl w:val="8"/>
      </w:numPr>
    </w:pPr>
  </w:style>
  <w:style w:type="numbering" w:customStyle="1" w:styleId="PNOrderedList">
    <w:name w:val="PN Ordered List"/>
    <w:uiPriority w:val="99"/>
    <w:rsid w:val="008B7E01"/>
    <w:pPr>
      <w:numPr>
        <w:numId w:val="16"/>
      </w:numPr>
    </w:pPr>
  </w:style>
  <w:style w:type="paragraph" w:customStyle="1" w:styleId="PN-Header">
    <w:name w:val="PN-Header"/>
    <w:qFormat/>
    <w:rsid w:val="002A04DF"/>
    <w:rPr>
      <w:rFonts w:ascii="Arial" w:eastAsia="Times New Roman" w:hAnsi="Arial"/>
      <w:b/>
      <w:snapToGrid w:val="0"/>
      <w:kern w:val="28"/>
      <w:sz w:val="96"/>
    </w:rPr>
  </w:style>
  <w:style w:type="paragraph" w:customStyle="1" w:styleId="FCCAddress">
    <w:name w:val="FCC Address"/>
    <w:basedOn w:val="Normal"/>
    <w:qFormat/>
    <w:rsid w:val="003064A1"/>
    <w:pPr>
      <w:suppressAutoHyphens/>
      <w:spacing w:after="0"/>
    </w:pPr>
    <w:rPr>
      <w:rFonts w:ascii="Arial" w:hAnsi="Arial" w:cs="Arial"/>
      <w:b/>
    </w:rPr>
  </w:style>
  <w:style w:type="character" w:customStyle="1" w:styleId="UnresolvedMention1">
    <w:name w:val="Unresolved Mention1"/>
    <w:basedOn w:val="DefaultParagraphFont"/>
    <w:uiPriority w:val="99"/>
    <w:semiHidden/>
    <w:unhideWhenUsed/>
    <w:rsid w:val="00965A0B"/>
    <w:rPr>
      <w:color w:val="605E5C"/>
      <w:shd w:val="clear" w:color="auto" w:fill="E1DFDD"/>
    </w:rPr>
  </w:style>
  <w:style w:type="paragraph" w:customStyle="1" w:styleId="FCCMedia">
    <w:name w:val="FCC Media"/>
    <w:basedOn w:val="FCCAddress"/>
    <w:qFormat/>
    <w:rsid w:val="003030F1"/>
    <w:pPr>
      <w:spacing w:before="60" w:after="60"/>
      <w:jc w:val="right"/>
    </w:pPr>
    <w:rPr>
      <w:sz w:val="16"/>
    </w:rPr>
  </w:style>
  <w:style w:type="paragraph" w:customStyle="1" w:styleId="PNReportNumber">
    <w:name w:val="PN Report Number"/>
    <w:basedOn w:val="Normal"/>
    <w:rsid w:val="00D67632"/>
    <w:pPr>
      <w:spacing w:before="120"/>
    </w:pPr>
    <w:rPr>
      <w:b/>
      <w:szCs w:val="24"/>
    </w:rPr>
  </w:style>
  <w:style w:type="paragraph" w:customStyle="1" w:styleId="PNDA-Release">
    <w:name w:val="PN DA-Release"/>
    <w:basedOn w:val="PNReportNumber"/>
    <w:qFormat/>
    <w:rsid w:val="007E7A50"/>
    <w:pPr>
      <w:spacing w:before="0" w:after="240"/>
      <w:jc w:val="right"/>
    </w:pPr>
  </w:style>
  <w:style w:type="paragraph" w:customStyle="1" w:styleId="PN-Title">
    <w:name w:val="PN-Title"/>
    <w:basedOn w:val="Normal"/>
    <w:qFormat/>
    <w:rsid w:val="008E0ECD"/>
    <w:pPr>
      <w:spacing w:after="240"/>
      <w:jc w:val="center"/>
    </w:pPr>
    <w:rPr>
      <w:b/>
      <w:caps/>
    </w:rPr>
  </w:style>
  <w:style w:type="paragraph" w:customStyle="1" w:styleId="PN-Subtitle">
    <w:name w:val="PN-Subtitle"/>
    <w:basedOn w:val="PN-Title"/>
    <w:qFormat/>
    <w:rsid w:val="00CE19DA"/>
    <w:rPr>
      <w:caps w:val="0"/>
    </w:rPr>
  </w:style>
  <w:style w:type="paragraph" w:customStyle="1" w:styleId="NormalCentered">
    <w:name w:val="Normal Centered"/>
    <w:basedOn w:val="Normal"/>
    <w:next w:val="Normal"/>
    <w:qFormat/>
    <w:rsid w:val="0044359B"/>
    <w:pPr>
      <w:spacing w:after="0"/>
      <w:jc w:val="center"/>
    </w:pPr>
  </w:style>
  <w:style w:type="paragraph" w:customStyle="1" w:styleId="AttachmentHeading1">
    <w:name w:val="Attachment Heading 1"/>
    <w:basedOn w:val="Normal"/>
    <w:next w:val="NormalCentered"/>
    <w:qFormat/>
    <w:rsid w:val="00777CC7"/>
    <w:pPr>
      <w:spacing w:after="240"/>
      <w:jc w:val="center"/>
    </w:pPr>
    <w:rPr>
      <w:rFonts w:ascii="Times New Roman Bold" w:hAnsi="Times New Roman Bold"/>
      <w:b/>
      <w:caps/>
    </w:rPr>
  </w:style>
  <w:style w:type="paragraph" w:customStyle="1" w:styleId="AttachmentSubtitle">
    <w:name w:val="Attachment Subtitle"/>
    <w:basedOn w:val="AttachmentHeading1"/>
    <w:next w:val="Normal"/>
    <w:qFormat/>
    <w:rsid w:val="00777CC7"/>
    <w:rPr>
      <w:caps w:val="0"/>
    </w:rPr>
  </w:style>
  <w:style w:type="paragraph" w:customStyle="1" w:styleId="PN-TOCTitle">
    <w:name w:val="PN-TOC Title"/>
    <w:basedOn w:val="NormalCentered"/>
    <w:next w:val="Normal"/>
    <w:qFormat/>
    <w:rsid w:val="00CE19DA"/>
    <w:rPr>
      <w:b/>
      <w:caps/>
    </w:rPr>
  </w:style>
  <w:style w:type="paragraph" w:styleId="BlockText">
    <w:name w:val="Block Text"/>
    <w:basedOn w:val="Normal"/>
    <w:uiPriority w:val="99"/>
    <w:semiHidden/>
    <w:unhideWhenUsed/>
    <w:rsid w:val="006649C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cstheme="minorBidi"/>
      <w:i/>
      <w:iCs/>
      <w:color w:val="5B9BD5" w:themeColor="accent1"/>
    </w:rPr>
  </w:style>
  <w:style w:type="paragraph" w:styleId="EnvelopeAddress">
    <w:name w:val="envelope address"/>
    <w:basedOn w:val="Normal"/>
    <w:uiPriority w:val="99"/>
    <w:semiHidden/>
    <w:unhideWhenUsed/>
    <w:rsid w:val="006649C3"/>
    <w:pPr>
      <w:framePr w:w="7920" w:h="1980" w:hRule="exact" w:hSpace="180" w:wrap="auto" w:hAnchor="page" w:xAlign="center" w:yAlign="bottom"/>
      <w:spacing w:after="0"/>
      <w:ind w:left="2880"/>
    </w:pPr>
    <w:rPr>
      <w:rFonts w:eastAsiaTheme="majorEastAsia" w:cstheme="majorBidi"/>
      <w:szCs w:val="24"/>
    </w:rPr>
  </w:style>
  <w:style w:type="paragraph" w:styleId="EnvelopeReturn">
    <w:name w:val="envelope return"/>
    <w:basedOn w:val="Normal"/>
    <w:uiPriority w:val="99"/>
    <w:semiHidden/>
    <w:unhideWhenUsed/>
    <w:rsid w:val="006649C3"/>
    <w:pPr>
      <w:spacing w:after="0"/>
    </w:pPr>
    <w:rPr>
      <w:rFonts w:eastAsiaTheme="majorEastAsia" w:cstheme="majorBidi"/>
      <w:sz w:val="20"/>
      <w:szCs w:val="20"/>
    </w:rPr>
  </w:style>
  <w:style w:type="character" w:styleId="HTMLCode">
    <w:name w:val="HTML Code"/>
    <w:basedOn w:val="DefaultParagraphFont"/>
    <w:uiPriority w:val="99"/>
    <w:semiHidden/>
    <w:unhideWhenUsed/>
    <w:rsid w:val="006649C3"/>
    <w:rPr>
      <w:rFonts w:ascii="Times New Roman" w:hAnsi="Times New Roman"/>
      <w:sz w:val="20"/>
      <w:szCs w:val="20"/>
    </w:rPr>
  </w:style>
  <w:style w:type="character" w:styleId="HTMLKeyboard">
    <w:name w:val="HTML Keyboard"/>
    <w:basedOn w:val="DefaultParagraphFont"/>
    <w:uiPriority w:val="99"/>
    <w:semiHidden/>
    <w:unhideWhenUsed/>
    <w:rsid w:val="006649C3"/>
    <w:rPr>
      <w:rFonts w:ascii="Times New Roman" w:hAnsi="Times New Roman"/>
      <w:sz w:val="20"/>
      <w:szCs w:val="20"/>
    </w:rPr>
  </w:style>
  <w:style w:type="paragraph" w:styleId="HTMLPreformatted">
    <w:name w:val="HTML Preformatted"/>
    <w:basedOn w:val="Normal"/>
    <w:link w:val="HTMLPreformattedChar"/>
    <w:uiPriority w:val="99"/>
    <w:semiHidden/>
    <w:unhideWhenUsed/>
    <w:rsid w:val="006649C3"/>
    <w:pPr>
      <w:spacing w:after="0"/>
    </w:pPr>
    <w:rPr>
      <w:sz w:val="20"/>
      <w:szCs w:val="20"/>
    </w:rPr>
  </w:style>
  <w:style w:type="character" w:customStyle="1" w:styleId="HTMLPreformattedChar">
    <w:name w:val="HTML Preformatted Char"/>
    <w:basedOn w:val="DefaultParagraphFont"/>
    <w:link w:val="HTMLPreformatted"/>
    <w:uiPriority w:val="99"/>
    <w:semiHidden/>
    <w:rsid w:val="006649C3"/>
    <w:rPr>
      <w:sz w:val="20"/>
      <w:szCs w:val="20"/>
    </w:rPr>
  </w:style>
  <w:style w:type="character" w:styleId="HTMLSample">
    <w:name w:val="HTML Sample"/>
    <w:basedOn w:val="DefaultParagraphFont"/>
    <w:uiPriority w:val="99"/>
    <w:semiHidden/>
    <w:unhideWhenUsed/>
    <w:rsid w:val="006649C3"/>
    <w:rPr>
      <w:rFonts w:ascii="Times New Roman" w:hAnsi="Times New Roman"/>
      <w:sz w:val="24"/>
      <w:szCs w:val="24"/>
    </w:rPr>
  </w:style>
  <w:style w:type="character" w:styleId="HTMLTypewriter">
    <w:name w:val="HTML Typewriter"/>
    <w:basedOn w:val="DefaultParagraphFont"/>
    <w:uiPriority w:val="99"/>
    <w:semiHidden/>
    <w:unhideWhenUsed/>
    <w:rsid w:val="006649C3"/>
    <w:rPr>
      <w:rFonts w:ascii="Times New Roman" w:hAnsi="Times New Roman"/>
      <w:sz w:val="20"/>
      <w:szCs w:val="20"/>
    </w:rPr>
  </w:style>
  <w:style w:type="paragraph" w:styleId="Index1">
    <w:name w:val="index 1"/>
    <w:basedOn w:val="Normal"/>
    <w:next w:val="Normal"/>
    <w:autoRedefine/>
    <w:uiPriority w:val="99"/>
    <w:semiHidden/>
    <w:unhideWhenUsed/>
    <w:rsid w:val="006649C3"/>
    <w:pPr>
      <w:spacing w:after="0"/>
      <w:ind w:left="220" w:hanging="220"/>
    </w:pPr>
  </w:style>
  <w:style w:type="paragraph" w:styleId="IndexHeading">
    <w:name w:val="index heading"/>
    <w:basedOn w:val="Normal"/>
    <w:next w:val="Index1"/>
    <w:uiPriority w:val="99"/>
    <w:semiHidden/>
    <w:unhideWhenUsed/>
    <w:rsid w:val="006649C3"/>
    <w:rPr>
      <w:rFonts w:eastAsiaTheme="majorEastAsia" w:cstheme="majorBidi"/>
      <w:b/>
      <w:bCs/>
    </w:rPr>
  </w:style>
  <w:style w:type="paragraph" w:styleId="Macro">
    <w:name w:val="macro"/>
    <w:link w:val="MacroTextChar"/>
    <w:uiPriority w:val="99"/>
    <w:semiHidden/>
    <w:unhideWhenUsed/>
    <w:rsid w:val="006649C3"/>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
    <w:uiPriority w:val="99"/>
    <w:semiHidden/>
    <w:rsid w:val="006649C3"/>
    <w:rPr>
      <w:sz w:val="20"/>
      <w:szCs w:val="20"/>
    </w:rPr>
  </w:style>
  <w:style w:type="table" w:styleId="MediumGrid2">
    <w:name w:val="Medium Grid 2"/>
    <w:basedOn w:val="TableNormal"/>
    <w:uiPriority w:val="68"/>
    <w:semiHidden/>
    <w:unhideWhenUsed/>
    <w:rsid w:val="006649C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649C3"/>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649C3"/>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649C3"/>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649C3"/>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649C3"/>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649C3"/>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6649C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649C3"/>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649C3"/>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649C3"/>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649C3"/>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649C3"/>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649C3"/>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6649C3"/>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6649C3"/>
    <w:rPr>
      <w:rFonts w:eastAsiaTheme="majorEastAsia" w:cstheme="majorBidi"/>
      <w:sz w:val="24"/>
      <w:szCs w:val="24"/>
      <w:shd w:val="pct20" w:color="auto" w:fill="auto"/>
    </w:rPr>
  </w:style>
  <w:style w:type="paragraph" w:styleId="PlainText">
    <w:name w:val="Plain Text"/>
    <w:basedOn w:val="Normal"/>
    <w:link w:val="PlainTextChar"/>
    <w:uiPriority w:val="99"/>
    <w:semiHidden/>
    <w:unhideWhenUsed/>
    <w:rsid w:val="006649C3"/>
    <w:pPr>
      <w:spacing w:after="0"/>
    </w:pPr>
    <w:rPr>
      <w:sz w:val="21"/>
      <w:szCs w:val="21"/>
    </w:rPr>
  </w:style>
  <w:style w:type="character" w:customStyle="1" w:styleId="PlainTextChar">
    <w:name w:val="Plain Text Char"/>
    <w:basedOn w:val="DefaultParagraphFont"/>
    <w:link w:val="PlainText"/>
    <w:uiPriority w:val="99"/>
    <w:semiHidden/>
    <w:rsid w:val="006649C3"/>
    <w:rPr>
      <w:sz w:val="21"/>
      <w:szCs w:val="21"/>
    </w:rPr>
  </w:style>
  <w:style w:type="paragraph" w:styleId="Subtitle">
    <w:name w:val="Subtitle"/>
    <w:basedOn w:val="Normal"/>
    <w:next w:val="Normal"/>
    <w:link w:val="SubtitleChar"/>
    <w:uiPriority w:val="99"/>
    <w:semiHidden/>
    <w:qFormat/>
    <w:rsid w:val="006649C3"/>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99"/>
    <w:semiHidden/>
    <w:rsid w:val="006649C3"/>
    <w:rPr>
      <w:rFonts w:eastAsiaTheme="minorEastAsia" w:cstheme="minorBidi"/>
      <w:spacing w:val="15"/>
    </w:rPr>
  </w:style>
  <w:style w:type="paragraph" w:styleId="Title">
    <w:name w:val="Title"/>
    <w:basedOn w:val="Normal"/>
    <w:next w:val="Normal"/>
    <w:link w:val="TitleChar"/>
    <w:uiPriority w:val="99"/>
    <w:semiHidden/>
    <w:rsid w:val="006649C3"/>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99"/>
    <w:semiHidden/>
    <w:rsid w:val="006649C3"/>
    <w:rPr>
      <w:rFonts w:eastAsiaTheme="majorEastAsia" w:cstheme="majorBidi"/>
      <w:spacing w:val="-10"/>
      <w:kern w:val="28"/>
      <w:sz w:val="56"/>
      <w:szCs w:val="56"/>
    </w:rPr>
  </w:style>
  <w:style w:type="paragraph" w:styleId="ListParagraph">
    <w:name w:val="List Paragraph"/>
    <w:basedOn w:val="Normal"/>
    <w:uiPriority w:val="34"/>
    <w:qFormat/>
    <w:rsid w:val="00E873F8"/>
    <w:pPr>
      <w:ind w:left="720"/>
      <w:contextualSpacing/>
    </w:pPr>
  </w:style>
  <w:style w:type="paragraph" w:customStyle="1" w:styleId="PN-DANumber">
    <w:name w:val="PN-DA Number"/>
    <w:basedOn w:val="PNDA-Release"/>
    <w:qFormat/>
    <w:rsid w:val="007E7A50"/>
    <w:pPr>
      <w:spacing w:after="0"/>
    </w:pPr>
  </w:style>
  <w:style w:type="paragraph" w:customStyle="1" w:styleId="Template-About">
    <w:name w:val="Template - About"/>
    <w:basedOn w:val="PN-Title"/>
    <w:rsid w:val="00EA030C"/>
    <w:rPr>
      <w:rFonts w:ascii="Times New Roman Bold" w:hAnsi="Times New Roman Bold"/>
      <w:caps w:val="0"/>
      <w:u w:val="single"/>
    </w:rPr>
  </w:style>
  <w:style w:type="paragraph" w:customStyle="1" w:styleId="AttachmentParaNum">
    <w:name w:val="Attachment ParaNum"/>
    <w:basedOn w:val="AppendixParaNum"/>
    <w:qFormat/>
    <w:rsid w:val="006239ED"/>
    <w:pPr>
      <w:numPr>
        <w:numId w:val="2"/>
      </w:numPr>
    </w:pPr>
  </w:style>
  <w:style w:type="numbering" w:customStyle="1" w:styleId="AttachmentList">
    <w:name w:val="Attachment List"/>
    <w:uiPriority w:val="99"/>
    <w:rsid w:val="003725BE"/>
    <w:pPr>
      <w:numPr>
        <w:numId w:val="15"/>
      </w:numPr>
    </w:pPr>
  </w:style>
  <w:style w:type="paragraph" w:customStyle="1" w:styleId="HeadingNon-Numbered">
    <w:name w:val="Heading (Non-Numbered)"/>
    <w:basedOn w:val="Normal"/>
    <w:next w:val="NormalIndent"/>
    <w:qFormat/>
    <w:rsid w:val="00C16543"/>
    <w:pPr>
      <w:keepNext/>
    </w:pPr>
    <w:rPr>
      <w:rFonts w:ascii="Times New Roman Bold" w:hAnsi="Times New Roman Bold"/>
      <w:b/>
      <w:u w:val="single"/>
    </w:rPr>
  </w:style>
  <w:style w:type="paragraph" w:customStyle="1" w:styleId="SubheadingNon-Numbered">
    <w:name w:val="Subheading (Non-Numbered)"/>
    <w:basedOn w:val="HeadingNon-Numbered"/>
    <w:qFormat/>
    <w:rsid w:val="00C16543"/>
    <w:rPr>
      <w:u w:val="none"/>
    </w:rPr>
  </w:style>
  <w:style w:type="paragraph" w:customStyle="1" w:styleId="FCCTagLine">
    <w:name w:val="FCC Tag Line"/>
    <w:basedOn w:val="PN-Subtitle"/>
    <w:rsid w:val="00D51C7C"/>
  </w:style>
  <w:style w:type="numbering" w:customStyle="1" w:styleId="NIOrderedList">
    <w:name w:val="NI Ordered List"/>
    <w:uiPriority w:val="99"/>
    <w:rsid w:val="00B10CEE"/>
  </w:style>
  <w:style w:type="character" w:styleId="UnresolvedMention">
    <w:name w:val="Unresolved Mention"/>
    <w:basedOn w:val="DefaultParagraphFont"/>
    <w:uiPriority w:val="99"/>
    <w:semiHidden/>
    <w:unhideWhenUsed/>
    <w:rsid w:val="00E01036"/>
    <w:rPr>
      <w:color w:val="605E5C"/>
      <w:shd w:val="clear" w:color="auto" w:fill="E1DFDD"/>
    </w:rPr>
  </w:style>
  <w:style w:type="paragraph" w:styleId="Revision">
    <w:name w:val="Revision"/>
    <w:hidden/>
    <w:uiPriority w:val="99"/>
    <w:semiHidden/>
    <w:rsid w:val="00D129C5"/>
    <w:rPr>
      <w:sz w:val="24"/>
    </w:rPr>
  </w:style>
  <w:style w:type="character" w:customStyle="1" w:styleId="ParaNumChar1">
    <w:name w:val="ParaNum Char1"/>
    <w:locked/>
    <w:rsid w:val="004A7241"/>
    <w:rPr>
      <w:snapToGrid w:val="0"/>
      <w:kern w:val="28"/>
      <w:sz w:val="22"/>
    </w:rPr>
  </w:style>
  <w:style w:type="character" w:styleId="FollowedHyperlink">
    <w:name w:val="FollowedHyperlink"/>
    <w:basedOn w:val="DefaultParagraphFont"/>
    <w:uiPriority w:val="99"/>
    <w:semiHidden/>
    <w:unhideWhenUsed/>
    <w:rsid w:val="00BF17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hyperlink" Target="http://www.fcc.gov" TargetMode="External" /><Relationship Id="rId7" Type="http://schemas.openxmlformats.org/officeDocument/2006/relationships/hyperlink" Target="http://www.fcc.gov/ecfs/" TargetMode="External" /><Relationship Id="rId8" Type="http://schemas.openxmlformats.org/officeDocument/2006/relationships/hyperlink" Target="mailto:fcc504@fcc.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approved-space-station-list" TargetMode="External" /><Relationship Id="rId2" Type="http://schemas.openxmlformats.org/officeDocument/2006/relationships/hyperlink" Target="https://ustr.gov/sites/default/files/files/Press/Reports/2025NTE.pdf" TargetMode="External" /><Relationship Id="rId3" Type="http://schemas.openxmlformats.org/officeDocument/2006/relationships/hyperlink" Target="https://data.consilium.europa.eu/doc/document/ST-16437-2025-INIT/en/pdf" TargetMode="External" /><Relationship Id="rId4" Type="http://schemas.openxmlformats.org/officeDocument/2006/relationships/hyperlink" Target="https://docs.wto.org/dol2fe/Pages/SS/directdoc.aspx?filename=Q:/SCHD/GATS-EL/EL90S2.pdf&amp;Open=True" TargetMode="External" /><Relationship Id="rId5" Type="http://schemas.openxmlformats.org/officeDocument/2006/relationships/hyperlink" Target="https://www.fcc.gov/wrc-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