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5A18E984" w14:textId="77777777">
      <w:pPr>
        <w:jc w:val="right"/>
        <w:rPr>
          <w:sz w:val="24"/>
        </w:rPr>
      </w:pPr>
    </w:p>
    <w:p w:rsidR="00BA3BA8" w:rsidRPr="00DB3CBC" w14:paraId="49094E31" w14:textId="15DE2080">
      <w:pPr>
        <w:jc w:val="right"/>
        <w:rPr>
          <w:b/>
          <w:szCs w:val="22"/>
        </w:rPr>
      </w:pPr>
      <w:r w:rsidRPr="00DB3CBC">
        <w:rPr>
          <w:b/>
          <w:szCs w:val="22"/>
        </w:rPr>
        <w:t>DA 2</w:t>
      </w:r>
      <w:r w:rsidR="00AB0EE1">
        <w:rPr>
          <w:b/>
          <w:szCs w:val="22"/>
        </w:rPr>
        <w:t>6</w:t>
      </w:r>
      <w:r w:rsidRPr="00DB3CBC">
        <w:rPr>
          <w:b/>
          <w:szCs w:val="22"/>
        </w:rPr>
        <w:t>-</w:t>
      </w:r>
      <w:r w:rsidR="00A33B8A">
        <w:rPr>
          <w:b/>
          <w:szCs w:val="22"/>
        </w:rPr>
        <w:t>209</w:t>
      </w:r>
    </w:p>
    <w:p w:rsidR="00BA3BA8" w:rsidRPr="00DB3CBC" w:rsidP="001509AC" w14:paraId="57FC0364" w14:textId="5FA73C57">
      <w:pPr>
        <w:tabs>
          <w:tab w:val="left" w:pos="589"/>
          <w:tab w:val="right" w:pos="9360"/>
        </w:tabs>
        <w:spacing w:before="60"/>
        <w:rPr>
          <w:b/>
          <w:szCs w:val="22"/>
        </w:rPr>
      </w:pPr>
      <w:r>
        <w:rPr>
          <w:b/>
          <w:szCs w:val="22"/>
        </w:rPr>
        <w:tab/>
      </w:r>
      <w:r>
        <w:rPr>
          <w:b/>
          <w:szCs w:val="22"/>
        </w:rPr>
        <w:tab/>
      </w:r>
      <w:r w:rsidRPr="00DB3CBC" w:rsidR="00395EAA">
        <w:rPr>
          <w:b/>
          <w:szCs w:val="22"/>
        </w:rPr>
        <w:t xml:space="preserve">Released:  </w:t>
      </w:r>
      <w:r w:rsidR="00965BD3">
        <w:rPr>
          <w:b/>
          <w:szCs w:val="22"/>
        </w:rPr>
        <w:t>February</w:t>
      </w:r>
      <w:r w:rsidR="00001FB2">
        <w:rPr>
          <w:b/>
          <w:szCs w:val="22"/>
        </w:rPr>
        <w:t xml:space="preserve"> </w:t>
      </w:r>
      <w:r w:rsidR="00A33B8A">
        <w:rPr>
          <w:b/>
          <w:szCs w:val="22"/>
        </w:rPr>
        <w:t>27</w:t>
      </w:r>
      <w:r w:rsidRPr="00DB3CBC" w:rsidR="001A5115">
        <w:rPr>
          <w:b/>
          <w:szCs w:val="22"/>
        </w:rPr>
        <w:t>, 202</w:t>
      </w:r>
      <w:r w:rsidR="00E71728">
        <w:rPr>
          <w:b/>
          <w:szCs w:val="22"/>
        </w:rPr>
        <w:t>6</w:t>
      </w:r>
    </w:p>
    <w:p w:rsidR="00881759" w:rsidP="00881759" w14:paraId="6BB11DED" w14:textId="77777777">
      <w:pPr>
        <w:jc w:val="center"/>
        <w:rPr>
          <w:b/>
          <w:bCs/>
          <w:szCs w:val="22"/>
        </w:rPr>
      </w:pPr>
      <w:bookmarkStart w:id="0" w:name="_Hlk166229554"/>
    </w:p>
    <w:p w:rsidR="00881759" w:rsidP="00A84457" w14:paraId="66B3ECCE" w14:textId="0C5B3A82">
      <w:pPr>
        <w:ind w:left="-270" w:right="-270"/>
        <w:jc w:val="center"/>
        <w:rPr>
          <w:b/>
          <w:bCs/>
          <w:szCs w:val="22"/>
        </w:rPr>
      </w:pPr>
      <w:r w:rsidRPr="00DB3CBC">
        <w:rPr>
          <w:b/>
          <w:bCs/>
          <w:szCs w:val="22"/>
        </w:rPr>
        <w:t xml:space="preserve">DOMESTIC </w:t>
      </w:r>
      <w:r w:rsidRPr="00DB3CBC">
        <w:rPr>
          <w:b/>
          <w:bCs/>
          <w:caps/>
          <w:szCs w:val="22"/>
        </w:rPr>
        <w:t>SECTION</w:t>
      </w:r>
      <w:r w:rsidRPr="00DB3CBC">
        <w:rPr>
          <w:b/>
          <w:bCs/>
          <w:szCs w:val="22"/>
        </w:rPr>
        <w:t xml:space="preserve"> 214 APPLICATION </w:t>
      </w:r>
      <w:r w:rsidR="00001FB2">
        <w:rPr>
          <w:b/>
          <w:bCs/>
          <w:szCs w:val="22"/>
        </w:rPr>
        <w:t xml:space="preserve">GRANTED </w:t>
      </w:r>
      <w:r w:rsidRPr="00DB3CBC">
        <w:rPr>
          <w:b/>
          <w:bCs/>
          <w:szCs w:val="22"/>
        </w:rPr>
        <w:t xml:space="preserve">FOR THE </w:t>
      </w:r>
      <w:r w:rsidR="00C852CD">
        <w:rPr>
          <w:b/>
          <w:bCs/>
          <w:szCs w:val="22"/>
        </w:rPr>
        <w:t>ACQUISITION</w:t>
      </w:r>
      <w:r w:rsidR="001531B6">
        <w:rPr>
          <w:b/>
          <w:bCs/>
          <w:szCs w:val="22"/>
        </w:rPr>
        <w:t xml:space="preserve"> OF CERTAIN ASSETS OF </w:t>
      </w:r>
      <w:bookmarkEnd w:id="0"/>
      <w:r w:rsidRPr="005D24E2" w:rsidR="005D24E2">
        <w:rPr>
          <w:b/>
          <w:bCs/>
          <w:szCs w:val="22"/>
        </w:rPr>
        <w:t>POINT BROADBAND FIBER HOLDING, LLC</w:t>
      </w:r>
      <w:r w:rsidR="00E64A4E">
        <w:rPr>
          <w:b/>
          <w:bCs/>
          <w:szCs w:val="22"/>
        </w:rPr>
        <w:t xml:space="preserve"> </w:t>
      </w:r>
      <w:r w:rsidR="00513F13">
        <w:rPr>
          <w:b/>
          <w:bCs/>
          <w:szCs w:val="22"/>
        </w:rPr>
        <w:t>BY</w:t>
      </w:r>
      <w:r w:rsidR="00E64A4E">
        <w:rPr>
          <w:b/>
          <w:bCs/>
          <w:szCs w:val="22"/>
        </w:rPr>
        <w:t xml:space="preserve"> </w:t>
      </w:r>
      <w:r w:rsidRPr="00E64A4E" w:rsidR="00E64A4E">
        <w:rPr>
          <w:b/>
          <w:bCs/>
          <w:szCs w:val="22"/>
        </w:rPr>
        <w:t>CITY OF COLQUITT, GEORGIA</w:t>
      </w:r>
    </w:p>
    <w:p w:rsidR="00BA3BA8" w:rsidRPr="00DB3CBC" w:rsidP="00001FB2" w14:paraId="7562A3CA" w14:textId="5A6864ED">
      <w:pPr>
        <w:spacing w:after="120"/>
        <w:jc w:val="center"/>
        <w:rPr>
          <w:b/>
          <w:szCs w:val="22"/>
        </w:rPr>
      </w:pPr>
    </w:p>
    <w:p w:rsidR="00BA3BA8" w:rsidRPr="00DB3CBC" w:rsidP="00001FB2" w14:paraId="643284FA" w14:textId="30F806C9">
      <w:pPr>
        <w:spacing w:after="120"/>
        <w:jc w:val="center"/>
        <w:rPr>
          <w:b/>
          <w:szCs w:val="22"/>
        </w:rPr>
      </w:pPr>
      <w:r w:rsidRPr="00DB3CBC">
        <w:rPr>
          <w:b/>
          <w:szCs w:val="22"/>
        </w:rPr>
        <w:t>WC Docket No. 2</w:t>
      </w:r>
      <w:r w:rsidR="00D3124A">
        <w:rPr>
          <w:b/>
          <w:szCs w:val="22"/>
        </w:rPr>
        <w:t>5</w:t>
      </w:r>
      <w:r w:rsidR="00E37BFA">
        <w:rPr>
          <w:b/>
          <w:szCs w:val="22"/>
        </w:rPr>
        <w:t>-</w:t>
      </w:r>
      <w:r w:rsidR="00831322">
        <w:rPr>
          <w:b/>
          <w:szCs w:val="22"/>
        </w:rPr>
        <w:t>187</w:t>
      </w:r>
    </w:p>
    <w:p w:rsidR="00881759" w:rsidRPr="00AD440B" w:rsidP="00881759" w14:paraId="4A97C256" w14:textId="77777777">
      <w:pPr>
        <w:rPr>
          <w:b/>
          <w:szCs w:val="22"/>
        </w:rPr>
      </w:pPr>
      <w:bookmarkStart w:id="1" w:name="TOChere"/>
    </w:p>
    <w:p w:rsidR="00F43F29" w:rsidP="003C4B15" w14:paraId="220273CC" w14:textId="0AF3B2AF">
      <w:pPr>
        <w:autoSpaceDE w:val="0"/>
        <w:autoSpaceDN w:val="0"/>
        <w:adjustRightInd w:val="0"/>
        <w:spacing w:after="120"/>
        <w:ind w:firstLine="720"/>
      </w:pPr>
      <w:r w:rsidRPr="52D3F29C">
        <w:t xml:space="preserve">By this Public Notice, the Wireline Competition Bureau </w:t>
      </w:r>
      <w:r w:rsidR="00001FB2">
        <w:t xml:space="preserve">(Bureau) grants </w:t>
      </w:r>
      <w:r w:rsidRPr="52D3F29C">
        <w:t xml:space="preserve">an application filed by </w:t>
      </w:r>
      <w:bookmarkStart w:id="2" w:name="_Hlk187678845"/>
      <w:bookmarkStart w:id="3" w:name="_Hlk73713070"/>
      <w:bookmarkStart w:id="4" w:name="_Hlk67917977"/>
      <w:r w:rsidRPr="004110BC" w:rsidR="004110BC">
        <w:t>Point Broadband Fiber Holding, LLC (Point Broadband) and the City of Colquitt,</w:t>
      </w:r>
      <w:r w:rsidR="004110BC">
        <w:t xml:space="preserve"> </w:t>
      </w:r>
      <w:r w:rsidRPr="004110BC" w:rsidR="004110BC">
        <w:t>Georgia (Colquitt</w:t>
      </w:r>
      <w:r w:rsidR="00F95405">
        <w:t>,</w:t>
      </w:r>
      <w:r w:rsidR="00BC4277">
        <w:t xml:space="preserve"> </w:t>
      </w:r>
      <w:bookmarkEnd w:id="2"/>
      <w:r w:rsidR="00A84457">
        <w:t>together</w:t>
      </w:r>
      <w:r w:rsidR="00F95405">
        <w:t xml:space="preserve"> with Point Broadband</w:t>
      </w:r>
      <w:r>
        <w:t xml:space="preserve">, </w:t>
      </w:r>
      <w:r w:rsidRPr="52D3F29C">
        <w:t>Applicant</w:t>
      </w:r>
      <w:r>
        <w:t>s</w:t>
      </w:r>
      <w:r>
        <w:rPr>
          <w:szCs w:val="22"/>
        </w:rPr>
        <w:t>),</w:t>
      </w:r>
      <w:r w:rsidRPr="52D3F29C">
        <w:t xml:space="preserve"> pursuant to section 214(a) of the Communications Act of 1934, as amended, and sections 6</w:t>
      </w:r>
      <w:r w:rsidR="00A84457">
        <w:t>3.</w:t>
      </w:r>
      <w:r w:rsidRPr="52D3F29C">
        <w:t>04 of the Commission’s rules,</w:t>
      </w:r>
      <w:r>
        <w:rPr>
          <w:rStyle w:val="FootnoteReference"/>
        </w:rPr>
        <w:footnoteReference w:id="3"/>
      </w:r>
      <w:r w:rsidRPr="00523F87">
        <w:rPr>
          <w:szCs w:val="22"/>
        </w:rPr>
        <w:t xml:space="preserve"> </w:t>
      </w:r>
      <w:r w:rsidRPr="52D3F29C">
        <w:t>requesting</w:t>
      </w:r>
      <w:r w:rsidR="00C70BF0">
        <w:t xml:space="preserve"> </w:t>
      </w:r>
      <w:r w:rsidRPr="00C70BF0" w:rsidR="00C70BF0">
        <w:t xml:space="preserve">Commission </w:t>
      </w:r>
      <w:r w:rsidR="002B3857">
        <w:t>approval</w:t>
      </w:r>
      <w:r w:rsidRPr="003C4B15" w:rsidR="003C4B15">
        <w:t xml:space="preserve"> for the a</w:t>
      </w:r>
      <w:r w:rsidR="00A84457">
        <w:t>cquisition</w:t>
      </w:r>
      <w:r w:rsidRPr="003C4B15" w:rsidR="003C4B15">
        <w:t xml:space="preserve"> of Point Broadband’s </w:t>
      </w:r>
      <w:r w:rsidR="00B060BE">
        <w:t xml:space="preserve">Rural Digital Opportunity Fund (RDOF) </w:t>
      </w:r>
      <w:r w:rsidR="00A84457">
        <w:t xml:space="preserve">buildout and service obligations associated with </w:t>
      </w:r>
      <w:r w:rsidR="00C619E8">
        <w:t xml:space="preserve">all </w:t>
      </w:r>
      <w:r w:rsidRPr="004110BC" w:rsidR="004110BC">
        <w:t>census blocks</w:t>
      </w:r>
      <w:r w:rsidR="00C619E8">
        <w:t xml:space="preserve"> within</w:t>
      </w:r>
      <w:r w:rsidR="00952E57">
        <w:t xml:space="preserve"> </w:t>
      </w:r>
      <w:r w:rsidRPr="004110BC" w:rsidR="004110BC">
        <w:t>Study Area Code 229033 (Assigned Census Blocks)</w:t>
      </w:r>
      <w:r w:rsidR="00A84457">
        <w:t>,</w:t>
      </w:r>
      <w:r w:rsidRPr="004110BC" w:rsidR="004110BC">
        <w:t xml:space="preserve"> covering </w:t>
      </w:r>
      <w:r w:rsidR="004F73BD">
        <w:t xml:space="preserve">an estimated </w:t>
      </w:r>
      <w:r w:rsidRPr="004110BC" w:rsidR="004110BC">
        <w:t>2,000 locations in Miller</w:t>
      </w:r>
      <w:r w:rsidR="004110BC">
        <w:t xml:space="preserve"> </w:t>
      </w:r>
      <w:r w:rsidRPr="004110BC" w:rsidR="004110BC">
        <w:t>County, Georgia</w:t>
      </w:r>
      <w:bookmarkEnd w:id="3"/>
      <w:bookmarkEnd w:id="4"/>
      <w:r w:rsidR="00A84457">
        <w:t xml:space="preserve">, </w:t>
      </w:r>
      <w:r w:rsidR="00133301">
        <w:t>by</w:t>
      </w:r>
      <w:r w:rsidR="00A84457">
        <w:t xml:space="preserve"> Colquitt</w:t>
      </w:r>
      <w:r w:rsidR="004110BC">
        <w:t>.</w:t>
      </w:r>
      <w:r>
        <w:rPr>
          <w:vertAlign w:val="superscript"/>
        </w:rPr>
        <w:footnoteReference w:id="4"/>
      </w:r>
    </w:p>
    <w:p w:rsidR="00F62D92" w:rsidRPr="00AE5E8A" w:rsidP="00AE5E8A" w14:paraId="65F5C7A2" w14:textId="2E0D5D32">
      <w:pPr>
        <w:autoSpaceDE w:val="0"/>
        <w:autoSpaceDN w:val="0"/>
        <w:adjustRightInd w:val="0"/>
        <w:spacing w:after="120"/>
        <w:ind w:firstLine="720"/>
        <w:rPr>
          <w:b/>
          <w:bCs/>
          <w:szCs w:val="22"/>
          <w:u w:val="single"/>
        </w:rPr>
      </w:pPr>
      <w:r w:rsidRPr="00D71808">
        <w:rPr>
          <w:szCs w:val="22"/>
        </w:rPr>
        <w:t>On</w:t>
      </w:r>
      <w:r>
        <w:rPr>
          <w:szCs w:val="22"/>
        </w:rPr>
        <w:t xml:space="preserve"> September 12</w:t>
      </w:r>
      <w:r w:rsidRPr="00D71808">
        <w:rPr>
          <w:szCs w:val="22"/>
        </w:rPr>
        <w:t>, 202</w:t>
      </w:r>
      <w:r>
        <w:rPr>
          <w:szCs w:val="22"/>
        </w:rPr>
        <w:t>5</w:t>
      </w:r>
      <w:r w:rsidRPr="00D71808">
        <w:rPr>
          <w:szCs w:val="22"/>
        </w:rPr>
        <w:t>, the Bureau released a Public Notice seeking comment on the Application.</w:t>
      </w:r>
      <w:r>
        <w:rPr>
          <w:szCs w:val="22"/>
          <w:vertAlign w:val="superscript"/>
        </w:rPr>
        <w:footnoteReference w:id="5"/>
      </w:r>
      <w:r w:rsidRPr="00D71808">
        <w:rPr>
          <w:szCs w:val="22"/>
        </w:rPr>
        <w:t xml:space="preserve">  The Bureau did not receive comments or petitions in opposition to the Application.</w:t>
      </w:r>
    </w:p>
    <w:p w:rsidR="00001FB2" w:rsidRPr="00001FB2" w:rsidP="00001FB2" w14:paraId="072DB334" w14:textId="20D1589D">
      <w:pPr>
        <w:autoSpaceDE w:val="0"/>
        <w:autoSpaceDN w:val="0"/>
        <w:adjustRightInd w:val="0"/>
        <w:spacing w:after="120"/>
        <w:rPr>
          <w:b/>
          <w:bCs/>
          <w:u w:val="single"/>
        </w:rPr>
      </w:pPr>
      <w:r>
        <w:rPr>
          <w:b/>
          <w:bCs/>
          <w:u w:val="single"/>
        </w:rPr>
        <w:t>Applicants and Description of Transaction</w:t>
      </w:r>
    </w:p>
    <w:p w:rsidR="00926787" w:rsidRPr="00B839B4" w:rsidP="00616D07" w14:paraId="4FB07313" w14:textId="766DB655">
      <w:pPr>
        <w:autoSpaceDE w:val="0"/>
        <w:autoSpaceDN w:val="0"/>
        <w:adjustRightInd w:val="0"/>
        <w:spacing w:after="120"/>
        <w:ind w:firstLine="720"/>
        <w:rPr>
          <w:szCs w:val="22"/>
        </w:rPr>
      </w:pPr>
      <w:r w:rsidRPr="00B839B4">
        <w:rPr>
          <w:szCs w:val="22"/>
        </w:rPr>
        <w:t xml:space="preserve">Point Broadband, a Delaware limited liability company, </w:t>
      </w:r>
      <w:r w:rsidRPr="00B839B4" w:rsidR="00280E6F">
        <w:rPr>
          <w:szCs w:val="22"/>
        </w:rPr>
        <w:t xml:space="preserve">is a provider of </w:t>
      </w:r>
      <w:r w:rsidR="00AD65FF">
        <w:rPr>
          <w:szCs w:val="22"/>
        </w:rPr>
        <w:t xml:space="preserve">communications </w:t>
      </w:r>
      <w:r w:rsidRPr="00B839B4" w:rsidR="00280E6F">
        <w:rPr>
          <w:szCs w:val="22"/>
        </w:rPr>
        <w:t>service</w:t>
      </w:r>
      <w:r w:rsidRPr="00B839B4" w:rsidR="00A84457">
        <w:rPr>
          <w:szCs w:val="22"/>
        </w:rPr>
        <w:t>s</w:t>
      </w:r>
      <w:r w:rsidRPr="00B839B4" w:rsidR="00280E6F">
        <w:rPr>
          <w:szCs w:val="22"/>
        </w:rPr>
        <w:t xml:space="preserve"> using fixed wireless technology in Georgia and other states.</w:t>
      </w:r>
      <w:r>
        <w:rPr>
          <w:rStyle w:val="FootnoteReference"/>
          <w:szCs w:val="22"/>
        </w:rPr>
        <w:footnoteReference w:id="6"/>
      </w:r>
      <w:r w:rsidRPr="00B839B4" w:rsidR="00616D07">
        <w:rPr>
          <w:szCs w:val="22"/>
        </w:rPr>
        <w:t xml:space="preserve">  </w:t>
      </w:r>
      <w:r w:rsidRPr="00B839B4" w:rsidR="00EC13C8">
        <w:rPr>
          <w:snapToGrid/>
          <w:color w:val="000000"/>
          <w:kern w:val="0"/>
          <w:szCs w:val="22"/>
        </w:rPr>
        <w:t>Point Broadband is designated as an Eligible Telecommunications Carrier</w:t>
      </w:r>
      <w:r w:rsidR="00FC2DBB">
        <w:rPr>
          <w:snapToGrid/>
          <w:color w:val="000000"/>
          <w:kern w:val="0"/>
          <w:szCs w:val="22"/>
        </w:rPr>
        <w:t xml:space="preserve"> (ETC)</w:t>
      </w:r>
      <w:r w:rsidRPr="00B839B4" w:rsidR="00EC13C8">
        <w:rPr>
          <w:snapToGrid/>
          <w:color w:val="000000"/>
          <w:kern w:val="0"/>
          <w:szCs w:val="22"/>
        </w:rPr>
        <w:t xml:space="preserve"> in Georgia</w:t>
      </w:r>
      <w:r w:rsidR="00E06D4A">
        <w:rPr>
          <w:snapToGrid/>
          <w:color w:val="000000"/>
          <w:kern w:val="0"/>
          <w:szCs w:val="22"/>
        </w:rPr>
        <w:t>,</w:t>
      </w:r>
      <w:r w:rsidR="003A0332">
        <w:rPr>
          <w:snapToGrid/>
          <w:color w:val="000000"/>
          <w:kern w:val="0"/>
          <w:szCs w:val="22"/>
        </w:rPr>
        <w:t xml:space="preserve"> and</w:t>
      </w:r>
      <w:r w:rsidRPr="00B839B4" w:rsidR="00EC13C8">
        <w:rPr>
          <w:snapToGrid/>
          <w:color w:val="000000"/>
          <w:kern w:val="0"/>
          <w:szCs w:val="22"/>
        </w:rPr>
        <w:t xml:space="preserve"> </w:t>
      </w:r>
      <w:r w:rsidR="003A0332">
        <w:rPr>
          <w:szCs w:val="22"/>
        </w:rPr>
        <w:t>t</w:t>
      </w:r>
      <w:r w:rsidRPr="00B839B4">
        <w:rPr>
          <w:szCs w:val="22"/>
        </w:rPr>
        <w:t xml:space="preserve">he Commission </w:t>
      </w:r>
      <w:r w:rsidR="00D87B8D">
        <w:rPr>
          <w:szCs w:val="22"/>
        </w:rPr>
        <w:t xml:space="preserve">has </w:t>
      </w:r>
      <w:r w:rsidRPr="00B839B4">
        <w:rPr>
          <w:szCs w:val="22"/>
        </w:rPr>
        <w:t>authorized Point Broadband to receive $4,241,074.70 in RDOF support for 2,000 locations in the Assigned Census Blocks.</w:t>
      </w:r>
      <w:r>
        <w:rPr>
          <w:rStyle w:val="FootnoteReference"/>
          <w:szCs w:val="22"/>
        </w:rPr>
        <w:footnoteReference w:id="7"/>
      </w:r>
    </w:p>
    <w:p w:rsidR="009E07EE" w:rsidP="004E1BC0" w14:paraId="5142DC8A" w14:textId="71EBD757">
      <w:pPr>
        <w:autoSpaceDE w:val="0"/>
        <w:autoSpaceDN w:val="0"/>
        <w:adjustRightInd w:val="0"/>
        <w:spacing w:after="120"/>
        <w:ind w:firstLine="720"/>
      </w:pPr>
      <w:r>
        <w:t xml:space="preserve">Applicants report that </w:t>
      </w:r>
      <w:r w:rsidRPr="009E07EE">
        <w:t>Colquitt</w:t>
      </w:r>
      <w:r>
        <w:t xml:space="preserve">, </w:t>
      </w:r>
      <w:r w:rsidRPr="009E07EE">
        <w:t>a Georgia</w:t>
      </w:r>
      <w:r>
        <w:t xml:space="preserve"> </w:t>
      </w:r>
      <w:r w:rsidRPr="009E07EE">
        <w:t>municipality</w:t>
      </w:r>
      <w:r w:rsidR="00926787">
        <w:t xml:space="preserve"> in Miller County</w:t>
      </w:r>
      <w:r w:rsidRPr="009E07EE">
        <w:t xml:space="preserve">, currently provides </w:t>
      </w:r>
      <w:r w:rsidRPr="009E07EE">
        <w:t xml:space="preserve">broadband </w:t>
      </w:r>
      <w:r w:rsidR="009574BA">
        <w:t>I</w:t>
      </w:r>
      <w:r w:rsidRPr="009E07EE">
        <w:t>nternet access service to approximately 270</w:t>
      </w:r>
      <w:r>
        <w:t xml:space="preserve"> </w:t>
      </w:r>
      <w:r w:rsidRPr="009E07EE">
        <w:t>customers.</w:t>
      </w:r>
      <w:r>
        <w:rPr>
          <w:rStyle w:val="FootnoteReference"/>
        </w:rPr>
        <w:footnoteReference w:id="8"/>
      </w:r>
      <w:r w:rsidRPr="009E07EE">
        <w:t xml:space="preserve"> </w:t>
      </w:r>
      <w:r w:rsidR="00926787">
        <w:t xml:space="preserve"> </w:t>
      </w:r>
      <w:r w:rsidRPr="004E1BC0" w:rsidR="004E1BC0">
        <w:t xml:space="preserve">Colquitt </w:t>
      </w:r>
      <w:r w:rsidR="00127208">
        <w:t>does not have any 10</w:t>
      </w:r>
      <w:r w:rsidR="00432173">
        <w:t>%</w:t>
      </w:r>
      <w:r w:rsidR="00127208">
        <w:t xml:space="preserve"> or greater owner nor </w:t>
      </w:r>
      <w:r w:rsidR="006E2C2C">
        <w:t xml:space="preserve">is Colquitt </w:t>
      </w:r>
      <w:r w:rsidR="00127208">
        <w:t>affiliate</w:t>
      </w:r>
      <w:r w:rsidR="006E2C2C">
        <w:t>d with any other</w:t>
      </w:r>
      <w:r w:rsidR="00127208">
        <w:t xml:space="preserve"> provid</w:t>
      </w:r>
      <w:r w:rsidR="006E2C2C">
        <w:t>er of</w:t>
      </w:r>
      <w:r w:rsidR="00127208">
        <w:t xml:space="preserve"> domestic telecommunications services.</w:t>
      </w:r>
      <w:r>
        <w:rPr>
          <w:rStyle w:val="FootnoteReference"/>
        </w:rPr>
        <w:footnoteReference w:id="9"/>
      </w:r>
      <w:r w:rsidR="000E772E">
        <w:t xml:space="preserve">  </w:t>
      </w:r>
      <w:r w:rsidR="00613756">
        <w:t xml:space="preserve">Colquitt </w:t>
      </w:r>
      <w:r w:rsidR="00601BDD">
        <w:t xml:space="preserve">does not currently receive </w:t>
      </w:r>
      <w:r w:rsidR="008E5072">
        <w:t xml:space="preserve">any high-cost </w:t>
      </w:r>
      <w:r w:rsidR="00613756">
        <w:t>U</w:t>
      </w:r>
      <w:r w:rsidR="008E5072">
        <w:t xml:space="preserve">niversal </w:t>
      </w:r>
      <w:r w:rsidR="00613756">
        <w:t>S</w:t>
      </w:r>
      <w:r w:rsidR="008E5072">
        <w:t xml:space="preserve">ervice </w:t>
      </w:r>
      <w:r w:rsidR="00613756">
        <w:t xml:space="preserve">Fund </w:t>
      </w:r>
      <w:r w:rsidR="008E5072">
        <w:t>support</w:t>
      </w:r>
      <w:r w:rsidR="000E772E">
        <w:t>.</w:t>
      </w:r>
      <w:r>
        <w:rPr>
          <w:rStyle w:val="FootnoteReference"/>
        </w:rPr>
        <w:footnoteReference w:id="10"/>
      </w:r>
      <w:r w:rsidR="00D82175">
        <w:t xml:space="preserve">  On November 18, 2025, the Georgia Public Service Commission granted Colquitt’s application for ETC designation and Point Broadband’s application to relinquish its ETC designation for </w:t>
      </w:r>
      <w:r w:rsidR="0073260F">
        <w:t xml:space="preserve">the </w:t>
      </w:r>
      <w:r w:rsidR="003E5FCB">
        <w:t>locations proposed to be assigned</w:t>
      </w:r>
      <w:r w:rsidR="00D82175">
        <w:t xml:space="preserve">, conditioned upon the </w:t>
      </w:r>
      <w:r w:rsidR="0073260F">
        <w:t xml:space="preserve">Federal Communications Commission’s </w:t>
      </w:r>
      <w:r w:rsidR="00D82175">
        <w:t>authorization of this transaction.</w:t>
      </w:r>
      <w:r>
        <w:rPr>
          <w:rStyle w:val="FootnoteReference"/>
        </w:rPr>
        <w:footnoteReference w:id="11"/>
      </w:r>
    </w:p>
    <w:p w:rsidR="00280E6F" w:rsidP="00556D50" w14:paraId="6A3B2B94" w14:textId="10F9E556">
      <w:pPr>
        <w:autoSpaceDE w:val="0"/>
        <w:autoSpaceDN w:val="0"/>
        <w:adjustRightInd w:val="0"/>
        <w:spacing w:after="120"/>
        <w:ind w:firstLine="720"/>
      </w:pPr>
      <w:r w:rsidRPr="00077C93">
        <w:t>Pursuant to the terms of the proposed transactio</w:t>
      </w:r>
      <w:r w:rsidR="00F0231F">
        <w:t>n</w:t>
      </w:r>
      <w:r w:rsidRPr="0054180F" w:rsidR="0054180F">
        <w:t xml:space="preserve">, </w:t>
      </w:r>
      <w:r w:rsidRPr="00127208" w:rsidR="00127208">
        <w:t>Colquitt</w:t>
      </w:r>
      <w:r w:rsidR="00127208">
        <w:t xml:space="preserve"> </w:t>
      </w:r>
      <w:r w:rsidRPr="00127208" w:rsidR="00127208">
        <w:t>will acquire</w:t>
      </w:r>
      <w:r w:rsidR="0073336F">
        <w:t xml:space="preserve"> </w:t>
      </w:r>
      <w:r w:rsidR="00916C47">
        <w:t>certain</w:t>
      </w:r>
      <w:r w:rsidR="00F3706A">
        <w:t xml:space="preserve"> </w:t>
      </w:r>
      <w:r w:rsidRPr="00127208" w:rsidR="00127208">
        <w:t>assets</w:t>
      </w:r>
      <w:r w:rsidR="00531B7D">
        <w:t xml:space="preserve"> </w:t>
      </w:r>
      <w:r w:rsidR="00362908">
        <w:t xml:space="preserve">Point Broadband </w:t>
      </w:r>
      <w:r w:rsidRPr="00127208" w:rsidR="00127208">
        <w:t>acquired with RDOF support</w:t>
      </w:r>
      <w:r w:rsidR="00A91665">
        <w:t>,</w:t>
      </w:r>
      <w:r w:rsidR="008E46DC">
        <w:t xml:space="preserve"> as well as</w:t>
      </w:r>
      <w:r w:rsidRPr="00127208" w:rsidR="00127208">
        <w:t xml:space="preserve"> unexpended RDOF support</w:t>
      </w:r>
      <w:r w:rsidR="00A73365">
        <w:t>,</w:t>
      </w:r>
      <w:r w:rsidRPr="00127208" w:rsidR="00127208">
        <w:t xml:space="preserve"> and the right to</w:t>
      </w:r>
      <w:r w:rsidR="00127208">
        <w:t xml:space="preserve"> </w:t>
      </w:r>
      <w:r w:rsidRPr="00127208" w:rsidR="00127208">
        <w:t>receive future RDOF support</w:t>
      </w:r>
      <w:r w:rsidR="00077942">
        <w:t xml:space="preserve"> for the Assigned Census Blocks</w:t>
      </w:r>
      <w:r w:rsidR="0050499C">
        <w:t>.</w:t>
      </w:r>
      <w:r>
        <w:rPr>
          <w:rStyle w:val="FootnoteReference"/>
        </w:rPr>
        <w:footnoteReference w:id="12"/>
      </w:r>
      <w:r w:rsidR="0050499C">
        <w:t xml:space="preserve">  Colquitt</w:t>
      </w:r>
      <w:r w:rsidRPr="00127208" w:rsidR="00127208">
        <w:t xml:space="preserve"> will </w:t>
      </w:r>
      <w:r w:rsidR="0050499C">
        <w:t xml:space="preserve">also </w:t>
      </w:r>
      <w:r w:rsidRPr="00127208" w:rsidR="00127208">
        <w:t>assume Point Broadband’s RDOF obligations in the</w:t>
      </w:r>
      <w:r w:rsidR="00127208">
        <w:t xml:space="preserve"> </w:t>
      </w:r>
      <w:r w:rsidRPr="00127208" w:rsidR="00127208">
        <w:t>Assigned Census Blocks.</w:t>
      </w:r>
      <w:r>
        <w:rPr>
          <w:rStyle w:val="FootnoteReference"/>
        </w:rPr>
        <w:footnoteReference w:id="13"/>
      </w:r>
      <w:r w:rsidRPr="00127208" w:rsidR="00127208">
        <w:t xml:space="preserve"> </w:t>
      </w:r>
      <w:r w:rsidR="00521AC7">
        <w:t xml:space="preserve"> </w:t>
      </w:r>
      <w:r w:rsidRPr="00444337" w:rsidR="00444337">
        <w:t>Point Broadband has also agreed to provide Colquitt with</w:t>
      </w:r>
      <w:r w:rsidR="00444337">
        <w:t xml:space="preserve"> </w:t>
      </w:r>
      <w:r w:rsidRPr="00444337" w:rsidR="00444337">
        <w:t>its engineering plans, pole attachment rights, power, real property</w:t>
      </w:r>
      <w:r w:rsidR="006A641D">
        <w:t>,</w:t>
      </w:r>
      <w:r w:rsidRPr="00444337" w:rsidR="00444337">
        <w:t xml:space="preserve"> and transport services that it has</w:t>
      </w:r>
      <w:r w:rsidR="00444337">
        <w:t xml:space="preserve"> </w:t>
      </w:r>
      <w:r w:rsidRPr="00444337" w:rsidR="00444337">
        <w:t>created for the Assigned Census Blocks, and to transfer customer accounts to Colquitt.</w:t>
      </w:r>
      <w:r>
        <w:rPr>
          <w:rStyle w:val="FootnoteReference"/>
        </w:rPr>
        <w:footnoteReference w:id="14"/>
      </w:r>
    </w:p>
    <w:p w:rsidR="00AE5E8A" w:rsidRPr="00AE5E8A" w:rsidP="00AE5E8A" w14:paraId="5BD0E143" w14:textId="06850A80">
      <w:pPr>
        <w:widowControl/>
        <w:autoSpaceDE w:val="0"/>
        <w:autoSpaceDN w:val="0"/>
        <w:adjustRightInd w:val="0"/>
        <w:spacing w:after="120"/>
        <w:rPr>
          <w:b/>
          <w:bCs/>
          <w:u w:val="single"/>
        </w:rPr>
      </w:pPr>
      <w:bookmarkStart w:id="7" w:name="_Hlk190430453"/>
      <w:r>
        <w:rPr>
          <w:b/>
          <w:bCs/>
          <w:u w:val="single"/>
        </w:rPr>
        <w:t>Discussion</w:t>
      </w:r>
    </w:p>
    <w:p w:rsidR="00EC3B93" w:rsidP="00EC3B93" w14:paraId="16DB5C3C" w14:textId="77777777">
      <w:pPr>
        <w:autoSpaceDE w:val="0"/>
        <w:autoSpaceDN w:val="0"/>
        <w:adjustRightInd w:val="0"/>
        <w:spacing w:after="120"/>
        <w:ind w:firstLine="720"/>
        <w:rPr>
          <w:szCs w:val="22"/>
        </w:rPr>
      </w:pPr>
      <w:r>
        <w:rPr>
          <w:szCs w:val="22"/>
        </w:rPr>
        <w:t>Pursuant to section 214(a) of the Act,</w:t>
      </w:r>
      <w:r>
        <w:rPr>
          <w:rStyle w:val="FootnoteReference"/>
          <w:szCs w:val="22"/>
        </w:rPr>
        <w:footnoteReference w:id="15"/>
      </w:r>
      <w:r>
        <w:rPr>
          <w:szCs w:val="22"/>
        </w:rPr>
        <w:t xml:space="preserve"> w</w:t>
      </w:r>
      <w:r w:rsidRPr="00D71808">
        <w:rPr>
          <w:szCs w:val="22"/>
        </w:rPr>
        <w:t xml:space="preserve">e </w:t>
      </w:r>
      <w:r>
        <w:rPr>
          <w:szCs w:val="22"/>
        </w:rPr>
        <w:t xml:space="preserve">must determine whether </w:t>
      </w:r>
      <w:r w:rsidRPr="00D71808">
        <w:rPr>
          <w:szCs w:val="22"/>
        </w:rPr>
        <w:t xml:space="preserve">grant of the </w:t>
      </w:r>
      <w:r>
        <w:rPr>
          <w:szCs w:val="22"/>
        </w:rPr>
        <w:t xml:space="preserve">proposed transaction </w:t>
      </w:r>
      <w:r w:rsidRPr="00D71808">
        <w:rPr>
          <w:szCs w:val="22"/>
        </w:rPr>
        <w:t xml:space="preserve">will serve the public interest, convenience, and necessity.  </w:t>
      </w:r>
      <w:r>
        <w:rPr>
          <w:szCs w:val="22"/>
        </w:rPr>
        <w:t xml:space="preserve">In making </w:t>
      </w:r>
      <w:r w:rsidRPr="00D71808">
        <w:rPr>
          <w:szCs w:val="22"/>
        </w:rPr>
        <w:t>this determination, we</w:t>
      </w:r>
      <w:r>
        <w:rPr>
          <w:szCs w:val="22"/>
        </w:rPr>
        <w:t xml:space="preserve"> first assess</w:t>
      </w:r>
      <w:r w:rsidRPr="00D71808">
        <w:rPr>
          <w:szCs w:val="22"/>
        </w:rPr>
        <w:t xml:space="preserve"> whether the proposed transaction </w:t>
      </w:r>
      <w:r>
        <w:rPr>
          <w:szCs w:val="22"/>
        </w:rPr>
        <w:t xml:space="preserve">complies with the specific provisions </w:t>
      </w:r>
      <w:r w:rsidRPr="00D71808">
        <w:rPr>
          <w:szCs w:val="22"/>
        </w:rPr>
        <w:t>of the Act</w:t>
      </w:r>
      <w:r>
        <w:rPr>
          <w:szCs w:val="22"/>
        </w:rPr>
        <w:t>, other applicable</w:t>
      </w:r>
      <w:r w:rsidRPr="00D71808">
        <w:rPr>
          <w:szCs w:val="22"/>
        </w:rPr>
        <w:t xml:space="preserve"> statutes</w:t>
      </w:r>
      <w:r>
        <w:rPr>
          <w:szCs w:val="22"/>
        </w:rPr>
        <w:t>, and the Commission’s rules</w:t>
      </w:r>
      <w:r w:rsidRPr="00D71808">
        <w:rPr>
          <w:szCs w:val="22"/>
        </w:rPr>
        <w:t>.</w:t>
      </w:r>
      <w:r>
        <w:rPr>
          <w:szCs w:val="22"/>
          <w:vertAlign w:val="superscript"/>
        </w:rPr>
        <w:footnoteReference w:id="16"/>
      </w:r>
      <w:r w:rsidRPr="00D71808">
        <w:rPr>
          <w:szCs w:val="22"/>
        </w:rPr>
        <w:t xml:space="preserve"> </w:t>
      </w:r>
    </w:p>
    <w:p w:rsidR="009B28BF" w:rsidRPr="00D80945" w:rsidP="00C1333B" w14:paraId="6CA5DAD7" w14:textId="77777777">
      <w:pPr>
        <w:pStyle w:val="ParaNum"/>
        <w:numPr>
          <w:ilvl w:val="0"/>
          <w:numId w:val="0"/>
        </w:numPr>
        <w:ind w:firstLine="720"/>
      </w:pPr>
      <w:r w:rsidRPr="00D80945">
        <w:t>If the proposed transaction does not violate a statute or rule, we then consider whether the transaction could result in public interest harms by substantially frustrating or impairing the objectives or implementation of the Act or related statutes.</w:t>
      </w:r>
      <w:r>
        <w:rPr>
          <w:rStyle w:val="FootnoteReference"/>
        </w:rPr>
        <w:footnoteReference w:id="17"/>
      </w:r>
      <w:r w:rsidRPr="00D80945">
        <w:t xml:space="preserve">  Our competitive analysis, which forms an important part </w:t>
      </w:r>
      <w:r w:rsidRPr="00D80945">
        <w:t>of the public interest evaluation, is informed by, but not limited to, traditional antitrust principles.</w:t>
      </w:r>
      <w:r>
        <w:rPr>
          <w:rStyle w:val="FootnoteReference"/>
        </w:rPr>
        <w:footnoteReference w:id="18"/>
      </w:r>
      <w:r w:rsidRPr="00D80945">
        <w:t xml:space="preserve">  The </w:t>
      </w:r>
      <w:r>
        <w:t xml:space="preserve">United States </w:t>
      </w:r>
      <w:r w:rsidRPr="00D80945">
        <w:t>D</w:t>
      </w:r>
      <w:r>
        <w:t>epartment of Justice</w:t>
      </w:r>
      <w:r w:rsidRPr="00D80945">
        <w:t xml:space="preserve"> has independent authority to examine the competitive impacts of proposed mergers and transactions </w:t>
      </w:r>
      <w:r>
        <w:t xml:space="preserve">(including those </w:t>
      </w:r>
      <w:r w:rsidRPr="00D80945">
        <w:t>involving transfers of Commission licenses</w:t>
      </w:r>
      <w:r>
        <w:t>)</w:t>
      </w:r>
      <w:r w:rsidRPr="00D80945">
        <w:t xml:space="preserve">, </w:t>
      </w:r>
      <w:r>
        <w:t xml:space="preserve">but </w:t>
      </w:r>
      <w:r w:rsidRPr="00D80945">
        <w:t>the Commission’s competitive analysis under the public interest standard is somewhat broader</w:t>
      </w:r>
      <w:r>
        <w:t>, and often takes a more extensive view of potential and future competition and its impact on the relevant markets</w:t>
      </w:r>
      <w:r w:rsidRPr="00D80945">
        <w:t>.</w:t>
      </w:r>
      <w:r>
        <w:rPr>
          <w:rStyle w:val="FootnoteReference"/>
        </w:rPr>
        <w:footnoteReference w:id="19"/>
      </w:r>
      <w:r w:rsidRPr="00D80945">
        <w:t xml:space="preserve">  Notably, the Commission </w:t>
      </w:r>
      <w:r w:rsidRPr="002844EF">
        <w:t xml:space="preserve">has </w:t>
      </w:r>
      <w:r>
        <w:t xml:space="preserve">determined it may </w:t>
      </w:r>
      <w:r w:rsidRPr="00D80945">
        <w:t>impose and enforce transaction-related conditions to ensure that the public interest is served by the transaction.</w:t>
      </w:r>
      <w:r>
        <w:rPr>
          <w:rStyle w:val="FootnoteReference"/>
        </w:rPr>
        <w:footnoteReference w:id="20"/>
      </w:r>
    </w:p>
    <w:p w:rsidR="005C7501" w:rsidP="00EC3B93" w14:paraId="31BF5B58" w14:textId="77777777">
      <w:pPr>
        <w:autoSpaceDE w:val="0"/>
        <w:autoSpaceDN w:val="0"/>
        <w:adjustRightInd w:val="0"/>
        <w:spacing w:after="120"/>
        <w:ind w:firstLine="720"/>
        <w:rPr>
          <w:color w:val="000000"/>
          <w:szCs w:val="22"/>
        </w:rPr>
      </w:pPr>
      <w:r w:rsidRPr="00AA566D">
        <w:t xml:space="preserve">If we determine that a transaction raises no public interest harms or that any such harms have been ameliorated by the Commission-imposed conditions or voluntary commitments, we next consider a transaction’s public interest benefits.  </w:t>
      </w:r>
      <w:r w:rsidRPr="00D71808">
        <w:rPr>
          <w:color w:val="000000"/>
          <w:szCs w:val="22"/>
        </w:rPr>
        <w:t>The Applicants bear the burden of proving</w:t>
      </w:r>
      <w:r>
        <w:rPr>
          <w:color w:val="000000"/>
          <w:szCs w:val="22"/>
        </w:rPr>
        <w:t xml:space="preserve"> those benefits</w:t>
      </w:r>
      <w:r w:rsidRPr="00D71808">
        <w:rPr>
          <w:color w:val="000000"/>
          <w:szCs w:val="22"/>
        </w:rPr>
        <w:t xml:space="preserve"> by a preponderance of the evidence</w:t>
      </w:r>
      <w:r>
        <w:rPr>
          <w:color w:val="000000"/>
          <w:szCs w:val="22"/>
        </w:rPr>
        <w:t>.</w:t>
      </w:r>
      <w:r w:rsidRPr="003474E1">
        <w:rPr>
          <w:vertAlign w:val="superscript"/>
        </w:rPr>
        <w:t xml:space="preserve"> </w:t>
      </w:r>
      <w:r>
        <w:rPr>
          <w:color w:val="000000"/>
          <w:szCs w:val="22"/>
          <w:vertAlign w:val="superscript"/>
        </w:rPr>
        <w:footnoteReference w:id="21"/>
      </w:r>
      <w:r>
        <w:rPr>
          <w:color w:val="000000"/>
          <w:szCs w:val="22"/>
        </w:rPr>
        <w:t xml:space="preserve">  </w:t>
      </w:r>
      <w:r w:rsidRPr="00027FB9">
        <w:rPr>
          <w:color w:val="000000"/>
          <w:szCs w:val="22"/>
        </w:rPr>
        <w:t>As part of our public interest authority, we may impose conditions to ensure for the public the transaction-related benefits claimed by the Applicants.</w:t>
      </w:r>
      <w:r>
        <w:rPr>
          <w:color w:val="000000"/>
          <w:szCs w:val="22"/>
          <w:vertAlign w:val="superscript"/>
        </w:rPr>
        <w:footnoteReference w:id="22"/>
      </w:r>
      <w:r w:rsidRPr="00027FB9">
        <w:rPr>
          <w:color w:val="000000"/>
          <w:szCs w:val="22"/>
        </w:rPr>
        <w:t xml:space="preserve">  </w:t>
      </w:r>
    </w:p>
    <w:p w:rsidR="00EC3B93" w:rsidRPr="00D71808" w:rsidP="00EC3B93" w14:paraId="362058AD" w14:textId="59CE6321">
      <w:pPr>
        <w:autoSpaceDE w:val="0"/>
        <w:autoSpaceDN w:val="0"/>
        <w:adjustRightInd w:val="0"/>
        <w:spacing w:after="120"/>
        <w:ind w:firstLine="720"/>
        <w:rPr>
          <w:color w:val="000000"/>
          <w:szCs w:val="22"/>
        </w:rPr>
      </w:pPr>
      <w:r w:rsidRPr="00027FB9">
        <w:rPr>
          <w:color w:val="000000"/>
          <w:szCs w:val="22"/>
        </w:rPr>
        <w:t>Finally, if we are able to find that transaction-related conditions are able to ameliorate any public interest harms and the transaction is in the public interest, we may approve the transaction as so conditioned or agreed.</w:t>
      </w:r>
      <w:r>
        <w:rPr>
          <w:color w:val="000000"/>
          <w:szCs w:val="22"/>
          <w:vertAlign w:val="superscript"/>
        </w:rPr>
        <w:footnoteReference w:id="23"/>
      </w:r>
      <w:r w:rsidR="00AF1ED1">
        <w:rPr>
          <w:color w:val="000000"/>
          <w:szCs w:val="22"/>
        </w:rPr>
        <w:t xml:space="preserve">  </w:t>
      </w:r>
      <w:r w:rsidRPr="0062210A" w:rsidR="00AF1ED1">
        <w:t>In contrast, if we are unable to find that a proposed transaction even with such conditions serves the public interest or if the record presents a substantial and material question of fact, then we must designate the application for hearing.</w:t>
      </w:r>
      <w:r>
        <w:rPr>
          <w:rStyle w:val="FootnoteReference"/>
        </w:rPr>
        <w:footnoteReference w:id="24"/>
      </w:r>
    </w:p>
    <w:p w:rsidR="00EC3B93" w:rsidP="00EC3B93" w14:paraId="11F6BA58" w14:textId="3C375993">
      <w:pPr>
        <w:autoSpaceDE w:val="0"/>
        <w:autoSpaceDN w:val="0"/>
        <w:adjustRightInd w:val="0"/>
        <w:spacing w:after="120"/>
        <w:ind w:firstLine="720"/>
      </w:pPr>
      <w:r w:rsidRPr="002A645E">
        <w:t xml:space="preserve">No party has raised an issue with respect to the basic qualifications of the Applicants.  </w:t>
      </w:r>
      <w:r>
        <w:t>Accordingly, pursuant to Commission precedent,</w:t>
      </w:r>
      <w:r>
        <w:rPr>
          <w:vertAlign w:val="superscript"/>
        </w:rPr>
        <w:footnoteReference w:id="25"/>
      </w:r>
      <w:r>
        <w:t xml:space="preserve"> </w:t>
      </w:r>
      <w:r w:rsidRPr="00A66DDE">
        <w:t xml:space="preserve">we find that there is no reason to reevaluate the requisite citizenship, character, financial, technical, or other basic qualifications of </w:t>
      </w:r>
      <w:r w:rsidR="00D8542B">
        <w:t>Colquitt</w:t>
      </w:r>
      <w:r w:rsidRPr="00A66DDE">
        <w:t xml:space="preserve"> under the Act or our rules, regulations, and policies.</w:t>
      </w:r>
      <w:r>
        <w:rPr>
          <w:vertAlign w:val="superscript"/>
        </w:rPr>
        <w:footnoteReference w:id="26"/>
      </w:r>
      <w:r w:rsidRPr="00A66DDE">
        <w:t xml:space="preserve">  We also find that the </w:t>
      </w:r>
      <w:r>
        <w:t>proposed t</w:t>
      </w:r>
      <w:r w:rsidRPr="00A66DDE">
        <w:t>ransaction will not violate any statutory provision or Commission rule.</w:t>
      </w:r>
    </w:p>
    <w:p w:rsidR="00213606" w:rsidRPr="00D71808" w:rsidP="00213606" w14:paraId="122E57EC" w14:textId="77281522">
      <w:pPr>
        <w:autoSpaceDE w:val="0"/>
        <w:autoSpaceDN w:val="0"/>
        <w:adjustRightInd w:val="0"/>
        <w:spacing w:after="120"/>
        <w:ind w:firstLine="720"/>
        <w:rPr>
          <w:szCs w:val="22"/>
        </w:rPr>
      </w:pPr>
      <w:r>
        <w:t>W</w:t>
      </w:r>
      <w:r w:rsidRPr="00D71808">
        <w:rPr>
          <w:szCs w:val="22"/>
        </w:rPr>
        <w:t xml:space="preserve">e find that there are no potential public interest harms identified in the record. </w:t>
      </w:r>
      <w:r w:rsidRPr="00D71808">
        <w:rPr>
          <w:color w:val="000000"/>
          <w:szCs w:val="22"/>
        </w:rPr>
        <w:t xml:space="preserve"> First, the proposed transaction will </w:t>
      </w:r>
      <w:r w:rsidRPr="00D71808">
        <w:rPr>
          <w:szCs w:val="22"/>
        </w:rPr>
        <w:t xml:space="preserve">not result in a reduction </w:t>
      </w:r>
      <w:r w:rsidR="002C7938">
        <w:rPr>
          <w:szCs w:val="22"/>
        </w:rPr>
        <w:t>in</w:t>
      </w:r>
      <w:r w:rsidRPr="00D71808">
        <w:rPr>
          <w:szCs w:val="22"/>
        </w:rPr>
        <w:t xml:space="preserve"> </w:t>
      </w:r>
      <w:r w:rsidRPr="00AF2FA8">
        <w:rPr>
          <w:szCs w:val="22"/>
        </w:rPr>
        <w:t xml:space="preserve">competition.  </w:t>
      </w:r>
      <w:r w:rsidR="00493DB5">
        <w:rPr>
          <w:szCs w:val="22"/>
        </w:rPr>
        <w:t xml:space="preserve">The Bureau </w:t>
      </w:r>
      <w:r w:rsidR="00244A0B">
        <w:rPr>
          <w:szCs w:val="22"/>
        </w:rPr>
        <w:t xml:space="preserve">has </w:t>
      </w:r>
      <w:r w:rsidR="00493DB5">
        <w:rPr>
          <w:szCs w:val="22"/>
        </w:rPr>
        <w:t>confirmed</w:t>
      </w:r>
      <w:r w:rsidR="0092718B">
        <w:rPr>
          <w:szCs w:val="22"/>
        </w:rPr>
        <w:t xml:space="preserve"> that Colquitt has not reported broadband availability data for the Assigned Census Blocks </w:t>
      </w:r>
      <w:r w:rsidR="00CE19FA">
        <w:rPr>
          <w:szCs w:val="22"/>
        </w:rPr>
        <w:t>on the National Broadband Map</w:t>
      </w:r>
      <w:r w:rsidR="00DB706A">
        <w:rPr>
          <w:szCs w:val="22"/>
        </w:rPr>
        <w:t>,</w:t>
      </w:r>
      <w:r>
        <w:rPr>
          <w:rStyle w:val="FootnoteReference"/>
          <w:szCs w:val="22"/>
        </w:rPr>
        <w:footnoteReference w:id="27"/>
      </w:r>
      <w:r w:rsidR="00DB706A">
        <w:rPr>
          <w:szCs w:val="22"/>
        </w:rPr>
        <w:t xml:space="preserve"> a finding</w:t>
      </w:r>
      <w:r w:rsidR="0092718B">
        <w:rPr>
          <w:szCs w:val="22"/>
        </w:rPr>
        <w:t xml:space="preserve"> </w:t>
      </w:r>
      <w:r w:rsidR="00CE19FA">
        <w:rPr>
          <w:szCs w:val="22"/>
        </w:rPr>
        <w:t>consistent with Applicants</w:t>
      </w:r>
      <w:r w:rsidR="00DF014D">
        <w:rPr>
          <w:szCs w:val="22"/>
        </w:rPr>
        <w:t>’ disclosure</w:t>
      </w:r>
      <w:r w:rsidR="00CE19FA">
        <w:rPr>
          <w:szCs w:val="22"/>
        </w:rPr>
        <w:t xml:space="preserve"> in the </w:t>
      </w:r>
      <w:r w:rsidR="00D11F17">
        <w:rPr>
          <w:szCs w:val="22"/>
        </w:rPr>
        <w:t xml:space="preserve">Supplement </w:t>
      </w:r>
      <w:r w:rsidR="00493DB5">
        <w:rPr>
          <w:szCs w:val="22"/>
        </w:rPr>
        <w:t xml:space="preserve">that </w:t>
      </w:r>
      <w:r w:rsidR="00DF2BFF">
        <w:rPr>
          <w:szCs w:val="22"/>
        </w:rPr>
        <w:t xml:space="preserve">Colquitt </w:t>
      </w:r>
      <w:r w:rsidR="001D4446">
        <w:rPr>
          <w:szCs w:val="22"/>
        </w:rPr>
        <w:t xml:space="preserve">has not made available </w:t>
      </w:r>
      <w:r w:rsidR="00DF014D">
        <w:rPr>
          <w:szCs w:val="22"/>
        </w:rPr>
        <w:t xml:space="preserve">any such </w:t>
      </w:r>
      <w:r w:rsidR="00493DB5">
        <w:rPr>
          <w:szCs w:val="22"/>
        </w:rPr>
        <w:t>service in the</w:t>
      </w:r>
      <w:r w:rsidRPr="00AF2FA8">
        <w:rPr>
          <w:szCs w:val="22"/>
        </w:rPr>
        <w:t xml:space="preserve"> Assigned Census Block</w:t>
      </w:r>
      <w:r w:rsidR="00D16382">
        <w:rPr>
          <w:szCs w:val="22"/>
        </w:rPr>
        <w:t>s</w:t>
      </w:r>
      <w:r w:rsidR="0092718B">
        <w:rPr>
          <w:szCs w:val="22"/>
        </w:rPr>
        <w:t>.</w:t>
      </w:r>
      <w:r>
        <w:rPr>
          <w:rStyle w:val="FootnoteReference"/>
          <w:szCs w:val="22"/>
        </w:rPr>
        <w:footnoteReference w:id="28"/>
      </w:r>
      <w:r w:rsidR="00493DB5">
        <w:rPr>
          <w:szCs w:val="22"/>
        </w:rPr>
        <w:t xml:space="preserve">  Applicants </w:t>
      </w:r>
      <w:r w:rsidR="00D325C1">
        <w:rPr>
          <w:szCs w:val="22"/>
        </w:rPr>
        <w:t xml:space="preserve">indicate that Point Broadband will transfer </w:t>
      </w:r>
      <w:r w:rsidRPr="00D325C1" w:rsidR="00D325C1">
        <w:rPr>
          <w:szCs w:val="22"/>
        </w:rPr>
        <w:t>customer</w:t>
      </w:r>
      <w:r w:rsidR="00D325C1">
        <w:rPr>
          <w:szCs w:val="22"/>
        </w:rPr>
        <w:t xml:space="preserve"> </w:t>
      </w:r>
      <w:r w:rsidRPr="00D325C1" w:rsidR="00D325C1">
        <w:rPr>
          <w:szCs w:val="22"/>
        </w:rPr>
        <w:t>accounts for approximately 120 Point Broadband subscribers located in the Assigned Census</w:t>
      </w:r>
      <w:r w:rsidR="00D325C1">
        <w:rPr>
          <w:szCs w:val="22"/>
        </w:rPr>
        <w:t xml:space="preserve"> </w:t>
      </w:r>
      <w:r w:rsidRPr="00D325C1" w:rsidR="00D325C1">
        <w:rPr>
          <w:szCs w:val="22"/>
        </w:rPr>
        <w:t>Blocks</w:t>
      </w:r>
      <w:r w:rsidR="00D325C1">
        <w:rPr>
          <w:szCs w:val="22"/>
        </w:rPr>
        <w:t>.</w:t>
      </w:r>
      <w:r>
        <w:rPr>
          <w:rStyle w:val="FootnoteReference"/>
          <w:szCs w:val="22"/>
        </w:rPr>
        <w:footnoteReference w:id="29"/>
      </w:r>
      <w:r w:rsidRPr="00AF2FA8">
        <w:rPr>
          <w:szCs w:val="22"/>
        </w:rPr>
        <w:t xml:space="preserve">  Accordingly, the transaction will not result in any loss or impairment of servic</w:t>
      </w:r>
      <w:r w:rsidR="00833C3E">
        <w:rPr>
          <w:szCs w:val="22"/>
        </w:rPr>
        <w:t>e</w:t>
      </w:r>
      <w:r w:rsidRPr="00AF2FA8">
        <w:rPr>
          <w:szCs w:val="22"/>
        </w:rPr>
        <w:t xml:space="preserve"> for subscribers and will have no adverse effect on competition.</w:t>
      </w:r>
      <w:r>
        <w:rPr>
          <w:rStyle w:val="FootnoteReference"/>
          <w:szCs w:val="22"/>
        </w:rPr>
        <w:footnoteReference w:id="30"/>
      </w:r>
    </w:p>
    <w:p w:rsidR="00B82B0B" w:rsidP="00EC3B93" w14:paraId="37EB52C3" w14:textId="2E82C382">
      <w:pPr>
        <w:autoSpaceDE w:val="0"/>
        <w:autoSpaceDN w:val="0"/>
        <w:adjustRightInd w:val="0"/>
        <w:spacing w:after="120"/>
        <w:ind w:firstLine="720"/>
      </w:pPr>
      <w:r w:rsidRPr="00D71808">
        <w:rPr>
          <w:szCs w:val="22"/>
        </w:rPr>
        <w:t>Second,</w:t>
      </w:r>
      <w:r w:rsidR="0095252F">
        <w:rPr>
          <w:szCs w:val="22"/>
        </w:rPr>
        <w:t xml:space="preserve"> Colquitt</w:t>
      </w:r>
      <w:r w:rsidRPr="00D71808">
        <w:rPr>
          <w:szCs w:val="22"/>
        </w:rPr>
        <w:t xml:space="preserve"> commits to meeting all public interest and performance obligations associated </w:t>
      </w:r>
      <w:r w:rsidRPr="00D71808">
        <w:rPr>
          <w:szCs w:val="22"/>
        </w:rPr>
        <w:t>with the receipt of the transferred support,</w:t>
      </w:r>
      <w:r>
        <w:rPr>
          <w:rStyle w:val="FootnoteReference"/>
          <w:szCs w:val="22"/>
        </w:rPr>
        <w:footnoteReference w:id="31"/>
      </w:r>
      <w:r w:rsidRPr="00D71808">
        <w:rPr>
          <w:szCs w:val="22"/>
        </w:rPr>
        <w:t xml:space="preserve"> and the record indicates that </w:t>
      </w:r>
      <w:r w:rsidR="0015660B">
        <w:rPr>
          <w:szCs w:val="22"/>
        </w:rPr>
        <w:t>Colquitt</w:t>
      </w:r>
      <w:r w:rsidRPr="00D71808">
        <w:rPr>
          <w:szCs w:val="22"/>
        </w:rPr>
        <w:t xml:space="preserve"> has the technical, financial, and managerial expertise to do so.</w:t>
      </w:r>
      <w:r>
        <w:rPr>
          <w:rStyle w:val="FootnoteReference"/>
          <w:szCs w:val="22"/>
        </w:rPr>
        <w:footnoteReference w:id="32"/>
      </w:r>
      <w:r w:rsidRPr="00D71808">
        <w:rPr>
          <w:i/>
          <w:iCs/>
          <w:szCs w:val="22"/>
        </w:rPr>
        <w:t xml:space="preserve">  </w:t>
      </w:r>
      <w:r w:rsidR="00455CC5">
        <w:t xml:space="preserve">Applicants state that </w:t>
      </w:r>
      <w:r w:rsidRPr="00590B84" w:rsidR="00455CC5">
        <w:t>Colquitt has set aside</w:t>
      </w:r>
      <w:r w:rsidR="00455CC5">
        <w:t xml:space="preserve"> </w:t>
      </w:r>
      <w:r w:rsidRPr="00590B84" w:rsidR="00455CC5">
        <w:t>dedicated capital to fund the costs of deploying the network facilities to provide RDOF</w:t>
      </w:r>
      <w:r w:rsidR="00455CC5">
        <w:t xml:space="preserve">-supported </w:t>
      </w:r>
      <w:r w:rsidRPr="00590B84" w:rsidR="00455CC5">
        <w:t>service in the Assigned Census Blocks and does not anticipate the need to borrow money or incur</w:t>
      </w:r>
      <w:r w:rsidR="00455CC5">
        <w:t xml:space="preserve"> </w:t>
      </w:r>
      <w:r w:rsidRPr="00590B84" w:rsidR="00455CC5">
        <w:t>debt in order to meet the milestone and performance measurement standards.</w:t>
      </w:r>
      <w:r>
        <w:rPr>
          <w:rStyle w:val="FootnoteReference"/>
        </w:rPr>
        <w:footnoteReference w:id="33"/>
      </w:r>
    </w:p>
    <w:p w:rsidR="00455CC5" w:rsidRPr="00455CC5" w:rsidP="00EC3B93" w14:paraId="5A56F6DB" w14:textId="46A80C43">
      <w:pPr>
        <w:autoSpaceDE w:val="0"/>
        <w:autoSpaceDN w:val="0"/>
        <w:adjustRightInd w:val="0"/>
        <w:spacing w:after="120"/>
        <w:ind w:firstLine="720"/>
        <w:rPr>
          <w:szCs w:val="22"/>
        </w:rPr>
      </w:pPr>
      <w:r>
        <w:t xml:space="preserve">Applicants further state that the proposed transaction </w:t>
      </w:r>
      <w:r w:rsidRPr="005E56B3">
        <w:t>will not result in any adverse alteration to the buildout plans Point</w:t>
      </w:r>
      <w:r>
        <w:t xml:space="preserve"> </w:t>
      </w:r>
      <w:r w:rsidRPr="005E56B3">
        <w:t>Broadband submitted to the Commission for the Assigned Census Blocks as part of its long-form</w:t>
      </w:r>
      <w:r>
        <w:t xml:space="preserve"> application to the Commission</w:t>
      </w:r>
      <w:r w:rsidR="005C027B">
        <w:t xml:space="preserve"> and has provided those plans to Colquitt</w:t>
      </w:r>
      <w:r>
        <w:t>.</w:t>
      </w:r>
      <w:r>
        <w:rPr>
          <w:rStyle w:val="FootnoteReference"/>
        </w:rPr>
        <w:footnoteReference w:id="34"/>
      </w:r>
      <w:r>
        <w:t xml:space="preserve">  </w:t>
      </w:r>
      <w:r w:rsidRPr="00925771">
        <w:t>Colquitt commits to meeting the buildout milestones and performance obligations established for</w:t>
      </w:r>
      <w:r>
        <w:t xml:space="preserve"> </w:t>
      </w:r>
      <w:r w:rsidRPr="00925771">
        <w:t>the Assigned Census Blocks, including the upcoming 60% buildout milestone.</w:t>
      </w:r>
      <w:r>
        <w:rPr>
          <w:rStyle w:val="FootnoteReference"/>
        </w:rPr>
        <w:footnoteReference w:id="35"/>
      </w:r>
      <w:r>
        <w:t xml:space="preserve">  Applicants assert that </w:t>
      </w:r>
      <w:r w:rsidRPr="000C5855">
        <w:t xml:space="preserve">the </w:t>
      </w:r>
      <w:r>
        <w:t xml:space="preserve">proposed </w:t>
      </w:r>
      <w:r w:rsidRPr="000C5855">
        <w:t xml:space="preserve">transaction will </w:t>
      </w:r>
      <w:r w:rsidRPr="001F5BBD">
        <w:t>accelerate Colquitt’s ongoing efforts to expand broadband service to</w:t>
      </w:r>
      <w:r>
        <w:t xml:space="preserve"> </w:t>
      </w:r>
      <w:r w:rsidRPr="001F5BBD">
        <w:t>unserved and underserved rural areas of Miller County, Georgia.</w:t>
      </w:r>
      <w:r>
        <w:rPr>
          <w:rStyle w:val="FootnoteReference"/>
        </w:rPr>
        <w:footnoteReference w:id="36"/>
      </w:r>
      <w:r>
        <w:t xml:space="preserve">  </w:t>
      </w:r>
      <w:r w:rsidRPr="00646880">
        <w:t>Applicants state that there will be no reduction in competition for domestic telecommunications service in the Assigned Census Blocks</w:t>
      </w:r>
      <w:r>
        <w:t>.</w:t>
      </w:r>
      <w:r>
        <w:rPr>
          <w:rStyle w:val="FootnoteReference"/>
        </w:rPr>
        <w:footnoteReference w:id="37"/>
      </w:r>
      <w:r w:rsidRPr="00F65F4C" w:rsidR="00F65F4C">
        <w:rPr>
          <w:szCs w:val="22"/>
        </w:rPr>
        <w:t xml:space="preserve"> </w:t>
      </w:r>
      <w:r w:rsidR="00B93B79">
        <w:rPr>
          <w:szCs w:val="22"/>
        </w:rPr>
        <w:t xml:space="preserve"> </w:t>
      </w:r>
      <w:r w:rsidRPr="00D71808" w:rsidR="00F65F4C">
        <w:rPr>
          <w:szCs w:val="22"/>
        </w:rPr>
        <w:t>Overall, we conclude that the record in this proceeding does not support a finding of a public interest harm.</w:t>
      </w:r>
    </w:p>
    <w:p w:rsidR="00EC3B93" w:rsidRPr="00D71808" w:rsidP="00794D0D" w14:paraId="20BE4948" w14:textId="77777777">
      <w:pPr>
        <w:autoSpaceDE w:val="0"/>
        <w:autoSpaceDN w:val="0"/>
        <w:adjustRightInd w:val="0"/>
        <w:spacing w:after="120"/>
        <w:ind w:firstLine="720"/>
        <w:rPr>
          <w:szCs w:val="22"/>
        </w:rPr>
      </w:pPr>
      <w:r w:rsidRPr="00D71808">
        <w:rPr>
          <w:szCs w:val="22"/>
        </w:rPr>
        <w:t>We next consider whether the proposed transaction is likely to generate verifiable, transaction-specific public interest benefits.</w:t>
      </w:r>
      <w:r>
        <w:rPr>
          <w:szCs w:val="22"/>
          <w:vertAlign w:val="superscript"/>
        </w:rPr>
        <w:footnoteReference w:id="38"/>
      </w:r>
      <w:r w:rsidRPr="00D71808">
        <w:rPr>
          <w:szCs w:val="22"/>
        </w:rPr>
        <w:t xml:space="preserve">  Applicants must provide evidence of a claimed benefit to allow the Commission to verify its likelihood and magnitude.</w:t>
      </w:r>
      <w:r>
        <w:rPr>
          <w:szCs w:val="22"/>
          <w:vertAlign w:val="superscript"/>
        </w:rPr>
        <w:footnoteReference w:id="39"/>
      </w:r>
      <w:r w:rsidRPr="00D71808">
        <w:rPr>
          <w:szCs w:val="22"/>
        </w:rPr>
        <w:t xml:space="preserve">  Where potential harms appear unlikely, as is the case with the Application before us here, the Commission accepts a lesser degree of magnitude and likelihood than when harms are present.</w:t>
      </w:r>
      <w:r>
        <w:rPr>
          <w:szCs w:val="22"/>
          <w:vertAlign w:val="superscript"/>
        </w:rPr>
        <w:footnoteReference w:id="40"/>
      </w:r>
    </w:p>
    <w:p w:rsidR="00EC3B93" w:rsidRPr="00D71808" w:rsidP="00EC3B93" w14:paraId="3F0E00FC" w14:textId="485909EE">
      <w:pPr>
        <w:autoSpaceDE w:val="0"/>
        <w:autoSpaceDN w:val="0"/>
        <w:adjustRightInd w:val="0"/>
        <w:spacing w:after="120"/>
        <w:ind w:firstLine="720"/>
        <w:rPr>
          <w:szCs w:val="22"/>
        </w:rPr>
      </w:pPr>
      <w:r w:rsidRPr="00D71808">
        <w:rPr>
          <w:szCs w:val="22"/>
        </w:rPr>
        <w:t>The Commission has specified that ensuring consumers receive new or additional services is an important public interest factor,</w:t>
      </w:r>
      <w:r>
        <w:rPr>
          <w:szCs w:val="22"/>
          <w:vertAlign w:val="superscript"/>
        </w:rPr>
        <w:footnoteReference w:id="41"/>
      </w:r>
      <w:r w:rsidRPr="00D71808">
        <w:rPr>
          <w:szCs w:val="22"/>
        </w:rPr>
        <w:t xml:space="preserve"> and </w:t>
      </w:r>
      <w:r w:rsidRPr="00D71808">
        <w:rPr>
          <w:color w:val="000000"/>
          <w:szCs w:val="22"/>
        </w:rPr>
        <w:t>accelerating private sector deployment of advanced services is one of the aims of the Act.</w:t>
      </w:r>
      <w:r>
        <w:rPr>
          <w:color w:val="000000"/>
          <w:szCs w:val="22"/>
          <w:vertAlign w:val="superscript"/>
        </w:rPr>
        <w:footnoteReference w:id="42"/>
      </w:r>
      <w:r w:rsidRPr="00D71808">
        <w:rPr>
          <w:color w:val="000000"/>
          <w:szCs w:val="22"/>
        </w:rPr>
        <w:t xml:space="preserve">  </w:t>
      </w:r>
      <w:r w:rsidRPr="00D71808">
        <w:rPr>
          <w:szCs w:val="22"/>
        </w:rPr>
        <w:t xml:space="preserve">In light of the Applicants’ commitments to meet all of </w:t>
      </w:r>
      <w:r w:rsidR="00D8542B">
        <w:rPr>
          <w:szCs w:val="22"/>
        </w:rPr>
        <w:t>Point Broadband</w:t>
      </w:r>
      <w:r w:rsidRPr="00D71808">
        <w:rPr>
          <w:szCs w:val="22"/>
        </w:rPr>
        <w:t>’s federal high</w:t>
      </w:r>
      <w:r w:rsidRPr="00D71808">
        <w:rPr>
          <w:bCs/>
          <w:szCs w:val="22"/>
        </w:rPr>
        <w:t xml:space="preserve"> </w:t>
      </w:r>
      <w:r w:rsidRPr="00D71808">
        <w:rPr>
          <w:szCs w:val="22"/>
        </w:rPr>
        <w:t>cost support obligations</w:t>
      </w:r>
      <w:r>
        <w:rPr>
          <w:szCs w:val="22"/>
          <w:vertAlign w:val="superscript"/>
        </w:rPr>
        <w:footnoteReference w:id="43"/>
      </w:r>
      <w:r w:rsidRPr="00D71808">
        <w:rPr>
          <w:szCs w:val="22"/>
        </w:rPr>
        <w:t xml:space="preserve"> and the fact that Applicants are prepared to accelerate facilities-based </w:t>
      </w:r>
      <w:r w:rsidRPr="00D71808">
        <w:rPr>
          <w:szCs w:val="22"/>
        </w:rPr>
        <w:t>service offerings,</w:t>
      </w:r>
      <w:r>
        <w:rPr>
          <w:szCs w:val="22"/>
          <w:vertAlign w:val="superscript"/>
        </w:rPr>
        <w:footnoteReference w:id="44"/>
      </w:r>
      <w:r w:rsidRPr="00D71808">
        <w:rPr>
          <w:szCs w:val="22"/>
        </w:rPr>
        <w:t xml:space="preserve"> we find it likely that the proposed transaction would result in some public interest benefits.  Absent any potential harms, and considering that the proposed transaction is likely to yield some benefits, we find that the proposed transaction serves the public interest.</w:t>
      </w:r>
    </w:p>
    <w:p w:rsidR="00EC3B93" w:rsidRPr="00A35679" w:rsidP="00EC3B93" w14:paraId="1748955F" w14:textId="77777777">
      <w:pPr>
        <w:spacing w:after="120"/>
        <w:rPr>
          <w:b/>
          <w:bCs/>
          <w:u w:val="single"/>
        </w:rPr>
      </w:pPr>
      <w:r w:rsidRPr="00A35679">
        <w:rPr>
          <w:b/>
          <w:bCs/>
          <w:u w:val="single"/>
        </w:rPr>
        <w:t>Conditional Authorization of RDOF Support</w:t>
      </w:r>
    </w:p>
    <w:p w:rsidR="00EC3B93" w:rsidRPr="00501D0E" w:rsidP="00EC3B93" w14:paraId="56971E79" w14:textId="43CB34B6">
      <w:pPr>
        <w:spacing w:after="120"/>
        <w:ind w:firstLine="720"/>
        <w:rPr>
          <w:szCs w:val="22"/>
        </w:rPr>
      </w:pPr>
      <w:r w:rsidRPr="00501D0E">
        <w:t xml:space="preserve">As stated above, we find that </w:t>
      </w:r>
      <w:r w:rsidR="00D8542B">
        <w:t>Colquitt</w:t>
      </w:r>
      <w:r w:rsidRPr="00501D0E">
        <w:t xml:space="preserve"> has sufficiently demonstrated its managerial, financial, and technological capabilities to meet its RDOF obligations and accordingly, we </w:t>
      </w:r>
      <w:r w:rsidRPr="00FC0F77">
        <w:t>conditionally authorize</w:t>
      </w:r>
      <w:r>
        <w:t xml:space="preserve"> </w:t>
      </w:r>
      <w:r w:rsidR="00D8542B">
        <w:t>Colquitt</w:t>
      </w:r>
      <w:r>
        <w:t xml:space="preserve"> </w:t>
      </w:r>
      <w:r w:rsidRPr="00FC0F77">
        <w:t xml:space="preserve">to receive the RDOF support associated with the </w:t>
      </w:r>
      <w:r>
        <w:t>Assigned Census Block</w:t>
      </w:r>
      <w:r w:rsidR="00A664D3">
        <w:t>s</w:t>
      </w:r>
      <w:r w:rsidRPr="00FC0F77">
        <w:t>,</w:t>
      </w:r>
      <w:r w:rsidRPr="00501D0E">
        <w:t xml:space="preserve"> conditioned upon </w:t>
      </w:r>
      <w:r>
        <w:t>it</w:t>
      </w:r>
      <w:r w:rsidRPr="00501D0E">
        <w:t>s satisfaction of the following prerequisites within 90 days from the release date of this public notice:  (</w:t>
      </w:r>
      <w:r>
        <w:t>1</w:t>
      </w:r>
      <w:r w:rsidRPr="00501D0E">
        <w:t xml:space="preserve">) submission and approval of an irrevocable letter of credit (LOC) from a qualifying bank securing the requisite amount of support for the </w:t>
      </w:r>
      <w:r>
        <w:t>Assigned Census Block</w:t>
      </w:r>
      <w:r w:rsidR="00A664D3">
        <w:t>s</w:t>
      </w:r>
      <w:r w:rsidRPr="00501D0E">
        <w:t>;</w:t>
      </w:r>
      <w:r>
        <w:rPr>
          <w:rStyle w:val="FootnoteReference"/>
        </w:rPr>
        <w:footnoteReference w:id="45"/>
      </w:r>
      <w:r>
        <w:t xml:space="preserve"> </w:t>
      </w:r>
      <w:r w:rsidRPr="00501D0E">
        <w:t>(</w:t>
      </w:r>
      <w:r>
        <w:t>2</w:t>
      </w:r>
      <w:r w:rsidRPr="00501D0E">
        <w:t>) submission and approval of a supporting Bankruptcy Opinion Letter (Opinion Letter); and (</w:t>
      </w:r>
      <w:r>
        <w:t>3</w:t>
      </w:r>
      <w:r w:rsidRPr="00501D0E">
        <w:t xml:space="preserve">) </w:t>
      </w:r>
      <w:bookmarkStart w:id="9" w:name="_Hlk193974784"/>
      <w:r w:rsidRPr="00501D0E">
        <w:t>submission of a notice of consummation of the transaction and satisfaction of all other prerequisites for authorization</w:t>
      </w:r>
      <w:r>
        <w:t>.</w:t>
      </w:r>
      <w:bookmarkEnd w:id="9"/>
      <w:r>
        <w:rPr>
          <w:rStyle w:val="FootnoteReference"/>
        </w:rPr>
        <w:footnoteReference w:id="46"/>
      </w:r>
    </w:p>
    <w:p w:rsidR="00EC3B93" w:rsidRPr="00501D0E" w:rsidP="00EC3B93" w14:paraId="7E78F44D" w14:textId="2DD819DA">
      <w:pPr>
        <w:spacing w:after="120"/>
        <w:ind w:firstLine="720"/>
        <w:rPr>
          <w:szCs w:val="22"/>
        </w:rPr>
      </w:pPr>
      <w:r w:rsidRPr="00501D0E">
        <w:rPr>
          <w:szCs w:val="22"/>
        </w:rPr>
        <w:t xml:space="preserve">When submitting this information, </w:t>
      </w:r>
      <w:r w:rsidR="00D8542B">
        <w:rPr>
          <w:szCs w:val="22"/>
        </w:rPr>
        <w:t>Colquitt</w:t>
      </w:r>
      <w:r>
        <w:rPr>
          <w:szCs w:val="22"/>
        </w:rPr>
        <w:t xml:space="preserve"> </w:t>
      </w:r>
      <w:r w:rsidRPr="00501D0E">
        <w:rPr>
          <w:szCs w:val="22"/>
        </w:rPr>
        <w:t xml:space="preserve">must comply with the following procedures: </w:t>
      </w:r>
    </w:p>
    <w:p w:rsidR="00EC3B93" w:rsidRPr="00501D0E" w:rsidP="00EC3B93" w14:paraId="014120D8" w14:textId="7A2915D8">
      <w:pPr>
        <w:spacing w:after="120"/>
        <w:ind w:firstLine="720"/>
        <w:rPr>
          <w:szCs w:val="22"/>
        </w:rPr>
      </w:pPr>
      <w:r w:rsidRPr="00501D0E">
        <w:rPr>
          <w:i/>
          <w:iCs/>
          <w:szCs w:val="22"/>
        </w:rPr>
        <w:t>Letter of Credit and Opinion Letter</w:t>
      </w:r>
      <w:r w:rsidRPr="00501D0E">
        <w:rPr>
          <w:szCs w:val="22"/>
        </w:rPr>
        <w:t xml:space="preserve">.  </w:t>
      </w:r>
      <w:r w:rsidR="00D8542B">
        <w:rPr>
          <w:szCs w:val="22"/>
        </w:rPr>
        <w:t>Colquitt</w:t>
      </w:r>
      <w:r w:rsidRPr="00501D0E">
        <w:rPr>
          <w:szCs w:val="22"/>
        </w:rPr>
        <w:t xml:space="preserve"> must submit a hard copy of the LOC and a hard copy of the Opinion Letter to the Universal Service Administrative Agency (USAC), at the following address:  Universal Service Administrative Company, High Cost Program, Rural Digital </w:t>
      </w:r>
      <w:r>
        <w:rPr>
          <w:szCs w:val="22"/>
        </w:rPr>
        <w:t xml:space="preserve">Opportunity </w:t>
      </w:r>
      <w:r w:rsidRPr="00501D0E">
        <w:rPr>
          <w:szCs w:val="22"/>
        </w:rPr>
        <w:t xml:space="preserve">Fund LOC, Attn: Stephen Snowman and </w:t>
      </w:r>
      <w:r w:rsidR="00E346AA">
        <w:rPr>
          <w:szCs w:val="22"/>
        </w:rPr>
        <w:t>Kevin Case</w:t>
      </w:r>
      <w:r w:rsidRPr="00501D0E">
        <w:rPr>
          <w:szCs w:val="22"/>
        </w:rPr>
        <w:t xml:space="preserve">, 700 12th Street, NW, Suite 900, Washington, DC 20005, and electronic copies of the hard copies of the LOC and the Opinion Letter to USAC at hcinfo@usac.org and </w:t>
      </w:r>
      <w:hyperlink r:id="rId6" w:history="1">
        <w:r w:rsidRPr="00501D0E">
          <w:rPr>
            <w:szCs w:val="22"/>
          </w:rPr>
          <w:t>OGC-LOC@usac.org</w:t>
        </w:r>
      </w:hyperlink>
      <w:r w:rsidRPr="00501D0E">
        <w:rPr>
          <w:szCs w:val="22"/>
        </w:rPr>
        <w:t>.</w:t>
      </w:r>
    </w:p>
    <w:p w:rsidR="00EC3B93" w:rsidRPr="00501D0E" w:rsidP="00EC3B93" w14:paraId="3A959D1D" w14:textId="1F5586DF">
      <w:pPr>
        <w:spacing w:after="120"/>
        <w:ind w:firstLine="720"/>
        <w:rPr>
          <w:szCs w:val="22"/>
        </w:rPr>
      </w:pPr>
      <w:r w:rsidRPr="00501D0E">
        <w:rPr>
          <w:i/>
          <w:iCs/>
          <w:szCs w:val="22"/>
        </w:rPr>
        <w:t>Completion Notice</w:t>
      </w:r>
      <w:r w:rsidRPr="00501D0E">
        <w:rPr>
          <w:szCs w:val="22"/>
        </w:rPr>
        <w:t xml:space="preserve">.  </w:t>
      </w:r>
      <w:r w:rsidR="00D8542B">
        <w:rPr>
          <w:szCs w:val="22"/>
        </w:rPr>
        <w:t>Colquitt</w:t>
      </w:r>
      <w:r w:rsidRPr="00501D0E">
        <w:rPr>
          <w:szCs w:val="22"/>
        </w:rPr>
        <w:t xml:space="preserve"> must submit an electronic copy of the Completion Notice to USAC at hcinfo@usac.org and </w:t>
      </w:r>
      <w:hyperlink r:id="rId6" w:history="1">
        <w:r w:rsidRPr="00501D0E">
          <w:rPr>
            <w:szCs w:val="22"/>
          </w:rPr>
          <w:t>OGC-LOC@usac.org</w:t>
        </w:r>
      </w:hyperlink>
      <w:r w:rsidRPr="00501D0E">
        <w:rPr>
          <w:szCs w:val="22"/>
        </w:rPr>
        <w:t xml:space="preserve">, and file an electronic copy in the Commission’s Electronic Comment Filing System (ECFS) under </w:t>
      </w:r>
      <w:r w:rsidRPr="00501D0E">
        <w:t xml:space="preserve">WC Docket </w:t>
      </w:r>
      <w:r w:rsidRPr="00501D0E">
        <w:rPr>
          <w:szCs w:val="22"/>
        </w:rPr>
        <w:t>No</w:t>
      </w:r>
      <w:r w:rsidRPr="00501D0E">
        <w:t xml:space="preserve">. </w:t>
      </w:r>
      <w:r w:rsidRPr="00A35679">
        <w:t>2</w:t>
      </w:r>
      <w:r w:rsidR="003A5E45">
        <w:t>5</w:t>
      </w:r>
      <w:r w:rsidRPr="00A35679">
        <w:t>-</w:t>
      </w:r>
      <w:r>
        <w:rPr>
          <w:szCs w:val="22"/>
        </w:rPr>
        <w:t>1</w:t>
      </w:r>
      <w:r w:rsidR="003A5E45">
        <w:rPr>
          <w:szCs w:val="22"/>
        </w:rPr>
        <w:t>87</w:t>
      </w:r>
      <w:r w:rsidRPr="00501D0E">
        <w:rPr>
          <w:szCs w:val="22"/>
        </w:rPr>
        <w:t xml:space="preserve">.  Applicants should also email a copy of this notice directly to </w:t>
      </w:r>
      <w:r>
        <w:rPr>
          <w:szCs w:val="22"/>
        </w:rPr>
        <w:t>Gregory Kwan</w:t>
      </w:r>
      <w:r w:rsidRPr="00501D0E">
        <w:rPr>
          <w:szCs w:val="22"/>
        </w:rPr>
        <w:t xml:space="preserve"> at </w:t>
      </w:r>
      <w:hyperlink r:id="rId7" w:history="1">
        <w:r w:rsidRPr="00EF4A5C">
          <w:rPr>
            <w:rStyle w:val="Hyperlink"/>
          </w:rPr>
          <w:t>gregory.kwan@fcc.gov</w:t>
        </w:r>
      </w:hyperlink>
      <w:r w:rsidRPr="00501D0E">
        <w:rPr>
          <w:szCs w:val="22"/>
        </w:rPr>
        <w:t xml:space="preserve"> and to Nissa Laughner at </w:t>
      </w:r>
      <w:hyperlink r:id="rId8" w:history="1">
        <w:r w:rsidRPr="00501D0E">
          <w:rPr>
            <w:color w:val="0000FF"/>
            <w:szCs w:val="22"/>
            <w:u w:val="single"/>
          </w:rPr>
          <w:t>nissa.laughner@fcc.gov</w:t>
        </w:r>
      </w:hyperlink>
      <w:r w:rsidRPr="00501D0E">
        <w:rPr>
          <w:szCs w:val="22"/>
        </w:rPr>
        <w:t>.</w:t>
      </w:r>
    </w:p>
    <w:p w:rsidR="00EC3B93" w:rsidRPr="00501D0E" w:rsidP="00EC3B93" w14:paraId="18B9468B" w14:textId="50BF4EAC">
      <w:pPr>
        <w:spacing w:after="120"/>
        <w:ind w:firstLine="720"/>
        <w:rPr>
          <w:szCs w:val="22"/>
        </w:rPr>
      </w:pPr>
      <w:bookmarkStart w:id="10" w:name="_Hlk185266967"/>
      <w:r w:rsidRPr="00501D0E">
        <w:rPr>
          <w:szCs w:val="22"/>
        </w:rPr>
        <w:t>If and when all of these prerequisites are satisfied, the authorization of</w:t>
      </w:r>
      <w:r>
        <w:rPr>
          <w:szCs w:val="22"/>
        </w:rPr>
        <w:t xml:space="preserve"> </w:t>
      </w:r>
      <w:r w:rsidR="00D8542B">
        <w:rPr>
          <w:szCs w:val="22"/>
        </w:rPr>
        <w:t>Colquitt</w:t>
      </w:r>
      <w:r w:rsidRPr="00501D0E">
        <w:rPr>
          <w:szCs w:val="22"/>
        </w:rPr>
        <w:t xml:space="preserve"> to receive the support associated with the </w:t>
      </w:r>
      <w:r w:rsidR="00A664D3">
        <w:rPr>
          <w:szCs w:val="22"/>
        </w:rPr>
        <w:t>Assigned Census Blocks</w:t>
      </w:r>
      <w:r w:rsidRPr="00501D0E">
        <w:rPr>
          <w:szCs w:val="22"/>
        </w:rPr>
        <w:t xml:space="preserve"> will become effective.  Until such authorization, </w:t>
      </w:r>
      <w:r w:rsidR="00D8542B">
        <w:rPr>
          <w:szCs w:val="22"/>
        </w:rPr>
        <w:t>Point Broadband</w:t>
      </w:r>
      <w:r w:rsidRPr="00501D0E">
        <w:rPr>
          <w:szCs w:val="22"/>
        </w:rPr>
        <w:t xml:space="preserve"> must maintain an irrevocable LOC securing the support for the </w:t>
      </w:r>
      <w:r w:rsidR="00A664D3">
        <w:rPr>
          <w:szCs w:val="22"/>
        </w:rPr>
        <w:t>Assigned Census Blocks</w:t>
      </w:r>
      <w:r w:rsidRPr="00501D0E">
        <w:rPr>
          <w:szCs w:val="22"/>
        </w:rPr>
        <w:t xml:space="preserve"> and will retain sole responsibility for complying with the </w:t>
      </w:r>
      <w:r>
        <w:rPr>
          <w:szCs w:val="22"/>
        </w:rPr>
        <w:t>U</w:t>
      </w:r>
      <w:r w:rsidRPr="00501D0E">
        <w:rPr>
          <w:szCs w:val="22"/>
        </w:rPr>
        <w:t xml:space="preserve">niversal </w:t>
      </w:r>
      <w:r>
        <w:rPr>
          <w:szCs w:val="22"/>
        </w:rPr>
        <w:t>S</w:t>
      </w:r>
      <w:r w:rsidRPr="00501D0E">
        <w:rPr>
          <w:szCs w:val="22"/>
        </w:rPr>
        <w:t xml:space="preserve">ervice </w:t>
      </w:r>
      <w:r>
        <w:rPr>
          <w:szCs w:val="22"/>
        </w:rPr>
        <w:t>F</w:t>
      </w:r>
      <w:r w:rsidRPr="00501D0E">
        <w:rPr>
          <w:szCs w:val="22"/>
        </w:rPr>
        <w:t xml:space="preserve">und requirements for the </w:t>
      </w:r>
      <w:r w:rsidR="00A664D3">
        <w:rPr>
          <w:szCs w:val="22"/>
        </w:rPr>
        <w:t>Assigned Census Blocks</w:t>
      </w:r>
      <w:r w:rsidRPr="00501D0E">
        <w:rPr>
          <w:szCs w:val="22"/>
        </w:rPr>
        <w:t xml:space="preserve">.  Once </w:t>
      </w:r>
      <w:r w:rsidR="00D8542B">
        <w:rPr>
          <w:szCs w:val="22"/>
        </w:rPr>
        <w:t>Colquitt</w:t>
      </w:r>
      <w:r w:rsidRPr="00501D0E">
        <w:rPr>
          <w:szCs w:val="22"/>
        </w:rPr>
        <w:t xml:space="preserve"> is authorized, all support and related transferrable assets associated with the </w:t>
      </w:r>
      <w:r w:rsidR="00A664D3">
        <w:rPr>
          <w:szCs w:val="22"/>
        </w:rPr>
        <w:t>Assigned Census Blocks</w:t>
      </w:r>
      <w:r w:rsidRPr="00501D0E">
        <w:rPr>
          <w:szCs w:val="22"/>
        </w:rPr>
        <w:t xml:space="preserve">, including any disbursements for the </w:t>
      </w:r>
      <w:r w:rsidR="00A664D3">
        <w:rPr>
          <w:szCs w:val="22"/>
        </w:rPr>
        <w:t>Assigned Census Blocks</w:t>
      </w:r>
      <w:r w:rsidRPr="00501D0E">
        <w:rPr>
          <w:szCs w:val="22"/>
        </w:rPr>
        <w:t xml:space="preserve"> received by </w:t>
      </w:r>
      <w:r w:rsidR="00D8542B">
        <w:rPr>
          <w:szCs w:val="22"/>
        </w:rPr>
        <w:t>Point Broadband</w:t>
      </w:r>
      <w:r w:rsidRPr="00501D0E">
        <w:rPr>
          <w:szCs w:val="22"/>
        </w:rPr>
        <w:t xml:space="preserve"> pending the effective date of</w:t>
      </w:r>
      <w:r>
        <w:rPr>
          <w:szCs w:val="22"/>
        </w:rPr>
        <w:t xml:space="preserve"> </w:t>
      </w:r>
      <w:r w:rsidR="00D8542B">
        <w:rPr>
          <w:szCs w:val="22"/>
        </w:rPr>
        <w:t>Colquitt</w:t>
      </w:r>
      <w:r>
        <w:rPr>
          <w:szCs w:val="22"/>
        </w:rPr>
        <w:t>’s</w:t>
      </w:r>
      <w:r w:rsidRPr="00501D0E">
        <w:rPr>
          <w:szCs w:val="22"/>
        </w:rPr>
        <w:t xml:space="preserve"> authorization or thereafter, </w:t>
      </w:r>
      <w:r w:rsidRPr="00501D0E">
        <w:rPr>
          <w:szCs w:val="22"/>
        </w:rPr>
        <w:t>must be transferred to</w:t>
      </w:r>
      <w:r>
        <w:rPr>
          <w:szCs w:val="22"/>
        </w:rPr>
        <w:t xml:space="preserve"> </w:t>
      </w:r>
      <w:r w:rsidR="00D8542B">
        <w:rPr>
          <w:szCs w:val="22"/>
        </w:rPr>
        <w:t>Colquitt</w:t>
      </w:r>
      <w:r w:rsidRPr="00501D0E">
        <w:rPr>
          <w:szCs w:val="22"/>
        </w:rPr>
        <w:t>.</w:t>
      </w:r>
      <w:r>
        <w:rPr>
          <w:szCs w:val="22"/>
          <w:vertAlign w:val="superscript"/>
        </w:rPr>
        <w:footnoteReference w:id="47"/>
      </w:r>
      <w:r w:rsidRPr="00501D0E">
        <w:rPr>
          <w:szCs w:val="22"/>
        </w:rPr>
        <w:t xml:space="preserve">  </w:t>
      </w:r>
      <w:r w:rsidRPr="00501D0E">
        <w:t>If</w:t>
      </w:r>
      <w:r>
        <w:t xml:space="preserve"> </w:t>
      </w:r>
      <w:r w:rsidRPr="00501D0E">
        <w:t xml:space="preserve">USAC cannot modify the payment system </w:t>
      </w:r>
      <w:r>
        <w:t>before one or more post-authorization payments associated with the Assigned Census Block</w:t>
      </w:r>
      <w:r w:rsidR="00F434AD">
        <w:t xml:space="preserve">s </w:t>
      </w:r>
      <w:r>
        <w:t xml:space="preserve">comes due, </w:t>
      </w:r>
      <w:r w:rsidR="00D8542B">
        <w:t>Point Broadband</w:t>
      </w:r>
      <w:r w:rsidRPr="00501D0E">
        <w:t xml:space="preserve"> must, consistent with its obligation to transfer all support and assets associated with the </w:t>
      </w:r>
      <w:r w:rsidR="00A664D3">
        <w:t>Assigned Census Blocks</w:t>
      </w:r>
      <w:r w:rsidRPr="00501D0E">
        <w:t xml:space="preserve">, transfer the full amount of support </w:t>
      </w:r>
      <w:r>
        <w:t xml:space="preserve">it has received from USAC for the </w:t>
      </w:r>
      <w:r w:rsidR="00A664D3">
        <w:t>Assigned Census Blocks</w:t>
      </w:r>
      <w:r>
        <w:t xml:space="preserve"> after </w:t>
      </w:r>
      <w:r w:rsidR="00D8542B">
        <w:t>Colquitt</w:t>
      </w:r>
      <w:r>
        <w:t>’s authorization.</w:t>
      </w:r>
      <w:r w:rsidRPr="00501D0E">
        <w:t xml:space="preserve">  </w:t>
      </w:r>
    </w:p>
    <w:p w:rsidR="00EC3B93" w:rsidRPr="00501D0E" w:rsidP="00EC3B93" w14:paraId="16D3FBBF" w14:textId="5639EE61">
      <w:pPr>
        <w:tabs>
          <w:tab w:val="num" w:pos="1440"/>
        </w:tabs>
        <w:spacing w:after="120"/>
        <w:ind w:firstLine="720"/>
        <w:rPr>
          <w:szCs w:val="22"/>
        </w:rPr>
      </w:pPr>
      <w:r w:rsidRPr="00501D0E">
        <w:rPr>
          <w:szCs w:val="22"/>
        </w:rPr>
        <w:t xml:space="preserve">We remind </w:t>
      </w:r>
      <w:r w:rsidR="00D8542B">
        <w:rPr>
          <w:szCs w:val="22"/>
        </w:rPr>
        <w:t>Colquitt</w:t>
      </w:r>
      <w:r w:rsidRPr="00501D0E">
        <w:rPr>
          <w:szCs w:val="22"/>
        </w:rPr>
        <w:t xml:space="preserve"> that once it satisfies all conditions of </w:t>
      </w:r>
      <w:r>
        <w:rPr>
          <w:szCs w:val="22"/>
        </w:rPr>
        <w:t xml:space="preserve">the RDOF </w:t>
      </w:r>
      <w:r w:rsidRPr="00501D0E">
        <w:rPr>
          <w:szCs w:val="22"/>
        </w:rPr>
        <w:t>authorization</w:t>
      </w:r>
      <w:r>
        <w:rPr>
          <w:szCs w:val="22"/>
        </w:rPr>
        <w:t xml:space="preserve"> for the </w:t>
      </w:r>
      <w:r w:rsidR="00A664D3">
        <w:rPr>
          <w:szCs w:val="22"/>
        </w:rPr>
        <w:t>Assigned Census Blocks</w:t>
      </w:r>
      <w:r w:rsidRPr="00501D0E">
        <w:rPr>
          <w:szCs w:val="22"/>
        </w:rPr>
        <w:t>, it assumes sole responsibility for complying with universal service fund requirements and Commission rules, regardless of any preexisting or reasonably foreseeable conditions that could impact its ability to meet its obligations in the future, including technical, marketplace, and on-the-ground conditions.</w:t>
      </w:r>
      <w:r>
        <w:rPr>
          <w:szCs w:val="22"/>
          <w:vertAlign w:val="superscript"/>
        </w:rPr>
        <w:footnoteReference w:id="48"/>
      </w:r>
      <w:r w:rsidRPr="00501D0E">
        <w:rPr>
          <w:szCs w:val="22"/>
        </w:rPr>
        <w:t xml:space="preserve">  Indeed, any carrier seeking authorization to receive high cost support pursuant to a section 214 authorization must conduct the proper due diligence prior to consummation of the transaction and, in doing so, must assume all risks and consequences of noncompliance with program requirements, including default recovery of support and potential forfeiture penalties.</w:t>
      </w:r>
      <w:r>
        <w:rPr>
          <w:szCs w:val="22"/>
          <w:vertAlign w:val="superscript"/>
        </w:rPr>
        <w:footnoteReference w:id="49"/>
      </w:r>
      <w:r w:rsidRPr="00501D0E">
        <w:rPr>
          <w:szCs w:val="22"/>
        </w:rPr>
        <w:t xml:space="preserve">  In addition, </w:t>
      </w:r>
      <w:r w:rsidR="00D8542B">
        <w:rPr>
          <w:szCs w:val="22"/>
        </w:rPr>
        <w:t>Colquitt</w:t>
      </w:r>
      <w:r w:rsidRPr="00501D0E">
        <w:rPr>
          <w:szCs w:val="22"/>
        </w:rPr>
        <w:t xml:space="preserve"> must meet all administrative, performance, and deployment obligations and deadlines,</w:t>
      </w:r>
      <w:r>
        <w:rPr>
          <w:szCs w:val="22"/>
          <w:vertAlign w:val="superscript"/>
        </w:rPr>
        <w:footnoteReference w:id="50"/>
      </w:r>
      <w:r w:rsidRPr="00501D0E">
        <w:rPr>
          <w:szCs w:val="22"/>
        </w:rPr>
        <w:t xml:space="preserve"> including the requirement to deploy voice and broadband service meeting minimum standards to the requisite number of locations by specific service milestones.</w:t>
      </w:r>
      <w:r>
        <w:rPr>
          <w:szCs w:val="22"/>
          <w:vertAlign w:val="superscript"/>
        </w:rPr>
        <w:footnoteReference w:id="51"/>
      </w:r>
    </w:p>
    <w:bookmarkEnd w:id="10"/>
    <w:p w:rsidR="00EC3B93" w:rsidRPr="00501D0E" w:rsidP="00EC3B93" w14:paraId="5D6D792B" w14:textId="77777777">
      <w:pPr>
        <w:autoSpaceDE w:val="0"/>
        <w:autoSpaceDN w:val="0"/>
        <w:adjustRightInd w:val="0"/>
        <w:spacing w:after="120"/>
        <w:rPr>
          <w:b/>
          <w:szCs w:val="22"/>
          <w:u w:val="single"/>
        </w:rPr>
      </w:pPr>
      <w:r w:rsidRPr="00501D0E">
        <w:rPr>
          <w:b/>
          <w:szCs w:val="22"/>
          <w:u w:val="single"/>
        </w:rPr>
        <w:t>Grant of Application</w:t>
      </w:r>
    </w:p>
    <w:p w:rsidR="00EC3B93" w:rsidRPr="00501D0E" w:rsidP="00EC3B93" w14:paraId="4BCE5BF5" w14:textId="77777777">
      <w:pPr>
        <w:autoSpaceDE w:val="0"/>
        <w:autoSpaceDN w:val="0"/>
        <w:adjustRightInd w:val="0"/>
        <w:spacing w:before="120" w:after="120"/>
        <w:ind w:firstLine="720"/>
      </w:pPr>
      <w:r w:rsidRPr="00501D0E">
        <w:rPr>
          <w:szCs w:val="22"/>
        </w:rPr>
        <w:t xml:space="preserve">We find, upon consideration of the record, that the proposed transfer will serve the public interest, </w:t>
      </w:r>
      <w:r w:rsidRPr="00501D0E">
        <w:rPr>
          <w:szCs w:val="22"/>
        </w:rPr>
        <w:t>convenience, and necessity.</w:t>
      </w:r>
      <w:r>
        <w:rPr>
          <w:szCs w:val="22"/>
          <w:vertAlign w:val="superscript"/>
        </w:rPr>
        <w:footnoteReference w:id="52"/>
      </w:r>
    </w:p>
    <w:p w:rsidR="00EC3B93" w:rsidRPr="00501D0E" w:rsidP="00EC3B93" w14:paraId="46AAB114" w14:textId="77777777">
      <w:pPr>
        <w:autoSpaceDE w:val="0"/>
        <w:autoSpaceDN w:val="0"/>
        <w:adjustRightInd w:val="0"/>
        <w:spacing w:after="200"/>
        <w:ind w:firstLine="720"/>
        <w:rPr>
          <w:szCs w:val="22"/>
        </w:rPr>
      </w:pPr>
      <w:r w:rsidRPr="00501D0E">
        <w:rPr>
          <w:szCs w:val="22"/>
        </w:rPr>
        <w:t>Therefore, pursuant to section 214 of the Act, 47 U.S.C. § 214, and sections 0.91, 0.291, and 63.04 of the Commission’s rules, 47 CFR §§ 0.91, 0.291, and 63.04, the Bureau hereby grants the Application discussed in this Public Notice, subject to Applicants’ compliance with all applicable obligations.</w:t>
      </w:r>
    </w:p>
    <w:p w:rsidR="00EC3B93" w:rsidP="00EC3B93" w14:paraId="1D581566" w14:textId="77777777">
      <w:pPr>
        <w:autoSpaceDE w:val="0"/>
        <w:autoSpaceDN w:val="0"/>
        <w:adjustRightInd w:val="0"/>
        <w:spacing w:after="200"/>
        <w:ind w:firstLine="720"/>
        <w:rPr>
          <w:szCs w:val="22"/>
        </w:rPr>
      </w:pPr>
      <w:r w:rsidRPr="00501D0E">
        <w:rPr>
          <w:szCs w:val="22"/>
        </w:rPr>
        <w:t>Pursuant to section 1.103 of the Commission’s rules,</w:t>
      </w:r>
      <w:r>
        <w:rPr>
          <w:szCs w:val="22"/>
        </w:rPr>
        <w:t xml:space="preserve"> </w:t>
      </w:r>
      <w:r w:rsidRPr="00501D0E">
        <w:rPr>
          <w:szCs w:val="22"/>
        </w:rPr>
        <w:t>47 CFR § 1.103, the grant is effective upon release of this Public Notice.  Petitions for reconsideration under section 1.106 or applications for review under section 1.115 of the Commission’s rules,</w:t>
      </w:r>
      <w:r>
        <w:rPr>
          <w:szCs w:val="22"/>
        </w:rPr>
        <w:t xml:space="preserve"> </w:t>
      </w:r>
      <w:r w:rsidRPr="00501D0E">
        <w:rPr>
          <w:szCs w:val="22"/>
        </w:rPr>
        <w:t>47 CFR §§ 1.106,</w:t>
      </w:r>
      <w:r>
        <w:rPr>
          <w:szCs w:val="22"/>
        </w:rPr>
        <w:t xml:space="preserve"> </w:t>
      </w:r>
      <w:r w:rsidRPr="00501D0E">
        <w:rPr>
          <w:szCs w:val="22"/>
        </w:rPr>
        <w:t>1.115, may be filed within 30 days of the date of this Public Notice.</w:t>
      </w:r>
    </w:p>
    <w:p w:rsidR="00EC3B93" w:rsidRPr="009E1AA5" w:rsidP="00EC3B93" w14:paraId="5739A852" w14:textId="77777777">
      <w:pPr>
        <w:autoSpaceDE w:val="0"/>
        <w:autoSpaceDN w:val="0"/>
        <w:adjustRightInd w:val="0"/>
        <w:spacing w:after="200"/>
        <w:ind w:firstLine="720"/>
        <w:rPr>
          <w:szCs w:val="22"/>
        </w:rPr>
      </w:pPr>
      <w:r w:rsidRPr="003B1C20">
        <w:rPr>
          <w:szCs w:val="22"/>
        </w:rPr>
        <w:t>For further information, please contact</w:t>
      </w:r>
      <w:r>
        <w:rPr>
          <w:szCs w:val="22"/>
        </w:rPr>
        <w:t xml:space="preserve"> Gregory Kwan, Competition Policy Division, Wireline Competition Bureau,</w:t>
      </w:r>
      <w:r w:rsidRPr="003B1C20">
        <w:rPr>
          <w:szCs w:val="22"/>
        </w:rPr>
        <w:t xml:space="preserve"> at </w:t>
      </w:r>
      <w:r w:rsidRPr="003B1C20">
        <w:t>(202) 418-</w:t>
      </w:r>
      <w:r>
        <w:t>1191; Nissa Laughner, Telecommunications Access Policy Division, Wireline Competition Bureau at (202) 418-1358.</w:t>
      </w:r>
      <w:bookmarkStart w:id="13" w:name="co_pp_sp_1511_1684_1"/>
      <w:bookmarkStart w:id="14" w:name="sp_999_2"/>
      <w:bookmarkStart w:id="15" w:name="SDU_2"/>
      <w:bookmarkEnd w:id="13"/>
      <w:bookmarkEnd w:id="14"/>
      <w:bookmarkEnd w:id="15"/>
    </w:p>
    <w:p w:rsidR="00EC3B93" w:rsidRPr="00EE7319" w:rsidP="00EE7319" w14:paraId="00EF1B82" w14:textId="76409AF3">
      <w:pPr>
        <w:autoSpaceDE w:val="0"/>
        <w:autoSpaceDN w:val="0"/>
        <w:adjustRightInd w:val="0"/>
        <w:jc w:val="center"/>
        <w:rPr>
          <w:b/>
          <w:bCs/>
          <w:szCs w:val="22"/>
        </w:rPr>
      </w:pPr>
      <w:r w:rsidRPr="009E1AA5">
        <w:rPr>
          <w:b/>
          <w:bCs/>
          <w:szCs w:val="22"/>
        </w:rPr>
        <w:t>-FCC-</w:t>
      </w:r>
    </w:p>
    <w:bookmarkEnd w:id="1"/>
    <w:bookmarkEnd w:id="7"/>
    <w:p w:rsidR="00BA3BA8" w:rsidRPr="00DF0BCD" w:rsidP="00DF0BCD" w14:paraId="1516F428" w14:textId="1BB88965">
      <w:pPr>
        <w:autoSpaceDE w:val="0"/>
        <w:autoSpaceDN w:val="0"/>
        <w:adjustRightInd w:val="0"/>
        <w:jc w:val="center"/>
        <w:rPr>
          <w:color w:val="000000"/>
          <w:szCs w:val="22"/>
        </w:rPr>
      </w:pPr>
    </w:p>
    <w:sectPr>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77A08" w14:paraId="65BFA6AA" w14:textId="77777777">
      <w:pPr>
        <w:spacing w:line="20" w:lineRule="exact"/>
      </w:pPr>
    </w:p>
  </w:endnote>
  <w:endnote w:type="continuationSeparator" w:id="1">
    <w:p w:rsidR="00677A08" w14:paraId="66B6563B" w14:textId="77777777">
      <w:r>
        <w:t xml:space="preserve"> </w:t>
      </w:r>
    </w:p>
  </w:endnote>
  <w:endnote w:type="continuationNotice" w:id="2">
    <w:p w:rsidR="00677A08" w14:paraId="193C073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80B095B"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0A72E0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A2EC5B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DD0774A"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7A08" w14:paraId="5715110E" w14:textId="77777777">
      <w:r>
        <w:separator/>
      </w:r>
    </w:p>
  </w:footnote>
  <w:footnote w:type="continuationSeparator" w:id="1">
    <w:p w:rsidR="00677A08" w14:paraId="43B897BC" w14:textId="77777777">
      <w:pPr>
        <w:rPr>
          <w:sz w:val="20"/>
        </w:rPr>
      </w:pPr>
      <w:r>
        <w:rPr>
          <w:sz w:val="20"/>
        </w:rPr>
        <w:t xml:space="preserve">(Continued from previous page)  </w:t>
      </w:r>
      <w:r>
        <w:rPr>
          <w:sz w:val="20"/>
        </w:rPr>
        <w:separator/>
      </w:r>
    </w:p>
  </w:footnote>
  <w:footnote w:type="continuationNotice" w:id="2">
    <w:p w:rsidR="00677A08" w14:paraId="2D0484DA" w14:textId="77777777">
      <w:pPr>
        <w:jc w:val="right"/>
        <w:rPr>
          <w:sz w:val="20"/>
        </w:rPr>
      </w:pPr>
      <w:r>
        <w:rPr>
          <w:sz w:val="20"/>
        </w:rPr>
        <w:t>(continued….)</w:t>
      </w:r>
    </w:p>
  </w:footnote>
  <w:footnote w:id="3">
    <w:p w:rsidR="00881759" w:rsidRPr="00E53ABA" w:rsidP="00881759" w14:paraId="21DE2F84" w14:textId="2CF3C650">
      <w:pPr>
        <w:pStyle w:val="FootnoteText"/>
      </w:pPr>
      <w:r w:rsidRPr="00E53ABA">
        <w:rPr>
          <w:rStyle w:val="FootnoteReference"/>
          <w:sz w:val="20"/>
        </w:rPr>
        <w:footnoteRef/>
      </w:r>
      <w:r w:rsidRPr="00E53ABA">
        <w:t xml:space="preserve"> </w:t>
      </w:r>
      <w:r w:rsidRPr="00E53ABA">
        <w:rPr>
          <w:i/>
        </w:rPr>
        <w:t>See</w:t>
      </w:r>
      <w:r w:rsidRPr="00E53ABA">
        <w:t xml:space="preserve"> 47 U.S.C. § 214(a); 47 CFR § 63.04.</w:t>
      </w:r>
    </w:p>
  </w:footnote>
  <w:footnote w:id="4">
    <w:p w:rsidR="00881759" w:rsidRPr="00E53ABA" w:rsidP="00881759" w14:paraId="63D191F3" w14:textId="4BF20DB6">
      <w:pPr>
        <w:autoSpaceDE w:val="0"/>
        <w:autoSpaceDN w:val="0"/>
        <w:adjustRightInd w:val="0"/>
        <w:spacing w:after="120"/>
        <w:rPr>
          <w:sz w:val="20"/>
        </w:rPr>
      </w:pPr>
      <w:r w:rsidRPr="00E53ABA">
        <w:rPr>
          <w:rStyle w:val="FootnoteReference"/>
          <w:sz w:val="20"/>
        </w:rPr>
        <w:footnoteRef/>
      </w:r>
      <w:r w:rsidRPr="00E53ABA">
        <w:rPr>
          <w:sz w:val="20"/>
        </w:rPr>
        <w:t xml:space="preserve"> </w:t>
      </w:r>
      <w:bookmarkStart w:id="5" w:name="_Hlk199504499"/>
      <w:r w:rsidRPr="00E53ABA">
        <w:rPr>
          <w:sz w:val="20"/>
        </w:rPr>
        <w:t xml:space="preserve">Domestic Section 214 Application </w:t>
      </w:r>
      <w:bookmarkStart w:id="6" w:name="_Hlk178243770"/>
      <w:r w:rsidR="00AD7E82">
        <w:rPr>
          <w:sz w:val="20"/>
        </w:rPr>
        <w:t xml:space="preserve">for the Acquisition </w:t>
      </w:r>
      <w:r w:rsidRPr="00E53ABA" w:rsidR="00CE5969">
        <w:rPr>
          <w:sz w:val="20"/>
        </w:rPr>
        <w:t xml:space="preserve">of Certain Assets of </w:t>
      </w:r>
      <w:bookmarkEnd w:id="6"/>
      <w:r w:rsidRPr="00E53ABA" w:rsidR="00E64A4E">
        <w:rPr>
          <w:sz w:val="20"/>
        </w:rPr>
        <w:t xml:space="preserve">Point Broadband Fiber Holding, LLC </w:t>
      </w:r>
      <w:r w:rsidR="009C7F34">
        <w:rPr>
          <w:sz w:val="20"/>
        </w:rPr>
        <w:t>by</w:t>
      </w:r>
      <w:r w:rsidRPr="00E53ABA" w:rsidR="00E64A4E">
        <w:rPr>
          <w:sz w:val="20"/>
        </w:rPr>
        <w:t xml:space="preserve"> City of Colquitt, Georgia</w:t>
      </w:r>
      <w:bookmarkEnd w:id="5"/>
      <w:r w:rsidRPr="00E53ABA" w:rsidR="000A0F72">
        <w:rPr>
          <w:sz w:val="20"/>
        </w:rPr>
        <w:t xml:space="preserve">, WC </w:t>
      </w:r>
      <w:r w:rsidRPr="00E53ABA">
        <w:rPr>
          <w:sz w:val="20"/>
        </w:rPr>
        <w:t>Docket No. 2</w:t>
      </w:r>
      <w:r w:rsidRPr="00E53ABA" w:rsidR="00642BB6">
        <w:rPr>
          <w:sz w:val="20"/>
        </w:rPr>
        <w:t>5</w:t>
      </w:r>
      <w:r w:rsidRPr="00E53ABA">
        <w:rPr>
          <w:sz w:val="20"/>
        </w:rPr>
        <w:t>-</w:t>
      </w:r>
      <w:r w:rsidRPr="00E53ABA" w:rsidR="00831322">
        <w:rPr>
          <w:sz w:val="20"/>
        </w:rPr>
        <w:t>187</w:t>
      </w:r>
      <w:r w:rsidRPr="00E53ABA">
        <w:rPr>
          <w:sz w:val="20"/>
        </w:rPr>
        <w:t xml:space="preserve"> (filed </w:t>
      </w:r>
      <w:r w:rsidRPr="00E53ABA" w:rsidR="00CE5969">
        <w:rPr>
          <w:sz w:val="20"/>
        </w:rPr>
        <w:t>Ma</w:t>
      </w:r>
      <w:r w:rsidRPr="00E53ABA" w:rsidR="00E64A4E">
        <w:rPr>
          <w:sz w:val="20"/>
        </w:rPr>
        <w:t>y</w:t>
      </w:r>
      <w:r w:rsidRPr="00E53ABA" w:rsidR="00F03D70">
        <w:rPr>
          <w:sz w:val="20"/>
        </w:rPr>
        <w:t xml:space="preserve"> </w:t>
      </w:r>
      <w:r w:rsidRPr="00E53ABA" w:rsidR="00E64A4E">
        <w:rPr>
          <w:sz w:val="20"/>
        </w:rPr>
        <w:t>30</w:t>
      </w:r>
      <w:r w:rsidRPr="00E53ABA">
        <w:rPr>
          <w:sz w:val="20"/>
        </w:rPr>
        <w:t>, 202</w:t>
      </w:r>
      <w:r w:rsidRPr="00E53ABA" w:rsidR="005347B2">
        <w:rPr>
          <w:sz w:val="20"/>
        </w:rPr>
        <w:t>5</w:t>
      </w:r>
      <w:r w:rsidRPr="00E53ABA">
        <w:rPr>
          <w:sz w:val="20"/>
        </w:rPr>
        <w:t>) (Application).</w:t>
      </w:r>
      <w:r w:rsidRPr="00E53ABA" w:rsidR="00F245C1">
        <w:rPr>
          <w:sz w:val="20"/>
        </w:rPr>
        <w:t xml:space="preserve"> </w:t>
      </w:r>
      <w:r w:rsidRPr="00E53ABA" w:rsidR="007230A3">
        <w:rPr>
          <w:sz w:val="20"/>
        </w:rPr>
        <w:t xml:space="preserve"> </w:t>
      </w:r>
      <w:r w:rsidR="008509CF">
        <w:rPr>
          <w:sz w:val="20"/>
        </w:rPr>
        <w:t xml:space="preserve">On November 18, </w:t>
      </w:r>
      <w:r w:rsidR="00742728">
        <w:rPr>
          <w:sz w:val="20"/>
        </w:rPr>
        <w:t>2025</w:t>
      </w:r>
      <w:r w:rsidR="00FC7790">
        <w:rPr>
          <w:sz w:val="20"/>
        </w:rPr>
        <w:t xml:space="preserve"> and November 20, 2025</w:t>
      </w:r>
      <w:r w:rsidR="00742728">
        <w:rPr>
          <w:sz w:val="20"/>
        </w:rPr>
        <w:t>, Applicants filed supplement</w:t>
      </w:r>
      <w:r w:rsidR="00595096">
        <w:rPr>
          <w:sz w:val="20"/>
        </w:rPr>
        <w:t>s</w:t>
      </w:r>
      <w:r w:rsidR="00742728">
        <w:rPr>
          <w:sz w:val="20"/>
        </w:rPr>
        <w:t xml:space="preserve"> to their domestic 214 application.  Letter from Steven E. Coran, Counsel to Point </w:t>
      </w:r>
      <w:r w:rsidR="00DE1BBF">
        <w:rPr>
          <w:sz w:val="20"/>
        </w:rPr>
        <w:t>Broadband Fiber Holding, LLC, WC Docket No. 25-187 (filed Nov. 18, 2025) (Supplement)</w:t>
      </w:r>
      <w:r w:rsidR="00FC7790">
        <w:rPr>
          <w:sz w:val="20"/>
        </w:rPr>
        <w:t xml:space="preserve">; Letter from Steven E. Coran, Counsel to Point Broadband Fiber Holding, LLC, WC Docket No. 25-187 (filed Nov. 20, 2025) (Second </w:t>
      </w:r>
      <w:r w:rsidR="00332438">
        <w:rPr>
          <w:sz w:val="20"/>
        </w:rPr>
        <w:t>Supplement).</w:t>
      </w:r>
      <w:r w:rsidR="00FC7790">
        <w:rPr>
          <w:sz w:val="20"/>
        </w:rPr>
        <w:t xml:space="preserve">  </w:t>
      </w:r>
      <w:r w:rsidRPr="00E53ABA" w:rsidR="006A556F">
        <w:rPr>
          <w:sz w:val="20"/>
        </w:rPr>
        <w:t xml:space="preserve">Any action on the </w:t>
      </w:r>
      <w:r w:rsidRPr="00E53ABA" w:rsidR="00224260">
        <w:rPr>
          <w:sz w:val="20"/>
        </w:rPr>
        <w:t>Application</w:t>
      </w:r>
      <w:r w:rsidRPr="00E53ABA" w:rsidR="006A556F">
        <w:rPr>
          <w:sz w:val="20"/>
        </w:rPr>
        <w:t xml:space="preserve"> is without prejudice to Commission action on </w:t>
      </w:r>
      <w:r w:rsidRPr="00E53ABA" w:rsidR="004022F8">
        <w:rPr>
          <w:sz w:val="20"/>
        </w:rPr>
        <w:t xml:space="preserve">other pending applications. </w:t>
      </w:r>
    </w:p>
  </w:footnote>
  <w:footnote w:id="5">
    <w:p w:rsidR="00F62D92" w:rsidRPr="006F1C8C" w:rsidP="00F62D92" w14:paraId="7592F39B" w14:textId="727280AD">
      <w:pPr>
        <w:spacing w:after="120"/>
        <w:rPr>
          <w:sz w:val="20"/>
        </w:rPr>
      </w:pPr>
      <w:r w:rsidRPr="006F1C8C">
        <w:rPr>
          <w:rStyle w:val="FootnoteReference"/>
          <w:sz w:val="20"/>
        </w:rPr>
        <w:footnoteRef/>
      </w:r>
      <w:r w:rsidRPr="006F1C8C">
        <w:rPr>
          <w:sz w:val="20"/>
        </w:rPr>
        <w:t xml:space="preserve"> </w:t>
      </w:r>
      <w:r w:rsidRPr="006F1C8C">
        <w:rPr>
          <w:i/>
          <w:iCs/>
          <w:sz w:val="20"/>
        </w:rPr>
        <w:t>See</w:t>
      </w:r>
      <w:r w:rsidRPr="00113F1C" w:rsidR="00113F1C">
        <w:rPr>
          <w:szCs w:val="22"/>
        </w:rPr>
        <w:t xml:space="preserve"> </w:t>
      </w:r>
      <w:r w:rsidRPr="00113F1C" w:rsidR="00113F1C">
        <w:rPr>
          <w:i/>
          <w:iCs/>
          <w:sz w:val="20"/>
        </w:rPr>
        <w:t>Domestic Section 214 Application Filed for the Acquisition of Certain Assets of Point Broadband Fiber Holding, LLC by City of Colquitt, Georgia</w:t>
      </w:r>
      <w:r w:rsidRPr="00113F1C" w:rsidR="00113F1C">
        <w:rPr>
          <w:sz w:val="20"/>
        </w:rPr>
        <w:t>, WC Docket No. 25-187</w:t>
      </w:r>
      <w:r w:rsidRPr="00113F1C">
        <w:rPr>
          <w:sz w:val="20"/>
        </w:rPr>
        <w:t>, Public Notice, DA 2</w:t>
      </w:r>
      <w:r w:rsidRPr="00113F1C" w:rsidR="00113F1C">
        <w:rPr>
          <w:sz w:val="20"/>
        </w:rPr>
        <w:t>5-846</w:t>
      </w:r>
      <w:r w:rsidRPr="00113F1C">
        <w:rPr>
          <w:sz w:val="20"/>
        </w:rPr>
        <w:t xml:space="preserve"> (WCB</w:t>
      </w:r>
      <w:r w:rsidRPr="00113F1C" w:rsidR="00113F1C">
        <w:rPr>
          <w:sz w:val="20"/>
        </w:rPr>
        <w:t xml:space="preserve"> 2025</w:t>
      </w:r>
      <w:r w:rsidRPr="00113F1C">
        <w:rPr>
          <w:sz w:val="20"/>
        </w:rPr>
        <w:t>)</w:t>
      </w:r>
      <w:r w:rsidRPr="006F1C8C">
        <w:rPr>
          <w:sz w:val="20"/>
        </w:rPr>
        <w:t>.</w:t>
      </w:r>
    </w:p>
  </w:footnote>
  <w:footnote w:id="6">
    <w:p w:rsidR="00A84457" w:rsidRPr="00E53ABA" w14:paraId="7C7099E8" w14:textId="1614DBEC">
      <w:pPr>
        <w:pStyle w:val="FootnoteText"/>
        <w:rPr>
          <w:i/>
          <w:iCs/>
        </w:rPr>
      </w:pPr>
      <w:r w:rsidRPr="00E53ABA">
        <w:rPr>
          <w:rStyle w:val="FootnoteReference"/>
          <w:sz w:val="20"/>
        </w:rPr>
        <w:footnoteRef/>
      </w:r>
      <w:r w:rsidRPr="00E53ABA">
        <w:t xml:space="preserve"> </w:t>
      </w:r>
      <w:r w:rsidRPr="00E53ABA" w:rsidR="00EC13C8">
        <w:t xml:space="preserve">Application at 3.  </w:t>
      </w:r>
      <w:r w:rsidR="00CC0BD9">
        <w:t xml:space="preserve">Applicants report that </w:t>
      </w:r>
      <w:r w:rsidRPr="00E53ABA" w:rsidR="00EC13C8">
        <w:t>Point Broadband and its affiliates offer domestic telecommunications services in Alabama, Michigan, New York, Tennessee</w:t>
      </w:r>
      <w:r w:rsidR="00157CD9">
        <w:t>,</w:t>
      </w:r>
      <w:r w:rsidRPr="00E53ABA" w:rsidR="00EC13C8">
        <w:t xml:space="preserve"> and Virginia and provide communications services in Alabama, Florida, Georgia, Maryland, Michigan, New York, Ohio, and Texas.  </w:t>
      </w:r>
      <w:r w:rsidRPr="00E53ABA" w:rsidR="00EC13C8">
        <w:rPr>
          <w:i/>
          <w:iCs/>
        </w:rPr>
        <w:t>Id.</w:t>
      </w:r>
    </w:p>
  </w:footnote>
  <w:footnote w:id="7">
    <w:p w:rsidR="00926787" w:rsidRPr="00E53ABA" w:rsidP="00926787" w14:paraId="4CBB2F39" w14:textId="61066FEA">
      <w:pPr>
        <w:pStyle w:val="FootnoteText"/>
      </w:pPr>
      <w:r w:rsidRPr="00E53ABA">
        <w:rPr>
          <w:rStyle w:val="FootnoteReference"/>
          <w:sz w:val="20"/>
        </w:rPr>
        <w:footnoteRef/>
      </w:r>
      <w:r w:rsidRPr="00E53ABA">
        <w:t xml:space="preserve"> </w:t>
      </w:r>
      <w:r w:rsidR="003A0332">
        <w:rPr>
          <w:i/>
          <w:iCs/>
        </w:rPr>
        <w:t xml:space="preserve">Id. </w:t>
      </w:r>
      <w:r w:rsidR="003A0332">
        <w:t xml:space="preserve">at 4; </w:t>
      </w:r>
      <w:r w:rsidRPr="004850FB">
        <w:rPr>
          <w:i/>
        </w:rPr>
        <w:t>Rural Digital Opportunity Fund Support Authorized for 466 Winning Bids</w:t>
      </w:r>
      <w:r w:rsidRPr="004850FB">
        <w:t xml:space="preserve">, AU, Public Notice, </w:t>
      </w:r>
      <w:r w:rsidRPr="004850FB" w:rsidR="0036770C">
        <w:t xml:space="preserve">AU </w:t>
      </w:r>
      <w:r w:rsidRPr="004850FB">
        <w:t>Docket No. 20-34</w:t>
      </w:r>
      <w:r w:rsidRPr="004850FB" w:rsidR="0036770C">
        <w:t>;</w:t>
      </w:r>
      <w:r w:rsidRPr="004850FB">
        <w:t xml:space="preserve"> WC Docket Nos. 19-126 </w:t>
      </w:r>
      <w:r w:rsidRPr="004850FB" w:rsidR="00EA3CDB">
        <w:t>and</w:t>
      </w:r>
      <w:r w:rsidRPr="004850FB">
        <w:t xml:space="preserve"> 10-90, </w:t>
      </w:r>
      <w:r w:rsidRPr="004850FB" w:rsidR="007661DF">
        <w:t xml:space="preserve">36 FCC </w:t>
      </w:r>
      <w:r w:rsidRPr="004850FB" w:rsidR="007661DF">
        <w:t>Rcd</w:t>
      </w:r>
      <w:r w:rsidRPr="004850FB" w:rsidR="007661DF">
        <w:t xml:space="preserve"> 13574,</w:t>
      </w:r>
      <w:r w:rsidRPr="004850FB" w:rsidR="00EA3CDB">
        <w:t xml:space="preserve"> </w:t>
      </w:r>
      <w:r w:rsidRPr="004850FB">
        <w:t xml:space="preserve">Attach. A at </w:t>
      </w:r>
      <w:r w:rsidRPr="004850FB" w:rsidR="00432C96">
        <w:t>19</w:t>
      </w:r>
      <w:r w:rsidRPr="004850FB">
        <w:t xml:space="preserve"> (</w:t>
      </w:r>
      <w:r w:rsidRPr="004850FB" w:rsidR="00432C96">
        <w:t>WCB</w:t>
      </w:r>
      <w:r w:rsidRPr="004850FB">
        <w:t xml:space="preserve"> 2021).</w:t>
      </w:r>
    </w:p>
  </w:footnote>
  <w:footnote w:id="8">
    <w:p w:rsidR="00926787" w:rsidRPr="00E53ABA" w14:paraId="53B233F4" w14:textId="05C72046">
      <w:pPr>
        <w:pStyle w:val="FootnoteText"/>
      </w:pPr>
      <w:r w:rsidRPr="00E53ABA">
        <w:rPr>
          <w:rStyle w:val="FootnoteReference"/>
          <w:sz w:val="20"/>
        </w:rPr>
        <w:footnoteRef/>
      </w:r>
      <w:r w:rsidRPr="00E53ABA">
        <w:t xml:space="preserve"> Application at 4.</w:t>
      </w:r>
    </w:p>
  </w:footnote>
  <w:footnote w:id="9">
    <w:p w:rsidR="00127208" w:rsidRPr="00E53ABA" w14:paraId="38C71B74" w14:textId="4D660F72">
      <w:pPr>
        <w:pStyle w:val="FootnoteText"/>
      </w:pPr>
      <w:r w:rsidRPr="00E53ABA">
        <w:rPr>
          <w:rStyle w:val="FootnoteReference"/>
          <w:sz w:val="20"/>
        </w:rPr>
        <w:footnoteRef/>
      </w:r>
      <w:r w:rsidRPr="00E53ABA">
        <w:t xml:space="preserve"> </w:t>
      </w:r>
      <w:r w:rsidRPr="00E53ABA">
        <w:rPr>
          <w:i/>
          <w:iCs/>
        </w:rPr>
        <w:t>Id.</w:t>
      </w:r>
      <w:r w:rsidRPr="00E53ABA">
        <w:t xml:space="preserve"> at 21.</w:t>
      </w:r>
    </w:p>
  </w:footnote>
  <w:footnote w:id="10">
    <w:p w:rsidR="000E772E" w:rsidRPr="00E53ABA" w:rsidP="000E772E" w14:paraId="6035666B" w14:textId="7455B0BF">
      <w:pPr>
        <w:pStyle w:val="FootnoteText"/>
      </w:pPr>
      <w:r w:rsidRPr="00E53ABA">
        <w:rPr>
          <w:rStyle w:val="FootnoteReference"/>
          <w:sz w:val="20"/>
        </w:rPr>
        <w:footnoteRef/>
      </w:r>
      <w:r w:rsidRPr="00E53ABA">
        <w:t xml:space="preserve"> </w:t>
      </w:r>
      <w:r w:rsidRPr="00E53ABA">
        <w:rPr>
          <w:i/>
          <w:iCs/>
        </w:rPr>
        <w:t>Id.</w:t>
      </w:r>
      <w:r w:rsidRPr="00E53ABA">
        <w:t xml:space="preserve"> at 2, n.2, 6, and 23.</w:t>
      </w:r>
    </w:p>
  </w:footnote>
  <w:footnote w:id="11">
    <w:p w:rsidR="00D82175" w14:paraId="79CA77E1" w14:textId="49B0C086">
      <w:pPr>
        <w:pStyle w:val="FootnoteText"/>
      </w:pPr>
      <w:r>
        <w:rPr>
          <w:rStyle w:val="FootnoteReference"/>
        </w:rPr>
        <w:footnoteRef/>
      </w:r>
      <w:r>
        <w:t xml:space="preserve"> </w:t>
      </w:r>
      <w:r w:rsidRPr="00646880" w:rsidR="00332438">
        <w:rPr>
          <w:i/>
          <w:iCs/>
        </w:rPr>
        <w:t>See</w:t>
      </w:r>
      <w:r w:rsidR="00332438">
        <w:t xml:space="preserve"> Second Supplement</w:t>
      </w:r>
      <w:r w:rsidR="00A802DF">
        <w:t>.</w:t>
      </w:r>
    </w:p>
  </w:footnote>
  <w:footnote w:id="12">
    <w:p w:rsidR="0050499C" w:rsidRPr="00E53ABA" w:rsidP="0050499C" w14:paraId="70BF66AB" w14:textId="46FC3FC3">
      <w:pPr>
        <w:pStyle w:val="FootnoteText"/>
      </w:pPr>
      <w:r w:rsidRPr="00E53ABA">
        <w:rPr>
          <w:rStyle w:val="FootnoteReference"/>
          <w:sz w:val="20"/>
        </w:rPr>
        <w:footnoteRef/>
      </w:r>
      <w:r w:rsidRPr="00E53ABA">
        <w:t xml:space="preserve"> </w:t>
      </w:r>
      <w:r w:rsidR="005E77D5">
        <w:t>A</w:t>
      </w:r>
      <w:r w:rsidR="00485B5C">
        <w:t>pplication a</w:t>
      </w:r>
      <w:r w:rsidRPr="00E53ABA">
        <w:t>t 5.</w:t>
      </w:r>
    </w:p>
  </w:footnote>
  <w:footnote w:id="13">
    <w:p w:rsidR="0050499C" w:rsidRPr="00E53ABA" w14:paraId="7043533D" w14:textId="11B6AB73">
      <w:pPr>
        <w:pStyle w:val="FootnoteText"/>
      </w:pPr>
      <w:r w:rsidRPr="00E53ABA">
        <w:rPr>
          <w:rStyle w:val="FootnoteReference"/>
          <w:sz w:val="20"/>
        </w:rPr>
        <w:footnoteRef/>
      </w:r>
      <w:r w:rsidRPr="00E53ABA">
        <w:t xml:space="preserve"> </w:t>
      </w:r>
      <w:r w:rsidRPr="00E53ABA">
        <w:rPr>
          <w:i/>
          <w:iCs/>
        </w:rPr>
        <w:t>Id.</w:t>
      </w:r>
      <w:r w:rsidRPr="00E53ABA" w:rsidR="00230FD9">
        <w:rPr>
          <w:i/>
          <w:iCs/>
        </w:rPr>
        <w:t xml:space="preserve">  </w:t>
      </w:r>
      <w:r w:rsidRPr="00E53ABA" w:rsidR="00230FD9">
        <w:t>Point Broadband will retain a portion of the RDOF support it has received to date to cover its expenditures for the provision, maintenance</w:t>
      </w:r>
      <w:r w:rsidR="00836FEF">
        <w:t>,</w:t>
      </w:r>
      <w:r w:rsidRPr="00E53ABA" w:rsidR="00230FD9">
        <w:t xml:space="preserve"> and upgrade of supported facilities and services, and will deliver to Colquitt at closing an agreed-upon sum to represent the remainder of those funds.</w:t>
      </w:r>
      <w:r w:rsidRPr="00E53ABA" w:rsidR="00230FD9">
        <w:rPr>
          <w:i/>
          <w:iCs/>
        </w:rPr>
        <w:t xml:space="preserve">  Id.</w:t>
      </w:r>
      <w:r w:rsidRPr="00E53ABA" w:rsidR="00230FD9">
        <w:t xml:space="preserve"> at 6.  Applicants </w:t>
      </w:r>
      <w:r w:rsidR="009115CE">
        <w:t>state</w:t>
      </w:r>
      <w:r w:rsidRPr="00E53ABA" w:rsidR="00230FD9">
        <w:t xml:space="preserve"> that, following the consummation of the proposed transaction, Colquitt will be solely responsible for complying with Universal Service Fund requirements and Commission rules and will continue to assume all risks and consequences of noncompliance with program requirements, including default recovery of support and potential forfeiture penalties, in all supported areas.  </w:t>
      </w:r>
      <w:r w:rsidRPr="00E53ABA" w:rsidR="00230FD9">
        <w:rPr>
          <w:i/>
          <w:iCs/>
        </w:rPr>
        <w:t>Id.</w:t>
      </w:r>
      <w:r w:rsidRPr="00E53ABA" w:rsidR="00230FD9">
        <w:t xml:space="preserve"> at 7.</w:t>
      </w:r>
    </w:p>
  </w:footnote>
  <w:footnote w:id="14">
    <w:p w:rsidR="00444337" w:rsidRPr="00E53ABA" w:rsidP="002952AB" w14:paraId="1EADFDBD" w14:textId="5626F5FA">
      <w:pPr>
        <w:pStyle w:val="FootnoteText"/>
      </w:pPr>
      <w:r w:rsidRPr="00E53ABA">
        <w:rPr>
          <w:rStyle w:val="FootnoteReference"/>
          <w:sz w:val="20"/>
        </w:rPr>
        <w:footnoteRef/>
      </w:r>
      <w:r w:rsidRPr="00E53ABA">
        <w:t xml:space="preserve"> </w:t>
      </w:r>
      <w:r w:rsidRPr="00E53ABA">
        <w:rPr>
          <w:i/>
          <w:iCs/>
        </w:rPr>
        <w:t>Id.</w:t>
      </w:r>
      <w:r w:rsidRPr="00E53ABA" w:rsidR="002952AB">
        <w:rPr>
          <w:i/>
          <w:iCs/>
        </w:rPr>
        <w:t xml:space="preserve">  </w:t>
      </w:r>
      <w:r w:rsidRPr="00E53ABA" w:rsidR="002952AB">
        <w:t xml:space="preserve">Applicants state that they </w:t>
      </w:r>
      <w:r w:rsidR="00BB6AE1">
        <w:t xml:space="preserve">had already </w:t>
      </w:r>
      <w:r w:rsidRPr="00E53ABA" w:rsidR="002952AB">
        <w:t xml:space="preserve">entered into a Management Agreement pursuant to which Colquitt has assumed managerial responsibility over RDOF deployment in the Assigned Census Blocks, subject to Point Broadband’s overall supervision and control.  </w:t>
      </w:r>
      <w:r w:rsidRPr="00E53ABA" w:rsidR="002952AB">
        <w:rPr>
          <w:i/>
          <w:iCs/>
        </w:rPr>
        <w:t xml:space="preserve">Id. </w:t>
      </w:r>
      <w:r w:rsidRPr="00E53ABA" w:rsidR="002952AB">
        <w:t>at 6.</w:t>
      </w:r>
    </w:p>
  </w:footnote>
  <w:footnote w:id="15">
    <w:p w:rsidR="00EC3B93" w:rsidP="00EC3B93" w14:paraId="137234EA" w14:textId="548AE699">
      <w:pPr>
        <w:pStyle w:val="FootnoteText"/>
      </w:pPr>
      <w:r>
        <w:rPr>
          <w:rStyle w:val="FootnoteReference"/>
        </w:rPr>
        <w:footnoteRef/>
      </w:r>
      <w:r>
        <w:t xml:space="preserve"> </w:t>
      </w:r>
      <w:r w:rsidRPr="0019130C">
        <w:t xml:space="preserve">47 U.S.C. § </w:t>
      </w:r>
      <w:r>
        <w:t>214(a).</w:t>
      </w:r>
      <w:r w:rsidR="00840964">
        <w:t xml:space="preserve">  </w:t>
      </w:r>
      <w:r w:rsidRPr="00DF0522" w:rsidR="00840964">
        <w:t xml:space="preserve">We note that in all transactions like this, the </w:t>
      </w:r>
      <w:r w:rsidR="00840964">
        <w:t>FCC’s</w:t>
      </w:r>
      <w:r w:rsidRPr="00DF0522" w:rsidR="00840964">
        <w:t xml:space="preserve"> approval is without prejudice to any enforcement or related actions</w:t>
      </w:r>
      <w:r w:rsidRPr="00E978B7" w:rsidR="00840964">
        <w:t>.</w:t>
      </w:r>
    </w:p>
  </w:footnote>
  <w:footnote w:id="16">
    <w:p w:rsidR="00EC3B93" w:rsidRPr="00334F59" w:rsidP="00EC3B93" w14:paraId="1F64AC75" w14:textId="57A46B20">
      <w:pPr>
        <w:pStyle w:val="FootnoteText"/>
      </w:pPr>
      <w:r w:rsidRPr="00D9269F">
        <w:rPr>
          <w:rStyle w:val="FootnoteReference"/>
          <w:sz w:val="20"/>
        </w:rPr>
        <w:footnoteRef/>
      </w:r>
      <w:r w:rsidRPr="00334F59">
        <w:t xml:space="preserve"> </w:t>
      </w:r>
      <w:r w:rsidRPr="008C744C">
        <w:rPr>
          <w:i/>
          <w:iCs/>
        </w:rPr>
        <w:t>S</w:t>
      </w:r>
      <w:r w:rsidRPr="005952F5">
        <w:rPr>
          <w:i/>
        </w:rPr>
        <w:t>ee, e.g.</w:t>
      </w:r>
      <w:r w:rsidRPr="005952F5">
        <w:t xml:space="preserve">, </w:t>
      </w:r>
      <w:r w:rsidRPr="00364EBE" w:rsidR="0065555B">
        <w:rPr>
          <w:i/>
          <w:iCs/>
        </w:rPr>
        <w:t>Frontier Communications Parent, Inc. and Verizon Communications, Inc. Application for Consent to Transfer Control</w:t>
      </w:r>
      <w:r w:rsidR="0065555B">
        <w:t xml:space="preserve">, Memorandum Opinion and Order, 40 FCC </w:t>
      </w:r>
      <w:r w:rsidR="0065555B">
        <w:t>Rcd</w:t>
      </w:r>
      <w:r w:rsidR="0065555B">
        <w:t xml:space="preserve"> 3156, 3160, para. 9 (WCB, OIA, WTB 2025) (</w:t>
      </w:r>
      <w:r w:rsidR="0065555B">
        <w:rPr>
          <w:i/>
          <w:iCs/>
        </w:rPr>
        <w:t>Verizon-Frontier Order</w:t>
      </w:r>
      <w:r w:rsidR="0065555B">
        <w:t xml:space="preserve">); </w:t>
      </w:r>
      <w:r w:rsidRPr="005952F5">
        <w:rPr>
          <w:i/>
        </w:rPr>
        <w:t>Applications of Level 3 Communications, Inc. and CenturyLink, Inc. for Consent to Transfer Control of Licenses and Authorizations</w:t>
      </w:r>
      <w:r w:rsidRPr="005952F5">
        <w:t xml:space="preserve">, Memorandum Opinion and Order, 32 FCC </w:t>
      </w:r>
      <w:r w:rsidRPr="005952F5">
        <w:t>Rcd</w:t>
      </w:r>
      <w:r w:rsidRPr="005952F5">
        <w:t xml:space="preserve"> 9581, 9585, para. 8 (2017) (</w:t>
      </w:r>
      <w:r w:rsidRPr="005952F5">
        <w:rPr>
          <w:i/>
        </w:rPr>
        <w:t>CenturyLink-Level 3 Order</w:t>
      </w:r>
      <w:r w:rsidRPr="005952F5">
        <w:t xml:space="preserve">); </w:t>
      </w:r>
      <w:r w:rsidRPr="005952F5">
        <w:rPr>
          <w:i/>
        </w:rPr>
        <w:t>Applications of GCI Communication Corp., ACS Wireless License Sub, Inc., ACS of Anchorage License Sub, Inc., and Unicom, Inc. for Consent to Assign Licenses to the Alaska Wireless Network, LLC</w:t>
      </w:r>
      <w:r w:rsidRPr="005952F5">
        <w:t xml:space="preserve">, Memorandum Opinion and Order and Declaratory Ruling, 28 FCC </w:t>
      </w:r>
      <w:r w:rsidRPr="005952F5">
        <w:t>Rcd</w:t>
      </w:r>
      <w:r w:rsidRPr="005952F5">
        <w:t xml:space="preserve"> 10433, 10442, para. 23 (2013) (</w:t>
      </w:r>
      <w:r w:rsidRPr="005952F5">
        <w:rPr>
          <w:i/>
        </w:rPr>
        <w:t>Alaska Wireless-GCI Order</w:t>
      </w:r>
      <w:r w:rsidRPr="005952F5">
        <w:rPr>
          <w:iCs/>
        </w:rPr>
        <w:t>).</w:t>
      </w:r>
    </w:p>
  </w:footnote>
  <w:footnote w:id="17">
    <w:p w:rsidR="009B28BF" w:rsidRPr="00D32F5B" w:rsidP="009B28BF" w14:paraId="31C95208" w14:textId="77777777">
      <w:pPr>
        <w:pStyle w:val="FootnoteText"/>
      </w:pPr>
      <w:r w:rsidRPr="00D32F5B">
        <w:rPr>
          <w:rStyle w:val="FootnoteReference"/>
        </w:rPr>
        <w:footnoteRef/>
      </w:r>
      <w:r w:rsidRPr="00D32F5B">
        <w:t xml:space="preserve"> </w:t>
      </w:r>
      <w:r w:rsidRPr="00D32F5B">
        <w:rPr>
          <w:i/>
        </w:rPr>
        <w:t>See, e.g.</w:t>
      </w:r>
      <w:r w:rsidRPr="00D32F5B">
        <w:rPr>
          <w:iCs/>
        </w:rPr>
        <w:t xml:space="preserve">, </w:t>
      </w:r>
      <w:r>
        <w:rPr>
          <w:i/>
          <w:iCs/>
        </w:rPr>
        <w:t>Verizon-Frontier Order</w:t>
      </w:r>
      <w:r>
        <w:t xml:space="preserve">, 40 FCC </w:t>
      </w:r>
      <w:r>
        <w:t>Rcd</w:t>
      </w:r>
      <w:r>
        <w:t xml:space="preserve"> at 3160, para. 10;</w:t>
      </w:r>
      <w:r w:rsidRPr="00D32F5B">
        <w:rPr>
          <w:i/>
        </w:rPr>
        <w:t xml:space="preserve"> CenturyLink-Level 3 Order</w:t>
      </w:r>
      <w:r w:rsidRPr="00D32F5B">
        <w:t xml:space="preserve">, 32 FCC </w:t>
      </w:r>
      <w:r w:rsidRPr="00D32F5B">
        <w:t>Rcd</w:t>
      </w:r>
      <w:r w:rsidRPr="00D32F5B">
        <w:t xml:space="preserve"> at 9585, para</w:t>
      </w:r>
      <w:r>
        <w:t>.</w:t>
      </w:r>
      <w:r w:rsidRPr="00D32F5B">
        <w:t xml:space="preserve"> 9; </w:t>
      </w:r>
      <w:r w:rsidRPr="00D32F5B">
        <w:rPr>
          <w:i/>
        </w:rPr>
        <w:t>Alaska Wireless-GCI Order</w:t>
      </w:r>
      <w:r w:rsidRPr="00D32F5B">
        <w:t xml:space="preserve">, 28 FCC </w:t>
      </w:r>
      <w:r w:rsidRPr="00D32F5B">
        <w:t>Rcd</w:t>
      </w:r>
      <w:r w:rsidRPr="00D32F5B">
        <w:t xml:space="preserve"> at 10442, para. 23.</w:t>
      </w:r>
    </w:p>
  </w:footnote>
  <w:footnote w:id="18">
    <w:p w:rsidR="009B28BF" w:rsidRPr="00D32F5B" w:rsidP="009B28BF" w14:paraId="135CD45A" w14:textId="77777777">
      <w:pPr>
        <w:pStyle w:val="FootnoteText"/>
      </w:pPr>
      <w:r w:rsidRPr="00D32F5B">
        <w:rPr>
          <w:rStyle w:val="FootnoteReference"/>
        </w:rPr>
        <w:footnoteRef/>
      </w:r>
      <w:r w:rsidRPr="00D32F5B">
        <w:t xml:space="preserve"> </w:t>
      </w:r>
      <w:r w:rsidRPr="00D32F5B">
        <w:rPr>
          <w:i/>
        </w:rPr>
        <w:t>See, e.g.</w:t>
      </w:r>
      <w:r w:rsidRPr="00D32F5B">
        <w:rPr>
          <w:iCs/>
        </w:rPr>
        <w:t xml:space="preserve">, </w:t>
      </w:r>
      <w:r>
        <w:rPr>
          <w:i/>
          <w:iCs/>
        </w:rPr>
        <w:t>Verizon-Frontier Order</w:t>
      </w:r>
      <w:r>
        <w:t xml:space="preserve">, 40 FCC </w:t>
      </w:r>
      <w:r>
        <w:t>Rcd</w:t>
      </w:r>
      <w:r>
        <w:t xml:space="preserve"> at 3160, para. 10;</w:t>
      </w:r>
      <w:r w:rsidRPr="00D32F5B">
        <w:rPr>
          <w:i/>
        </w:rPr>
        <w:t xml:space="preserve"> CenturyLink-Level 3 Order</w:t>
      </w:r>
      <w:r w:rsidRPr="00D32F5B">
        <w:t xml:space="preserve">, 32 FCC </w:t>
      </w:r>
      <w:r w:rsidRPr="00D32F5B">
        <w:t>Rcd</w:t>
      </w:r>
      <w:r w:rsidRPr="00D32F5B">
        <w:t xml:space="preserve"> at 9585, para. 9; </w:t>
      </w:r>
      <w:r w:rsidRPr="00D32F5B">
        <w:rPr>
          <w:i/>
        </w:rPr>
        <w:t>Alaska Wireless-GCI Order</w:t>
      </w:r>
      <w:r w:rsidRPr="00D32F5B">
        <w:t xml:space="preserve">, 28 FCC </w:t>
      </w:r>
      <w:r w:rsidRPr="00D32F5B">
        <w:t>Rcd</w:t>
      </w:r>
      <w:r w:rsidRPr="00D32F5B">
        <w:t xml:space="preserve"> at 10443, para. 25; </w:t>
      </w:r>
      <w:r w:rsidRPr="00D32F5B">
        <w:rPr>
          <w:i/>
        </w:rPr>
        <w:t>see</w:t>
      </w:r>
      <w:r w:rsidRPr="00D32F5B">
        <w:t xml:space="preserve"> </w:t>
      </w:r>
      <w:r w:rsidRPr="00D32F5B">
        <w:rPr>
          <w:i/>
        </w:rPr>
        <w:t>also</w:t>
      </w:r>
      <w:r w:rsidRPr="00D32F5B">
        <w:t xml:space="preserve"> </w:t>
      </w:r>
      <w:r w:rsidRPr="00D32F5B">
        <w:rPr>
          <w:i/>
        </w:rPr>
        <w:t>Northeast Utils. Serv. Co. v. FERC</w:t>
      </w:r>
      <w:r w:rsidRPr="00D32F5B">
        <w:t>, 993 F.2d 937, 947 (1st Cir. 1993) (public interest standard does not require agencies “to analyze proposed mergers under the same standards that the Department of Justice . . . must apply”).</w:t>
      </w:r>
    </w:p>
  </w:footnote>
  <w:footnote w:id="19">
    <w:p w:rsidR="009B28BF" w:rsidRPr="00364EBE" w:rsidP="009B28BF" w14:paraId="6B4B3332" w14:textId="77777777">
      <w:pPr>
        <w:pStyle w:val="FootnoteText"/>
        <w:rPr>
          <w:i/>
        </w:rPr>
      </w:pPr>
      <w:r>
        <w:rPr>
          <w:rStyle w:val="FootnoteReference"/>
        </w:rPr>
        <w:footnoteRef/>
      </w:r>
      <w:r>
        <w:t xml:space="preserve"> </w:t>
      </w:r>
      <w:r>
        <w:rPr>
          <w:i/>
        </w:rPr>
        <w:t>See, e.g.,</w:t>
      </w:r>
      <w:r w:rsidRPr="0049484F">
        <w:t xml:space="preserve"> </w:t>
      </w:r>
      <w:r>
        <w:rPr>
          <w:i/>
          <w:iCs/>
        </w:rPr>
        <w:t>Verizon-Frontier Order</w:t>
      </w:r>
      <w:r>
        <w:t xml:space="preserve">, 40 FCC </w:t>
      </w:r>
      <w:r>
        <w:t>Rcd</w:t>
      </w:r>
      <w:r>
        <w:t xml:space="preserve"> at 3160, para. 10;</w:t>
      </w:r>
      <w:r w:rsidRPr="00D32F5B">
        <w:rPr>
          <w:i/>
        </w:rPr>
        <w:t xml:space="preserve"> </w:t>
      </w:r>
      <w:r w:rsidRPr="0049484F">
        <w:rPr>
          <w:i/>
        </w:rPr>
        <w:t>Applications for Consent to the Transfer of Control of Licenses, XM Satellite Radio Holdings Inc.,</w:t>
      </w:r>
      <w:r>
        <w:rPr>
          <w:i/>
        </w:rPr>
        <w:t xml:space="preserve"> </w:t>
      </w:r>
      <w:r w:rsidRPr="0049484F">
        <w:rPr>
          <w:i/>
        </w:rPr>
        <w:t>Transferor to Sirius Satellite Radio Inc.,</w:t>
      </w:r>
      <w:r w:rsidRPr="00364EBE">
        <w:rPr>
          <w:iCs/>
        </w:rPr>
        <w:t xml:space="preserve"> Transferee, MB Docket No. 07-57, Memorandum Opinion and Order and Report and Order, 23 FCC </w:t>
      </w:r>
      <w:r w:rsidRPr="00364EBE">
        <w:rPr>
          <w:iCs/>
        </w:rPr>
        <w:t>Rcd</w:t>
      </w:r>
      <w:r w:rsidRPr="00364EBE">
        <w:rPr>
          <w:iCs/>
        </w:rPr>
        <w:t xml:space="preserve"> 12348, 12365-66, para. 32 (2008);</w:t>
      </w:r>
      <w:r w:rsidRPr="0049484F">
        <w:rPr>
          <w:i/>
        </w:rPr>
        <w:t xml:space="preserve"> AT&amp;T Inc. and BellSouth</w:t>
      </w:r>
      <w:r>
        <w:rPr>
          <w:i/>
        </w:rPr>
        <w:t xml:space="preserve"> </w:t>
      </w:r>
      <w:r w:rsidRPr="0049484F">
        <w:rPr>
          <w:i/>
        </w:rPr>
        <w:t>Corporation Application for Transfer of Control</w:t>
      </w:r>
      <w:r w:rsidRPr="00364EBE">
        <w:rPr>
          <w:iCs/>
        </w:rPr>
        <w:t xml:space="preserve">, WC Docket No. 06-74, Memorandum Opinion and Order, 22 FCC </w:t>
      </w:r>
      <w:r w:rsidRPr="00364EBE">
        <w:rPr>
          <w:iCs/>
        </w:rPr>
        <w:t>Rcd</w:t>
      </w:r>
      <w:r w:rsidRPr="00364EBE">
        <w:rPr>
          <w:iCs/>
        </w:rPr>
        <w:t xml:space="preserve"> 5662, 5674, para. 21 (2007) (</w:t>
      </w:r>
      <w:r w:rsidRPr="0049484F">
        <w:rPr>
          <w:i/>
        </w:rPr>
        <w:t>AT&amp;T-BellSouth Order</w:t>
      </w:r>
      <w:r w:rsidRPr="00364EBE">
        <w:rPr>
          <w:iCs/>
        </w:rPr>
        <w:t>)</w:t>
      </w:r>
      <w:r w:rsidRPr="0049484F">
        <w:rPr>
          <w:i/>
        </w:rPr>
        <w:t>; Applications of Nextel Communications, Inc. and Sprint</w:t>
      </w:r>
      <w:r>
        <w:rPr>
          <w:i/>
        </w:rPr>
        <w:t xml:space="preserve"> </w:t>
      </w:r>
      <w:r w:rsidRPr="0049484F">
        <w:rPr>
          <w:i/>
        </w:rPr>
        <w:t>Corporation for Consent to Transfer Control of Licenses and Authorizations</w:t>
      </w:r>
      <w:r w:rsidRPr="00364EBE">
        <w:rPr>
          <w:iCs/>
        </w:rPr>
        <w:t xml:space="preserve">, File Nos. 0002031766, et al., WT Docket No. 05-63, Memorandum Opinion and Order, 20 FCC </w:t>
      </w:r>
      <w:r w:rsidRPr="00364EBE">
        <w:rPr>
          <w:iCs/>
        </w:rPr>
        <w:t>Rcd</w:t>
      </w:r>
      <w:r w:rsidRPr="00364EBE">
        <w:rPr>
          <w:iCs/>
        </w:rPr>
        <w:t xml:space="preserve"> 13967, 13978, para. 22 (2005); </w:t>
      </w:r>
      <w:r w:rsidRPr="0049484F">
        <w:rPr>
          <w:i/>
        </w:rPr>
        <w:t>Applications of AT&amp;T Wireless Services, Inc. and Cingular Wireless Corporation for Consent to Transfer</w:t>
      </w:r>
      <w:r>
        <w:rPr>
          <w:i/>
        </w:rPr>
        <w:t xml:space="preserve"> </w:t>
      </w:r>
      <w:r w:rsidRPr="0049484F">
        <w:rPr>
          <w:i/>
        </w:rPr>
        <w:t>Control of Licenses and Authorizations</w:t>
      </w:r>
      <w:r w:rsidRPr="00364EBE">
        <w:rPr>
          <w:iCs/>
        </w:rPr>
        <w:t>, File Nos. 0001656065, et al.;</w:t>
      </w:r>
      <w:r w:rsidRPr="0049484F">
        <w:rPr>
          <w:i/>
        </w:rPr>
        <w:t xml:space="preserve"> Applications of Subsidiaries of T-Mobile</w:t>
      </w:r>
      <w:r>
        <w:rPr>
          <w:i/>
        </w:rPr>
        <w:t xml:space="preserve"> </w:t>
      </w:r>
      <w:r w:rsidRPr="0049484F">
        <w:rPr>
          <w:i/>
        </w:rPr>
        <w:t>USA, Inc. and Subsidiaries of Cingular Wireless Corporation for Consent to Assignment and Long-Term De Facto</w:t>
      </w:r>
      <w:r>
        <w:rPr>
          <w:i/>
        </w:rPr>
        <w:t xml:space="preserve"> </w:t>
      </w:r>
      <w:r w:rsidRPr="0049484F">
        <w:rPr>
          <w:i/>
        </w:rPr>
        <w:t>Lease of Licenses</w:t>
      </w:r>
      <w:r w:rsidRPr="00364EBE">
        <w:rPr>
          <w:iCs/>
        </w:rPr>
        <w:t>, File Nos. 0001771442, 0001757186, and 0001757204;</w:t>
      </w:r>
      <w:r w:rsidRPr="0049484F">
        <w:rPr>
          <w:i/>
        </w:rPr>
        <w:t xml:space="preserve"> Applications of Triton PCS License</w:t>
      </w:r>
      <w:r>
        <w:rPr>
          <w:i/>
        </w:rPr>
        <w:t xml:space="preserve"> </w:t>
      </w:r>
      <w:r w:rsidRPr="0049484F">
        <w:rPr>
          <w:i/>
        </w:rPr>
        <w:t>Company, LLC, AT&amp;T Wireless PCS, LLC, and Lafayette Communications Company, LLC for Consent to</w:t>
      </w:r>
      <w:r>
        <w:rPr>
          <w:i/>
        </w:rPr>
        <w:t xml:space="preserve"> </w:t>
      </w:r>
      <w:r w:rsidRPr="0049484F">
        <w:rPr>
          <w:i/>
        </w:rPr>
        <w:t>Assignment of Licenses</w:t>
      </w:r>
      <w:r w:rsidRPr="00364EBE">
        <w:rPr>
          <w:iCs/>
        </w:rPr>
        <w:t xml:space="preserve">, File Nos. 0001808915, 0001810164, 0001810683, and 50013CWAA04, WT Docket Nos. 04-70, 04-254, and 04-323, Memorandum Opinion and Order, 19 FCC </w:t>
      </w:r>
      <w:r w:rsidRPr="00364EBE">
        <w:rPr>
          <w:iCs/>
        </w:rPr>
        <w:t>Rcd</w:t>
      </w:r>
      <w:r w:rsidRPr="00364EBE">
        <w:rPr>
          <w:iCs/>
        </w:rPr>
        <w:t xml:space="preserve"> 21522, 21545, para. 42 (2004).</w:t>
      </w:r>
      <w:r w:rsidRPr="0049484F">
        <w:rPr>
          <w:iCs/>
        </w:rPr>
        <w:t xml:space="preserve"> </w:t>
      </w:r>
      <w:r>
        <w:rPr>
          <w:iCs/>
        </w:rPr>
        <w:t xml:space="preserve"> </w:t>
      </w:r>
    </w:p>
  </w:footnote>
  <w:footnote w:id="20">
    <w:p w:rsidR="009B28BF" w:rsidRPr="00D32F5B" w:rsidP="009B28BF" w14:paraId="3EF7EF56" w14:textId="77777777">
      <w:pPr>
        <w:pStyle w:val="FootnoteText"/>
      </w:pPr>
      <w:r w:rsidRPr="00D32F5B">
        <w:rPr>
          <w:rStyle w:val="FootnoteReference"/>
        </w:rPr>
        <w:footnoteRef/>
      </w:r>
      <w:r w:rsidRPr="00D32F5B">
        <w:t xml:space="preserve"> </w:t>
      </w:r>
      <w:r w:rsidRPr="00D32F5B">
        <w:rPr>
          <w:i/>
        </w:rPr>
        <w:t>See, e.g.</w:t>
      </w:r>
      <w:r w:rsidRPr="00D32F5B">
        <w:t xml:space="preserve">, </w:t>
      </w:r>
      <w:r>
        <w:rPr>
          <w:i/>
          <w:iCs/>
        </w:rPr>
        <w:t>Verizon-Frontier Order</w:t>
      </w:r>
      <w:r>
        <w:t xml:space="preserve">, 40 FCC </w:t>
      </w:r>
      <w:r>
        <w:t>Rcd</w:t>
      </w:r>
      <w:r>
        <w:t xml:space="preserve"> at 3160, para. 10;</w:t>
      </w:r>
      <w:r w:rsidRPr="00D32F5B">
        <w:rPr>
          <w:i/>
        </w:rPr>
        <w:t xml:space="preserve"> </w:t>
      </w:r>
      <w:r w:rsidRPr="00D32F5B">
        <w:rPr>
          <w:i/>
          <w:iCs/>
        </w:rPr>
        <w:t>Applications of AT&amp;T Inc. and DIRECTV for Consent to Assign or Transfer Control of Licenses and Authorizations</w:t>
      </w:r>
      <w:r w:rsidRPr="00D32F5B">
        <w:t xml:space="preserve">, Memorandum Opinion and Order, 30 FCC </w:t>
      </w:r>
      <w:r w:rsidRPr="00D32F5B">
        <w:t>Rcd</w:t>
      </w:r>
      <w:r w:rsidRPr="00D32F5B">
        <w:t xml:space="preserve"> 9131, 9141, para. 22 (2015) (</w:t>
      </w:r>
      <w:r w:rsidRPr="00D32F5B">
        <w:rPr>
          <w:i/>
        </w:rPr>
        <w:t>AT&amp;T-DIRECTV Order</w:t>
      </w:r>
      <w:r w:rsidRPr="00D32F5B">
        <w:rPr>
          <w:iCs/>
        </w:rPr>
        <w:t>)</w:t>
      </w:r>
      <w:r w:rsidRPr="00D32F5B">
        <w:t xml:space="preserve">; </w:t>
      </w:r>
      <w:r w:rsidRPr="00D32F5B">
        <w:rPr>
          <w:i/>
          <w:iCs/>
        </w:rPr>
        <w:t>Applications of Comcast Corp., General Electric Co. and NBC Universal, Inc. for Consent to Assign Licenses and Transfer Control of Licenses</w:t>
      </w:r>
      <w:r w:rsidRPr="00D32F5B">
        <w:t xml:space="preserve">, Memorandum Opinion and Order, 26 FCC </w:t>
      </w:r>
      <w:r w:rsidRPr="00D32F5B">
        <w:t>Rcd</w:t>
      </w:r>
      <w:r w:rsidRPr="00D32F5B">
        <w:t xml:space="preserve"> 4238, 4249, para. 25 (2011) (</w:t>
      </w:r>
      <w:r w:rsidRPr="00D32F5B">
        <w:rPr>
          <w:i/>
        </w:rPr>
        <w:t>Comcast-NBC U</w:t>
      </w:r>
      <w:r w:rsidRPr="00D32F5B">
        <w:rPr>
          <w:i/>
          <w:snapToGrid w:val="0"/>
        </w:rPr>
        <w:t>niversal</w:t>
      </w:r>
      <w:r w:rsidRPr="00D32F5B">
        <w:rPr>
          <w:i/>
        </w:rPr>
        <w:t xml:space="preserve"> Order</w:t>
      </w:r>
      <w:r w:rsidRPr="00D32F5B">
        <w:rPr>
          <w:iCs/>
        </w:rPr>
        <w:t>);</w:t>
      </w:r>
      <w:r w:rsidRPr="00D32F5B">
        <w:rPr>
          <w:i/>
        </w:rPr>
        <w:t xml:space="preserve"> Application of EchoStar Communications Corp., (A Nevada Corp.), General Motors Corp., and Hughes Electronics Corp (Delaware Corps.) (Transferors) and EchoStar Communications Corp. (A Delaware Corp.) (Transferee)</w:t>
      </w:r>
      <w:r w:rsidRPr="00D32F5B">
        <w:rPr>
          <w:iCs/>
        </w:rPr>
        <w:t xml:space="preserve">, Hearing Designation Order, 17 FCC </w:t>
      </w:r>
      <w:r w:rsidRPr="00D32F5B">
        <w:rPr>
          <w:iCs/>
        </w:rPr>
        <w:t>Rcd</w:t>
      </w:r>
      <w:r w:rsidRPr="00D32F5B">
        <w:rPr>
          <w:iCs/>
        </w:rPr>
        <w:t xml:space="preserve"> 20559, 20575, para. 27 (2002)</w:t>
      </w:r>
      <w:r w:rsidRPr="00D32F5B">
        <w:rPr>
          <w:i/>
        </w:rPr>
        <w:t xml:space="preserve"> </w:t>
      </w:r>
      <w:r w:rsidRPr="00D32F5B">
        <w:rPr>
          <w:iCs/>
        </w:rPr>
        <w:t>(</w:t>
      </w:r>
      <w:r w:rsidRPr="00D32F5B">
        <w:rPr>
          <w:i/>
        </w:rPr>
        <w:t>EchoStar-DIRECTV HDO</w:t>
      </w:r>
      <w:r w:rsidRPr="00D32F5B">
        <w:t xml:space="preserve">); </w:t>
      </w:r>
      <w:r w:rsidRPr="00D32F5B">
        <w:rPr>
          <w:i/>
        </w:rPr>
        <w:t>see also Application of WorldCom, Inc. and MCI Commc’ns Corp. for Transfer of Control of MCI Communications Corporation to WorldCom, Inc.</w:t>
      </w:r>
      <w:r w:rsidRPr="00D32F5B">
        <w:t xml:space="preserve">, Memorandum Opinion and Order, 13 FCC </w:t>
      </w:r>
      <w:r w:rsidRPr="00D32F5B">
        <w:t>Rcd</w:t>
      </w:r>
      <w:r w:rsidRPr="00D32F5B">
        <w:t xml:space="preserve"> 18025, 18032, para. 10 (1998) (</w:t>
      </w:r>
      <w:r w:rsidRPr="00D32F5B">
        <w:rPr>
          <w:i/>
        </w:rPr>
        <w:t>WorldCom-MCI Order</w:t>
      </w:r>
      <w:r w:rsidRPr="00D32F5B">
        <w:t xml:space="preserve">) (stating that the Commission may attach conditions to the transfers); </w:t>
      </w:r>
      <w:r w:rsidRPr="00D32F5B">
        <w:rPr>
          <w:i/>
          <w:iCs/>
        </w:rPr>
        <w:t>Applications of T-Mobile US, Inc., and Sprint Corp., for Consent to Transfer Control of Licenses and Authorizations, Applications of American H Block Wireless L.L.C., DBSD Corp., Gamma Acquisition L.L.C., and Manifest Wireless L.L.C. for Extension of Time</w:t>
      </w:r>
      <w:r w:rsidRPr="00D32F5B">
        <w:t xml:space="preserve">, Memorandum Opinion and Order, Declaratory Ruling, and Order of Proposed Modification, 34 FCC </w:t>
      </w:r>
      <w:r w:rsidRPr="00D32F5B">
        <w:t>Rcd</w:t>
      </w:r>
      <w:r w:rsidRPr="00D32F5B">
        <w:t xml:space="preserve"> 10578, 10596, para. 42 (2019) (</w:t>
      </w:r>
      <w:r w:rsidRPr="00D32F5B">
        <w:rPr>
          <w:i/>
          <w:iCs/>
        </w:rPr>
        <w:t>T-Mobile-Sprint Order</w:t>
      </w:r>
      <w:r w:rsidRPr="00D32F5B">
        <w:t>).</w:t>
      </w:r>
    </w:p>
  </w:footnote>
  <w:footnote w:id="21">
    <w:p w:rsidR="00EC3B93" w:rsidP="00EC3B93" w14:paraId="0E1E163C" w14:textId="274B5871">
      <w:pPr>
        <w:pStyle w:val="FootnoteText"/>
      </w:pPr>
      <w:r>
        <w:rPr>
          <w:rStyle w:val="FootnoteReference"/>
        </w:rPr>
        <w:footnoteRef/>
      </w:r>
      <w:r>
        <w:t xml:space="preserve"> </w:t>
      </w:r>
      <w:r w:rsidRPr="0019130C">
        <w:t>47 U.S.C. § 309(e);</w:t>
      </w:r>
      <w:r w:rsidRPr="0065555B" w:rsidR="0065555B">
        <w:rPr>
          <w:i/>
          <w:iCs/>
        </w:rPr>
        <w:t xml:space="preserve"> </w:t>
      </w:r>
      <w:r w:rsidR="0065555B">
        <w:rPr>
          <w:i/>
          <w:iCs/>
        </w:rPr>
        <w:t>Verizon-Frontier Order</w:t>
      </w:r>
      <w:r w:rsidR="0065555B">
        <w:t xml:space="preserve">, 40 FCC </w:t>
      </w:r>
      <w:r w:rsidR="0065555B">
        <w:t>Rcd</w:t>
      </w:r>
      <w:r w:rsidR="0065555B">
        <w:t xml:space="preserve"> at 3161, para. 11;</w:t>
      </w:r>
      <w:r w:rsidRPr="0019130C">
        <w:t xml:space="preserve"> </w:t>
      </w:r>
      <w:r w:rsidRPr="0019130C">
        <w:rPr>
          <w:i/>
        </w:rPr>
        <w:t>CenturyLink-Level 3 Order</w:t>
      </w:r>
      <w:r w:rsidRPr="0019130C">
        <w:t xml:space="preserve">, 32 FCC </w:t>
      </w:r>
      <w:r w:rsidRPr="0019130C">
        <w:t>Rcd</w:t>
      </w:r>
      <w:r w:rsidRPr="0019130C">
        <w:t xml:space="preserve"> at 9586, para. 10; </w:t>
      </w:r>
      <w:r w:rsidRPr="0019130C">
        <w:rPr>
          <w:i/>
        </w:rPr>
        <w:t>Alaska Wireless-GCI Order</w:t>
      </w:r>
      <w:r w:rsidRPr="0019130C">
        <w:t xml:space="preserve">, 28 FCC </w:t>
      </w:r>
      <w:r w:rsidRPr="0019130C">
        <w:t>Rcd</w:t>
      </w:r>
      <w:r w:rsidRPr="0019130C">
        <w:t xml:space="preserve"> at 10442, para. 23.</w:t>
      </w:r>
    </w:p>
  </w:footnote>
  <w:footnote w:id="22">
    <w:p w:rsidR="00EC3B93" w:rsidP="00EC3B93" w14:paraId="3347ADC6" w14:textId="7511FE73">
      <w:pPr>
        <w:pStyle w:val="FootnoteText"/>
      </w:pPr>
      <w:r>
        <w:rPr>
          <w:rStyle w:val="FootnoteReference"/>
        </w:rPr>
        <w:footnoteRef/>
      </w:r>
      <w:r>
        <w:t xml:space="preserve"> </w:t>
      </w:r>
      <w:r w:rsidRPr="0019130C">
        <w:rPr>
          <w:i/>
        </w:rPr>
        <w:t>See, e.g.,</w:t>
      </w:r>
      <w:r w:rsidRPr="0019130C">
        <w:t xml:space="preserve"> </w:t>
      </w:r>
      <w:r w:rsidR="0065555B">
        <w:rPr>
          <w:i/>
          <w:iCs/>
        </w:rPr>
        <w:t>Verizon-Frontier Order</w:t>
      </w:r>
      <w:r w:rsidR="0065555B">
        <w:t xml:space="preserve">, 40 FCC </w:t>
      </w:r>
      <w:r w:rsidR="0065555B">
        <w:t>Rcd</w:t>
      </w:r>
      <w:r w:rsidR="0065555B">
        <w:t xml:space="preserve"> at 3161, para. 11; </w:t>
      </w:r>
      <w:r w:rsidRPr="0019130C">
        <w:rPr>
          <w:i/>
        </w:rPr>
        <w:t>Alaska Wireless-GCI Order</w:t>
      </w:r>
      <w:r w:rsidRPr="0019130C">
        <w:t xml:space="preserve">, 28 FCC </w:t>
      </w:r>
      <w:r w:rsidRPr="0019130C">
        <w:t>Rcd</w:t>
      </w:r>
      <w:r w:rsidRPr="0019130C">
        <w:t xml:space="preserve"> at 10443, para. 26; </w:t>
      </w:r>
      <w:r w:rsidRPr="00D32F5B" w:rsidR="008541D7">
        <w:rPr>
          <w:i/>
          <w:iCs/>
        </w:rPr>
        <w:t xml:space="preserve">Applications of </w:t>
      </w:r>
      <w:r w:rsidRPr="00D32F5B" w:rsidR="008541D7">
        <w:rPr>
          <w:i/>
        </w:rPr>
        <w:t>AT&amp;T Inc. and Centennial Communications Corp. for Consent to Transfer Control of Licenses, Authorizations, and Spectrum Leasing Arrangements</w:t>
      </w:r>
      <w:r w:rsidRPr="00D32F5B" w:rsidR="008541D7">
        <w:t xml:space="preserve">, Memorandum Opinion and Order, 24 FCC </w:t>
      </w:r>
      <w:r w:rsidRPr="00D32F5B" w:rsidR="008541D7">
        <w:t>Rcd</w:t>
      </w:r>
      <w:r w:rsidRPr="00D32F5B" w:rsidR="008541D7">
        <w:t xml:space="preserve"> 13915, 13929, para. 30 (2009).</w:t>
      </w:r>
      <w:r w:rsidRPr="0019130C">
        <w:t>.</w:t>
      </w:r>
    </w:p>
  </w:footnote>
  <w:footnote w:id="23">
    <w:p w:rsidR="00EC3B93" w:rsidP="00EC3B93" w14:paraId="5FE264B0" w14:textId="3E5D172A">
      <w:pPr>
        <w:pStyle w:val="FootnoteText"/>
      </w:pPr>
      <w:r>
        <w:rPr>
          <w:rStyle w:val="FootnoteReference"/>
        </w:rPr>
        <w:footnoteRef/>
      </w:r>
      <w:r>
        <w:t xml:space="preserve"> </w:t>
      </w:r>
      <w:r w:rsidRPr="0019130C">
        <w:rPr>
          <w:i/>
        </w:rPr>
        <w:t>See, e.g.,</w:t>
      </w:r>
      <w:r w:rsidRPr="0019130C">
        <w:t xml:space="preserve"> </w:t>
      </w:r>
      <w:r w:rsidR="0065555B">
        <w:rPr>
          <w:i/>
          <w:iCs/>
        </w:rPr>
        <w:t>Verizon-Frontier Order</w:t>
      </w:r>
      <w:r w:rsidR="0065555B">
        <w:t xml:space="preserve">, 40 FCC </w:t>
      </w:r>
      <w:r w:rsidR="0065555B">
        <w:t>Rcd</w:t>
      </w:r>
      <w:r w:rsidR="0065555B">
        <w:t xml:space="preserve"> at 3161, para. 12; </w:t>
      </w:r>
      <w:r w:rsidRPr="0019130C">
        <w:rPr>
          <w:i/>
        </w:rPr>
        <w:t>CenturyLink-Level 3 Order</w:t>
      </w:r>
      <w:r w:rsidRPr="0019130C">
        <w:t xml:space="preserve">, 32 FCC </w:t>
      </w:r>
      <w:r w:rsidRPr="0019130C">
        <w:t>Rcd</w:t>
      </w:r>
      <w:r w:rsidRPr="0019130C">
        <w:t xml:space="preserve"> at 9586, para. 11.</w:t>
      </w:r>
      <w:r>
        <w:t xml:space="preserve">  I</w:t>
      </w:r>
      <w:r w:rsidRPr="0062210A">
        <w:t>f we are unable to find that a proposed transaction even with such conditions serves the public interest or if the record presents a substantial and material question of fact, then we must designate the application for hearing</w:t>
      </w:r>
      <w:r>
        <w:t>.</w:t>
      </w:r>
      <w:r w:rsidR="002C7938">
        <w:t xml:space="preserve"> </w:t>
      </w:r>
      <w:r>
        <w:t xml:space="preserve"> </w:t>
      </w:r>
      <w:r w:rsidRPr="0019130C">
        <w:t>47 U.S.C. § 309(e)</w:t>
      </w:r>
      <w:r w:rsidRPr="0019130C">
        <w:rPr>
          <w:iCs/>
        </w:rPr>
        <w:t xml:space="preserve">; </w:t>
      </w:r>
      <w:r w:rsidR="0065555B">
        <w:rPr>
          <w:i/>
          <w:iCs/>
        </w:rPr>
        <w:t>Verizon-Frontier Order</w:t>
      </w:r>
      <w:r w:rsidR="0065555B">
        <w:t xml:space="preserve">, 40 FCC </w:t>
      </w:r>
      <w:r w:rsidR="0065555B">
        <w:t>Rcd</w:t>
      </w:r>
      <w:r w:rsidR="0065555B">
        <w:t xml:space="preserve"> at 3161, para. 12; </w:t>
      </w:r>
      <w:r w:rsidRPr="0019130C">
        <w:rPr>
          <w:i/>
        </w:rPr>
        <w:t>CenturyLink-Level 3 Order</w:t>
      </w:r>
      <w:r w:rsidRPr="0019130C">
        <w:t xml:space="preserve">, 32 FCC </w:t>
      </w:r>
      <w:r w:rsidRPr="0019130C">
        <w:t>Rcd</w:t>
      </w:r>
      <w:r w:rsidRPr="0019130C">
        <w:t xml:space="preserve"> at 9586-87, para. 11; </w:t>
      </w:r>
      <w:r w:rsidRPr="0019130C">
        <w:rPr>
          <w:i/>
        </w:rPr>
        <w:t>Alaska Wireless-GCI Order</w:t>
      </w:r>
      <w:r w:rsidRPr="0019130C">
        <w:t xml:space="preserve">, 28 FCC </w:t>
      </w:r>
      <w:r w:rsidRPr="0019130C">
        <w:t>Rcd</w:t>
      </w:r>
      <w:r w:rsidRPr="0019130C">
        <w:t xml:space="preserve"> at 10444, para. 27.  Section 309(e)’s requirement applies only to those applications to which Title III of the Act applies.  </w:t>
      </w:r>
      <w:r w:rsidRPr="0019130C">
        <w:rPr>
          <w:i/>
        </w:rPr>
        <w:t>ITT World Communications, Inc. v. FCC</w:t>
      </w:r>
      <w:r w:rsidRPr="0019130C">
        <w:t xml:space="preserve">, 595 F.2d 897, 901 (2d Cir. 1979); </w:t>
      </w:r>
      <w:r w:rsidRPr="0019130C">
        <w:rPr>
          <w:i/>
        </w:rPr>
        <w:t>CenturyLink-Level 3 Order</w:t>
      </w:r>
      <w:r w:rsidRPr="0019130C">
        <w:t xml:space="preserve">, 32 FCC </w:t>
      </w:r>
      <w:r w:rsidRPr="0019130C">
        <w:t>Rcd</w:t>
      </w:r>
      <w:r w:rsidRPr="0019130C">
        <w:t xml:space="preserve"> at 9586-87, para. 11 &amp; n.37.</w:t>
      </w:r>
    </w:p>
  </w:footnote>
  <w:footnote w:id="24">
    <w:p w:rsidR="00AF1ED1" w:rsidRPr="00D32F5B" w:rsidP="00AF1ED1" w14:paraId="5DBDDC74" w14:textId="2DAD7DB3">
      <w:pPr>
        <w:pStyle w:val="FootnoteText"/>
      </w:pPr>
      <w:r w:rsidRPr="00D32F5B">
        <w:rPr>
          <w:rStyle w:val="FootnoteReference"/>
        </w:rPr>
        <w:footnoteRef/>
      </w:r>
      <w:r w:rsidRPr="00D32F5B">
        <w:t xml:space="preserve"> </w:t>
      </w:r>
      <w:r>
        <w:rPr>
          <w:i/>
          <w:iCs/>
        </w:rPr>
        <w:t>Verizon-Frontier Order</w:t>
      </w:r>
      <w:r>
        <w:t xml:space="preserve">, 40 FCC </w:t>
      </w:r>
      <w:r>
        <w:t>Rcd</w:t>
      </w:r>
      <w:r>
        <w:t xml:space="preserve"> at 3161, para. 12;</w:t>
      </w:r>
      <w:r w:rsidRPr="00D32F5B">
        <w:rPr>
          <w:i/>
        </w:rPr>
        <w:t xml:space="preserve"> CenturyLink-Level 3 Order</w:t>
      </w:r>
      <w:r w:rsidRPr="00D32F5B">
        <w:t xml:space="preserve">, 32 FCC </w:t>
      </w:r>
      <w:r w:rsidRPr="00D32F5B">
        <w:t>Rcd</w:t>
      </w:r>
      <w:r w:rsidRPr="00D32F5B">
        <w:t xml:space="preserve"> at 9586-87, para. 11; </w:t>
      </w:r>
      <w:r w:rsidRPr="00D32F5B">
        <w:rPr>
          <w:i/>
        </w:rPr>
        <w:t>Alaska Wireless-GCI Order</w:t>
      </w:r>
      <w:r w:rsidRPr="00D32F5B">
        <w:t xml:space="preserve">, 28 FCC </w:t>
      </w:r>
      <w:r w:rsidRPr="00D32F5B">
        <w:t>Rcd</w:t>
      </w:r>
      <w:r w:rsidRPr="00D32F5B">
        <w:t xml:space="preserve"> at 10444, para. 27.  Section 309(e)’s requirement applies only to those applications to which Title III of the Act applies.  </w:t>
      </w:r>
      <w:r w:rsidRPr="00D32F5B">
        <w:rPr>
          <w:i/>
        </w:rPr>
        <w:t>ITT World Communications, Inc. v. FCC</w:t>
      </w:r>
      <w:r w:rsidRPr="00D32F5B">
        <w:t xml:space="preserve">, 595 F.2d 897, 901 (2d Cir. 1979); </w:t>
      </w:r>
      <w:r w:rsidRPr="00D32F5B">
        <w:rPr>
          <w:i/>
        </w:rPr>
        <w:t>CenturyLink-Level 3 Order</w:t>
      </w:r>
      <w:r w:rsidRPr="00D32F5B">
        <w:t xml:space="preserve">, 32 FCC </w:t>
      </w:r>
      <w:r w:rsidRPr="00D32F5B">
        <w:t>Rcd</w:t>
      </w:r>
      <w:r w:rsidRPr="00D32F5B">
        <w:t xml:space="preserve"> at 9586-87, para. 11 &amp; n.37.</w:t>
      </w:r>
    </w:p>
  </w:footnote>
  <w:footnote w:id="25">
    <w:p w:rsidR="00EC3B93" w:rsidRPr="00DC3470" w:rsidP="00EC3B93" w14:paraId="0B3D9306" w14:textId="77777777">
      <w:pPr>
        <w:pStyle w:val="FootnoteText"/>
      </w:pPr>
      <w:r w:rsidRPr="00DC3470">
        <w:rPr>
          <w:rStyle w:val="FootnoteReference"/>
        </w:rPr>
        <w:footnoteRef/>
      </w:r>
      <w:r w:rsidRPr="00DC3470">
        <w:t xml:space="preserve"> </w:t>
      </w:r>
      <w:r w:rsidRPr="001B7A3B">
        <w:t>The Commission generally does not reevaluate the qualifications of transferors unless issues related to basic qualifications have been sufficiently raised in petitions to warrant designation for hearing.</w:t>
      </w:r>
      <w:r>
        <w:t xml:space="preserve">  </w:t>
      </w:r>
      <w:r w:rsidRPr="00DC3470">
        <w:rPr>
          <w:i/>
        </w:rPr>
        <w:t>See</w:t>
      </w:r>
      <w:r w:rsidRPr="00DC3470">
        <w:t xml:space="preserve"> </w:t>
      </w:r>
      <w:r w:rsidRPr="00354198">
        <w:rPr>
          <w:i/>
        </w:rPr>
        <w:t>T-Mobile-Sprint Order</w:t>
      </w:r>
      <w:r>
        <w:rPr>
          <w:iCs/>
        </w:rPr>
        <w:t>,</w:t>
      </w:r>
      <w:r>
        <w:t xml:space="preserve"> </w:t>
      </w:r>
      <w:r w:rsidRPr="00D840FA">
        <w:rPr>
          <w:snapToGrid w:val="0"/>
          <w:kern w:val="28"/>
        </w:rPr>
        <w:t xml:space="preserve">34 FCC </w:t>
      </w:r>
      <w:r w:rsidRPr="00D840FA">
        <w:rPr>
          <w:snapToGrid w:val="0"/>
          <w:kern w:val="28"/>
        </w:rPr>
        <w:t>Rcd</w:t>
      </w:r>
      <w:r w:rsidRPr="00D840FA">
        <w:rPr>
          <w:snapToGrid w:val="0"/>
          <w:kern w:val="28"/>
        </w:rPr>
        <w:t xml:space="preserve"> at 1059</w:t>
      </w:r>
      <w:r>
        <w:rPr>
          <w:snapToGrid w:val="0"/>
          <w:kern w:val="28"/>
        </w:rPr>
        <w:t>7</w:t>
      </w:r>
      <w:r>
        <w:t xml:space="preserve">, para. 45; </w:t>
      </w:r>
      <w:r w:rsidRPr="00DC3470">
        <w:rPr>
          <w:i/>
        </w:rPr>
        <w:t>AT&amp;T</w:t>
      </w:r>
      <w:r>
        <w:rPr>
          <w:i/>
        </w:rPr>
        <w:t>-</w:t>
      </w:r>
      <w:r w:rsidRPr="00DC3470">
        <w:rPr>
          <w:i/>
        </w:rPr>
        <w:t>DIRECTV Order</w:t>
      </w:r>
      <w:r w:rsidRPr="00DC3470">
        <w:t xml:space="preserve">, 30 FCC </w:t>
      </w:r>
      <w:r w:rsidRPr="00DC3470">
        <w:t>Rcd</w:t>
      </w:r>
      <w:r w:rsidRPr="00DC3470">
        <w:t xml:space="preserve"> at 9142, para. 25</w:t>
      </w:r>
      <w:r>
        <w:t>.</w:t>
      </w:r>
    </w:p>
  </w:footnote>
  <w:footnote w:id="26">
    <w:p w:rsidR="00EC3B93" w:rsidRPr="00027876" w:rsidP="00EC3B93" w14:paraId="543E13E9" w14:textId="77777777">
      <w:pPr>
        <w:pStyle w:val="FootnoteText"/>
      </w:pPr>
      <w:r w:rsidRPr="00027876">
        <w:rPr>
          <w:rStyle w:val="FootnoteReference"/>
        </w:rPr>
        <w:footnoteRef/>
      </w:r>
      <w:r w:rsidRPr="00027876">
        <w:t xml:space="preserve"> </w:t>
      </w:r>
      <w:r w:rsidRPr="005A53E3">
        <w:rPr>
          <w:i/>
          <w:snapToGrid w:val="0"/>
          <w:kern w:val="28"/>
        </w:rPr>
        <w:t>See</w:t>
      </w:r>
      <w:r w:rsidRPr="005A53E3">
        <w:rPr>
          <w:snapToGrid w:val="0"/>
          <w:kern w:val="28"/>
        </w:rPr>
        <w:t xml:space="preserve"> </w:t>
      </w:r>
      <w:r w:rsidRPr="005A53E3">
        <w:rPr>
          <w:i/>
          <w:snapToGrid w:val="0"/>
          <w:kern w:val="28"/>
        </w:rPr>
        <w:t>T-Mobile-Sprint Order</w:t>
      </w:r>
      <w:r w:rsidRPr="005A53E3">
        <w:rPr>
          <w:iCs/>
          <w:snapToGrid w:val="0"/>
          <w:kern w:val="28"/>
        </w:rPr>
        <w:t xml:space="preserve">, </w:t>
      </w:r>
      <w:r w:rsidRPr="005A53E3">
        <w:rPr>
          <w:snapToGrid w:val="0"/>
          <w:kern w:val="28"/>
        </w:rPr>
        <w:t xml:space="preserve">34 FCC </w:t>
      </w:r>
      <w:r w:rsidRPr="005A53E3">
        <w:rPr>
          <w:snapToGrid w:val="0"/>
          <w:kern w:val="28"/>
        </w:rPr>
        <w:t>Rcd</w:t>
      </w:r>
      <w:r w:rsidRPr="005A53E3">
        <w:rPr>
          <w:snapToGrid w:val="0"/>
          <w:kern w:val="28"/>
        </w:rPr>
        <w:t xml:space="preserve"> at 10597, para. 44; </w:t>
      </w:r>
      <w:r w:rsidRPr="005A53E3">
        <w:rPr>
          <w:i/>
          <w:snapToGrid w:val="0"/>
          <w:kern w:val="28"/>
        </w:rPr>
        <w:t>AT&amp;T-DIRECTV Order</w:t>
      </w:r>
      <w:r w:rsidRPr="005A53E3">
        <w:rPr>
          <w:snapToGrid w:val="0"/>
          <w:kern w:val="28"/>
        </w:rPr>
        <w:t xml:space="preserve">, 30 FCC </w:t>
      </w:r>
      <w:r w:rsidRPr="005A53E3">
        <w:rPr>
          <w:snapToGrid w:val="0"/>
          <w:kern w:val="28"/>
        </w:rPr>
        <w:t>Rcd</w:t>
      </w:r>
      <w:r w:rsidRPr="005A53E3">
        <w:rPr>
          <w:snapToGrid w:val="0"/>
          <w:kern w:val="28"/>
        </w:rPr>
        <w:t xml:space="preserve"> at 9142, para. 25.</w:t>
      </w:r>
    </w:p>
  </w:footnote>
  <w:footnote w:id="27">
    <w:p w:rsidR="0092718B" w14:paraId="728250C6" w14:textId="2440FC3E">
      <w:pPr>
        <w:pStyle w:val="FootnoteText"/>
      </w:pPr>
      <w:r>
        <w:rPr>
          <w:rStyle w:val="FootnoteReference"/>
        </w:rPr>
        <w:footnoteRef/>
      </w:r>
      <w:r>
        <w:t xml:space="preserve"> </w:t>
      </w:r>
      <w:r w:rsidRPr="00913A92" w:rsidR="00680096">
        <w:rPr>
          <w:i/>
          <w:iCs/>
        </w:rPr>
        <w:t>See</w:t>
      </w:r>
      <w:r w:rsidRPr="0092718B" w:rsidR="00680096">
        <w:t xml:space="preserve"> FCC National Broadband Map,  https://broadbandmap.fcc.gov/data-download/nationwide-data?pubDataVer=jun2025.</w:t>
      </w:r>
    </w:p>
  </w:footnote>
  <w:footnote w:id="28">
    <w:p w:rsidR="00403187" w14:paraId="169383A6" w14:textId="14B5C02F">
      <w:pPr>
        <w:pStyle w:val="FootnoteText"/>
      </w:pPr>
      <w:r>
        <w:rPr>
          <w:rStyle w:val="FootnoteReference"/>
        </w:rPr>
        <w:footnoteRef/>
      </w:r>
      <w:r w:rsidR="00942B0D">
        <w:t xml:space="preserve"> Supplement at 4 (“Colquitt does not </w:t>
      </w:r>
      <w:r w:rsidRPr="0092718B" w:rsidR="00942B0D">
        <w:t xml:space="preserve">offer any mass-market broadband or voice service within the Assigned Census Blocks”); </w:t>
      </w:r>
      <w:r w:rsidRPr="00913A92" w:rsidR="00942B0D">
        <w:rPr>
          <w:i/>
          <w:iCs/>
        </w:rPr>
        <w:t>id</w:t>
      </w:r>
      <w:r w:rsidRPr="0092718B" w:rsidR="00942B0D">
        <w:t xml:space="preserve">. at 6 (“Colquitt does not serve any </w:t>
      </w:r>
      <w:r w:rsidR="00942B0D">
        <w:t>[Broadband Serviceable Locations]</w:t>
      </w:r>
      <w:r w:rsidRPr="0092718B" w:rsidR="00942B0D">
        <w:t xml:space="preserve"> in the Assigned Census Blocks today.”).  </w:t>
      </w:r>
    </w:p>
  </w:footnote>
  <w:footnote w:id="29">
    <w:p w:rsidR="00D325C1" w:rsidRPr="006F1C8C" w:rsidP="008D05A5" w14:paraId="1F8D0AA2" w14:textId="5231BA5F">
      <w:pPr>
        <w:pStyle w:val="FootnoteText"/>
      </w:pPr>
      <w:r w:rsidRPr="006F1C8C">
        <w:rPr>
          <w:rStyle w:val="FootnoteReference"/>
          <w:sz w:val="20"/>
        </w:rPr>
        <w:footnoteRef/>
      </w:r>
      <w:r w:rsidRPr="006F1C8C">
        <w:t xml:space="preserve"> </w:t>
      </w:r>
      <w:r>
        <w:t xml:space="preserve">Application at </w:t>
      </w:r>
      <w:r w:rsidR="00F47B7E">
        <w:t>2.</w:t>
      </w:r>
      <w:r w:rsidR="007E5CDE">
        <w:t xml:space="preserve"> </w:t>
      </w:r>
      <w:r w:rsidR="00AE6B7E">
        <w:t xml:space="preserve"> </w:t>
      </w:r>
      <w:r w:rsidRPr="0092718B" w:rsidR="007E5CDE">
        <w:t xml:space="preserve">Point Broadband </w:t>
      </w:r>
      <w:r w:rsidRPr="0092718B" w:rsidR="005B2642">
        <w:t>has reported</w:t>
      </w:r>
      <w:r w:rsidRPr="0092718B" w:rsidR="007E5CDE">
        <w:t xml:space="preserve"> </w:t>
      </w:r>
      <w:r w:rsidRPr="00646880" w:rsidR="00D13A48">
        <w:t xml:space="preserve">in the National Broadband Map that it </w:t>
      </w:r>
      <w:r w:rsidRPr="00646880" w:rsidR="00213606">
        <w:t>has made available</w:t>
      </w:r>
      <w:r w:rsidRPr="00646880" w:rsidR="009A279F">
        <w:t xml:space="preserve"> </w:t>
      </w:r>
      <w:r w:rsidR="00AD5E62">
        <w:t xml:space="preserve">100/20 </w:t>
      </w:r>
      <w:r w:rsidR="00DF014D">
        <w:t xml:space="preserve"> Mbps </w:t>
      </w:r>
      <w:r w:rsidRPr="0092718B" w:rsidR="0092718B">
        <w:t xml:space="preserve">broadband Internet access service </w:t>
      </w:r>
      <w:r w:rsidRPr="00646880" w:rsidR="00213606">
        <w:t>to</w:t>
      </w:r>
      <w:r w:rsidRPr="00646880" w:rsidR="009A279F">
        <w:t xml:space="preserve"> </w:t>
      </w:r>
      <w:r w:rsidRPr="0092718B" w:rsidR="00A36CE7">
        <w:t>1,081 locations in the Assigned Census Blocks</w:t>
      </w:r>
      <w:r w:rsidR="00AD5E62">
        <w:t>, including 328 locations to which they offer 1,000/50 Mbps</w:t>
      </w:r>
      <w:r w:rsidRPr="0092718B" w:rsidR="005B2642">
        <w:t xml:space="preserve">.  </w:t>
      </w:r>
      <w:r w:rsidRPr="00646880" w:rsidR="00833C3E">
        <w:rPr>
          <w:i/>
          <w:iCs/>
        </w:rPr>
        <w:t>See</w:t>
      </w:r>
      <w:r w:rsidRPr="0092718B" w:rsidR="00833C3E">
        <w:t xml:space="preserve"> FCC National Broadband Map, </w:t>
      </w:r>
      <w:hyperlink r:id="rId1" w:history="1">
        <w:r w:rsidRPr="00CB6A4F" w:rsidR="00AD5E62">
          <w:rPr>
            <w:rStyle w:val="Hyperlink"/>
          </w:rPr>
          <w:t>https://broadbandmap.fcc.gov/data-download/nationwidedata?pubDataVer=jun2025</w:t>
        </w:r>
      </w:hyperlink>
      <w:r w:rsidRPr="0092718B" w:rsidR="00833C3E">
        <w:t>.</w:t>
      </w:r>
      <w:r w:rsidR="00AD5E62">
        <w:t xml:space="preserve">  </w:t>
      </w:r>
    </w:p>
  </w:footnote>
  <w:footnote w:id="30">
    <w:p w:rsidR="00EC3B93" w:rsidP="00EC3B93" w14:paraId="3B0766AE" w14:textId="7F6CCC89">
      <w:pPr>
        <w:pStyle w:val="FootnoteText"/>
      </w:pPr>
      <w:r>
        <w:rPr>
          <w:rStyle w:val="FootnoteReference"/>
        </w:rPr>
        <w:footnoteRef/>
      </w:r>
      <w:r>
        <w:t xml:space="preserve"> </w:t>
      </w:r>
      <w:r w:rsidR="00F64491">
        <w:t>Application at</w:t>
      </w:r>
      <w:r w:rsidRPr="000F0008" w:rsidR="00F64491">
        <w:rPr>
          <w:i/>
          <w:iCs/>
        </w:rPr>
        <w:t xml:space="preserve"> </w:t>
      </w:r>
      <w:r>
        <w:t>2.</w:t>
      </w:r>
    </w:p>
  </w:footnote>
  <w:footnote w:id="31">
    <w:p w:rsidR="00EC3B93" w:rsidRPr="006F1C8C" w:rsidP="00EC3B93" w14:paraId="25FB0325" w14:textId="0F8D74CB">
      <w:pPr>
        <w:pStyle w:val="FootnoteText"/>
      </w:pPr>
      <w:r w:rsidRPr="006F1C8C">
        <w:rPr>
          <w:rStyle w:val="FootnoteReference"/>
          <w:sz w:val="20"/>
        </w:rPr>
        <w:footnoteRef/>
      </w:r>
      <w:r w:rsidRPr="006F1C8C">
        <w:t xml:space="preserve"> </w:t>
      </w:r>
      <w:r w:rsidR="003F1A85">
        <w:rPr>
          <w:i/>
          <w:iCs/>
        </w:rPr>
        <w:t xml:space="preserve">Id. </w:t>
      </w:r>
      <w:r w:rsidR="003F1A85">
        <w:t xml:space="preserve">at </w:t>
      </w:r>
      <w:r w:rsidRPr="006F1C8C">
        <w:t>8</w:t>
      </w:r>
      <w:r w:rsidR="003F1A85">
        <w:t>-11.</w:t>
      </w:r>
    </w:p>
  </w:footnote>
  <w:footnote w:id="32">
    <w:p w:rsidR="00EC3B93" w:rsidRPr="006F1C8C" w:rsidP="00EC3B93" w14:paraId="29B4656E" w14:textId="0BEF9D3B">
      <w:pPr>
        <w:pStyle w:val="FootnoteText"/>
      </w:pPr>
      <w:r w:rsidRPr="006F1C8C">
        <w:rPr>
          <w:rStyle w:val="FootnoteReference"/>
          <w:sz w:val="20"/>
        </w:rPr>
        <w:footnoteRef/>
      </w:r>
      <w:r w:rsidRPr="006F1C8C">
        <w:t xml:space="preserve"> </w:t>
      </w:r>
      <w:r w:rsidR="003F1A85">
        <w:rPr>
          <w:i/>
          <w:iCs/>
        </w:rPr>
        <w:t>Id.</w:t>
      </w:r>
      <w:r w:rsidRPr="006F1C8C">
        <w:rPr>
          <w:i/>
          <w:iCs/>
        </w:rPr>
        <w:t xml:space="preserve"> </w:t>
      </w:r>
      <w:r w:rsidRPr="006F1C8C">
        <w:t>at</w:t>
      </w:r>
      <w:r w:rsidR="004016E0">
        <w:t xml:space="preserve"> </w:t>
      </w:r>
      <w:r>
        <w:t>8</w:t>
      </w:r>
      <w:r w:rsidR="004016E0">
        <w:t>-9</w:t>
      </w:r>
      <w:r w:rsidR="00B245F2">
        <w:t>; Supplement.</w:t>
      </w:r>
    </w:p>
  </w:footnote>
  <w:footnote w:id="33">
    <w:p w:rsidR="00455CC5" w:rsidRPr="00E53ABA" w:rsidP="00455CC5" w14:paraId="15378037" w14:textId="1013C618">
      <w:pPr>
        <w:pStyle w:val="FootnoteText"/>
      </w:pPr>
      <w:r w:rsidRPr="00E53ABA">
        <w:rPr>
          <w:rStyle w:val="FootnoteReference"/>
          <w:sz w:val="20"/>
        </w:rPr>
        <w:footnoteRef/>
      </w:r>
      <w:r w:rsidRPr="00E53ABA">
        <w:t xml:space="preserve"> </w:t>
      </w:r>
      <w:r w:rsidR="00B245F2">
        <w:t>Application at</w:t>
      </w:r>
      <w:r w:rsidRPr="000F0008" w:rsidR="00B245F2">
        <w:rPr>
          <w:i/>
          <w:iCs/>
        </w:rPr>
        <w:t xml:space="preserve"> </w:t>
      </w:r>
      <w:r w:rsidR="00B245F2">
        <w:t>8-9.</w:t>
      </w:r>
    </w:p>
  </w:footnote>
  <w:footnote w:id="34">
    <w:p w:rsidR="00455CC5" w:rsidRPr="00E53ABA" w:rsidP="00455CC5" w14:paraId="0D3E7176" w14:textId="4CD6038A">
      <w:pPr>
        <w:pStyle w:val="FootnoteText"/>
        <w:rPr>
          <w:i/>
          <w:iCs/>
        </w:rPr>
      </w:pPr>
      <w:r w:rsidRPr="00E53ABA">
        <w:rPr>
          <w:rStyle w:val="FootnoteReference"/>
          <w:sz w:val="20"/>
        </w:rPr>
        <w:footnoteRef/>
      </w:r>
      <w:r w:rsidRPr="00E53ABA">
        <w:t xml:space="preserve"> </w:t>
      </w:r>
      <w:r w:rsidRPr="00E53ABA">
        <w:rPr>
          <w:i/>
          <w:iCs/>
        </w:rPr>
        <w:t>Id.</w:t>
      </w:r>
      <w:r w:rsidRPr="00E53ABA">
        <w:t xml:space="preserve"> at 9-10.  </w:t>
      </w:r>
      <w:r w:rsidR="005C027B">
        <w:t xml:space="preserve">Supplement at </w:t>
      </w:r>
      <w:r w:rsidR="00C53B4B">
        <w:t>9 (“</w:t>
      </w:r>
      <w:r w:rsidRPr="00C53B4B" w:rsidR="00C53B4B">
        <w:t>Colquitt has adopted the technical parameters of the Point Broadband long form for the state of Georgia</w:t>
      </w:r>
      <w:r w:rsidR="00C53B4B">
        <w:t xml:space="preserve">”) and </w:t>
      </w:r>
      <w:r w:rsidR="00C53B4B">
        <w:t>Exh</w:t>
      </w:r>
      <w:r w:rsidR="00C53B4B">
        <w:t>. B (</w:t>
      </w:r>
      <w:r w:rsidR="00893C64">
        <w:t>Point Broadband 2021 Long Form Application</w:t>
      </w:r>
      <w:r w:rsidR="00C53B4B">
        <w:t xml:space="preserve">). </w:t>
      </w:r>
      <w:r w:rsidRPr="00C53B4B" w:rsidR="00C53B4B">
        <w:t xml:space="preserve"> </w:t>
      </w:r>
      <w:r w:rsidRPr="00E53ABA">
        <w:t xml:space="preserve">Applicants assert that Colquitt will offer new financial, managerial, technical resources, and operational efficiencies, </w:t>
      </w:r>
      <w:r w:rsidR="0095259E">
        <w:t xml:space="preserve">and </w:t>
      </w:r>
      <w:r w:rsidRPr="00E53ABA">
        <w:t xml:space="preserve">therefore, consumers will be able to receive RDOF services in the Assigned Census Blocks more quickly.  </w:t>
      </w:r>
      <w:r w:rsidRPr="00E53ABA">
        <w:rPr>
          <w:i/>
          <w:iCs/>
        </w:rPr>
        <w:t>Id.</w:t>
      </w:r>
    </w:p>
  </w:footnote>
  <w:footnote w:id="35">
    <w:p w:rsidR="00455CC5" w:rsidRPr="00E53ABA" w:rsidP="00455CC5" w14:paraId="2F93672D" w14:textId="4C530BFB">
      <w:pPr>
        <w:pStyle w:val="FootnoteText"/>
      </w:pPr>
      <w:r w:rsidRPr="00E53ABA">
        <w:rPr>
          <w:rStyle w:val="FootnoteReference"/>
          <w:sz w:val="20"/>
        </w:rPr>
        <w:footnoteRef/>
      </w:r>
      <w:r w:rsidRPr="00E53ABA">
        <w:t xml:space="preserve"> </w:t>
      </w:r>
      <w:r w:rsidR="0056718B">
        <w:t xml:space="preserve">Application </w:t>
      </w:r>
      <w:r w:rsidRPr="00E53ABA">
        <w:t>at 10</w:t>
      </w:r>
      <w:r>
        <w:t>.</w:t>
      </w:r>
    </w:p>
  </w:footnote>
  <w:footnote w:id="36">
    <w:p w:rsidR="00455CC5" w:rsidRPr="00E53ABA" w:rsidP="00455CC5" w14:paraId="44EA02BD" w14:textId="77777777">
      <w:pPr>
        <w:pStyle w:val="FootnoteText"/>
        <w:rPr>
          <w:i/>
          <w:iCs/>
        </w:rPr>
      </w:pPr>
      <w:r w:rsidRPr="00E53ABA">
        <w:rPr>
          <w:rStyle w:val="FootnoteReference"/>
          <w:sz w:val="20"/>
        </w:rPr>
        <w:footnoteRef/>
      </w:r>
      <w:r w:rsidRPr="00E53ABA">
        <w:t xml:space="preserve"> </w:t>
      </w:r>
      <w:r w:rsidRPr="00E53ABA">
        <w:rPr>
          <w:i/>
          <w:iCs/>
        </w:rPr>
        <w:t>Id.</w:t>
      </w:r>
    </w:p>
  </w:footnote>
  <w:footnote w:id="37">
    <w:p w:rsidR="00455CC5" w:rsidRPr="00E53ABA" w:rsidP="00455CC5" w14:paraId="6077DAE2" w14:textId="77777777">
      <w:pPr>
        <w:pStyle w:val="FootnoteText"/>
      </w:pPr>
      <w:r w:rsidRPr="00E53ABA">
        <w:rPr>
          <w:rStyle w:val="FootnoteReference"/>
          <w:sz w:val="20"/>
        </w:rPr>
        <w:footnoteRef/>
      </w:r>
      <w:r w:rsidRPr="00E53ABA">
        <w:t xml:space="preserve"> </w:t>
      </w:r>
      <w:r w:rsidRPr="00E53ABA">
        <w:rPr>
          <w:i/>
          <w:iCs/>
        </w:rPr>
        <w:t>Id.</w:t>
      </w:r>
      <w:r w:rsidRPr="00E53ABA">
        <w:t xml:space="preserve"> at 10-11.</w:t>
      </w:r>
    </w:p>
  </w:footnote>
  <w:footnote w:id="38">
    <w:p w:rsidR="00EC3B93" w:rsidRPr="006F1C8C" w:rsidP="00EC3B93" w14:paraId="03D22D33" w14:textId="77777777">
      <w:pPr>
        <w:pStyle w:val="FootnoteText"/>
      </w:pPr>
      <w:r w:rsidRPr="006F1C8C">
        <w:rPr>
          <w:rStyle w:val="FootnoteReference"/>
          <w:sz w:val="20"/>
        </w:rPr>
        <w:footnoteRef/>
      </w:r>
      <w:r w:rsidRPr="006F1C8C">
        <w:t xml:space="preserve"> </w:t>
      </w:r>
      <w:r w:rsidRPr="006F1C8C">
        <w:rPr>
          <w:i/>
          <w:iCs/>
        </w:rPr>
        <w:t>See AT&amp;T/DIRECTV Order</w:t>
      </w:r>
      <w:r w:rsidRPr="006F1C8C">
        <w:t xml:space="preserve">, 30 FCC </w:t>
      </w:r>
      <w:r w:rsidRPr="006F1C8C">
        <w:t>Rcd</w:t>
      </w:r>
      <w:r w:rsidRPr="006F1C8C">
        <w:t xml:space="preserve"> at 9237, paras. 273-74; </w:t>
      </w:r>
      <w:r w:rsidRPr="006F1C8C">
        <w:rPr>
          <w:i/>
        </w:rPr>
        <w:t>CenturyLink-Level 3 Order</w:t>
      </w:r>
      <w:r w:rsidRPr="006F1C8C">
        <w:t xml:space="preserve">, 32 FCC </w:t>
      </w:r>
      <w:r w:rsidRPr="006F1C8C">
        <w:t>Rcd</w:t>
      </w:r>
      <w:r w:rsidRPr="006F1C8C">
        <w:t xml:space="preserve"> at 9604, para. 50 (citing </w:t>
      </w:r>
      <w:r w:rsidRPr="006F1C8C">
        <w:rPr>
          <w:i/>
        </w:rPr>
        <w:t>AT&amp;T Inc. and BellSouth Corporation Application for Transfer of Control</w:t>
      </w:r>
      <w:r w:rsidRPr="006F1C8C">
        <w:rPr>
          <w:iCs/>
        </w:rPr>
        <w:t xml:space="preserve">, WC Docket No. 06-74, </w:t>
      </w:r>
      <w:r w:rsidRPr="006F1C8C">
        <w:t xml:space="preserve">22 FCC </w:t>
      </w:r>
      <w:r w:rsidRPr="006F1C8C">
        <w:t>Rcd</w:t>
      </w:r>
      <w:r w:rsidRPr="006F1C8C">
        <w:t xml:space="preserve"> 5662, 5761, para. 202 (2007)).</w:t>
      </w:r>
    </w:p>
  </w:footnote>
  <w:footnote w:id="39">
    <w:p w:rsidR="00EC3B93" w:rsidRPr="006F1C8C" w:rsidP="00EC3B93" w14:paraId="311CBC2B" w14:textId="695D0D00">
      <w:pPr>
        <w:pStyle w:val="FootnoteText"/>
      </w:pPr>
      <w:r w:rsidRPr="006F1C8C">
        <w:rPr>
          <w:rStyle w:val="FootnoteReference"/>
          <w:sz w:val="20"/>
        </w:rPr>
        <w:footnoteRef/>
      </w:r>
      <w:r w:rsidRPr="006F1C8C">
        <w:t xml:space="preserve"> </w:t>
      </w:r>
      <w:r w:rsidRPr="006F1C8C">
        <w:rPr>
          <w:i/>
          <w:iCs/>
        </w:rPr>
        <w:t xml:space="preserve">See </w:t>
      </w:r>
      <w:r w:rsidRPr="006F1C8C" w:rsidR="0095259E">
        <w:rPr>
          <w:i/>
          <w:iCs/>
        </w:rPr>
        <w:t>AT&amp;T/DIRECTV Order</w:t>
      </w:r>
      <w:r w:rsidRPr="006F1C8C" w:rsidR="0095259E">
        <w:t xml:space="preserve">, 30 FCC </w:t>
      </w:r>
      <w:r w:rsidRPr="006F1C8C" w:rsidR="0095259E">
        <w:t>Rcd</w:t>
      </w:r>
      <w:r w:rsidRPr="006F1C8C" w:rsidR="0095259E">
        <w:t xml:space="preserve"> </w:t>
      </w:r>
      <w:r w:rsidRPr="006F1C8C">
        <w:t xml:space="preserve">at 9237-38, paras. 275-76; </w:t>
      </w:r>
      <w:r w:rsidRPr="006F1C8C">
        <w:rPr>
          <w:i/>
        </w:rPr>
        <w:t>CenturyLink-Level 3 Order</w:t>
      </w:r>
      <w:r w:rsidRPr="006F1C8C">
        <w:t xml:space="preserve">, 32 FCC </w:t>
      </w:r>
      <w:r w:rsidRPr="006F1C8C">
        <w:t>Rcd</w:t>
      </w:r>
      <w:r w:rsidRPr="006F1C8C">
        <w:t xml:space="preserve"> at 9586, para. 10.</w:t>
      </w:r>
    </w:p>
  </w:footnote>
  <w:footnote w:id="40">
    <w:p w:rsidR="00EC3B93" w:rsidRPr="006F1C8C" w:rsidP="00EC3B93" w14:paraId="366B91C4" w14:textId="78EDB540">
      <w:pPr>
        <w:pStyle w:val="FootnoteText"/>
      </w:pPr>
      <w:r w:rsidRPr="006F1C8C">
        <w:rPr>
          <w:rStyle w:val="FootnoteReference"/>
          <w:sz w:val="20"/>
        </w:rPr>
        <w:footnoteRef/>
      </w:r>
      <w:r w:rsidRPr="006F1C8C">
        <w:t xml:space="preserve"> </w:t>
      </w:r>
      <w:r w:rsidRPr="00D71828">
        <w:rPr>
          <w:i/>
          <w:iCs/>
        </w:rPr>
        <w:t>See id</w:t>
      </w:r>
      <w:r w:rsidRPr="00D71828">
        <w:t>.</w:t>
      </w:r>
    </w:p>
  </w:footnote>
  <w:footnote w:id="41">
    <w:p w:rsidR="00EC3B93" w:rsidRPr="006F1C8C" w:rsidP="00EC3B93" w14:paraId="57C3E55E" w14:textId="77777777">
      <w:pPr>
        <w:pStyle w:val="FootnoteText"/>
      </w:pPr>
      <w:r w:rsidRPr="006F1C8C">
        <w:rPr>
          <w:rStyle w:val="FootnoteReference"/>
          <w:sz w:val="20"/>
        </w:rPr>
        <w:footnoteRef/>
      </w:r>
      <w:r w:rsidRPr="006F1C8C">
        <w:t xml:space="preserve"> </w:t>
      </w:r>
      <w:r w:rsidRPr="006F1C8C">
        <w:rPr>
          <w:i/>
          <w:iCs/>
        </w:rPr>
        <w:t>See, e.g.</w:t>
      </w:r>
      <w:r w:rsidRPr="006F1C8C">
        <w:t>,</w:t>
      </w:r>
      <w:r w:rsidRPr="006F1C8C">
        <w:rPr>
          <w:i/>
          <w:iCs/>
        </w:rPr>
        <w:t xml:space="preserve"> AT&amp;T-DIRECTV Order</w:t>
      </w:r>
      <w:r w:rsidRPr="006F1C8C">
        <w:rPr>
          <w:iCs/>
        </w:rPr>
        <w:t xml:space="preserve">, </w:t>
      </w:r>
      <w:r w:rsidRPr="006F1C8C">
        <w:t xml:space="preserve">30 </w:t>
      </w:r>
      <w:r w:rsidRPr="006F1C8C">
        <w:rPr>
          <w:iCs/>
        </w:rPr>
        <w:t xml:space="preserve">FCC </w:t>
      </w:r>
      <w:r w:rsidRPr="006F1C8C">
        <w:rPr>
          <w:iCs/>
        </w:rPr>
        <w:t>Rcd</w:t>
      </w:r>
      <w:r w:rsidRPr="006F1C8C">
        <w:rPr>
          <w:iCs/>
        </w:rPr>
        <w:t xml:space="preserve"> at 9140, para. 19.</w:t>
      </w:r>
    </w:p>
  </w:footnote>
  <w:footnote w:id="42">
    <w:p w:rsidR="00EC3B93" w:rsidRPr="006F1C8C" w:rsidP="00EC3B93" w14:paraId="114326D6" w14:textId="77777777">
      <w:pPr>
        <w:pStyle w:val="FootnoteText"/>
      </w:pPr>
      <w:r w:rsidRPr="006F1C8C">
        <w:rPr>
          <w:rStyle w:val="FootnoteReference"/>
          <w:sz w:val="20"/>
        </w:rPr>
        <w:footnoteRef/>
      </w:r>
      <w:r w:rsidRPr="006F1C8C">
        <w:t xml:space="preserve"> </w:t>
      </w:r>
      <w:r w:rsidRPr="006F1C8C">
        <w:rPr>
          <w:i/>
        </w:rPr>
        <w:t>See Verizon-TracFone Order</w:t>
      </w:r>
      <w:r w:rsidRPr="006F1C8C">
        <w:rPr>
          <w:iCs/>
        </w:rPr>
        <w:t xml:space="preserve">, </w:t>
      </w:r>
      <w:r w:rsidRPr="006F1C8C">
        <w:rPr>
          <w:rStyle w:val="markedcontent"/>
        </w:rPr>
        <w:t xml:space="preserve">36 FCC </w:t>
      </w:r>
      <w:r w:rsidRPr="006F1C8C">
        <w:rPr>
          <w:rStyle w:val="markedcontent"/>
        </w:rPr>
        <w:t>Rcd</w:t>
      </w:r>
      <w:r w:rsidRPr="006F1C8C">
        <w:rPr>
          <w:rStyle w:val="markedcontent"/>
        </w:rPr>
        <w:t xml:space="preserve"> at 17001</w:t>
      </w:r>
      <w:r w:rsidRPr="006F1C8C">
        <w:rPr>
          <w:iCs/>
        </w:rPr>
        <w:t xml:space="preserve">, para. 21 (citing </w:t>
      </w:r>
      <w:r w:rsidRPr="006F1C8C">
        <w:t>47 U.S.C. §§ 254, 332(c)(7), 1302; Telecommunications Act of 1996, Pub. L. No. 104-104, Preamble, 110 Stat. 56 (1996) (one purpose of the Act is to “accelerate rapidly private sector deployment of advanced telecommunications and information technologies and services”)).</w:t>
      </w:r>
    </w:p>
  </w:footnote>
  <w:footnote w:id="43">
    <w:p w:rsidR="00EC3B93" w:rsidRPr="006F1C8C" w:rsidP="00EC3B93" w14:paraId="5835917E" w14:textId="556582BB">
      <w:pPr>
        <w:pStyle w:val="FootnoteText"/>
      </w:pPr>
      <w:r w:rsidRPr="006F1C8C">
        <w:rPr>
          <w:rStyle w:val="FootnoteReference"/>
          <w:sz w:val="20"/>
        </w:rPr>
        <w:footnoteRef/>
      </w:r>
      <w:r w:rsidRPr="006F1C8C">
        <w:t xml:space="preserve"> Application at </w:t>
      </w:r>
      <w:r w:rsidR="0069334A">
        <w:t>8-9,</w:t>
      </w:r>
      <w:r w:rsidR="00D8542B">
        <w:t xml:space="preserve"> 11</w:t>
      </w:r>
      <w:r w:rsidRPr="006F1C8C">
        <w:t>.</w:t>
      </w:r>
    </w:p>
  </w:footnote>
  <w:footnote w:id="44">
    <w:p w:rsidR="00EC3B93" w:rsidRPr="006F1C8C" w:rsidP="00EC3B93" w14:paraId="1A1B7FFE" w14:textId="77777777">
      <w:pPr>
        <w:pStyle w:val="FootnoteText"/>
      </w:pPr>
      <w:r w:rsidRPr="006F1C8C">
        <w:rPr>
          <w:rStyle w:val="FootnoteReference"/>
          <w:sz w:val="20"/>
        </w:rPr>
        <w:footnoteRef/>
      </w:r>
      <w:r w:rsidRPr="006F1C8C">
        <w:t xml:space="preserve"> </w:t>
      </w:r>
      <w:r w:rsidRPr="006F1C8C">
        <w:rPr>
          <w:i/>
          <w:iCs/>
        </w:rPr>
        <w:t>Id</w:t>
      </w:r>
      <w:r w:rsidRPr="006F1C8C">
        <w:t>.</w:t>
      </w:r>
    </w:p>
  </w:footnote>
  <w:footnote w:id="45">
    <w:p w:rsidR="00EC3B93" w:rsidRPr="006F1C8C" w:rsidP="00EC3B93" w14:paraId="2C09F85C" w14:textId="5FE28C67">
      <w:pPr>
        <w:pStyle w:val="FootnoteText"/>
      </w:pPr>
      <w:r w:rsidRPr="006F1C8C">
        <w:rPr>
          <w:rStyle w:val="FootnoteReference"/>
          <w:sz w:val="20"/>
        </w:rPr>
        <w:footnoteRef/>
      </w:r>
      <w:r w:rsidRPr="006F1C8C">
        <w:t xml:space="preserve"> </w:t>
      </w:r>
      <w:bookmarkStart w:id="8" w:name="_Hlk193973112"/>
      <w:r w:rsidRPr="006F1C8C">
        <w:t xml:space="preserve">47 CFR § 54.804(c).  </w:t>
      </w:r>
      <w:bookmarkEnd w:id="8"/>
    </w:p>
  </w:footnote>
  <w:footnote w:id="46">
    <w:p w:rsidR="00EC3B93" w:rsidRPr="006F1C8C" w:rsidP="00EC3B93" w14:paraId="1589A708" w14:textId="606CD875">
      <w:pPr>
        <w:pStyle w:val="FootnoteText"/>
      </w:pPr>
      <w:r w:rsidRPr="006F1C8C">
        <w:rPr>
          <w:rStyle w:val="FootnoteReference"/>
          <w:sz w:val="20"/>
        </w:rPr>
        <w:footnoteRef/>
      </w:r>
      <w:r w:rsidRPr="006F1C8C">
        <w:t xml:space="preserve"> </w:t>
      </w:r>
      <w:r w:rsidRPr="006F1C8C">
        <w:rPr>
          <w:snapToGrid w:val="0"/>
          <w:kern w:val="28"/>
        </w:rPr>
        <w:t xml:space="preserve">If </w:t>
      </w:r>
      <w:r w:rsidR="00D8542B">
        <w:rPr>
          <w:snapToGrid w:val="0"/>
          <w:kern w:val="28"/>
        </w:rPr>
        <w:t>Colquitt</w:t>
      </w:r>
      <w:r w:rsidRPr="006F1C8C">
        <w:rPr>
          <w:snapToGrid w:val="0"/>
          <w:kern w:val="28"/>
        </w:rPr>
        <w:t xml:space="preserve"> fails to meet one or more conditions on its authorization as of this deadline, it must file notice of this failure on or before the 10th calendar day after this deadline in the Commission’s Electronic Comment Filing System (ECFS) within the docket specified above.  </w:t>
      </w:r>
      <w:r w:rsidR="00D8542B">
        <w:rPr>
          <w:snapToGrid w:val="0"/>
          <w:kern w:val="28"/>
        </w:rPr>
        <w:t>Colquitt</w:t>
      </w:r>
      <w:r w:rsidRPr="006F1C8C">
        <w:rPr>
          <w:snapToGrid w:val="0"/>
          <w:kern w:val="28"/>
        </w:rPr>
        <w:t xml:space="preserve"> will automatically receive an additional 45 days to meet all conditions if, in this notification, it certifies that there have been no material changes relevant to, and as of, the grant of its conditional authorization and provides an estimated time frame for the completion of all unfulfilled conditions on the authorization.  If circumstances warrant special consideration of the timing of the authorization (such as, inter alia, a pending default, upcoming milestone deadline, or an inability to certify no material changes), this extension may not be granted, and the Bureau will notify </w:t>
      </w:r>
      <w:r w:rsidR="00D8542B">
        <w:rPr>
          <w:snapToGrid w:val="0"/>
          <w:kern w:val="28"/>
        </w:rPr>
        <w:t>Colquitt</w:t>
      </w:r>
      <w:r w:rsidRPr="006F1C8C">
        <w:rPr>
          <w:snapToGrid w:val="0"/>
          <w:kern w:val="28"/>
        </w:rPr>
        <w:t xml:space="preserve"> of this fact and the reasons thereof by letter.  If </w:t>
      </w:r>
      <w:r w:rsidR="00D8542B">
        <w:rPr>
          <w:snapToGrid w:val="0"/>
          <w:kern w:val="28"/>
        </w:rPr>
        <w:t>Colquitt</w:t>
      </w:r>
      <w:r w:rsidRPr="006F1C8C">
        <w:rPr>
          <w:snapToGrid w:val="0"/>
          <w:kern w:val="28"/>
        </w:rPr>
        <w:t xml:space="preserve"> fails to meet its deadline (as extended, if applicable), the Bureau will reassess </w:t>
      </w:r>
      <w:r w:rsidR="00D8542B">
        <w:rPr>
          <w:snapToGrid w:val="0"/>
          <w:kern w:val="28"/>
        </w:rPr>
        <w:t>Colquitt</w:t>
      </w:r>
      <w:r w:rsidRPr="006F1C8C">
        <w:rPr>
          <w:snapToGrid w:val="0"/>
          <w:kern w:val="28"/>
        </w:rPr>
        <w:t xml:space="preserve">’s continuing eligibility for authorization.  It will notify </w:t>
      </w:r>
      <w:r w:rsidR="00D8542B">
        <w:rPr>
          <w:snapToGrid w:val="0"/>
          <w:kern w:val="28"/>
        </w:rPr>
        <w:t>Colquitt</w:t>
      </w:r>
      <w:r w:rsidRPr="006F1C8C">
        <w:rPr>
          <w:snapToGrid w:val="0"/>
          <w:kern w:val="28"/>
        </w:rPr>
        <w:t xml:space="preserve"> by letter of the new terms of authorization, including, potentially, the imposition of additional conditions on authorization and the new deadline for meeting any outstanding conditions, or its determination that </w:t>
      </w:r>
      <w:r w:rsidR="00D8542B">
        <w:rPr>
          <w:snapToGrid w:val="0"/>
          <w:kern w:val="28"/>
        </w:rPr>
        <w:t>Colquitt</w:t>
      </w:r>
      <w:r w:rsidRPr="006F1C8C">
        <w:rPr>
          <w:snapToGrid w:val="0"/>
          <w:kern w:val="28"/>
        </w:rPr>
        <w:t xml:space="preserve"> is ineligible for authorization.  In the interest of expediting all pending authorizations, the Bureau makes clear that these changes apply to all pending authorizations associated with 214 transfers.</w:t>
      </w:r>
    </w:p>
  </w:footnote>
  <w:footnote w:id="47">
    <w:p w:rsidR="00EC3B93" w:rsidRPr="006F1C8C" w:rsidP="00EC3B93" w14:paraId="5CD9ADEE" w14:textId="2A6F4320">
      <w:pPr>
        <w:pStyle w:val="FootnoteText"/>
      </w:pPr>
      <w:r w:rsidRPr="006F1C8C">
        <w:rPr>
          <w:rStyle w:val="FootnoteReference"/>
          <w:sz w:val="20"/>
        </w:rPr>
        <w:footnoteRef/>
      </w:r>
      <w:r w:rsidRPr="006F1C8C">
        <w:t xml:space="preserve"> Once </w:t>
      </w:r>
      <w:r w:rsidR="00D8542B">
        <w:t>Colquitt</w:t>
      </w:r>
      <w:r w:rsidRPr="006F1C8C">
        <w:t xml:space="preserve"> is authorized to receive the support, USAC will transfer all future support payments to </w:t>
      </w:r>
      <w:r w:rsidR="00D8542B">
        <w:t>Colquitt</w:t>
      </w:r>
      <w:r w:rsidRPr="006F1C8C">
        <w:t xml:space="preserve"> as of the next month following the authorization or as soon as reasonably practicable thereafter.  Unless parties to the transaction satisfy all conditions of authorization and give notice of such satisfaction in accordance with the above listed procedures on or before the 10</w:t>
      </w:r>
      <w:r w:rsidRPr="006F1C8C">
        <w:rPr>
          <w:vertAlign w:val="superscript"/>
        </w:rPr>
        <w:t>th</w:t>
      </w:r>
      <w:r w:rsidRPr="006F1C8C">
        <w:t xml:space="preserve"> date of the month, it is unlikely that USAC will be able to transfer the next end-of-month payment to </w:t>
      </w:r>
      <w:r w:rsidR="00D8542B">
        <w:t>Colquitt</w:t>
      </w:r>
      <w:r w:rsidRPr="006F1C8C">
        <w:t>.  We note that there may be extenuating circumstances other than this timing that might cause a temporary delay in the transfer of the payment.</w:t>
      </w:r>
    </w:p>
  </w:footnote>
  <w:footnote w:id="48">
    <w:p w:rsidR="00EC3B93" w:rsidRPr="006F1C8C" w:rsidP="00EC3B93" w14:paraId="25F25D01" w14:textId="363323D1">
      <w:pPr>
        <w:pStyle w:val="FootnoteText"/>
      </w:pPr>
      <w:r w:rsidRPr="006F1C8C">
        <w:rPr>
          <w:rStyle w:val="FootnoteReference"/>
          <w:sz w:val="20"/>
        </w:rPr>
        <w:footnoteRef/>
      </w:r>
      <w:r w:rsidRPr="006F1C8C">
        <w:t xml:space="preserve"> </w:t>
      </w:r>
      <w:r w:rsidRPr="006F1C8C">
        <w:rPr>
          <w:i/>
          <w:iCs/>
        </w:rPr>
        <w:t>See, e.g.</w:t>
      </w:r>
      <w:r w:rsidRPr="006F1C8C">
        <w:t>,</w:t>
      </w:r>
      <w:r w:rsidRPr="006F1C8C">
        <w:rPr>
          <w:i/>
          <w:iCs/>
        </w:rPr>
        <w:t xml:space="preserve"> Authorization of </w:t>
      </w:r>
      <w:r w:rsidRPr="006F1C8C">
        <w:rPr>
          <w:i/>
          <w:iCs/>
        </w:rPr>
        <w:t>Atlink</w:t>
      </w:r>
      <w:r w:rsidRPr="006F1C8C">
        <w:rPr>
          <w:i/>
          <w:iCs/>
        </w:rPr>
        <w:t xml:space="preserve"> Services, LLC to Receive Connect America Fund (CAF) Phase II Auction Support Transferred from Cherokee Telephone Company Pursuant to a Commission Approved Transaction</w:t>
      </w:r>
      <w:r w:rsidRPr="006F1C8C">
        <w:t xml:space="preserve">, WC Docket No. 10-90, Public Notice, 37 FCC </w:t>
      </w:r>
      <w:r w:rsidRPr="006F1C8C">
        <w:t>Rcd</w:t>
      </w:r>
      <w:r w:rsidRPr="006F1C8C">
        <w:t xml:space="preserve"> 6158, 6159 (WCB 2022).</w:t>
      </w:r>
      <w:r w:rsidR="000D4066">
        <w:t xml:space="preserve">  </w:t>
      </w:r>
      <w:r w:rsidRPr="00930E62" w:rsidR="000D4066">
        <w:rPr>
          <w:i/>
          <w:iCs/>
        </w:rPr>
        <w:t>See supra</w:t>
      </w:r>
      <w:r w:rsidR="000D4066">
        <w:t xml:space="preserve"> note 12</w:t>
      </w:r>
      <w:r w:rsidR="00C73470">
        <w:t xml:space="preserve"> (indicating that Applicants ha</w:t>
      </w:r>
      <w:r w:rsidR="00594919">
        <w:t>ve</w:t>
      </w:r>
      <w:r w:rsidR="00C73470">
        <w:t xml:space="preserve"> agreed to these terms within the Application).</w:t>
      </w:r>
      <w:r w:rsidR="000D4066">
        <w:t xml:space="preserve"> </w:t>
      </w:r>
    </w:p>
  </w:footnote>
  <w:footnote w:id="49">
    <w:p w:rsidR="00EC3B93" w:rsidRPr="006F1C8C" w:rsidP="00EC3B93" w14:paraId="5DE6A529" w14:textId="3F4D2FA1">
      <w:pPr>
        <w:pStyle w:val="FootnoteText"/>
      </w:pPr>
      <w:r w:rsidRPr="006F1C8C">
        <w:rPr>
          <w:rStyle w:val="FootnoteReference"/>
          <w:sz w:val="20"/>
        </w:rPr>
        <w:footnoteRef/>
      </w:r>
      <w:r w:rsidRPr="006F1C8C">
        <w:t xml:space="preserve"> </w:t>
      </w:r>
      <w:r w:rsidRPr="006F1C8C">
        <w:rPr>
          <w:rStyle w:val="Emphasis"/>
        </w:rPr>
        <w:t xml:space="preserve">See Rural Digital Opportunity Fund </w:t>
      </w:r>
      <w:r w:rsidR="00F719D4">
        <w:rPr>
          <w:rStyle w:val="Emphasis"/>
        </w:rPr>
        <w:t>Connect America Fund</w:t>
      </w:r>
      <w:r w:rsidRPr="00930E62">
        <w:rPr>
          <w:rStyle w:val="Emphasis"/>
          <w:i w:val="0"/>
          <w:iCs w:val="0"/>
        </w:rPr>
        <w:t xml:space="preserve">, </w:t>
      </w:r>
      <w:r w:rsidR="007C7BDA">
        <w:rPr>
          <w:rStyle w:val="Emphasis"/>
          <w:i w:val="0"/>
          <w:iCs w:val="0"/>
        </w:rPr>
        <w:t>WC Docket Nos. 19-126</w:t>
      </w:r>
      <w:r w:rsidR="00F26778">
        <w:rPr>
          <w:rStyle w:val="Emphasis"/>
          <w:i w:val="0"/>
          <w:iCs w:val="0"/>
        </w:rPr>
        <w:t xml:space="preserve"> and 10-90, </w:t>
      </w:r>
      <w:r w:rsidR="00587F20">
        <w:rPr>
          <w:rStyle w:val="Emphasis"/>
          <w:i w:val="0"/>
          <w:iCs w:val="0"/>
        </w:rPr>
        <w:t xml:space="preserve">Report and Order, </w:t>
      </w:r>
      <w:r w:rsidRPr="00930E62">
        <w:rPr>
          <w:rStyle w:val="Emphasis"/>
          <w:i w:val="0"/>
          <w:iCs w:val="0"/>
        </w:rPr>
        <w:t xml:space="preserve">35 FCC </w:t>
      </w:r>
      <w:r w:rsidRPr="00930E62">
        <w:rPr>
          <w:rStyle w:val="Emphasis"/>
          <w:i w:val="0"/>
          <w:iCs w:val="0"/>
        </w:rPr>
        <w:t>Rcd</w:t>
      </w:r>
      <w:r w:rsidRPr="00930E62">
        <w:rPr>
          <w:rStyle w:val="Emphasis"/>
          <w:i w:val="0"/>
          <w:iCs w:val="0"/>
        </w:rPr>
        <w:t xml:space="preserve"> </w:t>
      </w:r>
      <w:r w:rsidR="008C3F5D">
        <w:rPr>
          <w:rStyle w:val="Emphasis"/>
          <w:i w:val="0"/>
          <w:iCs w:val="0"/>
        </w:rPr>
        <w:t>686,</w:t>
      </w:r>
      <w:r w:rsidRPr="00930E62">
        <w:rPr>
          <w:rStyle w:val="Emphasis"/>
          <w:i w:val="0"/>
          <w:iCs w:val="0"/>
        </w:rPr>
        <w:t xml:space="preserve"> 717-18, para. 68 </w:t>
      </w:r>
      <w:r w:rsidR="007D2B9A">
        <w:rPr>
          <w:rStyle w:val="Emphasis"/>
          <w:i w:val="0"/>
          <w:iCs w:val="0"/>
        </w:rPr>
        <w:t>(2020) (</w:t>
      </w:r>
      <w:r w:rsidR="007D2B9A">
        <w:rPr>
          <w:rStyle w:val="Emphasis"/>
        </w:rPr>
        <w:t>Rural Digital Opportunity Fund Order</w:t>
      </w:r>
      <w:r w:rsidR="007D2B9A">
        <w:rPr>
          <w:rStyle w:val="Emphasis"/>
          <w:i w:val="0"/>
          <w:iCs w:val="0"/>
        </w:rPr>
        <w:t xml:space="preserve">) </w:t>
      </w:r>
      <w:r w:rsidRPr="00930E62">
        <w:rPr>
          <w:rStyle w:val="Emphasis"/>
          <w:i w:val="0"/>
          <w:iCs w:val="0"/>
        </w:rPr>
        <w:t xml:space="preserve">(stressing that it is RDOF bidders’ “sole responsibility” to complete due diligence by conducting adequate research and analysis before participating in the RDOF auction); </w:t>
      </w:r>
      <w:r w:rsidRPr="00C73470">
        <w:rPr>
          <w:rStyle w:val="Emphasis"/>
        </w:rPr>
        <w:t>id</w:t>
      </w:r>
      <w:r w:rsidRPr="00930E62">
        <w:rPr>
          <w:rStyle w:val="Emphasis"/>
          <w:i w:val="0"/>
          <w:iCs w:val="0"/>
        </w:rPr>
        <w:t>. at 725, para. 84 (requiring RDOF short-form applicants to certify that they are solely responsible for compliance with all RDOF requirements).</w:t>
      </w:r>
    </w:p>
  </w:footnote>
  <w:footnote w:id="50">
    <w:p w:rsidR="00EC3B93" w:rsidRPr="006F1C8C" w:rsidP="00EC3B93" w14:paraId="745AFFC4" w14:textId="08499D63">
      <w:pPr>
        <w:pStyle w:val="FootnoteText"/>
      </w:pPr>
      <w:r w:rsidRPr="006F1C8C">
        <w:rPr>
          <w:rStyle w:val="FootnoteReference"/>
          <w:sz w:val="20"/>
        </w:rPr>
        <w:footnoteRef/>
      </w:r>
      <w:r w:rsidRPr="006F1C8C">
        <w:t xml:space="preserve"> </w:t>
      </w:r>
      <w:bookmarkStart w:id="11" w:name="_Hlk193973398"/>
      <w:r w:rsidRPr="006F1C8C">
        <w:t xml:space="preserve">The Bureau provides a summary of the various obligations of authorized RDOF support recipients in prior authorization public notices.  As stated in these public notices, the summary is not intended to be comprehensive, and all authorized parties are responsible for conducting the due diligence required to comply with universal service fund requirements and the Commission’s rules.  </w:t>
      </w:r>
      <w:r w:rsidRPr="006F1C8C">
        <w:rPr>
          <w:i/>
          <w:iCs/>
        </w:rPr>
        <w:t>See, e.g.</w:t>
      </w:r>
      <w:r>
        <w:t xml:space="preserve">, </w:t>
      </w:r>
      <w:r w:rsidRPr="006F1C8C">
        <w:rPr>
          <w:i/>
          <w:iCs/>
        </w:rPr>
        <w:t xml:space="preserve"> Rural Digital Opportunity Fund Support Authorized for 1,345 Winning Bids</w:t>
      </w:r>
      <w:r w:rsidRPr="006F1C8C">
        <w:t xml:space="preserve">, AU Docket No. 20-34, WC Docket Nos. 19-126 and 10-90, Public Notice, 37 FCC </w:t>
      </w:r>
      <w:r w:rsidRPr="006F1C8C">
        <w:t>Rcd</w:t>
      </w:r>
      <w:r w:rsidRPr="006F1C8C">
        <w:t xml:space="preserve"> 4897, 4898-4905 (WCB 2022).  We note that in addition to the requirements and rules specified in the public notices, RDOF support recipients must test and certify compliance with the relevant performance requirements in accordance with the uniform framework that has been adopted for measuring and reporting on high cost performance requirements.  </w:t>
      </w:r>
      <w:r w:rsidRPr="006F1C8C">
        <w:rPr>
          <w:i/>
          <w:iCs/>
        </w:rPr>
        <w:t xml:space="preserve">See </w:t>
      </w:r>
      <w:r w:rsidR="00A96EC4">
        <w:t>47 CFR §</w:t>
      </w:r>
      <w:r w:rsidR="004A6C98">
        <w:t>§</w:t>
      </w:r>
      <w:r w:rsidR="00A96EC4">
        <w:t xml:space="preserve"> </w:t>
      </w:r>
      <w:r w:rsidR="000874DC">
        <w:t>54.313</w:t>
      </w:r>
      <w:r w:rsidR="004A6C98">
        <w:t xml:space="preserve">(a)(6), </w:t>
      </w:r>
      <w:r w:rsidR="00A96EC4">
        <w:t>54.805(b)</w:t>
      </w:r>
      <w:r w:rsidR="004A6C98">
        <w:t xml:space="preserve">. </w:t>
      </w:r>
      <w:bookmarkEnd w:id="11"/>
    </w:p>
  </w:footnote>
  <w:footnote w:id="51">
    <w:p w:rsidR="00EC3B93" w:rsidRPr="006F1C8C" w:rsidP="00EC3B93" w14:paraId="6212F54B" w14:textId="77777777">
      <w:pPr>
        <w:pStyle w:val="FootnoteText"/>
        <w:rPr>
          <w:i/>
          <w:iCs/>
        </w:rPr>
      </w:pPr>
      <w:r w:rsidRPr="006F1C8C">
        <w:rPr>
          <w:rStyle w:val="FootnoteReference"/>
          <w:sz w:val="20"/>
        </w:rPr>
        <w:footnoteRef/>
      </w:r>
      <w:r w:rsidRPr="006F1C8C">
        <w:t xml:space="preserve"> </w:t>
      </w:r>
      <w:bookmarkStart w:id="12" w:name="_Hlk193973425"/>
      <w:r w:rsidRPr="006F1C8C">
        <w:t xml:space="preserve">Specifically, RDOF support recipients must deploy service to an increasing percentage of authorized locations as of December 31st of each year beginning with a 40% milestone as of the third year of receiving support (for carriers authorized in 2022, the end of 2025), 60% as of the fourth year (2026), 80% as of the fifth year (2027), and 100% as of the sixth year (2028).  47 CFR § 54.802(c); </w:t>
      </w:r>
      <w:r w:rsidRPr="006F1C8C">
        <w:rPr>
          <w:i/>
          <w:iCs/>
        </w:rPr>
        <w:t>Rural Digital Opportunity Fund Order,</w:t>
      </w:r>
      <w:r w:rsidRPr="006F1C8C">
        <w:t xml:space="preserve"> 35 FCC </w:t>
      </w:r>
      <w:r w:rsidRPr="006F1C8C">
        <w:t>Rcd</w:t>
      </w:r>
      <w:r w:rsidRPr="006F1C8C">
        <w:t xml:space="preserve"> at 709-12, paras. 45-55.  The Commission will then adjust the initial defined deployment obligation assigned to each RDOF support recipient based on its determination of the number of locations within the supported area, without increasing or decreasing the authorized RDOF support, within a 35% margin of that support amount, consistent with RDOF requirements and rules.  47 CFR § 54.802(c); </w:t>
      </w:r>
      <w:r w:rsidRPr="006F1C8C">
        <w:rPr>
          <w:i/>
          <w:iCs/>
        </w:rPr>
        <w:t>Rural Digital Opportunity Fund Order</w:t>
      </w:r>
      <w:r w:rsidRPr="006F1C8C">
        <w:t xml:space="preserve">, 35 FCC </w:t>
      </w:r>
      <w:r w:rsidRPr="006F1C8C">
        <w:t>Rcd</w:t>
      </w:r>
      <w:r w:rsidRPr="006F1C8C">
        <w:t xml:space="preserve"> at 710-11, paras. 49-50.</w:t>
      </w:r>
      <w:bookmarkEnd w:id="12"/>
    </w:p>
  </w:footnote>
  <w:footnote w:id="52">
    <w:p w:rsidR="00EC3B93" w:rsidRPr="00254674" w:rsidP="00EC3B93" w14:paraId="0C591817" w14:textId="77777777">
      <w:pPr>
        <w:pStyle w:val="FootnoteText"/>
      </w:pPr>
      <w:r w:rsidRPr="006F1C8C">
        <w:rPr>
          <w:rStyle w:val="FootnoteReference"/>
          <w:sz w:val="20"/>
        </w:rPr>
        <w:footnoteRef/>
      </w:r>
      <w:r w:rsidRPr="006F1C8C">
        <w:t xml:space="preserve"> </w:t>
      </w:r>
      <w:r w:rsidRPr="006F1C8C">
        <w:rPr>
          <w:i/>
          <w:iCs/>
        </w:rPr>
        <w:t>See</w:t>
      </w:r>
      <w:r w:rsidRPr="006F1C8C">
        <w:t xml:space="preserve"> 47 U.S.C. § 214(a); 47 CFR § 63.0</w:t>
      </w:r>
      <w:r>
        <w:t>4</w:t>
      </w:r>
      <w:r w:rsidRPr="006F1C8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52DBB5A" w14:textId="0B241FA5">
    <w:pPr>
      <w:tabs>
        <w:tab w:val="center" w:pos="4680"/>
        <w:tab w:val="right" w:pos="9360"/>
      </w:tabs>
    </w:pPr>
    <w:r>
      <w:rPr>
        <w:b/>
      </w:rPr>
      <w:tab/>
      <w:t>Federal Communications Commission</w:t>
    </w:r>
    <w:r>
      <w:rPr>
        <w:b/>
      </w:rPr>
      <w:tab/>
    </w:r>
    <w:r w:rsidR="00227BA1">
      <w:rPr>
        <w:b/>
      </w:rPr>
      <w:t>DA 2</w:t>
    </w:r>
    <w:r w:rsidR="009B2BDF">
      <w:rPr>
        <w:b/>
      </w:rPr>
      <w:t>6</w:t>
    </w:r>
    <w:r w:rsidR="00227BA1">
      <w:rPr>
        <w:b/>
      </w:rPr>
      <w:t>-</w:t>
    </w:r>
    <w:r w:rsidR="00864211">
      <w:rPr>
        <w:b/>
      </w:rPr>
      <w:t>209</w:t>
    </w:r>
  </w:p>
  <w:p w:rsidR="00BA3BA8" w14:paraId="66793785" w14:textId="7EE4E670">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5353E2A0"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2AC5FB22" w14:textId="5EEB975E">
    <w:pPr>
      <w:pStyle w:val="Header"/>
    </w:pPr>
    <w:r>
      <w:rPr>
        <w:noProof/>
      </w:rPr>
      <w:drawing>
        <wp:inline distT="0" distB="0" distL="0" distR="0">
          <wp:extent cx="59563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63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9305A"/>
    <w:multiLevelType w:val="multilevel"/>
    <w:tmpl w:val="57A4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7">
    <w:nsid w:val="6A614CCE"/>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E20A48"/>
    <w:multiLevelType w:val="multilevel"/>
    <w:tmpl w:val="58423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223528">
    <w:abstractNumId w:val="2"/>
  </w:num>
  <w:num w:numId="2" w16cid:durableId="890339313">
    <w:abstractNumId w:val="6"/>
  </w:num>
  <w:num w:numId="3" w16cid:durableId="528419151">
    <w:abstractNumId w:val="4"/>
  </w:num>
  <w:num w:numId="4" w16cid:durableId="1245721454">
    <w:abstractNumId w:val="5"/>
  </w:num>
  <w:num w:numId="5" w16cid:durableId="1255556118">
    <w:abstractNumId w:val="3"/>
  </w:num>
  <w:num w:numId="6" w16cid:durableId="1286346123">
    <w:abstractNumId w:val="0"/>
  </w:num>
  <w:num w:numId="7" w16cid:durableId="2096245613">
    <w:abstractNumId w:val="7"/>
  </w:num>
  <w:num w:numId="8" w16cid:durableId="823476080">
    <w:abstractNumId w:val="1"/>
  </w:num>
  <w:num w:numId="9" w16cid:durableId="1831603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15"/>
    <w:rsid w:val="00001ED4"/>
    <w:rsid w:val="00001FB2"/>
    <w:rsid w:val="00002E10"/>
    <w:rsid w:val="00011507"/>
    <w:rsid w:val="00014786"/>
    <w:rsid w:val="0002112A"/>
    <w:rsid w:val="00024DE5"/>
    <w:rsid w:val="00027446"/>
    <w:rsid w:val="00027876"/>
    <w:rsid w:val="00027C50"/>
    <w:rsid w:val="00027FB9"/>
    <w:rsid w:val="00031F1E"/>
    <w:rsid w:val="00033ED9"/>
    <w:rsid w:val="00034155"/>
    <w:rsid w:val="00034F1C"/>
    <w:rsid w:val="00036CF3"/>
    <w:rsid w:val="000418CB"/>
    <w:rsid w:val="00041939"/>
    <w:rsid w:val="0005107C"/>
    <w:rsid w:val="0005125A"/>
    <w:rsid w:val="000519EE"/>
    <w:rsid w:val="00053179"/>
    <w:rsid w:val="00053F28"/>
    <w:rsid w:val="0005433C"/>
    <w:rsid w:val="00054EA1"/>
    <w:rsid w:val="00054EBC"/>
    <w:rsid w:val="000558F4"/>
    <w:rsid w:val="00057F18"/>
    <w:rsid w:val="00060B78"/>
    <w:rsid w:val="00061D87"/>
    <w:rsid w:val="00062DAA"/>
    <w:rsid w:val="000639C2"/>
    <w:rsid w:val="00064B2B"/>
    <w:rsid w:val="00066ED5"/>
    <w:rsid w:val="000715F6"/>
    <w:rsid w:val="000754F1"/>
    <w:rsid w:val="00077571"/>
    <w:rsid w:val="00077942"/>
    <w:rsid w:val="00077B8B"/>
    <w:rsid w:val="00077C93"/>
    <w:rsid w:val="00081FD5"/>
    <w:rsid w:val="00085D6F"/>
    <w:rsid w:val="000874DC"/>
    <w:rsid w:val="0009239B"/>
    <w:rsid w:val="00093920"/>
    <w:rsid w:val="000969DB"/>
    <w:rsid w:val="000A0D26"/>
    <w:rsid w:val="000A0F72"/>
    <w:rsid w:val="000A2FF6"/>
    <w:rsid w:val="000A55F0"/>
    <w:rsid w:val="000A66C1"/>
    <w:rsid w:val="000B3B42"/>
    <w:rsid w:val="000C08EC"/>
    <w:rsid w:val="000C50C3"/>
    <w:rsid w:val="000C5855"/>
    <w:rsid w:val="000D1A5C"/>
    <w:rsid w:val="000D1DA9"/>
    <w:rsid w:val="000D3C77"/>
    <w:rsid w:val="000D4066"/>
    <w:rsid w:val="000D5B70"/>
    <w:rsid w:val="000D5E08"/>
    <w:rsid w:val="000E0455"/>
    <w:rsid w:val="000E082F"/>
    <w:rsid w:val="000E1A4B"/>
    <w:rsid w:val="000E1CD3"/>
    <w:rsid w:val="000E2827"/>
    <w:rsid w:val="000E5B0D"/>
    <w:rsid w:val="000E7447"/>
    <w:rsid w:val="000E772E"/>
    <w:rsid w:val="000F0008"/>
    <w:rsid w:val="000F0BBF"/>
    <w:rsid w:val="000F1B2C"/>
    <w:rsid w:val="000F3425"/>
    <w:rsid w:val="000F4CAB"/>
    <w:rsid w:val="00100576"/>
    <w:rsid w:val="001116DC"/>
    <w:rsid w:val="00113566"/>
    <w:rsid w:val="00113677"/>
    <w:rsid w:val="00113F1C"/>
    <w:rsid w:val="00115265"/>
    <w:rsid w:val="00115F81"/>
    <w:rsid w:val="00122469"/>
    <w:rsid w:val="00124029"/>
    <w:rsid w:val="00124E5C"/>
    <w:rsid w:val="00127208"/>
    <w:rsid w:val="0012783C"/>
    <w:rsid w:val="00131D92"/>
    <w:rsid w:val="00133301"/>
    <w:rsid w:val="0013463A"/>
    <w:rsid w:val="00140D83"/>
    <w:rsid w:val="00143CBF"/>
    <w:rsid w:val="001509AC"/>
    <w:rsid w:val="00151D65"/>
    <w:rsid w:val="001531B6"/>
    <w:rsid w:val="00153541"/>
    <w:rsid w:val="0015660B"/>
    <w:rsid w:val="00157CD9"/>
    <w:rsid w:val="0016443F"/>
    <w:rsid w:val="00166E2C"/>
    <w:rsid w:val="00167835"/>
    <w:rsid w:val="00170FF4"/>
    <w:rsid w:val="001712C3"/>
    <w:rsid w:val="00177B23"/>
    <w:rsid w:val="00180846"/>
    <w:rsid w:val="00180AC2"/>
    <w:rsid w:val="00181AB5"/>
    <w:rsid w:val="0018541B"/>
    <w:rsid w:val="001855FB"/>
    <w:rsid w:val="00185967"/>
    <w:rsid w:val="0018753E"/>
    <w:rsid w:val="0019130C"/>
    <w:rsid w:val="00192105"/>
    <w:rsid w:val="001926DA"/>
    <w:rsid w:val="001A035D"/>
    <w:rsid w:val="001A5115"/>
    <w:rsid w:val="001A698B"/>
    <w:rsid w:val="001A7110"/>
    <w:rsid w:val="001B00C7"/>
    <w:rsid w:val="001B0B09"/>
    <w:rsid w:val="001B6B78"/>
    <w:rsid w:val="001B727B"/>
    <w:rsid w:val="001B7A3B"/>
    <w:rsid w:val="001C02DF"/>
    <w:rsid w:val="001C0FFE"/>
    <w:rsid w:val="001C13FC"/>
    <w:rsid w:val="001C5197"/>
    <w:rsid w:val="001D0BF2"/>
    <w:rsid w:val="001D0D0A"/>
    <w:rsid w:val="001D4446"/>
    <w:rsid w:val="001D58B7"/>
    <w:rsid w:val="001D6BBC"/>
    <w:rsid w:val="001E3224"/>
    <w:rsid w:val="001F3D6C"/>
    <w:rsid w:val="001F3F71"/>
    <w:rsid w:val="001F3FD5"/>
    <w:rsid w:val="001F5BBD"/>
    <w:rsid w:val="001F6001"/>
    <w:rsid w:val="002011E0"/>
    <w:rsid w:val="00204C75"/>
    <w:rsid w:val="002115B5"/>
    <w:rsid w:val="00213606"/>
    <w:rsid w:val="002177D5"/>
    <w:rsid w:val="00217F71"/>
    <w:rsid w:val="002209F0"/>
    <w:rsid w:val="00220DA3"/>
    <w:rsid w:val="00222979"/>
    <w:rsid w:val="00224260"/>
    <w:rsid w:val="002279D9"/>
    <w:rsid w:val="00227BA1"/>
    <w:rsid w:val="00230FD9"/>
    <w:rsid w:val="00231F18"/>
    <w:rsid w:val="00232B3C"/>
    <w:rsid w:val="00234941"/>
    <w:rsid w:val="0023603C"/>
    <w:rsid w:val="00244A0B"/>
    <w:rsid w:val="00250A94"/>
    <w:rsid w:val="00253372"/>
    <w:rsid w:val="002542E2"/>
    <w:rsid w:val="00254674"/>
    <w:rsid w:val="002549D0"/>
    <w:rsid w:val="00256A6F"/>
    <w:rsid w:val="00260C13"/>
    <w:rsid w:val="002610F6"/>
    <w:rsid w:val="00272232"/>
    <w:rsid w:val="00275AFD"/>
    <w:rsid w:val="00280E6F"/>
    <w:rsid w:val="00282155"/>
    <w:rsid w:val="00283618"/>
    <w:rsid w:val="002844EF"/>
    <w:rsid w:val="00285D4B"/>
    <w:rsid w:val="00292D02"/>
    <w:rsid w:val="00293D10"/>
    <w:rsid w:val="00295220"/>
    <w:rsid w:val="002952AB"/>
    <w:rsid w:val="002A2B95"/>
    <w:rsid w:val="002A645E"/>
    <w:rsid w:val="002B3857"/>
    <w:rsid w:val="002C40CE"/>
    <w:rsid w:val="002C4ABC"/>
    <w:rsid w:val="002C5784"/>
    <w:rsid w:val="002C6EF0"/>
    <w:rsid w:val="002C7369"/>
    <w:rsid w:val="002C7707"/>
    <w:rsid w:val="002C7938"/>
    <w:rsid w:val="002D6026"/>
    <w:rsid w:val="002D6456"/>
    <w:rsid w:val="002E31FF"/>
    <w:rsid w:val="002E4C60"/>
    <w:rsid w:val="002E7890"/>
    <w:rsid w:val="002F090E"/>
    <w:rsid w:val="002F1EF4"/>
    <w:rsid w:val="0030420A"/>
    <w:rsid w:val="00304B5D"/>
    <w:rsid w:val="00307BD5"/>
    <w:rsid w:val="00310A39"/>
    <w:rsid w:val="0031169F"/>
    <w:rsid w:val="0031199B"/>
    <w:rsid w:val="003126D0"/>
    <w:rsid w:val="00316372"/>
    <w:rsid w:val="00322582"/>
    <w:rsid w:val="00322897"/>
    <w:rsid w:val="003234C9"/>
    <w:rsid w:val="003250B3"/>
    <w:rsid w:val="00326DF2"/>
    <w:rsid w:val="0033190F"/>
    <w:rsid w:val="00332438"/>
    <w:rsid w:val="00333766"/>
    <w:rsid w:val="003338CC"/>
    <w:rsid w:val="00334F59"/>
    <w:rsid w:val="00341FB1"/>
    <w:rsid w:val="003429F3"/>
    <w:rsid w:val="003447CE"/>
    <w:rsid w:val="003474E1"/>
    <w:rsid w:val="003540F1"/>
    <w:rsid w:val="00354198"/>
    <w:rsid w:val="00356B06"/>
    <w:rsid w:val="00361EA0"/>
    <w:rsid w:val="00362908"/>
    <w:rsid w:val="00364EBE"/>
    <w:rsid w:val="00365DD6"/>
    <w:rsid w:val="003666AB"/>
    <w:rsid w:val="003676B3"/>
    <w:rsid w:val="0036770C"/>
    <w:rsid w:val="00371501"/>
    <w:rsid w:val="003729DF"/>
    <w:rsid w:val="00372F1A"/>
    <w:rsid w:val="00374AA3"/>
    <w:rsid w:val="003765A4"/>
    <w:rsid w:val="0038175B"/>
    <w:rsid w:val="0038537E"/>
    <w:rsid w:val="003908AD"/>
    <w:rsid w:val="00390C4A"/>
    <w:rsid w:val="00391D80"/>
    <w:rsid w:val="00391FBC"/>
    <w:rsid w:val="003925A7"/>
    <w:rsid w:val="00395935"/>
    <w:rsid w:val="00395EAA"/>
    <w:rsid w:val="003A0332"/>
    <w:rsid w:val="003A1038"/>
    <w:rsid w:val="003A46CE"/>
    <w:rsid w:val="003A5E45"/>
    <w:rsid w:val="003A69E1"/>
    <w:rsid w:val="003B07B8"/>
    <w:rsid w:val="003B1410"/>
    <w:rsid w:val="003B1450"/>
    <w:rsid w:val="003B1C20"/>
    <w:rsid w:val="003B3626"/>
    <w:rsid w:val="003B3AFF"/>
    <w:rsid w:val="003B41A5"/>
    <w:rsid w:val="003B4968"/>
    <w:rsid w:val="003B4C13"/>
    <w:rsid w:val="003B5697"/>
    <w:rsid w:val="003B6966"/>
    <w:rsid w:val="003C2073"/>
    <w:rsid w:val="003C4B15"/>
    <w:rsid w:val="003D1982"/>
    <w:rsid w:val="003D1E11"/>
    <w:rsid w:val="003D4535"/>
    <w:rsid w:val="003E1FB0"/>
    <w:rsid w:val="003E5F3B"/>
    <w:rsid w:val="003E5FCB"/>
    <w:rsid w:val="003F1321"/>
    <w:rsid w:val="003F1A85"/>
    <w:rsid w:val="003F241A"/>
    <w:rsid w:val="003F2524"/>
    <w:rsid w:val="003F46C9"/>
    <w:rsid w:val="003F627E"/>
    <w:rsid w:val="004016E0"/>
    <w:rsid w:val="004022F8"/>
    <w:rsid w:val="00403187"/>
    <w:rsid w:val="00405501"/>
    <w:rsid w:val="00406650"/>
    <w:rsid w:val="004110BC"/>
    <w:rsid w:val="004204F3"/>
    <w:rsid w:val="004206C1"/>
    <w:rsid w:val="00421B6C"/>
    <w:rsid w:val="00422751"/>
    <w:rsid w:val="00422EC2"/>
    <w:rsid w:val="0042352A"/>
    <w:rsid w:val="00430183"/>
    <w:rsid w:val="00430ECB"/>
    <w:rsid w:val="00432173"/>
    <w:rsid w:val="00432C96"/>
    <w:rsid w:val="00433BF1"/>
    <w:rsid w:val="004425DA"/>
    <w:rsid w:val="00444337"/>
    <w:rsid w:val="00451DBB"/>
    <w:rsid w:val="00453303"/>
    <w:rsid w:val="00453876"/>
    <w:rsid w:val="0045429D"/>
    <w:rsid w:val="00455CC5"/>
    <w:rsid w:val="00456904"/>
    <w:rsid w:val="00457269"/>
    <w:rsid w:val="004601F1"/>
    <w:rsid w:val="0046528F"/>
    <w:rsid w:val="00465D1E"/>
    <w:rsid w:val="004702D2"/>
    <w:rsid w:val="00480887"/>
    <w:rsid w:val="004831A5"/>
    <w:rsid w:val="0048498D"/>
    <w:rsid w:val="004850FB"/>
    <w:rsid w:val="00485B5C"/>
    <w:rsid w:val="00490280"/>
    <w:rsid w:val="00491364"/>
    <w:rsid w:val="00493DB5"/>
    <w:rsid w:val="0049484F"/>
    <w:rsid w:val="00494B08"/>
    <w:rsid w:val="00496204"/>
    <w:rsid w:val="004A2683"/>
    <w:rsid w:val="004A6C98"/>
    <w:rsid w:val="004A7CA9"/>
    <w:rsid w:val="004B28A1"/>
    <w:rsid w:val="004B33A2"/>
    <w:rsid w:val="004C1067"/>
    <w:rsid w:val="004C27C6"/>
    <w:rsid w:val="004C36CF"/>
    <w:rsid w:val="004C3770"/>
    <w:rsid w:val="004C4B6C"/>
    <w:rsid w:val="004C4FB3"/>
    <w:rsid w:val="004C64B3"/>
    <w:rsid w:val="004D051F"/>
    <w:rsid w:val="004D2B0C"/>
    <w:rsid w:val="004D37F3"/>
    <w:rsid w:val="004D3A37"/>
    <w:rsid w:val="004D5B0F"/>
    <w:rsid w:val="004D60A3"/>
    <w:rsid w:val="004D7246"/>
    <w:rsid w:val="004E1BC0"/>
    <w:rsid w:val="004E2D93"/>
    <w:rsid w:val="004E4EED"/>
    <w:rsid w:val="004F0E38"/>
    <w:rsid w:val="004F2158"/>
    <w:rsid w:val="004F3017"/>
    <w:rsid w:val="004F73BD"/>
    <w:rsid w:val="00501D0E"/>
    <w:rsid w:val="00502015"/>
    <w:rsid w:val="0050499C"/>
    <w:rsid w:val="00504A6F"/>
    <w:rsid w:val="00504F66"/>
    <w:rsid w:val="0051026E"/>
    <w:rsid w:val="00511247"/>
    <w:rsid w:val="005125D3"/>
    <w:rsid w:val="00513351"/>
    <w:rsid w:val="00513F13"/>
    <w:rsid w:val="00514BFC"/>
    <w:rsid w:val="00521402"/>
    <w:rsid w:val="00521470"/>
    <w:rsid w:val="00521AC7"/>
    <w:rsid w:val="00523F87"/>
    <w:rsid w:val="00524467"/>
    <w:rsid w:val="00524FFA"/>
    <w:rsid w:val="00525AA1"/>
    <w:rsid w:val="00531B7D"/>
    <w:rsid w:val="005347B2"/>
    <w:rsid w:val="0054028A"/>
    <w:rsid w:val="0054180F"/>
    <w:rsid w:val="00542143"/>
    <w:rsid w:val="0054466D"/>
    <w:rsid w:val="00545C6A"/>
    <w:rsid w:val="005565F4"/>
    <w:rsid w:val="00556D50"/>
    <w:rsid w:val="00565000"/>
    <w:rsid w:val="0056560A"/>
    <w:rsid w:val="0056718B"/>
    <w:rsid w:val="005672C3"/>
    <w:rsid w:val="0056779A"/>
    <w:rsid w:val="005704A8"/>
    <w:rsid w:val="005715F7"/>
    <w:rsid w:val="00577808"/>
    <w:rsid w:val="00585642"/>
    <w:rsid w:val="0058770C"/>
    <w:rsid w:val="00587EDD"/>
    <w:rsid w:val="00587F20"/>
    <w:rsid w:val="00590198"/>
    <w:rsid w:val="00590B84"/>
    <w:rsid w:val="00591391"/>
    <w:rsid w:val="00593E7D"/>
    <w:rsid w:val="00594919"/>
    <w:rsid w:val="00595096"/>
    <w:rsid w:val="005952F5"/>
    <w:rsid w:val="005969DE"/>
    <w:rsid w:val="005A27D3"/>
    <w:rsid w:val="005A2FBC"/>
    <w:rsid w:val="005A53E3"/>
    <w:rsid w:val="005A5F6D"/>
    <w:rsid w:val="005A6AD3"/>
    <w:rsid w:val="005A6DD0"/>
    <w:rsid w:val="005B2642"/>
    <w:rsid w:val="005B28CD"/>
    <w:rsid w:val="005B3707"/>
    <w:rsid w:val="005B40F9"/>
    <w:rsid w:val="005B55A0"/>
    <w:rsid w:val="005C027B"/>
    <w:rsid w:val="005C028B"/>
    <w:rsid w:val="005C6FD8"/>
    <w:rsid w:val="005C7501"/>
    <w:rsid w:val="005D24E2"/>
    <w:rsid w:val="005D34F0"/>
    <w:rsid w:val="005D4FBC"/>
    <w:rsid w:val="005D6A8A"/>
    <w:rsid w:val="005E56B3"/>
    <w:rsid w:val="005E77D5"/>
    <w:rsid w:val="005F45B1"/>
    <w:rsid w:val="005F5051"/>
    <w:rsid w:val="006015E2"/>
    <w:rsid w:val="00601BDD"/>
    <w:rsid w:val="00601CDD"/>
    <w:rsid w:val="00610073"/>
    <w:rsid w:val="006103EA"/>
    <w:rsid w:val="00613109"/>
    <w:rsid w:val="00613756"/>
    <w:rsid w:val="0061689E"/>
    <w:rsid w:val="00616D07"/>
    <w:rsid w:val="0061752F"/>
    <w:rsid w:val="0062210A"/>
    <w:rsid w:val="006247C1"/>
    <w:rsid w:val="006248D3"/>
    <w:rsid w:val="00627672"/>
    <w:rsid w:val="0063001D"/>
    <w:rsid w:val="00630549"/>
    <w:rsid w:val="006352AD"/>
    <w:rsid w:val="0063761F"/>
    <w:rsid w:val="00640C97"/>
    <w:rsid w:val="00642BB6"/>
    <w:rsid w:val="00642D78"/>
    <w:rsid w:val="00646880"/>
    <w:rsid w:val="00647C47"/>
    <w:rsid w:val="00653D4F"/>
    <w:rsid w:val="00654C35"/>
    <w:rsid w:val="006553AC"/>
    <w:rsid w:val="0065555B"/>
    <w:rsid w:val="00657C02"/>
    <w:rsid w:val="0066064F"/>
    <w:rsid w:val="006628BA"/>
    <w:rsid w:val="00663960"/>
    <w:rsid w:val="0066592E"/>
    <w:rsid w:val="00674EF0"/>
    <w:rsid w:val="006764D0"/>
    <w:rsid w:val="006775DA"/>
    <w:rsid w:val="00677A08"/>
    <w:rsid w:val="00680096"/>
    <w:rsid w:val="00682BA7"/>
    <w:rsid w:val="00682ED6"/>
    <w:rsid w:val="00684591"/>
    <w:rsid w:val="00687E5B"/>
    <w:rsid w:val="00690D3B"/>
    <w:rsid w:val="00692457"/>
    <w:rsid w:val="0069278A"/>
    <w:rsid w:val="00692FF3"/>
    <w:rsid w:val="006932E7"/>
    <w:rsid w:val="0069334A"/>
    <w:rsid w:val="00693D49"/>
    <w:rsid w:val="00696CEB"/>
    <w:rsid w:val="006A5216"/>
    <w:rsid w:val="006A556F"/>
    <w:rsid w:val="006A641D"/>
    <w:rsid w:val="006A70BD"/>
    <w:rsid w:val="006B054F"/>
    <w:rsid w:val="006B32FD"/>
    <w:rsid w:val="006B4330"/>
    <w:rsid w:val="006B566A"/>
    <w:rsid w:val="006C0D7F"/>
    <w:rsid w:val="006C2A2A"/>
    <w:rsid w:val="006C2CB7"/>
    <w:rsid w:val="006C574E"/>
    <w:rsid w:val="006C68D4"/>
    <w:rsid w:val="006C6ADA"/>
    <w:rsid w:val="006D24AD"/>
    <w:rsid w:val="006D5EC9"/>
    <w:rsid w:val="006D7329"/>
    <w:rsid w:val="006E2C2C"/>
    <w:rsid w:val="006E3335"/>
    <w:rsid w:val="006E365E"/>
    <w:rsid w:val="006E3F39"/>
    <w:rsid w:val="006E78DA"/>
    <w:rsid w:val="006F1C8C"/>
    <w:rsid w:val="006F44E7"/>
    <w:rsid w:val="006F6B73"/>
    <w:rsid w:val="00704A7A"/>
    <w:rsid w:val="00705CC1"/>
    <w:rsid w:val="00706FA0"/>
    <w:rsid w:val="00714176"/>
    <w:rsid w:val="007224F7"/>
    <w:rsid w:val="007230A3"/>
    <w:rsid w:val="00723F5A"/>
    <w:rsid w:val="0073260F"/>
    <w:rsid w:val="0073336F"/>
    <w:rsid w:val="00742728"/>
    <w:rsid w:val="0074288F"/>
    <w:rsid w:val="00750197"/>
    <w:rsid w:val="00751D73"/>
    <w:rsid w:val="00753914"/>
    <w:rsid w:val="00755500"/>
    <w:rsid w:val="00757BA1"/>
    <w:rsid w:val="007633C0"/>
    <w:rsid w:val="007642C3"/>
    <w:rsid w:val="0076575B"/>
    <w:rsid w:val="007661DF"/>
    <w:rsid w:val="00767D49"/>
    <w:rsid w:val="00772958"/>
    <w:rsid w:val="00773810"/>
    <w:rsid w:val="00774125"/>
    <w:rsid w:val="00777F5A"/>
    <w:rsid w:val="007818AD"/>
    <w:rsid w:val="00783D66"/>
    <w:rsid w:val="007912B9"/>
    <w:rsid w:val="00794C05"/>
    <w:rsid w:val="00794D0D"/>
    <w:rsid w:val="00795128"/>
    <w:rsid w:val="00797BB7"/>
    <w:rsid w:val="007A272C"/>
    <w:rsid w:val="007A56BA"/>
    <w:rsid w:val="007A7AA7"/>
    <w:rsid w:val="007B0148"/>
    <w:rsid w:val="007B22DE"/>
    <w:rsid w:val="007B4D14"/>
    <w:rsid w:val="007B60FD"/>
    <w:rsid w:val="007B6D48"/>
    <w:rsid w:val="007C0A13"/>
    <w:rsid w:val="007C13C2"/>
    <w:rsid w:val="007C2FCE"/>
    <w:rsid w:val="007C7BDA"/>
    <w:rsid w:val="007D0BC0"/>
    <w:rsid w:val="007D2B9A"/>
    <w:rsid w:val="007D393B"/>
    <w:rsid w:val="007D4280"/>
    <w:rsid w:val="007D46FE"/>
    <w:rsid w:val="007D4819"/>
    <w:rsid w:val="007D6965"/>
    <w:rsid w:val="007D6E06"/>
    <w:rsid w:val="007E0001"/>
    <w:rsid w:val="007E2304"/>
    <w:rsid w:val="007E2BD0"/>
    <w:rsid w:val="007E2D4A"/>
    <w:rsid w:val="007E5CDE"/>
    <w:rsid w:val="007E6960"/>
    <w:rsid w:val="007E7B19"/>
    <w:rsid w:val="007F3A44"/>
    <w:rsid w:val="007F3CD5"/>
    <w:rsid w:val="007F43EA"/>
    <w:rsid w:val="007F7818"/>
    <w:rsid w:val="00800E93"/>
    <w:rsid w:val="00803B4E"/>
    <w:rsid w:val="00806780"/>
    <w:rsid w:val="008107EF"/>
    <w:rsid w:val="00815E15"/>
    <w:rsid w:val="008162E3"/>
    <w:rsid w:val="00827A8D"/>
    <w:rsid w:val="008310E7"/>
    <w:rsid w:val="00831322"/>
    <w:rsid w:val="00831FE9"/>
    <w:rsid w:val="00833ABF"/>
    <w:rsid w:val="00833C3E"/>
    <w:rsid w:val="008350C4"/>
    <w:rsid w:val="0083539F"/>
    <w:rsid w:val="00836FEF"/>
    <w:rsid w:val="00837E09"/>
    <w:rsid w:val="00840191"/>
    <w:rsid w:val="00840964"/>
    <w:rsid w:val="0084213A"/>
    <w:rsid w:val="008509CF"/>
    <w:rsid w:val="00850B32"/>
    <w:rsid w:val="0085117F"/>
    <w:rsid w:val="008515FB"/>
    <w:rsid w:val="00851D43"/>
    <w:rsid w:val="00851EFF"/>
    <w:rsid w:val="008541D7"/>
    <w:rsid w:val="00855064"/>
    <w:rsid w:val="00856ADF"/>
    <w:rsid w:val="00857452"/>
    <w:rsid w:val="008578E9"/>
    <w:rsid w:val="00864211"/>
    <w:rsid w:val="00865461"/>
    <w:rsid w:val="00867133"/>
    <w:rsid w:val="00867B2D"/>
    <w:rsid w:val="00867E86"/>
    <w:rsid w:val="00867ECB"/>
    <w:rsid w:val="0087256D"/>
    <w:rsid w:val="00873F28"/>
    <w:rsid w:val="00874926"/>
    <w:rsid w:val="00875C54"/>
    <w:rsid w:val="00876AB9"/>
    <w:rsid w:val="00881759"/>
    <w:rsid w:val="00881EBA"/>
    <w:rsid w:val="00881F00"/>
    <w:rsid w:val="0088396A"/>
    <w:rsid w:val="00883E69"/>
    <w:rsid w:val="00884682"/>
    <w:rsid w:val="008900B0"/>
    <w:rsid w:val="00891433"/>
    <w:rsid w:val="00892C22"/>
    <w:rsid w:val="00893C64"/>
    <w:rsid w:val="00895408"/>
    <w:rsid w:val="00897924"/>
    <w:rsid w:val="008A3597"/>
    <w:rsid w:val="008A605C"/>
    <w:rsid w:val="008B0A04"/>
    <w:rsid w:val="008B1B61"/>
    <w:rsid w:val="008C32DE"/>
    <w:rsid w:val="008C3F5D"/>
    <w:rsid w:val="008C580F"/>
    <w:rsid w:val="008C744C"/>
    <w:rsid w:val="008C77D0"/>
    <w:rsid w:val="008D0202"/>
    <w:rsid w:val="008D05A5"/>
    <w:rsid w:val="008D11F3"/>
    <w:rsid w:val="008D2BC8"/>
    <w:rsid w:val="008D3855"/>
    <w:rsid w:val="008D5EEB"/>
    <w:rsid w:val="008E0C07"/>
    <w:rsid w:val="008E217D"/>
    <w:rsid w:val="008E29AF"/>
    <w:rsid w:val="008E46DC"/>
    <w:rsid w:val="008E5072"/>
    <w:rsid w:val="008E7F85"/>
    <w:rsid w:val="008F1BDB"/>
    <w:rsid w:val="008F327C"/>
    <w:rsid w:val="008F3D7F"/>
    <w:rsid w:val="008F40E4"/>
    <w:rsid w:val="008F4CA9"/>
    <w:rsid w:val="008F547B"/>
    <w:rsid w:val="008F79E3"/>
    <w:rsid w:val="0090026A"/>
    <w:rsid w:val="00900815"/>
    <w:rsid w:val="00907999"/>
    <w:rsid w:val="009115CE"/>
    <w:rsid w:val="009124F9"/>
    <w:rsid w:val="009136A8"/>
    <w:rsid w:val="00913A92"/>
    <w:rsid w:val="00915D89"/>
    <w:rsid w:val="00916400"/>
    <w:rsid w:val="00916C47"/>
    <w:rsid w:val="00922C25"/>
    <w:rsid w:val="009237AE"/>
    <w:rsid w:val="00925771"/>
    <w:rsid w:val="009258D0"/>
    <w:rsid w:val="00925D26"/>
    <w:rsid w:val="00926787"/>
    <w:rsid w:val="009270F6"/>
    <w:rsid w:val="0092718B"/>
    <w:rsid w:val="00930E62"/>
    <w:rsid w:val="00932163"/>
    <w:rsid w:val="009343AF"/>
    <w:rsid w:val="00934589"/>
    <w:rsid w:val="0093522D"/>
    <w:rsid w:val="00936CB8"/>
    <w:rsid w:val="00937CA3"/>
    <w:rsid w:val="00941647"/>
    <w:rsid w:val="00942B0D"/>
    <w:rsid w:val="00946519"/>
    <w:rsid w:val="0095252F"/>
    <w:rsid w:val="0095259E"/>
    <w:rsid w:val="00952E57"/>
    <w:rsid w:val="009540A1"/>
    <w:rsid w:val="00954628"/>
    <w:rsid w:val="009574BA"/>
    <w:rsid w:val="00957BB7"/>
    <w:rsid w:val="00965BD3"/>
    <w:rsid w:val="00970172"/>
    <w:rsid w:val="009705EF"/>
    <w:rsid w:val="00971EDC"/>
    <w:rsid w:val="009777D3"/>
    <w:rsid w:val="00980342"/>
    <w:rsid w:val="009839BE"/>
    <w:rsid w:val="00991B7D"/>
    <w:rsid w:val="009939E8"/>
    <w:rsid w:val="00996540"/>
    <w:rsid w:val="009A1189"/>
    <w:rsid w:val="009A279F"/>
    <w:rsid w:val="009A443B"/>
    <w:rsid w:val="009A4ABB"/>
    <w:rsid w:val="009A57A6"/>
    <w:rsid w:val="009B28BF"/>
    <w:rsid w:val="009B2BDF"/>
    <w:rsid w:val="009B42B8"/>
    <w:rsid w:val="009B45D8"/>
    <w:rsid w:val="009B5823"/>
    <w:rsid w:val="009C12C2"/>
    <w:rsid w:val="009C13B3"/>
    <w:rsid w:val="009C2293"/>
    <w:rsid w:val="009C56CC"/>
    <w:rsid w:val="009C6240"/>
    <w:rsid w:val="009C743B"/>
    <w:rsid w:val="009C7F34"/>
    <w:rsid w:val="009D6AEB"/>
    <w:rsid w:val="009E0297"/>
    <w:rsid w:val="009E07EE"/>
    <w:rsid w:val="009E1AA5"/>
    <w:rsid w:val="009F360A"/>
    <w:rsid w:val="009F69DB"/>
    <w:rsid w:val="00A003DB"/>
    <w:rsid w:val="00A02AFA"/>
    <w:rsid w:val="00A05942"/>
    <w:rsid w:val="00A12D33"/>
    <w:rsid w:val="00A20679"/>
    <w:rsid w:val="00A20BFD"/>
    <w:rsid w:val="00A266CF"/>
    <w:rsid w:val="00A32C7D"/>
    <w:rsid w:val="00A33B8A"/>
    <w:rsid w:val="00A34E87"/>
    <w:rsid w:val="00A353C7"/>
    <w:rsid w:val="00A35679"/>
    <w:rsid w:val="00A366A9"/>
    <w:rsid w:val="00A36CE7"/>
    <w:rsid w:val="00A40B22"/>
    <w:rsid w:val="00A42C6E"/>
    <w:rsid w:val="00A47A25"/>
    <w:rsid w:val="00A5040F"/>
    <w:rsid w:val="00A525D3"/>
    <w:rsid w:val="00A53E79"/>
    <w:rsid w:val="00A543B1"/>
    <w:rsid w:val="00A54F91"/>
    <w:rsid w:val="00A57D60"/>
    <w:rsid w:val="00A63102"/>
    <w:rsid w:val="00A64E04"/>
    <w:rsid w:val="00A65E77"/>
    <w:rsid w:val="00A664D3"/>
    <w:rsid w:val="00A66DDE"/>
    <w:rsid w:val="00A7014E"/>
    <w:rsid w:val="00A70986"/>
    <w:rsid w:val="00A7243B"/>
    <w:rsid w:val="00A72FF9"/>
    <w:rsid w:val="00A731D6"/>
    <w:rsid w:val="00A73365"/>
    <w:rsid w:val="00A760E3"/>
    <w:rsid w:val="00A77095"/>
    <w:rsid w:val="00A802DF"/>
    <w:rsid w:val="00A804E3"/>
    <w:rsid w:val="00A81306"/>
    <w:rsid w:val="00A8410E"/>
    <w:rsid w:val="00A84457"/>
    <w:rsid w:val="00A86592"/>
    <w:rsid w:val="00A87BBB"/>
    <w:rsid w:val="00A91665"/>
    <w:rsid w:val="00A92EF5"/>
    <w:rsid w:val="00A93935"/>
    <w:rsid w:val="00A9600D"/>
    <w:rsid w:val="00A96EC4"/>
    <w:rsid w:val="00A974EA"/>
    <w:rsid w:val="00AA097A"/>
    <w:rsid w:val="00AA23EA"/>
    <w:rsid w:val="00AA42AC"/>
    <w:rsid w:val="00AA566D"/>
    <w:rsid w:val="00AA5EC9"/>
    <w:rsid w:val="00AA6339"/>
    <w:rsid w:val="00AB0880"/>
    <w:rsid w:val="00AB0EE1"/>
    <w:rsid w:val="00AB5788"/>
    <w:rsid w:val="00AB73A6"/>
    <w:rsid w:val="00AB7CAC"/>
    <w:rsid w:val="00AC0E51"/>
    <w:rsid w:val="00AD2907"/>
    <w:rsid w:val="00AD367F"/>
    <w:rsid w:val="00AD3F93"/>
    <w:rsid w:val="00AD440B"/>
    <w:rsid w:val="00AD5482"/>
    <w:rsid w:val="00AD5E62"/>
    <w:rsid w:val="00AD65FF"/>
    <w:rsid w:val="00AD747B"/>
    <w:rsid w:val="00AD7E82"/>
    <w:rsid w:val="00AE4516"/>
    <w:rsid w:val="00AE5C71"/>
    <w:rsid w:val="00AE5E8A"/>
    <w:rsid w:val="00AE6201"/>
    <w:rsid w:val="00AE6B7E"/>
    <w:rsid w:val="00AF1AD7"/>
    <w:rsid w:val="00AF1DD4"/>
    <w:rsid w:val="00AF1ED1"/>
    <w:rsid w:val="00AF2FA8"/>
    <w:rsid w:val="00AF6576"/>
    <w:rsid w:val="00AF7AE0"/>
    <w:rsid w:val="00B060BE"/>
    <w:rsid w:val="00B0656C"/>
    <w:rsid w:val="00B13075"/>
    <w:rsid w:val="00B13F12"/>
    <w:rsid w:val="00B14476"/>
    <w:rsid w:val="00B160E2"/>
    <w:rsid w:val="00B16DED"/>
    <w:rsid w:val="00B17998"/>
    <w:rsid w:val="00B245F2"/>
    <w:rsid w:val="00B264D7"/>
    <w:rsid w:val="00B26D26"/>
    <w:rsid w:val="00B31269"/>
    <w:rsid w:val="00B31B20"/>
    <w:rsid w:val="00B32AF7"/>
    <w:rsid w:val="00B34E88"/>
    <w:rsid w:val="00B4355B"/>
    <w:rsid w:val="00B479B6"/>
    <w:rsid w:val="00B5486D"/>
    <w:rsid w:val="00B568E2"/>
    <w:rsid w:val="00B6018F"/>
    <w:rsid w:val="00B602CA"/>
    <w:rsid w:val="00B629BE"/>
    <w:rsid w:val="00B63501"/>
    <w:rsid w:val="00B63D0E"/>
    <w:rsid w:val="00B6469D"/>
    <w:rsid w:val="00B64A84"/>
    <w:rsid w:val="00B73730"/>
    <w:rsid w:val="00B73D3A"/>
    <w:rsid w:val="00B76865"/>
    <w:rsid w:val="00B76C2E"/>
    <w:rsid w:val="00B77B1A"/>
    <w:rsid w:val="00B82B0B"/>
    <w:rsid w:val="00B839B4"/>
    <w:rsid w:val="00B871BF"/>
    <w:rsid w:val="00B93B79"/>
    <w:rsid w:val="00B945B4"/>
    <w:rsid w:val="00BA068C"/>
    <w:rsid w:val="00BA2F71"/>
    <w:rsid w:val="00BA3BA8"/>
    <w:rsid w:val="00BA689A"/>
    <w:rsid w:val="00BA76A5"/>
    <w:rsid w:val="00BB05A6"/>
    <w:rsid w:val="00BB187F"/>
    <w:rsid w:val="00BB5900"/>
    <w:rsid w:val="00BB6AE1"/>
    <w:rsid w:val="00BC4277"/>
    <w:rsid w:val="00BC63FE"/>
    <w:rsid w:val="00BC7CB2"/>
    <w:rsid w:val="00BD1B27"/>
    <w:rsid w:val="00BD3F0D"/>
    <w:rsid w:val="00BF3786"/>
    <w:rsid w:val="00BF462D"/>
    <w:rsid w:val="00BF6418"/>
    <w:rsid w:val="00BF742B"/>
    <w:rsid w:val="00BF7DD9"/>
    <w:rsid w:val="00C0402E"/>
    <w:rsid w:val="00C0640D"/>
    <w:rsid w:val="00C1333B"/>
    <w:rsid w:val="00C14E06"/>
    <w:rsid w:val="00C1777B"/>
    <w:rsid w:val="00C203BF"/>
    <w:rsid w:val="00C301CC"/>
    <w:rsid w:val="00C30342"/>
    <w:rsid w:val="00C32D86"/>
    <w:rsid w:val="00C36E43"/>
    <w:rsid w:val="00C42930"/>
    <w:rsid w:val="00C42A4B"/>
    <w:rsid w:val="00C43745"/>
    <w:rsid w:val="00C4406C"/>
    <w:rsid w:val="00C470EC"/>
    <w:rsid w:val="00C506B0"/>
    <w:rsid w:val="00C509DC"/>
    <w:rsid w:val="00C51AC2"/>
    <w:rsid w:val="00C52489"/>
    <w:rsid w:val="00C52E3B"/>
    <w:rsid w:val="00C53B4B"/>
    <w:rsid w:val="00C544FB"/>
    <w:rsid w:val="00C619E8"/>
    <w:rsid w:val="00C62AE6"/>
    <w:rsid w:val="00C65657"/>
    <w:rsid w:val="00C65B9B"/>
    <w:rsid w:val="00C65BE4"/>
    <w:rsid w:val="00C670D4"/>
    <w:rsid w:val="00C6796C"/>
    <w:rsid w:val="00C70349"/>
    <w:rsid w:val="00C70A60"/>
    <w:rsid w:val="00C70BF0"/>
    <w:rsid w:val="00C73470"/>
    <w:rsid w:val="00C75B23"/>
    <w:rsid w:val="00C8023B"/>
    <w:rsid w:val="00C80EB3"/>
    <w:rsid w:val="00C81363"/>
    <w:rsid w:val="00C828FD"/>
    <w:rsid w:val="00C852CD"/>
    <w:rsid w:val="00C85326"/>
    <w:rsid w:val="00C87663"/>
    <w:rsid w:val="00C963F0"/>
    <w:rsid w:val="00CA1F8D"/>
    <w:rsid w:val="00CA2D75"/>
    <w:rsid w:val="00CA557C"/>
    <w:rsid w:val="00CA6FB9"/>
    <w:rsid w:val="00CB22BE"/>
    <w:rsid w:val="00CB2F84"/>
    <w:rsid w:val="00CB32A1"/>
    <w:rsid w:val="00CB34C1"/>
    <w:rsid w:val="00CB6A4F"/>
    <w:rsid w:val="00CC0BD9"/>
    <w:rsid w:val="00CC3DFD"/>
    <w:rsid w:val="00CC6677"/>
    <w:rsid w:val="00CD1AA6"/>
    <w:rsid w:val="00CD2D8E"/>
    <w:rsid w:val="00CD4B69"/>
    <w:rsid w:val="00CD6725"/>
    <w:rsid w:val="00CD6B6B"/>
    <w:rsid w:val="00CE19FA"/>
    <w:rsid w:val="00CE5969"/>
    <w:rsid w:val="00CF20B6"/>
    <w:rsid w:val="00CF3311"/>
    <w:rsid w:val="00CF64E1"/>
    <w:rsid w:val="00CF7191"/>
    <w:rsid w:val="00D03A45"/>
    <w:rsid w:val="00D04AE7"/>
    <w:rsid w:val="00D11F17"/>
    <w:rsid w:val="00D13A48"/>
    <w:rsid w:val="00D16382"/>
    <w:rsid w:val="00D22548"/>
    <w:rsid w:val="00D22D4B"/>
    <w:rsid w:val="00D2363E"/>
    <w:rsid w:val="00D25139"/>
    <w:rsid w:val="00D26A89"/>
    <w:rsid w:val="00D3124A"/>
    <w:rsid w:val="00D325C1"/>
    <w:rsid w:val="00D32A57"/>
    <w:rsid w:val="00D32F5B"/>
    <w:rsid w:val="00D3627E"/>
    <w:rsid w:val="00D43D02"/>
    <w:rsid w:val="00D45CCD"/>
    <w:rsid w:val="00D469D9"/>
    <w:rsid w:val="00D4775F"/>
    <w:rsid w:val="00D5194B"/>
    <w:rsid w:val="00D52187"/>
    <w:rsid w:val="00D550DD"/>
    <w:rsid w:val="00D6175A"/>
    <w:rsid w:val="00D61F86"/>
    <w:rsid w:val="00D63041"/>
    <w:rsid w:val="00D64B4C"/>
    <w:rsid w:val="00D70056"/>
    <w:rsid w:val="00D700D4"/>
    <w:rsid w:val="00D71808"/>
    <w:rsid w:val="00D71828"/>
    <w:rsid w:val="00D72090"/>
    <w:rsid w:val="00D728DD"/>
    <w:rsid w:val="00D75A14"/>
    <w:rsid w:val="00D80945"/>
    <w:rsid w:val="00D82175"/>
    <w:rsid w:val="00D840FA"/>
    <w:rsid w:val="00D8542B"/>
    <w:rsid w:val="00D85EEA"/>
    <w:rsid w:val="00D87B8D"/>
    <w:rsid w:val="00D9210F"/>
    <w:rsid w:val="00D92988"/>
    <w:rsid w:val="00D97E48"/>
    <w:rsid w:val="00DA1DDB"/>
    <w:rsid w:val="00DA218D"/>
    <w:rsid w:val="00DA3545"/>
    <w:rsid w:val="00DA43E1"/>
    <w:rsid w:val="00DA5602"/>
    <w:rsid w:val="00DA666A"/>
    <w:rsid w:val="00DB3CBC"/>
    <w:rsid w:val="00DB5701"/>
    <w:rsid w:val="00DB706A"/>
    <w:rsid w:val="00DC2AC9"/>
    <w:rsid w:val="00DC301F"/>
    <w:rsid w:val="00DC3470"/>
    <w:rsid w:val="00DC74C3"/>
    <w:rsid w:val="00DD1A89"/>
    <w:rsid w:val="00DD39EA"/>
    <w:rsid w:val="00DD4147"/>
    <w:rsid w:val="00DE1BBF"/>
    <w:rsid w:val="00DE27CE"/>
    <w:rsid w:val="00DE3EF7"/>
    <w:rsid w:val="00DE51EB"/>
    <w:rsid w:val="00DE579D"/>
    <w:rsid w:val="00DF014D"/>
    <w:rsid w:val="00DF0522"/>
    <w:rsid w:val="00DF06E2"/>
    <w:rsid w:val="00DF08AA"/>
    <w:rsid w:val="00DF0BCD"/>
    <w:rsid w:val="00DF2BFF"/>
    <w:rsid w:val="00DF3724"/>
    <w:rsid w:val="00DF596F"/>
    <w:rsid w:val="00DF6D2D"/>
    <w:rsid w:val="00DF7D41"/>
    <w:rsid w:val="00E00E85"/>
    <w:rsid w:val="00E01DCF"/>
    <w:rsid w:val="00E068EF"/>
    <w:rsid w:val="00E06D4A"/>
    <w:rsid w:val="00E123C2"/>
    <w:rsid w:val="00E138CE"/>
    <w:rsid w:val="00E13DBA"/>
    <w:rsid w:val="00E15901"/>
    <w:rsid w:val="00E17216"/>
    <w:rsid w:val="00E2244C"/>
    <w:rsid w:val="00E2333F"/>
    <w:rsid w:val="00E24661"/>
    <w:rsid w:val="00E24BAE"/>
    <w:rsid w:val="00E30519"/>
    <w:rsid w:val="00E3071F"/>
    <w:rsid w:val="00E346AA"/>
    <w:rsid w:val="00E37BFA"/>
    <w:rsid w:val="00E40C6E"/>
    <w:rsid w:val="00E422EC"/>
    <w:rsid w:val="00E468C8"/>
    <w:rsid w:val="00E46968"/>
    <w:rsid w:val="00E46BAF"/>
    <w:rsid w:val="00E4783B"/>
    <w:rsid w:val="00E5097B"/>
    <w:rsid w:val="00E51A58"/>
    <w:rsid w:val="00E53ABA"/>
    <w:rsid w:val="00E55309"/>
    <w:rsid w:val="00E557E5"/>
    <w:rsid w:val="00E574B5"/>
    <w:rsid w:val="00E64A4E"/>
    <w:rsid w:val="00E657EF"/>
    <w:rsid w:val="00E67430"/>
    <w:rsid w:val="00E71728"/>
    <w:rsid w:val="00E77236"/>
    <w:rsid w:val="00E81E97"/>
    <w:rsid w:val="00E83DC9"/>
    <w:rsid w:val="00E854B8"/>
    <w:rsid w:val="00E86F9F"/>
    <w:rsid w:val="00E8738D"/>
    <w:rsid w:val="00E942DF"/>
    <w:rsid w:val="00E96F40"/>
    <w:rsid w:val="00E978B7"/>
    <w:rsid w:val="00EA2C28"/>
    <w:rsid w:val="00EA358B"/>
    <w:rsid w:val="00EA3CDB"/>
    <w:rsid w:val="00EA5138"/>
    <w:rsid w:val="00EA5272"/>
    <w:rsid w:val="00EA57C2"/>
    <w:rsid w:val="00EB0686"/>
    <w:rsid w:val="00EB0B7B"/>
    <w:rsid w:val="00EB1E59"/>
    <w:rsid w:val="00EB5B78"/>
    <w:rsid w:val="00EC033E"/>
    <w:rsid w:val="00EC13C8"/>
    <w:rsid w:val="00EC3B93"/>
    <w:rsid w:val="00EC4E42"/>
    <w:rsid w:val="00EC540D"/>
    <w:rsid w:val="00ED3411"/>
    <w:rsid w:val="00ED3E49"/>
    <w:rsid w:val="00ED6CFF"/>
    <w:rsid w:val="00ED72A3"/>
    <w:rsid w:val="00EE01EC"/>
    <w:rsid w:val="00EE0642"/>
    <w:rsid w:val="00EE1108"/>
    <w:rsid w:val="00EE7319"/>
    <w:rsid w:val="00EE7A9B"/>
    <w:rsid w:val="00EF466B"/>
    <w:rsid w:val="00EF4A5C"/>
    <w:rsid w:val="00F00215"/>
    <w:rsid w:val="00F004C1"/>
    <w:rsid w:val="00F0231F"/>
    <w:rsid w:val="00F03D70"/>
    <w:rsid w:val="00F03EA1"/>
    <w:rsid w:val="00F11975"/>
    <w:rsid w:val="00F145EE"/>
    <w:rsid w:val="00F16A3D"/>
    <w:rsid w:val="00F245C1"/>
    <w:rsid w:val="00F26778"/>
    <w:rsid w:val="00F27691"/>
    <w:rsid w:val="00F36557"/>
    <w:rsid w:val="00F36693"/>
    <w:rsid w:val="00F3706A"/>
    <w:rsid w:val="00F37BE4"/>
    <w:rsid w:val="00F407EE"/>
    <w:rsid w:val="00F41062"/>
    <w:rsid w:val="00F411D7"/>
    <w:rsid w:val="00F434AD"/>
    <w:rsid w:val="00F4350A"/>
    <w:rsid w:val="00F4382B"/>
    <w:rsid w:val="00F43F29"/>
    <w:rsid w:val="00F46491"/>
    <w:rsid w:val="00F46CBB"/>
    <w:rsid w:val="00F47B7E"/>
    <w:rsid w:val="00F52EB2"/>
    <w:rsid w:val="00F54DE1"/>
    <w:rsid w:val="00F61F01"/>
    <w:rsid w:val="00F62BEB"/>
    <w:rsid w:val="00F62D92"/>
    <w:rsid w:val="00F64491"/>
    <w:rsid w:val="00F657B0"/>
    <w:rsid w:val="00F65F4C"/>
    <w:rsid w:val="00F719D4"/>
    <w:rsid w:val="00F73FE6"/>
    <w:rsid w:val="00F74981"/>
    <w:rsid w:val="00F758F7"/>
    <w:rsid w:val="00F82B7C"/>
    <w:rsid w:val="00F911D0"/>
    <w:rsid w:val="00F95405"/>
    <w:rsid w:val="00F96F5B"/>
    <w:rsid w:val="00FA3CD7"/>
    <w:rsid w:val="00FA49E9"/>
    <w:rsid w:val="00FB03B9"/>
    <w:rsid w:val="00FB51CC"/>
    <w:rsid w:val="00FC0F77"/>
    <w:rsid w:val="00FC16D8"/>
    <w:rsid w:val="00FC180D"/>
    <w:rsid w:val="00FC1BE8"/>
    <w:rsid w:val="00FC2DBB"/>
    <w:rsid w:val="00FC7245"/>
    <w:rsid w:val="00FC7790"/>
    <w:rsid w:val="00FE0604"/>
    <w:rsid w:val="00FE4970"/>
    <w:rsid w:val="00FE52AD"/>
    <w:rsid w:val="00FF0794"/>
    <w:rsid w:val="00FF0D04"/>
    <w:rsid w:val="00FF2AC3"/>
    <w:rsid w:val="00FF6441"/>
    <w:rsid w:val="00FF66EB"/>
    <w:rsid w:val="00FF6DE0"/>
    <w:rsid w:val="00FF76A4"/>
    <w:rsid w:val="2F688442"/>
    <w:rsid w:val="3305BD40"/>
    <w:rsid w:val="52D3F29C"/>
    <w:rsid w:val="64450075"/>
    <w:rsid w:val="699B4C4F"/>
    <w:rsid w:val="78346B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F981F3"/>
  <w15:chartTrackingRefBased/>
  <w15:docId w15:val="{65A6D715-2A4B-476A-A119-7F3813DD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qFormat/>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881759"/>
  </w:style>
  <w:style w:type="character" w:customStyle="1" w:styleId="xcontentpasted0">
    <w:name w:val="x_contentpasted0"/>
    <w:basedOn w:val="DefaultParagraphFont"/>
    <w:rsid w:val="00693D49"/>
  </w:style>
  <w:style w:type="paragraph" w:styleId="Revision">
    <w:name w:val="Revision"/>
    <w:hidden/>
    <w:uiPriority w:val="99"/>
    <w:semiHidden/>
    <w:rsid w:val="00D45CCD"/>
    <w:rPr>
      <w:snapToGrid w:val="0"/>
      <w:kern w:val="28"/>
      <w:sz w:val="22"/>
    </w:rPr>
  </w:style>
  <w:style w:type="paragraph" w:styleId="ListParagraph">
    <w:name w:val="List Paragraph"/>
    <w:basedOn w:val="Normal"/>
    <w:uiPriority w:val="34"/>
    <w:qFormat/>
    <w:rsid w:val="00DF0BCD"/>
    <w:pPr>
      <w:ind w:left="720"/>
      <w:contextualSpacing/>
    </w:pPr>
  </w:style>
  <w:style w:type="character" w:styleId="CommentReference">
    <w:name w:val="annotation reference"/>
    <w:basedOn w:val="DefaultParagraphFont"/>
    <w:uiPriority w:val="99"/>
    <w:semiHidden/>
    <w:unhideWhenUsed/>
    <w:rsid w:val="00970172"/>
    <w:rPr>
      <w:sz w:val="16"/>
      <w:szCs w:val="16"/>
    </w:rPr>
  </w:style>
  <w:style w:type="paragraph" w:styleId="CommentText">
    <w:name w:val="annotation text"/>
    <w:basedOn w:val="Normal"/>
    <w:link w:val="CommentTextChar"/>
    <w:uiPriority w:val="99"/>
    <w:unhideWhenUsed/>
    <w:rsid w:val="00970172"/>
    <w:rPr>
      <w:sz w:val="20"/>
    </w:rPr>
  </w:style>
  <w:style w:type="character" w:customStyle="1" w:styleId="CommentTextChar">
    <w:name w:val="Comment Text Char"/>
    <w:basedOn w:val="DefaultParagraphFont"/>
    <w:link w:val="CommentText"/>
    <w:uiPriority w:val="99"/>
    <w:rsid w:val="00970172"/>
    <w:rPr>
      <w:snapToGrid w:val="0"/>
      <w:kern w:val="28"/>
    </w:rPr>
  </w:style>
  <w:style w:type="paragraph" w:styleId="CommentSubject">
    <w:name w:val="annotation subject"/>
    <w:basedOn w:val="CommentText"/>
    <w:next w:val="CommentText"/>
    <w:link w:val="CommentSubjectChar"/>
    <w:uiPriority w:val="99"/>
    <w:semiHidden/>
    <w:unhideWhenUsed/>
    <w:rsid w:val="00970172"/>
    <w:rPr>
      <w:b/>
      <w:bCs/>
    </w:rPr>
  </w:style>
  <w:style w:type="character" w:customStyle="1" w:styleId="CommentSubjectChar">
    <w:name w:val="Comment Subject Char"/>
    <w:basedOn w:val="CommentTextChar"/>
    <w:link w:val="CommentSubject"/>
    <w:uiPriority w:val="99"/>
    <w:semiHidden/>
    <w:rsid w:val="00970172"/>
    <w:rPr>
      <w:b/>
      <w:bCs/>
      <w:snapToGrid w:val="0"/>
      <w:kern w:val="28"/>
    </w:rPr>
  </w:style>
  <w:style w:type="character" w:customStyle="1" w:styleId="markedcontent">
    <w:name w:val="markedcontent"/>
    <w:basedOn w:val="DefaultParagraphFont"/>
    <w:rsid w:val="00EC3B93"/>
  </w:style>
  <w:style w:type="character" w:styleId="Emphasis">
    <w:name w:val="Emphasis"/>
    <w:uiPriority w:val="20"/>
    <w:qFormat/>
    <w:rsid w:val="00EC3B93"/>
    <w:rPr>
      <w:i/>
      <w:iCs/>
    </w:rPr>
  </w:style>
  <w:style w:type="character" w:styleId="Mention">
    <w:name w:val="Mention"/>
    <w:basedOn w:val="DefaultParagraphFont"/>
    <w:uiPriority w:val="99"/>
    <w:unhideWhenUsed/>
    <w:rsid w:val="00260C13"/>
    <w:rPr>
      <w:color w:val="2B579A"/>
      <w:shd w:val="clear" w:color="auto" w:fill="E1DFDD"/>
    </w:rPr>
  </w:style>
  <w:style w:type="character" w:customStyle="1" w:styleId="ParaNumChar">
    <w:name w:val="ParaNum Char"/>
    <w:link w:val="ParaNum"/>
    <w:locked/>
    <w:rsid w:val="009B28BF"/>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OGC-LOC@usac.org" TargetMode="External" /><Relationship Id="rId7" Type="http://schemas.openxmlformats.org/officeDocument/2006/relationships/hyperlink" Target="mailto:gregory.kwan@fcc.gov" TargetMode="External" /><Relationship Id="rId8" Type="http://schemas.openxmlformats.org/officeDocument/2006/relationships/hyperlink" Target="mailto:Nissa.Laughner@fcc.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broadbandmap.fcc.gov/data-download/nationwidedata?pubDataVer=jun2025"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