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2719C9" w:rsidP="002719C9" w14:paraId="6182F46B" w14:textId="43B4FE7B">
      <w:pPr>
        <w:jc w:val="center"/>
        <w:rPr>
          <w:b/>
        </w:rPr>
      </w:pPr>
      <w:r w:rsidRPr="0070224F">
        <w:rPr>
          <w:rFonts w:ascii="Times New Roman Bold" w:hAnsi="Times New Roman Bold"/>
          <w:b/>
          <w:kern w:val="0"/>
          <w:szCs w:val="22"/>
        </w:rPr>
        <w:t>Before</w:t>
      </w:r>
      <w:r>
        <w:rPr>
          <w:b/>
        </w:rPr>
        <w:t xml:space="preserve"> the</w:t>
      </w:r>
    </w:p>
    <w:p w:rsidR="002719C9" w:rsidP="002719C9" w14:paraId="77E78625" w14:textId="77777777">
      <w:pPr>
        <w:pStyle w:val="StyleBoldCentered"/>
      </w:pPr>
      <w:r>
        <w:t>F</w:t>
      </w:r>
      <w:r>
        <w:rPr>
          <w:caps w:val="0"/>
        </w:rPr>
        <w:t>ederal Communications Commission</w:t>
      </w:r>
    </w:p>
    <w:p w:rsidR="002719C9" w:rsidP="002719C9" w14:paraId="081236BA" w14:textId="77777777">
      <w:pPr>
        <w:pStyle w:val="StyleBoldCentered"/>
      </w:pPr>
      <w:r>
        <w:rPr>
          <w:caps w:val="0"/>
        </w:rPr>
        <w:t>Washington, D.C. 20554</w:t>
      </w:r>
    </w:p>
    <w:p w:rsidR="002719C9" w:rsidP="002719C9" w14:paraId="3DCA25A8" w14:textId="77777777"/>
    <w:p w:rsidR="002719C9" w:rsidP="002719C9" w14:paraId="0F137EB1" w14:textId="77777777">
      <w:pPr>
        <w:jc w:val="right"/>
      </w:pPr>
    </w:p>
    <w:tbl>
      <w:tblPr>
        <w:tblW w:w="0" w:type="auto"/>
        <w:tblLayout w:type="fixed"/>
        <w:tblLook w:val="0000"/>
      </w:tblPr>
      <w:tblGrid>
        <w:gridCol w:w="4698"/>
        <w:gridCol w:w="630"/>
        <w:gridCol w:w="4248"/>
      </w:tblGrid>
      <w:tr w14:paraId="1AFD4B4F" w14:textId="77777777" w:rsidTr="00936EEA">
        <w:tblPrEx>
          <w:tblW w:w="0" w:type="auto"/>
          <w:tblLayout w:type="fixed"/>
          <w:tblLook w:val="0000"/>
        </w:tblPrEx>
        <w:tc>
          <w:tcPr>
            <w:tcW w:w="4698" w:type="dxa"/>
          </w:tcPr>
          <w:p w:rsidR="002719C9" w:rsidP="00936EEA" w14:paraId="79F00BE9" w14:textId="77777777">
            <w:pPr>
              <w:tabs>
                <w:tab w:val="center" w:pos="4680"/>
              </w:tabs>
              <w:suppressAutoHyphens/>
              <w:rPr>
                <w:spacing w:val="-2"/>
              </w:rPr>
            </w:pPr>
            <w:r>
              <w:rPr>
                <w:spacing w:val="-2"/>
              </w:rPr>
              <w:t>In the Matter of</w:t>
            </w:r>
          </w:p>
          <w:p w:rsidR="002719C9" w:rsidP="00936EEA" w14:paraId="0905F205" w14:textId="77777777">
            <w:pPr>
              <w:tabs>
                <w:tab w:val="center" w:pos="4680"/>
              </w:tabs>
              <w:suppressAutoHyphens/>
              <w:rPr>
                <w:spacing w:val="-2"/>
              </w:rPr>
            </w:pPr>
          </w:p>
          <w:p w:rsidR="002719C9" w:rsidRPr="007115F7" w:rsidP="00936EEA" w14:paraId="44224D68" w14:textId="59BDA7D0">
            <w:pPr>
              <w:tabs>
                <w:tab w:val="center" w:pos="4680"/>
              </w:tabs>
              <w:suppressAutoHyphens/>
              <w:rPr>
                <w:spacing w:val="-2"/>
              </w:rPr>
            </w:pPr>
            <w:r>
              <w:rPr>
                <w:spacing w:val="-2"/>
              </w:rPr>
              <w:t xml:space="preserve">Cox </w:t>
            </w:r>
            <w:r w:rsidR="0067745C">
              <w:rPr>
                <w:spacing w:val="-2"/>
              </w:rPr>
              <w:t>Enterprises</w:t>
            </w:r>
            <w:r>
              <w:rPr>
                <w:spacing w:val="-2"/>
              </w:rPr>
              <w:t xml:space="preserve">, Inc. </w:t>
            </w:r>
            <w:r w:rsidR="0067745C">
              <w:rPr>
                <w:spacing w:val="-2"/>
              </w:rPr>
              <w:t xml:space="preserve">and </w:t>
            </w:r>
            <w:r w:rsidR="00936F6F">
              <w:rPr>
                <w:spacing w:val="-2"/>
              </w:rPr>
              <w:t xml:space="preserve">Charter Communications, Inc., </w:t>
            </w:r>
            <w:r>
              <w:rPr>
                <w:spacing w:val="-2"/>
              </w:rPr>
              <w:t>Application</w:t>
            </w:r>
            <w:r w:rsidR="005275AA">
              <w:rPr>
                <w:spacing w:val="-2"/>
              </w:rPr>
              <w:t>s</w:t>
            </w:r>
            <w:r>
              <w:rPr>
                <w:spacing w:val="-2"/>
              </w:rPr>
              <w:t xml:space="preserve"> for Consent to Transfer Control</w:t>
            </w:r>
          </w:p>
        </w:tc>
        <w:tc>
          <w:tcPr>
            <w:tcW w:w="630" w:type="dxa"/>
          </w:tcPr>
          <w:p w:rsidR="002719C9" w:rsidP="00936EEA" w14:paraId="73007355" w14:textId="77777777">
            <w:pPr>
              <w:tabs>
                <w:tab w:val="center" w:pos="4680"/>
              </w:tabs>
              <w:suppressAutoHyphens/>
              <w:rPr>
                <w:b/>
                <w:spacing w:val="-2"/>
              </w:rPr>
            </w:pPr>
            <w:r>
              <w:rPr>
                <w:b/>
                <w:spacing w:val="-2"/>
              </w:rPr>
              <w:t>)</w:t>
            </w:r>
          </w:p>
          <w:p w:rsidR="002719C9" w:rsidP="00936EEA" w14:paraId="73557AF0" w14:textId="77777777">
            <w:pPr>
              <w:tabs>
                <w:tab w:val="center" w:pos="4680"/>
              </w:tabs>
              <w:suppressAutoHyphens/>
              <w:rPr>
                <w:b/>
                <w:spacing w:val="-2"/>
              </w:rPr>
            </w:pPr>
            <w:r>
              <w:rPr>
                <w:b/>
                <w:spacing w:val="-2"/>
              </w:rPr>
              <w:t>)</w:t>
            </w:r>
          </w:p>
          <w:p w:rsidR="002719C9" w:rsidP="00936EEA" w14:paraId="315A3B28" w14:textId="77777777">
            <w:pPr>
              <w:tabs>
                <w:tab w:val="center" w:pos="4680"/>
              </w:tabs>
              <w:suppressAutoHyphens/>
              <w:rPr>
                <w:b/>
                <w:spacing w:val="-2"/>
              </w:rPr>
            </w:pPr>
            <w:r>
              <w:rPr>
                <w:b/>
                <w:spacing w:val="-2"/>
              </w:rPr>
              <w:t>)</w:t>
            </w:r>
          </w:p>
          <w:p w:rsidR="002719C9" w:rsidP="00936EEA" w14:paraId="6D9C2BA5" w14:textId="77777777">
            <w:pPr>
              <w:tabs>
                <w:tab w:val="center" w:pos="4680"/>
              </w:tabs>
              <w:suppressAutoHyphens/>
              <w:rPr>
                <w:b/>
                <w:spacing w:val="-2"/>
              </w:rPr>
            </w:pPr>
            <w:r>
              <w:rPr>
                <w:b/>
                <w:spacing w:val="-2"/>
              </w:rPr>
              <w:t>)</w:t>
            </w:r>
          </w:p>
          <w:p w:rsidR="002719C9" w:rsidP="00936EEA" w14:paraId="1B434909" w14:textId="77777777">
            <w:pPr>
              <w:tabs>
                <w:tab w:val="center" w:pos="4680"/>
              </w:tabs>
              <w:suppressAutoHyphens/>
              <w:rPr>
                <w:b/>
                <w:spacing w:val="-2"/>
              </w:rPr>
            </w:pPr>
            <w:r>
              <w:rPr>
                <w:b/>
                <w:spacing w:val="-2"/>
              </w:rPr>
              <w:t>)</w:t>
            </w:r>
          </w:p>
          <w:p w:rsidR="002719C9" w:rsidRPr="00972275" w:rsidP="00936EEA" w14:paraId="7F55ADEA" w14:textId="77777777">
            <w:pPr>
              <w:tabs>
                <w:tab w:val="center" w:pos="4680"/>
              </w:tabs>
              <w:suppressAutoHyphens/>
              <w:rPr>
                <w:b/>
                <w:spacing w:val="-2"/>
              </w:rPr>
            </w:pPr>
          </w:p>
        </w:tc>
        <w:tc>
          <w:tcPr>
            <w:tcW w:w="4248" w:type="dxa"/>
          </w:tcPr>
          <w:p w:rsidR="002719C9" w:rsidP="00936EEA" w14:paraId="14FDED6F" w14:textId="77777777">
            <w:pPr>
              <w:tabs>
                <w:tab w:val="center" w:pos="4680"/>
              </w:tabs>
              <w:suppressAutoHyphens/>
              <w:rPr>
                <w:spacing w:val="-2"/>
              </w:rPr>
            </w:pPr>
          </w:p>
          <w:p w:rsidR="002719C9" w:rsidP="00936EEA" w14:paraId="6C8A85E0" w14:textId="77777777">
            <w:pPr>
              <w:pStyle w:val="TOAHeading"/>
              <w:tabs>
                <w:tab w:val="center" w:pos="4680"/>
                <w:tab w:val="clear" w:pos="9360"/>
              </w:tabs>
              <w:rPr>
                <w:spacing w:val="-2"/>
              </w:rPr>
            </w:pPr>
          </w:p>
          <w:p w:rsidR="002719C9" w:rsidP="00936EEA" w14:paraId="3B13B89F" w14:textId="77BF892F">
            <w:pPr>
              <w:tabs>
                <w:tab w:val="center" w:pos="4680"/>
              </w:tabs>
              <w:suppressAutoHyphens/>
              <w:rPr>
                <w:spacing w:val="-2"/>
                <w:szCs w:val="22"/>
              </w:rPr>
            </w:pPr>
            <w:r w:rsidRPr="00547C97">
              <w:rPr>
                <w:spacing w:val="-2"/>
                <w:szCs w:val="22"/>
              </w:rPr>
              <w:t xml:space="preserve">WC Docket No. </w:t>
            </w:r>
            <w:r w:rsidRPr="00547C97" w:rsidR="007C7039">
              <w:rPr>
                <w:spacing w:val="-2"/>
                <w:szCs w:val="22"/>
              </w:rPr>
              <w:t>25-233</w:t>
            </w:r>
          </w:p>
          <w:p w:rsidR="009E5783" w:rsidRPr="00547C97" w:rsidP="00936EEA" w14:paraId="63A3284B" w14:textId="77777777">
            <w:pPr>
              <w:tabs>
                <w:tab w:val="center" w:pos="4680"/>
              </w:tabs>
              <w:suppressAutoHyphens/>
              <w:rPr>
                <w:spacing w:val="-2"/>
                <w:szCs w:val="22"/>
              </w:rPr>
            </w:pPr>
          </w:p>
          <w:p w:rsidR="001227F2" w:rsidP="00936EEA" w14:paraId="193ED851" w14:textId="001D645A">
            <w:pPr>
              <w:tabs>
                <w:tab w:val="center" w:pos="4680"/>
              </w:tabs>
              <w:suppressAutoHyphens/>
              <w:rPr>
                <w:spacing w:val="-2"/>
              </w:rPr>
            </w:pPr>
          </w:p>
        </w:tc>
      </w:tr>
      <w:tr w14:paraId="05E07A93" w14:textId="77777777" w:rsidTr="00936EEA">
        <w:tblPrEx>
          <w:tblW w:w="0" w:type="auto"/>
          <w:tblLayout w:type="fixed"/>
          <w:tblLook w:val="0000"/>
        </w:tblPrEx>
        <w:tc>
          <w:tcPr>
            <w:tcW w:w="4698" w:type="dxa"/>
          </w:tcPr>
          <w:p w:rsidR="003D06B3" w:rsidP="00936EEA" w14:paraId="4DB8CF3A" w14:textId="77777777">
            <w:pPr>
              <w:tabs>
                <w:tab w:val="center" w:pos="4680"/>
              </w:tabs>
              <w:suppressAutoHyphens/>
              <w:rPr>
                <w:spacing w:val="-2"/>
              </w:rPr>
            </w:pPr>
          </w:p>
        </w:tc>
        <w:tc>
          <w:tcPr>
            <w:tcW w:w="630" w:type="dxa"/>
          </w:tcPr>
          <w:p w:rsidR="003D06B3" w:rsidP="00936EEA" w14:paraId="45F2CB19" w14:textId="77777777">
            <w:pPr>
              <w:tabs>
                <w:tab w:val="center" w:pos="4680"/>
              </w:tabs>
              <w:suppressAutoHyphens/>
              <w:rPr>
                <w:b/>
                <w:spacing w:val="-2"/>
              </w:rPr>
            </w:pPr>
          </w:p>
        </w:tc>
        <w:tc>
          <w:tcPr>
            <w:tcW w:w="4248" w:type="dxa"/>
          </w:tcPr>
          <w:p w:rsidR="003D06B3" w:rsidP="00936EEA" w14:paraId="0E664E8F" w14:textId="77777777">
            <w:pPr>
              <w:tabs>
                <w:tab w:val="center" w:pos="4680"/>
              </w:tabs>
              <w:suppressAutoHyphens/>
              <w:rPr>
                <w:spacing w:val="-2"/>
              </w:rPr>
            </w:pPr>
          </w:p>
        </w:tc>
      </w:tr>
    </w:tbl>
    <w:p w:rsidR="002719C9" w:rsidP="002719C9" w14:paraId="023ECBCD" w14:textId="77777777"/>
    <w:p w:rsidR="002719C9" w:rsidP="002719C9" w14:paraId="3E1D307E" w14:textId="77777777">
      <w:pPr>
        <w:pStyle w:val="StyleBoldCentered"/>
      </w:pPr>
      <w:r>
        <w:t>memorandum opinion and order</w:t>
      </w:r>
    </w:p>
    <w:p w:rsidR="002719C9" w:rsidP="002719C9" w14:paraId="00DA3463" w14:textId="77777777">
      <w:pPr>
        <w:tabs>
          <w:tab w:val="left" w:pos="-720"/>
        </w:tabs>
        <w:suppressAutoHyphens/>
        <w:spacing w:line="227" w:lineRule="auto"/>
        <w:rPr>
          <w:spacing w:val="-2"/>
        </w:rPr>
      </w:pPr>
    </w:p>
    <w:p w:rsidR="002719C9" w:rsidP="002719C9" w14:paraId="4E185F94" w14:textId="6EE0E680">
      <w:pPr>
        <w:tabs>
          <w:tab w:val="left" w:pos="720"/>
          <w:tab w:val="right" w:pos="9360"/>
        </w:tabs>
        <w:suppressAutoHyphens/>
        <w:spacing w:line="227" w:lineRule="auto"/>
        <w:rPr>
          <w:spacing w:val="-2"/>
        </w:rPr>
      </w:pPr>
      <w:r>
        <w:rPr>
          <w:b/>
          <w:spacing w:val="-2"/>
        </w:rPr>
        <w:t>Adopted</w:t>
      </w:r>
      <w:r>
        <w:rPr>
          <w:b/>
          <w:spacing w:val="-2"/>
        </w:rPr>
        <w:t xml:space="preserve">:  </w:t>
      </w:r>
      <w:r w:rsidR="000C4039">
        <w:rPr>
          <w:b/>
          <w:spacing w:val="-2"/>
        </w:rPr>
        <w:t>February</w:t>
      </w:r>
      <w:r w:rsidR="000C4039">
        <w:rPr>
          <w:b/>
          <w:spacing w:val="-2"/>
        </w:rPr>
        <w:t xml:space="preserve"> 27, </w:t>
      </w:r>
      <w:r w:rsidR="000C4039">
        <w:rPr>
          <w:b/>
          <w:spacing w:val="-2"/>
        </w:rPr>
        <w:t>2026</w:t>
      </w:r>
      <w:r>
        <w:rPr>
          <w:b/>
          <w:spacing w:val="-2"/>
        </w:rPr>
        <w:tab/>
        <w:t>Released</w:t>
      </w:r>
      <w:r>
        <w:rPr>
          <w:b/>
          <w:spacing w:val="-2"/>
        </w:rPr>
        <w:t xml:space="preserve">:  </w:t>
      </w:r>
      <w:r w:rsidR="000C4039">
        <w:rPr>
          <w:b/>
          <w:spacing w:val="-2"/>
        </w:rPr>
        <w:t>February</w:t>
      </w:r>
      <w:r w:rsidR="000C4039">
        <w:rPr>
          <w:b/>
          <w:spacing w:val="-2"/>
        </w:rPr>
        <w:t xml:space="preserve"> 27, 2026</w:t>
      </w:r>
    </w:p>
    <w:p w:rsidR="002719C9" w:rsidP="002719C9" w14:paraId="181791A7" w14:textId="77777777"/>
    <w:p w:rsidR="002719C9" w:rsidP="002719C9" w14:paraId="5B3B6D49" w14:textId="08B5A14C">
      <w:r w:rsidRPr="008D372E">
        <w:t xml:space="preserve">By the </w:t>
      </w:r>
      <w:r w:rsidRPr="008D372E">
        <w:rPr>
          <w:spacing w:val="-2"/>
        </w:rPr>
        <w:t>Chief, Wireline Competition Bureau; Chief, Office of International Affairs; Chief, Wireless Telecommunications Bureau:</w:t>
      </w:r>
    </w:p>
    <w:p w:rsidR="002719C9" w:rsidP="002719C9" w14:paraId="11DC7D83" w14:textId="77777777">
      <w:pPr>
        <w:rPr>
          <w:spacing w:val="-2"/>
        </w:rPr>
      </w:pPr>
    </w:p>
    <w:p w:rsidR="002719C9" w:rsidP="002719C9" w14:paraId="52C7C4F5" w14:textId="43FE2276">
      <w:pPr>
        <w:pStyle w:val="Heading1"/>
      </w:pPr>
      <w:r>
        <w:t>Introduction</w:t>
      </w:r>
    </w:p>
    <w:p w:rsidR="002719C9" w:rsidRPr="006D46E0" w:rsidP="00EE2254" w14:paraId="54DBD7F3" w14:textId="12DB457C">
      <w:pPr>
        <w:pStyle w:val="ParaNum"/>
        <w:tabs>
          <w:tab w:val="clear" w:pos="990"/>
          <w:tab w:val="left" w:pos="1440"/>
        </w:tabs>
        <w:ind w:left="0"/>
        <w:rPr>
          <w:szCs w:val="22"/>
        </w:rPr>
      </w:pPr>
      <w:bookmarkStart w:id="0" w:name="_Hlk188456413"/>
      <w:r w:rsidRPr="006D46E0">
        <w:rPr>
          <w:szCs w:val="22"/>
        </w:rPr>
        <w:t xml:space="preserve">In this Memorandum Opinion and Order, we approve the applications </w:t>
      </w:r>
      <w:r w:rsidRPr="006D46E0" w:rsidR="0002486F">
        <w:rPr>
          <w:szCs w:val="22"/>
        </w:rPr>
        <w:t xml:space="preserve">(Applications) filed by </w:t>
      </w:r>
      <w:r w:rsidRPr="006D46E0" w:rsidR="0067745C">
        <w:rPr>
          <w:szCs w:val="22"/>
        </w:rPr>
        <w:t xml:space="preserve">Cox Enterprises, Inc (CEI) and </w:t>
      </w:r>
      <w:r w:rsidRPr="006D46E0" w:rsidR="007C7039">
        <w:rPr>
          <w:szCs w:val="22"/>
        </w:rPr>
        <w:t>Charter Communications, In</w:t>
      </w:r>
      <w:r w:rsidRPr="006D46E0" w:rsidR="005C79EE">
        <w:rPr>
          <w:szCs w:val="22"/>
        </w:rPr>
        <w:t>c</w:t>
      </w:r>
      <w:r w:rsidRPr="006D46E0">
        <w:rPr>
          <w:szCs w:val="22"/>
        </w:rPr>
        <w:t xml:space="preserve"> </w:t>
      </w:r>
      <w:r w:rsidRPr="006D46E0" w:rsidR="00805137">
        <w:rPr>
          <w:szCs w:val="22"/>
        </w:rPr>
        <w:t xml:space="preserve">(Charter) </w:t>
      </w:r>
      <w:r w:rsidRPr="006D46E0">
        <w:rPr>
          <w:szCs w:val="22"/>
        </w:rPr>
        <w:t>(</w:t>
      </w:r>
      <w:r w:rsidRPr="006D46E0" w:rsidR="00805137">
        <w:rPr>
          <w:szCs w:val="22"/>
        </w:rPr>
        <w:t>Charter</w:t>
      </w:r>
      <w:r w:rsidRPr="006D46E0" w:rsidR="0067745C">
        <w:rPr>
          <w:szCs w:val="22"/>
        </w:rPr>
        <w:t>,</w:t>
      </w:r>
      <w:r w:rsidRPr="006D46E0" w:rsidR="00805137">
        <w:rPr>
          <w:szCs w:val="22"/>
        </w:rPr>
        <w:t xml:space="preserve"> together with CEI</w:t>
      </w:r>
      <w:r w:rsidRPr="006D46E0">
        <w:rPr>
          <w:szCs w:val="22"/>
        </w:rPr>
        <w:t>, Applicants), pursuant to sections 214</w:t>
      </w:r>
      <w:r w:rsidRPr="006D46E0" w:rsidR="0020639F">
        <w:rPr>
          <w:szCs w:val="22"/>
        </w:rPr>
        <w:t>(a)</w:t>
      </w:r>
      <w:r w:rsidRPr="006D46E0">
        <w:rPr>
          <w:szCs w:val="22"/>
        </w:rPr>
        <w:t xml:space="preserve"> and 310(d) of the Communications Act of 1934, as amended (Act),</w:t>
      </w:r>
      <w:r>
        <w:rPr>
          <w:szCs w:val="22"/>
          <w:vertAlign w:val="superscript"/>
        </w:rPr>
        <w:footnoteReference w:id="3"/>
      </w:r>
      <w:r w:rsidRPr="006D46E0">
        <w:rPr>
          <w:szCs w:val="22"/>
        </w:rPr>
        <w:t xml:space="preserve"> and sections 1.948, 63.04, 63.18, and 63.24 of the Federal Communications Commission’s (Commission or FCC) rules,</w:t>
      </w:r>
      <w:r>
        <w:rPr>
          <w:szCs w:val="22"/>
          <w:vertAlign w:val="superscript"/>
        </w:rPr>
        <w:footnoteReference w:id="4"/>
      </w:r>
      <w:r w:rsidRPr="006D46E0">
        <w:rPr>
          <w:szCs w:val="22"/>
        </w:rPr>
        <w:t xml:space="preserve"> to transfer control of domestic and international section 214 authorizations and wireless licenses held by </w:t>
      </w:r>
      <w:r w:rsidRPr="006D46E0" w:rsidR="00CB2AD8">
        <w:rPr>
          <w:szCs w:val="22"/>
        </w:rPr>
        <w:t xml:space="preserve">Cox </w:t>
      </w:r>
      <w:r w:rsidRPr="006D46E0" w:rsidR="0071435C">
        <w:rPr>
          <w:szCs w:val="22"/>
        </w:rPr>
        <w:t>Communications</w:t>
      </w:r>
      <w:r w:rsidRPr="006D46E0" w:rsidR="00CB2AD8">
        <w:rPr>
          <w:szCs w:val="22"/>
        </w:rPr>
        <w:t>, Inc.</w:t>
      </w:r>
      <w:r w:rsidRPr="006D46E0" w:rsidR="00560BDC">
        <w:rPr>
          <w:szCs w:val="22"/>
        </w:rPr>
        <w:t xml:space="preserve"> (Cox)</w:t>
      </w:r>
      <w:r w:rsidRPr="006D46E0" w:rsidR="007868EF">
        <w:rPr>
          <w:szCs w:val="22"/>
        </w:rPr>
        <w:t xml:space="preserve"> and its subsidiaries (</w:t>
      </w:r>
      <w:r w:rsidRPr="006D46E0" w:rsidR="00560BDC">
        <w:rPr>
          <w:szCs w:val="22"/>
        </w:rPr>
        <w:t>Licensees)</w:t>
      </w:r>
      <w:r w:rsidRPr="006D46E0" w:rsidR="0071435C">
        <w:rPr>
          <w:szCs w:val="22"/>
        </w:rPr>
        <w:t xml:space="preserve"> </w:t>
      </w:r>
      <w:r w:rsidRPr="006D46E0">
        <w:rPr>
          <w:szCs w:val="22"/>
        </w:rPr>
        <w:t xml:space="preserve">to </w:t>
      </w:r>
      <w:r w:rsidRPr="006D46E0" w:rsidR="006C03C7">
        <w:rPr>
          <w:szCs w:val="22"/>
        </w:rPr>
        <w:t>Charter</w:t>
      </w:r>
      <w:r w:rsidRPr="006D46E0">
        <w:rPr>
          <w:szCs w:val="22"/>
        </w:rPr>
        <w:t>.</w:t>
      </w:r>
      <w:r>
        <w:rPr>
          <w:szCs w:val="22"/>
          <w:vertAlign w:val="superscript"/>
        </w:rPr>
        <w:footnoteReference w:id="5"/>
      </w:r>
    </w:p>
    <w:bookmarkEnd w:id="0"/>
    <w:p w:rsidR="002719C9" w:rsidRPr="006D46E0" w:rsidP="00EE2254" w14:paraId="10F8632A" w14:textId="1EE75F00">
      <w:pPr>
        <w:pStyle w:val="ParaNum"/>
        <w:tabs>
          <w:tab w:val="clear" w:pos="990"/>
        </w:tabs>
        <w:ind w:left="0"/>
        <w:rPr>
          <w:szCs w:val="22"/>
        </w:rPr>
      </w:pPr>
      <w:r w:rsidRPr="006D46E0">
        <w:rPr>
          <w:szCs w:val="22"/>
        </w:rPr>
        <w:t xml:space="preserve">After </w:t>
      </w:r>
      <w:r w:rsidR="00AF31B9">
        <w:rPr>
          <w:szCs w:val="22"/>
        </w:rPr>
        <w:t xml:space="preserve">carefully and thoroughly </w:t>
      </w:r>
      <w:r w:rsidRPr="006D46E0">
        <w:rPr>
          <w:szCs w:val="22"/>
        </w:rPr>
        <w:t xml:space="preserve">reviewing the record and evaluating the </w:t>
      </w:r>
      <w:r w:rsidRPr="006D46E0" w:rsidR="00B803D8">
        <w:rPr>
          <w:szCs w:val="22"/>
        </w:rPr>
        <w:t>anticipated</w:t>
      </w:r>
      <w:r w:rsidRPr="006D46E0">
        <w:rPr>
          <w:szCs w:val="22"/>
        </w:rPr>
        <w:t xml:space="preserve"> public interest effects of the proposed </w:t>
      </w:r>
      <w:r w:rsidRPr="006D46E0" w:rsidR="00292ED6">
        <w:rPr>
          <w:szCs w:val="22"/>
        </w:rPr>
        <w:t>transfer</w:t>
      </w:r>
      <w:r w:rsidRPr="006D46E0" w:rsidR="001010DE">
        <w:rPr>
          <w:szCs w:val="22"/>
        </w:rPr>
        <w:t>s</w:t>
      </w:r>
      <w:r w:rsidRPr="006D46E0" w:rsidR="0010016F">
        <w:rPr>
          <w:szCs w:val="22"/>
        </w:rPr>
        <w:t xml:space="preserve"> of control</w:t>
      </w:r>
      <w:r w:rsidRPr="006D46E0">
        <w:rPr>
          <w:szCs w:val="22"/>
        </w:rPr>
        <w:t xml:space="preserve">, we do not find </w:t>
      </w:r>
      <w:r w:rsidR="00E375D2">
        <w:rPr>
          <w:szCs w:val="22"/>
        </w:rPr>
        <w:t xml:space="preserve">a significant likelihood of </w:t>
      </w:r>
      <w:r w:rsidRPr="006D46E0">
        <w:rPr>
          <w:szCs w:val="22"/>
        </w:rPr>
        <w:t xml:space="preserve">any material transaction-related </w:t>
      </w:r>
      <w:r w:rsidRPr="006D46E0" w:rsidR="00C34F54">
        <w:rPr>
          <w:szCs w:val="22"/>
        </w:rPr>
        <w:t xml:space="preserve">public interest </w:t>
      </w:r>
      <w:r w:rsidRPr="006D46E0">
        <w:rPr>
          <w:szCs w:val="22"/>
        </w:rPr>
        <w:t>harm</w:t>
      </w:r>
      <w:r w:rsidRPr="006D46E0" w:rsidR="00C34F54">
        <w:rPr>
          <w:szCs w:val="22"/>
        </w:rPr>
        <w:t>s</w:t>
      </w:r>
      <w:r w:rsidRPr="006D46E0">
        <w:rPr>
          <w:szCs w:val="22"/>
        </w:rPr>
        <w:t xml:space="preserve">.  </w:t>
      </w:r>
      <w:r w:rsidRPr="006D46E0" w:rsidR="00DF2423">
        <w:rPr>
          <w:szCs w:val="22"/>
        </w:rPr>
        <w:t>We</w:t>
      </w:r>
      <w:r w:rsidRPr="006D46E0">
        <w:rPr>
          <w:szCs w:val="22"/>
        </w:rPr>
        <w:t xml:space="preserve"> </w:t>
      </w:r>
      <w:r w:rsidRPr="006D46E0" w:rsidR="00C34F54">
        <w:rPr>
          <w:szCs w:val="22"/>
        </w:rPr>
        <w:t xml:space="preserve">further </w:t>
      </w:r>
      <w:r w:rsidRPr="006D46E0">
        <w:rPr>
          <w:szCs w:val="22"/>
        </w:rPr>
        <w:t xml:space="preserve">find that </w:t>
      </w:r>
      <w:r w:rsidRPr="006D46E0" w:rsidR="00C34F54">
        <w:rPr>
          <w:szCs w:val="22"/>
        </w:rPr>
        <w:t xml:space="preserve">certain public interest benefits are likely to be realized, including </w:t>
      </w:r>
      <w:r w:rsidRPr="006D46E0" w:rsidR="00FC289F">
        <w:rPr>
          <w:szCs w:val="22"/>
        </w:rPr>
        <w:t>promot</w:t>
      </w:r>
      <w:r w:rsidRPr="006D46E0" w:rsidR="00C34F54">
        <w:rPr>
          <w:szCs w:val="22"/>
        </w:rPr>
        <w:t>ing</w:t>
      </w:r>
      <w:r w:rsidRPr="006D46E0" w:rsidR="00FC289F">
        <w:rPr>
          <w:szCs w:val="22"/>
        </w:rPr>
        <w:t xml:space="preserve"> </w:t>
      </w:r>
      <w:r w:rsidRPr="006D46E0" w:rsidR="00B40BAA">
        <w:rPr>
          <w:szCs w:val="22"/>
        </w:rPr>
        <w:t xml:space="preserve">competition </w:t>
      </w:r>
      <w:r w:rsidRPr="006D46E0" w:rsidR="008E527F">
        <w:rPr>
          <w:szCs w:val="22"/>
        </w:rPr>
        <w:t>and consumer</w:t>
      </w:r>
      <w:r w:rsidRPr="006D46E0" w:rsidR="00703418">
        <w:rPr>
          <w:szCs w:val="22"/>
        </w:rPr>
        <w:t xml:space="preserve"> benefits</w:t>
      </w:r>
      <w:r w:rsidRPr="006D46E0" w:rsidR="008E527F">
        <w:rPr>
          <w:szCs w:val="22"/>
        </w:rPr>
        <w:t xml:space="preserve"> </w:t>
      </w:r>
      <w:r w:rsidR="00885202">
        <w:rPr>
          <w:szCs w:val="22"/>
        </w:rPr>
        <w:t xml:space="preserve">for </w:t>
      </w:r>
      <w:r w:rsidR="00AD167B">
        <w:rPr>
          <w:szCs w:val="22"/>
        </w:rPr>
        <w:t xml:space="preserve">broadband and other services the </w:t>
      </w:r>
      <w:r w:rsidR="00344323">
        <w:rPr>
          <w:szCs w:val="22"/>
        </w:rPr>
        <w:t>combined company will provide</w:t>
      </w:r>
      <w:r w:rsidRPr="006D46E0" w:rsidR="00C34F54">
        <w:rPr>
          <w:szCs w:val="22"/>
        </w:rPr>
        <w:t>.</w:t>
      </w:r>
      <w:r w:rsidRPr="006D46E0">
        <w:rPr>
          <w:szCs w:val="22"/>
        </w:rPr>
        <w:t xml:space="preserve">  Accordingly, we conclude that granting the </w:t>
      </w:r>
      <w:r w:rsidRPr="006D46E0" w:rsidR="00467A76">
        <w:rPr>
          <w:szCs w:val="22"/>
        </w:rPr>
        <w:t>A</w:t>
      </w:r>
      <w:r w:rsidRPr="006D46E0">
        <w:rPr>
          <w:szCs w:val="22"/>
        </w:rPr>
        <w:t xml:space="preserve">pplications serves the </w:t>
      </w:r>
      <w:r w:rsidRPr="006D46E0">
        <w:rPr>
          <w:szCs w:val="22"/>
        </w:rPr>
        <w:t>public interest, convenience, and necessity.</w:t>
      </w:r>
      <w:r>
        <w:rPr>
          <w:rStyle w:val="FootnoteReference"/>
          <w:sz w:val="22"/>
          <w:szCs w:val="22"/>
        </w:rPr>
        <w:footnoteReference w:id="6"/>
      </w:r>
    </w:p>
    <w:p w:rsidR="002719C9" w:rsidP="002719C9" w14:paraId="24010C97" w14:textId="5C1516CE">
      <w:pPr>
        <w:pStyle w:val="Heading1"/>
      </w:pPr>
      <w:r>
        <w:t>Background</w:t>
      </w:r>
    </w:p>
    <w:p w:rsidR="002719C9" w:rsidP="002719C9" w14:paraId="574CB786" w14:textId="77777777">
      <w:pPr>
        <w:pStyle w:val="Heading2"/>
      </w:pPr>
      <w:r>
        <w:t>Description of the Applicants</w:t>
      </w:r>
    </w:p>
    <w:p w:rsidR="002719C9" w:rsidP="002719C9" w14:paraId="35297223" w14:textId="16289040">
      <w:pPr>
        <w:pStyle w:val="Heading3"/>
      </w:pPr>
      <w:r>
        <w:t>Cox Enterprises, Inc.</w:t>
      </w:r>
    </w:p>
    <w:p w:rsidR="00EF4AB1" w:rsidP="00583A75" w14:paraId="58D60092" w14:textId="08699998">
      <w:pPr>
        <w:pStyle w:val="ParaNum"/>
        <w:tabs>
          <w:tab w:val="clear" w:pos="990"/>
        </w:tabs>
        <w:ind w:left="0"/>
      </w:pPr>
      <w:bookmarkStart w:id="1" w:name="_Hlk190789337"/>
      <w:r>
        <w:t xml:space="preserve">Cox, a Delaware corporation, together with the Licensees, provides interstate and intrastate </w:t>
      </w:r>
      <w:r w:rsidRPr="0064642B">
        <w:t>services to residential,</w:t>
      </w:r>
      <w:r>
        <w:t xml:space="preserve"> </w:t>
      </w:r>
      <w:r w:rsidRPr="0064642B">
        <w:t xml:space="preserve">small/medium-sized business, and/or enterprise customers in </w:t>
      </w:r>
      <w:r>
        <w:t>2</w:t>
      </w:r>
      <w:r w:rsidR="003B6525">
        <w:t>1</w:t>
      </w:r>
      <w:r>
        <w:t xml:space="preserve"> states and the District of Columbia,</w:t>
      </w:r>
      <w:r>
        <w:rPr>
          <w:rStyle w:val="FootnoteReference"/>
        </w:rPr>
        <w:footnoteReference w:id="7"/>
      </w:r>
      <w:r>
        <w:t xml:space="preserve"> and operates fiber-optic or hybrid fiber/coaxial cable networks in 35 states to provide broadband, cable television, voice, and wireless services to roughly 6.3 million residential, small and mid-market business, and enterprise customers.</w:t>
      </w:r>
      <w:r>
        <w:rPr>
          <w:rStyle w:val="FootnoteReference"/>
        </w:rPr>
        <w:footnoteReference w:id="8"/>
      </w:r>
      <w:r>
        <w:t xml:space="preserve">  Cox offers voice service to residential and business customers across its entire footprint.</w:t>
      </w:r>
      <w:r>
        <w:rPr>
          <w:rStyle w:val="FootnoteReference"/>
        </w:rPr>
        <w:footnoteReference w:id="9"/>
      </w:r>
      <w:r>
        <w:t xml:space="preserve">  Cox and the Licensees are directly and indirectly wholly owned by CEI, a Delaware holding corporation.</w:t>
      </w:r>
      <w:r>
        <w:rPr>
          <w:rStyle w:val="FootnoteReference"/>
        </w:rPr>
        <w:footnoteReference w:id="10"/>
      </w:r>
      <w:r w:rsidR="00A21208">
        <w:t xml:space="preserve">  Cox’s footprint includes approximately 7.4 million broadband serviceable locations (BSLs) nationwide.</w:t>
      </w:r>
      <w:r>
        <w:rPr>
          <w:rStyle w:val="FootnoteReference"/>
        </w:rPr>
        <w:footnoteReference w:id="11"/>
      </w:r>
    </w:p>
    <w:bookmarkEnd w:id="1"/>
    <w:p w:rsidR="002719C9" w:rsidP="002719C9" w14:paraId="031C28BB" w14:textId="1FD9670B">
      <w:pPr>
        <w:pStyle w:val="Heading3"/>
      </w:pPr>
      <w:r>
        <w:t>Cha</w:t>
      </w:r>
      <w:r w:rsidR="0056547B">
        <w:t>r</w:t>
      </w:r>
      <w:r>
        <w:t xml:space="preserve">ter Communications, Inc. </w:t>
      </w:r>
    </w:p>
    <w:p w:rsidR="002719C9" w:rsidRPr="008656B5" w:rsidP="00583A75" w14:paraId="6A533A84" w14:textId="795B527C">
      <w:pPr>
        <w:pStyle w:val="ParaNum"/>
        <w:tabs>
          <w:tab w:val="clear" w:pos="990"/>
        </w:tabs>
        <w:ind w:left="0"/>
      </w:pPr>
      <w:r>
        <w:t>Charter, a publicly traded Delaware corporation, along with its subsidiaries,</w:t>
      </w:r>
      <w:r>
        <w:rPr>
          <w:rStyle w:val="FootnoteReference"/>
        </w:rPr>
        <w:footnoteReference w:id="12"/>
      </w:r>
      <w:r>
        <w:t xml:space="preserve"> </w:t>
      </w:r>
      <w:r w:rsidRPr="00F347F8">
        <w:t>provide</w:t>
      </w:r>
      <w:r>
        <w:t>s</w:t>
      </w:r>
      <w:r w:rsidRPr="00F347F8">
        <w:t xml:space="preserve"> intrastate and interstate telecommunications services,</w:t>
      </w:r>
      <w:r>
        <w:t xml:space="preserve"> </w:t>
      </w:r>
      <w:r w:rsidRPr="00F347F8">
        <w:t>including point-to-point private line telecommunications services, to customers in</w:t>
      </w:r>
      <w:r>
        <w:t xml:space="preserve"> 48 states,</w:t>
      </w:r>
      <w:r>
        <w:rPr>
          <w:rStyle w:val="FootnoteReference"/>
        </w:rPr>
        <w:footnoteReference w:id="13"/>
      </w:r>
      <w:r>
        <w:t xml:space="preserve"> and provides broadband and cable services to </w:t>
      </w:r>
      <w:r>
        <w:t>31.4 million business and residential customers across 41 states through its Spectrum brand.</w:t>
      </w:r>
      <w:r>
        <w:rPr>
          <w:rStyle w:val="FootnoteReference"/>
        </w:rPr>
        <w:footnoteReference w:id="14"/>
      </w:r>
      <w:r>
        <w:t xml:space="preserve"> </w:t>
      </w:r>
      <w:r w:rsidRPr="002F0F76">
        <w:t xml:space="preserve"> </w:t>
      </w:r>
      <w:r w:rsidR="00FE6553">
        <w:t>Charter’s footprint</w:t>
      </w:r>
      <w:r w:rsidR="001E035D">
        <w:t xml:space="preserve"> includes approximately 36.7 million BSLs passed nationwide.</w:t>
      </w:r>
      <w:r>
        <w:rPr>
          <w:rStyle w:val="FootnoteReference"/>
        </w:rPr>
        <w:footnoteReference w:id="15"/>
      </w:r>
      <w:r w:rsidR="001E035D">
        <w:t xml:space="preserve">  </w:t>
      </w:r>
      <w:r>
        <w:t xml:space="preserve">Various </w:t>
      </w:r>
      <w:r w:rsidRPr="00BB06CD">
        <w:t xml:space="preserve">affiliates of Charter </w:t>
      </w:r>
      <w:r>
        <w:t xml:space="preserve">also </w:t>
      </w:r>
      <w:r w:rsidRPr="00BB06CD">
        <w:t>provide domestic telecommunications services.</w:t>
      </w:r>
      <w:r>
        <w:rPr>
          <w:rStyle w:val="FootnoteReference"/>
        </w:rPr>
        <w:footnoteReference w:id="16"/>
      </w:r>
      <w:r>
        <w:t xml:space="preserve">  </w:t>
      </w:r>
    </w:p>
    <w:p w:rsidR="002719C9" w:rsidP="0068128F" w14:paraId="01867662" w14:textId="6C50C115">
      <w:pPr>
        <w:pStyle w:val="Heading2"/>
      </w:pPr>
      <w:r>
        <w:t xml:space="preserve">Description of the Transaction </w:t>
      </w:r>
    </w:p>
    <w:p w:rsidR="0068128F" w:rsidRPr="00536388" w:rsidP="0073102C" w14:paraId="3C741201" w14:textId="2D345366">
      <w:pPr>
        <w:pStyle w:val="ParaNum"/>
        <w:tabs>
          <w:tab w:val="clear" w:pos="990"/>
        </w:tabs>
        <w:ind w:left="0"/>
      </w:pPr>
      <w:r>
        <w:t xml:space="preserve">On May 16, 2025, CEI, Charter, and </w:t>
      </w:r>
      <w:r w:rsidRPr="008F2482">
        <w:t>Charter Holdings</w:t>
      </w:r>
      <w:r>
        <w:t>, entered into an agreement</w:t>
      </w:r>
      <w:r w:rsidR="00EA7996">
        <w:t xml:space="preserve"> </w:t>
      </w:r>
      <w:r>
        <w:t xml:space="preserve">under which Charter will acquire Cox </w:t>
      </w:r>
      <w:r w:rsidRPr="009911B2">
        <w:t>a</w:t>
      </w:r>
      <w:r w:rsidRPr="00BB06CD">
        <w:t>nd the Licensees</w:t>
      </w:r>
      <w:r>
        <w:t xml:space="preserve"> from CEI, </w:t>
      </w:r>
      <w:r w:rsidRPr="000D51EC">
        <w:t>for a combination of cash and Charter</w:t>
      </w:r>
      <w:r>
        <w:t xml:space="preserve"> </w:t>
      </w:r>
      <w:r w:rsidRPr="000D51EC">
        <w:t>Holdings’ common and convertible preferred units</w:t>
      </w:r>
      <w:r w:rsidR="00817EDD">
        <w:t xml:space="preserve"> (the Transaction)</w:t>
      </w:r>
      <w:r w:rsidRPr="000D51EC">
        <w:t>.</w:t>
      </w:r>
      <w:r>
        <w:rPr>
          <w:rStyle w:val="FootnoteReference"/>
          <w:szCs w:val="22"/>
        </w:rPr>
        <w:footnoteReference w:id="17"/>
      </w:r>
      <w:r>
        <w:t xml:space="preserve"> </w:t>
      </w:r>
      <w:r w:rsidRPr="000D51EC">
        <w:t xml:space="preserve"> </w:t>
      </w:r>
      <w:r w:rsidRPr="003266EA" w:rsidR="00E36F6D">
        <w:t>Following the consummation of the proposed</w:t>
      </w:r>
      <w:r w:rsidR="00E36F6D">
        <w:t xml:space="preserve"> </w:t>
      </w:r>
      <w:r w:rsidR="00E7411D">
        <w:t>T</w:t>
      </w:r>
      <w:r w:rsidRPr="003266EA" w:rsidR="00E36F6D">
        <w:t>ransaction, Cox</w:t>
      </w:r>
      <w:r>
        <w:rPr>
          <w:rStyle w:val="FootnoteReference"/>
        </w:rPr>
        <w:footnoteReference w:id="18"/>
      </w:r>
      <w:r w:rsidRPr="003266EA" w:rsidR="00E36F6D">
        <w:t xml:space="preserve"> and the Licensees w</w:t>
      </w:r>
      <w:r w:rsidR="00E36F6D">
        <w:t xml:space="preserve">ould </w:t>
      </w:r>
      <w:r w:rsidRPr="003266EA" w:rsidR="00E36F6D">
        <w:t>be indirect wholly-owned subsidiar</w:t>
      </w:r>
      <w:r w:rsidR="00E36F6D">
        <w:t>ies</w:t>
      </w:r>
      <w:r w:rsidRPr="003266EA" w:rsidR="00E36F6D">
        <w:t xml:space="preserve"> of Charter Communications Holdings, LLC (Charter Holdings), a Delaware limited liability and holding company.</w:t>
      </w:r>
      <w:r>
        <w:rPr>
          <w:rStyle w:val="FootnoteReference"/>
        </w:rPr>
        <w:footnoteReference w:id="19"/>
      </w:r>
      <w:r w:rsidR="00E36F6D">
        <w:t xml:space="preserve">  </w:t>
      </w:r>
      <w:r>
        <w:t xml:space="preserve">Applicants state that </w:t>
      </w:r>
      <w:r w:rsidR="00B84E4B">
        <w:t xml:space="preserve">following consummation of the </w:t>
      </w:r>
      <w:r w:rsidR="00673564">
        <w:t>T</w:t>
      </w:r>
      <w:r>
        <w:t>ransaction, CEI</w:t>
      </w:r>
      <w:r w:rsidRPr="000D51EC">
        <w:t xml:space="preserve"> </w:t>
      </w:r>
      <w:r>
        <w:t>will</w:t>
      </w:r>
      <w:r w:rsidRPr="000D51EC">
        <w:t xml:space="preserve"> own an approximate 23.4%</w:t>
      </w:r>
      <w:r>
        <w:t xml:space="preserve"> </w:t>
      </w:r>
      <w:r w:rsidRPr="00AF4042">
        <w:t>equity interest and 24% voting interest in Charter,</w:t>
      </w:r>
      <w:r>
        <w:rPr>
          <w:rStyle w:val="FootnoteReference"/>
          <w:szCs w:val="22"/>
        </w:rPr>
        <w:footnoteReference w:id="20"/>
      </w:r>
      <w:r w:rsidRPr="00AF4042">
        <w:t xml:space="preserve"> on an as-converted, as-exchanged </w:t>
      </w:r>
      <w:r w:rsidRPr="00AF4042">
        <w:t>basis,</w:t>
      </w:r>
      <w:r>
        <w:rPr>
          <w:rStyle w:val="FootnoteReference"/>
          <w:szCs w:val="22"/>
        </w:rPr>
        <w:footnoteReference w:id="21"/>
      </w:r>
      <w:r w:rsidRPr="00AF4042">
        <w:t xml:space="preserve"> through </w:t>
      </w:r>
      <w:r>
        <w:t>CEI</w:t>
      </w:r>
      <w:r w:rsidRPr="00AF4042">
        <w:t>’</w:t>
      </w:r>
      <w:r>
        <w:t>s</w:t>
      </w:r>
      <w:r w:rsidRPr="00AF4042">
        <w:t xml:space="preserve"> indirect</w:t>
      </w:r>
      <w:r>
        <w:t xml:space="preserve"> </w:t>
      </w:r>
      <w:r w:rsidRPr="00AF4042">
        <w:t>ownership of common units and convertible preferred units in Charter Holdings.</w:t>
      </w:r>
      <w:r>
        <w:rPr>
          <w:rStyle w:val="FootnoteReference"/>
          <w:szCs w:val="22"/>
        </w:rPr>
        <w:footnoteReference w:id="22"/>
      </w:r>
      <w:r>
        <w:t xml:space="preserve">  Following consummation of the </w:t>
      </w:r>
      <w:r w:rsidR="003F63B7">
        <w:t>T</w:t>
      </w:r>
      <w:r>
        <w:t xml:space="preserve">ransaction, </w:t>
      </w:r>
      <w:r w:rsidRPr="007747B8">
        <w:t>Charter will indirectly control Cox’s</w:t>
      </w:r>
      <w:r>
        <w:t xml:space="preserve"> </w:t>
      </w:r>
      <w:r w:rsidRPr="007747B8">
        <w:t>residential broadband, video, mobile, and voice businesses; its advertising and enterprise</w:t>
      </w:r>
      <w:r>
        <w:t xml:space="preserve"> </w:t>
      </w:r>
      <w:r w:rsidRPr="007747B8">
        <w:t xml:space="preserve">businesses; and its </w:t>
      </w:r>
      <w:r w:rsidRPr="007747B8">
        <w:t>Segra</w:t>
      </w:r>
      <w:r w:rsidRPr="007747B8">
        <w:t xml:space="preserve">, UPN, and </w:t>
      </w:r>
      <w:r w:rsidRPr="007747B8">
        <w:t>RapidScale</w:t>
      </w:r>
      <w:r w:rsidRPr="007747B8">
        <w:t xml:space="preserve"> businesses.</w:t>
      </w:r>
      <w:r>
        <w:rPr>
          <w:rStyle w:val="FootnoteReference"/>
          <w:szCs w:val="22"/>
        </w:rPr>
        <w:footnoteReference w:id="23"/>
      </w:r>
    </w:p>
    <w:p w:rsidR="002719C9" w:rsidP="002719C9" w14:paraId="7E9ACD91" w14:textId="77777777">
      <w:pPr>
        <w:pStyle w:val="Heading2"/>
      </w:pPr>
      <w:r>
        <w:t>Transaction Review Process</w:t>
      </w:r>
    </w:p>
    <w:p w:rsidR="002719C9" w:rsidRPr="00AE3327" w:rsidP="0073102C" w14:paraId="13CD2FB9" w14:textId="39A34F70">
      <w:pPr>
        <w:pStyle w:val="ParaNum"/>
        <w:widowControl/>
        <w:tabs>
          <w:tab w:val="clear" w:pos="990"/>
        </w:tabs>
        <w:ind w:left="0"/>
      </w:pPr>
      <w:r>
        <w:t xml:space="preserve">On </w:t>
      </w:r>
      <w:r w:rsidR="00272115">
        <w:t>September 5, 2025</w:t>
      </w:r>
      <w:r>
        <w:t xml:space="preserve">, the Wireline Competition Bureau (WCB), </w:t>
      </w:r>
      <w:r w:rsidR="00E375D2">
        <w:t xml:space="preserve">the </w:t>
      </w:r>
      <w:r>
        <w:t>Office of International Affairs (OIA), and the Wireless Telecommunications Bureau (WTB</w:t>
      </w:r>
      <w:r w:rsidR="003D3687">
        <w:t>, collectively with WCB and OIA, the Bureaus</w:t>
      </w:r>
      <w:r>
        <w:t>) released a Public Notice accepting the Applications for filing and establishing a pleading cycle for public comments.</w:t>
      </w:r>
      <w:r>
        <w:rPr>
          <w:rStyle w:val="FootnoteReference"/>
        </w:rPr>
        <w:footnoteReference w:id="24"/>
      </w:r>
      <w:r>
        <w:t xml:space="preserve">  </w:t>
      </w:r>
      <w:r w:rsidR="00DC5EE1">
        <w:t>The</w:t>
      </w:r>
      <w:r w:rsidR="00E93566">
        <w:t xml:space="preserve"> record </w:t>
      </w:r>
      <w:r w:rsidR="004D7CDF">
        <w:t xml:space="preserve">contains </w:t>
      </w:r>
      <w:r w:rsidR="00AB54B4">
        <w:t>41</w:t>
      </w:r>
      <w:r w:rsidR="00B937F3">
        <w:t xml:space="preserve"> comments</w:t>
      </w:r>
      <w:r w:rsidR="004D7CDF">
        <w:t xml:space="preserve"> in support of the Transaction</w:t>
      </w:r>
      <w:r w:rsidR="00B937F3">
        <w:t>,</w:t>
      </w:r>
      <w:r>
        <w:rPr>
          <w:rStyle w:val="FootnoteReference"/>
        </w:rPr>
        <w:footnoteReference w:id="25"/>
      </w:r>
      <w:r w:rsidR="00B937F3">
        <w:t xml:space="preserve"> </w:t>
      </w:r>
      <w:r w:rsidR="00D11E0C">
        <w:t>one comment in opposition,</w:t>
      </w:r>
      <w:r>
        <w:rPr>
          <w:rStyle w:val="FootnoteReference"/>
        </w:rPr>
        <w:footnoteReference w:id="26"/>
      </w:r>
      <w:r w:rsidR="00D11E0C">
        <w:t xml:space="preserve"> and </w:t>
      </w:r>
      <w:r w:rsidR="00255AAD">
        <w:t xml:space="preserve">a </w:t>
      </w:r>
      <w:r w:rsidRPr="00E277AE" w:rsidR="00A11168">
        <w:t xml:space="preserve">Petition </w:t>
      </w:r>
      <w:r w:rsidR="0011467D">
        <w:t>to</w:t>
      </w:r>
      <w:r w:rsidRPr="00E277AE" w:rsidR="00A11168">
        <w:t xml:space="preserve"> </w:t>
      </w:r>
      <w:r w:rsidRPr="00E277AE" w:rsidR="00E277AE">
        <w:t>D</w:t>
      </w:r>
      <w:r w:rsidRPr="00E277AE" w:rsidR="00A11168">
        <w:t>en</w:t>
      </w:r>
      <w:r w:rsidR="0011467D">
        <w:t>y</w:t>
      </w:r>
      <w:r w:rsidR="00255AAD">
        <w:t xml:space="preserve"> </w:t>
      </w:r>
      <w:r w:rsidR="00382B39">
        <w:t xml:space="preserve">(Petition) </w:t>
      </w:r>
      <w:r w:rsidR="00255AAD">
        <w:t xml:space="preserve">filed by </w:t>
      </w:r>
      <w:r w:rsidRPr="008D377A" w:rsidR="00B9777A">
        <w:t xml:space="preserve">Public Knowledge, </w:t>
      </w:r>
      <w:r w:rsidRPr="008D377A" w:rsidR="00B9777A">
        <w:t>Communications Workers of America, Benton Institute for Broadband &amp; Society, and Center for Accessible Technology</w:t>
      </w:r>
      <w:r w:rsidR="00B9777A">
        <w:t xml:space="preserve"> (collectively, Petitioners)</w:t>
      </w:r>
      <w:r w:rsidRPr="00E277AE" w:rsidR="00D11E0C">
        <w:t>.</w:t>
      </w:r>
      <w:r>
        <w:rPr>
          <w:rStyle w:val="FootnoteReference"/>
        </w:rPr>
        <w:footnoteReference w:id="27"/>
      </w:r>
    </w:p>
    <w:p w:rsidR="002719C9" w:rsidP="002719C9" w14:paraId="41AC87A0" w14:textId="5EDFC297">
      <w:pPr>
        <w:pStyle w:val="Heading1"/>
      </w:pPr>
      <w:r>
        <w:t>Standard of Review and Public Interest Framework</w:t>
      </w:r>
    </w:p>
    <w:p w:rsidR="002719C9" w:rsidRPr="004B6FCD" w:rsidP="0081527C" w14:paraId="12DBE08A" w14:textId="32312D65">
      <w:pPr>
        <w:pStyle w:val="ParaNum"/>
        <w:tabs>
          <w:tab w:val="clear" w:pos="990"/>
        </w:tabs>
        <w:ind w:left="0"/>
      </w:pPr>
      <w:r w:rsidRPr="004B6FCD">
        <w:t>Pursuant to sections 214(a) and 310(d) of the Act,</w:t>
      </w:r>
      <w:r>
        <w:rPr>
          <w:rStyle w:val="FootnoteReference"/>
        </w:rPr>
        <w:footnoteReference w:id="28"/>
      </w:r>
      <w:r w:rsidRPr="004B6FCD">
        <w:t xml:space="preserve"> we must determine whether the proposed transfer of control to </w:t>
      </w:r>
      <w:r w:rsidR="00EC67F6">
        <w:t>Charter</w:t>
      </w:r>
      <w:r w:rsidRPr="004B6FCD">
        <w:t xml:space="preserve"> of licenses and authorizations held and controlled by </w:t>
      </w:r>
      <w:r w:rsidR="00AF1095">
        <w:t xml:space="preserve">Cox </w:t>
      </w:r>
      <w:r w:rsidRPr="004B6FCD">
        <w:t xml:space="preserve">will serve the public interest, convenience, and necessity.  In making this determination, we first assess whether the </w:t>
      </w:r>
      <w:r w:rsidR="00781146">
        <w:t>proposed t</w:t>
      </w:r>
      <w:r w:rsidRPr="004B6FCD">
        <w:t xml:space="preserve">ransaction complies with the </w:t>
      </w:r>
      <w:r w:rsidR="001E5A44">
        <w:t xml:space="preserve">applicable provisions of </w:t>
      </w:r>
      <w:r w:rsidR="00143282">
        <w:t>the</w:t>
      </w:r>
      <w:r w:rsidRPr="004B6FCD">
        <w:t xml:space="preserve"> Act, </w:t>
      </w:r>
      <w:r w:rsidR="006E50B9">
        <w:t xml:space="preserve">other </w:t>
      </w:r>
      <w:r w:rsidR="001E5A44">
        <w:t>relevant</w:t>
      </w:r>
      <w:r w:rsidRPr="004B6FCD">
        <w:t xml:space="preserve"> statutes, and the Commission’s rules.</w:t>
      </w:r>
      <w:r>
        <w:rPr>
          <w:rStyle w:val="FootnoteReference"/>
        </w:rPr>
        <w:footnoteReference w:id="29"/>
      </w:r>
    </w:p>
    <w:p w:rsidR="002719C9" w:rsidRPr="00D80945" w:rsidP="0049484F" w14:paraId="1841D8B0" w14:textId="5E090441">
      <w:pPr>
        <w:pStyle w:val="ParaNum"/>
      </w:pPr>
      <w:r w:rsidRPr="00D80945">
        <w:t xml:space="preserve">If the proposed transaction </w:t>
      </w:r>
      <w:r w:rsidRPr="00D80945" w:rsidR="0049484F">
        <w:t>does not violate a statute or rule</w:t>
      </w:r>
      <w:r w:rsidRPr="00D80945">
        <w:t xml:space="preserve">, we then consider whether the transaction could result in public interest harms </w:t>
      </w:r>
      <w:r w:rsidRPr="00D80945" w:rsidR="0049484F">
        <w:t xml:space="preserve">by substantially frustrating or impairing </w:t>
      </w:r>
      <w:r w:rsidRPr="00D80945">
        <w:t>the objectives or implementation of the Act or related statutes.</w:t>
      </w:r>
      <w:r>
        <w:rPr>
          <w:rStyle w:val="FootnoteReference"/>
        </w:rPr>
        <w:footnoteReference w:id="30"/>
      </w:r>
      <w:r w:rsidRPr="00D80945">
        <w:t xml:space="preserve">  Our competitive analysis, which forms an important part of the public interest evaluation, is informed by, but not limited to, traditional antitrust principles.</w:t>
      </w:r>
      <w:r>
        <w:rPr>
          <w:rStyle w:val="FootnoteReference"/>
        </w:rPr>
        <w:footnoteReference w:id="31"/>
      </w:r>
      <w:r w:rsidRPr="00D80945">
        <w:t xml:space="preserve">  The </w:t>
      </w:r>
      <w:r>
        <w:t xml:space="preserve">United States </w:t>
      </w:r>
      <w:r w:rsidRPr="00D80945">
        <w:t>D</w:t>
      </w:r>
      <w:r>
        <w:t>epartment of Justice</w:t>
      </w:r>
      <w:r w:rsidRPr="00D80945">
        <w:t xml:space="preserve"> has independent authority to examine the competitive impacts of proposed mergers and transactions </w:t>
      </w:r>
      <w:r w:rsidR="0056547B">
        <w:t xml:space="preserve">(including those </w:t>
      </w:r>
      <w:r w:rsidRPr="00D80945">
        <w:t>involving transfers of Commission licenses</w:t>
      </w:r>
      <w:r w:rsidR="0056547B">
        <w:t>)</w:t>
      </w:r>
      <w:r w:rsidRPr="00D80945">
        <w:t xml:space="preserve">, </w:t>
      </w:r>
      <w:r w:rsidR="0049484F">
        <w:t xml:space="preserve">but </w:t>
      </w:r>
      <w:r w:rsidRPr="00D80945">
        <w:t>the Commission’s competitive analysis under the public interest standard is somewhat broader</w:t>
      </w:r>
      <w:r w:rsidR="0049484F">
        <w:t>, and often takes a more extensive view of potential and future competition and its impact on the relevant markets</w:t>
      </w:r>
      <w:r w:rsidRPr="00D80945">
        <w:t>.</w:t>
      </w:r>
      <w:r>
        <w:rPr>
          <w:rStyle w:val="FootnoteReference"/>
        </w:rPr>
        <w:footnoteReference w:id="32"/>
      </w:r>
      <w:r w:rsidRPr="00D80945">
        <w:t xml:space="preserve">  </w:t>
      </w:r>
      <w:r w:rsidRPr="00D80945">
        <w:t xml:space="preserve">Notably, the Commission </w:t>
      </w:r>
      <w:r w:rsidRPr="002844EF">
        <w:t xml:space="preserve">has </w:t>
      </w:r>
      <w:r w:rsidR="0049484F">
        <w:t xml:space="preserve">determined it may </w:t>
      </w:r>
      <w:r w:rsidRPr="00D80945">
        <w:t>impose and enforce transaction-related conditions to ensure that the public interest is served by the transaction.</w:t>
      </w:r>
      <w:r>
        <w:rPr>
          <w:rStyle w:val="FootnoteReference"/>
        </w:rPr>
        <w:footnoteReference w:id="33"/>
      </w:r>
    </w:p>
    <w:p w:rsidR="002719C9" w:rsidRPr="0089258D" w:rsidP="00254CF5" w14:paraId="3122A783" w14:textId="53F17F69">
      <w:pPr>
        <w:pStyle w:val="ParaNum"/>
        <w:tabs>
          <w:tab w:val="clear" w:pos="990"/>
        </w:tabs>
        <w:ind w:left="0"/>
      </w:pPr>
      <w:r w:rsidRPr="0089258D">
        <w:t>If we determine that a transaction raises no public interest harms or that any such harms have been ameliorated by the Commission-imposed conditions or voluntary commitments, we next consider a transaction’s public interest benefits.  Applicants bear the burden of proving those benefits by a preponderance of the evidence.</w:t>
      </w:r>
      <w:r>
        <w:rPr>
          <w:rStyle w:val="FootnoteReference"/>
        </w:rPr>
        <w:footnoteReference w:id="34"/>
      </w:r>
      <w:r w:rsidRPr="0089258D">
        <w:t xml:space="preserve">  As part of our public interest authority, we may impose conditions to ensure </w:t>
      </w:r>
      <w:r w:rsidR="0049484F">
        <w:t xml:space="preserve">for the public the </w:t>
      </w:r>
      <w:r w:rsidRPr="0089258D">
        <w:t>transaction-related benefits claimed by the Applicants.</w:t>
      </w:r>
      <w:r>
        <w:rPr>
          <w:rStyle w:val="FootnoteReference"/>
        </w:rPr>
        <w:footnoteReference w:id="35"/>
      </w:r>
    </w:p>
    <w:p w:rsidR="002719C9" w:rsidRPr="003B548B" w:rsidP="00A939FC" w14:paraId="198122AF" w14:textId="27B0861C">
      <w:pPr>
        <w:pStyle w:val="ParaNum"/>
        <w:tabs>
          <w:tab w:val="clear" w:pos="990"/>
        </w:tabs>
        <w:ind w:left="0"/>
      </w:pPr>
      <w:r w:rsidRPr="0062210A">
        <w:t xml:space="preserve">Finally, if we </w:t>
      </w:r>
      <w:r w:rsidR="0049484F">
        <w:t xml:space="preserve">are able to </w:t>
      </w:r>
      <w:r w:rsidRPr="0062210A">
        <w:t>find that transaction-related conditions are able to ameliorate any public interest harms and the transaction is in the public interest, we may approve the transaction as so conditioned or agreed.</w:t>
      </w:r>
      <w:r>
        <w:rPr>
          <w:rStyle w:val="FootnoteReference"/>
        </w:rPr>
        <w:footnoteReference w:id="36"/>
      </w:r>
      <w:r w:rsidRPr="0062210A">
        <w:t xml:space="preserve">  In contrast, if we are unable to find that a proposed transaction even with such conditions serves the public interest or if the record presents a substantial and material question of fact, then we must designate the application for hearing.</w:t>
      </w:r>
      <w:r>
        <w:rPr>
          <w:rStyle w:val="FootnoteReference"/>
        </w:rPr>
        <w:footnoteReference w:id="37"/>
      </w:r>
    </w:p>
    <w:p w:rsidR="002719C9" w:rsidP="002719C9" w14:paraId="0A1C621A" w14:textId="501C80A6">
      <w:pPr>
        <w:pStyle w:val="Heading1"/>
      </w:pPr>
      <w:r>
        <w:t xml:space="preserve">Qualifications of Applicants and Compliance With </w:t>
      </w:r>
      <w:r w:rsidR="00795EDD">
        <w:t xml:space="preserve">the </w:t>
      </w:r>
      <w:r>
        <w:t>Communications Act and</w:t>
      </w:r>
      <w:r w:rsidR="00402570">
        <w:t xml:space="preserve"> </w:t>
      </w:r>
      <w:r>
        <w:t>FCC Rules and Policies</w:t>
      </w:r>
    </w:p>
    <w:p w:rsidR="002719C9" w:rsidP="0081527C" w14:paraId="7DEC40B4" w14:textId="3A415D08">
      <w:pPr>
        <w:pStyle w:val="ParaNum"/>
        <w:tabs>
          <w:tab w:val="clear" w:pos="990"/>
        </w:tabs>
        <w:ind w:left="0"/>
      </w:pPr>
      <w:r>
        <w:t xml:space="preserve">Pursuant to </w:t>
      </w:r>
      <w:r w:rsidRPr="0039104E">
        <w:t>Section 310(d) of the Act</w:t>
      </w:r>
      <w:r>
        <w:t xml:space="preserve">, </w:t>
      </w:r>
      <w:r w:rsidRPr="0039104E">
        <w:t>the Commission</w:t>
      </w:r>
      <w:r>
        <w:t xml:space="preserve"> is required to make a</w:t>
      </w:r>
      <w:r w:rsidRPr="0039104E">
        <w:t xml:space="preserve"> determination as to whether the Applicants have the requisite qualifications to hold Commission licenses.</w:t>
      </w:r>
      <w:r>
        <w:rPr>
          <w:vertAlign w:val="superscript"/>
        </w:rPr>
        <w:footnoteReference w:id="38"/>
      </w:r>
      <w:r w:rsidRPr="0039104E">
        <w:t xml:space="preserve">  Among the factors the Commission considers in its public interest review is whether the applicant for a license has the requisite “citizenship, character, financial, technical, and other qualifications.”</w:t>
      </w:r>
      <w:r>
        <w:rPr>
          <w:vertAlign w:val="superscript"/>
        </w:rPr>
        <w:footnoteReference w:id="39"/>
      </w:r>
      <w:r w:rsidRPr="0039104E">
        <w:t xml:space="preserve">  Therefore, as a threshold matter, the Commission must determine whether</w:t>
      </w:r>
      <w:r>
        <w:t xml:space="preserve"> the applicants to a proposed transaction </w:t>
      </w:r>
      <w:r w:rsidRPr="0039104E">
        <w:t>meet the requisite qualification requirements to hold and transfer licenses under section 310(d) of the Act and the Commission’s rules.</w:t>
      </w:r>
      <w:r>
        <w:rPr>
          <w:vertAlign w:val="superscript"/>
        </w:rPr>
        <w:footnoteReference w:id="40"/>
      </w:r>
    </w:p>
    <w:p w:rsidR="002719C9" w:rsidP="0081527C" w14:paraId="6B7B419C" w14:textId="12EE6E9C">
      <w:pPr>
        <w:pStyle w:val="ParaNum"/>
        <w:tabs>
          <w:tab w:val="clear" w:pos="990"/>
        </w:tabs>
        <w:ind w:left="0"/>
      </w:pPr>
      <w:r>
        <w:t>No party has raised an issue with respect to the basic qualifications of the Applicants.  Accordingly, pursuant to Commission precedent,</w:t>
      </w:r>
      <w:r>
        <w:rPr>
          <w:vertAlign w:val="superscript"/>
        </w:rPr>
        <w:footnoteReference w:id="41"/>
      </w:r>
      <w:r w:rsidRPr="001B7A3B">
        <w:t xml:space="preserve"> </w:t>
      </w:r>
      <w:r>
        <w:t>w</w:t>
      </w:r>
      <w:r w:rsidRPr="001B7A3B">
        <w:t xml:space="preserve">e find that there is no reason to reevaluate the requisite citizenship, character, financial, technical, or other basic qualifications of </w:t>
      </w:r>
      <w:r w:rsidR="009A2623">
        <w:t>Cox</w:t>
      </w:r>
      <w:r>
        <w:t xml:space="preserve"> or </w:t>
      </w:r>
      <w:r w:rsidR="009A2623">
        <w:t>Charter</w:t>
      </w:r>
      <w:r>
        <w:t xml:space="preserve"> </w:t>
      </w:r>
      <w:r w:rsidRPr="001B7A3B">
        <w:t>under the Act or our rules, regulations, and policies.</w:t>
      </w:r>
      <w:r>
        <w:rPr>
          <w:rStyle w:val="FootnoteReference"/>
        </w:rPr>
        <w:footnoteReference w:id="42"/>
      </w:r>
      <w:r w:rsidRPr="001B7A3B">
        <w:t xml:space="preserve">  </w:t>
      </w:r>
      <w:r>
        <w:t xml:space="preserve">We also </w:t>
      </w:r>
      <w:r w:rsidRPr="005E4FCD">
        <w:t xml:space="preserve">find that </w:t>
      </w:r>
      <w:r w:rsidRPr="00B55E4D">
        <w:t>the Transaction</w:t>
      </w:r>
      <w:r w:rsidRPr="005E4FCD">
        <w:t xml:space="preserve"> will not violate any statutory provision or Commission rule</w:t>
      </w:r>
      <w:r>
        <w:t>.</w:t>
      </w:r>
    </w:p>
    <w:p w:rsidR="002719C9" w:rsidP="002719C9" w14:paraId="7290E033" w14:textId="2A5FB1B7">
      <w:pPr>
        <w:pStyle w:val="Heading1"/>
      </w:pPr>
      <w:r>
        <w:t>Potential Public Interest Harms and Benefits</w:t>
      </w:r>
    </w:p>
    <w:p w:rsidR="002719C9" w:rsidRPr="002107E2" w:rsidP="00A939FC" w14:paraId="3AF5FF56" w14:textId="4B704612">
      <w:pPr>
        <w:pStyle w:val="ParaNum"/>
        <w:tabs>
          <w:tab w:val="clear" w:pos="990"/>
        </w:tabs>
        <w:ind w:left="0"/>
      </w:pPr>
      <w:r>
        <w:t xml:space="preserve">In this section, we consider the potential harms and benefits arising from the Transaction.  </w:t>
      </w:r>
      <w:r w:rsidR="009D225C">
        <w:t xml:space="preserve">As discussed below, we find that this </w:t>
      </w:r>
      <w:r w:rsidR="008A1BA9">
        <w:t>T</w:t>
      </w:r>
      <w:r w:rsidR="009D225C">
        <w:t>ransa</w:t>
      </w:r>
      <w:r w:rsidR="00B303DD">
        <w:t xml:space="preserve">ction is </w:t>
      </w:r>
      <w:r w:rsidR="00767530">
        <w:t>unlikely to cause any potential transaction-re</w:t>
      </w:r>
      <w:r w:rsidR="00565CB9">
        <w:t>l</w:t>
      </w:r>
      <w:r w:rsidR="00767530">
        <w:t xml:space="preserve">ated public interest </w:t>
      </w:r>
      <w:r w:rsidR="00767530">
        <w:t>harms</w:t>
      </w:r>
      <w:r w:rsidR="00767530">
        <w:t xml:space="preserve">.  We further find that it is </w:t>
      </w:r>
      <w:r w:rsidR="00B303DD">
        <w:t xml:space="preserve">likely to result in some tangible </w:t>
      </w:r>
      <w:r w:rsidR="00E36F6D">
        <w:t xml:space="preserve">public interest </w:t>
      </w:r>
      <w:r w:rsidR="00B303DD">
        <w:t>benefits</w:t>
      </w:r>
      <w:r w:rsidR="00E36F6D">
        <w:t>,</w:t>
      </w:r>
      <w:r w:rsidR="00B303DD">
        <w:t xml:space="preserve"> </w:t>
      </w:r>
      <w:r w:rsidR="003A120C">
        <w:t xml:space="preserve">such as providing </w:t>
      </w:r>
      <w:r w:rsidR="00BA2B5F">
        <w:t>new</w:t>
      </w:r>
      <w:r w:rsidR="003A120C">
        <w:t xml:space="preserve"> services for Cox’s current customers and </w:t>
      </w:r>
      <w:r w:rsidRPr="00381139" w:rsidR="00340DF3">
        <w:rPr>
          <w:rFonts w:eastAsia="Calibri"/>
          <w:snapToGrid/>
          <w:kern w:val="0"/>
        </w:rPr>
        <w:t>enabling</w:t>
      </w:r>
      <w:r w:rsidR="00340DF3">
        <w:rPr>
          <w:rFonts w:eastAsia="Calibri"/>
          <w:snapToGrid/>
          <w:kern w:val="0"/>
        </w:rPr>
        <w:t xml:space="preserve"> </w:t>
      </w:r>
      <w:r w:rsidR="009748ED">
        <w:rPr>
          <w:rFonts w:eastAsia="Calibri"/>
          <w:snapToGrid/>
          <w:kern w:val="0"/>
        </w:rPr>
        <w:t xml:space="preserve">the </w:t>
      </w:r>
      <w:r w:rsidR="00340DF3">
        <w:rPr>
          <w:rFonts w:eastAsia="Calibri"/>
          <w:snapToGrid/>
          <w:kern w:val="0"/>
        </w:rPr>
        <w:t xml:space="preserve">combined </w:t>
      </w:r>
      <w:r w:rsidR="005337FF">
        <w:rPr>
          <w:rFonts w:eastAsia="Calibri"/>
          <w:snapToGrid/>
          <w:kern w:val="0"/>
        </w:rPr>
        <w:t>company</w:t>
      </w:r>
      <w:r w:rsidR="001E2145">
        <w:rPr>
          <w:rFonts w:eastAsia="Calibri"/>
          <w:snapToGrid/>
          <w:kern w:val="0"/>
        </w:rPr>
        <w:t xml:space="preserve"> </w:t>
      </w:r>
      <w:r w:rsidR="006527A3">
        <w:rPr>
          <w:rFonts w:eastAsia="Calibri"/>
          <w:snapToGrid/>
          <w:kern w:val="0"/>
        </w:rPr>
        <w:t>(</w:t>
      </w:r>
      <w:r w:rsidR="00F83481">
        <w:rPr>
          <w:rFonts w:eastAsia="Calibri"/>
          <w:snapToGrid/>
          <w:kern w:val="0"/>
        </w:rPr>
        <w:t>New Charter</w:t>
      </w:r>
      <w:r w:rsidR="006527A3">
        <w:rPr>
          <w:rFonts w:eastAsia="Calibri"/>
          <w:snapToGrid/>
          <w:kern w:val="0"/>
        </w:rPr>
        <w:t xml:space="preserve">) </w:t>
      </w:r>
      <w:r w:rsidR="00340DF3">
        <w:rPr>
          <w:rFonts w:eastAsia="Calibri"/>
          <w:snapToGrid/>
          <w:kern w:val="0"/>
        </w:rPr>
        <w:t xml:space="preserve">to improve </w:t>
      </w:r>
      <w:r w:rsidR="00BD12AB">
        <w:rPr>
          <w:rFonts w:eastAsia="Calibri"/>
          <w:snapToGrid/>
          <w:kern w:val="0"/>
        </w:rPr>
        <w:t xml:space="preserve">competitive </w:t>
      </w:r>
      <w:r w:rsidR="004911E2">
        <w:rPr>
          <w:rFonts w:eastAsia="Calibri"/>
          <w:snapToGrid/>
          <w:kern w:val="0"/>
        </w:rPr>
        <w:t>choices for consumers</w:t>
      </w:r>
      <w:r w:rsidR="00E36F6D">
        <w:rPr>
          <w:rFonts w:eastAsia="Calibri"/>
          <w:snapToGrid/>
          <w:kern w:val="0"/>
        </w:rPr>
        <w:t xml:space="preserve"> throughout its footprint</w:t>
      </w:r>
      <w:r w:rsidR="008218DA">
        <w:rPr>
          <w:rFonts w:eastAsia="Calibri"/>
          <w:snapToGrid/>
          <w:kern w:val="0"/>
        </w:rPr>
        <w:t>.</w:t>
      </w:r>
      <w:r w:rsidR="00D61196">
        <w:rPr>
          <w:rFonts w:eastAsia="Calibri"/>
          <w:snapToGrid/>
          <w:kern w:val="0"/>
        </w:rPr>
        <w:t xml:space="preserve">  </w:t>
      </w:r>
      <w:r w:rsidR="007473C9">
        <w:rPr>
          <w:rFonts w:eastAsia="Calibri"/>
          <w:snapToGrid/>
          <w:kern w:val="0"/>
        </w:rPr>
        <w:t xml:space="preserve">The Transaction </w:t>
      </w:r>
      <w:r w:rsidR="0041195E">
        <w:rPr>
          <w:rFonts w:eastAsia="Calibri"/>
          <w:snapToGrid/>
          <w:kern w:val="0"/>
        </w:rPr>
        <w:t xml:space="preserve">will </w:t>
      </w:r>
      <w:r w:rsidR="007473C9">
        <w:rPr>
          <w:rFonts w:eastAsia="Calibri"/>
          <w:snapToGrid/>
          <w:kern w:val="0"/>
        </w:rPr>
        <w:t xml:space="preserve">also </w:t>
      </w:r>
      <w:r w:rsidR="007473C9">
        <w:t>promote career opportunities for American workers</w:t>
      </w:r>
      <w:r w:rsidR="005E2D9B">
        <w:t xml:space="preserve">. </w:t>
      </w:r>
      <w:r w:rsidR="007473C9">
        <w:t xml:space="preserve"> </w:t>
      </w:r>
    </w:p>
    <w:p w:rsidR="0071691E" w:rsidP="006A4FA1" w14:paraId="44B55C7E" w14:textId="77777777">
      <w:pPr>
        <w:pStyle w:val="Heading2"/>
      </w:pPr>
      <w:r>
        <w:t>Potential Public Interest Harms</w:t>
      </w:r>
      <w:r w:rsidR="00B7493D">
        <w:t xml:space="preserve"> </w:t>
      </w:r>
    </w:p>
    <w:p w:rsidR="00B92973" w:rsidRPr="001B0157" w:rsidP="00A939FC" w14:paraId="02F38F00" w14:textId="2D3D0E76">
      <w:pPr>
        <w:pStyle w:val="ParaNum"/>
        <w:tabs>
          <w:tab w:val="clear" w:pos="990"/>
        </w:tabs>
        <w:ind w:left="0"/>
      </w:pPr>
      <w:r w:rsidRPr="00806B06">
        <w:rPr>
          <w:i/>
          <w:iCs/>
        </w:rPr>
        <w:t>Interconnection Concerns.</w:t>
      </w:r>
      <w:r>
        <w:t xml:space="preserve">  In their Petition to Deny, Petitioners </w:t>
      </w:r>
      <w:r w:rsidR="0079210F">
        <w:t xml:space="preserve">raise </w:t>
      </w:r>
      <w:r w:rsidR="0079210F">
        <w:t>a number of</w:t>
      </w:r>
      <w:r w:rsidR="0079210F">
        <w:t xml:space="preserve"> concerns.  They first argue that the </w:t>
      </w:r>
      <w:r w:rsidR="00E54E68">
        <w:t>T</w:t>
      </w:r>
      <w:r w:rsidR="0079210F">
        <w:t>ransaction will lead Charter to having “gatekeeper power” over the Inter</w:t>
      </w:r>
      <w:r w:rsidR="00E36F6D">
        <w:t>n</w:t>
      </w:r>
      <w:r w:rsidR="0079210F">
        <w:t xml:space="preserve">et.  While they </w:t>
      </w:r>
      <w:r w:rsidR="00AF6583">
        <w:t xml:space="preserve">acknowledge that </w:t>
      </w:r>
      <w:r w:rsidR="00B60EC1">
        <w:t>the Transaction would not reduce broadband choice in local markets due to the Applicants’ non-overlapping service areas,</w:t>
      </w:r>
      <w:r>
        <w:rPr>
          <w:rStyle w:val="FootnoteReference"/>
        </w:rPr>
        <w:footnoteReference w:id="43"/>
      </w:r>
      <w:r w:rsidR="00B60EC1">
        <w:t xml:space="preserve"> </w:t>
      </w:r>
      <w:r w:rsidR="0079210F">
        <w:t xml:space="preserve">they </w:t>
      </w:r>
      <w:r>
        <w:t>argue that the merged entity would have a “termination monopoly” on its roughly 37 million last-mile subscribers.</w:t>
      </w:r>
      <w:r>
        <w:rPr>
          <w:rStyle w:val="FootnoteReference"/>
        </w:rPr>
        <w:footnoteReference w:id="44"/>
      </w:r>
      <w:r>
        <w:t xml:space="preserve">  According to Petitioners, New Charter’s larger size post-merger, coupled with its termination monopoly, would increase its incentive and ability to “manipulate its interconnection practices to extract fees from internet </w:t>
      </w:r>
      <w:r>
        <w:t>content providers . . . or degrade unaffiliated services.”</w:t>
      </w:r>
      <w:r>
        <w:rPr>
          <w:rStyle w:val="FootnoteReference"/>
        </w:rPr>
        <w:footnoteReference w:id="45"/>
      </w:r>
      <w:r>
        <w:t xml:space="preserve">  Petitioners claim that this could lead to increased congestion and degraded user experience, as well as reduced innovation and consumer choice.</w:t>
      </w:r>
      <w:r>
        <w:rPr>
          <w:rStyle w:val="FootnoteReference"/>
        </w:rPr>
        <w:footnoteReference w:id="46"/>
      </w:r>
      <w:r>
        <w:t xml:space="preserve">  The Applicants respond that they have no history of significant interconnection disputes, have never relied on paid interconnection arrangements</w:t>
      </w:r>
      <w:r w:rsidR="00E36F6D">
        <w:t>,</w:t>
      </w:r>
      <w:r>
        <w:t xml:space="preserve"> and have no plans to do so in the future, and they maintain that most of the traffic on their networks travels via settlement-free or public peering.</w:t>
      </w:r>
      <w:r>
        <w:rPr>
          <w:rStyle w:val="FootnoteReference"/>
        </w:rPr>
        <w:footnoteReference w:id="47"/>
      </w:r>
      <w:r>
        <w:t xml:space="preserve">  In a reply, Petitioners argue that only interconnection conditions would ensure continued settlement-free peering because voluntary practices can change over time if incentives change.</w:t>
      </w:r>
      <w:r>
        <w:rPr>
          <w:rStyle w:val="FootnoteReference"/>
        </w:rPr>
        <w:footnoteReference w:id="48"/>
      </w:r>
    </w:p>
    <w:p w:rsidR="00E36F6D" w:rsidP="00A939FC" w14:paraId="6B38725A" w14:textId="25CB636F">
      <w:pPr>
        <w:pStyle w:val="ParaNum"/>
        <w:tabs>
          <w:tab w:val="clear" w:pos="990"/>
        </w:tabs>
        <w:ind w:left="0"/>
      </w:pPr>
      <w:r>
        <w:t>We find Petitioners’ allegations to be unpersuasive</w:t>
      </w:r>
      <w:r w:rsidR="0079210F">
        <w:t xml:space="preserve"> for </w:t>
      </w:r>
      <w:r w:rsidR="0079210F">
        <w:t>a number of</w:t>
      </w:r>
      <w:r w:rsidR="0079210F">
        <w:t xml:space="preserve"> reasons</w:t>
      </w:r>
      <w:r>
        <w:t xml:space="preserve">.  First, they provide no evidence that either Charter or Cox has </w:t>
      </w:r>
      <w:r>
        <w:t>attempted to charge</w:t>
      </w:r>
      <w:r>
        <w:t xml:space="preserve"> to terminate traffic on their networks, nor have they rebutted the Applicants’ claim that they have never relied on paid interconnection arrangements.  In addition, while the Commission has recognized that vertically integrated firms may have the incentive and ability to block or degrade competitors’ service,</w:t>
      </w:r>
      <w:r>
        <w:rPr>
          <w:rStyle w:val="FootnoteReference"/>
        </w:rPr>
        <w:footnoteReference w:id="49"/>
      </w:r>
      <w:r>
        <w:t xml:space="preserve"> Petitioners have pointed to no content or applications owned or controlled by the Applicants (except of a single regional sports network)</w:t>
      </w:r>
      <w:r>
        <w:rPr>
          <w:rStyle w:val="FootnoteReference"/>
        </w:rPr>
        <w:footnoteReference w:id="50"/>
      </w:r>
      <w:r>
        <w:t xml:space="preserve"> that would give </w:t>
      </w:r>
      <w:r>
        <w:t xml:space="preserve">New Charter </w:t>
      </w:r>
      <w:r>
        <w:t xml:space="preserve">a significant incentive to discriminate against or degrade unaffiliated content.  </w:t>
      </w:r>
    </w:p>
    <w:p w:rsidR="0079210F" w:rsidP="00941BEB" w14:paraId="2FDBB837" w14:textId="1A608A41">
      <w:pPr>
        <w:pStyle w:val="ParaNum"/>
        <w:tabs>
          <w:tab w:val="clear" w:pos="990"/>
        </w:tabs>
        <w:ind w:left="0"/>
      </w:pPr>
      <w:r>
        <w:t>Finally, while Petitioners acknowledge that terminating market power can be “constrained” by competition on the consumer side if “users can credibly threaten to switch providers if their ISP degrades particular content,”</w:t>
      </w:r>
      <w:r>
        <w:rPr>
          <w:rStyle w:val="FootnoteReference"/>
        </w:rPr>
        <w:footnoteReference w:id="51"/>
      </w:r>
      <w:r>
        <w:t xml:space="preserve"> they fail to acknowledge the increasing competition among broadband ISPs.</w:t>
      </w:r>
      <w:r w:rsidR="00E36F6D">
        <w:t xml:space="preserve">  In this regard, w</w:t>
      </w:r>
      <w:r>
        <w:t xml:space="preserve">e </w:t>
      </w:r>
      <w:r w:rsidR="00A61BD3">
        <w:t>disagree with</w:t>
      </w:r>
      <w:r>
        <w:t xml:space="preserve"> Petitioners’ reliance on the Commission’s 2016 </w:t>
      </w:r>
      <w:r w:rsidRPr="00E36F6D">
        <w:rPr>
          <w:i/>
          <w:iCs/>
        </w:rPr>
        <w:t xml:space="preserve">Charter-Time Warner Cable Order </w:t>
      </w:r>
      <w:r>
        <w:t xml:space="preserve">to </w:t>
      </w:r>
      <w:r w:rsidR="006A1502">
        <w:t xml:space="preserve">claim that the </w:t>
      </w:r>
      <w:r w:rsidR="006219D5">
        <w:t>T</w:t>
      </w:r>
      <w:r w:rsidR="006A1502">
        <w:t xml:space="preserve">ransaction would result in </w:t>
      </w:r>
      <w:r w:rsidR="0058556F">
        <w:t>unacceptable market concentration</w:t>
      </w:r>
      <w:r>
        <w:t>.</w:t>
      </w:r>
      <w:r>
        <w:rPr>
          <w:rStyle w:val="FootnoteReference"/>
        </w:rPr>
        <w:footnoteReference w:id="52"/>
      </w:r>
      <w:r>
        <w:t xml:space="preserve">  In particular, we find that, due to two significant changes in market and technological conditions, the concerns identified by the Commission in that </w:t>
      </w:r>
      <w:r w:rsidRPr="00364EBE" w:rsidR="0041195E">
        <w:t>order</w:t>
      </w:r>
      <w:r w:rsidRPr="00E36F6D" w:rsidR="0041195E">
        <w:rPr>
          <w:i/>
          <w:iCs/>
        </w:rPr>
        <w:t xml:space="preserve"> </w:t>
      </w:r>
      <w:r>
        <w:t xml:space="preserve">are no longer as significant as they were in 2016.  </w:t>
      </w:r>
      <w:r w:rsidRPr="00364EBE">
        <w:t>First,</w:t>
      </w:r>
      <w:r>
        <w:t xml:space="preserve"> </w:t>
      </w:r>
      <w:r w:rsidR="0041195E">
        <w:t>while the Commission in 2016 found that there was limited competition for cable broadband service, primarily in the form of fiber,</w:t>
      </w:r>
      <w:r>
        <w:rPr>
          <w:rStyle w:val="FootnoteReference"/>
        </w:rPr>
        <w:footnoteReference w:id="53"/>
      </w:r>
      <w:r w:rsidR="0041195E">
        <w:t xml:space="preserve"> there have since been significant improvements in fixed wireless broadband and satellite broadband services </w:t>
      </w:r>
      <w:r w:rsidR="00E36F6D">
        <w:t xml:space="preserve">in the last 10 years, such </w:t>
      </w:r>
      <w:r w:rsidR="0041195E">
        <w:t xml:space="preserve">that cable companies must now be concerned that any intentional degradation in the quality of </w:t>
      </w:r>
      <w:r w:rsidR="00E36F6D">
        <w:t xml:space="preserve">their </w:t>
      </w:r>
      <w:r w:rsidR="0041195E">
        <w:t xml:space="preserve">service (such as by degrading the quality of </w:t>
      </w:r>
      <w:r w:rsidR="002C2E21">
        <w:t xml:space="preserve">online </w:t>
      </w:r>
      <w:r w:rsidR="00844A2D">
        <w:t>video distributor (</w:t>
      </w:r>
      <w:r w:rsidR="0041195E">
        <w:t>OVD</w:t>
      </w:r>
      <w:r w:rsidR="00844A2D">
        <w:t>)</w:t>
      </w:r>
      <w:r w:rsidR="0041195E">
        <w:t xml:space="preserve"> service or imposing restrictive data caps) would </w:t>
      </w:r>
      <w:r w:rsidR="0041195E">
        <w:t>hinder their ability to compete for customers</w:t>
      </w:r>
      <w:r w:rsidR="00E36F6D">
        <w:t xml:space="preserve"> purchasing broadband </w:t>
      </w:r>
      <w:r w:rsidR="000627D9">
        <w:t>I</w:t>
      </w:r>
      <w:r w:rsidR="00E36F6D">
        <w:t>nternet access service</w:t>
      </w:r>
      <w:r w:rsidR="0041195E">
        <w:t>.</w:t>
      </w:r>
      <w:r>
        <w:rPr>
          <w:rStyle w:val="FootnoteReference"/>
        </w:rPr>
        <w:footnoteReference w:id="54"/>
      </w:r>
      <w:r>
        <w:t xml:space="preserve">  </w:t>
      </w:r>
      <w:r w:rsidRPr="008E2255">
        <w:rPr>
          <w:szCs w:val="22"/>
        </w:rPr>
        <w:t xml:space="preserve">We find unpersuasive Petitioners’ argument that fiber providers are the only meaningful competitors to cable providers and that satellite and fixed wireless broadband services </w:t>
      </w:r>
      <w:r>
        <w:rPr>
          <w:szCs w:val="22"/>
        </w:rPr>
        <w:t>do not compete</w:t>
      </w:r>
      <w:r w:rsidRPr="008E2255">
        <w:rPr>
          <w:szCs w:val="22"/>
        </w:rPr>
        <w:t>.</w:t>
      </w:r>
      <w:r>
        <w:rPr>
          <w:rStyle w:val="FootnoteReference"/>
          <w:sz w:val="22"/>
          <w:szCs w:val="22"/>
        </w:rPr>
        <w:footnoteReference w:id="55"/>
      </w:r>
      <w:r w:rsidRPr="008E2255">
        <w:rPr>
          <w:szCs w:val="22"/>
        </w:rPr>
        <w:t xml:space="preserve">  In recent years, technological advances have improved the speeds and reduced the latency in fixed wireless and satellite broadband services.</w:t>
      </w:r>
      <w:r>
        <w:rPr>
          <w:rStyle w:val="FootnoteReference"/>
          <w:sz w:val="22"/>
          <w:szCs w:val="22"/>
        </w:rPr>
        <w:footnoteReference w:id="56"/>
      </w:r>
      <w:r w:rsidRPr="008E2255">
        <w:rPr>
          <w:szCs w:val="22"/>
        </w:rPr>
        <w:t xml:space="preserve">  Additionally, recent subscriber growth for satellite and fixed wireless technologies indicates that many consumers view satellite and fixed wireless</w:t>
      </w:r>
      <w:r w:rsidRPr="008E2255">
        <w:rPr>
          <w:szCs w:val="22"/>
        </w:rPr>
        <w:t xml:space="preserve"> </w:t>
      </w:r>
      <w:r w:rsidRPr="008E2255">
        <w:rPr>
          <w:szCs w:val="22"/>
        </w:rPr>
        <w:t xml:space="preserve">services as competitive offerings in the fixed broadband services marketplace, even in areas where cable and fiber providers are present.  For example, </w:t>
      </w:r>
      <w:r w:rsidRPr="00941BEB" w:rsidR="00941BEB">
        <w:rPr>
          <w:szCs w:val="22"/>
        </w:rPr>
        <w:t>the number of satellite and fixed wireless connections have grown substantially nationwide, from approximately 5.7 million in June 2022 to over 12.5 million in December 2024, an increase of almost 120%.</w:t>
      </w:r>
      <w:r>
        <w:rPr>
          <w:rStyle w:val="FootnoteReference"/>
          <w:szCs w:val="22"/>
        </w:rPr>
        <w:footnoteReference w:id="57"/>
      </w:r>
      <w:r w:rsidR="00941BEB">
        <w:rPr>
          <w:szCs w:val="22"/>
        </w:rPr>
        <w:t xml:space="preserve">  </w:t>
      </w:r>
    </w:p>
    <w:p w:rsidR="0079210F" w:rsidP="00E675C5" w14:paraId="236D06FE" w14:textId="27A43F11">
      <w:pPr>
        <w:pStyle w:val="ParaNum"/>
        <w:tabs>
          <w:tab w:val="clear" w:pos="990"/>
        </w:tabs>
        <w:ind w:left="0"/>
      </w:pPr>
      <w:r>
        <w:t xml:space="preserve">Second, </w:t>
      </w:r>
      <w:r w:rsidR="00B92973">
        <w:t xml:space="preserve">while OVDs were relatively recent entrants </w:t>
      </w:r>
      <w:r w:rsidR="00E36F6D">
        <w:t>in 2016</w:t>
      </w:r>
      <w:r w:rsidR="00B92973">
        <w:t xml:space="preserve">, they have since </w:t>
      </w:r>
      <w:r w:rsidR="00681D34">
        <w:t xml:space="preserve">substantially </w:t>
      </w:r>
      <w:r w:rsidR="00B92973">
        <w:t xml:space="preserve">grown in importance.  </w:t>
      </w:r>
      <w:r w:rsidRPr="00084AB4" w:rsidR="00B92973">
        <w:t xml:space="preserve">The </w:t>
      </w:r>
      <w:r w:rsidRPr="00C82E09" w:rsidR="00B92973">
        <w:rPr>
          <w:i/>
          <w:iCs/>
        </w:rPr>
        <w:t>2024 Communications Marketplace Report</w:t>
      </w:r>
      <w:r w:rsidRPr="00084AB4" w:rsidR="00B92973">
        <w:t xml:space="preserve"> finds</w:t>
      </w:r>
      <w:r w:rsidR="00B92973">
        <w:t>, for example,</w:t>
      </w:r>
      <w:r w:rsidRPr="00084AB4" w:rsidR="00B92973">
        <w:t xml:space="preserve"> that </w:t>
      </w:r>
      <w:r w:rsidR="00B92973">
        <w:t>in 2023,</w:t>
      </w:r>
      <w:r w:rsidRPr="00084AB4" w:rsidR="00B92973">
        <w:t xml:space="preserve"> there were more than 300 million subscriptions to OVDs while there were only </w:t>
      </w:r>
      <w:r w:rsidR="00B92973">
        <w:t>35.3</w:t>
      </w:r>
      <w:r w:rsidRPr="00084AB4" w:rsidR="00B92973">
        <w:t xml:space="preserve"> million </w:t>
      </w:r>
      <w:r w:rsidR="00B92973">
        <w:t xml:space="preserve">cable video </w:t>
      </w:r>
      <w:r w:rsidRPr="00084AB4" w:rsidR="00B92973">
        <w:t>subscribers.</w:t>
      </w:r>
      <w:r>
        <w:rPr>
          <w:rStyle w:val="FootnoteReference"/>
        </w:rPr>
        <w:footnoteReference w:id="58"/>
      </w:r>
      <w:r w:rsidRPr="00084AB4" w:rsidR="00B92973">
        <w:t xml:space="preserve"> </w:t>
      </w:r>
      <w:r w:rsidR="00B92973">
        <w:t xml:space="preserve"> </w:t>
      </w:r>
      <w:r>
        <w:t>C</w:t>
      </w:r>
      <w:r w:rsidR="00B92973">
        <w:t xml:space="preserve">able companies now appear to recognize that OVD services are </w:t>
      </w:r>
      <w:r w:rsidR="00E675C5">
        <w:t xml:space="preserve">either </w:t>
      </w:r>
      <w:r w:rsidR="00B92973">
        <w:t>important complement</w:t>
      </w:r>
      <w:r w:rsidR="00E675C5">
        <w:t>s</w:t>
      </w:r>
      <w:r w:rsidR="00B92973">
        <w:t xml:space="preserve"> to their video service </w:t>
      </w:r>
      <w:r w:rsidR="00E675C5">
        <w:t>or the main way in which their broadband subscribers consume video content.  A</w:t>
      </w:r>
      <w:r w:rsidR="00B92973">
        <w:t xml:space="preserve">s cable companies compete against other </w:t>
      </w:r>
      <w:r w:rsidR="003F5BC4">
        <w:t xml:space="preserve">broadband </w:t>
      </w:r>
      <w:r w:rsidR="00B92973">
        <w:t xml:space="preserve">providers, it is crucial </w:t>
      </w:r>
      <w:r w:rsidR="00C772D1">
        <w:t xml:space="preserve">to their success </w:t>
      </w:r>
      <w:r w:rsidR="00B92973">
        <w:t>that OVD services function well on their broadband networks.</w:t>
      </w:r>
      <w:r>
        <w:rPr>
          <w:rStyle w:val="FootnoteReference"/>
        </w:rPr>
        <w:footnoteReference w:id="59"/>
      </w:r>
      <w:r w:rsidR="00B92973">
        <w:t xml:space="preserve">  </w:t>
      </w:r>
    </w:p>
    <w:p w:rsidR="00B92973" w:rsidP="00A939FC" w14:paraId="215C27AE" w14:textId="04A49ABC">
      <w:pPr>
        <w:pStyle w:val="ParaNum"/>
        <w:tabs>
          <w:tab w:val="clear" w:pos="990"/>
        </w:tabs>
        <w:ind w:left="0"/>
      </w:pPr>
      <w:r>
        <w:t>As a result, we do not find it likely that the Applicants will attempt to discriminate against OVD service providers.  Similarly, given the dearth of complaints about interconnection arrangements over the last ten years,</w:t>
      </w:r>
      <w:r>
        <w:rPr>
          <w:rStyle w:val="FootnoteReference"/>
        </w:rPr>
        <w:footnoteReference w:id="60"/>
      </w:r>
      <w:r>
        <w:t xml:space="preserve"> we find it unlikely that this </w:t>
      </w:r>
      <w:r w:rsidR="00E54E68">
        <w:t>T</w:t>
      </w:r>
      <w:r>
        <w:t xml:space="preserve">ransaction will change the Applicants’ </w:t>
      </w:r>
      <w:r>
        <w:t xml:space="preserve">incentives, such that the merged entity will change its policies with respect to Internet interconnection.  </w:t>
      </w:r>
    </w:p>
    <w:p w:rsidR="00CE1CB3" w:rsidP="006A5E94" w14:paraId="1A76D0AE" w14:textId="77777777">
      <w:pPr>
        <w:pStyle w:val="ParaNum"/>
        <w:tabs>
          <w:tab w:val="clear" w:pos="990"/>
        </w:tabs>
        <w:ind w:left="0"/>
      </w:pPr>
      <w:r w:rsidRPr="008D44F6">
        <w:rPr>
          <w:i/>
          <w:iCs/>
        </w:rPr>
        <w:t>Horizontal Competitive Effects.</w:t>
      </w:r>
      <w:r w:rsidRPr="00906331">
        <w:t xml:space="preserve"> </w:t>
      </w:r>
      <w:r w:rsidR="00F96C15">
        <w:t xml:space="preserve"> </w:t>
      </w:r>
      <w:r>
        <w:t>Petitioners argue that post-transaction there will be a loss of competition in the market for gigabit service in California.</w:t>
      </w:r>
      <w:r>
        <w:rPr>
          <w:rStyle w:val="FootnoteReference"/>
        </w:rPr>
        <w:footnoteReference w:id="61"/>
      </w:r>
      <w:r>
        <w:t xml:space="preserve">  Specifically, they cite to a claim made by the Public Advocates Office of the California Public Utilities Commission that Charter and Cox are currently the only two providers offering gigabit service in 65% of their overlapping locations in California, implying that customers in these areas will have access to only one such provider post-transaction.</w:t>
      </w:r>
      <w:r>
        <w:rPr>
          <w:rStyle w:val="FootnoteReference"/>
        </w:rPr>
        <w:footnoteReference w:id="62"/>
      </w:r>
      <w:r>
        <w:t xml:space="preserve">  The Applicants respond that competition in the market for broadband service is highly competitive and that they do not compete head-to-head since overlap between the two companies is minimal.</w:t>
      </w:r>
      <w:r>
        <w:rPr>
          <w:rStyle w:val="FootnoteReference"/>
        </w:rPr>
        <w:footnoteReference w:id="63"/>
      </w:r>
    </w:p>
    <w:p w:rsidR="00B92973" w:rsidRPr="00BB7206" w:rsidP="006D6177" w14:paraId="676B1474" w14:textId="5450B39F">
      <w:pPr>
        <w:pStyle w:val="ParaNum"/>
        <w:tabs>
          <w:tab w:val="clear" w:pos="990"/>
        </w:tabs>
        <w:ind w:left="0"/>
      </w:pPr>
      <w:r w:rsidRPr="00BB7206">
        <w:t>We disagree with the Petitioners’ claim that the Transaction would harm competition among broadband service providers.</w:t>
      </w:r>
      <w:r>
        <w:rPr>
          <w:rStyle w:val="FootnoteReference"/>
        </w:rPr>
        <w:footnoteReference w:id="64"/>
      </w:r>
      <w:r w:rsidRPr="00BB7206">
        <w:t xml:space="preserve">  Based on data from the Broadband Data Collection (BDC), the combined footprints of Charter and Cox would contain approximately 44.1 million BSLs, but Charter and Cox only overlap</w:t>
      </w:r>
      <w:r w:rsidRPr="00BB7206">
        <w:t xml:space="preserve"> serv</w:t>
      </w:r>
      <w:r w:rsidRPr="00BB7206">
        <w:t>ice in 37,498 of these</w:t>
      </w:r>
      <w:r w:rsidRPr="00BB7206">
        <w:t xml:space="preserve"> </w:t>
      </w:r>
      <w:r w:rsidRPr="00BB7206">
        <w:t>locations or less than 0.09% of the total</w:t>
      </w:r>
      <w:r w:rsidRPr="00BB7206">
        <w:t>.</w:t>
      </w:r>
      <w:r>
        <w:rPr>
          <w:rStyle w:val="FootnoteReference"/>
        </w:rPr>
        <w:footnoteReference w:id="65"/>
      </w:r>
      <w:r w:rsidRPr="00BB7206">
        <w:t xml:space="preserve">  Further, 100% of these </w:t>
      </w:r>
      <w:r w:rsidRPr="00BB7206">
        <w:t>overlap</w:t>
      </w:r>
      <w:r w:rsidRPr="00BB7206">
        <w:t xml:space="preserve"> locations have at least one additional</w:t>
      </w:r>
      <w:r w:rsidRPr="00BB7206">
        <w:t xml:space="preserve"> </w:t>
      </w:r>
      <w:r w:rsidRPr="00BB7206">
        <w:t>provider offering service of at least 100/20 Mbps,</w:t>
      </w:r>
      <w:r>
        <w:rPr>
          <w:rStyle w:val="FootnoteReference"/>
        </w:rPr>
        <w:footnoteReference w:id="66"/>
      </w:r>
      <w:r w:rsidRPr="00BB7206">
        <w:t xml:space="preserve"> and while Petitioners focus only on gigabit services, </w:t>
      </w:r>
      <w:r w:rsidRPr="00BB7206" w:rsidR="006D6177">
        <w:t xml:space="preserve">as discussed above, </w:t>
      </w:r>
      <w:r w:rsidRPr="00BB7206">
        <w:t>they fail to acknowledge that competitive options for these services are increasing.</w:t>
      </w:r>
      <w:r>
        <w:rPr>
          <w:rStyle w:val="FootnoteReference"/>
        </w:rPr>
        <w:footnoteReference w:id="67"/>
      </w:r>
      <w:r w:rsidRPr="00BB7206" w:rsidR="006D6177">
        <w:t xml:space="preserve">  We therefore find no significant likelihood that the Transaction would lead to a competitive harm in this regard.</w:t>
      </w:r>
      <w:r w:rsidRPr="00BB7206" w:rsidR="00282068">
        <w:t xml:space="preserve"> </w:t>
      </w:r>
      <w:r w:rsidRPr="00D01CDA" w:rsidR="00CD4590">
        <w:t xml:space="preserve"> </w:t>
      </w:r>
      <w:r w:rsidRPr="00D01CDA" w:rsidR="00147BCE">
        <w:t xml:space="preserve">Moreover, </w:t>
      </w:r>
      <w:r w:rsidRPr="00D01CDA" w:rsidR="00471FA7">
        <w:t xml:space="preserve">with regard to </w:t>
      </w:r>
      <w:r w:rsidRPr="00D01CDA" w:rsidR="00476B00">
        <w:t>the Applicants’ Universal Service Fund support</w:t>
      </w:r>
      <w:r w:rsidRPr="00D01CDA" w:rsidR="00471FA7">
        <w:t>,</w:t>
      </w:r>
      <w:r w:rsidRPr="00D01CDA" w:rsidR="00D64245">
        <w:t xml:space="preserve"> </w:t>
      </w:r>
      <w:r w:rsidRPr="00D1186F" w:rsidR="00D64245">
        <w:t>Charter state</w:t>
      </w:r>
      <w:r w:rsidRPr="00D1186F" w:rsidR="005763B6">
        <w:t>s</w:t>
      </w:r>
      <w:r w:rsidRPr="00D1186F" w:rsidR="00D64245">
        <w:t xml:space="preserve"> that as part of its commitment to good stewardship of </w:t>
      </w:r>
      <w:r w:rsidRPr="00D1186F" w:rsidR="00B34D9F">
        <w:t>Rural Digital Opportunity Fund (RDOF)</w:t>
      </w:r>
      <w:r w:rsidRPr="00D1186F" w:rsidR="00D64245">
        <w:t xml:space="preserve"> program funds, it </w:t>
      </w:r>
      <w:r w:rsidRPr="00D1186F" w:rsidR="00452862">
        <w:t xml:space="preserve">commits, on a pro rata basis, </w:t>
      </w:r>
      <w:r w:rsidRPr="00D1186F" w:rsidR="00D64245">
        <w:t xml:space="preserve">to </w:t>
      </w:r>
      <w:r w:rsidRPr="00D1186F" w:rsidR="00452862">
        <w:t>return previously paid</w:t>
      </w:r>
      <w:r w:rsidRPr="00D1186F" w:rsidR="00476B00">
        <w:t xml:space="preserve"> </w:t>
      </w:r>
      <w:r w:rsidRPr="00D1186F" w:rsidR="00260EA5">
        <w:t>RDOF funding</w:t>
      </w:r>
      <w:r w:rsidRPr="00D1186F" w:rsidR="00FB119E">
        <w:t xml:space="preserve"> and to relinquish any additional </w:t>
      </w:r>
      <w:r w:rsidRPr="00D1186F" w:rsidR="00260EA5">
        <w:t xml:space="preserve">RDOF </w:t>
      </w:r>
      <w:r w:rsidRPr="00D1186F" w:rsidR="00FB119E">
        <w:t xml:space="preserve">funding payments </w:t>
      </w:r>
      <w:r w:rsidRPr="00D1186F" w:rsidR="003E0999">
        <w:t>for</w:t>
      </w:r>
      <w:r w:rsidRPr="00D1186F" w:rsidR="00CB38FD">
        <w:t xml:space="preserve"> any Broadband Serviceable Location Fabric locations where one party to the </w:t>
      </w:r>
      <w:r w:rsidRPr="00D1186F" w:rsidR="0063463B">
        <w:t>T</w:t>
      </w:r>
      <w:r w:rsidRPr="00D1186F" w:rsidR="00CB38FD">
        <w:t>ransaction receives RDOF support and the other part</w:t>
      </w:r>
      <w:r w:rsidRPr="00D1186F" w:rsidR="003569BD">
        <w:t>y</w:t>
      </w:r>
      <w:r w:rsidRPr="00D1186F" w:rsidR="00147BCE">
        <w:t xml:space="preserve"> to the</w:t>
      </w:r>
      <w:r w:rsidRPr="00D1186F" w:rsidR="00CB38FD">
        <w:t xml:space="preserve"> </w:t>
      </w:r>
      <w:r w:rsidRPr="00D1186F" w:rsidR="0063463B">
        <w:t>T</w:t>
      </w:r>
      <w:r w:rsidRPr="00D1186F" w:rsidR="00CB38FD">
        <w:t>ransaction</w:t>
      </w:r>
      <w:r w:rsidRPr="00D1186F" w:rsidR="00EE6776">
        <w:t xml:space="preserve"> </w:t>
      </w:r>
      <w:r w:rsidRPr="00D1186F" w:rsidR="00476B00">
        <w:t xml:space="preserve">already </w:t>
      </w:r>
      <w:r w:rsidRPr="00D1186F" w:rsidR="00EE6776">
        <w:t xml:space="preserve">makes fixed broadband service available at 100/20 </w:t>
      </w:r>
      <w:r w:rsidRPr="00D1186F" w:rsidR="00EE6776">
        <w:t>Mbps or greater</w:t>
      </w:r>
      <w:r w:rsidRPr="00D1186F" w:rsidR="00AB32B6">
        <w:t>.</w:t>
      </w:r>
      <w:r>
        <w:rPr>
          <w:rStyle w:val="FootnoteReference"/>
        </w:rPr>
        <w:footnoteReference w:id="68"/>
      </w:r>
      <w:r w:rsidRPr="00D01CDA" w:rsidR="00D64245">
        <w:t xml:space="preserve">  We accept this commitment </w:t>
      </w:r>
      <w:r w:rsidRPr="00D01CDA" w:rsidR="003E0999">
        <w:rPr>
          <w:snapToGrid/>
          <w:kern w:val="0"/>
          <w:szCs w:val="22"/>
        </w:rPr>
        <w:t>as firm and definite, and expect that it will help ensure that the post-transaction company will continue to deliver high quality broadband service to rural Americans</w:t>
      </w:r>
      <w:r w:rsidRPr="00D01CDA" w:rsidR="00F72566">
        <w:rPr>
          <w:snapToGrid/>
          <w:kern w:val="0"/>
          <w:szCs w:val="22"/>
        </w:rPr>
        <w:t xml:space="preserve"> while</w:t>
      </w:r>
      <w:r w:rsidRPr="00D01CDA" w:rsidR="002563D6">
        <w:rPr>
          <w:snapToGrid/>
          <w:kern w:val="0"/>
          <w:szCs w:val="22"/>
        </w:rPr>
        <w:t xml:space="preserve"> avoiding potentially</w:t>
      </w:r>
      <w:r w:rsidRPr="00D01CDA" w:rsidR="00CB2445">
        <w:rPr>
          <w:snapToGrid/>
          <w:kern w:val="0"/>
          <w:szCs w:val="22"/>
        </w:rPr>
        <w:t xml:space="preserve"> inefficient use of universal service support</w:t>
      </w:r>
      <w:r w:rsidRPr="00D01CDA" w:rsidR="003E0999">
        <w:rPr>
          <w:snapToGrid/>
          <w:kern w:val="0"/>
          <w:szCs w:val="22"/>
        </w:rPr>
        <w:t>.</w:t>
      </w:r>
    </w:p>
    <w:p w:rsidR="00B92973" w:rsidRPr="008E2255" w:rsidP="00A939FC" w14:paraId="1F2B2D55" w14:textId="7422DB0C">
      <w:pPr>
        <w:pStyle w:val="ParaNum"/>
        <w:tabs>
          <w:tab w:val="clear" w:pos="990"/>
        </w:tabs>
        <w:ind w:left="0"/>
        <w:rPr>
          <w:szCs w:val="22"/>
        </w:rPr>
      </w:pPr>
      <w:r w:rsidRPr="57B6AC44">
        <w:rPr>
          <w:i/>
          <w:iCs/>
        </w:rPr>
        <w:t>Benchmarking.</w:t>
      </w:r>
      <w:r>
        <w:t xml:space="preserve">  </w:t>
      </w:r>
      <w:r w:rsidRPr="008E2255">
        <w:rPr>
          <w:szCs w:val="22"/>
        </w:rPr>
        <w:t xml:space="preserve">Petitioners argue that the </w:t>
      </w:r>
      <w:r w:rsidR="00E014C2">
        <w:rPr>
          <w:szCs w:val="22"/>
        </w:rPr>
        <w:t>T</w:t>
      </w:r>
      <w:r w:rsidRPr="008E2255">
        <w:rPr>
          <w:szCs w:val="22"/>
        </w:rPr>
        <w:t xml:space="preserve">ransaction would reduce the number of cable operators, making it easier for competitors, such as Comcast, to </w:t>
      </w:r>
      <w:r w:rsidR="00E675C5">
        <w:rPr>
          <w:szCs w:val="22"/>
        </w:rPr>
        <w:t>“</w:t>
      </w:r>
      <w:r w:rsidRPr="008E2255">
        <w:rPr>
          <w:szCs w:val="22"/>
        </w:rPr>
        <w:t>benchmark</w:t>
      </w:r>
      <w:r w:rsidR="00E675C5">
        <w:rPr>
          <w:szCs w:val="22"/>
        </w:rPr>
        <w:t>”</w:t>
      </w:r>
      <w:r w:rsidRPr="008E2255">
        <w:rPr>
          <w:szCs w:val="22"/>
        </w:rPr>
        <w:t xml:space="preserve"> their pricing, promotions, bundling, and rate schedules to New Charter.</w:t>
      </w:r>
      <w:r>
        <w:rPr>
          <w:rStyle w:val="FootnoteReference"/>
          <w:sz w:val="22"/>
          <w:szCs w:val="22"/>
        </w:rPr>
        <w:footnoteReference w:id="69"/>
      </w:r>
      <w:r w:rsidRPr="008E2255">
        <w:rPr>
          <w:szCs w:val="22"/>
        </w:rPr>
        <w:t xml:space="preserve">  </w:t>
      </w:r>
      <w:r w:rsidRPr="00606345">
        <w:rPr>
          <w:szCs w:val="22"/>
        </w:rPr>
        <w:t>Specifically, they argue that “[r]</w:t>
      </w:r>
      <w:r w:rsidRPr="00606345">
        <w:rPr>
          <w:szCs w:val="22"/>
        </w:rPr>
        <w:t>educing</w:t>
      </w:r>
      <w:r w:rsidRPr="00606345">
        <w:rPr>
          <w:szCs w:val="22"/>
        </w:rPr>
        <w:t xml:space="preserve"> the number of major cable operators makes it easier for each to benchmark pricing decisions against others, reducing competitive pressure across the industry.”</w:t>
      </w:r>
      <w:r>
        <w:rPr>
          <w:rStyle w:val="FootnoteReference"/>
          <w:sz w:val="22"/>
          <w:szCs w:val="22"/>
        </w:rPr>
        <w:footnoteReference w:id="70"/>
      </w:r>
      <w:r w:rsidRPr="00351EE9">
        <w:rPr>
          <w:szCs w:val="22"/>
        </w:rPr>
        <w:t xml:space="preserve">  Citing the literature on multimarket contact, they further argue that “the merger could transform the competitive landscape such that New Charter becomes the benchmark for Comcast, . . . thereby enabling parallel behavior.”</w:t>
      </w:r>
      <w:r>
        <w:rPr>
          <w:rStyle w:val="FootnoteReference"/>
          <w:kern w:val="0"/>
          <w:sz w:val="22"/>
          <w:szCs w:val="22"/>
        </w:rPr>
        <w:footnoteReference w:id="71"/>
      </w:r>
      <w:r w:rsidRPr="00351EE9">
        <w:rPr>
          <w:szCs w:val="22"/>
        </w:rPr>
        <w:t xml:space="preserve">  We find this argument unpersuasive.  First, </w:t>
      </w:r>
      <w:r w:rsidR="00C33D2B">
        <w:rPr>
          <w:szCs w:val="22"/>
        </w:rPr>
        <w:t>there is very little multimarket contact</w:t>
      </w:r>
      <w:r w:rsidR="006D6177">
        <w:rPr>
          <w:szCs w:val="22"/>
        </w:rPr>
        <w:t xml:space="preserve"> in this case</w:t>
      </w:r>
      <w:r w:rsidR="00C33D2B">
        <w:rPr>
          <w:szCs w:val="22"/>
        </w:rPr>
        <w:t>.  B</w:t>
      </w:r>
      <w:r w:rsidRPr="00351EE9">
        <w:rPr>
          <w:szCs w:val="22"/>
        </w:rPr>
        <w:t>ecause cable companies have generally offered residential broadband service within their non-overlapping franchise territories, they compete directly</w:t>
      </w:r>
      <w:r w:rsidRPr="008E2255">
        <w:rPr>
          <w:szCs w:val="22"/>
        </w:rPr>
        <w:t xml:space="preserve"> against each other only at a very small number of locations.</w:t>
      </w:r>
      <w:r>
        <w:rPr>
          <w:rStyle w:val="FootnoteReference"/>
          <w:sz w:val="22"/>
          <w:szCs w:val="22"/>
        </w:rPr>
        <w:footnoteReference w:id="72"/>
      </w:r>
      <w:r w:rsidRPr="008E2255">
        <w:rPr>
          <w:szCs w:val="22"/>
        </w:rPr>
        <w:t xml:space="preserve">  </w:t>
      </w:r>
      <w:r w:rsidR="00C33D2B">
        <w:rPr>
          <w:szCs w:val="22"/>
        </w:rPr>
        <w:t>The predicate for the theory on which the Petitioners rely is therefore missing.</w:t>
      </w:r>
      <w:r>
        <w:rPr>
          <w:rStyle w:val="FootnoteReference"/>
          <w:szCs w:val="22"/>
        </w:rPr>
        <w:footnoteReference w:id="73"/>
      </w:r>
      <w:r w:rsidR="00C33D2B">
        <w:rPr>
          <w:szCs w:val="22"/>
        </w:rPr>
        <w:t xml:space="preserve">  Second</w:t>
      </w:r>
      <w:r w:rsidRPr="008E2255">
        <w:rPr>
          <w:szCs w:val="22"/>
        </w:rPr>
        <w:t xml:space="preserve">, </w:t>
      </w:r>
      <w:r w:rsidR="00C33D2B">
        <w:rPr>
          <w:szCs w:val="22"/>
        </w:rPr>
        <w:t xml:space="preserve">as discussed above, Charter and other cable companies will continue to face competitive pressure from the </w:t>
      </w:r>
      <w:r w:rsidR="00BB01BF">
        <w:rPr>
          <w:szCs w:val="22"/>
        </w:rPr>
        <w:t>broadband</w:t>
      </w:r>
      <w:r w:rsidRPr="008E2255" w:rsidR="00BB01BF">
        <w:rPr>
          <w:szCs w:val="22"/>
        </w:rPr>
        <w:t xml:space="preserve"> </w:t>
      </w:r>
      <w:r w:rsidRPr="008E2255">
        <w:rPr>
          <w:szCs w:val="22"/>
        </w:rPr>
        <w:t>providers against whom they compete directly, such as fiber companies, fixed wireless providers, and satellite broadband providers</w:t>
      </w:r>
      <w:r w:rsidR="00C33D2B">
        <w:rPr>
          <w:szCs w:val="22"/>
        </w:rPr>
        <w:t xml:space="preserve">, </w:t>
      </w:r>
      <w:r w:rsidR="006D6177">
        <w:rPr>
          <w:szCs w:val="22"/>
        </w:rPr>
        <w:t xml:space="preserve">and </w:t>
      </w:r>
      <w:r w:rsidR="00C33D2B">
        <w:rPr>
          <w:szCs w:val="22"/>
        </w:rPr>
        <w:t xml:space="preserve">we believe </w:t>
      </w:r>
      <w:r w:rsidR="006D6177">
        <w:rPr>
          <w:szCs w:val="22"/>
        </w:rPr>
        <w:t xml:space="preserve">that competition </w:t>
      </w:r>
      <w:r w:rsidR="00C33D2B">
        <w:rPr>
          <w:szCs w:val="22"/>
        </w:rPr>
        <w:t xml:space="preserve">will have a significantly greater impact on their pricing decisions than the </w:t>
      </w:r>
      <w:r w:rsidR="0039748A">
        <w:rPr>
          <w:szCs w:val="22"/>
        </w:rPr>
        <w:t xml:space="preserve">possible increased ability to benchmark due to the </w:t>
      </w:r>
      <w:r w:rsidR="00C33D2B">
        <w:rPr>
          <w:szCs w:val="22"/>
        </w:rPr>
        <w:t xml:space="preserve">loss of a </w:t>
      </w:r>
      <w:r w:rsidR="0039748A">
        <w:rPr>
          <w:szCs w:val="22"/>
        </w:rPr>
        <w:t xml:space="preserve">single </w:t>
      </w:r>
      <w:r w:rsidR="00C33D2B">
        <w:rPr>
          <w:szCs w:val="22"/>
        </w:rPr>
        <w:t>cable provider (Cox) in a different territory</w:t>
      </w:r>
      <w:r w:rsidRPr="008E2255">
        <w:rPr>
          <w:szCs w:val="22"/>
        </w:rPr>
        <w:t xml:space="preserve">.   </w:t>
      </w:r>
    </w:p>
    <w:p w:rsidR="00B92973" w:rsidRPr="008E2255" w:rsidP="00A939FC" w14:paraId="2767CA9A" w14:textId="783A40F6">
      <w:pPr>
        <w:pStyle w:val="ParaNum"/>
        <w:tabs>
          <w:tab w:val="clear" w:pos="990"/>
        </w:tabs>
        <w:ind w:left="0"/>
        <w:rPr>
          <w:szCs w:val="22"/>
        </w:rPr>
      </w:pPr>
      <w:r>
        <w:rPr>
          <w:i/>
          <w:iCs/>
          <w:szCs w:val="22"/>
        </w:rPr>
        <w:t>Other concerns.</w:t>
      </w:r>
      <w:r w:rsidRPr="008E2255">
        <w:rPr>
          <w:szCs w:val="22"/>
        </w:rPr>
        <w:t xml:space="preserve">  Petitioners argue the </w:t>
      </w:r>
      <w:r w:rsidR="00DA6FD7">
        <w:rPr>
          <w:szCs w:val="22"/>
        </w:rPr>
        <w:t>T</w:t>
      </w:r>
      <w:r w:rsidRPr="008E2255">
        <w:rPr>
          <w:szCs w:val="22"/>
        </w:rPr>
        <w:t xml:space="preserve">ransaction raises affordability and digital discrimination concerns </w:t>
      </w:r>
      <w:r w:rsidR="003C32F3">
        <w:rPr>
          <w:szCs w:val="22"/>
        </w:rPr>
        <w:t xml:space="preserve">and speculate that </w:t>
      </w:r>
      <w:r w:rsidR="00546666">
        <w:rPr>
          <w:szCs w:val="22"/>
        </w:rPr>
        <w:t>there will be</w:t>
      </w:r>
      <w:r w:rsidRPr="008E2255">
        <w:rPr>
          <w:szCs w:val="22"/>
        </w:rPr>
        <w:t xml:space="preserve"> the potential for reduced affordable service offerings and investment in low-income areas post-transaction.</w:t>
      </w:r>
      <w:r>
        <w:rPr>
          <w:rStyle w:val="FootnoteReference"/>
          <w:sz w:val="22"/>
          <w:szCs w:val="22"/>
        </w:rPr>
        <w:footnoteReference w:id="74"/>
      </w:r>
      <w:r w:rsidRPr="008E2255">
        <w:rPr>
          <w:szCs w:val="22"/>
        </w:rPr>
        <w:t xml:space="preserve">  The Petitioners fail to provide any rationale for why the </w:t>
      </w:r>
      <w:r w:rsidR="00086D75">
        <w:rPr>
          <w:szCs w:val="22"/>
        </w:rPr>
        <w:t>Transaction</w:t>
      </w:r>
      <w:r w:rsidRPr="008E2255">
        <w:rPr>
          <w:szCs w:val="22"/>
        </w:rPr>
        <w:t xml:space="preserve"> would exacerbate any affordability or digital discrimination concerns,</w:t>
      </w:r>
      <w:r w:rsidR="00FA0C3A">
        <w:rPr>
          <w:szCs w:val="22"/>
        </w:rPr>
        <w:t xml:space="preserve"> </w:t>
      </w:r>
      <w:r w:rsidR="00E819C7">
        <w:rPr>
          <w:szCs w:val="22"/>
        </w:rPr>
        <w:t>or otherwise explain why their asserted concerns represent a transaction-specific harm</w:t>
      </w:r>
      <w:r w:rsidR="00001A9D">
        <w:rPr>
          <w:szCs w:val="22"/>
        </w:rPr>
        <w:t xml:space="preserve">, and </w:t>
      </w:r>
      <w:r w:rsidRPr="008E2255">
        <w:rPr>
          <w:szCs w:val="22"/>
        </w:rPr>
        <w:t xml:space="preserve">consequently, </w:t>
      </w:r>
      <w:r w:rsidR="000A4BCF">
        <w:rPr>
          <w:szCs w:val="22"/>
        </w:rPr>
        <w:t>we decline to impose any condition in this regard</w:t>
      </w:r>
      <w:r w:rsidRPr="008E2255">
        <w:rPr>
          <w:szCs w:val="22"/>
        </w:rPr>
        <w:t>.</w:t>
      </w:r>
      <w:r>
        <w:rPr>
          <w:rStyle w:val="FootnoteReference"/>
          <w:szCs w:val="22"/>
        </w:rPr>
        <w:footnoteReference w:id="75"/>
      </w:r>
      <w:r w:rsidR="00141DF7">
        <w:rPr>
          <w:szCs w:val="22"/>
        </w:rPr>
        <w:t xml:space="preserve"> </w:t>
      </w:r>
      <w:r w:rsidRPr="008E2255">
        <w:rPr>
          <w:szCs w:val="22"/>
        </w:rPr>
        <w:t xml:space="preserve"> In addition, Petitioners claim that the proposed </w:t>
      </w:r>
      <w:r w:rsidR="00292692">
        <w:rPr>
          <w:szCs w:val="22"/>
        </w:rPr>
        <w:t>T</w:t>
      </w:r>
      <w:r w:rsidRPr="008E2255">
        <w:rPr>
          <w:szCs w:val="22"/>
        </w:rPr>
        <w:t>ransaction will harm workers due to reduced benefits, anti-union activity, and the potential for job cuts and violations of employment law based on past activities by the Applicants.</w:t>
      </w:r>
      <w:r>
        <w:rPr>
          <w:rStyle w:val="FootnoteReference"/>
          <w:sz w:val="22"/>
          <w:szCs w:val="22"/>
        </w:rPr>
        <w:footnoteReference w:id="76"/>
      </w:r>
      <w:r w:rsidRPr="008E2255">
        <w:rPr>
          <w:szCs w:val="22"/>
        </w:rPr>
        <w:t xml:space="preserve">  </w:t>
      </w:r>
      <w:r w:rsidR="006D6177">
        <w:rPr>
          <w:szCs w:val="22"/>
        </w:rPr>
        <w:t>To the contrary, t</w:t>
      </w:r>
      <w:r w:rsidR="00176334">
        <w:rPr>
          <w:szCs w:val="22"/>
        </w:rPr>
        <w:t xml:space="preserve">he record </w:t>
      </w:r>
      <w:r w:rsidR="00176334">
        <w:rPr>
          <w:szCs w:val="22"/>
        </w:rPr>
        <w:t xml:space="preserve">indicates that </w:t>
      </w:r>
      <w:r w:rsidR="00F042D1">
        <w:rPr>
          <w:szCs w:val="22"/>
        </w:rPr>
        <w:t xml:space="preserve">Charter </w:t>
      </w:r>
      <w:r w:rsidR="00E16615">
        <w:rPr>
          <w:szCs w:val="22"/>
        </w:rPr>
        <w:t xml:space="preserve">will </w:t>
      </w:r>
      <w:r w:rsidR="00E76C35">
        <w:rPr>
          <w:szCs w:val="22"/>
        </w:rPr>
        <w:t xml:space="preserve">move 100% of its sales and customer service functions to the </w:t>
      </w:r>
      <w:r w:rsidR="00C03FA1">
        <w:rPr>
          <w:szCs w:val="22"/>
        </w:rPr>
        <w:t>United States post-</w:t>
      </w:r>
      <w:r w:rsidR="00AC74E8">
        <w:rPr>
          <w:szCs w:val="22"/>
        </w:rPr>
        <w:t>T</w:t>
      </w:r>
      <w:r w:rsidR="00C03FA1">
        <w:rPr>
          <w:szCs w:val="22"/>
        </w:rPr>
        <w:t xml:space="preserve">ransaction </w:t>
      </w:r>
      <w:r w:rsidR="001A0322">
        <w:rPr>
          <w:szCs w:val="22"/>
        </w:rPr>
        <w:t xml:space="preserve">and offer </w:t>
      </w:r>
      <w:r w:rsidR="00C925FA">
        <w:rPr>
          <w:szCs w:val="22"/>
        </w:rPr>
        <w:t xml:space="preserve">specified compensation to </w:t>
      </w:r>
      <w:r w:rsidR="00BA396D">
        <w:rPr>
          <w:szCs w:val="22"/>
        </w:rPr>
        <w:t>Cox employees</w:t>
      </w:r>
      <w:r w:rsidR="006D6177">
        <w:rPr>
          <w:szCs w:val="22"/>
        </w:rPr>
        <w:t>.</w:t>
      </w:r>
      <w:r>
        <w:rPr>
          <w:rStyle w:val="FootnoteReference"/>
          <w:szCs w:val="22"/>
        </w:rPr>
        <w:footnoteReference w:id="77"/>
      </w:r>
      <w:r w:rsidR="00BA396D">
        <w:rPr>
          <w:szCs w:val="22"/>
        </w:rPr>
        <w:t xml:space="preserve"> </w:t>
      </w:r>
      <w:r w:rsidR="006F6D5A">
        <w:rPr>
          <w:szCs w:val="22"/>
        </w:rPr>
        <w:t xml:space="preserve"> </w:t>
      </w:r>
      <w:r w:rsidR="006D6177">
        <w:rPr>
          <w:szCs w:val="22"/>
        </w:rPr>
        <w:t xml:space="preserve">Further, </w:t>
      </w:r>
      <w:r w:rsidRPr="008E2255">
        <w:rPr>
          <w:szCs w:val="22"/>
        </w:rPr>
        <w:t xml:space="preserve">Petitioners fail to explain why </w:t>
      </w:r>
      <w:r w:rsidR="0012528D">
        <w:rPr>
          <w:szCs w:val="22"/>
        </w:rPr>
        <w:t xml:space="preserve">their asserted </w:t>
      </w:r>
      <w:r w:rsidR="00E647F3">
        <w:rPr>
          <w:szCs w:val="22"/>
        </w:rPr>
        <w:t>employment</w:t>
      </w:r>
      <w:r w:rsidRPr="008E2255">
        <w:rPr>
          <w:szCs w:val="22"/>
        </w:rPr>
        <w:t xml:space="preserve"> concern</w:t>
      </w:r>
      <w:r w:rsidR="00E647F3">
        <w:rPr>
          <w:szCs w:val="22"/>
        </w:rPr>
        <w:t>s</w:t>
      </w:r>
      <w:r w:rsidRPr="008E2255">
        <w:rPr>
          <w:szCs w:val="22"/>
        </w:rPr>
        <w:t xml:space="preserve"> represent a transaction-specific harm</w:t>
      </w:r>
      <w:r w:rsidR="006D6177">
        <w:rPr>
          <w:szCs w:val="22"/>
        </w:rPr>
        <w:t>, and we therefore decline to impose any conditions in this regard.</w:t>
      </w:r>
    </w:p>
    <w:p w:rsidR="00B92973" w:rsidP="00A939FC" w14:paraId="53D43988" w14:textId="11507EB3">
      <w:pPr>
        <w:pStyle w:val="ParaNum"/>
        <w:tabs>
          <w:tab w:val="clear" w:pos="990"/>
        </w:tabs>
        <w:ind w:left="0"/>
      </w:pPr>
      <w:r>
        <w:t>Ziply</w:t>
      </w:r>
      <w:r>
        <w:t xml:space="preserve"> Fiber (</w:t>
      </w:r>
      <w:r>
        <w:t>Ziply</w:t>
      </w:r>
      <w:r>
        <w:t xml:space="preserve">) claims that Charter has refused to provide it access to dark fiber and interconnection points on routes </w:t>
      </w:r>
      <w:r w:rsidR="00180DC9">
        <w:t>previously</w:t>
      </w:r>
      <w:r>
        <w:t xml:space="preserve"> funded by federal programs, such as the Rural Healthcare Pilot Program (RHCPP), and it argues that the Commission should impose conditions requiring Charter to provide “reasonable, non-discriminatory access” to such routes.</w:t>
      </w:r>
      <w:r>
        <w:rPr>
          <w:rStyle w:val="FootnoteReference"/>
        </w:rPr>
        <w:footnoteReference w:id="78"/>
      </w:r>
      <w:r>
        <w:t xml:space="preserve">  The Applicants respond that </w:t>
      </w:r>
      <w:r>
        <w:t>Ziply’s</w:t>
      </w:r>
      <w:r>
        <w:t xml:space="preserve"> request is not transaction-specific</w:t>
      </w:r>
      <w:r w:rsidR="006D6177">
        <w:t>;</w:t>
      </w:r>
      <w:r>
        <w:t xml:space="preserve"> </w:t>
      </w:r>
      <w:r w:rsidR="006D6177">
        <w:t xml:space="preserve">that </w:t>
      </w:r>
      <w:r>
        <w:t>Charter does not offer dark fiber services in the open marketplace</w:t>
      </w:r>
      <w:r w:rsidR="006D6177">
        <w:t>;</w:t>
      </w:r>
      <w:r>
        <w:t xml:space="preserve"> and </w:t>
      </w:r>
      <w:r w:rsidR="006D6177">
        <w:t xml:space="preserve">that </w:t>
      </w:r>
      <w:r>
        <w:t>the RHCPP did not establish an obligation for the contractors of program participants, such as Charter, to provide network access to third parties.</w:t>
      </w:r>
      <w:r>
        <w:rPr>
          <w:rStyle w:val="FootnoteReference"/>
        </w:rPr>
        <w:footnoteReference w:id="79"/>
      </w:r>
      <w:r>
        <w:t xml:space="preserve">  We agree with the Applicants that </w:t>
      </w:r>
      <w:r>
        <w:t>Ziply’s</w:t>
      </w:r>
      <w:r>
        <w:t xml:space="preserve"> request does not address a transaction-specific harm.</w:t>
      </w:r>
      <w:r>
        <w:rPr>
          <w:rStyle w:val="FootnoteReference"/>
        </w:rPr>
        <w:footnoteReference w:id="80"/>
      </w:r>
      <w:r>
        <w:t xml:space="preserve">  Moreover, neither the Applicants nor any other cable provider are under any obligation to provide </w:t>
      </w:r>
      <w:r>
        <w:t>Ziply</w:t>
      </w:r>
      <w:r>
        <w:t xml:space="preserve"> access to dark fiber or specific interconnection points on request.</w:t>
      </w:r>
    </w:p>
    <w:p w:rsidR="00B92973" w:rsidRPr="000F7BB1" w:rsidP="00A939FC" w14:paraId="0FAFEA1B" w14:textId="33E3C7DD">
      <w:pPr>
        <w:pStyle w:val="ParaNum"/>
        <w:tabs>
          <w:tab w:val="clear" w:pos="990"/>
        </w:tabs>
        <w:ind w:left="0"/>
      </w:pPr>
      <w:r>
        <w:t xml:space="preserve">Similarly, </w:t>
      </w:r>
      <w:r w:rsidR="000A741A">
        <w:t>WISP</w:t>
      </w:r>
      <w:r w:rsidR="00960481">
        <w:t>A</w:t>
      </w:r>
      <w:r w:rsidR="000A741A">
        <w:t xml:space="preserve"> –</w:t>
      </w:r>
      <w:r>
        <w:t xml:space="preserve"> t</w:t>
      </w:r>
      <w:r w:rsidRPr="009631CC">
        <w:t>he Association for Broadband Without B</w:t>
      </w:r>
      <w:r>
        <w:t>oundaries</w:t>
      </w:r>
      <w:r w:rsidRPr="009631CC">
        <w:t xml:space="preserve"> (WISPA) claims that “</w:t>
      </w:r>
      <w:r w:rsidRPr="003769A8">
        <w:t>Charter has apparently adopted an internal policy to not renew contracts for upstream wholesale services with wireless internet service providers (</w:t>
      </w:r>
      <w:r w:rsidR="00D32DE7">
        <w:t>‘</w:t>
      </w:r>
      <w:r w:rsidRPr="003769A8">
        <w:t>WISPs</w:t>
      </w:r>
      <w:r w:rsidR="00D32DE7">
        <w:t>’</w:t>
      </w:r>
      <w:r w:rsidRPr="003769A8">
        <w:t>) and to not enter into any new contracts for those services with WISPs.”</w:t>
      </w:r>
      <w:r>
        <w:rPr>
          <w:rStyle w:val="FootnoteReference"/>
          <w:sz w:val="22"/>
          <w:szCs w:val="22"/>
        </w:rPr>
        <w:footnoteReference w:id="81"/>
      </w:r>
      <w:r w:rsidRPr="003769A8">
        <w:t xml:space="preserve">  </w:t>
      </w:r>
      <w:r w:rsidR="00A63BED">
        <w:t xml:space="preserve">WISPA </w:t>
      </w:r>
      <w:r w:rsidR="00CB3B30">
        <w:t xml:space="preserve">does not </w:t>
      </w:r>
      <w:r w:rsidR="006D4207">
        <w:t xml:space="preserve">raise a potential </w:t>
      </w:r>
      <w:r w:rsidR="00AA00CC">
        <w:t xml:space="preserve">transaction-related </w:t>
      </w:r>
      <w:r w:rsidR="006D4207">
        <w:t xml:space="preserve">harm </w:t>
      </w:r>
      <w:r w:rsidR="00250E20">
        <w:t>that</w:t>
      </w:r>
      <w:r w:rsidR="00CB081B">
        <w:t xml:space="preserve"> </w:t>
      </w:r>
      <w:r w:rsidR="00A63BED">
        <w:t>impacts a grant of the Transaction</w:t>
      </w:r>
      <w:r w:rsidRPr="003769A8">
        <w:t>.</w:t>
      </w:r>
    </w:p>
    <w:p w:rsidR="000C614F" w:rsidP="00357792" w14:paraId="2BE377B6" w14:textId="6DDB02E4">
      <w:pPr>
        <w:pStyle w:val="ParaNum"/>
        <w:tabs>
          <w:tab w:val="clear" w:pos="990"/>
        </w:tabs>
        <w:ind w:left="0"/>
      </w:pPr>
      <w:r>
        <w:t>Cameron Banowsky claims there is a “material disparity” in the data cap policies between Charter and Cox insofar as Cox imposes data caps and usage-based pricing while Charter does not</w:t>
      </w:r>
      <w:r w:rsidR="00902B86">
        <w:t xml:space="preserve">, and he requests </w:t>
      </w:r>
      <w:r w:rsidR="004F44E4">
        <w:t>that the company be required to extend Charter’s policy to the entire company and to not impose data caps or usage based pricing for seven years</w:t>
      </w:r>
      <w:r>
        <w:t>.</w:t>
      </w:r>
      <w:r>
        <w:rPr>
          <w:rStyle w:val="FootnoteReference"/>
        </w:rPr>
        <w:footnoteReference w:id="82"/>
      </w:r>
      <w:r w:rsidR="004F44E4">
        <w:t xml:space="preserve">  The Applicants commit to allowing former Cox customers to keep their current plans or switch to Charter’s.</w:t>
      </w:r>
      <w:r>
        <w:rPr>
          <w:rStyle w:val="FootnoteReference"/>
        </w:rPr>
        <w:footnoteReference w:id="83"/>
      </w:r>
      <w:r w:rsidR="004F44E4">
        <w:t xml:space="preserve"> </w:t>
      </w:r>
      <w:r w:rsidR="00E675C5">
        <w:t xml:space="preserve"> </w:t>
      </w:r>
      <w:r w:rsidR="004F44E4">
        <w:t xml:space="preserve">Further, we find no credible evidence in the record that the </w:t>
      </w:r>
      <w:r w:rsidR="00736B47">
        <w:t>T</w:t>
      </w:r>
      <w:r w:rsidR="004F44E4">
        <w:t>ransaction would lead Charter to change its policies in this regard.</w:t>
      </w:r>
      <w:r>
        <w:t xml:space="preserve">  </w:t>
      </w:r>
      <w:r w:rsidR="00171A86">
        <w:t xml:space="preserve">We </w:t>
      </w:r>
      <w:r w:rsidR="004F44E4">
        <w:t xml:space="preserve">also find </w:t>
      </w:r>
      <w:r w:rsidR="00171A86">
        <w:t xml:space="preserve">that </w:t>
      </w:r>
      <w:r>
        <w:t xml:space="preserve">increased competitive pressure from fiber, fixed wireless, and satellite providers decreases the likelihood that Charter would </w:t>
      </w:r>
      <w:r w:rsidR="00955D18">
        <w:t xml:space="preserve">broadly </w:t>
      </w:r>
      <w:r w:rsidR="00843802">
        <w:t>limit options for customers</w:t>
      </w:r>
      <w:r w:rsidR="004F44E4">
        <w:t>.</w:t>
      </w:r>
      <w:r w:rsidR="00843802">
        <w:t xml:space="preserve"> </w:t>
      </w:r>
      <w:r w:rsidR="0007372B">
        <w:t xml:space="preserve"> </w:t>
      </w:r>
      <w:r w:rsidR="004F44E4">
        <w:t xml:space="preserve">Accordingly, </w:t>
      </w:r>
      <w:r w:rsidR="00843802">
        <w:t xml:space="preserve">we deny </w:t>
      </w:r>
      <w:r w:rsidR="004F44E4">
        <w:t xml:space="preserve">this </w:t>
      </w:r>
      <w:r w:rsidR="00843802">
        <w:t xml:space="preserve">request for conditions.  </w:t>
      </w:r>
    </w:p>
    <w:p w:rsidR="002719C9" w:rsidRPr="00E432F1" w:rsidP="002719C9" w14:paraId="72399ED2" w14:textId="77777777">
      <w:pPr>
        <w:pStyle w:val="Heading2"/>
      </w:pPr>
      <w:r w:rsidRPr="00E432F1">
        <w:t>Potential Public Interest Benefits</w:t>
      </w:r>
    </w:p>
    <w:p w:rsidR="00F75D3B" w:rsidRPr="0026498C" w:rsidP="00620EB6" w14:paraId="778AC282" w14:textId="5EA0D8E6">
      <w:pPr>
        <w:pStyle w:val="ParaNum"/>
        <w:tabs>
          <w:tab w:val="clear" w:pos="990"/>
        </w:tabs>
        <w:ind w:left="0"/>
        <w:rPr>
          <w:szCs w:val="22"/>
        </w:rPr>
      </w:pPr>
      <w:r w:rsidRPr="00AB1395">
        <w:rPr>
          <w:szCs w:val="22"/>
        </w:rPr>
        <w:t xml:space="preserve">The Commission finds a claimed benefit to be cognizable only if </w:t>
      </w:r>
      <w:r w:rsidRPr="00AB1395" w:rsidR="008158E9">
        <w:rPr>
          <w:szCs w:val="22"/>
        </w:rPr>
        <w:t>that claimed benefit is</w:t>
      </w:r>
      <w:r w:rsidRPr="00AB1395">
        <w:rPr>
          <w:szCs w:val="22"/>
        </w:rPr>
        <w:t xml:space="preserve">: </w:t>
      </w:r>
      <w:r w:rsidRPr="00AB1395" w:rsidR="00632C6E">
        <w:rPr>
          <w:szCs w:val="22"/>
        </w:rPr>
        <w:t xml:space="preserve"> </w:t>
      </w:r>
      <w:r w:rsidRPr="00AB1395" w:rsidR="008158E9">
        <w:rPr>
          <w:szCs w:val="22"/>
        </w:rPr>
        <w:t>(</w:t>
      </w:r>
      <w:r w:rsidRPr="00AB1395" w:rsidR="008158E9">
        <w:rPr>
          <w:szCs w:val="22"/>
        </w:rPr>
        <w:t xml:space="preserve">1) </w:t>
      </w:r>
      <w:r w:rsidRPr="00AB1395">
        <w:rPr>
          <w:szCs w:val="22"/>
        </w:rPr>
        <w:t>transaction-related</w:t>
      </w:r>
      <w:r w:rsidRPr="00AB1395" w:rsidR="008158E9">
        <w:rPr>
          <w:szCs w:val="22"/>
        </w:rPr>
        <w:t>;</w:t>
      </w:r>
      <w:r w:rsidRPr="00AB1395">
        <w:rPr>
          <w:szCs w:val="22"/>
        </w:rPr>
        <w:t xml:space="preserve"> </w:t>
      </w:r>
      <w:r w:rsidRPr="00AB1395" w:rsidR="008158E9">
        <w:rPr>
          <w:szCs w:val="22"/>
        </w:rPr>
        <w:t xml:space="preserve">(2) </w:t>
      </w:r>
      <w:r w:rsidRPr="00AB1395">
        <w:rPr>
          <w:szCs w:val="22"/>
        </w:rPr>
        <w:t xml:space="preserve">verifiable, and </w:t>
      </w:r>
      <w:r w:rsidRPr="00AB1395" w:rsidR="008158E9">
        <w:rPr>
          <w:szCs w:val="22"/>
        </w:rPr>
        <w:t xml:space="preserve">(3) </w:t>
      </w:r>
      <w:r w:rsidRPr="00AB1395">
        <w:rPr>
          <w:szCs w:val="22"/>
        </w:rPr>
        <w:t xml:space="preserve">likely to flow through to consumers and not </w:t>
      </w:r>
      <w:r w:rsidRPr="00AB1395">
        <w:rPr>
          <w:szCs w:val="22"/>
        </w:rPr>
        <w:t>inure</w:t>
      </w:r>
      <w:r w:rsidRPr="00AB1395">
        <w:rPr>
          <w:szCs w:val="22"/>
        </w:rPr>
        <w:t xml:space="preserve"> solely to </w:t>
      </w:r>
      <w:r w:rsidRPr="00AB1395">
        <w:rPr>
          <w:szCs w:val="22"/>
        </w:rPr>
        <w:t>the benefit of the company.</w:t>
      </w:r>
      <w:r>
        <w:rPr>
          <w:szCs w:val="22"/>
          <w:vertAlign w:val="superscript"/>
        </w:rPr>
        <w:footnoteReference w:id="84"/>
      </w:r>
      <w:r w:rsidRPr="00AB1395">
        <w:rPr>
          <w:szCs w:val="22"/>
        </w:rPr>
        <w:t xml:space="preserve">  </w:t>
      </w:r>
      <w:r w:rsidRPr="00AB1395" w:rsidR="00EC6EEE">
        <w:rPr>
          <w:rFonts w:eastAsia="Calibri"/>
          <w:snapToGrid/>
          <w:kern w:val="2"/>
          <w:szCs w:val="22"/>
        </w:rPr>
        <w:t>The</w:t>
      </w:r>
      <w:r w:rsidRPr="00AB1395">
        <w:rPr>
          <w:rFonts w:eastAsia="Calibri"/>
          <w:snapToGrid/>
          <w:kern w:val="2"/>
          <w:szCs w:val="22"/>
        </w:rPr>
        <w:t xml:space="preserve"> record indicates </w:t>
      </w:r>
      <w:r w:rsidRPr="00AB1395" w:rsidR="009C787D">
        <w:rPr>
          <w:rFonts w:eastAsia="Calibri"/>
          <w:snapToGrid/>
          <w:kern w:val="2"/>
          <w:szCs w:val="22"/>
        </w:rPr>
        <w:t xml:space="preserve">that </w:t>
      </w:r>
      <w:r w:rsidRPr="00AB1395">
        <w:rPr>
          <w:rFonts w:eastAsia="Calibri"/>
          <w:snapToGrid/>
          <w:kern w:val="2"/>
          <w:szCs w:val="22"/>
        </w:rPr>
        <w:t xml:space="preserve">the Transaction </w:t>
      </w:r>
      <w:r w:rsidRPr="00AB1395">
        <w:rPr>
          <w:rFonts w:eastAsia="Calibri"/>
          <w:snapToGrid/>
          <w:kern w:val="0"/>
          <w:szCs w:val="22"/>
        </w:rPr>
        <w:t xml:space="preserve">will result in </w:t>
      </w:r>
      <w:r w:rsidRPr="00AB1395" w:rsidR="00D00191">
        <w:rPr>
          <w:rFonts w:eastAsia="Calibri"/>
          <w:snapToGrid/>
          <w:kern w:val="0"/>
          <w:szCs w:val="22"/>
        </w:rPr>
        <w:t>two primary</w:t>
      </w:r>
      <w:r w:rsidRPr="00AB1395">
        <w:rPr>
          <w:rFonts w:eastAsia="Calibri"/>
          <w:snapToGrid/>
          <w:kern w:val="0"/>
          <w:szCs w:val="22"/>
        </w:rPr>
        <w:t xml:space="preserve"> public interest benefits</w:t>
      </w:r>
      <w:r w:rsidRPr="00AB1395" w:rsidR="00D00191">
        <w:rPr>
          <w:rFonts w:eastAsia="Calibri"/>
          <w:snapToGrid/>
          <w:kern w:val="0"/>
          <w:szCs w:val="22"/>
        </w:rPr>
        <w:t>.  First,</w:t>
      </w:r>
      <w:r w:rsidRPr="00AB1395" w:rsidR="002B1D2D">
        <w:rPr>
          <w:rFonts w:eastAsia="Calibri"/>
          <w:snapToGrid/>
          <w:kern w:val="0"/>
          <w:szCs w:val="22"/>
        </w:rPr>
        <w:t xml:space="preserve"> there will be </w:t>
      </w:r>
      <w:r w:rsidRPr="00AB1395" w:rsidR="002B1D2D">
        <w:rPr>
          <w:rFonts w:eastAsia="Calibri"/>
          <w:snapToGrid/>
          <w:kern w:val="0"/>
          <w:szCs w:val="22"/>
        </w:rPr>
        <w:t>improved</w:t>
      </w:r>
      <w:r w:rsidRPr="00AB1395" w:rsidR="002B1D2D">
        <w:rPr>
          <w:rFonts w:eastAsia="Calibri"/>
          <w:snapToGrid/>
          <w:kern w:val="0"/>
          <w:szCs w:val="22"/>
        </w:rPr>
        <w:t xml:space="preserve"> and additional services made available to Cox’s current customers.</w:t>
      </w:r>
      <w:r w:rsidRPr="00AB1395" w:rsidR="00D00191">
        <w:rPr>
          <w:rFonts w:eastAsia="Calibri"/>
          <w:snapToGrid/>
          <w:kern w:val="0"/>
          <w:szCs w:val="22"/>
        </w:rPr>
        <w:t xml:space="preserve"> </w:t>
      </w:r>
      <w:r w:rsidRPr="00AB1395" w:rsidR="00C6697E">
        <w:rPr>
          <w:rFonts w:eastAsia="Calibri"/>
          <w:snapToGrid/>
          <w:kern w:val="0"/>
          <w:szCs w:val="22"/>
        </w:rPr>
        <w:t xml:space="preserve"> </w:t>
      </w:r>
      <w:r w:rsidRPr="00AB1395" w:rsidR="00D00191">
        <w:rPr>
          <w:rFonts w:eastAsia="Calibri"/>
          <w:snapToGrid/>
          <w:kern w:val="0"/>
          <w:szCs w:val="22"/>
        </w:rPr>
        <w:t>Second,</w:t>
      </w:r>
      <w:r w:rsidRPr="00AB1395">
        <w:rPr>
          <w:rFonts w:eastAsia="Calibri"/>
          <w:snapToGrid/>
          <w:kern w:val="0"/>
          <w:szCs w:val="22"/>
        </w:rPr>
        <w:t xml:space="preserve"> </w:t>
      </w:r>
      <w:r w:rsidR="00F83481">
        <w:rPr>
          <w:rFonts w:eastAsia="Calibri"/>
          <w:snapToGrid/>
          <w:kern w:val="0"/>
          <w:szCs w:val="22"/>
        </w:rPr>
        <w:t>New Charter</w:t>
      </w:r>
      <w:r w:rsidRPr="00AB1395" w:rsidR="006F1E5C">
        <w:rPr>
          <w:rFonts w:eastAsia="Calibri"/>
          <w:snapToGrid/>
          <w:kern w:val="0"/>
          <w:szCs w:val="22"/>
        </w:rPr>
        <w:t xml:space="preserve"> will be able to </w:t>
      </w:r>
      <w:r w:rsidR="006D6177">
        <w:rPr>
          <w:rFonts w:eastAsia="Calibri"/>
          <w:snapToGrid/>
          <w:kern w:val="0"/>
          <w:szCs w:val="22"/>
        </w:rPr>
        <w:t xml:space="preserve">use </w:t>
      </w:r>
      <w:r w:rsidR="00F83481">
        <w:rPr>
          <w:rFonts w:eastAsia="Calibri"/>
          <w:snapToGrid/>
          <w:kern w:val="0"/>
          <w:szCs w:val="22"/>
        </w:rPr>
        <w:t>its</w:t>
      </w:r>
      <w:r w:rsidR="00B46438">
        <w:rPr>
          <w:rFonts w:eastAsia="Calibri"/>
          <w:snapToGrid/>
          <w:kern w:val="0"/>
          <w:szCs w:val="22"/>
        </w:rPr>
        <w:t xml:space="preserve"> </w:t>
      </w:r>
      <w:r w:rsidRPr="00AB1395" w:rsidR="00C60C00">
        <w:rPr>
          <w:rFonts w:eastAsia="Calibri"/>
          <w:snapToGrid/>
          <w:kern w:val="0"/>
          <w:szCs w:val="22"/>
        </w:rPr>
        <w:t xml:space="preserve">resources </w:t>
      </w:r>
      <w:r w:rsidRPr="00AB1395" w:rsidR="00B61254">
        <w:rPr>
          <w:rFonts w:eastAsia="Calibri"/>
          <w:snapToGrid/>
          <w:kern w:val="0"/>
          <w:szCs w:val="22"/>
        </w:rPr>
        <w:t xml:space="preserve">to </w:t>
      </w:r>
      <w:r w:rsidRPr="00AB1395" w:rsidR="00745C5F">
        <w:rPr>
          <w:rFonts w:eastAsia="Calibri"/>
          <w:snapToGrid/>
          <w:kern w:val="0"/>
          <w:szCs w:val="22"/>
        </w:rPr>
        <w:t xml:space="preserve">become a stronger competitor </w:t>
      </w:r>
      <w:r w:rsidRPr="00AB1395" w:rsidR="00C852D9">
        <w:rPr>
          <w:rFonts w:eastAsia="Calibri"/>
          <w:snapToGrid/>
          <w:kern w:val="0"/>
          <w:szCs w:val="22"/>
        </w:rPr>
        <w:t xml:space="preserve">in </w:t>
      </w:r>
      <w:r w:rsidRPr="00AB1395" w:rsidR="00C83B5D">
        <w:rPr>
          <w:rFonts w:eastAsia="Calibri"/>
          <w:snapToGrid/>
          <w:kern w:val="0"/>
          <w:szCs w:val="22"/>
        </w:rPr>
        <w:t xml:space="preserve">the </w:t>
      </w:r>
      <w:r w:rsidRPr="00AB1395" w:rsidR="00C852D9">
        <w:rPr>
          <w:rFonts w:eastAsia="Calibri"/>
          <w:snapToGrid/>
          <w:kern w:val="0"/>
          <w:szCs w:val="22"/>
        </w:rPr>
        <w:t>broadband</w:t>
      </w:r>
      <w:r w:rsidRPr="00AB1395" w:rsidR="00247736">
        <w:rPr>
          <w:rFonts w:eastAsia="Calibri"/>
          <w:snapToGrid/>
          <w:kern w:val="0"/>
          <w:szCs w:val="22"/>
        </w:rPr>
        <w:t>, mobile wireless, video</w:t>
      </w:r>
      <w:r w:rsidRPr="00AB1395" w:rsidR="00E5257E">
        <w:rPr>
          <w:rFonts w:eastAsia="Calibri"/>
          <w:snapToGrid/>
          <w:kern w:val="0"/>
          <w:szCs w:val="22"/>
        </w:rPr>
        <w:t>,</w:t>
      </w:r>
      <w:r w:rsidRPr="00AB1395" w:rsidR="00137D77">
        <w:rPr>
          <w:rFonts w:eastAsia="Calibri"/>
          <w:snapToGrid/>
          <w:kern w:val="0"/>
          <w:szCs w:val="22"/>
        </w:rPr>
        <w:t xml:space="preserve"> and</w:t>
      </w:r>
      <w:r w:rsidRPr="00AB1395" w:rsidR="00E5257E">
        <w:rPr>
          <w:rFonts w:eastAsia="Calibri"/>
          <w:snapToGrid/>
          <w:kern w:val="0"/>
          <w:szCs w:val="22"/>
        </w:rPr>
        <w:t xml:space="preserve"> enterprise ma</w:t>
      </w:r>
      <w:r w:rsidRPr="00AB1395" w:rsidR="0042568D">
        <w:rPr>
          <w:rFonts w:eastAsia="Calibri"/>
          <w:snapToGrid/>
          <w:kern w:val="0"/>
          <w:szCs w:val="22"/>
        </w:rPr>
        <w:t>r</w:t>
      </w:r>
      <w:r w:rsidRPr="00AB1395" w:rsidR="00E5257E">
        <w:rPr>
          <w:rFonts w:eastAsia="Calibri"/>
          <w:snapToGrid/>
          <w:kern w:val="0"/>
          <w:szCs w:val="22"/>
        </w:rPr>
        <w:t>ketplace</w:t>
      </w:r>
      <w:r w:rsidRPr="00AB1395" w:rsidR="00A912C2">
        <w:rPr>
          <w:rFonts w:eastAsia="Calibri"/>
          <w:snapToGrid/>
          <w:kern w:val="0"/>
          <w:szCs w:val="22"/>
        </w:rPr>
        <w:t>s</w:t>
      </w:r>
      <w:r w:rsidR="006D6177">
        <w:rPr>
          <w:rFonts w:eastAsia="Calibri"/>
          <w:snapToGrid/>
          <w:kern w:val="0"/>
          <w:szCs w:val="22"/>
        </w:rPr>
        <w:t>,</w:t>
      </w:r>
      <w:r w:rsidRPr="00AB1395" w:rsidR="0042568D">
        <w:rPr>
          <w:rFonts w:eastAsia="Calibri"/>
          <w:snapToGrid/>
          <w:kern w:val="0"/>
          <w:szCs w:val="22"/>
        </w:rPr>
        <w:t xml:space="preserve"> providing customers with</w:t>
      </w:r>
      <w:r w:rsidRPr="00AB1395" w:rsidR="00324193">
        <w:rPr>
          <w:rFonts w:eastAsia="Calibri"/>
          <w:snapToGrid/>
          <w:kern w:val="0"/>
          <w:szCs w:val="22"/>
        </w:rPr>
        <w:t xml:space="preserve"> additional services </w:t>
      </w:r>
      <w:r w:rsidRPr="00AB1395" w:rsidR="0073547B">
        <w:rPr>
          <w:rFonts w:eastAsia="Calibri"/>
          <w:snapToGrid/>
          <w:kern w:val="0"/>
          <w:szCs w:val="22"/>
        </w:rPr>
        <w:t>and cost-savings.</w:t>
      </w:r>
      <w:r w:rsidRPr="00AB1395" w:rsidR="00A912C2">
        <w:rPr>
          <w:rFonts w:eastAsia="Calibri"/>
          <w:snapToGrid/>
          <w:kern w:val="0"/>
          <w:szCs w:val="22"/>
        </w:rPr>
        <w:t xml:space="preserve">  </w:t>
      </w:r>
      <w:r w:rsidRPr="00AB1395" w:rsidR="00975407">
        <w:rPr>
          <w:rFonts w:eastAsia="Calibri"/>
          <w:snapToGrid/>
          <w:kern w:val="0"/>
          <w:szCs w:val="22"/>
        </w:rPr>
        <w:t>We</w:t>
      </w:r>
      <w:r w:rsidRPr="00AB1395" w:rsidR="007A6208">
        <w:rPr>
          <w:rFonts w:eastAsia="Calibri"/>
          <w:snapToGrid/>
          <w:kern w:val="0"/>
          <w:szCs w:val="22"/>
        </w:rPr>
        <w:t xml:space="preserve"> also</w:t>
      </w:r>
      <w:r w:rsidRPr="00AB1395" w:rsidR="00975407">
        <w:rPr>
          <w:rFonts w:eastAsia="Calibri"/>
          <w:snapToGrid/>
          <w:kern w:val="0"/>
          <w:szCs w:val="22"/>
        </w:rPr>
        <w:t xml:space="preserve"> </w:t>
      </w:r>
      <w:r w:rsidRPr="00AB1395" w:rsidR="00DA31FA">
        <w:rPr>
          <w:rFonts w:eastAsia="Calibri"/>
          <w:snapToGrid/>
          <w:kern w:val="0"/>
          <w:szCs w:val="22"/>
        </w:rPr>
        <w:t xml:space="preserve">recognize </w:t>
      </w:r>
      <w:r w:rsidRPr="00AB1395" w:rsidR="007A6208">
        <w:rPr>
          <w:rFonts w:eastAsia="Calibri"/>
          <w:snapToGrid/>
          <w:kern w:val="0"/>
          <w:szCs w:val="22"/>
        </w:rPr>
        <w:t>the Applicants</w:t>
      </w:r>
      <w:r w:rsidR="00615D18">
        <w:rPr>
          <w:rFonts w:eastAsia="Calibri"/>
          <w:snapToGrid/>
          <w:kern w:val="0"/>
          <w:szCs w:val="22"/>
        </w:rPr>
        <w:t>’</w:t>
      </w:r>
      <w:r w:rsidRPr="00AB1395" w:rsidR="007A6208">
        <w:rPr>
          <w:rFonts w:eastAsia="Calibri"/>
          <w:snapToGrid/>
          <w:kern w:val="0"/>
          <w:szCs w:val="22"/>
        </w:rPr>
        <w:t xml:space="preserve"> commitment to </w:t>
      </w:r>
      <w:r w:rsidRPr="00AB1395" w:rsidR="00D43514">
        <w:rPr>
          <w:rFonts w:eastAsia="Calibri"/>
          <w:snapToGrid/>
          <w:kern w:val="0"/>
          <w:szCs w:val="22"/>
        </w:rPr>
        <w:t>pr</w:t>
      </w:r>
      <w:r w:rsidRPr="00AB1395" w:rsidR="008B42F7">
        <w:rPr>
          <w:rFonts w:eastAsia="Calibri"/>
          <w:snapToGrid/>
          <w:kern w:val="0"/>
          <w:szCs w:val="22"/>
        </w:rPr>
        <w:t>omote investment in American workers.</w:t>
      </w:r>
    </w:p>
    <w:p w:rsidR="00853423" w:rsidRPr="00AB1395" w:rsidP="00620EB6" w14:paraId="5CC8B14E" w14:textId="060AE9D4">
      <w:pPr>
        <w:pStyle w:val="ParaNum"/>
        <w:tabs>
          <w:tab w:val="clear" w:pos="990"/>
        </w:tabs>
        <w:ind w:left="0"/>
        <w:rPr>
          <w:szCs w:val="22"/>
        </w:rPr>
      </w:pPr>
      <w:r w:rsidRPr="00AB1395">
        <w:rPr>
          <w:i/>
          <w:iCs/>
          <w:szCs w:val="22"/>
        </w:rPr>
        <w:t xml:space="preserve">Improved </w:t>
      </w:r>
      <w:r w:rsidRPr="00AB1395" w:rsidR="009827BC">
        <w:rPr>
          <w:i/>
          <w:iCs/>
          <w:szCs w:val="22"/>
        </w:rPr>
        <w:t>Services</w:t>
      </w:r>
      <w:r w:rsidRPr="00AB1395" w:rsidR="00E1001E">
        <w:rPr>
          <w:i/>
          <w:iCs/>
          <w:szCs w:val="22"/>
        </w:rPr>
        <w:t xml:space="preserve"> </w:t>
      </w:r>
      <w:r w:rsidRPr="00AB1395" w:rsidR="00E600DF">
        <w:rPr>
          <w:i/>
          <w:iCs/>
          <w:szCs w:val="22"/>
        </w:rPr>
        <w:t xml:space="preserve">Available </w:t>
      </w:r>
      <w:r w:rsidRPr="00AB1395" w:rsidR="00E1001E">
        <w:rPr>
          <w:i/>
          <w:iCs/>
          <w:szCs w:val="22"/>
        </w:rPr>
        <w:t xml:space="preserve">to Cox’s </w:t>
      </w:r>
      <w:r w:rsidRPr="00AB1395" w:rsidR="00EF46EC">
        <w:rPr>
          <w:i/>
          <w:iCs/>
          <w:szCs w:val="22"/>
        </w:rPr>
        <w:t>Customers.</w:t>
      </w:r>
      <w:r w:rsidRPr="00AB1395" w:rsidR="00B71DA6">
        <w:rPr>
          <w:snapToGrid/>
          <w:kern w:val="0"/>
          <w:szCs w:val="22"/>
        </w:rPr>
        <w:t xml:space="preserve">  </w:t>
      </w:r>
      <w:r w:rsidR="006D6177">
        <w:rPr>
          <w:snapToGrid/>
          <w:kern w:val="0"/>
          <w:szCs w:val="22"/>
        </w:rPr>
        <w:t xml:space="preserve">The </w:t>
      </w:r>
      <w:r w:rsidRPr="00AB1395" w:rsidR="00B36213">
        <w:rPr>
          <w:szCs w:val="22"/>
        </w:rPr>
        <w:t xml:space="preserve">Applicants assert that </w:t>
      </w:r>
      <w:r w:rsidRPr="00AB1395" w:rsidR="00B14BDC">
        <w:rPr>
          <w:szCs w:val="22"/>
        </w:rPr>
        <w:t xml:space="preserve">the Transaction will lead to </w:t>
      </w:r>
      <w:r w:rsidRPr="00AB1395" w:rsidR="00726717">
        <w:rPr>
          <w:szCs w:val="22"/>
        </w:rPr>
        <w:t>“</w:t>
      </w:r>
      <w:r w:rsidRPr="00AB1395" w:rsidR="003236AC">
        <w:rPr>
          <w:snapToGrid/>
          <w:kern w:val="0"/>
          <w:szCs w:val="22"/>
        </w:rPr>
        <w:t>faster broadband</w:t>
      </w:r>
      <w:r w:rsidRPr="00AB1395" w:rsidR="002E416C">
        <w:rPr>
          <w:snapToGrid/>
          <w:kern w:val="0"/>
          <w:szCs w:val="22"/>
        </w:rPr>
        <w:t>, lower prices, more choice and value in video,</w:t>
      </w:r>
      <w:r w:rsidRPr="00AB1395" w:rsidR="003236AC">
        <w:rPr>
          <w:snapToGrid/>
          <w:kern w:val="0"/>
          <w:szCs w:val="22"/>
        </w:rPr>
        <w:t xml:space="preserve"> and higher-quality</w:t>
      </w:r>
      <w:r w:rsidRPr="00AB1395" w:rsidR="003236AC">
        <w:rPr>
          <w:szCs w:val="22"/>
        </w:rPr>
        <w:t xml:space="preserve"> </w:t>
      </w:r>
      <w:r w:rsidRPr="00AB1395" w:rsidR="003236AC">
        <w:rPr>
          <w:snapToGrid/>
          <w:kern w:val="0"/>
          <w:szCs w:val="22"/>
        </w:rPr>
        <w:t>mobile service</w:t>
      </w:r>
      <w:r w:rsidRPr="00AB1395" w:rsidR="00135EE4">
        <w:rPr>
          <w:snapToGrid/>
          <w:kern w:val="0"/>
          <w:szCs w:val="22"/>
        </w:rPr>
        <w:t>”</w:t>
      </w:r>
      <w:r w:rsidRPr="00AB1395" w:rsidR="003236AC">
        <w:rPr>
          <w:szCs w:val="22"/>
        </w:rPr>
        <w:t xml:space="preserve"> to customers in Cox’s current service </w:t>
      </w:r>
      <w:r w:rsidRPr="00AB1395" w:rsidR="006269F4">
        <w:rPr>
          <w:szCs w:val="22"/>
        </w:rPr>
        <w:t>areas.</w:t>
      </w:r>
      <w:r>
        <w:rPr>
          <w:rStyle w:val="FootnoteReference"/>
          <w:sz w:val="22"/>
          <w:szCs w:val="22"/>
        </w:rPr>
        <w:footnoteReference w:id="85"/>
      </w:r>
      <w:r w:rsidRPr="00AB1395" w:rsidR="006269F4">
        <w:rPr>
          <w:szCs w:val="22"/>
        </w:rPr>
        <w:t xml:space="preserve">  </w:t>
      </w:r>
      <w:r w:rsidRPr="006009A9" w:rsidR="006D6177">
        <w:rPr>
          <w:szCs w:val="22"/>
        </w:rPr>
        <w:t xml:space="preserve">The </w:t>
      </w:r>
      <w:r w:rsidRPr="006009A9" w:rsidR="003C1FA0">
        <w:rPr>
          <w:snapToGrid/>
          <w:kern w:val="0"/>
          <w:szCs w:val="22"/>
        </w:rPr>
        <w:t>Applicants state that</w:t>
      </w:r>
      <w:r w:rsidRPr="006009A9" w:rsidR="006B1187">
        <w:rPr>
          <w:snapToGrid/>
          <w:kern w:val="0"/>
          <w:szCs w:val="22"/>
        </w:rPr>
        <w:t xml:space="preserve"> </w:t>
      </w:r>
      <w:r w:rsidRPr="006009A9" w:rsidR="00F83481">
        <w:rPr>
          <w:snapToGrid/>
          <w:kern w:val="0"/>
          <w:szCs w:val="22"/>
        </w:rPr>
        <w:t>New Charter</w:t>
      </w:r>
      <w:r w:rsidRPr="006009A9" w:rsidR="000A2390">
        <w:rPr>
          <w:snapToGrid/>
          <w:kern w:val="0"/>
          <w:szCs w:val="22"/>
        </w:rPr>
        <w:t xml:space="preserve"> will </w:t>
      </w:r>
      <w:r w:rsidRPr="006009A9" w:rsidR="00545C9A">
        <w:rPr>
          <w:snapToGrid/>
          <w:kern w:val="0"/>
          <w:szCs w:val="22"/>
        </w:rPr>
        <w:t>upgrade Cox’s broadband network</w:t>
      </w:r>
      <w:r w:rsidRPr="006009A9" w:rsidR="006D6177">
        <w:rPr>
          <w:snapToGrid/>
          <w:kern w:val="0"/>
          <w:szCs w:val="22"/>
        </w:rPr>
        <w:t>,</w:t>
      </w:r>
      <w:r w:rsidRPr="006009A9" w:rsidR="00545C9A">
        <w:rPr>
          <w:snapToGrid/>
          <w:kern w:val="0"/>
          <w:szCs w:val="22"/>
        </w:rPr>
        <w:t xml:space="preserve"> </w:t>
      </w:r>
      <w:r w:rsidRPr="006009A9" w:rsidR="00CA4E18">
        <w:rPr>
          <w:snapToGrid/>
          <w:kern w:val="0"/>
          <w:szCs w:val="22"/>
        </w:rPr>
        <w:t xml:space="preserve">which </w:t>
      </w:r>
      <w:r w:rsidRPr="006009A9" w:rsidR="006550E5">
        <w:rPr>
          <w:snapToGrid/>
          <w:kern w:val="0"/>
          <w:szCs w:val="22"/>
        </w:rPr>
        <w:t>will result in</w:t>
      </w:r>
      <w:r w:rsidRPr="006009A9" w:rsidR="000C569D">
        <w:rPr>
          <w:snapToGrid/>
          <w:kern w:val="0"/>
          <w:szCs w:val="22"/>
        </w:rPr>
        <w:t xml:space="preserve"> </w:t>
      </w:r>
      <w:r w:rsidRPr="006009A9" w:rsidR="00E007E0">
        <w:rPr>
          <w:snapToGrid/>
          <w:kern w:val="0"/>
          <w:szCs w:val="22"/>
        </w:rPr>
        <w:t>significantly faster</w:t>
      </w:r>
      <w:r w:rsidRPr="006009A9" w:rsidR="00C26C4F">
        <w:rPr>
          <w:snapToGrid/>
          <w:kern w:val="0"/>
          <w:szCs w:val="22"/>
        </w:rPr>
        <w:t xml:space="preserve"> broadband</w:t>
      </w:r>
      <w:r w:rsidRPr="006009A9" w:rsidR="006550E5">
        <w:rPr>
          <w:snapToGrid/>
          <w:kern w:val="0"/>
          <w:szCs w:val="22"/>
        </w:rPr>
        <w:t xml:space="preserve"> speeds</w:t>
      </w:r>
      <w:r w:rsidRPr="006009A9" w:rsidR="00D30743">
        <w:rPr>
          <w:snapToGrid/>
          <w:kern w:val="0"/>
          <w:szCs w:val="22"/>
        </w:rPr>
        <w:t xml:space="preserve"> in Cox’s service territory</w:t>
      </w:r>
      <w:r w:rsidRPr="006009A9" w:rsidR="00855BA3">
        <w:rPr>
          <w:snapToGrid/>
          <w:kern w:val="0"/>
          <w:szCs w:val="22"/>
        </w:rPr>
        <w:t xml:space="preserve"> through a </w:t>
      </w:r>
      <w:r w:rsidRPr="006009A9" w:rsidR="0079103C">
        <w:rPr>
          <w:snapToGrid/>
          <w:kern w:val="0"/>
          <w:szCs w:val="22"/>
        </w:rPr>
        <w:t xml:space="preserve">faster </w:t>
      </w:r>
      <w:r w:rsidRPr="006009A9" w:rsidR="00855BA3">
        <w:rPr>
          <w:snapToGrid/>
          <w:kern w:val="0"/>
          <w:szCs w:val="22"/>
        </w:rPr>
        <w:t xml:space="preserve">process </w:t>
      </w:r>
      <w:r w:rsidRPr="00A073BE" w:rsidR="00855BA3">
        <w:rPr>
          <w:snapToGrid/>
          <w:kern w:val="0"/>
          <w:szCs w:val="22"/>
        </w:rPr>
        <w:t>tha</w:t>
      </w:r>
      <w:r w:rsidRPr="00A073BE" w:rsidR="0079103C">
        <w:rPr>
          <w:snapToGrid/>
          <w:kern w:val="0"/>
          <w:szCs w:val="22"/>
        </w:rPr>
        <w:t>n</w:t>
      </w:r>
      <w:r w:rsidRPr="00A073BE" w:rsidR="00855BA3">
        <w:rPr>
          <w:snapToGrid/>
          <w:kern w:val="0"/>
          <w:szCs w:val="22"/>
        </w:rPr>
        <w:t xml:space="preserve"> would have occurred abse</w:t>
      </w:r>
      <w:r w:rsidRPr="00A073BE" w:rsidR="0079103C">
        <w:rPr>
          <w:snapToGrid/>
          <w:kern w:val="0"/>
          <w:szCs w:val="22"/>
        </w:rPr>
        <w:t>n</w:t>
      </w:r>
      <w:r w:rsidRPr="00A073BE" w:rsidR="00855BA3">
        <w:rPr>
          <w:snapToGrid/>
          <w:kern w:val="0"/>
          <w:szCs w:val="22"/>
        </w:rPr>
        <w:t>t the Transaction</w:t>
      </w:r>
      <w:r w:rsidRPr="00A073BE" w:rsidR="0000088E">
        <w:rPr>
          <w:snapToGrid/>
          <w:kern w:val="0"/>
          <w:szCs w:val="22"/>
        </w:rPr>
        <w:t>.</w:t>
      </w:r>
      <w:r>
        <w:rPr>
          <w:rStyle w:val="FootnoteReference"/>
          <w:snapToGrid/>
          <w:kern w:val="0"/>
          <w:sz w:val="22"/>
          <w:szCs w:val="22"/>
        </w:rPr>
        <w:footnoteReference w:id="86"/>
      </w:r>
      <w:r w:rsidRPr="00A073BE" w:rsidR="009E4DAD">
        <w:rPr>
          <w:snapToGrid/>
          <w:kern w:val="0"/>
          <w:szCs w:val="22"/>
        </w:rPr>
        <w:t xml:space="preserve"> </w:t>
      </w:r>
      <w:r w:rsidRPr="00A073BE" w:rsidR="007F5156">
        <w:rPr>
          <w:snapToGrid/>
          <w:kern w:val="0"/>
          <w:szCs w:val="22"/>
        </w:rPr>
        <w:t xml:space="preserve"> </w:t>
      </w:r>
      <w:r w:rsidRPr="00D01CDA" w:rsidR="001A493F">
        <w:rPr>
          <w:snapToGrid/>
          <w:kern w:val="0"/>
          <w:szCs w:val="22"/>
        </w:rPr>
        <w:t>We accept</w:t>
      </w:r>
      <w:r w:rsidRPr="00D01CDA" w:rsidR="00D04415">
        <w:rPr>
          <w:snapToGrid/>
          <w:kern w:val="0"/>
          <w:szCs w:val="22"/>
        </w:rPr>
        <w:t xml:space="preserve"> </w:t>
      </w:r>
      <w:r w:rsidRPr="00D01CDA" w:rsidR="001B543B">
        <w:rPr>
          <w:snapToGrid/>
          <w:kern w:val="0"/>
          <w:szCs w:val="22"/>
        </w:rPr>
        <w:t>Charter’s</w:t>
      </w:r>
      <w:r w:rsidRPr="00D01CDA" w:rsidR="00D04415">
        <w:rPr>
          <w:snapToGrid/>
          <w:kern w:val="0"/>
          <w:szCs w:val="22"/>
        </w:rPr>
        <w:t xml:space="preserve"> commitment as firm and definite, and expect that i</w:t>
      </w:r>
      <w:r w:rsidRPr="00D01CDA" w:rsidR="000361DA">
        <w:rPr>
          <w:snapToGrid/>
          <w:kern w:val="0"/>
          <w:szCs w:val="22"/>
        </w:rPr>
        <w:t>t will help ensure that the post-transaction company will strengthen services for customers</w:t>
      </w:r>
      <w:r w:rsidRPr="00D01CDA" w:rsidR="00A61888">
        <w:rPr>
          <w:snapToGrid/>
          <w:kern w:val="0"/>
          <w:szCs w:val="22"/>
        </w:rPr>
        <w:t xml:space="preserve"> </w:t>
      </w:r>
      <w:r w:rsidRPr="00D01CDA" w:rsidR="00660E3A">
        <w:rPr>
          <w:snapToGrid/>
          <w:kern w:val="0"/>
          <w:szCs w:val="22"/>
        </w:rPr>
        <w:t>in rural areas</w:t>
      </w:r>
      <w:r w:rsidRPr="00D01CDA" w:rsidR="00A61888">
        <w:rPr>
          <w:snapToGrid/>
          <w:kern w:val="0"/>
          <w:szCs w:val="22"/>
        </w:rPr>
        <w:t xml:space="preserve"> and across its expanded service footprint</w:t>
      </w:r>
      <w:r w:rsidRPr="00D01CDA" w:rsidR="003E0999">
        <w:rPr>
          <w:snapToGrid/>
          <w:kern w:val="0"/>
          <w:szCs w:val="22"/>
        </w:rPr>
        <w:t xml:space="preserve"> through private investment that results in more fiber deployment and broadband availability</w:t>
      </w:r>
      <w:r w:rsidRPr="00D01CDA" w:rsidR="000361DA">
        <w:rPr>
          <w:snapToGrid/>
          <w:kern w:val="0"/>
          <w:szCs w:val="22"/>
        </w:rPr>
        <w:t>.</w:t>
      </w:r>
      <w:r w:rsidRPr="00A073BE" w:rsidR="000361DA">
        <w:rPr>
          <w:snapToGrid/>
          <w:kern w:val="0"/>
          <w:szCs w:val="22"/>
        </w:rPr>
        <w:t xml:space="preserve"> </w:t>
      </w:r>
      <w:r w:rsidRPr="00A073BE" w:rsidR="009E4DAD">
        <w:rPr>
          <w:snapToGrid/>
          <w:kern w:val="0"/>
          <w:szCs w:val="22"/>
        </w:rPr>
        <w:t xml:space="preserve"> </w:t>
      </w:r>
      <w:r w:rsidRPr="00A073BE" w:rsidR="006D6177">
        <w:rPr>
          <w:snapToGrid/>
          <w:kern w:val="0"/>
          <w:szCs w:val="22"/>
        </w:rPr>
        <w:t xml:space="preserve">The Applicants also state that </w:t>
      </w:r>
      <w:r w:rsidRPr="00A073BE" w:rsidR="00761E4F">
        <w:rPr>
          <w:snapToGrid/>
          <w:kern w:val="0"/>
          <w:szCs w:val="22"/>
        </w:rPr>
        <w:t xml:space="preserve">Cox customers </w:t>
      </w:r>
      <w:r w:rsidRPr="00A073BE" w:rsidR="003101C2">
        <w:rPr>
          <w:snapToGrid/>
          <w:kern w:val="0"/>
          <w:szCs w:val="22"/>
        </w:rPr>
        <w:t xml:space="preserve">may </w:t>
      </w:r>
      <w:r w:rsidRPr="00A073BE" w:rsidR="00F96651">
        <w:rPr>
          <w:snapToGrid/>
          <w:kern w:val="0"/>
          <w:szCs w:val="22"/>
        </w:rPr>
        <w:t xml:space="preserve">keep their existing </w:t>
      </w:r>
      <w:r w:rsidRPr="00A073BE" w:rsidR="00FF6BFD">
        <w:rPr>
          <w:snapToGrid/>
          <w:kern w:val="0"/>
          <w:szCs w:val="22"/>
        </w:rPr>
        <w:t xml:space="preserve">Cox </w:t>
      </w:r>
      <w:r w:rsidRPr="00A073BE" w:rsidR="00B42C12">
        <w:rPr>
          <w:snapToGrid/>
          <w:kern w:val="0"/>
          <w:szCs w:val="22"/>
        </w:rPr>
        <w:t xml:space="preserve">broadband </w:t>
      </w:r>
      <w:r w:rsidRPr="00A073BE" w:rsidR="00F96651">
        <w:rPr>
          <w:snapToGrid/>
          <w:kern w:val="0"/>
          <w:szCs w:val="22"/>
        </w:rPr>
        <w:t xml:space="preserve">plan or switch to </w:t>
      </w:r>
      <w:r w:rsidRPr="00A073BE" w:rsidR="006D6177">
        <w:rPr>
          <w:snapToGrid/>
          <w:kern w:val="0"/>
          <w:szCs w:val="22"/>
        </w:rPr>
        <w:t xml:space="preserve">one of </w:t>
      </w:r>
      <w:r w:rsidRPr="00A073BE" w:rsidR="00F96651">
        <w:rPr>
          <w:snapToGrid/>
          <w:kern w:val="0"/>
          <w:szCs w:val="22"/>
        </w:rPr>
        <w:t>Charter’s plans</w:t>
      </w:r>
      <w:r w:rsidRPr="00A073BE" w:rsidR="00256CF7">
        <w:rPr>
          <w:snapToGrid/>
          <w:kern w:val="0"/>
          <w:szCs w:val="22"/>
        </w:rPr>
        <w:t>, which</w:t>
      </w:r>
      <w:r w:rsidRPr="00A073BE" w:rsidR="007D2684">
        <w:rPr>
          <w:snapToGrid/>
          <w:kern w:val="0"/>
          <w:szCs w:val="22"/>
        </w:rPr>
        <w:t xml:space="preserve">, </w:t>
      </w:r>
      <w:r w:rsidRPr="00A073BE" w:rsidR="00281F08">
        <w:rPr>
          <w:snapToGrid/>
          <w:kern w:val="0"/>
          <w:szCs w:val="22"/>
        </w:rPr>
        <w:t>a</w:t>
      </w:r>
      <w:r w:rsidRPr="00A073BE" w:rsidR="007D2684">
        <w:rPr>
          <w:snapToGrid/>
          <w:kern w:val="0"/>
          <w:szCs w:val="22"/>
        </w:rPr>
        <w:t>ccordi</w:t>
      </w:r>
      <w:r w:rsidRPr="00AB1395" w:rsidR="007D2684">
        <w:rPr>
          <w:snapToGrid/>
          <w:kern w:val="0"/>
          <w:szCs w:val="22"/>
        </w:rPr>
        <w:t>ng to the Applicants,</w:t>
      </w:r>
      <w:r w:rsidRPr="00AB1395" w:rsidR="00256CF7">
        <w:rPr>
          <w:snapToGrid/>
          <w:kern w:val="0"/>
          <w:szCs w:val="22"/>
        </w:rPr>
        <w:t xml:space="preserve"> </w:t>
      </w:r>
      <w:r w:rsidR="006D6177">
        <w:rPr>
          <w:snapToGrid/>
          <w:kern w:val="0"/>
          <w:szCs w:val="22"/>
        </w:rPr>
        <w:t xml:space="preserve">are </w:t>
      </w:r>
      <w:r w:rsidRPr="00AB1395" w:rsidR="00256CF7">
        <w:rPr>
          <w:snapToGrid/>
          <w:kern w:val="0"/>
          <w:szCs w:val="22"/>
        </w:rPr>
        <w:t xml:space="preserve">a variety of affordable high speed </w:t>
      </w:r>
      <w:r w:rsidR="009F1DA5">
        <w:rPr>
          <w:snapToGrid/>
          <w:kern w:val="0"/>
          <w:szCs w:val="22"/>
        </w:rPr>
        <w:t>I</w:t>
      </w:r>
      <w:r w:rsidRPr="00AB1395" w:rsidR="00256CF7">
        <w:rPr>
          <w:snapToGrid/>
          <w:kern w:val="0"/>
          <w:szCs w:val="22"/>
        </w:rPr>
        <w:t>nternet packages</w:t>
      </w:r>
      <w:r w:rsidRPr="00AB1395" w:rsidR="007D2684">
        <w:rPr>
          <w:snapToGrid/>
          <w:kern w:val="0"/>
          <w:szCs w:val="22"/>
        </w:rPr>
        <w:t xml:space="preserve"> that </w:t>
      </w:r>
      <w:r w:rsidRPr="00AB1395" w:rsidR="00260E6D">
        <w:rPr>
          <w:snapToGrid/>
          <w:kern w:val="0"/>
          <w:szCs w:val="22"/>
        </w:rPr>
        <w:t>are not currently available to Cox</w:t>
      </w:r>
      <w:r w:rsidRPr="00AB1395" w:rsidR="002A4D31">
        <w:rPr>
          <w:snapToGrid/>
          <w:kern w:val="0"/>
          <w:szCs w:val="22"/>
        </w:rPr>
        <w:t>’s customers.</w:t>
      </w:r>
      <w:r>
        <w:rPr>
          <w:rStyle w:val="FootnoteReference"/>
          <w:snapToGrid/>
          <w:kern w:val="0"/>
          <w:sz w:val="22"/>
          <w:szCs w:val="22"/>
        </w:rPr>
        <w:footnoteReference w:id="87"/>
      </w:r>
      <w:r w:rsidRPr="00AB1395" w:rsidR="001D773B">
        <w:rPr>
          <w:snapToGrid/>
          <w:kern w:val="0"/>
          <w:szCs w:val="22"/>
        </w:rPr>
        <w:t xml:space="preserve">  </w:t>
      </w:r>
      <w:r w:rsidR="00F83481">
        <w:rPr>
          <w:snapToGrid/>
          <w:kern w:val="0"/>
          <w:szCs w:val="22"/>
        </w:rPr>
        <w:t>New Charter</w:t>
      </w:r>
      <w:r w:rsidRPr="00AB1395" w:rsidR="00EE58D1">
        <w:rPr>
          <w:snapToGrid/>
          <w:kern w:val="0"/>
          <w:szCs w:val="22"/>
        </w:rPr>
        <w:t xml:space="preserve"> will</w:t>
      </w:r>
      <w:r w:rsidRPr="00AB1395" w:rsidR="004443CE">
        <w:rPr>
          <w:snapToGrid/>
          <w:kern w:val="0"/>
          <w:szCs w:val="22"/>
        </w:rPr>
        <w:t xml:space="preserve"> </w:t>
      </w:r>
      <w:r w:rsidRPr="00AB1395" w:rsidR="00D808A2">
        <w:rPr>
          <w:snapToGrid/>
          <w:kern w:val="0"/>
          <w:szCs w:val="22"/>
        </w:rPr>
        <w:t xml:space="preserve">also </w:t>
      </w:r>
      <w:r w:rsidRPr="00AB1395" w:rsidR="00EE58D1">
        <w:rPr>
          <w:snapToGrid/>
          <w:kern w:val="0"/>
          <w:szCs w:val="22"/>
        </w:rPr>
        <w:t>offer Charter’s</w:t>
      </w:r>
      <w:r w:rsidRPr="00AB1395" w:rsidR="001A0E84">
        <w:rPr>
          <w:snapToGrid/>
          <w:kern w:val="0"/>
          <w:szCs w:val="22"/>
        </w:rPr>
        <w:t xml:space="preserve"> </w:t>
      </w:r>
      <w:r w:rsidRPr="00AB1395" w:rsidR="00EE58D1">
        <w:rPr>
          <w:snapToGrid/>
          <w:kern w:val="0"/>
          <w:szCs w:val="22"/>
        </w:rPr>
        <w:t xml:space="preserve">mobile service </w:t>
      </w:r>
      <w:r w:rsidRPr="00AB1395" w:rsidR="007942FE">
        <w:rPr>
          <w:snapToGrid/>
          <w:kern w:val="0"/>
          <w:szCs w:val="22"/>
        </w:rPr>
        <w:t>and video products</w:t>
      </w:r>
      <w:r w:rsidRPr="00AB1395" w:rsidR="00C71E54">
        <w:rPr>
          <w:snapToGrid/>
          <w:kern w:val="0"/>
          <w:szCs w:val="22"/>
        </w:rPr>
        <w:t xml:space="preserve"> </w:t>
      </w:r>
      <w:r w:rsidRPr="00AB1395" w:rsidR="00EE58D1">
        <w:rPr>
          <w:snapToGrid/>
          <w:kern w:val="0"/>
          <w:szCs w:val="22"/>
        </w:rPr>
        <w:t>to consumers in Cox’s footprint.</w:t>
      </w:r>
      <w:r>
        <w:rPr>
          <w:rStyle w:val="FootnoteReference"/>
          <w:snapToGrid/>
          <w:kern w:val="0"/>
          <w:sz w:val="22"/>
          <w:szCs w:val="22"/>
        </w:rPr>
        <w:footnoteReference w:id="88"/>
      </w:r>
      <w:r w:rsidRPr="00AB1395" w:rsidR="00CB4933">
        <w:rPr>
          <w:szCs w:val="22"/>
        </w:rPr>
        <w:t xml:space="preserve"> </w:t>
      </w:r>
      <w:r w:rsidRPr="00AB1395" w:rsidR="00D871EA">
        <w:rPr>
          <w:szCs w:val="22"/>
        </w:rPr>
        <w:t xml:space="preserve"> </w:t>
      </w:r>
      <w:r w:rsidRPr="00AB1395" w:rsidR="007620F8">
        <w:rPr>
          <w:snapToGrid/>
          <w:kern w:val="0"/>
          <w:szCs w:val="22"/>
        </w:rPr>
        <w:t>Commenters support the notion that existing Cox customers will receive a public benefit from the Transaction.</w:t>
      </w:r>
      <w:r>
        <w:rPr>
          <w:rStyle w:val="FootnoteReference"/>
          <w:snapToGrid/>
          <w:kern w:val="0"/>
          <w:sz w:val="22"/>
          <w:szCs w:val="22"/>
        </w:rPr>
        <w:footnoteReference w:id="89"/>
      </w:r>
    </w:p>
    <w:p w:rsidR="005A71B8" w:rsidP="00620EB6" w14:paraId="0E4C9066" w14:textId="01EE61A9">
      <w:pPr>
        <w:pStyle w:val="ParaNum"/>
        <w:tabs>
          <w:tab w:val="clear" w:pos="990"/>
        </w:tabs>
        <w:ind w:left="0"/>
        <w:rPr>
          <w:szCs w:val="22"/>
        </w:rPr>
      </w:pPr>
      <w:r w:rsidRPr="00AB1395">
        <w:rPr>
          <w:szCs w:val="22"/>
        </w:rPr>
        <w:t xml:space="preserve">The Commission has </w:t>
      </w:r>
      <w:r w:rsidR="000A4BCF">
        <w:rPr>
          <w:szCs w:val="22"/>
        </w:rPr>
        <w:t xml:space="preserve">stated </w:t>
      </w:r>
      <w:r w:rsidRPr="00AB1395">
        <w:rPr>
          <w:szCs w:val="22"/>
        </w:rPr>
        <w:t>that ensuring consumers receive new or additional services is an important public interest factor,</w:t>
      </w:r>
      <w:r>
        <w:rPr>
          <w:szCs w:val="22"/>
          <w:vertAlign w:val="superscript"/>
        </w:rPr>
        <w:footnoteReference w:id="90"/>
      </w:r>
      <w:r w:rsidRPr="00AB1395">
        <w:rPr>
          <w:szCs w:val="22"/>
        </w:rPr>
        <w:t xml:space="preserve"> and accelerating private sector deployment of advanced services is one of the aims of the Act.</w:t>
      </w:r>
      <w:r>
        <w:rPr>
          <w:szCs w:val="22"/>
          <w:vertAlign w:val="superscript"/>
        </w:rPr>
        <w:footnoteReference w:id="91"/>
      </w:r>
      <w:r w:rsidRPr="00AB1395">
        <w:rPr>
          <w:szCs w:val="22"/>
        </w:rPr>
        <w:t xml:space="preserve">  </w:t>
      </w:r>
      <w:r w:rsidRPr="00AB1395" w:rsidR="007620F8">
        <w:rPr>
          <w:szCs w:val="22"/>
        </w:rPr>
        <w:t xml:space="preserve">In light of </w:t>
      </w:r>
      <w:r w:rsidR="006D6177">
        <w:rPr>
          <w:szCs w:val="22"/>
        </w:rPr>
        <w:t xml:space="preserve">the </w:t>
      </w:r>
      <w:r w:rsidRPr="00AB1395" w:rsidR="007620F8">
        <w:rPr>
          <w:szCs w:val="22"/>
        </w:rPr>
        <w:t xml:space="preserve">Applicants </w:t>
      </w:r>
      <w:r w:rsidRPr="00AB1395" w:rsidR="00A52251">
        <w:rPr>
          <w:szCs w:val="22"/>
        </w:rPr>
        <w:t>being</w:t>
      </w:r>
      <w:r w:rsidRPr="00AB1395" w:rsidR="007620F8">
        <w:rPr>
          <w:szCs w:val="22"/>
        </w:rPr>
        <w:t xml:space="preserve"> prepared to accelerate facilities-based </w:t>
      </w:r>
      <w:r w:rsidRPr="00AB1395" w:rsidR="007620F8">
        <w:rPr>
          <w:szCs w:val="22"/>
        </w:rPr>
        <w:t xml:space="preserve">service offerings, </w:t>
      </w:r>
      <w:r w:rsidRPr="00AB1395" w:rsidR="00A52251">
        <w:rPr>
          <w:szCs w:val="22"/>
        </w:rPr>
        <w:t xml:space="preserve">along with providing </w:t>
      </w:r>
      <w:r w:rsidRPr="00AB1395" w:rsidR="007F5CBC">
        <w:rPr>
          <w:szCs w:val="22"/>
        </w:rPr>
        <w:t xml:space="preserve">Charter’s </w:t>
      </w:r>
      <w:r w:rsidRPr="00AB1395" w:rsidR="003516A7">
        <w:rPr>
          <w:szCs w:val="22"/>
        </w:rPr>
        <w:t xml:space="preserve">broadband, </w:t>
      </w:r>
      <w:r w:rsidRPr="00AB1395" w:rsidR="00A52251">
        <w:rPr>
          <w:szCs w:val="22"/>
        </w:rPr>
        <w:t>mobile</w:t>
      </w:r>
      <w:r w:rsidRPr="00AB1395" w:rsidR="003516A7">
        <w:rPr>
          <w:szCs w:val="22"/>
        </w:rPr>
        <w:t>,</w:t>
      </w:r>
      <w:r w:rsidRPr="00AB1395" w:rsidR="00A52251">
        <w:rPr>
          <w:szCs w:val="22"/>
        </w:rPr>
        <w:t xml:space="preserve"> and other offerings to customers in Cox’s service area, </w:t>
      </w:r>
      <w:r w:rsidRPr="00AB1395" w:rsidR="007620F8">
        <w:rPr>
          <w:szCs w:val="22"/>
        </w:rPr>
        <w:t xml:space="preserve">we find it likely that the </w:t>
      </w:r>
      <w:r w:rsidRPr="00AB1395" w:rsidR="000471A6">
        <w:rPr>
          <w:szCs w:val="22"/>
        </w:rPr>
        <w:t>T</w:t>
      </w:r>
      <w:r w:rsidRPr="00AB1395" w:rsidR="007620F8">
        <w:rPr>
          <w:szCs w:val="22"/>
        </w:rPr>
        <w:t>ransaction would result in public interest benefits</w:t>
      </w:r>
      <w:r w:rsidRPr="00AB1395" w:rsidR="00ED7856">
        <w:rPr>
          <w:szCs w:val="22"/>
        </w:rPr>
        <w:t xml:space="preserve"> to the customers in Cox’s service area</w:t>
      </w:r>
      <w:r w:rsidRPr="00AB1395" w:rsidR="007620F8">
        <w:rPr>
          <w:szCs w:val="22"/>
        </w:rPr>
        <w:t>.</w:t>
      </w:r>
    </w:p>
    <w:p w:rsidR="00C61616" w:rsidRPr="00106CA9" w:rsidP="00620EB6" w14:paraId="5E004E47" w14:textId="6BB92D60">
      <w:pPr>
        <w:pStyle w:val="ParaNum"/>
        <w:tabs>
          <w:tab w:val="clear" w:pos="990"/>
        </w:tabs>
        <w:ind w:left="0"/>
      </w:pPr>
      <w:r>
        <w:rPr>
          <w:i/>
          <w:iCs/>
        </w:rPr>
        <w:t>New Charter</w:t>
      </w:r>
      <w:r w:rsidRPr="00C61616" w:rsidR="00692E13">
        <w:rPr>
          <w:i/>
          <w:iCs/>
        </w:rPr>
        <w:t xml:space="preserve"> </w:t>
      </w:r>
      <w:r w:rsidRPr="00C61616" w:rsidR="008E1B1B">
        <w:rPr>
          <w:i/>
          <w:iCs/>
        </w:rPr>
        <w:t xml:space="preserve">Will Be a </w:t>
      </w:r>
      <w:r w:rsidRPr="00C61616" w:rsidR="00EF46EC">
        <w:rPr>
          <w:i/>
          <w:iCs/>
        </w:rPr>
        <w:t xml:space="preserve">Stronger </w:t>
      </w:r>
      <w:r w:rsidRPr="00C61616" w:rsidR="00180D93">
        <w:rPr>
          <w:i/>
          <w:iCs/>
        </w:rPr>
        <w:t>Competitor.</w:t>
      </w:r>
      <w:r w:rsidRPr="00C61616" w:rsidR="00D84FC5">
        <w:rPr>
          <w:snapToGrid/>
        </w:rPr>
        <w:t xml:space="preserve">  </w:t>
      </w:r>
      <w:r w:rsidRPr="00C61616" w:rsidR="00EA3D0B">
        <w:rPr>
          <w:snapToGrid/>
        </w:rPr>
        <w:t>A</w:t>
      </w:r>
      <w:r w:rsidRPr="00C61616" w:rsidR="0069622C">
        <w:rPr>
          <w:snapToGrid/>
        </w:rPr>
        <w:t xml:space="preserve">s a result of </w:t>
      </w:r>
      <w:r w:rsidRPr="00C61616" w:rsidR="00862CAE">
        <w:rPr>
          <w:snapToGrid/>
        </w:rPr>
        <w:t>scale, synergies, and operating</w:t>
      </w:r>
      <w:r w:rsidRPr="005A71B8" w:rsidR="00862CAE">
        <w:t xml:space="preserve"> </w:t>
      </w:r>
      <w:r w:rsidRPr="00C61616" w:rsidR="00862CAE">
        <w:rPr>
          <w:snapToGrid/>
        </w:rPr>
        <w:t xml:space="preserve">efficiencies </w:t>
      </w:r>
      <w:r w:rsidRPr="00C61616" w:rsidR="00BE424B">
        <w:rPr>
          <w:snapToGrid/>
        </w:rPr>
        <w:t xml:space="preserve">stemming from </w:t>
      </w:r>
      <w:r w:rsidRPr="00C61616" w:rsidR="0069622C">
        <w:rPr>
          <w:snapToGrid/>
        </w:rPr>
        <w:t>the Transaction,</w:t>
      </w:r>
      <w:r w:rsidRPr="00C61616" w:rsidR="00EA3D0B">
        <w:rPr>
          <w:snapToGrid/>
        </w:rPr>
        <w:t xml:space="preserve"> </w:t>
      </w:r>
      <w:r w:rsidRPr="00C61616" w:rsidR="00C825E4">
        <w:rPr>
          <w:snapToGrid/>
        </w:rPr>
        <w:t>Applicants assert that</w:t>
      </w:r>
      <w:r w:rsidRPr="00C61616" w:rsidR="00B823B0">
        <w:rPr>
          <w:snapToGrid/>
        </w:rPr>
        <w:t xml:space="preserve"> </w:t>
      </w:r>
      <w:r w:rsidR="003A69B7">
        <w:rPr>
          <w:snapToGrid/>
        </w:rPr>
        <w:t>New Charter</w:t>
      </w:r>
      <w:r w:rsidRPr="00C61616" w:rsidR="00F67A88">
        <w:rPr>
          <w:snapToGrid/>
        </w:rPr>
        <w:t xml:space="preserve"> </w:t>
      </w:r>
      <w:r w:rsidRPr="00C61616" w:rsidR="002856E2">
        <w:rPr>
          <w:snapToGrid/>
        </w:rPr>
        <w:t xml:space="preserve">will </w:t>
      </w:r>
      <w:r w:rsidRPr="005A71B8" w:rsidR="001A1ED5">
        <w:t xml:space="preserve">become a stronger competitor </w:t>
      </w:r>
      <w:r w:rsidRPr="005A71B8" w:rsidR="000379F2">
        <w:t xml:space="preserve">in </w:t>
      </w:r>
      <w:r w:rsidRPr="005A71B8" w:rsidR="001A1ED5">
        <w:t>the</w:t>
      </w:r>
      <w:r w:rsidRPr="005A71B8" w:rsidR="000379F2">
        <w:t xml:space="preserve"> broadband, mobile, video,</w:t>
      </w:r>
      <w:r w:rsidRPr="005A71B8" w:rsidR="00137477">
        <w:t xml:space="preserve"> and </w:t>
      </w:r>
      <w:r w:rsidRPr="005A71B8" w:rsidR="000379F2">
        <w:t>enterprise services</w:t>
      </w:r>
      <w:r w:rsidRPr="005A71B8" w:rsidR="001613E9">
        <w:t xml:space="preserve"> market</w:t>
      </w:r>
      <w:r w:rsidRPr="005A71B8" w:rsidR="00DB6375">
        <w:t>places</w:t>
      </w:r>
      <w:r w:rsidRPr="005A71B8" w:rsidR="000379F2">
        <w:t>.</w:t>
      </w:r>
      <w:r>
        <w:rPr>
          <w:rStyle w:val="FootnoteReference"/>
          <w:sz w:val="22"/>
          <w:szCs w:val="22"/>
        </w:rPr>
        <w:footnoteReference w:id="92"/>
      </w:r>
      <w:r w:rsidRPr="005A71B8" w:rsidR="009E493E">
        <w:t xml:space="preserve">  </w:t>
      </w:r>
      <w:r w:rsidR="006D6177">
        <w:t xml:space="preserve">The </w:t>
      </w:r>
      <w:r w:rsidRPr="005A71B8" w:rsidR="00F63EB2">
        <w:t>A</w:t>
      </w:r>
      <w:r w:rsidRPr="005A71B8" w:rsidR="00750018">
        <w:t>pplicants state that</w:t>
      </w:r>
      <w:r w:rsidRPr="005A71B8" w:rsidR="00A00433">
        <w:t xml:space="preserve"> </w:t>
      </w:r>
      <w:r w:rsidRPr="005A71B8" w:rsidR="00ED3B1E">
        <w:t>“</w:t>
      </w:r>
      <w:r w:rsidRPr="00C61616" w:rsidR="00ED3B1E">
        <w:rPr>
          <w:snapToGrid/>
        </w:rPr>
        <w:t>efficiencies</w:t>
      </w:r>
      <w:r w:rsidRPr="00C61616" w:rsidR="00762076">
        <w:rPr>
          <w:snapToGrid/>
        </w:rPr>
        <w:t xml:space="preserve"> </w:t>
      </w:r>
      <w:r w:rsidRPr="00C61616" w:rsidR="00ED3B1E">
        <w:rPr>
          <w:snapToGrid/>
        </w:rPr>
        <w:t>will reduce the combined company’s costs to provide broadband services, which will put</w:t>
      </w:r>
      <w:r w:rsidRPr="00C61616" w:rsidR="00762076">
        <w:rPr>
          <w:snapToGrid/>
        </w:rPr>
        <w:t xml:space="preserve"> </w:t>
      </w:r>
      <w:r w:rsidRPr="00C61616" w:rsidR="00ED3B1E">
        <w:rPr>
          <w:snapToGrid/>
        </w:rPr>
        <w:t>downward pressure on prices and enable the combined company to offer higher quality services</w:t>
      </w:r>
      <w:r w:rsidRPr="00C61616" w:rsidR="00762076">
        <w:rPr>
          <w:snapToGrid/>
        </w:rPr>
        <w:t xml:space="preserve"> </w:t>
      </w:r>
      <w:r w:rsidRPr="00C61616" w:rsidR="00ED3B1E">
        <w:rPr>
          <w:snapToGrid/>
        </w:rPr>
        <w:t>at low price points.</w:t>
      </w:r>
      <w:r w:rsidRPr="00C61616" w:rsidR="00762076">
        <w:rPr>
          <w:snapToGrid/>
        </w:rPr>
        <w:t>”</w:t>
      </w:r>
      <w:r>
        <w:rPr>
          <w:rStyle w:val="FootnoteReference"/>
          <w:snapToGrid/>
          <w:kern w:val="0"/>
          <w:sz w:val="22"/>
          <w:szCs w:val="22"/>
        </w:rPr>
        <w:footnoteReference w:id="93"/>
      </w:r>
      <w:r w:rsidRPr="00C61616" w:rsidR="000948E0">
        <w:rPr>
          <w:snapToGrid/>
        </w:rPr>
        <w:t xml:space="preserve">  </w:t>
      </w:r>
      <w:r w:rsidR="003A69B7">
        <w:rPr>
          <w:snapToGrid/>
        </w:rPr>
        <w:t>New Charter</w:t>
      </w:r>
      <w:r w:rsidRPr="00C61616" w:rsidR="00C80A18">
        <w:rPr>
          <w:snapToGrid/>
        </w:rPr>
        <w:t xml:space="preserve"> will </w:t>
      </w:r>
      <w:r w:rsidRPr="00C61616" w:rsidR="007A1249">
        <w:rPr>
          <w:snapToGrid/>
        </w:rPr>
        <w:t xml:space="preserve">also </w:t>
      </w:r>
      <w:r w:rsidRPr="00C61616" w:rsidR="00C80A18">
        <w:rPr>
          <w:snapToGrid/>
        </w:rPr>
        <w:t xml:space="preserve">expand the reach of </w:t>
      </w:r>
      <w:r w:rsidRPr="00C61616" w:rsidR="004F1A06">
        <w:rPr>
          <w:snapToGrid/>
        </w:rPr>
        <w:t xml:space="preserve">Charter’s Spectrum Mobile, </w:t>
      </w:r>
      <w:r w:rsidRPr="00C61616" w:rsidR="00C80A18">
        <w:rPr>
          <w:snapToGrid/>
        </w:rPr>
        <w:t xml:space="preserve">a </w:t>
      </w:r>
      <w:r w:rsidR="00FD5DCD">
        <w:rPr>
          <w:snapToGrid/>
        </w:rPr>
        <w:t xml:space="preserve">competitive </w:t>
      </w:r>
      <w:r w:rsidRPr="00C61616" w:rsidR="00C80A18">
        <w:rPr>
          <w:snapToGrid/>
        </w:rPr>
        <w:t>mobile wireless product.</w:t>
      </w:r>
      <w:r>
        <w:rPr>
          <w:rStyle w:val="FootnoteReference"/>
          <w:snapToGrid/>
          <w:kern w:val="0"/>
          <w:sz w:val="22"/>
          <w:szCs w:val="22"/>
        </w:rPr>
        <w:footnoteReference w:id="94"/>
      </w:r>
      <w:r w:rsidRPr="00C61616" w:rsidR="00C80A18">
        <w:rPr>
          <w:snapToGrid/>
        </w:rPr>
        <w:t xml:space="preserve"> </w:t>
      </w:r>
      <w:r w:rsidRPr="00C61616" w:rsidR="00CB6E6A">
        <w:rPr>
          <w:snapToGrid/>
        </w:rPr>
        <w:t xml:space="preserve"> </w:t>
      </w:r>
      <w:r w:rsidRPr="00C61616" w:rsidR="00DD47E3">
        <w:rPr>
          <w:snapToGrid/>
        </w:rPr>
        <w:t>In t</w:t>
      </w:r>
      <w:r w:rsidRPr="00C61616" w:rsidR="00C21D8D">
        <w:rPr>
          <w:snapToGrid/>
        </w:rPr>
        <w:t xml:space="preserve">he </w:t>
      </w:r>
      <w:r w:rsidRPr="00C61616" w:rsidR="004D2303">
        <w:rPr>
          <w:snapToGrid/>
        </w:rPr>
        <w:t>video ma</w:t>
      </w:r>
      <w:r w:rsidRPr="00C61616" w:rsidR="000D030C">
        <w:rPr>
          <w:snapToGrid/>
        </w:rPr>
        <w:t>rket</w:t>
      </w:r>
      <w:r w:rsidRPr="00C61616" w:rsidR="00DD47E3">
        <w:rPr>
          <w:snapToGrid/>
        </w:rPr>
        <w:t xml:space="preserve">, </w:t>
      </w:r>
      <w:r w:rsidR="00685BDC">
        <w:rPr>
          <w:snapToGrid/>
        </w:rPr>
        <w:t xml:space="preserve">in former </w:t>
      </w:r>
      <w:r w:rsidRPr="00C61616" w:rsidR="00DD47E3">
        <w:rPr>
          <w:snapToGrid/>
        </w:rPr>
        <w:t>Cox</w:t>
      </w:r>
      <w:r w:rsidRPr="00C61616" w:rsidR="000D030C">
        <w:rPr>
          <w:snapToGrid/>
        </w:rPr>
        <w:t xml:space="preserve"> </w:t>
      </w:r>
      <w:r w:rsidR="00685BDC">
        <w:rPr>
          <w:snapToGrid/>
        </w:rPr>
        <w:t xml:space="preserve">areas, New Charter </w:t>
      </w:r>
      <w:r w:rsidR="006D6177">
        <w:rPr>
          <w:snapToGrid/>
        </w:rPr>
        <w:t xml:space="preserve">will be able to </w:t>
      </w:r>
      <w:r w:rsidRPr="00C61616" w:rsidR="00C21D8D">
        <w:rPr>
          <w:snapToGrid/>
        </w:rPr>
        <w:t xml:space="preserve">take advantage </w:t>
      </w:r>
      <w:r w:rsidR="002D659C">
        <w:rPr>
          <w:snapToGrid/>
        </w:rPr>
        <w:t xml:space="preserve">of </w:t>
      </w:r>
      <w:r w:rsidRPr="00C61616" w:rsidR="000C16AB">
        <w:rPr>
          <w:snapToGrid/>
        </w:rPr>
        <w:t xml:space="preserve">Charter’s </w:t>
      </w:r>
      <w:r w:rsidRPr="00C61616" w:rsidR="002435A0">
        <w:rPr>
          <w:snapToGrid/>
        </w:rPr>
        <w:t xml:space="preserve">existing </w:t>
      </w:r>
      <w:r w:rsidRPr="00C61616" w:rsidR="000C16AB">
        <w:rPr>
          <w:snapToGrid/>
        </w:rPr>
        <w:t>partnerships with content providers,</w:t>
      </w:r>
      <w:r>
        <w:rPr>
          <w:rStyle w:val="FootnoteReference"/>
          <w:snapToGrid/>
          <w:kern w:val="0"/>
          <w:sz w:val="22"/>
          <w:szCs w:val="22"/>
        </w:rPr>
        <w:footnoteReference w:id="95"/>
      </w:r>
      <w:r w:rsidRPr="00C61616" w:rsidR="000C16AB">
        <w:rPr>
          <w:snapToGrid/>
        </w:rPr>
        <w:t xml:space="preserve"> and</w:t>
      </w:r>
      <w:r w:rsidRPr="00C61616" w:rsidR="00762129">
        <w:rPr>
          <w:snapToGrid/>
        </w:rPr>
        <w:t>, in the commercial enterprise market,</w:t>
      </w:r>
      <w:r w:rsidRPr="00C61616" w:rsidR="00365857">
        <w:rPr>
          <w:snapToGrid/>
        </w:rPr>
        <w:t xml:space="preserve"> </w:t>
      </w:r>
      <w:r w:rsidR="003C7CF2">
        <w:rPr>
          <w:snapToGrid/>
        </w:rPr>
        <w:t>New Charter</w:t>
      </w:r>
      <w:r w:rsidRPr="00C61616" w:rsidR="00365857">
        <w:rPr>
          <w:snapToGrid/>
        </w:rPr>
        <w:t xml:space="preserve"> </w:t>
      </w:r>
      <w:r w:rsidR="00685BDC">
        <w:rPr>
          <w:snapToGrid/>
        </w:rPr>
        <w:t xml:space="preserve">will be able to </w:t>
      </w:r>
      <w:r w:rsidRPr="00C61616" w:rsidR="00822751">
        <w:rPr>
          <w:snapToGrid/>
        </w:rPr>
        <w:t>reduce the cost of providing service and better customize product offerings</w:t>
      </w:r>
      <w:r w:rsidRPr="00C61616" w:rsidR="00983D9D">
        <w:rPr>
          <w:snapToGrid/>
        </w:rPr>
        <w:t xml:space="preserve"> for enterprise customers</w:t>
      </w:r>
      <w:r w:rsidRPr="00C61616" w:rsidR="00F77A65">
        <w:rPr>
          <w:snapToGrid/>
        </w:rPr>
        <w:t>.</w:t>
      </w:r>
      <w:r>
        <w:rPr>
          <w:rStyle w:val="FootnoteReference"/>
          <w:snapToGrid/>
          <w:kern w:val="0"/>
          <w:sz w:val="22"/>
          <w:szCs w:val="22"/>
        </w:rPr>
        <w:footnoteReference w:id="96"/>
      </w:r>
      <w:r w:rsidRPr="005A71B8" w:rsidR="00493EAF">
        <w:t xml:space="preserve"> </w:t>
      </w:r>
      <w:r w:rsidR="004A160E">
        <w:t xml:space="preserve"> </w:t>
      </w:r>
      <w:r w:rsidR="00040A42">
        <w:t xml:space="preserve">Petitioners argue that </w:t>
      </w:r>
      <w:r w:rsidR="00685BDC">
        <w:t xml:space="preserve">the </w:t>
      </w:r>
      <w:r w:rsidR="00040A42">
        <w:t xml:space="preserve">Applicants have not adequately demonstrated potential public interest benefits through synergies resulting from the </w:t>
      </w:r>
      <w:r w:rsidR="00585352">
        <w:t>T</w:t>
      </w:r>
      <w:r w:rsidR="00040A42">
        <w:t>ransaction or benefits to consumers.</w:t>
      </w:r>
      <w:r>
        <w:rPr>
          <w:rStyle w:val="FootnoteReference"/>
          <w:szCs w:val="22"/>
        </w:rPr>
        <w:footnoteReference w:id="97"/>
      </w:r>
      <w:r w:rsidR="00040A42">
        <w:t xml:space="preserve">  </w:t>
      </w:r>
      <w:r w:rsidR="00685BDC">
        <w:t>We find that t</w:t>
      </w:r>
      <w:r w:rsidR="00505ACF">
        <w:t xml:space="preserve">he </w:t>
      </w:r>
      <w:r w:rsidR="00E15180">
        <w:t xml:space="preserve">cost savings and </w:t>
      </w:r>
      <w:r w:rsidR="00B033FA">
        <w:t>e</w:t>
      </w:r>
      <w:r w:rsidR="00152DE1">
        <w:t>ffi</w:t>
      </w:r>
      <w:r w:rsidR="008E13A9">
        <w:t>c</w:t>
      </w:r>
      <w:r w:rsidR="00152DE1">
        <w:t>iencies</w:t>
      </w:r>
      <w:r w:rsidR="00E15180">
        <w:t xml:space="preserve"> a</w:t>
      </w:r>
      <w:r w:rsidR="00E81270">
        <w:t>r</w:t>
      </w:r>
      <w:r w:rsidR="00E15180">
        <w:t>e based</w:t>
      </w:r>
      <w:r w:rsidR="00531464">
        <w:t xml:space="preserve"> </w:t>
      </w:r>
      <w:r w:rsidR="00E15180">
        <w:t xml:space="preserve">on reasonable assumptions and estimates </w:t>
      </w:r>
      <w:r w:rsidR="00787EDF">
        <w:t>that are based on the</w:t>
      </w:r>
      <w:r w:rsidR="00531464">
        <w:t xml:space="preserve"> </w:t>
      </w:r>
      <w:r w:rsidR="00E15180">
        <w:t xml:space="preserve">internal knowledge </w:t>
      </w:r>
      <w:r w:rsidR="00E03379">
        <w:t xml:space="preserve">and analyses of the </w:t>
      </w:r>
      <w:r w:rsidR="00531464">
        <w:t>companies</w:t>
      </w:r>
      <w:r w:rsidR="009420DF">
        <w:t>,</w:t>
      </w:r>
      <w:r>
        <w:rPr>
          <w:rStyle w:val="FootnoteReference"/>
          <w:szCs w:val="22"/>
        </w:rPr>
        <w:footnoteReference w:id="98"/>
      </w:r>
      <w:r w:rsidR="00531464">
        <w:t xml:space="preserve"> </w:t>
      </w:r>
      <w:r w:rsidR="008E13A9">
        <w:t xml:space="preserve">and we </w:t>
      </w:r>
      <w:r w:rsidR="00B509AA">
        <w:t>agree with t</w:t>
      </w:r>
      <w:r w:rsidRPr="005A71B8" w:rsidR="008C7719">
        <w:t xml:space="preserve">he majority of the </w:t>
      </w:r>
      <w:r w:rsidR="00685BDC">
        <w:rPr>
          <w:snapToGrid/>
        </w:rPr>
        <w:t>c</w:t>
      </w:r>
      <w:r w:rsidRPr="00C61616" w:rsidR="009176DB">
        <w:rPr>
          <w:snapToGrid/>
        </w:rPr>
        <w:t>ommenters that the Transaction will yield a stronger competitor</w:t>
      </w:r>
      <w:r w:rsidR="00B613E2">
        <w:rPr>
          <w:snapToGrid/>
        </w:rPr>
        <w:t xml:space="preserve"> that will benefit consumers</w:t>
      </w:r>
      <w:r w:rsidRPr="00C61616" w:rsidR="009176DB">
        <w:rPr>
          <w:snapToGrid/>
        </w:rPr>
        <w:t>.</w:t>
      </w:r>
      <w:r>
        <w:rPr>
          <w:rStyle w:val="FootnoteReference"/>
          <w:snapToGrid/>
          <w:kern w:val="0"/>
          <w:sz w:val="22"/>
          <w:szCs w:val="22"/>
        </w:rPr>
        <w:footnoteReference w:id="99"/>
      </w:r>
    </w:p>
    <w:p w:rsidR="001345CD" w:rsidRPr="00C77F5C" w:rsidP="007E21EF" w14:paraId="30554861" w14:textId="50AA3DAD">
      <w:pPr>
        <w:pStyle w:val="ParaNum"/>
        <w:tabs>
          <w:tab w:val="clear" w:pos="990"/>
        </w:tabs>
        <w:ind w:left="0"/>
      </w:pPr>
      <w:r w:rsidRPr="00C77F5C">
        <w:rPr>
          <w:i/>
        </w:rPr>
        <w:t xml:space="preserve">Labor Market.  </w:t>
      </w:r>
      <w:r w:rsidRPr="00C77F5C">
        <w:t>We recognize the Applicants</w:t>
      </w:r>
      <w:r w:rsidRPr="00C77F5C" w:rsidR="009F5859">
        <w:t>’</w:t>
      </w:r>
      <w:r w:rsidRPr="00C77F5C">
        <w:t xml:space="preserve"> commitment to American job creation</w:t>
      </w:r>
      <w:r w:rsidRPr="00C77F5C" w:rsidR="00685BDC">
        <w:t>,</w:t>
      </w:r>
      <w:r w:rsidRPr="00C77F5C">
        <w:t xml:space="preserve"> </w:t>
      </w:r>
      <w:r w:rsidRPr="00C77F5C" w:rsidR="009F5859">
        <w:t>with</w:t>
      </w:r>
      <w:r w:rsidRPr="00C77F5C">
        <w:t xml:space="preserve"> New Charter </w:t>
      </w:r>
      <w:r w:rsidRPr="00C77F5C" w:rsidR="009F5859">
        <w:t xml:space="preserve">affirming that it </w:t>
      </w:r>
      <w:r w:rsidRPr="00C77F5C">
        <w:t>will onshore “100% of its sales and customer service employee workforce.”</w:t>
      </w:r>
      <w:r>
        <w:rPr>
          <w:rStyle w:val="FootnoteReference"/>
          <w:snapToGrid/>
          <w:kern w:val="0"/>
          <w:sz w:val="22"/>
          <w:szCs w:val="22"/>
        </w:rPr>
        <w:footnoteReference w:id="100"/>
      </w:r>
      <w:r w:rsidRPr="00C77F5C" w:rsidR="001841D9">
        <w:t xml:space="preserve">  </w:t>
      </w:r>
      <w:r w:rsidR="00174F65">
        <w:t xml:space="preserve">Charter states that </w:t>
      </w:r>
      <w:r w:rsidRPr="00D01CDA" w:rsidR="00B017F5">
        <w:t xml:space="preserve">Cox currently </w:t>
      </w:r>
      <w:r w:rsidRPr="00D01CDA" w:rsidR="001902C9">
        <w:t>sends</w:t>
      </w:r>
      <w:r w:rsidRPr="00D01CDA" w:rsidR="009E0E51">
        <w:t xml:space="preserve"> customer service calls </w:t>
      </w:r>
      <w:r w:rsidRPr="00D01CDA" w:rsidR="002E1F7E">
        <w:t>offshore</w:t>
      </w:r>
      <w:r w:rsidRPr="00D01CDA" w:rsidR="00206744">
        <w:t>.</w:t>
      </w:r>
      <w:r>
        <w:rPr>
          <w:rStyle w:val="FootnoteReference"/>
        </w:rPr>
        <w:footnoteReference w:id="101"/>
      </w:r>
      <w:r w:rsidRPr="00C77F5C" w:rsidR="00197FBF">
        <w:t xml:space="preserve">  </w:t>
      </w:r>
      <w:r w:rsidRPr="00D01CDA" w:rsidR="00FA484B">
        <w:t>To address this concern</w:t>
      </w:r>
      <w:r w:rsidRPr="00D01CDA" w:rsidR="007F0DAF">
        <w:t>,</w:t>
      </w:r>
      <w:r w:rsidRPr="00D01CDA" w:rsidR="00921C4F">
        <w:t xml:space="preserve"> and affirm its commitment to onshoring 100% of its sales and customer service workforce</w:t>
      </w:r>
      <w:r w:rsidRPr="00D01CDA" w:rsidR="00FA484B">
        <w:t xml:space="preserve">, </w:t>
      </w:r>
      <w:r w:rsidRPr="00D01CDA" w:rsidR="001B543B">
        <w:t>Charter</w:t>
      </w:r>
      <w:r w:rsidRPr="00C77F5C" w:rsidR="00197FBF">
        <w:t xml:space="preserve"> </w:t>
      </w:r>
      <w:r w:rsidRPr="00C77F5C" w:rsidR="002722B5">
        <w:t>commit</w:t>
      </w:r>
      <w:r w:rsidRPr="00D01CDA" w:rsidR="001B543B">
        <w:t>s</w:t>
      </w:r>
      <w:r w:rsidRPr="00C77F5C" w:rsidR="00197FBF">
        <w:t xml:space="preserve"> </w:t>
      </w:r>
      <w:r w:rsidRPr="00D01CDA" w:rsidR="001B543B">
        <w:t>to the onshoring of jobs that Cox currently handles offshore</w:t>
      </w:r>
      <w:r w:rsidRPr="00D01CDA" w:rsidR="003710FC">
        <w:t xml:space="preserve"> within 18 months of closing.</w:t>
      </w:r>
      <w:r>
        <w:rPr>
          <w:rStyle w:val="FootnoteReference"/>
        </w:rPr>
        <w:footnoteReference w:id="102"/>
      </w:r>
      <w:r w:rsidRPr="00D01CDA" w:rsidR="0056125F">
        <w:t xml:space="preserve">  </w:t>
      </w:r>
      <w:r w:rsidRPr="00D01CDA" w:rsidR="00666A3E">
        <w:t xml:space="preserve">We accept Charter’s commitment as firm and </w:t>
      </w:r>
      <w:r w:rsidRPr="00D01CDA" w:rsidR="00AC4C9A">
        <w:t>definite</w:t>
      </w:r>
      <w:r w:rsidRPr="00D01CDA" w:rsidR="006F2D97">
        <w:t xml:space="preserve">, and expect that such a commitment </w:t>
      </w:r>
      <w:r w:rsidR="00E15FF1">
        <w:t xml:space="preserve">and investment in American workers </w:t>
      </w:r>
      <w:r w:rsidRPr="00D01CDA" w:rsidR="006F2D97">
        <w:t xml:space="preserve">will </w:t>
      </w:r>
      <w:r w:rsidRPr="00D01CDA" w:rsidR="003066B0">
        <w:t xml:space="preserve">strengthen </w:t>
      </w:r>
      <w:r w:rsidRPr="00D01CDA" w:rsidR="00393523">
        <w:t>New Charter</w:t>
      </w:r>
      <w:r w:rsidR="00D00B3B">
        <w:t>,</w:t>
      </w:r>
      <w:r w:rsidRPr="00D01CDA" w:rsidR="009E6AFF">
        <w:t xml:space="preserve"> </w:t>
      </w:r>
      <w:r w:rsidR="00E15FF1">
        <w:t>create</w:t>
      </w:r>
      <w:r w:rsidRPr="00D01CDA" w:rsidR="00E006CA">
        <w:t xml:space="preserve"> additional </w:t>
      </w:r>
      <w:r w:rsidRPr="00D01CDA" w:rsidR="009E6AFF">
        <w:t>domestic job</w:t>
      </w:r>
      <w:r w:rsidRPr="00D01CDA" w:rsidR="008E04F4">
        <w:t>s</w:t>
      </w:r>
      <w:r w:rsidR="00D00B3B">
        <w:t xml:space="preserve">, </w:t>
      </w:r>
      <w:r w:rsidR="00746AD9">
        <w:t>and increase customer satisfaction</w:t>
      </w:r>
      <w:r w:rsidRPr="00D01CDA" w:rsidR="00D66E74">
        <w:t>.</w:t>
      </w:r>
    </w:p>
    <w:p w:rsidR="00405306" w:rsidRPr="00D01CDA" w:rsidP="00620EB6" w14:paraId="6ADF8074" w14:textId="225EDDC6">
      <w:pPr>
        <w:pStyle w:val="ParaNum"/>
        <w:tabs>
          <w:tab w:val="clear" w:pos="990"/>
        </w:tabs>
        <w:ind w:left="0"/>
      </w:pPr>
      <w:r w:rsidRPr="00D01CDA">
        <w:t>We also recognize Charter’s commitment to equal opportunity employment and nondiscrimination</w:t>
      </w:r>
      <w:r w:rsidRPr="00D01CDA" w:rsidR="0043237E">
        <w:t>.</w:t>
      </w:r>
      <w:r>
        <w:rPr>
          <w:rStyle w:val="FootnoteReference"/>
        </w:rPr>
        <w:footnoteReference w:id="103"/>
      </w:r>
      <w:r w:rsidRPr="00D01CDA">
        <w:t xml:space="preserve"> </w:t>
      </w:r>
      <w:r w:rsidRPr="00D01CDA" w:rsidR="00DE716F">
        <w:t xml:space="preserve"> </w:t>
      </w:r>
      <w:r w:rsidRPr="00D01CDA" w:rsidR="003C670F">
        <w:t xml:space="preserve">Charter </w:t>
      </w:r>
      <w:r w:rsidRPr="00D01CDA" w:rsidR="007F0DAF">
        <w:t xml:space="preserve">states that it </w:t>
      </w:r>
      <w:r w:rsidR="00085D09">
        <w:t>modified its practices</w:t>
      </w:r>
      <w:r w:rsidRPr="00D01CDA" w:rsidR="001F4ABC">
        <w:t xml:space="preserve"> and is committed to a work environment free from invidious discrimination, </w:t>
      </w:r>
      <w:r w:rsidRPr="00D01CDA" w:rsidR="00A20231">
        <w:t xml:space="preserve">in both name and substance, </w:t>
      </w:r>
      <w:r w:rsidRPr="00D01CDA" w:rsidR="003C670F">
        <w:t>including</w:t>
      </w:r>
      <w:r w:rsidRPr="00D01CDA" w:rsidR="003F35C3">
        <w:t>, among other things,</w:t>
      </w:r>
      <w:r w:rsidRPr="00D01CDA" w:rsidR="003C670F">
        <w:t xml:space="preserve"> its hiring</w:t>
      </w:r>
      <w:r w:rsidRPr="00D01CDA" w:rsidR="007D63C8">
        <w:t xml:space="preserve"> and promoting practices</w:t>
      </w:r>
      <w:r w:rsidRPr="00D01CDA" w:rsidR="003C670F">
        <w:t xml:space="preserve">, career development </w:t>
      </w:r>
      <w:r w:rsidRPr="00D01CDA" w:rsidR="006F1266">
        <w:t>and training</w:t>
      </w:r>
      <w:r w:rsidRPr="00D01CDA" w:rsidR="003C670F">
        <w:t xml:space="preserve">, </w:t>
      </w:r>
      <w:r w:rsidRPr="00D01CDA" w:rsidR="008E56E4">
        <w:t xml:space="preserve">supplier </w:t>
      </w:r>
      <w:r w:rsidRPr="00D01CDA" w:rsidR="004B0197">
        <w:t>selection</w:t>
      </w:r>
      <w:r w:rsidRPr="00D01CDA" w:rsidR="003F35C3">
        <w:t xml:space="preserve">, </w:t>
      </w:r>
      <w:r w:rsidRPr="00D01CDA" w:rsidR="003C670F">
        <w:t>and public and internal messaging</w:t>
      </w:r>
      <w:r w:rsidRPr="00D01CDA" w:rsidR="00936C19">
        <w:t>.</w:t>
      </w:r>
      <w:r>
        <w:rPr>
          <w:rStyle w:val="FootnoteReference"/>
        </w:rPr>
        <w:footnoteReference w:id="104"/>
      </w:r>
      <w:r w:rsidRPr="00D01CDA" w:rsidR="00E325D0">
        <w:t xml:space="preserve">  </w:t>
      </w:r>
      <w:r w:rsidRPr="00D01CDA" w:rsidR="00E325D0">
        <w:rPr>
          <w:iCs/>
        </w:rPr>
        <w:t>We accept Charter’s commitment</w:t>
      </w:r>
      <w:r w:rsidRPr="00D01CDA" w:rsidR="00AD6407">
        <w:rPr>
          <w:iCs/>
        </w:rPr>
        <w:t xml:space="preserve"> </w:t>
      </w:r>
      <w:r w:rsidRPr="00D01CDA" w:rsidR="00AD6407">
        <w:t>as firm and definite, and expect that these changes will prevent DEI discrimination in the post-transaction company, as consistent with the law and the public interest</w:t>
      </w:r>
      <w:r w:rsidRPr="00D01CDA" w:rsidR="00E325D0">
        <w:rPr>
          <w:iCs/>
        </w:rPr>
        <w:t>.</w:t>
      </w:r>
      <w:r w:rsidRPr="00D01CDA" w:rsidR="00E44604">
        <w:rPr>
          <w:iCs/>
        </w:rPr>
        <w:t xml:space="preserve"> </w:t>
      </w:r>
    </w:p>
    <w:p w:rsidR="00A767B7" w:rsidRPr="00263552" w:rsidP="00263552" w14:paraId="39D75641" w14:textId="32271968">
      <w:pPr>
        <w:pStyle w:val="ParaNum"/>
        <w:tabs>
          <w:tab w:val="clear" w:pos="990"/>
        </w:tabs>
        <w:ind w:left="0"/>
      </w:pPr>
      <w:r w:rsidRPr="00263552">
        <w:rPr>
          <w:snapToGrid/>
          <w:kern w:val="0"/>
          <w:szCs w:val="22"/>
        </w:rPr>
        <w:t xml:space="preserve">The Commission has </w:t>
      </w:r>
      <w:r w:rsidRPr="00263552" w:rsidR="00105603">
        <w:rPr>
          <w:snapToGrid/>
          <w:kern w:val="0"/>
          <w:szCs w:val="22"/>
        </w:rPr>
        <w:t>acknowledged</w:t>
      </w:r>
      <w:r w:rsidRPr="00263552">
        <w:rPr>
          <w:snapToGrid/>
          <w:kern w:val="0"/>
          <w:szCs w:val="22"/>
        </w:rPr>
        <w:t xml:space="preserve"> that a transaction enabling a combined company to emerge as a stronger competitor in the marketplace is a transaction-specific benefit to consumers</w:t>
      </w:r>
      <w:r w:rsidRPr="00263552">
        <w:rPr>
          <w:szCs w:val="22"/>
        </w:rPr>
        <w:t>.</w:t>
      </w:r>
      <w:r>
        <w:rPr>
          <w:rStyle w:val="FootnoteReference"/>
          <w:sz w:val="22"/>
          <w:szCs w:val="22"/>
        </w:rPr>
        <w:footnoteReference w:id="105"/>
      </w:r>
      <w:r w:rsidRPr="00263552">
        <w:rPr>
          <w:szCs w:val="22"/>
        </w:rPr>
        <w:t xml:space="preserve"> </w:t>
      </w:r>
      <w:r w:rsidRPr="00263552">
        <w:rPr>
          <w:snapToGrid/>
          <w:kern w:val="0"/>
          <w:szCs w:val="22"/>
        </w:rPr>
        <w:t xml:space="preserve"> </w:t>
      </w:r>
      <w:r w:rsidRPr="00263552" w:rsidR="00E43438">
        <w:rPr>
          <w:rFonts w:eastAsia="Calibri"/>
          <w:snapToGrid/>
          <w:kern w:val="0"/>
          <w:szCs w:val="22"/>
        </w:rPr>
        <w:t xml:space="preserve">Overall, </w:t>
      </w:r>
      <w:r w:rsidRPr="00263552" w:rsidR="004240CC">
        <w:rPr>
          <w:rFonts w:eastAsia="Calibri"/>
          <w:snapToGrid/>
          <w:kern w:val="0"/>
          <w:szCs w:val="22"/>
        </w:rPr>
        <w:t xml:space="preserve">based on the record before us, </w:t>
      </w:r>
      <w:r w:rsidRPr="00263552" w:rsidR="00E43438">
        <w:rPr>
          <w:rFonts w:eastAsia="Calibri"/>
          <w:snapToGrid/>
          <w:kern w:val="0"/>
          <w:szCs w:val="22"/>
        </w:rPr>
        <w:t xml:space="preserve">we find that the Transaction </w:t>
      </w:r>
      <w:r w:rsidRPr="00263552" w:rsidR="00985469">
        <w:rPr>
          <w:rFonts w:eastAsia="Calibri"/>
          <w:snapToGrid/>
          <w:kern w:val="0"/>
          <w:szCs w:val="22"/>
        </w:rPr>
        <w:t>is likely to</w:t>
      </w:r>
      <w:r w:rsidRPr="00263552" w:rsidR="00E43438">
        <w:rPr>
          <w:rFonts w:eastAsia="Calibri"/>
          <w:snapToGrid/>
          <w:kern w:val="0"/>
          <w:szCs w:val="22"/>
        </w:rPr>
        <w:t xml:space="preserve"> result in public interest benefits and therefore </w:t>
      </w:r>
      <w:r w:rsidRPr="00263552" w:rsidR="00611670">
        <w:rPr>
          <w:rFonts w:eastAsia="Calibri"/>
          <w:snapToGrid/>
          <w:kern w:val="0"/>
          <w:szCs w:val="22"/>
        </w:rPr>
        <w:t xml:space="preserve">we find the Transaction </w:t>
      </w:r>
      <w:r w:rsidRPr="00263552" w:rsidR="00E43438">
        <w:rPr>
          <w:rFonts w:eastAsia="Calibri"/>
          <w:snapToGrid/>
          <w:kern w:val="0"/>
          <w:szCs w:val="22"/>
        </w:rPr>
        <w:t xml:space="preserve">serves the public interest, convenience, and </w:t>
      </w:r>
      <w:r w:rsidR="002D2551">
        <w:rPr>
          <w:rFonts w:eastAsia="Calibri"/>
          <w:snapToGrid/>
          <w:kern w:val="0"/>
          <w:szCs w:val="22"/>
        </w:rPr>
        <w:t>necessity.</w:t>
      </w:r>
    </w:p>
    <w:p w:rsidR="002719C9" w:rsidP="002719C9" w14:paraId="3D6A4EAC" w14:textId="6D0A412A">
      <w:pPr>
        <w:pStyle w:val="Heading1"/>
      </w:pPr>
      <w:r>
        <w:t>Conclusion</w:t>
      </w:r>
    </w:p>
    <w:p w:rsidR="002719C9" w:rsidP="00D01CDA" w14:paraId="3258F726" w14:textId="3665260D">
      <w:pPr>
        <w:pStyle w:val="ParaNum"/>
        <w:numPr>
          <w:ilvl w:val="0"/>
          <w:numId w:val="42"/>
        </w:numPr>
        <w:ind w:left="0" w:firstLine="720"/>
      </w:pPr>
      <w:r>
        <w:t>For the reasons discussed above, w</w:t>
      </w:r>
      <w:r w:rsidRPr="009F0FFE">
        <w:t xml:space="preserve">e conclude that </w:t>
      </w:r>
      <w:r>
        <w:t xml:space="preserve">the Transaction will </w:t>
      </w:r>
      <w:r w:rsidRPr="009F0FFE">
        <w:t>serve the public interest</w:t>
      </w:r>
      <w:r>
        <w:t>, convenience, and necessity</w:t>
      </w:r>
      <w:r w:rsidRPr="009F0FFE">
        <w:t xml:space="preserve">. </w:t>
      </w:r>
    </w:p>
    <w:p w:rsidR="002719C9" w:rsidRPr="007928E7" w:rsidP="002719C9" w14:paraId="1A0E3E67" w14:textId="4D729706">
      <w:pPr>
        <w:pStyle w:val="Heading1"/>
      </w:pPr>
      <w:r>
        <w:t>Ordering Clauses</w:t>
      </w:r>
    </w:p>
    <w:p w:rsidR="002719C9" w:rsidRPr="004E594F" w:rsidP="00CC7F8E" w14:paraId="2F7CC7D7" w14:textId="77777777">
      <w:pPr>
        <w:pStyle w:val="ParaNum"/>
        <w:numPr>
          <w:ilvl w:val="0"/>
          <w:numId w:val="42"/>
        </w:numPr>
        <w:ind w:left="0" w:firstLine="720"/>
      </w:pPr>
      <w:r w:rsidRPr="002719C9">
        <w:rPr>
          <w:rFonts w:eastAsia="Calibri"/>
          <w:snapToGrid/>
          <w:kern w:val="2"/>
          <w:szCs w:val="22"/>
        </w:rPr>
        <w:t xml:space="preserve">Accordingly, having reviewed the record in this matter, </w:t>
      </w:r>
      <w:r w:rsidRPr="002719C9">
        <w:rPr>
          <w:rFonts w:eastAsia="Calibri"/>
          <w:b/>
          <w:bCs/>
          <w:snapToGrid/>
          <w:kern w:val="2"/>
          <w:szCs w:val="22"/>
        </w:rPr>
        <w:t>IT IS ORDERED</w:t>
      </w:r>
      <w:r w:rsidRPr="002719C9">
        <w:rPr>
          <w:rFonts w:eastAsia="Calibri"/>
          <w:snapToGrid/>
          <w:kern w:val="2"/>
          <w:szCs w:val="22"/>
        </w:rPr>
        <w:t>, pursuant to sections 4(</w:t>
      </w:r>
      <w:r w:rsidRPr="002719C9">
        <w:rPr>
          <w:rFonts w:eastAsia="Calibri"/>
          <w:snapToGrid/>
          <w:kern w:val="2"/>
          <w:szCs w:val="22"/>
        </w:rPr>
        <w:t>i</w:t>
      </w:r>
      <w:r w:rsidRPr="002719C9">
        <w:rPr>
          <w:rFonts w:eastAsia="Calibri"/>
          <w:snapToGrid/>
          <w:kern w:val="2"/>
          <w:szCs w:val="22"/>
        </w:rPr>
        <w:t>) and (j), 5(c), 214(a), 214(c), 303(r), 309, and 310(d) of the Act, 47 U.S.C. §§ 154(</w:t>
      </w:r>
      <w:r w:rsidRPr="002719C9">
        <w:rPr>
          <w:rFonts w:eastAsia="Calibri"/>
          <w:snapToGrid/>
          <w:kern w:val="2"/>
          <w:szCs w:val="22"/>
        </w:rPr>
        <w:t>i</w:t>
      </w:r>
      <w:r w:rsidRPr="002719C9">
        <w:rPr>
          <w:rFonts w:eastAsia="Calibri"/>
          <w:snapToGrid/>
          <w:kern w:val="2"/>
          <w:szCs w:val="22"/>
        </w:rPr>
        <w:t xml:space="preserve">), 154(j), 155(c), 214(a), 214(c), 303(r), 309, 310(d), and sections 1.948, 63.04, 63.18, and 63.24 of the Commission’s rules, 47 CFR §§ 1.948, 63.04, 63.18, 63.24, and pursuant to the authority delegated under sections 0.19, 0.91, 0.131, 0.291, 0.331, and 0.351 of the Commission’s rules, 47 CFR §§ 0.19, 0.91, 0.131, 0.291, 0.331, 0.351, that the Applications to transfer control of the licenses and authorizations listed in Appendix A </w:t>
      </w:r>
      <w:r w:rsidRPr="002719C9">
        <w:rPr>
          <w:rFonts w:eastAsia="Calibri"/>
          <w:b/>
          <w:bCs/>
          <w:snapToGrid/>
          <w:kern w:val="2"/>
          <w:szCs w:val="22"/>
        </w:rPr>
        <w:t>ARE GRANTED</w:t>
      </w:r>
      <w:r w:rsidRPr="002719C9">
        <w:rPr>
          <w:rFonts w:eastAsia="Calibri"/>
          <w:bCs/>
          <w:snapToGrid/>
          <w:kern w:val="2"/>
          <w:szCs w:val="22"/>
        </w:rPr>
        <w:t xml:space="preserve">, in this Memorandum Opinion and Order. </w:t>
      </w:r>
    </w:p>
    <w:p w:rsidR="002719C9" w:rsidRPr="000947AC" w:rsidP="00CC7F8E" w14:paraId="610B5573" w14:textId="34C33327">
      <w:pPr>
        <w:pStyle w:val="ParaNum"/>
        <w:widowControl/>
        <w:numPr>
          <w:ilvl w:val="0"/>
          <w:numId w:val="42"/>
        </w:numPr>
        <w:ind w:left="0" w:firstLine="720"/>
      </w:pPr>
      <w:r w:rsidRPr="002719C9">
        <w:rPr>
          <w:rFonts w:eastAsia="Calibri"/>
          <w:b/>
          <w:bCs/>
          <w:snapToGrid/>
          <w:kern w:val="2"/>
          <w:szCs w:val="22"/>
        </w:rPr>
        <w:t xml:space="preserve">IT IS FURTHER ORDERED </w:t>
      </w:r>
      <w:r w:rsidRPr="002719C9">
        <w:rPr>
          <w:rFonts w:eastAsia="Calibri"/>
          <w:snapToGrid/>
          <w:kern w:val="2"/>
          <w:szCs w:val="22"/>
        </w:rPr>
        <w:t xml:space="preserve">that this Memorandum Opinion and Order </w:t>
      </w:r>
      <w:r w:rsidRPr="002719C9">
        <w:rPr>
          <w:rFonts w:eastAsia="Calibri"/>
          <w:b/>
          <w:bCs/>
          <w:snapToGrid/>
          <w:kern w:val="2"/>
          <w:szCs w:val="22"/>
        </w:rPr>
        <w:t xml:space="preserve">SHALL BE EFFECTIVE </w:t>
      </w:r>
      <w:r w:rsidRPr="002719C9">
        <w:rPr>
          <w:rFonts w:eastAsia="Calibri"/>
          <w:snapToGrid/>
          <w:kern w:val="2"/>
          <w:szCs w:val="22"/>
        </w:rPr>
        <w:t xml:space="preserve">upon release, in accordance with section 1.102 of the Commission’s rules, 47 CFR § 1.102.  Petitions for reconsideration under section 1.106 of the Commission’s Rules, 47 CFR § 1.106, may be filed within </w:t>
      </w:r>
      <w:r w:rsidR="001A4B37">
        <w:rPr>
          <w:rFonts w:eastAsia="Calibri"/>
          <w:snapToGrid/>
          <w:kern w:val="2"/>
          <w:szCs w:val="22"/>
        </w:rPr>
        <w:t>30</w:t>
      </w:r>
      <w:r w:rsidRPr="002719C9">
        <w:rPr>
          <w:rFonts w:eastAsia="Calibri"/>
          <w:snapToGrid/>
          <w:kern w:val="2"/>
          <w:szCs w:val="22"/>
        </w:rPr>
        <w:t xml:space="preserve"> days of the release date of this Memorandum Opinion and Order.</w:t>
      </w:r>
    </w:p>
    <w:p w:rsidR="002719C9" w:rsidP="002719C9" w14:paraId="0ADA0E86" w14:textId="77777777">
      <w:pPr>
        <w:pStyle w:val="ParaNum"/>
        <w:numPr>
          <w:ilvl w:val="0"/>
          <w:numId w:val="0"/>
        </w:numPr>
      </w:pPr>
    </w:p>
    <w:p w:rsidR="002719C9" w:rsidP="002719C9" w14:paraId="1D6C6D5F" w14:textId="77777777">
      <w:pPr>
        <w:pStyle w:val="ParaNum"/>
        <w:numPr>
          <w:ilvl w:val="0"/>
          <w:numId w:val="0"/>
        </w:numPr>
        <w:tabs>
          <w:tab w:val="left" w:pos="3600"/>
        </w:tabs>
        <w:ind w:firstLine="720"/>
        <w:contextualSpacing/>
      </w:pPr>
      <w:r>
        <w:tab/>
        <w:t>FEDERAL COMMUNICATIONS COMMISSION</w:t>
      </w:r>
    </w:p>
    <w:p w:rsidR="002719C9" w:rsidP="00101D54" w14:paraId="63AC9666" w14:textId="77777777">
      <w:pPr>
        <w:pStyle w:val="ParaNum"/>
        <w:numPr>
          <w:ilvl w:val="0"/>
          <w:numId w:val="0"/>
        </w:numPr>
        <w:tabs>
          <w:tab w:val="left" w:pos="3600"/>
        </w:tabs>
        <w:ind w:firstLine="630"/>
        <w:contextualSpacing/>
      </w:pPr>
    </w:p>
    <w:p w:rsidR="002719C9" w:rsidP="00101D54" w14:paraId="3A6DEEF3" w14:textId="77777777">
      <w:pPr>
        <w:pStyle w:val="ParaNum"/>
        <w:numPr>
          <w:ilvl w:val="0"/>
          <w:numId w:val="0"/>
        </w:numPr>
        <w:tabs>
          <w:tab w:val="left" w:pos="3600"/>
        </w:tabs>
        <w:ind w:firstLine="630"/>
        <w:contextualSpacing/>
      </w:pPr>
    </w:p>
    <w:p w:rsidR="002719C9" w:rsidP="002719C9" w14:paraId="2674A4D7" w14:textId="77777777">
      <w:pPr>
        <w:pStyle w:val="ParaNum"/>
        <w:numPr>
          <w:ilvl w:val="0"/>
          <w:numId w:val="0"/>
        </w:numPr>
        <w:tabs>
          <w:tab w:val="left" w:pos="3600"/>
        </w:tabs>
        <w:spacing w:after="0"/>
        <w:ind w:firstLine="720"/>
      </w:pPr>
      <w:r>
        <w:tab/>
        <w:t>Joseph S. Calascione</w:t>
      </w:r>
    </w:p>
    <w:p w:rsidR="002719C9" w:rsidP="002719C9" w14:paraId="63E4874C" w14:textId="77777777">
      <w:pPr>
        <w:pStyle w:val="ParaNum"/>
        <w:numPr>
          <w:ilvl w:val="0"/>
          <w:numId w:val="0"/>
        </w:numPr>
        <w:tabs>
          <w:tab w:val="left" w:pos="3600"/>
        </w:tabs>
        <w:spacing w:after="0"/>
        <w:ind w:firstLine="720"/>
      </w:pPr>
      <w:r>
        <w:tab/>
        <w:t>Chief, Wireline Competition Bureau</w:t>
      </w:r>
    </w:p>
    <w:p w:rsidR="002719C9" w:rsidP="002719C9" w14:paraId="51275B7B" w14:textId="77777777">
      <w:pPr>
        <w:pStyle w:val="ParaNum"/>
        <w:numPr>
          <w:ilvl w:val="0"/>
          <w:numId w:val="0"/>
        </w:numPr>
        <w:tabs>
          <w:tab w:val="left" w:pos="3600"/>
        </w:tabs>
        <w:spacing w:after="0"/>
        <w:ind w:firstLine="720"/>
      </w:pPr>
    </w:p>
    <w:p w:rsidR="002719C9" w:rsidP="002719C9" w14:paraId="6DED5499" w14:textId="77777777">
      <w:pPr>
        <w:pStyle w:val="ParaNum"/>
        <w:numPr>
          <w:ilvl w:val="0"/>
          <w:numId w:val="0"/>
        </w:numPr>
        <w:tabs>
          <w:tab w:val="left" w:pos="3600"/>
        </w:tabs>
        <w:spacing w:after="0"/>
        <w:ind w:firstLine="720"/>
      </w:pPr>
    </w:p>
    <w:p w:rsidR="002719C9" w:rsidP="002719C9" w14:paraId="44D36665" w14:textId="77777777">
      <w:pPr>
        <w:pStyle w:val="ParaNum"/>
        <w:numPr>
          <w:ilvl w:val="0"/>
          <w:numId w:val="0"/>
        </w:numPr>
        <w:tabs>
          <w:tab w:val="left" w:pos="3600"/>
        </w:tabs>
        <w:spacing w:after="0"/>
        <w:ind w:firstLine="720"/>
      </w:pPr>
      <w:r>
        <w:tab/>
        <w:t>Thomas P. Sullivan</w:t>
      </w:r>
    </w:p>
    <w:p w:rsidR="002719C9" w:rsidP="002719C9" w14:paraId="7D0C116C" w14:textId="7EF72BC4">
      <w:pPr>
        <w:pStyle w:val="ParaNum"/>
        <w:numPr>
          <w:ilvl w:val="0"/>
          <w:numId w:val="0"/>
        </w:numPr>
        <w:tabs>
          <w:tab w:val="left" w:pos="3600"/>
        </w:tabs>
        <w:spacing w:after="0"/>
        <w:ind w:firstLine="720"/>
      </w:pPr>
      <w:r>
        <w:tab/>
        <w:t>Chief, Office of International Affairs</w:t>
      </w:r>
    </w:p>
    <w:p w:rsidR="002719C9" w:rsidP="002719C9" w14:paraId="5305492E" w14:textId="77777777">
      <w:pPr>
        <w:pStyle w:val="ParaNum"/>
        <w:numPr>
          <w:ilvl w:val="0"/>
          <w:numId w:val="0"/>
        </w:numPr>
        <w:tabs>
          <w:tab w:val="left" w:pos="3600"/>
        </w:tabs>
        <w:spacing w:after="0"/>
        <w:ind w:firstLine="720"/>
      </w:pPr>
    </w:p>
    <w:p w:rsidR="002719C9" w:rsidP="002719C9" w14:paraId="0CD547C0" w14:textId="77777777">
      <w:pPr>
        <w:pStyle w:val="ParaNum"/>
        <w:numPr>
          <w:ilvl w:val="0"/>
          <w:numId w:val="0"/>
        </w:numPr>
        <w:tabs>
          <w:tab w:val="left" w:pos="3600"/>
        </w:tabs>
        <w:spacing w:after="0"/>
        <w:ind w:firstLine="720"/>
      </w:pPr>
    </w:p>
    <w:p w:rsidR="002719C9" w:rsidP="002719C9" w14:paraId="6D2E42A6" w14:textId="77777777">
      <w:pPr>
        <w:pStyle w:val="ParaNum"/>
        <w:numPr>
          <w:ilvl w:val="0"/>
          <w:numId w:val="0"/>
        </w:numPr>
        <w:tabs>
          <w:tab w:val="left" w:pos="3600"/>
        </w:tabs>
        <w:spacing w:after="0"/>
        <w:ind w:firstLine="720"/>
      </w:pPr>
      <w:r>
        <w:tab/>
        <w:t>Joel Taubenblatt</w:t>
      </w:r>
    </w:p>
    <w:p w:rsidR="00A31F6F" w:rsidP="00754DD1" w14:paraId="73984933" w14:textId="77777777">
      <w:pPr>
        <w:pStyle w:val="ParaNum"/>
        <w:numPr>
          <w:ilvl w:val="0"/>
          <w:numId w:val="0"/>
        </w:numPr>
        <w:tabs>
          <w:tab w:val="left" w:pos="3600"/>
        </w:tabs>
        <w:spacing w:after="0"/>
        <w:ind w:firstLine="720"/>
      </w:pPr>
      <w:r>
        <w:tab/>
        <w:t>Chief, Wireless Telecommunications Bureau</w:t>
      </w:r>
    </w:p>
    <w:p w:rsidR="00A31F6F" w:rsidP="00754DD1" w14:paraId="343D30B3" w14:textId="77777777">
      <w:pPr>
        <w:pStyle w:val="ParaNum"/>
        <w:numPr>
          <w:ilvl w:val="0"/>
          <w:numId w:val="0"/>
        </w:numPr>
        <w:tabs>
          <w:tab w:val="left" w:pos="3600"/>
        </w:tabs>
        <w:spacing w:after="0"/>
        <w:ind w:firstLine="720"/>
        <w:sectPr w:rsidSect="0055614C">
          <w:headerReference w:type="default" r:id="rId6"/>
          <w:footerReference w:type="even" r:id="rId7"/>
          <w:footerReference w:type="default" r:id="rId8"/>
          <w:headerReference w:type="first" r:id="rId9"/>
          <w:footnotePr>
            <w:numRestart w:val="eachSect"/>
          </w:footnotePr>
          <w:endnotePr>
            <w:numFmt w:val="decimal"/>
          </w:endnotePr>
          <w:pgSz w:w="12240" w:h="15840"/>
          <w:pgMar w:top="1440" w:right="1440" w:bottom="720" w:left="1440" w:header="720" w:footer="720" w:gutter="0"/>
          <w:pgNumType w:start="1"/>
          <w:cols w:space="720"/>
          <w:noEndnote/>
          <w:titlePg/>
        </w:sectPr>
      </w:pPr>
      <w:r>
        <w:br w:type="page"/>
      </w:r>
    </w:p>
    <w:p w:rsidR="002719C9" w:rsidP="00B23A48" w14:paraId="17A089DF" w14:textId="32B528FF">
      <w:pPr>
        <w:pStyle w:val="ParaNum"/>
        <w:numPr>
          <w:ilvl w:val="0"/>
          <w:numId w:val="0"/>
        </w:numPr>
        <w:spacing w:after="0"/>
        <w:ind w:left="630"/>
        <w:jc w:val="center"/>
        <w:rPr>
          <w:rFonts w:eastAsia="Calibri"/>
          <w:b/>
          <w:snapToGrid/>
          <w:kern w:val="0"/>
        </w:rPr>
      </w:pPr>
      <w:r w:rsidRPr="5AD31EE7">
        <w:rPr>
          <w:rFonts w:eastAsia="Calibri"/>
          <w:b/>
          <w:snapToGrid/>
          <w:kern w:val="0"/>
        </w:rPr>
        <w:t>APPENDIX A</w:t>
      </w:r>
    </w:p>
    <w:p w:rsidR="00B23A48" w:rsidRPr="002A153D" w:rsidP="00B23A48" w14:paraId="19148B17" w14:textId="77777777">
      <w:pPr>
        <w:pStyle w:val="ParaNum"/>
        <w:numPr>
          <w:ilvl w:val="0"/>
          <w:numId w:val="0"/>
        </w:numPr>
        <w:spacing w:after="0"/>
        <w:ind w:left="630"/>
        <w:jc w:val="center"/>
        <w:rPr>
          <w:rFonts w:eastAsia="Calibri"/>
          <w:b/>
          <w:bCs/>
          <w:snapToGrid/>
          <w:kern w:val="0"/>
        </w:rPr>
      </w:pPr>
    </w:p>
    <w:p w:rsidR="002719C9" w:rsidRPr="002A153D" w:rsidP="00FC5935" w14:paraId="04D5E60A" w14:textId="44289D90">
      <w:pPr>
        <w:widowControl/>
        <w:autoSpaceDE w:val="0"/>
        <w:autoSpaceDN w:val="0"/>
        <w:adjustRightInd w:val="0"/>
        <w:spacing w:after="120"/>
        <w:jc w:val="center"/>
        <w:rPr>
          <w:rFonts w:eastAsia="Calibri"/>
          <w:b/>
          <w:bCs/>
          <w:snapToGrid/>
          <w:kern w:val="0"/>
          <w:szCs w:val="22"/>
          <w:u w:val="single"/>
        </w:rPr>
      </w:pPr>
      <w:r w:rsidRPr="002A153D">
        <w:rPr>
          <w:rFonts w:eastAsia="Calibri"/>
          <w:b/>
          <w:bCs/>
          <w:snapToGrid/>
          <w:kern w:val="0"/>
          <w:szCs w:val="22"/>
        </w:rPr>
        <w:t>SECTION 214 AUTHORIZATIONS</w:t>
      </w:r>
      <w:r>
        <w:rPr>
          <w:rStyle w:val="FootnoteReference"/>
          <w:rFonts w:eastAsia="Calibri"/>
          <w:b/>
          <w:bCs/>
          <w:snapToGrid/>
          <w:kern w:val="0"/>
          <w:szCs w:val="22"/>
        </w:rPr>
        <w:footnoteReference w:id="106"/>
      </w:r>
    </w:p>
    <w:p w:rsidR="002719C9" w:rsidRPr="002A153D" w:rsidP="002719C9" w14:paraId="1CE6BFB0" w14:textId="77777777">
      <w:pPr>
        <w:widowControl/>
        <w:numPr>
          <w:ilvl w:val="1"/>
          <w:numId w:val="9"/>
        </w:numPr>
        <w:autoSpaceDE w:val="0"/>
        <w:autoSpaceDN w:val="0"/>
        <w:adjustRightInd w:val="0"/>
        <w:spacing w:after="200"/>
        <w:ind w:left="360"/>
        <w:rPr>
          <w:rFonts w:eastAsia="Calibri"/>
          <w:b/>
          <w:bCs/>
          <w:snapToGrid/>
          <w:kern w:val="0"/>
          <w:szCs w:val="22"/>
        </w:rPr>
      </w:pPr>
      <w:r w:rsidRPr="002A153D">
        <w:rPr>
          <w:rFonts w:eastAsia="Calibri"/>
          <w:b/>
          <w:bCs/>
          <w:snapToGrid/>
          <w:kern w:val="0"/>
          <w:szCs w:val="22"/>
        </w:rPr>
        <w:t>International</w:t>
      </w:r>
    </w:p>
    <w:p w:rsidR="002719C9" w:rsidRPr="002A153D" w:rsidP="002719C9" w14:paraId="5B54834D" w14:textId="77777777">
      <w:pPr>
        <w:widowControl/>
        <w:autoSpaceDE w:val="0"/>
        <w:autoSpaceDN w:val="0"/>
        <w:adjustRightInd w:val="0"/>
        <w:spacing w:after="120"/>
        <w:contextualSpacing/>
        <w:rPr>
          <w:rFonts w:eastAsia="Calibri"/>
          <w:snapToGrid/>
          <w:kern w:val="0"/>
          <w:szCs w:val="22"/>
        </w:rPr>
      </w:pPr>
      <w:r w:rsidRPr="002A153D">
        <w:rPr>
          <w:rFonts w:eastAsia="Calibri"/>
          <w:snapToGrid/>
          <w:kern w:val="0"/>
          <w:szCs w:val="22"/>
        </w:rPr>
        <w:t xml:space="preserve">The </w:t>
      </w:r>
      <w:r>
        <w:rPr>
          <w:rFonts w:eastAsia="Calibri"/>
          <w:snapToGrid/>
          <w:kern w:val="0"/>
          <w:szCs w:val="22"/>
        </w:rPr>
        <w:t xml:space="preserve">Office of International Affairs grants the following </w:t>
      </w:r>
      <w:r w:rsidRPr="002A153D">
        <w:rPr>
          <w:rFonts w:eastAsia="Calibri"/>
          <w:snapToGrid/>
          <w:kern w:val="0"/>
          <w:szCs w:val="22"/>
        </w:rPr>
        <w:t>applications for consent to the transfer of control of certain international section 214 authorizations.</w:t>
      </w:r>
    </w:p>
    <w:p w:rsidR="002719C9" w:rsidRPr="002A153D" w:rsidP="002719C9" w14:paraId="543DFBEF" w14:textId="77777777">
      <w:pPr>
        <w:widowControl/>
        <w:autoSpaceDE w:val="0"/>
        <w:autoSpaceDN w:val="0"/>
        <w:adjustRightInd w:val="0"/>
        <w:spacing w:after="120"/>
        <w:contextualSpacing/>
        <w:rPr>
          <w:rFonts w:eastAsia="Calibri"/>
          <w:snapToGrid/>
          <w:kern w:val="0"/>
          <w:szCs w:val="22"/>
          <w:u w:val="single"/>
        </w:rPr>
      </w:pPr>
    </w:p>
    <w:tbl>
      <w:tblPr>
        <w:tblW w:w="9175" w:type="dxa"/>
        <w:tblLook w:val="04A0"/>
      </w:tblPr>
      <w:tblGrid>
        <w:gridCol w:w="2700"/>
        <w:gridCol w:w="3685"/>
        <w:gridCol w:w="2790"/>
      </w:tblGrid>
      <w:tr w14:paraId="7C44610B" w14:textId="77777777" w:rsidTr="00551E16">
        <w:tblPrEx>
          <w:tblW w:w="9175" w:type="dxa"/>
          <w:tblLook w:val="04A0"/>
        </w:tblPrEx>
        <w:tc>
          <w:tcPr>
            <w:tcW w:w="2700" w:type="dxa"/>
          </w:tcPr>
          <w:p w:rsidR="002719C9" w:rsidP="008158FF" w14:paraId="68F6ED4B" w14:textId="77777777">
            <w:pPr>
              <w:widowControl/>
              <w:autoSpaceDE w:val="0"/>
              <w:autoSpaceDN w:val="0"/>
              <w:adjustRightInd w:val="0"/>
              <w:contextualSpacing/>
              <w:jc w:val="center"/>
              <w:rPr>
                <w:rFonts w:eastAsia="Calibri"/>
                <w:b/>
                <w:snapToGrid/>
                <w:kern w:val="0"/>
                <w:szCs w:val="22"/>
                <w:u w:val="single"/>
              </w:rPr>
            </w:pPr>
            <w:r>
              <w:rPr>
                <w:rFonts w:eastAsia="Calibri"/>
                <w:b/>
                <w:snapToGrid/>
                <w:kern w:val="0"/>
                <w:szCs w:val="22"/>
                <w:u w:val="single"/>
              </w:rPr>
              <w:t>File Number</w:t>
            </w:r>
          </w:p>
        </w:tc>
        <w:tc>
          <w:tcPr>
            <w:tcW w:w="3685" w:type="dxa"/>
          </w:tcPr>
          <w:p w:rsidR="002719C9" w:rsidP="008158FF" w14:paraId="63FA3E8B" w14:textId="77777777">
            <w:pPr>
              <w:widowControl/>
              <w:autoSpaceDE w:val="0"/>
              <w:autoSpaceDN w:val="0"/>
              <w:adjustRightInd w:val="0"/>
              <w:contextualSpacing/>
              <w:jc w:val="center"/>
              <w:rPr>
                <w:rFonts w:eastAsia="Calibri"/>
                <w:b/>
                <w:snapToGrid/>
                <w:kern w:val="0"/>
                <w:szCs w:val="22"/>
                <w:u w:val="single"/>
              </w:rPr>
            </w:pPr>
            <w:r>
              <w:rPr>
                <w:rFonts w:eastAsia="Calibri"/>
                <w:b/>
                <w:snapToGrid/>
                <w:kern w:val="0"/>
                <w:szCs w:val="22"/>
                <w:u w:val="single"/>
              </w:rPr>
              <w:t>Authorization Holder</w:t>
            </w:r>
          </w:p>
        </w:tc>
        <w:tc>
          <w:tcPr>
            <w:tcW w:w="2790" w:type="dxa"/>
          </w:tcPr>
          <w:p w:rsidR="002719C9" w:rsidP="008158FF" w14:paraId="123E54B5" w14:textId="77777777">
            <w:pPr>
              <w:widowControl/>
              <w:autoSpaceDE w:val="0"/>
              <w:autoSpaceDN w:val="0"/>
              <w:adjustRightInd w:val="0"/>
              <w:contextualSpacing/>
              <w:jc w:val="center"/>
              <w:rPr>
                <w:rFonts w:eastAsia="Calibri"/>
                <w:b/>
                <w:snapToGrid/>
                <w:kern w:val="0"/>
                <w:szCs w:val="22"/>
                <w:u w:val="single"/>
              </w:rPr>
            </w:pPr>
            <w:r>
              <w:rPr>
                <w:rFonts w:eastAsia="Calibri"/>
                <w:b/>
                <w:snapToGrid/>
                <w:kern w:val="0"/>
                <w:szCs w:val="22"/>
                <w:u w:val="single"/>
              </w:rPr>
              <w:t>Authorization Number</w:t>
            </w:r>
          </w:p>
        </w:tc>
      </w:tr>
      <w:tr w14:paraId="72ACE218" w14:textId="77777777" w:rsidTr="00551E16">
        <w:tblPrEx>
          <w:tblW w:w="9175" w:type="dxa"/>
          <w:tblLook w:val="04A0"/>
        </w:tblPrEx>
        <w:tc>
          <w:tcPr>
            <w:tcW w:w="2700" w:type="dxa"/>
          </w:tcPr>
          <w:p w:rsidR="00963F0D" w:rsidP="00963F0D" w14:paraId="664BD329" w14:textId="34AE546D">
            <w:pPr>
              <w:widowControl/>
              <w:autoSpaceDE w:val="0"/>
              <w:autoSpaceDN w:val="0"/>
              <w:adjustRightInd w:val="0"/>
              <w:contextualSpacing/>
              <w:rPr>
                <w:rFonts w:eastAsia="Calibri"/>
                <w:snapToGrid/>
                <w:kern w:val="0"/>
                <w:szCs w:val="22"/>
              </w:rPr>
            </w:pPr>
            <w:r w:rsidRPr="00951A63">
              <w:t xml:space="preserve">ITC-T/C-20250701-00030 </w:t>
            </w:r>
          </w:p>
        </w:tc>
        <w:tc>
          <w:tcPr>
            <w:tcW w:w="3685" w:type="dxa"/>
          </w:tcPr>
          <w:p w:rsidR="00963F0D" w:rsidP="00963F0D" w14:paraId="05F0C8F4" w14:textId="1FBD1A80">
            <w:pPr>
              <w:widowControl/>
              <w:autoSpaceDE w:val="0"/>
              <w:autoSpaceDN w:val="0"/>
              <w:adjustRightInd w:val="0"/>
              <w:contextualSpacing/>
              <w:rPr>
                <w:rFonts w:eastAsia="Calibri"/>
                <w:snapToGrid/>
                <w:kern w:val="0"/>
                <w:szCs w:val="22"/>
              </w:rPr>
            </w:pPr>
            <w:r w:rsidRPr="00951A63">
              <w:t xml:space="preserve">Cox Communications, Inc. </w:t>
            </w:r>
          </w:p>
        </w:tc>
        <w:tc>
          <w:tcPr>
            <w:tcW w:w="2790" w:type="dxa"/>
          </w:tcPr>
          <w:p w:rsidR="00963F0D" w:rsidP="00963F0D" w14:paraId="0159F231" w14:textId="233B7B83">
            <w:pPr>
              <w:widowControl/>
              <w:autoSpaceDE w:val="0"/>
              <w:autoSpaceDN w:val="0"/>
              <w:adjustRightInd w:val="0"/>
              <w:contextualSpacing/>
              <w:rPr>
                <w:rFonts w:eastAsia="Calibri"/>
                <w:snapToGrid/>
                <w:kern w:val="0"/>
                <w:szCs w:val="22"/>
              </w:rPr>
            </w:pPr>
            <w:r w:rsidRPr="00951A63">
              <w:t xml:space="preserve">ITC-214-19970815-00496 ITC-214-19991207-00764 </w:t>
            </w:r>
          </w:p>
        </w:tc>
      </w:tr>
      <w:tr w14:paraId="001F533D" w14:textId="77777777" w:rsidTr="00551E16">
        <w:tblPrEx>
          <w:tblW w:w="9175" w:type="dxa"/>
          <w:tblLook w:val="04A0"/>
        </w:tblPrEx>
        <w:tc>
          <w:tcPr>
            <w:tcW w:w="2700" w:type="dxa"/>
          </w:tcPr>
          <w:p w:rsidR="00B65F55" w:rsidP="00B65F55" w14:paraId="6D6A9792" w14:textId="70CD0ADF">
            <w:pPr>
              <w:widowControl/>
              <w:autoSpaceDE w:val="0"/>
              <w:autoSpaceDN w:val="0"/>
              <w:adjustRightInd w:val="0"/>
              <w:contextualSpacing/>
              <w:rPr>
                <w:rFonts w:eastAsia="Calibri"/>
                <w:snapToGrid/>
                <w:kern w:val="0"/>
                <w:szCs w:val="22"/>
              </w:rPr>
            </w:pPr>
            <w:r w:rsidRPr="003A75B3">
              <w:t xml:space="preserve">ITC-T/C-20250706-00033 </w:t>
            </w:r>
          </w:p>
        </w:tc>
        <w:tc>
          <w:tcPr>
            <w:tcW w:w="3685" w:type="dxa"/>
          </w:tcPr>
          <w:p w:rsidR="00B65F55" w:rsidP="00B65F55" w14:paraId="2D45B427" w14:textId="46B159F7">
            <w:pPr>
              <w:widowControl/>
              <w:autoSpaceDE w:val="0"/>
              <w:autoSpaceDN w:val="0"/>
              <w:adjustRightInd w:val="0"/>
              <w:contextualSpacing/>
              <w:rPr>
                <w:rFonts w:eastAsia="Calibri"/>
                <w:snapToGrid/>
                <w:kern w:val="0"/>
                <w:szCs w:val="22"/>
              </w:rPr>
            </w:pPr>
            <w:r w:rsidRPr="003A75B3">
              <w:t>Cox California Telcom, LLC</w:t>
            </w:r>
          </w:p>
        </w:tc>
        <w:tc>
          <w:tcPr>
            <w:tcW w:w="2790" w:type="dxa"/>
          </w:tcPr>
          <w:p w:rsidR="00B65F55" w:rsidP="00B65F55" w14:paraId="661CF63C" w14:textId="1CD5338C">
            <w:pPr>
              <w:widowControl/>
              <w:autoSpaceDE w:val="0"/>
              <w:autoSpaceDN w:val="0"/>
              <w:adjustRightInd w:val="0"/>
              <w:contextualSpacing/>
              <w:rPr>
                <w:rFonts w:eastAsia="Calibri"/>
                <w:snapToGrid/>
                <w:kern w:val="0"/>
                <w:szCs w:val="22"/>
              </w:rPr>
            </w:pPr>
            <w:r w:rsidRPr="003A75B3">
              <w:t>ITC-214-19961025-00535</w:t>
            </w:r>
          </w:p>
        </w:tc>
      </w:tr>
      <w:tr w14:paraId="5297E3B2" w14:textId="77777777" w:rsidTr="00551E16">
        <w:tblPrEx>
          <w:tblW w:w="9175" w:type="dxa"/>
          <w:tblLook w:val="04A0"/>
        </w:tblPrEx>
        <w:tc>
          <w:tcPr>
            <w:tcW w:w="2700" w:type="dxa"/>
          </w:tcPr>
          <w:p w:rsidR="00B65F55" w:rsidP="00B65F55" w14:paraId="4CC8ECCD" w14:textId="5876D739">
            <w:pPr>
              <w:widowControl/>
              <w:autoSpaceDE w:val="0"/>
              <w:autoSpaceDN w:val="0"/>
              <w:adjustRightInd w:val="0"/>
              <w:contextualSpacing/>
              <w:rPr>
                <w:rFonts w:eastAsia="Calibri"/>
                <w:snapToGrid/>
                <w:kern w:val="0"/>
                <w:szCs w:val="22"/>
              </w:rPr>
            </w:pPr>
            <w:r w:rsidRPr="008C743B">
              <w:t xml:space="preserve">ITC-T/C-20250707-00035 </w:t>
            </w:r>
          </w:p>
        </w:tc>
        <w:tc>
          <w:tcPr>
            <w:tcW w:w="3685" w:type="dxa"/>
          </w:tcPr>
          <w:p w:rsidR="00B65F55" w:rsidP="00B65F55" w14:paraId="533163AB" w14:textId="45D56937">
            <w:pPr>
              <w:widowControl/>
              <w:autoSpaceDE w:val="0"/>
              <w:autoSpaceDN w:val="0"/>
              <w:adjustRightInd w:val="0"/>
              <w:contextualSpacing/>
              <w:rPr>
                <w:rFonts w:eastAsia="Calibri"/>
                <w:snapToGrid/>
                <w:kern w:val="0"/>
                <w:szCs w:val="22"/>
              </w:rPr>
            </w:pPr>
            <w:r w:rsidRPr="008C743B">
              <w:t>CoxCom</w:t>
            </w:r>
            <w:r w:rsidRPr="008C743B">
              <w:t xml:space="preserve">, LLC </w:t>
            </w:r>
          </w:p>
        </w:tc>
        <w:tc>
          <w:tcPr>
            <w:tcW w:w="2790" w:type="dxa"/>
          </w:tcPr>
          <w:p w:rsidR="00B65F55" w:rsidP="00B65F55" w14:paraId="28C96E44" w14:textId="27322D3C">
            <w:pPr>
              <w:widowControl/>
              <w:autoSpaceDE w:val="0"/>
              <w:autoSpaceDN w:val="0"/>
              <w:adjustRightInd w:val="0"/>
              <w:contextualSpacing/>
              <w:rPr>
                <w:rFonts w:eastAsia="Calibri"/>
                <w:snapToGrid/>
                <w:kern w:val="0"/>
                <w:szCs w:val="22"/>
              </w:rPr>
            </w:pPr>
            <w:r w:rsidRPr="008C743B">
              <w:t>ITC-214-20020509-00245</w:t>
            </w:r>
          </w:p>
        </w:tc>
      </w:tr>
      <w:tr w14:paraId="3C29EAB6" w14:textId="77777777" w:rsidTr="00551E16">
        <w:tblPrEx>
          <w:tblW w:w="9175" w:type="dxa"/>
          <w:tblLook w:val="04A0"/>
        </w:tblPrEx>
        <w:tc>
          <w:tcPr>
            <w:tcW w:w="2700" w:type="dxa"/>
          </w:tcPr>
          <w:p w:rsidR="00912CF2" w:rsidP="00912CF2" w14:paraId="2806F7F6" w14:textId="1A43ADAE">
            <w:pPr>
              <w:widowControl/>
              <w:autoSpaceDE w:val="0"/>
              <w:autoSpaceDN w:val="0"/>
              <w:adjustRightInd w:val="0"/>
              <w:contextualSpacing/>
              <w:rPr>
                <w:rFonts w:eastAsia="Calibri"/>
                <w:snapToGrid/>
                <w:kern w:val="0"/>
                <w:szCs w:val="22"/>
              </w:rPr>
            </w:pPr>
            <w:r w:rsidRPr="007663FD">
              <w:t xml:space="preserve">ITC-T/C-20250707-00036 </w:t>
            </w:r>
          </w:p>
        </w:tc>
        <w:tc>
          <w:tcPr>
            <w:tcW w:w="3685" w:type="dxa"/>
          </w:tcPr>
          <w:p w:rsidR="00912CF2" w:rsidP="00912CF2" w14:paraId="2E63591B" w14:textId="6E062F6B">
            <w:pPr>
              <w:widowControl/>
              <w:autoSpaceDE w:val="0"/>
              <w:autoSpaceDN w:val="0"/>
              <w:adjustRightInd w:val="0"/>
              <w:contextualSpacing/>
              <w:rPr>
                <w:rFonts w:eastAsia="Calibri"/>
                <w:snapToGrid/>
                <w:kern w:val="0"/>
                <w:szCs w:val="22"/>
              </w:rPr>
            </w:pPr>
            <w:r w:rsidRPr="007663FD">
              <w:t xml:space="preserve">South Carolina Telecommunications Group Holdings, LLC dba </w:t>
            </w:r>
            <w:r w:rsidRPr="007663FD">
              <w:t>Segra</w:t>
            </w:r>
          </w:p>
        </w:tc>
        <w:tc>
          <w:tcPr>
            <w:tcW w:w="2790" w:type="dxa"/>
          </w:tcPr>
          <w:p w:rsidR="00912CF2" w:rsidP="00912CF2" w14:paraId="1DA0C81E" w14:textId="7E56091D">
            <w:pPr>
              <w:widowControl/>
              <w:autoSpaceDE w:val="0"/>
              <w:autoSpaceDN w:val="0"/>
              <w:adjustRightInd w:val="0"/>
              <w:contextualSpacing/>
              <w:rPr>
                <w:rFonts w:eastAsia="Calibri"/>
                <w:snapToGrid/>
                <w:kern w:val="0"/>
                <w:szCs w:val="22"/>
              </w:rPr>
            </w:pPr>
            <w:r w:rsidRPr="007663FD">
              <w:t>ITC-214-19930512-00081</w:t>
            </w:r>
          </w:p>
        </w:tc>
      </w:tr>
      <w:tr w14:paraId="36539D84" w14:textId="77777777" w:rsidTr="00551E16">
        <w:tblPrEx>
          <w:tblW w:w="9175" w:type="dxa"/>
          <w:tblLook w:val="04A0"/>
        </w:tblPrEx>
        <w:tc>
          <w:tcPr>
            <w:tcW w:w="2700" w:type="dxa"/>
          </w:tcPr>
          <w:p w:rsidR="00551E16" w:rsidP="00551E16" w14:paraId="2F1E0A5B" w14:textId="0453FEC6">
            <w:pPr>
              <w:widowControl/>
              <w:autoSpaceDE w:val="0"/>
              <w:autoSpaceDN w:val="0"/>
              <w:adjustRightInd w:val="0"/>
              <w:contextualSpacing/>
              <w:rPr>
                <w:rFonts w:eastAsia="Calibri"/>
                <w:snapToGrid/>
                <w:kern w:val="0"/>
                <w:szCs w:val="22"/>
              </w:rPr>
            </w:pPr>
            <w:r w:rsidRPr="001C100F">
              <w:t xml:space="preserve">ITC-T/C-20250707-00037 </w:t>
            </w:r>
          </w:p>
        </w:tc>
        <w:tc>
          <w:tcPr>
            <w:tcW w:w="3685" w:type="dxa"/>
          </w:tcPr>
          <w:p w:rsidR="00551E16" w:rsidP="00551E16" w14:paraId="2E800E6A" w14:textId="2BCEB294">
            <w:pPr>
              <w:widowControl/>
              <w:autoSpaceDE w:val="0"/>
              <w:autoSpaceDN w:val="0"/>
              <w:adjustRightInd w:val="0"/>
              <w:contextualSpacing/>
              <w:rPr>
                <w:rFonts w:eastAsia="Calibri"/>
                <w:snapToGrid/>
                <w:kern w:val="0"/>
                <w:szCs w:val="22"/>
              </w:rPr>
            </w:pPr>
            <w:r w:rsidRPr="001C100F">
              <w:t xml:space="preserve">Unite Private Networks, L.L.C. dba </w:t>
            </w:r>
            <w:r w:rsidRPr="001C100F">
              <w:t>Segra</w:t>
            </w:r>
            <w:r w:rsidRPr="001C100F">
              <w:t xml:space="preserve"> </w:t>
            </w:r>
          </w:p>
        </w:tc>
        <w:tc>
          <w:tcPr>
            <w:tcW w:w="2790" w:type="dxa"/>
          </w:tcPr>
          <w:p w:rsidR="00551E16" w:rsidP="00551E16" w14:paraId="01B5CBAF" w14:textId="33A5A59E">
            <w:pPr>
              <w:widowControl/>
              <w:autoSpaceDE w:val="0"/>
              <w:autoSpaceDN w:val="0"/>
              <w:adjustRightInd w:val="0"/>
              <w:contextualSpacing/>
              <w:rPr>
                <w:rFonts w:eastAsia="Calibri"/>
                <w:snapToGrid/>
                <w:kern w:val="0"/>
                <w:szCs w:val="22"/>
              </w:rPr>
            </w:pPr>
            <w:r w:rsidRPr="001C100F">
              <w:t>ITC-214-20180126-00021</w:t>
            </w:r>
          </w:p>
        </w:tc>
      </w:tr>
      <w:tr w14:paraId="5E56D8B3" w14:textId="77777777" w:rsidTr="00551E16">
        <w:tblPrEx>
          <w:tblW w:w="9175" w:type="dxa"/>
          <w:tblLook w:val="04A0"/>
        </w:tblPrEx>
        <w:tc>
          <w:tcPr>
            <w:tcW w:w="2700" w:type="dxa"/>
          </w:tcPr>
          <w:p w:rsidR="00B50489" w:rsidP="008A3824" w14:paraId="20C7048D" w14:textId="77777777">
            <w:pPr>
              <w:widowControl/>
              <w:autoSpaceDE w:val="0"/>
              <w:autoSpaceDN w:val="0"/>
              <w:adjustRightInd w:val="0"/>
              <w:contextualSpacing/>
              <w:rPr>
                <w:rFonts w:eastAsia="Calibri"/>
                <w:snapToGrid/>
                <w:kern w:val="0"/>
                <w:szCs w:val="22"/>
              </w:rPr>
            </w:pPr>
          </w:p>
        </w:tc>
        <w:tc>
          <w:tcPr>
            <w:tcW w:w="3685" w:type="dxa"/>
          </w:tcPr>
          <w:p w:rsidR="00B50489" w:rsidP="008A3824" w14:paraId="0E064B40" w14:textId="77777777">
            <w:pPr>
              <w:widowControl/>
              <w:autoSpaceDE w:val="0"/>
              <w:autoSpaceDN w:val="0"/>
              <w:adjustRightInd w:val="0"/>
              <w:contextualSpacing/>
              <w:rPr>
                <w:rFonts w:eastAsia="Calibri"/>
                <w:snapToGrid/>
                <w:kern w:val="0"/>
                <w:szCs w:val="22"/>
              </w:rPr>
            </w:pPr>
          </w:p>
        </w:tc>
        <w:tc>
          <w:tcPr>
            <w:tcW w:w="2790" w:type="dxa"/>
          </w:tcPr>
          <w:p w:rsidR="00B50489" w:rsidP="008A3824" w14:paraId="2281884E" w14:textId="77777777">
            <w:pPr>
              <w:widowControl/>
              <w:autoSpaceDE w:val="0"/>
              <w:autoSpaceDN w:val="0"/>
              <w:adjustRightInd w:val="0"/>
              <w:contextualSpacing/>
              <w:rPr>
                <w:rFonts w:eastAsia="Calibri"/>
                <w:snapToGrid/>
                <w:kern w:val="0"/>
                <w:szCs w:val="22"/>
              </w:rPr>
            </w:pPr>
          </w:p>
        </w:tc>
      </w:tr>
    </w:tbl>
    <w:p w:rsidR="002719C9" w:rsidRPr="002A153D" w:rsidP="002719C9" w14:paraId="6AA22D59" w14:textId="77777777">
      <w:pPr>
        <w:widowControl/>
        <w:tabs>
          <w:tab w:val="left" w:pos="360"/>
          <w:tab w:val="left" w:pos="6660"/>
        </w:tabs>
        <w:autoSpaceDE w:val="0"/>
        <w:autoSpaceDN w:val="0"/>
        <w:adjustRightInd w:val="0"/>
        <w:spacing w:after="120"/>
        <w:rPr>
          <w:rFonts w:eastAsia="Calibri"/>
          <w:b/>
          <w:bCs/>
          <w:snapToGrid/>
          <w:kern w:val="0"/>
          <w:szCs w:val="22"/>
        </w:rPr>
      </w:pPr>
      <w:r w:rsidRPr="002A153D">
        <w:rPr>
          <w:rFonts w:eastAsia="Calibri"/>
          <w:b/>
          <w:bCs/>
          <w:snapToGrid/>
          <w:kern w:val="0"/>
          <w:szCs w:val="22"/>
        </w:rPr>
        <w:t>B</w:t>
      </w:r>
      <w:r w:rsidRPr="002A153D">
        <w:rPr>
          <w:rFonts w:eastAsia="Calibri"/>
          <w:b/>
          <w:bCs/>
          <w:snapToGrid/>
          <w:kern w:val="0"/>
          <w:szCs w:val="22"/>
        </w:rPr>
        <w:t xml:space="preserve">. </w:t>
      </w:r>
      <w:r w:rsidRPr="002A153D">
        <w:rPr>
          <w:rFonts w:eastAsia="Calibri"/>
          <w:b/>
          <w:bCs/>
          <w:snapToGrid/>
          <w:kern w:val="0"/>
          <w:szCs w:val="22"/>
        </w:rPr>
        <w:tab/>
        <w:t>Domestic</w:t>
      </w:r>
    </w:p>
    <w:p w:rsidR="002719C9" w:rsidP="002719C9" w14:paraId="6AB29C5A" w14:textId="22DE13FA">
      <w:pPr>
        <w:widowControl/>
        <w:autoSpaceDE w:val="0"/>
        <w:autoSpaceDN w:val="0"/>
        <w:adjustRightInd w:val="0"/>
        <w:spacing w:after="120"/>
        <w:rPr>
          <w:rFonts w:eastAsia="Calibri"/>
          <w:snapToGrid/>
          <w:kern w:val="0"/>
        </w:rPr>
      </w:pPr>
      <w:r w:rsidRPr="229CB1D6">
        <w:rPr>
          <w:rFonts w:eastAsia="Calibri"/>
          <w:snapToGrid/>
          <w:kern w:val="0"/>
        </w:rPr>
        <w:t xml:space="preserve">The Wireline Competition Bureau grants the application filed by </w:t>
      </w:r>
      <w:r w:rsidR="00F44BA6">
        <w:rPr>
          <w:rFonts w:eastAsia="Calibri"/>
          <w:snapToGrid/>
          <w:kern w:val="0"/>
        </w:rPr>
        <w:t>Cox Enterprise, Inc., (CEI)</w:t>
      </w:r>
      <w:r w:rsidRPr="229CB1D6">
        <w:rPr>
          <w:rFonts w:eastAsia="Calibri"/>
          <w:snapToGrid/>
          <w:kern w:val="0"/>
        </w:rPr>
        <w:t xml:space="preserve"> and </w:t>
      </w:r>
      <w:r w:rsidR="003F403A">
        <w:rPr>
          <w:rFonts w:eastAsia="Calibri"/>
          <w:snapToGrid/>
          <w:kern w:val="0"/>
        </w:rPr>
        <w:t xml:space="preserve">Charter </w:t>
      </w:r>
      <w:r w:rsidRPr="229CB1D6">
        <w:rPr>
          <w:rFonts w:eastAsia="Calibri"/>
          <w:snapToGrid/>
          <w:kern w:val="0"/>
        </w:rPr>
        <w:t>Communications Inc. (</w:t>
      </w:r>
      <w:r w:rsidR="003F403A">
        <w:rPr>
          <w:rFonts w:eastAsia="Calibri"/>
          <w:snapToGrid/>
          <w:kern w:val="0"/>
        </w:rPr>
        <w:t>Chater</w:t>
      </w:r>
      <w:r w:rsidRPr="229CB1D6">
        <w:rPr>
          <w:rFonts w:eastAsia="Calibri"/>
          <w:snapToGrid/>
          <w:kern w:val="0"/>
        </w:rPr>
        <w:t>) to transfer control of domestic section 214 authority in WC Docket No. 25-</w:t>
      </w:r>
      <w:r w:rsidR="003F403A">
        <w:rPr>
          <w:rFonts w:eastAsia="Calibri"/>
          <w:snapToGrid/>
          <w:kern w:val="0"/>
        </w:rPr>
        <w:t>233</w:t>
      </w:r>
      <w:r w:rsidRPr="229CB1D6">
        <w:rPr>
          <w:rFonts w:eastAsia="Calibri"/>
          <w:snapToGrid/>
          <w:kern w:val="0"/>
        </w:rPr>
        <w:t>.</w:t>
      </w:r>
      <w:r>
        <w:rPr>
          <w:rStyle w:val="FootnoteReference"/>
          <w:rFonts w:eastAsia="Calibri"/>
          <w:snapToGrid/>
          <w:kern w:val="0"/>
        </w:rPr>
        <w:footnoteReference w:id="107"/>
      </w:r>
    </w:p>
    <w:p w:rsidR="002719C9" w:rsidRPr="002A153D" w:rsidP="002719C9" w14:paraId="61250D8C" w14:textId="56FEE3B2">
      <w:pPr>
        <w:widowControl/>
        <w:autoSpaceDE w:val="0"/>
        <w:autoSpaceDN w:val="0"/>
        <w:adjustRightInd w:val="0"/>
        <w:spacing w:after="120"/>
        <w:jc w:val="center"/>
        <w:rPr>
          <w:rFonts w:eastAsia="Calibri"/>
          <w:b/>
          <w:bCs/>
          <w:snapToGrid/>
          <w:kern w:val="0"/>
          <w:szCs w:val="22"/>
        </w:rPr>
      </w:pPr>
      <w:r>
        <w:rPr>
          <w:rFonts w:eastAsia="Calibri"/>
          <w:b/>
          <w:bCs/>
          <w:snapToGrid/>
          <w:kern w:val="0"/>
          <w:szCs w:val="22"/>
        </w:rPr>
        <w:t>CEI</w:t>
      </w:r>
      <w:r w:rsidRPr="003D1B06" w:rsidR="00EC67F6">
        <w:rPr>
          <w:rFonts w:eastAsia="Calibri"/>
          <w:b/>
          <w:bCs/>
          <w:snapToGrid/>
          <w:kern w:val="0"/>
          <w:szCs w:val="22"/>
        </w:rPr>
        <w:t xml:space="preserve"> Entities That Provide Service Pursuant to Blanket Domestic Section 214 Authority</w:t>
      </w:r>
    </w:p>
    <w:tbl>
      <w:tblPr>
        <w:tblW w:w="9365" w:type="dxa"/>
        <w:tblInd w:w="85" w:type="dxa"/>
        <w:tblLook w:val="04A0"/>
      </w:tblPr>
      <w:tblGrid>
        <w:gridCol w:w="4036"/>
        <w:gridCol w:w="2732"/>
        <w:gridCol w:w="1838"/>
        <w:gridCol w:w="759"/>
      </w:tblGrid>
      <w:tr w14:paraId="1B5B6F5C" w14:textId="77777777" w:rsidTr="00D83AAC">
        <w:tblPrEx>
          <w:tblW w:w="9365" w:type="dxa"/>
          <w:tblInd w:w="85" w:type="dxa"/>
          <w:tblLook w:val="04A0"/>
        </w:tblPrEx>
        <w:trPr>
          <w:tblHeader/>
        </w:trPr>
        <w:tc>
          <w:tcPr>
            <w:tcW w:w="4167" w:type="dxa"/>
          </w:tcPr>
          <w:p w:rsidR="006225C4" w:rsidRPr="00D83AAC" w:rsidP="00D83AAC" w14:paraId="52F4DFBF" w14:textId="4C3AB669">
            <w:pPr>
              <w:ind w:right="90"/>
              <w:rPr>
                <w:b/>
                <w:bCs/>
                <w:u w:val="single"/>
              </w:rPr>
            </w:pPr>
            <w:r w:rsidRPr="00D83AAC">
              <w:rPr>
                <w:b/>
                <w:bCs/>
                <w:u w:val="single"/>
              </w:rPr>
              <w:t>Authorization</w:t>
            </w:r>
            <w:r w:rsidRPr="00D83AAC" w:rsidR="00D83AAC">
              <w:rPr>
                <w:b/>
                <w:bCs/>
                <w:u w:val="single"/>
              </w:rPr>
              <w:t xml:space="preserve"> </w:t>
            </w:r>
            <w:r w:rsidRPr="00D83AAC">
              <w:rPr>
                <w:b/>
                <w:bCs/>
                <w:u w:val="single"/>
              </w:rPr>
              <w:t>Holder</w:t>
            </w:r>
          </w:p>
        </w:tc>
        <w:tc>
          <w:tcPr>
            <w:tcW w:w="2818" w:type="dxa"/>
          </w:tcPr>
          <w:p w:rsidR="006225C4" w:rsidRPr="00D83AAC" w:rsidP="00D83AAC" w14:paraId="173896E7" w14:textId="77777777">
            <w:pPr>
              <w:ind w:right="90"/>
              <w:rPr>
                <w:b/>
                <w:bCs/>
                <w:u w:val="single"/>
              </w:rPr>
            </w:pPr>
            <w:r w:rsidRPr="00D83AAC">
              <w:rPr>
                <w:b/>
                <w:bCs/>
                <w:u w:val="single"/>
              </w:rPr>
              <w:t>Jurisdiction of Formation</w:t>
            </w:r>
          </w:p>
        </w:tc>
        <w:tc>
          <w:tcPr>
            <w:tcW w:w="1886" w:type="dxa"/>
          </w:tcPr>
          <w:p w:rsidR="006225C4" w:rsidRPr="00D83AAC" w:rsidP="00D83AAC" w14:paraId="7016297D" w14:textId="5F23F8EB">
            <w:pPr>
              <w:ind w:right="90"/>
              <w:rPr>
                <w:b/>
                <w:bCs/>
                <w:u w:val="single"/>
              </w:rPr>
            </w:pPr>
            <w:r w:rsidRPr="00D83AAC">
              <w:rPr>
                <w:b/>
                <w:bCs/>
                <w:u w:val="single"/>
              </w:rPr>
              <w:t xml:space="preserve">Provider </w:t>
            </w:r>
            <w:r w:rsidRPr="00D83AAC" w:rsidR="00D83AAC">
              <w:rPr>
                <w:b/>
                <w:bCs/>
                <w:u w:val="single"/>
              </w:rPr>
              <w:t xml:space="preserve"> </w:t>
            </w:r>
            <w:r w:rsidRPr="00D83AAC">
              <w:rPr>
                <w:b/>
                <w:bCs/>
                <w:u w:val="single"/>
              </w:rPr>
              <w:t>Type</w:t>
            </w:r>
          </w:p>
        </w:tc>
        <w:tc>
          <w:tcPr>
            <w:tcW w:w="494" w:type="dxa"/>
          </w:tcPr>
          <w:p w:rsidR="006225C4" w:rsidRPr="00D83AAC" w:rsidP="00965894" w14:paraId="1D4280FF" w14:textId="77777777">
            <w:pPr>
              <w:ind w:right="90"/>
              <w:jc w:val="center"/>
              <w:rPr>
                <w:b/>
                <w:bCs/>
                <w:u w:val="single"/>
              </w:rPr>
            </w:pPr>
            <w:r w:rsidRPr="00D83AAC">
              <w:rPr>
                <w:b/>
                <w:bCs/>
                <w:u w:val="single"/>
              </w:rPr>
              <w:t>ETC</w:t>
            </w:r>
          </w:p>
        </w:tc>
      </w:tr>
      <w:tr w14:paraId="1B96C94F" w14:textId="77777777" w:rsidTr="00D83AAC">
        <w:tblPrEx>
          <w:tblW w:w="9365" w:type="dxa"/>
          <w:tblInd w:w="85" w:type="dxa"/>
          <w:tblLook w:val="04A0"/>
        </w:tblPrEx>
        <w:tc>
          <w:tcPr>
            <w:tcW w:w="4167" w:type="dxa"/>
          </w:tcPr>
          <w:p w:rsidR="006225C4" w:rsidP="00965894" w14:paraId="1DCBE328" w14:textId="77777777">
            <w:pPr>
              <w:ind w:right="90"/>
            </w:pPr>
            <w:r>
              <w:t>Cox Arizona Telcom, LLC</w:t>
            </w:r>
          </w:p>
        </w:tc>
        <w:tc>
          <w:tcPr>
            <w:tcW w:w="2818" w:type="dxa"/>
          </w:tcPr>
          <w:p w:rsidR="006225C4" w:rsidP="00965894" w14:paraId="31D63AFE" w14:textId="77777777">
            <w:pPr>
              <w:ind w:right="90"/>
              <w:jc w:val="center"/>
            </w:pPr>
            <w:r>
              <w:t>Delaware</w:t>
            </w:r>
          </w:p>
        </w:tc>
        <w:tc>
          <w:tcPr>
            <w:tcW w:w="1886" w:type="dxa"/>
          </w:tcPr>
          <w:p w:rsidR="006225C4" w:rsidP="00965894" w14:paraId="02A1E45D" w14:textId="77777777">
            <w:pPr>
              <w:ind w:right="90"/>
            </w:pPr>
            <w:r>
              <w:t>CLEC, IXC</w:t>
            </w:r>
          </w:p>
        </w:tc>
        <w:tc>
          <w:tcPr>
            <w:tcW w:w="494" w:type="dxa"/>
          </w:tcPr>
          <w:p w:rsidR="006225C4" w:rsidP="00965894" w14:paraId="17C27F35" w14:textId="77777777">
            <w:pPr>
              <w:ind w:right="90"/>
              <w:jc w:val="center"/>
            </w:pPr>
            <w:r>
              <w:t>Yes</w:t>
            </w:r>
          </w:p>
        </w:tc>
      </w:tr>
      <w:tr w14:paraId="457210C4" w14:textId="77777777" w:rsidTr="00D83AAC">
        <w:tblPrEx>
          <w:tblW w:w="9365" w:type="dxa"/>
          <w:tblInd w:w="85" w:type="dxa"/>
          <w:tblLook w:val="04A0"/>
        </w:tblPrEx>
        <w:tc>
          <w:tcPr>
            <w:tcW w:w="4167" w:type="dxa"/>
          </w:tcPr>
          <w:p w:rsidR="006225C4" w:rsidP="00965894" w14:paraId="02B596E6" w14:textId="77777777">
            <w:pPr>
              <w:ind w:right="90"/>
            </w:pPr>
            <w:r>
              <w:t>Cox Arkansas Telcom, LLC</w:t>
            </w:r>
          </w:p>
        </w:tc>
        <w:tc>
          <w:tcPr>
            <w:tcW w:w="2818" w:type="dxa"/>
          </w:tcPr>
          <w:p w:rsidR="006225C4" w:rsidP="00965894" w14:paraId="0B6A95B4" w14:textId="77777777">
            <w:pPr>
              <w:ind w:right="90"/>
              <w:jc w:val="center"/>
            </w:pPr>
            <w:r>
              <w:t>Delaware</w:t>
            </w:r>
          </w:p>
        </w:tc>
        <w:tc>
          <w:tcPr>
            <w:tcW w:w="1886" w:type="dxa"/>
          </w:tcPr>
          <w:p w:rsidR="006225C4" w:rsidP="00965894" w14:paraId="12FDCAF3" w14:textId="77777777">
            <w:pPr>
              <w:ind w:right="90"/>
            </w:pPr>
            <w:r>
              <w:t>CLEC, IXC</w:t>
            </w:r>
          </w:p>
        </w:tc>
        <w:tc>
          <w:tcPr>
            <w:tcW w:w="494" w:type="dxa"/>
          </w:tcPr>
          <w:p w:rsidR="006225C4" w:rsidP="00965894" w14:paraId="2D5F8B5C" w14:textId="77777777">
            <w:pPr>
              <w:ind w:right="90"/>
              <w:jc w:val="center"/>
            </w:pPr>
            <w:r>
              <w:t>Yes</w:t>
            </w:r>
          </w:p>
        </w:tc>
      </w:tr>
      <w:tr w14:paraId="7E1902A0" w14:textId="77777777" w:rsidTr="00D83AAC">
        <w:tblPrEx>
          <w:tblW w:w="9365" w:type="dxa"/>
          <w:tblInd w:w="85" w:type="dxa"/>
          <w:tblLook w:val="04A0"/>
        </w:tblPrEx>
        <w:tc>
          <w:tcPr>
            <w:tcW w:w="4167" w:type="dxa"/>
          </w:tcPr>
          <w:p w:rsidR="006225C4" w:rsidP="00965894" w14:paraId="43FA0436" w14:textId="77777777">
            <w:pPr>
              <w:ind w:right="90"/>
            </w:pPr>
            <w:r>
              <w:t>Cox California Telcom, LLC</w:t>
            </w:r>
          </w:p>
        </w:tc>
        <w:tc>
          <w:tcPr>
            <w:tcW w:w="2818" w:type="dxa"/>
          </w:tcPr>
          <w:p w:rsidR="006225C4" w:rsidP="00965894" w14:paraId="6980550B" w14:textId="77777777">
            <w:pPr>
              <w:ind w:right="90"/>
              <w:jc w:val="center"/>
            </w:pPr>
            <w:r>
              <w:t>Delaware</w:t>
            </w:r>
          </w:p>
        </w:tc>
        <w:tc>
          <w:tcPr>
            <w:tcW w:w="1886" w:type="dxa"/>
          </w:tcPr>
          <w:p w:rsidR="006225C4" w:rsidP="00965894" w14:paraId="7B4B877F" w14:textId="77777777">
            <w:pPr>
              <w:ind w:right="90"/>
            </w:pPr>
            <w:r>
              <w:t>CLEC, IXC</w:t>
            </w:r>
          </w:p>
        </w:tc>
        <w:tc>
          <w:tcPr>
            <w:tcW w:w="494" w:type="dxa"/>
          </w:tcPr>
          <w:p w:rsidR="006225C4" w:rsidP="00965894" w14:paraId="1B9A00AF" w14:textId="77777777">
            <w:pPr>
              <w:ind w:right="90"/>
              <w:jc w:val="center"/>
            </w:pPr>
            <w:r>
              <w:t>Yes</w:t>
            </w:r>
          </w:p>
        </w:tc>
      </w:tr>
      <w:tr w14:paraId="4E049B51" w14:textId="77777777" w:rsidTr="00D83AAC">
        <w:tblPrEx>
          <w:tblW w:w="9365" w:type="dxa"/>
          <w:tblInd w:w="85" w:type="dxa"/>
          <w:tblLook w:val="04A0"/>
        </w:tblPrEx>
        <w:tc>
          <w:tcPr>
            <w:tcW w:w="4167" w:type="dxa"/>
          </w:tcPr>
          <w:p w:rsidR="006225C4" w:rsidP="00965894" w14:paraId="2086B827" w14:textId="77777777">
            <w:pPr>
              <w:ind w:right="90"/>
            </w:pPr>
            <w:r>
              <w:t>Cox Colorado Telcom, LLC</w:t>
            </w:r>
          </w:p>
        </w:tc>
        <w:tc>
          <w:tcPr>
            <w:tcW w:w="2818" w:type="dxa"/>
          </w:tcPr>
          <w:p w:rsidR="006225C4" w:rsidP="00965894" w14:paraId="6B5365BD" w14:textId="77777777">
            <w:pPr>
              <w:ind w:right="90"/>
              <w:jc w:val="center"/>
            </w:pPr>
            <w:r>
              <w:t>Delaware</w:t>
            </w:r>
          </w:p>
        </w:tc>
        <w:tc>
          <w:tcPr>
            <w:tcW w:w="1886" w:type="dxa"/>
          </w:tcPr>
          <w:p w:rsidR="006225C4" w:rsidP="00965894" w14:paraId="7972FEFD" w14:textId="77777777">
            <w:pPr>
              <w:ind w:right="90"/>
            </w:pPr>
            <w:r>
              <w:t>CLEC, IXC</w:t>
            </w:r>
          </w:p>
        </w:tc>
        <w:tc>
          <w:tcPr>
            <w:tcW w:w="494" w:type="dxa"/>
          </w:tcPr>
          <w:p w:rsidR="006225C4" w:rsidP="00965894" w14:paraId="4BAD2F83" w14:textId="77777777">
            <w:pPr>
              <w:ind w:right="90"/>
              <w:jc w:val="center"/>
            </w:pPr>
            <w:r>
              <w:t>No</w:t>
            </w:r>
          </w:p>
        </w:tc>
      </w:tr>
      <w:tr w14:paraId="51A58CBF" w14:textId="77777777" w:rsidTr="00D83AAC">
        <w:tblPrEx>
          <w:tblW w:w="9365" w:type="dxa"/>
          <w:tblInd w:w="85" w:type="dxa"/>
          <w:tblLook w:val="04A0"/>
        </w:tblPrEx>
        <w:tc>
          <w:tcPr>
            <w:tcW w:w="4167" w:type="dxa"/>
          </w:tcPr>
          <w:p w:rsidR="006225C4" w:rsidP="00965894" w14:paraId="21C74D64" w14:textId="77777777">
            <w:pPr>
              <w:ind w:right="90"/>
            </w:pPr>
            <w:r>
              <w:t>Cox Connecticut Telcom, L.L.C.</w:t>
            </w:r>
          </w:p>
        </w:tc>
        <w:tc>
          <w:tcPr>
            <w:tcW w:w="2818" w:type="dxa"/>
          </w:tcPr>
          <w:p w:rsidR="006225C4" w:rsidP="00965894" w14:paraId="75F0BC6F" w14:textId="77777777">
            <w:pPr>
              <w:ind w:right="90"/>
              <w:jc w:val="center"/>
            </w:pPr>
            <w:r>
              <w:t>Delaware</w:t>
            </w:r>
          </w:p>
        </w:tc>
        <w:tc>
          <w:tcPr>
            <w:tcW w:w="1886" w:type="dxa"/>
          </w:tcPr>
          <w:p w:rsidR="006225C4" w:rsidP="00965894" w14:paraId="2F79D6A0" w14:textId="77777777">
            <w:pPr>
              <w:ind w:right="90"/>
            </w:pPr>
            <w:r>
              <w:t>CLEC, IXC</w:t>
            </w:r>
          </w:p>
        </w:tc>
        <w:tc>
          <w:tcPr>
            <w:tcW w:w="494" w:type="dxa"/>
          </w:tcPr>
          <w:p w:rsidR="006225C4" w:rsidP="00965894" w14:paraId="702B8BF8" w14:textId="77777777">
            <w:pPr>
              <w:ind w:right="90"/>
              <w:jc w:val="center"/>
            </w:pPr>
            <w:r>
              <w:t>No</w:t>
            </w:r>
          </w:p>
        </w:tc>
      </w:tr>
      <w:tr w14:paraId="46C87B9E" w14:textId="77777777" w:rsidTr="00D83AAC">
        <w:tblPrEx>
          <w:tblW w:w="9365" w:type="dxa"/>
          <w:tblInd w:w="85" w:type="dxa"/>
          <w:tblLook w:val="04A0"/>
        </w:tblPrEx>
        <w:tc>
          <w:tcPr>
            <w:tcW w:w="4167" w:type="dxa"/>
          </w:tcPr>
          <w:p w:rsidR="006225C4" w:rsidP="00965894" w14:paraId="57156BB4" w14:textId="77777777">
            <w:pPr>
              <w:ind w:right="90"/>
            </w:pPr>
            <w:r>
              <w:t>Cox District of Columbia Telcom, L.L.C.</w:t>
            </w:r>
          </w:p>
        </w:tc>
        <w:tc>
          <w:tcPr>
            <w:tcW w:w="2818" w:type="dxa"/>
          </w:tcPr>
          <w:p w:rsidR="006225C4" w:rsidP="00965894" w14:paraId="6BD1BCF1" w14:textId="77777777">
            <w:pPr>
              <w:ind w:right="90"/>
              <w:jc w:val="center"/>
            </w:pPr>
            <w:r>
              <w:t>Delaware</w:t>
            </w:r>
          </w:p>
        </w:tc>
        <w:tc>
          <w:tcPr>
            <w:tcW w:w="1886" w:type="dxa"/>
          </w:tcPr>
          <w:p w:rsidR="006225C4" w:rsidP="00965894" w14:paraId="684A609C" w14:textId="77777777">
            <w:pPr>
              <w:ind w:right="90"/>
            </w:pPr>
            <w:r>
              <w:t>CLEC</w:t>
            </w:r>
          </w:p>
        </w:tc>
        <w:tc>
          <w:tcPr>
            <w:tcW w:w="494" w:type="dxa"/>
          </w:tcPr>
          <w:p w:rsidR="006225C4" w:rsidP="00965894" w14:paraId="086932A4" w14:textId="77777777">
            <w:pPr>
              <w:ind w:right="90"/>
              <w:jc w:val="center"/>
            </w:pPr>
            <w:r>
              <w:t>No</w:t>
            </w:r>
          </w:p>
        </w:tc>
      </w:tr>
      <w:tr w14:paraId="5DC9C0C6" w14:textId="77777777" w:rsidTr="00D83AAC">
        <w:tblPrEx>
          <w:tblW w:w="9365" w:type="dxa"/>
          <w:tblInd w:w="85" w:type="dxa"/>
          <w:tblLook w:val="04A0"/>
        </w:tblPrEx>
        <w:tc>
          <w:tcPr>
            <w:tcW w:w="4167" w:type="dxa"/>
          </w:tcPr>
          <w:p w:rsidR="006225C4" w:rsidP="00965894" w14:paraId="143B4587" w14:textId="77777777">
            <w:pPr>
              <w:ind w:right="90"/>
            </w:pPr>
            <w:r>
              <w:t>Cox Florida Telcom, L.P.</w:t>
            </w:r>
          </w:p>
        </w:tc>
        <w:tc>
          <w:tcPr>
            <w:tcW w:w="2818" w:type="dxa"/>
          </w:tcPr>
          <w:p w:rsidR="006225C4" w:rsidP="00965894" w14:paraId="40E6F973" w14:textId="77777777">
            <w:pPr>
              <w:ind w:right="90"/>
              <w:jc w:val="center"/>
            </w:pPr>
            <w:r>
              <w:t>Delaware</w:t>
            </w:r>
          </w:p>
        </w:tc>
        <w:tc>
          <w:tcPr>
            <w:tcW w:w="1886" w:type="dxa"/>
          </w:tcPr>
          <w:p w:rsidR="006225C4" w:rsidP="00965894" w14:paraId="77FC8D76" w14:textId="77777777">
            <w:pPr>
              <w:ind w:right="90"/>
            </w:pPr>
            <w:r>
              <w:t>CLEC, IXC</w:t>
            </w:r>
          </w:p>
        </w:tc>
        <w:tc>
          <w:tcPr>
            <w:tcW w:w="494" w:type="dxa"/>
          </w:tcPr>
          <w:p w:rsidR="006225C4" w:rsidP="00965894" w14:paraId="2ECBDC28" w14:textId="77777777">
            <w:pPr>
              <w:ind w:right="90"/>
              <w:jc w:val="center"/>
            </w:pPr>
            <w:r>
              <w:t>No</w:t>
            </w:r>
          </w:p>
        </w:tc>
      </w:tr>
      <w:tr w14:paraId="61C1F985" w14:textId="77777777" w:rsidTr="00D83AAC">
        <w:tblPrEx>
          <w:tblW w:w="9365" w:type="dxa"/>
          <w:tblInd w:w="85" w:type="dxa"/>
          <w:tblLook w:val="04A0"/>
        </w:tblPrEx>
        <w:tc>
          <w:tcPr>
            <w:tcW w:w="4167" w:type="dxa"/>
          </w:tcPr>
          <w:p w:rsidR="006225C4" w:rsidP="00965894" w14:paraId="1FF54865" w14:textId="77777777">
            <w:pPr>
              <w:ind w:right="90"/>
            </w:pPr>
            <w:r>
              <w:t>Cox Georgia Telcom, L.L.C.</w:t>
            </w:r>
          </w:p>
        </w:tc>
        <w:tc>
          <w:tcPr>
            <w:tcW w:w="2818" w:type="dxa"/>
          </w:tcPr>
          <w:p w:rsidR="006225C4" w:rsidP="00965894" w14:paraId="1FE703B7" w14:textId="77777777">
            <w:pPr>
              <w:ind w:right="90"/>
              <w:jc w:val="center"/>
            </w:pPr>
            <w:r>
              <w:t>Delaware</w:t>
            </w:r>
          </w:p>
        </w:tc>
        <w:tc>
          <w:tcPr>
            <w:tcW w:w="1886" w:type="dxa"/>
          </w:tcPr>
          <w:p w:rsidR="006225C4" w:rsidP="00965894" w14:paraId="7C863FB8" w14:textId="77777777">
            <w:pPr>
              <w:ind w:right="90"/>
            </w:pPr>
            <w:r>
              <w:t>CLEC, IXC</w:t>
            </w:r>
          </w:p>
        </w:tc>
        <w:tc>
          <w:tcPr>
            <w:tcW w:w="494" w:type="dxa"/>
          </w:tcPr>
          <w:p w:rsidR="006225C4" w:rsidP="00965894" w14:paraId="4547778B" w14:textId="77777777">
            <w:pPr>
              <w:ind w:right="90"/>
              <w:jc w:val="center"/>
            </w:pPr>
            <w:r>
              <w:t>No</w:t>
            </w:r>
          </w:p>
        </w:tc>
      </w:tr>
      <w:tr w14:paraId="49F8956A" w14:textId="77777777" w:rsidTr="00D83AAC">
        <w:tblPrEx>
          <w:tblW w:w="9365" w:type="dxa"/>
          <w:tblInd w:w="85" w:type="dxa"/>
          <w:tblLook w:val="04A0"/>
        </w:tblPrEx>
        <w:tc>
          <w:tcPr>
            <w:tcW w:w="4167" w:type="dxa"/>
          </w:tcPr>
          <w:p w:rsidR="006225C4" w:rsidP="00965894" w14:paraId="698E3DFA" w14:textId="77777777">
            <w:pPr>
              <w:ind w:right="90"/>
            </w:pPr>
            <w:r>
              <w:t>Cox Idaho Telcom, L.L.C.</w:t>
            </w:r>
          </w:p>
        </w:tc>
        <w:tc>
          <w:tcPr>
            <w:tcW w:w="2818" w:type="dxa"/>
          </w:tcPr>
          <w:p w:rsidR="006225C4" w:rsidP="00965894" w14:paraId="10EC97C9" w14:textId="77777777">
            <w:pPr>
              <w:ind w:right="90"/>
              <w:jc w:val="center"/>
            </w:pPr>
            <w:r>
              <w:t>Delaware</w:t>
            </w:r>
          </w:p>
        </w:tc>
        <w:tc>
          <w:tcPr>
            <w:tcW w:w="1886" w:type="dxa"/>
          </w:tcPr>
          <w:p w:rsidR="006225C4" w:rsidP="00965894" w14:paraId="5F87A613" w14:textId="77777777">
            <w:pPr>
              <w:ind w:right="90"/>
            </w:pPr>
            <w:r>
              <w:t>CLEC, IXC</w:t>
            </w:r>
          </w:p>
        </w:tc>
        <w:tc>
          <w:tcPr>
            <w:tcW w:w="494" w:type="dxa"/>
          </w:tcPr>
          <w:p w:rsidR="006225C4" w:rsidP="00965894" w14:paraId="71FB1F9C" w14:textId="77777777">
            <w:pPr>
              <w:ind w:right="90"/>
              <w:jc w:val="center"/>
            </w:pPr>
            <w:r>
              <w:t>No</w:t>
            </w:r>
          </w:p>
        </w:tc>
      </w:tr>
      <w:tr w14:paraId="2B50491F" w14:textId="77777777" w:rsidTr="00D83AAC">
        <w:tblPrEx>
          <w:tblW w:w="9365" w:type="dxa"/>
          <w:tblInd w:w="85" w:type="dxa"/>
          <w:tblLook w:val="04A0"/>
        </w:tblPrEx>
        <w:tc>
          <w:tcPr>
            <w:tcW w:w="4167" w:type="dxa"/>
          </w:tcPr>
          <w:p w:rsidR="006225C4" w:rsidP="00965894" w14:paraId="6088D328" w14:textId="77777777">
            <w:pPr>
              <w:ind w:right="90"/>
            </w:pPr>
            <w:r>
              <w:t>Cox Iowa Telcom, LLC</w:t>
            </w:r>
          </w:p>
        </w:tc>
        <w:tc>
          <w:tcPr>
            <w:tcW w:w="2818" w:type="dxa"/>
          </w:tcPr>
          <w:p w:rsidR="006225C4" w:rsidP="00965894" w14:paraId="7C198297" w14:textId="77777777">
            <w:pPr>
              <w:ind w:right="90"/>
              <w:jc w:val="center"/>
            </w:pPr>
            <w:r>
              <w:t>Delaware</w:t>
            </w:r>
          </w:p>
        </w:tc>
        <w:tc>
          <w:tcPr>
            <w:tcW w:w="1886" w:type="dxa"/>
          </w:tcPr>
          <w:p w:rsidR="006225C4" w:rsidP="00965894" w14:paraId="79B3CB9F" w14:textId="77777777">
            <w:pPr>
              <w:ind w:right="90"/>
            </w:pPr>
            <w:r>
              <w:t>CLEC, IXC</w:t>
            </w:r>
          </w:p>
        </w:tc>
        <w:tc>
          <w:tcPr>
            <w:tcW w:w="494" w:type="dxa"/>
          </w:tcPr>
          <w:p w:rsidR="006225C4" w:rsidP="00965894" w14:paraId="01977AD7" w14:textId="77777777">
            <w:pPr>
              <w:ind w:right="90"/>
              <w:jc w:val="center"/>
            </w:pPr>
            <w:r>
              <w:t>No</w:t>
            </w:r>
          </w:p>
        </w:tc>
      </w:tr>
      <w:tr w14:paraId="130DEF9C" w14:textId="77777777" w:rsidTr="00D83AAC">
        <w:tblPrEx>
          <w:tblW w:w="9365" w:type="dxa"/>
          <w:tblInd w:w="85" w:type="dxa"/>
          <w:tblLook w:val="04A0"/>
        </w:tblPrEx>
        <w:tc>
          <w:tcPr>
            <w:tcW w:w="4167" w:type="dxa"/>
          </w:tcPr>
          <w:p w:rsidR="006225C4" w:rsidP="00965894" w14:paraId="4211FAE3" w14:textId="77777777">
            <w:pPr>
              <w:ind w:right="90"/>
            </w:pPr>
            <w:r>
              <w:t>Cox Kansas Telcom, L.L.C.</w:t>
            </w:r>
          </w:p>
        </w:tc>
        <w:tc>
          <w:tcPr>
            <w:tcW w:w="2818" w:type="dxa"/>
          </w:tcPr>
          <w:p w:rsidR="006225C4" w:rsidP="00965894" w14:paraId="46D2A687" w14:textId="77777777">
            <w:pPr>
              <w:ind w:right="90"/>
              <w:jc w:val="center"/>
            </w:pPr>
            <w:r>
              <w:t>Delaware</w:t>
            </w:r>
          </w:p>
        </w:tc>
        <w:tc>
          <w:tcPr>
            <w:tcW w:w="1886" w:type="dxa"/>
          </w:tcPr>
          <w:p w:rsidR="006225C4" w:rsidP="00965894" w14:paraId="1A4B52ED" w14:textId="77777777">
            <w:pPr>
              <w:ind w:right="90"/>
            </w:pPr>
            <w:r>
              <w:t>CLEC, IXC</w:t>
            </w:r>
          </w:p>
        </w:tc>
        <w:tc>
          <w:tcPr>
            <w:tcW w:w="494" w:type="dxa"/>
          </w:tcPr>
          <w:p w:rsidR="006225C4" w:rsidP="00965894" w14:paraId="56B90552" w14:textId="77777777">
            <w:pPr>
              <w:ind w:right="90"/>
              <w:jc w:val="center"/>
            </w:pPr>
            <w:r>
              <w:t>Yes</w:t>
            </w:r>
          </w:p>
        </w:tc>
      </w:tr>
      <w:tr w14:paraId="74982752" w14:textId="77777777" w:rsidTr="00D83AAC">
        <w:tblPrEx>
          <w:tblW w:w="9365" w:type="dxa"/>
          <w:tblInd w:w="85" w:type="dxa"/>
          <w:tblLook w:val="04A0"/>
        </w:tblPrEx>
        <w:tc>
          <w:tcPr>
            <w:tcW w:w="4167" w:type="dxa"/>
          </w:tcPr>
          <w:p w:rsidR="006225C4" w:rsidP="00965894" w14:paraId="18ADFED4" w14:textId="77777777">
            <w:pPr>
              <w:ind w:right="90"/>
            </w:pPr>
            <w:r>
              <w:t>Cox Louisiana Telcom, L.L.C.</w:t>
            </w:r>
          </w:p>
        </w:tc>
        <w:tc>
          <w:tcPr>
            <w:tcW w:w="2818" w:type="dxa"/>
          </w:tcPr>
          <w:p w:rsidR="006225C4" w:rsidP="00965894" w14:paraId="6615C59C" w14:textId="77777777">
            <w:pPr>
              <w:ind w:right="90"/>
              <w:jc w:val="center"/>
            </w:pPr>
            <w:r>
              <w:t>Delaware</w:t>
            </w:r>
          </w:p>
        </w:tc>
        <w:tc>
          <w:tcPr>
            <w:tcW w:w="1886" w:type="dxa"/>
          </w:tcPr>
          <w:p w:rsidR="006225C4" w:rsidP="00965894" w14:paraId="6C4ACD28" w14:textId="77777777">
            <w:pPr>
              <w:ind w:right="90"/>
            </w:pPr>
            <w:r>
              <w:t>CLEC, IXC</w:t>
            </w:r>
          </w:p>
        </w:tc>
        <w:tc>
          <w:tcPr>
            <w:tcW w:w="494" w:type="dxa"/>
          </w:tcPr>
          <w:p w:rsidR="006225C4" w:rsidP="00965894" w14:paraId="0CAD6F6C" w14:textId="77777777">
            <w:pPr>
              <w:ind w:right="90"/>
              <w:jc w:val="center"/>
            </w:pPr>
            <w:r>
              <w:t>Yes</w:t>
            </w:r>
          </w:p>
        </w:tc>
      </w:tr>
      <w:tr w14:paraId="0751C8DF" w14:textId="77777777" w:rsidTr="00D83AAC">
        <w:tblPrEx>
          <w:tblW w:w="9365" w:type="dxa"/>
          <w:tblInd w:w="85" w:type="dxa"/>
          <w:tblLook w:val="04A0"/>
        </w:tblPrEx>
        <w:tc>
          <w:tcPr>
            <w:tcW w:w="4167" w:type="dxa"/>
          </w:tcPr>
          <w:p w:rsidR="006225C4" w:rsidP="00965894" w14:paraId="0C2971A0" w14:textId="77777777">
            <w:pPr>
              <w:ind w:right="90"/>
            </w:pPr>
            <w:r>
              <w:t>Cox Maryland Telcom, L.L.C.</w:t>
            </w:r>
          </w:p>
        </w:tc>
        <w:tc>
          <w:tcPr>
            <w:tcW w:w="2818" w:type="dxa"/>
          </w:tcPr>
          <w:p w:rsidR="006225C4" w:rsidP="00965894" w14:paraId="2CF8ABEB" w14:textId="77777777">
            <w:pPr>
              <w:ind w:right="90"/>
              <w:jc w:val="center"/>
            </w:pPr>
            <w:r>
              <w:t>Delaware</w:t>
            </w:r>
          </w:p>
        </w:tc>
        <w:tc>
          <w:tcPr>
            <w:tcW w:w="1886" w:type="dxa"/>
          </w:tcPr>
          <w:p w:rsidR="006225C4" w:rsidP="00965894" w14:paraId="5AE810F7" w14:textId="77777777">
            <w:pPr>
              <w:ind w:right="90"/>
            </w:pPr>
            <w:r>
              <w:t>CLEC, IXC</w:t>
            </w:r>
          </w:p>
        </w:tc>
        <w:tc>
          <w:tcPr>
            <w:tcW w:w="494" w:type="dxa"/>
          </w:tcPr>
          <w:p w:rsidR="006225C4" w:rsidP="00965894" w14:paraId="13DFAF39" w14:textId="77777777">
            <w:pPr>
              <w:ind w:right="90"/>
              <w:jc w:val="center"/>
            </w:pPr>
            <w:r>
              <w:t>No</w:t>
            </w:r>
          </w:p>
        </w:tc>
      </w:tr>
      <w:tr w14:paraId="72541EE6" w14:textId="77777777" w:rsidTr="00D83AAC">
        <w:tblPrEx>
          <w:tblW w:w="9365" w:type="dxa"/>
          <w:tblInd w:w="85" w:type="dxa"/>
          <w:tblLook w:val="04A0"/>
        </w:tblPrEx>
        <w:tc>
          <w:tcPr>
            <w:tcW w:w="4167" w:type="dxa"/>
          </w:tcPr>
          <w:p w:rsidR="006225C4" w:rsidP="00965894" w14:paraId="6793B819" w14:textId="77777777">
            <w:pPr>
              <w:ind w:right="90"/>
            </w:pPr>
            <w:r>
              <w:t>Cox Missouri Telcom, LLC</w:t>
            </w:r>
          </w:p>
        </w:tc>
        <w:tc>
          <w:tcPr>
            <w:tcW w:w="2818" w:type="dxa"/>
          </w:tcPr>
          <w:p w:rsidR="006225C4" w:rsidP="00965894" w14:paraId="290A93EA" w14:textId="77777777">
            <w:pPr>
              <w:ind w:right="90"/>
              <w:jc w:val="center"/>
            </w:pPr>
            <w:r>
              <w:t>Delaware</w:t>
            </w:r>
          </w:p>
        </w:tc>
        <w:tc>
          <w:tcPr>
            <w:tcW w:w="1886" w:type="dxa"/>
          </w:tcPr>
          <w:p w:rsidR="006225C4" w:rsidP="00965894" w14:paraId="15D94304" w14:textId="77777777">
            <w:pPr>
              <w:ind w:right="90"/>
            </w:pPr>
            <w:r>
              <w:t>CLEC</w:t>
            </w:r>
          </w:p>
        </w:tc>
        <w:tc>
          <w:tcPr>
            <w:tcW w:w="494" w:type="dxa"/>
          </w:tcPr>
          <w:p w:rsidR="006225C4" w:rsidP="00965894" w14:paraId="4AEC9D1C" w14:textId="77777777">
            <w:pPr>
              <w:ind w:right="90"/>
              <w:jc w:val="center"/>
            </w:pPr>
            <w:r>
              <w:t>No</w:t>
            </w:r>
          </w:p>
        </w:tc>
      </w:tr>
      <w:tr w14:paraId="5AFEBCE9" w14:textId="77777777" w:rsidTr="00D83AAC">
        <w:tblPrEx>
          <w:tblW w:w="9365" w:type="dxa"/>
          <w:tblInd w:w="85" w:type="dxa"/>
          <w:tblLook w:val="04A0"/>
        </w:tblPrEx>
        <w:tc>
          <w:tcPr>
            <w:tcW w:w="4167" w:type="dxa"/>
          </w:tcPr>
          <w:p w:rsidR="006225C4" w:rsidP="00965894" w14:paraId="203254B1" w14:textId="77777777">
            <w:pPr>
              <w:ind w:right="90"/>
            </w:pPr>
            <w:r>
              <w:t>Cox Nebraska Telcom, L.L.C.</w:t>
            </w:r>
          </w:p>
        </w:tc>
        <w:tc>
          <w:tcPr>
            <w:tcW w:w="2818" w:type="dxa"/>
          </w:tcPr>
          <w:p w:rsidR="006225C4" w:rsidP="00965894" w14:paraId="45E7DCF2" w14:textId="77777777">
            <w:pPr>
              <w:ind w:right="90"/>
              <w:jc w:val="center"/>
            </w:pPr>
            <w:r>
              <w:t>Delaware</w:t>
            </w:r>
          </w:p>
        </w:tc>
        <w:tc>
          <w:tcPr>
            <w:tcW w:w="1886" w:type="dxa"/>
          </w:tcPr>
          <w:p w:rsidR="006225C4" w:rsidP="00965894" w14:paraId="6B14172A" w14:textId="77777777">
            <w:pPr>
              <w:ind w:right="90"/>
            </w:pPr>
            <w:r>
              <w:t>CLEC, IXC</w:t>
            </w:r>
          </w:p>
        </w:tc>
        <w:tc>
          <w:tcPr>
            <w:tcW w:w="494" w:type="dxa"/>
          </w:tcPr>
          <w:p w:rsidR="006225C4" w:rsidP="00965894" w14:paraId="7CC98BA2" w14:textId="77777777">
            <w:pPr>
              <w:ind w:right="90"/>
              <w:jc w:val="center"/>
            </w:pPr>
            <w:r>
              <w:t>Yes</w:t>
            </w:r>
          </w:p>
        </w:tc>
      </w:tr>
      <w:tr w14:paraId="66148CBF" w14:textId="77777777" w:rsidTr="00D83AAC">
        <w:tblPrEx>
          <w:tblW w:w="9365" w:type="dxa"/>
          <w:tblInd w:w="85" w:type="dxa"/>
          <w:tblLook w:val="04A0"/>
        </w:tblPrEx>
        <w:tc>
          <w:tcPr>
            <w:tcW w:w="4167" w:type="dxa"/>
          </w:tcPr>
          <w:p w:rsidR="006225C4" w:rsidP="00965894" w14:paraId="79A2289B" w14:textId="77777777">
            <w:pPr>
              <w:ind w:right="90"/>
            </w:pPr>
            <w:r>
              <w:t>Cox Nevada Telcom, L.L.C.</w:t>
            </w:r>
          </w:p>
        </w:tc>
        <w:tc>
          <w:tcPr>
            <w:tcW w:w="2818" w:type="dxa"/>
          </w:tcPr>
          <w:p w:rsidR="006225C4" w:rsidP="00965894" w14:paraId="5CFCCD13" w14:textId="77777777">
            <w:pPr>
              <w:ind w:right="90"/>
              <w:jc w:val="center"/>
            </w:pPr>
            <w:r>
              <w:t>Delaware</w:t>
            </w:r>
          </w:p>
        </w:tc>
        <w:tc>
          <w:tcPr>
            <w:tcW w:w="1886" w:type="dxa"/>
          </w:tcPr>
          <w:p w:rsidR="006225C4" w:rsidP="00965894" w14:paraId="69543B06" w14:textId="77777777">
            <w:pPr>
              <w:ind w:right="90"/>
            </w:pPr>
            <w:r>
              <w:t>CLEC, IXC</w:t>
            </w:r>
          </w:p>
        </w:tc>
        <w:tc>
          <w:tcPr>
            <w:tcW w:w="494" w:type="dxa"/>
          </w:tcPr>
          <w:p w:rsidR="006225C4" w:rsidP="00965894" w14:paraId="5F694F50" w14:textId="77777777">
            <w:pPr>
              <w:ind w:right="90"/>
              <w:jc w:val="center"/>
            </w:pPr>
            <w:r>
              <w:t>Yes</w:t>
            </w:r>
          </w:p>
        </w:tc>
      </w:tr>
      <w:tr w14:paraId="14D5324F" w14:textId="77777777" w:rsidTr="00D83AAC">
        <w:tblPrEx>
          <w:tblW w:w="9365" w:type="dxa"/>
          <w:tblInd w:w="85" w:type="dxa"/>
          <w:tblLook w:val="04A0"/>
        </w:tblPrEx>
        <w:tc>
          <w:tcPr>
            <w:tcW w:w="4167" w:type="dxa"/>
          </w:tcPr>
          <w:p w:rsidR="006225C4" w:rsidP="00965894" w14:paraId="3D686FAD" w14:textId="77777777">
            <w:pPr>
              <w:ind w:right="90"/>
            </w:pPr>
            <w:r>
              <w:t>Cox North Carolina Telcom, L.L.C.</w:t>
            </w:r>
          </w:p>
        </w:tc>
        <w:tc>
          <w:tcPr>
            <w:tcW w:w="2818" w:type="dxa"/>
          </w:tcPr>
          <w:p w:rsidR="006225C4" w:rsidP="00965894" w14:paraId="6A911616" w14:textId="77777777">
            <w:pPr>
              <w:ind w:right="90"/>
              <w:jc w:val="center"/>
            </w:pPr>
            <w:r>
              <w:t>Delaware</w:t>
            </w:r>
          </w:p>
        </w:tc>
        <w:tc>
          <w:tcPr>
            <w:tcW w:w="1886" w:type="dxa"/>
          </w:tcPr>
          <w:p w:rsidR="006225C4" w:rsidP="00965894" w14:paraId="5B094CD1" w14:textId="77777777">
            <w:pPr>
              <w:ind w:right="90"/>
            </w:pPr>
            <w:r>
              <w:t>CLEC</w:t>
            </w:r>
          </w:p>
        </w:tc>
        <w:tc>
          <w:tcPr>
            <w:tcW w:w="494" w:type="dxa"/>
          </w:tcPr>
          <w:p w:rsidR="006225C4" w:rsidP="00965894" w14:paraId="0ED4CD50" w14:textId="77777777">
            <w:pPr>
              <w:ind w:right="90"/>
              <w:jc w:val="center"/>
            </w:pPr>
            <w:r>
              <w:t>No</w:t>
            </w:r>
          </w:p>
        </w:tc>
      </w:tr>
      <w:tr w14:paraId="0DBD55D2" w14:textId="77777777" w:rsidTr="00D83AAC">
        <w:tblPrEx>
          <w:tblW w:w="9365" w:type="dxa"/>
          <w:tblInd w:w="85" w:type="dxa"/>
          <w:tblLook w:val="04A0"/>
        </w:tblPrEx>
        <w:tc>
          <w:tcPr>
            <w:tcW w:w="4167" w:type="dxa"/>
          </w:tcPr>
          <w:p w:rsidR="006225C4" w:rsidP="00965894" w14:paraId="51F7B5AC" w14:textId="77777777">
            <w:pPr>
              <w:ind w:right="90"/>
            </w:pPr>
            <w:r>
              <w:t>Cox Ohio Telcom, L.L.C.</w:t>
            </w:r>
          </w:p>
        </w:tc>
        <w:tc>
          <w:tcPr>
            <w:tcW w:w="2818" w:type="dxa"/>
          </w:tcPr>
          <w:p w:rsidR="006225C4" w:rsidP="00965894" w14:paraId="2701716F" w14:textId="77777777">
            <w:pPr>
              <w:ind w:right="90"/>
              <w:jc w:val="center"/>
            </w:pPr>
            <w:r>
              <w:t>Delaware</w:t>
            </w:r>
          </w:p>
        </w:tc>
        <w:tc>
          <w:tcPr>
            <w:tcW w:w="1886" w:type="dxa"/>
          </w:tcPr>
          <w:p w:rsidR="006225C4" w:rsidP="00965894" w14:paraId="7D698304" w14:textId="77777777">
            <w:pPr>
              <w:ind w:right="90"/>
            </w:pPr>
            <w:r>
              <w:t>CLEC, IXC</w:t>
            </w:r>
          </w:p>
        </w:tc>
        <w:tc>
          <w:tcPr>
            <w:tcW w:w="494" w:type="dxa"/>
          </w:tcPr>
          <w:p w:rsidR="006225C4" w:rsidP="00965894" w14:paraId="53D42C89" w14:textId="77777777">
            <w:pPr>
              <w:ind w:right="90"/>
              <w:jc w:val="center"/>
            </w:pPr>
            <w:r>
              <w:t>No</w:t>
            </w:r>
          </w:p>
        </w:tc>
      </w:tr>
      <w:tr w14:paraId="78E70027" w14:textId="77777777" w:rsidTr="00D83AAC">
        <w:tblPrEx>
          <w:tblW w:w="9365" w:type="dxa"/>
          <w:tblInd w:w="85" w:type="dxa"/>
          <w:tblLook w:val="04A0"/>
        </w:tblPrEx>
        <w:tc>
          <w:tcPr>
            <w:tcW w:w="4167" w:type="dxa"/>
          </w:tcPr>
          <w:p w:rsidR="006225C4" w:rsidP="00965894" w14:paraId="339208CB" w14:textId="77777777">
            <w:pPr>
              <w:ind w:right="90"/>
            </w:pPr>
            <w:r>
              <w:t>Cox Oklahoma Telcom, L.L.C.</w:t>
            </w:r>
          </w:p>
        </w:tc>
        <w:tc>
          <w:tcPr>
            <w:tcW w:w="2818" w:type="dxa"/>
          </w:tcPr>
          <w:p w:rsidR="006225C4" w:rsidP="00965894" w14:paraId="046833BC" w14:textId="77777777">
            <w:pPr>
              <w:ind w:right="90"/>
              <w:jc w:val="center"/>
            </w:pPr>
            <w:r>
              <w:t>Delaware</w:t>
            </w:r>
          </w:p>
        </w:tc>
        <w:tc>
          <w:tcPr>
            <w:tcW w:w="1886" w:type="dxa"/>
          </w:tcPr>
          <w:p w:rsidR="006225C4" w:rsidP="00965894" w14:paraId="2C955A90" w14:textId="77777777">
            <w:pPr>
              <w:ind w:right="90"/>
            </w:pPr>
            <w:r>
              <w:t>CLEC, IXC</w:t>
            </w:r>
          </w:p>
        </w:tc>
        <w:tc>
          <w:tcPr>
            <w:tcW w:w="494" w:type="dxa"/>
          </w:tcPr>
          <w:p w:rsidR="006225C4" w:rsidP="00965894" w14:paraId="78C000AE" w14:textId="77777777">
            <w:pPr>
              <w:ind w:right="90"/>
              <w:jc w:val="center"/>
            </w:pPr>
            <w:r>
              <w:t>Yes</w:t>
            </w:r>
          </w:p>
        </w:tc>
      </w:tr>
      <w:tr w14:paraId="7B7B9A1F" w14:textId="77777777" w:rsidTr="00D83AAC">
        <w:tblPrEx>
          <w:tblW w:w="9365" w:type="dxa"/>
          <w:tblInd w:w="85" w:type="dxa"/>
          <w:tblLook w:val="04A0"/>
        </w:tblPrEx>
        <w:tc>
          <w:tcPr>
            <w:tcW w:w="4167" w:type="dxa"/>
          </w:tcPr>
          <w:p w:rsidR="006225C4" w:rsidP="00965894" w14:paraId="50FDDC91" w14:textId="77777777">
            <w:pPr>
              <w:ind w:right="90"/>
            </w:pPr>
            <w:r>
              <w:t>Cox Rhode Island Telcom, L.L.C.</w:t>
            </w:r>
          </w:p>
        </w:tc>
        <w:tc>
          <w:tcPr>
            <w:tcW w:w="2818" w:type="dxa"/>
          </w:tcPr>
          <w:p w:rsidR="006225C4" w:rsidP="00965894" w14:paraId="36037F04" w14:textId="77777777">
            <w:pPr>
              <w:ind w:right="90"/>
              <w:jc w:val="center"/>
            </w:pPr>
            <w:r>
              <w:t>Delaware</w:t>
            </w:r>
          </w:p>
        </w:tc>
        <w:tc>
          <w:tcPr>
            <w:tcW w:w="1886" w:type="dxa"/>
          </w:tcPr>
          <w:p w:rsidR="006225C4" w:rsidP="00965894" w14:paraId="3F2C9C36" w14:textId="77777777">
            <w:pPr>
              <w:ind w:right="90"/>
            </w:pPr>
            <w:r>
              <w:t>CLEC, IXC</w:t>
            </w:r>
          </w:p>
        </w:tc>
        <w:tc>
          <w:tcPr>
            <w:tcW w:w="494" w:type="dxa"/>
          </w:tcPr>
          <w:p w:rsidR="006225C4" w:rsidP="00965894" w14:paraId="2D71A2B4" w14:textId="77777777">
            <w:pPr>
              <w:ind w:right="90"/>
              <w:jc w:val="center"/>
            </w:pPr>
            <w:r>
              <w:t>No</w:t>
            </w:r>
          </w:p>
        </w:tc>
      </w:tr>
      <w:tr w14:paraId="209C53B0" w14:textId="77777777" w:rsidTr="00D83AAC">
        <w:tblPrEx>
          <w:tblW w:w="9365" w:type="dxa"/>
          <w:tblInd w:w="85" w:type="dxa"/>
          <w:tblLook w:val="04A0"/>
        </w:tblPrEx>
        <w:tc>
          <w:tcPr>
            <w:tcW w:w="4167" w:type="dxa"/>
          </w:tcPr>
          <w:p w:rsidR="006225C4" w:rsidP="00965894" w14:paraId="4FD48315" w14:textId="77777777">
            <w:pPr>
              <w:ind w:right="90"/>
            </w:pPr>
            <w:r>
              <w:t>Cox Strategic Services, LLC</w:t>
            </w:r>
          </w:p>
        </w:tc>
        <w:tc>
          <w:tcPr>
            <w:tcW w:w="2818" w:type="dxa"/>
          </w:tcPr>
          <w:p w:rsidR="006225C4" w:rsidP="00965894" w14:paraId="26B5A528" w14:textId="77777777">
            <w:pPr>
              <w:ind w:right="90"/>
              <w:jc w:val="center"/>
            </w:pPr>
            <w:r>
              <w:t>Delaware</w:t>
            </w:r>
          </w:p>
        </w:tc>
        <w:tc>
          <w:tcPr>
            <w:tcW w:w="1886" w:type="dxa"/>
          </w:tcPr>
          <w:p w:rsidR="006225C4" w:rsidP="00965894" w14:paraId="218DB1EB" w14:textId="77777777">
            <w:pPr>
              <w:ind w:right="90"/>
            </w:pPr>
            <w:r>
              <w:t>CLEC</w:t>
            </w:r>
          </w:p>
        </w:tc>
        <w:tc>
          <w:tcPr>
            <w:tcW w:w="494" w:type="dxa"/>
          </w:tcPr>
          <w:p w:rsidR="006225C4" w:rsidP="00965894" w14:paraId="53EF5BA9" w14:textId="77777777">
            <w:pPr>
              <w:ind w:right="90"/>
              <w:jc w:val="center"/>
            </w:pPr>
            <w:r>
              <w:t>No</w:t>
            </w:r>
          </w:p>
        </w:tc>
      </w:tr>
      <w:tr w14:paraId="7C0B9644" w14:textId="77777777" w:rsidTr="00D83AAC">
        <w:tblPrEx>
          <w:tblW w:w="9365" w:type="dxa"/>
          <w:tblInd w:w="85" w:type="dxa"/>
          <w:tblLook w:val="04A0"/>
        </w:tblPrEx>
        <w:tc>
          <w:tcPr>
            <w:tcW w:w="4167" w:type="dxa"/>
          </w:tcPr>
          <w:p w:rsidR="006225C4" w:rsidP="00965894" w14:paraId="284352FE" w14:textId="77777777">
            <w:pPr>
              <w:ind w:right="90"/>
            </w:pPr>
            <w:r>
              <w:t>Cox Virginia Telcom, L.L.C.</w:t>
            </w:r>
          </w:p>
        </w:tc>
        <w:tc>
          <w:tcPr>
            <w:tcW w:w="2818" w:type="dxa"/>
          </w:tcPr>
          <w:p w:rsidR="006225C4" w:rsidP="00965894" w14:paraId="39D39BC3" w14:textId="77777777">
            <w:pPr>
              <w:ind w:right="90"/>
              <w:jc w:val="center"/>
            </w:pPr>
            <w:r>
              <w:t>Virginia</w:t>
            </w:r>
          </w:p>
        </w:tc>
        <w:tc>
          <w:tcPr>
            <w:tcW w:w="1886" w:type="dxa"/>
          </w:tcPr>
          <w:p w:rsidR="006225C4" w:rsidP="00965894" w14:paraId="060B583E" w14:textId="77777777">
            <w:pPr>
              <w:ind w:right="90"/>
            </w:pPr>
            <w:r>
              <w:t>CLEC, IXC</w:t>
            </w:r>
          </w:p>
        </w:tc>
        <w:tc>
          <w:tcPr>
            <w:tcW w:w="494" w:type="dxa"/>
          </w:tcPr>
          <w:p w:rsidR="006225C4" w:rsidP="00965894" w14:paraId="7C44F22D" w14:textId="77777777">
            <w:pPr>
              <w:ind w:right="90"/>
              <w:jc w:val="center"/>
            </w:pPr>
            <w:r>
              <w:t>Yes</w:t>
            </w:r>
          </w:p>
        </w:tc>
      </w:tr>
      <w:tr w14:paraId="2939EDF1" w14:textId="77777777" w:rsidTr="00D83AAC">
        <w:tblPrEx>
          <w:tblW w:w="9365" w:type="dxa"/>
          <w:tblInd w:w="85" w:type="dxa"/>
          <w:tblLook w:val="04A0"/>
        </w:tblPrEx>
        <w:tc>
          <w:tcPr>
            <w:tcW w:w="4167" w:type="dxa"/>
          </w:tcPr>
          <w:p w:rsidR="006225C4" w:rsidP="00965894" w14:paraId="63909A86" w14:textId="77777777">
            <w:pPr>
              <w:ind w:right="90"/>
            </w:pPr>
            <w:r>
              <w:t>FiberNet</w:t>
            </w:r>
            <w:r>
              <w:t xml:space="preserve"> Telecommunications of </w:t>
            </w:r>
            <w:r>
              <w:t>Pennsylvania, LLC</w:t>
            </w:r>
          </w:p>
        </w:tc>
        <w:tc>
          <w:tcPr>
            <w:tcW w:w="2818" w:type="dxa"/>
          </w:tcPr>
          <w:p w:rsidR="006225C4" w:rsidP="00965894" w14:paraId="3D84EF35" w14:textId="77777777">
            <w:pPr>
              <w:ind w:right="90"/>
              <w:jc w:val="center"/>
            </w:pPr>
            <w:r>
              <w:t>Pennsylvania</w:t>
            </w:r>
          </w:p>
        </w:tc>
        <w:tc>
          <w:tcPr>
            <w:tcW w:w="1886" w:type="dxa"/>
          </w:tcPr>
          <w:p w:rsidR="006225C4" w:rsidP="00965894" w14:paraId="2FD986A4" w14:textId="77777777">
            <w:pPr>
              <w:ind w:right="90"/>
            </w:pPr>
            <w:r>
              <w:t>CLEC, IXC</w:t>
            </w:r>
          </w:p>
        </w:tc>
        <w:tc>
          <w:tcPr>
            <w:tcW w:w="494" w:type="dxa"/>
          </w:tcPr>
          <w:p w:rsidR="006225C4" w:rsidP="00965894" w14:paraId="470F18DF" w14:textId="77777777">
            <w:pPr>
              <w:ind w:right="90"/>
              <w:jc w:val="center"/>
            </w:pPr>
            <w:r>
              <w:t>No</w:t>
            </w:r>
          </w:p>
        </w:tc>
      </w:tr>
      <w:tr w14:paraId="0C692073" w14:textId="77777777" w:rsidTr="00D83AAC">
        <w:tblPrEx>
          <w:tblW w:w="9365" w:type="dxa"/>
          <w:tblInd w:w="85" w:type="dxa"/>
          <w:tblLook w:val="04A0"/>
        </w:tblPrEx>
        <w:tc>
          <w:tcPr>
            <w:tcW w:w="4167" w:type="dxa"/>
          </w:tcPr>
          <w:p w:rsidR="006225C4" w:rsidP="00965894" w14:paraId="2E6A029B" w14:textId="77777777">
            <w:pPr>
              <w:ind w:right="90"/>
            </w:pPr>
            <w:r>
              <w:t>FiberNet</w:t>
            </w:r>
            <w:r>
              <w:t xml:space="preserve"> of Ohio, LLC</w:t>
            </w:r>
          </w:p>
        </w:tc>
        <w:tc>
          <w:tcPr>
            <w:tcW w:w="2818" w:type="dxa"/>
          </w:tcPr>
          <w:p w:rsidR="006225C4" w:rsidP="00965894" w14:paraId="33F2B5CC" w14:textId="77777777">
            <w:pPr>
              <w:ind w:right="90"/>
              <w:jc w:val="center"/>
            </w:pPr>
            <w:r>
              <w:t>Ohio</w:t>
            </w:r>
          </w:p>
        </w:tc>
        <w:tc>
          <w:tcPr>
            <w:tcW w:w="1886" w:type="dxa"/>
          </w:tcPr>
          <w:p w:rsidR="006225C4" w:rsidP="00965894" w14:paraId="01352383" w14:textId="77777777">
            <w:pPr>
              <w:ind w:right="90"/>
            </w:pPr>
            <w:r>
              <w:t>CLEC, IXC</w:t>
            </w:r>
          </w:p>
        </w:tc>
        <w:tc>
          <w:tcPr>
            <w:tcW w:w="494" w:type="dxa"/>
          </w:tcPr>
          <w:p w:rsidR="006225C4" w:rsidP="00965894" w14:paraId="6EA0083E" w14:textId="77777777">
            <w:pPr>
              <w:ind w:right="90"/>
              <w:jc w:val="center"/>
            </w:pPr>
            <w:r>
              <w:t>No</w:t>
            </w:r>
          </w:p>
        </w:tc>
      </w:tr>
      <w:tr w14:paraId="5257245F" w14:textId="77777777" w:rsidTr="00D83AAC">
        <w:tblPrEx>
          <w:tblW w:w="9365" w:type="dxa"/>
          <w:tblInd w:w="85" w:type="dxa"/>
          <w:tblLook w:val="04A0"/>
        </w:tblPrEx>
        <w:tc>
          <w:tcPr>
            <w:tcW w:w="4167" w:type="dxa"/>
          </w:tcPr>
          <w:p w:rsidR="006225C4" w:rsidP="00965894" w14:paraId="380E866A" w14:textId="77777777">
            <w:pPr>
              <w:ind w:right="90"/>
            </w:pPr>
            <w:r>
              <w:t>FRC, LLC</w:t>
            </w:r>
          </w:p>
        </w:tc>
        <w:tc>
          <w:tcPr>
            <w:tcW w:w="2818" w:type="dxa"/>
          </w:tcPr>
          <w:p w:rsidR="006225C4" w:rsidP="00965894" w14:paraId="2047518C" w14:textId="77777777">
            <w:pPr>
              <w:ind w:right="90"/>
              <w:jc w:val="center"/>
            </w:pPr>
            <w:r>
              <w:t>South Carolina</w:t>
            </w:r>
          </w:p>
        </w:tc>
        <w:tc>
          <w:tcPr>
            <w:tcW w:w="1886" w:type="dxa"/>
          </w:tcPr>
          <w:p w:rsidR="006225C4" w:rsidP="00965894" w14:paraId="6B1034CF" w14:textId="77777777">
            <w:pPr>
              <w:ind w:right="90"/>
            </w:pPr>
            <w:r>
              <w:t>CLEC, IXC</w:t>
            </w:r>
          </w:p>
        </w:tc>
        <w:tc>
          <w:tcPr>
            <w:tcW w:w="494" w:type="dxa"/>
          </w:tcPr>
          <w:p w:rsidR="006225C4" w:rsidP="00965894" w14:paraId="67C6D7F1" w14:textId="77777777">
            <w:pPr>
              <w:ind w:right="90"/>
              <w:jc w:val="center"/>
            </w:pPr>
            <w:r>
              <w:t>No</w:t>
            </w:r>
          </w:p>
        </w:tc>
      </w:tr>
      <w:tr w14:paraId="3B968F05" w14:textId="77777777" w:rsidTr="00D83AAC">
        <w:tblPrEx>
          <w:tblW w:w="9365" w:type="dxa"/>
          <w:tblInd w:w="85" w:type="dxa"/>
          <w:tblLook w:val="04A0"/>
        </w:tblPrEx>
        <w:tc>
          <w:tcPr>
            <w:tcW w:w="4167" w:type="dxa"/>
          </w:tcPr>
          <w:p w:rsidR="006225C4" w:rsidP="00965894" w14:paraId="741B38F5" w14:textId="77777777">
            <w:pPr>
              <w:ind w:right="90"/>
            </w:pPr>
            <w:r>
              <w:t>LMK Communications LLC</w:t>
            </w:r>
          </w:p>
        </w:tc>
        <w:tc>
          <w:tcPr>
            <w:tcW w:w="2818" w:type="dxa"/>
          </w:tcPr>
          <w:p w:rsidR="006225C4" w:rsidP="00965894" w14:paraId="53651726" w14:textId="77777777">
            <w:pPr>
              <w:ind w:right="90"/>
              <w:jc w:val="center"/>
            </w:pPr>
            <w:r>
              <w:t>North Carolina</w:t>
            </w:r>
          </w:p>
        </w:tc>
        <w:tc>
          <w:tcPr>
            <w:tcW w:w="1886" w:type="dxa"/>
          </w:tcPr>
          <w:p w:rsidR="006225C4" w:rsidP="00965894" w14:paraId="6835E84A" w14:textId="77777777">
            <w:pPr>
              <w:ind w:right="90"/>
            </w:pPr>
            <w:r>
              <w:t>CLEC, IXC</w:t>
            </w:r>
          </w:p>
        </w:tc>
        <w:tc>
          <w:tcPr>
            <w:tcW w:w="494" w:type="dxa"/>
          </w:tcPr>
          <w:p w:rsidR="006225C4" w:rsidP="00965894" w14:paraId="771D56C4" w14:textId="77777777">
            <w:pPr>
              <w:ind w:right="90"/>
              <w:jc w:val="center"/>
            </w:pPr>
            <w:r>
              <w:t>No</w:t>
            </w:r>
          </w:p>
        </w:tc>
      </w:tr>
      <w:tr w14:paraId="4202B79E" w14:textId="77777777" w:rsidTr="00D83AAC">
        <w:tblPrEx>
          <w:tblW w:w="9365" w:type="dxa"/>
          <w:tblInd w:w="85" w:type="dxa"/>
          <w:tblLook w:val="04A0"/>
        </w:tblPrEx>
        <w:tc>
          <w:tcPr>
            <w:tcW w:w="4167" w:type="dxa"/>
          </w:tcPr>
          <w:p w:rsidR="006225C4" w:rsidP="00965894" w14:paraId="19F9895C" w14:textId="77777777">
            <w:pPr>
              <w:ind w:right="90"/>
            </w:pPr>
            <w:r>
              <w:t>Lumos Networks of West Virginia Inc.</w:t>
            </w:r>
          </w:p>
        </w:tc>
        <w:tc>
          <w:tcPr>
            <w:tcW w:w="2818" w:type="dxa"/>
          </w:tcPr>
          <w:p w:rsidR="006225C4" w:rsidP="00965894" w14:paraId="15176065" w14:textId="77777777">
            <w:pPr>
              <w:ind w:right="90"/>
              <w:jc w:val="center"/>
            </w:pPr>
            <w:r>
              <w:t>Virginia</w:t>
            </w:r>
          </w:p>
        </w:tc>
        <w:tc>
          <w:tcPr>
            <w:tcW w:w="1886" w:type="dxa"/>
          </w:tcPr>
          <w:p w:rsidR="006225C4" w:rsidP="00965894" w14:paraId="3CD9D197" w14:textId="77777777">
            <w:pPr>
              <w:ind w:right="90"/>
            </w:pPr>
            <w:r>
              <w:t>CLEC, IXC</w:t>
            </w:r>
          </w:p>
        </w:tc>
        <w:tc>
          <w:tcPr>
            <w:tcW w:w="494" w:type="dxa"/>
          </w:tcPr>
          <w:p w:rsidR="006225C4" w:rsidP="00965894" w14:paraId="0B4A71F7" w14:textId="77777777">
            <w:pPr>
              <w:ind w:right="90"/>
              <w:jc w:val="center"/>
            </w:pPr>
            <w:r>
              <w:t>No</w:t>
            </w:r>
          </w:p>
        </w:tc>
      </w:tr>
      <w:tr w14:paraId="3E3307AE" w14:textId="77777777" w:rsidTr="00D83AAC">
        <w:tblPrEx>
          <w:tblW w:w="9365" w:type="dxa"/>
          <w:tblInd w:w="85" w:type="dxa"/>
          <w:tblLook w:val="04A0"/>
        </w:tblPrEx>
        <w:tc>
          <w:tcPr>
            <w:tcW w:w="4167" w:type="dxa"/>
          </w:tcPr>
          <w:p w:rsidR="006225C4" w:rsidP="00965894" w14:paraId="7D4B0CA6" w14:textId="77777777">
            <w:pPr>
              <w:ind w:right="90"/>
            </w:pPr>
            <w:r>
              <w:t>Lumos Networks, Inc.</w:t>
            </w:r>
          </w:p>
        </w:tc>
        <w:tc>
          <w:tcPr>
            <w:tcW w:w="2818" w:type="dxa"/>
          </w:tcPr>
          <w:p w:rsidR="006225C4" w:rsidP="00965894" w14:paraId="43313DDB" w14:textId="77777777">
            <w:pPr>
              <w:ind w:right="90"/>
              <w:jc w:val="center"/>
            </w:pPr>
            <w:r>
              <w:t>Virginia</w:t>
            </w:r>
          </w:p>
        </w:tc>
        <w:tc>
          <w:tcPr>
            <w:tcW w:w="1886" w:type="dxa"/>
          </w:tcPr>
          <w:p w:rsidR="006225C4" w:rsidP="00965894" w14:paraId="531ED6A5" w14:textId="77777777">
            <w:pPr>
              <w:ind w:right="90"/>
            </w:pPr>
            <w:r>
              <w:t>CLEC, IXC</w:t>
            </w:r>
          </w:p>
        </w:tc>
        <w:tc>
          <w:tcPr>
            <w:tcW w:w="494" w:type="dxa"/>
          </w:tcPr>
          <w:p w:rsidR="006225C4" w:rsidP="00965894" w14:paraId="611D5AD8" w14:textId="77777777">
            <w:pPr>
              <w:ind w:right="90"/>
              <w:jc w:val="center"/>
            </w:pPr>
            <w:r>
              <w:t>No</w:t>
            </w:r>
          </w:p>
        </w:tc>
      </w:tr>
      <w:tr w14:paraId="03D95778" w14:textId="77777777" w:rsidTr="00D83AAC">
        <w:tblPrEx>
          <w:tblW w:w="9365" w:type="dxa"/>
          <w:tblInd w:w="85" w:type="dxa"/>
          <w:tblLook w:val="04A0"/>
        </w:tblPrEx>
        <w:tc>
          <w:tcPr>
            <w:tcW w:w="4167" w:type="dxa"/>
          </w:tcPr>
          <w:p w:rsidR="006225C4" w:rsidP="00965894" w14:paraId="46BA77AD" w14:textId="77777777">
            <w:pPr>
              <w:ind w:right="90"/>
            </w:pPr>
            <w:r>
              <w:t>Lumos Networks, LLC</w:t>
            </w:r>
          </w:p>
        </w:tc>
        <w:tc>
          <w:tcPr>
            <w:tcW w:w="2818" w:type="dxa"/>
          </w:tcPr>
          <w:p w:rsidR="006225C4" w:rsidP="00965894" w14:paraId="7A8DFD0A" w14:textId="77777777">
            <w:pPr>
              <w:ind w:right="90"/>
              <w:jc w:val="center"/>
            </w:pPr>
            <w:r>
              <w:t>West Virginia</w:t>
            </w:r>
          </w:p>
        </w:tc>
        <w:tc>
          <w:tcPr>
            <w:tcW w:w="1886" w:type="dxa"/>
          </w:tcPr>
          <w:p w:rsidR="006225C4" w:rsidP="00965894" w14:paraId="343156A1" w14:textId="77777777">
            <w:pPr>
              <w:ind w:right="90"/>
            </w:pPr>
            <w:r>
              <w:t>CLEC, IXC</w:t>
            </w:r>
          </w:p>
        </w:tc>
        <w:tc>
          <w:tcPr>
            <w:tcW w:w="494" w:type="dxa"/>
          </w:tcPr>
          <w:p w:rsidR="006225C4" w:rsidP="00965894" w14:paraId="63D52AD7" w14:textId="77777777">
            <w:pPr>
              <w:ind w:right="90"/>
              <w:jc w:val="center"/>
            </w:pPr>
            <w:r>
              <w:t>No</w:t>
            </w:r>
          </w:p>
        </w:tc>
      </w:tr>
      <w:tr w14:paraId="5276ACA5" w14:textId="77777777" w:rsidTr="00D83AAC">
        <w:tblPrEx>
          <w:tblW w:w="9365" w:type="dxa"/>
          <w:tblInd w:w="85" w:type="dxa"/>
          <w:tblLook w:val="04A0"/>
        </w:tblPrEx>
        <w:tc>
          <w:tcPr>
            <w:tcW w:w="4167" w:type="dxa"/>
          </w:tcPr>
          <w:p w:rsidR="006225C4" w:rsidP="00965894" w14:paraId="43FD5682" w14:textId="77777777">
            <w:pPr>
              <w:ind w:right="90"/>
            </w:pPr>
            <w:r>
              <w:t>Lumos Networks Operating Company</w:t>
            </w:r>
          </w:p>
        </w:tc>
        <w:tc>
          <w:tcPr>
            <w:tcW w:w="2818" w:type="dxa"/>
          </w:tcPr>
          <w:p w:rsidR="006225C4" w:rsidP="00965894" w14:paraId="68EC90BE" w14:textId="77777777">
            <w:pPr>
              <w:ind w:right="90"/>
              <w:jc w:val="center"/>
            </w:pPr>
            <w:r>
              <w:t>Delaware</w:t>
            </w:r>
          </w:p>
        </w:tc>
        <w:tc>
          <w:tcPr>
            <w:tcW w:w="1886" w:type="dxa"/>
          </w:tcPr>
          <w:p w:rsidR="006225C4" w:rsidP="00965894" w14:paraId="5679A8DB" w14:textId="77777777">
            <w:pPr>
              <w:ind w:right="90"/>
            </w:pPr>
            <w:r>
              <w:t>None</w:t>
            </w:r>
          </w:p>
        </w:tc>
        <w:tc>
          <w:tcPr>
            <w:tcW w:w="494" w:type="dxa"/>
          </w:tcPr>
          <w:p w:rsidR="006225C4" w:rsidP="00965894" w14:paraId="144FBF9D" w14:textId="77777777">
            <w:pPr>
              <w:ind w:right="90"/>
              <w:jc w:val="center"/>
            </w:pPr>
            <w:r>
              <w:t>No</w:t>
            </w:r>
          </w:p>
        </w:tc>
      </w:tr>
      <w:tr w14:paraId="4392C662" w14:textId="77777777" w:rsidTr="00D83AAC">
        <w:tblPrEx>
          <w:tblW w:w="9365" w:type="dxa"/>
          <w:tblInd w:w="85" w:type="dxa"/>
          <w:tblLook w:val="04A0"/>
        </w:tblPrEx>
        <w:tc>
          <w:tcPr>
            <w:tcW w:w="4167" w:type="dxa"/>
          </w:tcPr>
          <w:p w:rsidR="006225C4" w:rsidP="00965894" w14:paraId="2DCA2224" w14:textId="77777777">
            <w:pPr>
              <w:ind w:right="90"/>
            </w:pPr>
            <w:r>
              <w:t>PalmettoNet</w:t>
            </w:r>
            <w:r>
              <w:t>, Inc.</w:t>
            </w:r>
          </w:p>
        </w:tc>
        <w:tc>
          <w:tcPr>
            <w:tcW w:w="2818" w:type="dxa"/>
          </w:tcPr>
          <w:p w:rsidR="006225C4" w:rsidP="00965894" w14:paraId="3E8C7DA5" w14:textId="77777777">
            <w:pPr>
              <w:ind w:right="90"/>
              <w:jc w:val="center"/>
            </w:pPr>
            <w:r>
              <w:t>South Carolina</w:t>
            </w:r>
          </w:p>
        </w:tc>
        <w:tc>
          <w:tcPr>
            <w:tcW w:w="1886" w:type="dxa"/>
          </w:tcPr>
          <w:p w:rsidR="006225C4" w:rsidP="00965894" w14:paraId="2EBCF01E" w14:textId="77777777">
            <w:pPr>
              <w:ind w:right="90"/>
            </w:pPr>
            <w:r>
              <w:t>IXC</w:t>
            </w:r>
          </w:p>
        </w:tc>
        <w:tc>
          <w:tcPr>
            <w:tcW w:w="494" w:type="dxa"/>
          </w:tcPr>
          <w:p w:rsidR="006225C4" w:rsidP="00965894" w14:paraId="21548C30" w14:textId="77777777">
            <w:pPr>
              <w:ind w:right="90"/>
              <w:jc w:val="center"/>
            </w:pPr>
            <w:r>
              <w:t>No</w:t>
            </w:r>
          </w:p>
        </w:tc>
      </w:tr>
      <w:tr w14:paraId="3CA64D97" w14:textId="77777777" w:rsidTr="00D83AAC">
        <w:tblPrEx>
          <w:tblW w:w="9365" w:type="dxa"/>
          <w:tblInd w:w="85" w:type="dxa"/>
          <w:tblLook w:val="04A0"/>
        </w:tblPrEx>
        <w:tc>
          <w:tcPr>
            <w:tcW w:w="4167" w:type="dxa"/>
          </w:tcPr>
          <w:p w:rsidR="006225C4" w:rsidP="00965894" w14:paraId="70D1793C" w14:textId="77777777">
            <w:pPr>
              <w:ind w:right="90"/>
            </w:pPr>
            <w:r>
              <w:t>South Carolina Net, Inc.</w:t>
            </w:r>
          </w:p>
        </w:tc>
        <w:tc>
          <w:tcPr>
            <w:tcW w:w="2818" w:type="dxa"/>
          </w:tcPr>
          <w:p w:rsidR="006225C4" w:rsidP="00965894" w14:paraId="2F24F89F" w14:textId="77777777">
            <w:pPr>
              <w:ind w:right="90"/>
              <w:jc w:val="center"/>
            </w:pPr>
            <w:r>
              <w:t>South Carolina</w:t>
            </w:r>
          </w:p>
        </w:tc>
        <w:tc>
          <w:tcPr>
            <w:tcW w:w="1886" w:type="dxa"/>
          </w:tcPr>
          <w:p w:rsidR="006225C4" w:rsidP="00965894" w14:paraId="3862AF1F" w14:textId="77777777">
            <w:pPr>
              <w:ind w:right="90"/>
            </w:pPr>
            <w:r>
              <w:t>CLEC, IXC</w:t>
            </w:r>
          </w:p>
        </w:tc>
        <w:tc>
          <w:tcPr>
            <w:tcW w:w="494" w:type="dxa"/>
          </w:tcPr>
          <w:p w:rsidR="006225C4" w:rsidP="00965894" w14:paraId="3CE51D6A" w14:textId="77777777">
            <w:pPr>
              <w:ind w:right="90"/>
              <w:jc w:val="center"/>
            </w:pPr>
            <w:r>
              <w:t>No</w:t>
            </w:r>
          </w:p>
        </w:tc>
      </w:tr>
      <w:tr w14:paraId="75A6441B" w14:textId="77777777" w:rsidTr="00D83AAC">
        <w:tblPrEx>
          <w:tblW w:w="9365" w:type="dxa"/>
          <w:tblInd w:w="85" w:type="dxa"/>
          <w:tblLook w:val="04A0"/>
        </w:tblPrEx>
        <w:tc>
          <w:tcPr>
            <w:tcW w:w="4167" w:type="dxa"/>
          </w:tcPr>
          <w:p w:rsidR="006225C4" w:rsidP="00965894" w14:paraId="52FB6AC7" w14:textId="77777777">
            <w:pPr>
              <w:ind w:right="90"/>
            </w:pPr>
            <w:r>
              <w:t>South Carolina Telecommunications Group Holdings, LLC</w:t>
            </w:r>
          </w:p>
        </w:tc>
        <w:tc>
          <w:tcPr>
            <w:tcW w:w="2818" w:type="dxa"/>
          </w:tcPr>
          <w:p w:rsidR="006225C4" w:rsidP="00965894" w14:paraId="123C34BB" w14:textId="77777777">
            <w:pPr>
              <w:ind w:right="90"/>
              <w:jc w:val="center"/>
            </w:pPr>
            <w:r>
              <w:t>South Carolina</w:t>
            </w:r>
          </w:p>
        </w:tc>
        <w:tc>
          <w:tcPr>
            <w:tcW w:w="1886" w:type="dxa"/>
          </w:tcPr>
          <w:p w:rsidR="006225C4" w:rsidP="00965894" w14:paraId="2ABF94A5" w14:textId="77777777">
            <w:pPr>
              <w:ind w:right="90"/>
            </w:pPr>
            <w:r>
              <w:t>CLEC, IXC</w:t>
            </w:r>
          </w:p>
        </w:tc>
        <w:tc>
          <w:tcPr>
            <w:tcW w:w="494" w:type="dxa"/>
          </w:tcPr>
          <w:p w:rsidR="006225C4" w:rsidP="00965894" w14:paraId="12B645F3" w14:textId="77777777">
            <w:pPr>
              <w:ind w:right="90"/>
              <w:jc w:val="center"/>
            </w:pPr>
            <w:r>
              <w:t>No</w:t>
            </w:r>
          </w:p>
        </w:tc>
      </w:tr>
      <w:tr w14:paraId="37DDC638" w14:textId="77777777" w:rsidTr="00D83AAC">
        <w:tblPrEx>
          <w:tblW w:w="9365" w:type="dxa"/>
          <w:tblInd w:w="85" w:type="dxa"/>
          <w:tblLook w:val="04A0"/>
        </w:tblPrEx>
        <w:tc>
          <w:tcPr>
            <w:tcW w:w="4167" w:type="dxa"/>
          </w:tcPr>
          <w:p w:rsidR="006225C4" w:rsidP="00965894" w14:paraId="068FAEEE" w14:textId="77777777">
            <w:pPr>
              <w:ind w:right="90"/>
            </w:pPr>
            <w:r>
              <w:t>Unite Private Networks, L.L.C.</w:t>
            </w:r>
          </w:p>
        </w:tc>
        <w:tc>
          <w:tcPr>
            <w:tcW w:w="2818" w:type="dxa"/>
          </w:tcPr>
          <w:p w:rsidR="006225C4" w:rsidP="00965894" w14:paraId="5136A252" w14:textId="77777777">
            <w:pPr>
              <w:ind w:right="90"/>
              <w:jc w:val="center"/>
            </w:pPr>
            <w:r>
              <w:t>Delaware</w:t>
            </w:r>
          </w:p>
        </w:tc>
        <w:tc>
          <w:tcPr>
            <w:tcW w:w="1886" w:type="dxa"/>
          </w:tcPr>
          <w:p w:rsidR="006225C4" w:rsidP="00965894" w14:paraId="37FE1708" w14:textId="77777777">
            <w:pPr>
              <w:ind w:right="90"/>
            </w:pPr>
            <w:r>
              <w:t>CLEC, IXC</w:t>
            </w:r>
          </w:p>
        </w:tc>
        <w:tc>
          <w:tcPr>
            <w:tcW w:w="494" w:type="dxa"/>
          </w:tcPr>
          <w:p w:rsidR="006225C4" w:rsidP="00965894" w14:paraId="29C64F52" w14:textId="77777777">
            <w:pPr>
              <w:ind w:right="90"/>
              <w:jc w:val="center"/>
            </w:pPr>
            <w:r>
              <w:t>No</w:t>
            </w:r>
          </w:p>
        </w:tc>
      </w:tr>
      <w:tr w14:paraId="524F876A" w14:textId="77777777" w:rsidTr="00D83AAC">
        <w:tblPrEx>
          <w:tblW w:w="9365" w:type="dxa"/>
          <w:tblInd w:w="85" w:type="dxa"/>
          <w:tblLook w:val="04A0"/>
        </w:tblPrEx>
        <w:tc>
          <w:tcPr>
            <w:tcW w:w="4167" w:type="dxa"/>
          </w:tcPr>
          <w:p w:rsidR="006225C4" w:rsidP="00965894" w14:paraId="520A2C7B" w14:textId="77777777">
            <w:pPr>
              <w:ind w:right="90"/>
            </w:pPr>
            <w:r>
              <w:t>Unite Private Networks – Illinois, LLC</w:t>
            </w:r>
          </w:p>
        </w:tc>
        <w:tc>
          <w:tcPr>
            <w:tcW w:w="2818" w:type="dxa"/>
          </w:tcPr>
          <w:p w:rsidR="006225C4" w:rsidP="00965894" w14:paraId="6B59583A" w14:textId="77777777">
            <w:pPr>
              <w:ind w:right="90"/>
              <w:jc w:val="center"/>
            </w:pPr>
            <w:r>
              <w:t>Delaware</w:t>
            </w:r>
          </w:p>
        </w:tc>
        <w:tc>
          <w:tcPr>
            <w:tcW w:w="1886" w:type="dxa"/>
          </w:tcPr>
          <w:p w:rsidR="006225C4" w:rsidP="00965894" w14:paraId="5D9A9856" w14:textId="77777777">
            <w:pPr>
              <w:ind w:right="90"/>
            </w:pPr>
            <w:r>
              <w:t>CLEC, IXC</w:t>
            </w:r>
          </w:p>
        </w:tc>
        <w:tc>
          <w:tcPr>
            <w:tcW w:w="494" w:type="dxa"/>
          </w:tcPr>
          <w:p w:rsidR="006225C4" w:rsidP="00965894" w14:paraId="0ED31168" w14:textId="77777777">
            <w:pPr>
              <w:ind w:right="90"/>
              <w:jc w:val="center"/>
            </w:pPr>
            <w:r>
              <w:t>No</w:t>
            </w:r>
          </w:p>
        </w:tc>
      </w:tr>
    </w:tbl>
    <w:p w:rsidR="006225C4" w:rsidP="006225C4" w14:paraId="500AD608" w14:textId="77777777">
      <w:pPr>
        <w:rPr>
          <w:b/>
          <w:bCs/>
        </w:rPr>
      </w:pPr>
    </w:p>
    <w:p w:rsidR="002719C9" w:rsidRPr="002A153D" w:rsidP="002719C9" w14:paraId="518F4F2C" w14:textId="77777777">
      <w:pPr>
        <w:widowControl/>
        <w:autoSpaceDE w:val="0"/>
        <w:autoSpaceDN w:val="0"/>
        <w:adjustRightInd w:val="0"/>
        <w:spacing w:after="120"/>
        <w:rPr>
          <w:rFonts w:eastAsia="Calibri"/>
          <w:snapToGrid/>
          <w:kern w:val="0"/>
          <w:szCs w:val="22"/>
        </w:rPr>
      </w:pPr>
    </w:p>
    <w:p w:rsidR="002719C9" w:rsidRPr="002A153D" w:rsidP="002719C9" w14:paraId="01DD2580" w14:textId="0AAB196C">
      <w:pPr>
        <w:widowControl/>
        <w:tabs>
          <w:tab w:val="left" w:pos="6660"/>
        </w:tabs>
        <w:autoSpaceDE w:val="0"/>
        <w:autoSpaceDN w:val="0"/>
        <w:adjustRightInd w:val="0"/>
        <w:spacing w:after="120"/>
        <w:rPr>
          <w:rFonts w:eastAsia="Calibri"/>
          <w:snapToGrid/>
          <w:kern w:val="0"/>
          <w:szCs w:val="22"/>
        </w:rPr>
      </w:pPr>
      <w:r w:rsidRPr="002A153D">
        <w:rPr>
          <w:rFonts w:eastAsia="Calibri"/>
          <w:b/>
          <w:bCs/>
          <w:snapToGrid/>
          <w:kern w:val="0"/>
          <w:szCs w:val="22"/>
        </w:rPr>
        <w:t>SECTION 310(d) APPLICATIONS</w:t>
      </w:r>
      <w:r>
        <w:rPr>
          <w:rStyle w:val="FootnoteReference"/>
          <w:rFonts w:eastAsia="Calibri"/>
          <w:b/>
          <w:bCs/>
          <w:snapToGrid/>
          <w:kern w:val="0"/>
          <w:szCs w:val="22"/>
        </w:rPr>
        <w:footnoteReference w:id="108"/>
      </w:r>
    </w:p>
    <w:p w:rsidR="002719C9" w:rsidRPr="002A153D" w:rsidP="002719C9" w14:paraId="1BF4632A" w14:textId="77777777">
      <w:pPr>
        <w:widowControl/>
        <w:tabs>
          <w:tab w:val="left" w:pos="6660"/>
        </w:tabs>
        <w:autoSpaceDE w:val="0"/>
        <w:autoSpaceDN w:val="0"/>
        <w:adjustRightInd w:val="0"/>
        <w:spacing w:after="120"/>
        <w:rPr>
          <w:rFonts w:eastAsia="Calibri"/>
          <w:snapToGrid/>
          <w:kern w:val="0"/>
          <w:szCs w:val="22"/>
        </w:rPr>
      </w:pPr>
      <w:r w:rsidRPr="002A153D">
        <w:rPr>
          <w:rFonts w:eastAsia="Calibri"/>
          <w:snapToGrid/>
          <w:kern w:val="0"/>
          <w:szCs w:val="22"/>
        </w:rPr>
        <w:t xml:space="preserve">The </w:t>
      </w:r>
      <w:r>
        <w:rPr>
          <w:rFonts w:eastAsia="Calibri"/>
          <w:snapToGrid/>
          <w:kern w:val="0"/>
          <w:szCs w:val="22"/>
        </w:rPr>
        <w:t xml:space="preserve">Wireless Telecommunications Bureau grants the following </w:t>
      </w:r>
      <w:r w:rsidRPr="002A153D">
        <w:rPr>
          <w:rFonts w:eastAsia="Calibri"/>
          <w:snapToGrid/>
          <w:kern w:val="0"/>
          <w:szCs w:val="22"/>
        </w:rPr>
        <w:t>applications for consent to the assignment and transfer of control of licenses</w:t>
      </w:r>
      <w:r>
        <w:rPr>
          <w:rFonts w:eastAsia="Calibri"/>
          <w:snapToGrid/>
          <w:kern w:val="0"/>
          <w:szCs w:val="22"/>
        </w:rPr>
        <w:t>:</w:t>
      </w:r>
    </w:p>
    <w:tbl>
      <w:tblPr>
        <w:tblW w:w="102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48"/>
        <w:gridCol w:w="5822"/>
        <w:gridCol w:w="2385"/>
      </w:tblGrid>
      <w:tr w14:paraId="48C749A2" w14:textId="77777777" w:rsidTr="00D01CDA">
        <w:tblPrEx>
          <w:tblW w:w="10255" w:type="dxa"/>
          <w:tblInd w:w="-5" w:type="dxa"/>
          <w:tblLook w:val="04A0"/>
        </w:tblPrEx>
        <w:tc>
          <w:tcPr>
            <w:tcW w:w="2048" w:type="dxa"/>
            <w:tcBorders>
              <w:top w:val="nil"/>
              <w:left w:val="nil"/>
              <w:bottom w:val="nil"/>
              <w:right w:val="nil"/>
            </w:tcBorders>
          </w:tcPr>
          <w:p w:rsidR="002A0720" w:rsidRPr="00D83AAC" w:rsidP="00965894" w14:paraId="258849B6" w14:textId="77777777">
            <w:pPr>
              <w:ind w:right="90"/>
              <w:jc w:val="center"/>
              <w:rPr>
                <w:b/>
                <w:bCs/>
                <w:u w:val="single"/>
              </w:rPr>
            </w:pPr>
            <w:r w:rsidRPr="00D83AAC">
              <w:rPr>
                <w:b/>
                <w:bCs/>
                <w:u w:val="single"/>
              </w:rPr>
              <w:t>File Number</w:t>
            </w:r>
          </w:p>
        </w:tc>
        <w:tc>
          <w:tcPr>
            <w:tcW w:w="5822" w:type="dxa"/>
            <w:tcBorders>
              <w:top w:val="nil"/>
              <w:left w:val="nil"/>
              <w:bottom w:val="nil"/>
              <w:right w:val="nil"/>
            </w:tcBorders>
          </w:tcPr>
          <w:p w:rsidR="002A0720" w:rsidRPr="00D83AAC" w:rsidP="00965894" w14:paraId="78809658" w14:textId="77777777">
            <w:pPr>
              <w:ind w:right="90"/>
              <w:jc w:val="center"/>
              <w:rPr>
                <w:b/>
                <w:bCs/>
                <w:u w:val="single"/>
              </w:rPr>
            </w:pPr>
            <w:r w:rsidRPr="00D83AAC">
              <w:rPr>
                <w:b/>
                <w:bCs/>
                <w:u w:val="single"/>
              </w:rPr>
              <w:t>Licensee</w:t>
            </w:r>
          </w:p>
        </w:tc>
        <w:tc>
          <w:tcPr>
            <w:tcW w:w="2385" w:type="dxa"/>
            <w:tcBorders>
              <w:top w:val="nil"/>
              <w:left w:val="nil"/>
              <w:bottom w:val="nil"/>
              <w:right w:val="nil"/>
            </w:tcBorders>
          </w:tcPr>
          <w:p w:rsidR="002A0720" w:rsidRPr="00D83AAC" w:rsidP="00965894" w14:paraId="781495E4" w14:textId="77777777">
            <w:pPr>
              <w:ind w:right="90"/>
              <w:jc w:val="center"/>
              <w:rPr>
                <w:b/>
                <w:bCs/>
                <w:u w:val="single"/>
              </w:rPr>
            </w:pPr>
            <w:r w:rsidRPr="00D83AAC">
              <w:rPr>
                <w:b/>
                <w:bCs/>
                <w:u w:val="single"/>
              </w:rPr>
              <w:t>Lead Call Sign</w:t>
            </w:r>
          </w:p>
        </w:tc>
      </w:tr>
      <w:tr w14:paraId="2ED1FDA0" w14:textId="77777777" w:rsidTr="00D01CDA">
        <w:tblPrEx>
          <w:tblW w:w="10255" w:type="dxa"/>
          <w:tblInd w:w="-5" w:type="dxa"/>
          <w:tblLook w:val="04A0"/>
        </w:tblPrEx>
        <w:tc>
          <w:tcPr>
            <w:tcW w:w="2048" w:type="dxa"/>
            <w:tcBorders>
              <w:top w:val="nil"/>
              <w:left w:val="nil"/>
              <w:bottom w:val="nil"/>
              <w:right w:val="nil"/>
            </w:tcBorders>
          </w:tcPr>
          <w:p w:rsidR="002A0720" w:rsidP="00965894" w14:paraId="2060A4CB" w14:textId="77777777">
            <w:pPr>
              <w:ind w:right="90"/>
            </w:pPr>
            <w:r>
              <w:t>0011625671</w:t>
            </w:r>
          </w:p>
        </w:tc>
        <w:tc>
          <w:tcPr>
            <w:tcW w:w="5822" w:type="dxa"/>
            <w:tcBorders>
              <w:top w:val="nil"/>
              <w:left w:val="nil"/>
              <w:bottom w:val="nil"/>
              <w:right w:val="nil"/>
            </w:tcBorders>
          </w:tcPr>
          <w:p w:rsidR="002A0720" w:rsidP="00965894" w14:paraId="369ECA87" w14:textId="77777777">
            <w:pPr>
              <w:ind w:right="90"/>
            </w:pPr>
            <w:r>
              <w:t>Cox Communications California, LLC</w:t>
            </w:r>
          </w:p>
        </w:tc>
        <w:tc>
          <w:tcPr>
            <w:tcW w:w="2385" w:type="dxa"/>
            <w:tcBorders>
              <w:top w:val="nil"/>
              <w:left w:val="nil"/>
              <w:bottom w:val="nil"/>
              <w:right w:val="nil"/>
            </w:tcBorders>
          </w:tcPr>
          <w:p w:rsidR="002A0720" w:rsidP="00965894" w14:paraId="04CC5B2A" w14:textId="77777777">
            <w:pPr>
              <w:ind w:right="90"/>
              <w:jc w:val="center"/>
            </w:pPr>
            <w:r>
              <w:t>KNER446</w:t>
            </w:r>
          </w:p>
        </w:tc>
      </w:tr>
      <w:tr w14:paraId="01C348ED" w14:textId="77777777" w:rsidTr="00D01CDA">
        <w:tblPrEx>
          <w:tblW w:w="10255" w:type="dxa"/>
          <w:tblInd w:w="-5" w:type="dxa"/>
          <w:tblLook w:val="04A0"/>
        </w:tblPrEx>
        <w:trPr>
          <w:trHeight w:val="161"/>
        </w:trPr>
        <w:tc>
          <w:tcPr>
            <w:tcW w:w="2048" w:type="dxa"/>
            <w:tcBorders>
              <w:top w:val="nil"/>
              <w:left w:val="nil"/>
              <w:bottom w:val="nil"/>
              <w:right w:val="nil"/>
            </w:tcBorders>
          </w:tcPr>
          <w:p w:rsidR="002A0720" w:rsidP="00965894" w14:paraId="48FBB2C6" w14:textId="77777777">
            <w:pPr>
              <w:ind w:right="90"/>
            </w:pPr>
            <w:r>
              <w:t>0011625288</w:t>
            </w:r>
          </w:p>
        </w:tc>
        <w:tc>
          <w:tcPr>
            <w:tcW w:w="5822" w:type="dxa"/>
            <w:tcBorders>
              <w:top w:val="nil"/>
              <w:left w:val="nil"/>
              <w:bottom w:val="nil"/>
              <w:right w:val="nil"/>
            </w:tcBorders>
            <w:vAlign w:val="center"/>
          </w:tcPr>
          <w:p w:rsidR="002A0720" w:rsidP="00965894" w14:paraId="7B0632FD" w14:textId="77777777">
            <w:pPr>
              <w:ind w:right="90"/>
            </w:pPr>
            <w:r>
              <w:t>Cox Communications Hampton Roads LLC</w:t>
            </w:r>
          </w:p>
        </w:tc>
        <w:tc>
          <w:tcPr>
            <w:tcW w:w="2385" w:type="dxa"/>
            <w:tcBorders>
              <w:top w:val="nil"/>
              <w:left w:val="nil"/>
              <w:bottom w:val="nil"/>
              <w:right w:val="nil"/>
            </w:tcBorders>
          </w:tcPr>
          <w:p w:rsidR="002A0720" w:rsidP="00965894" w14:paraId="37DF04AE" w14:textId="77777777">
            <w:pPr>
              <w:ind w:right="90"/>
              <w:jc w:val="center"/>
            </w:pPr>
            <w:r>
              <w:t>WQUW651</w:t>
            </w:r>
          </w:p>
        </w:tc>
      </w:tr>
      <w:tr w14:paraId="3A2658DE" w14:textId="77777777" w:rsidTr="00D01CDA">
        <w:tblPrEx>
          <w:tblW w:w="10255" w:type="dxa"/>
          <w:tblInd w:w="-5" w:type="dxa"/>
          <w:tblLook w:val="04A0"/>
        </w:tblPrEx>
        <w:tc>
          <w:tcPr>
            <w:tcW w:w="2048" w:type="dxa"/>
            <w:tcBorders>
              <w:top w:val="nil"/>
              <w:left w:val="nil"/>
              <w:bottom w:val="nil"/>
              <w:right w:val="nil"/>
            </w:tcBorders>
          </w:tcPr>
          <w:p w:rsidR="002A0720" w:rsidP="00965894" w14:paraId="3BD16B0A" w14:textId="77777777">
            <w:pPr>
              <w:ind w:right="90"/>
            </w:pPr>
            <w:r>
              <w:t>0011625767</w:t>
            </w:r>
          </w:p>
        </w:tc>
        <w:tc>
          <w:tcPr>
            <w:tcW w:w="5822" w:type="dxa"/>
            <w:tcBorders>
              <w:top w:val="nil"/>
              <w:left w:val="nil"/>
              <w:bottom w:val="nil"/>
              <w:right w:val="nil"/>
            </w:tcBorders>
            <w:vAlign w:val="center"/>
          </w:tcPr>
          <w:p w:rsidR="002A0720" w:rsidP="00965894" w14:paraId="6C04284A" w14:textId="77777777">
            <w:pPr>
              <w:ind w:right="90"/>
            </w:pPr>
            <w:r>
              <w:t>Cox Communications Kansas, LLC</w:t>
            </w:r>
          </w:p>
        </w:tc>
        <w:tc>
          <w:tcPr>
            <w:tcW w:w="2385" w:type="dxa"/>
            <w:tcBorders>
              <w:top w:val="nil"/>
              <w:left w:val="nil"/>
              <w:bottom w:val="nil"/>
              <w:right w:val="nil"/>
            </w:tcBorders>
          </w:tcPr>
          <w:p w:rsidR="002A0720" w:rsidP="00965894" w14:paraId="768A7E90" w14:textId="77777777">
            <w:pPr>
              <w:ind w:right="90"/>
              <w:jc w:val="center"/>
            </w:pPr>
            <w:r>
              <w:t>WQGZ309</w:t>
            </w:r>
          </w:p>
        </w:tc>
      </w:tr>
      <w:tr w14:paraId="66AEA9F6" w14:textId="77777777" w:rsidTr="00D01CDA">
        <w:tblPrEx>
          <w:tblW w:w="10255" w:type="dxa"/>
          <w:tblInd w:w="-5" w:type="dxa"/>
          <w:tblLook w:val="04A0"/>
        </w:tblPrEx>
        <w:tc>
          <w:tcPr>
            <w:tcW w:w="2048" w:type="dxa"/>
            <w:tcBorders>
              <w:top w:val="nil"/>
              <w:left w:val="nil"/>
              <w:bottom w:val="nil"/>
              <w:right w:val="nil"/>
            </w:tcBorders>
          </w:tcPr>
          <w:p w:rsidR="002A0720" w:rsidP="00965894" w14:paraId="34E8A882" w14:textId="77777777">
            <w:pPr>
              <w:ind w:right="90"/>
            </w:pPr>
            <w:r>
              <w:t>0011629125</w:t>
            </w:r>
          </w:p>
        </w:tc>
        <w:tc>
          <w:tcPr>
            <w:tcW w:w="5822" w:type="dxa"/>
            <w:tcBorders>
              <w:top w:val="nil"/>
              <w:left w:val="nil"/>
              <w:bottom w:val="nil"/>
              <w:right w:val="nil"/>
            </w:tcBorders>
            <w:vAlign w:val="center"/>
          </w:tcPr>
          <w:p w:rsidR="002A0720" w:rsidP="00965894" w14:paraId="5C9548AF" w14:textId="77777777">
            <w:pPr>
              <w:ind w:right="90"/>
            </w:pPr>
            <w:r>
              <w:t>Cox Communications, Inc.</w:t>
            </w:r>
          </w:p>
        </w:tc>
        <w:tc>
          <w:tcPr>
            <w:tcW w:w="2385" w:type="dxa"/>
            <w:tcBorders>
              <w:top w:val="nil"/>
              <w:left w:val="nil"/>
              <w:bottom w:val="nil"/>
              <w:right w:val="nil"/>
            </w:tcBorders>
          </w:tcPr>
          <w:p w:rsidR="002A0720" w:rsidP="00965894" w14:paraId="66124A06" w14:textId="77777777">
            <w:pPr>
              <w:ind w:right="90"/>
              <w:jc w:val="center"/>
            </w:pPr>
            <w:r>
              <w:t>WSBC284</w:t>
            </w:r>
          </w:p>
        </w:tc>
      </w:tr>
      <w:tr w14:paraId="31CFC4E5" w14:textId="77777777" w:rsidTr="00D01CDA">
        <w:tblPrEx>
          <w:tblW w:w="10255" w:type="dxa"/>
          <w:tblInd w:w="-5" w:type="dxa"/>
          <w:tblLook w:val="04A0"/>
        </w:tblPrEx>
        <w:tc>
          <w:tcPr>
            <w:tcW w:w="2048" w:type="dxa"/>
            <w:tcBorders>
              <w:top w:val="nil"/>
              <w:left w:val="nil"/>
              <w:bottom w:val="nil"/>
              <w:right w:val="nil"/>
            </w:tcBorders>
          </w:tcPr>
          <w:p w:rsidR="002A0720" w:rsidP="00965894" w14:paraId="55BB1DC7" w14:textId="77777777">
            <w:pPr>
              <w:ind w:right="90"/>
            </w:pPr>
            <w:r>
              <w:t>0011626723</w:t>
            </w:r>
          </w:p>
        </w:tc>
        <w:tc>
          <w:tcPr>
            <w:tcW w:w="5822" w:type="dxa"/>
            <w:tcBorders>
              <w:top w:val="nil"/>
              <w:left w:val="nil"/>
              <w:bottom w:val="nil"/>
              <w:right w:val="nil"/>
            </w:tcBorders>
            <w:vAlign w:val="center"/>
          </w:tcPr>
          <w:p w:rsidR="002A0720" w:rsidP="00965894" w14:paraId="06724C37" w14:textId="77777777">
            <w:pPr>
              <w:ind w:right="90"/>
            </w:pPr>
            <w:r>
              <w:t>CoxCom</w:t>
            </w:r>
            <w:r>
              <w:t>, LLC</w:t>
            </w:r>
          </w:p>
        </w:tc>
        <w:tc>
          <w:tcPr>
            <w:tcW w:w="2385" w:type="dxa"/>
            <w:tcBorders>
              <w:top w:val="nil"/>
              <w:left w:val="nil"/>
              <w:bottom w:val="nil"/>
              <w:right w:val="nil"/>
            </w:tcBorders>
          </w:tcPr>
          <w:p w:rsidR="002A0720" w:rsidP="00965894" w14:paraId="69E28330" w14:textId="77777777">
            <w:pPr>
              <w:ind w:right="90"/>
              <w:jc w:val="center"/>
            </w:pPr>
            <w:r>
              <w:t>WQQL508</w:t>
            </w:r>
          </w:p>
        </w:tc>
      </w:tr>
      <w:tr w14:paraId="1DAD2A19" w14:textId="77777777" w:rsidTr="00D941B3">
        <w:tblPrEx>
          <w:tblW w:w="10255" w:type="dxa"/>
          <w:tblInd w:w="-5" w:type="dxa"/>
          <w:tblLook w:val="04A0"/>
        </w:tblPrEx>
        <w:tc>
          <w:tcPr>
            <w:tcW w:w="2048" w:type="dxa"/>
            <w:tcBorders>
              <w:top w:val="nil"/>
              <w:left w:val="nil"/>
              <w:bottom w:val="nil"/>
              <w:right w:val="nil"/>
            </w:tcBorders>
          </w:tcPr>
          <w:p w:rsidR="00EA78D0" w:rsidRPr="00EA78D0" w:rsidP="00EA78D0" w14:paraId="3BCF05C7" w14:textId="77777777">
            <w:pPr>
              <w:widowControl/>
              <w:autoSpaceDE w:val="0"/>
              <w:autoSpaceDN w:val="0"/>
              <w:adjustRightInd w:val="0"/>
              <w:spacing w:after="120"/>
              <w:rPr>
                <w:rFonts w:eastAsia="Calibri"/>
                <w:snapToGrid/>
                <w:kern w:val="0"/>
                <w:szCs w:val="22"/>
              </w:rPr>
            </w:pPr>
            <w:r w:rsidRPr="00EA78D0">
              <w:rPr>
                <w:rFonts w:eastAsia="Calibri"/>
                <w:snapToGrid/>
                <w:kern w:val="0"/>
                <w:szCs w:val="22"/>
              </w:rPr>
              <w:t>0011907851</w:t>
            </w:r>
            <w:r>
              <w:rPr>
                <w:rFonts w:eastAsia="Calibri"/>
                <w:snapToGrid/>
                <w:kern w:val="0"/>
                <w:szCs w:val="22"/>
                <w:vertAlign w:val="superscript"/>
              </w:rPr>
              <w:footnoteReference w:id="109"/>
            </w:r>
          </w:p>
        </w:tc>
        <w:tc>
          <w:tcPr>
            <w:tcW w:w="5822" w:type="dxa"/>
            <w:tcBorders>
              <w:top w:val="nil"/>
              <w:left w:val="nil"/>
              <w:bottom w:val="nil"/>
              <w:right w:val="nil"/>
            </w:tcBorders>
            <w:vAlign w:val="center"/>
          </w:tcPr>
          <w:p w:rsidR="00EA78D0" w:rsidRPr="00EA78D0" w:rsidP="00EA78D0" w14:paraId="101D727F" w14:textId="77777777">
            <w:pPr>
              <w:widowControl/>
              <w:autoSpaceDE w:val="0"/>
              <w:autoSpaceDN w:val="0"/>
              <w:adjustRightInd w:val="0"/>
              <w:spacing w:after="120"/>
              <w:rPr>
                <w:rFonts w:eastAsia="Calibri"/>
                <w:snapToGrid/>
                <w:kern w:val="0"/>
                <w:szCs w:val="22"/>
              </w:rPr>
            </w:pPr>
            <w:r w:rsidRPr="00EA78D0">
              <w:rPr>
                <w:rFonts w:eastAsia="Calibri"/>
                <w:snapToGrid/>
                <w:kern w:val="0"/>
                <w:szCs w:val="22"/>
              </w:rPr>
              <w:t>Cox Communications Arizona, LLC</w:t>
            </w:r>
          </w:p>
        </w:tc>
        <w:tc>
          <w:tcPr>
            <w:tcW w:w="2385" w:type="dxa"/>
            <w:tcBorders>
              <w:top w:val="nil"/>
              <w:left w:val="nil"/>
              <w:bottom w:val="nil"/>
              <w:right w:val="nil"/>
            </w:tcBorders>
          </w:tcPr>
          <w:p w:rsidR="00EA78D0" w:rsidRPr="00EA78D0" w:rsidP="00EA78D0" w14:paraId="54BE2563" w14:textId="77777777">
            <w:pPr>
              <w:widowControl/>
              <w:autoSpaceDE w:val="0"/>
              <w:autoSpaceDN w:val="0"/>
              <w:adjustRightInd w:val="0"/>
              <w:spacing w:after="120"/>
              <w:jc w:val="center"/>
              <w:rPr>
                <w:rFonts w:eastAsia="Calibri"/>
                <w:snapToGrid/>
                <w:kern w:val="0"/>
                <w:szCs w:val="22"/>
              </w:rPr>
            </w:pPr>
            <w:r w:rsidRPr="00EA78D0">
              <w:rPr>
                <w:rFonts w:eastAsia="Calibri"/>
                <w:snapToGrid/>
                <w:kern w:val="0"/>
                <w:szCs w:val="22"/>
              </w:rPr>
              <w:t>WSJV476</w:t>
            </w:r>
          </w:p>
        </w:tc>
      </w:tr>
    </w:tbl>
    <w:p w:rsidR="00EA78D0" w:rsidRPr="00EA78D0" w:rsidP="00EA78D0" w14:paraId="1734C079" w14:textId="77777777">
      <w:pPr>
        <w:widowControl/>
        <w:autoSpaceDE w:val="0"/>
        <w:autoSpaceDN w:val="0"/>
        <w:adjustRightInd w:val="0"/>
        <w:spacing w:after="120"/>
        <w:rPr>
          <w:rFonts w:eastAsia="Calibri"/>
          <w:snapToGrid/>
          <w:kern w:val="0"/>
          <w:szCs w:val="22"/>
        </w:rPr>
      </w:pPr>
    </w:p>
    <w:p w:rsidR="002719C9" w:rsidRPr="002A153D" w:rsidP="002719C9" w14:paraId="1427C5A7" w14:textId="77777777">
      <w:pPr>
        <w:widowControl/>
        <w:autoSpaceDE w:val="0"/>
        <w:autoSpaceDN w:val="0"/>
        <w:adjustRightInd w:val="0"/>
        <w:spacing w:after="120"/>
        <w:rPr>
          <w:rFonts w:eastAsia="Calibri"/>
          <w:snapToGrid/>
          <w:kern w:val="0"/>
          <w:szCs w:val="22"/>
        </w:rPr>
      </w:pPr>
    </w:p>
    <w:p w:rsidR="002719C9" w:rsidRPr="002A153D" w:rsidP="002719C9" w14:paraId="54D664B1" w14:textId="77777777">
      <w:pPr>
        <w:widowControl/>
        <w:autoSpaceDE w:val="0"/>
        <w:autoSpaceDN w:val="0"/>
        <w:adjustRightInd w:val="0"/>
        <w:spacing w:after="120"/>
        <w:jc w:val="center"/>
        <w:rPr>
          <w:rFonts w:eastAsia="Calibri"/>
          <w:snapToGrid/>
          <w:color w:val="000000"/>
          <w:kern w:val="0"/>
          <w:szCs w:val="22"/>
        </w:rPr>
      </w:pPr>
      <w:r w:rsidRPr="002A153D">
        <w:rPr>
          <w:rFonts w:eastAsia="Calibri"/>
          <w:b/>
          <w:snapToGrid/>
          <w:kern w:val="0"/>
          <w:szCs w:val="22"/>
        </w:rPr>
        <w:t>-FCC-</w:t>
      </w:r>
    </w:p>
    <w:p w:rsidR="00412FC5" w:rsidRPr="002719C9" w:rsidP="002719C9" w14:paraId="59A1CB97" w14:textId="77777777"/>
    <w:sectPr w:rsidSect="0055614C">
      <w:footnotePr>
        <w:numRestart w:val="eachSect"/>
      </w:footnotePr>
      <w:endnotePr>
        <w:numFmt w:val="decimal"/>
      </w:endnotePr>
      <w:pgSz w:w="12240" w:h="15840"/>
      <w:pgMar w:top="144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55716" w14:paraId="4F39F0D2" w14:textId="77777777">
      <w:pPr>
        <w:spacing w:line="20" w:lineRule="exact"/>
      </w:pPr>
    </w:p>
  </w:endnote>
  <w:endnote w:type="continuationSeparator" w:id="1">
    <w:p w:rsidR="00955716" w14:paraId="1BA2BF88" w14:textId="77777777">
      <w:r>
        <w:t xml:space="preserve"> </w:t>
      </w:r>
    </w:p>
  </w:endnote>
  <w:endnote w:type="continuationNotice" w:id="2">
    <w:p w:rsidR="00955716" w14:paraId="39BC6D5C"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53DA17F5"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70D6038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308" w:rsidP="00A25E5B" w14:paraId="29FBE712"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p w:rsidR="00D25FB5" w:rsidRPr="006B5BCA" w:rsidP="00A25E5B" w14:paraId="3FDC56A2" w14:textId="4FA40E9F">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55716" w14:paraId="25BB56C4" w14:textId="77777777">
      <w:r>
        <w:separator/>
      </w:r>
    </w:p>
  </w:footnote>
  <w:footnote w:type="continuationSeparator" w:id="1">
    <w:p w:rsidR="00955716" w:rsidP="00C721AC" w14:paraId="51708C38" w14:textId="77777777">
      <w:pPr>
        <w:spacing w:before="120"/>
        <w:rPr>
          <w:sz w:val="20"/>
        </w:rPr>
      </w:pPr>
      <w:r>
        <w:rPr>
          <w:sz w:val="20"/>
        </w:rPr>
        <w:t xml:space="preserve">(Continued from previous page)  </w:t>
      </w:r>
      <w:r>
        <w:rPr>
          <w:sz w:val="20"/>
        </w:rPr>
        <w:separator/>
      </w:r>
    </w:p>
  </w:footnote>
  <w:footnote w:type="continuationNotice" w:id="2">
    <w:p w:rsidR="00955716" w:rsidP="00C721AC" w14:paraId="1485BC96" w14:textId="77777777">
      <w:pPr>
        <w:jc w:val="right"/>
        <w:rPr>
          <w:sz w:val="20"/>
        </w:rPr>
      </w:pPr>
      <w:r>
        <w:rPr>
          <w:sz w:val="20"/>
        </w:rPr>
        <w:t>(</w:t>
      </w:r>
      <w:r>
        <w:rPr>
          <w:sz w:val="20"/>
        </w:rPr>
        <w:t>continued</w:t>
      </w:r>
      <w:r>
        <w:rPr>
          <w:sz w:val="20"/>
        </w:rPr>
        <w:t>….)</w:t>
      </w:r>
    </w:p>
  </w:footnote>
  <w:footnote w:id="3">
    <w:p w:rsidR="002719C9" w:rsidRPr="00EA78D0" w:rsidP="00EA78D0" w14:paraId="79377077" w14:textId="74AFE2EE">
      <w:pPr>
        <w:pStyle w:val="FootnoteText"/>
      </w:pPr>
      <w:r w:rsidRPr="00EA78D0">
        <w:rPr>
          <w:rStyle w:val="FootnoteReference"/>
        </w:rPr>
        <w:footnoteRef/>
      </w:r>
      <w:r w:rsidRPr="00EA78D0">
        <w:t xml:space="preserve"> 47 U.S.C. §§ 214</w:t>
      </w:r>
      <w:r w:rsidRPr="00EA78D0" w:rsidR="0020639F">
        <w:t>(a)</w:t>
      </w:r>
      <w:r w:rsidRPr="00EA78D0">
        <w:t>, 310(d).</w:t>
      </w:r>
    </w:p>
  </w:footnote>
  <w:footnote w:id="4">
    <w:p w:rsidR="002719C9" w:rsidRPr="00EA78D0" w:rsidP="00EA78D0" w14:paraId="5EE26BBB" w14:textId="164F8F5E">
      <w:pPr>
        <w:pStyle w:val="FootnoteText"/>
        <w:rPr>
          <w:rFonts w:eastAsia="Calibri"/>
        </w:rPr>
      </w:pPr>
      <w:r w:rsidRPr="00EA78D0">
        <w:rPr>
          <w:rStyle w:val="FootnoteReference"/>
        </w:rPr>
        <w:footnoteRef/>
      </w:r>
      <w:r w:rsidRPr="00EA78D0">
        <w:t xml:space="preserve"> 47 CFR §§ 1.948, 63.04, 63.18, 63.24.</w:t>
      </w:r>
    </w:p>
  </w:footnote>
  <w:footnote w:id="5">
    <w:p w:rsidR="002719C9" w:rsidRPr="00EA78D0" w:rsidP="00EA78D0" w14:paraId="2F4BD15B" w14:textId="4DC89AC2">
      <w:pPr>
        <w:spacing w:after="120"/>
        <w:rPr>
          <w:sz w:val="20"/>
        </w:rPr>
      </w:pPr>
      <w:r w:rsidRPr="00EA78D0">
        <w:rPr>
          <w:sz w:val="20"/>
          <w:vertAlign w:val="superscript"/>
        </w:rPr>
        <w:footnoteRef/>
      </w:r>
      <w:r w:rsidRPr="00EA78D0">
        <w:rPr>
          <w:sz w:val="20"/>
        </w:rPr>
        <w:t xml:space="preserve"> </w:t>
      </w:r>
      <w:r w:rsidRPr="00EA78D0" w:rsidR="00C452BD">
        <w:rPr>
          <w:sz w:val="20"/>
        </w:rPr>
        <w:t>Joint Application to Transfer Control of Domestic and International Section 214 Authorizations of Cox Enterprises, Inc. to Charter Communications, Inc., WC Docket No. 25-233 (filed July 15, 2025) (</w:t>
      </w:r>
      <w:r w:rsidRPr="00EA78D0" w:rsidR="004341A8">
        <w:rPr>
          <w:sz w:val="20"/>
        </w:rPr>
        <w:t>Lead Application</w:t>
      </w:r>
      <w:r w:rsidRPr="00EA78D0" w:rsidR="00C452BD">
        <w:rPr>
          <w:sz w:val="20"/>
        </w:rPr>
        <w:t>); ICFS File Nos. ITC-T/C-20250701-00030, ITC-T/C-20250706-00033, ITC-T/C-20250707-00035, ITC-T/C-20250707-00036 and ITC-T/C-20250707-00037.  The domestic and international section 214 authorizations and the FCC wireless licenses held by the Licensees are identified in Attachment A</w:t>
      </w:r>
      <w:r w:rsidRPr="00EA78D0" w:rsidR="008D53E4">
        <w:rPr>
          <w:sz w:val="20"/>
        </w:rPr>
        <w:t xml:space="preserve"> (Applications)</w:t>
      </w:r>
      <w:r w:rsidRPr="00EA78D0" w:rsidR="00C452BD">
        <w:rPr>
          <w:sz w:val="20"/>
        </w:rPr>
        <w:t xml:space="preserve">, together with corresponding FCC file numbers.  On August 29, </w:t>
      </w:r>
      <w:r w:rsidRPr="00EA78D0" w:rsidR="00C452BD">
        <w:rPr>
          <w:sz w:val="20"/>
        </w:rPr>
        <w:t>2025</w:t>
      </w:r>
      <w:r w:rsidRPr="00EA78D0" w:rsidR="0066717B">
        <w:rPr>
          <w:sz w:val="20"/>
        </w:rPr>
        <w:t xml:space="preserve"> and January 28, 2026</w:t>
      </w:r>
      <w:r w:rsidRPr="00EA78D0" w:rsidR="00947179">
        <w:rPr>
          <w:sz w:val="20"/>
        </w:rPr>
        <w:t>,</w:t>
      </w:r>
      <w:r w:rsidRPr="00EA78D0" w:rsidR="00C452BD">
        <w:rPr>
          <w:sz w:val="20"/>
        </w:rPr>
        <w:t xml:space="preserve"> Applicants filed supplement</w:t>
      </w:r>
      <w:r w:rsidRPr="00EA78D0" w:rsidR="00947179">
        <w:rPr>
          <w:sz w:val="20"/>
        </w:rPr>
        <w:t>s</w:t>
      </w:r>
      <w:r w:rsidRPr="00EA78D0" w:rsidR="00C452BD">
        <w:rPr>
          <w:sz w:val="20"/>
        </w:rPr>
        <w:t xml:space="preserve"> to their domestic and international section 214 applications.  Letter from Bryan N. Tramont, et al., Counsel to Charter Communications, Inc., and Mathew A. Brill, et al., Counsel to Cox Enterprises, Inc., to Marlene H. Dortch, Secretary, FCC, WC Docket No. 25-233, ICFS File Nos. ITC-T/C-20250701-00030, ITC-T/C-20250706-00033, ITC-T/C-20250707-00035, ITC-T/C-20250707-00036 and ITC-T/C-20250707-00037 (filed Aug. 29, 2025) (Supplement)</w:t>
      </w:r>
      <w:r w:rsidRPr="00EA78D0" w:rsidR="00947179">
        <w:rPr>
          <w:sz w:val="20"/>
        </w:rPr>
        <w:t>; Letter from Bryan N. Tramont, et al., Counsel to Charter Communications, Inc., and Mathew A. Brill, et al., Counsel to Cox Enterprises, Inc., to Marlene H. Dortch, Secretary, FCC, WC Docket No. 25-233, ICFS File Nos. ITC-T/C-20250701-00030, ITC-T/C-20250706-00033, ITC-T/C-20250707-00035, ITC-T/C-20250707-00036 and ITC-T/C-20250707-00037 (filed Jan. 28, 2026)</w:t>
      </w:r>
      <w:r w:rsidRPr="00EA78D0" w:rsidR="008E21FD">
        <w:rPr>
          <w:sz w:val="20"/>
        </w:rPr>
        <w:t xml:space="preserve"> </w:t>
      </w:r>
      <w:r w:rsidRPr="00EA78D0" w:rsidR="00E947FF">
        <w:rPr>
          <w:sz w:val="20"/>
        </w:rPr>
        <w:t>(Second Supplem</w:t>
      </w:r>
      <w:r w:rsidRPr="00EA78D0" w:rsidR="00B05F79">
        <w:rPr>
          <w:sz w:val="20"/>
        </w:rPr>
        <w:t>ent</w:t>
      </w:r>
      <w:r w:rsidRPr="00EA78D0" w:rsidR="00947179">
        <w:rPr>
          <w:sz w:val="20"/>
        </w:rPr>
        <w:t>)</w:t>
      </w:r>
      <w:r w:rsidRPr="00EA78D0" w:rsidR="008E21FD">
        <w:rPr>
          <w:sz w:val="20"/>
        </w:rPr>
        <w:t xml:space="preserve"> (noti</w:t>
      </w:r>
      <w:r w:rsidRPr="00EA78D0" w:rsidR="009E1BA4">
        <w:rPr>
          <w:sz w:val="20"/>
        </w:rPr>
        <w:t xml:space="preserve">fying the Commission that the conversion of certain Cox subsidiaries that are corporations to limited liability companies were </w:t>
      </w:r>
      <w:r w:rsidRPr="00EA78D0" w:rsidR="000A1742">
        <w:rPr>
          <w:sz w:val="20"/>
        </w:rPr>
        <w:t>effectuated at the end of 2025)</w:t>
      </w:r>
      <w:r w:rsidRPr="00EA78D0" w:rsidR="00C452BD">
        <w:rPr>
          <w:sz w:val="20"/>
        </w:rPr>
        <w:t>.</w:t>
      </w:r>
    </w:p>
  </w:footnote>
  <w:footnote w:id="6">
    <w:p w:rsidR="002719C9" w:rsidRPr="00EA78D0" w:rsidP="00EA78D0" w14:paraId="0AAB6388" w14:textId="0271DA09">
      <w:pPr>
        <w:pStyle w:val="FootnoteText"/>
      </w:pPr>
      <w:r w:rsidRPr="00EA78D0">
        <w:rPr>
          <w:rStyle w:val="FootnoteReference"/>
        </w:rPr>
        <w:footnoteRef/>
      </w:r>
      <w:r w:rsidRPr="00EA78D0">
        <w:t xml:space="preserve"> 47 U.S.C. §§ 214</w:t>
      </w:r>
      <w:r w:rsidRPr="00EA78D0" w:rsidR="00C34F54">
        <w:t>(a)</w:t>
      </w:r>
      <w:r w:rsidRPr="00EA78D0">
        <w:t>, 310(d).</w:t>
      </w:r>
    </w:p>
  </w:footnote>
  <w:footnote w:id="7">
    <w:p w:rsidR="001E4E96" w:rsidRPr="00EA78D0" w:rsidP="00EA78D0" w14:paraId="398B55E2" w14:textId="5CC0AE49">
      <w:pPr>
        <w:pStyle w:val="FootnoteText"/>
        <w:rPr>
          <w:i/>
          <w:iCs/>
        </w:rPr>
      </w:pPr>
      <w:r w:rsidRPr="00EA78D0">
        <w:rPr>
          <w:rStyle w:val="FootnoteReference"/>
        </w:rPr>
        <w:footnoteRef/>
      </w:r>
      <w:r w:rsidRPr="00EA78D0">
        <w:t xml:space="preserve"> </w:t>
      </w:r>
      <w:r w:rsidRPr="00EA78D0" w:rsidR="004341A8">
        <w:t>Lead Application</w:t>
      </w:r>
      <w:r w:rsidRPr="00EA78D0">
        <w:t xml:space="preserve"> at 11.</w:t>
      </w:r>
      <w:r w:rsidRPr="00EA78D0" w:rsidR="00E556F1">
        <w:t xml:space="preserve">  </w:t>
      </w:r>
      <w:r w:rsidRPr="00EA78D0">
        <w:t xml:space="preserve">Applicants identify nine of the Licensees </w:t>
      </w:r>
      <w:r w:rsidRPr="00EA78D0" w:rsidR="000F021E">
        <w:t xml:space="preserve">that </w:t>
      </w:r>
      <w:r w:rsidRPr="00EA78D0">
        <w:t xml:space="preserve">have </w:t>
      </w:r>
      <w:r w:rsidRPr="00EA78D0" w:rsidR="0000549B">
        <w:t xml:space="preserve">each </w:t>
      </w:r>
      <w:r w:rsidRPr="00EA78D0">
        <w:t>been designated as an Eligible Telecommunications Carrier (ETC) and have been authorized by the Commission to receive Rural D</w:t>
      </w:r>
      <w:r w:rsidRPr="00EA78D0" w:rsidR="00B46438">
        <w:t>i</w:t>
      </w:r>
      <w:r w:rsidRPr="00EA78D0">
        <w:t xml:space="preserve">gital Opportunity Fund (RDOF) support.  </w:t>
      </w:r>
      <w:r w:rsidRPr="00EA78D0">
        <w:rPr>
          <w:i/>
          <w:iCs/>
        </w:rPr>
        <w:t>Id.</w:t>
      </w:r>
      <w:r w:rsidRPr="00EA78D0">
        <w:t xml:space="preserve"> at 14, 16.  Applicants also provide study area codes (SACs) for 14 of the Licensees and note that certain of the Licensees participate in the Lifeline </w:t>
      </w:r>
      <w:r w:rsidRPr="00EA78D0">
        <w:t xml:space="preserve">program, </w:t>
      </w:r>
      <w:r w:rsidRPr="00EA78D0" w:rsidR="00E375D2">
        <w:t>and</w:t>
      </w:r>
      <w:r w:rsidRPr="00EA78D0" w:rsidR="00E375D2">
        <w:t xml:space="preserve"> </w:t>
      </w:r>
      <w:r w:rsidRPr="00EA78D0">
        <w:t xml:space="preserve">will continue </w:t>
      </w:r>
      <w:r w:rsidRPr="00EA78D0" w:rsidR="00E375D2">
        <w:t xml:space="preserve">to do so </w:t>
      </w:r>
      <w:r w:rsidRPr="00EA78D0">
        <w:t xml:space="preserve">following consummation of the proposed transaction.  </w:t>
      </w:r>
      <w:r w:rsidRPr="00EA78D0">
        <w:rPr>
          <w:i/>
          <w:iCs/>
        </w:rPr>
        <w:t>See id.</w:t>
      </w:r>
      <w:r w:rsidRPr="00EA78D0">
        <w:t xml:space="preserve"> at 16-17.</w:t>
      </w:r>
    </w:p>
  </w:footnote>
  <w:footnote w:id="8">
    <w:p w:rsidR="001E4E96" w:rsidRPr="00EA78D0" w:rsidP="00EA78D0" w14:paraId="316A84A3" w14:textId="040A23FF">
      <w:pPr>
        <w:pStyle w:val="FootnoteText"/>
      </w:pPr>
      <w:r w:rsidRPr="00EA78D0">
        <w:rPr>
          <w:rStyle w:val="FootnoteReference"/>
        </w:rPr>
        <w:footnoteRef/>
      </w:r>
      <w:r w:rsidRPr="00EA78D0">
        <w:t xml:space="preserve"> </w:t>
      </w:r>
      <w:r w:rsidRPr="00EA78D0">
        <w:rPr>
          <w:i/>
          <w:iCs/>
        </w:rPr>
        <w:t>Id.</w:t>
      </w:r>
      <w:r w:rsidRPr="00EA78D0">
        <w:t xml:space="preserve">, </w:t>
      </w:r>
      <w:r w:rsidRPr="00EA78D0">
        <w:t>Exh</w:t>
      </w:r>
      <w:r w:rsidRPr="00EA78D0">
        <w:t>. 1</w:t>
      </w:r>
      <w:r w:rsidRPr="00EA78D0" w:rsidR="00723616">
        <w:t xml:space="preserve"> -</w:t>
      </w:r>
      <w:r w:rsidRPr="00EA78D0">
        <w:t xml:space="preserve"> Public Interest Statement at 15</w:t>
      </w:r>
      <w:r w:rsidRPr="00EA78D0" w:rsidR="00723616">
        <w:t xml:space="preserve"> (Public Interest Statement)</w:t>
      </w:r>
      <w:r w:rsidRPr="00EA78D0">
        <w:t xml:space="preserve">.  Cox provides mass-market broadband service to residential and small- to medium-sized business customers under its Cox Internet brand, and cable television service to residential customers over its cable systems under its Contour brand across 18 states, as well as access to streaming services platforms.  </w:t>
      </w:r>
      <w:r w:rsidRPr="00EA78D0">
        <w:rPr>
          <w:i/>
          <w:iCs/>
        </w:rPr>
        <w:t>Id.</w:t>
      </w:r>
      <w:r w:rsidRPr="00EA78D0" w:rsidR="00B47BC6">
        <w:t xml:space="preserve">  </w:t>
      </w:r>
      <w:r w:rsidRPr="00EA78D0" w:rsidR="00166615">
        <w:t>Additionally, Cox Media, Cox’s advertising sales division</w:t>
      </w:r>
      <w:r w:rsidRPr="00EA78D0" w:rsidR="00A06936">
        <w:t>,</w:t>
      </w:r>
      <w:r w:rsidRPr="00EA78D0" w:rsidR="00166615">
        <w:t xml:space="preserve"> sells advertising inventory on cable television network</w:t>
      </w:r>
      <w:r w:rsidRPr="00EA78D0" w:rsidR="00ED7588">
        <w:t xml:space="preserve">s and various digital media platforms.  </w:t>
      </w:r>
      <w:r w:rsidRPr="00EA78D0" w:rsidR="00ED7588">
        <w:rPr>
          <w:i/>
          <w:iCs/>
        </w:rPr>
        <w:t>Id</w:t>
      </w:r>
      <w:r w:rsidRPr="00EA78D0" w:rsidR="00AE02BB">
        <w:rPr>
          <w:i/>
          <w:iCs/>
        </w:rPr>
        <w:t>.</w:t>
      </w:r>
      <w:r w:rsidRPr="00EA78D0" w:rsidR="00AE02BB">
        <w:t xml:space="preserve"> at 16.</w:t>
      </w:r>
    </w:p>
  </w:footnote>
  <w:footnote w:id="9">
    <w:p w:rsidR="001E4E96" w:rsidRPr="00EA78D0" w:rsidP="00EA78D0" w14:paraId="5E6F2A45" w14:textId="5E486698">
      <w:pPr>
        <w:pStyle w:val="FootnoteText"/>
        <w:rPr>
          <w:i/>
          <w:iCs/>
        </w:rPr>
      </w:pPr>
      <w:r w:rsidRPr="00EA78D0">
        <w:rPr>
          <w:rStyle w:val="FootnoteReference"/>
        </w:rPr>
        <w:footnoteRef/>
      </w:r>
      <w:r w:rsidRPr="00EA78D0">
        <w:t xml:space="preserve"> Public Interest Statement at 15-1</w:t>
      </w:r>
      <w:r w:rsidRPr="00EA78D0" w:rsidR="00C5533A">
        <w:t>6</w:t>
      </w:r>
      <w:r w:rsidRPr="00EA78D0">
        <w:t xml:space="preserve">.  Cox and the Licensees operate Cox’s residential broadband, video, mobile, and voice businesses, and certain other advertising and enterprise businesses, as well as the </w:t>
      </w:r>
      <w:r w:rsidRPr="00EA78D0">
        <w:t>Segra</w:t>
      </w:r>
      <w:r w:rsidRPr="00EA78D0">
        <w:t xml:space="preserve"> and Unite Private Networks (UPN) commercial fiber businesses operating under the </w:t>
      </w:r>
      <w:r w:rsidRPr="00EA78D0">
        <w:t>Segra</w:t>
      </w:r>
      <w:r w:rsidRPr="00EA78D0">
        <w:t xml:space="preserve"> brand and the </w:t>
      </w:r>
      <w:r w:rsidRPr="00EA78D0">
        <w:t>RapidScale</w:t>
      </w:r>
      <w:r w:rsidRPr="00EA78D0">
        <w:t xml:space="preserve"> managed IT and cloud business.  </w:t>
      </w:r>
      <w:r w:rsidRPr="00EA78D0">
        <w:rPr>
          <w:i/>
          <w:iCs/>
        </w:rPr>
        <w:t>Id.</w:t>
      </w:r>
      <w:r w:rsidRPr="00EA78D0">
        <w:t xml:space="preserve"> at 17.  Applicants provide further information on each of these entities in the Application.  </w:t>
      </w:r>
      <w:r w:rsidRPr="00EA78D0">
        <w:rPr>
          <w:i/>
          <w:iCs/>
        </w:rPr>
        <w:t>See e.g.</w:t>
      </w:r>
      <w:r w:rsidRPr="00EA78D0">
        <w:t xml:space="preserve">, </w:t>
      </w:r>
      <w:r w:rsidRPr="00EA78D0" w:rsidR="004341A8">
        <w:t>Lead Application</w:t>
      </w:r>
      <w:r w:rsidRPr="00EA78D0">
        <w:t xml:space="preserve"> at 11; Public Interest Statement at </w:t>
      </w:r>
      <w:r w:rsidRPr="00EA78D0" w:rsidR="00B26C3B">
        <w:t>15-</w:t>
      </w:r>
      <w:r w:rsidRPr="00EA78D0">
        <w:t>16.</w:t>
      </w:r>
    </w:p>
  </w:footnote>
  <w:footnote w:id="10">
    <w:p w:rsidR="001E4E96" w:rsidRPr="00EA78D0" w:rsidP="00EA78D0" w14:paraId="69B576B9" w14:textId="5938A162">
      <w:pPr>
        <w:pStyle w:val="FootnoteText"/>
      </w:pPr>
      <w:r w:rsidRPr="00EA78D0">
        <w:rPr>
          <w:rStyle w:val="FootnoteReference"/>
        </w:rPr>
        <w:footnoteRef/>
      </w:r>
      <w:r w:rsidRPr="00EA78D0">
        <w:t xml:space="preserve"> </w:t>
      </w:r>
      <w:r w:rsidRPr="00EA78D0" w:rsidR="004341A8">
        <w:t>Lead Application</w:t>
      </w:r>
      <w:r w:rsidRPr="00EA78D0">
        <w:t xml:space="preserve"> at 8.  CEI is held by the Cox Family Voting Trust (100% voting; 0% equity) and </w:t>
      </w:r>
      <w:r w:rsidRPr="00EA78D0">
        <w:t>Trailsend</w:t>
      </w:r>
      <w:r w:rsidRPr="00EA78D0">
        <w:t xml:space="preserve"> Ventures, LLC (</w:t>
      </w:r>
      <w:r w:rsidRPr="00EA78D0">
        <w:t>Trailsend</w:t>
      </w:r>
      <w:r w:rsidRPr="00EA78D0">
        <w:t xml:space="preserve"> Ventures) (0% voting; 30% equity).  Supplement at 2-3.  The trustees for the Cox Family Voting Trust are Sanford H. Schwartz, James C. Kennedy, and Alex C. Taylor, each a U.S. citizen.  </w:t>
      </w:r>
      <w:r w:rsidRPr="00EA78D0">
        <w:rPr>
          <w:i/>
          <w:iCs/>
        </w:rPr>
        <w:t>Id.</w:t>
      </w:r>
      <w:r w:rsidRPr="00EA78D0">
        <w:t xml:space="preserve"> at 2, n.4.  The Clarendon Trust Company, LLC, a Tennessee limited liability company that serves as the sole manager of </w:t>
      </w:r>
      <w:r w:rsidRPr="00EA78D0">
        <w:t>Trailsend</w:t>
      </w:r>
      <w:r w:rsidRPr="00EA78D0">
        <w:t xml:space="preserve"> Ventures, is controlled by its board of directors:  Sanford H. Schwartz, Alex C. Taylor, and Barbara K. Harty, each a U.S. citizen.  </w:t>
      </w:r>
      <w:r w:rsidRPr="00EA78D0">
        <w:rPr>
          <w:i/>
          <w:iCs/>
        </w:rPr>
        <w:t>Id.</w:t>
      </w:r>
      <w:r w:rsidRPr="00EA78D0">
        <w:t xml:space="preserve"> at 2, n.3.  Applicants provide additional pre-consummation ownership information and ownership diagrams related to Cox and the Licensees.  Supplement at 2-9; </w:t>
      </w:r>
      <w:r w:rsidRPr="00EA78D0">
        <w:rPr>
          <w:i/>
          <w:iCs/>
        </w:rPr>
        <w:t>id.</w:t>
      </w:r>
      <w:r w:rsidRPr="00EA78D0">
        <w:t xml:space="preserve">, </w:t>
      </w:r>
      <w:r w:rsidRPr="00EA78D0">
        <w:t>Exh</w:t>
      </w:r>
      <w:r w:rsidRPr="00EA78D0">
        <w:t>. A (Pre-Consummation CEI Ownership) at 1-6.  Applicants state that no other entity or individual holds a 10% or greater interest in CEI, or as applicable, the Licensees.  Supplement at 2.</w:t>
      </w:r>
    </w:p>
  </w:footnote>
  <w:footnote w:id="11">
    <w:p w:rsidR="00A21208" w:rsidRPr="00EA78D0" w:rsidP="00EA78D0" w14:paraId="4264ECE3" w14:textId="40A308A9">
      <w:pPr>
        <w:pStyle w:val="FootnoteText"/>
      </w:pPr>
      <w:r w:rsidRPr="00EA78D0">
        <w:rPr>
          <w:rStyle w:val="FootnoteReference"/>
        </w:rPr>
        <w:footnoteRef/>
      </w:r>
      <w:r w:rsidRPr="00EA78D0">
        <w:t xml:space="preserve"> </w:t>
      </w:r>
      <w:r w:rsidRPr="00EA78D0" w:rsidR="007C1C36">
        <w:t>Staff analysis of June 2025 BDC Data.</w:t>
      </w:r>
    </w:p>
  </w:footnote>
  <w:footnote w:id="12">
    <w:p w:rsidR="0031771D" w:rsidRPr="00EA78D0" w:rsidP="00EA78D0" w14:paraId="49CF4C68" w14:textId="0D078F03">
      <w:pPr>
        <w:pStyle w:val="FootnoteText"/>
      </w:pPr>
      <w:r w:rsidRPr="00EA78D0">
        <w:rPr>
          <w:rStyle w:val="FootnoteReference"/>
        </w:rPr>
        <w:footnoteRef/>
      </w:r>
      <w:r w:rsidRPr="00EA78D0">
        <w:t xml:space="preserve"> Applicants provide pre- and post-consummation ownership information for Charter.  </w:t>
      </w:r>
      <w:r w:rsidRPr="00EA78D0">
        <w:rPr>
          <w:i/>
          <w:iCs/>
        </w:rPr>
        <w:t xml:space="preserve">See </w:t>
      </w:r>
      <w:r w:rsidRPr="00EA78D0" w:rsidR="002E7ACA">
        <w:t>Lead Application</w:t>
      </w:r>
      <w:r w:rsidRPr="00EA78D0">
        <w:t xml:space="preserve"> at 9-11 (Pre-Consummation Ownership Information for Charter</w:t>
      </w:r>
      <w:r w:rsidRPr="00EA78D0">
        <w:t>);</w:t>
      </w:r>
      <w:r w:rsidRPr="00EA78D0">
        <w:t xml:space="preserve"> </w:t>
      </w:r>
      <w:r w:rsidRPr="00EA78D0">
        <w:rPr>
          <w:i/>
          <w:iCs/>
        </w:rPr>
        <w:t>id.</w:t>
      </w:r>
      <w:r w:rsidRPr="00EA78D0">
        <w:t xml:space="preserve"> at 11-22 (Post-Consummation Ownership Information); </w:t>
      </w:r>
      <w:r w:rsidRPr="00EA78D0">
        <w:rPr>
          <w:i/>
          <w:iCs/>
        </w:rPr>
        <w:t>id.</w:t>
      </w:r>
      <w:r w:rsidRPr="00EA78D0">
        <w:t xml:space="preserve">, </w:t>
      </w:r>
      <w:r w:rsidRPr="00EA78D0">
        <w:t>Exh</w:t>
      </w:r>
      <w:r w:rsidRPr="00EA78D0">
        <w:t>. A (Pre-Consummation Charter Ownership) at 7.</w:t>
      </w:r>
    </w:p>
  </w:footnote>
  <w:footnote w:id="13">
    <w:p w:rsidR="0031771D" w:rsidRPr="00EA78D0" w:rsidP="00EA78D0" w14:paraId="30B312BD" w14:textId="6FEF77F3">
      <w:pPr>
        <w:pStyle w:val="FootnoteText"/>
      </w:pPr>
      <w:r w:rsidRPr="00EA78D0">
        <w:rPr>
          <w:rStyle w:val="FootnoteReference"/>
        </w:rPr>
        <w:footnoteRef/>
      </w:r>
      <w:r w:rsidRPr="00EA78D0">
        <w:t xml:space="preserve"> </w:t>
      </w:r>
      <w:r w:rsidRPr="00EA78D0" w:rsidR="004341A8">
        <w:t>Lead Application</w:t>
      </w:r>
      <w:r w:rsidRPr="00EA78D0">
        <w:t xml:space="preserve"> at 12-13.  Applicants provide information on 24 affiliates of Charter that have been awarded RDOF funding.  </w:t>
      </w:r>
      <w:r w:rsidRPr="00EA78D0">
        <w:rPr>
          <w:i/>
          <w:iCs/>
        </w:rPr>
        <w:t xml:space="preserve">Id. </w:t>
      </w:r>
      <w:r w:rsidRPr="00EA78D0">
        <w:t xml:space="preserve">at 14-15.  Applicants also provide SACs for 26 affiliates of Charter.  </w:t>
      </w:r>
      <w:r w:rsidRPr="00EA78D0">
        <w:rPr>
          <w:i/>
          <w:iCs/>
        </w:rPr>
        <w:t>Id.</w:t>
      </w:r>
      <w:r w:rsidRPr="00EA78D0">
        <w:t xml:space="preserve"> at 17.</w:t>
      </w:r>
    </w:p>
  </w:footnote>
  <w:footnote w:id="14">
    <w:p w:rsidR="0031771D" w:rsidRPr="00EA78D0" w:rsidP="00EA78D0" w14:paraId="60E2B825" w14:textId="4D8C3D1C">
      <w:pPr>
        <w:pStyle w:val="FootnoteText"/>
      </w:pPr>
      <w:r w:rsidRPr="00EA78D0">
        <w:rPr>
          <w:rStyle w:val="FootnoteReference"/>
        </w:rPr>
        <w:footnoteRef/>
      </w:r>
      <w:r w:rsidRPr="00EA78D0">
        <w:t xml:space="preserve"> Public Interest Statement at 11.  Charter offers mobile wireless service, including 5G access, data, voice, and text service, through its Spectrum Mobile brand.  </w:t>
      </w:r>
      <w:r w:rsidRPr="00EA78D0" w:rsidR="009D158B">
        <w:rPr>
          <w:i/>
          <w:iCs/>
        </w:rPr>
        <w:t>Id</w:t>
      </w:r>
      <w:r w:rsidRPr="00EA78D0" w:rsidR="009D158B">
        <w:t>.</w:t>
      </w:r>
      <w:r w:rsidRPr="00EA78D0">
        <w:t xml:space="preserve"> at 13.  Charter offers cable video, streaming, and hybrid cable-streaming video services through its Spectrum TV brand.  </w:t>
      </w:r>
      <w:r w:rsidRPr="00EA78D0">
        <w:rPr>
          <w:i/>
          <w:iCs/>
        </w:rPr>
        <w:t>Id.</w:t>
      </w:r>
      <w:r w:rsidRPr="00EA78D0" w:rsidR="00A72A2A">
        <w:t xml:space="preserve">  </w:t>
      </w:r>
      <w:r w:rsidRPr="00EA78D0">
        <w:t xml:space="preserve">Charter also provides connectivity </w:t>
      </w:r>
      <w:r w:rsidRPr="00EA78D0" w:rsidR="00781146">
        <w:t>services</w:t>
      </w:r>
      <w:r w:rsidRPr="00EA78D0">
        <w:t xml:space="preserve"> to small, mid-market, and large businesses, communications service providers, and government entities through its Spectrum Business brand.  </w:t>
      </w:r>
      <w:r w:rsidRPr="00EA78D0" w:rsidR="00FF4129">
        <w:rPr>
          <w:i/>
          <w:iCs/>
        </w:rPr>
        <w:t>Id.</w:t>
      </w:r>
      <w:r w:rsidRPr="00EA78D0">
        <w:t xml:space="preserve"> at 14.  </w:t>
      </w:r>
    </w:p>
  </w:footnote>
  <w:footnote w:id="15">
    <w:p w:rsidR="001E035D" w:rsidRPr="00EA78D0" w:rsidP="00EA78D0" w14:paraId="7E8AFFA0" w14:textId="311CC554">
      <w:pPr>
        <w:pStyle w:val="FootnoteText"/>
      </w:pPr>
      <w:r w:rsidRPr="00EA78D0">
        <w:rPr>
          <w:rStyle w:val="FootnoteReference"/>
        </w:rPr>
        <w:footnoteRef/>
      </w:r>
      <w:r w:rsidRPr="00EA78D0">
        <w:t xml:space="preserve"> </w:t>
      </w:r>
      <w:r w:rsidRPr="00EA78D0" w:rsidR="0066002A">
        <w:t>Staff analysis of June 2025 BDC Data.</w:t>
      </w:r>
    </w:p>
  </w:footnote>
  <w:footnote w:id="16">
    <w:p w:rsidR="0031771D" w:rsidRPr="00EA78D0" w:rsidP="00EA78D0" w14:paraId="74BF5B53" w14:textId="5D3DBA37">
      <w:pPr>
        <w:pStyle w:val="FootnoteText"/>
      </w:pPr>
      <w:r w:rsidRPr="00EA78D0">
        <w:rPr>
          <w:rStyle w:val="FootnoteReference"/>
        </w:rPr>
        <w:footnoteRef/>
      </w:r>
      <w:r w:rsidRPr="00EA78D0">
        <w:t xml:space="preserve"> Supplement at 22-25; </w:t>
      </w:r>
      <w:r w:rsidRPr="00EA78D0">
        <w:rPr>
          <w:i/>
          <w:iCs/>
        </w:rPr>
        <w:t>id.</w:t>
      </w:r>
      <w:r w:rsidRPr="00EA78D0">
        <w:t xml:space="preserve">, </w:t>
      </w:r>
      <w:r w:rsidRPr="00EA78D0">
        <w:t>Exh</w:t>
      </w:r>
      <w:r w:rsidRPr="00EA78D0">
        <w:t xml:space="preserve">. B (Charter DTS Affiliates) at 1-6.  Applicants categorize the affiliates of Charter into three main groups:  (1) competitive local exchange carriers (LECs) affiliated with Charter </w:t>
      </w:r>
      <w:r w:rsidRPr="00EA78D0">
        <w:t>Fiberlink</w:t>
      </w:r>
      <w:r w:rsidRPr="00EA78D0">
        <w:t xml:space="preserve">, Bresnan Broadband, and Bright House entities; (2) competitive LECs affiliated with Time Warner Cable; and (3) Spectrum Mobile, which offers commercial mobile radio service (CMRS) on a resale basis throughout the geographic areas where Charter’s competitive LEC entities operate.  </w:t>
      </w:r>
      <w:r w:rsidRPr="00EA78D0">
        <w:rPr>
          <w:i/>
          <w:iCs/>
        </w:rPr>
        <w:t>Id.</w:t>
      </w:r>
      <w:r w:rsidRPr="00EA78D0">
        <w:t xml:space="preserve"> at 23-25; </w:t>
      </w:r>
      <w:r w:rsidRPr="00EA78D0">
        <w:rPr>
          <w:i/>
          <w:iCs/>
        </w:rPr>
        <w:t>see also id.</w:t>
      </w:r>
      <w:r w:rsidRPr="00EA78D0">
        <w:t xml:space="preserve"> at nn.26-29 (listing the entities included in each of these groups of affiliates of Charter).  Applicants anticipate that the entities currently affiliated with Charter, directly or indirectly owned by John Malone or Liberty Broadband, will no longer be affiliated with Charter following the consummation of the </w:t>
      </w:r>
      <w:r w:rsidRPr="00EA78D0" w:rsidR="00673564">
        <w:t>T</w:t>
      </w:r>
      <w:r w:rsidRPr="00EA78D0">
        <w:t xml:space="preserve">ransaction.  </w:t>
      </w:r>
      <w:r w:rsidRPr="00EA78D0">
        <w:rPr>
          <w:i/>
          <w:iCs/>
        </w:rPr>
        <w:t>See infra</w:t>
      </w:r>
      <w:r w:rsidRPr="00EA78D0">
        <w:t xml:space="preserve"> note 1</w:t>
      </w:r>
      <w:r w:rsidRPr="00EA78D0" w:rsidR="003F7E5A">
        <w:t>5</w:t>
      </w:r>
      <w:r w:rsidRPr="00EA78D0">
        <w:t>.  Applicants state that, other than what has been disclosed, neither Charter, nor entities and individuals that hold a 10% or greater interest in Charter or Charter Holdings, also hold interests in any other provider of domestic telecommunications services.  Supplement at 23.</w:t>
      </w:r>
    </w:p>
  </w:footnote>
  <w:footnote w:id="17">
    <w:p w:rsidR="0068128F" w:rsidRPr="00EA78D0" w:rsidP="00EA78D0" w14:paraId="71D54E99" w14:textId="6A8EA6BF">
      <w:pPr>
        <w:pStyle w:val="FootnoteText"/>
      </w:pPr>
      <w:r w:rsidRPr="00EA78D0">
        <w:rPr>
          <w:rStyle w:val="FootnoteReference"/>
        </w:rPr>
        <w:footnoteRef/>
      </w:r>
      <w:r w:rsidRPr="00EA78D0">
        <w:t xml:space="preserve"> Public Interest Statement at 16-17.  Applicants state that the post-consummation combined company also will assume Cox’s outstanding net debt and finance leases.  </w:t>
      </w:r>
      <w:r w:rsidRPr="00EA78D0">
        <w:rPr>
          <w:i/>
          <w:iCs/>
        </w:rPr>
        <w:t>Id.</w:t>
      </w:r>
      <w:r w:rsidRPr="00EA78D0">
        <w:t xml:space="preserve"> at 17.</w:t>
      </w:r>
    </w:p>
  </w:footnote>
  <w:footnote w:id="18">
    <w:p w:rsidR="00E36F6D" w:rsidRPr="00EA78D0" w:rsidP="00EA78D0" w14:paraId="46C9794A" w14:textId="77777777">
      <w:pPr>
        <w:pStyle w:val="FootnoteText"/>
      </w:pPr>
      <w:r w:rsidRPr="00EA78D0">
        <w:rPr>
          <w:rStyle w:val="FootnoteReference"/>
        </w:rPr>
        <w:footnoteRef/>
      </w:r>
      <w:r w:rsidRPr="00EA78D0">
        <w:t xml:space="preserve"> Applicants state that, as part of the </w:t>
      </w:r>
      <w:r w:rsidRPr="00EA78D0">
        <w:rPr>
          <w:i/>
          <w:iCs/>
        </w:rPr>
        <w:t>pro forma</w:t>
      </w:r>
      <w:r w:rsidRPr="00EA78D0">
        <w:t xml:space="preserve"> restructuring of Cox that will occur immediately prior to the consummation of the Transaction, Cox Communications, Inc. will be converted to a limited liability company.  Lead Application at 7, n.1; Second Supplement at 1-2.</w:t>
      </w:r>
    </w:p>
  </w:footnote>
  <w:footnote w:id="19">
    <w:p w:rsidR="00E36F6D" w:rsidRPr="00EA78D0" w:rsidP="00EA78D0" w14:paraId="3A3EE8A5" w14:textId="77777777">
      <w:pPr>
        <w:pStyle w:val="FootnoteText"/>
      </w:pPr>
      <w:r w:rsidRPr="00EA78D0">
        <w:rPr>
          <w:rStyle w:val="FootnoteReference"/>
        </w:rPr>
        <w:footnoteRef/>
      </w:r>
      <w:r w:rsidRPr="00EA78D0">
        <w:t xml:space="preserve"> </w:t>
      </w:r>
      <w:r w:rsidRPr="00EA78D0">
        <w:rPr>
          <w:i/>
          <w:iCs/>
        </w:rPr>
        <w:t>Id.</w:t>
      </w:r>
      <w:r w:rsidRPr="00EA78D0">
        <w:t xml:space="preserve"> at 5, Public Interest Statement at 17-18.  Post-consummation, the following U.S. entities will hold a 10% or greater interest in Charter Holdings:  (1) CCH II, LLC (CCH II) (62.3% equity and 61.6% voting), a Delaware limited liability company and wholly owned subsidiary of Charter; (2) Cox </w:t>
      </w:r>
      <w:r w:rsidRPr="00EA78D0">
        <w:t>NewCo</w:t>
      </w:r>
      <w:r w:rsidRPr="00EA78D0">
        <w:t xml:space="preserve"> (23.4% equity and 24.0% voting), a Delaware entity newly formed for the purposes of the Transaction; and (3) Advance Newhouse Partnership (A/N Partnership) (8.4% equity and 8.6% voting), a New York Partnership.  </w:t>
      </w:r>
      <w:r w:rsidRPr="00EA78D0">
        <w:rPr>
          <w:i/>
          <w:iCs/>
        </w:rPr>
        <w:t xml:space="preserve">Id. </w:t>
      </w:r>
      <w:r w:rsidRPr="00EA78D0">
        <w:t xml:space="preserve">at 5, 7, and 9.  Cox </w:t>
      </w:r>
      <w:r w:rsidRPr="00EA78D0">
        <w:t>NewCo</w:t>
      </w:r>
      <w:r w:rsidRPr="00EA78D0">
        <w:t xml:space="preserve"> will be wholly owned by CEI.  </w:t>
      </w:r>
      <w:r w:rsidRPr="00EA78D0">
        <w:rPr>
          <w:i/>
          <w:iCs/>
        </w:rPr>
        <w:t>Id.</w:t>
      </w:r>
      <w:r w:rsidRPr="00EA78D0">
        <w:t xml:space="preserve"> at 8.  Applicants note that A/N Partnership’s direct post-consummation interest in Cox will be 8.4% equity and 8.6% voting but will rise to 9.9% equity and 10.2% voting due to </w:t>
      </w:r>
      <w:r w:rsidRPr="00EA78D0">
        <w:t>various different</w:t>
      </w:r>
      <w:r w:rsidRPr="00EA78D0">
        <w:t xml:space="preserve"> types of shares that A/N Partnership holds in Charter Holdings and the dilution of outstanding stock as of March 31, 2025.  </w:t>
      </w:r>
      <w:r w:rsidRPr="00EA78D0">
        <w:rPr>
          <w:i/>
          <w:iCs/>
        </w:rPr>
        <w:t>Id.</w:t>
      </w:r>
      <w:r w:rsidRPr="00EA78D0">
        <w:t xml:space="preserve"> at 9, n.8.  A/NPC Holdings LLC, a New York limited liability company, holds 99% equity and voting of A/N Partnership.  Supplement at 10; </w:t>
      </w:r>
      <w:r w:rsidRPr="00EA78D0">
        <w:rPr>
          <w:i/>
          <w:iCs/>
        </w:rPr>
        <w:t>id.</w:t>
      </w:r>
      <w:r w:rsidRPr="00EA78D0">
        <w:t xml:space="preserve">, </w:t>
      </w:r>
      <w:r w:rsidRPr="00EA78D0">
        <w:t>Exh</w:t>
      </w:r>
      <w:r w:rsidRPr="00EA78D0">
        <w:t>. A at 7.</w:t>
      </w:r>
    </w:p>
  </w:footnote>
  <w:footnote w:id="20">
    <w:p w:rsidR="0068128F" w:rsidRPr="00EA78D0" w:rsidP="00EA78D0" w14:paraId="1F352943" w14:textId="1D128201">
      <w:pPr>
        <w:pStyle w:val="FootnoteText"/>
      </w:pPr>
      <w:r w:rsidRPr="00EA78D0">
        <w:rPr>
          <w:rStyle w:val="FootnoteReference"/>
        </w:rPr>
        <w:footnoteRef/>
      </w:r>
      <w:r w:rsidRPr="00EA78D0">
        <w:t xml:space="preserve"> </w:t>
      </w:r>
      <w:r w:rsidRPr="00EA78D0" w:rsidR="004465D9">
        <w:t>Public Interest Statement</w:t>
      </w:r>
      <w:r w:rsidRPr="00EA78D0">
        <w:t xml:space="preserve"> at 17-18.  Applicants note that these percentages assume Charter’s recent acquisition of Liberty Broadband Corporation (Liberty Broadband/Charter Transaction), a transaction that Applicants assert will not require regulatory approval, closes concurrently with the </w:t>
      </w:r>
      <w:r w:rsidRPr="00EA78D0" w:rsidR="003F63B7">
        <w:t>T</w:t>
      </w:r>
      <w:r w:rsidRPr="00EA78D0">
        <w:t xml:space="preserve">ransaction.  </w:t>
      </w:r>
      <w:r w:rsidRPr="00EA78D0">
        <w:rPr>
          <w:i/>
          <w:iCs/>
        </w:rPr>
        <w:t>Id.</w:t>
      </w:r>
      <w:r w:rsidRPr="00EA78D0">
        <w:t xml:space="preserve"> at 17, n.60.  As a result, Liberty Broadband will cease to be a direct shareholder in Charter, and the three Liberty Broadband nominees currently sitting on the Charter Board will resign.  </w:t>
      </w:r>
      <w:r w:rsidRPr="00EA78D0">
        <w:rPr>
          <w:i/>
          <w:iCs/>
        </w:rPr>
        <w:t>Id.</w:t>
      </w:r>
      <w:r w:rsidRPr="00EA78D0">
        <w:t xml:space="preserve">; </w:t>
      </w:r>
      <w:r w:rsidRPr="00EA78D0">
        <w:rPr>
          <w:i/>
          <w:iCs/>
        </w:rPr>
        <w:t>see also</w:t>
      </w:r>
      <w:r w:rsidRPr="00EA78D0">
        <w:t xml:space="preserve"> Supplement, 9-10, n.6.</w:t>
      </w:r>
      <w:r w:rsidRPr="00EA78D0">
        <w:rPr>
          <w:i/>
          <w:iCs/>
        </w:rPr>
        <w:t xml:space="preserve">  </w:t>
      </w:r>
      <w:r w:rsidRPr="00EA78D0">
        <w:t xml:space="preserve">Applicants state that although John Malone, a U.S. citizen, currently holds an approximately 14% voting interest in Charter, through his approximately 49% voting interest in Liberty Broadband, following the consummation of the Liberty Broadband/Charter Transaction, Mr. Malone will no longer hold a 10% or greater direct or indirect voting or equity interest in Charter, nor will Mr. Malone be a disclosable interest holder in, or affiliate of, Charter.  Supplement at 9, n.5; </w:t>
      </w:r>
      <w:r w:rsidRPr="00EA78D0">
        <w:rPr>
          <w:i/>
          <w:iCs/>
        </w:rPr>
        <w:t>id</w:t>
      </w:r>
      <w:r w:rsidRPr="00EA78D0">
        <w:t xml:space="preserve">., </w:t>
      </w:r>
      <w:r w:rsidRPr="00EA78D0">
        <w:t>Exh</w:t>
      </w:r>
      <w:r w:rsidRPr="00EA78D0">
        <w:t xml:space="preserve">. A (Pre-Consummation Charter Ownership) at 7, n.1; </w:t>
      </w:r>
      <w:r w:rsidRPr="00EA78D0">
        <w:rPr>
          <w:i/>
          <w:iCs/>
        </w:rPr>
        <w:t>id.</w:t>
      </w:r>
      <w:r w:rsidRPr="00EA78D0">
        <w:t xml:space="preserve"> at 23, n.24 (stating that, post-consummation, neither John Malone nor Liberty Broadband will be considered an affiliate of Charter); </w:t>
      </w:r>
      <w:r w:rsidRPr="00EA78D0">
        <w:rPr>
          <w:i/>
          <w:iCs/>
        </w:rPr>
        <w:t xml:space="preserve">see also supra </w:t>
      </w:r>
      <w:r w:rsidRPr="00EA78D0">
        <w:t>note 1</w:t>
      </w:r>
      <w:r w:rsidRPr="00EA78D0" w:rsidR="00CC5543">
        <w:t>4</w:t>
      </w:r>
      <w:r w:rsidRPr="00EA78D0">
        <w:t>.</w:t>
      </w:r>
    </w:p>
  </w:footnote>
  <w:footnote w:id="21">
    <w:p w:rsidR="0068128F" w:rsidRPr="00EA78D0" w:rsidP="00EA78D0" w14:paraId="557CB58C" w14:textId="25FA886F">
      <w:pPr>
        <w:pStyle w:val="FootnoteText"/>
      </w:pPr>
      <w:r w:rsidRPr="00EA78D0">
        <w:rPr>
          <w:rStyle w:val="FootnoteReference"/>
        </w:rPr>
        <w:footnoteRef/>
      </w:r>
      <w:r w:rsidRPr="00EA78D0">
        <w:t xml:space="preserve"> Public Interest Statement at 17-18.  Applicants state that, at closing, it is likely that CEI’s actual interest in Charter Holdings will be higher than 23.4% equity and 24.0% voting but note that CEI is prohibited from acquiring directly or indirectly, a voting or equity interest, greater than 30% in Charter.  </w:t>
      </w:r>
      <w:r w:rsidRPr="00EA78D0" w:rsidR="00F07698">
        <w:rPr>
          <w:i/>
          <w:iCs/>
        </w:rPr>
        <w:t>Id.</w:t>
      </w:r>
      <w:r w:rsidRPr="00EA78D0">
        <w:t xml:space="preserve"> at 18, n.61; Supplement at 13, n.13.</w:t>
      </w:r>
    </w:p>
  </w:footnote>
  <w:footnote w:id="22">
    <w:p w:rsidR="0068128F" w:rsidRPr="00EA78D0" w:rsidP="00EA78D0" w14:paraId="2C4D9D45" w14:textId="399565D9">
      <w:pPr>
        <w:pStyle w:val="FootnoteText"/>
      </w:pPr>
      <w:r w:rsidRPr="00EA78D0">
        <w:rPr>
          <w:rStyle w:val="FootnoteReference"/>
        </w:rPr>
        <w:footnoteRef/>
      </w:r>
      <w:r w:rsidRPr="00EA78D0">
        <w:t xml:space="preserve"> Public Interest Statement at 18.</w:t>
      </w:r>
    </w:p>
  </w:footnote>
  <w:footnote w:id="23">
    <w:p w:rsidR="0068128F" w:rsidRPr="00EA78D0" w:rsidP="00EA78D0" w14:paraId="389718A3" w14:textId="12919346">
      <w:pPr>
        <w:pStyle w:val="FootnoteText"/>
      </w:pPr>
      <w:r w:rsidRPr="00EA78D0">
        <w:rPr>
          <w:rStyle w:val="FootnoteReference"/>
        </w:rPr>
        <w:footnoteRef/>
      </w:r>
      <w:r w:rsidRPr="00EA78D0">
        <w:t xml:space="preserve"> </w:t>
      </w:r>
      <w:r w:rsidRPr="00EA78D0" w:rsidR="00F07698">
        <w:rPr>
          <w:i/>
          <w:iCs/>
        </w:rPr>
        <w:t>Id</w:t>
      </w:r>
      <w:r w:rsidRPr="00EA78D0" w:rsidR="00F07698">
        <w:t>.</w:t>
      </w:r>
      <w:r w:rsidRPr="00EA78D0">
        <w:t xml:space="preserve"> at 18-19.  Applicants provide further details of the structure of the proposed </w:t>
      </w:r>
      <w:r w:rsidRPr="00EA78D0" w:rsidR="00717985">
        <w:t>T</w:t>
      </w:r>
      <w:r w:rsidRPr="00EA78D0">
        <w:t xml:space="preserve">ransaction, including post-consummation board members, different types of stocks that Charter will issue to CEI, and certain </w:t>
      </w:r>
      <w:r w:rsidRPr="00EA78D0">
        <w:rPr>
          <w:i/>
          <w:iCs/>
        </w:rPr>
        <w:t>pro forma</w:t>
      </w:r>
      <w:r w:rsidRPr="00EA78D0">
        <w:t xml:space="preserve"> restructuring that will occur within Cox immediately prior to consummation of the proposed </w:t>
      </w:r>
      <w:r w:rsidRPr="00EA78D0" w:rsidR="00717985">
        <w:t>T</w:t>
      </w:r>
      <w:r w:rsidRPr="00EA78D0">
        <w:t xml:space="preserve">ransaction.  </w:t>
      </w:r>
      <w:r w:rsidRPr="00EA78D0" w:rsidR="00F07698">
        <w:rPr>
          <w:i/>
          <w:iCs/>
        </w:rPr>
        <w:t>Id.</w:t>
      </w:r>
      <w:r w:rsidRPr="00EA78D0">
        <w:t xml:space="preserve"> at 18-21.</w:t>
      </w:r>
    </w:p>
  </w:footnote>
  <w:footnote w:id="24">
    <w:p w:rsidR="002719C9" w:rsidRPr="00EA78D0" w:rsidP="00EA78D0" w14:paraId="4F70939A" w14:textId="55D50D34">
      <w:pPr>
        <w:spacing w:after="120"/>
        <w:rPr>
          <w:rFonts w:eastAsia="Calibri"/>
          <w:snapToGrid/>
          <w:kern w:val="0"/>
          <w:sz w:val="20"/>
        </w:rPr>
      </w:pPr>
      <w:r w:rsidRPr="00EA78D0">
        <w:rPr>
          <w:rStyle w:val="FootnoteReference"/>
          <w:snapToGrid/>
          <w:kern w:val="0"/>
        </w:rPr>
        <w:footnoteRef/>
      </w:r>
      <w:r w:rsidRPr="00EA78D0">
        <w:rPr>
          <w:sz w:val="20"/>
        </w:rPr>
        <w:t xml:space="preserve"> </w:t>
      </w:r>
      <w:r w:rsidRPr="00EA78D0">
        <w:rPr>
          <w:i/>
          <w:iCs/>
          <w:sz w:val="20"/>
        </w:rPr>
        <w:t>Applications Filed for the Transfer of Control of</w:t>
      </w:r>
      <w:r w:rsidRPr="00EA78D0" w:rsidR="0093523D">
        <w:rPr>
          <w:i/>
          <w:iCs/>
          <w:sz w:val="20"/>
        </w:rPr>
        <w:t xml:space="preserve"> Cox </w:t>
      </w:r>
      <w:r w:rsidRPr="00EA78D0" w:rsidR="0004557F">
        <w:rPr>
          <w:i/>
          <w:iCs/>
          <w:sz w:val="20"/>
        </w:rPr>
        <w:t>Communications, Inc</w:t>
      </w:r>
      <w:r w:rsidRPr="00EA78D0">
        <w:rPr>
          <w:i/>
          <w:iCs/>
          <w:sz w:val="20"/>
        </w:rPr>
        <w:t xml:space="preserve">. to </w:t>
      </w:r>
      <w:r w:rsidRPr="00EA78D0" w:rsidR="0004557F">
        <w:rPr>
          <w:i/>
          <w:iCs/>
          <w:sz w:val="20"/>
        </w:rPr>
        <w:t>Charter</w:t>
      </w:r>
      <w:r w:rsidRPr="00EA78D0">
        <w:rPr>
          <w:i/>
          <w:iCs/>
          <w:sz w:val="20"/>
        </w:rPr>
        <w:t xml:space="preserve"> Communications Inc.</w:t>
      </w:r>
      <w:r w:rsidRPr="00EA78D0">
        <w:rPr>
          <w:sz w:val="20"/>
        </w:rPr>
        <w:t>, WC Docket No. 2</w:t>
      </w:r>
      <w:r w:rsidRPr="00EA78D0" w:rsidR="0004557F">
        <w:rPr>
          <w:sz w:val="20"/>
        </w:rPr>
        <w:t>5</w:t>
      </w:r>
      <w:r w:rsidRPr="00EA78D0">
        <w:rPr>
          <w:sz w:val="20"/>
        </w:rPr>
        <w:t>-</w:t>
      </w:r>
      <w:r w:rsidRPr="00EA78D0" w:rsidR="0062796F">
        <w:rPr>
          <w:sz w:val="20"/>
        </w:rPr>
        <w:t>233</w:t>
      </w:r>
      <w:r w:rsidRPr="00EA78D0">
        <w:rPr>
          <w:sz w:val="20"/>
        </w:rPr>
        <w:t>, Public Notice, DA 2</w:t>
      </w:r>
      <w:r w:rsidRPr="00EA78D0" w:rsidR="0062796F">
        <w:rPr>
          <w:sz w:val="20"/>
        </w:rPr>
        <w:t>5</w:t>
      </w:r>
      <w:r w:rsidRPr="00EA78D0">
        <w:rPr>
          <w:sz w:val="20"/>
        </w:rPr>
        <w:t>-</w:t>
      </w:r>
      <w:r w:rsidRPr="00EA78D0" w:rsidR="0062796F">
        <w:rPr>
          <w:sz w:val="20"/>
        </w:rPr>
        <w:t>810</w:t>
      </w:r>
      <w:r w:rsidRPr="00EA78D0">
        <w:rPr>
          <w:sz w:val="20"/>
        </w:rPr>
        <w:t xml:space="preserve"> (WCB, OIA, WTB </w:t>
      </w:r>
      <w:r w:rsidRPr="00EA78D0" w:rsidR="0062796F">
        <w:rPr>
          <w:sz w:val="20"/>
        </w:rPr>
        <w:t>Sept</w:t>
      </w:r>
      <w:r w:rsidRPr="00EA78D0">
        <w:rPr>
          <w:sz w:val="20"/>
        </w:rPr>
        <w:t xml:space="preserve">. </w:t>
      </w:r>
      <w:r w:rsidRPr="00EA78D0" w:rsidR="0062796F">
        <w:rPr>
          <w:sz w:val="20"/>
        </w:rPr>
        <w:t>5</w:t>
      </w:r>
      <w:r w:rsidRPr="00EA78D0">
        <w:rPr>
          <w:sz w:val="20"/>
        </w:rPr>
        <w:t>, 202</w:t>
      </w:r>
      <w:r w:rsidRPr="00EA78D0" w:rsidR="00354F7D">
        <w:rPr>
          <w:sz w:val="20"/>
        </w:rPr>
        <w:t>5</w:t>
      </w:r>
      <w:r w:rsidRPr="00EA78D0">
        <w:rPr>
          <w:sz w:val="20"/>
        </w:rPr>
        <w:t>)</w:t>
      </w:r>
      <w:r w:rsidRPr="00EA78D0" w:rsidR="00D61498">
        <w:rPr>
          <w:sz w:val="20"/>
        </w:rPr>
        <w:t xml:space="preserve"> (Public Notice)</w:t>
      </w:r>
      <w:r w:rsidRPr="00EA78D0" w:rsidR="00504F79">
        <w:rPr>
          <w:sz w:val="20"/>
        </w:rPr>
        <w:t>;</w:t>
      </w:r>
      <w:r w:rsidRPr="00EA78D0" w:rsidR="00246AEB">
        <w:rPr>
          <w:rFonts w:eastAsia="Calibri"/>
          <w:snapToGrid/>
          <w:kern w:val="0"/>
          <w:sz w:val="20"/>
        </w:rPr>
        <w:t xml:space="preserve"> </w:t>
      </w:r>
      <w:r w:rsidRPr="00EA78D0" w:rsidR="00D734D9">
        <w:rPr>
          <w:rFonts w:eastAsia="Calibri"/>
          <w:i/>
          <w:iCs/>
          <w:snapToGrid/>
          <w:kern w:val="0"/>
          <w:sz w:val="20"/>
        </w:rPr>
        <w:t>s</w:t>
      </w:r>
      <w:r w:rsidRPr="00EA78D0" w:rsidR="00246AEB">
        <w:rPr>
          <w:rFonts w:eastAsia="Calibri"/>
          <w:i/>
          <w:iCs/>
          <w:snapToGrid/>
          <w:kern w:val="0"/>
          <w:sz w:val="20"/>
        </w:rPr>
        <w:t>ee also</w:t>
      </w:r>
      <w:r w:rsidRPr="00EA78D0" w:rsidR="00246AEB">
        <w:rPr>
          <w:rFonts w:eastAsia="Calibri"/>
          <w:snapToGrid/>
          <w:kern w:val="0"/>
          <w:sz w:val="20"/>
        </w:rPr>
        <w:t xml:space="preserve"> </w:t>
      </w:r>
      <w:r w:rsidRPr="00EA78D0" w:rsidR="00227373">
        <w:rPr>
          <w:rFonts w:eastAsia="Calibri"/>
          <w:i/>
          <w:iCs/>
          <w:snapToGrid/>
          <w:kern w:val="0"/>
          <w:sz w:val="20"/>
        </w:rPr>
        <w:t xml:space="preserve">Revisions </w:t>
      </w:r>
      <w:r w:rsidRPr="00EA78D0" w:rsidR="00021653">
        <w:rPr>
          <w:rFonts w:eastAsia="Calibri"/>
          <w:i/>
          <w:iCs/>
          <w:snapToGrid/>
          <w:kern w:val="0"/>
          <w:sz w:val="20"/>
        </w:rPr>
        <w:t>to</w:t>
      </w:r>
      <w:r w:rsidRPr="00EA78D0" w:rsidR="00227373">
        <w:rPr>
          <w:rFonts w:eastAsia="Calibri"/>
          <w:i/>
          <w:iCs/>
          <w:snapToGrid/>
          <w:kern w:val="0"/>
          <w:sz w:val="20"/>
        </w:rPr>
        <w:t xml:space="preserve"> Deadlines Following Resumption of Normal Operations</w:t>
      </w:r>
      <w:r w:rsidRPr="00EA78D0" w:rsidR="00227373">
        <w:rPr>
          <w:rFonts w:eastAsia="Calibri"/>
          <w:snapToGrid/>
          <w:kern w:val="0"/>
          <w:sz w:val="20"/>
        </w:rPr>
        <w:t>, Public Notice, DA 25-</w:t>
      </w:r>
      <w:r w:rsidRPr="00EA78D0" w:rsidR="00B839D5">
        <w:rPr>
          <w:rFonts w:eastAsia="Calibri"/>
          <w:snapToGrid/>
          <w:kern w:val="0"/>
          <w:sz w:val="20"/>
        </w:rPr>
        <w:t>943 (CGB, EB, MB, PSHSB, SB, WTB,</w:t>
      </w:r>
      <w:r w:rsidRPr="00EA78D0" w:rsidR="00706ECE">
        <w:rPr>
          <w:rFonts w:eastAsia="Calibri"/>
          <w:snapToGrid/>
          <w:kern w:val="0"/>
          <w:sz w:val="20"/>
        </w:rPr>
        <w:t xml:space="preserve"> and WCB Nov. 17, 2025) (</w:t>
      </w:r>
      <w:r w:rsidRPr="00EA78D0" w:rsidR="006632B8">
        <w:rPr>
          <w:rFonts w:eastAsia="Calibri"/>
          <w:snapToGrid/>
          <w:kern w:val="0"/>
          <w:sz w:val="20"/>
        </w:rPr>
        <w:t>extend</w:t>
      </w:r>
      <w:r w:rsidRPr="00EA78D0" w:rsidR="00A843BF">
        <w:rPr>
          <w:rFonts w:eastAsia="Calibri"/>
          <w:snapToGrid/>
          <w:kern w:val="0"/>
          <w:sz w:val="20"/>
        </w:rPr>
        <w:t>ing</w:t>
      </w:r>
      <w:r w:rsidRPr="00EA78D0" w:rsidR="006632B8">
        <w:rPr>
          <w:rFonts w:eastAsia="Calibri"/>
          <w:snapToGrid/>
          <w:kern w:val="0"/>
          <w:sz w:val="20"/>
        </w:rPr>
        <w:t xml:space="preserve"> the reply comment period </w:t>
      </w:r>
      <w:r w:rsidRPr="00EA78D0" w:rsidR="00D734D9">
        <w:rPr>
          <w:rFonts w:eastAsia="Calibri"/>
          <w:snapToGrid/>
          <w:kern w:val="0"/>
          <w:sz w:val="20"/>
        </w:rPr>
        <w:t xml:space="preserve">for this proceeding </w:t>
      </w:r>
      <w:r w:rsidRPr="00EA78D0" w:rsidR="006632B8">
        <w:rPr>
          <w:rFonts w:eastAsia="Calibri"/>
          <w:snapToGrid/>
          <w:kern w:val="0"/>
          <w:sz w:val="20"/>
        </w:rPr>
        <w:t>to December 3, 2025).</w:t>
      </w:r>
    </w:p>
  </w:footnote>
  <w:footnote w:id="25">
    <w:p w:rsidR="00BB02E2" w:rsidRPr="00EA78D0" w:rsidP="00EA78D0" w14:paraId="141D1D22" w14:textId="743C67F1">
      <w:pPr>
        <w:pStyle w:val="FootnoteText"/>
        <w:rPr>
          <w:i/>
          <w:iCs/>
        </w:rPr>
      </w:pPr>
      <w:r w:rsidRPr="00EA78D0">
        <w:rPr>
          <w:rStyle w:val="FootnoteReference"/>
        </w:rPr>
        <w:footnoteRef/>
      </w:r>
      <w:r w:rsidRPr="00EA78D0">
        <w:t xml:space="preserve"> </w:t>
      </w:r>
      <w:r w:rsidRPr="00EA78D0" w:rsidR="00735C99">
        <w:t>Advanced Communications Law &amp; Policy Institute at New York Law School</w:t>
      </w:r>
      <w:r w:rsidRPr="00EA78D0" w:rsidR="00895599">
        <w:t xml:space="preserve"> Comments;</w:t>
      </w:r>
      <w:r w:rsidRPr="00EA78D0" w:rsidR="002004E3">
        <w:t xml:space="preserve"> </w:t>
      </w:r>
      <w:r w:rsidRPr="00EA78D0" w:rsidR="00735C99">
        <w:t xml:space="preserve">American Consumer Institute </w:t>
      </w:r>
      <w:r w:rsidRPr="00EA78D0" w:rsidR="002004E3">
        <w:t xml:space="preserve">Comments; </w:t>
      </w:r>
      <w:r w:rsidRPr="00EA78D0" w:rsidR="00735C99">
        <w:t>Americans for Limited Government</w:t>
      </w:r>
      <w:r w:rsidRPr="00EA78D0" w:rsidR="002004E3">
        <w:t xml:space="preserve"> Comments;</w:t>
      </w:r>
      <w:r w:rsidRPr="00EA78D0" w:rsidR="00887D9D">
        <w:t xml:space="preserve"> </w:t>
      </w:r>
      <w:r w:rsidRPr="00EA78D0" w:rsidR="00735C99">
        <w:t xml:space="preserve">Associated Industries of Massachusetts </w:t>
      </w:r>
      <w:r w:rsidRPr="00EA78D0" w:rsidR="00887D9D">
        <w:t xml:space="preserve">Comments; </w:t>
      </w:r>
      <w:r w:rsidRPr="00EA78D0" w:rsidR="00735C99">
        <w:t>Bluegrass Institute for Public Policy Solutions</w:t>
      </w:r>
      <w:r w:rsidRPr="00EA78D0" w:rsidR="00887D9D">
        <w:t xml:space="preserve"> Comments; </w:t>
      </w:r>
      <w:r w:rsidRPr="00EA78D0" w:rsidR="00735C99">
        <w:t>Business Council of Alabama</w:t>
      </w:r>
      <w:r w:rsidRPr="00EA78D0" w:rsidR="00887D9D">
        <w:t xml:space="preserve"> Comments; </w:t>
      </w:r>
      <w:r w:rsidRPr="00EA78D0" w:rsidR="00735C99">
        <w:t>Center for American Rights</w:t>
      </w:r>
      <w:r w:rsidRPr="00EA78D0" w:rsidR="00887D9D">
        <w:t xml:space="preserve"> Comments; </w:t>
      </w:r>
      <w:r w:rsidRPr="00EA78D0" w:rsidR="00735C99">
        <w:t>Center for Individual Freedom, et al</w:t>
      </w:r>
      <w:r w:rsidRPr="00EA78D0" w:rsidR="00887D9D">
        <w:t xml:space="preserve"> Comments; </w:t>
      </w:r>
      <w:r w:rsidRPr="00EA78D0" w:rsidR="00735C99">
        <w:t>Digital Liberty</w:t>
      </w:r>
      <w:r w:rsidRPr="00EA78D0" w:rsidR="00887D9D">
        <w:t xml:space="preserve"> Comments</w:t>
      </w:r>
      <w:r w:rsidRPr="00EA78D0" w:rsidR="00FC3941">
        <w:t xml:space="preserve">; </w:t>
      </w:r>
      <w:r w:rsidRPr="00EA78D0" w:rsidR="00735C99">
        <w:t xml:space="preserve">Freedom Foundation of Minnesota </w:t>
      </w:r>
      <w:r w:rsidRPr="00EA78D0" w:rsidR="00FC3941">
        <w:t xml:space="preserve">Comments; </w:t>
      </w:r>
      <w:r w:rsidRPr="00EA78D0" w:rsidR="00735C99">
        <w:t>Ginn Economic Consulting</w:t>
      </w:r>
      <w:r w:rsidRPr="00EA78D0" w:rsidR="00FC3941">
        <w:t xml:space="preserve"> Comments; </w:t>
      </w:r>
      <w:r w:rsidRPr="00EA78D0" w:rsidR="00735C99">
        <w:t>Helping Veterans and Families of Indiana, Inc.</w:t>
      </w:r>
      <w:r w:rsidRPr="00EA78D0" w:rsidR="00FC3941">
        <w:t xml:space="preserve"> Comments; </w:t>
      </w:r>
      <w:r w:rsidRPr="00EA78D0" w:rsidR="00735C99">
        <w:t>Indiana Chamber of Commerce</w:t>
      </w:r>
      <w:r w:rsidRPr="00EA78D0" w:rsidR="00FC3941">
        <w:t xml:space="preserve"> Comments; </w:t>
      </w:r>
      <w:r w:rsidRPr="00EA78D0" w:rsidR="00735C99">
        <w:t xml:space="preserve">Information Technology and </w:t>
      </w:r>
      <w:r w:rsidRPr="00EA78D0" w:rsidR="00021653">
        <w:t>I</w:t>
      </w:r>
      <w:r w:rsidRPr="00EA78D0" w:rsidR="00735C99">
        <w:t>nnovation Foundation</w:t>
      </w:r>
      <w:r w:rsidRPr="00EA78D0" w:rsidR="00FC3941">
        <w:t xml:space="preserve"> Comments; </w:t>
      </w:r>
      <w:r w:rsidRPr="00EA78D0" w:rsidR="00735C99">
        <w:t>International Center for Law &amp; Economics</w:t>
      </w:r>
      <w:r w:rsidRPr="00EA78D0" w:rsidR="00FC3941">
        <w:t xml:space="preserve"> Comments; </w:t>
      </w:r>
      <w:r w:rsidRPr="00EA78D0" w:rsidR="00735C99">
        <w:t>Jobs Ohio</w:t>
      </w:r>
      <w:r w:rsidRPr="00EA78D0" w:rsidR="00FC3941">
        <w:t xml:space="preserve"> Comments; </w:t>
      </w:r>
      <w:r w:rsidRPr="00EA78D0" w:rsidR="00735C99">
        <w:t>John Locke Foundation</w:t>
      </w:r>
      <w:r w:rsidRPr="00EA78D0" w:rsidR="00FC3941">
        <w:t xml:space="preserve"> Comments; </w:t>
      </w:r>
      <w:r w:rsidRPr="00EA78D0" w:rsidR="00735C99">
        <w:t>Kansas Chamber of Commerce</w:t>
      </w:r>
      <w:r w:rsidRPr="00EA78D0" w:rsidR="00FC3941">
        <w:t xml:space="preserve"> Comments; </w:t>
      </w:r>
      <w:r w:rsidRPr="00EA78D0" w:rsidR="00735C99">
        <w:t xml:space="preserve">Kramden Institute </w:t>
      </w:r>
      <w:r w:rsidRPr="00EA78D0" w:rsidR="00FC3941">
        <w:t xml:space="preserve">Comments; </w:t>
      </w:r>
      <w:r w:rsidRPr="00EA78D0" w:rsidR="00735C99">
        <w:t>Lincoln Independent Business Association</w:t>
      </w:r>
      <w:r w:rsidRPr="00EA78D0" w:rsidR="00FC3941">
        <w:t xml:space="preserve"> Comments; </w:t>
      </w:r>
      <w:r w:rsidRPr="00EA78D0" w:rsidR="00735C99">
        <w:t>Mackinac Center for Public Policy</w:t>
      </w:r>
      <w:r w:rsidRPr="00EA78D0" w:rsidR="00FC3941">
        <w:t xml:space="preserve"> Comments; </w:t>
      </w:r>
      <w:r w:rsidRPr="00EA78D0" w:rsidR="00735C99">
        <w:t>Michigan Chamber of Commerce</w:t>
      </w:r>
      <w:r w:rsidRPr="00EA78D0" w:rsidR="00FC3941">
        <w:t xml:space="preserve"> Comments; </w:t>
      </w:r>
      <w:r w:rsidRPr="00EA78D0" w:rsidR="00735C99">
        <w:t>North Carolina Free</w:t>
      </w:r>
      <w:r w:rsidRPr="00EA78D0" w:rsidR="00F2041A">
        <w:t xml:space="preserve"> </w:t>
      </w:r>
      <w:r w:rsidRPr="00EA78D0" w:rsidR="00735C99">
        <w:t>Enterprise Foundation</w:t>
      </w:r>
      <w:r w:rsidRPr="00EA78D0" w:rsidR="00FC3941">
        <w:t xml:space="preserve"> Comments; </w:t>
      </w:r>
      <w:r w:rsidRPr="00EA78D0" w:rsidR="00735C99">
        <w:t>Northern Virginia Chamber of Commerce</w:t>
      </w:r>
      <w:r w:rsidRPr="00EA78D0" w:rsidR="00FC3941">
        <w:t xml:space="preserve"> Comments; </w:t>
      </w:r>
      <w:r w:rsidRPr="00EA78D0" w:rsidR="00735C99">
        <w:t>Ohio Business Roundtable</w:t>
      </w:r>
      <w:r w:rsidRPr="00EA78D0" w:rsidR="00FC3941">
        <w:t xml:space="preserve"> Comments; </w:t>
      </w:r>
      <w:r w:rsidRPr="00EA78D0" w:rsidR="00735C99">
        <w:t>Pelican Institute for Public Policy</w:t>
      </w:r>
      <w:r w:rsidRPr="00EA78D0" w:rsidR="00FC3941">
        <w:t xml:space="preserve"> Comments; </w:t>
      </w:r>
      <w:r w:rsidRPr="00EA78D0" w:rsidR="00735C99">
        <w:t>San Diego Regional Chamber of Commerce</w:t>
      </w:r>
      <w:r w:rsidRPr="00EA78D0" w:rsidR="00FC3941">
        <w:t xml:space="preserve"> Comments; </w:t>
      </w:r>
      <w:r w:rsidRPr="00EA78D0" w:rsidR="00735C99">
        <w:t>South Carolina Chamber of Commerce</w:t>
      </w:r>
      <w:r w:rsidRPr="00EA78D0" w:rsidR="00FC3941">
        <w:t xml:space="preserve"> Comments; </w:t>
      </w:r>
      <w:r w:rsidRPr="00EA78D0" w:rsidR="00735C99">
        <w:t>Taxpayers Protection Alliance</w:t>
      </w:r>
      <w:r w:rsidRPr="00EA78D0" w:rsidR="003A7D8F">
        <w:t xml:space="preserve"> Comments; </w:t>
      </w:r>
      <w:r w:rsidRPr="00EA78D0" w:rsidR="00735C99">
        <w:t>Tech Nebraska</w:t>
      </w:r>
      <w:r w:rsidRPr="00EA78D0" w:rsidR="003A7D8F">
        <w:t xml:space="preserve"> Comments; </w:t>
      </w:r>
      <w:r w:rsidRPr="00EA78D0" w:rsidR="00735C99">
        <w:t>Tennessee Chamber of Commerce &amp; Industry</w:t>
      </w:r>
      <w:r w:rsidRPr="00EA78D0" w:rsidR="003A7D8F">
        <w:t xml:space="preserve"> Comments; </w:t>
      </w:r>
      <w:r w:rsidRPr="00EA78D0" w:rsidR="00735C99">
        <w:t xml:space="preserve">The American Action Forum </w:t>
      </w:r>
      <w:r w:rsidRPr="00EA78D0" w:rsidR="003A7D8F">
        <w:t xml:space="preserve"> Comments; </w:t>
      </w:r>
      <w:r w:rsidRPr="00EA78D0" w:rsidR="00735C99">
        <w:t>The Bull Moose Project</w:t>
      </w:r>
      <w:r w:rsidRPr="00EA78D0" w:rsidR="003A7D8F">
        <w:t xml:space="preserve"> Comments; </w:t>
      </w:r>
      <w:r w:rsidRPr="00EA78D0" w:rsidR="00735C99">
        <w:t>The Free State Foundation</w:t>
      </w:r>
      <w:r w:rsidRPr="00EA78D0" w:rsidR="003A7D8F">
        <w:t xml:space="preserve"> Comments; </w:t>
      </w:r>
      <w:r w:rsidRPr="00EA78D0" w:rsidR="00735C99">
        <w:t>The James Madison Institute</w:t>
      </w:r>
      <w:r w:rsidRPr="00EA78D0" w:rsidR="003A7D8F">
        <w:t xml:space="preserve"> Comments; </w:t>
      </w:r>
      <w:r w:rsidRPr="00EA78D0" w:rsidR="00735C99">
        <w:t>United States Hispanic Chamber of Commerce, et al.</w:t>
      </w:r>
      <w:r w:rsidRPr="00EA78D0" w:rsidR="003A7D8F">
        <w:t xml:space="preserve"> Comments; </w:t>
      </w:r>
      <w:r w:rsidRPr="00EA78D0" w:rsidR="00735C99">
        <w:t>Vegas Chamber</w:t>
      </w:r>
      <w:r w:rsidRPr="00EA78D0" w:rsidR="003A7D8F">
        <w:t xml:space="preserve"> Comments; </w:t>
      </w:r>
      <w:r w:rsidRPr="00EA78D0" w:rsidR="00735C99">
        <w:t>Virginia Chamber of Commerce</w:t>
      </w:r>
      <w:r w:rsidRPr="00EA78D0" w:rsidR="003A7D8F">
        <w:t xml:space="preserve"> Comments</w:t>
      </w:r>
      <w:r w:rsidRPr="00EA78D0" w:rsidR="00B42093">
        <w:t>;</w:t>
      </w:r>
      <w:r w:rsidRPr="00EA78D0" w:rsidR="00A70D19">
        <w:t xml:space="preserve"> </w:t>
      </w:r>
      <w:r w:rsidRPr="00EA78D0" w:rsidR="00FA0D3D">
        <w:t>Frontiers of Freedom Institute Letter</w:t>
      </w:r>
      <w:r w:rsidRPr="00EA78D0" w:rsidR="00FF36D0">
        <w:t xml:space="preserve"> Comments</w:t>
      </w:r>
      <w:r w:rsidRPr="00EA78D0" w:rsidR="006E49EC">
        <w:t xml:space="preserve">; </w:t>
      </w:r>
      <w:r w:rsidRPr="00EA78D0" w:rsidR="00FF36D0">
        <w:t>Multicultural Media, Telecom, and Internet Council, National Association of Black Owned Broadcasters, OCA Asian Pacific American Advocates</w:t>
      </w:r>
      <w:r w:rsidRPr="00EA78D0" w:rsidR="00C65364">
        <w:t xml:space="preserve"> Comments; National Black Farmers Association, National Women</w:t>
      </w:r>
      <w:r w:rsidRPr="00EA78D0" w:rsidR="00F2041A">
        <w:t>’</w:t>
      </w:r>
      <w:r w:rsidRPr="00EA78D0" w:rsidR="00C65364">
        <w:t>s Agricultural Association, Association of American Indian Farmers Comments.</w:t>
      </w:r>
      <w:r w:rsidRPr="00EA78D0" w:rsidR="00B75151">
        <w:t xml:space="preserve">  We note that two commenters did not support or oppose the Transaction but rather </w:t>
      </w:r>
      <w:r w:rsidRPr="00EA78D0" w:rsidR="00435499">
        <w:t>recommended</w:t>
      </w:r>
      <w:r w:rsidRPr="00EA78D0" w:rsidR="00B75151">
        <w:t xml:space="preserve"> factors </w:t>
      </w:r>
      <w:r w:rsidRPr="00EA78D0" w:rsidR="00B25619">
        <w:t>the Commission should consider in evaluating the Tran</w:t>
      </w:r>
      <w:r w:rsidRPr="00EA78D0" w:rsidR="0058389A">
        <w:t xml:space="preserve">saction.  </w:t>
      </w:r>
      <w:r w:rsidRPr="00EA78D0" w:rsidR="0058389A">
        <w:rPr>
          <w:i/>
          <w:iCs/>
        </w:rPr>
        <w:t xml:space="preserve">See </w:t>
      </w:r>
      <w:r w:rsidRPr="00EA78D0" w:rsidR="0058389A">
        <w:t>Kansas Economic Development Alliance Comments</w:t>
      </w:r>
      <w:r w:rsidRPr="00EA78D0" w:rsidR="00BA1464">
        <w:t xml:space="preserve"> and</w:t>
      </w:r>
      <w:r w:rsidRPr="00EA78D0" w:rsidR="0058389A">
        <w:t xml:space="preserve"> Wisconsin Manufacturers &amp; Commerce Comments.</w:t>
      </w:r>
    </w:p>
  </w:footnote>
  <w:footnote w:id="26">
    <w:p w:rsidR="00EF0D71" w:rsidRPr="00EA78D0" w:rsidP="00EA78D0" w14:paraId="41273B70" w14:textId="04010D9D">
      <w:pPr>
        <w:pStyle w:val="FootnoteText"/>
      </w:pPr>
      <w:r w:rsidRPr="00EA78D0">
        <w:rPr>
          <w:rStyle w:val="FootnoteReference"/>
        </w:rPr>
        <w:footnoteRef/>
      </w:r>
      <w:r w:rsidRPr="00EA78D0">
        <w:t xml:space="preserve"> </w:t>
      </w:r>
      <w:r w:rsidRPr="00EA78D0" w:rsidR="00723C75">
        <w:t>Ziply</w:t>
      </w:r>
      <w:r w:rsidRPr="00EA78D0" w:rsidR="00723C75">
        <w:t xml:space="preserve"> Fiber Comments. </w:t>
      </w:r>
    </w:p>
  </w:footnote>
  <w:footnote w:id="27">
    <w:p w:rsidR="00CF1077" w:rsidRPr="00EA78D0" w:rsidP="00EA78D0" w14:paraId="6504734A" w14:textId="6C5833FA">
      <w:pPr>
        <w:pStyle w:val="FootnoteText"/>
      </w:pPr>
      <w:r w:rsidRPr="00EA78D0">
        <w:rPr>
          <w:rStyle w:val="FootnoteReference"/>
        </w:rPr>
        <w:footnoteRef/>
      </w:r>
      <w:r w:rsidRPr="00EA78D0">
        <w:t xml:space="preserve"> </w:t>
      </w:r>
      <w:r w:rsidRPr="00EA78D0" w:rsidR="00A11168">
        <w:t xml:space="preserve">Petition </w:t>
      </w:r>
      <w:r w:rsidRPr="00EA78D0" w:rsidR="00D472D9">
        <w:t xml:space="preserve">to </w:t>
      </w:r>
      <w:r w:rsidRPr="00EA78D0" w:rsidR="00003192">
        <w:t>D</w:t>
      </w:r>
      <w:r w:rsidRPr="00EA78D0" w:rsidR="00A11168">
        <w:t>en</w:t>
      </w:r>
      <w:r w:rsidRPr="00EA78D0" w:rsidR="00D472D9">
        <w:t>y</w:t>
      </w:r>
      <w:r w:rsidRPr="00EA78D0" w:rsidR="00E47C3B">
        <w:t xml:space="preserve"> </w:t>
      </w:r>
      <w:r w:rsidRPr="00EA78D0" w:rsidR="00D472D9">
        <w:t xml:space="preserve">of </w:t>
      </w:r>
      <w:r w:rsidRPr="00EA78D0" w:rsidR="00777CDB">
        <w:t xml:space="preserve">Public Knowledge, Communications Workers of America, Benton Institute for Broadband &amp; Society, and Center for Accessible Technology, </w:t>
      </w:r>
      <w:r w:rsidRPr="00EA78D0" w:rsidR="00255AAD">
        <w:t xml:space="preserve">WC Docket No. </w:t>
      </w:r>
      <w:r w:rsidRPr="00EA78D0" w:rsidR="00B9777A">
        <w:t xml:space="preserve">25-233 </w:t>
      </w:r>
      <w:r w:rsidRPr="00EA78D0" w:rsidR="00910D59">
        <w:t>(Nov. 18, 2025)</w:t>
      </w:r>
      <w:r w:rsidRPr="00EA78D0" w:rsidR="00777CDB">
        <w:t xml:space="preserve"> (</w:t>
      </w:r>
      <w:r w:rsidRPr="00EA78D0" w:rsidR="00A11168">
        <w:t>Petition</w:t>
      </w:r>
      <w:r w:rsidRPr="00EA78D0" w:rsidR="00777CDB">
        <w:t>)</w:t>
      </w:r>
      <w:r w:rsidRPr="00EA78D0" w:rsidR="00910D59">
        <w:t>.</w:t>
      </w:r>
      <w:r w:rsidRPr="00EA78D0" w:rsidR="00E34E82">
        <w:t xml:space="preserve">  </w:t>
      </w:r>
      <w:r w:rsidRPr="00EA78D0" w:rsidR="00706A2E">
        <w:t xml:space="preserve">In response, </w:t>
      </w:r>
      <w:r w:rsidRPr="00EA78D0" w:rsidR="00E34E82">
        <w:t xml:space="preserve">Applicants filed </w:t>
      </w:r>
      <w:r w:rsidRPr="00EA78D0" w:rsidR="00706A2E">
        <w:t>Reply Comment</w:t>
      </w:r>
      <w:r w:rsidRPr="00EA78D0" w:rsidR="00D11C88">
        <w:t>s</w:t>
      </w:r>
      <w:r w:rsidRPr="00EA78D0" w:rsidR="00706A2E">
        <w:t xml:space="preserve"> and Joint Opposition to Petition to Deny, WC Docket No. 25-233 (</w:t>
      </w:r>
      <w:r w:rsidRPr="00EA78D0" w:rsidR="00C70453">
        <w:t>Dec. 3, 2025) (Applicants’ Reply).</w:t>
      </w:r>
      <w:r w:rsidRPr="00EA78D0" w:rsidR="00E9468B">
        <w:t xml:space="preserve">  Petitioners filed a response to Applicant</w:t>
      </w:r>
      <w:r w:rsidRPr="00EA78D0" w:rsidR="00B4405C">
        <w:t>s</w:t>
      </w:r>
      <w:r w:rsidRPr="00EA78D0" w:rsidR="005523B6">
        <w:t>’</w:t>
      </w:r>
      <w:r w:rsidRPr="00EA78D0" w:rsidR="00C23D00">
        <w:t xml:space="preserve"> Reply.  Reply </w:t>
      </w:r>
      <w:r w:rsidRPr="00EA78D0" w:rsidR="009533DD">
        <w:t>to Opposition of Public Knowledge, Communications Workers of America, Benton Institute for Broadband &amp; Society, and Center for Accessible Technology, WC Docket No. 25-233</w:t>
      </w:r>
      <w:r w:rsidRPr="00EA78D0" w:rsidR="003B19C1">
        <w:t xml:space="preserve"> (Dec. 15, 2025) (</w:t>
      </w:r>
      <w:r w:rsidRPr="00EA78D0" w:rsidR="00A635F8">
        <w:t>Petitioners’ Reply).</w:t>
      </w:r>
    </w:p>
  </w:footnote>
  <w:footnote w:id="28">
    <w:p w:rsidR="002719C9" w:rsidRPr="00EA78D0" w:rsidP="00EA78D0" w14:paraId="75264BB0" w14:textId="42290D3A">
      <w:pPr>
        <w:pStyle w:val="FootnoteText"/>
        <w:rPr>
          <w:iCs/>
        </w:rPr>
      </w:pPr>
      <w:r w:rsidRPr="00EA78D0">
        <w:rPr>
          <w:rStyle w:val="FootnoteReference"/>
        </w:rPr>
        <w:footnoteRef/>
      </w:r>
      <w:r w:rsidRPr="00EA78D0">
        <w:t xml:space="preserve"> 47 U.S.C. §§ 214(a), 310(d).  Section 310(d) of the Act requires that we consider applications for transfer of Title III licenses under the same standard as if the proposed transferee were applying for licenses directly under section 308 of the Act, 47 U.S.C. § 308.  </w:t>
      </w:r>
      <w:r w:rsidRPr="00EA78D0">
        <w:rPr>
          <w:i/>
        </w:rPr>
        <w:t>See, e.g.</w:t>
      </w:r>
      <w:r w:rsidRPr="00EA78D0">
        <w:t xml:space="preserve">, </w:t>
      </w:r>
      <w:r w:rsidRPr="00EA78D0" w:rsidR="00BD36D5">
        <w:rPr>
          <w:i/>
          <w:iCs/>
        </w:rPr>
        <w:t>Frontier Communications Parent, Inc. and Verizon Communications, Inc. Application for Consent to Transfer Control</w:t>
      </w:r>
      <w:r w:rsidRPr="00EA78D0" w:rsidR="00BD36D5">
        <w:t>, Memorandum Opinion and Order, 40 FCC Rcd 3156</w:t>
      </w:r>
      <w:r w:rsidRPr="00EA78D0" w:rsidR="00C22145">
        <w:t>, 3160, para. 9</w:t>
      </w:r>
      <w:r w:rsidRPr="00EA78D0" w:rsidR="00BD36D5">
        <w:t xml:space="preserve"> </w:t>
      </w:r>
      <w:r w:rsidRPr="00EA78D0" w:rsidR="009C79BF">
        <w:t xml:space="preserve">(WCB, OIA, WTB) </w:t>
      </w:r>
      <w:r w:rsidRPr="00EA78D0" w:rsidR="00BD36D5">
        <w:t>(2025)</w:t>
      </w:r>
      <w:r w:rsidRPr="00EA78D0" w:rsidR="00C22145">
        <w:t xml:space="preserve"> (</w:t>
      </w:r>
      <w:r w:rsidRPr="00EA78D0" w:rsidR="00C22145">
        <w:rPr>
          <w:i/>
          <w:iCs/>
        </w:rPr>
        <w:t>Verizon-Frontier Order</w:t>
      </w:r>
      <w:r w:rsidRPr="00EA78D0" w:rsidR="00C22145">
        <w:t>)</w:t>
      </w:r>
      <w:r w:rsidRPr="00EA78D0" w:rsidR="00BD36D5">
        <w:t>;</w:t>
      </w:r>
      <w:r w:rsidRPr="00EA78D0" w:rsidR="00BD36D5">
        <w:rPr>
          <w:i/>
        </w:rPr>
        <w:t xml:space="preserve"> </w:t>
      </w:r>
      <w:r w:rsidRPr="00EA78D0">
        <w:rPr>
          <w:i/>
        </w:rPr>
        <w:t>Applications of Level 3 Communications, Inc. and CenturyLink, Inc. for Consent to Transfer Control of Licenses and Authorizations</w:t>
      </w:r>
      <w:r w:rsidRPr="00EA78D0">
        <w:t>, Memorandum Opinion and Order, 32 FCC Rcd 9581, 9585, para. 8 (2017) (</w:t>
      </w:r>
      <w:r w:rsidRPr="00EA78D0">
        <w:rPr>
          <w:i/>
        </w:rPr>
        <w:t>CenturyLink-Level 3 Order</w:t>
      </w:r>
      <w:r w:rsidRPr="00EA78D0">
        <w:t xml:space="preserve">); </w:t>
      </w:r>
      <w:r w:rsidRPr="00EA78D0">
        <w:rPr>
          <w:i/>
        </w:rPr>
        <w:t>Applications of GCI Communication Corp., ACS Wireless License Sub, Inc., ACS of Anchorage License Sub, Inc., and Unicom, Inc. for Consent to Assign Licenses to the Alaska Wireless Network, LLC</w:t>
      </w:r>
      <w:r w:rsidRPr="00EA78D0">
        <w:t>, Memorandum Opinion and Order and Declaratory Ruling, 28 FCC Rcd 10433, 10442, para. 23 &amp; n.71 (2013) (</w:t>
      </w:r>
      <w:r w:rsidRPr="00EA78D0">
        <w:rPr>
          <w:i/>
        </w:rPr>
        <w:t>Alaska Wireless-GCI Order</w:t>
      </w:r>
      <w:r w:rsidRPr="00EA78D0">
        <w:rPr>
          <w:iCs/>
        </w:rPr>
        <w:t>).</w:t>
      </w:r>
    </w:p>
  </w:footnote>
  <w:footnote w:id="29">
    <w:p w:rsidR="002719C9" w:rsidRPr="00EA78D0" w:rsidP="00EA78D0" w14:paraId="59329EFD" w14:textId="1E107A26">
      <w:pPr>
        <w:pStyle w:val="FootnoteText"/>
      </w:pPr>
      <w:r w:rsidRPr="00EA78D0">
        <w:rPr>
          <w:rStyle w:val="FootnoteReference"/>
        </w:rPr>
        <w:footnoteRef/>
      </w:r>
      <w:r w:rsidRPr="00EA78D0">
        <w:t xml:space="preserve"> 47 U.S.C. § 310(d);</w:t>
      </w:r>
      <w:r w:rsidRPr="00EA78D0">
        <w:rPr>
          <w:i/>
        </w:rPr>
        <w:t xml:space="preserve"> </w:t>
      </w:r>
      <w:r w:rsidRPr="00EA78D0" w:rsidR="00C22145">
        <w:rPr>
          <w:i/>
          <w:iCs/>
        </w:rPr>
        <w:t>Verizon-Frontier Order</w:t>
      </w:r>
      <w:r w:rsidRPr="00EA78D0" w:rsidR="00C22145">
        <w:t>, 40 FCC Rcd at 3160, para. 9;</w:t>
      </w:r>
      <w:r w:rsidRPr="00EA78D0" w:rsidR="00C22145">
        <w:rPr>
          <w:i/>
        </w:rPr>
        <w:t xml:space="preserve"> </w:t>
      </w:r>
      <w:r w:rsidRPr="00EA78D0">
        <w:rPr>
          <w:i/>
        </w:rPr>
        <w:t>CenturyLink-Level 3 Order</w:t>
      </w:r>
      <w:r w:rsidRPr="00EA78D0">
        <w:t xml:space="preserve">, 32 FCC Rcd at 9585, para. 8; </w:t>
      </w:r>
      <w:r w:rsidRPr="00EA78D0">
        <w:rPr>
          <w:i/>
        </w:rPr>
        <w:t>Alaska Wireless-GCI Order</w:t>
      </w:r>
      <w:r w:rsidRPr="00EA78D0">
        <w:t>, 28 FCC Rcd at 10442, para. 23.</w:t>
      </w:r>
      <w:r w:rsidRPr="00EA78D0" w:rsidR="00EF2900">
        <w:t xml:space="preserve">  </w:t>
      </w:r>
      <w:r w:rsidRPr="00EA78D0" w:rsidR="00DF0522">
        <w:t xml:space="preserve">We note that in all transactions like this, the </w:t>
      </w:r>
      <w:r w:rsidRPr="00EA78D0" w:rsidR="00A60DAB">
        <w:t xml:space="preserve">FCC’s </w:t>
      </w:r>
      <w:r w:rsidRPr="00EA78D0" w:rsidR="00DF0522">
        <w:t>approval is without prejudice to any enforcement or related actions</w:t>
      </w:r>
      <w:r w:rsidRPr="00EA78D0" w:rsidR="001C03F3">
        <w:t>.</w:t>
      </w:r>
    </w:p>
  </w:footnote>
  <w:footnote w:id="30">
    <w:p w:rsidR="002719C9" w:rsidRPr="00EA78D0" w:rsidP="00EA78D0" w14:paraId="060A3A16" w14:textId="74275145">
      <w:pPr>
        <w:pStyle w:val="FootnoteText"/>
      </w:pPr>
      <w:r w:rsidRPr="00EA78D0">
        <w:rPr>
          <w:rStyle w:val="FootnoteReference"/>
        </w:rPr>
        <w:footnoteRef/>
      </w:r>
      <w:r w:rsidRPr="00EA78D0">
        <w:t xml:space="preserve"> </w:t>
      </w:r>
      <w:r w:rsidRPr="00EA78D0">
        <w:rPr>
          <w:i/>
        </w:rPr>
        <w:t>See, e.g.</w:t>
      </w:r>
      <w:r w:rsidRPr="00EA78D0">
        <w:rPr>
          <w:iCs/>
        </w:rPr>
        <w:t xml:space="preserve">, </w:t>
      </w:r>
      <w:r w:rsidRPr="00EA78D0" w:rsidR="00C22145">
        <w:rPr>
          <w:i/>
          <w:iCs/>
        </w:rPr>
        <w:t>Verizon-Frontier Order</w:t>
      </w:r>
      <w:r w:rsidRPr="00EA78D0" w:rsidR="00C22145">
        <w:t>, 40 FCC Rcd at 3160, para. 10;</w:t>
      </w:r>
      <w:r w:rsidRPr="00EA78D0" w:rsidR="00C22145">
        <w:rPr>
          <w:i/>
        </w:rPr>
        <w:t xml:space="preserve"> </w:t>
      </w:r>
      <w:r w:rsidRPr="00EA78D0">
        <w:rPr>
          <w:i/>
        </w:rPr>
        <w:t>CenturyLink-Level 3 Order</w:t>
      </w:r>
      <w:r w:rsidRPr="00EA78D0">
        <w:t>, 32 FCC Rcd at 9585, para</w:t>
      </w:r>
      <w:r w:rsidRPr="00EA78D0" w:rsidR="00122C27">
        <w:t>.</w:t>
      </w:r>
      <w:r w:rsidRPr="00EA78D0">
        <w:t xml:space="preserve"> 9; </w:t>
      </w:r>
      <w:r w:rsidRPr="00EA78D0">
        <w:rPr>
          <w:i/>
        </w:rPr>
        <w:t>Alaska Wireless-GCI Order</w:t>
      </w:r>
      <w:r w:rsidRPr="00EA78D0">
        <w:t>, 28 FCC Rcd at 10442, para. 23.</w:t>
      </w:r>
    </w:p>
  </w:footnote>
  <w:footnote w:id="31">
    <w:p w:rsidR="002719C9" w:rsidRPr="00EA78D0" w:rsidP="00EA78D0" w14:paraId="5163203A" w14:textId="546A28D9">
      <w:pPr>
        <w:pStyle w:val="FootnoteText"/>
      </w:pPr>
      <w:r w:rsidRPr="00EA78D0">
        <w:rPr>
          <w:rStyle w:val="FootnoteReference"/>
        </w:rPr>
        <w:footnoteRef/>
      </w:r>
      <w:r w:rsidRPr="00EA78D0">
        <w:t xml:space="preserve"> </w:t>
      </w:r>
      <w:r w:rsidRPr="00EA78D0">
        <w:rPr>
          <w:i/>
        </w:rPr>
        <w:t>See, e.g.</w:t>
      </w:r>
      <w:r w:rsidRPr="00EA78D0">
        <w:rPr>
          <w:iCs/>
        </w:rPr>
        <w:t xml:space="preserve">, </w:t>
      </w:r>
      <w:r w:rsidRPr="00EA78D0" w:rsidR="00C22145">
        <w:rPr>
          <w:i/>
          <w:iCs/>
        </w:rPr>
        <w:t>Verizon-Frontier Order</w:t>
      </w:r>
      <w:r w:rsidRPr="00EA78D0" w:rsidR="00C22145">
        <w:t>, 40 FCC Rcd at 3160, para. 10;</w:t>
      </w:r>
      <w:r w:rsidRPr="00EA78D0" w:rsidR="00C22145">
        <w:rPr>
          <w:i/>
        </w:rPr>
        <w:t xml:space="preserve"> </w:t>
      </w:r>
      <w:r w:rsidRPr="00EA78D0">
        <w:rPr>
          <w:i/>
        </w:rPr>
        <w:t>CenturyLink-Level 3 Order</w:t>
      </w:r>
      <w:r w:rsidRPr="00EA78D0">
        <w:t xml:space="preserve">, 32 FCC Rcd at 9585, para. 9; </w:t>
      </w:r>
      <w:r w:rsidRPr="00EA78D0">
        <w:rPr>
          <w:i/>
        </w:rPr>
        <w:t>Alaska Wireless-GCI Order</w:t>
      </w:r>
      <w:r w:rsidRPr="00EA78D0">
        <w:t xml:space="preserve">, 28 FCC Rcd at 10443, para. 25; </w:t>
      </w:r>
      <w:r w:rsidRPr="00EA78D0">
        <w:rPr>
          <w:i/>
        </w:rPr>
        <w:t>see</w:t>
      </w:r>
      <w:r w:rsidRPr="00EA78D0">
        <w:t xml:space="preserve"> </w:t>
      </w:r>
      <w:r w:rsidRPr="00EA78D0">
        <w:rPr>
          <w:i/>
        </w:rPr>
        <w:t>also</w:t>
      </w:r>
      <w:r w:rsidRPr="00EA78D0">
        <w:t xml:space="preserve"> </w:t>
      </w:r>
      <w:r w:rsidRPr="00EA78D0">
        <w:rPr>
          <w:i/>
        </w:rPr>
        <w:t>Northeast Utils. Serv. Co. v. FERC</w:t>
      </w:r>
      <w:r w:rsidRPr="00EA78D0">
        <w:t>, 993 F.2d 937, 947 (1st Cir. 1993) (public interest standard does not require agencies “to analyze proposed mergers under the same standards that the Department of Justice . . . must apply”).</w:t>
      </w:r>
    </w:p>
  </w:footnote>
  <w:footnote w:id="32">
    <w:p w:rsidR="0049484F" w:rsidRPr="00EA78D0" w:rsidP="00EA78D0" w14:paraId="2BF1150F" w14:textId="1E47AECF">
      <w:pPr>
        <w:pStyle w:val="FootnoteText"/>
        <w:rPr>
          <w:i/>
        </w:rPr>
      </w:pPr>
      <w:r w:rsidRPr="00EA78D0">
        <w:rPr>
          <w:rStyle w:val="FootnoteReference"/>
        </w:rPr>
        <w:footnoteRef/>
      </w:r>
      <w:r w:rsidRPr="00EA78D0">
        <w:t xml:space="preserve"> </w:t>
      </w:r>
      <w:r w:rsidRPr="00EA78D0">
        <w:rPr>
          <w:i/>
        </w:rPr>
        <w:t>See, e.g.,</w:t>
      </w:r>
      <w:r w:rsidRPr="00EA78D0">
        <w:t xml:space="preserve"> </w:t>
      </w:r>
      <w:r w:rsidRPr="00EA78D0" w:rsidR="00C22145">
        <w:rPr>
          <w:i/>
          <w:iCs/>
        </w:rPr>
        <w:t>Verizon-Frontier Order</w:t>
      </w:r>
      <w:r w:rsidRPr="00EA78D0" w:rsidR="00C22145">
        <w:t>, 40 FCC Rcd at 3160, para. 10;</w:t>
      </w:r>
      <w:r w:rsidRPr="00EA78D0" w:rsidR="00C22145">
        <w:rPr>
          <w:i/>
        </w:rPr>
        <w:t xml:space="preserve"> </w:t>
      </w:r>
      <w:r w:rsidRPr="00EA78D0">
        <w:rPr>
          <w:i/>
        </w:rPr>
        <w:t>Applications for Consent to the Transfer of Control of Licenses, XM Satellite Radio Holdings Inc., Transferor to Sirius Satellite Radio Inc.,</w:t>
      </w:r>
      <w:r w:rsidRPr="00EA78D0">
        <w:rPr>
          <w:iCs/>
        </w:rPr>
        <w:t xml:space="preserve"> Transferee, MB Docket No. 07-57, Memorandum Opinion and Order and Report and Order, 23 FCC Rcd 12348, 12365-66, para. 32 (2008);</w:t>
      </w:r>
      <w:r w:rsidRPr="00EA78D0">
        <w:rPr>
          <w:i/>
        </w:rPr>
        <w:t xml:space="preserve"> AT&amp;T Inc. and BellSouth Corporation Application for Transfer of Control</w:t>
      </w:r>
      <w:r w:rsidRPr="00EA78D0">
        <w:rPr>
          <w:iCs/>
        </w:rPr>
        <w:t>, WC Docket No. 06-74, Memorandum Opinion and Order, 22 FCC Rcd 5662, 5674, para. 21 (2007) (</w:t>
      </w:r>
      <w:r w:rsidRPr="00EA78D0">
        <w:rPr>
          <w:i/>
        </w:rPr>
        <w:t>AT&amp;T-BellSouth Order</w:t>
      </w:r>
      <w:r w:rsidRPr="00EA78D0">
        <w:rPr>
          <w:iCs/>
        </w:rPr>
        <w:t>)</w:t>
      </w:r>
      <w:r w:rsidRPr="00EA78D0">
        <w:rPr>
          <w:i/>
        </w:rPr>
        <w:t>; Applications of Nextel Communications, Inc. and Sprint Corporation for Consent to Transfer Control of Licenses and Authorizations</w:t>
      </w:r>
      <w:r w:rsidRPr="00EA78D0">
        <w:rPr>
          <w:iCs/>
        </w:rPr>
        <w:t xml:space="preserve">, File Nos. 0002031766, et al., WT Docket No. 05-63, Memorandum Opinion and Order, 20 FCC Rcd 13967, 13978, para. 22 (2005); </w:t>
      </w:r>
      <w:r w:rsidRPr="00EA78D0">
        <w:rPr>
          <w:i/>
        </w:rPr>
        <w:t>Applications of AT&amp;T Wireless Services, Inc. and Cingular Wireless Corporation for Consent to Transfer Control of Licenses and Authorizations</w:t>
      </w:r>
      <w:r w:rsidRPr="00EA78D0">
        <w:rPr>
          <w:iCs/>
        </w:rPr>
        <w:t>, File Nos. 0001656065, et al.;</w:t>
      </w:r>
      <w:r w:rsidRPr="00EA78D0">
        <w:rPr>
          <w:i/>
        </w:rPr>
        <w:t xml:space="preserve"> Applications of Subsidiaries of T-Mobile USA, Inc. and Subsidiaries of Cingular Wireless Corporation for Consent to Assignment and Long-Term De Facto Lease of Licenses</w:t>
      </w:r>
      <w:r w:rsidRPr="00EA78D0">
        <w:rPr>
          <w:iCs/>
        </w:rPr>
        <w:t>, File Nos. 0001771442, 0001757186, and 0001757204;</w:t>
      </w:r>
      <w:r w:rsidRPr="00EA78D0">
        <w:rPr>
          <w:i/>
        </w:rPr>
        <w:t xml:space="preserve"> Applications of Triton PCS License Company, LLC, AT&amp;T Wireless PCS, LLC, and Lafayette Communications Company, LLC for Consent to Assignment of Licenses</w:t>
      </w:r>
      <w:r w:rsidRPr="00EA78D0">
        <w:rPr>
          <w:iCs/>
        </w:rPr>
        <w:t xml:space="preserve">, File Nos. 0001808915, 0001810164, 0001810683, and 50013CWAA04, WT Docket Nos. 04-70, 04-254, and 04-323, Memorandum Opinion and Order, 19 FCC Rcd 21522, 21545, para. 42 (2004).  </w:t>
      </w:r>
    </w:p>
  </w:footnote>
  <w:footnote w:id="33">
    <w:p w:rsidR="002719C9" w:rsidRPr="00EA78D0" w:rsidP="00EA78D0" w14:paraId="62D840C9" w14:textId="0FD337B0">
      <w:pPr>
        <w:pStyle w:val="FootnoteText"/>
      </w:pPr>
      <w:r w:rsidRPr="00EA78D0">
        <w:rPr>
          <w:rStyle w:val="FootnoteReference"/>
        </w:rPr>
        <w:footnoteRef/>
      </w:r>
      <w:r w:rsidRPr="00EA78D0">
        <w:t xml:space="preserve"> </w:t>
      </w:r>
      <w:r w:rsidRPr="00EA78D0">
        <w:rPr>
          <w:i/>
        </w:rPr>
        <w:t>See, e.g.</w:t>
      </w:r>
      <w:r w:rsidRPr="00EA78D0">
        <w:t xml:space="preserve">, </w:t>
      </w:r>
      <w:r w:rsidRPr="00EA78D0" w:rsidR="00C22145">
        <w:rPr>
          <w:i/>
          <w:iCs/>
        </w:rPr>
        <w:t>Verizon-Frontier Order</w:t>
      </w:r>
      <w:r w:rsidRPr="00EA78D0" w:rsidR="00C22145">
        <w:t>, 40 FCC Rcd at 3160, para. 10;</w:t>
      </w:r>
      <w:r w:rsidRPr="00EA78D0" w:rsidR="00C22145">
        <w:rPr>
          <w:i/>
        </w:rPr>
        <w:t xml:space="preserve"> </w:t>
      </w:r>
      <w:r w:rsidRPr="00EA78D0">
        <w:rPr>
          <w:i/>
          <w:iCs/>
        </w:rPr>
        <w:t>Applications of AT&amp;T Inc. and DIRECTV for Consent to Assign or Transfer Control of Licenses and Authorizations</w:t>
      </w:r>
      <w:r w:rsidRPr="00EA78D0">
        <w:t>, Memorandum Opinion and Order, 30 FCC Rcd 9131, 9141, para. 22 (2015) (</w:t>
      </w:r>
      <w:r w:rsidRPr="00EA78D0">
        <w:rPr>
          <w:i/>
        </w:rPr>
        <w:t>AT&amp;T-DIRECTV Order</w:t>
      </w:r>
      <w:r w:rsidRPr="00EA78D0">
        <w:rPr>
          <w:iCs/>
        </w:rPr>
        <w:t>)</w:t>
      </w:r>
      <w:r w:rsidRPr="00EA78D0">
        <w:t xml:space="preserve">; </w:t>
      </w:r>
      <w:r w:rsidRPr="00EA78D0">
        <w:rPr>
          <w:i/>
          <w:iCs/>
        </w:rPr>
        <w:t>Applications of Comcast Corp., General Electric Co. and NBC Universal, Inc. for Consent to Assign Licenses and Transfer Control of Licenses</w:t>
      </w:r>
      <w:r w:rsidRPr="00EA78D0">
        <w:t>, Memorandum Opinion and Order, 26 FCC Rcd 4238, 4249, para. 25 (2011) (</w:t>
      </w:r>
      <w:r w:rsidRPr="00EA78D0">
        <w:rPr>
          <w:i/>
        </w:rPr>
        <w:t>Comcast-NBC U</w:t>
      </w:r>
      <w:r w:rsidRPr="00EA78D0">
        <w:rPr>
          <w:i/>
          <w:snapToGrid w:val="0"/>
        </w:rPr>
        <w:t>niversal</w:t>
      </w:r>
      <w:r w:rsidRPr="00EA78D0">
        <w:rPr>
          <w:i/>
        </w:rPr>
        <w:t xml:space="preserve"> Order</w:t>
      </w:r>
      <w:r w:rsidRPr="00EA78D0">
        <w:rPr>
          <w:iCs/>
        </w:rPr>
        <w:t>);</w:t>
      </w:r>
      <w:r w:rsidRPr="00EA78D0">
        <w:rPr>
          <w:i/>
        </w:rPr>
        <w:t xml:space="preserve"> Application of EchoStar Communications Corp., (A Nevada Corp.), General Motors Corp., and Hughes Electronics Corp (Delaware Corps.) (Transferors) and EchoStar Communications Corp. (A Delaware Corp.) (Transferee)</w:t>
      </w:r>
      <w:r w:rsidRPr="00EA78D0">
        <w:rPr>
          <w:iCs/>
        </w:rPr>
        <w:t>, Hearing Designation Order, 17 FCC Rcd 20559, 20575, para. 27 (2002)</w:t>
      </w:r>
      <w:r w:rsidRPr="00EA78D0">
        <w:rPr>
          <w:i/>
        </w:rPr>
        <w:t xml:space="preserve"> </w:t>
      </w:r>
      <w:r w:rsidRPr="00EA78D0">
        <w:rPr>
          <w:iCs/>
        </w:rPr>
        <w:t>(</w:t>
      </w:r>
      <w:r w:rsidRPr="00EA78D0">
        <w:rPr>
          <w:i/>
        </w:rPr>
        <w:t>EchoStar-DIRECTV HDO</w:t>
      </w:r>
      <w:r w:rsidRPr="00EA78D0">
        <w:t xml:space="preserve">); </w:t>
      </w:r>
      <w:r w:rsidRPr="00EA78D0">
        <w:rPr>
          <w:i/>
        </w:rPr>
        <w:t>see also Application of WorldCom, Inc. and MCI Commc’ns Corp. for Transfer of Control of MCI Communications Corporation to WorldCom, Inc.</w:t>
      </w:r>
      <w:r w:rsidRPr="00EA78D0">
        <w:t>, Memorandum Opinion and Order, 13 FCC Rcd 18025, 18032, para. 10 (1998) (</w:t>
      </w:r>
      <w:r w:rsidRPr="00EA78D0">
        <w:rPr>
          <w:i/>
        </w:rPr>
        <w:t>WorldCom-MCI Order</w:t>
      </w:r>
      <w:r w:rsidRPr="00EA78D0">
        <w:t xml:space="preserve">) (stating that the Commission may attach conditions to the transfers); </w:t>
      </w:r>
      <w:r w:rsidRPr="00EA78D0">
        <w:rPr>
          <w:i/>
          <w:iCs/>
        </w:rPr>
        <w:t>Applications of T-Mobile US, Inc., and Sprint Corp., for Consent to Transfer Control of Licenses and Authorizations, Applications of American H Block Wireless L.L.C., DBSD Corp., Gamma Acquisition L.L.C., and Manifest Wireless L.L.C. for Extension of Time</w:t>
      </w:r>
      <w:r w:rsidRPr="00EA78D0">
        <w:t>, Memorandum Opinion and Order, Declaratory Ruling, and Order of Proposed Modification, 34 FCC Rcd 10578, 10596, para. 42 (2019) (</w:t>
      </w:r>
      <w:r w:rsidRPr="00EA78D0">
        <w:rPr>
          <w:i/>
          <w:iCs/>
        </w:rPr>
        <w:t>T-Mobile-Sprint Order</w:t>
      </w:r>
      <w:r w:rsidRPr="00EA78D0">
        <w:t>).</w:t>
      </w:r>
    </w:p>
  </w:footnote>
  <w:footnote w:id="34">
    <w:p w:rsidR="002719C9" w:rsidRPr="00EA78D0" w:rsidP="00EA78D0" w14:paraId="1D3A588E" w14:textId="56289595">
      <w:pPr>
        <w:pStyle w:val="FootnoteText"/>
      </w:pPr>
      <w:r w:rsidRPr="00EA78D0">
        <w:rPr>
          <w:rStyle w:val="FootnoteReference"/>
        </w:rPr>
        <w:footnoteRef/>
      </w:r>
      <w:r w:rsidRPr="00EA78D0">
        <w:t xml:space="preserve"> 47 U.S.C. § 309(e); </w:t>
      </w:r>
      <w:r w:rsidRPr="00EA78D0" w:rsidR="00C22145">
        <w:rPr>
          <w:i/>
          <w:iCs/>
        </w:rPr>
        <w:t>Verizon-Frontier Order</w:t>
      </w:r>
      <w:r w:rsidRPr="00EA78D0" w:rsidR="00C22145">
        <w:t>, 40 FCC Rcd at 3161, para. 11;</w:t>
      </w:r>
      <w:r w:rsidRPr="00EA78D0" w:rsidR="00C22145">
        <w:rPr>
          <w:i/>
        </w:rPr>
        <w:t xml:space="preserve"> </w:t>
      </w:r>
      <w:r w:rsidRPr="00EA78D0">
        <w:rPr>
          <w:i/>
        </w:rPr>
        <w:t>CenturyLink-Level 3 Order</w:t>
      </w:r>
      <w:r w:rsidRPr="00EA78D0">
        <w:t xml:space="preserve">, 32 FCC Rcd at 9586, para. 10; </w:t>
      </w:r>
      <w:r w:rsidRPr="00EA78D0">
        <w:rPr>
          <w:i/>
        </w:rPr>
        <w:t>Alaska Wireless-GCI Order</w:t>
      </w:r>
      <w:r w:rsidRPr="00EA78D0">
        <w:t>, 28 FCC Rcd at 10442, para. 23.</w:t>
      </w:r>
    </w:p>
  </w:footnote>
  <w:footnote w:id="35">
    <w:p w:rsidR="002719C9" w:rsidRPr="00EA78D0" w:rsidP="00EA78D0" w14:paraId="62640AE3" w14:textId="670EDA29">
      <w:pPr>
        <w:pStyle w:val="FootnoteText"/>
      </w:pPr>
      <w:r w:rsidRPr="00EA78D0">
        <w:rPr>
          <w:rStyle w:val="FootnoteReference"/>
        </w:rPr>
        <w:footnoteRef/>
      </w:r>
      <w:r w:rsidRPr="00EA78D0">
        <w:t xml:space="preserve"> </w:t>
      </w:r>
      <w:r w:rsidRPr="00EA78D0">
        <w:rPr>
          <w:i/>
        </w:rPr>
        <w:t>See, e.g.</w:t>
      </w:r>
      <w:r w:rsidRPr="00EA78D0">
        <w:rPr>
          <w:iCs/>
        </w:rPr>
        <w:t xml:space="preserve">, </w:t>
      </w:r>
      <w:r w:rsidRPr="00EA78D0" w:rsidR="00C22145">
        <w:rPr>
          <w:i/>
          <w:iCs/>
        </w:rPr>
        <w:t>Verizon-Frontier Order</w:t>
      </w:r>
      <w:r w:rsidRPr="00EA78D0" w:rsidR="00C22145">
        <w:t>, 40 FCC Rcd at 3161, para. 11;</w:t>
      </w:r>
      <w:r w:rsidRPr="00EA78D0" w:rsidR="00C22145">
        <w:rPr>
          <w:i/>
        </w:rPr>
        <w:t xml:space="preserve"> </w:t>
      </w:r>
      <w:r w:rsidRPr="00EA78D0">
        <w:rPr>
          <w:i/>
        </w:rPr>
        <w:t>Alaska Wireless-GCI Order</w:t>
      </w:r>
      <w:r w:rsidRPr="00EA78D0">
        <w:t xml:space="preserve">, 28 FCC Rcd at 10443, para. 26; </w:t>
      </w:r>
      <w:r w:rsidRPr="00EA78D0">
        <w:rPr>
          <w:i/>
          <w:iCs/>
        </w:rPr>
        <w:t xml:space="preserve">Applications of </w:t>
      </w:r>
      <w:r w:rsidRPr="00EA78D0">
        <w:rPr>
          <w:i/>
        </w:rPr>
        <w:t>AT&amp;T Inc. and Centennial Communications Corp. for Consent to Transfer Control of Licenses, Authorizations, and Spectrum Leasing Arrangements</w:t>
      </w:r>
      <w:r w:rsidRPr="00EA78D0">
        <w:t>, Memorandum Opinion and Order, 24 FCC Rcd 13915, 13929, para. 30 (2009).</w:t>
      </w:r>
    </w:p>
  </w:footnote>
  <w:footnote w:id="36">
    <w:p w:rsidR="002719C9" w:rsidRPr="00EA78D0" w:rsidP="00EA78D0" w14:paraId="3302955C" w14:textId="0BACCBB8">
      <w:pPr>
        <w:pStyle w:val="FootnoteText"/>
      </w:pPr>
      <w:r w:rsidRPr="00EA78D0">
        <w:rPr>
          <w:rStyle w:val="FootnoteReference"/>
        </w:rPr>
        <w:footnoteRef/>
      </w:r>
      <w:r w:rsidRPr="00EA78D0">
        <w:t xml:space="preserve"> </w:t>
      </w:r>
      <w:r w:rsidRPr="00EA78D0">
        <w:rPr>
          <w:i/>
        </w:rPr>
        <w:t>See, e.g.</w:t>
      </w:r>
      <w:r w:rsidRPr="00EA78D0">
        <w:rPr>
          <w:iCs/>
        </w:rPr>
        <w:t xml:space="preserve">, </w:t>
      </w:r>
      <w:r w:rsidRPr="00EA78D0" w:rsidR="00C22145">
        <w:rPr>
          <w:i/>
          <w:iCs/>
        </w:rPr>
        <w:t>Verizon-Frontier Order</w:t>
      </w:r>
      <w:r w:rsidRPr="00EA78D0" w:rsidR="00C22145">
        <w:t>, 40 FCC Rcd at 3161, para. 12;</w:t>
      </w:r>
      <w:r w:rsidRPr="00EA78D0" w:rsidR="00C22145">
        <w:rPr>
          <w:i/>
        </w:rPr>
        <w:t xml:space="preserve"> </w:t>
      </w:r>
      <w:r w:rsidRPr="00EA78D0">
        <w:rPr>
          <w:i/>
        </w:rPr>
        <w:t>CenturyLink-Level 3 Order</w:t>
      </w:r>
      <w:r w:rsidRPr="00EA78D0">
        <w:t>, 32 FCC Rcd at 9586, para. 11.</w:t>
      </w:r>
    </w:p>
  </w:footnote>
  <w:footnote w:id="37">
    <w:p w:rsidR="002719C9" w:rsidRPr="00EA78D0" w:rsidP="00EA78D0" w14:paraId="0528BDAC" w14:textId="7D01CEBB">
      <w:pPr>
        <w:pStyle w:val="FootnoteText"/>
      </w:pPr>
      <w:r w:rsidRPr="00EA78D0">
        <w:rPr>
          <w:rStyle w:val="FootnoteReference"/>
        </w:rPr>
        <w:footnoteRef/>
      </w:r>
      <w:r w:rsidRPr="00EA78D0">
        <w:t xml:space="preserve"> 47 U.S.C. § 309(e)</w:t>
      </w:r>
      <w:r w:rsidRPr="00EA78D0">
        <w:rPr>
          <w:iCs/>
        </w:rPr>
        <w:t xml:space="preserve">; </w:t>
      </w:r>
      <w:r w:rsidRPr="00EA78D0" w:rsidR="00C22145">
        <w:rPr>
          <w:i/>
          <w:iCs/>
        </w:rPr>
        <w:t>Verizon-Frontier Order</w:t>
      </w:r>
      <w:r w:rsidRPr="00EA78D0" w:rsidR="00C22145">
        <w:t>, 40 FCC Rcd at 3161, para. 12;</w:t>
      </w:r>
      <w:r w:rsidRPr="00EA78D0" w:rsidR="00C22145">
        <w:rPr>
          <w:i/>
        </w:rPr>
        <w:t xml:space="preserve"> </w:t>
      </w:r>
      <w:r w:rsidRPr="00EA78D0">
        <w:rPr>
          <w:i/>
        </w:rPr>
        <w:t>CenturyLink-Level 3 Order</w:t>
      </w:r>
      <w:r w:rsidRPr="00EA78D0">
        <w:t xml:space="preserve">, 32 FCC Rcd at 9586-87, para. 11; </w:t>
      </w:r>
      <w:r w:rsidRPr="00EA78D0">
        <w:rPr>
          <w:i/>
        </w:rPr>
        <w:t>Alaska Wireless-GCI Order</w:t>
      </w:r>
      <w:r w:rsidRPr="00EA78D0">
        <w:t xml:space="preserve">, 28 FCC Rcd at 10444, para. 27.  Section 309(e)’s requirement applies only to those applications to which Title III of the Act applies.  </w:t>
      </w:r>
      <w:r w:rsidRPr="00EA78D0">
        <w:rPr>
          <w:i/>
        </w:rPr>
        <w:t>ITT World Communications, Inc. v. FCC</w:t>
      </w:r>
      <w:r w:rsidRPr="00EA78D0">
        <w:t xml:space="preserve">, 595 F.2d 897, 901 (2d Cir. 1979); </w:t>
      </w:r>
      <w:r w:rsidRPr="00EA78D0">
        <w:rPr>
          <w:i/>
        </w:rPr>
        <w:t>CenturyLink-Level 3 Order</w:t>
      </w:r>
      <w:r w:rsidRPr="00EA78D0">
        <w:t>, 32 FCC Rcd at 9586-87, para. 11 &amp; n.37.</w:t>
      </w:r>
    </w:p>
  </w:footnote>
  <w:footnote w:id="38">
    <w:p w:rsidR="002719C9" w:rsidRPr="00EA78D0" w:rsidP="00EA78D0" w14:paraId="07011B65" w14:textId="77777777">
      <w:pPr>
        <w:pStyle w:val="FootnoteText"/>
      </w:pPr>
      <w:r w:rsidRPr="00EA78D0">
        <w:rPr>
          <w:rStyle w:val="FootnoteReference"/>
        </w:rPr>
        <w:footnoteRef/>
      </w:r>
      <w:r w:rsidRPr="00EA78D0">
        <w:t xml:space="preserve"> 47 U.S.C. § 310(d).</w:t>
      </w:r>
    </w:p>
  </w:footnote>
  <w:footnote w:id="39">
    <w:p w:rsidR="002719C9" w:rsidRPr="00EA78D0" w:rsidP="00EA78D0" w14:paraId="5084B61A" w14:textId="0C2CC2C5">
      <w:pPr>
        <w:pStyle w:val="FootnoteText"/>
        <w:rPr>
          <w:color w:val="3D3D3D"/>
          <w:u w:val="single"/>
        </w:rPr>
      </w:pPr>
      <w:r w:rsidRPr="00EA78D0">
        <w:rPr>
          <w:rStyle w:val="FootnoteReference"/>
        </w:rPr>
        <w:footnoteRef/>
      </w:r>
      <w:r w:rsidRPr="00EA78D0">
        <w:t xml:space="preserve"> 47 U.S.C. §§ 308, 310(d); </w:t>
      </w:r>
      <w:r w:rsidRPr="00EA78D0">
        <w:rPr>
          <w:i/>
        </w:rPr>
        <w:t>see also</w:t>
      </w:r>
      <w:r w:rsidRPr="00EA78D0">
        <w:t xml:space="preserve"> </w:t>
      </w:r>
      <w:r w:rsidRPr="00EA78D0">
        <w:rPr>
          <w:i/>
        </w:rPr>
        <w:t>T-Mobile-Sprint Order</w:t>
      </w:r>
      <w:r w:rsidRPr="00EA78D0">
        <w:rPr>
          <w:iCs/>
        </w:rPr>
        <w:t xml:space="preserve">, </w:t>
      </w:r>
      <w:r w:rsidRPr="00EA78D0">
        <w:rPr>
          <w:snapToGrid w:val="0"/>
          <w:kern w:val="28"/>
        </w:rPr>
        <w:t>34 FCC Rcd at 10596,</w:t>
      </w:r>
      <w:r w:rsidRPr="00EA78D0">
        <w:t xml:space="preserve"> para. 43; </w:t>
      </w:r>
      <w:r w:rsidRPr="00EA78D0">
        <w:rPr>
          <w:i/>
          <w:iCs/>
        </w:rPr>
        <w:t>AT&amp;T-DIRECTV Order</w:t>
      </w:r>
      <w:r w:rsidRPr="00EA78D0">
        <w:t xml:space="preserve">, 30 FCC Rcd at 9142, para. 24; </w:t>
      </w:r>
      <w:r w:rsidRPr="00EA78D0">
        <w:rPr>
          <w:i/>
          <w:iCs/>
        </w:rPr>
        <w:t>Applications Filed by Qwest Communications International, Inc. and CenturyTel, Inc. d/b/a CenturyLink for Consent to Transfer Control</w:t>
      </w:r>
      <w:r w:rsidRPr="00EA78D0">
        <w:t>, WC Docket No. 10-110, Memorandum Opinion and Order, 26 FCC Rcd 4194, 4201, para. 11 (2011) (</w:t>
      </w:r>
      <w:r w:rsidRPr="00EA78D0">
        <w:rPr>
          <w:i/>
          <w:iCs/>
        </w:rPr>
        <w:t>CenturyLink-Qwest Order</w:t>
      </w:r>
      <w:r w:rsidRPr="00EA78D0">
        <w:t xml:space="preserve">); </w:t>
      </w:r>
      <w:r w:rsidRPr="00EA78D0" w:rsidR="00C22145">
        <w:rPr>
          <w:i/>
          <w:iCs/>
          <w:color w:val="000000"/>
        </w:rPr>
        <w:t>AT&amp;T-BellSouth Order</w:t>
      </w:r>
      <w:r w:rsidRPr="00EA78D0" w:rsidR="00C22145">
        <w:rPr>
          <w:color w:val="000000"/>
        </w:rPr>
        <w:t>,</w:t>
      </w:r>
      <w:r w:rsidRPr="00EA78D0" w:rsidR="00F86A9D">
        <w:rPr>
          <w:color w:val="000000"/>
        </w:rPr>
        <w:t xml:space="preserve"> </w:t>
      </w:r>
      <w:r w:rsidRPr="00EA78D0">
        <w:rPr>
          <w:color w:val="000000"/>
        </w:rPr>
        <w:t xml:space="preserve">22 FCC Rcd </w:t>
      </w:r>
      <w:r w:rsidRPr="00EA78D0" w:rsidR="00C22145">
        <w:rPr>
          <w:color w:val="000000"/>
        </w:rPr>
        <w:t>at</w:t>
      </w:r>
      <w:r w:rsidRPr="00EA78D0">
        <w:rPr>
          <w:color w:val="000000"/>
        </w:rPr>
        <w:t xml:space="preserve"> 5756, paras. 190-91</w:t>
      </w:r>
      <w:r w:rsidRPr="00EA78D0" w:rsidR="00C22145">
        <w:rPr>
          <w:color w:val="000000"/>
        </w:rPr>
        <w:t>.</w:t>
      </w:r>
    </w:p>
  </w:footnote>
  <w:footnote w:id="40">
    <w:p w:rsidR="002719C9" w:rsidRPr="00EA78D0" w:rsidP="00EA78D0" w14:paraId="0E4AD712" w14:textId="77777777">
      <w:pPr>
        <w:pStyle w:val="FootnoteText"/>
      </w:pPr>
      <w:r w:rsidRPr="00EA78D0">
        <w:rPr>
          <w:rStyle w:val="FootnoteReference"/>
        </w:rPr>
        <w:footnoteRef/>
      </w:r>
      <w:r w:rsidRPr="00EA78D0">
        <w:t xml:space="preserve"> </w:t>
      </w:r>
      <w:r w:rsidRPr="00EA78D0">
        <w:rPr>
          <w:i/>
        </w:rPr>
        <w:t>See T-Mobile-Sprint Order</w:t>
      </w:r>
      <w:r w:rsidRPr="00EA78D0">
        <w:rPr>
          <w:iCs/>
        </w:rPr>
        <w:t>,</w:t>
      </w:r>
      <w:r w:rsidRPr="00EA78D0">
        <w:t xml:space="preserve"> </w:t>
      </w:r>
      <w:r w:rsidRPr="00EA78D0">
        <w:rPr>
          <w:snapToGrid w:val="0"/>
          <w:kern w:val="28"/>
        </w:rPr>
        <w:t>34 FCC Rcd at 10596</w:t>
      </w:r>
      <w:r w:rsidRPr="00EA78D0">
        <w:t xml:space="preserve">, para. 43; </w:t>
      </w:r>
      <w:r w:rsidRPr="00EA78D0">
        <w:rPr>
          <w:i/>
        </w:rPr>
        <w:t>AT&amp;T-DIRECTV Order</w:t>
      </w:r>
      <w:r w:rsidRPr="00EA78D0">
        <w:t xml:space="preserve">, 30 FCC Rcd at 9142, para. 24; </w:t>
      </w:r>
      <w:r w:rsidRPr="00EA78D0">
        <w:rPr>
          <w:i/>
        </w:rPr>
        <w:t xml:space="preserve">CenturyLink-Qwest Order, </w:t>
      </w:r>
      <w:r w:rsidRPr="00EA78D0">
        <w:t xml:space="preserve">26 FCC Rcd at 4201, para. 11; </w:t>
      </w:r>
      <w:r w:rsidRPr="00EA78D0">
        <w:rPr>
          <w:i/>
        </w:rPr>
        <w:t xml:space="preserve">AT&amp;T-BellSouth Order, </w:t>
      </w:r>
      <w:r w:rsidRPr="00EA78D0">
        <w:t>22 FCC Rcd at 5756, para. 191</w:t>
      </w:r>
      <w:r w:rsidRPr="00EA78D0">
        <w:rPr>
          <w:i/>
        </w:rPr>
        <w:t>.</w:t>
      </w:r>
    </w:p>
  </w:footnote>
  <w:footnote w:id="41">
    <w:p w:rsidR="002719C9" w:rsidRPr="00EA78D0" w:rsidP="00EA78D0" w14:paraId="682975EC" w14:textId="77777777">
      <w:pPr>
        <w:pStyle w:val="FootnoteText"/>
      </w:pPr>
      <w:r w:rsidRPr="00EA78D0">
        <w:rPr>
          <w:rStyle w:val="FootnoteReference"/>
        </w:rPr>
        <w:footnoteRef/>
      </w:r>
      <w:r w:rsidRPr="00EA78D0">
        <w:t xml:space="preserve"> The Commission generally does not reevaluate the qualifications of transferors unless issues related to basic qualifications have been sufficiently raised in petitions to warrant designation for hearing.  </w:t>
      </w:r>
      <w:r w:rsidRPr="00EA78D0">
        <w:rPr>
          <w:i/>
        </w:rPr>
        <w:t>See</w:t>
      </w:r>
      <w:r w:rsidRPr="00EA78D0">
        <w:t xml:space="preserve"> </w:t>
      </w:r>
      <w:r w:rsidRPr="00EA78D0">
        <w:rPr>
          <w:i/>
        </w:rPr>
        <w:t>T-Mobile-Sprint Order</w:t>
      </w:r>
      <w:r w:rsidRPr="00EA78D0">
        <w:rPr>
          <w:iCs/>
        </w:rPr>
        <w:t>,</w:t>
      </w:r>
      <w:r w:rsidRPr="00EA78D0">
        <w:t xml:space="preserve"> </w:t>
      </w:r>
      <w:r w:rsidRPr="00EA78D0">
        <w:rPr>
          <w:snapToGrid w:val="0"/>
          <w:kern w:val="28"/>
        </w:rPr>
        <w:t>34 FCC Rcd at 10597</w:t>
      </w:r>
      <w:r w:rsidRPr="00EA78D0">
        <w:t xml:space="preserve">, para. 45; </w:t>
      </w:r>
      <w:r w:rsidRPr="00EA78D0">
        <w:rPr>
          <w:i/>
        </w:rPr>
        <w:t>AT&amp;T-DIRECTV Order</w:t>
      </w:r>
      <w:r w:rsidRPr="00EA78D0">
        <w:t>, 30 FCC Rcd at 9142, para. 25.</w:t>
      </w:r>
    </w:p>
  </w:footnote>
  <w:footnote w:id="42">
    <w:p w:rsidR="002719C9" w:rsidRPr="00EA78D0" w:rsidP="00EA78D0" w14:paraId="199DDB45" w14:textId="77777777">
      <w:pPr>
        <w:pStyle w:val="FootnoteText"/>
      </w:pPr>
      <w:r w:rsidRPr="00EA78D0">
        <w:rPr>
          <w:rStyle w:val="FootnoteReference"/>
        </w:rPr>
        <w:footnoteRef/>
      </w:r>
      <w:r w:rsidRPr="00EA78D0">
        <w:t xml:space="preserve"> </w:t>
      </w:r>
      <w:r w:rsidRPr="00EA78D0">
        <w:rPr>
          <w:i/>
          <w:snapToGrid w:val="0"/>
          <w:kern w:val="28"/>
        </w:rPr>
        <w:t>See</w:t>
      </w:r>
      <w:r w:rsidRPr="00EA78D0">
        <w:rPr>
          <w:snapToGrid w:val="0"/>
          <w:kern w:val="28"/>
        </w:rPr>
        <w:t xml:space="preserve"> </w:t>
      </w:r>
      <w:r w:rsidRPr="00EA78D0">
        <w:rPr>
          <w:i/>
          <w:snapToGrid w:val="0"/>
          <w:kern w:val="28"/>
        </w:rPr>
        <w:t>T-Mobile-Sprint Order</w:t>
      </w:r>
      <w:r w:rsidRPr="00EA78D0">
        <w:rPr>
          <w:iCs/>
          <w:snapToGrid w:val="0"/>
          <w:kern w:val="28"/>
        </w:rPr>
        <w:t xml:space="preserve">, </w:t>
      </w:r>
      <w:r w:rsidRPr="00EA78D0">
        <w:rPr>
          <w:snapToGrid w:val="0"/>
          <w:kern w:val="28"/>
        </w:rPr>
        <w:t xml:space="preserve">34 FCC Rcd at 10597, para. 44; </w:t>
      </w:r>
      <w:r w:rsidRPr="00EA78D0">
        <w:rPr>
          <w:i/>
          <w:snapToGrid w:val="0"/>
          <w:kern w:val="28"/>
        </w:rPr>
        <w:t>AT&amp;T-DIRECTV Order</w:t>
      </w:r>
      <w:r w:rsidRPr="00EA78D0">
        <w:rPr>
          <w:snapToGrid w:val="0"/>
          <w:kern w:val="28"/>
        </w:rPr>
        <w:t>, 30 FCC Rcd at 9142, para. 25.</w:t>
      </w:r>
    </w:p>
  </w:footnote>
  <w:footnote w:id="43">
    <w:p w:rsidR="00BF2AE0" w:rsidRPr="00EA78D0" w:rsidP="00EA78D0" w14:paraId="1271E5C2" w14:textId="6A49F23B">
      <w:pPr>
        <w:pStyle w:val="FootnoteText"/>
      </w:pPr>
      <w:r w:rsidRPr="00EA78D0">
        <w:rPr>
          <w:rStyle w:val="FootnoteReference"/>
        </w:rPr>
        <w:footnoteRef/>
      </w:r>
      <w:r w:rsidRPr="00EA78D0">
        <w:t xml:space="preserve"> Petition at n.9.</w:t>
      </w:r>
    </w:p>
  </w:footnote>
  <w:footnote w:id="44">
    <w:p w:rsidR="00B92973" w:rsidRPr="00EA78D0" w:rsidP="00EA78D0" w14:paraId="32C9C64E" w14:textId="11A6D260">
      <w:pPr>
        <w:pStyle w:val="FootnoteText"/>
      </w:pPr>
      <w:r w:rsidRPr="00EA78D0">
        <w:rPr>
          <w:rStyle w:val="FootnoteReference"/>
        </w:rPr>
        <w:footnoteRef/>
      </w:r>
      <w:r w:rsidRPr="00EA78D0">
        <w:t xml:space="preserve"> Petition at 4-5; </w:t>
      </w:r>
      <w:r w:rsidRPr="00EA78D0">
        <w:rPr>
          <w:i/>
          <w:iCs/>
        </w:rPr>
        <w:t>see also</w:t>
      </w:r>
      <w:r w:rsidRPr="00EA78D0">
        <w:t xml:space="preserve"> P</w:t>
      </w:r>
      <w:r w:rsidRPr="00EA78D0" w:rsidR="00475266">
        <w:t xml:space="preserve">etitioners’ </w:t>
      </w:r>
      <w:r w:rsidRPr="00EA78D0">
        <w:t>Reply at 5.</w:t>
      </w:r>
    </w:p>
  </w:footnote>
  <w:footnote w:id="45">
    <w:p w:rsidR="00B92973" w:rsidRPr="00EA78D0" w:rsidP="00EA78D0" w14:paraId="01C97435" w14:textId="11844BD6">
      <w:pPr>
        <w:pStyle w:val="FootnoteText"/>
      </w:pPr>
      <w:r w:rsidRPr="00EA78D0">
        <w:rPr>
          <w:rStyle w:val="FootnoteReference"/>
        </w:rPr>
        <w:footnoteRef/>
      </w:r>
      <w:r w:rsidRPr="00EA78D0">
        <w:t xml:space="preserve"> Petition at 4-6.</w:t>
      </w:r>
    </w:p>
  </w:footnote>
  <w:footnote w:id="46">
    <w:p w:rsidR="00B92973" w:rsidRPr="00EA78D0" w:rsidP="00EA78D0" w14:paraId="287BCEE0" w14:textId="29585188">
      <w:pPr>
        <w:pStyle w:val="FootnoteText"/>
      </w:pPr>
      <w:r w:rsidRPr="00EA78D0">
        <w:rPr>
          <w:rStyle w:val="FootnoteReference"/>
        </w:rPr>
        <w:footnoteRef/>
      </w:r>
      <w:r w:rsidRPr="00EA78D0">
        <w:t xml:space="preserve"> </w:t>
      </w:r>
      <w:r w:rsidRPr="00EA78D0" w:rsidR="00475266">
        <w:rPr>
          <w:i/>
          <w:iCs/>
        </w:rPr>
        <w:t xml:space="preserve">Id. </w:t>
      </w:r>
      <w:r w:rsidRPr="00EA78D0">
        <w:t>at 5, 8.</w:t>
      </w:r>
    </w:p>
  </w:footnote>
  <w:footnote w:id="47">
    <w:p w:rsidR="00B92973" w:rsidRPr="00EA78D0" w:rsidP="00EA78D0" w14:paraId="30BC3501" w14:textId="5BC7FE1C">
      <w:pPr>
        <w:pStyle w:val="FootnoteText"/>
      </w:pPr>
      <w:r w:rsidRPr="00EA78D0">
        <w:rPr>
          <w:rStyle w:val="FootnoteReference"/>
        </w:rPr>
        <w:footnoteRef/>
      </w:r>
      <w:r w:rsidRPr="00EA78D0">
        <w:t xml:space="preserve"> Public Interest Statement at 71-72; </w:t>
      </w:r>
      <w:r w:rsidRPr="00EA78D0" w:rsidR="00937563">
        <w:t xml:space="preserve">Public Interest Statement, </w:t>
      </w:r>
      <w:r w:rsidRPr="00EA78D0" w:rsidR="00937563">
        <w:t>Exh</w:t>
      </w:r>
      <w:r w:rsidRPr="00EA78D0" w:rsidR="00937563">
        <w:t>. C (Decl. of Jessica Fischer, Chief Financial Officer of Charter Communications, Inc.) (Fischer Decl.)</w:t>
      </w:r>
      <w:r w:rsidRPr="00EA78D0">
        <w:t xml:space="preserve"> </w:t>
      </w:r>
      <w:r w:rsidRPr="00EA78D0" w:rsidR="00ED103D">
        <w:t xml:space="preserve">at 11-12; Public Interest Statement, </w:t>
      </w:r>
      <w:r w:rsidRPr="00EA78D0" w:rsidR="00ED103D">
        <w:t>Exh</w:t>
      </w:r>
      <w:r w:rsidRPr="00EA78D0" w:rsidR="00ED103D">
        <w:t>. D (Decl. of Perley McBride, Executive Vice President and Chief Financial Officer, Cox Communication, Inc.) (McBride Decl.)</w:t>
      </w:r>
      <w:r w:rsidRPr="00EA78D0" w:rsidR="00B607EE">
        <w:t xml:space="preserve"> at 3</w:t>
      </w:r>
      <w:r w:rsidRPr="00EA78D0">
        <w:t xml:space="preserve">; </w:t>
      </w:r>
      <w:r w:rsidRPr="00EA78D0" w:rsidR="001E4F48">
        <w:t xml:space="preserve">Applicants’ Reply </w:t>
      </w:r>
      <w:r w:rsidRPr="00EA78D0">
        <w:t>at 22.</w:t>
      </w:r>
    </w:p>
  </w:footnote>
  <w:footnote w:id="48">
    <w:p w:rsidR="00B92973" w:rsidRPr="00EA78D0" w:rsidP="00EA78D0" w14:paraId="3F4A38BC" w14:textId="35BDE40B">
      <w:pPr>
        <w:pStyle w:val="FootnoteText"/>
      </w:pPr>
      <w:r w:rsidRPr="00EA78D0">
        <w:rPr>
          <w:rStyle w:val="FootnoteReference"/>
        </w:rPr>
        <w:footnoteRef/>
      </w:r>
      <w:r w:rsidRPr="00EA78D0">
        <w:t xml:space="preserve"> P</w:t>
      </w:r>
      <w:r w:rsidRPr="00EA78D0" w:rsidR="001E4F48">
        <w:t>etitioners’</w:t>
      </w:r>
      <w:r w:rsidRPr="00EA78D0">
        <w:t xml:space="preserve"> Reply at 5.</w:t>
      </w:r>
    </w:p>
  </w:footnote>
  <w:footnote w:id="49">
    <w:p w:rsidR="00B92973" w:rsidRPr="00EA78D0" w:rsidP="00EA78D0" w14:paraId="1D6F682E" w14:textId="77777777">
      <w:pPr>
        <w:pStyle w:val="FootnoteText"/>
      </w:pPr>
      <w:r w:rsidRPr="00EA78D0">
        <w:rPr>
          <w:rStyle w:val="FootnoteReference"/>
        </w:rPr>
        <w:footnoteRef/>
      </w:r>
      <w:r w:rsidRPr="00EA78D0">
        <w:t xml:space="preserve"> </w:t>
      </w:r>
      <w:r w:rsidRPr="00EA78D0">
        <w:rPr>
          <w:i/>
          <w:iCs/>
        </w:rPr>
        <w:t>See, e.g.</w:t>
      </w:r>
      <w:r w:rsidRPr="00EA78D0">
        <w:t>,</w:t>
      </w:r>
      <w:r w:rsidRPr="00EA78D0">
        <w:rPr>
          <w:i/>
          <w:iCs/>
        </w:rPr>
        <w:t xml:space="preserve"> Applications of Comcast Corporation, General Electric Company and NBC Universal, Inc. for Consent to Assign Licenses and Transfer Control of Licensees</w:t>
      </w:r>
      <w:r w:rsidRPr="00EA78D0">
        <w:t>,</w:t>
      </w:r>
      <w:r w:rsidRPr="00EA78D0">
        <w:rPr>
          <w:i/>
          <w:iCs/>
        </w:rPr>
        <w:t xml:space="preserve"> </w:t>
      </w:r>
      <w:r w:rsidRPr="00EA78D0">
        <w:t>MB Docket No. 10-56, Memorandum Opinion and Order, 26 FCC Rcd 4238, 4250-51, 4282, paras. 29 &amp; 110 (2011) (</w:t>
      </w:r>
      <w:r w:rsidRPr="00EA78D0">
        <w:rPr>
          <w:i/>
          <w:iCs/>
        </w:rPr>
        <w:t>Comcast-NBCU Order</w:t>
      </w:r>
      <w:r w:rsidRPr="00EA78D0">
        <w:t>).</w:t>
      </w:r>
    </w:p>
  </w:footnote>
  <w:footnote w:id="50">
    <w:p w:rsidR="00B92973" w:rsidRPr="00EA78D0" w:rsidP="00EA78D0" w14:paraId="55FC650E" w14:textId="7691B9C0">
      <w:pPr>
        <w:pStyle w:val="FootnoteText"/>
      </w:pPr>
      <w:r w:rsidRPr="00EA78D0">
        <w:rPr>
          <w:rStyle w:val="FootnoteReference"/>
        </w:rPr>
        <w:footnoteRef/>
      </w:r>
      <w:r w:rsidRPr="00EA78D0">
        <w:t xml:space="preserve"> </w:t>
      </w:r>
      <w:r w:rsidRPr="00EA78D0" w:rsidR="00A45B6F">
        <w:t>Public Interest Statement</w:t>
      </w:r>
      <w:r w:rsidRPr="00EA78D0" w:rsidR="006E7A65">
        <w:t xml:space="preserve">, </w:t>
      </w:r>
      <w:r w:rsidRPr="00EA78D0" w:rsidR="006E7A65">
        <w:t>Exh</w:t>
      </w:r>
      <w:r w:rsidRPr="00EA78D0" w:rsidR="006E7A65">
        <w:t>. E (Decl</w:t>
      </w:r>
      <w:r w:rsidRPr="00EA78D0" w:rsidR="001D004F">
        <w:t>.</w:t>
      </w:r>
      <w:r w:rsidRPr="00EA78D0" w:rsidR="006E7A65">
        <w:t xml:space="preserve"> of Bryan Keating and Jonathan Orszag, </w:t>
      </w:r>
      <w:r w:rsidRPr="00EA78D0" w:rsidR="001D004F">
        <w:t>E</w:t>
      </w:r>
      <w:r w:rsidRPr="00EA78D0" w:rsidR="006E7A65">
        <w:t>conic</w:t>
      </w:r>
      <w:r w:rsidRPr="00EA78D0" w:rsidR="006E7A65">
        <w:t xml:space="preserve"> Partners, LLC) (</w:t>
      </w:r>
      <w:r w:rsidRPr="00EA78D0">
        <w:t>Keating/Orszag Decl.</w:t>
      </w:r>
      <w:r w:rsidRPr="00EA78D0" w:rsidR="006E7A65">
        <w:t>) at 6-8, 58</w:t>
      </w:r>
      <w:r w:rsidRPr="00EA78D0">
        <w:t>.</w:t>
      </w:r>
    </w:p>
  </w:footnote>
  <w:footnote w:id="51">
    <w:p w:rsidR="00B92973" w:rsidRPr="00EA78D0" w:rsidP="00EA78D0" w14:paraId="4EBDBAB4" w14:textId="4C943CD8">
      <w:pPr>
        <w:pStyle w:val="FootnoteText"/>
      </w:pPr>
      <w:r w:rsidRPr="00EA78D0">
        <w:rPr>
          <w:rStyle w:val="FootnoteReference"/>
        </w:rPr>
        <w:footnoteRef/>
      </w:r>
      <w:r w:rsidRPr="00EA78D0">
        <w:t xml:space="preserve"> Petition at 5.</w:t>
      </w:r>
    </w:p>
  </w:footnote>
  <w:footnote w:id="52">
    <w:p w:rsidR="00B92973" w:rsidRPr="00EA78D0" w:rsidP="00EA78D0" w14:paraId="5FB06574" w14:textId="3B9ECBEF">
      <w:pPr>
        <w:pStyle w:val="FootnoteText"/>
        <w:rPr>
          <w:b/>
        </w:rPr>
      </w:pPr>
      <w:r w:rsidRPr="00EA78D0">
        <w:rPr>
          <w:rStyle w:val="FootnoteReference"/>
        </w:rPr>
        <w:footnoteRef/>
      </w:r>
      <w:r w:rsidRPr="00EA78D0">
        <w:t xml:space="preserve"> </w:t>
      </w:r>
      <w:r w:rsidRPr="00EA78D0" w:rsidR="00902DA6">
        <w:t xml:space="preserve">Petition at </w:t>
      </w:r>
      <w:r w:rsidRPr="00EA78D0" w:rsidR="008045B0">
        <w:t xml:space="preserve">2-3, </w:t>
      </w:r>
      <w:r w:rsidRPr="00EA78D0" w:rsidR="00930C26">
        <w:t>6-</w:t>
      </w:r>
      <w:r w:rsidRPr="00EA78D0" w:rsidR="00BA13E7">
        <w:t xml:space="preserve">9 (citing </w:t>
      </w:r>
      <w:r w:rsidRPr="00EA78D0">
        <w:rPr>
          <w:i/>
          <w:iCs/>
        </w:rPr>
        <w:t>Applications of Charter Communications, Inc., Time Warner Cable Inc., and Advance/</w:t>
      </w:r>
      <w:r w:rsidRPr="00EA78D0">
        <w:rPr>
          <w:i/>
          <w:iCs/>
        </w:rPr>
        <w:t>NewHouse</w:t>
      </w:r>
      <w:r w:rsidRPr="00EA78D0">
        <w:rPr>
          <w:i/>
          <w:iCs/>
        </w:rPr>
        <w:t xml:space="preserve"> Partnership for Consent to Assign or Transfer Control of Licenses and Authorizations</w:t>
      </w:r>
      <w:r w:rsidRPr="00EA78D0">
        <w:t>,</w:t>
      </w:r>
      <w:r w:rsidRPr="00EA78D0">
        <w:rPr>
          <w:i/>
          <w:iCs/>
        </w:rPr>
        <w:t xml:space="preserve"> </w:t>
      </w:r>
      <w:r w:rsidRPr="00EA78D0">
        <w:t>MB Docket No. 15-149, Memorandum and Order, 31 FCC Rcd 6327 (2016) (</w:t>
      </w:r>
      <w:r w:rsidRPr="00EA78D0">
        <w:rPr>
          <w:i/>
          <w:iCs/>
        </w:rPr>
        <w:t>Charter-Time Warner Cable Order</w:t>
      </w:r>
      <w:r w:rsidRPr="00EA78D0">
        <w:t>)</w:t>
      </w:r>
      <w:r w:rsidRPr="00EA78D0" w:rsidR="0077453B">
        <w:t>)</w:t>
      </w:r>
      <w:r w:rsidRPr="00EA78D0">
        <w:t>.</w:t>
      </w:r>
    </w:p>
  </w:footnote>
  <w:footnote w:id="53">
    <w:p w:rsidR="0041195E" w:rsidRPr="00EA78D0" w:rsidP="00EA78D0" w14:paraId="3E6A89F9" w14:textId="0287F79F">
      <w:pPr>
        <w:pStyle w:val="FootnoteText"/>
      </w:pPr>
      <w:r w:rsidRPr="00EA78D0">
        <w:rPr>
          <w:rStyle w:val="FootnoteReference"/>
        </w:rPr>
        <w:footnoteRef/>
      </w:r>
      <w:r w:rsidRPr="00EA78D0">
        <w:t xml:space="preserve"> </w:t>
      </w:r>
      <w:r w:rsidRPr="00EA78D0">
        <w:rPr>
          <w:i/>
          <w:iCs/>
        </w:rPr>
        <w:t>See, e.g.</w:t>
      </w:r>
      <w:r w:rsidRPr="00EA78D0">
        <w:t>,</w:t>
      </w:r>
      <w:r w:rsidRPr="00EA78D0">
        <w:rPr>
          <w:i/>
          <w:iCs/>
        </w:rPr>
        <w:t xml:space="preserve"> Charter-Time Warner Cable Order</w:t>
      </w:r>
      <w:r w:rsidRPr="00EA78D0">
        <w:t>, 31 FCC Rcd</w:t>
      </w:r>
      <w:r w:rsidRPr="00EA78D0">
        <w:rPr>
          <w:i/>
          <w:iCs/>
        </w:rPr>
        <w:t xml:space="preserve"> </w:t>
      </w:r>
      <w:r w:rsidRPr="00EA78D0">
        <w:t xml:space="preserve">at 6348, para. 50 (“We find that, as a general matter, consumers do not view wireless, satellite, or legacy DSL </w:t>
      </w:r>
      <w:r w:rsidRPr="00EA78D0" w:rsidR="003F5BC4">
        <w:t>[broadband]</w:t>
      </w:r>
      <w:r w:rsidRPr="00EA78D0" w:rsidR="00B96384">
        <w:t xml:space="preserve"> </w:t>
      </w:r>
      <w:r w:rsidRPr="00EA78D0">
        <w:t xml:space="preserve">as close substitutes for cable or fiber </w:t>
      </w:r>
      <w:r w:rsidRPr="00EA78D0" w:rsidR="00565F04">
        <w:t>[broadband]</w:t>
      </w:r>
      <w:r w:rsidRPr="00EA78D0">
        <w:t xml:space="preserve"> offerings.  We further find that in any given location, customers have few </w:t>
      </w:r>
      <w:r w:rsidRPr="00EA78D0" w:rsidR="003F5BC4">
        <w:t>[broadband]</w:t>
      </w:r>
      <w:r w:rsidRPr="00EA78D0">
        <w:t xml:space="preserve"> choices and that high entry barriers make it unlikely that new substitutes will emerge </w:t>
      </w:r>
      <w:r w:rsidRPr="00EA78D0">
        <w:t>in the near future</w:t>
      </w:r>
      <w:r w:rsidRPr="00EA78D0">
        <w:t>.”).</w:t>
      </w:r>
    </w:p>
  </w:footnote>
  <w:footnote w:id="54">
    <w:p w:rsidR="0041195E" w:rsidRPr="00EA78D0" w:rsidP="00EA78D0" w14:paraId="183BEF73" w14:textId="7E080D23">
      <w:pPr>
        <w:pStyle w:val="FootnoteText"/>
      </w:pPr>
      <w:r w:rsidRPr="00EA78D0">
        <w:rPr>
          <w:rStyle w:val="FootnoteReference"/>
        </w:rPr>
        <w:footnoteRef/>
      </w:r>
      <w:r w:rsidRPr="00EA78D0">
        <w:t xml:space="preserve"> For example, </w:t>
      </w:r>
      <w:r w:rsidRPr="00EA78D0">
        <w:rPr>
          <w:rFonts w:eastAsia="Calibri"/>
        </w:rPr>
        <w:t xml:space="preserve">Charter does not currently impose data caps.  Charter, </w:t>
      </w:r>
      <w:r w:rsidRPr="00EA78D0">
        <w:rPr>
          <w:rFonts w:eastAsia="Calibri"/>
          <w:i/>
          <w:iCs/>
        </w:rPr>
        <w:t>Spectrum Internet</w:t>
      </w:r>
      <w:r w:rsidRPr="00EA78D0">
        <w:rPr>
          <w:rFonts w:eastAsia="Calibri"/>
        </w:rPr>
        <w:t xml:space="preserve">, </w:t>
      </w:r>
      <w:hyperlink r:id="rId1" w:history="1">
        <w:r w:rsidRPr="00EA78D0">
          <w:rPr>
            <w:rStyle w:val="Hyperlink"/>
            <w:rFonts w:eastAsia="Calibri"/>
          </w:rPr>
          <w:t>https://www.spectrum.com/internet</w:t>
        </w:r>
      </w:hyperlink>
      <w:r w:rsidRPr="00EA78D0">
        <w:rPr>
          <w:rFonts w:eastAsia="Calibri"/>
        </w:rPr>
        <w:t xml:space="preserve"> (last visited Jan. 22, 2026) (navigate to “What is Spectrum Internet” subheading); </w:t>
      </w:r>
      <w:r w:rsidRPr="00EA78D0">
        <w:rPr>
          <w:rFonts w:eastAsia="Calibri"/>
          <w:i/>
          <w:iCs/>
        </w:rPr>
        <w:t>see also</w:t>
      </w:r>
      <w:r w:rsidRPr="00EA78D0">
        <w:rPr>
          <w:rFonts w:eastAsia="Calibri"/>
        </w:rPr>
        <w:t xml:space="preserve"> </w:t>
      </w:r>
      <w:r w:rsidRPr="00EA78D0">
        <w:rPr>
          <w:rFonts w:eastAsia="Calibri"/>
          <w:i/>
          <w:iCs/>
        </w:rPr>
        <w:t>2024 Communications Marketplace Report</w:t>
      </w:r>
      <w:r w:rsidRPr="00EA78D0">
        <w:rPr>
          <w:rFonts w:eastAsia="Calibri"/>
        </w:rPr>
        <w:t>, 39 FCC Rcd</w:t>
      </w:r>
      <w:r w:rsidRPr="00EA78D0">
        <w:rPr>
          <w:rFonts w:eastAsia="Calibri"/>
          <w:i/>
          <w:iCs/>
        </w:rPr>
        <w:t xml:space="preserve"> </w:t>
      </w:r>
      <w:r w:rsidRPr="00EA78D0">
        <w:rPr>
          <w:rFonts w:eastAsia="Calibri"/>
        </w:rPr>
        <w:t xml:space="preserve">at 14144-45, para. 35, Fig. II.A.22 (indicating that Charter is not among the large </w:t>
      </w:r>
      <w:r w:rsidRPr="00EA78D0" w:rsidR="00565F04">
        <w:rPr>
          <w:rFonts w:eastAsia="Calibri"/>
        </w:rPr>
        <w:t xml:space="preserve">broadband </w:t>
      </w:r>
      <w:r w:rsidRPr="00EA78D0">
        <w:rPr>
          <w:rFonts w:eastAsia="Calibri"/>
        </w:rPr>
        <w:t xml:space="preserve">providers with data caps).  In addition, </w:t>
      </w:r>
      <w:r w:rsidRPr="00EA78D0">
        <w:t xml:space="preserve">the number of cable providers that report using data caps decreased by 53% over the last four years.  Staff analysis of 2022-2026 </w:t>
      </w:r>
      <w:r w:rsidRPr="00EA78D0">
        <w:t>BroadbandNow</w:t>
      </w:r>
      <w:r w:rsidRPr="00EA78D0">
        <w:t xml:space="preserve"> data.  </w:t>
      </w:r>
      <w:r w:rsidRPr="00EA78D0">
        <w:rPr>
          <w:i/>
          <w:iCs/>
        </w:rPr>
        <w:t>See also</w:t>
      </w:r>
      <w:r w:rsidRPr="00EA78D0">
        <w:rPr>
          <w:rFonts w:eastAsia="Calibri"/>
        </w:rPr>
        <w:t xml:space="preserve"> </w:t>
      </w:r>
      <w:r w:rsidRPr="00EA78D0">
        <w:rPr>
          <w:rFonts w:eastAsia="Calibri"/>
          <w:i/>
          <w:iCs/>
        </w:rPr>
        <w:t>2024 Communications Marketplace Report</w:t>
      </w:r>
      <w:r w:rsidRPr="00EA78D0">
        <w:rPr>
          <w:rFonts w:eastAsia="Calibri"/>
        </w:rPr>
        <w:t xml:space="preserve">, 39 FCC Rcd at 14146-47, para. 37, Fig. II.A.24; </w:t>
      </w:r>
      <w:r w:rsidRPr="00EA78D0">
        <w:rPr>
          <w:rFonts w:eastAsia="Calibri"/>
        </w:rPr>
        <w:t>BroadbandNow</w:t>
      </w:r>
      <w:r w:rsidRPr="00EA78D0">
        <w:rPr>
          <w:rFonts w:eastAsia="Calibri"/>
        </w:rPr>
        <w:t xml:space="preserve">, </w:t>
      </w:r>
      <w:r w:rsidRPr="00EA78D0">
        <w:rPr>
          <w:rFonts w:eastAsia="Calibri"/>
          <w:i/>
          <w:iCs/>
        </w:rPr>
        <w:t>Internet Providers with Data Caps</w:t>
      </w:r>
      <w:r w:rsidRPr="00EA78D0">
        <w:rPr>
          <w:rFonts w:eastAsia="Calibri"/>
        </w:rPr>
        <w:t xml:space="preserve">, </w:t>
      </w:r>
      <w:hyperlink r:id="rId2" w:history="1">
        <w:r w:rsidRPr="00EA78D0">
          <w:rPr>
            <w:rStyle w:val="Hyperlink"/>
            <w:rFonts w:eastAsia="Calibri"/>
          </w:rPr>
          <w:t>https://broadbandnow.com/internet-providers-with-data-caps</w:t>
        </w:r>
      </w:hyperlink>
      <w:r w:rsidRPr="00EA78D0">
        <w:rPr>
          <w:rFonts w:eastAsia="Calibri"/>
        </w:rPr>
        <w:t xml:space="preserve"> (last visited Jan. 16, 2026).</w:t>
      </w:r>
    </w:p>
  </w:footnote>
  <w:footnote w:id="55">
    <w:p w:rsidR="0079210F" w:rsidRPr="00EA78D0" w:rsidP="00EA78D0" w14:paraId="1C87C793" w14:textId="77777777">
      <w:pPr>
        <w:pStyle w:val="FootnoteText"/>
      </w:pPr>
      <w:r w:rsidRPr="00EA78D0">
        <w:rPr>
          <w:rStyle w:val="FootnoteReference"/>
        </w:rPr>
        <w:footnoteRef/>
      </w:r>
      <w:r w:rsidRPr="00EA78D0">
        <w:t xml:space="preserve"> Petition at 15-18; </w:t>
      </w:r>
      <w:r w:rsidRPr="00EA78D0">
        <w:rPr>
          <w:i/>
          <w:iCs/>
        </w:rPr>
        <w:t>see also</w:t>
      </w:r>
      <w:r w:rsidRPr="00EA78D0">
        <w:t xml:space="preserve"> Petitioners’ Reply at 1-3.</w:t>
      </w:r>
    </w:p>
  </w:footnote>
  <w:footnote w:id="56">
    <w:p w:rsidR="0079210F" w:rsidRPr="00EA78D0" w:rsidP="00EA78D0" w14:paraId="200003EF" w14:textId="77777777">
      <w:pPr>
        <w:pStyle w:val="FootnoteText"/>
        <w:rPr>
          <w:b/>
        </w:rPr>
      </w:pPr>
      <w:r w:rsidRPr="00EA78D0">
        <w:rPr>
          <w:rStyle w:val="FootnoteReference"/>
        </w:rPr>
        <w:footnoteRef/>
      </w:r>
      <w:r w:rsidRPr="00EA78D0">
        <w:t xml:space="preserve"> </w:t>
      </w:r>
      <w:r w:rsidRPr="00EA78D0">
        <w:rPr>
          <w:i/>
          <w:iCs/>
        </w:rPr>
        <w:t>See, e.g.</w:t>
      </w:r>
      <w:r w:rsidRPr="00EA78D0">
        <w:t xml:space="preserve">, Robert Wyrzykowski, </w:t>
      </w:r>
      <w:r w:rsidRPr="00EA78D0">
        <w:t>Opensignal</w:t>
      </w:r>
      <w:r w:rsidRPr="00EA78D0">
        <w:t xml:space="preserve">, </w:t>
      </w:r>
      <w:r w:rsidRPr="00EA78D0">
        <w:rPr>
          <w:i/>
          <w:iCs/>
        </w:rPr>
        <w:t>5G Fixed Wireless Access (FWA) Succes in the US: A Roadmap for Broadband Success Elsewhere?</w:t>
      </w:r>
      <w:r w:rsidRPr="00EA78D0">
        <w:t xml:space="preserve"> (June 6, 2024), </w:t>
      </w:r>
      <w:hyperlink r:id="rId3" w:history="1">
        <w:r w:rsidRPr="00EA78D0">
          <w:rPr>
            <w:rStyle w:val="Hyperlink"/>
          </w:rPr>
          <w:t>https://insights.opensignal.com/2024/06/06/5g-fixed-wireless-access-fwa-success-in-the-us-a-roadmap-for-broadband-success-elsewhere</w:t>
        </w:r>
      </w:hyperlink>
      <w:r w:rsidRPr="00EA78D0">
        <w:t xml:space="preserve">; Sue Marek, Ookla, </w:t>
      </w:r>
      <w:r w:rsidRPr="00EA78D0">
        <w:rPr>
          <w:i/>
          <w:iCs/>
        </w:rPr>
        <w:t>Starlink’s U.S. Performance is On the Rise, Making It a Viable Broadband Option in Some States</w:t>
      </w:r>
      <w:r w:rsidRPr="00EA78D0">
        <w:t xml:space="preserve"> (June 10, 2025), </w:t>
      </w:r>
      <w:hyperlink r:id="rId4" w:history="1">
        <w:r w:rsidRPr="00EA78D0">
          <w:rPr>
            <w:rStyle w:val="Hyperlink"/>
          </w:rPr>
          <w:t>https://www.ookla.com/articles/starlink-us-performance-2025</w:t>
        </w:r>
      </w:hyperlink>
      <w:r w:rsidRPr="00EA78D0">
        <w:t>.</w:t>
      </w:r>
    </w:p>
  </w:footnote>
  <w:footnote w:id="57">
    <w:p w:rsidR="00941BEB" w:rsidRPr="00EA78D0" w:rsidP="00EA78D0" w14:paraId="01353F9A" w14:textId="0A567835">
      <w:pPr>
        <w:pStyle w:val="FootnoteText"/>
        <w:rPr>
          <w:b/>
          <w:bCs/>
        </w:rPr>
      </w:pPr>
      <w:r w:rsidRPr="00EA78D0">
        <w:rPr>
          <w:rStyle w:val="FootnoteReference"/>
        </w:rPr>
        <w:footnoteRef/>
      </w:r>
      <w:r w:rsidRPr="00EA78D0">
        <w:t xml:space="preserve"> </w:t>
      </w:r>
      <w:r w:rsidRPr="00EA78D0" w:rsidR="009E71FA">
        <w:rPr>
          <w:i/>
          <w:iCs/>
        </w:rPr>
        <w:t xml:space="preserve">See </w:t>
      </w:r>
      <w:r w:rsidRPr="00EA78D0" w:rsidR="009E71FA">
        <w:t xml:space="preserve">FCC, Office of Economics and Analytics, Internet Access Services:  Status as of December 31, 2024 at 23, Fig. 16 (Feb. 2026), </w:t>
      </w:r>
      <w:hyperlink r:id="rId5" w:history="1">
        <w:r w:rsidRPr="00EA78D0" w:rsidR="009E71FA">
          <w:rPr>
            <w:rStyle w:val="Hyperlink"/>
          </w:rPr>
          <w:t>https://docs.fcc.gov/public/attachments/DOC-418459A1.pdf</w:t>
        </w:r>
      </w:hyperlink>
      <w:r w:rsidRPr="00EA78D0" w:rsidR="009E71FA">
        <w:t xml:space="preserve">.  </w:t>
      </w:r>
      <w:r w:rsidRPr="00EA78D0">
        <w:t>In fact, an internal analysis showed that the percentage increase was even greater in those Census tracts where at least 95% of the units have cable and/or fiber service.</w:t>
      </w:r>
      <w:r w:rsidRPr="00EA78D0" w:rsidR="00A64917">
        <w:t xml:space="preserve">  Examples of a unit can include a single-family home, a townhouse, or an individual apartment within a larger apartment building.  </w:t>
      </w:r>
      <w:r w:rsidRPr="00EA78D0" w:rsidR="00A64917">
        <w:rPr>
          <w:i/>
          <w:iCs/>
        </w:rPr>
        <w:t>See, e.g.</w:t>
      </w:r>
      <w:r w:rsidRPr="00EA78D0" w:rsidR="00A64917">
        <w:t xml:space="preserve">, FCC, </w:t>
      </w:r>
      <w:r w:rsidRPr="00EA78D0" w:rsidR="00A64917">
        <w:rPr>
          <w:i/>
          <w:iCs/>
        </w:rPr>
        <w:t>About the Fabric: What a Broadband Serviceable Location (BSL) Is and Is Not</w:t>
      </w:r>
      <w:r w:rsidRPr="00EA78D0" w:rsidR="00A64917">
        <w:t xml:space="preserve"> (July 31, 2025), </w:t>
      </w:r>
      <w:hyperlink r:id="rId6" w:history="1">
        <w:r w:rsidRPr="00EA78D0" w:rsidR="0038738C">
          <w:rPr>
            <w:rStyle w:val="Hyperlink"/>
          </w:rPr>
          <w:t>https://help.bdc.fcc.gov/hc/en-us/articles/ 16842264428059-About-the-Fabric-What-a-Broadband-Serviceable-Location-BSL-Is-and-Is-Not</w:t>
        </w:r>
      </w:hyperlink>
      <w:r w:rsidRPr="00EA78D0" w:rsidR="00A64917">
        <w:t>.</w:t>
      </w:r>
    </w:p>
  </w:footnote>
  <w:footnote w:id="58">
    <w:p w:rsidR="00B92973" w:rsidRPr="00EA78D0" w:rsidP="00EA78D0" w14:paraId="0D30F9B9" w14:textId="77777777">
      <w:pPr>
        <w:pStyle w:val="FootnoteText"/>
      </w:pPr>
      <w:r w:rsidRPr="00EA78D0">
        <w:rPr>
          <w:rStyle w:val="FootnoteReference"/>
        </w:rPr>
        <w:footnoteRef/>
      </w:r>
      <w:r w:rsidRPr="00EA78D0">
        <w:t xml:space="preserve"> </w:t>
      </w:r>
      <w:r w:rsidRPr="00EA78D0">
        <w:rPr>
          <w:rFonts w:eastAsia="Calibri"/>
          <w:i/>
          <w:iCs/>
        </w:rPr>
        <w:t>Communications Marketplace Report</w:t>
      </w:r>
      <w:r w:rsidRPr="00EA78D0">
        <w:rPr>
          <w:rFonts w:eastAsia="Calibri"/>
        </w:rPr>
        <w:t>, GN Docket No. 24-119, 2024 Communications Marketplace Report, 39 FCC Rcd 14116, 14256, para. 204, Fig. II.E.1 (2024) (</w:t>
      </w:r>
      <w:r w:rsidRPr="00EA78D0">
        <w:rPr>
          <w:rFonts w:eastAsia="Calibri"/>
          <w:i/>
          <w:iCs/>
        </w:rPr>
        <w:t>2024 Communications Marketplace Report</w:t>
      </w:r>
      <w:r w:rsidRPr="00EA78D0">
        <w:rPr>
          <w:rFonts w:eastAsia="Calibri"/>
        </w:rPr>
        <w:t xml:space="preserve">); </w:t>
      </w:r>
      <w:r w:rsidRPr="00EA78D0">
        <w:rPr>
          <w:rFonts w:eastAsia="Calibri"/>
          <w:i/>
          <w:iCs/>
        </w:rPr>
        <w:t>Id.</w:t>
      </w:r>
      <w:r w:rsidRPr="00EA78D0">
        <w:rPr>
          <w:rFonts w:eastAsia="Calibri"/>
        </w:rPr>
        <w:t xml:space="preserve"> at 14288-89, para. 272, Fig. II.E.18.</w:t>
      </w:r>
    </w:p>
  </w:footnote>
  <w:footnote w:id="59">
    <w:p w:rsidR="00B92973" w:rsidRPr="00EA78D0" w:rsidP="00EA78D0" w14:paraId="2AE8D4DF" w14:textId="44B05939">
      <w:pPr>
        <w:pStyle w:val="FootnoteText"/>
      </w:pPr>
      <w:r w:rsidRPr="00EA78D0">
        <w:rPr>
          <w:rStyle w:val="FootnoteReference"/>
        </w:rPr>
        <w:footnoteRef/>
      </w:r>
      <w:r w:rsidRPr="00EA78D0">
        <w:t xml:space="preserve"> </w:t>
      </w:r>
      <w:r w:rsidRPr="00EA78D0">
        <w:rPr>
          <w:i/>
          <w:iCs/>
        </w:rPr>
        <w:t>See, e.g.</w:t>
      </w:r>
      <w:r w:rsidRPr="00EA78D0">
        <w:t xml:space="preserve">, Public Interest Statement at 11, </w:t>
      </w:r>
      <w:r w:rsidRPr="00EA78D0">
        <w:t>75;</w:t>
      </w:r>
      <w:r w:rsidRPr="00EA78D0">
        <w:t xml:space="preserve"> Fischer Decl. </w:t>
      </w:r>
      <w:r w:rsidRPr="00EA78D0" w:rsidR="00494AF1">
        <w:t xml:space="preserve">at </w:t>
      </w:r>
      <w:r w:rsidRPr="00EA78D0" w:rsidR="000F7330">
        <w:t>paras.</w:t>
      </w:r>
      <w:r w:rsidRPr="00EA78D0">
        <w:t xml:space="preserve"> </w:t>
      </w:r>
      <w:r w:rsidRPr="00EA78D0" w:rsidR="00494AF1">
        <w:t>11-12</w:t>
      </w:r>
      <w:r w:rsidRPr="00EA78D0">
        <w:t>; Keating/Orszag Decl.</w:t>
      </w:r>
      <w:r w:rsidRPr="00EA78D0" w:rsidR="00702902">
        <w:t xml:space="preserve"> at</w:t>
      </w:r>
      <w:r w:rsidRPr="00EA78D0">
        <w:t xml:space="preserve"> </w:t>
      </w:r>
      <w:r w:rsidRPr="00EA78D0" w:rsidR="00702902">
        <w:t>6-8</w:t>
      </w:r>
      <w:r w:rsidRPr="00EA78D0">
        <w:t xml:space="preserve">, </w:t>
      </w:r>
      <w:r w:rsidRPr="00EA78D0" w:rsidR="00702902">
        <w:t>37-39</w:t>
      </w:r>
      <w:r w:rsidRPr="00EA78D0">
        <w:t>.</w:t>
      </w:r>
    </w:p>
  </w:footnote>
  <w:footnote w:id="60">
    <w:p w:rsidR="00B92973" w:rsidRPr="00EA78D0" w:rsidP="00EA78D0" w14:paraId="204DC959" w14:textId="4B423E7A">
      <w:pPr>
        <w:pStyle w:val="FootnoteText"/>
      </w:pPr>
      <w:r w:rsidRPr="00EA78D0">
        <w:rPr>
          <w:rStyle w:val="FootnoteReference"/>
        </w:rPr>
        <w:footnoteRef/>
      </w:r>
      <w:r w:rsidRPr="00EA78D0">
        <w:t xml:space="preserve"> The Applicants claim that neither has “any history of significant interconnection disputes.”  Public Interest Statement at 71.  </w:t>
      </w:r>
      <w:r w:rsidRPr="00EA78D0" w:rsidR="00513ADE">
        <w:t>N</w:t>
      </w:r>
      <w:r w:rsidRPr="00EA78D0">
        <w:t>either Charter nor Cox has been the subject of a formal interconnection complaint before the FCC in the last ten years.</w:t>
      </w:r>
    </w:p>
  </w:footnote>
  <w:footnote w:id="61">
    <w:p w:rsidR="00CE1CB3" w:rsidRPr="00EA78D0" w:rsidP="00EA78D0" w14:paraId="5B89653B" w14:textId="7965F198">
      <w:pPr>
        <w:pStyle w:val="FootnoteText"/>
      </w:pPr>
      <w:r w:rsidRPr="00EA78D0">
        <w:rPr>
          <w:rStyle w:val="FootnoteReference"/>
        </w:rPr>
        <w:footnoteRef/>
      </w:r>
      <w:r w:rsidRPr="00EA78D0">
        <w:t xml:space="preserve"> Petition at 13-14; Petitioners’ Reply at 3-4.  Petitioners state that Charter and Cox have 25,503 overlapping locations in California and are the only two providers of gigabit service in 16,485 of those locations.  </w:t>
      </w:r>
      <w:r w:rsidRPr="00EA78D0">
        <w:rPr>
          <w:i/>
          <w:iCs/>
        </w:rPr>
        <w:t>Id.</w:t>
      </w:r>
    </w:p>
  </w:footnote>
  <w:footnote w:id="62">
    <w:p w:rsidR="00CE1CB3" w:rsidRPr="00EA78D0" w:rsidP="00EA78D0" w14:paraId="40FD6BDD" w14:textId="77777777">
      <w:pPr>
        <w:pStyle w:val="FootnoteText"/>
      </w:pPr>
      <w:r w:rsidRPr="00EA78D0">
        <w:rPr>
          <w:rStyle w:val="FootnoteReference"/>
        </w:rPr>
        <w:footnoteRef/>
      </w:r>
      <w:r w:rsidRPr="00EA78D0">
        <w:t xml:space="preserve"> Petition at 13-14 &amp; n.20; Petitioners’ Reply at 3-4.</w:t>
      </w:r>
    </w:p>
  </w:footnote>
  <w:footnote w:id="63">
    <w:p w:rsidR="00CE1CB3" w:rsidRPr="00EA78D0" w:rsidP="00EA78D0" w14:paraId="551FD88C" w14:textId="31291207">
      <w:pPr>
        <w:pStyle w:val="FootnoteText"/>
      </w:pPr>
      <w:r w:rsidRPr="00EA78D0">
        <w:rPr>
          <w:rStyle w:val="FootnoteReference"/>
        </w:rPr>
        <w:footnoteRef/>
      </w:r>
      <w:r w:rsidRPr="00EA78D0">
        <w:t xml:space="preserve"> Public Interest Statement at 69-71</w:t>
      </w:r>
      <w:r w:rsidRPr="00EA78D0" w:rsidR="00A91501">
        <w:t xml:space="preserve"> and </w:t>
      </w:r>
      <w:r w:rsidRPr="00EA78D0">
        <w:t>Keating/Orszag Decl.</w:t>
      </w:r>
      <w:r w:rsidRPr="00EA78D0" w:rsidR="00F92A81">
        <w:t xml:space="preserve"> </w:t>
      </w:r>
      <w:r w:rsidRPr="00EA78D0">
        <w:t xml:space="preserve">at 31-33; Applicants’ Reply at 7-14.  Numerous commenters also echo the Applicants’ claim that the market for broadband services is competitive.  </w:t>
      </w:r>
      <w:r w:rsidRPr="00EA78D0">
        <w:rPr>
          <w:i/>
          <w:iCs/>
        </w:rPr>
        <w:t>See, e.g.</w:t>
      </w:r>
      <w:r w:rsidRPr="00EA78D0">
        <w:t>, ACI Comments at 3; ACLP Comments at 2-3; CFIF Comments at 1; Digital Liberty Comments at 2; FSF Comments at 3-5; ICLE Comments at 4-5, 16-17; ITIF Comments at 2; James Madison Comments at 2-3; Westling Comments at 5; JobsOhio Comments at 2; Mackinac Comments at 1; NCFEE Comments at 1; Pelican Institute Comments at 1; TPA Comments at 1; ACLP Reply at 2; CEI Reply at 2; FSF Reply at 5-8.</w:t>
      </w:r>
    </w:p>
  </w:footnote>
  <w:footnote w:id="64">
    <w:p w:rsidR="00F96C15" w:rsidRPr="00EA78D0" w:rsidP="00EA78D0" w14:paraId="5A55AD63" w14:textId="324E3756">
      <w:pPr>
        <w:pStyle w:val="FootnoteText"/>
      </w:pPr>
      <w:r w:rsidRPr="00EA78D0">
        <w:rPr>
          <w:rStyle w:val="FootnoteReference"/>
        </w:rPr>
        <w:footnoteRef/>
      </w:r>
      <w:r w:rsidRPr="00EA78D0">
        <w:t xml:space="preserve"> Petition at 1-9</w:t>
      </w:r>
      <w:r w:rsidRPr="00EA78D0" w:rsidR="00E76697">
        <w:t>; 12-17.</w:t>
      </w:r>
    </w:p>
  </w:footnote>
  <w:footnote w:id="65">
    <w:p w:rsidR="00F96C15" w:rsidRPr="00EA78D0" w:rsidP="00EA78D0" w14:paraId="23E9A19B" w14:textId="77777777">
      <w:pPr>
        <w:pStyle w:val="FootnoteText"/>
      </w:pPr>
      <w:r w:rsidRPr="00EA78D0">
        <w:rPr>
          <w:rStyle w:val="FootnoteReference"/>
        </w:rPr>
        <w:footnoteRef/>
      </w:r>
      <w:r w:rsidRPr="00EA78D0">
        <w:t xml:space="preserve"> Staff analysis of June 2025 BDC data.</w:t>
      </w:r>
    </w:p>
  </w:footnote>
  <w:footnote w:id="66">
    <w:p w:rsidR="00F96C15" w:rsidRPr="00EA78D0" w:rsidP="00EA78D0" w14:paraId="54E98DB3" w14:textId="77777777">
      <w:pPr>
        <w:pStyle w:val="FootnoteText"/>
      </w:pPr>
      <w:r w:rsidRPr="00EA78D0">
        <w:rPr>
          <w:rStyle w:val="FootnoteReference"/>
        </w:rPr>
        <w:footnoteRef/>
      </w:r>
      <w:r w:rsidRPr="00EA78D0">
        <w:t xml:space="preserve"> Staff analysis of June 2025 BDC data.  </w:t>
      </w:r>
      <w:r w:rsidRPr="00EA78D0">
        <w:t xml:space="preserve">If </w:t>
      </w:r>
      <w:r w:rsidRPr="00EA78D0">
        <w:t xml:space="preserve">fixed wireless and satellite providers are omitted, 52% of overlap locations have at least one other wireline (e.g., copper, cable, or fiber) provider offering service of at least 100/20 Mbps.  </w:t>
      </w:r>
      <w:r w:rsidRPr="00EA78D0">
        <w:rPr>
          <w:i/>
          <w:iCs/>
        </w:rPr>
        <w:t>Id.</w:t>
      </w:r>
    </w:p>
  </w:footnote>
  <w:footnote w:id="67">
    <w:p w:rsidR="00F96C15" w:rsidRPr="00EA78D0" w:rsidP="00EA78D0" w14:paraId="1EEDF66E" w14:textId="6DE7B74C">
      <w:pPr>
        <w:pStyle w:val="FootnoteText"/>
      </w:pPr>
      <w:r w:rsidRPr="00EA78D0">
        <w:rPr>
          <w:rStyle w:val="FootnoteReference"/>
        </w:rPr>
        <w:footnoteRef/>
      </w:r>
      <w:r w:rsidRPr="00EA78D0">
        <w:t xml:space="preserve"> Petition at 6</w:t>
      </w:r>
      <w:r w:rsidRPr="00EA78D0" w:rsidR="00BE0D7C">
        <w:t>, 13</w:t>
      </w:r>
      <w:r w:rsidRPr="00EA78D0">
        <w:t xml:space="preserve">.  </w:t>
      </w:r>
      <w:r w:rsidRPr="00EA78D0">
        <w:rPr>
          <w:i/>
          <w:iCs/>
        </w:rPr>
        <w:t xml:space="preserve">See </w:t>
      </w:r>
      <w:r w:rsidRPr="00EA78D0">
        <w:t>Applicants</w:t>
      </w:r>
      <w:r w:rsidRPr="00EA78D0" w:rsidR="00D03C00">
        <w:t>’</w:t>
      </w:r>
      <w:r w:rsidRPr="00EA78D0">
        <w:t xml:space="preserve"> Reply at 8 (stating that “today, gigabit service is available from a competitor at more than half of all mass-market locations serviceable by Charter and Cox, and Charter lost approximately 780,000 residential broadband subscribers between the fourth quarter of 2023 and the third quarter of 2025).  </w:t>
      </w:r>
      <w:r w:rsidRPr="00EA78D0" w:rsidR="00F532C8">
        <w:t>ICLE</w:t>
      </w:r>
      <w:r w:rsidRPr="00EA78D0" w:rsidR="00992B22">
        <w:t xml:space="preserve"> Comments at 20-21 (the Transaction will lead to important technology benefits, including by “expanding gigabit and multi-gigabit capabilities, and accelerating deployment of the DOCSIS 4.0 internet-communications standard,” as well as through “product-offering innovations” like converged mobile and broadband bundles.”); </w:t>
      </w:r>
      <w:r w:rsidRPr="00EA78D0" w:rsidR="00992B22">
        <w:rPr>
          <w:i/>
          <w:iCs/>
        </w:rPr>
        <w:t xml:space="preserve">see also </w:t>
      </w:r>
      <w:r w:rsidRPr="00EA78D0" w:rsidR="00992B22">
        <w:t>Public Interest Statement</w:t>
      </w:r>
      <w:r w:rsidRPr="00EA78D0" w:rsidR="00992B22">
        <w:rPr>
          <w:i/>
          <w:iCs/>
        </w:rPr>
        <w:t xml:space="preserve"> </w:t>
      </w:r>
      <w:r w:rsidRPr="00EA78D0" w:rsidR="00992B22">
        <w:t>at 27-36.</w:t>
      </w:r>
      <w:r w:rsidRPr="00EA78D0" w:rsidR="005C7208">
        <w:t xml:space="preserve">  </w:t>
      </w:r>
      <w:r w:rsidRPr="00EA78D0" w:rsidR="00DF6F46">
        <w:t xml:space="preserve">In addition, increased competitive pressure from fixed wireless and satellite providers, as evidenced by the growth in the number of fixed wireless and satellite connections in areas where cable and fiber providers are present, indicate that consumers have additional options for high-speed service in many locations.  </w:t>
      </w:r>
      <w:r w:rsidRPr="00EA78D0" w:rsidR="00DF6F46">
        <w:rPr>
          <w:i/>
          <w:iCs/>
        </w:rPr>
        <w:t>See</w:t>
      </w:r>
      <w:r w:rsidRPr="00EA78D0" w:rsidR="00DF6F46">
        <w:t xml:space="preserve"> </w:t>
      </w:r>
      <w:r w:rsidRPr="00EA78D0" w:rsidR="009320ED">
        <w:rPr>
          <w:i/>
          <w:iCs/>
        </w:rPr>
        <w:t>supra</w:t>
      </w:r>
      <w:r w:rsidRPr="00EA78D0" w:rsidR="00DF6F46">
        <w:t xml:space="preserve"> para. </w:t>
      </w:r>
      <w:r w:rsidRPr="00EA78D0" w:rsidR="009320ED">
        <w:t>1</w:t>
      </w:r>
      <w:r w:rsidRPr="00EA78D0" w:rsidR="00D45965">
        <w:t>6</w:t>
      </w:r>
      <w:r w:rsidRPr="00EA78D0" w:rsidR="00DF6F46">
        <w:t>.</w:t>
      </w:r>
    </w:p>
  </w:footnote>
  <w:footnote w:id="68">
    <w:p w:rsidR="00AB32B6" w:rsidRPr="00EA78D0" w:rsidP="00EA78D0" w14:paraId="187679B9" w14:textId="42C338F0">
      <w:pPr>
        <w:pStyle w:val="FootnoteText"/>
        <w:rPr>
          <w:i/>
          <w:iCs/>
        </w:rPr>
      </w:pPr>
      <w:r w:rsidRPr="00EA78D0">
        <w:rPr>
          <w:rStyle w:val="FootnoteReference"/>
        </w:rPr>
        <w:footnoteRef/>
      </w:r>
      <w:r w:rsidRPr="00EA78D0" w:rsidR="00F81260">
        <w:t xml:space="preserve"> Letter from </w:t>
      </w:r>
      <w:r w:rsidR="0057485D">
        <w:t>Elizabeth</w:t>
      </w:r>
      <w:r w:rsidR="00E11EC2">
        <w:t xml:space="preserve"> Andrion</w:t>
      </w:r>
      <w:r w:rsidR="002E757F">
        <w:t>, Senior Vice President</w:t>
      </w:r>
      <w:r w:rsidR="00D761F4">
        <w:t xml:space="preserve">, </w:t>
      </w:r>
      <w:r w:rsidR="002E757F">
        <w:t>Regulatory Affairs</w:t>
      </w:r>
      <w:r w:rsidRPr="00EA78D0" w:rsidR="00F81260">
        <w:t xml:space="preserve">, to </w:t>
      </w:r>
      <w:r w:rsidR="00D761F4">
        <w:t xml:space="preserve">Marlene H. Dortch, Secretary, </w:t>
      </w:r>
      <w:r w:rsidRPr="00EA78D0" w:rsidR="00F81260">
        <w:t>FCC, WC Docket No. 25-233</w:t>
      </w:r>
      <w:r w:rsidRPr="00EA78D0" w:rsidR="009F5280">
        <w:t xml:space="preserve"> at </w:t>
      </w:r>
      <w:r w:rsidRPr="00EA78D0" w:rsidR="00382F59">
        <w:t>2</w:t>
      </w:r>
      <w:r w:rsidR="00447BFD">
        <w:t>,</w:t>
      </w:r>
      <w:r w:rsidRPr="00EA78D0" w:rsidR="00382F59">
        <w:t xml:space="preserve"> n.6</w:t>
      </w:r>
      <w:r w:rsidRPr="00EA78D0" w:rsidR="00F81260">
        <w:t xml:space="preserve"> (filed </w:t>
      </w:r>
      <w:r w:rsidR="00933C22">
        <w:t>Feb. 2</w:t>
      </w:r>
      <w:r w:rsidR="00233BC6">
        <w:t>7</w:t>
      </w:r>
      <w:r w:rsidR="00933C22">
        <w:t>, 2026</w:t>
      </w:r>
      <w:r w:rsidRPr="00EA78D0" w:rsidR="00F81260">
        <w:t>)</w:t>
      </w:r>
      <w:r w:rsidRPr="00EA78D0" w:rsidR="00A36BCC">
        <w:t xml:space="preserve"> (</w:t>
      </w:r>
      <w:r w:rsidR="000466F8">
        <w:t>explaining</w:t>
      </w:r>
      <w:r w:rsidRPr="00EA78D0" w:rsidR="00A36BCC">
        <w:t xml:space="preserve"> that </w:t>
      </w:r>
      <w:r w:rsidRPr="00EA78D0" w:rsidR="00FF21C7">
        <w:t>“</w:t>
      </w:r>
      <w:r w:rsidRPr="00EA78D0" w:rsidR="00A36BCC">
        <w:t xml:space="preserve">Charter’s </w:t>
      </w:r>
      <w:r w:rsidRPr="00EA78D0" w:rsidR="00FF21C7">
        <w:t xml:space="preserve">Rural Construction Initiative includes </w:t>
      </w:r>
      <w:r w:rsidRPr="00EA78D0" w:rsidR="00830899">
        <w:t>its participation as a part</w:t>
      </w:r>
      <w:r w:rsidRPr="00EA78D0" w:rsidR="00D13900">
        <w:t>n</w:t>
      </w:r>
      <w:r w:rsidRPr="00EA78D0" w:rsidR="00830899">
        <w:t>er to the Commission in the [</w:t>
      </w:r>
      <w:r w:rsidRPr="00EA78D0" w:rsidR="00A36BCC">
        <w:t>RDOF</w:t>
      </w:r>
      <w:r w:rsidRPr="00EA78D0" w:rsidR="00830899">
        <w:t>] program, with a buildout spanning 24 states that will connect approximately one million locations.”)</w:t>
      </w:r>
      <w:r w:rsidRPr="00EA78D0" w:rsidR="003E5EA1">
        <w:t xml:space="preserve"> (</w:t>
      </w:r>
      <w:r w:rsidRPr="009A5371" w:rsidR="003E5EA1">
        <w:rPr>
          <w:i/>
          <w:iCs/>
        </w:rPr>
        <w:t>Charter Rural Commitment Letter</w:t>
      </w:r>
      <w:r w:rsidRPr="00EA78D0" w:rsidR="003E5EA1">
        <w:t>)</w:t>
      </w:r>
      <w:r w:rsidRPr="00EA78D0" w:rsidR="00F81260">
        <w:t>.</w:t>
      </w:r>
    </w:p>
  </w:footnote>
  <w:footnote w:id="69">
    <w:p w:rsidR="00B92973" w:rsidRPr="00EA78D0" w:rsidP="00EA78D0" w14:paraId="60C7D9D4" w14:textId="3C5CF896">
      <w:pPr>
        <w:pStyle w:val="FootnoteText"/>
      </w:pPr>
      <w:r w:rsidRPr="00EA78D0">
        <w:rPr>
          <w:rStyle w:val="FootnoteReference"/>
        </w:rPr>
        <w:footnoteRef/>
      </w:r>
      <w:r w:rsidRPr="00EA78D0">
        <w:t xml:space="preserve"> Petition at 12.</w:t>
      </w:r>
    </w:p>
  </w:footnote>
  <w:footnote w:id="70">
    <w:p w:rsidR="00B92973" w:rsidRPr="00EA78D0" w:rsidP="00EA78D0" w14:paraId="6DFC8490" w14:textId="187AE160">
      <w:pPr>
        <w:pStyle w:val="FootnoteText"/>
      </w:pPr>
      <w:r w:rsidRPr="00EA78D0">
        <w:rPr>
          <w:rStyle w:val="FootnoteReference"/>
        </w:rPr>
        <w:footnoteRef/>
      </w:r>
      <w:r w:rsidRPr="00EA78D0">
        <w:t xml:space="preserve"> </w:t>
      </w:r>
      <w:r w:rsidRPr="00EA78D0" w:rsidR="00147F1F">
        <w:t xml:space="preserve">Petitioners’ </w:t>
      </w:r>
      <w:r w:rsidRPr="00EA78D0">
        <w:t>Reply at 4.</w:t>
      </w:r>
    </w:p>
  </w:footnote>
  <w:footnote w:id="71">
    <w:p w:rsidR="00B92973" w:rsidRPr="00EA78D0" w:rsidP="00EA78D0" w14:paraId="0B766D65" w14:textId="02A5A5C3">
      <w:pPr>
        <w:pStyle w:val="FootnoteText"/>
      </w:pPr>
      <w:r w:rsidRPr="00EA78D0">
        <w:rPr>
          <w:rStyle w:val="FootnoteReference"/>
        </w:rPr>
        <w:footnoteRef/>
      </w:r>
      <w:r w:rsidRPr="00EA78D0">
        <w:t xml:space="preserve"> Petition at 13; </w:t>
      </w:r>
      <w:r w:rsidRPr="00EA78D0">
        <w:rPr>
          <w:i/>
          <w:iCs/>
        </w:rPr>
        <w:t xml:space="preserve">see also </w:t>
      </w:r>
      <w:r w:rsidRPr="00EA78D0">
        <w:t>P</w:t>
      </w:r>
      <w:r w:rsidRPr="00EA78D0" w:rsidR="00016F05">
        <w:t>etitioners’</w:t>
      </w:r>
      <w:r w:rsidRPr="00EA78D0">
        <w:t xml:space="preserve"> Reply at 4.</w:t>
      </w:r>
    </w:p>
  </w:footnote>
  <w:footnote w:id="72">
    <w:p w:rsidR="00B92973" w:rsidRPr="00EA78D0" w:rsidP="00EA78D0" w14:paraId="594F7084" w14:textId="77777777">
      <w:pPr>
        <w:pStyle w:val="FootnoteText"/>
      </w:pPr>
      <w:r w:rsidRPr="00EA78D0">
        <w:rPr>
          <w:rStyle w:val="FootnoteReference"/>
        </w:rPr>
        <w:footnoteRef/>
      </w:r>
      <w:r w:rsidRPr="00EA78D0">
        <w:t xml:space="preserve"> </w:t>
      </w:r>
      <w:r w:rsidRPr="00EA78D0">
        <w:rPr>
          <w:i/>
          <w:iCs/>
        </w:rPr>
        <w:t>See, e.g.</w:t>
      </w:r>
      <w:r w:rsidRPr="00EA78D0">
        <w:t xml:space="preserve">, </w:t>
      </w:r>
      <w:r w:rsidRPr="00EA78D0">
        <w:rPr>
          <w:rFonts w:eastAsia="Calibri"/>
          <w:i/>
          <w:iCs/>
        </w:rPr>
        <w:t>2024 Communications Marketplace Report</w:t>
      </w:r>
      <w:r w:rsidRPr="00EA78D0">
        <w:rPr>
          <w:rFonts w:eastAsia="Calibri"/>
        </w:rPr>
        <w:t>, 39 FCC Rcd at 14255, para. 203 (“</w:t>
      </w:r>
      <w:r w:rsidRPr="00EA78D0">
        <w:t>Cable MVPDs generally serve non-overlapping franchise areas; consequently, most consumers have access to one cable MVPD only, and cable MVPDs do not generally compete directly with one another for the same subscribers.”).</w:t>
      </w:r>
    </w:p>
  </w:footnote>
  <w:footnote w:id="73">
    <w:p w:rsidR="00C33D2B" w:rsidRPr="00EA78D0" w:rsidP="00EA78D0" w14:paraId="232EFD7B" w14:textId="4132D232">
      <w:pPr>
        <w:pStyle w:val="FootnoteText"/>
      </w:pPr>
      <w:r w:rsidRPr="00EA78D0">
        <w:rPr>
          <w:rStyle w:val="FootnoteReference"/>
        </w:rPr>
        <w:footnoteRef/>
      </w:r>
      <w:r w:rsidRPr="00EA78D0">
        <w:t xml:space="preserve"> By contrast, see, </w:t>
      </w:r>
      <w:r w:rsidRPr="00EA78D0">
        <w:rPr>
          <w:i/>
          <w:iCs/>
        </w:rPr>
        <w:t>e.g</w:t>
      </w:r>
      <w:r w:rsidRPr="00EA78D0" w:rsidR="001B5C41">
        <w:rPr>
          <w:i/>
          <w:iCs/>
        </w:rPr>
        <w:t>.</w:t>
      </w:r>
      <w:r w:rsidRPr="00EA78D0">
        <w:t xml:space="preserve">, B. Douglas Bernheim &amp; Michael D. </w:t>
      </w:r>
      <w:r w:rsidRPr="00EA78D0">
        <w:t>Whinston</w:t>
      </w:r>
      <w:r w:rsidRPr="00EA78D0">
        <w:t xml:space="preserve">, </w:t>
      </w:r>
      <w:r w:rsidRPr="00EA78D0">
        <w:rPr>
          <w:i/>
          <w:iCs/>
        </w:rPr>
        <w:t xml:space="preserve">Multimarket Contact and Collusive Behavior, </w:t>
      </w:r>
      <w:r w:rsidRPr="00EA78D0">
        <w:t xml:space="preserve">21 RAND J. Econ. 1 (1990); Federico Ciliberto &amp; Jonathan W. Williams, </w:t>
      </w:r>
      <w:r w:rsidRPr="00EA78D0">
        <w:rPr>
          <w:i/>
          <w:iCs/>
        </w:rPr>
        <w:t xml:space="preserve">Does Multimarket Contact Facilitate Tacit Collusion?  Inference on Conduct Parameters in the Airline Industry, </w:t>
      </w:r>
      <w:r w:rsidRPr="00EA78D0">
        <w:t>45 RAND J. Econ. 764 (2014).</w:t>
      </w:r>
    </w:p>
  </w:footnote>
  <w:footnote w:id="74">
    <w:p w:rsidR="00B92973" w:rsidRPr="00EA78D0" w:rsidP="00EA78D0" w14:paraId="1BB4563A" w14:textId="18432E00">
      <w:pPr>
        <w:pStyle w:val="FootnoteText"/>
      </w:pPr>
      <w:r w:rsidRPr="00EA78D0">
        <w:rPr>
          <w:rStyle w:val="FootnoteReference"/>
        </w:rPr>
        <w:footnoteRef/>
      </w:r>
      <w:r w:rsidRPr="00EA78D0">
        <w:t xml:space="preserve"> Petition at 19-21; </w:t>
      </w:r>
      <w:r w:rsidRPr="00EA78D0">
        <w:rPr>
          <w:i/>
          <w:iCs/>
        </w:rPr>
        <w:t>see also</w:t>
      </w:r>
      <w:r w:rsidRPr="00EA78D0">
        <w:t xml:space="preserve"> P</w:t>
      </w:r>
      <w:r w:rsidRPr="00EA78D0" w:rsidR="00D32DE7">
        <w:t>etitioners’</w:t>
      </w:r>
      <w:r w:rsidRPr="00EA78D0">
        <w:t xml:space="preserve"> Reply at 9-10.</w:t>
      </w:r>
    </w:p>
  </w:footnote>
  <w:footnote w:id="75">
    <w:p w:rsidR="00E664EB" w:rsidRPr="00EA78D0" w:rsidP="00EA78D0" w14:paraId="4710D3B4" w14:textId="1946B4E4">
      <w:pPr>
        <w:pStyle w:val="FootnoteText"/>
      </w:pPr>
      <w:r w:rsidRPr="00EA78D0">
        <w:rPr>
          <w:rStyle w:val="FootnoteReference"/>
        </w:rPr>
        <w:footnoteRef/>
      </w:r>
      <w:r w:rsidRPr="00EA78D0">
        <w:t xml:space="preserve"> </w:t>
      </w:r>
      <w:r w:rsidRPr="00EA78D0">
        <w:rPr>
          <w:i/>
          <w:iCs/>
        </w:rPr>
        <w:t>See</w:t>
      </w:r>
      <w:r w:rsidRPr="00EA78D0" w:rsidR="0039748A">
        <w:rPr>
          <w:i/>
        </w:rPr>
        <w:t xml:space="preserve"> CenturyLink-Level 3 Order</w:t>
      </w:r>
      <w:r w:rsidRPr="00EA78D0">
        <w:t xml:space="preserve">, 32 FCC Rcd </w:t>
      </w:r>
      <w:r w:rsidRPr="00EA78D0" w:rsidR="0039748A">
        <w:t xml:space="preserve">at </w:t>
      </w:r>
      <w:r w:rsidRPr="00EA78D0">
        <w:t xml:space="preserve">9586, para. 9 </w:t>
      </w:r>
      <w:r w:rsidRPr="00EA78D0" w:rsidR="00A11924">
        <w:t>(“the Commission has repeatedly held that it will impose conditions ‘only to remedy harms that arise from the transaction (i.e., transaction-specific harms)’ and ‘related to the Commission's responsibilities under the Communications Act and related statutes,’ and it ‘will not impose conditions to remedy pre-existing harms or harms that are unrelated to the transaction.’”)</w:t>
      </w:r>
      <w:r w:rsidRPr="00EA78D0" w:rsidR="000A4BCF">
        <w:t>.</w:t>
      </w:r>
      <w:r w:rsidRPr="00EA78D0">
        <w:t xml:space="preserve"> </w:t>
      </w:r>
    </w:p>
  </w:footnote>
  <w:footnote w:id="76">
    <w:p w:rsidR="00B92973" w:rsidRPr="00EA78D0" w:rsidP="00EA78D0" w14:paraId="705CB99F" w14:textId="1DFD76D7">
      <w:pPr>
        <w:pStyle w:val="FootnoteText"/>
      </w:pPr>
      <w:r w:rsidRPr="00EA78D0">
        <w:rPr>
          <w:rStyle w:val="FootnoteReference"/>
        </w:rPr>
        <w:footnoteRef/>
      </w:r>
      <w:r w:rsidRPr="00EA78D0">
        <w:t xml:space="preserve"> Petition at 22-27; </w:t>
      </w:r>
      <w:r w:rsidRPr="00EA78D0">
        <w:rPr>
          <w:i/>
          <w:iCs/>
        </w:rPr>
        <w:t>see also</w:t>
      </w:r>
      <w:r w:rsidRPr="00EA78D0">
        <w:t xml:space="preserve"> </w:t>
      </w:r>
      <w:r w:rsidRPr="00EA78D0" w:rsidR="0000436A">
        <w:t>Petitioners’</w:t>
      </w:r>
      <w:r w:rsidRPr="00EA78D0">
        <w:t xml:space="preserve"> Reply at 8-9.</w:t>
      </w:r>
    </w:p>
  </w:footnote>
  <w:footnote w:id="77">
    <w:p w:rsidR="00E647F3" w:rsidRPr="00EA78D0" w:rsidP="00EA78D0" w14:paraId="0AE766BF" w14:textId="0BF65FAC">
      <w:pPr>
        <w:pStyle w:val="FootnoteText"/>
      </w:pPr>
      <w:r w:rsidRPr="00EA78D0">
        <w:rPr>
          <w:rStyle w:val="FootnoteReference"/>
        </w:rPr>
        <w:footnoteRef/>
      </w:r>
      <w:r w:rsidRPr="00EA78D0">
        <w:t xml:space="preserve"> Fischer</w:t>
      </w:r>
      <w:r w:rsidRPr="00EA78D0" w:rsidR="0011434B">
        <w:t xml:space="preserve"> </w:t>
      </w:r>
      <w:r w:rsidRPr="00EA78D0">
        <w:t>Decl</w:t>
      </w:r>
      <w:r w:rsidRPr="00EA78D0" w:rsidR="0011434B">
        <w:t>.</w:t>
      </w:r>
      <w:r w:rsidRPr="00EA78D0">
        <w:t xml:space="preserve"> at </w:t>
      </w:r>
      <w:r w:rsidRPr="00EA78D0" w:rsidR="009C27B9">
        <w:t>15</w:t>
      </w:r>
      <w:r w:rsidRPr="00EA78D0" w:rsidR="005B5C6A">
        <w:t xml:space="preserve">; </w:t>
      </w:r>
      <w:r w:rsidRPr="00EA78D0" w:rsidR="002037CA">
        <w:t>Applicants’ Reply</w:t>
      </w:r>
      <w:r w:rsidRPr="00EA78D0" w:rsidR="00CC7252">
        <w:t xml:space="preserve">, </w:t>
      </w:r>
      <w:r w:rsidRPr="00EA78D0" w:rsidR="00CC7252">
        <w:t>Exh</w:t>
      </w:r>
      <w:r w:rsidRPr="00EA78D0" w:rsidR="00CC7252">
        <w:t>. A (Decl</w:t>
      </w:r>
      <w:r w:rsidRPr="00EA78D0" w:rsidR="008A4D9B">
        <w:t>.</w:t>
      </w:r>
      <w:r w:rsidRPr="00EA78D0" w:rsidR="00CC7252">
        <w:t xml:space="preserve"> of Jessica Fischer) </w:t>
      </w:r>
      <w:r w:rsidRPr="00EA78D0" w:rsidR="00116EA3">
        <w:t xml:space="preserve">(Fischer Reply Decl.) </w:t>
      </w:r>
      <w:r w:rsidRPr="00EA78D0" w:rsidR="00CC7252">
        <w:t>at 1</w:t>
      </w:r>
      <w:r w:rsidRPr="00EA78D0">
        <w:t>.</w:t>
      </w:r>
      <w:r w:rsidRPr="00EA78D0" w:rsidR="00D73C4B">
        <w:t xml:space="preserve">  </w:t>
      </w:r>
      <w:r w:rsidRPr="00EA78D0" w:rsidR="00E04239">
        <w:rPr>
          <w:i/>
          <w:iCs/>
        </w:rPr>
        <w:t>See also</w:t>
      </w:r>
      <w:r w:rsidRPr="00EA78D0" w:rsidR="00E04239">
        <w:t xml:space="preserve"> </w:t>
      </w:r>
      <w:r w:rsidRPr="00EA78D0" w:rsidR="00344C97">
        <w:t xml:space="preserve">Letter from </w:t>
      </w:r>
      <w:r w:rsidR="00344C97">
        <w:t>Elizabeth Andrion, Senior Vice President, Regulatory Affairs</w:t>
      </w:r>
      <w:r w:rsidRPr="00EA78D0" w:rsidR="00344C97">
        <w:t xml:space="preserve">, to </w:t>
      </w:r>
      <w:r w:rsidR="00344C97">
        <w:t xml:space="preserve">Marlene H. Dortch, Secretary, </w:t>
      </w:r>
      <w:r w:rsidRPr="00EA78D0" w:rsidR="00344C97">
        <w:t>FCC, WC Docket No. 25-233</w:t>
      </w:r>
      <w:r w:rsidR="002E5882">
        <w:t xml:space="preserve"> at </w:t>
      </w:r>
      <w:r w:rsidR="00D62CF0">
        <w:t>1-4</w:t>
      </w:r>
      <w:r w:rsidRPr="00EA78D0" w:rsidR="00344C97">
        <w:t xml:space="preserve"> (filed </w:t>
      </w:r>
      <w:r w:rsidR="00344C97">
        <w:t>Feb. 2</w:t>
      </w:r>
      <w:r w:rsidR="00233BC6">
        <w:t>7</w:t>
      </w:r>
      <w:r w:rsidR="00344C97">
        <w:t>, 2026</w:t>
      </w:r>
      <w:r w:rsidRPr="00EA78D0" w:rsidR="00344C97">
        <w:t>)</w:t>
      </w:r>
      <w:r w:rsidRPr="00EA78D0" w:rsidR="00E04239">
        <w:t xml:space="preserve"> </w:t>
      </w:r>
      <w:r w:rsidRPr="00EA78D0" w:rsidR="00D73C4B">
        <w:t>(</w:t>
      </w:r>
      <w:r w:rsidRPr="00EA78D0" w:rsidR="00D73C4B">
        <w:rPr>
          <w:i/>
          <w:iCs/>
        </w:rPr>
        <w:t>Charter Workforce Letter</w:t>
      </w:r>
      <w:r w:rsidRPr="00EA78D0" w:rsidR="00D73C4B">
        <w:t>).</w:t>
      </w:r>
    </w:p>
  </w:footnote>
  <w:footnote w:id="78">
    <w:p w:rsidR="00B92973" w:rsidRPr="00EA78D0" w:rsidP="00EA78D0" w14:paraId="3049FEB3" w14:textId="77777777">
      <w:pPr>
        <w:pStyle w:val="FootnoteText"/>
      </w:pPr>
      <w:r w:rsidRPr="00EA78D0">
        <w:rPr>
          <w:rStyle w:val="FootnoteReference"/>
        </w:rPr>
        <w:footnoteRef/>
      </w:r>
      <w:r w:rsidRPr="00EA78D0">
        <w:t xml:space="preserve"> </w:t>
      </w:r>
      <w:r w:rsidRPr="00EA78D0">
        <w:t>Ziply</w:t>
      </w:r>
      <w:r w:rsidRPr="00EA78D0">
        <w:t xml:space="preserve"> Comments at 1-2.</w:t>
      </w:r>
    </w:p>
  </w:footnote>
  <w:footnote w:id="79">
    <w:p w:rsidR="00B92973" w:rsidRPr="00EA78D0" w:rsidP="00EA78D0" w14:paraId="21BCEF46" w14:textId="34518704">
      <w:pPr>
        <w:pStyle w:val="FootnoteText"/>
      </w:pPr>
      <w:r w:rsidRPr="00EA78D0">
        <w:rPr>
          <w:rStyle w:val="FootnoteReference"/>
        </w:rPr>
        <w:footnoteRef/>
      </w:r>
      <w:r w:rsidRPr="00EA78D0">
        <w:t xml:space="preserve"> </w:t>
      </w:r>
      <w:r w:rsidRPr="00EA78D0" w:rsidR="002D5300">
        <w:t>Applicants’ Reply</w:t>
      </w:r>
      <w:r w:rsidRPr="00EA78D0">
        <w:t xml:space="preserve"> at 26-27</w:t>
      </w:r>
      <w:r w:rsidRPr="00EA78D0" w:rsidR="00B52C8A">
        <w:t>; Fischer</w:t>
      </w:r>
      <w:r w:rsidRPr="00EA78D0" w:rsidR="00116EA3">
        <w:t xml:space="preserve"> Reply Decl.</w:t>
      </w:r>
      <w:r w:rsidRPr="00EA78D0" w:rsidR="00B52C8A">
        <w:t xml:space="preserve"> at </w:t>
      </w:r>
      <w:r w:rsidRPr="00EA78D0" w:rsidR="00A66633">
        <w:t xml:space="preserve">1 </w:t>
      </w:r>
      <w:r w:rsidRPr="00EA78D0" w:rsidR="00971394">
        <w:t>(</w:t>
      </w:r>
      <w:r w:rsidRPr="00EA78D0" w:rsidR="00A66633">
        <w:t xml:space="preserve">stating that </w:t>
      </w:r>
      <w:r w:rsidRPr="00EA78D0" w:rsidR="00326E0F">
        <w:t xml:space="preserve">Charter </w:t>
      </w:r>
      <w:r w:rsidRPr="00EA78D0" w:rsidR="00971394">
        <w:t xml:space="preserve">does not offer dark fiber capacity on </w:t>
      </w:r>
      <w:r w:rsidRPr="00EA78D0" w:rsidR="00971394">
        <w:t>Ziply’s</w:t>
      </w:r>
      <w:r w:rsidRPr="00EA78D0" w:rsidR="00971394">
        <w:t xml:space="preserve"> requested routes and does not have facilities in all locations </w:t>
      </w:r>
      <w:r w:rsidRPr="00EA78D0" w:rsidR="00971394">
        <w:t>Ziply</w:t>
      </w:r>
      <w:r w:rsidRPr="00EA78D0" w:rsidR="00971394">
        <w:t xml:space="preserve"> identified)</w:t>
      </w:r>
      <w:r w:rsidRPr="00EA78D0">
        <w:t>.</w:t>
      </w:r>
    </w:p>
  </w:footnote>
  <w:footnote w:id="80">
    <w:p w:rsidR="006747FD" w:rsidRPr="00EA78D0" w:rsidP="00EA78D0" w14:paraId="429E9E70" w14:textId="4E099BCC">
      <w:pPr>
        <w:pStyle w:val="FootnoteText"/>
      </w:pPr>
      <w:r w:rsidRPr="00EA78D0">
        <w:rPr>
          <w:rStyle w:val="FootnoteReference"/>
        </w:rPr>
        <w:footnoteRef/>
      </w:r>
      <w:r w:rsidRPr="00EA78D0">
        <w:t xml:space="preserve"> </w:t>
      </w:r>
      <w:r w:rsidRPr="00EA78D0">
        <w:rPr>
          <w:i/>
          <w:iCs/>
          <w:snapToGrid w:val="0"/>
          <w:color w:val="1F1F1F"/>
          <w:kern w:val="28"/>
          <w:bdr w:val="none" w:sz="0" w:space="0" w:color="auto" w:frame="1"/>
          <w:shd w:val="clear" w:color="auto" w:fill="FFFFFF"/>
        </w:rPr>
        <w:t>See, e.g.</w:t>
      </w:r>
      <w:r w:rsidRPr="00EA78D0" w:rsidR="006F3CAB">
        <w:rPr>
          <w:snapToGrid w:val="0"/>
          <w:color w:val="1F1F1F"/>
          <w:kern w:val="28"/>
          <w:bdr w:val="none" w:sz="0" w:space="0" w:color="auto" w:frame="1"/>
          <w:shd w:val="clear" w:color="auto" w:fill="FFFFFF"/>
        </w:rPr>
        <w:t xml:space="preserve">, </w:t>
      </w:r>
      <w:r w:rsidRPr="00EA78D0" w:rsidR="006F3CAB">
        <w:rPr>
          <w:snapToGrid w:val="0"/>
          <w:color w:val="1F1F1F"/>
          <w:kern w:val="28"/>
          <w:shd w:val="clear" w:color="auto" w:fill="FFFFFF"/>
        </w:rPr>
        <w:t xml:space="preserve">CenturyLink-Level 3 Order, 32 FCC Rcd at 9601, para. 42 </w:t>
      </w:r>
      <w:r w:rsidRPr="00EA78D0">
        <w:rPr>
          <w:snapToGrid w:val="0"/>
          <w:color w:val="1F1F1F"/>
          <w:kern w:val="28"/>
          <w:shd w:val="clear" w:color="auto" w:fill="FFFFFF"/>
        </w:rPr>
        <w:t>(denying claims that arise from a</w:t>
      </w:r>
      <w:r w:rsidRPr="00EA78D0" w:rsidR="00F72BEC">
        <w:rPr>
          <w:snapToGrid w:val="0"/>
          <w:color w:val="1F1F1F"/>
          <w:kern w:val="28"/>
          <w:shd w:val="clear" w:color="auto" w:fill="FFFFFF"/>
        </w:rPr>
        <w:t xml:space="preserve"> </w:t>
      </w:r>
      <w:r w:rsidRPr="00EA78D0">
        <w:t>pre</w:t>
      </w:r>
      <w:r w:rsidRPr="00EA78D0" w:rsidR="006F3CAB">
        <w:t>-</w:t>
      </w:r>
      <w:r w:rsidRPr="00EA78D0">
        <w:t>existing</w:t>
      </w:r>
      <w:r w:rsidRPr="00EA78D0" w:rsidR="005A0F2A">
        <w:t xml:space="preserve"> </w:t>
      </w:r>
      <w:r w:rsidRPr="00EA78D0">
        <w:t>dispute</w:t>
      </w:r>
      <w:r w:rsidRPr="00EA78D0" w:rsidR="005A0F2A">
        <w:t xml:space="preserve"> </w:t>
      </w:r>
      <w:r w:rsidRPr="00EA78D0">
        <w:t>that were not related to the</w:t>
      </w:r>
      <w:r w:rsidRPr="00EA78D0" w:rsidR="005A0F2A">
        <w:t xml:space="preserve"> </w:t>
      </w:r>
      <w:r w:rsidRPr="00EA78D0">
        <w:t>transaction</w:t>
      </w:r>
      <w:r w:rsidRPr="00EA78D0" w:rsidR="008F56C7">
        <w:t>)</w:t>
      </w:r>
      <w:r w:rsidRPr="00EA78D0">
        <w:t>.</w:t>
      </w:r>
    </w:p>
  </w:footnote>
  <w:footnote w:id="81">
    <w:p w:rsidR="00B92973" w:rsidRPr="00EA78D0" w:rsidP="00EA78D0" w14:paraId="68340687" w14:textId="77777777">
      <w:pPr>
        <w:pStyle w:val="FootnoteText"/>
      </w:pPr>
      <w:r w:rsidRPr="00EA78D0">
        <w:rPr>
          <w:rStyle w:val="FootnoteReference"/>
        </w:rPr>
        <w:footnoteRef/>
      </w:r>
      <w:r w:rsidRPr="00EA78D0">
        <w:t xml:space="preserve"> Letter from Louis Peraertz, Vice President of Policy, WISPA, to Marlene H. Dortch, Secretary, FCC, WC Docket No. 25-233, at 1 (filed Jan. 22, 2026).</w:t>
      </w:r>
    </w:p>
  </w:footnote>
  <w:footnote w:id="82">
    <w:p w:rsidR="00B92973" w:rsidRPr="00EA78D0" w:rsidP="00EA78D0" w14:paraId="2EEB486E" w14:textId="77777777">
      <w:pPr>
        <w:pStyle w:val="FootnoteText"/>
      </w:pPr>
      <w:r w:rsidRPr="00EA78D0">
        <w:rPr>
          <w:rStyle w:val="FootnoteReference"/>
        </w:rPr>
        <w:footnoteRef/>
      </w:r>
      <w:r w:rsidRPr="00EA78D0">
        <w:t xml:space="preserve"> Cameron Banowsky Comments at 1.</w:t>
      </w:r>
    </w:p>
  </w:footnote>
  <w:footnote w:id="83">
    <w:p w:rsidR="004F44E4" w:rsidRPr="00EA78D0" w:rsidP="00EA78D0" w14:paraId="7DD0DEDA" w14:textId="42710EDC">
      <w:pPr>
        <w:pStyle w:val="FootnoteText"/>
      </w:pPr>
      <w:r w:rsidRPr="00EA78D0">
        <w:rPr>
          <w:rStyle w:val="FootnoteReference"/>
        </w:rPr>
        <w:footnoteRef/>
      </w:r>
      <w:r w:rsidRPr="00EA78D0">
        <w:t xml:space="preserve"> Public Interest Statement at 7, 23-24; Applicants’ Reply at 16.</w:t>
      </w:r>
    </w:p>
  </w:footnote>
  <w:footnote w:id="84">
    <w:p w:rsidR="002719C9" w:rsidRPr="00EA78D0" w:rsidP="00EA78D0" w14:paraId="36DB8709" w14:textId="4D9DCFA9">
      <w:pPr>
        <w:pStyle w:val="FootnoteText"/>
      </w:pPr>
      <w:r w:rsidRPr="00EA78D0">
        <w:rPr>
          <w:rStyle w:val="FootnoteReference"/>
        </w:rPr>
        <w:footnoteRef/>
      </w:r>
      <w:r w:rsidRPr="00EA78D0">
        <w:t xml:space="preserve"> </w:t>
      </w:r>
      <w:r w:rsidRPr="00EA78D0">
        <w:rPr>
          <w:i/>
          <w:iCs/>
        </w:rPr>
        <w:t>See</w:t>
      </w:r>
      <w:r w:rsidRPr="00EA78D0">
        <w:t xml:space="preserve"> </w:t>
      </w:r>
      <w:r w:rsidRPr="00EA78D0" w:rsidR="00EC67F6">
        <w:rPr>
          <w:i/>
          <w:iCs/>
        </w:rPr>
        <w:t>Frontier</w:t>
      </w:r>
      <w:r w:rsidRPr="00EA78D0">
        <w:rPr>
          <w:i/>
          <w:iCs/>
        </w:rPr>
        <w:t xml:space="preserve"> 2021 Order</w:t>
      </w:r>
      <w:r w:rsidRPr="00EA78D0">
        <w:t xml:space="preserve">, 36 FCC Rcd at 301, para. 25; </w:t>
      </w:r>
      <w:r w:rsidRPr="00EA78D0">
        <w:rPr>
          <w:i/>
          <w:iCs/>
        </w:rPr>
        <w:t>T-Mobile-Sprint Order</w:t>
      </w:r>
      <w:r w:rsidRPr="00EA78D0">
        <w:t xml:space="preserve">, </w:t>
      </w:r>
      <w:r w:rsidRPr="00EA78D0">
        <w:rPr>
          <w:iCs/>
        </w:rPr>
        <w:t>34 FCC Rcd at</w:t>
      </w:r>
      <w:r w:rsidRPr="00EA78D0">
        <w:t xml:space="preserve"> 10671, para. 214; </w:t>
      </w:r>
      <w:r w:rsidRPr="00EA78D0">
        <w:rPr>
          <w:i/>
          <w:iCs/>
        </w:rPr>
        <w:t>CenturyLink-Level 3 Order</w:t>
      </w:r>
      <w:r w:rsidRPr="00EA78D0">
        <w:t xml:space="preserve">, 32 FCC Rcd at 9604, para. 50 (citing </w:t>
      </w:r>
      <w:r w:rsidRPr="00EA78D0">
        <w:rPr>
          <w:i/>
          <w:iCs/>
        </w:rPr>
        <w:t>AT&amp;T-BellSouth Order</w:t>
      </w:r>
      <w:r w:rsidRPr="00EA78D0">
        <w:t>, 22 FCC Rcd</w:t>
      </w:r>
      <w:r w:rsidRPr="00EA78D0">
        <w:rPr>
          <w:i/>
          <w:iCs/>
        </w:rPr>
        <w:t xml:space="preserve"> </w:t>
      </w:r>
      <w:r w:rsidRPr="00EA78D0">
        <w:t xml:space="preserve">at 5761, para. 202); </w:t>
      </w:r>
      <w:r w:rsidRPr="00EA78D0">
        <w:rPr>
          <w:i/>
          <w:iCs/>
        </w:rPr>
        <w:t>AT&amp;T-DIRECTV Order</w:t>
      </w:r>
      <w:r w:rsidRPr="00EA78D0">
        <w:t>, 30 FCC Rcd at 9237, paras</w:t>
      </w:r>
      <w:r w:rsidRPr="00EA78D0" w:rsidR="00DE18F1">
        <w:t>.</w:t>
      </w:r>
      <w:r w:rsidRPr="00EA78D0">
        <w:t xml:space="preserve"> 273-74.</w:t>
      </w:r>
    </w:p>
  </w:footnote>
  <w:footnote w:id="85">
    <w:p w:rsidR="006E45AB" w:rsidRPr="00EA78D0" w:rsidP="00EA78D0" w14:paraId="498401EB" w14:textId="774EBA4D">
      <w:pPr>
        <w:pStyle w:val="FootnoteText"/>
      </w:pPr>
      <w:r w:rsidRPr="00EA78D0">
        <w:rPr>
          <w:rStyle w:val="FootnoteReference"/>
        </w:rPr>
        <w:footnoteRef/>
      </w:r>
      <w:r w:rsidRPr="00EA78D0">
        <w:t xml:space="preserve"> </w:t>
      </w:r>
      <w:r w:rsidRPr="00EA78D0" w:rsidR="00135EE4">
        <w:t>Public Interest Statement at 1</w:t>
      </w:r>
      <w:r w:rsidRPr="00EA78D0" w:rsidR="0082091F">
        <w:t>.</w:t>
      </w:r>
    </w:p>
  </w:footnote>
  <w:footnote w:id="86">
    <w:p w:rsidR="0000088E" w:rsidRPr="00EA78D0" w:rsidP="00EA78D0" w14:paraId="064A6F8D" w14:textId="771B7894">
      <w:pPr>
        <w:pStyle w:val="FootnoteText"/>
      </w:pPr>
      <w:r w:rsidRPr="00EA78D0">
        <w:rPr>
          <w:rStyle w:val="FootnoteReference"/>
        </w:rPr>
        <w:footnoteRef/>
      </w:r>
      <w:r w:rsidRPr="00EA78D0">
        <w:t xml:space="preserve"> </w:t>
      </w:r>
      <w:r w:rsidRPr="00EA78D0" w:rsidR="005E665D">
        <w:rPr>
          <w:i/>
          <w:iCs/>
        </w:rPr>
        <w:t xml:space="preserve">Id. </w:t>
      </w:r>
      <w:r w:rsidRPr="00EA78D0" w:rsidR="00B46E98">
        <w:t>at 8</w:t>
      </w:r>
      <w:r w:rsidRPr="00EA78D0" w:rsidR="00F57745">
        <w:t>,</w:t>
      </w:r>
      <w:r w:rsidRPr="00EA78D0" w:rsidR="007B657E">
        <w:t xml:space="preserve"> 33</w:t>
      </w:r>
      <w:r w:rsidRPr="00EA78D0" w:rsidR="00CA7D1E">
        <w:t>-35</w:t>
      </w:r>
      <w:r w:rsidRPr="00EA78D0" w:rsidR="00B46E98">
        <w:t>.</w:t>
      </w:r>
      <w:r w:rsidRPr="00EA78D0" w:rsidR="00B07097">
        <w:t xml:space="preserve">  </w:t>
      </w:r>
      <w:r w:rsidRPr="00EA78D0" w:rsidR="006E45AB">
        <w:t>Applicants plan to upgrade Cox’s broadband network with the deployment of high-speed DOCSIS 4.0 facilities, a technology currently used by Charter</w:t>
      </w:r>
      <w:r w:rsidRPr="00EA78D0" w:rsidR="00431618">
        <w:t xml:space="preserve">.  </w:t>
      </w:r>
      <w:r w:rsidRPr="00EA78D0" w:rsidR="002C1CA7">
        <w:rPr>
          <w:i/>
          <w:iCs/>
        </w:rPr>
        <w:t>Id.</w:t>
      </w:r>
      <w:r w:rsidRPr="00EA78D0" w:rsidR="002C1CA7">
        <w:t xml:space="preserve"> at 34-35</w:t>
      </w:r>
      <w:r w:rsidRPr="00EA78D0" w:rsidR="003F135F">
        <w:t xml:space="preserve">; </w:t>
      </w:r>
      <w:r w:rsidRPr="00EA78D0" w:rsidR="008E2E0F">
        <w:t>F</w:t>
      </w:r>
      <w:r w:rsidRPr="00EA78D0" w:rsidR="003A5E15">
        <w:t xml:space="preserve">ischer </w:t>
      </w:r>
      <w:r w:rsidRPr="00EA78D0" w:rsidR="003F135F">
        <w:t>Decl</w:t>
      </w:r>
      <w:r w:rsidRPr="00EA78D0" w:rsidR="00DE18F1">
        <w:t>.</w:t>
      </w:r>
      <w:r w:rsidRPr="00EA78D0" w:rsidR="003F135F">
        <w:t xml:space="preserve"> at 6-8</w:t>
      </w:r>
      <w:r w:rsidRPr="00EA78D0" w:rsidR="005A7009">
        <w:t>;</w:t>
      </w:r>
      <w:r w:rsidRPr="00EA78D0" w:rsidR="00795EF8">
        <w:t xml:space="preserve"> </w:t>
      </w:r>
      <w:r w:rsidRPr="00EA78D0" w:rsidR="003A5E15">
        <w:t xml:space="preserve">McBride </w:t>
      </w:r>
      <w:r w:rsidRPr="00EA78D0" w:rsidR="00D424BE">
        <w:t xml:space="preserve">Decl. </w:t>
      </w:r>
      <w:r w:rsidRPr="00EA78D0" w:rsidR="00325418">
        <w:t xml:space="preserve">at </w:t>
      </w:r>
      <w:r w:rsidRPr="00EA78D0" w:rsidR="00F71143">
        <w:t>3.</w:t>
      </w:r>
      <w:r w:rsidRPr="00EA78D0" w:rsidR="00A432F5">
        <w:t xml:space="preserve">  </w:t>
      </w:r>
      <w:r w:rsidRPr="00EA78D0" w:rsidR="007F7271">
        <w:rPr>
          <w:i/>
          <w:iCs/>
        </w:rPr>
        <w:t xml:space="preserve">See also </w:t>
      </w:r>
      <w:r w:rsidRPr="000B410B" w:rsidR="008D14EC">
        <w:rPr>
          <w:i/>
          <w:iCs/>
        </w:rPr>
        <w:t xml:space="preserve">Charter Rural Commitment </w:t>
      </w:r>
      <w:r w:rsidRPr="000B410B" w:rsidR="003E0999">
        <w:rPr>
          <w:i/>
          <w:iCs/>
        </w:rPr>
        <w:t>L</w:t>
      </w:r>
      <w:r w:rsidRPr="000B410B" w:rsidR="008D14EC">
        <w:rPr>
          <w:i/>
          <w:iCs/>
        </w:rPr>
        <w:t>etter</w:t>
      </w:r>
      <w:r w:rsidRPr="00EA78D0" w:rsidR="008D14EC">
        <w:t xml:space="preserve"> at </w:t>
      </w:r>
      <w:r w:rsidRPr="00EA78D0" w:rsidR="00D13900">
        <w:t>1</w:t>
      </w:r>
      <w:r w:rsidR="000247D9">
        <w:t xml:space="preserve">-2 </w:t>
      </w:r>
      <w:r w:rsidRPr="00EA78D0" w:rsidR="007F7271">
        <w:t>(</w:t>
      </w:r>
      <w:r w:rsidRPr="00EA78D0" w:rsidR="009454E0">
        <w:t>stating that</w:t>
      </w:r>
      <w:r w:rsidRPr="00EA78D0" w:rsidR="000A04EE">
        <w:t>,</w:t>
      </w:r>
      <w:r w:rsidRPr="00EA78D0" w:rsidR="009454E0">
        <w:t xml:space="preserve"> </w:t>
      </w:r>
      <w:r w:rsidRPr="00EA78D0" w:rsidR="000A04EE">
        <w:t xml:space="preserve">post-consummation, </w:t>
      </w:r>
      <w:r w:rsidRPr="00EA78D0" w:rsidR="00D1570F">
        <w:t>Charter will deliver faster broadband a</w:t>
      </w:r>
      <w:r w:rsidRPr="00EA78D0" w:rsidR="00D34E85">
        <w:t>n</w:t>
      </w:r>
      <w:r w:rsidRPr="00EA78D0" w:rsidR="00D1570F">
        <w:t xml:space="preserve">d lower prices for customers of Charter’s </w:t>
      </w:r>
      <w:r w:rsidRPr="00EA78D0" w:rsidR="00D34E85">
        <w:t>rural areas</w:t>
      </w:r>
      <w:r w:rsidRPr="00EA78D0" w:rsidR="005B1795">
        <w:t xml:space="preserve"> and that Charter </w:t>
      </w:r>
      <w:r w:rsidRPr="00EA78D0" w:rsidR="00B6530C">
        <w:t>“</w:t>
      </w:r>
      <w:r w:rsidRPr="00EA78D0" w:rsidR="005B1795">
        <w:t xml:space="preserve">will bring these benefits to Cox customers </w:t>
      </w:r>
      <w:r w:rsidRPr="00EA78D0" w:rsidR="00B6530C">
        <w:t>footprint wide</w:t>
      </w:r>
      <w:r w:rsidRPr="00EA78D0" w:rsidR="003E0999">
        <w:t>.</w:t>
      </w:r>
      <w:r w:rsidRPr="00EA78D0" w:rsidR="00B6530C">
        <w:t>”).</w:t>
      </w:r>
    </w:p>
  </w:footnote>
  <w:footnote w:id="87">
    <w:p w:rsidR="000E2413" w:rsidRPr="00EA78D0" w:rsidP="00EA78D0" w14:paraId="1CB1E6EA" w14:textId="4E263440">
      <w:pPr>
        <w:pStyle w:val="FootnoteText"/>
      </w:pPr>
      <w:r w:rsidRPr="00EA78D0">
        <w:rPr>
          <w:rStyle w:val="FootnoteReference"/>
        </w:rPr>
        <w:footnoteRef/>
      </w:r>
      <w:r w:rsidRPr="00EA78D0">
        <w:t xml:space="preserve"> </w:t>
      </w:r>
      <w:r w:rsidRPr="00EA78D0" w:rsidR="00E46F55">
        <w:t>Public Interest Statement</w:t>
      </w:r>
      <w:r w:rsidRPr="00EA78D0" w:rsidR="00E46F55">
        <w:rPr>
          <w:i/>
          <w:iCs/>
        </w:rPr>
        <w:t xml:space="preserve"> </w:t>
      </w:r>
      <w:r w:rsidRPr="00EA78D0" w:rsidR="00495A5A">
        <w:t xml:space="preserve">at </w:t>
      </w:r>
      <w:r w:rsidRPr="00EA78D0" w:rsidR="00B9371D">
        <w:t>32</w:t>
      </w:r>
      <w:r w:rsidRPr="00EA78D0" w:rsidR="00495A5A">
        <w:t xml:space="preserve">.  </w:t>
      </w:r>
      <w:r w:rsidRPr="00EA78D0" w:rsidR="0042060D">
        <w:t>Applicants state that</w:t>
      </w:r>
      <w:r w:rsidRPr="00EA78D0" w:rsidR="00FC16CB">
        <w:t>,</w:t>
      </w:r>
      <w:r w:rsidRPr="00EA78D0" w:rsidR="0042060D">
        <w:t xml:space="preserve"> </w:t>
      </w:r>
      <w:r w:rsidRPr="00EA78D0" w:rsidR="00FC16CB">
        <w:t xml:space="preserve">depending on the plans and bundles they select, individual consumers can potentially save $900 or more per year compared to other bundled connectivity providers.  </w:t>
      </w:r>
      <w:r w:rsidRPr="00EA78D0" w:rsidR="00FC16CB">
        <w:rPr>
          <w:i/>
          <w:iCs/>
        </w:rPr>
        <w:t>Id</w:t>
      </w:r>
      <w:r w:rsidRPr="00EA78D0" w:rsidR="00507E98">
        <w:rPr>
          <w:i/>
          <w:iCs/>
        </w:rPr>
        <w:t xml:space="preserve">.  </w:t>
      </w:r>
    </w:p>
  </w:footnote>
  <w:footnote w:id="88">
    <w:p w:rsidR="00EE58D1" w:rsidRPr="00EA78D0" w:rsidP="00EA78D0" w14:paraId="2D35133D" w14:textId="7B74F37D">
      <w:pPr>
        <w:pStyle w:val="FootnoteText"/>
      </w:pPr>
      <w:r w:rsidRPr="00EA78D0">
        <w:rPr>
          <w:rStyle w:val="FootnoteReference"/>
        </w:rPr>
        <w:footnoteRef/>
      </w:r>
      <w:r w:rsidRPr="00EA78D0">
        <w:t xml:space="preserve"> </w:t>
      </w:r>
      <w:r w:rsidRPr="00EA78D0">
        <w:rPr>
          <w:i/>
          <w:iCs/>
        </w:rPr>
        <w:t>Id.</w:t>
      </w:r>
      <w:r w:rsidRPr="00EA78D0">
        <w:t xml:space="preserve"> at 37.</w:t>
      </w:r>
      <w:r w:rsidRPr="00EA78D0" w:rsidR="00B123D6">
        <w:t xml:space="preserve">  </w:t>
      </w:r>
      <w:r w:rsidRPr="00EA78D0" w:rsidR="00312931">
        <w:t xml:space="preserve">Applicants </w:t>
      </w:r>
      <w:r w:rsidRPr="00EA78D0" w:rsidR="000921C2">
        <w:t>assert</w:t>
      </w:r>
      <w:r w:rsidRPr="00EA78D0" w:rsidR="00312931">
        <w:t xml:space="preserve"> that Cox’s mobile pricing is less competitive than Charter’s—with “Spectrum Mobile’s plans . . . almost always cheaper than Cox’s (and offer[</w:t>
      </w:r>
      <w:r w:rsidRPr="00EA78D0" w:rsidR="00312931">
        <w:t>ing</w:t>
      </w:r>
      <w:r w:rsidRPr="00EA78D0" w:rsidR="00312931">
        <w:t xml:space="preserve">] better non-price terms, such as higher premium data allowances and hotspot data).”  </w:t>
      </w:r>
      <w:r w:rsidRPr="00EA78D0" w:rsidR="00616A33">
        <w:rPr>
          <w:i/>
          <w:iCs/>
        </w:rPr>
        <w:t>Id.</w:t>
      </w:r>
      <w:r w:rsidRPr="00EA78D0" w:rsidR="00616A33">
        <w:t xml:space="preserve"> at 41.</w:t>
      </w:r>
      <w:r w:rsidRPr="00EA78D0" w:rsidR="00F2046A">
        <w:t xml:space="preserve">  </w:t>
      </w:r>
      <w:r w:rsidRPr="00EA78D0" w:rsidR="00C730E8">
        <w:t xml:space="preserve">Post-consummation, </w:t>
      </w:r>
      <w:r w:rsidRPr="00EA78D0" w:rsidR="00A60E27">
        <w:t>they state that</w:t>
      </w:r>
      <w:r w:rsidRPr="00EA78D0" w:rsidR="00C730E8">
        <w:t xml:space="preserve"> </w:t>
      </w:r>
      <w:r w:rsidRPr="00EA78D0" w:rsidR="00AC0130">
        <w:t xml:space="preserve">customers in Cox’s footprint will be able to choose from </w:t>
      </w:r>
      <w:r w:rsidRPr="00EA78D0" w:rsidR="00C730E8">
        <w:t xml:space="preserve">Charter’s </w:t>
      </w:r>
      <w:r w:rsidRPr="00EA78D0" w:rsidR="00AC0130">
        <w:t>video</w:t>
      </w:r>
      <w:r w:rsidRPr="00EA78D0" w:rsidR="00D94A20">
        <w:t xml:space="preserve"> </w:t>
      </w:r>
      <w:r w:rsidRPr="00EA78D0" w:rsidR="00AC0130">
        <w:t>packages with more programming at lower prices.  Fischer Decl</w:t>
      </w:r>
      <w:r w:rsidRPr="00EA78D0" w:rsidR="00212F39">
        <w:t>.</w:t>
      </w:r>
      <w:r w:rsidRPr="00EA78D0" w:rsidR="00AC0130">
        <w:t xml:space="preserve"> at 10</w:t>
      </w:r>
      <w:r w:rsidRPr="00EA78D0" w:rsidR="00E3642E">
        <w:t xml:space="preserve">; </w:t>
      </w:r>
      <w:r w:rsidRPr="00EA78D0" w:rsidR="00E3642E">
        <w:rPr>
          <w:i/>
          <w:iCs/>
        </w:rPr>
        <w:t xml:space="preserve">see also </w:t>
      </w:r>
      <w:r w:rsidRPr="00EA78D0" w:rsidR="00616A33">
        <w:t xml:space="preserve">Public Interest Statement at </w:t>
      </w:r>
      <w:r w:rsidRPr="00EA78D0" w:rsidR="00E3642E">
        <w:t>8 (“</w:t>
      </w:r>
      <w:r w:rsidRPr="00EA78D0" w:rsidR="00F2046A">
        <w:t>Cox customers will also be able to choose Charter’s video products, including low-cost “skinny” packages, more comprehensive packages that include access to streaming apps at no additional charge, and the highly rated Spectrum TV App.</w:t>
      </w:r>
      <w:r w:rsidRPr="00EA78D0" w:rsidR="00E3642E">
        <w:t>”).</w:t>
      </w:r>
    </w:p>
  </w:footnote>
  <w:footnote w:id="89">
    <w:p w:rsidR="007620F8" w:rsidRPr="00EA78D0" w:rsidP="00EA78D0" w14:paraId="0074F8D9" w14:textId="27A5EA5F">
      <w:pPr>
        <w:pStyle w:val="FootnoteText"/>
      </w:pPr>
      <w:r w:rsidRPr="00EA78D0">
        <w:rPr>
          <w:rStyle w:val="FootnoteReference"/>
        </w:rPr>
        <w:footnoteRef/>
      </w:r>
      <w:r w:rsidRPr="00EA78D0">
        <w:t xml:space="preserve"> </w:t>
      </w:r>
      <w:r w:rsidRPr="00EA78D0">
        <w:rPr>
          <w:i/>
          <w:iCs/>
        </w:rPr>
        <w:t>See, e.g.</w:t>
      </w:r>
      <w:r w:rsidRPr="00EA78D0">
        <w:t>, Free State Foundation Comments at 7 (“On the broadband side, specific benefits identified include: offering Charter</w:t>
      </w:r>
      <w:r w:rsidRPr="00EA78D0" w:rsidR="00504FE0">
        <w:t>’</w:t>
      </w:r>
      <w:r w:rsidRPr="00EA78D0">
        <w:t>s lower-priced packages to Cox customers (while continuing to support existing options); accelerated investment in network infrastructure, enabled by greater scale/lower costs and resulting in faster speeds, including DOCSIS 4.0 upgrades in the Cox footprint; and reduced per-unit pricing for tailored consumer premise equipment.”)</w:t>
      </w:r>
      <w:r w:rsidRPr="00EA78D0" w:rsidR="00D545CB">
        <w:t>.</w:t>
      </w:r>
    </w:p>
  </w:footnote>
  <w:footnote w:id="90">
    <w:p w:rsidR="00853423" w:rsidRPr="00EA78D0" w:rsidP="00EA78D0" w14:paraId="2AF6084E" w14:textId="77777777">
      <w:pPr>
        <w:pStyle w:val="FootnoteText"/>
        <w:rPr>
          <w:highlight w:val="green"/>
        </w:rPr>
      </w:pPr>
      <w:r w:rsidRPr="00EA78D0">
        <w:rPr>
          <w:rStyle w:val="FootnoteReference"/>
        </w:rPr>
        <w:footnoteRef/>
      </w:r>
      <w:r w:rsidRPr="00EA78D0">
        <w:t xml:space="preserve"> </w:t>
      </w:r>
      <w:r w:rsidRPr="00EA78D0">
        <w:rPr>
          <w:i/>
          <w:iCs/>
        </w:rPr>
        <w:t>See, e.g.</w:t>
      </w:r>
      <w:r w:rsidRPr="00EA78D0">
        <w:t>,</w:t>
      </w:r>
      <w:r w:rsidRPr="00EA78D0">
        <w:rPr>
          <w:i/>
          <w:iCs/>
        </w:rPr>
        <w:t xml:space="preserve"> AT&amp;T-DIRECTV Order</w:t>
      </w:r>
      <w:r w:rsidRPr="00EA78D0">
        <w:rPr>
          <w:iCs/>
        </w:rPr>
        <w:t xml:space="preserve">, </w:t>
      </w:r>
      <w:r w:rsidRPr="00EA78D0">
        <w:t xml:space="preserve">30 </w:t>
      </w:r>
      <w:r w:rsidRPr="00EA78D0">
        <w:rPr>
          <w:iCs/>
        </w:rPr>
        <w:t>FCC Rcd at 9140, para. 19.</w:t>
      </w:r>
    </w:p>
  </w:footnote>
  <w:footnote w:id="91">
    <w:p w:rsidR="00853423" w:rsidRPr="00EA78D0" w:rsidP="00EA78D0" w14:paraId="3BA967E9" w14:textId="2D0F6E25">
      <w:pPr>
        <w:pStyle w:val="FootnoteText"/>
      </w:pPr>
      <w:r w:rsidRPr="00EA78D0">
        <w:rPr>
          <w:rStyle w:val="FootnoteReference"/>
        </w:rPr>
        <w:footnoteRef/>
      </w:r>
      <w:r w:rsidRPr="00EA78D0">
        <w:t xml:space="preserve"> </w:t>
      </w:r>
      <w:r w:rsidRPr="00EA78D0">
        <w:rPr>
          <w:i/>
        </w:rPr>
        <w:t xml:space="preserve">See </w:t>
      </w:r>
      <w:r w:rsidRPr="00EA78D0" w:rsidR="003278F7">
        <w:rPr>
          <w:i/>
        </w:rPr>
        <w:t>Application of Verizon Communications Inc. and America Movil, S.A.B. DE C.V. for Consent to Transfer Control of International Section 21 Authorization</w:t>
      </w:r>
      <w:r w:rsidRPr="00EA78D0">
        <w:rPr>
          <w:iCs/>
        </w:rPr>
        <w:t xml:space="preserve">, </w:t>
      </w:r>
      <w:r w:rsidRPr="00EA78D0">
        <w:rPr>
          <w:rStyle w:val="markedcontent"/>
        </w:rPr>
        <w:t xml:space="preserve">36 FCC Rcd </w:t>
      </w:r>
      <w:r w:rsidRPr="00EA78D0" w:rsidR="003278F7">
        <w:rPr>
          <w:rStyle w:val="markedcontent"/>
        </w:rPr>
        <w:t>16</w:t>
      </w:r>
      <w:r w:rsidRPr="00EA78D0" w:rsidR="00C55A6B">
        <w:rPr>
          <w:rStyle w:val="markedcontent"/>
        </w:rPr>
        <w:t>994,</w:t>
      </w:r>
      <w:r w:rsidRPr="00EA78D0">
        <w:rPr>
          <w:rStyle w:val="markedcontent"/>
        </w:rPr>
        <w:t xml:space="preserve"> 17001</w:t>
      </w:r>
      <w:r w:rsidRPr="00EA78D0">
        <w:rPr>
          <w:iCs/>
        </w:rPr>
        <w:t>, para. 2</w:t>
      </w:r>
      <w:r w:rsidRPr="00EA78D0" w:rsidR="00C55A6B">
        <w:rPr>
          <w:iCs/>
        </w:rPr>
        <w:t xml:space="preserve">1 </w:t>
      </w:r>
      <w:r w:rsidRPr="00EA78D0" w:rsidR="003278F7">
        <w:rPr>
          <w:iCs/>
        </w:rPr>
        <w:t>(</w:t>
      </w:r>
      <w:r w:rsidRPr="00EA78D0" w:rsidR="003278F7">
        <w:rPr>
          <w:i/>
        </w:rPr>
        <w:t>Verizon-TracFone Order</w:t>
      </w:r>
      <w:r w:rsidRPr="00EA78D0" w:rsidR="003278F7">
        <w:rPr>
          <w:iCs/>
        </w:rPr>
        <w:t xml:space="preserve">) </w:t>
      </w:r>
      <w:r w:rsidRPr="00EA78D0">
        <w:rPr>
          <w:iCs/>
        </w:rPr>
        <w:t xml:space="preserve">(citing </w:t>
      </w:r>
      <w:r w:rsidRPr="00EA78D0">
        <w:t>47 U.S.C. §§ 254, 332(c)(7), 1302; Telecommunications Act of 1996, Pub. L. No. 104-104, Preamble, 110 Stat. 56 (1996) (one purpose of the Act is to “accelerate rapidly private sector deployment of advanced telecommunications and information technologies and services”)).</w:t>
      </w:r>
    </w:p>
  </w:footnote>
  <w:footnote w:id="92">
    <w:p w:rsidR="000379F2" w:rsidRPr="00EA78D0" w:rsidP="00EA78D0" w14:paraId="0B43B943" w14:textId="48B3F0BC">
      <w:pPr>
        <w:pStyle w:val="FootnoteText"/>
      </w:pPr>
      <w:r w:rsidRPr="00EA78D0">
        <w:rPr>
          <w:rStyle w:val="FootnoteReference"/>
        </w:rPr>
        <w:footnoteRef/>
      </w:r>
      <w:r w:rsidRPr="00EA78D0">
        <w:t xml:space="preserve"> </w:t>
      </w:r>
      <w:r w:rsidRPr="00EA78D0" w:rsidR="00296A89">
        <w:t>Public Interest Statement at 25</w:t>
      </w:r>
      <w:r w:rsidRPr="00EA78D0" w:rsidR="001410AA">
        <w:t>,</w:t>
      </w:r>
      <w:r w:rsidRPr="00EA78D0" w:rsidR="004C3F26">
        <w:t xml:space="preserve"> 34</w:t>
      </w:r>
      <w:r w:rsidRPr="00EA78D0" w:rsidR="00296A89">
        <w:t>.  Applicants assert that</w:t>
      </w:r>
      <w:r w:rsidRPr="00EA78D0" w:rsidR="004C2F2D">
        <w:t>, by combining the geographic footprints and customer bases of each company, the combined company will operate at greater scale than either stand-alone company, enabling it to take advantage of economies of scale that will allow it to operate more efficiently.</w:t>
      </w:r>
      <w:r w:rsidRPr="00EA78D0" w:rsidR="00400BB5">
        <w:t xml:space="preserve">  </w:t>
      </w:r>
      <w:r w:rsidRPr="00EA78D0" w:rsidR="002377EB">
        <w:t>Keating/Or</w:t>
      </w:r>
      <w:r w:rsidRPr="00EA78D0" w:rsidR="00B72D35">
        <w:t>szag Decl.</w:t>
      </w:r>
      <w:r w:rsidRPr="00EA78D0" w:rsidR="00323310">
        <w:t xml:space="preserve"> </w:t>
      </w:r>
      <w:r w:rsidRPr="00EA78D0" w:rsidR="00400BB5">
        <w:t xml:space="preserve">at </w:t>
      </w:r>
      <w:r w:rsidRPr="00EA78D0" w:rsidR="004707E9">
        <w:t>9.</w:t>
      </w:r>
      <w:r w:rsidRPr="00EA78D0" w:rsidR="006D112D">
        <w:t xml:space="preserve">  Applicants project $500 million of annualized transaction-based operating cost savings within two years of the Transaction’s close. </w:t>
      </w:r>
      <w:r w:rsidRPr="00EA78D0" w:rsidR="003D13BE">
        <w:t xml:space="preserve"> </w:t>
      </w:r>
      <w:r w:rsidRPr="00EA78D0" w:rsidR="006D112D">
        <w:t xml:space="preserve">Fischer </w:t>
      </w:r>
      <w:r w:rsidRPr="00EA78D0" w:rsidR="004707E9">
        <w:t>Decl</w:t>
      </w:r>
      <w:r w:rsidRPr="00EA78D0" w:rsidR="0035766F">
        <w:t>.</w:t>
      </w:r>
      <w:r w:rsidRPr="00EA78D0" w:rsidR="004707E9">
        <w:t xml:space="preserve"> </w:t>
      </w:r>
      <w:r w:rsidRPr="00EA78D0" w:rsidR="006D112D">
        <w:t>at 5.</w:t>
      </w:r>
      <w:r w:rsidRPr="00EA78D0" w:rsidR="003F4948">
        <w:t xml:space="preserve">  </w:t>
      </w:r>
    </w:p>
  </w:footnote>
  <w:footnote w:id="93">
    <w:p w:rsidR="00762076" w:rsidRPr="00EA78D0" w:rsidP="00EA78D0" w14:paraId="7426A3D7" w14:textId="7FFF3A8A">
      <w:pPr>
        <w:pStyle w:val="FootnoteText"/>
      </w:pPr>
      <w:r w:rsidRPr="00EA78D0">
        <w:rPr>
          <w:rStyle w:val="FootnoteReference"/>
        </w:rPr>
        <w:footnoteRef/>
      </w:r>
      <w:r w:rsidRPr="00EA78D0">
        <w:t xml:space="preserve"> Keating</w:t>
      </w:r>
      <w:r w:rsidRPr="00EA78D0" w:rsidR="0015371E">
        <w:t>/</w:t>
      </w:r>
      <w:r w:rsidRPr="00EA78D0">
        <w:t>Orszag Decl</w:t>
      </w:r>
      <w:r w:rsidRPr="00EA78D0" w:rsidR="0015371E">
        <w:t>.</w:t>
      </w:r>
      <w:r w:rsidRPr="00EA78D0">
        <w:t xml:space="preserve"> at </w:t>
      </w:r>
      <w:r w:rsidRPr="00EA78D0" w:rsidR="00622A2F">
        <w:t>9</w:t>
      </w:r>
      <w:r w:rsidRPr="00EA78D0" w:rsidR="00545F46">
        <w:t xml:space="preserve">.  Applicants note that </w:t>
      </w:r>
      <w:r w:rsidRPr="00EA78D0" w:rsidR="00E93412">
        <w:t>t</w:t>
      </w:r>
      <w:r w:rsidRPr="00EA78D0" w:rsidR="00545F46">
        <w:t>he beneficial effects of Charter’s greater scale can be seen in the fact that it charges customers lower prices for similar broadband service compared to Cox.</w:t>
      </w:r>
      <w:r w:rsidRPr="00EA78D0" w:rsidR="008B07A4">
        <w:t xml:space="preserve">  </w:t>
      </w:r>
      <w:r w:rsidRPr="00EA78D0" w:rsidR="008B07A4">
        <w:rPr>
          <w:i/>
          <w:iCs/>
        </w:rPr>
        <w:t>Id.</w:t>
      </w:r>
      <w:r w:rsidRPr="00EA78D0" w:rsidR="008B07A4">
        <w:t xml:space="preserve"> at 10.</w:t>
      </w:r>
      <w:r w:rsidRPr="00EA78D0" w:rsidR="00F62EC0">
        <w:t xml:space="preserve">  Applicants </w:t>
      </w:r>
      <w:r w:rsidRPr="00EA78D0" w:rsidR="00A97720">
        <w:t xml:space="preserve">note that scale will allow the Combined Company to </w:t>
      </w:r>
      <w:r w:rsidRPr="00EA78D0" w:rsidR="00F62EC0">
        <w:t xml:space="preserve">offer broadband customers “enhanced </w:t>
      </w:r>
      <w:r w:rsidRPr="00EA78D0" w:rsidR="00F62EC0">
        <w:t>on-demand</w:t>
      </w:r>
      <w:r w:rsidRPr="00EA78D0" w:rsidR="00F62EC0">
        <w:t xml:space="preserve"> download speeds, as well as faster upload speeds and better network experiences.”</w:t>
      </w:r>
      <w:r w:rsidRPr="00EA78D0" w:rsidR="00E445F5">
        <w:t xml:space="preserve">  </w:t>
      </w:r>
      <w:r w:rsidRPr="00EA78D0" w:rsidR="005C320A">
        <w:t>Public Interest Statement</w:t>
      </w:r>
      <w:r w:rsidRPr="00EA78D0" w:rsidR="00F62EC0">
        <w:t xml:space="preserve"> at 35; Keating</w:t>
      </w:r>
      <w:r w:rsidRPr="00EA78D0" w:rsidR="0015371E">
        <w:t>/</w:t>
      </w:r>
      <w:r w:rsidRPr="00EA78D0" w:rsidR="00F62EC0">
        <w:t>Orszag Decl</w:t>
      </w:r>
      <w:r w:rsidRPr="00EA78D0" w:rsidR="0015371E">
        <w:t>.</w:t>
      </w:r>
      <w:r w:rsidRPr="00EA78D0" w:rsidR="00F62EC0">
        <w:t xml:space="preserve"> at 12 (“the combined subscriber base and geographic scope will enable a more efficient network, which can be expected to lead to the provision of greater quality, such as higher download and upload speeds, at lower cost”)</w:t>
      </w:r>
      <w:r w:rsidRPr="00EA78D0" w:rsidR="00992B22">
        <w:t>.</w:t>
      </w:r>
      <w:r w:rsidRPr="00EA78D0" w:rsidR="00057CA3">
        <w:t xml:space="preserve"> </w:t>
      </w:r>
    </w:p>
  </w:footnote>
  <w:footnote w:id="94">
    <w:p w:rsidR="00946A9E" w:rsidRPr="00EA78D0" w:rsidP="00EA78D0" w14:paraId="5D7853A1" w14:textId="40B762D7">
      <w:pPr>
        <w:pStyle w:val="FootnoteText"/>
        <w:jc w:val="both"/>
      </w:pPr>
      <w:r w:rsidRPr="00EA78D0">
        <w:rPr>
          <w:rStyle w:val="FootnoteReference"/>
        </w:rPr>
        <w:footnoteRef/>
      </w:r>
      <w:r w:rsidRPr="00EA78D0">
        <w:t xml:space="preserve"> </w:t>
      </w:r>
      <w:r w:rsidRPr="00EA78D0" w:rsidR="00370A4A">
        <w:rPr>
          <w:i/>
          <w:iCs/>
        </w:rPr>
        <w:t xml:space="preserve">See generally </w:t>
      </w:r>
      <w:r w:rsidRPr="00EA78D0" w:rsidR="00370A4A">
        <w:t>Public Interest Statement</w:t>
      </w:r>
      <w:r w:rsidRPr="00EA78D0" w:rsidR="00ED7CDF">
        <w:t xml:space="preserve"> at </w:t>
      </w:r>
      <w:r w:rsidRPr="00EA78D0" w:rsidR="00370A4A">
        <w:t>37-</w:t>
      </w:r>
      <w:r w:rsidRPr="00EA78D0" w:rsidR="00CD4820">
        <w:t>48</w:t>
      </w:r>
      <w:r w:rsidRPr="00EA78D0" w:rsidR="00B400A9">
        <w:t xml:space="preserve"> (The Transaction Will Enhance the Competitive Mobile Wireless Marketplace)</w:t>
      </w:r>
      <w:r w:rsidRPr="00EA78D0" w:rsidR="00CD4820">
        <w:t>.</w:t>
      </w:r>
      <w:r w:rsidRPr="00EA78D0" w:rsidR="00AA7258">
        <w:t xml:space="preserve">  </w:t>
      </w:r>
      <w:r w:rsidRPr="00EA78D0" w:rsidR="00E82C26">
        <w:t xml:space="preserve">Applicants note that the benefits of greater scale are reflected in a comparison of prices and other plan features </w:t>
      </w:r>
      <w:r w:rsidRPr="00EA78D0" w:rsidR="0002071D">
        <w:t xml:space="preserve">in which </w:t>
      </w:r>
      <w:r w:rsidRPr="00EA78D0" w:rsidR="00703928">
        <w:t>Spectrum Mobile’s plans are almost always cheaper than Cox’s (and offer better non-price terms, such as higher premium data allowances and hotspot data)</w:t>
      </w:r>
      <w:r w:rsidRPr="00EA78D0" w:rsidR="00E82C26">
        <w:t>.  Keating</w:t>
      </w:r>
      <w:r w:rsidRPr="00EA78D0" w:rsidR="0015371E">
        <w:t>/</w:t>
      </w:r>
      <w:r w:rsidRPr="00EA78D0" w:rsidR="00E82C26">
        <w:t>Orszag Decl</w:t>
      </w:r>
      <w:r w:rsidRPr="00EA78D0" w:rsidR="0015371E">
        <w:t>.</w:t>
      </w:r>
      <w:r w:rsidRPr="00EA78D0" w:rsidR="00E82C26">
        <w:t xml:space="preserve"> at </w:t>
      </w:r>
      <w:r w:rsidRPr="00EA78D0" w:rsidR="00703928">
        <w:t xml:space="preserve">17.  </w:t>
      </w:r>
      <w:r w:rsidRPr="00EA78D0" w:rsidR="00E675C5">
        <w:t xml:space="preserve">One </w:t>
      </w:r>
      <w:r w:rsidRPr="00EA78D0" w:rsidR="001624FD">
        <w:t>commenter noted</w:t>
      </w:r>
      <w:r w:rsidRPr="00EA78D0" w:rsidR="00E675C5">
        <w:t xml:space="preserve"> that</w:t>
      </w:r>
      <w:r w:rsidRPr="00EA78D0" w:rsidR="001624FD">
        <w:t xml:space="preserve"> </w:t>
      </w:r>
      <w:r w:rsidRPr="00EA78D0" w:rsidR="00E675C5">
        <w:t>“</w:t>
      </w:r>
      <w:r w:rsidRPr="00EA78D0" w:rsidR="001624FD">
        <w:t>[b]y combining Charter</w:t>
      </w:r>
      <w:r w:rsidRPr="00EA78D0" w:rsidR="00FE6185">
        <w:t>’</w:t>
      </w:r>
      <w:r w:rsidRPr="00EA78D0" w:rsidR="001624FD">
        <w:t>s 10.4 million wireless lines with Cox</w:t>
      </w:r>
      <w:r w:rsidRPr="00EA78D0" w:rsidR="00716468">
        <w:t>’</w:t>
      </w:r>
      <w:r w:rsidRPr="00EA78D0" w:rsidR="001624FD">
        <w:t xml:space="preserve">s subscriber base, the merger will expand access to affordable, </w:t>
      </w:r>
      <w:r w:rsidRPr="00EA78D0" w:rsidR="001624FD">
        <w:t>WiFi</w:t>
      </w:r>
      <w:r w:rsidRPr="00EA78D0" w:rsidR="001624FD">
        <w:t xml:space="preserve">-supported mobile services across key markets </w:t>
      </w:r>
      <w:r w:rsidRPr="00EA78D0" w:rsidR="001624FD">
        <w:t>. . . .</w:t>
      </w:r>
      <w:r w:rsidRPr="00EA78D0" w:rsidR="001624FD">
        <w:t xml:space="preserve"> increasing consumer choice</w:t>
      </w:r>
      <w:r w:rsidRPr="00EA78D0" w:rsidR="00E675C5">
        <w:t xml:space="preserve"> </w:t>
      </w:r>
      <w:r w:rsidRPr="00EA78D0" w:rsidR="00E675C5">
        <w:t>. . . .</w:t>
      </w:r>
      <w:r w:rsidRPr="00EA78D0" w:rsidR="001624FD">
        <w:t xml:space="preserve">” </w:t>
      </w:r>
      <w:r w:rsidRPr="00EA78D0" w:rsidR="00F749DD">
        <w:t xml:space="preserve"> </w:t>
      </w:r>
      <w:r w:rsidRPr="00EA78D0" w:rsidR="00A97720">
        <w:t xml:space="preserve">Bluegrass Institute for Public Policy Solutions </w:t>
      </w:r>
      <w:r w:rsidRPr="00EA78D0" w:rsidR="00D2746E">
        <w:t xml:space="preserve">Comments </w:t>
      </w:r>
      <w:r w:rsidRPr="00EA78D0" w:rsidR="00A97720">
        <w:t>at 1.</w:t>
      </w:r>
    </w:p>
  </w:footnote>
  <w:footnote w:id="95">
    <w:p w:rsidR="002435A0" w:rsidRPr="00EA78D0" w:rsidP="00EA78D0" w14:paraId="127F4F9F" w14:textId="18E9798D">
      <w:pPr>
        <w:pStyle w:val="FootnoteText"/>
        <w:rPr>
          <w:iCs/>
        </w:rPr>
      </w:pPr>
      <w:r w:rsidRPr="00EA78D0">
        <w:rPr>
          <w:rStyle w:val="FootnoteReference"/>
        </w:rPr>
        <w:footnoteRef/>
      </w:r>
      <w:r w:rsidRPr="00EA78D0">
        <w:t xml:space="preserve"> </w:t>
      </w:r>
      <w:r w:rsidRPr="00EA78D0" w:rsidR="00B243FC">
        <w:t>Fischer Decl</w:t>
      </w:r>
      <w:r w:rsidRPr="00EA78D0" w:rsidR="0015371E">
        <w:t>.</w:t>
      </w:r>
      <w:r w:rsidRPr="00EA78D0" w:rsidR="00B243FC">
        <w:t xml:space="preserve"> at 11.  </w:t>
      </w:r>
      <w:r w:rsidRPr="00EA78D0" w:rsidR="0029623A">
        <w:t xml:space="preserve">Charter has </w:t>
      </w:r>
      <w:r w:rsidRPr="00EA78D0" w:rsidR="0029623A">
        <w:t>entered into</w:t>
      </w:r>
      <w:r w:rsidRPr="00EA78D0" w:rsidR="0029623A">
        <w:t xml:space="preserve"> a series of partnerships with content providers to include streaming services as part of customers’ standard cable video subscriptions, creating significant cost savings for consumers who no longer </w:t>
      </w:r>
      <w:r w:rsidRPr="00EA78D0" w:rsidR="0029623A">
        <w:t>have to</w:t>
      </w:r>
      <w:r w:rsidRPr="00EA78D0" w:rsidR="0029623A">
        <w:t xml:space="preserve"> pay for separate subscriptions to these services.  </w:t>
      </w:r>
      <w:r w:rsidRPr="00EA78D0" w:rsidR="00B243FC">
        <w:rPr>
          <w:i/>
        </w:rPr>
        <w:t>Id.</w:t>
      </w:r>
      <w:r w:rsidRPr="00EA78D0" w:rsidR="00B243FC">
        <w:rPr>
          <w:iCs/>
        </w:rPr>
        <w:t>;</w:t>
      </w:r>
      <w:r w:rsidRPr="00EA78D0" w:rsidR="00824B2B">
        <w:rPr>
          <w:i/>
        </w:rPr>
        <w:t xml:space="preserve"> </w:t>
      </w:r>
      <w:r w:rsidRPr="00EA78D0" w:rsidR="002939D3">
        <w:rPr>
          <w:i/>
        </w:rPr>
        <w:t xml:space="preserve">see also </w:t>
      </w:r>
      <w:r w:rsidRPr="00EA78D0" w:rsidR="00824B2B">
        <w:rPr>
          <w:iCs/>
        </w:rPr>
        <w:t>Public Interest Statement at 52 (</w:t>
      </w:r>
      <w:r w:rsidRPr="00EA78D0" w:rsidR="009B0E00">
        <w:rPr>
          <w:iCs/>
        </w:rPr>
        <w:t>“</w:t>
      </w:r>
      <w:r w:rsidRPr="00EA78D0" w:rsidR="00824B2B">
        <w:rPr>
          <w:iCs/>
        </w:rPr>
        <w:t xml:space="preserve">The bundling of streaming subscriptions with traditional cable packages not only allows Charter to offer a more compelling video product at a better customer value, but also creates </w:t>
      </w:r>
      <w:r w:rsidRPr="00EA78D0" w:rsidR="009B0E00">
        <w:rPr>
          <w:iCs/>
        </w:rPr>
        <w:t>significant cost savings for consumers that otherwise would have to pay separate subscriptions to each of these streaming services.”)</w:t>
      </w:r>
      <w:r w:rsidRPr="00EA78D0" w:rsidR="00A264D6">
        <w:rPr>
          <w:iCs/>
        </w:rPr>
        <w:t>;</w:t>
      </w:r>
      <w:r w:rsidRPr="00EA78D0" w:rsidR="009B0E00">
        <w:rPr>
          <w:iCs/>
        </w:rPr>
        <w:t xml:space="preserve"> </w:t>
      </w:r>
      <w:r w:rsidRPr="00EA78D0" w:rsidR="0029623A">
        <w:rPr>
          <w:i/>
          <w:iCs/>
        </w:rPr>
        <w:t>see also generally</w:t>
      </w:r>
      <w:r w:rsidRPr="00EA78D0" w:rsidR="0029623A">
        <w:t xml:space="preserve"> Public Interest Statement at 48-55 (The Transaction Will Promote Video Competition and Consumer Choice).</w:t>
      </w:r>
    </w:p>
  </w:footnote>
  <w:footnote w:id="96">
    <w:p w:rsidR="002435A0" w:rsidRPr="00EA78D0" w:rsidP="00EA78D0" w14:paraId="24D0E9AB" w14:textId="743F654D">
      <w:pPr>
        <w:pStyle w:val="FootnoteText"/>
      </w:pPr>
      <w:r w:rsidRPr="00EA78D0">
        <w:rPr>
          <w:rStyle w:val="FootnoteReference"/>
        </w:rPr>
        <w:footnoteRef/>
      </w:r>
      <w:r w:rsidRPr="00EA78D0">
        <w:t xml:space="preserve"> </w:t>
      </w:r>
      <w:r w:rsidRPr="00EA78D0" w:rsidR="0029623A">
        <w:t>Fischer Decl</w:t>
      </w:r>
      <w:r w:rsidRPr="00EA78D0" w:rsidR="00212F39">
        <w:t>.</w:t>
      </w:r>
      <w:r w:rsidRPr="00EA78D0" w:rsidR="0029623A">
        <w:t xml:space="preserve"> at 13; </w:t>
      </w:r>
      <w:r w:rsidRPr="00EA78D0" w:rsidR="0029623A">
        <w:rPr>
          <w:i/>
          <w:iCs/>
        </w:rPr>
        <w:t xml:space="preserve">see also generally </w:t>
      </w:r>
      <w:r w:rsidRPr="00EA78D0" w:rsidR="0029623A">
        <w:t>Public Interest Statement at 55-58 (The Transaction Will Expand Enterprise Competition).</w:t>
      </w:r>
    </w:p>
  </w:footnote>
  <w:footnote w:id="97">
    <w:p w:rsidR="00040A42" w:rsidRPr="00EA78D0" w:rsidP="00EA78D0" w14:paraId="5FAFE9FA" w14:textId="77777777">
      <w:pPr>
        <w:pStyle w:val="FootnoteText"/>
      </w:pPr>
      <w:r w:rsidRPr="00EA78D0">
        <w:rPr>
          <w:rStyle w:val="FootnoteReference"/>
        </w:rPr>
        <w:footnoteRef/>
      </w:r>
      <w:r w:rsidRPr="00EA78D0">
        <w:t xml:space="preserve"> Petition 9-14.</w:t>
      </w:r>
    </w:p>
  </w:footnote>
  <w:footnote w:id="98">
    <w:p w:rsidR="00D47813" w:rsidRPr="00EA78D0" w:rsidP="00EA78D0" w14:paraId="4F86A0BF" w14:textId="78EEF306">
      <w:pPr>
        <w:pStyle w:val="FootnoteText"/>
      </w:pPr>
      <w:r w:rsidRPr="00EA78D0">
        <w:rPr>
          <w:rStyle w:val="FootnoteReference"/>
        </w:rPr>
        <w:footnoteRef/>
      </w:r>
      <w:r w:rsidRPr="00EA78D0">
        <w:t xml:space="preserve"> </w:t>
      </w:r>
      <w:r w:rsidRPr="00EA78D0">
        <w:rPr>
          <w:i/>
          <w:iCs/>
        </w:rPr>
        <w:t>See</w:t>
      </w:r>
      <w:r w:rsidRPr="00EA78D0" w:rsidR="00E81270">
        <w:t xml:space="preserve"> </w:t>
      </w:r>
      <w:r w:rsidRPr="00EA78D0" w:rsidR="00E26711">
        <w:t>Publ</w:t>
      </w:r>
      <w:r w:rsidRPr="00EA78D0" w:rsidR="00AA0D3D">
        <w:t>i</w:t>
      </w:r>
      <w:r w:rsidRPr="00EA78D0" w:rsidR="00E26711">
        <w:t>c</w:t>
      </w:r>
      <w:r w:rsidRPr="00EA78D0" w:rsidR="00AA0D3D">
        <w:t xml:space="preserve"> </w:t>
      </w:r>
      <w:r w:rsidRPr="00EA78D0" w:rsidR="00E26711">
        <w:t>Interest Statement at 23-47</w:t>
      </w:r>
      <w:r w:rsidRPr="00EA78D0" w:rsidR="00AA0D3D">
        <w:t xml:space="preserve"> and </w:t>
      </w:r>
      <w:r w:rsidRPr="00EA78D0" w:rsidR="00EE706B">
        <w:t>Keating/Orszag Decl.</w:t>
      </w:r>
      <w:r w:rsidRPr="00EA78D0" w:rsidR="00C74170">
        <w:t xml:space="preserve"> at 9-</w:t>
      </w:r>
      <w:r w:rsidRPr="00EA78D0" w:rsidR="00CC5899">
        <w:t>30.</w:t>
      </w:r>
      <w:r w:rsidRPr="00EA78D0" w:rsidR="00F06E9B">
        <w:t xml:space="preserve">  </w:t>
      </w:r>
    </w:p>
  </w:footnote>
  <w:footnote w:id="99">
    <w:p w:rsidR="009176DB" w:rsidRPr="00EA78D0" w:rsidP="00EA78D0" w14:paraId="172A82D4" w14:textId="6A369E35">
      <w:pPr>
        <w:pStyle w:val="ParaNum"/>
        <w:numPr>
          <w:ilvl w:val="0"/>
          <w:numId w:val="0"/>
        </w:numPr>
        <w:rPr>
          <w:sz w:val="20"/>
        </w:rPr>
      </w:pPr>
      <w:r w:rsidRPr="00EA78D0">
        <w:rPr>
          <w:rStyle w:val="FootnoteReference"/>
        </w:rPr>
        <w:footnoteRef/>
      </w:r>
      <w:r w:rsidRPr="00EA78D0">
        <w:rPr>
          <w:sz w:val="20"/>
        </w:rPr>
        <w:t xml:space="preserve"> </w:t>
      </w:r>
      <w:r w:rsidRPr="00EA78D0">
        <w:rPr>
          <w:i/>
          <w:iCs/>
          <w:sz w:val="20"/>
        </w:rPr>
        <w:t>See e.g</w:t>
      </w:r>
      <w:r w:rsidRPr="00EA78D0">
        <w:rPr>
          <w:sz w:val="20"/>
        </w:rPr>
        <w:t xml:space="preserve">., </w:t>
      </w:r>
      <w:r w:rsidRPr="00EA78D0" w:rsidR="00266C52">
        <w:rPr>
          <w:sz w:val="20"/>
        </w:rPr>
        <w:t>Comments of ITIF at 1 (“</w:t>
      </w:r>
      <w:r w:rsidRPr="00EA78D0">
        <w:rPr>
          <w:sz w:val="20"/>
        </w:rPr>
        <w:t>Charter predicts the merger will cut operating costs by $500 million within the first three years of the transaction’s close.</w:t>
      </w:r>
      <w:r w:rsidRPr="00EA78D0" w:rsidR="00266C52">
        <w:rPr>
          <w:sz w:val="20"/>
        </w:rPr>
        <w:t xml:space="preserve"> </w:t>
      </w:r>
      <w:r w:rsidRPr="00EA78D0">
        <w:rPr>
          <w:sz w:val="20"/>
        </w:rPr>
        <w:t xml:space="preserve"> In turn, that reduced cost will then be shared across a larger, combined footprint of 36 million customers.</w:t>
      </w:r>
      <w:r w:rsidRPr="00EA78D0" w:rsidR="00266C52">
        <w:rPr>
          <w:sz w:val="20"/>
        </w:rPr>
        <w:t xml:space="preserve"> </w:t>
      </w:r>
      <w:r w:rsidRPr="00EA78D0">
        <w:rPr>
          <w:sz w:val="20"/>
        </w:rPr>
        <w:t xml:space="preserve"> The result is less expensive, high-quality Internet service for those millions of Americans.”</w:t>
      </w:r>
      <w:r w:rsidRPr="00EA78D0" w:rsidR="00266C52">
        <w:rPr>
          <w:sz w:val="20"/>
        </w:rPr>
        <w:t>)</w:t>
      </w:r>
      <w:r w:rsidRPr="00EA78D0" w:rsidR="007551FE">
        <w:rPr>
          <w:sz w:val="20"/>
        </w:rPr>
        <w:t xml:space="preserve">; </w:t>
      </w:r>
      <w:r w:rsidRPr="00EA78D0" w:rsidR="0066314E">
        <w:rPr>
          <w:sz w:val="20"/>
        </w:rPr>
        <w:t xml:space="preserve">Taxpayers Protection Alliance Comments at 1 (Due to the generally light touch the FCC has used to guide the telecom industry, the broadband marketplace has become more competitive than ever, with not only wireline services, but also wireless, fixed wireless, and satellite broadband options offered to consumers); </w:t>
      </w:r>
      <w:r w:rsidRPr="00EA78D0" w:rsidR="007551FE">
        <w:rPr>
          <w:i/>
          <w:iCs/>
          <w:sz w:val="20"/>
        </w:rPr>
        <w:t xml:space="preserve">but see </w:t>
      </w:r>
      <w:r w:rsidRPr="00EA78D0" w:rsidR="008C5C1D">
        <w:rPr>
          <w:sz w:val="20"/>
        </w:rPr>
        <w:t xml:space="preserve">Petition at </w:t>
      </w:r>
      <w:r w:rsidRPr="00EA78D0" w:rsidR="00AA66C8">
        <w:rPr>
          <w:sz w:val="20"/>
        </w:rPr>
        <w:t>9</w:t>
      </w:r>
      <w:r w:rsidRPr="00EA78D0" w:rsidR="008C5C1D">
        <w:rPr>
          <w:sz w:val="20"/>
        </w:rPr>
        <w:t xml:space="preserve"> </w:t>
      </w:r>
      <w:r w:rsidRPr="00EA78D0" w:rsidR="00C163CE">
        <w:rPr>
          <w:sz w:val="20"/>
        </w:rPr>
        <w:t>(</w:t>
      </w:r>
      <w:r w:rsidRPr="00EA78D0" w:rsidR="00D545CB">
        <w:rPr>
          <w:sz w:val="20"/>
        </w:rPr>
        <w:t>“The Applicants</w:t>
      </w:r>
      <w:r w:rsidRPr="00EA78D0" w:rsidR="00C20B05">
        <w:rPr>
          <w:sz w:val="20"/>
        </w:rPr>
        <w:t>’</w:t>
      </w:r>
      <w:r w:rsidRPr="00EA78D0" w:rsidR="00D545CB">
        <w:rPr>
          <w:sz w:val="20"/>
        </w:rPr>
        <w:t xml:space="preserve"> public interest showing consists largely of vague assertions about operational efficiencies and network improvements, but contains no concrete commitments to deliver lower retail prices or improved service quality to consumers.”)</w:t>
      </w:r>
      <w:r w:rsidRPr="00EA78D0" w:rsidR="00C6660F">
        <w:rPr>
          <w:sz w:val="20"/>
        </w:rPr>
        <w:t>;</w:t>
      </w:r>
      <w:r w:rsidRPr="00EA78D0" w:rsidR="00B613E2">
        <w:rPr>
          <w:sz w:val="20"/>
        </w:rPr>
        <w:t xml:space="preserve"> </w:t>
      </w:r>
      <w:r w:rsidRPr="00EA78D0" w:rsidR="00C6660F">
        <w:rPr>
          <w:i/>
          <w:iCs/>
          <w:sz w:val="20"/>
        </w:rPr>
        <w:t>id.</w:t>
      </w:r>
      <w:r w:rsidRPr="00EA78D0" w:rsidR="00B613E2">
        <w:rPr>
          <w:sz w:val="20"/>
        </w:rPr>
        <w:t xml:space="preserve"> at 2 (“E</w:t>
      </w:r>
      <w:r w:rsidRPr="00EA78D0" w:rsidR="00B613E2">
        <w:rPr>
          <w:snapToGrid/>
          <w:sz w:val="20"/>
        </w:rPr>
        <w:t>mpirical evidence across industries demonstrates that mergers in concentrated markets typically increase prices rather than benefiting consumers.”)</w:t>
      </w:r>
      <w:r w:rsidRPr="00EA78D0" w:rsidR="007E158B">
        <w:rPr>
          <w:snapToGrid/>
          <w:sz w:val="20"/>
        </w:rPr>
        <w:t xml:space="preserve">; </w:t>
      </w:r>
      <w:r w:rsidRPr="00EA78D0" w:rsidR="007E158B">
        <w:rPr>
          <w:i/>
          <w:iCs/>
          <w:snapToGrid/>
          <w:sz w:val="20"/>
        </w:rPr>
        <w:t>id.</w:t>
      </w:r>
      <w:r w:rsidRPr="00EA78D0" w:rsidR="007E158B">
        <w:rPr>
          <w:snapToGrid/>
          <w:sz w:val="20"/>
        </w:rPr>
        <w:t xml:space="preserve"> at </w:t>
      </w:r>
      <w:r w:rsidRPr="00EA78D0" w:rsidR="00085165">
        <w:rPr>
          <w:snapToGrid/>
          <w:sz w:val="20"/>
        </w:rPr>
        <w:t>12-14</w:t>
      </w:r>
      <w:r w:rsidRPr="00EA78D0" w:rsidR="006C6A35">
        <w:rPr>
          <w:snapToGrid/>
          <w:sz w:val="20"/>
        </w:rPr>
        <w:t xml:space="preserve"> (Market Concentration Would Enable Price Increases)</w:t>
      </w:r>
      <w:r w:rsidRPr="00EA78D0" w:rsidR="00B613E2">
        <w:rPr>
          <w:snapToGrid/>
          <w:sz w:val="20"/>
        </w:rPr>
        <w:t>.</w:t>
      </w:r>
    </w:p>
  </w:footnote>
  <w:footnote w:id="100">
    <w:p w:rsidR="00405306" w:rsidRPr="00EA78D0" w:rsidP="00EA78D0" w14:paraId="70C15B3B" w14:textId="7DF69227">
      <w:pPr>
        <w:pStyle w:val="FootnoteText"/>
      </w:pPr>
      <w:r w:rsidRPr="00EA78D0">
        <w:rPr>
          <w:rStyle w:val="FootnoteReference"/>
        </w:rPr>
        <w:footnoteRef/>
      </w:r>
      <w:r w:rsidRPr="00EA78D0">
        <w:t xml:space="preserve"> Public Interest Statement at 64</w:t>
      </w:r>
      <w:r w:rsidRPr="00EA78D0" w:rsidR="00663278">
        <w:t xml:space="preserve">; Fischer Decl. at 15; Applicants’ Reply, </w:t>
      </w:r>
      <w:r w:rsidRPr="00EA78D0" w:rsidR="00663278">
        <w:t>Exh</w:t>
      </w:r>
      <w:r w:rsidRPr="00EA78D0" w:rsidR="00663278">
        <w:t>. A (Decl</w:t>
      </w:r>
      <w:r w:rsidRPr="00EA78D0" w:rsidR="00261D04">
        <w:t>.</w:t>
      </w:r>
      <w:r w:rsidRPr="00EA78D0" w:rsidR="00663278">
        <w:t xml:space="preserve"> of Jessica Fischer) (Fischer Reply Decl. at 1.  </w:t>
      </w:r>
      <w:r w:rsidRPr="00EA78D0">
        <w:t>Applicants state that Charter will extend to Cox employees its practice of a minimum starting wage of at least $20 per hour—</w:t>
      </w:r>
      <w:r w:rsidRPr="00EA78D0" w:rsidR="00544FB3">
        <w:t xml:space="preserve">which they state is </w:t>
      </w:r>
      <w:r w:rsidRPr="00EA78D0">
        <w:t xml:space="preserve">above any state or federal minimum wage levels.  </w:t>
      </w:r>
      <w:r w:rsidRPr="00EA78D0" w:rsidR="00406DEF">
        <w:t xml:space="preserve">Public </w:t>
      </w:r>
      <w:r w:rsidRPr="00EA78D0" w:rsidR="0049029A">
        <w:t>Int</w:t>
      </w:r>
      <w:r w:rsidRPr="00EA78D0" w:rsidR="00406DEF">
        <w:t xml:space="preserve">erest </w:t>
      </w:r>
      <w:r w:rsidRPr="00EA78D0" w:rsidR="0049029A">
        <w:t>Statement at 64</w:t>
      </w:r>
      <w:r w:rsidRPr="00EA78D0">
        <w:rPr>
          <w:i/>
          <w:iCs/>
        </w:rPr>
        <w:t>.</w:t>
      </w:r>
      <w:r w:rsidRPr="00EA78D0">
        <w:t xml:space="preserve">  Charter will also extend its programs that aid U.S. veterans, guardsmen, reservists, and military spouses through apprenticeship programs and partnership programs with military bases.  </w:t>
      </w:r>
      <w:r w:rsidRPr="00EA78D0" w:rsidR="00632891">
        <w:t>Public Interest Statement</w:t>
      </w:r>
      <w:r w:rsidRPr="00EA78D0">
        <w:rPr>
          <w:i/>
          <w:iCs/>
        </w:rPr>
        <w:t xml:space="preserve"> </w:t>
      </w:r>
      <w:r w:rsidRPr="00EA78D0">
        <w:t xml:space="preserve">at 65.  Charter </w:t>
      </w:r>
      <w:r w:rsidRPr="00EA78D0" w:rsidR="00705C61">
        <w:t xml:space="preserve">states </w:t>
      </w:r>
      <w:r w:rsidRPr="00EA78D0" w:rsidR="007B1D4F">
        <w:t xml:space="preserve">it </w:t>
      </w:r>
      <w:r w:rsidRPr="00EA78D0">
        <w:t>will also continue its employee programs</w:t>
      </w:r>
      <w:r w:rsidRPr="00EA78D0" w:rsidR="00901E1F">
        <w:t>,</w:t>
      </w:r>
      <w:r w:rsidRPr="00EA78D0">
        <w:t xml:space="preserve"> which include debt-free degree and certificate programs, healthcare, retirement planning, discounted products, and stock purchase program.  </w:t>
      </w:r>
      <w:r w:rsidRPr="00EA78D0">
        <w:rPr>
          <w:i/>
          <w:iCs/>
        </w:rPr>
        <w:t>Id.</w:t>
      </w:r>
      <w:r w:rsidRPr="00EA78D0" w:rsidR="001B543B">
        <w:rPr>
          <w:i/>
          <w:iCs/>
        </w:rPr>
        <w:t xml:space="preserve"> </w:t>
      </w:r>
      <w:r w:rsidRPr="00EA78D0" w:rsidR="00657109">
        <w:rPr>
          <w:i/>
          <w:iCs/>
        </w:rPr>
        <w:t xml:space="preserve"> </w:t>
      </w:r>
      <w:r w:rsidRPr="00EA78D0" w:rsidR="001B543B">
        <w:rPr>
          <w:i/>
          <w:iCs/>
        </w:rPr>
        <w:t>See also</w:t>
      </w:r>
      <w:r w:rsidRPr="00EA78D0" w:rsidR="001B543B">
        <w:t xml:space="preserve"> </w:t>
      </w:r>
      <w:r w:rsidRPr="00EA78D0" w:rsidR="00D73C4B">
        <w:rPr>
          <w:i/>
          <w:iCs/>
        </w:rPr>
        <w:t>Charter Workforce Letter</w:t>
      </w:r>
      <w:r w:rsidRPr="00EA78D0" w:rsidR="00410222">
        <w:t xml:space="preserve"> at 1</w:t>
      </w:r>
      <w:r w:rsidRPr="00EA78D0" w:rsidR="001B543B">
        <w:t>.</w:t>
      </w:r>
    </w:p>
  </w:footnote>
  <w:footnote w:id="101">
    <w:p w:rsidR="007E21EF" w:rsidRPr="00EC0F91" w:rsidP="00EA78D0" w14:paraId="21BFFC51" w14:textId="30BD4D8B">
      <w:pPr>
        <w:pStyle w:val="FootnoteText"/>
      </w:pPr>
      <w:r w:rsidRPr="00EA78D0">
        <w:rPr>
          <w:rStyle w:val="FootnoteReference"/>
        </w:rPr>
        <w:footnoteRef/>
      </w:r>
      <w:r w:rsidRPr="00EA78D0">
        <w:t xml:space="preserve"> </w:t>
      </w:r>
      <w:r w:rsidRPr="00EA78D0" w:rsidR="00EC0F91">
        <w:rPr>
          <w:i/>
          <w:iCs/>
        </w:rPr>
        <w:t>Charter Workforce Letter</w:t>
      </w:r>
      <w:r w:rsidRPr="00EA78D0" w:rsidR="00EC0F91">
        <w:t xml:space="preserve"> at 1</w:t>
      </w:r>
      <w:r w:rsidR="002023D0">
        <w:t>.</w:t>
      </w:r>
    </w:p>
  </w:footnote>
  <w:footnote w:id="102">
    <w:p w:rsidR="00465D64" w:rsidRPr="00EA78D0" w:rsidP="00EA78D0" w14:paraId="6B4FC8D9" w14:textId="1E325961">
      <w:pPr>
        <w:pStyle w:val="FootnoteText"/>
      </w:pPr>
      <w:r w:rsidRPr="00EA78D0">
        <w:rPr>
          <w:rStyle w:val="FootnoteReference"/>
        </w:rPr>
        <w:footnoteRef/>
      </w:r>
      <w:r w:rsidRPr="00EA78D0">
        <w:t xml:space="preserve"> </w:t>
      </w:r>
      <w:r w:rsidRPr="00EA78D0" w:rsidR="004D6656">
        <w:rPr>
          <w:i/>
          <w:iCs/>
        </w:rPr>
        <w:t>Id.</w:t>
      </w:r>
      <w:r w:rsidRPr="00EA78D0" w:rsidR="004D6656">
        <w:t xml:space="preserve"> at </w:t>
      </w:r>
      <w:r w:rsidR="00437076">
        <w:t>2</w:t>
      </w:r>
      <w:r w:rsidRPr="00EA78D0" w:rsidR="00F41F3B">
        <w:t>.</w:t>
      </w:r>
    </w:p>
  </w:footnote>
  <w:footnote w:id="103">
    <w:p w:rsidR="001A0A03" w:rsidRPr="00EA78D0" w:rsidP="00EA78D0" w14:paraId="641EDDC9" w14:textId="1792F950">
      <w:pPr>
        <w:pStyle w:val="FootnoteText"/>
      </w:pPr>
      <w:r w:rsidRPr="00EA78D0">
        <w:rPr>
          <w:rStyle w:val="FootnoteReference"/>
        </w:rPr>
        <w:footnoteRef/>
      </w:r>
      <w:r w:rsidRPr="00EA78D0">
        <w:t xml:space="preserve"> </w:t>
      </w:r>
      <w:r w:rsidRPr="00EA78D0" w:rsidR="00FD6148">
        <w:t xml:space="preserve">Letter from </w:t>
      </w:r>
      <w:r w:rsidR="00910BFE">
        <w:t>Jamal Haughton, Executive Vice President, General Counsel &amp; Corporate Strategy</w:t>
      </w:r>
      <w:r w:rsidRPr="00EA78D0" w:rsidR="00170E99">
        <w:t xml:space="preserve">, </w:t>
      </w:r>
      <w:r w:rsidR="00273AAC">
        <w:t>Charter Communications,</w:t>
      </w:r>
      <w:r w:rsidRPr="00EA78D0" w:rsidR="00170E99">
        <w:t xml:space="preserve"> to Brendan Carr, Chairman, FCC</w:t>
      </w:r>
      <w:r w:rsidRPr="00EA78D0" w:rsidR="00760423">
        <w:t>, WC Docket No. 25-233</w:t>
      </w:r>
      <w:r w:rsidRPr="00EA78D0" w:rsidR="00F41F3B">
        <w:t xml:space="preserve"> (filed </w:t>
      </w:r>
      <w:r w:rsidR="00273AAC">
        <w:t>Feb. 2</w:t>
      </w:r>
      <w:r w:rsidR="000767AD">
        <w:t>7</w:t>
      </w:r>
      <w:r w:rsidR="00273AAC">
        <w:t>, 2026</w:t>
      </w:r>
      <w:r w:rsidRPr="00EA78D0" w:rsidR="00F41F3B">
        <w:t>).</w:t>
      </w:r>
    </w:p>
  </w:footnote>
  <w:footnote w:id="104">
    <w:p w:rsidR="00936C19" w:rsidRPr="00EA78D0" w:rsidP="00EA78D0" w14:paraId="6622D0C0" w14:textId="7FB49784">
      <w:pPr>
        <w:pStyle w:val="FootnoteText"/>
      </w:pPr>
      <w:r w:rsidRPr="00EA78D0">
        <w:rPr>
          <w:rStyle w:val="FootnoteReference"/>
        </w:rPr>
        <w:footnoteRef/>
      </w:r>
      <w:r w:rsidRPr="00EA78D0">
        <w:t xml:space="preserve"> </w:t>
      </w:r>
      <w:r w:rsidRPr="00EA78D0" w:rsidR="001A0A03">
        <w:rPr>
          <w:i/>
          <w:iCs/>
        </w:rPr>
        <w:t>Id.</w:t>
      </w:r>
      <w:r w:rsidRPr="00EA78D0" w:rsidR="001A0A03">
        <w:t xml:space="preserve"> at </w:t>
      </w:r>
      <w:r w:rsidR="004E409D">
        <w:t>1-3</w:t>
      </w:r>
      <w:r w:rsidRPr="00EA78D0" w:rsidR="001A0A03">
        <w:t>.</w:t>
      </w:r>
    </w:p>
  </w:footnote>
  <w:footnote w:id="105">
    <w:p w:rsidR="00121ACE" w:rsidRPr="00EA78D0" w:rsidP="00EA78D0" w14:paraId="17ECFBF0" w14:textId="7398FE98">
      <w:pPr>
        <w:pStyle w:val="FootnoteText"/>
      </w:pPr>
      <w:r w:rsidRPr="00EA78D0">
        <w:rPr>
          <w:rStyle w:val="FootnoteReference"/>
        </w:rPr>
        <w:footnoteRef/>
      </w:r>
      <w:r w:rsidRPr="00EA78D0">
        <w:t xml:space="preserve"> </w:t>
      </w:r>
      <w:r w:rsidRPr="00EA78D0">
        <w:rPr>
          <w:i/>
          <w:iCs/>
        </w:rPr>
        <w:t>See, e.g.</w:t>
      </w:r>
      <w:r w:rsidRPr="00EA78D0">
        <w:t xml:space="preserve">, </w:t>
      </w:r>
      <w:r w:rsidRPr="00EA78D0" w:rsidR="000A4BCF">
        <w:rPr>
          <w:i/>
          <w:iCs/>
        </w:rPr>
        <w:t>CenturyLink-Qwest Order,</w:t>
      </w:r>
      <w:r w:rsidRPr="00EA78D0" w:rsidR="000A4BCF">
        <w:t xml:space="preserve"> </w:t>
      </w:r>
      <w:r w:rsidRPr="00EA78D0">
        <w:t xml:space="preserve">26 FCC Rcd </w:t>
      </w:r>
      <w:r w:rsidRPr="00EA78D0" w:rsidR="000A4BCF">
        <w:t>at</w:t>
      </w:r>
      <w:r w:rsidRPr="00EA78D0">
        <w:t xml:space="preserve"> 4202</w:t>
      </w:r>
      <w:r w:rsidRPr="00EA78D0" w:rsidR="00AE0BF1">
        <w:t>, para.</w:t>
      </w:r>
      <w:r w:rsidRPr="00EA78D0">
        <w:t xml:space="preserve"> 15, 4212</w:t>
      </w:r>
      <w:r w:rsidRPr="00EA78D0" w:rsidR="00AE0BF1">
        <w:t>, para.</w:t>
      </w:r>
      <w:r w:rsidRPr="00EA78D0">
        <w:t xml:space="preserve"> 39; </w:t>
      </w:r>
      <w:r w:rsidRPr="00EA78D0">
        <w:rPr>
          <w:i/>
          <w:iCs/>
        </w:rPr>
        <w:t>Alaska Wireless/GCI Order</w:t>
      </w:r>
      <w:r w:rsidRPr="00EA78D0">
        <w:t>, 28 FCC Rcd at 10472-73</w:t>
      </w:r>
      <w:r w:rsidRPr="00EA78D0" w:rsidR="00501934">
        <w:t>, paras.</w:t>
      </w:r>
      <w:r w:rsidRPr="00EA78D0">
        <w:t xml:space="preserve"> 100-101;</w:t>
      </w:r>
      <w:r w:rsidRPr="00EA78D0" w:rsidR="0039748A">
        <w:rPr>
          <w:i/>
        </w:rPr>
        <w:t xml:space="preserve"> CenturyLink-Level 3 Order</w:t>
      </w:r>
      <w:r w:rsidRPr="00EA78D0" w:rsidR="009078FC">
        <w:rPr>
          <w:i/>
          <w:iCs/>
        </w:rPr>
        <w:t xml:space="preserve">, </w:t>
      </w:r>
      <w:r w:rsidRPr="00EA78D0" w:rsidR="009078FC">
        <w:t xml:space="preserve">32 FCC Rcd </w:t>
      </w:r>
      <w:r w:rsidRPr="00EA78D0" w:rsidR="0039748A">
        <w:t>at</w:t>
      </w:r>
      <w:r w:rsidRPr="00EA78D0">
        <w:t xml:space="preserve"> 9605</w:t>
      </w:r>
      <w:r w:rsidRPr="00EA78D0" w:rsidR="00501934">
        <w:t>, paras.</w:t>
      </w:r>
      <w:r w:rsidRPr="00EA78D0">
        <w:t xml:space="preserve"> 52-53; </w:t>
      </w:r>
      <w:r w:rsidRPr="00EA78D0">
        <w:rPr>
          <w:i/>
          <w:iCs/>
        </w:rPr>
        <w:t>Applications of XO Holdings and Verizon Communications Inc. For Consent to Transfer Control of Licenses and Authorizations</w:t>
      </w:r>
      <w:r w:rsidRPr="00EA78D0">
        <w:t>, Memorandum Opinion and Order, 31 FCC Rcd 12501, 12534</w:t>
      </w:r>
      <w:r w:rsidRPr="00EA78D0" w:rsidR="00501934">
        <w:t>, para.</w:t>
      </w:r>
      <w:r w:rsidRPr="00EA78D0">
        <w:t xml:space="preserve"> 61 (WCB</w:t>
      </w:r>
      <w:r w:rsidRPr="00EA78D0" w:rsidR="00EB3A90">
        <w:t xml:space="preserve">, </w:t>
      </w:r>
      <w:r w:rsidRPr="00EA78D0">
        <w:t>IB</w:t>
      </w:r>
      <w:r w:rsidRPr="00EA78D0" w:rsidR="00EB3A90">
        <w:t xml:space="preserve">, </w:t>
      </w:r>
      <w:r w:rsidRPr="00EA78D0">
        <w:t>WTB 2016).</w:t>
      </w:r>
    </w:p>
  </w:footnote>
  <w:footnote w:id="106">
    <w:p w:rsidR="00B23A48" w:rsidRPr="00EA78D0" w:rsidP="00EA78D0" w14:paraId="65317D98" w14:textId="18B4E3C8">
      <w:pPr>
        <w:pStyle w:val="FootnoteText"/>
      </w:pPr>
      <w:r w:rsidRPr="00EA78D0">
        <w:rPr>
          <w:rStyle w:val="FootnoteReference"/>
        </w:rPr>
        <w:footnoteRef/>
      </w:r>
      <w:r w:rsidRPr="00EA78D0">
        <w:t xml:space="preserve"> </w:t>
      </w:r>
      <w:r w:rsidRPr="00EA78D0" w:rsidR="00C846B6">
        <w:t xml:space="preserve">We note that </w:t>
      </w:r>
      <w:r w:rsidRPr="00EA78D0" w:rsidR="00117ED5">
        <w:t>eight of the</w:t>
      </w:r>
      <w:r w:rsidRPr="00EA78D0" w:rsidR="00572EA3">
        <w:t xml:space="preserve"> Cox subsidiaries </w:t>
      </w:r>
      <w:r w:rsidRPr="00EA78D0" w:rsidR="00C846B6">
        <w:t>listed</w:t>
      </w:r>
      <w:r w:rsidRPr="00EA78D0" w:rsidR="00572EA3">
        <w:t xml:space="preserve"> </w:t>
      </w:r>
      <w:r w:rsidRPr="00EA78D0" w:rsidR="00E80406">
        <w:t xml:space="preserve">in this Appendix </w:t>
      </w:r>
      <w:r w:rsidRPr="00EA78D0" w:rsidR="00C846B6">
        <w:t xml:space="preserve">are corporations </w:t>
      </w:r>
      <w:r w:rsidRPr="00EA78D0" w:rsidR="00E80406">
        <w:t>that were</w:t>
      </w:r>
      <w:r w:rsidRPr="00EA78D0" w:rsidR="00572EA3">
        <w:t xml:space="preserve"> co</w:t>
      </w:r>
      <w:r w:rsidRPr="00EA78D0" w:rsidR="00DB70F0">
        <w:t>n</w:t>
      </w:r>
      <w:r w:rsidRPr="00EA78D0" w:rsidR="00572EA3">
        <w:t xml:space="preserve">verted </w:t>
      </w:r>
      <w:r w:rsidRPr="00EA78D0" w:rsidR="00C846B6">
        <w:t xml:space="preserve">to limited liability companies </w:t>
      </w:r>
      <w:r w:rsidRPr="00EA78D0" w:rsidR="00572EA3">
        <w:t xml:space="preserve">at the end of 2025. </w:t>
      </w:r>
      <w:r w:rsidRPr="00EA78D0" w:rsidR="00572EA3">
        <w:rPr>
          <w:i/>
          <w:iCs/>
        </w:rPr>
        <w:t xml:space="preserve"> See</w:t>
      </w:r>
      <w:r w:rsidRPr="00EA78D0" w:rsidR="00572EA3">
        <w:t xml:space="preserve"> Second Supplement at </w:t>
      </w:r>
      <w:r w:rsidRPr="00EA78D0" w:rsidR="00DB70F0">
        <w:t>1-2.</w:t>
      </w:r>
    </w:p>
  </w:footnote>
  <w:footnote w:id="107">
    <w:p w:rsidR="002719C9" w:rsidRPr="00EA78D0" w:rsidP="00EA78D0" w14:paraId="52217A64" w14:textId="77777777">
      <w:pPr>
        <w:pStyle w:val="FootnoteText"/>
      </w:pPr>
      <w:r w:rsidRPr="00EA78D0">
        <w:rPr>
          <w:rStyle w:val="FootnoteReference"/>
        </w:rPr>
        <w:footnoteRef/>
      </w:r>
      <w:r w:rsidRPr="00EA78D0">
        <w:t xml:space="preserve"> 47 CFR § 63.04.</w:t>
      </w:r>
    </w:p>
  </w:footnote>
  <w:footnote w:id="108">
    <w:p w:rsidR="00C87F74" w:rsidRPr="00EA78D0" w:rsidP="00EA78D0" w14:paraId="60FB0126" w14:textId="4D24EF0B">
      <w:pPr>
        <w:pStyle w:val="FootnoteText"/>
      </w:pPr>
      <w:r w:rsidRPr="00EA78D0">
        <w:rPr>
          <w:rStyle w:val="FootnoteReference"/>
        </w:rPr>
        <w:footnoteRef/>
      </w:r>
      <w:r w:rsidRPr="00EA78D0">
        <w:t xml:space="preserve"> File Number 0011626660 was withdrawn by the parties after the licenses included in that application were voluntarily cancelled.</w:t>
      </w:r>
    </w:p>
  </w:footnote>
  <w:footnote w:id="109">
    <w:p w:rsidR="00EA78D0" w:rsidP="00EA78D0" w14:paraId="5DC8AF0F" w14:textId="1ABA7395">
      <w:pPr>
        <w:pStyle w:val="FootnoteText"/>
      </w:pPr>
      <w:r w:rsidRPr="00EA78D0">
        <w:rPr>
          <w:rStyle w:val="FootnoteReference"/>
        </w:rPr>
        <w:footnoteRef/>
      </w:r>
      <w:r w:rsidRPr="00EA78D0">
        <w:t xml:space="preserve"> File Number 0011907851 was filed by the parties after the issuance of the Public Notice because the included licenses were initially granted after the filing of the transaction</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A25E5B" w14:paraId="0A3A7BF5" w14:textId="19165DA9">
    <w:pPr>
      <w:pStyle w:val="Header"/>
    </w:pPr>
    <w:r>
      <w:tab/>
      <w:t>Federal Communications Commission</w:t>
    </w:r>
    <w:r>
      <w:tab/>
    </w:r>
    <w:r w:rsidR="005860CA">
      <w:t xml:space="preserve">DA </w:t>
    </w:r>
    <w:r w:rsidR="00A31F6F">
      <w:t>26-211</w:t>
    </w:r>
  </w:p>
  <w:p w:rsidR="00D25FB5" w14:paraId="00B2112B" w14:textId="13637333">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1914585448"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xtLst>
                        <a:ext xmlns:a="http://schemas.openxmlformats.org/drawingml/2006/main"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D25FB5" w14:paraId="4A4943B6" w14:textId="77777777">
    <w:pPr>
      <w:spacing w:after="389"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A25E5B" w14:paraId="763D22D0" w14:textId="7901331C">
    <w:pPr>
      <w:pStyle w:val="Header"/>
    </w:pPr>
    <w:r>
      <w:rPr>
        <w:noProof/>
      </w:rPr>
      <mc:AlternateContent>
        <mc:Choice Requires="wps">
          <w:drawing>
            <wp:anchor distT="0" distB="0" distL="114300" distR="114300" simplePos="0" relativeHeight="251660288" behindDoc="1" locked="0" layoutInCell="0" allowOverlap="1">
              <wp:simplePos x="0" y="0"/>
              <wp:positionH relativeFrom="margin">
                <wp:posOffset>7620</wp:posOffset>
              </wp:positionH>
              <wp:positionV relativeFrom="paragraph">
                <wp:posOffset>160655</wp:posOffset>
              </wp:positionV>
              <wp:extent cx="5943600" cy="12065"/>
              <wp:effectExtent l="0" t="0" r="1905" b="0"/>
              <wp:wrapNone/>
              <wp:docPr id="1031557723"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xtLst>
                        <a:ext xmlns:a="http://schemas.openxmlformats.org/drawingml/2006/main"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2050"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5168" o:allowincell="f" fillcolor="black" stroked="f" strokeweight="0.05pt">
              <w10:wrap anchorx="margin"/>
            </v:rect>
          </w:pict>
        </mc:Fallback>
      </mc:AlternateContent>
    </w:r>
    <w:r>
      <w:tab/>
      <w:t>Federal Communications Commission</w:t>
    </w:r>
    <w:r>
      <w:tab/>
    </w:r>
    <w:r w:rsidRPr="00FB3644" w:rsidR="003B7887">
      <w:rPr>
        <w:spacing w:val="-2"/>
      </w:rPr>
      <w:t xml:space="preserve">DA </w:t>
    </w:r>
    <w:r w:rsidRPr="00FB3644" w:rsidR="00306AE0">
      <w:rPr>
        <w:spacing w:val="-2"/>
      </w:rPr>
      <w:t>26-</w:t>
    </w:r>
    <w:r w:rsidR="00A31F6F">
      <w:rPr>
        <w:spacing w:val="-2"/>
      </w:rPr>
      <w:t>211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625FB"/>
    <w:multiLevelType w:val="hybridMultilevel"/>
    <w:tmpl w:val="CEB45B76"/>
    <w:lvl w:ilvl="0">
      <w:start w:val="1"/>
      <w:numFmt w:val="decimal"/>
      <w:lvlText w:val="%1."/>
      <w:lvlJc w:val="left"/>
      <w:pPr>
        <w:ind w:left="36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5246EC7"/>
    <w:multiLevelType w:val="hybridMultilevel"/>
    <w:tmpl w:val="262CBB90"/>
    <w:lvl w:ilvl="0">
      <w:start w:val="33"/>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4B453C"/>
    <w:multiLevelType w:val="singleLevel"/>
    <w:tmpl w:val="40A8E97A"/>
    <w:lvl w:ilvl="0">
      <w:start w:val="1"/>
      <w:numFmt w:val="decimal"/>
      <w:lvlText w:val="%1."/>
      <w:lvlJc w:val="left"/>
      <w:pPr>
        <w:tabs>
          <w:tab w:val="num" w:pos="1080"/>
        </w:tabs>
        <w:ind w:left="0" w:firstLine="720"/>
      </w:pPr>
    </w:lvl>
  </w:abstractNum>
  <w:abstractNum w:abstractNumId="3">
    <w:nsid w:val="2059305A"/>
    <w:multiLevelType w:val="multilevel"/>
    <w:tmpl w:val="5A5E639A"/>
    <w:lvl w:ilvl="0">
      <w:start w:val="1"/>
      <w:numFmt w:val="bullet"/>
      <w:lvlText w:val=""/>
      <w:lvlJc w:val="left"/>
      <w:pPr>
        <w:tabs>
          <w:tab w:val="num" w:pos="720"/>
        </w:tabs>
        <w:ind w:left="720" w:hanging="360"/>
      </w:pPr>
      <w:rPr>
        <w:rFonts w:ascii="Wingdings" w:hAnsi="Wingdings" w:hint="default"/>
        <w:sz w:val="20"/>
      </w:rPr>
    </w:lvl>
    <w:lvl w:ilvl="1">
      <w:start w:val="1"/>
      <w:numFmt w:val="upperLetter"/>
      <w:lvlText w:val="%2."/>
      <w:lvlJc w:val="left"/>
      <w:pPr>
        <w:ind w:left="1440" w:hanging="360"/>
      </w:pPr>
      <w:rPr>
        <w:rFonts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5">
    <w:nsid w:val="248246F3"/>
    <w:multiLevelType w:val="singleLevel"/>
    <w:tmpl w:val="B1F45678"/>
    <w:lvl w:ilvl="0">
      <w:start w:val="1"/>
      <w:numFmt w:val="decimal"/>
      <w:lvlText w:val="%1."/>
      <w:lvlJc w:val="left"/>
      <w:pPr>
        <w:tabs>
          <w:tab w:val="num" w:pos="1080"/>
        </w:tabs>
        <w:ind w:left="0" w:firstLine="720"/>
      </w:pPr>
    </w:lvl>
  </w:abstractNum>
  <w:abstractNum w:abstractNumId="6">
    <w:nsid w:val="270A7578"/>
    <w:multiLevelType w:val="hybridMultilevel"/>
    <w:tmpl w:val="812C04DA"/>
    <w:lvl w:ilvl="0">
      <w:start w:val="1"/>
      <w:numFmt w:val="decimal"/>
      <w:lvlText w:val="%1."/>
      <w:lvlJc w:val="left"/>
      <w:pPr>
        <w:ind w:left="180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78F49E2"/>
    <w:multiLevelType w:val="multilevel"/>
    <w:tmpl w:val="39C6E0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9">
    <w:nsid w:val="38781594"/>
    <w:multiLevelType w:val="hybridMultilevel"/>
    <w:tmpl w:val="2154D7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52F57BE"/>
    <w:multiLevelType w:val="multilevel"/>
    <w:tmpl w:val="EEB2E604"/>
    <w:lvl w:ilvl="0">
      <w:start w:val="1"/>
      <w:numFmt w:val="upperLetter"/>
      <w:suff w:val="space"/>
      <w:lvlText w:val="Appendix %1: "/>
      <w:lvlJc w:val="center"/>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AppendixParaNum"/>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494941A1"/>
    <w:multiLevelType w:val="multilevel"/>
    <w:tmpl w:val="70E8D366"/>
    <w:styleLink w:val="PNOrderedList"/>
    <w:lvl w:ilvl="0">
      <w:start w:val="1"/>
      <w:numFmt w:val="decimal"/>
      <w:lvlText w:val="%1."/>
      <w:lvlJc w:val="left"/>
      <w:pPr>
        <w:ind w:left="0" w:firstLine="720"/>
      </w:pPr>
      <w:rPr>
        <w:rFonts w:hint="default"/>
      </w:rPr>
    </w:lvl>
    <w:lvl w:ilvl="1">
      <w:start w:val="1"/>
      <w:numFmt w:val="lowerLetter"/>
      <w:lvlText w:val="%2."/>
      <w:lvlJc w:val="left"/>
      <w:pPr>
        <w:ind w:left="180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tabs>
          <w:tab w:val="num" w:pos="7200"/>
        </w:tabs>
        <w:ind w:left="3960" w:hanging="360"/>
      </w:pPr>
      <w:rPr>
        <w:rFonts w:hint="default"/>
      </w:rPr>
    </w:lvl>
    <w:lvl w:ilvl="8">
      <w:start w:val="1"/>
      <w:numFmt w:val="lowerRoman"/>
      <w:lvlText w:val="%9."/>
      <w:lvlJc w:val="left"/>
      <w:pPr>
        <w:ind w:left="4320" w:hanging="360"/>
      </w:pPr>
      <w:rPr>
        <w:rFonts w:hint="default"/>
      </w:rPr>
    </w:lvl>
  </w:abstractNum>
  <w:abstractNum w:abstractNumId="12">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nsid w:val="58865E6A"/>
    <w:multiLevelType w:val="multilevel"/>
    <w:tmpl w:val="90A479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1182925"/>
    <w:multiLevelType w:val="singleLevel"/>
    <w:tmpl w:val="D9B45E4C"/>
    <w:lvl w:ilvl="0">
      <w:start w:val="1"/>
      <w:numFmt w:val="decimal"/>
      <w:pStyle w:val="ParaNum"/>
      <w:lvlText w:val="%1."/>
      <w:lvlJc w:val="left"/>
      <w:pPr>
        <w:tabs>
          <w:tab w:val="num" w:pos="990"/>
        </w:tabs>
        <w:ind w:left="-90" w:firstLine="720"/>
      </w:pPr>
      <w:rPr>
        <w:color w:val="auto"/>
      </w:rPr>
    </w:lvl>
  </w:abstractNum>
  <w:abstractNum w:abstractNumId="15">
    <w:nsid w:val="652A4F6E"/>
    <w:multiLevelType w:val="hybridMultilevel"/>
    <w:tmpl w:val="C3BA2946"/>
    <w:lvl w:ilvl="0">
      <w:start w:val="38"/>
      <w:numFmt w:val="decimal"/>
      <w:lvlText w:val="%1."/>
      <w:lvlJc w:val="left"/>
      <w:pPr>
        <w:ind w:left="108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6A700D6C"/>
    <w:multiLevelType w:val="hybridMultilevel"/>
    <w:tmpl w:val="23087354"/>
    <w:lvl w:ilvl="0">
      <w:start w:val="35"/>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C2976D8"/>
    <w:multiLevelType w:val="hybridMultilevel"/>
    <w:tmpl w:val="08A85222"/>
    <w:lvl w:ilvl="0">
      <w:start w:val="3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49299601">
    <w:abstractNumId w:val="4"/>
  </w:num>
  <w:num w:numId="2" w16cid:durableId="1766802621">
    <w:abstractNumId w:val="14"/>
  </w:num>
  <w:num w:numId="3" w16cid:durableId="1394960922">
    <w:abstractNumId w:val="8"/>
  </w:num>
  <w:num w:numId="4" w16cid:durableId="672493145">
    <w:abstractNumId w:val="12"/>
  </w:num>
  <w:num w:numId="5" w16cid:durableId="401832306">
    <w:abstractNumId w:val="5"/>
  </w:num>
  <w:num w:numId="6" w16cid:durableId="1792429845">
    <w:abstractNumId w:val="2"/>
  </w:num>
  <w:num w:numId="7" w16cid:durableId="122163043">
    <w:abstractNumId w:val="0"/>
  </w:num>
  <w:num w:numId="8" w16cid:durableId="1578125881">
    <w:abstractNumId w:val="6"/>
  </w:num>
  <w:num w:numId="9" w16cid:durableId="133329922">
    <w:abstractNumId w:val="3"/>
  </w:num>
  <w:num w:numId="10" w16cid:durableId="2055735188">
    <w:abstractNumId w:val="9"/>
  </w:num>
  <w:num w:numId="11" w16cid:durableId="1325622733">
    <w:abstractNumId w:val="13"/>
  </w:num>
  <w:num w:numId="12" w16cid:durableId="2019233199">
    <w:abstractNumId w:val="7"/>
  </w:num>
  <w:num w:numId="13" w16cid:durableId="1163275802">
    <w:abstractNumId w:val="15"/>
  </w:num>
  <w:num w:numId="14" w16cid:durableId="1483157632">
    <w:abstractNumId w:val="16"/>
  </w:num>
  <w:num w:numId="15" w16cid:durableId="1003701626">
    <w:abstractNumId w:val="14"/>
    <w:lvlOverride w:ilvl="0">
      <w:startOverride w:val="1"/>
    </w:lvlOverride>
  </w:num>
  <w:num w:numId="16" w16cid:durableId="53703811">
    <w:abstractNumId w:val="14"/>
    <w:lvlOverride w:ilvl="0">
      <w:startOverride w:val="1"/>
    </w:lvlOverride>
  </w:num>
  <w:num w:numId="17" w16cid:durableId="1175026498">
    <w:abstractNumId w:val="14"/>
    <w:lvlOverride w:ilvl="0">
      <w:startOverride w:val="1"/>
    </w:lvlOverride>
  </w:num>
  <w:num w:numId="18" w16cid:durableId="933127248">
    <w:abstractNumId w:val="14"/>
    <w:lvlOverride w:ilvl="0">
      <w:startOverride w:val="1"/>
    </w:lvlOverride>
  </w:num>
  <w:num w:numId="19" w16cid:durableId="1896547400">
    <w:abstractNumId w:val="14"/>
    <w:lvlOverride w:ilvl="0">
      <w:startOverride w:val="1"/>
    </w:lvlOverride>
  </w:num>
  <w:num w:numId="20" w16cid:durableId="700856517">
    <w:abstractNumId w:val="14"/>
    <w:lvlOverride w:ilvl="0">
      <w:startOverride w:val="1"/>
    </w:lvlOverride>
  </w:num>
  <w:num w:numId="21" w16cid:durableId="2026057687">
    <w:abstractNumId w:val="14"/>
    <w:lvlOverride w:ilvl="0">
      <w:startOverride w:val="1"/>
    </w:lvlOverride>
  </w:num>
  <w:num w:numId="22" w16cid:durableId="631519995">
    <w:abstractNumId w:val="14"/>
    <w:lvlOverride w:ilvl="0">
      <w:startOverride w:val="1"/>
    </w:lvlOverride>
  </w:num>
  <w:num w:numId="23" w16cid:durableId="1423062889">
    <w:abstractNumId w:val="14"/>
    <w:lvlOverride w:ilvl="0">
      <w:startOverride w:val="1"/>
    </w:lvlOverride>
  </w:num>
  <w:num w:numId="24" w16cid:durableId="1209881841">
    <w:abstractNumId w:val="14"/>
    <w:lvlOverride w:ilvl="0">
      <w:startOverride w:val="1"/>
    </w:lvlOverride>
  </w:num>
  <w:num w:numId="25" w16cid:durableId="1362124484">
    <w:abstractNumId w:val="14"/>
    <w:lvlOverride w:ilvl="0">
      <w:startOverride w:val="1"/>
    </w:lvlOverride>
  </w:num>
  <w:num w:numId="26" w16cid:durableId="379137484">
    <w:abstractNumId w:val="14"/>
    <w:lvlOverride w:ilvl="0">
      <w:startOverride w:val="1"/>
    </w:lvlOverride>
  </w:num>
  <w:num w:numId="27" w16cid:durableId="857741762">
    <w:abstractNumId w:val="14"/>
    <w:lvlOverride w:ilvl="0">
      <w:startOverride w:val="1"/>
    </w:lvlOverride>
  </w:num>
  <w:num w:numId="28" w16cid:durableId="1251505053">
    <w:abstractNumId w:val="14"/>
    <w:lvlOverride w:ilvl="0">
      <w:startOverride w:val="1"/>
    </w:lvlOverride>
  </w:num>
  <w:num w:numId="29" w16cid:durableId="958146919">
    <w:abstractNumId w:val="14"/>
    <w:lvlOverride w:ilvl="0">
      <w:startOverride w:val="1"/>
    </w:lvlOverride>
  </w:num>
  <w:num w:numId="30" w16cid:durableId="633408853">
    <w:abstractNumId w:val="14"/>
    <w:lvlOverride w:ilvl="0">
      <w:startOverride w:val="1"/>
    </w:lvlOverride>
  </w:num>
  <w:num w:numId="31" w16cid:durableId="52311905">
    <w:abstractNumId w:val="14"/>
    <w:lvlOverride w:ilvl="0">
      <w:startOverride w:val="1"/>
    </w:lvlOverride>
  </w:num>
  <w:num w:numId="32" w16cid:durableId="139854817">
    <w:abstractNumId w:val="14"/>
    <w:lvlOverride w:ilvl="0">
      <w:startOverride w:val="1"/>
    </w:lvlOverride>
  </w:num>
  <w:num w:numId="33" w16cid:durableId="242690886">
    <w:abstractNumId w:val="14"/>
    <w:lvlOverride w:ilvl="0">
      <w:startOverride w:val="1"/>
    </w:lvlOverride>
  </w:num>
  <w:num w:numId="34" w16cid:durableId="1094472549">
    <w:abstractNumId w:val="14"/>
    <w:lvlOverride w:ilvl="0">
      <w:startOverride w:val="1"/>
    </w:lvlOverride>
  </w:num>
  <w:num w:numId="35" w16cid:durableId="188032863">
    <w:abstractNumId w:val="14"/>
    <w:lvlOverride w:ilvl="0">
      <w:startOverride w:val="1"/>
    </w:lvlOverride>
  </w:num>
  <w:num w:numId="36" w16cid:durableId="1457404548">
    <w:abstractNumId w:val="14"/>
  </w:num>
  <w:num w:numId="37" w16cid:durableId="1281647823">
    <w:abstractNumId w:val="14"/>
    <w:lvlOverride w:ilvl="0">
      <w:startOverride w:val="1"/>
    </w:lvlOverride>
  </w:num>
  <w:num w:numId="38" w16cid:durableId="813639905">
    <w:abstractNumId w:val="10"/>
  </w:num>
  <w:num w:numId="39" w16cid:durableId="434133336">
    <w:abstractNumId w:val="11"/>
  </w:num>
  <w:num w:numId="40" w16cid:durableId="2044405591">
    <w:abstractNumId w:val="17"/>
  </w:num>
  <w:num w:numId="41" w16cid:durableId="538396501">
    <w:abstractNumId w:val="8"/>
  </w:num>
  <w:num w:numId="42" w16cid:durableId="1212693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numRestart w:val="eachSect"/>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9C9"/>
    <w:rsid w:val="0000011E"/>
    <w:rsid w:val="000006BD"/>
    <w:rsid w:val="0000088E"/>
    <w:rsid w:val="00001A9D"/>
    <w:rsid w:val="00002049"/>
    <w:rsid w:val="00002647"/>
    <w:rsid w:val="00002A89"/>
    <w:rsid w:val="00003192"/>
    <w:rsid w:val="000033CC"/>
    <w:rsid w:val="00003EE9"/>
    <w:rsid w:val="0000436A"/>
    <w:rsid w:val="0000549B"/>
    <w:rsid w:val="000055C3"/>
    <w:rsid w:val="0000571B"/>
    <w:rsid w:val="00005925"/>
    <w:rsid w:val="00005BFD"/>
    <w:rsid w:val="00006C94"/>
    <w:rsid w:val="0000722E"/>
    <w:rsid w:val="00010345"/>
    <w:rsid w:val="00010581"/>
    <w:rsid w:val="0001089A"/>
    <w:rsid w:val="00010DC0"/>
    <w:rsid w:val="000121FB"/>
    <w:rsid w:val="0001238B"/>
    <w:rsid w:val="00012CA8"/>
    <w:rsid w:val="00013170"/>
    <w:rsid w:val="000137F8"/>
    <w:rsid w:val="000139AF"/>
    <w:rsid w:val="00014062"/>
    <w:rsid w:val="00014158"/>
    <w:rsid w:val="000143FC"/>
    <w:rsid w:val="00014B36"/>
    <w:rsid w:val="00014CD9"/>
    <w:rsid w:val="00015264"/>
    <w:rsid w:val="000158F9"/>
    <w:rsid w:val="0001687A"/>
    <w:rsid w:val="00016F05"/>
    <w:rsid w:val="00017E53"/>
    <w:rsid w:val="00017FAC"/>
    <w:rsid w:val="00020078"/>
    <w:rsid w:val="0002071D"/>
    <w:rsid w:val="00020F13"/>
    <w:rsid w:val="00021653"/>
    <w:rsid w:val="00021E47"/>
    <w:rsid w:val="00021F9A"/>
    <w:rsid w:val="00022599"/>
    <w:rsid w:val="00022C1B"/>
    <w:rsid w:val="00022E2C"/>
    <w:rsid w:val="00023F98"/>
    <w:rsid w:val="00024100"/>
    <w:rsid w:val="000241C2"/>
    <w:rsid w:val="000241F3"/>
    <w:rsid w:val="000243D5"/>
    <w:rsid w:val="0002450F"/>
    <w:rsid w:val="000247D9"/>
    <w:rsid w:val="0002486F"/>
    <w:rsid w:val="00025C87"/>
    <w:rsid w:val="00026284"/>
    <w:rsid w:val="00026B0A"/>
    <w:rsid w:val="00027876"/>
    <w:rsid w:val="00030590"/>
    <w:rsid w:val="00030D2A"/>
    <w:rsid w:val="0003103A"/>
    <w:rsid w:val="0003128B"/>
    <w:rsid w:val="000318F8"/>
    <w:rsid w:val="00032A93"/>
    <w:rsid w:val="00032EEE"/>
    <w:rsid w:val="00032FA8"/>
    <w:rsid w:val="0003358D"/>
    <w:rsid w:val="0003441C"/>
    <w:rsid w:val="00034677"/>
    <w:rsid w:val="00035A41"/>
    <w:rsid w:val="00035A5F"/>
    <w:rsid w:val="00036039"/>
    <w:rsid w:val="000361DA"/>
    <w:rsid w:val="0003631D"/>
    <w:rsid w:val="00036725"/>
    <w:rsid w:val="00037921"/>
    <w:rsid w:val="000379F2"/>
    <w:rsid w:val="00037F90"/>
    <w:rsid w:val="000400B9"/>
    <w:rsid w:val="00040A3E"/>
    <w:rsid w:val="00040A42"/>
    <w:rsid w:val="00040B1C"/>
    <w:rsid w:val="00040BFC"/>
    <w:rsid w:val="000414F4"/>
    <w:rsid w:val="00041620"/>
    <w:rsid w:val="000418BD"/>
    <w:rsid w:val="0004198A"/>
    <w:rsid w:val="00042210"/>
    <w:rsid w:val="00042358"/>
    <w:rsid w:val="00042C00"/>
    <w:rsid w:val="00042FF4"/>
    <w:rsid w:val="000442FF"/>
    <w:rsid w:val="00044E1B"/>
    <w:rsid w:val="0004519E"/>
    <w:rsid w:val="0004557F"/>
    <w:rsid w:val="00045BE2"/>
    <w:rsid w:val="000460B9"/>
    <w:rsid w:val="000466F8"/>
    <w:rsid w:val="000471A6"/>
    <w:rsid w:val="00047966"/>
    <w:rsid w:val="00047ADA"/>
    <w:rsid w:val="00047ED1"/>
    <w:rsid w:val="000513A1"/>
    <w:rsid w:val="00052568"/>
    <w:rsid w:val="000529F0"/>
    <w:rsid w:val="00053768"/>
    <w:rsid w:val="00054698"/>
    <w:rsid w:val="00054B17"/>
    <w:rsid w:val="000550C4"/>
    <w:rsid w:val="00056389"/>
    <w:rsid w:val="00056DAE"/>
    <w:rsid w:val="00057095"/>
    <w:rsid w:val="00057B65"/>
    <w:rsid w:val="00057CA3"/>
    <w:rsid w:val="0006030D"/>
    <w:rsid w:val="000604C3"/>
    <w:rsid w:val="0006085E"/>
    <w:rsid w:val="00060A11"/>
    <w:rsid w:val="00060E7B"/>
    <w:rsid w:val="00061375"/>
    <w:rsid w:val="0006181D"/>
    <w:rsid w:val="00061836"/>
    <w:rsid w:val="00061C1C"/>
    <w:rsid w:val="00061DC3"/>
    <w:rsid w:val="00062377"/>
    <w:rsid w:val="000627D9"/>
    <w:rsid w:val="00064070"/>
    <w:rsid w:val="00064DF5"/>
    <w:rsid w:val="00064F97"/>
    <w:rsid w:val="00065365"/>
    <w:rsid w:val="0006584F"/>
    <w:rsid w:val="00065B09"/>
    <w:rsid w:val="00066516"/>
    <w:rsid w:val="00066A20"/>
    <w:rsid w:val="000671AA"/>
    <w:rsid w:val="00067B66"/>
    <w:rsid w:val="000702A7"/>
    <w:rsid w:val="00070E4E"/>
    <w:rsid w:val="00071A51"/>
    <w:rsid w:val="00071B0C"/>
    <w:rsid w:val="0007263C"/>
    <w:rsid w:val="0007284F"/>
    <w:rsid w:val="00072CC4"/>
    <w:rsid w:val="0007372B"/>
    <w:rsid w:val="000737D8"/>
    <w:rsid w:val="00073AF8"/>
    <w:rsid w:val="00073D40"/>
    <w:rsid w:val="00074341"/>
    <w:rsid w:val="0007469A"/>
    <w:rsid w:val="000767AD"/>
    <w:rsid w:val="00076829"/>
    <w:rsid w:val="00076A38"/>
    <w:rsid w:val="000772AF"/>
    <w:rsid w:val="00077A3F"/>
    <w:rsid w:val="00080342"/>
    <w:rsid w:val="00080401"/>
    <w:rsid w:val="000806DB"/>
    <w:rsid w:val="00080B4E"/>
    <w:rsid w:val="0008169D"/>
    <w:rsid w:val="0008192C"/>
    <w:rsid w:val="00081E03"/>
    <w:rsid w:val="000822BF"/>
    <w:rsid w:val="000824CB"/>
    <w:rsid w:val="00084AB4"/>
    <w:rsid w:val="00084E96"/>
    <w:rsid w:val="00085165"/>
    <w:rsid w:val="00085BF2"/>
    <w:rsid w:val="00085D09"/>
    <w:rsid w:val="0008624C"/>
    <w:rsid w:val="00086367"/>
    <w:rsid w:val="000868D0"/>
    <w:rsid w:val="00086D75"/>
    <w:rsid w:val="000873B5"/>
    <w:rsid w:val="000875BF"/>
    <w:rsid w:val="00087690"/>
    <w:rsid w:val="0009001C"/>
    <w:rsid w:val="00090448"/>
    <w:rsid w:val="0009118A"/>
    <w:rsid w:val="00091D7D"/>
    <w:rsid w:val="000921C2"/>
    <w:rsid w:val="000947AC"/>
    <w:rsid w:val="000948E0"/>
    <w:rsid w:val="000953CC"/>
    <w:rsid w:val="00096D8C"/>
    <w:rsid w:val="0009705D"/>
    <w:rsid w:val="000970CE"/>
    <w:rsid w:val="00097300"/>
    <w:rsid w:val="000A0144"/>
    <w:rsid w:val="000A048E"/>
    <w:rsid w:val="000A04EE"/>
    <w:rsid w:val="000A168C"/>
    <w:rsid w:val="000A1742"/>
    <w:rsid w:val="000A17A5"/>
    <w:rsid w:val="000A1AD2"/>
    <w:rsid w:val="000A2390"/>
    <w:rsid w:val="000A4BCF"/>
    <w:rsid w:val="000A6281"/>
    <w:rsid w:val="000A66F6"/>
    <w:rsid w:val="000A6A08"/>
    <w:rsid w:val="000A7339"/>
    <w:rsid w:val="000A741A"/>
    <w:rsid w:val="000A77AC"/>
    <w:rsid w:val="000A7B24"/>
    <w:rsid w:val="000A7C27"/>
    <w:rsid w:val="000B0A11"/>
    <w:rsid w:val="000B0DA7"/>
    <w:rsid w:val="000B19BB"/>
    <w:rsid w:val="000B1B80"/>
    <w:rsid w:val="000B1EC2"/>
    <w:rsid w:val="000B2266"/>
    <w:rsid w:val="000B272A"/>
    <w:rsid w:val="000B29A1"/>
    <w:rsid w:val="000B33E3"/>
    <w:rsid w:val="000B410B"/>
    <w:rsid w:val="000B4336"/>
    <w:rsid w:val="000B4400"/>
    <w:rsid w:val="000B4A41"/>
    <w:rsid w:val="000B53C8"/>
    <w:rsid w:val="000B5B7F"/>
    <w:rsid w:val="000B67E8"/>
    <w:rsid w:val="000B7933"/>
    <w:rsid w:val="000C00A9"/>
    <w:rsid w:val="000C01FC"/>
    <w:rsid w:val="000C0ACB"/>
    <w:rsid w:val="000C0B65"/>
    <w:rsid w:val="000C16AB"/>
    <w:rsid w:val="000C19C9"/>
    <w:rsid w:val="000C2DA3"/>
    <w:rsid w:val="000C3B5C"/>
    <w:rsid w:val="000C4039"/>
    <w:rsid w:val="000C4B92"/>
    <w:rsid w:val="000C569D"/>
    <w:rsid w:val="000C614F"/>
    <w:rsid w:val="000C71F5"/>
    <w:rsid w:val="000C742B"/>
    <w:rsid w:val="000C7741"/>
    <w:rsid w:val="000D030C"/>
    <w:rsid w:val="000D038C"/>
    <w:rsid w:val="000D0BE2"/>
    <w:rsid w:val="000D0C4E"/>
    <w:rsid w:val="000D19F9"/>
    <w:rsid w:val="000D1FBB"/>
    <w:rsid w:val="000D335A"/>
    <w:rsid w:val="000D33DB"/>
    <w:rsid w:val="000D4471"/>
    <w:rsid w:val="000D457C"/>
    <w:rsid w:val="000D4B4A"/>
    <w:rsid w:val="000D506F"/>
    <w:rsid w:val="000D51EC"/>
    <w:rsid w:val="000D6374"/>
    <w:rsid w:val="000D642D"/>
    <w:rsid w:val="000D6560"/>
    <w:rsid w:val="000D67C6"/>
    <w:rsid w:val="000D7920"/>
    <w:rsid w:val="000E0271"/>
    <w:rsid w:val="000E05FE"/>
    <w:rsid w:val="000E09A9"/>
    <w:rsid w:val="000E1711"/>
    <w:rsid w:val="000E2052"/>
    <w:rsid w:val="000E20C2"/>
    <w:rsid w:val="000E2413"/>
    <w:rsid w:val="000E25B6"/>
    <w:rsid w:val="000E28D1"/>
    <w:rsid w:val="000E31D9"/>
    <w:rsid w:val="000E3D42"/>
    <w:rsid w:val="000E4452"/>
    <w:rsid w:val="000E45F5"/>
    <w:rsid w:val="000E4944"/>
    <w:rsid w:val="000E4A17"/>
    <w:rsid w:val="000E4E44"/>
    <w:rsid w:val="000E5330"/>
    <w:rsid w:val="000E6183"/>
    <w:rsid w:val="000E684D"/>
    <w:rsid w:val="000F018E"/>
    <w:rsid w:val="000F021E"/>
    <w:rsid w:val="000F170F"/>
    <w:rsid w:val="000F2843"/>
    <w:rsid w:val="000F3281"/>
    <w:rsid w:val="000F4111"/>
    <w:rsid w:val="000F45A6"/>
    <w:rsid w:val="000F4A43"/>
    <w:rsid w:val="000F5BFA"/>
    <w:rsid w:val="000F6ECD"/>
    <w:rsid w:val="000F7330"/>
    <w:rsid w:val="000F7BB1"/>
    <w:rsid w:val="000F7D47"/>
    <w:rsid w:val="0010016F"/>
    <w:rsid w:val="00100839"/>
    <w:rsid w:val="001010DE"/>
    <w:rsid w:val="00101D54"/>
    <w:rsid w:val="00102CE3"/>
    <w:rsid w:val="001034F3"/>
    <w:rsid w:val="00104B47"/>
    <w:rsid w:val="00104FF3"/>
    <w:rsid w:val="001053A6"/>
    <w:rsid w:val="00105603"/>
    <w:rsid w:val="0010585A"/>
    <w:rsid w:val="00105E21"/>
    <w:rsid w:val="00106CA9"/>
    <w:rsid w:val="0010798E"/>
    <w:rsid w:val="00107B23"/>
    <w:rsid w:val="00107DE0"/>
    <w:rsid w:val="00110A9B"/>
    <w:rsid w:val="0011191E"/>
    <w:rsid w:val="00111E37"/>
    <w:rsid w:val="00113539"/>
    <w:rsid w:val="00113CC0"/>
    <w:rsid w:val="0011434B"/>
    <w:rsid w:val="00114562"/>
    <w:rsid w:val="0011467D"/>
    <w:rsid w:val="001147C9"/>
    <w:rsid w:val="00114EE9"/>
    <w:rsid w:val="00115446"/>
    <w:rsid w:val="0011617B"/>
    <w:rsid w:val="00116485"/>
    <w:rsid w:val="00116587"/>
    <w:rsid w:val="00116EA3"/>
    <w:rsid w:val="00117186"/>
    <w:rsid w:val="001173CD"/>
    <w:rsid w:val="00117BFC"/>
    <w:rsid w:val="00117ED5"/>
    <w:rsid w:val="00120175"/>
    <w:rsid w:val="00120DEE"/>
    <w:rsid w:val="001215F4"/>
    <w:rsid w:val="00121ACE"/>
    <w:rsid w:val="00122522"/>
    <w:rsid w:val="001227F2"/>
    <w:rsid w:val="00122BD5"/>
    <w:rsid w:val="00122C27"/>
    <w:rsid w:val="00122F33"/>
    <w:rsid w:val="00123313"/>
    <w:rsid w:val="001239B5"/>
    <w:rsid w:val="00123BB3"/>
    <w:rsid w:val="0012528D"/>
    <w:rsid w:val="00125320"/>
    <w:rsid w:val="0012567A"/>
    <w:rsid w:val="00125A2F"/>
    <w:rsid w:val="0012618A"/>
    <w:rsid w:val="001266B7"/>
    <w:rsid w:val="00126CF0"/>
    <w:rsid w:val="0012727B"/>
    <w:rsid w:val="00130595"/>
    <w:rsid w:val="00130D6E"/>
    <w:rsid w:val="00131399"/>
    <w:rsid w:val="001318C8"/>
    <w:rsid w:val="0013338F"/>
    <w:rsid w:val="00133F79"/>
    <w:rsid w:val="001340A8"/>
    <w:rsid w:val="001345CD"/>
    <w:rsid w:val="00134903"/>
    <w:rsid w:val="001349C1"/>
    <w:rsid w:val="00134C68"/>
    <w:rsid w:val="00135C48"/>
    <w:rsid w:val="00135D06"/>
    <w:rsid w:val="00135EE4"/>
    <w:rsid w:val="00135F2A"/>
    <w:rsid w:val="00136572"/>
    <w:rsid w:val="00136583"/>
    <w:rsid w:val="001366CF"/>
    <w:rsid w:val="00136F1E"/>
    <w:rsid w:val="00137477"/>
    <w:rsid w:val="00137B44"/>
    <w:rsid w:val="00137D77"/>
    <w:rsid w:val="0014013B"/>
    <w:rsid w:val="00140475"/>
    <w:rsid w:val="0014066F"/>
    <w:rsid w:val="00140FAF"/>
    <w:rsid w:val="001410AA"/>
    <w:rsid w:val="001411B0"/>
    <w:rsid w:val="00141DF7"/>
    <w:rsid w:val="00143282"/>
    <w:rsid w:val="001447A5"/>
    <w:rsid w:val="00144D36"/>
    <w:rsid w:val="00144E29"/>
    <w:rsid w:val="00146318"/>
    <w:rsid w:val="00146E90"/>
    <w:rsid w:val="001472FB"/>
    <w:rsid w:val="00147BBD"/>
    <w:rsid w:val="00147BCE"/>
    <w:rsid w:val="00147F1F"/>
    <w:rsid w:val="00150881"/>
    <w:rsid w:val="00151D39"/>
    <w:rsid w:val="00151FC7"/>
    <w:rsid w:val="001521B9"/>
    <w:rsid w:val="00152631"/>
    <w:rsid w:val="00152C65"/>
    <w:rsid w:val="00152DE1"/>
    <w:rsid w:val="0015371E"/>
    <w:rsid w:val="001538EA"/>
    <w:rsid w:val="00153960"/>
    <w:rsid w:val="00155231"/>
    <w:rsid w:val="0015630C"/>
    <w:rsid w:val="0015750D"/>
    <w:rsid w:val="0015755C"/>
    <w:rsid w:val="001576B0"/>
    <w:rsid w:val="00157706"/>
    <w:rsid w:val="00157ECF"/>
    <w:rsid w:val="0016037F"/>
    <w:rsid w:val="0016062B"/>
    <w:rsid w:val="00160997"/>
    <w:rsid w:val="00160F7E"/>
    <w:rsid w:val="001612D1"/>
    <w:rsid w:val="001613E9"/>
    <w:rsid w:val="00161498"/>
    <w:rsid w:val="001619E4"/>
    <w:rsid w:val="00161E43"/>
    <w:rsid w:val="001624FD"/>
    <w:rsid w:val="001625B4"/>
    <w:rsid w:val="00162628"/>
    <w:rsid w:val="00162989"/>
    <w:rsid w:val="00163607"/>
    <w:rsid w:val="00163973"/>
    <w:rsid w:val="0016409D"/>
    <w:rsid w:val="001643CF"/>
    <w:rsid w:val="001649CB"/>
    <w:rsid w:val="0016621B"/>
    <w:rsid w:val="0016649E"/>
    <w:rsid w:val="00166608"/>
    <w:rsid w:val="00166615"/>
    <w:rsid w:val="0016662E"/>
    <w:rsid w:val="00167495"/>
    <w:rsid w:val="00167A00"/>
    <w:rsid w:val="00170727"/>
    <w:rsid w:val="00170D6D"/>
    <w:rsid w:val="00170E99"/>
    <w:rsid w:val="00171A86"/>
    <w:rsid w:val="00171B92"/>
    <w:rsid w:val="00172C15"/>
    <w:rsid w:val="00173991"/>
    <w:rsid w:val="00173F5C"/>
    <w:rsid w:val="00174E6F"/>
    <w:rsid w:val="00174F65"/>
    <w:rsid w:val="00175382"/>
    <w:rsid w:val="0017616F"/>
    <w:rsid w:val="00176334"/>
    <w:rsid w:val="0017642A"/>
    <w:rsid w:val="001775D6"/>
    <w:rsid w:val="00177723"/>
    <w:rsid w:val="00177EB5"/>
    <w:rsid w:val="001809D0"/>
    <w:rsid w:val="00180A50"/>
    <w:rsid w:val="00180A59"/>
    <w:rsid w:val="00180ABF"/>
    <w:rsid w:val="00180CEE"/>
    <w:rsid w:val="00180CF9"/>
    <w:rsid w:val="00180D93"/>
    <w:rsid w:val="00180DC9"/>
    <w:rsid w:val="00181715"/>
    <w:rsid w:val="00182418"/>
    <w:rsid w:val="00182673"/>
    <w:rsid w:val="00183982"/>
    <w:rsid w:val="00184039"/>
    <w:rsid w:val="001841D9"/>
    <w:rsid w:val="00185634"/>
    <w:rsid w:val="00185B81"/>
    <w:rsid w:val="00185EF9"/>
    <w:rsid w:val="0018632B"/>
    <w:rsid w:val="00186EEA"/>
    <w:rsid w:val="0018703D"/>
    <w:rsid w:val="001872DE"/>
    <w:rsid w:val="001902C9"/>
    <w:rsid w:val="0019130C"/>
    <w:rsid w:val="001913E8"/>
    <w:rsid w:val="001919AE"/>
    <w:rsid w:val="00191B23"/>
    <w:rsid w:val="00191F41"/>
    <w:rsid w:val="0019331F"/>
    <w:rsid w:val="0019496A"/>
    <w:rsid w:val="00194A66"/>
    <w:rsid w:val="0019536A"/>
    <w:rsid w:val="00195A7A"/>
    <w:rsid w:val="00195D01"/>
    <w:rsid w:val="00195D73"/>
    <w:rsid w:val="00195E42"/>
    <w:rsid w:val="00195F7E"/>
    <w:rsid w:val="0019787D"/>
    <w:rsid w:val="00197FBF"/>
    <w:rsid w:val="001A0322"/>
    <w:rsid w:val="001A098A"/>
    <w:rsid w:val="001A0A03"/>
    <w:rsid w:val="001A0E84"/>
    <w:rsid w:val="001A0F75"/>
    <w:rsid w:val="001A196D"/>
    <w:rsid w:val="001A1ED5"/>
    <w:rsid w:val="001A2032"/>
    <w:rsid w:val="001A2432"/>
    <w:rsid w:val="001A2C34"/>
    <w:rsid w:val="001A3149"/>
    <w:rsid w:val="001A36FF"/>
    <w:rsid w:val="001A38C3"/>
    <w:rsid w:val="001A3BA2"/>
    <w:rsid w:val="001A4236"/>
    <w:rsid w:val="001A493F"/>
    <w:rsid w:val="001A4B37"/>
    <w:rsid w:val="001A4ECE"/>
    <w:rsid w:val="001A5D0C"/>
    <w:rsid w:val="001A5F7B"/>
    <w:rsid w:val="001A6D71"/>
    <w:rsid w:val="001A7DA0"/>
    <w:rsid w:val="001A7F21"/>
    <w:rsid w:val="001B000C"/>
    <w:rsid w:val="001B0157"/>
    <w:rsid w:val="001B0514"/>
    <w:rsid w:val="001B0629"/>
    <w:rsid w:val="001B1F7F"/>
    <w:rsid w:val="001B250B"/>
    <w:rsid w:val="001B29A9"/>
    <w:rsid w:val="001B3898"/>
    <w:rsid w:val="001B4182"/>
    <w:rsid w:val="001B4579"/>
    <w:rsid w:val="001B543B"/>
    <w:rsid w:val="001B58CF"/>
    <w:rsid w:val="001B5C41"/>
    <w:rsid w:val="001B5D24"/>
    <w:rsid w:val="001B6A4F"/>
    <w:rsid w:val="001B789E"/>
    <w:rsid w:val="001B7A3B"/>
    <w:rsid w:val="001B7EB2"/>
    <w:rsid w:val="001C03F3"/>
    <w:rsid w:val="001C07EA"/>
    <w:rsid w:val="001C0CC7"/>
    <w:rsid w:val="001C100F"/>
    <w:rsid w:val="001C1B00"/>
    <w:rsid w:val="001C2BF1"/>
    <w:rsid w:val="001C35FA"/>
    <w:rsid w:val="001C368F"/>
    <w:rsid w:val="001C4541"/>
    <w:rsid w:val="001C4A24"/>
    <w:rsid w:val="001C51B2"/>
    <w:rsid w:val="001C5218"/>
    <w:rsid w:val="001C5539"/>
    <w:rsid w:val="001C5EB4"/>
    <w:rsid w:val="001C6229"/>
    <w:rsid w:val="001C6984"/>
    <w:rsid w:val="001C7599"/>
    <w:rsid w:val="001D004F"/>
    <w:rsid w:val="001D026C"/>
    <w:rsid w:val="001D05A4"/>
    <w:rsid w:val="001D0694"/>
    <w:rsid w:val="001D0A32"/>
    <w:rsid w:val="001D134A"/>
    <w:rsid w:val="001D14C9"/>
    <w:rsid w:val="001D1EFF"/>
    <w:rsid w:val="001D2BBD"/>
    <w:rsid w:val="001D2DE1"/>
    <w:rsid w:val="001D3796"/>
    <w:rsid w:val="001D3B61"/>
    <w:rsid w:val="001D44CC"/>
    <w:rsid w:val="001D4BE3"/>
    <w:rsid w:val="001D50C7"/>
    <w:rsid w:val="001D5121"/>
    <w:rsid w:val="001D5662"/>
    <w:rsid w:val="001D5785"/>
    <w:rsid w:val="001D5E81"/>
    <w:rsid w:val="001D5FA7"/>
    <w:rsid w:val="001D64A0"/>
    <w:rsid w:val="001D6BCF"/>
    <w:rsid w:val="001D773B"/>
    <w:rsid w:val="001E01CA"/>
    <w:rsid w:val="001E02A1"/>
    <w:rsid w:val="001E035D"/>
    <w:rsid w:val="001E1033"/>
    <w:rsid w:val="001E2145"/>
    <w:rsid w:val="001E285F"/>
    <w:rsid w:val="001E32FC"/>
    <w:rsid w:val="001E3A95"/>
    <w:rsid w:val="001E4176"/>
    <w:rsid w:val="001E4453"/>
    <w:rsid w:val="001E4E96"/>
    <w:rsid w:val="001E4F48"/>
    <w:rsid w:val="001E5417"/>
    <w:rsid w:val="001E5A44"/>
    <w:rsid w:val="001E65B9"/>
    <w:rsid w:val="001E6C70"/>
    <w:rsid w:val="001E6DF4"/>
    <w:rsid w:val="001E73E7"/>
    <w:rsid w:val="001F061B"/>
    <w:rsid w:val="001F06E9"/>
    <w:rsid w:val="001F0782"/>
    <w:rsid w:val="001F151C"/>
    <w:rsid w:val="001F1A4C"/>
    <w:rsid w:val="001F27AC"/>
    <w:rsid w:val="001F2C2F"/>
    <w:rsid w:val="001F3DA0"/>
    <w:rsid w:val="001F4907"/>
    <w:rsid w:val="001F4ABC"/>
    <w:rsid w:val="001F4B89"/>
    <w:rsid w:val="001F52B3"/>
    <w:rsid w:val="001F5434"/>
    <w:rsid w:val="001F5AFA"/>
    <w:rsid w:val="001F5BE3"/>
    <w:rsid w:val="001F5CC3"/>
    <w:rsid w:val="001F67E7"/>
    <w:rsid w:val="001F6ACD"/>
    <w:rsid w:val="001F751B"/>
    <w:rsid w:val="001F75FD"/>
    <w:rsid w:val="001F7783"/>
    <w:rsid w:val="002004E3"/>
    <w:rsid w:val="00201273"/>
    <w:rsid w:val="00201E1B"/>
    <w:rsid w:val="00202211"/>
    <w:rsid w:val="002023D0"/>
    <w:rsid w:val="00202F48"/>
    <w:rsid w:val="002037CA"/>
    <w:rsid w:val="002037FD"/>
    <w:rsid w:val="002038B0"/>
    <w:rsid w:val="00203B2F"/>
    <w:rsid w:val="00204AD3"/>
    <w:rsid w:val="00205418"/>
    <w:rsid w:val="002054DE"/>
    <w:rsid w:val="00205635"/>
    <w:rsid w:val="002060E7"/>
    <w:rsid w:val="0020639F"/>
    <w:rsid w:val="00206744"/>
    <w:rsid w:val="00206775"/>
    <w:rsid w:val="00206984"/>
    <w:rsid w:val="00206A86"/>
    <w:rsid w:val="002074A7"/>
    <w:rsid w:val="002076B1"/>
    <w:rsid w:val="00207945"/>
    <w:rsid w:val="002103A2"/>
    <w:rsid w:val="002104B5"/>
    <w:rsid w:val="002107E2"/>
    <w:rsid w:val="00210B66"/>
    <w:rsid w:val="002118E6"/>
    <w:rsid w:val="00211B01"/>
    <w:rsid w:val="00211BD0"/>
    <w:rsid w:val="00212F39"/>
    <w:rsid w:val="00213123"/>
    <w:rsid w:val="002135A2"/>
    <w:rsid w:val="00213E68"/>
    <w:rsid w:val="00213F60"/>
    <w:rsid w:val="0021447D"/>
    <w:rsid w:val="002153D8"/>
    <w:rsid w:val="00215A6D"/>
    <w:rsid w:val="00215F81"/>
    <w:rsid w:val="0021634C"/>
    <w:rsid w:val="002167D5"/>
    <w:rsid w:val="0021785B"/>
    <w:rsid w:val="002209D8"/>
    <w:rsid w:val="00220B79"/>
    <w:rsid w:val="00220E62"/>
    <w:rsid w:val="002215E7"/>
    <w:rsid w:val="002226F2"/>
    <w:rsid w:val="002229A6"/>
    <w:rsid w:val="0022413A"/>
    <w:rsid w:val="00224398"/>
    <w:rsid w:val="00224567"/>
    <w:rsid w:val="0022494A"/>
    <w:rsid w:val="00224F86"/>
    <w:rsid w:val="0022505A"/>
    <w:rsid w:val="00225B2B"/>
    <w:rsid w:val="0022646E"/>
    <w:rsid w:val="00226906"/>
    <w:rsid w:val="0022697F"/>
    <w:rsid w:val="0022706F"/>
    <w:rsid w:val="002271E1"/>
    <w:rsid w:val="002271E8"/>
    <w:rsid w:val="00227373"/>
    <w:rsid w:val="00230C2C"/>
    <w:rsid w:val="00231456"/>
    <w:rsid w:val="002322FC"/>
    <w:rsid w:val="00232401"/>
    <w:rsid w:val="00232EAF"/>
    <w:rsid w:val="00233605"/>
    <w:rsid w:val="00233774"/>
    <w:rsid w:val="00233978"/>
    <w:rsid w:val="00233BC6"/>
    <w:rsid w:val="00233F0C"/>
    <w:rsid w:val="0023442F"/>
    <w:rsid w:val="00235E75"/>
    <w:rsid w:val="00235FF3"/>
    <w:rsid w:val="00236349"/>
    <w:rsid w:val="002374C4"/>
    <w:rsid w:val="0023765B"/>
    <w:rsid w:val="002377EB"/>
    <w:rsid w:val="002379C4"/>
    <w:rsid w:val="00237D4F"/>
    <w:rsid w:val="00237DEF"/>
    <w:rsid w:val="002403FC"/>
    <w:rsid w:val="00240CAE"/>
    <w:rsid w:val="00241A0B"/>
    <w:rsid w:val="00241A4F"/>
    <w:rsid w:val="002423C2"/>
    <w:rsid w:val="00243361"/>
    <w:rsid w:val="002435A0"/>
    <w:rsid w:val="002437A4"/>
    <w:rsid w:val="0024391E"/>
    <w:rsid w:val="00244787"/>
    <w:rsid w:val="002448DA"/>
    <w:rsid w:val="002457A0"/>
    <w:rsid w:val="00245EC5"/>
    <w:rsid w:val="00245FCD"/>
    <w:rsid w:val="00246037"/>
    <w:rsid w:val="002460AB"/>
    <w:rsid w:val="00246AEB"/>
    <w:rsid w:val="00247332"/>
    <w:rsid w:val="00247736"/>
    <w:rsid w:val="00247E8C"/>
    <w:rsid w:val="002506F4"/>
    <w:rsid w:val="00250C42"/>
    <w:rsid w:val="00250E20"/>
    <w:rsid w:val="00251634"/>
    <w:rsid w:val="00252143"/>
    <w:rsid w:val="00252332"/>
    <w:rsid w:val="00252961"/>
    <w:rsid w:val="0025315F"/>
    <w:rsid w:val="00253497"/>
    <w:rsid w:val="00253ECD"/>
    <w:rsid w:val="00253EDA"/>
    <w:rsid w:val="00254C44"/>
    <w:rsid w:val="00254CF5"/>
    <w:rsid w:val="00255A93"/>
    <w:rsid w:val="00255AAD"/>
    <w:rsid w:val="002563D6"/>
    <w:rsid w:val="00256CF7"/>
    <w:rsid w:val="0025733B"/>
    <w:rsid w:val="00257AE8"/>
    <w:rsid w:val="00257BA5"/>
    <w:rsid w:val="00257E06"/>
    <w:rsid w:val="00257EB2"/>
    <w:rsid w:val="0026065E"/>
    <w:rsid w:val="00260E6D"/>
    <w:rsid w:val="00260EA5"/>
    <w:rsid w:val="00261580"/>
    <w:rsid w:val="00261840"/>
    <w:rsid w:val="00261D04"/>
    <w:rsid w:val="00263552"/>
    <w:rsid w:val="00263A03"/>
    <w:rsid w:val="002644A5"/>
    <w:rsid w:val="002646DA"/>
    <w:rsid w:val="00264940"/>
    <w:rsid w:val="0026498C"/>
    <w:rsid w:val="00264B1A"/>
    <w:rsid w:val="00265433"/>
    <w:rsid w:val="00265BF8"/>
    <w:rsid w:val="0026665F"/>
    <w:rsid w:val="00266C52"/>
    <w:rsid w:val="0026705B"/>
    <w:rsid w:val="002671C4"/>
    <w:rsid w:val="0026727E"/>
    <w:rsid w:val="002674F0"/>
    <w:rsid w:val="002676AE"/>
    <w:rsid w:val="00267FFB"/>
    <w:rsid w:val="00270756"/>
    <w:rsid w:val="0027168A"/>
    <w:rsid w:val="002719C9"/>
    <w:rsid w:val="00272115"/>
    <w:rsid w:val="002722B5"/>
    <w:rsid w:val="002722E9"/>
    <w:rsid w:val="00272351"/>
    <w:rsid w:val="002727D0"/>
    <w:rsid w:val="00272BE0"/>
    <w:rsid w:val="002737D6"/>
    <w:rsid w:val="00273AAC"/>
    <w:rsid w:val="0027472C"/>
    <w:rsid w:val="00275CF5"/>
    <w:rsid w:val="00277840"/>
    <w:rsid w:val="00280FAF"/>
    <w:rsid w:val="00281A66"/>
    <w:rsid w:val="00281F08"/>
    <w:rsid w:val="00282068"/>
    <w:rsid w:val="00282119"/>
    <w:rsid w:val="0028263D"/>
    <w:rsid w:val="00282885"/>
    <w:rsid w:val="0028301F"/>
    <w:rsid w:val="002830FC"/>
    <w:rsid w:val="00283235"/>
    <w:rsid w:val="0028335C"/>
    <w:rsid w:val="00283815"/>
    <w:rsid w:val="00283FCA"/>
    <w:rsid w:val="002844EF"/>
    <w:rsid w:val="00285017"/>
    <w:rsid w:val="002856E2"/>
    <w:rsid w:val="0028626A"/>
    <w:rsid w:val="002868D4"/>
    <w:rsid w:val="00286A00"/>
    <w:rsid w:val="00287B2A"/>
    <w:rsid w:val="00287BA8"/>
    <w:rsid w:val="002904B2"/>
    <w:rsid w:val="0029057D"/>
    <w:rsid w:val="0029076F"/>
    <w:rsid w:val="002909AD"/>
    <w:rsid w:val="002910A7"/>
    <w:rsid w:val="00291693"/>
    <w:rsid w:val="00291972"/>
    <w:rsid w:val="00291979"/>
    <w:rsid w:val="00291F15"/>
    <w:rsid w:val="00291F42"/>
    <w:rsid w:val="00292692"/>
    <w:rsid w:val="00292B2D"/>
    <w:rsid w:val="00292E23"/>
    <w:rsid w:val="00292ED6"/>
    <w:rsid w:val="00292F56"/>
    <w:rsid w:val="00292FAE"/>
    <w:rsid w:val="002939D3"/>
    <w:rsid w:val="00293E38"/>
    <w:rsid w:val="002942BA"/>
    <w:rsid w:val="002942DE"/>
    <w:rsid w:val="00295BD3"/>
    <w:rsid w:val="00295F49"/>
    <w:rsid w:val="0029623A"/>
    <w:rsid w:val="00296A71"/>
    <w:rsid w:val="00296A89"/>
    <w:rsid w:val="00296AF7"/>
    <w:rsid w:val="00296D3D"/>
    <w:rsid w:val="002A04C3"/>
    <w:rsid w:val="002A0720"/>
    <w:rsid w:val="002A0EE5"/>
    <w:rsid w:val="002A153D"/>
    <w:rsid w:val="002A17CF"/>
    <w:rsid w:val="002A183E"/>
    <w:rsid w:val="002A1FAD"/>
    <w:rsid w:val="002A21D3"/>
    <w:rsid w:val="002A2348"/>
    <w:rsid w:val="002A2858"/>
    <w:rsid w:val="002A2D2E"/>
    <w:rsid w:val="002A38AE"/>
    <w:rsid w:val="002A41AC"/>
    <w:rsid w:val="002A4D31"/>
    <w:rsid w:val="002A5E45"/>
    <w:rsid w:val="002A67B3"/>
    <w:rsid w:val="002A70DD"/>
    <w:rsid w:val="002A795B"/>
    <w:rsid w:val="002A7C20"/>
    <w:rsid w:val="002B0D01"/>
    <w:rsid w:val="002B1417"/>
    <w:rsid w:val="002B1924"/>
    <w:rsid w:val="002B1B39"/>
    <w:rsid w:val="002B1D2D"/>
    <w:rsid w:val="002B295B"/>
    <w:rsid w:val="002B3D6F"/>
    <w:rsid w:val="002B5109"/>
    <w:rsid w:val="002B5B6F"/>
    <w:rsid w:val="002B65E2"/>
    <w:rsid w:val="002B6B3B"/>
    <w:rsid w:val="002B6B56"/>
    <w:rsid w:val="002C00E8"/>
    <w:rsid w:val="002C0E8A"/>
    <w:rsid w:val="002C12C6"/>
    <w:rsid w:val="002C1CA7"/>
    <w:rsid w:val="002C2E21"/>
    <w:rsid w:val="002C3022"/>
    <w:rsid w:val="002C3037"/>
    <w:rsid w:val="002C34B5"/>
    <w:rsid w:val="002C37C2"/>
    <w:rsid w:val="002C41F6"/>
    <w:rsid w:val="002C4797"/>
    <w:rsid w:val="002C4CFC"/>
    <w:rsid w:val="002C56AA"/>
    <w:rsid w:val="002C589C"/>
    <w:rsid w:val="002C6907"/>
    <w:rsid w:val="002C6E85"/>
    <w:rsid w:val="002D2551"/>
    <w:rsid w:val="002D2A03"/>
    <w:rsid w:val="002D33E6"/>
    <w:rsid w:val="002D43DF"/>
    <w:rsid w:val="002D481D"/>
    <w:rsid w:val="002D4C43"/>
    <w:rsid w:val="002D4EF2"/>
    <w:rsid w:val="002D5300"/>
    <w:rsid w:val="002D53B5"/>
    <w:rsid w:val="002D5516"/>
    <w:rsid w:val="002D5A00"/>
    <w:rsid w:val="002D659C"/>
    <w:rsid w:val="002E04B5"/>
    <w:rsid w:val="002E0EB9"/>
    <w:rsid w:val="002E1028"/>
    <w:rsid w:val="002E151F"/>
    <w:rsid w:val="002E1C39"/>
    <w:rsid w:val="002E1F2A"/>
    <w:rsid w:val="002E1F7E"/>
    <w:rsid w:val="002E2783"/>
    <w:rsid w:val="002E2865"/>
    <w:rsid w:val="002E3222"/>
    <w:rsid w:val="002E383F"/>
    <w:rsid w:val="002E416C"/>
    <w:rsid w:val="002E475B"/>
    <w:rsid w:val="002E4792"/>
    <w:rsid w:val="002E55DE"/>
    <w:rsid w:val="002E5882"/>
    <w:rsid w:val="002E593B"/>
    <w:rsid w:val="002E5F1C"/>
    <w:rsid w:val="002E6066"/>
    <w:rsid w:val="002E6428"/>
    <w:rsid w:val="002E757F"/>
    <w:rsid w:val="002E7659"/>
    <w:rsid w:val="002E7ACA"/>
    <w:rsid w:val="002F0248"/>
    <w:rsid w:val="002F0F76"/>
    <w:rsid w:val="002F1462"/>
    <w:rsid w:val="002F14E5"/>
    <w:rsid w:val="002F19FD"/>
    <w:rsid w:val="002F2462"/>
    <w:rsid w:val="002F25FA"/>
    <w:rsid w:val="002F28DA"/>
    <w:rsid w:val="002F321A"/>
    <w:rsid w:val="002F33AD"/>
    <w:rsid w:val="002F4D80"/>
    <w:rsid w:val="002F66C7"/>
    <w:rsid w:val="002F69DB"/>
    <w:rsid w:val="002F73D9"/>
    <w:rsid w:val="002F7A2A"/>
    <w:rsid w:val="002F7F09"/>
    <w:rsid w:val="00300293"/>
    <w:rsid w:val="003002E2"/>
    <w:rsid w:val="00301DED"/>
    <w:rsid w:val="00301F12"/>
    <w:rsid w:val="00302297"/>
    <w:rsid w:val="00302C3C"/>
    <w:rsid w:val="00302F8D"/>
    <w:rsid w:val="003031DB"/>
    <w:rsid w:val="00303571"/>
    <w:rsid w:val="00303C0C"/>
    <w:rsid w:val="00303CD6"/>
    <w:rsid w:val="00304F67"/>
    <w:rsid w:val="003052E6"/>
    <w:rsid w:val="00305BFD"/>
    <w:rsid w:val="00305E83"/>
    <w:rsid w:val="003061C1"/>
    <w:rsid w:val="0030648D"/>
    <w:rsid w:val="003066B0"/>
    <w:rsid w:val="003066D8"/>
    <w:rsid w:val="003067BC"/>
    <w:rsid w:val="00306AE0"/>
    <w:rsid w:val="00306D24"/>
    <w:rsid w:val="003073E3"/>
    <w:rsid w:val="003101C2"/>
    <w:rsid w:val="00310893"/>
    <w:rsid w:val="0031161A"/>
    <w:rsid w:val="00311952"/>
    <w:rsid w:val="00312428"/>
    <w:rsid w:val="00312931"/>
    <w:rsid w:val="00313786"/>
    <w:rsid w:val="00313AFB"/>
    <w:rsid w:val="00314395"/>
    <w:rsid w:val="00314A30"/>
    <w:rsid w:val="003151F9"/>
    <w:rsid w:val="003163E4"/>
    <w:rsid w:val="00316415"/>
    <w:rsid w:val="00316B07"/>
    <w:rsid w:val="00316E83"/>
    <w:rsid w:val="0031771D"/>
    <w:rsid w:val="00317EBC"/>
    <w:rsid w:val="00320071"/>
    <w:rsid w:val="0032289E"/>
    <w:rsid w:val="00322BB3"/>
    <w:rsid w:val="00322F36"/>
    <w:rsid w:val="00323310"/>
    <w:rsid w:val="003236AC"/>
    <w:rsid w:val="00323D7A"/>
    <w:rsid w:val="00324193"/>
    <w:rsid w:val="003241A8"/>
    <w:rsid w:val="00324FBD"/>
    <w:rsid w:val="00325418"/>
    <w:rsid w:val="00325839"/>
    <w:rsid w:val="00326307"/>
    <w:rsid w:val="003266EA"/>
    <w:rsid w:val="0032683F"/>
    <w:rsid w:val="00326BE3"/>
    <w:rsid w:val="00326C0C"/>
    <w:rsid w:val="00326E0F"/>
    <w:rsid w:val="003278F7"/>
    <w:rsid w:val="00327EC9"/>
    <w:rsid w:val="00331456"/>
    <w:rsid w:val="00331880"/>
    <w:rsid w:val="00331B32"/>
    <w:rsid w:val="00332ED1"/>
    <w:rsid w:val="003336F6"/>
    <w:rsid w:val="00334300"/>
    <w:rsid w:val="003349FF"/>
    <w:rsid w:val="00334B4F"/>
    <w:rsid w:val="00335E4D"/>
    <w:rsid w:val="0033622A"/>
    <w:rsid w:val="0033769F"/>
    <w:rsid w:val="00337776"/>
    <w:rsid w:val="00337F36"/>
    <w:rsid w:val="003409A6"/>
    <w:rsid w:val="00340DF3"/>
    <w:rsid w:val="00342A04"/>
    <w:rsid w:val="00342F90"/>
    <w:rsid w:val="003430C5"/>
    <w:rsid w:val="00343244"/>
    <w:rsid w:val="00343749"/>
    <w:rsid w:val="00344323"/>
    <w:rsid w:val="0034432A"/>
    <w:rsid w:val="003445CA"/>
    <w:rsid w:val="00344C97"/>
    <w:rsid w:val="0034583C"/>
    <w:rsid w:val="00346CED"/>
    <w:rsid w:val="00347770"/>
    <w:rsid w:val="003479DE"/>
    <w:rsid w:val="00347A9D"/>
    <w:rsid w:val="003504DB"/>
    <w:rsid w:val="0035108B"/>
    <w:rsid w:val="003516A7"/>
    <w:rsid w:val="00351EE9"/>
    <w:rsid w:val="003527CA"/>
    <w:rsid w:val="00352C4D"/>
    <w:rsid w:val="0035331D"/>
    <w:rsid w:val="003537B5"/>
    <w:rsid w:val="003539FB"/>
    <w:rsid w:val="00354198"/>
    <w:rsid w:val="003541E2"/>
    <w:rsid w:val="003545A3"/>
    <w:rsid w:val="00354F7D"/>
    <w:rsid w:val="00355061"/>
    <w:rsid w:val="00355B41"/>
    <w:rsid w:val="00355C4A"/>
    <w:rsid w:val="003567E0"/>
    <w:rsid w:val="0035692F"/>
    <w:rsid w:val="003569BD"/>
    <w:rsid w:val="00356A61"/>
    <w:rsid w:val="00356EDA"/>
    <w:rsid w:val="0035766F"/>
    <w:rsid w:val="00357792"/>
    <w:rsid w:val="00357B15"/>
    <w:rsid w:val="00357FC8"/>
    <w:rsid w:val="00360054"/>
    <w:rsid w:val="00361BF5"/>
    <w:rsid w:val="00361E25"/>
    <w:rsid w:val="00362383"/>
    <w:rsid w:val="00363B79"/>
    <w:rsid w:val="003648A1"/>
    <w:rsid w:val="0036491D"/>
    <w:rsid w:val="00364D65"/>
    <w:rsid w:val="00364EBE"/>
    <w:rsid w:val="00365680"/>
    <w:rsid w:val="00365857"/>
    <w:rsid w:val="00365AB1"/>
    <w:rsid w:val="003660ED"/>
    <w:rsid w:val="00370356"/>
    <w:rsid w:val="0037066C"/>
    <w:rsid w:val="00370A4A"/>
    <w:rsid w:val="00370AD0"/>
    <w:rsid w:val="003710FC"/>
    <w:rsid w:val="003716C7"/>
    <w:rsid w:val="003728AB"/>
    <w:rsid w:val="00372A0D"/>
    <w:rsid w:val="00372F15"/>
    <w:rsid w:val="003747F7"/>
    <w:rsid w:val="00374F6A"/>
    <w:rsid w:val="00375576"/>
    <w:rsid w:val="00376441"/>
    <w:rsid w:val="00376547"/>
    <w:rsid w:val="003769A8"/>
    <w:rsid w:val="003769C6"/>
    <w:rsid w:val="003778F3"/>
    <w:rsid w:val="0038089D"/>
    <w:rsid w:val="00380B42"/>
    <w:rsid w:val="00381139"/>
    <w:rsid w:val="00381C34"/>
    <w:rsid w:val="00381E7A"/>
    <w:rsid w:val="003820B1"/>
    <w:rsid w:val="00382B39"/>
    <w:rsid w:val="00382F59"/>
    <w:rsid w:val="00383A3A"/>
    <w:rsid w:val="003842CA"/>
    <w:rsid w:val="00384B21"/>
    <w:rsid w:val="00385324"/>
    <w:rsid w:val="00385AB7"/>
    <w:rsid w:val="0038614F"/>
    <w:rsid w:val="003862EC"/>
    <w:rsid w:val="0038674F"/>
    <w:rsid w:val="003867E6"/>
    <w:rsid w:val="0038738C"/>
    <w:rsid w:val="00387686"/>
    <w:rsid w:val="0039016F"/>
    <w:rsid w:val="00390299"/>
    <w:rsid w:val="00390B5B"/>
    <w:rsid w:val="0039104E"/>
    <w:rsid w:val="0039118B"/>
    <w:rsid w:val="00391CA6"/>
    <w:rsid w:val="00391E70"/>
    <w:rsid w:val="003933B0"/>
    <w:rsid w:val="00393476"/>
    <w:rsid w:val="00393523"/>
    <w:rsid w:val="00393634"/>
    <w:rsid w:val="00394272"/>
    <w:rsid w:val="00394B92"/>
    <w:rsid w:val="00394EE6"/>
    <w:rsid w:val="00394F8B"/>
    <w:rsid w:val="0039675B"/>
    <w:rsid w:val="00396B79"/>
    <w:rsid w:val="0039748A"/>
    <w:rsid w:val="003A0150"/>
    <w:rsid w:val="003A0A7D"/>
    <w:rsid w:val="003A120C"/>
    <w:rsid w:val="003A137D"/>
    <w:rsid w:val="003A1F10"/>
    <w:rsid w:val="003A24E0"/>
    <w:rsid w:val="003A252C"/>
    <w:rsid w:val="003A456F"/>
    <w:rsid w:val="003A4913"/>
    <w:rsid w:val="003A4BB7"/>
    <w:rsid w:val="003A4DFA"/>
    <w:rsid w:val="003A5A20"/>
    <w:rsid w:val="003A5DE1"/>
    <w:rsid w:val="003A5E15"/>
    <w:rsid w:val="003A63EA"/>
    <w:rsid w:val="003A69B7"/>
    <w:rsid w:val="003A6BE9"/>
    <w:rsid w:val="003A6E8A"/>
    <w:rsid w:val="003A7269"/>
    <w:rsid w:val="003A75B3"/>
    <w:rsid w:val="003A7D8F"/>
    <w:rsid w:val="003B0550"/>
    <w:rsid w:val="003B0ADA"/>
    <w:rsid w:val="003B1687"/>
    <w:rsid w:val="003B19C1"/>
    <w:rsid w:val="003B3292"/>
    <w:rsid w:val="003B39F3"/>
    <w:rsid w:val="003B51D1"/>
    <w:rsid w:val="003B548B"/>
    <w:rsid w:val="003B54A8"/>
    <w:rsid w:val="003B5DB2"/>
    <w:rsid w:val="003B6104"/>
    <w:rsid w:val="003B6525"/>
    <w:rsid w:val="003B694F"/>
    <w:rsid w:val="003B772C"/>
    <w:rsid w:val="003B784F"/>
    <w:rsid w:val="003B7887"/>
    <w:rsid w:val="003B7A64"/>
    <w:rsid w:val="003C08C9"/>
    <w:rsid w:val="003C1D12"/>
    <w:rsid w:val="003C1FA0"/>
    <w:rsid w:val="003C245B"/>
    <w:rsid w:val="003C32F3"/>
    <w:rsid w:val="003C38DF"/>
    <w:rsid w:val="003C48B8"/>
    <w:rsid w:val="003C49C0"/>
    <w:rsid w:val="003C4B15"/>
    <w:rsid w:val="003C4D7F"/>
    <w:rsid w:val="003C5BC6"/>
    <w:rsid w:val="003C670F"/>
    <w:rsid w:val="003C7CF2"/>
    <w:rsid w:val="003D0077"/>
    <w:rsid w:val="003D01D7"/>
    <w:rsid w:val="003D0231"/>
    <w:rsid w:val="003D06B3"/>
    <w:rsid w:val="003D0F18"/>
    <w:rsid w:val="003D1054"/>
    <w:rsid w:val="003D1360"/>
    <w:rsid w:val="003D13BE"/>
    <w:rsid w:val="003D1B06"/>
    <w:rsid w:val="003D2015"/>
    <w:rsid w:val="003D24C9"/>
    <w:rsid w:val="003D3687"/>
    <w:rsid w:val="003D36D0"/>
    <w:rsid w:val="003D42D3"/>
    <w:rsid w:val="003D4365"/>
    <w:rsid w:val="003D4905"/>
    <w:rsid w:val="003D4A98"/>
    <w:rsid w:val="003D668C"/>
    <w:rsid w:val="003D6CBE"/>
    <w:rsid w:val="003D7687"/>
    <w:rsid w:val="003D7F38"/>
    <w:rsid w:val="003D7F96"/>
    <w:rsid w:val="003E03F1"/>
    <w:rsid w:val="003E0999"/>
    <w:rsid w:val="003E0FD8"/>
    <w:rsid w:val="003E13EA"/>
    <w:rsid w:val="003E179E"/>
    <w:rsid w:val="003E17DF"/>
    <w:rsid w:val="003E1CCF"/>
    <w:rsid w:val="003E22CE"/>
    <w:rsid w:val="003E232C"/>
    <w:rsid w:val="003E3457"/>
    <w:rsid w:val="003E3F76"/>
    <w:rsid w:val="003E5402"/>
    <w:rsid w:val="003E5820"/>
    <w:rsid w:val="003E5EA1"/>
    <w:rsid w:val="003E6D95"/>
    <w:rsid w:val="003E785B"/>
    <w:rsid w:val="003E7926"/>
    <w:rsid w:val="003F034F"/>
    <w:rsid w:val="003F085B"/>
    <w:rsid w:val="003F0A3E"/>
    <w:rsid w:val="003F0C65"/>
    <w:rsid w:val="003F0D22"/>
    <w:rsid w:val="003F130F"/>
    <w:rsid w:val="003F135F"/>
    <w:rsid w:val="003F15DE"/>
    <w:rsid w:val="003F171C"/>
    <w:rsid w:val="003F171E"/>
    <w:rsid w:val="003F1E61"/>
    <w:rsid w:val="003F1FA5"/>
    <w:rsid w:val="003F2301"/>
    <w:rsid w:val="003F23E3"/>
    <w:rsid w:val="003F35C3"/>
    <w:rsid w:val="003F403A"/>
    <w:rsid w:val="003F4948"/>
    <w:rsid w:val="003F4BE6"/>
    <w:rsid w:val="003F4D46"/>
    <w:rsid w:val="003F4F1D"/>
    <w:rsid w:val="003F5287"/>
    <w:rsid w:val="003F5BC4"/>
    <w:rsid w:val="003F63B7"/>
    <w:rsid w:val="003F7800"/>
    <w:rsid w:val="003F7E5A"/>
    <w:rsid w:val="00400770"/>
    <w:rsid w:val="0040093A"/>
    <w:rsid w:val="00400BB5"/>
    <w:rsid w:val="004019CF"/>
    <w:rsid w:val="004021ED"/>
    <w:rsid w:val="00402238"/>
    <w:rsid w:val="004024F3"/>
    <w:rsid w:val="00402570"/>
    <w:rsid w:val="004027BD"/>
    <w:rsid w:val="004037BC"/>
    <w:rsid w:val="0040394D"/>
    <w:rsid w:val="00403EFA"/>
    <w:rsid w:val="0040402A"/>
    <w:rsid w:val="0040513C"/>
    <w:rsid w:val="00405306"/>
    <w:rsid w:val="0040593C"/>
    <w:rsid w:val="00405C91"/>
    <w:rsid w:val="00406132"/>
    <w:rsid w:val="004065FA"/>
    <w:rsid w:val="00406AC7"/>
    <w:rsid w:val="00406B13"/>
    <w:rsid w:val="00406DEF"/>
    <w:rsid w:val="00406F18"/>
    <w:rsid w:val="004070F2"/>
    <w:rsid w:val="0041011E"/>
    <w:rsid w:val="00410222"/>
    <w:rsid w:val="00410415"/>
    <w:rsid w:val="004108B9"/>
    <w:rsid w:val="00410BC3"/>
    <w:rsid w:val="00411003"/>
    <w:rsid w:val="0041156F"/>
    <w:rsid w:val="0041195E"/>
    <w:rsid w:val="00411DE9"/>
    <w:rsid w:val="00412FC5"/>
    <w:rsid w:val="00413555"/>
    <w:rsid w:val="00413D25"/>
    <w:rsid w:val="0041470D"/>
    <w:rsid w:val="00414DC4"/>
    <w:rsid w:val="00414E29"/>
    <w:rsid w:val="004152D9"/>
    <w:rsid w:val="00415523"/>
    <w:rsid w:val="00415B03"/>
    <w:rsid w:val="004169CF"/>
    <w:rsid w:val="0041724F"/>
    <w:rsid w:val="00417EE9"/>
    <w:rsid w:val="0042045C"/>
    <w:rsid w:val="0042060D"/>
    <w:rsid w:val="0042090E"/>
    <w:rsid w:val="00420F7C"/>
    <w:rsid w:val="00421288"/>
    <w:rsid w:val="00421372"/>
    <w:rsid w:val="00421DE8"/>
    <w:rsid w:val="00422276"/>
    <w:rsid w:val="00422298"/>
    <w:rsid w:val="0042330C"/>
    <w:rsid w:val="00423328"/>
    <w:rsid w:val="004240CC"/>
    <w:rsid w:val="004242F1"/>
    <w:rsid w:val="00425357"/>
    <w:rsid w:val="0042568D"/>
    <w:rsid w:val="0042603C"/>
    <w:rsid w:val="0042625A"/>
    <w:rsid w:val="00426C5E"/>
    <w:rsid w:val="004271E2"/>
    <w:rsid w:val="00427B3E"/>
    <w:rsid w:val="004307E3"/>
    <w:rsid w:val="00430E33"/>
    <w:rsid w:val="00431618"/>
    <w:rsid w:val="0043237E"/>
    <w:rsid w:val="004327F1"/>
    <w:rsid w:val="00432B98"/>
    <w:rsid w:val="004335A7"/>
    <w:rsid w:val="004339AD"/>
    <w:rsid w:val="00433D28"/>
    <w:rsid w:val="004341A8"/>
    <w:rsid w:val="0043460D"/>
    <w:rsid w:val="00434F31"/>
    <w:rsid w:val="0043535F"/>
    <w:rsid w:val="00435499"/>
    <w:rsid w:val="00436B4D"/>
    <w:rsid w:val="00436ED1"/>
    <w:rsid w:val="00437076"/>
    <w:rsid w:val="00440502"/>
    <w:rsid w:val="004430AF"/>
    <w:rsid w:val="00443BA7"/>
    <w:rsid w:val="00444206"/>
    <w:rsid w:val="004442B9"/>
    <w:rsid w:val="004443CE"/>
    <w:rsid w:val="00444702"/>
    <w:rsid w:val="00445547"/>
    <w:rsid w:val="00445A00"/>
    <w:rsid w:val="004465D9"/>
    <w:rsid w:val="00446C4A"/>
    <w:rsid w:val="004475B8"/>
    <w:rsid w:val="00447B66"/>
    <w:rsid w:val="00447BE4"/>
    <w:rsid w:val="00447BFD"/>
    <w:rsid w:val="004505CE"/>
    <w:rsid w:val="00450F9B"/>
    <w:rsid w:val="004510B7"/>
    <w:rsid w:val="00451B0F"/>
    <w:rsid w:val="00451D1F"/>
    <w:rsid w:val="00452862"/>
    <w:rsid w:val="00452A72"/>
    <w:rsid w:val="0045390C"/>
    <w:rsid w:val="004546F6"/>
    <w:rsid w:val="00454C56"/>
    <w:rsid w:val="00454FF6"/>
    <w:rsid w:val="00455E7A"/>
    <w:rsid w:val="004562B1"/>
    <w:rsid w:val="00460958"/>
    <w:rsid w:val="00461C12"/>
    <w:rsid w:val="00462C29"/>
    <w:rsid w:val="00462CF1"/>
    <w:rsid w:val="00464261"/>
    <w:rsid w:val="00465D64"/>
    <w:rsid w:val="00465E68"/>
    <w:rsid w:val="00466571"/>
    <w:rsid w:val="00466A46"/>
    <w:rsid w:val="00467A76"/>
    <w:rsid w:val="00467C11"/>
    <w:rsid w:val="00467CDC"/>
    <w:rsid w:val="00467FEC"/>
    <w:rsid w:val="004700B4"/>
    <w:rsid w:val="004704D0"/>
    <w:rsid w:val="0047070B"/>
    <w:rsid w:val="004707E9"/>
    <w:rsid w:val="00470A89"/>
    <w:rsid w:val="004714FB"/>
    <w:rsid w:val="00471620"/>
    <w:rsid w:val="00471FA7"/>
    <w:rsid w:val="00472B35"/>
    <w:rsid w:val="0047319D"/>
    <w:rsid w:val="00473D7E"/>
    <w:rsid w:val="0047444D"/>
    <w:rsid w:val="0047512D"/>
    <w:rsid w:val="00475266"/>
    <w:rsid w:val="004753D7"/>
    <w:rsid w:val="004762D3"/>
    <w:rsid w:val="00476522"/>
    <w:rsid w:val="00476B00"/>
    <w:rsid w:val="004779DF"/>
    <w:rsid w:val="00477ABB"/>
    <w:rsid w:val="0048141F"/>
    <w:rsid w:val="004814FD"/>
    <w:rsid w:val="004815E4"/>
    <w:rsid w:val="00481B27"/>
    <w:rsid w:val="00481D56"/>
    <w:rsid w:val="00482873"/>
    <w:rsid w:val="00483ABF"/>
    <w:rsid w:val="00484E45"/>
    <w:rsid w:val="0048528A"/>
    <w:rsid w:val="00485720"/>
    <w:rsid w:val="00486AAC"/>
    <w:rsid w:val="0049029A"/>
    <w:rsid w:val="004911E2"/>
    <w:rsid w:val="00491E43"/>
    <w:rsid w:val="00491ED6"/>
    <w:rsid w:val="00492357"/>
    <w:rsid w:val="004935ED"/>
    <w:rsid w:val="00493758"/>
    <w:rsid w:val="00493EAF"/>
    <w:rsid w:val="004942AE"/>
    <w:rsid w:val="00494417"/>
    <w:rsid w:val="00494488"/>
    <w:rsid w:val="0049484F"/>
    <w:rsid w:val="00494AF1"/>
    <w:rsid w:val="004953FA"/>
    <w:rsid w:val="004957DE"/>
    <w:rsid w:val="00495A5A"/>
    <w:rsid w:val="00495AB8"/>
    <w:rsid w:val="00497CBA"/>
    <w:rsid w:val="00497F96"/>
    <w:rsid w:val="00497F9D"/>
    <w:rsid w:val="00497FBC"/>
    <w:rsid w:val="004A0DCD"/>
    <w:rsid w:val="004A160E"/>
    <w:rsid w:val="004A18B8"/>
    <w:rsid w:val="004A2850"/>
    <w:rsid w:val="004A3106"/>
    <w:rsid w:val="004A33D2"/>
    <w:rsid w:val="004A5F0E"/>
    <w:rsid w:val="004A5F51"/>
    <w:rsid w:val="004A64BE"/>
    <w:rsid w:val="004A6961"/>
    <w:rsid w:val="004B0197"/>
    <w:rsid w:val="004B073B"/>
    <w:rsid w:val="004B155B"/>
    <w:rsid w:val="004B1589"/>
    <w:rsid w:val="004B287A"/>
    <w:rsid w:val="004B299C"/>
    <w:rsid w:val="004B2A90"/>
    <w:rsid w:val="004B372B"/>
    <w:rsid w:val="004B48E4"/>
    <w:rsid w:val="004B5B37"/>
    <w:rsid w:val="004B64DB"/>
    <w:rsid w:val="004B65DB"/>
    <w:rsid w:val="004B693F"/>
    <w:rsid w:val="004B6ABF"/>
    <w:rsid w:val="004B6FCD"/>
    <w:rsid w:val="004B7124"/>
    <w:rsid w:val="004B78AD"/>
    <w:rsid w:val="004B7B0D"/>
    <w:rsid w:val="004B7BB0"/>
    <w:rsid w:val="004B7E86"/>
    <w:rsid w:val="004B7FBA"/>
    <w:rsid w:val="004C09FD"/>
    <w:rsid w:val="004C100E"/>
    <w:rsid w:val="004C1326"/>
    <w:rsid w:val="004C2131"/>
    <w:rsid w:val="004C237A"/>
    <w:rsid w:val="004C26EC"/>
    <w:rsid w:val="004C2EE3"/>
    <w:rsid w:val="004C2F2D"/>
    <w:rsid w:val="004C3AF9"/>
    <w:rsid w:val="004C3F26"/>
    <w:rsid w:val="004C4943"/>
    <w:rsid w:val="004C55A9"/>
    <w:rsid w:val="004C70B4"/>
    <w:rsid w:val="004C7A81"/>
    <w:rsid w:val="004D04CE"/>
    <w:rsid w:val="004D0515"/>
    <w:rsid w:val="004D1E54"/>
    <w:rsid w:val="004D2303"/>
    <w:rsid w:val="004D2436"/>
    <w:rsid w:val="004D2CF7"/>
    <w:rsid w:val="004D3FFD"/>
    <w:rsid w:val="004D42FF"/>
    <w:rsid w:val="004D43EA"/>
    <w:rsid w:val="004D4622"/>
    <w:rsid w:val="004D50CE"/>
    <w:rsid w:val="004D5609"/>
    <w:rsid w:val="004D6656"/>
    <w:rsid w:val="004D6A3A"/>
    <w:rsid w:val="004D760B"/>
    <w:rsid w:val="004D76F6"/>
    <w:rsid w:val="004D7CDF"/>
    <w:rsid w:val="004D7DFA"/>
    <w:rsid w:val="004E03D1"/>
    <w:rsid w:val="004E0EEB"/>
    <w:rsid w:val="004E1799"/>
    <w:rsid w:val="004E19CB"/>
    <w:rsid w:val="004E1E59"/>
    <w:rsid w:val="004E1FE5"/>
    <w:rsid w:val="004E2C22"/>
    <w:rsid w:val="004E2C56"/>
    <w:rsid w:val="004E3C66"/>
    <w:rsid w:val="004E409D"/>
    <w:rsid w:val="004E48D2"/>
    <w:rsid w:val="004E4A22"/>
    <w:rsid w:val="004E4D6B"/>
    <w:rsid w:val="004E4FDB"/>
    <w:rsid w:val="004E51F5"/>
    <w:rsid w:val="004E57F0"/>
    <w:rsid w:val="004E594F"/>
    <w:rsid w:val="004E5A62"/>
    <w:rsid w:val="004E5E04"/>
    <w:rsid w:val="004E6CD0"/>
    <w:rsid w:val="004E6EAD"/>
    <w:rsid w:val="004E6F55"/>
    <w:rsid w:val="004E7E2C"/>
    <w:rsid w:val="004F037B"/>
    <w:rsid w:val="004F1A06"/>
    <w:rsid w:val="004F3B98"/>
    <w:rsid w:val="004F40CE"/>
    <w:rsid w:val="004F433D"/>
    <w:rsid w:val="004F44E4"/>
    <w:rsid w:val="004F49B0"/>
    <w:rsid w:val="004F584A"/>
    <w:rsid w:val="004F5FAB"/>
    <w:rsid w:val="004F60D4"/>
    <w:rsid w:val="004F6727"/>
    <w:rsid w:val="004F6FA3"/>
    <w:rsid w:val="004F6FA4"/>
    <w:rsid w:val="005003AC"/>
    <w:rsid w:val="005007EB"/>
    <w:rsid w:val="005008E4"/>
    <w:rsid w:val="00500EF7"/>
    <w:rsid w:val="00500F92"/>
    <w:rsid w:val="0050131A"/>
    <w:rsid w:val="00501934"/>
    <w:rsid w:val="00501C72"/>
    <w:rsid w:val="00502F94"/>
    <w:rsid w:val="005031A4"/>
    <w:rsid w:val="005033C9"/>
    <w:rsid w:val="00504190"/>
    <w:rsid w:val="00504444"/>
    <w:rsid w:val="0050449D"/>
    <w:rsid w:val="00504F79"/>
    <w:rsid w:val="00504FE0"/>
    <w:rsid w:val="00505ACF"/>
    <w:rsid w:val="00506DF5"/>
    <w:rsid w:val="00507A8E"/>
    <w:rsid w:val="00507E98"/>
    <w:rsid w:val="005104CD"/>
    <w:rsid w:val="0051062C"/>
    <w:rsid w:val="0051154B"/>
    <w:rsid w:val="00511968"/>
    <w:rsid w:val="005124D6"/>
    <w:rsid w:val="00512586"/>
    <w:rsid w:val="0051279B"/>
    <w:rsid w:val="0051290C"/>
    <w:rsid w:val="00512A1A"/>
    <w:rsid w:val="00513288"/>
    <w:rsid w:val="00513979"/>
    <w:rsid w:val="00513ADE"/>
    <w:rsid w:val="005140B1"/>
    <w:rsid w:val="005145B5"/>
    <w:rsid w:val="005146A0"/>
    <w:rsid w:val="00515001"/>
    <w:rsid w:val="00515D63"/>
    <w:rsid w:val="00516EF8"/>
    <w:rsid w:val="00517389"/>
    <w:rsid w:val="005204C5"/>
    <w:rsid w:val="0052083A"/>
    <w:rsid w:val="00520CBE"/>
    <w:rsid w:val="0052228C"/>
    <w:rsid w:val="00522890"/>
    <w:rsid w:val="00524937"/>
    <w:rsid w:val="00524949"/>
    <w:rsid w:val="00526D37"/>
    <w:rsid w:val="005275AA"/>
    <w:rsid w:val="005279F1"/>
    <w:rsid w:val="00530AD2"/>
    <w:rsid w:val="00531350"/>
    <w:rsid w:val="00531464"/>
    <w:rsid w:val="00531CE6"/>
    <w:rsid w:val="0053209B"/>
    <w:rsid w:val="0053255F"/>
    <w:rsid w:val="00533011"/>
    <w:rsid w:val="005331C5"/>
    <w:rsid w:val="005337FF"/>
    <w:rsid w:val="005339B4"/>
    <w:rsid w:val="00534E88"/>
    <w:rsid w:val="005354FE"/>
    <w:rsid w:val="00536388"/>
    <w:rsid w:val="00536B2F"/>
    <w:rsid w:val="005370ED"/>
    <w:rsid w:val="00537221"/>
    <w:rsid w:val="005379C6"/>
    <w:rsid w:val="005401E1"/>
    <w:rsid w:val="0054044A"/>
    <w:rsid w:val="005404EA"/>
    <w:rsid w:val="00541180"/>
    <w:rsid w:val="005415C5"/>
    <w:rsid w:val="005417C7"/>
    <w:rsid w:val="00542A10"/>
    <w:rsid w:val="00544396"/>
    <w:rsid w:val="00544783"/>
    <w:rsid w:val="00544AAF"/>
    <w:rsid w:val="00544FB3"/>
    <w:rsid w:val="00545C9A"/>
    <w:rsid w:val="00545F46"/>
    <w:rsid w:val="00546099"/>
    <w:rsid w:val="00546666"/>
    <w:rsid w:val="00546B72"/>
    <w:rsid w:val="005472E4"/>
    <w:rsid w:val="00547C97"/>
    <w:rsid w:val="00550E83"/>
    <w:rsid w:val="00551652"/>
    <w:rsid w:val="00551CB6"/>
    <w:rsid w:val="00551DDF"/>
    <w:rsid w:val="00551E16"/>
    <w:rsid w:val="005523B6"/>
    <w:rsid w:val="00552925"/>
    <w:rsid w:val="005533C3"/>
    <w:rsid w:val="005534AC"/>
    <w:rsid w:val="00554F59"/>
    <w:rsid w:val="005554D1"/>
    <w:rsid w:val="00555B1F"/>
    <w:rsid w:val="00555E6B"/>
    <w:rsid w:val="0055614C"/>
    <w:rsid w:val="00556371"/>
    <w:rsid w:val="005574E8"/>
    <w:rsid w:val="00560BDC"/>
    <w:rsid w:val="00560C8D"/>
    <w:rsid w:val="0056125F"/>
    <w:rsid w:val="0056141F"/>
    <w:rsid w:val="00561C2C"/>
    <w:rsid w:val="00561D5E"/>
    <w:rsid w:val="005628C4"/>
    <w:rsid w:val="00562BB8"/>
    <w:rsid w:val="00562E5B"/>
    <w:rsid w:val="00562FC6"/>
    <w:rsid w:val="005644D7"/>
    <w:rsid w:val="0056547B"/>
    <w:rsid w:val="005658C5"/>
    <w:rsid w:val="00565CB9"/>
    <w:rsid w:val="00565CDA"/>
    <w:rsid w:val="00565E2A"/>
    <w:rsid w:val="00565F04"/>
    <w:rsid w:val="00566035"/>
    <w:rsid w:val="00566924"/>
    <w:rsid w:val="00566B5D"/>
    <w:rsid w:val="00566D06"/>
    <w:rsid w:val="005673D9"/>
    <w:rsid w:val="00567827"/>
    <w:rsid w:val="00570B61"/>
    <w:rsid w:val="00570D8A"/>
    <w:rsid w:val="00572491"/>
    <w:rsid w:val="0057251C"/>
    <w:rsid w:val="00572BDD"/>
    <w:rsid w:val="00572EA3"/>
    <w:rsid w:val="0057443F"/>
    <w:rsid w:val="00574792"/>
    <w:rsid w:val="0057485D"/>
    <w:rsid w:val="0057604F"/>
    <w:rsid w:val="005763B6"/>
    <w:rsid w:val="0057721C"/>
    <w:rsid w:val="00577D4E"/>
    <w:rsid w:val="00580216"/>
    <w:rsid w:val="00580A78"/>
    <w:rsid w:val="00580CC3"/>
    <w:rsid w:val="005813EC"/>
    <w:rsid w:val="005815A9"/>
    <w:rsid w:val="00581F2E"/>
    <w:rsid w:val="0058205B"/>
    <w:rsid w:val="00582156"/>
    <w:rsid w:val="005821BB"/>
    <w:rsid w:val="005836CC"/>
    <w:rsid w:val="00583887"/>
    <w:rsid w:val="0058389A"/>
    <w:rsid w:val="00583A75"/>
    <w:rsid w:val="005842A6"/>
    <w:rsid w:val="00584341"/>
    <w:rsid w:val="00584EAA"/>
    <w:rsid w:val="005852E9"/>
    <w:rsid w:val="00585352"/>
    <w:rsid w:val="0058556F"/>
    <w:rsid w:val="005856C2"/>
    <w:rsid w:val="00585DC6"/>
    <w:rsid w:val="005860CA"/>
    <w:rsid w:val="005863C2"/>
    <w:rsid w:val="00586DFA"/>
    <w:rsid w:val="00586FC5"/>
    <w:rsid w:val="0058711E"/>
    <w:rsid w:val="00587DB3"/>
    <w:rsid w:val="00587E1D"/>
    <w:rsid w:val="005902E6"/>
    <w:rsid w:val="00590496"/>
    <w:rsid w:val="005904D3"/>
    <w:rsid w:val="00591130"/>
    <w:rsid w:val="0059173A"/>
    <w:rsid w:val="005922CF"/>
    <w:rsid w:val="0059233A"/>
    <w:rsid w:val="00592414"/>
    <w:rsid w:val="005925C7"/>
    <w:rsid w:val="00592D0F"/>
    <w:rsid w:val="00593EED"/>
    <w:rsid w:val="00593FEA"/>
    <w:rsid w:val="0059412D"/>
    <w:rsid w:val="005946DB"/>
    <w:rsid w:val="00595119"/>
    <w:rsid w:val="005953FA"/>
    <w:rsid w:val="00595690"/>
    <w:rsid w:val="00596097"/>
    <w:rsid w:val="0059671E"/>
    <w:rsid w:val="00596C76"/>
    <w:rsid w:val="00597051"/>
    <w:rsid w:val="005976CE"/>
    <w:rsid w:val="005A021E"/>
    <w:rsid w:val="005A0916"/>
    <w:rsid w:val="005A0A82"/>
    <w:rsid w:val="005A0F2A"/>
    <w:rsid w:val="005A1672"/>
    <w:rsid w:val="005A2AB1"/>
    <w:rsid w:val="005A2E69"/>
    <w:rsid w:val="005A3421"/>
    <w:rsid w:val="005A3905"/>
    <w:rsid w:val="005A3F78"/>
    <w:rsid w:val="005A411D"/>
    <w:rsid w:val="005A4229"/>
    <w:rsid w:val="005A53E3"/>
    <w:rsid w:val="005A5679"/>
    <w:rsid w:val="005A596D"/>
    <w:rsid w:val="005A6DEE"/>
    <w:rsid w:val="005A7009"/>
    <w:rsid w:val="005A71B8"/>
    <w:rsid w:val="005A7D8A"/>
    <w:rsid w:val="005B008F"/>
    <w:rsid w:val="005B0842"/>
    <w:rsid w:val="005B09BF"/>
    <w:rsid w:val="005B1795"/>
    <w:rsid w:val="005B18A3"/>
    <w:rsid w:val="005B1F72"/>
    <w:rsid w:val="005B28F7"/>
    <w:rsid w:val="005B3307"/>
    <w:rsid w:val="005B41C6"/>
    <w:rsid w:val="005B4F58"/>
    <w:rsid w:val="005B5C6A"/>
    <w:rsid w:val="005B62F5"/>
    <w:rsid w:val="005B671B"/>
    <w:rsid w:val="005B725B"/>
    <w:rsid w:val="005B75C4"/>
    <w:rsid w:val="005B7782"/>
    <w:rsid w:val="005B7AAB"/>
    <w:rsid w:val="005B7EA4"/>
    <w:rsid w:val="005C097B"/>
    <w:rsid w:val="005C0B95"/>
    <w:rsid w:val="005C0F32"/>
    <w:rsid w:val="005C1203"/>
    <w:rsid w:val="005C1546"/>
    <w:rsid w:val="005C1F69"/>
    <w:rsid w:val="005C26C4"/>
    <w:rsid w:val="005C320A"/>
    <w:rsid w:val="005C32CF"/>
    <w:rsid w:val="005C4095"/>
    <w:rsid w:val="005C4E6B"/>
    <w:rsid w:val="005C53E1"/>
    <w:rsid w:val="005C61AA"/>
    <w:rsid w:val="005C63F7"/>
    <w:rsid w:val="005C6E89"/>
    <w:rsid w:val="005C7208"/>
    <w:rsid w:val="005C785F"/>
    <w:rsid w:val="005C79EE"/>
    <w:rsid w:val="005C7C5E"/>
    <w:rsid w:val="005D0846"/>
    <w:rsid w:val="005D23AA"/>
    <w:rsid w:val="005D3630"/>
    <w:rsid w:val="005D4393"/>
    <w:rsid w:val="005D46C8"/>
    <w:rsid w:val="005D57F0"/>
    <w:rsid w:val="005D6BCD"/>
    <w:rsid w:val="005D6DA8"/>
    <w:rsid w:val="005D77EF"/>
    <w:rsid w:val="005D7D20"/>
    <w:rsid w:val="005E0216"/>
    <w:rsid w:val="005E052A"/>
    <w:rsid w:val="005E1383"/>
    <w:rsid w:val="005E14C2"/>
    <w:rsid w:val="005E1CD6"/>
    <w:rsid w:val="005E1DD3"/>
    <w:rsid w:val="005E2D42"/>
    <w:rsid w:val="005E2D9B"/>
    <w:rsid w:val="005E3039"/>
    <w:rsid w:val="005E31D6"/>
    <w:rsid w:val="005E36CA"/>
    <w:rsid w:val="005E39CA"/>
    <w:rsid w:val="005E40BD"/>
    <w:rsid w:val="005E4FCD"/>
    <w:rsid w:val="005E566F"/>
    <w:rsid w:val="005E665D"/>
    <w:rsid w:val="005E6D8B"/>
    <w:rsid w:val="005E7B95"/>
    <w:rsid w:val="005F04BE"/>
    <w:rsid w:val="005F0938"/>
    <w:rsid w:val="005F10AF"/>
    <w:rsid w:val="005F3C04"/>
    <w:rsid w:val="005F402C"/>
    <w:rsid w:val="005F53E7"/>
    <w:rsid w:val="005F542C"/>
    <w:rsid w:val="005F5460"/>
    <w:rsid w:val="005F5BD1"/>
    <w:rsid w:val="005F701D"/>
    <w:rsid w:val="00600023"/>
    <w:rsid w:val="00600603"/>
    <w:rsid w:val="006009A9"/>
    <w:rsid w:val="00600AEE"/>
    <w:rsid w:val="00600B73"/>
    <w:rsid w:val="006026FD"/>
    <w:rsid w:val="00602FE4"/>
    <w:rsid w:val="006057F9"/>
    <w:rsid w:val="00605A14"/>
    <w:rsid w:val="00605C74"/>
    <w:rsid w:val="00606345"/>
    <w:rsid w:val="00607BA5"/>
    <w:rsid w:val="00607CD4"/>
    <w:rsid w:val="00610D9C"/>
    <w:rsid w:val="00610DAB"/>
    <w:rsid w:val="00610ED4"/>
    <w:rsid w:val="00611565"/>
    <w:rsid w:val="00611670"/>
    <w:rsid w:val="0061180A"/>
    <w:rsid w:val="00611D4F"/>
    <w:rsid w:val="0061200E"/>
    <w:rsid w:val="00612173"/>
    <w:rsid w:val="00612FA2"/>
    <w:rsid w:val="00613E82"/>
    <w:rsid w:val="00615118"/>
    <w:rsid w:val="00615849"/>
    <w:rsid w:val="00615C3C"/>
    <w:rsid w:val="00615D18"/>
    <w:rsid w:val="00616A33"/>
    <w:rsid w:val="006171D2"/>
    <w:rsid w:val="006172A6"/>
    <w:rsid w:val="00617CE1"/>
    <w:rsid w:val="00617E6C"/>
    <w:rsid w:val="00617F7E"/>
    <w:rsid w:val="00620139"/>
    <w:rsid w:val="00620EB6"/>
    <w:rsid w:val="006219D5"/>
    <w:rsid w:val="00621E6E"/>
    <w:rsid w:val="00622002"/>
    <w:rsid w:val="0062208B"/>
    <w:rsid w:val="0062210A"/>
    <w:rsid w:val="00622191"/>
    <w:rsid w:val="006225C4"/>
    <w:rsid w:val="00622A2F"/>
    <w:rsid w:val="00623223"/>
    <w:rsid w:val="00623EF0"/>
    <w:rsid w:val="006241E8"/>
    <w:rsid w:val="00624D55"/>
    <w:rsid w:val="006265A7"/>
    <w:rsid w:val="006269F4"/>
    <w:rsid w:val="00626EB6"/>
    <w:rsid w:val="00627071"/>
    <w:rsid w:val="0062796F"/>
    <w:rsid w:val="00627EAF"/>
    <w:rsid w:val="00627FE3"/>
    <w:rsid w:val="006301F2"/>
    <w:rsid w:val="00630AAD"/>
    <w:rsid w:val="00631778"/>
    <w:rsid w:val="00631A64"/>
    <w:rsid w:val="006326BE"/>
    <w:rsid w:val="00632891"/>
    <w:rsid w:val="00632C5E"/>
    <w:rsid w:val="00632C6E"/>
    <w:rsid w:val="00633456"/>
    <w:rsid w:val="00633F9F"/>
    <w:rsid w:val="0063436E"/>
    <w:rsid w:val="0063463B"/>
    <w:rsid w:val="006346C3"/>
    <w:rsid w:val="00634C07"/>
    <w:rsid w:val="00634EC8"/>
    <w:rsid w:val="00634FE8"/>
    <w:rsid w:val="00635175"/>
    <w:rsid w:val="006362AC"/>
    <w:rsid w:val="0063656C"/>
    <w:rsid w:val="006374F8"/>
    <w:rsid w:val="00637722"/>
    <w:rsid w:val="006377E4"/>
    <w:rsid w:val="006402BD"/>
    <w:rsid w:val="00640490"/>
    <w:rsid w:val="006405BC"/>
    <w:rsid w:val="006406B4"/>
    <w:rsid w:val="00640DC6"/>
    <w:rsid w:val="00641D16"/>
    <w:rsid w:val="00641D4C"/>
    <w:rsid w:val="006424BC"/>
    <w:rsid w:val="00642AE9"/>
    <w:rsid w:val="0064307F"/>
    <w:rsid w:val="0064332C"/>
    <w:rsid w:val="00643535"/>
    <w:rsid w:val="00643608"/>
    <w:rsid w:val="006449C2"/>
    <w:rsid w:val="006450AF"/>
    <w:rsid w:val="006454EF"/>
    <w:rsid w:val="00645E17"/>
    <w:rsid w:val="0064642B"/>
    <w:rsid w:val="00646B28"/>
    <w:rsid w:val="00646CF8"/>
    <w:rsid w:val="00647096"/>
    <w:rsid w:val="0064754E"/>
    <w:rsid w:val="006477B2"/>
    <w:rsid w:val="00647936"/>
    <w:rsid w:val="00650104"/>
    <w:rsid w:val="0065021B"/>
    <w:rsid w:val="00650C54"/>
    <w:rsid w:val="00651D33"/>
    <w:rsid w:val="006527A3"/>
    <w:rsid w:val="0065393F"/>
    <w:rsid w:val="006550E5"/>
    <w:rsid w:val="00655B77"/>
    <w:rsid w:val="00655B93"/>
    <w:rsid w:val="00655D03"/>
    <w:rsid w:val="00657109"/>
    <w:rsid w:val="0066002A"/>
    <w:rsid w:val="00660E3A"/>
    <w:rsid w:val="006621CD"/>
    <w:rsid w:val="006623DB"/>
    <w:rsid w:val="006626AF"/>
    <w:rsid w:val="00662AE6"/>
    <w:rsid w:val="0066314E"/>
    <w:rsid w:val="00663278"/>
    <w:rsid w:val="006632B8"/>
    <w:rsid w:val="00663962"/>
    <w:rsid w:val="006650A4"/>
    <w:rsid w:val="006652EE"/>
    <w:rsid w:val="0066600E"/>
    <w:rsid w:val="0066650C"/>
    <w:rsid w:val="00666A3E"/>
    <w:rsid w:val="0066717B"/>
    <w:rsid w:val="0066778F"/>
    <w:rsid w:val="006677E7"/>
    <w:rsid w:val="00670003"/>
    <w:rsid w:val="00670601"/>
    <w:rsid w:val="00670C8D"/>
    <w:rsid w:val="006717C0"/>
    <w:rsid w:val="00671CD6"/>
    <w:rsid w:val="00671EC9"/>
    <w:rsid w:val="006726A2"/>
    <w:rsid w:val="00672A0D"/>
    <w:rsid w:val="0067317D"/>
    <w:rsid w:val="00673194"/>
    <w:rsid w:val="00673564"/>
    <w:rsid w:val="00673BAF"/>
    <w:rsid w:val="0067423C"/>
    <w:rsid w:val="006747FD"/>
    <w:rsid w:val="00674F21"/>
    <w:rsid w:val="00674FEA"/>
    <w:rsid w:val="006753CD"/>
    <w:rsid w:val="006754E9"/>
    <w:rsid w:val="006757F8"/>
    <w:rsid w:val="0067586E"/>
    <w:rsid w:val="00676321"/>
    <w:rsid w:val="006773FF"/>
    <w:rsid w:val="0067745C"/>
    <w:rsid w:val="006808CE"/>
    <w:rsid w:val="0068128F"/>
    <w:rsid w:val="00681D34"/>
    <w:rsid w:val="00682D10"/>
    <w:rsid w:val="00683388"/>
    <w:rsid w:val="006833D6"/>
    <w:rsid w:val="00683539"/>
    <w:rsid w:val="0068360A"/>
    <w:rsid w:val="00683F84"/>
    <w:rsid w:val="00685200"/>
    <w:rsid w:val="0068566D"/>
    <w:rsid w:val="00685BDC"/>
    <w:rsid w:val="00685C06"/>
    <w:rsid w:val="00685CA8"/>
    <w:rsid w:val="00686BD8"/>
    <w:rsid w:val="00687AA8"/>
    <w:rsid w:val="00687D4A"/>
    <w:rsid w:val="0069066D"/>
    <w:rsid w:val="006917E1"/>
    <w:rsid w:val="00691AFB"/>
    <w:rsid w:val="00691BB5"/>
    <w:rsid w:val="00692371"/>
    <w:rsid w:val="00692537"/>
    <w:rsid w:val="00692E13"/>
    <w:rsid w:val="00693ADF"/>
    <w:rsid w:val="00694ACA"/>
    <w:rsid w:val="006960FD"/>
    <w:rsid w:val="0069622C"/>
    <w:rsid w:val="00697055"/>
    <w:rsid w:val="006A034B"/>
    <w:rsid w:val="006A037B"/>
    <w:rsid w:val="006A074E"/>
    <w:rsid w:val="006A1502"/>
    <w:rsid w:val="006A1D72"/>
    <w:rsid w:val="006A2498"/>
    <w:rsid w:val="006A37A3"/>
    <w:rsid w:val="006A398F"/>
    <w:rsid w:val="006A4010"/>
    <w:rsid w:val="006A40EB"/>
    <w:rsid w:val="006A4825"/>
    <w:rsid w:val="006A493C"/>
    <w:rsid w:val="006A4FA1"/>
    <w:rsid w:val="006A54D3"/>
    <w:rsid w:val="006A5E94"/>
    <w:rsid w:val="006A6911"/>
    <w:rsid w:val="006A6A81"/>
    <w:rsid w:val="006A6BCC"/>
    <w:rsid w:val="006A6EDD"/>
    <w:rsid w:val="006A772A"/>
    <w:rsid w:val="006A7F0F"/>
    <w:rsid w:val="006B0B55"/>
    <w:rsid w:val="006B1175"/>
    <w:rsid w:val="006B1187"/>
    <w:rsid w:val="006B15D3"/>
    <w:rsid w:val="006B1F50"/>
    <w:rsid w:val="006B25A0"/>
    <w:rsid w:val="006B26A9"/>
    <w:rsid w:val="006B26F9"/>
    <w:rsid w:val="006B2F02"/>
    <w:rsid w:val="006B35D1"/>
    <w:rsid w:val="006B3A68"/>
    <w:rsid w:val="006B515E"/>
    <w:rsid w:val="006B5623"/>
    <w:rsid w:val="006B5BCA"/>
    <w:rsid w:val="006B5C31"/>
    <w:rsid w:val="006B75BA"/>
    <w:rsid w:val="006B7834"/>
    <w:rsid w:val="006B7B16"/>
    <w:rsid w:val="006C01EF"/>
    <w:rsid w:val="006C03C7"/>
    <w:rsid w:val="006C07A2"/>
    <w:rsid w:val="006C19A8"/>
    <w:rsid w:val="006C2C6C"/>
    <w:rsid w:val="006C30CE"/>
    <w:rsid w:val="006C3499"/>
    <w:rsid w:val="006C3CB8"/>
    <w:rsid w:val="006C4398"/>
    <w:rsid w:val="006C454E"/>
    <w:rsid w:val="006C4BA9"/>
    <w:rsid w:val="006C4CDD"/>
    <w:rsid w:val="006C4FB3"/>
    <w:rsid w:val="006C4FE0"/>
    <w:rsid w:val="006C52E4"/>
    <w:rsid w:val="006C55C4"/>
    <w:rsid w:val="006C5663"/>
    <w:rsid w:val="006C5E9E"/>
    <w:rsid w:val="006C606A"/>
    <w:rsid w:val="006C6A35"/>
    <w:rsid w:val="006C6FB4"/>
    <w:rsid w:val="006D112D"/>
    <w:rsid w:val="006D1A56"/>
    <w:rsid w:val="006D2380"/>
    <w:rsid w:val="006D240C"/>
    <w:rsid w:val="006D280F"/>
    <w:rsid w:val="006D343B"/>
    <w:rsid w:val="006D4207"/>
    <w:rsid w:val="006D4384"/>
    <w:rsid w:val="006D44FA"/>
    <w:rsid w:val="006D46E0"/>
    <w:rsid w:val="006D5309"/>
    <w:rsid w:val="006D5C5C"/>
    <w:rsid w:val="006D5CDA"/>
    <w:rsid w:val="006D6177"/>
    <w:rsid w:val="006D648A"/>
    <w:rsid w:val="006D66D9"/>
    <w:rsid w:val="006D715F"/>
    <w:rsid w:val="006D733F"/>
    <w:rsid w:val="006D74B5"/>
    <w:rsid w:val="006D7741"/>
    <w:rsid w:val="006D7902"/>
    <w:rsid w:val="006E0425"/>
    <w:rsid w:val="006E0BA4"/>
    <w:rsid w:val="006E108C"/>
    <w:rsid w:val="006E1154"/>
    <w:rsid w:val="006E240C"/>
    <w:rsid w:val="006E2F71"/>
    <w:rsid w:val="006E3D31"/>
    <w:rsid w:val="006E45AB"/>
    <w:rsid w:val="006E49EC"/>
    <w:rsid w:val="006E506D"/>
    <w:rsid w:val="006E50B9"/>
    <w:rsid w:val="006E510F"/>
    <w:rsid w:val="006E515C"/>
    <w:rsid w:val="006E550C"/>
    <w:rsid w:val="006E59E0"/>
    <w:rsid w:val="006E5D30"/>
    <w:rsid w:val="006E62FF"/>
    <w:rsid w:val="006E6BF8"/>
    <w:rsid w:val="006E70F7"/>
    <w:rsid w:val="006E7404"/>
    <w:rsid w:val="006E7405"/>
    <w:rsid w:val="006E7921"/>
    <w:rsid w:val="006E7930"/>
    <w:rsid w:val="006E7A65"/>
    <w:rsid w:val="006E7E3F"/>
    <w:rsid w:val="006F0813"/>
    <w:rsid w:val="006F0901"/>
    <w:rsid w:val="006F0B14"/>
    <w:rsid w:val="006F0D2C"/>
    <w:rsid w:val="006F1266"/>
    <w:rsid w:val="006F1348"/>
    <w:rsid w:val="006F1E5C"/>
    <w:rsid w:val="006F2D97"/>
    <w:rsid w:val="006F388F"/>
    <w:rsid w:val="006F3CAB"/>
    <w:rsid w:val="006F5AF9"/>
    <w:rsid w:val="006F5D79"/>
    <w:rsid w:val="006F5F60"/>
    <w:rsid w:val="006F606D"/>
    <w:rsid w:val="006F65CC"/>
    <w:rsid w:val="006F6CD2"/>
    <w:rsid w:val="006F6D5A"/>
    <w:rsid w:val="006F7393"/>
    <w:rsid w:val="006F7F8D"/>
    <w:rsid w:val="007001DC"/>
    <w:rsid w:val="0070053F"/>
    <w:rsid w:val="007005C5"/>
    <w:rsid w:val="0070087D"/>
    <w:rsid w:val="0070093D"/>
    <w:rsid w:val="00701AD6"/>
    <w:rsid w:val="00701DB4"/>
    <w:rsid w:val="0070224F"/>
    <w:rsid w:val="00702902"/>
    <w:rsid w:val="00702F7F"/>
    <w:rsid w:val="00703418"/>
    <w:rsid w:val="00703928"/>
    <w:rsid w:val="00704820"/>
    <w:rsid w:val="00705451"/>
    <w:rsid w:val="007054C1"/>
    <w:rsid w:val="00705693"/>
    <w:rsid w:val="00705759"/>
    <w:rsid w:val="00705C61"/>
    <w:rsid w:val="00706A2E"/>
    <w:rsid w:val="00706DC3"/>
    <w:rsid w:val="00706ECE"/>
    <w:rsid w:val="00707330"/>
    <w:rsid w:val="0070742D"/>
    <w:rsid w:val="0071069C"/>
    <w:rsid w:val="00710A21"/>
    <w:rsid w:val="00710F36"/>
    <w:rsid w:val="007111F0"/>
    <w:rsid w:val="007115F7"/>
    <w:rsid w:val="007118D8"/>
    <w:rsid w:val="00711EFD"/>
    <w:rsid w:val="00712130"/>
    <w:rsid w:val="00712F7C"/>
    <w:rsid w:val="00713C82"/>
    <w:rsid w:val="00713F1F"/>
    <w:rsid w:val="0071435C"/>
    <w:rsid w:val="00714FB6"/>
    <w:rsid w:val="007150D3"/>
    <w:rsid w:val="00715264"/>
    <w:rsid w:val="00716468"/>
    <w:rsid w:val="0071691E"/>
    <w:rsid w:val="00716B42"/>
    <w:rsid w:val="00716DFB"/>
    <w:rsid w:val="00716E91"/>
    <w:rsid w:val="0071719A"/>
    <w:rsid w:val="00717985"/>
    <w:rsid w:val="00717EA6"/>
    <w:rsid w:val="0072011B"/>
    <w:rsid w:val="007212A4"/>
    <w:rsid w:val="007214ED"/>
    <w:rsid w:val="00721C60"/>
    <w:rsid w:val="00721CB5"/>
    <w:rsid w:val="007221B1"/>
    <w:rsid w:val="007223A0"/>
    <w:rsid w:val="00722748"/>
    <w:rsid w:val="00723616"/>
    <w:rsid w:val="0072371E"/>
    <w:rsid w:val="007237EF"/>
    <w:rsid w:val="00723C75"/>
    <w:rsid w:val="0072401C"/>
    <w:rsid w:val="0072441F"/>
    <w:rsid w:val="007246CE"/>
    <w:rsid w:val="00724A06"/>
    <w:rsid w:val="007250AD"/>
    <w:rsid w:val="007250CD"/>
    <w:rsid w:val="007254BC"/>
    <w:rsid w:val="007256A1"/>
    <w:rsid w:val="00725F1E"/>
    <w:rsid w:val="00726007"/>
    <w:rsid w:val="00726198"/>
    <w:rsid w:val="0072625C"/>
    <w:rsid w:val="007265ED"/>
    <w:rsid w:val="00726668"/>
    <w:rsid w:val="00726717"/>
    <w:rsid w:val="007267EC"/>
    <w:rsid w:val="0073060A"/>
    <w:rsid w:val="00730689"/>
    <w:rsid w:val="0073102C"/>
    <w:rsid w:val="007312C2"/>
    <w:rsid w:val="007323A7"/>
    <w:rsid w:val="0073287D"/>
    <w:rsid w:val="0073303C"/>
    <w:rsid w:val="00733104"/>
    <w:rsid w:val="00733AD9"/>
    <w:rsid w:val="00733F28"/>
    <w:rsid w:val="007342AE"/>
    <w:rsid w:val="0073497D"/>
    <w:rsid w:val="00735051"/>
    <w:rsid w:val="0073547B"/>
    <w:rsid w:val="00735C99"/>
    <w:rsid w:val="00735D5D"/>
    <w:rsid w:val="0073646A"/>
    <w:rsid w:val="00736B47"/>
    <w:rsid w:val="00736FF0"/>
    <w:rsid w:val="0073749C"/>
    <w:rsid w:val="00737B16"/>
    <w:rsid w:val="007400AB"/>
    <w:rsid w:val="0074011A"/>
    <w:rsid w:val="00740645"/>
    <w:rsid w:val="00740F38"/>
    <w:rsid w:val="0074217D"/>
    <w:rsid w:val="0074393D"/>
    <w:rsid w:val="00745C1C"/>
    <w:rsid w:val="00745C47"/>
    <w:rsid w:val="00745C5F"/>
    <w:rsid w:val="007468D5"/>
    <w:rsid w:val="00746AD9"/>
    <w:rsid w:val="007473C9"/>
    <w:rsid w:val="00750018"/>
    <w:rsid w:val="0075072E"/>
    <w:rsid w:val="00750D7E"/>
    <w:rsid w:val="00751274"/>
    <w:rsid w:val="007514F9"/>
    <w:rsid w:val="007516A0"/>
    <w:rsid w:val="0075176B"/>
    <w:rsid w:val="007526E3"/>
    <w:rsid w:val="00753967"/>
    <w:rsid w:val="00754089"/>
    <w:rsid w:val="00754DD1"/>
    <w:rsid w:val="00754E78"/>
    <w:rsid w:val="007551FE"/>
    <w:rsid w:val="0075585E"/>
    <w:rsid w:val="00755BB0"/>
    <w:rsid w:val="00757019"/>
    <w:rsid w:val="007600E8"/>
    <w:rsid w:val="007603D1"/>
    <w:rsid w:val="00760423"/>
    <w:rsid w:val="00761E4F"/>
    <w:rsid w:val="00761F0D"/>
    <w:rsid w:val="00762076"/>
    <w:rsid w:val="007620F8"/>
    <w:rsid w:val="00762129"/>
    <w:rsid w:val="007626FD"/>
    <w:rsid w:val="007627E4"/>
    <w:rsid w:val="0076343F"/>
    <w:rsid w:val="00764482"/>
    <w:rsid w:val="007654FE"/>
    <w:rsid w:val="00765A11"/>
    <w:rsid w:val="007663FD"/>
    <w:rsid w:val="00766F9C"/>
    <w:rsid w:val="00766FBD"/>
    <w:rsid w:val="00767249"/>
    <w:rsid w:val="007673D2"/>
    <w:rsid w:val="00767530"/>
    <w:rsid w:val="00767639"/>
    <w:rsid w:val="00767F55"/>
    <w:rsid w:val="00770127"/>
    <w:rsid w:val="007708BC"/>
    <w:rsid w:val="007713C1"/>
    <w:rsid w:val="007714AC"/>
    <w:rsid w:val="00771773"/>
    <w:rsid w:val="00772BEB"/>
    <w:rsid w:val="007730D6"/>
    <w:rsid w:val="007731C6"/>
    <w:rsid w:val="00773E50"/>
    <w:rsid w:val="007742A9"/>
    <w:rsid w:val="0077453B"/>
    <w:rsid w:val="007747B8"/>
    <w:rsid w:val="00774C9B"/>
    <w:rsid w:val="00775B85"/>
    <w:rsid w:val="00775F86"/>
    <w:rsid w:val="0077604C"/>
    <w:rsid w:val="007762A9"/>
    <w:rsid w:val="00776FA8"/>
    <w:rsid w:val="0077792A"/>
    <w:rsid w:val="00777CDB"/>
    <w:rsid w:val="00777EF5"/>
    <w:rsid w:val="00781146"/>
    <w:rsid w:val="0078140F"/>
    <w:rsid w:val="0078170F"/>
    <w:rsid w:val="00781D7F"/>
    <w:rsid w:val="00783102"/>
    <w:rsid w:val="00783FAF"/>
    <w:rsid w:val="00784C05"/>
    <w:rsid w:val="00784C6A"/>
    <w:rsid w:val="00784DA9"/>
    <w:rsid w:val="00785689"/>
    <w:rsid w:val="007856C3"/>
    <w:rsid w:val="0078646E"/>
    <w:rsid w:val="007868EF"/>
    <w:rsid w:val="00787054"/>
    <w:rsid w:val="00787B59"/>
    <w:rsid w:val="00787EDF"/>
    <w:rsid w:val="0079077C"/>
    <w:rsid w:val="00790969"/>
    <w:rsid w:val="00790E55"/>
    <w:rsid w:val="0079103C"/>
    <w:rsid w:val="00791715"/>
    <w:rsid w:val="00791897"/>
    <w:rsid w:val="0079210F"/>
    <w:rsid w:val="007927A4"/>
    <w:rsid w:val="007928E7"/>
    <w:rsid w:val="0079298C"/>
    <w:rsid w:val="0079371D"/>
    <w:rsid w:val="00793778"/>
    <w:rsid w:val="00793BB4"/>
    <w:rsid w:val="00793DEC"/>
    <w:rsid w:val="007942FE"/>
    <w:rsid w:val="0079439B"/>
    <w:rsid w:val="007950E7"/>
    <w:rsid w:val="00795197"/>
    <w:rsid w:val="007955C9"/>
    <w:rsid w:val="00795768"/>
    <w:rsid w:val="00795D61"/>
    <w:rsid w:val="00795EDD"/>
    <w:rsid w:val="00795EF8"/>
    <w:rsid w:val="00796169"/>
    <w:rsid w:val="0079669F"/>
    <w:rsid w:val="00796B48"/>
    <w:rsid w:val="00797155"/>
    <w:rsid w:val="0079754B"/>
    <w:rsid w:val="007979DB"/>
    <w:rsid w:val="007A0266"/>
    <w:rsid w:val="007A1249"/>
    <w:rsid w:val="007A1B37"/>
    <w:rsid w:val="007A1E6D"/>
    <w:rsid w:val="007A3A85"/>
    <w:rsid w:val="007A3F69"/>
    <w:rsid w:val="007A456C"/>
    <w:rsid w:val="007A488F"/>
    <w:rsid w:val="007A4F2E"/>
    <w:rsid w:val="007A4FE9"/>
    <w:rsid w:val="007A57E7"/>
    <w:rsid w:val="007A5F4B"/>
    <w:rsid w:val="007A614B"/>
    <w:rsid w:val="007A6208"/>
    <w:rsid w:val="007B06A1"/>
    <w:rsid w:val="007B0860"/>
    <w:rsid w:val="007B089C"/>
    <w:rsid w:val="007B09C2"/>
    <w:rsid w:val="007B0E68"/>
    <w:rsid w:val="007B0EB2"/>
    <w:rsid w:val="007B1D4F"/>
    <w:rsid w:val="007B20D7"/>
    <w:rsid w:val="007B27F5"/>
    <w:rsid w:val="007B3DA4"/>
    <w:rsid w:val="007B4136"/>
    <w:rsid w:val="007B4B59"/>
    <w:rsid w:val="007B4D31"/>
    <w:rsid w:val="007B4D60"/>
    <w:rsid w:val="007B57CF"/>
    <w:rsid w:val="007B657E"/>
    <w:rsid w:val="007B6CAE"/>
    <w:rsid w:val="007B7D08"/>
    <w:rsid w:val="007C02D9"/>
    <w:rsid w:val="007C0DC2"/>
    <w:rsid w:val="007C1C36"/>
    <w:rsid w:val="007C1EE1"/>
    <w:rsid w:val="007C234D"/>
    <w:rsid w:val="007C30AD"/>
    <w:rsid w:val="007C389C"/>
    <w:rsid w:val="007C40C7"/>
    <w:rsid w:val="007C480E"/>
    <w:rsid w:val="007C5351"/>
    <w:rsid w:val="007C5F55"/>
    <w:rsid w:val="007C66D5"/>
    <w:rsid w:val="007C7039"/>
    <w:rsid w:val="007C7168"/>
    <w:rsid w:val="007C7508"/>
    <w:rsid w:val="007D109B"/>
    <w:rsid w:val="007D1B4A"/>
    <w:rsid w:val="007D201D"/>
    <w:rsid w:val="007D2282"/>
    <w:rsid w:val="007D2684"/>
    <w:rsid w:val="007D2B84"/>
    <w:rsid w:val="007D4CF8"/>
    <w:rsid w:val="007D58B3"/>
    <w:rsid w:val="007D6029"/>
    <w:rsid w:val="007D6358"/>
    <w:rsid w:val="007D63C8"/>
    <w:rsid w:val="007D6CA7"/>
    <w:rsid w:val="007D712F"/>
    <w:rsid w:val="007D7D93"/>
    <w:rsid w:val="007E0587"/>
    <w:rsid w:val="007E07CD"/>
    <w:rsid w:val="007E0BB0"/>
    <w:rsid w:val="007E107B"/>
    <w:rsid w:val="007E11C6"/>
    <w:rsid w:val="007E158B"/>
    <w:rsid w:val="007E1660"/>
    <w:rsid w:val="007E1C8D"/>
    <w:rsid w:val="007E21EF"/>
    <w:rsid w:val="007E2E85"/>
    <w:rsid w:val="007E34B8"/>
    <w:rsid w:val="007E40AA"/>
    <w:rsid w:val="007E419F"/>
    <w:rsid w:val="007E56BA"/>
    <w:rsid w:val="007E685A"/>
    <w:rsid w:val="007F05CC"/>
    <w:rsid w:val="007F0D71"/>
    <w:rsid w:val="007F0DAF"/>
    <w:rsid w:val="007F106C"/>
    <w:rsid w:val="007F1FF3"/>
    <w:rsid w:val="007F2C51"/>
    <w:rsid w:val="007F435A"/>
    <w:rsid w:val="007F43C9"/>
    <w:rsid w:val="007F4C7B"/>
    <w:rsid w:val="007F5156"/>
    <w:rsid w:val="007F52E1"/>
    <w:rsid w:val="007F5CBC"/>
    <w:rsid w:val="007F6179"/>
    <w:rsid w:val="007F67AE"/>
    <w:rsid w:val="007F6BD5"/>
    <w:rsid w:val="007F7271"/>
    <w:rsid w:val="007F7740"/>
    <w:rsid w:val="007F7AD0"/>
    <w:rsid w:val="007F7DF5"/>
    <w:rsid w:val="007F7EB8"/>
    <w:rsid w:val="0080269A"/>
    <w:rsid w:val="0080337D"/>
    <w:rsid w:val="00803A80"/>
    <w:rsid w:val="008045B0"/>
    <w:rsid w:val="00805137"/>
    <w:rsid w:val="00805B64"/>
    <w:rsid w:val="00805E57"/>
    <w:rsid w:val="00806B06"/>
    <w:rsid w:val="00807A7B"/>
    <w:rsid w:val="008101FF"/>
    <w:rsid w:val="00810B6F"/>
    <w:rsid w:val="00810DBB"/>
    <w:rsid w:val="00811122"/>
    <w:rsid w:val="00812012"/>
    <w:rsid w:val="00812623"/>
    <w:rsid w:val="008138C1"/>
    <w:rsid w:val="00813BE5"/>
    <w:rsid w:val="00814479"/>
    <w:rsid w:val="00814960"/>
    <w:rsid w:val="0081527C"/>
    <w:rsid w:val="00815582"/>
    <w:rsid w:val="008158E9"/>
    <w:rsid w:val="008158FF"/>
    <w:rsid w:val="00817EDD"/>
    <w:rsid w:val="008205BE"/>
    <w:rsid w:val="0082091F"/>
    <w:rsid w:val="008216DB"/>
    <w:rsid w:val="008218DA"/>
    <w:rsid w:val="00821B9E"/>
    <w:rsid w:val="00821CFF"/>
    <w:rsid w:val="0082228D"/>
    <w:rsid w:val="00822751"/>
    <w:rsid w:val="00822CE0"/>
    <w:rsid w:val="008235E4"/>
    <w:rsid w:val="00823A21"/>
    <w:rsid w:val="00823A3F"/>
    <w:rsid w:val="00823D38"/>
    <w:rsid w:val="00824B2B"/>
    <w:rsid w:val="00824CFC"/>
    <w:rsid w:val="00826E84"/>
    <w:rsid w:val="00827CDE"/>
    <w:rsid w:val="008305F8"/>
    <w:rsid w:val="00830899"/>
    <w:rsid w:val="00830C62"/>
    <w:rsid w:val="0083267D"/>
    <w:rsid w:val="00832BBA"/>
    <w:rsid w:val="00832D65"/>
    <w:rsid w:val="008331BE"/>
    <w:rsid w:val="00834555"/>
    <w:rsid w:val="008367A6"/>
    <w:rsid w:val="008408A0"/>
    <w:rsid w:val="00840CEC"/>
    <w:rsid w:val="00840DDD"/>
    <w:rsid w:val="00840F10"/>
    <w:rsid w:val="008415EB"/>
    <w:rsid w:val="00841AB1"/>
    <w:rsid w:val="0084354C"/>
    <w:rsid w:val="00843592"/>
    <w:rsid w:val="00843802"/>
    <w:rsid w:val="00844A2D"/>
    <w:rsid w:val="00845876"/>
    <w:rsid w:val="0084593D"/>
    <w:rsid w:val="00845EAB"/>
    <w:rsid w:val="00845FD6"/>
    <w:rsid w:val="00846389"/>
    <w:rsid w:val="0084681A"/>
    <w:rsid w:val="008469AC"/>
    <w:rsid w:val="00846EE4"/>
    <w:rsid w:val="00847046"/>
    <w:rsid w:val="00847890"/>
    <w:rsid w:val="008506E7"/>
    <w:rsid w:val="0085079E"/>
    <w:rsid w:val="00850C7D"/>
    <w:rsid w:val="00850FC8"/>
    <w:rsid w:val="008513B0"/>
    <w:rsid w:val="00852436"/>
    <w:rsid w:val="00853396"/>
    <w:rsid w:val="00853423"/>
    <w:rsid w:val="008542C5"/>
    <w:rsid w:val="008544FB"/>
    <w:rsid w:val="00854AD3"/>
    <w:rsid w:val="00855302"/>
    <w:rsid w:val="00855BA3"/>
    <w:rsid w:val="008567F3"/>
    <w:rsid w:val="00856A1A"/>
    <w:rsid w:val="00856E5C"/>
    <w:rsid w:val="00857390"/>
    <w:rsid w:val="008577D5"/>
    <w:rsid w:val="008579AE"/>
    <w:rsid w:val="00857F73"/>
    <w:rsid w:val="00861522"/>
    <w:rsid w:val="00862709"/>
    <w:rsid w:val="00862CAE"/>
    <w:rsid w:val="008641B7"/>
    <w:rsid w:val="00864C6C"/>
    <w:rsid w:val="008656B5"/>
    <w:rsid w:val="00865736"/>
    <w:rsid w:val="00865742"/>
    <w:rsid w:val="00866404"/>
    <w:rsid w:val="008666BB"/>
    <w:rsid w:val="0086721C"/>
    <w:rsid w:val="008677F4"/>
    <w:rsid w:val="0087003C"/>
    <w:rsid w:val="008704BE"/>
    <w:rsid w:val="00870519"/>
    <w:rsid w:val="008711B0"/>
    <w:rsid w:val="008711FD"/>
    <w:rsid w:val="00871D86"/>
    <w:rsid w:val="0087206A"/>
    <w:rsid w:val="00872668"/>
    <w:rsid w:val="00873813"/>
    <w:rsid w:val="008742DE"/>
    <w:rsid w:val="008744CB"/>
    <w:rsid w:val="00874E30"/>
    <w:rsid w:val="00875624"/>
    <w:rsid w:val="00875764"/>
    <w:rsid w:val="008766A1"/>
    <w:rsid w:val="00876B23"/>
    <w:rsid w:val="008776A4"/>
    <w:rsid w:val="00877BE6"/>
    <w:rsid w:val="00877E85"/>
    <w:rsid w:val="0088011F"/>
    <w:rsid w:val="00880C6E"/>
    <w:rsid w:val="00881086"/>
    <w:rsid w:val="008822D5"/>
    <w:rsid w:val="00884C86"/>
    <w:rsid w:val="00885202"/>
    <w:rsid w:val="008856A8"/>
    <w:rsid w:val="00885DB2"/>
    <w:rsid w:val="008876AE"/>
    <w:rsid w:val="00887CE3"/>
    <w:rsid w:val="00887D9D"/>
    <w:rsid w:val="00887DE6"/>
    <w:rsid w:val="008903A4"/>
    <w:rsid w:val="00890413"/>
    <w:rsid w:val="00890791"/>
    <w:rsid w:val="008912FC"/>
    <w:rsid w:val="00891C64"/>
    <w:rsid w:val="00892389"/>
    <w:rsid w:val="0089258D"/>
    <w:rsid w:val="00893A34"/>
    <w:rsid w:val="00893DFE"/>
    <w:rsid w:val="008942D8"/>
    <w:rsid w:val="008944B2"/>
    <w:rsid w:val="00894671"/>
    <w:rsid w:val="00894AEC"/>
    <w:rsid w:val="00895599"/>
    <w:rsid w:val="008960C8"/>
    <w:rsid w:val="00896813"/>
    <w:rsid w:val="00896979"/>
    <w:rsid w:val="00897462"/>
    <w:rsid w:val="008979D5"/>
    <w:rsid w:val="00897A82"/>
    <w:rsid w:val="00897FDA"/>
    <w:rsid w:val="008A0310"/>
    <w:rsid w:val="008A03F0"/>
    <w:rsid w:val="008A110F"/>
    <w:rsid w:val="008A1BA9"/>
    <w:rsid w:val="008A2894"/>
    <w:rsid w:val="008A2EA9"/>
    <w:rsid w:val="008A3824"/>
    <w:rsid w:val="008A3ADF"/>
    <w:rsid w:val="008A3CB5"/>
    <w:rsid w:val="008A4432"/>
    <w:rsid w:val="008A4D9B"/>
    <w:rsid w:val="008A7ED4"/>
    <w:rsid w:val="008B00A3"/>
    <w:rsid w:val="008B07A4"/>
    <w:rsid w:val="008B18CF"/>
    <w:rsid w:val="008B28DB"/>
    <w:rsid w:val="008B3FF9"/>
    <w:rsid w:val="008B42B9"/>
    <w:rsid w:val="008B42F7"/>
    <w:rsid w:val="008B45DD"/>
    <w:rsid w:val="008B54B9"/>
    <w:rsid w:val="008B5617"/>
    <w:rsid w:val="008B57D6"/>
    <w:rsid w:val="008B5B19"/>
    <w:rsid w:val="008B5CA5"/>
    <w:rsid w:val="008B6225"/>
    <w:rsid w:val="008B63C5"/>
    <w:rsid w:val="008B6A8B"/>
    <w:rsid w:val="008B73F9"/>
    <w:rsid w:val="008B7CAD"/>
    <w:rsid w:val="008B7F8B"/>
    <w:rsid w:val="008C20BB"/>
    <w:rsid w:val="008C2DFE"/>
    <w:rsid w:val="008C349F"/>
    <w:rsid w:val="008C385C"/>
    <w:rsid w:val="008C4608"/>
    <w:rsid w:val="008C4ECF"/>
    <w:rsid w:val="008C5243"/>
    <w:rsid w:val="008C52CA"/>
    <w:rsid w:val="008C5C1D"/>
    <w:rsid w:val="008C63F0"/>
    <w:rsid w:val="008C68F1"/>
    <w:rsid w:val="008C743B"/>
    <w:rsid w:val="008C7719"/>
    <w:rsid w:val="008C7FAB"/>
    <w:rsid w:val="008C7FF1"/>
    <w:rsid w:val="008D0240"/>
    <w:rsid w:val="008D06BD"/>
    <w:rsid w:val="008D0C8E"/>
    <w:rsid w:val="008D14EC"/>
    <w:rsid w:val="008D2270"/>
    <w:rsid w:val="008D22B9"/>
    <w:rsid w:val="008D2492"/>
    <w:rsid w:val="008D3182"/>
    <w:rsid w:val="008D3514"/>
    <w:rsid w:val="008D372E"/>
    <w:rsid w:val="008D377A"/>
    <w:rsid w:val="008D3AFA"/>
    <w:rsid w:val="008D3F36"/>
    <w:rsid w:val="008D44F6"/>
    <w:rsid w:val="008D5147"/>
    <w:rsid w:val="008D5155"/>
    <w:rsid w:val="008D53E4"/>
    <w:rsid w:val="008D5CFD"/>
    <w:rsid w:val="008D5D3C"/>
    <w:rsid w:val="008D61FB"/>
    <w:rsid w:val="008D6903"/>
    <w:rsid w:val="008D7053"/>
    <w:rsid w:val="008D712A"/>
    <w:rsid w:val="008D7D97"/>
    <w:rsid w:val="008E031A"/>
    <w:rsid w:val="008E04F4"/>
    <w:rsid w:val="008E05DA"/>
    <w:rsid w:val="008E0DEC"/>
    <w:rsid w:val="008E13A9"/>
    <w:rsid w:val="008E161B"/>
    <w:rsid w:val="008E185D"/>
    <w:rsid w:val="008E1B1B"/>
    <w:rsid w:val="008E21FD"/>
    <w:rsid w:val="008E2255"/>
    <w:rsid w:val="008E2B3E"/>
    <w:rsid w:val="008E2E0F"/>
    <w:rsid w:val="008E318B"/>
    <w:rsid w:val="008E4270"/>
    <w:rsid w:val="008E4602"/>
    <w:rsid w:val="008E4AB8"/>
    <w:rsid w:val="008E527F"/>
    <w:rsid w:val="008E56E4"/>
    <w:rsid w:val="008E5778"/>
    <w:rsid w:val="008E64EE"/>
    <w:rsid w:val="008E6FC1"/>
    <w:rsid w:val="008F06BC"/>
    <w:rsid w:val="008F0D8D"/>
    <w:rsid w:val="008F0E3A"/>
    <w:rsid w:val="008F119E"/>
    <w:rsid w:val="008F1202"/>
    <w:rsid w:val="008F1236"/>
    <w:rsid w:val="008F1711"/>
    <w:rsid w:val="008F1A8C"/>
    <w:rsid w:val="008F2482"/>
    <w:rsid w:val="008F362D"/>
    <w:rsid w:val="008F42D5"/>
    <w:rsid w:val="008F4827"/>
    <w:rsid w:val="008F5246"/>
    <w:rsid w:val="008F56C7"/>
    <w:rsid w:val="008F6117"/>
    <w:rsid w:val="008F6373"/>
    <w:rsid w:val="008F6534"/>
    <w:rsid w:val="008F6CC8"/>
    <w:rsid w:val="008F7021"/>
    <w:rsid w:val="008F79F0"/>
    <w:rsid w:val="009002F1"/>
    <w:rsid w:val="00900941"/>
    <w:rsid w:val="00901401"/>
    <w:rsid w:val="0090154A"/>
    <w:rsid w:val="00901E1F"/>
    <w:rsid w:val="00902B86"/>
    <w:rsid w:val="00902DA6"/>
    <w:rsid w:val="00903093"/>
    <w:rsid w:val="00903175"/>
    <w:rsid w:val="009031FA"/>
    <w:rsid w:val="009038EF"/>
    <w:rsid w:val="009039E2"/>
    <w:rsid w:val="009041DB"/>
    <w:rsid w:val="00905F43"/>
    <w:rsid w:val="0090627B"/>
    <w:rsid w:val="00906331"/>
    <w:rsid w:val="00906D07"/>
    <w:rsid w:val="009078FC"/>
    <w:rsid w:val="00907B2E"/>
    <w:rsid w:val="00910714"/>
    <w:rsid w:val="00910B48"/>
    <w:rsid w:val="00910BFE"/>
    <w:rsid w:val="00910D59"/>
    <w:rsid w:val="00910F73"/>
    <w:rsid w:val="009117F7"/>
    <w:rsid w:val="009127FA"/>
    <w:rsid w:val="00912CF2"/>
    <w:rsid w:val="00912E3F"/>
    <w:rsid w:val="00913062"/>
    <w:rsid w:val="009139F3"/>
    <w:rsid w:val="00914032"/>
    <w:rsid w:val="009148FF"/>
    <w:rsid w:val="00914D95"/>
    <w:rsid w:val="009165AC"/>
    <w:rsid w:val="00916F6E"/>
    <w:rsid w:val="00917063"/>
    <w:rsid w:val="00917542"/>
    <w:rsid w:val="009176DB"/>
    <w:rsid w:val="00917B28"/>
    <w:rsid w:val="00917FF2"/>
    <w:rsid w:val="00920001"/>
    <w:rsid w:val="00921803"/>
    <w:rsid w:val="00921C4F"/>
    <w:rsid w:val="0092271B"/>
    <w:rsid w:val="009228B7"/>
    <w:rsid w:val="00922E52"/>
    <w:rsid w:val="009235B8"/>
    <w:rsid w:val="00924444"/>
    <w:rsid w:val="00924C5F"/>
    <w:rsid w:val="00924FEA"/>
    <w:rsid w:val="00925220"/>
    <w:rsid w:val="00925645"/>
    <w:rsid w:val="0092567E"/>
    <w:rsid w:val="009257E2"/>
    <w:rsid w:val="0092584E"/>
    <w:rsid w:val="00926503"/>
    <w:rsid w:val="009266B3"/>
    <w:rsid w:val="0092688A"/>
    <w:rsid w:val="00926C2A"/>
    <w:rsid w:val="009307CC"/>
    <w:rsid w:val="0093099D"/>
    <w:rsid w:val="00930C26"/>
    <w:rsid w:val="00930D38"/>
    <w:rsid w:val="00930DC5"/>
    <w:rsid w:val="009317E2"/>
    <w:rsid w:val="00931996"/>
    <w:rsid w:val="009319CC"/>
    <w:rsid w:val="009320ED"/>
    <w:rsid w:val="00933550"/>
    <w:rsid w:val="0093367E"/>
    <w:rsid w:val="009339CE"/>
    <w:rsid w:val="00933C22"/>
    <w:rsid w:val="00934722"/>
    <w:rsid w:val="009349BB"/>
    <w:rsid w:val="00934DBE"/>
    <w:rsid w:val="0093523D"/>
    <w:rsid w:val="0093680A"/>
    <w:rsid w:val="00936C19"/>
    <w:rsid w:val="00936EEA"/>
    <w:rsid w:val="00936F6F"/>
    <w:rsid w:val="00937563"/>
    <w:rsid w:val="00937CE5"/>
    <w:rsid w:val="009402CB"/>
    <w:rsid w:val="009409C3"/>
    <w:rsid w:val="00940CA3"/>
    <w:rsid w:val="00940E29"/>
    <w:rsid w:val="00940FC4"/>
    <w:rsid w:val="009411A6"/>
    <w:rsid w:val="00941A29"/>
    <w:rsid w:val="00941BEB"/>
    <w:rsid w:val="009420DF"/>
    <w:rsid w:val="009437E6"/>
    <w:rsid w:val="00943B58"/>
    <w:rsid w:val="009442A3"/>
    <w:rsid w:val="009443C4"/>
    <w:rsid w:val="0094476C"/>
    <w:rsid w:val="009447AE"/>
    <w:rsid w:val="00944D85"/>
    <w:rsid w:val="00945093"/>
    <w:rsid w:val="00945263"/>
    <w:rsid w:val="009454E0"/>
    <w:rsid w:val="0094581F"/>
    <w:rsid w:val="00945914"/>
    <w:rsid w:val="00946016"/>
    <w:rsid w:val="0094601A"/>
    <w:rsid w:val="009461AD"/>
    <w:rsid w:val="00946A9E"/>
    <w:rsid w:val="00946E8A"/>
    <w:rsid w:val="00947179"/>
    <w:rsid w:val="0094721E"/>
    <w:rsid w:val="009476BA"/>
    <w:rsid w:val="00947F62"/>
    <w:rsid w:val="009509A0"/>
    <w:rsid w:val="00950CF2"/>
    <w:rsid w:val="00950DF6"/>
    <w:rsid w:val="009518C9"/>
    <w:rsid w:val="0095197F"/>
    <w:rsid w:val="00951A63"/>
    <w:rsid w:val="00951C4C"/>
    <w:rsid w:val="009520AB"/>
    <w:rsid w:val="00952D12"/>
    <w:rsid w:val="00953110"/>
    <w:rsid w:val="009531DD"/>
    <w:rsid w:val="009533DD"/>
    <w:rsid w:val="00953AE0"/>
    <w:rsid w:val="0095426A"/>
    <w:rsid w:val="00954609"/>
    <w:rsid w:val="00954783"/>
    <w:rsid w:val="00954959"/>
    <w:rsid w:val="00955716"/>
    <w:rsid w:val="00955D18"/>
    <w:rsid w:val="009575D8"/>
    <w:rsid w:val="00960481"/>
    <w:rsid w:val="00961092"/>
    <w:rsid w:val="009631CC"/>
    <w:rsid w:val="00963A1A"/>
    <w:rsid w:val="00963F0D"/>
    <w:rsid w:val="00964B88"/>
    <w:rsid w:val="00964D01"/>
    <w:rsid w:val="009650B1"/>
    <w:rsid w:val="00965894"/>
    <w:rsid w:val="00967813"/>
    <w:rsid w:val="00967A77"/>
    <w:rsid w:val="009700BE"/>
    <w:rsid w:val="00970334"/>
    <w:rsid w:val="009705FD"/>
    <w:rsid w:val="0097074E"/>
    <w:rsid w:val="00970930"/>
    <w:rsid w:val="00971394"/>
    <w:rsid w:val="00971519"/>
    <w:rsid w:val="00972275"/>
    <w:rsid w:val="009722DC"/>
    <w:rsid w:val="009726D8"/>
    <w:rsid w:val="0097276A"/>
    <w:rsid w:val="009731F2"/>
    <w:rsid w:val="00973848"/>
    <w:rsid w:val="009738C0"/>
    <w:rsid w:val="0097411A"/>
    <w:rsid w:val="009746F1"/>
    <w:rsid w:val="00974853"/>
    <w:rsid w:val="009748ED"/>
    <w:rsid w:val="00974D6F"/>
    <w:rsid w:val="00974E05"/>
    <w:rsid w:val="0097522D"/>
    <w:rsid w:val="00975407"/>
    <w:rsid w:val="009756AD"/>
    <w:rsid w:val="009756BC"/>
    <w:rsid w:val="00975ADA"/>
    <w:rsid w:val="00975CF0"/>
    <w:rsid w:val="00975CFD"/>
    <w:rsid w:val="00976239"/>
    <w:rsid w:val="00976D0A"/>
    <w:rsid w:val="0097708B"/>
    <w:rsid w:val="009775F6"/>
    <w:rsid w:val="00980500"/>
    <w:rsid w:val="00982231"/>
    <w:rsid w:val="0098241B"/>
    <w:rsid w:val="009827BC"/>
    <w:rsid w:val="00983509"/>
    <w:rsid w:val="009835AC"/>
    <w:rsid w:val="00983909"/>
    <w:rsid w:val="00983D9D"/>
    <w:rsid w:val="00983F66"/>
    <w:rsid w:val="00984540"/>
    <w:rsid w:val="00984712"/>
    <w:rsid w:val="00984A1C"/>
    <w:rsid w:val="00984AB2"/>
    <w:rsid w:val="00984D1C"/>
    <w:rsid w:val="0098539C"/>
    <w:rsid w:val="00985469"/>
    <w:rsid w:val="0098569D"/>
    <w:rsid w:val="009859BF"/>
    <w:rsid w:val="009860BD"/>
    <w:rsid w:val="009867E1"/>
    <w:rsid w:val="00986A6C"/>
    <w:rsid w:val="0099052E"/>
    <w:rsid w:val="00990550"/>
    <w:rsid w:val="00990D7E"/>
    <w:rsid w:val="009911B2"/>
    <w:rsid w:val="00992B22"/>
    <w:rsid w:val="00993FD3"/>
    <w:rsid w:val="00995079"/>
    <w:rsid w:val="009951F7"/>
    <w:rsid w:val="00995B1B"/>
    <w:rsid w:val="00995B94"/>
    <w:rsid w:val="00995C7E"/>
    <w:rsid w:val="00995F22"/>
    <w:rsid w:val="0099634D"/>
    <w:rsid w:val="00996B33"/>
    <w:rsid w:val="00996C02"/>
    <w:rsid w:val="00997D11"/>
    <w:rsid w:val="009A0103"/>
    <w:rsid w:val="009A01F6"/>
    <w:rsid w:val="009A049F"/>
    <w:rsid w:val="009A1DC0"/>
    <w:rsid w:val="009A2623"/>
    <w:rsid w:val="009A27ED"/>
    <w:rsid w:val="009A2BB7"/>
    <w:rsid w:val="009A3312"/>
    <w:rsid w:val="009A370F"/>
    <w:rsid w:val="009A3E4A"/>
    <w:rsid w:val="009A3E62"/>
    <w:rsid w:val="009A4403"/>
    <w:rsid w:val="009A5371"/>
    <w:rsid w:val="009A5EBA"/>
    <w:rsid w:val="009A6A70"/>
    <w:rsid w:val="009A7B11"/>
    <w:rsid w:val="009A7C05"/>
    <w:rsid w:val="009B03FD"/>
    <w:rsid w:val="009B0D70"/>
    <w:rsid w:val="009B0E00"/>
    <w:rsid w:val="009B2D67"/>
    <w:rsid w:val="009B2ED2"/>
    <w:rsid w:val="009B313F"/>
    <w:rsid w:val="009B3624"/>
    <w:rsid w:val="009B3CC8"/>
    <w:rsid w:val="009B47CB"/>
    <w:rsid w:val="009B4B25"/>
    <w:rsid w:val="009B51E1"/>
    <w:rsid w:val="009B706A"/>
    <w:rsid w:val="009B7193"/>
    <w:rsid w:val="009C130D"/>
    <w:rsid w:val="009C139F"/>
    <w:rsid w:val="009C1AE5"/>
    <w:rsid w:val="009C1E1C"/>
    <w:rsid w:val="009C1FCA"/>
    <w:rsid w:val="009C2502"/>
    <w:rsid w:val="009C266F"/>
    <w:rsid w:val="009C27B9"/>
    <w:rsid w:val="009C282A"/>
    <w:rsid w:val="009C2CFA"/>
    <w:rsid w:val="009C35E1"/>
    <w:rsid w:val="009C3ACC"/>
    <w:rsid w:val="009C670D"/>
    <w:rsid w:val="009C6824"/>
    <w:rsid w:val="009C6B23"/>
    <w:rsid w:val="009C6F1A"/>
    <w:rsid w:val="009C758B"/>
    <w:rsid w:val="009C787D"/>
    <w:rsid w:val="009C79BF"/>
    <w:rsid w:val="009D158B"/>
    <w:rsid w:val="009D1F41"/>
    <w:rsid w:val="009D225C"/>
    <w:rsid w:val="009D2C25"/>
    <w:rsid w:val="009D2DE1"/>
    <w:rsid w:val="009D39E2"/>
    <w:rsid w:val="009D4870"/>
    <w:rsid w:val="009D5D0D"/>
    <w:rsid w:val="009D5F19"/>
    <w:rsid w:val="009D635D"/>
    <w:rsid w:val="009D6E4E"/>
    <w:rsid w:val="009D7308"/>
    <w:rsid w:val="009D78C4"/>
    <w:rsid w:val="009D7B3F"/>
    <w:rsid w:val="009E0048"/>
    <w:rsid w:val="009E00F9"/>
    <w:rsid w:val="009E0356"/>
    <w:rsid w:val="009E04E0"/>
    <w:rsid w:val="009E07DA"/>
    <w:rsid w:val="009E0886"/>
    <w:rsid w:val="009E0E51"/>
    <w:rsid w:val="009E0EF1"/>
    <w:rsid w:val="009E12A6"/>
    <w:rsid w:val="009E1BA4"/>
    <w:rsid w:val="009E230C"/>
    <w:rsid w:val="009E26E1"/>
    <w:rsid w:val="009E2C82"/>
    <w:rsid w:val="009E2CB0"/>
    <w:rsid w:val="009E3FEB"/>
    <w:rsid w:val="009E437C"/>
    <w:rsid w:val="009E4731"/>
    <w:rsid w:val="009E4835"/>
    <w:rsid w:val="009E493E"/>
    <w:rsid w:val="009E4B46"/>
    <w:rsid w:val="009E4DAD"/>
    <w:rsid w:val="009E5783"/>
    <w:rsid w:val="009E6AFF"/>
    <w:rsid w:val="009E71FA"/>
    <w:rsid w:val="009E7269"/>
    <w:rsid w:val="009E729B"/>
    <w:rsid w:val="009E73E6"/>
    <w:rsid w:val="009E77DC"/>
    <w:rsid w:val="009E7A6B"/>
    <w:rsid w:val="009F0FFE"/>
    <w:rsid w:val="009F1DA5"/>
    <w:rsid w:val="009F218B"/>
    <w:rsid w:val="009F2269"/>
    <w:rsid w:val="009F22BE"/>
    <w:rsid w:val="009F23A7"/>
    <w:rsid w:val="009F27E5"/>
    <w:rsid w:val="009F280F"/>
    <w:rsid w:val="009F2AFB"/>
    <w:rsid w:val="009F37AF"/>
    <w:rsid w:val="009F37B6"/>
    <w:rsid w:val="009F37EC"/>
    <w:rsid w:val="009F3CDA"/>
    <w:rsid w:val="009F497D"/>
    <w:rsid w:val="009F4F65"/>
    <w:rsid w:val="009F5280"/>
    <w:rsid w:val="009F566A"/>
    <w:rsid w:val="009F5859"/>
    <w:rsid w:val="009F5BDB"/>
    <w:rsid w:val="009F64C0"/>
    <w:rsid w:val="009F676A"/>
    <w:rsid w:val="009F687D"/>
    <w:rsid w:val="009F73D2"/>
    <w:rsid w:val="009F76DB"/>
    <w:rsid w:val="009F7C5C"/>
    <w:rsid w:val="00A0011A"/>
    <w:rsid w:val="00A00433"/>
    <w:rsid w:val="00A00D5F"/>
    <w:rsid w:val="00A02405"/>
    <w:rsid w:val="00A025B6"/>
    <w:rsid w:val="00A030D3"/>
    <w:rsid w:val="00A032A4"/>
    <w:rsid w:val="00A03C4C"/>
    <w:rsid w:val="00A03C9A"/>
    <w:rsid w:val="00A06936"/>
    <w:rsid w:val="00A06EBE"/>
    <w:rsid w:val="00A073BE"/>
    <w:rsid w:val="00A0787B"/>
    <w:rsid w:val="00A10444"/>
    <w:rsid w:val="00A10CC4"/>
    <w:rsid w:val="00A10D86"/>
    <w:rsid w:val="00A11168"/>
    <w:rsid w:val="00A1132A"/>
    <w:rsid w:val="00A11924"/>
    <w:rsid w:val="00A11EDF"/>
    <w:rsid w:val="00A133C7"/>
    <w:rsid w:val="00A13871"/>
    <w:rsid w:val="00A13D68"/>
    <w:rsid w:val="00A13FD8"/>
    <w:rsid w:val="00A1444F"/>
    <w:rsid w:val="00A14F55"/>
    <w:rsid w:val="00A152A2"/>
    <w:rsid w:val="00A1681A"/>
    <w:rsid w:val="00A168C3"/>
    <w:rsid w:val="00A16929"/>
    <w:rsid w:val="00A16B62"/>
    <w:rsid w:val="00A16F49"/>
    <w:rsid w:val="00A20231"/>
    <w:rsid w:val="00A21208"/>
    <w:rsid w:val="00A21BD4"/>
    <w:rsid w:val="00A229E8"/>
    <w:rsid w:val="00A22EA1"/>
    <w:rsid w:val="00A231E2"/>
    <w:rsid w:val="00A23369"/>
    <w:rsid w:val="00A2444E"/>
    <w:rsid w:val="00A24DD1"/>
    <w:rsid w:val="00A24DE3"/>
    <w:rsid w:val="00A25901"/>
    <w:rsid w:val="00A25B01"/>
    <w:rsid w:val="00A25E5B"/>
    <w:rsid w:val="00A264D6"/>
    <w:rsid w:val="00A2691D"/>
    <w:rsid w:val="00A26A24"/>
    <w:rsid w:val="00A26D19"/>
    <w:rsid w:val="00A26FC1"/>
    <w:rsid w:val="00A319AE"/>
    <w:rsid w:val="00A31F6F"/>
    <w:rsid w:val="00A3249F"/>
    <w:rsid w:val="00A32C3B"/>
    <w:rsid w:val="00A33AC4"/>
    <w:rsid w:val="00A368A9"/>
    <w:rsid w:val="00A36BCC"/>
    <w:rsid w:val="00A37052"/>
    <w:rsid w:val="00A401E9"/>
    <w:rsid w:val="00A40B6E"/>
    <w:rsid w:val="00A41332"/>
    <w:rsid w:val="00A4180A"/>
    <w:rsid w:val="00A4225B"/>
    <w:rsid w:val="00A426A7"/>
    <w:rsid w:val="00A427AE"/>
    <w:rsid w:val="00A432F5"/>
    <w:rsid w:val="00A43B10"/>
    <w:rsid w:val="00A44325"/>
    <w:rsid w:val="00A44345"/>
    <w:rsid w:val="00A44382"/>
    <w:rsid w:val="00A448AF"/>
    <w:rsid w:val="00A45B6F"/>
    <w:rsid w:val="00A45F4F"/>
    <w:rsid w:val="00A477D0"/>
    <w:rsid w:val="00A5024B"/>
    <w:rsid w:val="00A50AE9"/>
    <w:rsid w:val="00A50FAD"/>
    <w:rsid w:val="00A51539"/>
    <w:rsid w:val="00A52251"/>
    <w:rsid w:val="00A52682"/>
    <w:rsid w:val="00A526C0"/>
    <w:rsid w:val="00A529BC"/>
    <w:rsid w:val="00A53330"/>
    <w:rsid w:val="00A5342A"/>
    <w:rsid w:val="00A540A5"/>
    <w:rsid w:val="00A554D5"/>
    <w:rsid w:val="00A55D69"/>
    <w:rsid w:val="00A568E8"/>
    <w:rsid w:val="00A5718E"/>
    <w:rsid w:val="00A57776"/>
    <w:rsid w:val="00A577F3"/>
    <w:rsid w:val="00A600A9"/>
    <w:rsid w:val="00A600E2"/>
    <w:rsid w:val="00A60574"/>
    <w:rsid w:val="00A60DAB"/>
    <w:rsid w:val="00A60E27"/>
    <w:rsid w:val="00A61888"/>
    <w:rsid w:val="00A61BD3"/>
    <w:rsid w:val="00A61CE9"/>
    <w:rsid w:val="00A61D6E"/>
    <w:rsid w:val="00A61E03"/>
    <w:rsid w:val="00A61FA3"/>
    <w:rsid w:val="00A62135"/>
    <w:rsid w:val="00A635EF"/>
    <w:rsid w:val="00A635F8"/>
    <w:rsid w:val="00A63805"/>
    <w:rsid w:val="00A638D3"/>
    <w:rsid w:val="00A63B7D"/>
    <w:rsid w:val="00A63BED"/>
    <w:rsid w:val="00A64830"/>
    <w:rsid w:val="00A64917"/>
    <w:rsid w:val="00A64E5C"/>
    <w:rsid w:val="00A65844"/>
    <w:rsid w:val="00A65D60"/>
    <w:rsid w:val="00A66633"/>
    <w:rsid w:val="00A66ACF"/>
    <w:rsid w:val="00A66D6E"/>
    <w:rsid w:val="00A673A0"/>
    <w:rsid w:val="00A676FA"/>
    <w:rsid w:val="00A67968"/>
    <w:rsid w:val="00A67EB0"/>
    <w:rsid w:val="00A70670"/>
    <w:rsid w:val="00A70D19"/>
    <w:rsid w:val="00A71594"/>
    <w:rsid w:val="00A7181A"/>
    <w:rsid w:val="00A719BB"/>
    <w:rsid w:val="00A72A2A"/>
    <w:rsid w:val="00A72DA6"/>
    <w:rsid w:val="00A72DE7"/>
    <w:rsid w:val="00A74359"/>
    <w:rsid w:val="00A744E2"/>
    <w:rsid w:val="00A75876"/>
    <w:rsid w:val="00A75A19"/>
    <w:rsid w:val="00A75D87"/>
    <w:rsid w:val="00A76475"/>
    <w:rsid w:val="00A767B7"/>
    <w:rsid w:val="00A77EA1"/>
    <w:rsid w:val="00A803D6"/>
    <w:rsid w:val="00A804C4"/>
    <w:rsid w:val="00A812DC"/>
    <w:rsid w:val="00A8139B"/>
    <w:rsid w:val="00A820F8"/>
    <w:rsid w:val="00A8299F"/>
    <w:rsid w:val="00A8309E"/>
    <w:rsid w:val="00A83467"/>
    <w:rsid w:val="00A83522"/>
    <w:rsid w:val="00A835C0"/>
    <w:rsid w:val="00A839FC"/>
    <w:rsid w:val="00A83D73"/>
    <w:rsid w:val="00A83F48"/>
    <w:rsid w:val="00A8426D"/>
    <w:rsid w:val="00A843BF"/>
    <w:rsid w:val="00A8474A"/>
    <w:rsid w:val="00A847EF"/>
    <w:rsid w:val="00A864B8"/>
    <w:rsid w:val="00A86798"/>
    <w:rsid w:val="00A867E0"/>
    <w:rsid w:val="00A878C5"/>
    <w:rsid w:val="00A87D8C"/>
    <w:rsid w:val="00A90993"/>
    <w:rsid w:val="00A90C9E"/>
    <w:rsid w:val="00A912C2"/>
    <w:rsid w:val="00A91501"/>
    <w:rsid w:val="00A91A7A"/>
    <w:rsid w:val="00A92617"/>
    <w:rsid w:val="00A939FC"/>
    <w:rsid w:val="00A942FF"/>
    <w:rsid w:val="00A95031"/>
    <w:rsid w:val="00A955B0"/>
    <w:rsid w:val="00A95F97"/>
    <w:rsid w:val="00A96622"/>
    <w:rsid w:val="00A96741"/>
    <w:rsid w:val="00A96EA3"/>
    <w:rsid w:val="00A971C5"/>
    <w:rsid w:val="00A97643"/>
    <w:rsid w:val="00A97720"/>
    <w:rsid w:val="00A97D85"/>
    <w:rsid w:val="00A97E46"/>
    <w:rsid w:val="00AA00CC"/>
    <w:rsid w:val="00AA0BF6"/>
    <w:rsid w:val="00AA0C3D"/>
    <w:rsid w:val="00AA0D3D"/>
    <w:rsid w:val="00AA3073"/>
    <w:rsid w:val="00AA3A2C"/>
    <w:rsid w:val="00AA4077"/>
    <w:rsid w:val="00AA4181"/>
    <w:rsid w:val="00AA55B7"/>
    <w:rsid w:val="00AA5B9E"/>
    <w:rsid w:val="00AA66C8"/>
    <w:rsid w:val="00AA6C80"/>
    <w:rsid w:val="00AA7258"/>
    <w:rsid w:val="00AA7261"/>
    <w:rsid w:val="00AA7D4F"/>
    <w:rsid w:val="00AA7F5C"/>
    <w:rsid w:val="00AB0097"/>
    <w:rsid w:val="00AB0E60"/>
    <w:rsid w:val="00AB1395"/>
    <w:rsid w:val="00AB1D20"/>
    <w:rsid w:val="00AB22D4"/>
    <w:rsid w:val="00AB2407"/>
    <w:rsid w:val="00AB32B6"/>
    <w:rsid w:val="00AB32C1"/>
    <w:rsid w:val="00AB33C5"/>
    <w:rsid w:val="00AB4600"/>
    <w:rsid w:val="00AB4FA9"/>
    <w:rsid w:val="00AB53DF"/>
    <w:rsid w:val="00AB54B4"/>
    <w:rsid w:val="00AB7EC7"/>
    <w:rsid w:val="00AC0130"/>
    <w:rsid w:val="00AC0700"/>
    <w:rsid w:val="00AC2C85"/>
    <w:rsid w:val="00AC3227"/>
    <w:rsid w:val="00AC38BF"/>
    <w:rsid w:val="00AC4C9A"/>
    <w:rsid w:val="00AC54D6"/>
    <w:rsid w:val="00AC55A1"/>
    <w:rsid w:val="00AC5700"/>
    <w:rsid w:val="00AC5DCB"/>
    <w:rsid w:val="00AC5F96"/>
    <w:rsid w:val="00AC6105"/>
    <w:rsid w:val="00AC63A3"/>
    <w:rsid w:val="00AC6B32"/>
    <w:rsid w:val="00AC74E8"/>
    <w:rsid w:val="00AC7615"/>
    <w:rsid w:val="00AC7743"/>
    <w:rsid w:val="00AC7A0E"/>
    <w:rsid w:val="00AD0218"/>
    <w:rsid w:val="00AD03B3"/>
    <w:rsid w:val="00AD0494"/>
    <w:rsid w:val="00AD167B"/>
    <w:rsid w:val="00AD1EBE"/>
    <w:rsid w:val="00AD382B"/>
    <w:rsid w:val="00AD3AD2"/>
    <w:rsid w:val="00AD5277"/>
    <w:rsid w:val="00AD5302"/>
    <w:rsid w:val="00AD5748"/>
    <w:rsid w:val="00AD5AFE"/>
    <w:rsid w:val="00AD617D"/>
    <w:rsid w:val="00AD6407"/>
    <w:rsid w:val="00AD6DAA"/>
    <w:rsid w:val="00AD70D9"/>
    <w:rsid w:val="00AD73C5"/>
    <w:rsid w:val="00AE02BB"/>
    <w:rsid w:val="00AE0BF1"/>
    <w:rsid w:val="00AE13BE"/>
    <w:rsid w:val="00AE1992"/>
    <w:rsid w:val="00AE25F8"/>
    <w:rsid w:val="00AE2E7F"/>
    <w:rsid w:val="00AE3327"/>
    <w:rsid w:val="00AE336F"/>
    <w:rsid w:val="00AE39DE"/>
    <w:rsid w:val="00AE6279"/>
    <w:rsid w:val="00AE7317"/>
    <w:rsid w:val="00AF1095"/>
    <w:rsid w:val="00AF17B2"/>
    <w:rsid w:val="00AF1E95"/>
    <w:rsid w:val="00AF20EB"/>
    <w:rsid w:val="00AF236E"/>
    <w:rsid w:val="00AF31B9"/>
    <w:rsid w:val="00AF3C07"/>
    <w:rsid w:val="00AF4042"/>
    <w:rsid w:val="00AF4177"/>
    <w:rsid w:val="00AF4711"/>
    <w:rsid w:val="00AF489B"/>
    <w:rsid w:val="00AF49EB"/>
    <w:rsid w:val="00AF4D01"/>
    <w:rsid w:val="00AF586A"/>
    <w:rsid w:val="00AF5894"/>
    <w:rsid w:val="00AF5FCC"/>
    <w:rsid w:val="00AF6583"/>
    <w:rsid w:val="00AF66BB"/>
    <w:rsid w:val="00AF7210"/>
    <w:rsid w:val="00AF7440"/>
    <w:rsid w:val="00AF7F02"/>
    <w:rsid w:val="00B00458"/>
    <w:rsid w:val="00B00C6A"/>
    <w:rsid w:val="00B017F5"/>
    <w:rsid w:val="00B01906"/>
    <w:rsid w:val="00B02725"/>
    <w:rsid w:val="00B02E8D"/>
    <w:rsid w:val="00B033FA"/>
    <w:rsid w:val="00B04498"/>
    <w:rsid w:val="00B04A71"/>
    <w:rsid w:val="00B04A92"/>
    <w:rsid w:val="00B04E16"/>
    <w:rsid w:val="00B05F79"/>
    <w:rsid w:val="00B05FF4"/>
    <w:rsid w:val="00B07097"/>
    <w:rsid w:val="00B077FD"/>
    <w:rsid w:val="00B07E5C"/>
    <w:rsid w:val="00B102D7"/>
    <w:rsid w:val="00B10806"/>
    <w:rsid w:val="00B10F37"/>
    <w:rsid w:val="00B11AA8"/>
    <w:rsid w:val="00B11CF1"/>
    <w:rsid w:val="00B123D6"/>
    <w:rsid w:val="00B1359E"/>
    <w:rsid w:val="00B141F5"/>
    <w:rsid w:val="00B148C2"/>
    <w:rsid w:val="00B149B6"/>
    <w:rsid w:val="00B14BDC"/>
    <w:rsid w:val="00B153FE"/>
    <w:rsid w:val="00B161DE"/>
    <w:rsid w:val="00B16706"/>
    <w:rsid w:val="00B17B8E"/>
    <w:rsid w:val="00B2198D"/>
    <w:rsid w:val="00B21BFF"/>
    <w:rsid w:val="00B22251"/>
    <w:rsid w:val="00B229F8"/>
    <w:rsid w:val="00B23A48"/>
    <w:rsid w:val="00B23C1F"/>
    <w:rsid w:val="00B23DEB"/>
    <w:rsid w:val="00B24047"/>
    <w:rsid w:val="00B243F2"/>
    <w:rsid w:val="00B243FC"/>
    <w:rsid w:val="00B24852"/>
    <w:rsid w:val="00B24A6C"/>
    <w:rsid w:val="00B25528"/>
    <w:rsid w:val="00B25619"/>
    <w:rsid w:val="00B258BC"/>
    <w:rsid w:val="00B262FA"/>
    <w:rsid w:val="00B264CE"/>
    <w:rsid w:val="00B266C6"/>
    <w:rsid w:val="00B26A32"/>
    <w:rsid w:val="00B26C3B"/>
    <w:rsid w:val="00B2776D"/>
    <w:rsid w:val="00B303DD"/>
    <w:rsid w:val="00B30582"/>
    <w:rsid w:val="00B306C4"/>
    <w:rsid w:val="00B307CE"/>
    <w:rsid w:val="00B30A9F"/>
    <w:rsid w:val="00B31657"/>
    <w:rsid w:val="00B31BFE"/>
    <w:rsid w:val="00B326E8"/>
    <w:rsid w:val="00B32F6F"/>
    <w:rsid w:val="00B33165"/>
    <w:rsid w:val="00B33785"/>
    <w:rsid w:val="00B339CE"/>
    <w:rsid w:val="00B3432F"/>
    <w:rsid w:val="00B34525"/>
    <w:rsid w:val="00B34D9F"/>
    <w:rsid w:val="00B36213"/>
    <w:rsid w:val="00B3630C"/>
    <w:rsid w:val="00B3684E"/>
    <w:rsid w:val="00B36A2C"/>
    <w:rsid w:val="00B400A9"/>
    <w:rsid w:val="00B403B3"/>
    <w:rsid w:val="00B40933"/>
    <w:rsid w:val="00B40BAA"/>
    <w:rsid w:val="00B41323"/>
    <w:rsid w:val="00B41554"/>
    <w:rsid w:val="00B415D0"/>
    <w:rsid w:val="00B42093"/>
    <w:rsid w:val="00B421AC"/>
    <w:rsid w:val="00B427D8"/>
    <w:rsid w:val="00B42C12"/>
    <w:rsid w:val="00B439FD"/>
    <w:rsid w:val="00B4405C"/>
    <w:rsid w:val="00B442AC"/>
    <w:rsid w:val="00B456BC"/>
    <w:rsid w:val="00B46003"/>
    <w:rsid w:val="00B46438"/>
    <w:rsid w:val="00B46E98"/>
    <w:rsid w:val="00B46FC9"/>
    <w:rsid w:val="00B470D7"/>
    <w:rsid w:val="00B4731E"/>
    <w:rsid w:val="00B47BC6"/>
    <w:rsid w:val="00B50489"/>
    <w:rsid w:val="00B509AA"/>
    <w:rsid w:val="00B520CF"/>
    <w:rsid w:val="00B5272D"/>
    <w:rsid w:val="00B52738"/>
    <w:rsid w:val="00B52C3E"/>
    <w:rsid w:val="00B52C8A"/>
    <w:rsid w:val="00B533A2"/>
    <w:rsid w:val="00B53496"/>
    <w:rsid w:val="00B53610"/>
    <w:rsid w:val="00B53CBF"/>
    <w:rsid w:val="00B53DA3"/>
    <w:rsid w:val="00B53EC5"/>
    <w:rsid w:val="00B54115"/>
    <w:rsid w:val="00B54DB9"/>
    <w:rsid w:val="00B555BE"/>
    <w:rsid w:val="00B55978"/>
    <w:rsid w:val="00B55E4D"/>
    <w:rsid w:val="00B55E53"/>
    <w:rsid w:val="00B56413"/>
    <w:rsid w:val="00B5690D"/>
    <w:rsid w:val="00B57A03"/>
    <w:rsid w:val="00B602AB"/>
    <w:rsid w:val="00B602C9"/>
    <w:rsid w:val="00B607EE"/>
    <w:rsid w:val="00B60B0F"/>
    <w:rsid w:val="00B60EC1"/>
    <w:rsid w:val="00B61236"/>
    <w:rsid w:val="00B61254"/>
    <w:rsid w:val="00B613E2"/>
    <w:rsid w:val="00B61B15"/>
    <w:rsid w:val="00B6202D"/>
    <w:rsid w:val="00B62C81"/>
    <w:rsid w:val="00B63363"/>
    <w:rsid w:val="00B63433"/>
    <w:rsid w:val="00B638A2"/>
    <w:rsid w:val="00B64063"/>
    <w:rsid w:val="00B6415D"/>
    <w:rsid w:val="00B6530C"/>
    <w:rsid w:val="00B65315"/>
    <w:rsid w:val="00B65F55"/>
    <w:rsid w:val="00B6659F"/>
    <w:rsid w:val="00B66F19"/>
    <w:rsid w:val="00B67AE1"/>
    <w:rsid w:val="00B67F2F"/>
    <w:rsid w:val="00B704CC"/>
    <w:rsid w:val="00B70F22"/>
    <w:rsid w:val="00B70F69"/>
    <w:rsid w:val="00B7173A"/>
    <w:rsid w:val="00B71920"/>
    <w:rsid w:val="00B71DA6"/>
    <w:rsid w:val="00B71DD5"/>
    <w:rsid w:val="00B720D6"/>
    <w:rsid w:val="00B72CB0"/>
    <w:rsid w:val="00B72D35"/>
    <w:rsid w:val="00B7374C"/>
    <w:rsid w:val="00B7493D"/>
    <w:rsid w:val="00B74AAB"/>
    <w:rsid w:val="00B7509D"/>
    <w:rsid w:val="00B75151"/>
    <w:rsid w:val="00B75AF1"/>
    <w:rsid w:val="00B75BA4"/>
    <w:rsid w:val="00B76272"/>
    <w:rsid w:val="00B76A4A"/>
    <w:rsid w:val="00B76BAC"/>
    <w:rsid w:val="00B76F7E"/>
    <w:rsid w:val="00B803D8"/>
    <w:rsid w:val="00B804BE"/>
    <w:rsid w:val="00B80608"/>
    <w:rsid w:val="00B80633"/>
    <w:rsid w:val="00B811F7"/>
    <w:rsid w:val="00B823B0"/>
    <w:rsid w:val="00B83396"/>
    <w:rsid w:val="00B83976"/>
    <w:rsid w:val="00B83981"/>
    <w:rsid w:val="00B839D5"/>
    <w:rsid w:val="00B83F3E"/>
    <w:rsid w:val="00B84951"/>
    <w:rsid w:val="00B84BCF"/>
    <w:rsid w:val="00B84E4B"/>
    <w:rsid w:val="00B84F2A"/>
    <w:rsid w:val="00B85EAD"/>
    <w:rsid w:val="00B86C4C"/>
    <w:rsid w:val="00B87211"/>
    <w:rsid w:val="00B878F7"/>
    <w:rsid w:val="00B87ADF"/>
    <w:rsid w:val="00B900A8"/>
    <w:rsid w:val="00B91194"/>
    <w:rsid w:val="00B91662"/>
    <w:rsid w:val="00B91D88"/>
    <w:rsid w:val="00B92973"/>
    <w:rsid w:val="00B92F9F"/>
    <w:rsid w:val="00B9364C"/>
    <w:rsid w:val="00B9371D"/>
    <w:rsid w:val="00B937F3"/>
    <w:rsid w:val="00B93AB9"/>
    <w:rsid w:val="00B94218"/>
    <w:rsid w:val="00B94AD9"/>
    <w:rsid w:val="00B94D9B"/>
    <w:rsid w:val="00B9550F"/>
    <w:rsid w:val="00B96384"/>
    <w:rsid w:val="00B967C6"/>
    <w:rsid w:val="00B96812"/>
    <w:rsid w:val="00B96E89"/>
    <w:rsid w:val="00B9777A"/>
    <w:rsid w:val="00BA13E7"/>
    <w:rsid w:val="00BA1464"/>
    <w:rsid w:val="00BA1EB4"/>
    <w:rsid w:val="00BA2982"/>
    <w:rsid w:val="00BA29CA"/>
    <w:rsid w:val="00BA2B5F"/>
    <w:rsid w:val="00BA3554"/>
    <w:rsid w:val="00BA396D"/>
    <w:rsid w:val="00BA3E2A"/>
    <w:rsid w:val="00BA45CB"/>
    <w:rsid w:val="00BA5A41"/>
    <w:rsid w:val="00BA5DC6"/>
    <w:rsid w:val="00BA6196"/>
    <w:rsid w:val="00BA64FF"/>
    <w:rsid w:val="00BA6F99"/>
    <w:rsid w:val="00BA6F9A"/>
    <w:rsid w:val="00BA728D"/>
    <w:rsid w:val="00BA7512"/>
    <w:rsid w:val="00BB01BF"/>
    <w:rsid w:val="00BB02D9"/>
    <w:rsid w:val="00BB02E2"/>
    <w:rsid w:val="00BB064B"/>
    <w:rsid w:val="00BB06CD"/>
    <w:rsid w:val="00BB14E2"/>
    <w:rsid w:val="00BB2316"/>
    <w:rsid w:val="00BB2A8E"/>
    <w:rsid w:val="00BB3870"/>
    <w:rsid w:val="00BB5BFF"/>
    <w:rsid w:val="00BB5D69"/>
    <w:rsid w:val="00BB5E20"/>
    <w:rsid w:val="00BB671F"/>
    <w:rsid w:val="00BB6FCE"/>
    <w:rsid w:val="00BB7206"/>
    <w:rsid w:val="00BB7265"/>
    <w:rsid w:val="00BC02F0"/>
    <w:rsid w:val="00BC34DA"/>
    <w:rsid w:val="00BC4A5F"/>
    <w:rsid w:val="00BC4B29"/>
    <w:rsid w:val="00BC4DFF"/>
    <w:rsid w:val="00BC608C"/>
    <w:rsid w:val="00BC61AA"/>
    <w:rsid w:val="00BC6D8C"/>
    <w:rsid w:val="00BC742E"/>
    <w:rsid w:val="00BD0A3E"/>
    <w:rsid w:val="00BD12AB"/>
    <w:rsid w:val="00BD2E67"/>
    <w:rsid w:val="00BD2E81"/>
    <w:rsid w:val="00BD36D5"/>
    <w:rsid w:val="00BD3A44"/>
    <w:rsid w:val="00BD3C1C"/>
    <w:rsid w:val="00BD4221"/>
    <w:rsid w:val="00BD42CD"/>
    <w:rsid w:val="00BD4DB6"/>
    <w:rsid w:val="00BD51A1"/>
    <w:rsid w:val="00BD5DD2"/>
    <w:rsid w:val="00BD654E"/>
    <w:rsid w:val="00BD7E34"/>
    <w:rsid w:val="00BE0105"/>
    <w:rsid w:val="00BE01DA"/>
    <w:rsid w:val="00BE0D7C"/>
    <w:rsid w:val="00BE162F"/>
    <w:rsid w:val="00BE2263"/>
    <w:rsid w:val="00BE24E1"/>
    <w:rsid w:val="00BE2FC7"/>
    <w:rsid w:val="00BE3257"/>
    <w:rsid w:val="00BE424B"/>
    <w:rsid w:val="00BE50F5"/>
    <w:rsid w:val="00BE53FB"/>
    <w:rsid w:val="00BE5485"/>
    <w:rsid w:val="00BE5878"/>
    <w:rsid w:val="00BE6961"/>
    <w:rsid w:val="00BE6D5E"/>
    <w:rsid w:val="00BF06A0"/>
    <w:rsid w:val="00BF094E"/>
    <w:rsid w:val="00BF0D72"/>
    <w:rsid w:val="00BF158E"/>
    <w:rsid w:val="00BF160D"/>
    <w:rsid w:val="00BF2AE0"/>
    <w:rsid w:val="00BF426E"/>
    <w:rsid w:val="00BF4BBD"/>
    <w:rsid w:val="00BF5050"/>
    <w:rsid w:val="00BF535C"/>
    <w:rsid w:val="00BF5574"/>
    <w:rsid w:val="00BF5D4A"/>
    <w:rsid w:val="00BF6628"/>
    <w:rsid w:val="00BF6792"/>
    <w:rsid w:val="00BF730D"/>
    <w:rsid w:val="00BF7FDB"/>
    <w:rsid w:val="00C006B1"/>
    <w:rsid w:val="00C0099C"/>
    <w:rsid w:val="00C011DC"/>
    <w:rsid w:val="00C01494"/>
    <w:rsid w:val="00C01B77"/>
    <w:rsid w:val="00C0371F"/>
    <w:rsid w:val="00C03FA1"/>
    <w:rsid w:val="00C04461"/>
    <w:rsid w:val="00C0524D"/>
    <w:rsid w:val="00C05915"/>
    <w:rsid w:val="00C059CB"/>
    <w:rsid w:val="00C05ACC"/>
    <w:rsid w:val="00C05C79"/>
    <w:rsid w:val="00C07CE2"/>
    <w:rsid w:val="00C104C0"/>
    <w:rsid w:val="00C117ED"/>
    <w:rsid w:val="00C11A4E"/>
    <w:rsid w:val="00C12348"/>
    <w:rsid w:val="00C129B6"/>
    <w:rsid w:val="00C12A10"/>
    <w:rsid w:val="00C13C33"/>
    <w:rsid w:val="00C13DE7"/>
    <w:rsid w:val="00C13E77"/>
    <w:rsid w:val="00C144F5"/>
    <w:rsid w:val="00C1456B"/>
    <w:rsid w:val="00C14A2A"/>
    <w:rsid w:val="00C163CE"/>
    <w:rsid w:val="00C16A9B"/>
    <w:rsid w:val="00C16D50"/>
    <w:rsid w:val="00C173CE"/>
    <w:rsid w:val="00C17564"/>
    <w:rsid w:val="00C20785"/>
    <w:rsid w:val="00C20B05"/>
    <w:rsid w:val="00C20D6A"/>
    <w:rsid w:val="00C21621"/>
    <w:rsid w:val="00C21D8D"/>
    <w:rsid w:val="00C220DC"/>
    <w:rsid w:val="00C22145"/>
    <w:rsid w:val="00C22C7E"/>
    <w:rsid w:val="00C22F32"/>
    <w:rsid w:val="00C22FBC"/>
    <w:rsid w:val="00C2312E"/>
    <w:rsid w:val="00C23D00"/>
    <w:rsid w:val="00C240A2"/>
    <w:rsid w:val="00C243AC"/>
    <w:rsid w:val="00C24779"/>
    <w:rsid w:val="00C24AB1"/>
    <w:rsid w:val="00C25DF1"/>
    <w:rsid w:val="00C26668"/>
    <w:rsid w:val="00C26C4F"/>
    <w:rsid w:val="00C27C81"/>
    <w:rsid w:val="00C304D9"/>
    <w:rsid w:val="00C30758"/>
    <w:rsid w:val="00C31954"/>
    <w:rsid w:val="00C31A0E"/>
    <w:rsid w:val="00C320E8"/>
    <w:rsid w:val="00C321A9"/>
    <w:rsid w:val="00C32EA8"/>
    <w:rsid w:val="00C335F9"/>
    <w:rsid w:val="00C33C84"/>
    <w:rsid w:val="00C33D2B"/>
    <w:rsid w:val="00C34006"/>
    <w:rsid w:val="00C34301"/>
    <w:rsid w:val="00C344AE"/>
    <w:rsid w:val="00C3474D"/>
    <w:rsid w:val="00C34900"/>
    <w:rsid w:val="00C34F54"/>
    <w:rsid w:val="00C35238"/>
    <w:rsid w:val="00C35631"/>
    <w:rsid w:val="00C35AC7"/>
    <w:rsid w:val="00C35BBB"/>
    <w:rsid w:val="00C35BC3"/>
    <w:rsid w:val="00C35EFA"/>
    <w:rsid w:val="00C36B4C"/>
    <w:rsid w:val="00C37248"/>
    <w:rsid w:val="00C3763A"/>
    <w:rsid w:val="00C377DD"/>
    <w:rsid w:val="00C405C7"/>
    <w:rsid w:val="00C40CBA"/>
    <w:rsid w:val="00C4187C"/>
    <w:rsid w:val="00C41966"/>
    <w:rsid w:val="00C426B1"/>
    <w:rsid w:val="00C433C1"/>
    <w:rsid w:val="00C435BE"/>
    <w:rsid w:val="00C44915"/>
    <w:rsid w:val="00C44A1E"/>
    <w:rsid w:val="00C452BD"/>
    <w:rsid w:val="00C45996"/>
    <w:rsid w:val="00C46748"/>
    <w:rsid w:val="00C46BBA"/>
    <w:rsid w:val="00C4734B"/>
    <w:rsid w:val="00C47CE4"/>
    <w:rsid w:val="00C509CD"/>
    <w:rsid w:val="00C50BD7"/>
    <w:rsid w:val="00C50C98"/>
    <w:rsid w:val="00C50CE5"/>
    <w:rsid w:val="00C50DDF"/>
    <w:rsid w:val="00C513D4"/>
    <w:rsid w:val="00C52235"/>
    <w:rsid w:val="00C52528"/>
    <w:rsid w:val="00C532FA"/>
    <w:rsid w:val="00C5375D"/>
    <w:rsid w:val="00C53D70"/>
    <w:rsid w:val="00C53FB5"/>
    <w:rsid w:val="00C54D15"/>
    <w:rsid w:val="00C54E6C"/>
    <w:rsid w:val="00C5533A"/>
    <w:rsid w:val="00C55A6B"/>
    <w:rsid w:val="00C55BE6"/>
    <w:rsid w:val="00C564CB"/>
    <w:rsid w:val="00C577C6"/>
    <w:rsid w:val="00C57ACC"/>
    <w:rsid w:val="00C57E3A"/>
    <w:rsid w:val="00C57FEA"/>
    <w:rsid w:val="00C60016"/>
    <w:rsid w:val="00C60A3B"/>
    <w:rsid w:val="00C60C00"/>
    <w:rsid w:val="00C60C5B"/>
    <w:rsid w:val="00C60DF5"/>
    <w:rsid w:val="00C60E1F"/>
    <w:rsid w:val="00C60E80"/>
    <w:rsid w:val="00C61287"/>
    <w:rsid w:val="00C61616"/>
    <w:rsid w:val="00C61750"/>
    <w:rsid w:val="00C61DE5"/>
    <w:rsid w:val="00C6293C"/>
    <w:rsid w:val="00C6372C"/>
    <w:rsid w:val="00C64EF7"/>
    <w:rsid w:val="00C65364"/>
    <w:rsid w:val="00C65EB5"/>
    <w:rsid w:val="00C66160"/>
    <w:rsid w:val="00C6660F"/>
    <w:rsid w:val="00C6697E"/>
    <w:rsid w:val="00C67560"/>
    <w:rsid w:val="00C676CA"/>
    <w:rsid w:val="00C677C7"/>
    <w:rsid w:val="00C67994"/>
    <w:rsid w:val="00C67B6F"/>
    <w:rsid w:val="00C70453"/>
    <w:rsid w:val="00C70B27"/>
    <w:rsid w:val="00C71575"/>
    <w:rsid w:val="00C716C4"/>
    <w:rsid w:val="00C71E54"/>
    <w:rsid w:val="00C721AC"/>
    <w:rsid w:val="00C72246"/>
    <w:rsid w:val="00C725AC"/>
    <w:rsid w:val="00C72D11"/>
    <w:rsid w:val="00C730E8"/>
    <w:rsid w:val="00C73B19"/>
    <w:rsid w:val="00C74170"/>
    <w:rsid w:val="00C74BF6"/>
    <w:rsid w:val="00C75C57"/>
    <w:rsid w:val="00C76401"/>
    <w:rsid w:val="00C76799"/>
    <w:rsid w:val="00C77058"/>
    <w:rsid w:val="00C772D1"/>
    <w:rsid w:val="00C77333"/>
    <w:rsid w:val="00C775DD"/>
    <w:rsid w:val="00C77BB1"/>
    <w:rsid w:val="00C77DEF"/>
    <w:rsid w:val="00C77F5C"/>
    <w:rsid w:val="00C809DF"/>
    <w:rsid w:val="00C80A18"/>
    <w:rsid w:val="00C8218B"/>
    <w:rsid w:val="00C825E4"/>
    <w:rsid w:val="00C8281D"/>
    <w:rsid w:val="00C82E09"/>
    <w:rsid w:val="00C8310B"/>
    <w:rsid w:val="00C836C9"/>
    <w:rsid w:val="00C83740"/>
    <w:rsid w:val="00C83B5D"/>
    <w:rsid w:val="00C846B6"/>
    <w:rsid w:val="00C84F4F"/>
    <w:rsid w:val="00C8500E"/>
    <w:rsid w:val="00C852D9"/>
    <w:rsid w:val="00C85AFF"/>
    <w:rsid w:val="00C85F89"/>
    <w:rsid w:val="00C8783F"/>
    <w:rsid w:val="00C87F74"/>
    <w:rsid w:val="00C900AE"/>
    <w:rsid w:val="00C90D6A"/>
    <w:rsid w:val="00C91ABB"/>
    <w:rsid w:val="00C91BA4"/>
    <w:rsid w:val="00C925FA"/>
    <w:rsid w:val="00C93CF3"/>
    <w:rsid w:val="00C957C0"/>
    <w:rsid w:val="00C959AF"/>
    <w:rsid w:val="00C95F1B"/>
    <w:rsid w:val="00C97006"/>
    <w:rsid w:val="00C97843"/>
    <w:rsid w:val="00C97980"/>
    <w:rsid w:val="00CA0C3B"/>
    <w:rsid w:val="00CA17AD"/>
    <w:rsid w:val="00CA1C26"/>
    <w:rsid w:val="00CA247E"/>
    <w:rsid w:val="00CA2791"/>
    <w:rsid w:val="00CA29F4"/>
    <w:rsid w:val="00CA324E"/>
    <w:rsid w:val="00CA4D2B"/>
    <w:rsid w:val="00CA4E18"/>
    <w:rsid w:val="00CA561B"/>
    <w:rsid w:val="00CA608D"/>
    <w:rsid w:val="00CA644E"/>
    <w:rsid w:val="00CA67E8"/>
    <w:rsid w:val="00CA6D21"/>
    <w:rsid w:val="00CA79CD"/>
    <w:rsid w:val="00CA7D1E"/>
    <w:rsid w:val="00CB0208"/>
    <w:rsid w:val="00CB081B"/>
    <w:rsid w:val="00CB0C8C"/>
    <w:rsid w:val="00CB14FB"/>
    <w:rsid w:val="00CB1A7D"/>
    <w:rsid w:val="00CB2445"/>
    <w:rsid w:val="00CB2A8D"/>
    <w:rsid w:val="00CB2AD8"/>
    <w:rsid w:val="00CB38FD"/>
    <w:rsid w:val="00CB3B30"/>
    <w:rsid w:val="00CB3F9F"/>
    <w:rsid w:val="00CB4933"/>
    <w:rsid w:val="00CB4BA6"/>
    <w:rsid w:val="00CB50FC"/>
    <w:rsid w:val="00CB58E5"/>
    <w:rsid w:val="00CB5C72"/>
    <w:rsid w:val="00CB5D74"/>
    <w:rsid w:val="00CB669B"/>
    <w:rsid w:val="00CB6B45"/>
    <w:rsid w:val="00CB6E6A"/>
    <w:rsid w:val="00CB6E97"/>
    <w:rsid w:val="00CB79EC"/>
    <w:rsid w:val="00CB7E35"/>
    <w:rsid w:val="00CC04AF"/>
    <w:rsid w:val="00CC1CF1"/>
    <w:rsid w:val="00CC1DB8"/>
    <w:rsid w:val="00CC266A"/>
    <w:rsid w:val="00CC29F4"/>
    <w:rsid w:val="00CC3C4C"/>
    <w:rsid w:val="00CC3DCE"/>
    <w:rsid w:val="00CC4C5C"/>
    <w:rsid w:val="00CC5069"/>
    <w:rsid w:val="00CC5159"/>
    <w:rsid w:val="00CC5543"/>
    <w:rsid w:val="00CC5899"/>
    <w:rsid w:val="00CC62F0"/>
    <w:rsid w:val="00CC7252"/>
    <w:rsid w:val="00CC72B6"/>
    <w:rsid w:val="00CC7477"/>
    <w:rsid w:val="00CC7ED8"/>
    <w:rsid w:val="00CC7F8E"/>
    <w:rsid w:val="00CD016F"/>
    <w:rsid w:val="00CD03C6"/>
    <w:rsid w:val="00CD0738"/>
    <w:rsid w:val="00CD0907"/>
    <w:rsid w:val="00CD19CE"/>
    <w:rsid w:val="00CD26D8"/>
    <w:rsid w:val="00CD317A"/>
    <w:rsid w:val="00CD39DA"/>
    <w:rsid w:val="00CD4590"/>
    <w:rsid w:val="00CD4820"/>
    <w:rsid w:val="00CD507F"/>
    <w:rsid w:val="00CD5378"/>
    <w:rsid w:val="00CD6536"/>
    <w:rsid w:val="00CD6864"/>
    <w:rsid w:val="00CD725F"/>
    <w:rsid w:val="00CE0CA4"/>
    <w:rsid w:val="00CE1099"/>
    <w:rsid w:val="00CE12A4"/>
    <w:rsid w:val="00CE14DE"/>
    <w:rsid w:val="00CE16C5"/>
    <w:rsid w:val="00CE18D4"/>
    <w:rsid w:val="00CE1B8C"/>
    <w:rsid w:val="00CE1CB3"/>
    <w:rsid w:val="00CE22BA"/>
    <w:rsid w:val="00CE2B2F"/>
    <w:rsid w:val="00CE449F"/>
    <w:rsid w:val="00CE6839"/>
    <w:rsid w:val="00CE6C70"/>
    <w:rsid w:val="00CE6E43"/>
    <w:rsid w:val="00CE6EF3"/>
    <w:rsid w:val="00CE7618"/>
    <w:rsid w:val="00CE7FAC"/>
    <w:rsid w:val="00CF07B9"/>
    <w:rsid w:val="00CF0FC4"/>
    <w:rsid w:val="00CF1077"/>
    <w:rsid w:val="00CF14DC"/>
    <w:rsid w:val="00CF1A62"/>
    <w:rsid w:val="00CF1BB8"/>
    <w:rsid w:val="00CF283D"/>
    <w:rsid w:val="00CF2943"/>
    <w:rsid w:val="00CF4203"/>
    <w:rsid w:val="00CF4B53"/>
    <w:rsid w:val="00CF5713"/>
    <w:rsid w:val="00CF5FAE"/>
    <w:rsid w:val="00D0001A"/>
    <w:rsid w:val="00D00191"/>
    <w:rsid w:val="00D00B3B"/>
    <w:rsid w:val="00D00C83"/>
    <w:rsid w:val="00D00FCF"/>
    <w:rsid w:val="00D011CD"/>
    <w:rsid w:val="00D01CDA"/>
    <w:rsid w:val="00D0218D"/>
    <w:rsid w:val="00D022AA"/>
    <w:rsid w:val="00D02CD5"/>
    <w:rsid w:val="00D03351"/>
    <w:rsid w:val="00D03C00"/>
    <w:rsid w:val="00D03F8B"/>
    <w:rsid w:val="00D04383"/>
    <w:rsid w:val="00D043BE"/>
    <w:rsid w:val="00D04415"/>
    <w:rsid w:val="00D05231"/>
    <w:rsid w:val="00D0528E"/>
    <w:rsid w:val="00D0644E"/>
    <w:rsid w:val="00D07A74"/>
    <w:rsid w:val="00D102B3"/>
    <w:rsid w:val="00D10F0E"/>
    <w:rsid w:val="00D1186F"/>
    <w:rsid w:val="00D11C88"/>
    <w:rsid w:val="00D11E0C"/>
    <w:rsid w:val="00D126AC"/>
    <w:rsid w:val="00D1294D"/>
    <w:rsid w:val="00D13900"/>
    <w:rsid w:val="00D13A2F"/>
    <w:rsid w:val="00D14745"/>
    <w:rsid w:val="00D1546B"/>
    <w:rsid w:val="00D1570F"/>
    <w:rsid w:val="00D174D5"/>
    <w:rsid w:val="00D20B58"/>
    <w:rsid w:val="00D211B9"/>
    <w:rsid w:val="00D2147E"/>
    <w:rsid w:val="00D2187D"/>
    <w:rsid w:val="00D21CEC"/>
    <w:rsid w:val="00D2288A"/>
    <w:rsid w:val="00D22A96"/>
    <w:rsid w:val="00D22D4B"/>
    <w:rsid w:val="00D23DC4"/>
    <w:rsid w:val="00D2457B"/>
    <w:rsid w:val="00D24678"/>
    <w:rsid w:val="00D24C38"/>
    <w:rsid w:val="00D25843"/>
    <w:rsid w:val="00D25FB5"/>
    <w:rsid w:val="00D267E1"/>
    <w:rsid w:val="00D2746E"/>
    <w:rsid w:val="00D27502"/>
    <w:rsid w:val="00D30743"/>
    <w:rsid w:val="00D3084B"/>
    <w:rsid w:val="00D3160F"/>
    <w:rsid w:val="00D316AE"/>
    <w:rsid w:val="00D32DE7"/>
    <w:rsid w:val="00D32F5B"/>
    <w:rsid w:val="00D34521"/>
    <w:rsid w:val="00D348F8"/>
    <w:rsid w:val="00D34DBC"/>
    <w:rsid w:val="00D34E85"/>
    <w:rsid w:val="00D3556A"/>
    <w:rsid w:val="00D367FD"/>
    <w:rsid w:val="00D37644"/>
    <w:rsid w:val="00D37769"/>
    <w:rsid w:val="00D40325"/>
    <w:rsid w:val="00D403B0"/>
    <w:rsid w:val="00D40513"/>
    <w:rsid w:val="00D40647"/>
    <w:rsid w:val="00D40AA6"/>
    <w:rsid w:val="00D416B1"/>
    <w:rsid w:val="00D41745"/>
    <w:rsid w:val="00D41A50"/>
    <w:rsid w:val="00D424A7"/>
    <w:rsid w:val="00D424BE"/>
    <w:rsid w:val="00D425CD"/>
    <w:rsid w:val="00D43514"/>
    <w:rsid w:val="00D43673"/>
    <w:rsid w:val="00D43ED2"/>
    <w:rsid w:val="00D44223"/>
    <w:rsid w:val="00D44466"/>
    <w:rsid w:val="00D4447E"/>
    <w:rsid w:val="00D44B80"/>
    <w:rsid w:val="00D44DE8"/>
    <w:rsid w:val="00D45028"/>
    <w:rsid w:val="00D45965"/>
    <w:rsid w:val="00D45C5E"/>
    <w:rsid w:val="00D4605C"/>
    <w:rsid w:val="00D461FF"/>
    <w:rsid w:val="00D466FA"/>
    <w:rsid w:val="00D468E7"/>
    <w:rsid w:val="00D46FC4"/>
    <w:rsid w:val="00D4705A"/>
    <w:rsid w:val="00D472D9"/>
    <w:rsid w:val="00D47809"/>
    <w:rsid w:val="00D47813"/>
    <w:rsid w:val="00D478C1"/>
    <w:rsid w:val="00D50176"/>
    <w:rsid w:val="00D501E8"/>
    <w:rsid w:val="00D50261"/>
    <w:rsid w:val="00D5032C"/>
    <w:rsid w:val="00D5036B"/>
    <w:rsid w:val="00D50496"/>
    <w:rsid w:val="00D50848"/>
    <w:rsid w:val="00D50D14"/>
    <w:rsid w:val="00D51A4E"/>
    <w:rsid w:val="00D51DA9"/>
    <w:rsid w:val="00D5307A"/>
    <w:rsid w:val="00D53590"/>
    <w:rsid w:val="00D53BB0"/>
    <w:rsid w:val="00D53C63"/>
    <w:rsid w:val="00D53E21"/>
    <w:rsid w:val="00D5432A"/>
    <w:rsid w:val="00D545CB"/>
    <w:rsid w:val="00D54BC6"/>
    <w:rsid w:val="00D54F38"/>
    <w:rsid w:val="00D55B2E"/>
    <w:rsid w:val="00D561E0"/>
    <w:rsid w:val="00D563CF"/>
    <w:rsid w:val="00D57B77"/>
    <w:rsid w:val="00D60102"/>
    <w:rsid w:val="00D60409"/>
    <w:rsid w:val="00D61196"/>
    <w:rsid w:val="00D61498"/>
    <w:rsid w:val="00D61596"/>
    <w:rsid w:val="00D62CF0"/>
    <w:rsid w:val="00D6348C"/>
    <w:rsid w:val="00D63634"/>
    <w:rsid w:val="00D63F3E"/>
    <w:rsid w:val="00D64245"/>
    <w:rsid w:val="00D6613D"/>
    <w:rsid w:val="00D66965"/>
    <w:rsid w:val="00D66E74"/>
    <w:rsid w:val="00D67027"/>
    <w:rsid w:val="00D67135"/>
    <w:rsid w:val="00D6758C"/>
    <w:rsid w:val="00D7090A"/>
    <w:rsid w:val="00D71358"/>
    <w:rsid w:val="00D7188D"/>
    <w:rsid w:val="00D727BC"/>
    <w:rsid w:val="00D72F93"/>
    <w:rsid w:val="00D73146"/>
    <w:rsid w:val="00D73421"/>
    <w:rsid w:val="00D734D9"/>
    <w:rsid w:val="00D73C4B"/>
    <w:rsid w:val="00D73EBB"/>
    <w:rsid w:val="00D75695"/>
    <w:rsid w:val="00D7613B"/>
    <w:rsid w:val="00D761B3"/>
    <w:rsid w:val="00D761F4"/>
    <w:rsid w:val="00D76CFC"/>
    <w:rsid w:val="00D77373"/>
    <w:rsid w:val="00D77757"/>
    <w:rsid w:val="00D80341"/>
    <w:rsid w:val="00D808A2"/>
    <w:rsid w:val="00D8091E"/>
    <w:rsid w:val="00D80945"/>
    <w:rsid w:val="00D832C8"/>
    <w:rsid w:val="00D83A1E"/>
    <w:rsid w:val="00D83AAC"/>
    <w:rsid w:val="00D840FA"/>
    <w:rsid w:val="00D84A1C"/>
    <w:rsid w:val="00D84C32"/>
    <w:rsid w:val="00D84D11"/>
    <w:rsid w:val="00D84FC5"/>
    <w:rsid w:val="00D85201"/>
    <w:rsid w:val="00D85301"/>
    <w:rsid w:val="00D85914"/>
    <w:rsid w:val="00D85C7C"/>
    <w:rsid w:val="00D86D84"/>
    <w:rsid w:val="00D871EA"/>
    <w:rsid w:val="00D9055D"/>
    <w:rsid w:val="00D91D28"/>
    <w:rsid w:val="00D92260"/>
    <w:rsid w:val="00D922ED"/>
    <w:rsid w:val="00D9234A"/>
    <w:rsid w:val="00D9288E"/>
    <w:rsid w:val="00D93343"/>
    <w:rsid w:val="00D9373D"/>
    <w:rsid w:val="00D939E4"/>
    <w:rsid w:val="00D93A38"/>
    <w:rsid w:val="00D93E40"/>
    <w:rsid w:val="00D94A20"/>
    <w:rsid w:val="00D96781"/>
    <w:rsid w:val="00D970D3"/>
    <w:rsid w:val="00D971C2"/>
    <w:rsid w:val="00D974C0"/>
    <w:rsid w:val="00D97B10"/>
    <w:rsid w:val="00D97B7B"/>
    <w:rsid w:val="00DA0149"/>
    <w:rsid w:val="00DA09BE"/>
    <w:rsid w:val="00DA0FEE"/>
    <w:rsid w:val="00DA10CB"/>
    <w:rsid w:val="00DA11CA"/>
    <w:rsid w:val="00DA11F8"/>
    <w:rsid w:val="00DA1474"/>
    <w:rsid w:val="00DA1AA0"/>
    <w:rsid w:val="00DA1B80"/>
    <w:rsid w:val="00DA1DCA"/>
    <w:rsid w:val="00DA2529"/>
    <w:rsid w:val="00DA262C"/>
    <w:rsid w:val="00DA267B"/>
    <w:rsid w:val="00DA28B7"/>
    <w:rsid w:val="00DA2C34"/>
    <w:rsid w:val="00DA31FA"/>
    <w:rsid w:val="00DA424E"/>
    <w:rsid w:val="00DA4D73"/>
    <w:rsid w:val="00DA5141"/>
    <w:rsid w:val="00DA5AF9"/>
    <w:rsid w:val="00DA64C7"/>
    <w:rsid w:val="00DA66A3"/>
    <w:rsid w:val="00DA67D3"/>
    <w:rsid w:val="00DA6FD7"/>
    <w:rsid w:val="00DA7018"/>
    <w:rsid w:val="00DA7537"/>
    <w:rsid w:val="00DA7746"/>
    <w:rsid w:val="00DA7C32"/>
    <w:rsid w:val="00DB01FE"/>
    <w:rsid w:val="00DB080A"/>
    <w:rsid w:val="00DB08A9"/>
    <w:rsid w:val="00DB130A"/>
    <w:rsid w:val="00DB2804"/>
    <w:rsid w:val="00DB2CDC"/>
    <w:rsid w:val="00DB2EBB"/>
    <w:rsid w:val="00DB3784"/>
    <w:rsid w:val="00DB4D6A"/>
    <w:rsid w:val="00DB4EC3"/>
    <w:rsid w:val="00DB5629"/>
    <w:rsid w:val="00DB6375"/>
    <w:rsid w:val="00DB6EA6"/>
    <w:rsid w:val="00DB70F0"/>
    <w:rsid w:val="00DB7598"/>
    <w:rsid w:val="00DB7630"/>
    <w:rsid w:val="00DB799E"/>
    <w:rsid w:val="00DC02AF"/>
    <w:rsid w:val="00DC091A"/>
    <w:rsid w:val="00DC10A1"/>
    <w:rsid w:val="00DC1629"/>
    <w:rsid w:val="00DC261B"/>
    <w:rsid w:val="00DC29C6"/>
    <w:rsid w:val="00DC3470"/>
    <w:rsid w:val="00DC38D7"/>
    <w:rsid w:val="00DC3CA1"/>
    <w:rsid w:val="00DC4440"/>
    <w:rsid w:val="00DC44F6"/>
    <w:rsid w:val="00DC549F"/>
    <w:rsid w:val="00DC54D2"/>
    <w:rsid w:val="00DC5EE1"/>
    <w:rsid w:val="00DC5F73"/>
    <w:rsid w:val="00DC634E"/>
    <w:rsid w:val="00DC655F"/>
    <w:rsid w:val="00DC72AC"/>
    <w:rsid w:val="00DC74B9"/>
    <w:rsid w:val="00DC75C1"/>
    <w:rsid w:val="00DD0B59"/>
    <w:rsid w:val="00DD0FF2"/>
    <w:rsid w:val="00DD1023"/>
    <w:rsid w:val="00DD1DB0"/>
    <w:rsid w:val="00DD24FA"/>
    <w:rsid w:val="00DD282A"/>
    <w:rsid w:val="00DD4548"/>
    <w:rsid w:val="00DD47E3"/>
    <w:rsid w:val="00DD5315"/>
    <w:rsid w:val="00DD5A5D"/>
    <w:rsid w:val="00DD7761"/>
    <w:rsid w:val="00DD7EBD"/>
    <w:rsid w:val="00DE109B"/>
    <w:rsid w:val="00DE18F1"/>
    <w:rsid w:val="00DE192C"/>
    <w:rsid w:val="00DE3B63"/>
    <w:rsid w:val="00DE52D3"/>
    <w:rsid w:val="00DE540F"/>
    <w:rsid w:val="00DE5545"/>
    <w:rsid w:val="00DE56D5"/>
    <w:rsid w:val="00DE5921"/>
    <w:rsid w:val="00DE6820"/>
    <w:rsid w:val="00DE716F"/>
    <w:rsid w:val="00DE7AD9"/>
    <w:rsid w:val="00DF0522"/>
    <w:rsid w:val="00DF0A62"/>
    <w:rsid w:val="00DF0B6A"/>
    <w:rsid w:val="00DF23CC"/>
    <w:rsid w:val="00DF2423"/>
    <w:rsid w:val="00DF2467"/>
    <w:rsid w:val="00DF2845"/>
    <w:rsid w:val="00DF37C4"/>
    <w:rsid w:val="00DF38E6"/>
    <w:rsid w:val="00DF3EBF"/>
    <w:rsid w:val="00DF4113"/>
    <w:rsid w:val="00DF4B6D"/>
    <w:rsid w:val="00DF4BC7"/>
    <w:rsid w:val="00DF5284"/>
    <w:rsid w:val="00DF5664"/>
    <w:rsid w:val="00DF62B6"/>
    <w:rsid w:val="00DF6C90"/>
    <w:rsid w:val="00DF6F46"/>
    <w:rsid w:val="00DF7C52"/>
    <w:rsid w:val="00E0042F"/>
    <w:rsid w:val="00E006CA"/>
    <w:rsid w:val="00E007E0"/>
    <w:rsid w:val="00E0096B"/>
    <w:rsid w:val="00E014C2"/>
    <w:rsid w:val="00E016A5"/>
    <w:rsid w:val="00E017A3"/>
    <w:rsid w:val="00E0202F"/>
    <w:rsid w:val="00E03379"/>
    <w:rsid w:val="00E03A0E"/>
    <w:rsid w:val="00E03F6E"/>
    <w:rsid w:val="00E0411E"/>
    <w:rsid w:val="00E04239"/>
    <w:rsid w:val="00E043DF"/>
    <w:rsid w:val="00E051A1"/>
    <w:rsid w:val="00E056BD"/>
    <w:rsid w:val="00E0572E"/>
    <w:rsid w:val="00E05C0D"/>
    <w:rsid w:val="00E066EF"/>
    <w:rsid w:val="00E06CA7"/>
    <w:rsid w:val="00E07225"/>
    <w:rsid w:val="00E07307"/>
    <w:rsid w:val="00E07FD2"/>
    <w:rsid w:val="00E1001E"/>
    <w:rsid w:val="00E1010C"/>
    <w:rsid w:val="00E102BA"/>
    <w:rsid w:val="00E106DE"/>
    <w:rsid w:val="00E11EC2"/>
    <w:rsid w:val="00E1268D"/>
    <w:rsid w:val="00E12B9A"/>
    <w:rsid w:val="00E130CA"/>
    <w:rsid w:val="00E137E1"/>
    <w:rsid w:val="00E14E33"/>
    <w:rsid w:val="00E15180"/>
    <w:rsid w:val="00E15464"/>
    <w:rsid w:val="00E1572A"/>
    <w:rsid w:val="00E15FF1"/>
    <w:rsid w:val="00E16615"/>
    <w:rsid w:val="00E16AF9"/>
    <w:rsid w:val="00E16D8C"/>
    <w:rsid w:val="00E1780D"/>
    <w:rsid w:val="00E203D1"/>
    <w:rsid w:val="00E20748"/>
    <w:rsid w:val="00E20A08"/>
    <w:rsid w:val="00E20EC7"/>
    <w:rsid w:val="00E210B3"/>
    <w:rsid w:val="00E21A4B"/>
    <w:rsid w:val="00E21E8F"/>
    <w:rsid w:val="00E22D58"/>
    <w:rsid w:val="00E22FF6"/>
    <w:rsid w:val="00E23483"/>
    <w:rsid w:val="00E237D8"/>
    <w:rsid w:val="00E244F9"/>
    <w:rsid w:val="00E24587"/>
    <w:rsid w:val="00E261E6"/>
    <w:rsid w:val="00E264CE"/>
    <w:rsid w:val="00E26711"/>
    <w:rsid w:val="00E2674B"/>
    <w:rsid w:val="00E2737B"/>
    <w:rsid w:val="00E276FC"/>
    <w:rsid w:val="00E277AE"/>
    <w:rsid w:val="00E30067"/>
    <w:rsid w:val="00E325D0"/>
    <w:rsid w:val="00E33E4D"/>
    <w:rsid w:val="00E34A27"/>
    <w:rsid w:val="00E34E82"/>
    <w:rsid w:val="00E3530C"/>
    <w:rsid w:val="00E35314"/>
    <w:rsid w:val="00E353A2"/>
    <w:rsid w:val="00E35672"/>
    <w:rsid w:val="00E35BB0"/>
    <w:rsid w:val="00E3642E"/>
    <w:rsid w:val="00E3677D"/>
    <w:rsid w:val="00E36ADA"/>
    <w:rsid w:val="00E36D6E"/>
    <w:rsid w:val="00E36F6D"/>
    <w:rsid w:val="00E3710E"/>
    <w:rsid w:val="00E375D2"/>
    <w:rsid w:val="00E4185B"/>
    <w:rsid w:val="00E42127"/>
    <w:rsid w:val="00E432F1"/>
    <w:rsid w:val="00E43438"/>
    <w:rsid w:val="00E43A21"/>
    <w:rsid w:val="00E44082"/>
    <w:rsid w:val="00E445F5"/>
    <w:rsid w:val="00E44604"/>
    <w:rsid w:val="00E45748"/>
    <w:rsid w:val="00E45EA4"/>
    <w:rsid w:val="00E46F55"/>
    <w:rsid w:val="00E4779F"/>
    <w:rsid w:val="00E47C3B"/>
    <w:rsid w:val="00E512B5"/>
    <w:rsid w:val="00E5257E"/>
    <w:rsid w:val="00E532C6"/>
    <w:rsid w:val="00E53752"/>
    <w:rsid w:val="00E53D94"/>
    <w:rsid w:val="00E5409F"/>
    <w:rsid w:val="00E5479F"/>
    <w:rsid w:val="00E5498C"/>
    <w:rsid w:val="00E54DA1"/>
    <w:rsid w:val="00E54E68"/>
    <w:rsid w:val="00E54F3B"/>
    <w:rsid w:val="00E54F59"/>
    <w:rsid w:val="00E55571"/>
    <w:rsid w:val="00E556F1"/>
    <w:rsid w:val="00E55E1F"/>
    <w:rsid w:val="00E5720B"/>
    <w:rsid w:val="00E57C40"/>
    <w:rsid w:val="00E57C9E"/>
    <w:rsid w:val="00E600DF"/>
    <w:rsid w:val="00E607F4"/>
    <w:rsid w:val="00E60CDD"/>
    <w:rsid w:val="00E61460"/>
    <w:rsid w:val="00E617E0"/>
    <w:rsid w:val="00E62425"/>
    <w:rsid w:val="00E62A43"/>
    <w:rsid w:val="00E647F3"/>
    <w:rsid w:val="00E64A59"/>
    <w:rsid w:val="00E6584F"/>
    <w:rsid w:val="00E664EB"/>
    <w:rsid w:val="00E675C5"/>
    <w:rsid w:val="00E67A08"/>
    <w:rsid w:val="00E701CE"/>
    <w:rsid w:val="00E70206"/>
    <w:rsid w:val="00E70587"/>
    <w:rsid w:val="00E70E98"/>
    <w:rsid w:val="00E711E8"/>
    <w:rsid w:val="00E718F8"/>
    <w:rsid w:val="00E71D17"/>
    <w:rsid w:val="00E7234B"/>
    <w:rsid w:val="00E73B0A"/>
    <w:rsid w:val="00E7411D"/>
    <w:rsid w:val="00E75357"/>
    <w:rsid w:val="00E76065"/>
    <w:rsid w:val="00E76221"/>
    <w:rsid w:val="00E76697"/>
    <w:rsid w:val="00E766F0"/>
    <w:rsid w:val="00E76C35"/>
    <w:rsid w:val="00E80406"/>
    <w:rsid w:val="00E8051E"/>
    <w:rsid w:val="00E80BEF"/>
    <w:rsid w:val="00E81270"/>
    <w:rsid w:val="00E8174A"/>
    <w:rsid w:val="00E819C7"/>
    <w:rsid w:val="00E81CD8"/>
    <w:rsid w:val="00E81CEC"/>
    <w:rsid w:val="00E82516"/>
    <w:rsid w:val="00E82C26"/>
    <w:rsid w:val="00E82DA5"/>
    <w:rsid w:val="00E83424"/>
    <w:rsid w:val="00E83E81"/>
    <w:rsid w:val="00E8405F"/>
    <w:rsid w:val="00E84D14"/>
    <w:rsid w:val="00E853F3"/>
    <w:rsid w:val="00E8575A"/>
    <w:rsid w:val="00E85A40"/>
    <w:rsid w:val="00E86C6A"/>
    <w:rsid w:val="00E87068"/>
    <w:rsid w:val="00E87306"/>
    <w:rsid w:val="00E876E0"/>
    <w:rsid w:val="00E90198"/>
    <w:rsid w:val="00E914AB"/>
    <w:rsid w:val="00E914C7"/>
    <w:rsid w:val="00E914D7"/>
    <w:rsid w:val="00E918EA"/>
    <w:rsid w:val="00E93412"/>
    <w:rsid w:val="00E93566"/>
    <w:rsid w:val="00E93C83"/>
    <w:rsid w:val="00E9406D"/>
    <w:rsid w:val="00E9468B"/>
    <w:rsid w:val="00E947FF"/>
    <w:rsid w:val="00E94FDA"/>
    <w:rsid w:val="00E95024"/>
    <w:rsid w:val="00E9583D"/>
    <w:rsid w:val="00E95914"/>
    <w:rsid w:val="00E95BFF"/>
    <w:rsid w:val="00E96EC5"/>
    <w:rsid w:val="00E978B7"/>
    <w:rsid w:val="00E97BDA"/>
    <w:rsid w:val="00EA013D"/>
    <w:rsid w:val="00EA014C"/>
    <w:rsid w:val="00EA08D2"/>
    <w:rsid w:val="00EA0B49"/>
    <w:rsid w:val="00EA0C35"/>
    <w:rsid w:val="00EA29E6"/>
    <w:rsid w:val="00EA3986"/>
    <w:rsid w:val="00EA3D0B"/>
    <w:rsid w:val="00EA49FF"/>
    <w:rsid w:val="00EA4FA3"/>
    <w:rsid w:val="00EA6480"/>
    <w:rsid w:val="00EA6DF1"/>
    <w:rsid w:val="00EA74AF"/>
    <w:rsid w:val="00EA78D0"/>
    <w:rsid w:val="00EA7996"/>
    <w:rsid w:val="00EA7E2F"/>
    <w:rsid w:val="00EB0FA0"/>
    <w:rsid w:val="00EB1588"/>
    <w:rsid w:val="00EB160A"/>
    <w:rsid w:val="00EB1BD8"/>
    <w:rsid w:val="00EB2C37"/>
    <w:rsid w:val="00EB2F4F"/>
    <w:rsid w:val="00EB31F9"/>
    <w:rsid w:val="00EB34BE"/>
    <w:rsid w:val="00EB3767"/>
    <w:rsid w:val="00EB3A90"/>
    <w:rsid w:val="00EB4AC6"/>
    <w:rsid w:val="00EB4CAA"/>
    <w:rsid w:val="00EB4D54"/>
    <w:rsid w:val="00EB53D0"/>
    <w:rsid w:val="00EB5F8F"/>
    <w:rsid w:val="00EB628D"/>
    <w:rsid w:val="00EB647E"/>
    <w:rsid w:val="00EB64F4"/>
    <w:rsid w:val="00EB6B79"/>
    <w:rsid w:val="00EC0049"/>
    <w:rsid w:val="00EC052A"/>
    <w:rsid w:val="00EC081E"/>
    <w:rsid w:val="00EC0AD2"/>
    <w:rsid w:val="00EC0F91"/>
    <w:rsid w:val="00EC12D6"/>
    <w:rsid w:val="00EC1408"/>
    <w:rsid w:val="00EC14DF"/>
    <w:rsid w:val="00EC155A"/>
    <w:rsid w:val="00EC22CA"/>
    <w:rsid w:val="00EC2D61"/>
    <w:rsid w:val="00EC2E2E"/>
    <w:rsid w:val="00EC35F7"/>
    <w:rsid w:val="00EC416D"/>
    <w:rsid w:val="00EC4429"/>
    <w:rsid w:val="00EC5508"/>
    <w:rsid w:val="00EC57DE"/>
    <w:rsid w:val="00EC67F6"/>
    <w:rsid w:val="00EC680D"/>
    <w:rsid w:val="00EC6815"/>
    <w:rsid w:val="00EC6855"/>
    <w:rsid w:val="00EC6ABD"/>
    <w:rsid w:val="00EC6DE6"/>
    <w:rsid w:val="00EC6EEE"/>
    <w:rsid w:val="00EC7A0A"/>
    <w:rsid w:val="00ED024D"/>
    <w:rsid w:val="00ED0E6B"/>
    <w:rsid w:val="00ED103D"/>
    <w:rsid w:val="00ED252D"/>
    <w:rsid w:val="00ED2AD2"/>
    <w:rsid w:val="00ED2C14"/>
    <w:rsid w:val="00ED330A"/>
    <w:rsid w:val="00ED3B1E"/>
    <w:rsid w:val="00ED4357"/>
    <w:rsid w:val="00ED4D62"/>
    <w:rsid w:val="00ED5F15"/>
    <w:rsid w:val="00ED5FDA"/>
    <w:rsid w:val="00ED6BB4"/>
    <w:rsid w:val="00ED7523"/>
    <w:rsid w:val="00ED7588"/>
    <w:rsid w:val="00ED7817"/>
    <w:rsid w:val="00ED7856"/>
    <w:rsid w:val="00ED7C49"/>
    <w:rsid w:val="00ED7CDF"/>
    <w:rsid w:val="00ED7D4B"/>
    <w:rsid w:val="00EE0350"/>
    <w:rsid w:val="00EE0ABC"/>
    <w:rsid w:val="00EE1BF3"/>
    <w:rsid w:val="00EE2254"/>
    <w:rsid w:val="00EE29B4"/>
    <w:rsid w:val="00EE2A58"/>
    <w:rsid w:val="00EE3110"/>
    <w:rsid w:val="00EE3E20"/>
    <w:rsid w:val="00EE3EA4"/>
    <w:rsid w:val="00EE434D"/>
    <w:rsid w:val="00EE47BC"/>
    <w:rsid w:val="00EE4A9D"/>
    <w:rsid w:val="00EE58D1"/>
    <w:rsid w:val="00EE5970"/>
    <w:rsid w:val="00EE5AAA"/>
    <w:rsid w:val="00EE63A9"/>
    <w:rsid w:val="00EE6488"/>
    <w:rsid w:val="00EE6776"/>
    <w:rsid w:val="00EE706B"/>
    <w:rsid w:val="00EE765E"/>
    <w:rsid w:val="00EE7790"/>
    <w:rsid w:val="00EF00F6"/>
    <w:rsid w:val="00EF0CE5"/>
    <w:rsid w:val="00EF0D71"/>
    <w:rsid w:val="00EF1123"/>
    <w:rsid w:val="00EF1328"/>
    <w:rsid w:val="00EF2356"/>
    <w:rsid w:val="00EF2900"/>
    <w:rsid w:val="00EF38A8"/>
    <w:rsid w:val="00EF46EC"/>
    <w:rsid w:val="00EF4AB1"/>
    <w:rsid w:val="00EF56EC"/>
    <w:rsid w:val="00EF5CF2"/>
    <w:rsid w:val="00EF60E5"/>
    <w:rsid w:val="00EF6726"/>
    <w:rsid w:val="00EF7498"/>
    <w:rsid w:val="00F0000D"/>
    <w:rsid w:val="00F00944"/>
    <w:rsid w:val="00F0215F"/>
    <w:rsid w:val="00F021FA"/>
    <w:rsid w:val="00F0245A"/>
    <w:rsid w:val="00F026B1"/>
    <w:rsid w:val="00F026D6"/>
    <w:rsid w:val="00F02BB0"/>
    <w:rsid w:val="00F037D7"/>
    <w:rsid w:val="00F03C5C"/>
    <w:rsid w:val="00F042D1"/>
    <w:rsid w:val="00F05A6B"/>
    <w:rsid w:val="00F05B6B"/>
    <w:rsid w:val="00F0608A"/>
    <w:rsid w:val="00F06E9B"/>
    <w:rsid w:val="00F07698"/>
    <w:rsid w:val="00F07EFA"/>
    <w:rsid w:val="00F10010"/>
    <w:rsid w:val="00F10013"/>
    <w:rsid w:val="00F10F3F"/>
    <w:rsid w:val="00F14B55"/>
    <w:rsid w:val="00F14EAC"/>
    <w:rsid w:val="00F14EED"/>
    <w:rsid w:val="00F152A8"/>
    <w:rsid w:val="00F15963"/>
    <w:rsid w:val="00F15DB2"/>
    <w:rsid w:val="00F15F3D"/>
    <w:rsid w:val="00F1655B"/>
    <w:rsid w:val="00F17320"/>
    <w:rsid w:val="00F17C2F"/>
    <w:rsid w:val="00F17EE4"/>
    <w:rsid w:val="00F17F15"/>
    <w:rsid w:val="00F20204"/>
    <w:rsid w:val="00F20348"/>
    <w:rsid w:val="00F2041A"/>
    <w:rsid w:val="00F2046A"/>
    <w:rsid w:val="00F214C7"/>
    <w:rsid w:val="00F2233E"/>
    <w:rsid w:val="00F2235C"/>
    <w:rsid w:val="00F22397"/>
    <w:rsid w:val="00F225F4"/>
    <w:rsid w:val="00F231E9"/>
    <w:rsid w:val="00F23309"/>
    <w:rsid w:val="00F249E1"/>
    <w:rsid w:val="00F253A7"/>
    <w:rsid w:val="00F2555C"/>
    <w:rsid w:val="00F256A7"/>
    <w:rsid w:val="00F256FC"/>
    <w:rsid w:val="00F26398"/>
    <w:rsid w:val="00F26BF6"/>
    <w:rsid w:val="00F26DC0"/>
    <w:rsid w:val="00F3069C"/>
    <w:rsid w:val="00F310FC"/>
    <w:rsid w:val="00F31496"/>
    <w:rsid w:val="00F32003"/>
    <w:rsid w:val="00F32ECE"/>
    <w:rsid w:val="00F337F8"/>
    <w:rsid w:val="00F33B11"/>
    <w:rsid w:val="00F347F8"/>
    <w:rsid w:val="00F34A3D"/>
    <w:rsid w:val="00F34FD4"/>
    <w:rsid w:val="00F3514B"/>
    <w:rsid w:val="00F3575F"/>
    <w:rsid w:val="00F35921"/>
    <w:rsid w:val="00F36287"/>
    <w:rsid w:val="00F365BA"/>
    <w:rsid w:val="00F370F3"/>
    <w:rsid w:val="00F37494"/>
    <w:rsid w:val="00F375C0"/>
    <w:rsid w:val="00F379D6"/>
    <w:rsid w:val="00F37EE2"/>
    <w:rsid w:val="00F37FB6"/>
    <w:rsid w:val="00F40788"/>
    <w:rsid w:val="00F411EF"/>
    <w:rsid w:val="00F41B40"/>
    <w:rsid w:val="00F41F3B"/>
    <w:rsid w:val="00F42224"/>
    <w:rsid w:val="00F42287"/>
    <w:rsid w:val="00F424B6"/>
    <w:rsid w:val="00F4254E"/>
    <w:rsid w:val="00F425AE"/>
    <w:rsid w:val="00F42CBB"/>
    <w:rsid w:val="00F42CCF"/>
    <w:rsid w:val="00F42F80"/>
    <w:rsid w:val="00F433AB"/>
    <w:rsid w:val="00F43896"/>
    <w:rsid w:val="00F44B00"/>
    <w:rsid w:val="00F44BA6"/>
    <w:rsid w:val="00F4508D"/>
    <w:rsid w:val="00F46419"/>
    <w:rsid w:val="00F467F5"/>
    <w:rsid w:val="00F500CA"/>
    <w:rsid w:val="00F50588"/>
    <w:rsid w:val="00F515D1"/>
    <w:rsid w:val="00F5255C"/>
    <w:rsid w:val="00F525CF"/>
    <w:rsid w:val="00F532C8"/>
    <w:rsid w:val="00F53EE5"/>
    <w:rsid w:val="00F54E5D"/>
    <w:rsid w:val="00F55166"/>
    <w:rsid w:val="00F551DC"/>
    <w:rsid w:val="00F569CC"/>
    <w:rsid w:val="00F56EFE"/>
    <w:rsid w:val="00F57745"/>
    <w:rsid w:val="00F57822"/>
    <w:rsid w:val="00F604E6"/>
    <w:rsid w:val="00F6182C"/>
    <w:rsid w:val="00F61C61"/>
    <w:rsid w:val="00F61C66"/>
    <w:rsid w:val="00F62003"/>
    <w:rsid w:val="00F62102"/>
    <w:rsid w:val="00F62E61"/>
    <w:rsid w:val="00F62E97"/>
    <w:rsid w:val="00F62EC0"/>
    <w:rsid w:val="00F6336F"/>
    <w:rsid w:val="00F63B08"/>
    <w:rsid w:val="00F63C4C"/>
    <w:rsid w:val="00F63EB2"/>
    <w:rsid w:val="00F64209"/>
    <w:rsid w:val="00F64B87"/>
    <w:rsid w:val="00F64E90"/>
    <w:rsid w:val="00F65451"/>
    <w:rsid w:val="00F679AA"/>
    <w:rsid w:val="00F67A88"/>
    <w:rsid w:val="00F703F4"/>
    <w:rsid w:val="00F7047D"/>
    <w:rsid w:val="00F71143"/>
    <w:rsid w:val="00F711BB"/>
    <w:rsid w:val="00F714CC"/>
    <w:rsid w:val="00F72423"/>
    <w:rsid w:val="00F72566"/>
    <w:rsid w:val="00F72BEC"/>
    <w:rsid w:val="00F73986"/>
    <w:rsid w:val="00F73B61"/>
    <w:rsid w:val="00F73C24"/>
    <w:rsid w:val="00F73E36"/>
    <w:rsid w:val="00F741A7"/>
    <w:rsid w:val="00F74299"/>
    <w:rsid w:val="00F749DD"/>
    <w:rsid w:val="00F74B1C"/>
    <w:rsid w:val="00F75309"/>
    <w:rsid w:val="00F757CE"/>
    <w:rsid w:val="00F75D3B"/>
    <w:rsid w:val="00F7637A"/>
    <w:rsid w:val="00F76641"/>
    <w:rsid w:val="00F76727"/>
    <w:rsid w:val="00F76BC8"/>
    <w:rsid w:val="00F774A0"/>
    <w:rsid w:val="00F77A65"/>
    <w:rsid w:val="00F77B25"/>
    <w:rsid w:val="00F80ED5"/>
    <w:rsid w:val="00F81260"/>
    <w:rsid w:val="00F83481"/>
    <w:rsid w:val="00F8348E"/>
    <w:rsid w:val="00F838A2"/>
    <w:rsid w:val="00F839D8"/>
    <w:rsid w:val="00F83E8D"/>
    <w:rsid w:val="00F852AA"/>
    <w:rsid w:val="00F86264"/>
    <w:rsid w:val="00F866F2"/>
    <w:rsid w:val="00F8671B"/>
    <w:rsid w:val="00F86A9D"/>
    <w:rsid w:val="00F86D9A"/>
    <w:rsid w:val="00F870EB"/>
    <w:rsid w:val="00F875C4"/>
    <w:rsid w:val="00F8770A"/>
    <w:rsid w:val="00F90234"/>
    <w:rsid w:val="00F914A5"/>
    <w:rsid w:val="00F91A4B"/>
    <w:rsid w:val="00F91B41"/>
    <w:rsid w:val="00F92A81"/>
    <w:rsid w:val="00F93BF5"/>
    <w:rsid w:val="00F93CC4"/>
    <w:rsid w:val="00F94645"/>
    <w:rsid w:val="00F9553E"/>
    <w:rsid w:val="00F958FD"/>
    <w:rsid w:val="00F96253"/>
    <w:rsid w:val="00F96651"/>
    <w:rsid w:val="00F96A71"/>
    <w:rsid w:val="00F96C15"/>
    <w:rsid w:val="00FA0599"/>
    <w:rsid w:val="00FA09AC"/>
    <w:rsid w:val="00FA0C3A"/>
    <w:rsid w:val="00FA0D3D"/>
    <w:rsid w:val="00FA10DA"/>
    <w:rsid w:val="00FA131D"/>
    <w:rsid w:val="00FA14A9"/>
    <w:rsid w:val="00FA180B"/>
    <w:rsid w:val="00FA20B2"/>
    <w:rsid w:val="00FA2861"/>
    <w:rsid w:val="00FA2F01"/>
    <w:rsid w:val="00FA3548"/>
    <w:rsid w:val="00FA35A5"/>
    <w:rsid w:val="00FA4356"/>
    <w:rsid w:val="00FA484B"/>
    <w:rsid w:val="00FA4CEB"/>
    <w:rsid w:val="00FA51EA"/>
    <w:rsid w:val="00FA6D25"/>
    <w:rsid w:val="00FA712B"/>
    <w:rsid w:val="00FA7531"/>
    <w:rsid w:val="00FA7B6D"/>
    <w:rsid w:val="00FB0141"/>
    <w:rsid w:val="00FB05B7"/>
    <w:rsid w:val="00FB07F2"/>
    <w:rsid w:val="00FB0AF0"/>
    <w:rsid w:val="00FB119E"/>
    <w:rsid w:val="00FB11C0"/>
    <w:rsid w:val="00FB11FA"/>
    <w:rsid w:val="00FB1EC7"/>
    <w:rsid w:val="00FB26AA"/>
    <w:rsid w:val="00FB2B9B"/>
    <w:rsid w:val="00FB3644"/>
    <w:rsid w:val="00FB4351"/>
    <w:rsid w:val="00FB4D9B"/>
    <w:rsid w:val="00FB5256"/>
    <w:rsid w:val="00FB5CCD"/>
    <w:rsid w:val="00FB6462"/>
    <w:rsid w:val="00FB68B1"/>
    <w:rsid w:val="00FB6A49"/>
    <w:rsid w:val="00FC050D"/>
    <w:rsid w:val="00FC08A9"/>
    <w:rsid w:val="00FC08D9"/>
    <w:rsid w:val="00FC16CB"/>
    <w:rsid w:val="00FC2521"/>
    <w:rsid w:val="00FC289F"/>
    <w:rsid w:val="00FC2920"/>
    <w:rsid w:val="00FC2D97"/>
    <w:rsid w:val="00FC2E17"/>
    <w:rsid w:val="00FC3941"/>
    <w:rsid w:val="00FC3D99"/>
    <w:rsid w:val="00FC416D"/>
    <w:rsid w:val="00FC4B9A"/>
    <w:rsid w:val="00FC509C"/>
    <w:rsid w:val="00FC541A"/>
    <w:rsid w:val="00FC54AA"/>
    <w:rsid w:val="00FC5676"/>
    <w:rsid w:val="00FC5789"/>
    <w:rsid w:val="00FC5935"/>
    <w:rsid w:val="00FC6240"/>
    <w:rsid w:val="00FC6251"/>
    <w:rsid w:val="00FC7788"/>
    <w:rsid w:val="00FC77E3"/>
    <w:rsid w:val="00FC7A88"/>
    <w:rsid w:val="00FD0CDE"/>
    <w:rsid w:val="00FD0CE3"/>
    <w:rsid w:val="00FD1923"/>
    <w:rsid w:val="00FD327F"/>
    <w:rsid w:val="00FD3394"/>
    <w:rsid w:val="00FD4620"/>
    <w:rsid w:val="00FD48D1"/>
    <w:rsid w:val="00FD4A8E"/>
    <w:rsid w:val="00FD4B5C"/>
    <w:rsid w:val="00FD5DCD"/>
    <w:rsid w:val="00FD6148"/>
    <w:rsid w:val="00FD656C"/>
    <w:rsid w:val="00FD6720"/>
    <w:rsid w:val="00FD6FDA"/>
    <w:rsid w:val="00FD730E"/>
    <w:rsid w:val="00FD75F3"/>
    <w:rsid w:val="00FD76D9"/>
    <w:rsid w:val="00FD7D07"/>
    <w:rsid w:val="00FE02EF"/>
    <w:rsid w:val="00FE0C06"/>
    <w:rsid w:val="00FE0E0B"/>
    <w:rsid w:val="00FE11C3"/>
    <w:rsid w:val="00FE1A4D"/>
    <w:rsid w:val="00FE1AC5"/>
    <w:rsid w:val="00FE1C92"/>
    <w:rsid w:val="00FE2775"/>
    <w:rsid w:val="00FE3B62"/>
    <w:rsid w:val="00FE3DD4"/>
    <w:rsid w:val="00FE4770"/>
    <w:rsid w:val="00FE4AA6"/>
    <w:rsid w:val="00FE541F"/>
    <w:rsid w:val="00FE5594"/>
    <w:rsid w:val="00FE5F32"/>
    <w:rsid w:val="00FE6185"/>
    <w:rsid w:val="00FE6553"/>
    <w:rsid w:val="00FE713F"/>
    <w:rsid w:val="00FE7F7B"/>
    <w:rsid w:val="00FF0498"/>
    <w:rsid w:val="00FF0BD0"/>
    <w:rsid w:val="00FF0D44"/>
    <w:rsid w:val="00FF1633"/>
    <w:rsid w:val="00FF21C7"/>
    <w:rsid w:val="00FF2A1F"/>
    <w:rsid w:val="00FF30FF"/>
    <w:rsid w:val="00FF36D0"/>
    <w:rsid w:val="00FF4129"/>
    <w:rsid w:val="00FF4377"/>
    <w:rsid w:val="00FF4AED"/>
    <w:rsid w:val="00FF4EB8"/>
    <w:rsid w:val="00FF51BA"/>
    <w:rsid w:val="00FF5264"/>
    <w:rsid w:val="00FF5270"/>
    <w:rsid w:val="00FF6B09"/>
    <w:rsid w:val="00FF6BFD"/>
    <w:rsid w:val="00FF70C7"/>
    <w:rsid w:val="00FF74FC"/>
    <w:rsid w:val="00FF755F"/>
    <w:rsid w:val="00FF7AC5"/>
    <w:rsid w:val="00FF7CAD"/>
    <w:rsid w:val="0103ED49"/>
    <w:rsid w:val="08280518"/>
    <w:rsid w:val="15150567"/>
    <w:rsid w:val="20BD4263"/>
    <w:rsid w:val="229CB1D6"/>
    <w:rsid w:val="388751D0"/>
    <w:rsid w:val="486BA88C"/>
    <w:rsid w:val="4A1120C1"/>
    <w:rsid w:val="57B6AC44"/>
    <w:rsid w:val="5AD31EE7"/>
    <w:rsid w:val="5F64BBD8"/>
    <w:rsid w:val="63B748D3"/>
    <w:rsid w:val="756C92A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7C1A824"/>
  <w15:chartTrackingRefBased/>
  <w15:docId w15:val="{BBCED021-D696-4C15-8DE4-57468D76A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footer" w:uiPriority="99"/>
    <w:lsdException w:name="caption" w:semiHidden="1" w:unhideWhenUsed="1" w:qFormat="1"/>
    <w:lsdException w:name="footnote reference" w:qFormat="1"/>
    <w:lsdException w:name="Title" w:qFormat="1"/>
    <w:lsdException w:name="Subtitle" w:qFormat="1"/>
    <w:lsdException w:name="Hyperlink" w:uiPriority="2"/>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19C9"/>
    <w:pPr>
      <w:widowControl w:val="0"/>
    </w:pPr>
    <w:rPr>
      <w:snapToGrid w:val="0"/>
      <w:kern w:val="28"/>
      <w:sz w:val="22"/>
    </w:rPr>
  </w:style>
  <w:style w:type="paragraph" w:styleId="Heading1">
    <w:name w:val="heading 1"/>
    <w:aliases w:val="Heading 1 Char Char Char,Heading 1 Char Char Char Char Char Char,Heading 1 Char Char1,Heading 1 Char Char1 Char,Heading 1 Char Char2,Heading 1 Char1 Char,Heading 1 Char1 Char Char Char2 Char,Heading 1 Char2,Heading 1 Char2 Char Char1 Char"/>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aliases w:val="Heading 2 Char Char1,Heading 2 Char Char1 Char Char,Heading 2 Char Char2,Heading 2 Char Char3 Char,Heading 2 Char1 Char,Heading 2 Char1 Char Char,Heading 2 Char1 Char Char Char,Heading 2 Char2,Heading 2 Char4,UNDERRUBRIK 1-2 Char,h2 Char"/>
    <w:basedOn w:val="Normal"/>
    <w:next w:val="ParaNum"/>
    <w:autoRedefine/>
    <w:qFormat/>
    <w:rsid w:val="007A1E6D"/>
    <w:pPr>
      <w:keepNext/>
      <w:numPr>
        <w:ilvl w:val="1"/>
        <w:numId w:val="3"/>
      </w:numPr>
      <w:spacing w:after="120"/>
      <w:outlineLvl w:val="1"/>
    </w:pPr>
    <w:rPr>
      <w:b/>
    </w:rPr>
  </w:style>
  <w:style w:type="paragraph" w:styleId="Heading3">
    <w:name w:val="heading 3"/>
    <w:aliases w:val="1,1 Char,3,3 Char,31,31 Char,?? 3,?? 3 Char,Heading 3 Char Char Char Char,Heading 3 Char Char Char Char Char,Heading 3 Char1,Heading 3 Char1 Char Char,Heading 3 Char2 Char1 Char Char,Heading 3 Char3,Titre 3,Titre 3 Char,Titre 31,Titre 31 Char"/>
    <w:basedOn w:val="Normal"/>
    <w:next w:val="ParaNum"/>
    <w:qFormat/>
    <w:rsid w:val="00BA6196"/>
    <w:pPr>
      <w:keepNext/>
      <w:numPr>
        <w:ilvl w:val="2"/>
        <w:numId w:val="3"/>
      </w:numPr>
      <w:tabs>
        <w:tab w:val="left" w:pos="2160"/>
      </w:tabs>
      <w:spacing w:after="120"/>
      <w:outlineLvl w:val="2"/>
    </w:pPr>
    <w:rPr>
      <w:b/>
    </w:rPr>
  </w:style>
  <w:style w:type="paragraph" w:styleId="Heading4">
    <w:name w:val="heading 4"/>
    <w:aliases w:val="Heading 4 Char Char Char Char Char Char1,Heading 4 Char Char Char1 Char Char1,Heading 4 Char Char1 Char Char1,Heading 4 Char1 Char,Heading 4 Char1 Char Char Char Char1,Heading 4 Char1 Char1 Char Char1,Heading 4 Char2,Heading 4 Char2 Char Char1"/>
    <w:basedOn w:val="Normal"/>
    <w:next w:val="ParaNum"/>
    <w:qFormat/>
    <w:rsid w:val="00C426B1"/>
    <w:pPr>
      <w:keepNext/>
      <w:numPr>
        <w:ilvl w:val="3"/>
        <w:numId w:val="3"/>
      </w:numPr>
      <w:tabs>
        <w:tab w:val="left" w:pos="2880"/>
      </w:tabs>
      <w:spacing w:after="120"/>
      <w:outlineLvl w:val="3"/>
    </w:pPr>
    <w:rPr>
      <w:b/>
    </w:rPr>
  </w:style>
  <w:style w:type="paragraph" w:styleId="Heading5">
    <w:name w:val="heading 5"/>
    <w:aliases w:val="Heading 5 Char Char Char Char Char,Heading 5 Char Char Char Char1,Heading 5 Char Char Char1,Heading 5 Char Char1 Char,Heading 5 Char Char2,Heading 5 Char1 Char Char Char,Heading 5 Char1 Char Char1,Heading 5 Char1 Char1,Heading 5 Char2"/>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aliases w:val="Heading 6 Char Char,Heading 6 Char Char Char,Heading 6 Char Char1,Heading 6 Char1,Heading 6 Char1 Char,Heading 6 Char2,h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aliases w:val="9,Heading 9.table,Titre 9,Topic,t,table"/>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
    <w:qFormat/>
    <w:rsid w:val="00E07225"/>
    <w:pPr>
      <w:numPr>
        <w:numId w:val="2"/>
      </w:numPr>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Footnote Text Char Char Char1 Char Char Char,Footnote Text Char Char Char2 Char Char,Footnote Text Char1 Char1 Char Char Char,Footnote Text Char2 Char,Footnote Text Char2 Char Char Char,Footnote Text Char3 Char Char,f,fn,ALTS FOOTNOTE"/>
    <w:link w:val="FootnoteTextChar"/>
    <w:qFormat/>
    <w:rsid w:val="000E3D42"/>
    <w:pPr>
      <w:spacing w:after="120"/>
    </w:p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qFormat/>
    <w:rsid w:val="00A32C3B"/>
    <w:rPr>
      <w:rFonts w:ascii="Times New Roman" w:hAnsi="Times New Roman"/>
      <w:dstrike w:val="0"/>
      <w:color w:val="auto"/>
      <w:sz w:val="20"/>
      <w:vertAlign w:val="superscript"/>
    </w:rPr>
  </w:style>
  <w:style w:type="paragraph" w:styleId="TOC1">
    <w:name w:val="toc 1"/>
    <w:basedOn w:val="Normal"/>
    <w:next w:val="Normal"/>
    <w:semiHidden/>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uiPriority w:val="99"/>
  </w:style>
  <w:style w:type="paragraph" w:styleId="Header">
    <w:name w:val="header"/>
    <w:basedOn w:val="Normal"/>
    <w:link w:val="HeaderChar"/>
    <w:autoRedefine/>
    <w:uiPriority w:val="99"/>
    <w:rsid w:val="00A25E5B"/>
    <w:pPr>
      <w:tabs>
        <w:tab w:val="center" w:pos="4680"/>
        <w:tab w:val="right" w:pos="9360"/>
      </w:tabs>
      <w:jc w:val="center"/>
    </w:pPr>
    <w:rPr>
      <w:b/>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uiPriority w:val="2"/>
    <w:rsid w:val="002A2D2E"/>
    <w:rPr>
      <w:color w:val="0000FF"/>
      <w:u w:val="single"/>
    </w:rPr>
  </w:style>
  <w:style w:type="character" w:customStyle="1" w:styleId="FooterChar">
    <w:name w:val="Footer Char"/>
    <w:link w:val="Footer"/>
    <w:uiPriority w:val="99"/>
    <w:rsid w:val="009D7308"/>
    <w:rPr>
      <w:snapToGrid w:val="0"/>
      <w:kern w:val="28"/>
      <w:sz w:val="22"/>
    </w:rPr>
  </w:style>
  <w:style w:type="character" w:customStyle="1" w:styleId="FootnoteTextChar">
    <w:name w:val="Footnote Text Char"/>
    <w:aliases w:val="Footnote Text Char Char Char1 Char Char Char Char,Footnote Text Char Char Char2 Char Char Char,Footnote Text Char1 Char1 Char Char Char Char,Footnote Text Char2 Char Char,Footnote Text Char2 Char Char Char Char,f Char,fn Char"/>
    <w:link w:val="FootnoteText"/>
    <w:rsid w:val="002719C9"/>
  </w:style>
  <w:style w:type="character" w:customStyle="1" w:styleId="ParaNumChar">
    <w:name w:val="ParaNum Char"/>
    <w:link w:val="ParaNum"/>
    <w:locked/>
    <w:rsid w:val="002719C9"/>
    <w:rPr>
      <w:snapToGrid w:val="0"/>
      <w:kern w:val="28"/>
      <w:sz w:val="22"/>
    </w:rPr>
  </w:style>
  <w:style w:type="table" w:styleId="TableGrid">
    <w:name w:val="Table Grid"/>
    <w:basedOn w:val="TableNormal"/>
    <w:rsid w:val="002719C9"/>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2719C9"/>
    <w:rPr>
      <w:color w:val="605E5C"/>
      <w:shd w:val="clear" w:color="auto" w:fill="E1DFDD"/>
    </w:rPr>
  </w:style>
  <w:style w:type="character" w:styleId="CommentReference">
    <w:name w:val="annotation reference"/>
    <w:unhideWhenUsed/>
    <w:rsid w:val="002719C9"/>
    <w:rPr>
      <w:sz w:val="16"/>
      <w:szCs w:val="16"/>
    </w:rPr>
  </w:style>
  <w:style w:type="paragraph" w:styleId="CommentText">
    <w:name w:val="annotation text"/>
    <w:basedOn w:val="Normal"/>
    <w:link w:val="CommentTextChar"/>
    <w:unhideWhenUsed/>
    <w:rsid w:val="002719C9"/>
    <w:rPr>
      <w:sz w:val="20"/>
    </w:rPr>
  </w:style>
  <w:style w:type="character" w:customStyle="1" w:styleId="CommentTextChar">
    <w:name w:val="Comment Text Char"/>
    <w:link w:val="CommentText"/>
    <w:rsid w:val="002719C9"/>
    <w:rPr>
      <w:snapToGrid w:val="0"/>
      <w:kern w:val="28"/>
    </w:rPr>
  </w:style>
  <w:style w:type="character" w:styleId="Mention">
    <w:name w:val="Mention"/>
    <w:uiPriority w:val="99"/>
    <w:unhideWhenUsed/>
    <w:rsid w:val="002719C9"/>
    <w:rPr>
      <w:color w:val="2B579A"/>
      <w:shd w:val="clear" w:color="auto" w:fill="E1DFDD"/>
    </w:rPr>
  </w:style>
  <w:style w:type="paragraph" w:styleId="CommentSubject">
    <w:name w:val="annotation subject"/>
    <w:basedOn w:val="CommentText"/>
    <w:next w:val="CommentText"/>
    <w:link w:val="CommentSubjectChar"/>
    <w:rsid w:val="002719C9"/>
    <w:rPr>
      <w:b/>
      <w:bCs/>
    </w:rPr>
  </w:style>
  <w:style w:type="character" w:customStyle="1" w:styleId="CommentSubjectChar">
    <w:name w:val="Comment Subject Char"/>
    <w:link w:val="CommentSubject"/>
    <w:rsid w:val="002719C9"/>
    <w:rPr>
      <w:b/>
      <w:bCs/>
      <w:snapToGrid w:val="0"/>
      <w:kern w:val="28"/>
    </w:rPr>
  </w:style>
  <w:style w:type="paragraph" w:styleId="Revision">
    <w:name w:val="Revision"/>
    <w:hidden/>
    <w:uiPriority w:val="99"/>
    <w:semiHidden/>
    <w:rsid w:val="002719C9"/>
    <w:rPr>
      <w:snapToGrid w:val="0"/>
      <w:kern w:val="28"/>
      <w:sz w:val="22"/>
    </w:rPr>
  </w:style>
  <w:style w:type="character" w:styleId="Emphasis">
    <w:name w:val="Emphasis"/>
    <w:uiPriority w:val="20"/>
    <w:qFormat/>
    <w:rsid w:val="002719C9"/>
    <w:rPr>
      <w:i/>
      <w:iCs/>
    </w:rPr>
  </w:style>
  <w:style w:type="character" w:styleId="FollowedHyperlink">
    <w:name w:val="FollowedHyperlink"/>
    <w:rsid w:val="002719C9"/>
    <w:rPr>
      <w:color w:val="96607D"/>
      <w:u w:val="single"/>
    </w:rPr>
  </w:style>
  <w:style w:type="paragraph" w:styleId="ListParagraph">
    <w:name w:val="List Paragraph"/>
    <w:basedOn w:val="Normal"/>
    <w:uiPriority w:val="34"/>
    <w:qFormat/>
    <w:rsid w:val="00B50489"/>
    <w:pPr>
      <w:ind w:left="720"/>
      <w:contextualSpacing/>
    </w:pPr>
  </w:style>
  <w:style w:type="character" w:customStyle="1" w:styleId="HeaderChar">
    <w:name w:val="Header Char"/>
    <w:basedOn w:val="DefaultParagraphFont"/>
    <w:link w:val="Header"/>
    <w:uiPriority w:val="99"/>
    <w:rsid w:val="00A25E5B"/>
    <w:rPr>
      <w:b/>
      <w:snapToGrid w:val="0"/>
      <w:kern w:val="28"/>
      <w:sz w:val="22"/>
    </w:rPr>
  </w:style>
  <w:style w:type="character" w:customStyle="1" w:styleId="markedcontent">
    <w:name w:val="markedcontent"/>
    <w:basedOn w:val="DefaultParagraphFont"/>
    <w:rsid w:val="00497F96"/>
  </w:style>
  <w:style w:type="paragraph" w:customStyle="1" w:styleId="AppendixParaNum">
    <w:name w:val="Appendix ParaNum"/>
    <w:basedOn w:val="ParaNum"/>
    <w:uiPriority w:val="3"/>
    <w:semiHidden/>
    <w:rsid w:val="00B92973"/>
    <w:pPr>
      <w:numPr>
        <w:ilvl w:val="6"/>
        <w:numId w:val="38"/>
      </w:numPr>
      <w:ind w:left="0" w:firstLine="720"/>
    </w:pPr>
    <w:rPr>
      <w:rFonts w:eastAsiaTheme="minorHAnsi"/>
      <w:snapToGrid/>
      <w:kern w:val="2"/>
    </w:rPr>
  </w:style>
  <w:style w:type="paragraph" w:customStyle="1" w:styleId="ParaNumLevel2">
    <w:name w:val="ParaNum Level 2"/>
    <w:basedOn w:val="ParaNum"/>
    <w:uiPriority w:val="2"/>
    <w:semiHidden/>
    <w:qFormat/>
    <w:rsid w:val="00B92973"/>
    <w:pPr>
      <w:widowControl/>
      <w:numPr>
        <w:numId w:val="0"/>
      </w:numPr>
      <w:ind w:left="1800" w:hanging="360"/>
    </w:pPr>
    <w:rPr>
      <w:rFonts w:eastAsiaTheme="minorHAnsi"/>
      <w:snapToGrid/>
      <w:kern w:val="2"/>
    </w:rPr>
  </w:style>
  <w:style w:type="paragraph" w:customStyle="1" w:styleId="ParaNumLevel3">
    <w:name w:val="ParaNum Level 3"/>
    <w:basedOn w:val="ParaNum"/>
    <w:uiPriority w:val="97"/>
    <w:rsid w:val="00B92973"/>
    <w:pPr>
      <w:widowControl/>
      <w:numPr>
        <w:numId w:val="0"/>
      </w:numPr>
      <w:ind w:left="2160" w:hanging="360"/>
    </w:pPr>
    <w:rPr>
      <w:rFonts w:eastAsiaTheme="minorHAnsi"/>
      <w:snapToGrid/>
      <w:kern w:val="2"/>
    </w:rPr>
  </w:style>
  <w:style w:type="paragraph" w:customStyle="1" w:styleId="ParaNumLevel4">
    <w:name w:val="ParaNum Level 4"/>
    <w:basedOn w:val="ParaNum"/>
    <w:uiPriority w:val="97"/>
    <w:rsid w:val="00B92973"/>
    <w:pPr>
      <w:widowControl/>
      <w:numPr>
        <w:numId w:val="0"/>
      </w:numPr>
      <w:ind w:left="2520" w:hanging="360"/>
    </w:pPr>
    <w:rPr>
      <w:rFonts w:eastAsiaTheme="minorHAnsi"/>
      <w:snapToGrid/>
      <w:kern w:val="2"/>
    </w:rPr>
  </w:style>
  <w:style w:type="paragraph" w:customStyle="1" w:styleId="ParaNumLevel5">
    <w:name w:val="ParaNum Level 5"/>
    <w:basedOn w:val="ParaNum"/>
    <w:uiPriority w:val="97"/>
    <w:rsid w:val="00B92973"/>
    <w:pPr>
      <w:widowControl/>
      <w:numPr>
        <w:numId w:val="0"/>
      </w:numPr>
      <w:ind w:left="2880" w:hanging="360"/>
    </w:pPr>
    <w:rPr>
      <w:rFonts w:eastAsiaTheme="minorHAnsi"/>
      <w:snapToGrid/>
      <w:kern w:val="2"/>
    </w:rPr>
  </w:style>
  <w:style w:type="paragraph" w:customStyle="1" w:styleId="ParaNumLevel6">
    <w:name w:val="ParaNum Level 6"/>
    <w:basedOn w:val="ParaNum"/>
    <w:uiPriority w:val="97"/>
    <w:rsid w:val="00B92973"/>
    <w:pPr>
      <w:widowControl/>
      <w:numPr>
        <w:numId w:val="0"/>
      </w:numPr>
      <w:ind w:left="3240" w:hanging="360"/>
    </w:pPr>
    <w:rPr>
      <w:rFonts w:eastAsiaTheme="minorHAnsi"/>
      <w:snapToGrid/>
      <w:kern w:val="2"/>
    </w:rPr>
  </w:style>
  <w:style w:type="paragraph" w:customStyle="1" w:styleId="ParaNumLevel7">
    <w:name w:val="ParaNum Level 7"/>
    <w:basedOn w:val="ParaNum"/>
    <w:uiPriority w:val="97"/>
    <w:rsid w:val="00B92973"/>
    <w:pPr>
      <w:widowControl/>
      <w:numPr>
        <w:numId w:val="0"/>
      </w:numPr>
      <w:ind w:left="3600" w:hanging="360"/>
    </w:pPr>
    <w:rPr>
      <w:rFonts w:eastAsiaTheme="minorHAnsi"/>
      <w:snapToGrid/>
      <w:kern w:val="2"/>
    </w:rPr>
  </w:style>
  <w:style w:type="paragraph" w:customStyle="1" w:styleId="ParaNumLevel8">
    <w:name w:val="ParaNum Level 8"/>
    <w:basedOn w:val="ParaNum"/>
    <w:uiPriority w:val="97"/>
    <w:rsid w:val="00B92973"/>
    <w:pPr>
      <w:widowControl/>
      <w:numPr>
        <w:numId w:val="0"/>
      </w:numPr>
      <w:tabs>
        <w:tab w:val="num" w:pos="7200"/>
      </w:tabs>
      <w:ind w:left="3960" w:hanging="360"/>
    </w:pPr>
    <w:rPr>
      <w:rFonts w:eastAsiaTheme="minorHAnsi"/>
      <w:snapToGrid/>
      <w:kern w:val="2"/>
    </w:rPr>
  </w:style>
  <w:style w:type="paragraph" w:customStyle="1" w:styleId="ParaNumLevel9">
    <w:name w:val="ParaNum Level 9"/>
    <w:basedOn w:val="ParaNum"/>
    <w:uiPriority w:val="97"/>
    <w:rsid w:val="00B92973"/>
    <w:pPr>
      <w:widowControl/>
      <w:numPr>
        <w:numId w:val="0"/>
      </w:numPr>
      <w:ind w:left="4320" w:hanging="360"/>
    </w:pPr>
    <w:rPr>
      <w:rFonts w:eastAsiaTheme="minorHAnsi"/>
      <w:snapToGrid/>
      <w:kern w:val="2"/>
    </w:rPr>
  </w:style>
  <w:style w:type="numbering" w:customStyle="1" w:styleId="PNOrderedList">
    <w:name w:val="PN Ordered List"/>
    <w:uiPriority w:val="99"/>
    <w:rsid w:val="00B92973"/>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footnotes.xml.rels><?xml version="1.0" encoding="utf-8" standalone="yes"?><Relationships xmlns="http://schemas.openxmlformats.org/package/2006/relationships"><Relationship Id="rId1" Type="http://schemas.openxmlformats.org/officeDocument/2006/relationships/hyperlink" Target="https://www.spectrum.com/internet" TargetMode="External" /><Relationship Id="rId2" Type="http://schemas.openxmlformats.org/officeDocument/2006/relationships/hyperlink" Target="https://broadbandnow.com/internet-providers-with-data-caps" TargetMode="External" /><Relationship Id="rId3" Type="http://schemas.openxmlformats.org/officeDocument/2006/relationships/hyperlink" Target="https://insights.opensignal.com/2024/06/06/5g-fixed-wireless-access-fwa-success-in-the-us-a-roadmap-for-broadband-success-elsewhere" TargetMode="External" /><Relationship Id="rId4" Type="http://schemas.openxmlformats.org/officeDocument/2006/relationships/hyperlink" Target="https://www.ookla.com/articles/starlink-us-performance-2025" TargetMode="External" /><Relationship Id="rId5" Type="http://schemas.openxmlformats.org/officeDocument/2006/relationships/hyperlink" Target="https://docs.fcc.gov/public/attachments/DOC-418459A1.pdf" TargetMode="External" /><Relationship Id="rId6" Type="http://schemas.openxmlformats.org/officeDocument/2006/relationships/hyperlink" Target="https://help.bdc.fcc.gov/hc/en-us/articles/%2016842264428059-About-the-Fabric-What-a-Broadband-Serviceable-Location-BSL-Is-and-Is-Not"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20TOC%20by%20Paragraph.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Orders TOC by Paragraph</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