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E5884" w:rsidRPr="00276134" w:rsidP="00C82B6B" w14:paraId="5EB8F8F5" w14:textId="77777777">
      <w:pPr>
        <w:jc w:val="right"/>
        <w:rPr>
          <w:rFonts w:ascii="Times New Roman" w:hAnsi="Times New Roman" w:cs="Times New Roman"/>
        </w:rPr>
      </w:pPr>
    </w:p>
    <w:p w:rsidR="00013A8B" w:rsidRPr="00EE4B9C" w:rsidP="00013A8B" w14:paraId="7933BB46" w14:textId="3FE89A2C">
      <w:pPr>
        <w:jc w:val="right"/>
        <w:rPr>
          <w:rFonts w:ascii="Times New Roman" w:hAnsi="Times New Roman" w:cs="Times New Roman"/>
          <w:b/>
        </w:rPr>
      </w:pPr>
      <w:r w:rsidRPr="00EE4B9C">
        <w:rPr>
          <w:rFonts w:ascii="Times New Roman" w:hAnsi="Times New Roman" w:cs="Times New Roman"/>
          <w:b/>
        </w:rPr>
        <w:t>DA</w:t>
      </w:r>
      <w:r w:rsidR="00CD01E3">
        <w:rPr>
          <w:rFonts w:ascii="Times New Roman" w:hAnsi="Times New Roman" w:cs="Times New Roman"/>
          <w:b/>
        </w:rPr>
        <w:t xml:space="preserve"> 26-235</w:t>
      </w:r>
    </w:p>
    <w:p w:rsidR="00013A8B" w:rsidRPr="00EE4B9C" w:rsidP="00013A8B" w14:paraId="50A45853" w14:textId="137A6211">
      <w:pPr>
        <w:spacing w:before="60"/>
        <w:jc w:val="right"/>
        <w:rPr>
          <w:rFonts w:ascii="Times New Roman" w:hAnsi="Times New Roman" w:cs="Times New Roman"/>
          <w:b/>
        </w:rPr>
      </w:pPr>
      <w:r w:rsidRPr="00EE4B9C">
        <w:rPr>
          <w:rFonts w:ascii="Times New Roman" w:hAnsi="Times New Roman" w:cs="Times New Roman"/>
          <w:b/>
        </w:rPr>
        <w:t xml:space="preserve">Released:  </w:t>
      </w:r>
      <w:r w:rsidR="00091A6D">
        <w:rPr>
          <w:rFonts w:ascii="Times New Roman" w:hAnsi="Times New Roman" w:cs="Times New Roman"/>
          <w:b/>
        </w:rPr>
        <w:t>March</w:t>
      </w:r>
      <w:r w:rsidRPr="007E271D" w:rsidR="00EE4B9C">
        <w:rPr>
          <w:rFonts w:ascii="Times New Roman" w:hAnsi="Times New Roman" w:cs="Times New Roman"/>
          <w:b/>
        </w:rPr>
        <w:t xml:space="preserve"> 1</w:t>
      </w:r>
      <w:r w:rsidR="000B406A">
        <w:rPr>
          <w:rFonts w:ascii="Times New Roman" w:hAnsi="Times New Roman" w:cs="Times New Roman"/>
          <w:b/>
        </w:rPr>
        <w:t>2</w:t>
      </w:r>
      <w:r w:rsidRPr="007E271D" w:rsidR="005D3327">
        <w:rPr>
          <w:rFonts w:ascii="Times New Roman" w:hAnsi="Times New Roman" w:cs="Times New Roman"/>
          <w:b/>
        </w:rPr>
        <w:t>, 20</w:t>
      </w:r>
      <w:r w:rsidRPr="007E271D" w:rsidR="003F72FD">
        <w:rPr>
          <w:rFonts w:ascii="Times New Roman" w:hAnsi="Times New Roman" w:cs="Times New Roman"/>
          <w:b/>
        </w:rPr>
        <w:t>2</w:t>
      </w:r>
      <w:r w:rsidR="003C6F97">
        <w:rPr>
          <w:rFonts w:ascii="Times New Roman" w:hAnsi="Times New Roman" w:cs="Times New Roman"/>
          <w:b/>
        </w:rPr>
        <w:t>6</w:t>
      </w:r>
    </w:p>
    <w:p w:rsidR="00013A8B" w:rsidRPr="00EE4B9C" w:rsidP="00013A8B" w14:paraId="4BDD5792" w14:textId="77777777">
      <w:pPr>
        <w:jc w:val="right"/>
        <w:rPr>
          <w:rFonts w:ascii="Times New Roman" w:hAnsi="Times New Roman" w:cs="Times New Roman"/>
        </w:rPr>
      </w:pPr>
    </w:p>
    <w:p w:rsidR="00013A8B" w:rsidRPr="00EE4B9C" w:rsidP="00DE7EB7" w14:paraId="057559B4" w14:textId="77777777">
      <w:pPr>
        <w:spacing w:after="240"/>
        <w:ind w:left="720" w:right="720"/>
        <w:jc w:val="center"/>
        <w:rPr>
          <w:rFonts w:ascii="Times New Roman" w:hAnsi="Times New Roman" w:cs="Times New Roman"/>
          <w:b/>
          <w:caps/>
        </w:rPr>
      </w:pPr>
      <w:r w:rsidRPr="00EE4B9C">
        <w:rPr>
          <w:rFonts w:ascii="Times New Roman" w:hAnsi="Times New Roman" w:cs="Times New Roman"/>
          <w:b/>
          <w:caps/>
        </w:rPr>
        <w:t xml:space="preserve">Media Bureau </w:t>
      </w:r>
      <w:r w:rsidRPr="00EE4B9C" w:rsidR="003F270D">
        <w:rPr>
          <w:rFonts w:ascii="Times New Roman" w:hAnsi="Times New Roman" w:cs="Times New Roman"/>
          <w:b/>
          <w:caps/>
        </w:rPr>
        <w:t xml:space="preserve">Reminds </w:t>
      </w:r>
      <w:r w:rsidRPr="00EE4B9C" w:rsidR="00CB5DC9">
        <w:rPr>
          <w:rFonts w:ascii="Times New Roman" w:hAnsi="Times New Roman" w:cs="Times New Roman"/>
          <w:b/>
          <w:caps/>
        </w:rPr>
        <w:t>United states-based foreign media outlets</w:t>
      </w:r>
      <w:r w:rsidRPr="00EE4B9C" w:rsidR="003F270D">
        <w:rPr>
          <w:rFonts w:ascii="Times New Roman" w:hAnsi="Times New Roman" w:cs="Times New Roman"/>
          <w:b/>
          <w:caps/>
        </w:rPr>
        <w:t xml:space="preserve"> of next Semi-Annual DISCLOSURE DEADLINE</w:t>
      </w:r>
      <w:r w:rsidRPr="00EE4B9C" w:rsidR="00DE2B65">
        <w:rPr>
          <w:rFonts w:ascii="Times New Roman" w:hAnsi="Times New Roman" w:cs="Times New Roman"/>
          <w:b/>
          <w:caps/>
        </w:rPr>
        <w:t xml:space="preserve"> </w:t>
      </w:r>
    </w:p>
    <w:p w:rsidR="00F96F63" w:rsidRPr="00EE4B9C" w:rsidP="009724F7" w14:paraId="01FF03D2" w14:textId="1C01E5ED">
      <w:pPr>
        <w:spacing w:after="240"/>
        <w:jc w:val="center"/>
        <w:rPr>
          <w:rFonts w:ascii="Times New Roman" w:hAnsi="Times New Roman" w:cs="Times New Roman"/>
          <w:b/>
        </w:rPr>
      </w:pPr>
      <w:r w:rsidRPr="00EE4B9C">
        <w:rPr>
          <w:rFonts w:ascii="Times New Roman" w:hAnsi="Times New Roman" w:cs="Times New Roman"/>
          <w:b/>
        </w:rPr>
        <w:t xml:space="preserve">Reports Due </w:t>
      </w:r>
      <w:r w:rsidRPr="00EE4B9C" w:rsidR="00C37DFC">
        <w:rPr>
          <w:rFonts w:ascii="Times New Roman" w:hAnsi="Times New Roman" w:cs="Times New Roman"/>
          <w:b/>
        </w:rPr>
        <w:t xml:space="preserve">by </w:t>
      </w:r>
      <w:r w:rsidR="00091A6D">
        <w:rPr>
          <w:rFonts w:ascii="Times New Roman" w:hAnsi="Times New Roman" w:cs="Times New Roman"/>
          <w:b/>
        </w:rPr>
        <w:t>April</w:t>
      </w:r>
      <w:r w:rsidR="00DD6A8D">
        <w:rPr>
          <w:rFonts w:ascii="Times New Roman" w:hAnsi="Times New Roman" w:cs="Times New Roman"/>
          <w:b/>
        </w:rPr>
        <w:t xml:space="preserve"> 1</w:t>
      </w:r>
      <w:r w:rsidR="00091A6D">
        <w:rPr>
          <w:rFonts w:ascii="Times New Roman" w:hAnsi="Times New Roman" w:cs="Times New Roman"/>
          <w:b/>
        </w:rPr>
        <w:t>1</w:t>
      </w:r>
      <w:r w:rsidRPr="00EE4B9C" w:rsidR="009724F7">
        <w:rPr>
          <w:rFonts w:ascii="Times New Roman" w:hAnsi="Times New Roman" w:cs="Times New Roman"/>
          <w:b/>
        </w:rPr>
        <w:t>, 20</w:t>
      </w:r>
      <w:bookmarkStart w:id="0" w:name="TOChere"/>
      <w:r w:rsidRPr="00EE4B9C" w:rsidR="00506F30">
        <w:rPr>
          <w:rFonts w:ascii="Times New Roman" w:hAnsi="Times New Roman" w:cs="Times New Roman"/>
          <w:b/>
        </w:rPr>
        <w:t>2</w:t>
      </w:r>
      <w:r w:rsidR="000B3A49">
        <w:rPr>
          <w:rFonts w:ascii="Times New Roman" w:hAnsi="Times New Roman" w:cs="Times New Roman"/>
          <w:b/>
        </w:rPr>
        <w:t>6</w:t>
      </w:r>
    </w:p>
    <w:bookmarkEnd w:id="0"/>
    <w:p w:rsidR="00F96F63" w:rsidRPr="00276134" w:rsidP="001D27E4" w14:paraId="2F422FF6" w14:textId="33BAA611">
      <w:pPr>
        <w:ind w:firstLine="720"/>
        <w:rPr>
          <w:rFonts w:ascii="Times New Roman" w:hAnsi="Times New Roman" w:cs="Times New Roman"/>
        </w:rPr>
      </w:pPr>
      <w:r w:rsidRPr="00EE4B9C">
        <w:rPr>
          <w:rFonts w:ascii="Times New Roman" w:hAnsi="Times New Roman" w:cs="Times New Roman"/>
        </w:rPr>
        <w:t xml:space="preserve">Section 1085 of </w:t>
      </w:r>
      <w:r w:rsidRPr="00EE4B9C" w:rsidR="00A024F6">
        <w:rPr>
          <w:rFonts w:ascii="Times New Roman" w:hAnsi="Times New Roman" w:cs="Times New Roman"/>
        </w:rPr>
        <w:t xml:space="preserve">the John S. McCain National Defense Authorization Act for Fiscal Year 2019 (NDAA) </w:t>
      </w:r>
      <w:r w:rsidRPr="00EE4B9C" w:rsidR="00D25C28">
        <w:rPr>
          <w:rFonts w:ascii="Times New Roman" w:hAnsi="Times New Roman" w:cs="Times New Roman"/>
        </w:rPr>
        <w:t>amend</w:t>
      </w:r>
      <w:r w:rsidRPr="00EE4B9C" w:rsidR="0059576B">
        <w:rPr>
          <w:rFonts w:ascii="Times New Roman" w:hAnsi="Times New Roman" w:cs="Times New Roman"/>
        </w:rPr>
        <w:t>ed</w:t>
      </w:r>
      <w:r w:rsidRPr="00EE4B9C" w:rsidR="00D25C28">
        <w:rPr>
          <w:rFonts w:ascii="Times New Roman" w:hAnsi="Times New Roman" w:cs="Times New Roman"/>
        </w:rPr>
        <w:t xml:space="preserve"> the Communications Act of 1934</w:t>
      </w:r>
      <w:r w:rsidRPr="00EE4B9C" w:rsidR="001A5CBE">
        <w:rPr>
          <w:rFonts w:ascii="Times New Roman" w:hAnsi="Times New Roman" w:cs="Times New Roman"/>
        </w:rPr>
        <w:t xml:space="preserve"> (the </w:t>
      </w:r>
      <w:r w:rsidRPr="00EE4B9C" w:rsidR="00F427AF">
        <w:rPr>
          <w:rFonts w:ascii="Times New Roman" w:hAnsi="Times New Roman" w:cs="Times New Roman"/>
        </w:rPr>
        <w:t xml:space="preserve">Communications </w:t>
      </w:r>
      <w:r w:rsidRPr="00EE4B9C" w:rsidR="001A5CBE">
        <w:rPr>
          <w:rFonts w:ascii="Times New Roman" w:hAnsi="Times New Roman" w:cs="Times New Roman"/>
        </w:rPr>
        <w:t>Act)</w:t>
      </w:r>
      <w:r w:rsidRPr="00EE4B9C" w:rsidR="00D25C28">
        <w:rPr>
          <w:rFonts w:ascii="Times New Roman" w:hAnsi="Times New Roman" w:cs="Times New Roman"/>
        </w:rPr>
        <w:t xml:space="preserve"> to</w:t>
      </w:r>
      <w:r w:rsidRPr="00EE4B9C" w:rsidR="001A5CBE">
        <w:rPr>
          <w:rFonts w:ascii="Times New Roman" w:hAnsi="Times New Roman" w:cs="Times New Roman"/>
        </w:rPr>
        <w:t xml:space="preserve"> add section 722</w:t>
      </w:r>
      <w:r w:rsidRPr="00EE4B9C" w:rsidR="00F84574">
        <w:rPr>
          <w:rFonts w:ascii="Times New Roman" w:hAnsi="Times New Roman" w:cs="Times New Roman"/>
        </w:rPr>
        <w:t>, which</w:t>
      </w:r>
      <w:r w:rsidRPr="00EE4B9C" w:rsidR="00D25C28">
        <w:rPr>
          <w:rFonts w:ascii="Times New Roman" w:hAnsi="Times New Roman" w:cs="Times New Roman"/>
        </w:rPr>
        <w:t xml:space="preserve"> </w:t>
      </w:r>
      <w:r w:rsidRPr="00EE4B9C" w:rsidR="00443F16">
        <w:rPr>
          <w:rFonts w:ascii="Times New Roman" w:hAnsi="Times New Roman" w:cs="Times New Roman"/>
        </w:rPr>
        <w:t>requires</w:t>
      </w:r>
      <w:r w:rsidRPr="00EE4B9C">
        <w:rPr>
          <w:rFonts w:ascii="Times New Roman" w:hAnsi="Times New Roman" w:cs="Times New Roman"/>
        </w:rPr>
        <w:t xml:space="preserve"> all </w:t>
      </w:r>
      <w:r w:rsidRPr="00EE4B9C" w:rsidR="00143682">
        <w:rPr>
          <w:rFonts w:ascii="Times New Roman" w:hAnsi="Times New Roman" w:cs="Times New Roman"/>
        </w:rPr>
        <w:t>“</w:t>
      </w:r>
      <w:r w:rsidRPr="00EE4B9C">
        <w:rPr>
          <w:rFonts w:ascii="Times New Roman" w:hAnsi="Times New Roman" w:cs="Times New Roman"/>
        </w:rPr>
        <w:t>United States-ba</w:t>
      </w:r>
      <w:r w:rsidRPr="00EE4B9C" w:rsidR="00443F16">
        <w:rPr>
          <w:rFonts w:ascii="Times New Roman" w:hAnsi="Times New Roman" w:cs="Times New Roman"/>
        </w:rPr>
        <w:t>sed foreign media outlets</w:t>
      </w:r>
      <w:r w:rsidRPr="00EE4B9C" w:rsidR="00143682">
        <w:rPr>
          <w:rFonts w:ascii="Times New Roman" w:hAnsi="Times New Roman" w:cs="Times New Roman"/>
        </w:rPr>
        <w:t>”</w:t>
      </w:r>
      <w:r w:rsidRPr="00EE4B9C" w:rsidR="00443F16">
        <w:rPr>
          <w:rFonts w:ascii="Times New Roman" w:hAnsi="Times New Roman" w:cs="Times New Roman"/>
        </w:rPr>
        <w:t xml:space="preserve"> to </w:t>
      </w:r>
      <w:r w:rsidRPr="00EE4B9C">
        <w:rPr>
          <w:rFonts w:ascii="Times New Roman" w:hAnsi="Times New Roman" w:cs="Times New Roman"/>
        </w:rPr>
        <w:t>submit to the Commission a report contain</w:t>
      </w:r>
      <w:r w:rsidRPr="00EE4B9C" w:rsidR="00F047A7">
        <w:rPr>
          <w:rFonts w:ascii="Times New Roman" w:hAnsi="Times New Roman" w:cs="Times New Roman"/>
        </w:rPr>
        <w:t>ing</w:t>
      </w:r>
      <w:r w:rsidRPr="00EE4B9C" w:rsidR="001A5CBE">
        <w:rPr>
          <w:rFonts w:ascii="Times New Roman" w:hAnsi="Times New Roman" w:cs="Times New Roman"/>
        </w:rPr>
        <w:t>:</w:t>
      </w:r>
      <w:r w:rsidRPr="00EE4B9C">
        <w:rPr>
          <w:rFonts w:ascii="Times New Roman" w:hAnsi="Times New Roman" w:cs="Times New Roman"/>
        </w:rPr>
        <w:t xml:space="preserve"> 1) the name of such outlet</w:t>
      </w:r>
      <w:r w:rsidRPr="00EE4B9C" w:rsidR="001A5CBE">
        <w:rPr>
          <w:rFonts w:ascii="Times New Roman" w:hAnsi="Times New Roman" w:cs="Times New Roman"/>
        </w:rPr>
        <w:t>;</w:t>
      </w:r>
      <w:r w:rsidRPr="00EE4B9C">
        <w:rPr>
          <w:rFonts w:ascii="Times New Roman" w:hAnsi="Times New Roman" w:cs="Times New Roman"/>
        </w:rPr>
        <w:t xml:space="preserve"> and 2) a description of the relationship of such outlet to the foreign principal of such outlet, including a description of the legal structure of such relationship and any funding that such outlet receives from such principal.</w:t>
      </w:r>
      <w:r>
        <w:rPr>
          <w:rStyle w:val="FootnoteReference"/>
          <w:rFonts w:cs="Times New Roman"/>
        </w:rPr>
        <w:footnoteReference w:id="3"/>
      </w:r>
      <w:r w:rsidRPr="00EE4B9C">
        <w:rPr>
          <w:rFonts w:ascii="Times New Roman" w:hAnsi="Times New Roman" w:cs="Times New Roman"/>
        </w:rPr>
        <w:t xml:space="preserve">  The report </w:t>
      </w:r>
      <w:r w:rsidRPr="00EE4B9C" w:rsidR="00240FFD">
        <w:rPr>
          <w:rFonts w:ascii="Times New Roman" w:hAnsi="Times New Roman" w:cs="Times New Roman"/>
        </w:rPr>
        <w:t xml:space="preserve">is to </w:t>
      </w:r>
      <w:r w:rsidRPr="00EE4B9C">
        <w:rPr>
          <w:rFonts w:ascii="Times New Roman" w:hAnsi="Times New Roman" w:cs="Times New Roman"/>
        </w:rPr>
        <w:t>be submitted no later than 60 days after the date of the enactment of the NDAA</w:t>
      </w:r>
      <w:r w:rsidRPr="00EE4B9C" w:rsidR="00206F95">
        <w:rPr>
          <w:rFonts w:ascii="Times New Roman" w:hAnsi="Times New Roman" w:cs="Times New Roman"/>
        </w:rPr>
        <w:t xml:space="preserve"> </w:t>
      </w:r>
      <w:r w:rsidRPr="00EE4B9C">
        <w:rPr>
          <w:rFonts w:ascii="Times New Roman" w:hAnsi="Times New Roman" w:cs="Times New Roman"/>
        </w:rPr>
        <w:t>and no less frequently th</w:t>
      </w:r>
      <w:r w:rsidRPr="00EE4B9C" w:rsidR="00903ABD">
        <w:rPr>
          <w:rFonts w:ascii="Times New Roman" w:hAnsi="Times New Roman" w:cs="Times New Roman"/>
        </w:rPr>
        <w:t>an every 6 months thereafter.</w:t>
      </w:r>
      <w:r>
        <w:rPr>
          <w:rStyle w:val="FootnoteReference"/>
          <w:rFonts w:cs="Times New Roman"/>
        </w:rPr>
        <w:footnoteReference w:id="4"/>
      </w:r>
      <w:r w:rsidRPr="00EE4B9C" w:rsidR="00903ABD">
        <w:rPr>
          <w:rFonts w:ascii="Times New Roman" w:hAnsi="Times New Roman" w:cs="Times New Roman"/>
        </w:rPr>
        <w:t xml:space="preserve"> </w:t>
      </w:r>
      <w:r w:rsidRPr="00EE4B9C" w:rsidR="00665514">
        <w:rPr>
          <w:rFonts w:ascii="Times New Roman" w:hAnsi="Times New Roman" w:cs="Times New Roman"/>
        </w:rPr>
        <w:t xml:space="preserve"> </w:t>
      </w:r>
      <w:r w:rsidRPr="00EE4B9C" w:rsidR="006F1743">
        <w:rPr>
          <w:rFonts w:ascii="Times New Roman" w:hAnsi="Times New Roman" w:cs="Times New Roman"/>
        </w:rPr>
        <w:t xml:space="preserve">As </w:t>
      </w:r>
      <w:r w:rsidRPr="00EE4B9C" w:rsidR="00903ABD">
        <w:rPr>
          <w:rFonts w:ascii="Times New Roman" w:hAnsi="Times New Roman" w:cs="Times New Roman"/>
        </w:rPr>
        <w:t>t</w:t>
      </w:r>
      <w:r w:rsidRPr="00EE4B9C">
        <w:rPr>
          <w:rFonts w:ascii="Times New Roman" w:hAnsi="Times New Roman" w:cs="Times New Roman"/>
        </w:rPr>
        <w:t>he</w:t>
      </w:r>
      <w:r w:rsidRPr="00EE4B9C" w:rsidR="00903ABD">
        <w:rPr>
          <w:rFonts w:ascii="Times New Roman" w:hAnsi="Times New Roman" w:cs="Times New Roman"/>
        </w:rPr>
        <w:t xml:space="preserve"> </w:t>
      </w:r>
      <w:r w:rsidRPr="00EE4B9C" w:rsidR="007C5748">
        <w:rPr>
          <w:rFonts w:ascii="Times New Roman" w:hAnsi="Times New Roman" w:cs="Times New Roman"/>
        </w:rPr>
        <w:t>previous</w:t>
      </w:r>
      <w:r w:rsidRPr="00EE4B9C" w:rsidR="006B6DD1">
        <w:rPr>
          <w:rFonts w:ascii="Times New Roman" w:hAnsi="Times New Roman" w:cs="Times New Roman"/>
        </w:rPr>
        <w:t xml:space="preserve"> report</w:t>
      </w:r>
      <w:r w:rsidRPr="00EE4B9C" w:rsidR="00903ABD">
        <w:rPr>
          <w:rFonts w:ascii="Times New Roman" w:hAnsi="Times New Roman" w:cs="Times New Roman"/>
        </w:rPr>
        <w:t xml:space="preserve"> was </w:t>
      </w:r>
      <w:r w:rsidRPr="00EE4B9C" w:rsidR="006B6DD1">
        <w:rPr>
          <w:rFonts w:ascii="Times New Roman" w:hAnsi="Times New Roman" w:cs="Times New Roman"/>
        </w:rPr>
        <w:t>due</w:t>
      </w:r>
      <w:r w:rsidRPr="00EE4B9C" w:rsidR="00903ABD">
        <w:rPr>
          <w:rFonts w:ascii="Times New Roman" w:hAnsi="Times New Roman" w:cs="Times New Roman"/>
        </w:rPr>
        <w:t xml:space="preserve"> o</w:t>
      </w:r>
      <w:r w:rsidRPr="007E271D" w:rsidR="00903ABD">
        <w:rPr>
          <w:rFonts w:ascii="Times New Roman" w:hAnsi="Times New Roman" w:cs="Times New Roman"/>
        </w:rPr>
        <w:t xml:space="preserve">n </w:t>
      </w:r>
      <w:r w:rsidR="000B3A49">
        <w:rPr>
          <w:rFonts w:ascii="Times New Roman" w:hAnsi="Times New Roman" w:cs="Times New Roman"/>
        </w:rPr>
        <w:t>October</w:t>
      </w:r>
      <w:r w:rsidRPr="007E271D" w:rsidR="00903ABD">
        <w:rPr>
          <w:rFonts w:ascii="Times New Roman" w:hAnsi="Times New Roman" w:cs="Times New Roman"/>
        </w:rPr>
        <w:t xml:space="preserve"> </w:t>
      </w:r>
      <w:r w:rsidR="000B3A49">
        <w:rPr>
          <w:rFonts w:ascii="Times New Roman" w:hAnsi="Times New Roman" w:cs="Times New Roman"/>
        </w:rPr>
        <w:t>11</w:t>
      </w:r>
      <w:r w:rsidRPr="007E271D" w:rsidR="006B6DD1">
        <w:rPr>
          <w:rFonts w:ascii="Times New Roman" w:hAnsi="Times New Roman" w:cs="Times New Roman"/>
        </w:rPr>
        <w:t>, 20</w:t>
      </w:r>
      <w:r w:rsidRPr="007E271D" w:rsidR="00C443FA">
        <w:rPr>
          <w:rFonts w:ascii="Times New Roman" w:hAnsi="Times New Roman" w:cs="Times New Roman"/>
        </w:rPr>
        <w:t>2</w:t>
      </w:r>
      <w:r w:rsidR="0081026C">
        <w:rPr>
          <w:rFonts w:ascii="Times New Roman" w:hAnsi="Times New Roman" w:cs="Times New Roman"/>
        </w:rPr>
        <w:t>5</w:t>
      </w:r>
      <w:r w:rsidRPr="007E271D">
        <w:rPr>
          <w:rFonts w:ascii="Times New Roman" w:hAnsi="Times New Roman" w:cs="Times New Roman"/>
        </w:rPr>
        <w:t>, the deadline for</w:t>
      </w:r>
      <w:r w:rsidRPr="007E271D" w:rsidR="006F1743">
        <w:rPr>
          <w:rFonts w:ascii="Times New Roman" w:hAnsi="Times New Roman" w:cs="Times New Roman"/>
        </w:rPr>
        <w:t xml:space="preserve"> outlets to submit the</w:t>
      </w:r>
      <w:r w:rsidRPr="007E271D" w:rsidR="006B6DD1">
        <w:rPr>
          <w:rFonts w:ascii="Times New Roman" w:hAnsi="Times New Roman" w:cs="Times New Roman"/>
        </w:rPr>
        <w:t xml:space="preserve"> next</w:t>
      </w:r>
      <w:r w:rsidRPr="007E271D" w:rsidR="00F047A7">
        <w:rPr>
          <w:rFonts w:ascii="Times New Roman" w:hAnsi="Times New Roman" w:cs="Times New Roman"/>
        </w:rPr>
        <w:t xml:space="preserve"> </w:t>
      </w:r>
      <w:r w:rsidRPr="007E271D" w:rsidR="00EE0B10">
        <w:rPr>
          <w:rFonts w:ascii="Times New Roman" w:hAnsi="Times New Roman" w:cs="Times New Roman"/>
        </w:rPr>
        <w:t xml:space="preserve">NDAA </w:t>
      </w:r>
      <w:r w:rsidRPr="007E271D" w:rsidR="006F1743">
        <w:rPr>
          <w:rFonts w:ascii="Times New Roman" w:hAnsi="Times New Roman" w:cs="Times New Roman"/>
        </w:rPr>
        <w:t xml:space="preserve">report </w:t>
      </w:r>
      <w:r w:rsidRPr="007E271D">
        <w:rPr>
          <w:rFonts w:ascii="Times New Roman" w:hAnsi="Times New Roman" w:cs="Times New Roman"/>
        </w:rPr>
        <w:t xml:space="preserve">to the Commission </w:t>
      </w:r>
      <w:r w:rsidRPr="007E271D" w:rsidR="00443F16">
        <w:rPr>
          <w:rFonts w:ascii="Times New Roman" w:hAnsi="Times New Roman" w:cs="Times New Roman"/>
        </w:rPr>
        <w:t>is</w:t>
      </w:r>
      <w:r w:rsidRPr="007E271D">
        <w:rPr>
          <w:rFonts w:ascii="Times New Roman" w:hAnsi="Times New Roman" w:cs="Times New Roman"/>
        </w:rPr>
        <w:t xml:space="preserve"> </w:t>
      </w:r>
      <w:r w:rsidR="00091A6D">
        <w:rPr>
          <w:rFonts w:ascii="Times New Roman" w:hAnsi="Times New Roman" w:cs="Times New Roman"/>
          <w:b/>
        </w:rPr>
        <w:t>April 11</w:t>
      </w:r>
      <w:r w:rsidRPr="007E271D">
        <w:rPr>
          <w:rFonts w:ascii="Times New Roman" w:hAnsi="Times New Roman" w:cs="Times New Roman"/>
          <w:b/>
        </w:rPr>
        <w:t>, 20</w:t>
      </w:r>
      <w:r w:rsidRPr="007E271D" w:rsidR="003F72FD">
        <w:rPr>
          <w:rFonts w:ascii="Times New Roman" w:hAnsi="Times New Roman" w:cs="Times New Roman"/>
          <w:b/>
        </w:rPr>
        <w:t>2</w:t>
      </w:r>
      <w:r w:rsidR="000B3A49">
        <w:rPr>
          <w:rFonts w:ascii="Times New Roman" w:hAnsi="Times New Roman" w:cs="Times New Roman"/>
          <w:b/>
        </w:rPr>
        <w:t>6</w:t>
      </w:r>
      <w:r w:rsidRPr="007E271D" w:rsidR="007A66AD">
        <w:rPr>
          <w:rFonts w:ascii="Times New Roman" w:hAnsi="Times New Roman" w:cs="Times New Roman"/>
        </w:rPr>
        <w:t>.</w:t>
      </w:r>
    </w:p>
    <w:p w:rsidR="003E026D" w:rsidRPr="00276134" w:rsidP="000F5555" w14:paraId="1936AB57" w14:textId="77777777">
      <w:pPr>
        <w:ind w:firstLine="720"/>
        <w:rPr>
          <w:rFonts w:ascii="Times New Roman" w:hAnsi="Times New Roman" w:cs="Times New Roman"/>
        </w:rPr>
      </w:pPr>
    </w:p>
    <w:p w:rsidR="003E026D" w:rsidRPr="00276134" w:rsidP="000F5555" w14:paraId="6157F136" w14:textId="77777777">
      <w:pPr>
        <w:ind w:firstLine="720"/>
        <w:rPr>
          <w:rFonts w:ascii="Times New Roman" w:hAnsi="Times New Roman" w:cs="Times New Roman"/>
        </w:rPr>
      </w:pPr>
      <w:r w:rsidRPr="00276134">
        <w:rPr>
          <w:rFonts w:ascii="Times New Roman" w:hAnsi="Times New Roman" w:cs="Times New Roman"/>
        </w:rPr>
        <w:t>The Commission has established an e</w:t>
      </w:r>
      <w:r w:rsidRPr="00276134" w:rsidR="00A60090">
        <w:rPr>
          <w:rFonts w:ascii="Times New Roman" w:hAnsi="Times New Roman" w:cs="Times New Roman"/>
        </w:rPr>
        <w:t>-</w:t>
      </w:r>
      <w:r w:rsidRPr="00276134">
        <w:rPr>
          <w:rFonts w:ascii="Times New Roman" w:hAnsi="Times New Roman" w:cs="Times New Roman"/>
        </w:rPr>
        <w:t>mail inbox</w:t>
      </w:r>
      <w:r w:rsidRPr="00276134" w:rsidR="00F832C6">
        <w:rPr>
          <w:rFonts w:ascii="Times New Roman" w:hAnsi="Times New Roman" w:cs="Times New Roman"/>
        </w:rPr>
        <w:t xml:space="preserve">, at </w:t>
      </w:r>
      <w:hyperlink r:id="rId6" w:history="1">
        <w:r w:rsidRPr="00276134" w:rsidR="00F832C6">
          <w:rPr>
            <w:rStyle w:val="Hyperlink"/>
            <w:rFonts w:ascii="Times New Roman" w:hAnsi="Times New Roman" w:cs="Times New Roman"/>
          </w:rPr>
          <w:t>ndaareport@fcc.gov</w:t>
        </w:r>
      </w:hyperlink>
      <w:r w:rsidRPr="00276134" w:rsidR="00F832C6">
        <w:rPr>
          <w:rFonts w:ascii="Times New Roman" w:hAnsi="Times New Roman" w:cs="Times New Roman"/>
        </w:rPr>
        <w:t>,</w:t>
      </w:r>
      <w:r w:rsidRPr="00276134">
        <w:rPr>
          <w:rFonts w:ascii="Times New Roman" w:hAnsi="Times New Roman" w:cs="Times New Roman"/>
        </w:rPr>
        <w:t xml:space="preserve"> that outlets should use to submit the reports</w:t>
      </w:r>
      <w:r w:rsidRPr="00276134" w:rsidR="006536F5">
        <w:rPr>
          <w:rFonts w:ascii="Times New Roman" w:hAnsi="Times New Roman" w:cs="Times New Roman"/>
        </w:rPr>
        <w:t>.</w:t>
      </w:r>
      <w:r w:rsidRPr="00276134" w:rsidR="00093A6C">
        <w:rPr>
          <w:rFonts w:ascii="Times New Roman" w:hAnsi="Times New Roman" w:cs="Times New Roman"/>
        </w:rPr>
        <w:t xml:space="preserve"> </w:t>
      </w:r>
      <w:r w:rsidRPr="00276134" w:rsidR="00240FFD">
        <w:rPr>
          <w:rFonts w:ascii="Times New Roman" w:hAnsi="Times New Roman" w:cs="Times New Roman"/>
        </w:rPr>
        <w:t xml:space="preserve"> </w:t>
      </w:r>
      <w:r w:rsidRPr="00276134" w:rsidR="004D7C5F">
        <w:rPr>
          <w:rFonts w:ascii="Times New Roman" w:hAnsi="Times New Roman" w:cs="Times New Roman"/>
        </w:rPr>
        <w:t>Respondent</w:t>
      </w:r>
      <w:r w:rsidRPr="00276134" w:rsidR="00F832C6">
        <w:rPr>
          <w:rFonts w:ascii="Times New Roman" w:hAnsi="Times New Roman" w:cs="Times New Roman"/>
        </w:rPr>
        <w:t>s should format the reports as Adobe® Acrobat® (</w:t>
      </w:r>
      <w:r w:rsidRPr="00276134" w:rsidR="006F1743">
        <w:rPr>
          <w:rFonts w:ascii="Times New Roman" w:hAnsi="Times New Roman" w:cs="Times New Roman"/>
        </w:rPr>
        <w:t>PDF</w:t>
      </w:r>
      <w:r w:rsidRPr="00276134" w:rsidR="00F832C6">
        <w:rPr>
          <w:rFonts w:ascii="Times New Roman" w:hAnsi="Times New Roman" w:cs="Times New Roman"/>
        </w:rPr>
        <w:t xml:space="preserve">) or Microsoft® Word documents and attach them to the e-mail.  </w:t>
      </w:r>
      <w:r w:rsidRPr="00276134" w:rsidR="00093A6C">
        <w:rPr>
          <w:rFonts w:ascii="Times New Roman" w:hAnsi="Times New Roman" w:cs="Times New Roman"/>
        </w:rPr>
        <w:t xml:space="preserve">The e-mail </w:t>
      </w:r>
      <w:r w:rsidRPr="00276134" w:rsidR="00F832C6">
        <w:rPr>
          <w:rFonts w:ascii="Times New Roman" w:hAnsi="Times New Roman" w:cs="Times New Roman"/>
        </w:rPr>
        <w:t>submitting the report</w:t>
      </w:r>
      <w:r w:rsidRPr="00276134" w:rsidR="00093A6C">
        <w:rPr>
          <w:rFonts w:ascii="Times New Roman" w:hAnsi="Times New Roman" w:cs="Times New Roman"/>
        </w:rPr>
        <w:t xml:space="preserve"> </w:t>
      </w:r>
      <w:r w:rsidRPr="00276134" w:rsidR="00F832C6">
        <w:rPr>
          <w:rFonts w:ascii="Times New Roman" w:hAnsi="Times New Roman" w:cs="Times New Roman"/>
        </w:rPr>
        <w:t>should</w:t>
      </w:r>
      <w:r w:rsidRPr="00276134" w:rsidR="00093A6C">
        <w:rPr>
          <w:rFonts w:ascii="Times New Roman" w:hAnsi="Times New Roman" w:cs="Times New Roman"/>
        </w:rPr>
        <w:t xml:space="preserve"> include a subject or caption referring to </w:t>
      </w:r>
      <w:r w:rsidRPr="00276134" w:rsidR="00F832C6">
        <w:rPr>
          <w:rFonts w:ascii="Times New Roman" w:hAnsi="Times New Roman" w:cs="Times New Roman"/>
        </w:rPr>
        <w:t>the NDAA disclosure requirement and</w:t>
      </w:r>
      <w:r w:rsidRPr="00276134" w:rsidR="00093A6C">
        <w:rPr>
          <w:rFonts w:ascii="Times New Roman" w:hAnsi="Times New Roman" w:cs="Times New Roman"/>
        </w:rPr>
        <w:t xml:space="preserve"> the name of the </w:t>
      </w:r>
      <w:r w:rsidRPr="00276134" w:rsidR="00F832C6">
        <w:rPr>
          <w:rFonts w:ascii="Times New Roman" w:hAnsi="Times New Roman" w:cs="Times New Roman"/>
        </w:rPr>
        <w:t>outlet</w:t>
      </w:r>
      <w:r w:rsidRPr="00276134" w:rsidR="00093A6C">
        <w:rPr>
          <w:rFonts w:ascii="Times New Roman" w:hAnsi="Times New Roman" w:cs="Times New Roman"/>
        </w:rPr>
        <w:t>.</w:t>
      </w:r>
      <w:r w:rsidRPr="00276134" w:rsidR="004D7C5F">
        <w:rPr>
          <w:rFonts w:ascii="Times New Roman" w:hAnsi="Times New Roman" w:cs="Times New Roman"/>
        </w:rPr>
        <w:t xml:space="preserve">  Respondents are reminded that the </w:t>
      </w:r>
      <w:r w:rsidRPr="00276134" w:rsidR="00430C48">
        <w:rPr>
          <w:rFonts w:ascii="Times New Roman" w:hAnsi="Times New Roman" w:cs="Times New Roman"/>
        </w:rPr>
        <w:t>content</w:t>
      </w:r>
      <w:r w:rsidRPr="00276134" w:rsidR="00942608">
        <w:rPr>
          <w:rFonts w:ascii="Times New Roman" w:hAnsi="Times New Roman" w:cs="Times New Roman"/>
        </w:rPr>
        <w:t>s</w:t>
      </w:r>
      <w:r w:rsidRPr="00276134" w:rsidR="009A4C55">
        <w:rPr>
          <w:rFonts w:ascii="Times New Roman" w:hAnsi="Times New Roman" w:cs="Times New Roman"/>
        </w:rPr>
        <w:t xml:space="preserve"> of </w:t>
      </w:r>
      <w:r w:rsidRPr="00276134" w:rsidR="00CD003F">
        <w:rPr>
          <w:rFonts w:ascii="Times New Roman" w:hAnsi="Times New Roman" w:cs="Times New Roman"/>
        </w:rPr>
        <w:t xml:space="preserve">the </w:t>
      </w:r>
      <w:r w:rsidRPr="00276134" w:rsidR="009A4C55">
        <w:rPr>
          <w:rFonts w:ascii="Times New Roman" w:hAnsi="Times New Roman" w:cs="Times New Roman"/>
        </w:rPr>
        <w:t>reports are subject</w:t>
      </w:r>
      <w:r w:rsidRPr="00276134" w:rsidR="00CD003F">
        <w:rPr>
          <w:rFonts w:ascii="Times New Roman" w:hAnsi="Times New Roman" w:cs="Times New Roman"/>
        </w:rPr>
        <w:t xml:space="preserve"> to the provision</w:t>
      </w:r>
      <w:r w:rsidRPr="00276134" w:rsidR="009A4C55">
        <w:rPr>
          <w:rFonts w:ascii="Times New Roman" w:hAnsi="Times New Roman" w:cs="Times New Roman"/>
        </w:rPr>
        <w:t>s</w:t>
      </w:r>
      <w:r w:rsidRPr="00276134" w:rsidR="00430C48">
        <w:rPr>
          <w:rFonts w:ascii="Times New Roman" w:hAnsi="Times New Roman" w:cs="Times New Roman"/>
        </w:rPr>
        <w:t xml:space="preserve"> of the </w:t>
      </w:r>
      <w:r w:rsidRPr="00276134" w:rsidR="004D7C5F">
        <w:rPr>
          <w:rFonts w:ascii="Times New Roman" w:hAnsi="Times New Roman" w:cs="Times New Roman"/>
        </w:rPr>
        <w:t>United States Code</w:t>
      </w:r>
      <w:r w:rsidRPr="00276134" w:rsidR="00430C48">
        <w:rPr>
          <w:rFonts w:ascii="Times New Roman" w:hAnsi="Times New Roman" w:cs="Times New Roman"/>
        </w:rPr>
        <w:t xml:space="preserve"> </w:t>
      </w:r>
      <w:r w:rsidRPr="00276134" w:rsidR="00BD53B0">
        <w:rPr>
          <w:rFonts w:ascii="Times New Roman" w:hAnsi="Times New Roman" w:cs="Times New Roman"/>
        </w:rPr>
        <w:t>governing</w:t>
      </w:r>
      <w:r w:rsidRPr="00276134" w:rsidR="00430C48">
        <w:rPr>
          <w:rFonts w:ascii="Times New Roman" w:hAnsi="Times New Roman" w:cs="Times New Roman"/>
        </w:rPr>
        <w:t xml:space="preserve"> statements</w:t>
      </w:r>
      <w:r w:rsidRPr="00276134" w:rsidR="009A4C55">
        <w:rPr>
          <w:rFonts w:ascii="Times New Roman" w:hAnsi="Times New Roman" w:cs="Times New Roman"/>
        </w:rPr>
        <w:t xml:space="preserve"> or representations</w:t>
      </w:r>
      <w:r w:rsidRPr="00276134" w:rsidR="00430C48">
        <w:rPr>
          <w:rFonts w:ascii="Times New Roman" w:hAnsi="Times New Roman" w:cs="Times New Roman"/>
        </w:rPr>
        <w:t xml:space="preserve"> made before the Commission</w:t>
      </w:r>
      <w:r w:rsidRPr="00276134" w:rsidR="004D7C5F">
        <w:rPr>
          <w:rFonts w:ascii="Times New Roman" w:hAnsi="Times New Roman" w:cs="Times New Roman"/>
        </w:rPr>
        <w:t>.</w:t>
      </w:r>
      <w:r>
        <w:rPr>
          <w:rStyle w:val="FootnoteReference"/>
          <w:rFonts w:cs="Times New Roman"/>
        </w:rPr>
        <w:footnoteReference w:id="5"/>
      </w:r>
      <w:r w:rsidRPr="00276134" w:rsidR="00AB0561">
        <w:rPr>
          <w:rFonts w:ascii="Times New Roman" w:hAnsi="Times New Roman" w:cs="Times New Roman"/>
        </w:rPr>
        <w:t xml:space="preserve">  </w:t>
      </w:r>
    </w:p>
    <w:p w:rsidR="007A66AD" w:rsidRPr="00276134" w:rsidP="000F5555" w14:paraId="05CD7ED6" w14:textId="77777777">
      <w:pPr>
        <w:ind w:firstLine="720"/>
        <w:rPr>
          <w:rFonts w:ascii="Times New Roman" w:hAnsi="Times New Roman" w:cs="Times New Roman"/>
        </w:rPr>
      </w:pPr>
    </w:p>
    <w:p w:rsidR="008A17A9" w:rsidRPr="00276134" w:rsidP="000F5555" w14:paraId="37877F88" w14:textId="77777777">
      <w:pPr>
        <w:ind w:firstLine="720"/>
        <w:rPr>
          <w:rFonts w:ascii="Times New Roman" w:hAnsi="Times New Roman" w:cs="Times New Roman"/>
        </w:rPr>
      </w:pPr>
      <w:r w:rsidRPr="00276134">
        <w:rPr>
          <w:rFonts w:ascii="Times New Roman" w:hAnsi="Times New Roman" w:cs="Times New Roman"/>
        </w:rPr>
        <w:t>For purposes of this disclosure requirement, t</w:t>
      </w:r>
      <w:r w:rsidRPr="00276134" w:rsidR="007A66AD">
        <w:rPr>
          <w:rFonts w:ascii="Times New Roman" w:hAnsi="Times New Roman" w:cs="Times New Roman"/>
        </w:rPr>
        <w:t>he</w:t>
      </w:r>
      <w:r w:rsidRPr="00276134">
        <w:rPr>
          <w:rFonts w:ascii="Times New Roman" w:hAnsi="Times New Roman" w:cs="Times New Roman"/>
        </w:rPr>
        <w:t xml:space="preserve"> NDAA</w:t>
      </w:r>
      <w:r w:rsidRPr="00276134" w:rsidR="007A66AD">
        <w:rPr>
          <w:rFonts w:ascii="Times New Roman" w:hAnsi="Times New Roman" w:cs="Times New Roman"/>
        </w:rPr>
        <w:t xml:space="preserve"> </w:t>
      </w:r>
      <w:r w:rsidRPr="00276134" w:rsidR="00031F6B">
        <w:rPr>
          <w:rFonts w:ascii="Times New Roman" w:hAnsi="Times New Roman" w:cs="Times New Roman"/>
        </w:rPr>
        <w:t xml:space="preserve">provides that the </w:t>
      </w:r>
      <w:r w:rsidRPr="00276134" w:rsidR="007A66AD">
        <w:rPr>
          <w:rFonts w:ascii="Times New Roman" w:hAnsi="Times New Roman" w:cs="Times New Roman"/>
        </w:rPr>
        <w:t xml:space="preserve">term “United States-based foreign media outlet” means an entity that </w:t>
      </w:r>
      <w:r w:rsidRPr="00276134" w:rsidR="00206F95">
        <w:rPr>
          <w:rFonts w:ascii="Times New Roman" w:hAnsi="Times New Roman" w:cs="Times New Roman"/>
        </w:rPr>
        <w:t>(</w:t>
      </w:r>
      <w:r w:rsidRPr="00276134" w:rsidR="00A65B61">
        <w:rPr>
          <w:rFonts w:ascii="Times New Roman" w:hAnsi="Times New Roman" w:cs="Times New Roman"/>
        </w:rPr>
        <w:t>A</w:t>
      </w:r>
      <w:r w:rsidRPr="00276134" w:rsidR="006E4301">
        <w:rPr>
          <w:rFonts w:ascii="Times New Roman" w:hAnsi="Times New Roman" w:cs="Times New Roman"/>
        </w:rPr>
        <w:t xml:space="preserve">) </w:t>
      </w:r>
      <w:r w:rsidRPr="00276134" w:rsidR="007A66AD">
        <w:rPr>
          <w:rFonts w:ascii="Times New Roman" w:hAnsi="Times New Roman" w:cs="Times New Roman"/>
        </w:rPr>
        <w:t>produces or distributes video programming (as defined in</w:t>
      </w:r>
      <w:r w:rsidRPr="00276134" w:rsidR="0076203F">
        <w:rPr>
          <w:rFonts w:ascii="Times New Roman" w:hAnsi="Times New Roman" w:cs="Times New Roman"/>
        </w:rPr>
        <w:t xml:space="preserve"> section 602 of the Communications Act</w:t>
      </w:r>
      <w:r w:rsidRPr="00276134" w:rsidR="007A66AD">
        <w:rPr>
          <w:rFonts w:ascii="Times New Roman" w:hAnsi="Times New Roman" w:cs="Times New Roman"/>
        </w:rPr>
        <w:t>) that is transmitted, or intended for transmission, by a multichannel video programming distributor (as defined in</w:t>
      </w:r>
      <w:r w:rsidRPr="00276134" w:rsidR="0076203F">
        <w:rPr>
          <w:rFonts w:ascii="Times New Roman" w:hAnsi="Times New Roman" w:cs="Times New Roman"/>
        </w:rPr>
        <w:t xml:space="preserve"> such section</w:t>
      </w:r>
      <w:r w:rsidRPr="00276134" w:rsidR="007A66AD">
        <w:rPr>
          <w:rFonts w:ascii="Times New Roman" w:hAnsi="Times New Roman" w:cs="Times New Roman"/>
        </w:rPr>
        <w:t xml:space="preserve">) to consumers in the United States; and </w:t>
      </w:r>
      <w:r w:rsidRPr="00276134" w:rsidR="00206F95">
        <w:rPr>
          <w:rFonts w:ascii="Times New Roman" w:hAnsi="Times New Roman" w:cs="Times New Roman"/>
        </w:rPr>
        <w:t>(</w:t>
      </w:r>
      <w:r w:rsidRPr="00276134" w:rsidR="00A65B61">
        <w:rPr>
          <w:rFonts w:ascii="Times New Roman" w:hAnsi="Times New Roman" w:cs="Times New Roman"/>
        </w:rPr>
        <w:t>B</w:t>
      </w:r>
      <w:r w:rsidRPr="00276134" w:rsidR="00C85F4C">
        <w:rPr>
          <w:rFonts w:ascii="Times New Roman" w:hAnsi="Times New Roman" w:cs="Times New Roman"/>
        </w:rPr>
        <w:t xml:space="preserve">) </w:t>
      </w:r>
      <w:r w:rsidRPr="00276134" w:rsidR="007A66AD">
        <w:rPr>
          <w:rFonts w:ascii="Times New Roman" w:hAnsi="Times New Roman" w:cs="Times New Roman"/>
        </w:rPr>
        <w:t xml:space="preserve">would be an agent of a foreign principal for purposes of </w:t>
      </w:r>
      <w:r w:rsidRPr="00276134">
        <w:rPr>
          <w:rFonts w:ascii="Times New Roman" w:hAnsi="Times New Roman" w:cs="Times New Roman"/>
        </w:rPr>
        <w:t>the Foreign Agents Registration Act of 19</w:t>
      </w:r>
      <w:r w:rsidR="00F723BA">
        <w:rPr>
          <w:rFonts w:ascii="Times New Roman" w:hAnsi="Times New Roman" w:cs="Times New Roman"/>
        </w:rPr>
        <w:t>3</w:t>
      </w:r>
      <w:r w:rsidRPr="00276134">
        <w:rPr>
          <w:rFonts w:ascii="Times New Roman" w:hAnsi="Times New Roman" w:cs="Times New Roman"/>
        </w:rPr>
        <w:t>8 (</w:t>
      </w:r>
      <w:r w:rsidRPr="00276134" w:rsidR="00903ABD">
        <w:rPr>
          <w:rFonts w:ascii="Times New Roman" w:hAnsi="Times New Roman" w:cs="Times New Roman"/>
        </w:rPr>
        <w:t>FARA</w:t>
      </w:r>
      <w:r w:rsidRPr="00276134">
        <w:rPr>
          <w:rFonts w:ascii="Times New Roman" w:hAnsi="Times New Roman" w:cs="Times New Roman"/>
        </w:rPr>
        <w:t>)</w:t>
      </w:r>
      <w:r w:rsidRPr="00276134" w:rsidR="00D25C28">
        <w:rPr>
          <w:rFonts w:ascii="Times New Roman" w:hAnsi="Times New Roman" w:cs="Times New Roman"/>
        </w:rPr>
        <w:t xml:space="preserve"> (22 U.S.C. § 611 et seq.)</w:t>
      </w:r>
      <w:r w:rsidRPr="00276134" w:rsidR="00261E0D">
        <w:rPr>
          <w:rFonts w:ascii="Times New Roman" w:hAnsi="Times New Roman" w:cs="Times New Roman"/>
        </w:rPr>
        <w:t xml:space="preserve"> but for section </w:t>
      </w:r>
      <w:r w:rsidRPr="00276134" w:rsidR="00672553">
        <w:rPr>
          <w:rFonts w:ascii="Times New Roman" w:hAnsi="Times New Roman" w:cs="Times New Roman"/>
        </w:rPr>
        <w:t>1</w:t>
      </w:r>
      <w:r w:rsidRPr="00276134" w:rsidR="007A66AD">
        <w:rPr>
          <w:rFonts w:ascii="Times New Roman" w:hAnsi="Times New Roman" w:cs="Times New Roman"/>
        </w:rPr>
        <w:t xml:space="preserve">(d) of </w:t>
      </w:r>
      <w:r w:rsidRPr="00276134" w:rsidR="00903ABD">
        <w:rPr>
          <w:rFonts w:ascii="Times New Roman" w:hAnsi="Times New Roman" w:cs="Times New Roman"/>
        </w:rPr>
        <w:t>FARA</w:t>
      </w:r>
      <w:r w:rsidRPr="00276134" w:rsidR="007A66AD">
        <w:rPr>
          <w:rFonts w:ascii="Times New Roman" w:hAnsi="Times New Roman" w:cs="Times New Roman"/>
        </w:rPr>
        <w:t xml:space="preserve"> (22 U.S.C. </w:t>
      </w:r>
      <w:r w:rsidRPr="00276134" w:rsidR="00261E0D">
        <w:rPr>
          <w:rFonts w:ascii="Times New Roman" w:hAnsi="Times New Roman" w:cs="Times New Roman"/>
        </w:rPr>
        <w:t xml:space="preserve">§ </w:t>
      </w:r>
      <w:r w:rsidRPr="00276134" w:rsidR="007A66AD">
        <w:rPr>
          <w:rFonts w:ascii="Times New Roman" w:hAnsi="Times New Roman" w:cs="Times New Roman"/>
        </w:rPr>
        <w:t>611(d)).</w:t>
      </w:r>
      <w:r>
        <w:rPr>
          <w:rStyle w:val="FootnoteReference"/>
          <w:rFonts w:cs="Times New Roman"/>
        </w:rPr>
        <w:footnoteReference w:id="6"/>
      </w:r>
      <w:r w:rsidRPr="00276134" w:rsidR="001F3E62">
        <w:rPr>
          <w:rFonts w:ascii="Times New Roman" w:hAnsi="Times New Roman" w:cs="Times New Roman"/>
        </w:rPr>
        <w:t xml:space="preserve">  </w:t>
      </w:r>
      <w:r w:rsidRPr="00276134" w:rsidR="00665514">
        <w:rPr>
          <w:rFonts w:ascii="Times New Roman" w:hAnsi="Times New Roman" w:cs="Times New Roman"/>
        </w:rPr>
        <w:t>The Communications Act defines the term “video programming” as “programming provided by, or generally considered comparable to programming provided by, a television broadcast station.”</w:t>
      </w:r>
      <w:r w:rsidRPr="00276134" w:rsidR="00665514">
        <w:rPr>
          <w:rStyle w:val="FootnoteReference"/>
          <w:rFonts w:cs="Times New Roman"/>
        </w:rPr>
        <w:t xml:space="preserve"> </w:t>
      </w:r>
      <w:r>
        <w:rPr>
          <w:rStyle w:val="FootnoteReference"/>
          <w:rFonts w:cs="Times New Roman"/>
        </w:rPr>
        <w:footnoteReference w:id="7"/>
      </w:r>
      <w:r w:rsidRPr="00276134" w:rsidR="00665514">
        <w:rPr>
          <w:rFonts w:ascii="Times New Roman" w:hAnsi="Times New Roman" w:cs="Times New Roman"/>
        </w:rPr>
        <w:t xml:space="preserve">  The term “multichannel video programming distributor” means “a person such as, but not limited to, a cable operator, a multichannel multipoint distribution service, a direct broadcast satellite service, or a television </w:t>
      </w:r>
      <w:r w:rsidRPr="00276134" w:rsidR="00665514">
        <w:rPr>
          <w:rFonts w:ascii="Times New Roman" w:hAnsi="Times New Roman" w:cs="Times New Roman"/>
        </w:rPr>
        <w:t>receive-only satellite program distributor, who makes available for purchase, by subscribers or customers, multiple channels of video programming.”</w:t>
      </w:r>
      <w:r>
        <w:rPr>
          <w:rStyle w:val="FootnoteReference"/>
          <w:rFonts w:cs="Times New Roman"/>
        </w:rPr>
        <w:footnoteReference w:id="8"/>
      </w:r>
    </w:p>
    <w:p w:rsidR="00CD003F" w:rsidRPr="00276134" w:rsidP="000F5555" w14:paraId="64344930" w14:textId="77777777">
      <w:pPr>
        <w:ind w:firstLine="720"/>
        <w:rPr>
          <w:rFonts w:ascii="Times New Roman" w:hAnsi="Times New Roman" w:cs="Times New Roman"/>
        </w:rPr>
      </w:pPr>
    </w:p>
    <w:p w:rsidR="00B31F23" w:rsidRPr="00276134" w:rsidP="0060273B" w14:paraId="44E8ACE6" w14:textId="77777777">
      <w:pPr>
        <w:ind w:firstLine="720"/>
        <w:rPr>
          <w:rFonts w:ascii="Times New Roman" w:hAnsi="Times New Roman" w:cs="Times New Roman"/>
        </w:rPr>
      </w:pPr>
      <w:r w:rsidRPr="00276134">
        <w:rPr>
          <w:rFonts w:ascii="Times New Roman" w:hAnsi="Times New Roman" w:cs="Times New Roman"/>
        </w:rPr>
        <w:t xml:space="preserve">The NDAA </w:t>
      </w:r>
      <w:r w:rsidRPr="00276134" w:rsidR="005E6FF7">
        <w:rPr>
          <w:rFonts w:ascii="Times New Roman" w:hAnsi="Times New Roman" w:cs="Times New Roman"/>
        </w:rPr>
        <w:t xml:space="preserve">provides that the term “foreign principal” has the meaning given such term in </w:t>
      </w:r>
      <w:r w:rsidRPr="00276134" w:rsidR="007320F5">
        <w:rPr>
          <w:rFonts w:ascii="Times New Roman" w:hAnsi="Times New Roman" w:cs="Times New Roman"/>
        </w:rPr>
        <w:t>S</w:t>
      </w:r>
      <w:r w:rsidRPr="00276134" w:rsidR="00AB0561">
        <w:rPr>
          <w:rFonts w:ascii="Times New Roman" w:hAnsi="Times New Roman" w:cs="Times New Roman"/>
        </w:rPr>
        <w:t xml:space="preserve">ection </w:t>
      </w:r>
      <w:r w:rsidRPr="00276134" w:rsidR="00D25C28">
        <w:rPr>
          <w:rFonts w:ascii="Times New Roman" w:hAnsi="Times New Roman" w:cs="Times New Roman"/>
        </w:rPr>
        <w:t xml:space="preserve">1(b)(1) of FARA (22 U.S.C. § </w:t>
      </w:r>
      <w:r w:rsidRPr="00276134">
        <w:rPr>
          <w:rFonts w:ascii="Times New Roman" w:hAnsi="Times New Roman" w:cs="Times New Roman"/>
        </w:rPr>
        <w:t>611</w:t>
      </w:r>
      <w:r w:rsidRPr="00276134" w:rsidR="00AB0561">
        <w:rPr>
          <w:rFonts w:ascii="Times New Roman" w:hAnsi="Times New Roman" w:cs="Times New Roman"/>
        </w:rPr>
        <w:t>(b)(1)</w:t>
      </w:r>
      <w:r w:rsidRPr="00276134" w:rsidR="00D25C28">
        <w:rPr>
          <w:rFonts w:ascii="Times New Roman" w:hAnsi="Times New Roman" w:cs="Times New Roman"/>
        </w:rPr>
        <w:t>).</w:t>
      </w:r>
      <w:r>
        <w:rPr>
          <w:rStyle w:val="FootnoteReference"/>
          <w:rFonts w:cs="Times New Roman"/>
        </w:rPr>
        <w:footnoteReference w:id="9"/>
      </w:r>
      <w:r w:rsidRPr="00276134" w:rsidR="00D25C28">
        <w:rPr>
          <w:rFonts w:ascii="Times New Roman" w:hAnsi="Times New Roman" w:cs="Times New Roman"/>
        </w:rPr>
        <w:t xml:space="preserve">  Section 1(b)(1)</w:t>
      </w:r>
      <w:r w:rsidRPr="00276134" w:rsidR="00AB0561">
        <w:rPr>
          <w:rFonts w:ascii="Times New Roman" w:hAnsi="Times New Roman" w:cs="Times New Roman"/>
        </w:rPr>
        <w:t xml:space="preserve"> of </w:t>
      </w:r>
      <w:r w:rsidRPr="00276134" w:rsidR="00BF1A23">
        <w:rPr>
          <w:rFonts w:ascii="Times New Roman" w:hAnsi="Times New Roman" w:cs="Times New Roman"/>
        </w:rPr>
        <w:t>FARA</w:t>
      </w:r>
      <w:r w:rsidRPr="00276134" w:rsidR="007320F5">
        <w:rPr>
          <w:rFonts w:ascii="Times New Roman" w:hAnsi="Times New Roman" w:cs="Times New Roman"/>
        </w:rPr>
        <w:t xml:space="preserve"> provides that “a government of a foreign country and a foreign political party</w:t>
      </w:r>
      <w:r w:rsidRPr="00276134" w:rsidR="005E6FF7">
        <w:rPr>
          <w:rFonts w:ascii="Times New Roman" w:hAnsi="Times New Roman" w:cs="Times New Roman"/>
        </w:rPr>
        <w:t>” are included in the definition of a “foreign principal.”</w:t>
      </w:r>
      <w:r w:rsidRPr="00276134" w:rsidR="007320F5">
        <w:rPr>
          <w:rStyle w:val="FootnoteReference"/>
          <w:rFonts w:cs="Times New Roman"/>
        </w:rPr>
        <w:t xml:space="preserve"> </w:t>
      </w:r>
      <w:r>
        <w:rPr>
          <w:rStyle w:val="FootnoteReference"/>
          <w:rFonts w:cs="Times New Roman"/>
        </w:rPr>
        <w:footnoteReference w:id="10"/>
      </w:r>
      <w:r w:rsidRPr="00276134" w:rsidR="00A05B45">
        <w:rPr>
          <w:rFonts w:ascii="Times New Roman" w:hAnsi="Times New Roman" w:cs="Times New Roman"/>
        </w:rPr>
        <w:t xml:space="preserve">  </w:t>
      </w:r>
      <w:r w:rsidRPr="00276134" w:rsidR="005E4FD7">
        <w:rPr>
          <w:rFonts w:ascii="Times New Roman" w:hAnsi="Times New Roman" w:cs="Times New Roman"/>
        </w:rPr>
        <w:t>S</w:t>
      </w:r>
      <w:r w:rsidRPr="00276134">
        <w:rPr>
          <w:rFonts w:ascii="Times New Roman" w:hAnsi="Times New Roman" w:cs="Times New Roman"/>
        </w:rPr>
        <w:t xml:space="preserve">ection </w:t>
      </w:r>
      <w:r w:rsidRPr="00276134" w:rsidR="00672553">
        <w:rPr>
          <w:rFonts w:ascii="Times New Roman" w:hAnsi="Times New Roman" w:cs="Times New Roman"/>
        </w:rPr>
        <w:t>1</w:t>
      </w:r>
      <w:r w:rsidRPr="00276134">
        <w:rPr>
          <w:rFonts w:ascii="Times New Roman" w:hAnsi="Times New Roman" w:cs="Times New Roman"/>
        </w:rPr>
        <w:t>(c) of FARA provides that</w:t>
      </w:r>
      <w:r w:rsidRPr="00276134" w:rsidR="0092217A">
        <w:rPr>
          <w:rFonts w:ascii="Times New Roman" w:hAnsi="Times New Roman" w:cs="Times New Roman"/>
        </w:rPr>
        <w:t>,</w:t>
      </w:r>
      <w:r w:rsidRPr="00276134">
        <w:rPr>
          <w:rFonts w:ascii="Times New Roman" w:hAnsi="Times New Roman" w:cs="Times New Roman"/>
        </w:rPr>
        <w:t xml:space="preserve"> except “as provided in subsection (d) of this section, the term ‘agent of a foreign principal’ means </w:t>
      </w:r>
      <w:bookmarkStart w:id="1" w:name="_Hlk522272754"/>
      <w:r w:rsidRPr="00276134">
        <w:rPr>
          <w:rFonts w:ascii="Times New Roman" w:hAnsi="Times New Roman" w:cs="Times New Roman"/>
        </w:rPr>
        <w:t>(1) any person who acts as an agent, representative, employee, or servant, or any person who acts in any other capacity at the order, request, or under the direction or control, of a foreign principal or of a person any of whose activities are directly or indirectly supervised, directed, controlled, financed, or subsidized in whole or in major part by a foreign principal, and who directly or through any other person--(i) engages within the United States in political activities for or in the interests of such foreign principal; (ii) acts within the United States as a public relations counsel, publicity agent, information-service employee or political consultant for or in the interests of such foreign principal; (iii) within the United States solicits, collects, disburses, or dispenses contributions, loans, money, or other things of value for or in the interest of such foreign principal; or (iv) within the United States represents the interests of such foreign principal before any agency or official of the Government of the United States; and (2) any person who agrees, consents, assumes or purports to act as, or who is or holds himself out to be, whether or not pursuant to contractual relationship, an agent of a foreign principal as defined in clause (1) of this subsection.</w:t>
      </w:r>
      <w:bookmarkEnd w:id="1"/>
      <w:r w:rsidRPr="00276134">
        <w:rPr>
          <w:rFonts w:ascii="Times New Roman" w:hAnsi="Times New Roman" w:cs="Times New Roman"/>
        </w:rPr>
        <w:t>”</w:t>
      </w:r>
      <w:r>
        <w:rPr>
          <w:rStyle w:val="FootnoteReference"/>
          <w:rFonts w:cs="Times New Roman"/>
        </w:rPr>
        <w:footnoteReference w:id="11"/>
      </w:r>
    </w:p>
    <w:p w:rsidR="00B31F23" w:rsidRPr="00276134" w:rsidP="000F5555" w14:paraId="2D3DD410" w14:textId="77777777">
      <w:pPr>
        <w:ind w:firstLine="720"/>
        <w:rPr>
          <w:rFonts w:ascii="Times New Roman" w:hAnsi="Times New Roman" w:cs="Times New Roman"/>
        </w:rPr>
      </w:pPr>
    </w:p>
    <w:p w:rsidR="007320F5" w:rsidRPr="00276134" w:rsidP="000F5555" w14:paraId="37FD41DB" w14:textId="77777777">
      <w:pPr>
        <w:ind w:firstLine="720"/>
        <w:rPr>
          <w:rFonts w:ascii="Times New Roman" w:hAnsi="Times New Roman" w:cs="Times New Roman"/>
        </w:rPr>
      </w:pPr>
      <w:r w:rsidRPr="00276134">
        <w:rPr>
          <w:rFonts w:ascii="Times New Roman" w:hAnsi="Times New Roman" w:cs="Times New Roman"/>
        </w:rPr>
        <w:t xml:space="preserve">Section </w:t>
      </w:r>
      <w:r w:rsidRPr="00276134" w:rsidR="005E4FD7">
        <w:rPr>
          <w:rFonts w:ascii="Times New Roman" w:hAnsi="Times New Roman" w:cs="Times New Roman"/>
        </w:rPr>
        <w:t>1</w:t>
      </w:r>
      <w:r w:rsidRPr="00276134">
        <w:rPr>
          <w:rFonts w:ascii="Times New Roman" w:hAnsi="Times New Roman" w:cs="Times New Roman"/>
        </w:rPr>
        <w:t xml:space="preserve">(d) </w:t>
      </w:r>
      <w:r w:rsidRPr="00276134" w:rsidR="00BF1A23">
        <w:rPr>
          <w:rFonts w:ascii="Times New Roman" w:hAnsi="Times New Roman" w:cs="Times New Roman"/>
        </w:rPr>
        <w:t>of FARA</w:t>
      </w:r>
      <w:r w:rsidRPr="00276134">
        <w:rPr>
          <w:rFonts w:ascii="Times New Roman" w:hAnsi="Times New Roman" w:cs="Times New Roman"/>
        </w:rPr>
        <w:t xml:space="preserve"> states that the </w:t>
      </w:r>
      <w:r w:rsidRPr="00276134" w:rsidR="00D6421C">
        <w:rPr>
          <w:rFonts w:ascii="Times New Roman" w:hAnsi="Times New Roman" w:cs="Times New Roman"/>
        </w:rPr>
        <w:t>“term ‘agent of a foreign principal’</w:t>
      </w:r>
      <w:r w:rsidRPr="00276134">
        <w:rPr>
          <w:rFonts w:ascii="Times New Roman" w:hAnsi="Times New Roman" w:cs="Times New Roman"/>
        </w:rPr>
        <w:t xml:space="preserve"> does not include any news or press service or association organized under the laws of the United States or of any State or other place subject to the jurisdiction of the United States, or any newspaper, magazine, periodical, or other publication for which there is on file with the United States Postal Service information in compliance with section 3611 of Title 39, published in the United States, solely by virtue of any bona fide news or journalistic activities, including the solicitation or acceptance of advertisements, subscriptions, or other compensation therefor, so long as it is at least 80 per centum beneficially owned by, and its officers and directors, if any, are citizens of the United States, and such news or press service or association, newspaper, magazine, periodical, or other publication, is not owned, directed, supervised, controlled, subsidized, or financed, and none of its policies are determined by any foreign principal defined in subsection (b) of section 611, or by any agent of a foreign principal required to register under this subchapter.</w:t>
      </w:r>
      <w:r w:rsidRPr="00276134" w:rsidR="00D6421C">
        <w:rPr>
          <w:rStyle w:val="FootnoteReference"/>
          <w:rFonts w:cs="Times New Roman"/>
        </w:rPr>
        <w:t>”</w:t>
      </w:r>
      <w:r>
        <w:rPr>
          <w:rStyle w:val="FootnoteReference"/>
          <w:rFonts w:cs="Times New Roman"/>
        </w:rPr>
        <w:footnoteReference w:id="12"/>
      </w:r>
    </w:p>
    <w:p w:rsidR="00930ECF" w:rsidRPr="00276134" w:rsidP="000F5555" w14:paraId="09D43272" w14:textId="77777777">
      <w:pPr>
        <w:ind w:firstLine="720"/>
        <w:rPr>
          <w:rFonts w:ascii="Times New Roman" w:hAnsi="Times New Roman" w:cs="Times New Roman"/>
        </w:rPr>
      </w:pPr>
    </w:p>
    <w:p w:rsidR="00443F16" w:rsidRPr="00276134" w:rsidP="000F5555" w14:paraId="2CA0089F" w14:textId="19A09830">
      <w:pPr>
        <w:ind w:firstLine="720"/>
        <w:rPr>
          <w:rFonts w:ascii="Times New Roman" w:hAnsi="Times New Roman" w:cs="Times New Roman"/>
        </w:rPr>
      </w:pPr>
      <w:r w:rsidRPr="00276134">
        <w:rPr>
          <w:rFonts w:ascii="Times New Roman" w:hAnsi="Times New Roman" w:cs="Times New Roman"/>
        </w:rPr>
        <w:t xml:space="preserve">Consistent with the requirements of the NDAA, the Commission will transmit to Congress a report that summarizes the contents of the reports submitted by United States-based foreign media outlets </w:t>
      </w:r>
      <w:r w:rsidRPr="00276134" w:rsidR="00781B76">
        <w:rPr>
          <w:rFonts w:ascii="Times New Roman" w:hAnsi="Times New Roman" w:cs="Times New Roman"/>
        </w:rPr>
        <w:t>within 90 days from the date of enactment</w:t>
      </w:r>
      <w:r w:rsidRPr="00276134" w:rsidR="00D8302A">
        <w:rPr>
          <w:rFonts w:ascii="Times New Roman" w:hAnsi="Times New Roman" w:cs="Times New Roman"/>
        </w:rPr>
        <w:t xml:space="preserve">, </w:t>
      </w:r>
      <w:r w:rsidRPr="00276134" w:rsidR="006B6DD1">
        <w:rPr>
          <w:rFonts w:ascii="Times New Roman" w:hAnsi="Times New Roman" w:cs="Times New Roman"/>
        </w:rPr>
        <w:t>and not less frequently than every 6 months thereafter.</w:t>
      </w:r>
      <w:r>
        <w:rPr>
          <w:rStyle w:val="FootnoteReference"/>
          <w:rFonts w:cs="Times New Roman"/>
        </w:rPr>
        <w:footnoteReference w:id="13"/>
      </w:r>
      <w:r w:rsidRPr="00276134" w:rsidR="006B6DD1">
        <w:rPr>
          <w:rFonts w:ascii="Times New Roman" w:hAnsi="Times New Roman" w:cs="Times New Roman"/>
        </w:rPr>
        <w:t xml:space="preserve">  As the Commission transmitted the </w:t>
      </w:r>
      <w:r w:rsidRPr="00276134" w:rsidR="007C5748">
        <w:rPr>
          <w:rFonts w:ascii="Times New Roman" w:hAnsi="Times New Roman" w:cs="Times New Roman"/>
        </w:rPr>
        <w:t>previous</w:t>
      </w:r>
      <w:r w:rsidRPr="00276134" w:rsidR="006B6DD1">
        <w:rPr>
          <w:rFonts w:ascii="Times New Roman" w:hAnsi="Times New Roman" w:cs="Times New Roman"/>
        </w:rPr>
        <w:t xml:space="preserve"> report </w:t>
      </w:r>
      <w:r w:rsidRPr="00341AF0" w:rsidR="009E0B7D">
        <w:rPr>
          <w:rFonts w:ascii="Times New Roman" w:hAnsi="Times New Roman" w:cs="Times New Roman"/>
        </w:rPr>
        <w:t>on</w:t>
      </w:r>
      <w:r w:rsidRPr="00341AF0" w:rsidR="00EE4B9C">
        <w:rPr>
          <w:rFonts w:ascii="Times New Roman" w:hAnsi="Times New Roman" w:cs="Times New Roman"/>
        </w:rPr>
        <w:t xml:space="preserve"> or before</w:t>
      </w:r>
      <w:r w:rsidRPr="00341AF0" w:rsidR="00F06543">
        <w:rPr>
          <w:rFonts w:ascii="Times New Roman" w:hAnsi="Times New Roman" w:cs="Times New Roman"/>
        </w:rPr>
        <w:t xml:space="preserve"> </w:t>
      </w:r>
      <w:r w:rsidR="00091A6D">
        <w:rPr>
          <w:rFonts w:ascii="Times New Roman" w:hAnsi="Times New Roman" w:cs="Times New Roman"/>
        </w:rPr>
        <w:t>November</w:t>
      </w:r>
      <w:r w:rsidRPr="007E271D" w:rsidR="00DD6A8D">
        <w:rPr>
          <w:rFonts w:ascii="Times New Roman" w:hAnsi="Times New Roman" w:cs="Times New Roman"/>
        </w:rPr>
        <w:t xml:space="preserve"> </w:t>
      </w:r>
      <w:r w:rsidR="0081026C">
        <w:rPr>
          <w:rFonts w:ascii="Times New Roman" w:hAnsi="Times New Roman" w:cs="Times New Roman"/>
        </w:rPr>
        <w:t>20</w:t>
      </w:r>
      <w:r w:rsidRPr="007E271D" w:rsidR="005773F7">
        <w:rPr>
          <w:rFonts w:ascii="Times New Roman" w:hAnsi="Times New Roman" w:cs="Times New Roman"/>
        </w:rPr>
        <w:t xml:space="preserve">, </w:t>
      </w:r>
      <w:r w:rsidRPr="007E271D" w:rsidR="00D275DC">
        <w:rPr>
          <w:rFonts w:ascii="Times New Roman" w:hAnsi="Times New Roman" w:cs="Times New Roman"/>
        </w:rPr>
        <w:t>202</w:t>
      </w:r>
      <w:r w:rsidR="0081026C">
        <w:rPr>
          <w:rFonts w:ascii="Times New Roman" w:hAnsi="Times New Roman" w:cs="Times New Roman"/>
        </w:rPr>
        <w:t xml:space="preserve">5 due to </w:t>
      </w:r>
      <w:r w:rsidR="000B3A49">
        <w:rPr>
          <w:rFonts w:ascii="Times New Roman" w:hAnsi="Times New Roman" w:cs="Times New Roman"/>
        </w:rPr>
        <w:t>a lapse in appropriations</w:t>
      </w:r>
      <w:r w:rsidR="0081026C">
        <w:rPr>
          <w:rFonts w:ascii="Times New Roman" w:hAnsi="Times New Roman" w:cs="Times New Roman"/>
        </w:rPr>
        <w:t>,</w:t>
      </w:r>
      <w:r w:rsidRPr="007E271D" w:rsidR="006B6DD1">
        <w:rPr>
          <w:rFonts w:ascii="Times New Roman" w:hAnsi="Times New Roman" w:cs="Times New Roman"/>
        </w:rPr>
        <w:t xml:space="preserve"> the </w:t>
      </w:r>
      <w:r w:rsidRPr="007E271D" w:rsidR="00A024F6">
        <w:rPr>
          <w:rFonts w:ascii="Times New Roman" w:hAnsi="Times New Roman" w:cs="Times New Roman"/>
        </w:rPr>
        <w:t>Commission will transmit the next report on</w:t>
      </w:r>
      <w:r w:rsidRPr="007E271D" w:rsidR="00F84574">
        <w:rPr>
          <w:rFonts w:ascii="Times New Roman" w:hAnsi="Times New Roman" w:cs="Times New Roman"/>
        </w:rPr>
        <w:t xml:space="preserve"> or before</w:t>
      </w:r>
      <w:r w:rsidRPr="007E271D" w:rsidR="00A024F6">
        <w:rPr>
          <w:rFonts w:ascii="Times New Roman" w:hAnsi="Times New Roman" w:cs="Times New Roman"/>
        </w:rPr>
        <w:t xml:space="preserve"> </w:t>
      </w:r>
      <w:r w:rsidR="00091A6D">
        <w:rPr>
          <w:rFonts w:ascii="Times New Roman" w:hAnsi="Times New Roman" w:cs="Times New Roman"/>
        </w:rPr>
        <w:t xml:space="preserve">May </w:t>
      </w:r>
      <w:r w:rsidR="0081026C">
        <w:rPr>
          <w:rFonts w:ascii="Times New Roman" w:hAnsi="Times New Roman" w:cs="Times New Roman"/>
        </w:rPr>
        <w:t>11</w:t>
      </w:r>
      <w:r w:rsidRPr="007E271D" w:rsidR="00A024F6">
        <w:rPr>
          <w:rFonts w:ascii="Times New Roman" w:hAnsi="Times New Roman" w:cs="Times New Roman"/>
        </w:rPr>
        <w:t>, 20</w:t>
      </w:r>
      <w:r w:rsidRPr="007E271D" w:rsidR="003F72FD">
        <w:rPr>
          <w:rFonts w:ascii="Times New Roman" w:hAnsi="Times New Roman" w:cs="Times New Roman"/>
        </w:rPr>
        <w:t>2</w:t>
      </w:r>
      <w:r w:rsidR="003C6F97">
        <w:rPr>
          <w:rFonts w:ascii="Times New Roman" w:hAnsi="Times New Roman" w:cs="Times New Roman"/>
        </w:rPr>
        <w:t>6</w:t>
      </w:r>
      <w:r w:rsidRPr="007E271D">
        <w:rPr>
          <w:rFonts w:ascii="Times New Roman" w:hAnsi="Times New Roman" w:cs="Times New Roman"/>
        </w:rPr>
        <w:t xml:space="preserve">.  </w:t>
      </w:r>
      <w:r w:rsidRPr="007E271D" w:rsidR="00781B76">
        <w:rPr>
          <w:rFonts w:ascii="Times New Roman" w:hAnsi="Times New Roman" w:cs="Times New Roman"/>
        </w:rPr>
        <w:t xml:space="preserve">In </w:t>
      </w:r>
      <w:r w:rsidRPr="007E271D" w:rsidR="008B6A97">
        <w:rPr>
          <w:rFonts w:ascii="Times New Roman" w:hAnsi="Times New Roman" w:cs="Times New Roman"/>
        </w:rPr>
        <w:t>addition</w:t>
      </w:r>
      <w:r w:rsidRPr="007E271D">
        <w:rPr>
          <w:rFonts w:ascii="Times New Roman" w:hAnsi="Times New Roman" w:cs="Times New Roman"/>
        </w:rPr>
        <w:t xml:space="preserve">, the Commission will make publicly available on its website each report submitted by </w:t>
      </w:r>
      <w:r w:rsidRPr="007E271D" w:rsidR="001B6058">
        <w:rPr>
          <w:rFonts w:ascii="Times New Roman" w:hAnsi="Times New Roman" w:cs="Times New Roman"/>
        </w:rPr>
        <w:t>a United States-based</w:t>
      </w:r>
      <w:r w:rsidRPr="00276134" w:rsidR="001B6058">
        <w:rPr>
          <w:rFonts w:ascii="Times New Roman" w:hAnsi="Times New Roman" w:cs="Times New Roman"/>
        </w:rPr>
        <w:t xml:space="preserve"> foreign media </w:t>
      </w:r>
      <w:r w:rsidRPr="00276134">
        <w:rPr>
          <w:rFonts w:ascii="Times New Roman" w:hAnsi="Times New Roman" w:cs="Times New Roman"/>
        </w:rPr>
        <w:t xml:space="preserve">outlet </w:t>
      </w:r>
      <w:r w:rsidRPr="00276134" w:rsidR="009118BA">
        <w:rPr>
          <w:rFonts w:ascii="Times New Roman" w:hAnsi="Times New Roman" w:cs="Times New Roman"/>
        </w:rPr>
        <w:t>no</w:t>
      </w:r>
      <w:r w:rsidRPr="00276134" w:rsidR="001B6058">
        <w:rPr>
          <w:rFonts w:ascii="Times New Roman" w:hAnsi="Times New Roman" w:cs="Times New Roman"/>
        </w:rPr>
        <w:t xml:space="preserve"> later than the earlier of </w:t>
      </w:r>
      <w:r w:rsidRPr="00276134">
        <w:rPr>
          <w:rFonts w:ascii="Times New Roman" w:hAnsi="Times New Roman" w:cs="Times New Roman"/>
        </w:rPr>
        <w:t xml:space="preserve"> </w:t>
      </w:r>
      <w:r w:rsidRPr="00276134" w:rsidR="00B212BE">
        <w:rPr>
          <w:rFonts w:ascii="Times New Roman" w:hAnsi="Times New Roman" w:cs="Times New Roman"/>
        </w:rPr>
        <w:t xml:space="preserve">(1) </w:t>
      </w:r>
      <w:r w:rsidRPr="00276134">
        <w:rPr>
          <w:rFonts w:ascii="Times New Roman" w:hAnsi="Times New Roman" w:cs="Times New Roman"/>
        </w:rPr>
        <w:t>30 days after the outlet submit</w:t>
      </w:r>
      <w:r w:rsidRPr="00276134" w:rsidR="001B6058">
        <w:rPr>
          <w:rFonts w:ascii="Times New Roman" w:hAnsi="Times New Roman" w:cs="Times New Roman"/>
        </w:rPr>
        <w:t>s</w:t>
      </w:r>
      <w:r w:rsidRPr="00276134">
        <w:rPr>
          <w:rFonts w:ascii="Times New Roman" w:hAnsi="Times New Roman" w:cs="Times New Roman"/>
        </w:rPr>
        <w:t xml:space="preserve"> </w:t>
      </w:r>
      <w:r w:rsidRPr="00276134" w:rsidR="001B6058">
        <w:rPr>
          <w:rFonts w:ascii="Times New Roman" w:hAnsi="Times New Roman" w:cs="Times New Roman"/>
        </w:rPr>
        <w:t xml:space="preserve">its </w:t>
      </w:r>
      <w:r w:rsidRPr="00276134">
        <w:rPr>
          <w:rFonts w:ascii="Times New Roman" w:hAnsi="Times New Roman" w:cs="Times New Roman"/>
        </w:rPr>
        <w:t xml:space="preserve">report </w:t>
      </w:r>
      <w:r w:rsidRPr="00276134" w:rsidR="001B6058">
        <w:rPr>
          <w:rFonts w:ascii="Times New Roman" w:hAnsi="Times New Roman" w:cs="Times New Roman"/>
        </w:rPr>
        <w:t xml:space="preserve">to the </w:t>
      </w:r>
      <w:r w:rsidRPr="00276134" w:rsidR="001B6058">
        <w:rPr>
          <w:rFonts w:ascii="Times New Roman" w:hAnsi="Times New Roman" w:cs="Times New Roman"/>
        </w:rPr>
        <w:t xml:space="preserve">Commission </w:t>
      </w:r>
      <w:r w:rsidRPr="00276134">
        <w:rPr>
          <w:rFonts w:ascii="Times New Roman" w:hAnsi="Times New Roman" w:cs="Times New Roman"/>
        </w:rPr>
        <w:t xml:space="preserve">or </w:t>
      </w:r>
      <w:r w:rsidRPr="00276134" w:rsidR="001B6058">
        <w:rPr>
          <w:rFonts w:ascii="Times New Roman" w:hAnsi="Times New Roman" w:cs="Times New Roman"/>
        </w:rPr>
        <w:t xml:space="preserve">(2) </w:t>
      </w:r>
      <w:r w:rsidRPr="00276134">
        <w:rPr>
          <w:rFonts w:ascii="Times New Roman" w:hAnsi="Times New Roman" w:cs="Times New Roman"/>
        </w:rPr>
        <w:t xml:space="preserve">the date </w:t>
      </w:r>
      <w:r w:rsidRPr="00276134" w:rsidR="001B6058">
        <w:rPr>
          <w:rFonts w:ascii="Times New Roman" w:hAnsi="Times New Roman" w:cs="Times New Roman"/>
        </w:rPr>
        <w:t xml:space="preserve">on </w:t>
      </w:r>
      <w:r w:rsidRPr="00276134">
        <w:rPr>
          <w:rFonts w:ascii="Times New Roman" w:hAnsi="Times New Roman" w:cs="Times New Roman"/>
        </w:rPr>
        <w:t>which the Commission transmits its report to Congress.</w:t>
      </w:r>
      <w:r>
        <w:rPr>
          <w:rStyle w:val="FootnoteReference"/>
          <w:rFonts w:cs="Times New Roman"/>
        </w:rPr>
        <w:footnoteReference w:id="14"/>
      </w:r>
      <w:r w:rsidRPr="00276134">
        <w:rPr>
          <w:rFonts w:ascii="Times New Roman" w:hAnsi="Times New Roman" w:cs="Times New Roman"/>
        </w:rPr>
        <w:t xml:space="preserve">  </w:t>
      </w:r>
      <w:r w:rsidRPr="00276134" w:rsidR="00A024F6">
        <w:rPr>
          <w:rFonts w:ascii="Times New Roman" w:hAnsi="Times New Roman" w:cs="Times New Roman"/>
        </w:rPr>
        <w:t>These reports and the Commission’s report to Congress can be found on the website</w:t>
      </w:r>
      <w:r w:rsidRPr="00276134" w:rsidR="00B56431">
        <w:rPr>
          <w:rFonts w:ascii="Times New Roman" w:hAnsi="Times New Roman" w:cs="Times New Roman"/>
        </w:rPr>
        <w:t xml:space="preserve"> </w:t>
      </w:r>
      <w:r w:rsidRPr="00276134" w:rsidR="00A024F6">
        <w:rPr>
          <w:rFonts w:ascii="Times New Roman" w:hAnsi="Times New Roman" w:cs="Times New Roman"/>
        </w:rPr>
        <w:t xml:space="preserve">of the Media Bureau:  </w:t>
      </w:r>
      <w:hyperlink r:id="rId7" w:history="1">
        <w:r w:rsidRPr="00276134" w:rsidR="00A024F6">
          <w:rPr>
            <w:rStyle w:val="Hyperlink"/>
            <w:rFonts w:ascii="Times New Roman" w:hAnsi="Times New Roman" w:cs="Times New Roman"/>
          </w:rPr>
          <w:t>https://www.fcc.gov/united-states-based-foreign-media-outlets</w:t>
        </w:r>
      </w:hyperlink>
      <w:r w:rsidRPr="00276134" w:rsidR="00A024F6">
        <w:rPr>
          <w:rFonts w:ascii="Times New Roman" w:hAnsi="Times New Roman" w:cs="Times New Roman"/>
        </w:rPr>
        <w:t xml:space="preserve">. </w:t>
      </w:r>
    </w:p>
    <w:p w:rsidR="00443F16" w:rsidRPr="00276134" w:rsidP="000F5555" w14:paraId="12778100" w14:textId="77777777">
      <w:pPr>
        <w:ind w:firstLine="720"/>
        <w:rPr>
          <w:rFonts w:ascii="Times New Roman" w:hAnsi="Times New Roman" w:cs="Times New Roman"/>
        </w:rPr>
      </w:pPr>
    </w:p>
    <w:p w:rsidR="00CD01E3" w:rsidRPr="00276134" w:rsidP="00CD01E3" w14:paraId="27523D06" w14:textId="47CA5832">
      <w:pPr>
        <w:ind w:firstLine="720"/>
        <w:rPr>
          <w:rFonts w:ascii="Times New Roman" w:hAnsi="Times New Roman" w:cs="Times New Roman"/>
        </w:rPr>
      </w:pPr>
      <w:r w:rsidRPr="00341AF0">
        <w:rPr>
          <w:rFonts w:ascii="Times New Roman" w:hAnsi="Times New Roman" w:cs="Times New Roman"/>
        </w:rPr>
        <w:t>For additional information, contact</w:t>
      </w:r>
      <w:r w:rsidRPr="00341AF0" w:rsidR="00341AF0">
        <w:rPr>
          <w:rFonts w:ascii="Times New Roman" w:hAnsi="Times New Roman" w:cs="Times New Roman"/>
        </w:rPr>
        <w:t xml:space="preserve"> James Elustondo</w:t>
      </w:r>
      <w:r w:rsidRPr="00341AF0">
        <w:rPr>
          <w:rFonts w:ascii="Times New Roman" w:hAnsi="Times New Roman" w:cs="Times New Roman"/>
        </w:rPr>
        <w:t xml:space="preserve">, </w:t>
      </w:r>
      <w:hyperlink r:id="rId8" w:history="1">
        <w:r w:rsidRPr="00FB6925" w:rsidR="00E76F78">
          <w:rPr>
            <w:rStyle w:val="Hyperlink"/>
            <w:rFonts w:ascii="Times New Roman" w:hAnsi="Times New Roman" w:cs="Times New Roman"/>
          </w:rPr>
          <w:t>James.Elustondo@fcc.gov</w:t>
        </w:r>
      </w:hyperlink>
      <w:r w:rsidRPr="00341AF0">
        <w:rPr>
          <w:rFonts w:ascii="Times New Roman" w:hAnsi="Times New Roman" w:cs="Times New Roman"/>
        </w:rPr>
        <w:t>, of the Media Bureau, Industry Analysis Division, at (202) 418-</w:t>
      </w:r>
      <w:r w:rsidRPr="00341AF0" w:rsidR="00341AF0">
        <w:rPr>
          <w:rFonts w:ascii="Times New Roman" w:hAnsi="Times New Roman" w:cs="Times New Roman"/>
        </w:rPr>
        <w:t>1801</w:t>
      </w:r>
      <w:r w:rsidRPr="00341AF0">
        <w:rPr>
          <w:rFonts w:ascii="Times New Roman" w:hAnsi="Times New Roman" w:cs="Times New Roman"/>
        </w:rPr>
        <w:t xml:space="preserve">.  Press inquiries should be directed to </w:t>
      </w:r>
      <w:r w:rsidR="00852695">
        <w:rPr>
          <w:rFonts w:ascii="Times New Roman" w:hAnsi="Times New Roman" w:cs="Times New Roman"/>
        </w:rPr>
        <w:t xml:space="preserve">the Office of </w:t>
      </w:r>
      <w:r>
        <w:rPr>
          <w:rFonts w:ascii="Times New Roman" w:hAnsi="Times New Roman" w:cs="Times New Roman"/>
        </w:rPr>
        <w:t xml:space="preserve">Media Relations at </w:t>
      </w:r>
      <w:hyperlink r:id="rId9" w:history="1">
        <w:r w:rsidRPr="00272571">
          <w:rPr>
            <w:rStyle w:val="Hyperlink"/>
            <w:rFonts w:ascii="Times New Roman" w:hAnsi="Times New Roman" w:cs="Times New Roman"/>
          </w:rPr>
          <w:t>MediaRelations@fcc.gov</w:t>
        </w:r>
      </w:hyperlink>
      <w:r>
        <w:rPr>
          <w:rFonts w:ascii="Times New Roman" w:hAnsi="Times New Roman" w:cs="Times New Roman"/>
        </w:rPr>
        <w:t xml:space="preserve">. </w:t>
      </w:r>
    </w:p>
    <w:p w:rsidR="002D7A25" w:rsidRPr="00276134" w:rsidP="00F96F63" w14:paraId="496DF4DB" w14:textId="77777777">
      <w:pPr>
        <w:rPr>
          <w:rFonts w:ascii="Times New Roman" w:hAnsi="Times New Roman" w:cs="Times New Roman"/>
        </w:rPr>
      </w:pPr>
    </w:p>
    <w:p w:rsidR="00891596" w:rsidRPr="00276134" w:rsidP="00891596" w14:paraId="1A574FDA" w14:textId="77777777">
      <w:pPr>
        <w:jc w:val="center"/>
        <w:rPr>
          <w:rFonts w:ascii="Times New Roman" w:hAnsi="Times New Roman" w:cs="Times New Roman"/>
        </w:rPr>
      </w:pPr>
      <w:r w:rsidRPr="00276134">
        <w:rPr>
          <w:rFonts w:ascii="Times New Roman" w:hAnsi="Times New Roman" w:cs="Times New Roman"/>
        </w:rPr>
        <w:t>- FCC -</w:t>
      </w:r>
    </w:p>
    <w:p w:rsidR="00891596" w:rsidRPr="00276134" w:rsidP="00F96F63" w14:paraId="229F0CF4" w14:textId="77777777">
      <w:pPr>
        <w:rPr>
          <w:rFonts w:ascii="Times New Roman" w:hAnsi="Times New Roman" w:cs="Times New Roman"/>
        </w:rPr>
      </w:pPr>
    </w:p>
    <w:sectPr w:rsidSect="00684D3D">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9012B" w14:paraId="71411013" w14:textId="77777777">
      <w:r>
        <w:separator/>
      </w:r>
    </w:p>
  </w:endnote>
  <w:endnote w:type="continuationSeparator" w:id="1">
    <w:p w:rsidR="00C9012B" w14:paraId="2F0DEC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0D2A261E"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250502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RPr="00580619" w:rsidP="00910F12" w14:paraId="72CF7967" w14:textId="77777777">
    <w:pPr>
      <w:pStyle w:val="Footer"/>
      <w:jc w:val="center"/>
      <w:rPr>
        <w:rFonts w:ascii="Times New Roman" w:hAnsi="Times New Roman" w:cs="Times New Roman"/>
      </w:rPr>
    </w:pPr>
    <w:r w:rsidRPr="00580619">
      <w:rPr>
        <w:rFonts w:ascii="Times New Roman" w:hAnsi="Times New Roman" w:cs="Times New Roman"/>
      </w:rPr>
      <w:fldChar w:fldCharType="begin"/>
    </w:r>
    <w:r w:rsidRPr="00580619">
      <w:rPr>
        <w:rFonts w:ascii="Times New Roman" w:hAnsi="Times New Roman" w:cs="Times New Roman"/>
      </w:rPr>
      <w:instrText xml:space="preserve"> PAGE   \* MERGEFORMAT </w:instrText>
    </w:r>
    <w:r w:rsidRPr="00580619">
      <w:rPr>
        <w:rFonts w:ascii="Times New Roman" w:hAnsi="Times New Roman" w:cs="Times New Roman"/>
      </w:rPr>
      <w:fldChar w:fldCharType="separate"/>
    </w:r>
    <w:r w:rsidRPr="00580619">
      <w:rPr>
        <w:rFonts w:ascii="Times New Roman" w:hAnsi="Times New Roman" w:cs="Times New Roman"/>
        <w:noProof/>
      </w:rPr>
      <w:t>2</w:t>
    </w:r>
    <w:r w:rsidRPr="00580619">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36920648"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012B" w14:paraId="7CA7E7CC" w14:textId="77777777">
      <w:r>
        <w:separator/>
      </w:r>
    </w:p>
  </w:footnote>
  <w:footnote w:type="continuationSeparator" w:id="1">
    <w:p w:rsidR="00C9012B" w14:paraId="1E06F9A6" w14:textId="77777777">
      <w:pPr>
        <w:rPr>
          <w:sz w:val="20"/>
        </w:rPr>
      </w:pPr>
      <w:r>
        <w:rPr>
          <w:sz w:val="20"/>
        </w:rPr>
        <w:t xml:space="preserve">(Continued from previous page)  </w:t>
      </w:r>
      <w:r>
        <w:rPr>
          <w:sz w:val="20"/>
        </w:rPr>
        <w:separator/>
      </w:r>
    </w:p>
  </w:footnote>
  <w:footnote w:type="continuationNotice" w:id="2">
    <w:p w:rsidR="00C9012B" w:rsidP="00910F12" w14:paraId="0F13AE40" w14:textId="77777777">
      <w:pPr>
        <w:jc w:val="right"/>
        <w:rPr>
          <w:sz w:val="20"/>
        </w:rPr>
      </w:pPr>
    </w:p>
  </w:footnote>
  <w:footnote w:id="3">
    <w:p w:rsidR="00A024F6" w:rsidP="00A024F6" w14:paraId="741CB997" w14:textId="77777777">
      <w:pPr>
        <w:pStyle w:val="FootnoteText"/>
      </w:pPr>
      <w:r>
        <w:rPr>
          <w:rStyle w:val="FootnoteReference"/>
        </w:rPr>
        <w:footnoteRef/>
      </w:r>
      <w:r>
        <w:t xml:space="preserve"> </w:t>
      </w:r>
      <w:r w:rsidRPr="00231C74">
        <w:t xml:space="preserve">John S. McCain </w:t>
      </w:r>
      <w:r w:rsidRPr="00DD07D7">
        <w:t>National Defense Authorization Act for Fiscal Year 2019</w:t>
      </w:r>
      <w:r>
        <w:t xml:space="preserve">, </w:t>
      </w:r>
      <w:r w:rsidRPr="00FD7736">
        <w:t>Pub</w:t>
      </w:r>
      <w:r>
        <w:t>. L. No.</w:t>
      </w:r>
      <w:r w:rsidRPr="00FD7736">
        <w:t xml:space="preserve"> 115-232</w:t>
      </w:r>
      <w:r>
        <w:t xml:space="preserve">, </w:t>
      </w:r>
      <w:r w:rsidRPr="0076203F">
        <w:t>§</w:t>
      </w:r>
      <w:r>
        <w:t>1085(a) (2018) (NDAA).</w:t>
      </w:r>
    </w:p>
  </w:footnote>
  <w:footnote w:id="4">
    <w:p w:rsidR="00143682" w14:paraId="0D08C3DB" w14:textId="77777777">
      <w:pPr>
        <w:pStyle w:val="FootnoteText"/>
      </w:pPr>
      <w:r>
        <w:rPr>
          <w:rStyle w:val="FootnoteReference"/>
        </w:rPr>
        <w:footnoteRef/>
      </w:r>
      <w:r>
        <w:t xml:space="preserve"> 47 U.S.C. § </w:t>
      </w:r>
      <w:r w:rsidR="004C6751">
        <w:t>624</w:t>
      </w:r>
      <w:r>
        <w:t>(a).</w:t>
      </w:r>
    </w:p>
  </w:footnote>
  <w:footnote w:id="5">
    <w:p w:rsidR="00CD003F" w14:paraId="244E4E8D" w14:textId="77777777">
      <w:pPr>
        <w:pStyle w:val="FootnoteText"/>
      </w:pPr>
      <w:r>
        <w:rPr>
          <w:rStyle w:val="FootnoteReference"/>
        </w:rPr>
        <w:footnoteRef/>
      </w:r>
      <w:r>
        <w:t xml:space="preserve"> 18 U.S.C. </w:t>
      </w:r>
      <w:r w:rsidRPr="00CD003F">
        <w:t>§ 1001</w:t>
      </w:r>
      <w:r>
        <w:t>.</w:t>
      </w:r>
    </w:p>
  </w:footnote>
  <w:footnote w:id="6">
    <w:p w:rsidR="008A3E73" w14:paraId="6B282E38" w14:textId="77777777">
      <w:pPr>
        <w:pStyle w:val="FootnoteText"/>
      </w:pPr>
      <w:r>
        <w:rPr>
          <w:rStyle w:val="FootnoteReference"/>
        </w:rPr>
        <w:footnoteRef/>
      </w:r>
      <w:r>
        <w:t xml:space="preserve"> </w:t>
      </w:r>
      <w:r w:rsidRPr="008A3E73">
        <w:t>47 U</w:t>
      </w:r>
      <w:r w:rsidR="00472F14">
        <w:t>.</w:t>
      </w:r>
      <w:r w:rsidRPr="008A3E73">
        <w:t>S</w:t>
      </w:r>
      <w:r w:rsidR="00472F14">
        <w:t>.</w:t>
      </w:r>
      <w:r w:rsidRPr="008A3E73">
        <w:t>C</w:t>
      </w:r>
      <w:r w:rsidR="00472F14">
        <w:t>.</w:t>
      </w:r>
      <w:r w:rsidRPr="008A3E73">
        <w:t xml:space="preserve"> § </w:t>
      </w:r>
      <w:r w:rsidR="004C6751">
        <w:t>624</w:t>
      </w:r>
      <w:r w:rsidRPr="008A3E73">
        <w:t>(d</w:t>
      </w:r>
      <w:r>
        <w:t>)(2</w:t>
      </w:r>
      <w:r w:rsidRPr="008A3E73">
        <w:t>)</w:t>
      </w:r>
      <w:r>
        <w:t>.</w:t>
      </w:r>
    </w:p>
  </w:footnote>
  <w:footnote w:id="7">
    <w:p w:rsidR="00665514" w:rsidRPr="0076203F" w:rsidP="00665514" w14:paraId="7F82009E" w14:textId="77777777">
      <w:pPr>
        <w:pStyle w:val="FootnoteText"/>
      </w:pPr>
      <w:r>
        <w:rPr>
          <w:rStyle w:val="FootnoteReference"/>
        </w:rPr>
        <w:footnoteRef/>
      </w:r>
      <w:r>
        <w:t xml:space="preserve"> </w:t>
      </w:r>
      <w:r w:rsidRPr="0076203F">
        <w:t>47 U.S.C. § 522(20)</w:t>
      </w:r>
      <w:r>
        <w:t>.</w:t>
      </w:r>
    </w:p>
  </w:footnote>
  <w:footnote w:id="8">
    <w:p w:rsidR="00665514" w:rsidP="00665514" w14:paraId="395EAB5B" w14:textId="77777777">
      <w:pPr>
        <w:pStyle w:val="FootnoteText"/>
      </w:pPr>
      <w:r>
        <w:rPr>
          <w:rStyle w:val="FootnoteReference"/>
        </w:rPr>
        <w:footnoteRef/>
      </w:r>
      <w:r>
        <w:t xml:space="preserve"> </w:t>
      </w:r>
      <w:r w:rsidRPr="0076203F">
        <w:t>47 U.S.C. § 522(13)</w:t>
      </w:r>
      <w:r>
        <w:t>.</w:t>
      </w:r>
    </w:p>
  </w:footnote>
  <w:footnote w:id="9">
    <w:p w:rsidR="00472F14" w14:paraId="7FE08291" w14:textId="77777777">
      <w:pPr>
        <w:pStyle w:val="FootnoteText"/>
      </w:pPr>
      <w:r>
        <w:rPr>
          <w:rStyle w:val="FootnoteReference"/>
        </w:rPr>
        <w:footnoteRef/>
      </w:r>
      <w:r>
        <w:t xml:space="preserve"> </w:t>
      </w:r>
      <w:r w:rsidRPr="008A3E73">
        <w:t>47 U</w:t>
      </w:r>
      <w:r>
        <w:t>.</w:t>
      </w:r>
      <w:r w:rsidRPr="008A3E73">
        <w:t>S</w:t>
      </w:r>
      <w:r>
        <w:t>.</w:t>
      </w:r>
      <w:r w:rsidRPr="008A3E73">
        <w:t>C</w:t>
      </w:r>
      <w:r>
        <w:t>.</w:t>
      </w:r>
      <w:r w:rsidRPr="008A3E73">
        <w:t xml:space="preserve"> § </w:t>
      </w:r>
      <w:r w:rsidR="004C6751">
        <w:t>624</w:t>
      </w:r>
      <w:r w:rsidRPr="008A3E73">
        <w:t>(d</w:t>
      </w:r>
      <w:r>
        <w:t>)(1</w:t>
      </w:r>
      <w:r w:rsidRPr="008A3E73">
        <w:t>)</w:t>
      </w:r>
      <w:r>
        <w:t>.</w:t>
      </w:r>
    </w:p>
  </w:footnote>
  <w:footnote w:id="10">
    <w:p w:rsidR="007320F5" w:rsidRPr="004F302E" w:rsidP="00B212BE" w14:paraId="62FE03F0" w14:textId="77777777">
      <w:pPr>
        <w:spacing w:after="120"/>
        <w:rPr>
          <w:rFonts w:ascii="Times New Roman" w:hAnsi="Times New Roman" w:cs="Times New Roman"/>
          <w:sz w:val="20"/>
          <w:szCs w:val="20"/>
        </w:rPr>
      </w:pPr>
      <w:r w:rsidRPr="0076203F">
        <w:rPr>
          <w:rStyle w:val="FootnoteReference"/>
          <w:sz w:val="20"/>
        </w:rPr>
        <w:footnoteRef/>
      </w:r>
      <w:r w:rsidRPr="0076203F">
        <w:t xml:space="preserve"> </w:t>
      </w:r>
      <w:r w:rsidRPr="00781B76" w:rsidR="008A3E73">
        <w:rPr>
          <w:rFonts w:ascii="Times New Roman" w:hAnsi="Times New Roman" w:cs="Times New Roman"/>
          <w:sz w:val="20"/>
          <w:szCs w:val="20"/>
        </w:rPr>
        <w:t>47 U</w:t>
      </w:r>
      <w:r w:rsidRPr="00781B76" w:rsidR="00B212BE">
        <w:rPr>
          <w:rFonts w:ascii="Times New Roman" w:hAnsi="Times New Roman" w:cs="Times New Roman"/>
          <w:sz w:val="20"/>
          <w:szCs w:val="20"/>
        </w:rPr>
        <w:t>.</w:t>
      </w:r>
      <w:r w:rsidRPr="00781B76" w:rsidR="008A3E73">
        <w:rPr>
          <w:rFonts w:ascii="Times New Roman" w:hAnsi="Times New Roman" w:cs="Times New Roman"/>
          <w:sz w:val="20"/>
          <w:szCs w:val="20"/>
        </w:rPr>
        <w:t>S</w:t>
      </w:r>
      <w:r w:rsidRPr="00781B76" w:rsidR="00B212BE">
        <w:rPr>
          <w:rFonts w:ascii="Times New Roman" w:hAnsi="Times New Roman" w:cs="Times New Roman"/>
          <w:sz w:val="20"/>
          <w:szCs w:val="20"/>
        </w:rPr>
        <w:t>.</w:t>
      </w:r>
      <w:r w:rsidRPr="00781B76" w:rsidR="008A3E73">
        <w:rPr>
          <w:rFonts w:ascii="Times New Roman" w:hAnsi="Times New Roman" w:cs="Times New Roman"/>
          <w:sz w:val="20"/>
          <w:szCs w:val="20"/>
        </w:rPr>
        <w:t>C</w:t>
      </w:r>
      <w:r w:rsidRPr="00781B76" w:rsidR="00B212BE">
        <w:rPr>
          <w:rFonts w:ascii="Times New Roman" w:hAnsi="Times New Roman" w:cs="Times New Roman"/>
          <w:sz w:val="20"/>
          <w:szCs w:val="20"/>
        </w:rPr>
        <w:t>.</w:t>
      </w:r>
      <w:r w:rsidRPr="00781B76" w:rsidR="008A3E73">
        <w:rPr>
          <w:rFonts w:ascii="Times New Roman" w:hAnsi="Times New Roman" w:cs="Times New Roman"/>
          <w:sz w:val="20"/>
          <w:szCs w:val="20"/>
        </w:rPr>
        <w:t xml:space="preserve"> § </w:t>
      </w:r>
      <w:r w:rsidR="004C6751">
        <w:rPr>
          <w:rFonts w:ascii="Times New Roman" w:hAnsi="Times New Roman" w:cs="Times New Roman"/>
          <w:sz w:val="20"/>
          <w:szCs w:val="20"/>
        </w:rPr>
        <w:t>624</w:t>
      </w:r>
      <w:r w:rsidRPr="00781B76" w:rsidR="008A3E73">
        <w:rPr>
          <w:rFonts w:ascii="Times New Roman" w:hAnsi="Times New Roman" w:cs="Times New Roman"/>
          <w:sz w:val="20"/>
          <w:szCs w:val="20"/>
        </w:rPr>
        <w:t xml:space="preserve">(d)(1); </w:t>
      </w:r>
      <w:r w:rsidRPr="00781B76">
        <w:rPr>
          <w:rFonts w:ascii="Times New Roman" w:hAnsi="Times New Roman" w:cs="Times New Roman"/>
          <w:sz w:val="20"/>
          <w:szCs w:val="20"/>
        </w:rPr>
        <w:t>22 U.S.C. § 611(b)</w:t>
      </w:r>
      <w:r w:rsidRPr="004F302E">
        <w:rPr>
          <w:rFonts w:ascii="Times New Roman" w:hAnsi="Times New Roman" w:cs="Times New Roman"/>
          <w:sz w:val="20"/>
          <w:szCs w:val="20"/>
        </w:rPr>
        <w:t>(1</w:t>
      </w:r>
      <w:r w:rsidRPr="00781B76">
        <w:rPr>
          <w:rFonts w:ascii="Times New Roman" w:hAnsi="Times New Roman" w:cs="Times New Roman"/>
          <w:sz w:val="20"/>
          <w:szCs w:val="20"/>
        </w:rPr>
        <w:t xml:space="preserve">). </w:t>
      </w:r>
      <w:r w:rsidRPr="00781B76" w:rsidR="00983B62">
        <w:rPr>
          <w:rFonts w:ascii="Times New Roman" w:hAnsi="Times New Roman" w:cs="Times New Roman"/>
          <w:sz w:val="20"/>
          <w:szCs w:val="20"/>
        </w:rPr>
        <w:t xml:space="preserve"> </w:t>
      </w:r>
      <w:r w:rsidRPr="00781B76" w:rsidR="00C245C3">
        <w:rPr>
          <w:rFonts w:ascii="Times New Roman" w:hAnsi="Times New Roman" w:cs="Times New Roman"/>
          <w:sz w:val="20"/>
          <w:szCs w:val="20"/>
        </w:rPr>
        <w:t>We note that the Department of Justice has adopted regulations implementing the Foreign Agents Registration Act of 1938</w:t>
      </w:r>
      <w:r w:rsidRPr="00781B76" w:rsidR="00C42DD8">
        <w:rPr>
          <w:rFonts w:ascii="Times New Roman" w:hAnsi="Times New Roman" w:cs="Times New Roman"/>
          <w:sz w:val="20"/>
          <w:szCs w:val="20"/>
        </w:rPr>
        <w:t>, including definitions of statutory terms</w:t>
      </w:r>
      <w:r w:rsidRPr="00781B76" w:rsidR="00C245C3">
        <w:rPr>
          <w:rFonts w:ascii="Times New Roman" w:hAnsi="Times New Roman" w:cs="Times New Roman"/>
          <w:sz w:val="20"/>
          <w:szCs w:val="20"/>
        </w:rPr>
        <w:t xml:space="preserve">.  </w:t>
      </w:r>
      <w:r w:rsidRPr="00781B76" w:rsidR="00C245C3">
        <w:rPr>
          <w:rFonts w:ascii="Times New Roman" w:hAnsi="Times New Roman" w:cs="Times New Roman"/>
          <w:i/>
          <w:sz w:val="20"/>
          <w:szCs w:val="20"/>
        </w:rPr>
        <w:t>See</w:t>
      </w:r>
      <w:r w:rsidRPr="00781B76" w:rsidR="00C245C3">
        <w:rPr>
          <w:rFonts w:ascii="Times New Roman" w:hAnsi="Times New Roman" w:cs="Times New Roman"/>
          <w:sz w:val="20"/>
          <w:szCs w:val="20"/>
        </w:rPr>
        <w:t xml:space="preserve"> 5 CFR §</w:t>
      </w:r>
      <w:r w:rsidRPr="00781B76" w:rsidR="00347D85">
        <w:rPr>
          <w:rFonts w:ascii="Times New Roman" w:hAnsi="Times New Roman" w:cs="Times New Roman"/>
          <w:sz w:val="20"/>
          <w:szCs w:val="20"/>
        </w:rPr>
        <w:t>§</w:t>
      </w:r>
      <w:r w:rsidRPr="00781B76" w:rsidR="00C245C3">
        <w:rPr>
          <w:rFonts w:ascii="Times New Roman" w:hAnsi="Times New Roman" w:cs="Times New Roman"/>
          <w:sz w:val="20"/>
          <w:szCs w:val="20"/>
        </w:rPr>
        <w:t xml:space="preserve"> 5.1</w:t>
      </w:r>
      <w:r w:rsidRPr="00781B76" w:rsidR="00363F94">
        <w:rPr>
          <w:rFonts w:ascii="Times New Roman" w:hAnsi="Times New Roman" w:cs="Times New Roman"/>
          <w:sz w:val="20"/>
          <w:szCs w:val="20"/>
        </w:rPr>
        <w:t xml:space="preserve">, </w:t>
      </w:r>
      <w:r w:rsidRPr="00781B76" w:rsidR="00363F94">
        <w:rPr>
          <w:rFonts w:ascii="Times New Roman" w:hAnsi="Times New Roman" w:cs="Times New Roman"/>
          <w:i/>
          <w:sz w:val="20"/>
          <w:szCs w:val="20"/>
        </w:rPr>
        <w:t>et seq.</w:t>
      </w:r>
      <w:r w:rsidRPr="00781B76" w:rsidR="00E7202A">
        <w:rPr>
          <w:rFonts w:ascii="Times New Roman" w:hAnsi="Times New Roman" w:cs="Times New Roman"/>
          <w:i/>
          <w:sz w:val="20"/>
          <w:szCs w:val="20"/>
        </w:rPr>
        <w:t>; id.</w:t>
      </w:r>
      <w:r w:rsidRPr="00781B76" w:rsidR="00E7202A">
        <w:rPr>
          <w:rFonts w:ascii="Times New Roman" w:hAnsi="Times New Roman" w:cs="Times New Roman"/>
          <w:sz w:val="20"/>
          <w:szCs w:val="20"/>
        </w:rPr>
        <w:t xml:space="preserve"> § 5.100</w:t>
      </w:r>
      <w:r w:rsidRPr="00781B76" w:rsidR="004415EA">
        <w:rPr>
          <w:rFonts w:ascii="Times New Roman" w:hAnsi="Times New Roman" w:cs="Times New Roman"/>
          <w:sz w:val="20"/>
          <w:szCs w:val="20"/>
        </w:rPr>
        <w:t>.</w:t>
      </w:r>
    </w:p>
  </w:footnote>
  <w:footnote w:id="11">
    <w:p w:rsidR="004C0C4C" w14:paraId="45E9F36A" w14:textId="77777777">
      <w:pPr>
        <w:pStyle w:val="FootnoteText"/>
      </w:pPr>
      <w:r>
        <w:rPr>
          <w:rStyle w:val="FootnoteReference"/>
        </w:rPr>
        <w:footnoteRef/>
      </w:r>
      <w:r>
        <w:t xml:space="preserve"> 22 U.S.C. § 611(c</w:t>
      </w:r>
      <w:r w:rsidRPr="00261E0D">
        <w:t>)</w:t>
      </w:r>
      <w:r>
        <w:t>.</w:t>
      </w:r>
    </w:p>
  </w:footnote>
  <w:footnote w:id="12">
    <w:p w:rsidR="007320F5" w:rsidP="007320F5" w14:paraId="3B2C128F" w14:textId="77777777">
      <w:pPr>
        <w:pStyle w:val="FootnoteText"/>
      </w:pPr>
      <w:r>
        <w:rPr>
          <w:rStyle w:val="FootnoteReference"/>
        </w:rPr>
        <w:footnoteRef/>
      </w:r>
      <w:r w:rsidR="00A3122F">
        <w:t xml:space="preserve"> </w:t>
      </w:r>
      <w:r w:rsidRPr="00261E0D">
        <w:t>22 U.S.C. § 611(d)</w:t>
      </w:r>
      <w:r>
        <w:t>.</w:t>
      </w:r>
    </w:p>
  </w:footnote>
  <w:footnote w:id="13">
    <w:p w:rsidR="006B6DD1" w:rsidP="006B6DD1" w14:paraId="24D0C4C1" w14:textId="77777777">
      <w:pPr>
        <w:pStyle w:val="FootnoteText"/>
      </w:pPr>
      <w:r>
        <w:rPr>
          <w:rStyle w:val="FootnoteReference"/>
        </w:rPr>
        <w:footnoteRef/>
      </w:r>
      <w:r>
        <w:t xml:space="preserve"> NDAA, </w:t>
      </w:r>
      <w:r w:rsidRPr="0076203F">
        <w:t>§</w:t>
      </w:r>
      <w:r>
        <w:t xml:space="preserve">1085(b) (codified at 47 U.S.C. § </w:t>
      </w:r>
      <w:r w:rsidR="004C6751">
        <w:t>624</w:t>
      </w:r>
      <w:r>
        <w:t>(b)).</w:t>
      </w:r>
    </w:p>
  </w:footnote>
  <w:footnote w:id="14">
    <w:p w:rsidR="002D21D7" w14:paraId="7818DA8E" w14:textId="77777777">
      <w:pPr>
        <w:pStyle w:val="FootnoteText"/>
      </w:pPr>
      <w:r>
        <w:rPr>
          <w:rStyle w:val="FootnoteReference"/>
        </w:rPr>
        <w:footnoteRef/>
      </w:r>
      <w:r>
        <w:t xml:space="preserve"> </w:t>
      </w:r>
      <w:r w:rsidR="00DD07D7">
        <w:t xml:space="preserve">NDAA, </w:t>
      </w:r>
      <w:r w:rsidRPr="0076203F" w:rsidR="00DD07D7">
        <w:t>§</w:t>
      </w:r>
      <w:r w:rsidR="00DD07D7">
        <w:t>1085(c)</w:t>
      </w:r>
      <w:r w:rsidR="001B6058">
        <w:t xml:space="preserve"> (codified at 47 U.S.C. § </w:t>
      </w:r>
      <w:r w:rsidR="004C6751">
        <w:t>624</w:t>
      </w:r>
      <w:r w:rsidR="001B6058">
        <w:t>(c))</w:t>
      </w:r>
      <w:r w:rsidR="00DD07D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1D2BC4" w:rsidP="009838BC" w14:paraId="7D8833EA" w14:textId="797B067A">
    <w:pPr>
      <w:tabs>
        <w:tab w:val="center" w:pos="4680"/>
        <w:tab w:val="right" w:pos="9360"/>
      </w:tabs>
      <w:rPr>
        <w:rFonts w:ascii="Times New Roman" w:hAnsi="Times New Roman" w:cs="Times New Roman"/>
      </w:rPr>
    </w:pPr>
    <w:r w:rsidRPr="009838BC">
      <w:rPr>
        <w:b/>
      </w:rPr>
      <w:tab/>
    </w:r>
    <w:r w:rsidRPr="001D2BC4">
      <w:rPr>
        <w:rFonts w:ascii="Times New Roman" w:hAnsi="Times New Roman" w:cs="Times New Roman"/>
        <w:b/>
      </w:rPr>
      <w:t>Federal Communications Commission</w:t>
    </w:r>
    <w:r w:rsidRPr="001D2BC4">
      <w:rPr>
        <w:rFonts w:ascii="Times New Roman" w:hAnsi="Times New Roman" w:cs="Times New Roman"/>
        <w:b/>
      </w:rPr>
      <w:tab/>
    </w:r>
    <w:r w:rsidR="00E728D4">
      <w:rPr>
        <w:rFonts w:ascii="Times New Roman" w:hAnsi="Times New Roman" w:cs="Times New Roman"/>
        <w:b/>
      </w:rPr>
      <w:t xml:space="preserve">DA </w:t>
    </w:r>
    <w:r w:rsidR="00CD01E3">
      <w:rPr>
        <w:rFonts w:ascii="Times New Roman" w:hAnsi="Times New Roman" w:cs="Times New Roman"/>
        <w:b/>
      </w:rPr>
      <w:t>26-235</w:t>
    </w:r>
  </w:p>
  <w:p w:rsidR="009838BC" w:rsidRPr="009838BC" w:rsidP="009838BC" w14:paraId="6D3CA339"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9838BC" w:rsidRPr="009838BC" w:rsidP="009838BC" w14:paraId="4A4EAE6D"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A866AC" w:rsidP="009838BC" w14:paraId="44E61CD1" w14:textId="77777777">
    <w:pPr>
      <w:spacing w:before="40"/>
      <w:rPr>
        <w:rFonts w:ascii="Arial" w:hAnsi="Arial" w:cs="Arial"/>
        <w:b/>
        <w:sz w:val="96"/>
      </w:rPr>
    </w:pPr>
    <w:r>
      <w:rPr>
        <w:noProof/>
      </w:rPr>
      <mc:AlternateContent>
        <mc:Choice Requires="wps">
          <w:drawing>
            <wp:anchor distT="0" distB="0" distL="114300" distR="114300" simplePos="0" relativeHeight="251660288" behindDoc="0" locked="0" layoutInCell="0" allowOverlap="1">
              <wp:simplePos x="0" y="0"/>
              <wp:positionH relativeFrom="margin">
                <wp:posOffset>-57150</wp:posOffset>
              </wp:positionH>
              <wp:positionV relativeFrom="paragraph">
                <wp:posOffset>741045</wp:posOffset>
              </wp:positionV>
              <wp:extent cx="3108960" cy="64008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rPr>
                              <w:rFonts w:ascii="Arial" w:hAnsi="Arial"/>
                              <w:b/>
                            </w:rPr>
                          </w:pPr>
                          <w:r>
                            <w:rPr>
                              <w:rFonts w:ascii="Arial" w:hAnsi="Arial"/>
                              <w:b/>
                            </w:rPr>
                            <w:t>Federal Communications Commission</w:t>
                          </w:r>
                        </w:p>
                        <w:p w:rsidR="00C91EF1" w:rsidP="00C91EF1" w14:textId="77777777">
                          <w:pPr>
                            <w:rPr>
                              <w:rFonts w:ascii="Arial" w:hAnsi="Arial"/>
                              <w:b/>
                            </w:rPr>
                          </w:pPr>
                          <w:r>
                            <w:rPr>
                              <w:rFonts w:ascii="Arial" w:hAnsi="Arial"/>
                              <w:b/>
                            </w:rPr>
                            <w:t>45 L Street NE</w:t>
                          </w:r>
                        </w:p>
                        <w:p w:rsidR="009838BC" w:rsidP="009838BC" w14:textId="77777777">
                          <w:pPr>
                            <w:rPr>
                              <w:rFonts w:ascii="Arial" w:hAnsi="Arial"/>
                              <w:sz w:val="24"/>
                            </w:rPr>
                          </w:pPr>
                          <w:r>
                            <w:rPr>
                              <w:rFonts w:ascii="Arial" w:hAnsi="Arial"/>
                              <w:b/>
                            </w:rPr>
                            <w:t>Washington, DC 20554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50" type="#_x0000_t202" style="width:244.8pt;height:50.4pt;margin-top:58.35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61312" o:allowincell="f" stroked="f">
              <v:textbox>
                <w:txbxContent>
                  <w:p w:rsidR="009838BC" w:rsidP="009838BC" w14:paraId="55C6A157" w14:textId="77777777">
                    <w:pPr>
                      <w:rPr>
                        <w:rFonts w:ascii="Arial" w:hAnsi="Arial"/>
                        <w:b/>
                      </w:rPr>
                    </w:pPr>
                    <w:r>
                      <w:rPr>
                        <w:rFonts w:ascii="Arial" w:hAnsi="Arial"/>
                        <w:b/>
                      </w:rPr>
                      <w:t>Federal Communications Commission</w:t>
                    </w:r>
                  </w:p>
                  <w:p w:rsidR="00C91EF1" w:rsidP="00C91EF1" w14:paraId="4028585A" w14:textId="77777777">
                    <w:pPr>
                      <w:rPr>
                        <w:rFonts w:ascii="Arial" w:hAnsi="Arial"/>
                        <w:b/>
                      </w:rPr>
                    </w:pPr>
                    <w:r>
                      <w:rPr>
                        <w:rFonts w:ascii="Arial" w:hAnsi="Arial"/>
                        <w:b/>
                      </w:rPr>
                      <w:t>45 L Street NE</w:t>
                    </w:r>
                  </w:p>
                  <w:p w:rsidR="009838BC" w:rsidP="009838BC" w14:paraId="66D2550D" w14:textId="77777777">
                    <w:pPr>
                      <w:rPr>
                        <w:rFonts w:ascii="Arial" w:hAnsi="Arial"/>
                        <w:sz w:val="24"/>
                      </w:rPr>
                    </w:pPr>
                    <w:r>
                      <w:rPr>
                        <w:rFonts w:ascii="Arial" w:hAnsi="Arial"/>
                        <w:b/>
                      </w:rPr>
                      <w:t>Washington, DC 20554</w:t>
                    </w:r>
                  </w:p>
                </w:txbxContent>
              </v:textbox>
              <w10:wrap anchorx="margin"/>
            </v:shape>
          </w:pict>
        </mc:Fallback>
      </mc:AlternateContent>
    </w:r>
    <w:r>
      <w:rPr>
        <w:noProof/>
      </w:rPr>
      <w:drawing>
        <wp:anchor distT="0" distB="0" distL="114300" distR="114300" simplePos="0" relativeHeight="251662336" behindDoc="0" locked="0" layoutInCell="0" allowOverlap="1">
          <wp:simplePos x="0" y="0"/>
          <wp:positionH relativeFrom="column">
            <wp:posOffset>-650875</wp:posOffset>
          </wp:positionH>
          <wp:positionV relativeFrom="paragraph">
            <wp:posOffset>136525</wp:posOffset>
          </wp:positionV>
          <wp:extent cx="530225" cy="530225"/>
          <wp:effectExtent l="0" t="0" r="0" b="0"/>
          <wp:wrapTopAndBottom/>
          <wp:docPr id="1" name="Picture 11"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6AC">
      <w:rPr>
        <w:rFonts w:ascii="Arial" w:hAnsi="Arial" w:cs="Arial"/>
        <w:b/>
        <w:sz w:val="96"/>
      </w:rPr>
      <w:t>PUBLIC NOTICE</w:t>
    </w:r>
  </w:p>
  <w:p w:rsidR="009838BC" w:rsidRPr="00357D50" w:rsidP="009838BC" w14:paraId="4AEC5930" w14:textId="77777777">
    <w:pPr>
      <w:spacing w:before="40"/>
      <w:rPr>
        <w:rFonts w:ascii="Arial" w:hAnsi="Arial" w:cs="Arial"/>
        <w:b/>
        <w:sz w:val="96"/>
      </w:rPr>
    </w:pPr>
    <w:r>
      <w:rPr>
        <w:noProof/>
      </w:rPr>
      <mc:AlternateContent>
        <mc:Choice Requires="wps">
          <w:drawing>
            <wp:anchor distT="0" distB="0" distL="114300" distR="114300" simplePos="0" relativeHeight="251663360" behindDoc="0" locked="0" layoutInCell="0" allowOverlap="1">
              <wp:simplePos x="0" y="0"/>
              <wp:positionH relativeFrom="margin">
                <wp:align>right</wp:align>
              </wp:positionH>
              <wp:positionV relativeFrom="paragraph">
                <wp:posOffset>720089</wp:posOffset>
              </wp:positionV>
              <wp:extent cx="5943600" cy="0"/>
              <wp:effectExtent l="0" t="0" r="0" b="0"/>
              <wp:wrapNone/>
              <wp:docPr id="10" name="Straight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2051" style="mso-height-percent:0;mso-height-relative:page;mso-position-horizontal:right;mso-position-horizontal-relative:margin;mso-width-percent:0;mso-width-relative:page;mso-wrap-distance-bottom:0;mso-wrap-distance-left:9pt;mso-wrap-distance-right:9pt;mso-wrap-distance-top:0;mso-wrap-style:square;position:absolute;visibility:visible;z-index:251664384" from="416.8pt,56.7pt" to="884.8pt,56.7pt" o:allowincell="f">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column">
                <wp:posOffset>3343275</wp:posOffset>
              </wp:positionH>
              <wp:positionV relativeFrom="paragraph">
                <wp:posOffset>178435</wp:posOffset>
              </wp:positionV>
              <wp:extent cx="2640965" cy="44767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44767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38BC" w:rsidP="009838BC" w14:textId="77777777">
                          <w:pPr>
                            <w:spacing w:before="40"/>
                            <w:jc w:val="right"/>
                            <w:rPr>
                              <w:rFonts w:ascii="Arial" w:hAnsi="Arial"/>
                              <w:b/>
                              <w:sz w:val="16"/>
                            </w:rPr>
                          </w:pPr>
                          <w:r>
                            <w:rPr>
                              <w:rFonts w:ascii="Arial" w:hAnsi="Arial"/>
                              <w:b/>
                              <w:sz w:val="16"/>
                            </w:rPr>
                            <w:t>News Media Information 202 / 418-0500</w:t>
                          </w:r>
                        </w:p>
                        <w:p w:rsidR="009838BC" w:rsidP="009838BC" w14:textId="77777777">
                          <w:pPr>
                            <w:jc w:val="right"/>
                            <w:rPr>
                              <w:rFonts w:ascii="Arial" w:hAnsi="Arial"/>
                              <w:b/>
                              <w:sz w:val="16"/>
                            </w:rPr>
                          </w:pPr>
                          <w:r>
                            <w:rPr>
                              <w:rFonts w:ascii="Arial" w:hAnsi="Arial"/>
                              <w:b/>
                              <w:sz w:val="16"/>
                            </w:rPr>
                            <w:t xml:space="preserve">Internet: </w:t>
                          </w:r>
                          <w:bookmarkStart w:id="2" w:name="_Hlt233824"/>
                          <w:hyperlink r:id="rId2" w:history="1">
                            <w:r w:rsidRPr="00D216CD">
                              <w:rPr>
                                <w:rStyle w:val="Hyperlink"/>
                                <w:rFonts w:ascii="Arial" w:hAnsi="Arial"/>
                                <w:b/>
                                <w:sz w:val="16"/>
                              </w:rPr>
                              <w:t>h</w:t>
                            </w:r>
                            <w:bookmarkEnd w:id="2"/>
                            <w:r w:rsidRPr="00D216CD">
                              <w:rPr>
                                <w:rStyle w:val="Hyperlink"/>
                                <w:rFonts w:ascii="Arial" w:hAnsi="Arial"/>
                                <w:b/>
                                <w:sz w:val="16"/>
                              </w:rPr>
                              <w:t>ttps://www.fcc.gov</w:t>
                            </w:r>
                          </w:hyperlink>
                        </w:p>
                        <w:p w:rsidR="009838BC" w:rsidP="009838BC" w14:textId="77777777">
                          <w:pPr>
                            <w:jc w:val="right"/>
                          </w:pPr>
                          <w:r>
                            <w:rPr>
                              <w:rFonts w:ascii="Arial" w:hAnsi="Arial"/>
                              <w:b/>
                              <w:sz w:val="16"/>
                            </w:rPr>
                            <w:t>TTY: 1-888-835-5322</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2052" type="#_x0000_t202" style="width:207.95pt;height:35.25pt;margin-top:14.05pt;margin-left:263.25pt;mso-height-percent:0;mso-height-relative:page;mso-width-percent:0;mso-width-relative:page;mso-wrap-distance-bottom:0;mso-wrap-distance-left:9pt;mso-wrap-distance-right:9pt;mso-wrap-distance-top:0;mso-wrap-style:square;position:absolute;visibility:visible;v-text-anchor:top;z-index:251666432" o:allowincell="f" stroked="f">
              <v:textbox inset=",0,,0">
                <w:txbxContent>
                  <w:p w:rsidR="009838BC" w:rsidP="009838BC" w14:paraId="141457EE" w14:textId="77777777">
                    <w:pPr>
                      <w:spacing w:before="40"/>
                      <w:jc w:val="right"/>
                      <w:rPr>
                        <w:rFonts w:ascii="Arial" w:hAnsi="Arial"/>
                        <w:b/>
                        <w:sz w:val="16"/>
                      </w:rPr>
                    </w:pPr>
                    <w:r>
                      <w:rPr>
                        <w:rFonts w:ascii="Arial" w:hAnsi="Arial"/>
                        <w:b/>
                        <w:sz w:val="16"/>
                      </w:rPr>
                      <w:t>News Media Information 202 / 418-0500</w:t>
                    </w:r>
                  </w:p>
                  <w:p w:rsidR="009838BC" w:rsidP="009838BC" w14:paraId="6B7E0DEA" w14:textId="77777777">
                    <w:pPr>
                      <w:jc w:val="right"/>
                      <w:rPr>
                        <w:rFonts w:ascii="Arial" w:hAnsi="Arial"/>
                        <w:b/>
                        <w:sz w:val="16"/>
                      </w:rPr>
                    </w:pPr>
                    <w:r>
                      <w:rPr>
                        <w:rFonts w:ascii="Arial" w:hAnsi="Arial"/>
                        <w:b/>
                        <w:sz w:val="16"/>
                      </w:rPr>
                      <w:t xml:space="preserve">Internet: </w:t>
                    </w:r>
                    <w:bookmarkStart w:id="2" w:name="_Hlt233824"/>
                    <w:hyperlink r:id="rId2" w:history="1">
                      <w:r w:rsidRPr="00D216CD">
                        <w:rPr>
                          <w:rStyle w:val="Hyperlink"/>
                          <w:rFonts w:ascii="Arial" w:hAnsi="Arial"/>
                          <w:b/>
                          <w:sz w:val="16"/>
                        </w:rPr>
                        <w:t>h</w:t>
                      </w:r>
                      <w:bookmarkEnd w:id="2"/>
                      <w:r w:rsidRPr="00D216CD">
                        <w:rPr>
                          <w:rStyle w:val="Hyperlink"/>
                          <w:rFonts w:ascii="Arial" w:hAnsi="Arial"/>
                          <w:b/>
                          <w:sz w:val="16"/>
                        </w:rPr>
                        <w:t>ttps://www.fcc.gov</w:t>
                      </w:r>
                    </w:hyperlink>
                  </w:p>
                  <w:p w:rsidR="009838BC" w:rsidP="009838BC" w14:paraId="5DE8BCA6" w14:textId="77777777">
                    <w:pPr>
                      <w:jc w:val="right"/>
                    </w:pPr>
                    <w:r>
                      <w:rPr>
                        <w:rFonts w:ascii="Arial" w:hAnsi="Arial"/>
                        <w:b/>
                        <w:sz w:val="16"/>
                      </w:rPr>
                      <w:t>TTY: 1-888-835-5322</w:t>
                    </w:r>
                  </w:p>
                </w:txbxContent>
              </v:textbox>
            </v:shape>
          </w:pict>
        </mc:Fallback>
      </mc:AlternateContent>
    </w:r>
  </w:p>
  <w:p w:rsidR="006F7393" w:rsidRPr="009838BC" w:rsidP="009838BC" w14:paraId="6826696A" w14:textId="77777777">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2075161735">
    <w:abstractNumId w:val="1"/>
  </w:num>
  <w:num w:numId="2" w16cid:durableId="308948901">
    <w:abstractNumId w:val="5"/>
  </w:num>
  <w:num w:numId="3" w16cid:durableId="652611996">
    <w:abstractNumId w:val="3"/>
  </w:num>
  <w:num w:numId="4" w16cid:durableId="1128209175">
    <w:abstractNumId w:val="4"/>
  </w:num>
  <w:num w:numId="5" w16cid:durableId="1540817061">
    <w:abstractNumId w:val="2"/>
  </w:num>
  <w:num w:numId="6" w16cid:durableId="143551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C9"/>
    <w:rsid w:val="000072CE"/>
    <w:rsid w:val="00007F49"/>
    <w:rsid w:val="00013A8B"/>
    <w:rsid w:val="00016B0E"/>
    <w:rsid w:val="00021445"/>
    <w:rsid w:val="00031F6B"/>
    <w:rsid w:val="00036039"/>
    <w:rsid w:val="00037F90"/>
    <w:rsid w:val="00057E13"/>
    <w:rsid w:val="00077006"/>
    <w:rsid w:val="00077EAF"/>
    <w:rsid w:val="000806F6"/>
    <w:rsid w:val="00086694"/>
    <w:rsid w:val="000875BF"/>
    <w:rsid w:val="00091A6D"/>
    <w:rsid w:val="00093A6C"/>
    <w:rsid w:val="00096D8C"/>
    <w:rsid w:val="000A71A9"/>
    <w:rsid w:val="000B3A49"/>
    <w:rsid w:val="000B406A"/>
    <w:rsid w:val="000C0B65"/>
    <w:rsid w:val="000C4BEA"/>
    <w:rsid w:val="000D2CA0"/>
    <w:rsid w:val="000E3D42"/>
    <w:rsid w:val="000E5884"/>
    <w:rsid w:val="000E7523"/>
    <w:rsid w:val="000F0886"/>
    <w:rsid w:val="000F1087"/>
    <w:rsid w:val="000F5555"/>
    <w:rsid w:val="000F6B6A"/>
    <w:rsid w:val="00116EB4"/>
    <w:rsid w:val="00122BD5"/>
    <w:rsid w:val="001251F0"/>
    <w:rsid w:val="00125CA4"/>
    <w:rsid w:val="00143682"/>
    <w:rsid w:val="001768C0"/>
    <w:rsid w:val="00190522"/>
    <w:rsid w:val="001977D7"/>
    <w:rsid w:val="001979D9"/>
    <w:rsid w:val="001A2B95"/>
    <w:rsid w:val="001A5CBE"/>
    <w:rsid w:val="001A738B"/>
    <w:rsid w:val="001B6058"/>
    <w:rsid w:val="001D27E4"/>
    <w:rsid w:val="001D2BC4"/>
    <w:rsid w:val="001D6BCF"/>
    <w:rsid w:val="001D6C53"/>
    <w:rsid w:val="001D78C0"/>
    <w:rsid w:val="001E01CA"/>
    <w:rsid w:val="001F3E62"/>
    <w:rsid w:val="001F730A"/>
    <w:rsid w:val="002060D9"/>
    <w:rsid w:val="00206F95"/>
    <w:rsid w:val="002152C5"/>
    <w:rsid w:val="0022151F"/>
    <w:rsid w:val="002243D2"/>
    <w:rsid w:val="00226822"/>
    <w:rsid w:val="002279D2"/>
    <w:rsid w:val="00231C74"/>
    <w:rsid w:val="0023615D"/>
    <w:rsid w:val="00240FFD"/>
    <w:rsid w:val="00241847"/>
    <w:rsid w:val="00260594"/>
    <w:rsid w:val="00261E0D"/>
    <w:rsid w:val="00272571"/>
    <w:rsid w:val="00274A05"/>
    <w:rsid w:val="00276134"/>
    <w:rsid w:val="00285017"/>
    <w:rsid w:val="00285B23"/>
    <w:rsid w:val="002931FB"/>
    <w:rsid w:val="00295E61"/>
    <w:rsid w:val="002A063D"/>
    <w:rsid w:val="002A2D2E"/>
    <w:rsid w:val="002C2B4E"/>
    <w:rsid w:val="002C7341"/>
    <w:rsid w:val="002D21D7"/>
    <w:rsid w:val="002D77C7"/>
    <w:rsid w:val="002D7A25"/>
    <w:rsid w:val="002F77B4"/>
    <w:rsid w:val="002F78BE"/>
    <w:rsid w:val="00317328"/>
    <w:rsid w:val="00337822"/>
    <w:rsid w:val="00341AF0"/>
    <w:rsid w:val="00343749"/>
    <w:rsid w:val="00347D85"/>
    <w:rsid w:val="003549D7"/>
    <w:rsid w:val="00357D50"/>
    <w:rsid w:val="00363F94"/>
    <w:rsid w:val="00370B24"/>
    <w:rsid w:val="00382AB6"/>
    <w:rsid w:val="003869BB"/>
    <w:rsid w:val="003925DC"/>
    <w:rsid w:val="003A4339"/>
    <w:rsid w:val="003B0550"/>
    <w:rsid w:val="003B694F"/>
    <w:rsid w:val="003C4F0A"/>
    <w:rsid w:val="003C6F97"/>
    <w:rsid w:val="003D585E"/>
    <w:rsid w:val="003E026D"/>
    <w:rsid w:val="003E29F8"/>
    <w:rsid w:val="003F171C"/>
    <w:rsid w:val="003F270D"/>
    <w:rsid w:val="003F72FD"/>
    <w:rsid w:val="00412C85"/>
    <w:rsid w:val="00412FC5"/>
    <w:rsid w:val="00422276"/>
    <w:rsid w:val="004242F1"/>
    <w:rsid w:val="00430C48"/>
    <w:rsid w:val="004415EA"/>
    <w:rsid w:val="00443F16"/>
    <w:rsid w:val="00445A00"/>
    <w:rsid w:val="00451B0F"/>
    <w:rsid w:val="0046125F"/>
    <w:rsid w:val="004632B0"/>
    <w:rsid w:val="00465087"/>
    <w:rsid w:val="0047166D"/>
    <w:rsid w:val="00472F14"/>
    <w:rsid w:val="0047437E"/>
    <w:rsid w:val="00487524"/>
    <w:rsid w:val="00495A14"/>
    <w:rsid w:val="00496106"/>
    <w:rsid w:val="004A469A"/>
    <w:rsid w:val="004A6CBC"/>
    <w:rsid w:val="004B250A"/>
    <w:rsid w:val="004B71ED"/>
    <w:rsid w:val="004C0C4C"/>
    <w:rsid w:val="004C12D0"/>
    <w:rsid w:val="004C2EE3"/>
    <w:rsid w:val="004C6751"/>
    <w:rsid w:val="004C6EAB"/>
    <w:rsid w:val="004D7C5F"/>
    <w:rsid w:val="004E4A22"/>
    <w:rsid w:val="004F302E"/>
    <w:rsid w:val="00505136"/>
    <w:rsid w:val="00506F30"/>
    <w:rsid w:val="00506FE6"/>
    <w:rsid w:val="00511968"/>
    <w:rsid w:val="00511CA3"/>
    <w:rsid w:val="00543241"/>
    <w:rsid w:val="005438AF"/>
    <w:rsid w:val="00550544"/>
    <w:rsid w:val="0055614C"/>
    <w:rsid w:val="005614EF"/>
    <w:rsid w:val="005773F7"/>
    <w:rsid w:val="00580619"/>
    <w:rsid w:val="0059576B"/>
    <w:rsid w:val="005B4E2D"/>
    <w:rsid w:val="005D1EB4"/>
    <w:rsid w:val="005D23A1"/>
    <w:rsid w:val="005D3327"/>
    <w:rsid w:val="005E4FD7"/>
    <w:rsid w:val="005E6FF7"/>
    <w:rsid w:val="005F42B4"/>
    <w:rsid w:val="0060238A"/>
    <w:rsid w:val="0060273B"/>
    <w:rsid w:val="00607BA5"/>
    <w:rsid w:val="00613E7D"/>
    <w:rsid w:val="00616ECB"/>
    <w:rsid w:val="00626EB6"/>
    <w:rsid w:val="006353A3"/>
    <w:rsid w:val="0064367A"/>
    <w:rsid w:val="00652F46"/>
    <w:rsid w:val="006536F5"/>
    <w:rsid w:val="00655D03"/>
    <w:rsid w:val="00665514"/>
    <w:rsid w:val="00665835"/>
    <w:rsid w:val="00672553"/>
    <w:rsid w:val="00682E77"/>
    <w:rsid w:val="00683F84"/>
    <w:rsid w:val="00684D3D"/>
    <w:rsid w:val="00693242"/>
    <w:rsid w:val="006A424D"/>
    <w:rsid w:val="006A509B"/>
    <w:rsid w:val="006A6A81"/>
    <w:rsid w:val="006B6C57"/>
    <w:rsid w:val="006B6DD1"/>
    <w:rsid w:val="006E26AF"/>
    <w:rsid w:val="006E3470"/>
    <w:rsid w:val="006E4301"/>
    <w:rsid w:val="006E589E"/>
    <w:rsid w:val="006F1743"/>
    <w:rsid w:val="006F7393"/>
    <w:rsid w:val="00701683"/>
    <w:rsid w:val="0070224F"/>
    <w:rsid w:val="007115F7"/>
    <w:rsid w:val="00730FCB"/>
    <w:rsid w:val="007320F5"/>
    <w:rsid w:val="00735735"/>
    <w:rsid w:val="0075224C"/>
    <w:rsid w:val="0076203F"/>
    <w:rsid w:val="00774DBD"/>
    <w:rsid w:val="00776EDF"/>
    <w:rsid w:val="00781B76"/>
    <w:rsid w:val="00785689"/>
    <w:rsid w:val="0079754B"/>
    <w:rsid w:val="007A1E6D"/>
    <w:rsid w:val="007A66AD"/>
    <w:rsid w:val="007B3FF2"/>
    <w:rsid w:val="007C5748"/>
    <w:rsid w:val="007E271D"/>
    <w:rsid w:val="0081026C"/>
    <w:rsid w:val="00812814"/>
    <w:rsid w:val="008130EE"/>
    <w:rsid w:val="00820BBE"/>
    <w:rsid w:val="00821D35"/>
    <w:rsid w:val="00822CE0"/>
    <w:rsid w:val="00837C62"/>
    <w:rsid w:val="00840D86"/>
    <w:rsid w:val="00841AB1"/>
    <w:rsid w:val="00852695"/>
    <w:rsid w:val="00853FFB"/>
    <w:rsid w:val="00854E18"/>
    <w:rsid w:val="00891596"/>
    <w:rsid w:val="008A17A9"/>
    <w:rsid w:val="008A3E73"/>
    <w:rsid w:val="008B6A97"/>
    <w:rsid w:val="008C22FD"/>
    <w:rsid w:val="008D348D"/>
    <w:rsid w:val="008D6177"/>
    <w:rsid w:val="008E001A"/>
    <w:rsid w:val="008E66EA"/>
    <w:rsid w:val="00903ABD"/>
    <w:rsid w:val="009061B3"/>
    <w:rsid w:val="00910F12"/>
    <w:rsid w:val="009118BA"/>
    <w:rsid w:val="0092217A"/>
    <w:rsid w:val="00926503"/>
    <w:rsid w:val="00930ECF"/>
    <w:rsid w:val="00942608"/>
    <w:rsid w:val="009506C7"/>
    <w:rsid w:val="00960B1D"/>
    <w:rsid w:val="0096578C"/>
    <w:rsid w:val="009724F7"/>
    <w:rsid w:val="009838BC"/>
    <w:rsid w:val="00983B62"/>
    <w:rsid w:val="009A08F2"/>
    <w:rsid w:val="009A4C55"/>
    <w:rsid w:val="009E0B7D"/>
    <w:rsid w:val="00A024F6"/>
    <w:rsid w:val="00A05B45"/>
    <w:rsid w:val="00A1252D"/>
    <w:rsid w:val="00A166BE"/>
    <w:rsid w:val="00A3122F"/>
    <w:rsid w:val="00A32B9A"/>
    <w:rsid w:val="00A43614"/>
    <w:rsid w:val="00A45F4F"/>
    <w:rsid w:val="00A60090"/>
    <w:rsid w:val="00A600A9"/>
    <w:rsid w:val="00A65B61"/>
    <w:rsid w:val="00A866AC"/>
    <w:rsid w:val="00AA55B7"/>
    <w:rsid w:val="00AA5B9E"/>
    <w:rsid w:val="00AB0561"/>
    <w:rsid w:val="00AB2407"/>
    <w:rsid w:val="00AB5366"/>
    <w:rsid w:val="00AB53DF"/>
    <w:rsid w:val="00AC01AC"/>
    <w:rsid w:val="00AC0780"/>
    <w:rsid w:val="00AC311D"/>
    <w:rsid w:val="00AC3B43"/>
    <w:rsid w:val="00AD6D65"/>
    <w:rsid w:val="00AF25AE"/>
    <w:rsid w:val="00B07E5C"/>
    <w:rsid w:val="00B1615D"/>
    <w:rsid w:val="00B212BE"/>
    <w:rsid w:val="00B26FD0"/>
    <w:rsid w:val="00B30097"/>
    <w:rsid w:val="00B31F23"/>
    <w:rsid w:val="00B326E3"/>
    <w:rsid w:val="00B36DB5"/>
    <w:rsid w:val="00B56431"/>
    <w:rsid w:val="00B77F47"/>
    <w:rsid w:val="00B77F77"/>
    <w:rsid w:val="00B811F7"/>
    <w:rsid w:val="00B8501F"/>
    <w:rsid w:val="00B92355"/>
    <w:rsid w:val="00BA5DC6"/>
    <w:rsid w:val="00BA6196"/>
    <w:rsid w:val="00BA6782"/>
    <w:rsid w:val="00BC2225"/>
    <w:rsid w:val="00BC6D8C"/>
    <w:rsid w:val="00BD53B0"/>
    <w:rsid w:val="00BF1A23"/>
    <w:rsid w:val="00C05A3B"/>
    <w:rsid w:val="00C16AF2"/>
    <w:rsid w:val="00C20EBF"/>
    <w:rsid w:val="00C245C3"/>
    <w:rsid w:val="00C26575"/>
    <w:rsid w:val="00C34006"/>
    <w:rsid w:val="00C37DFC"/>
    <w:rsid w:val="00C42512"/>
    <w:rsid w:val="00C426B1"/>
    <w:rsid w:val="00C42DD8"/>
    <w:rsid w:val="00C443FA"/>
    <w:rsid w:val="00C648FD"/>
    <w:rsid w:val="00C66B07"/>
    <w:rsid w:val="00C815F0"/>
    <w:rsid w:val="00C82B6B"/>
    <w:rsid w:val="00C85F4C"/>
    <w:rsid w:val="00C9012B"/>
    <w:rsid w:val="00C90D6A"/>
    <w:rsid w:val="00C91EF1"/>
    <w:rsid w:val="00CA1189"/>
    <w:rsid w:val="00CA2395"/>
    <w:rsid w:val="00CB5DC9"/>
    <w:rsid w:val="00CC72B6"/>
    <w:rsid w:val="00CD003F"/>
    <w:rsid w:val="00CD01E3"/>
    <w:rsid w:val="00CD2883"/>
    <w:rsid w:val="00CD479E"/>
    <w:rsid w:val="00CE1439"/>
    <w:rsid w:val="00D0218D"/>
    <w:rsid w:val="00D11BCD"/>
    <w:rsid w:val="00D216CD"/>
    <w:rsid w:val="00D25C28"/>
    <w:rsid w:val="00D275DC"/>
    <w:rsid w:val="00D341BE"/>
    <w:rsid w:val="00D36DA8"/>
    <w:rsid w:val="00D45FF8"/>
    <w:rsid w:val="00D4740A"/>
    <w:rsid w:val="00D63759"/>
    <w:rsid w:val="00D6421C"/>
    <w:rsid w:val="00D77CB7"/>
    <w:rsid w:val="00D8302A"/>
    <w:rsid w:val="00D8715A"/>
    <w:rsid w:val="00D94508"/>
    <w:rsid w:val="00DA2529"/>
    <w:rsid w:val="00DB130A"/>
    <w:rsid w:val="00DC10A1"/>
    <w:rsid w:val="00DC655F"/>
    <w:rsid w:val="00DD07D7"/>
    <w:rsid w:val="00DD6A8D"/>
    <w:rsid w:val="00DD7EBD"/>
    <w:rsid w:val="00DE2B65"/>
    <w:rsid w:val="00DE43B1"/>
    <w:rsid w:val="00DE7EB7"/>
    <w:rsid w:val="00DF2204"/>
    <w:rsid w:val="00DF2ECE"/>
    <w:rsid w:val="00DF428E"/>
    <w:rsid w:val="00DF62B6"/>
    <w:rsid w:val="00E07225"/>
    <w:rsid w:val="00E155B7"/>
    <w:rsid w:val="00E17F25"/>
    <w:rsid w:val="00E5409F"/>
    <w:rsid w:val="00E7202A"/>
    <w:rsid w:val="00E728D4"/>
    <w:rsid w:val="00E74486"/>
    <w:rsid w:val="00E76F78"/>
    <w:rsid w:val="00E91D1A"/>
    <w:rsid w:val="00E96048"/>
    <w:rsid w:val="00E971F6"/>
    <w:rsid w:val="00EB3500"/>
    <w:rsid w:val="00EB4BB1"/>
    <w:rsid w:val="00EC0185"/>
    <w:rsid w:val="00EE0525"/>
    <w:rsid w:val="00EE0B10"/>
    <w:rsid w:val="00EE4B9C"/>
    <w:rsid w:val="00EE7B9A"/>
    <w:rsid w:val="00F021FA"/>
    <w:rsid w:val="00F047A7"/>
    <w:rsid w:val="00F06543"/>
    <w:rsid w:val="00F169C1"/>
    <w:rsid w:val="00F21C6B"/>
    <w:rsid w:val="00F23393"/>
    <w:rsid w:val="00F24D3F"/>
    <w:rsid w:val="00F427AF"/>
    <w:rsid w:val="00F57ACA"/>
    <w:rsid w:val="00F62E97"/>
    <w:rsid w:val="00F64209"/>
    <w:rsid w:val="00F723BA"/>
    <w:rsid w:val="00F832C6"/>
    <w:rsid w:val="00F84574"/>
    <w:rsid w:val="00F93BF5"/>
    <w:rsid w:val="00F96F63"/>
    <w:rsid w:val="00FB092E"/>
    <w:rsid w:val="00FB115A"/>
    <w:rsid w:val="00FB6925"/>
    <w:rsid w:val="00FC0B3D"/>
    <w:rsid w:val="00FD7736"/>
    <w:rsid w:val="00FE2DE2"/>
    <w:rsid w:val="00FF51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5D7967"/>
  <w15:chartTrackingRefBased/>
  <w15:docId w15:val="{FEE59F35-E4F9-4907-8622-E4D3BBB3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45C3"/>
    <w:rPr>
      <w:rFonts w:ascii="Calibri" w:hAnsi="Calibri" w:eastAsiaTheme="minorHAnsi" w:cs="Calibri"/>
      <w:sz w:val="22"/>
      <w:szCs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semiHidden/>
    <w:rsid w:val="000E3D42"/>
    <w:pPr>
      <w:spacing w:after="120"/>
    </w:pPr>
  </w:style>
  <w:style w:type="character" w:styleId="FootnoteReference">
    <w:name w:val="footnote reference"/>
    <w:semiHidden/>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837C62"/>
    <w:pPr>
      <w:tabs>
        <w:tab w:val="center" w:pos="4680"/>
        <w:tab w:val="right" w:pos="9360"/>
      </w:tabs>
      <w:ind w:firstLine="1080"/>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rPr>
  </w:style>
  <w:style w:type="character" w:styleId="Hyperlink">
    <w:name w:val="Hyperlink"/>
    <w:rsid w:val="002A2D2E"/>
    <w:rPr>
      <w:color w:val="0000FF"/>
      <w:u w:val="single"/>
    </w:rPr>
  </w:style>
  <w:style w:type="character" w:customStyle="1" w:styleId="FooterChar">
    <w:name w:val="Footer Char"/>
    <w:link w:val="Footer"/>
    <w:uiPriority w:val="99"/>
    <w:rsid w:val="00910F12"/>
    <w:rPr>
      <w:snapToGrid w:val="0"/>
      <w:kern w:val="28"/>
      <w:sz w:val="22"/>
    </w:rPr>
  </w:style>
  <w:style w:type="character" w:styleId="UnresolvedMention">
    <w:name w:val="Unresolved Mention"/>
    <w:basedOn w:val="DefaultParagraphFont"/>
    <w:uiPriority w:val="99"/>
    <w:semiHidden/>
    <w:unhideWhenUsed/>
    <w:rsid w:val="00F832C6"/>
    <w:rPr>
      <w:color w:val="808080"/>
      <w:shd w:val="clear" w:color="auto" w:fill="E6E6E6"/>
    </w:rPr>
  </w:style>
  <w:style w:type="character" w:styleId="CommentReference">
    <w:name w:val="annotation reference"/>
    <w:basedOn w:val="DefaultParagraphFont"/>
    <w:uiPriority w:val="99"/>
    <w:semiHidden/>
    <w:unhideWhenUsed/>
    <w:rsid w:val="008E001A"/>
    <w:rPr>
      <w:sz w:val="16"/>
      <w:szCs w:val="16"/>
    </w:rPr>
  </w:style>
  <w:style w:type="paragraph" w:styleId="CommentText">
    <w:name w:val="annotation text"/>
    <w:basedOn w:val="Normal"/>
    <w:link w:val="CommentTextChar"/>
    <w:uiPriority w:val="99"/>
    <w:semiHidden/>
    <w:unhideWhenUsed/>
    <w:rsid w:val="008E001A"/>
    <w:rPr>
      <w:sz w:val="20"/>
    </w:rPr>
  </w:style>
  <w:style w:type="character" w:customStyle="1" w:styleId="CommentTextChar">
    <w:name w:val="Comment Text Char"/>
    <w:basedOn w:val="DefaultParagraphFont"/>
    <w:link w:val="CommentText"/>
    <w:uiPriority w:val="99"/>
    <w:semiHidden/>
    <w:rsid w:val="008E001A"/>
    <w:rPr>
      <w:snapToGrid w:val="0"/>
      <w:kern w:val="28"/>
    </w:rPr>
  </w:style>
  <w:style w:type="paragraph" w:styleId="CommentSubject">
    <w:name w:val="annotation subject"/>
    <w:basedOn w:val="CommentText"/>
    <w:next w:val="CommentText"/>
    <w:link w:val="CommentSubjectChar"/>
    <w:uiPriority w:val="99"/>
    <w:semiHidden/>
    <w:unhideWhenUsed/>
    <w:rsid w:val="008E001A"/>
    <w:rPr>
      <w:b/>
      <w:bCs/>
    </w:rPr>
  </w:style>
  <w:style w:type="character" w:customStyle="1" w:styleId="CommentSubjectChar">
    <w:name w:val="Comment Subject Char"/>
    <w:basedOn w:val="CommentTextChar"/>
    <w:link w:val="CommentSubject"/>
    <w:uiPriority w:val="99"/>
    <w:semiHidden/>
    <w:rsid w:val="008E001A"/>
    <w:rPr>
      <w:b/>
      <w:bCs/>
      <w:snapToGrid w:val="0"/>
      <w:kern w:val="28"/>
    </w:rPr>
  </w:style>
  <w:style w:type="paragraph" w:styleId="BalloonText">
    <w:name w:val="Balloon Text"/>
    <w:basedOn w:val="Normal"/>
    <w:link w:val="BalloonTextChar"/>
    <w:uiPriority w:val="99"/>
    <w:semiHidden/>
    <w:unhideWhenUsed/>
    <w:rsid w:val="008E0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01A"/>
    <w:rPr>
      <w:rFonts w:ascii="Segoe UI" w:hAnsi="Segoe UI" w:cs="Segoe UI"/>
      <w:snapToGrid w:val="0"/>
      <w:kern w:val="28"/>
      <w:sz w:val="18"/>
      <w:szCs w:val="18"/>
    </w:rPr>
  </w:style>
  <w:style w:type="paragraph" w:styleId="Revision">
    <w:name w:val="Revision"/>
    <w:hidden/>
    <w:uiPriority w:val="99"/>
    <w:semiHidden/>
    <w:rsid w:val="00241847"/>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ndaareport@fcc.gov" TargetMode="External" /><Relationship Id="rId7" Type="http://schemas.openxmlformats.org/officeDocument/2006/relationships/hyperlink" Target="https://www.fcc.gov/united-states-based-foreign-media-outlets" TargetMode="External" /><Relationship Id="rId8" Type="http://schemas.openxmlformats.org/officeDocument/2006/relationships/hyperlink" Target="mailto:James.Elustondo@fcc.gov" TargetMode="External" /><Relationship Id="rId9" Type="http://schemas.openxmlformats.org/officeDocument/2006/relationships/hyperlink" Target="mailto:MediaRelations@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www.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