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E4677C" w:rsidRPr="0069050E" w:rsidP="00776DA6" w14:paraId="07FF2F3B" w14:textId="77777777">
      <w:pPr>
        <w:widowControl/>
        <w:jc w:val="center"/>
        <w:rPr>
          <w:b/>
        </w:rPr>
      </w:pPr>
      <w:r w:rsidRPr="0069050E">
        <w:rPr>
          <w:rFonts w:ascii="Times New Roman Bold" w:hAnsi="Times New Roman Bold"/>
          <w:b/>
          <w:kern w:val="0"/>
          <w:szCs w:val="22"/>
        </w:rPr>
        <w:t>Before</w:t>
      </w:r>
      <w:r w:rsidRPr="0069050E">
        <w:rPr>
          <w:b/>
        </w:rPr>
        <w:t xml:space="preserve"> the</w:t>
      </w:r>
    </w:p>
    <w:p w:rsidR="00E4677C" w:rsidRPr="0069050E" w:rsidP="00776DA6" w14:paraId="63C3A3D4" w14:textId="77777777">
      <w:pPr>
        <w:pStyle w:val="StyleBoldCentered"/>
        <w:widowControl/>
      </w:pPr>
      <w:r w:rsidRPr="0069050E">
        <w:t>F</w:t>
      </w:r>
      <w:r w:rsidRPr="0069050E">
        <w:rPr>
          <w:caps w:val="0"/>
        </w:rPr>
        <w:t>ederal Communications Commission</w:t>
      </w:r>
    </w:p>
    <w:p w:rsidR="00E4677C" w:rsidRPr="0069050E" w:rsidP="00776DA6" w14:paraId="6370DB19" w14:textId="77777777">
      <w:pPr>
        <w:pStyle w:val="StyleBoldCentered"/>
        <w:widowControl/>
      </w:pPr>
      <w:r w:rsidRPr="0069050E">
        <w:rPr>
          <w:caps w:val="0"/>
        </w:rPr>
        <w:t>Washington, D.C. 20554</w:t>
      </w:r>
    </w:p>
    <w:p w:rsidR="00E4677C" w:rsidRPr="0069050E" w:rsidP="00776DA6" w14:paraId="7B923B2D" w14:textId="77777777">
      <w:pPr>
        <w:widowControl/>
      </w:pPr>
    </w:p>
    <w:p w:rsidR="00E4677C" w:rsidRPr="0069050E" w:rsidP="00776DA6" w14:paraId="33F5192C" w14:textId="77777777">
      <w:pPr>
        <w:widowControl/>
      </w:pPr>
    </w:p>
    <w:tbl>
      <w:tblPr>
        <w:tblW w:w="0" w:type="auto"/>
        <w:tblLayout w:type="fixed"/>
        <w:tblLook w:val="0000"/>
      </w:tblPr>
      <w:tblGrid>
        <w:gridCol w:w="4698"/>
        <w:gridCol w:w="630"/>
        <w:gridCol w:w="4248"/>
      </w:tblGrid>
      <w:tr w14:paraId="389786CD" w14:textId="77777777" w:rsidTr="00292B7E">
        <w:tblPrEx>
          <w:tblW w:w="0" w:type="auto"/>
          <w:tblLayout w:type="fixed"/>
          <w:tblLook w:val="0000"/>
        </w:tblPrEx>
        <w:tc>
          <w:tcPr>
            <w:tcW w:w="4698" w:type="dxa"/>
          </w:tcPr>
          <w:p w:rsidR="00E4677C" w:rsidRPr="0069050E" w:rsidP="00776DA6" w14:paraId="5CD36F25" w14:textId="77777777">
            <w:pPr>
              <w:widowControl/>
              <w:tabs>
                <w:tab w:val="center" w:pos="4680"/>
              </w:tabs>
              <w:suppressAutoHyphens/>
              <w:rPr>
                <w:spacing w:val="-2"/>
              </w:rPr>
            </w:pPr>
            <w:r w:rsidRPr="0069050E">
              <w:rPr>
                <w:spacing w:val="-2"/>
              </w:rPr>
              <w:t>In the Matter of</w:t>
            </w:r>
          </w:p>
          <w:p w:rsidR="00E4677C" w:rsidRPr="0069050E" w:rsidP="00776DA6" w14:paraId="365BC731" w14:textId="77777777">
            <w:pPr>
              <w:widowControl/>
              <w:tabs>
                <w:tab w:val="center" w:pos="4680"/>
              </w:tabs>
              <w:suppressAutoHyphens/>
              <w:rPr>
                <w:spacing w:val="-2"/>
              </w:rPr>
            </w:pPr>
          </w:p>
          <w:p w:rsidR="00E4677C" w:rsidRPr="0069050E" w:rsidP="00776DA6" w14:paraId="79F57A17" w14:textId="733FD839">
            <w:pPr>
              <w:widowControl/>
              <w:tabs>
                <w:tab w:val="center" w:pos="4680"/>
              </w:tabs>
              <w:suppressAutoHyphens/>
              <w:rPr>
                <w:spacing w:val="-2"/>
              </w:rPr>
            </w:pPr>
            <w:r>
              <w:rPr>
                <w:spacing w:val="-2"/>
              </w:rPr>
              <w:t>Belthrough</w:t>
            </w:r>
            <w:r>
              <w:rPr>
                <w:spacing w:val="-2"/>
              </w:rPr>
              <w:t xml:space="preserve"> LLC</w:t>
            </w:r>
          </w:p>
        </w:tc>
        <w:tc>
          <w:tcPr>
            <w:tcW w:w="630" w:type="dxa"/>
          </w:tcPr>
          <w:p w:rsidR="00E4677C" w:rsidRPr="0069050E" w:rsidP="00776DA6" w14:paraId="5959B5A5" w14:textId="77777777">
            <w:pPr>
              <w:widowControl/>
              <w:tabs>
                <w:tab w:val="center" w:pos="4680"/>
              </w:tabs>
              <w:suppressAutoHyphens/>
              <w:rPr>
                <w:b/>
                <w:spacing w:val="-2"/>
              </w:rPr>
            </w:pPr>
            <w:r w:rsidRPr="0069050E">
              <w:rPr>
                <w:b/>
                <w:spacing w:val="-2"/>
              </w:rPr>
              <w:t>)</w:t>
            </w:r>
          </w:p>
          <w:p w:rsidR="00E4677C" w:rsidRPr="0069050E" w:rsidP="00776DA6" w14:paraId="619A6D5B" w14:textId="77777777">
            <w:pPr>
              <w:widowControl/>
              <w:tabs>
                <w:tab w:val="center" w:pos="4680"/>
              </w:tabs>
              <w:suppressAutoHyphens/>
              <w:rPr>
                <w:b/>
                <w:spacing w:val="-2"/>
              </w:rPr>
            </w:pPr>
            <w:r w:rsidRPr="0069050E">
              <w:rPr>
                <w:b/>
                <w:spacing w:val="-2"/>
              </w:rPr>
              <w:t>)</w:t>
            </w:r>
          </w:p>
          <w:p w:rsidR="00E4677C" w:rsidRPr="0069050E" w:rsidP="00776DA6" w14:paraId="7C6223E8" w14:textId="77777777">
            <w:pPr>
              <w:widowControl/>
              <w:tabs>
                <w:tab w:val="center" w:pos="4680"/>
              </w:tabs>
              <w:suppressAutoHyphens/>
              <w:rPr>
                <w:b/>
                <w:spacing w:val="-2"/>
              </w:rPr>
            </w:pPr>
            <w:r w:rsidRPr="0069050E">
              <w:rPr>
                <w:b/>
                <w:spacing w:val="-2"/>
              </w:rPr>
              <w:t>)</w:t>
            </w:r>
          </w:p>
          <w:p w:rsidR="00E4677C" w:rsidRPr="0069050E" w:rsidP="00776DA6" w14:paraId="5C08720B" w14:textId="77777777">
            <w:pPr>
              <w:widowControl/>
              <w:tabs>
                <w:tab w:val="center" w:pos="4680"/>
              </w:tabs>
              <w:suppressAutoHyphens/>
              <w:rPr>
                <w:b/>
                <w:spacing w:val="-2"/>
              </w:rPr>
            </w:pPr>
            <w:r w:rsidRPr="0069050E">
              <w:rPr>
                <w:b/>
                <w:spacing w:val="-2"/>
              </w:rPr>
              <w:t>)</w:t>
            </w:r>
          </w:p>
          <w:p w:rsidR="006523E7" w:rsidRPr="0069050E" w:rsidP="00776DA6" w14:paraId="4B0BE617" w14:textId="77777777">
            <w:pPr>
              <w:widowControl/>
              <w:tabs>
                <w:tab w:val="center" w:pos="4680"/>
              </w:tabs>
              <w:suppressAutoHyphens/>
              <w:rPr>
                <w:b/>
                <w:spacing w:val="-2"/>
              </w:rPr>
            </w:pPr>
            <w:r w:rsidRPr="0069050E">
              <w:rPr>
                <w:b/>
                <w:spacing w:val="-2"/>
              </w:rPr>
              <w:t>)</w:t>
            </w:r>
          </w:p>
        </w:tc>
        <w:tc>
          <w:tcPr>
            <w:tcW w:w="4248" w:type="dxa"/>
          </w:tcPr>
          <w:p w:rsidR="00E4677C" w:rsidRPr="0069050E" w:rsidP="00776DA6" w14:paraId="2286CEE2" w14:textId="77777777">
            <w:pPr>
              <w:widowControl/>
              <w:tabs>
                <w:tab w:val="center" w:pos="4680"/>
              </w:tabs>
              <w:suppressAutoHyphens/>
              <w:rPr>
                <w:spacing w:val="-2"/>
              </w:rPr>
            </w:pPr>
          </w:p>
          <w:p w:rsidR="00E4677C" w:rsidRPr="0069050E" w:rsidP="00776DA6" w14:paraId="28BB755E" w14:textId="77777777">
            <w:pPr>
              <w:pStyle w:val="TOAHeading"/>
              <w:widowControl/>
              <w:tabs>
                <w:tab w:val="center" w:pos="4680"/>
                <w:tab w:val="clear" w:pos="9360"/>
              </w:tabs>
              <w:rPr>
                <w:spacing w:val="-2"/>
              </w:rPr>
            </w:pPr>
          </w:p>
          <w:p w:rsidR="00AA70D9" w:rsidRPr="0069050E" w:rsidP="00776DA6" w14:paraId="3A9252A4" w14:textId="6FED2F6E">
            <w:pPr>
              <w:widowControl/>
              <w:tabs>
                <w:tab w:val="center" w:pos="4680"/>
              </w:tabs>
              <w:suppressAutoHyphens/>
              <w:rPr>
                <w:spacing w:val="-2"/>
              </w:rPr>
            </w:pPr>
            <w:r w:rsidRPr="0069050E">
              <w:rPr>
                <w:spacing w:val="-2"/>
              </w:rPr>
              <w:t>EB-TCD-</w:t>
            </w:r>
            <w:r w:rsidR="00C579A0">
              <w:rPr>
                <w:spacing w:val="-2"/>
              </w:rPr>
              <w:t>24-00037445</w:t>
            </w:r>
          </w:p>
          <w:p w:rsidR="00C41F38" w:rsidRPr="0069050E" w:rsidP="00776DA6" w14:paraId="1A793FF6" w14:textId="329DC648">
            <w:pPr>
              <w:widowControl/>
              <w:tabs>
                <w:tab w:val="center" w:pos="4680"/>
              </w:tabs>
              <w:suppressAutoHyphens/>
              <w:rPr>
                <w:spacing w:val="-2"/>
              </w:rPr>
            </w:pPr>
            <w:r w:rsidRPr="001707C5">
              <w:rPr>
                <w:spacing w:val="-2"/>
              </w:rPr>
              <w:t xml:space="preserve">EB Docket No. </w:t>
            </w:r>
            <w:r w:rsidR="00716864">
              <w:rPr>
                <w:spacing w:val="-2"/>
              </w:rPr>
              <w:t>22-174</w:t>
            </w:r>
          </w:p>
        </w:tc>
      </w:tr>
    </w:tbl>
    <w:p w:rsidR="00E4677C" w:rsidRPr="0069050E" w:rsidP="00776DA6" w14:paraId="281B366C" w14:textId="77777777">
      <w:pPr>
        <w:widowControl/>
      </w:pPr>
    </w:p>
    <w:p w:rsidR="007035B1" w:rsidRPr="0069050E" w:rsidP="00776DA6" w14:paraId="37039FCE" w14:textId="094F87C0">
      <w:pPr>
        <w:pStyle w:val="StyleBoldCentered"/>
        <w:widowControl/>
      </w:pPr>
      <w:r>
        <w:t>FINAL</w:t>
      </w:r>
      <w:r w:rsidRPr="0069050E" w:rsidR="004E7D83">
        <w:t xml:space="preserve"> Determination </w:t>
      </w:r>
      <w:r w:rsidR="00F900B2">
        <w:t xml:space="preserve">ORDER </w:t>
      </w:r>
      <w:r w:rsidR="0089361A">
        <w:t xml:space="preserve">AND </w:t>
      </w:r>
      <w:r w:rsidR="00963D9A">
        <w:t xml:space="preserve">REMOVAL </w:t>
      </w:r>
      <w:r>
        <w:t>ORDER</w:t>
      </w:r>
    </w:p>
    <w:p w:rsidR="007035B1" w:rsidRPr="0069050E" w:rsidP="00776DA6" w14:paraId="2116821F" w14:textId="77777777">
      <w:pPr>
        <w:pStyle w:val="StyleBoldCentered"/>
        <w:widowControl/>
      </w:pPr>
    </w:p>
    <w:p w:rsidR="00E4677C" w:rsidRPr="0069050E" w:rsidP="00776DA6" w14:paraId="778AA265" w14:textId="77777777">
      <w:pPr>
        <w:widowControl/>
        <w:tabs>
          <w:tab w:val="left" w:pos="-720"/>
        </w:tabs>
        <w:suppressAutoHyphens/>
        <w:spacing w:line="227" w:lineRule="auto"/>
        <w:rPr>
          <w:spacing w:val="-2"/>
        </w:rPr>
      </w:pPr>
    </w:p>
    <w:p w:rsidR="00E4677C" w:rsidRPr="0069050E" w:rsidP="00776DA6" w14:paraId="1C84F34E" w14:textId="238F2FA1">
      <w:pPr>
        <w:widowControl/>
        <w:tabs>
          <w:tab w:val="left" w:pos="720"/>
          <w:tab w:val="right" w:pos="9360"/>
        </w:tabs>
        <w:suppressAutoHyphens/>
        <w:spacing w:line="227" w:lineRule="auto"/>
        <w:rPr>
          <w:spacing w:val="-2"/>
        </w:rPr>
      </w:pPr>
      <w:r w:rsidRPr="0069050E">
        <w:rPr>
          <w:b/>
          <w:spacing w:val="-2"/>
        </w:rPr>
        <w:t>Adopted</w:t>
      </w:r>
      <w:r w:rsidRPr="0069050E">
        <w:rPr>
          <w:b/>
          <w:spacing w:val="-2"/>
        </w:rPr>
        <w:t xml:space="preserve">:  </w:t>
      </w:r>
      <w:r w:rsidR="009305BA">
        <w:rPr>
          <w:b/>
          <w:spacing w:val="-2"/>
        </w:rPr>
        <w:t>March</w:t>
      </w:r>
      <w:r w:rsidR="009305BA">
        <w:rPr>
          <w:b/>
          <w:spacing w:val="-2"/>
        </w:rPr>
        <w:t xml:space="preserve"> </w:t>
      </w:r>
      <w:r w:rsidR="000405DE">
        <w:rPr>
          <w:b/>
          <w:spacing w:val="-2"/>
        </w:rPr>
        <w:t>12</w:t>
      </w:r>
      <w:r w:rsidR="00DC258D">
        <w:rPr>
          <w:b/>
          <w:spacing w:val="-2"/>
        </w:rPr>
        <w:t xml:space="preserve">, </w:t>
      </w:r>
      <w:r w:rsidR="00DC258D">
        <w:rPr>
          <w:b/>
          <w:spacing w:val="-2"/>
        </w:rPr>
        <w:t>2026</w:t>
      </w:r>
      <w:r w:rsidRPr="0069050E">
        <w:rPr>
          <w:b/>
          <w:spacing w:val="-2"/>
        </w:rPr>
        <w:tab/>
        <w:t>Released</w:t>
      </w:r>
      <w:r w:rsidRPr="0069050E">
        <w:rPr>
          <w:b/>
          <w:spacing w:val="-2"/>
        </w:rPr>
        <w:t xml:space="preserve">:  </w:t>
      </w:r>
      <w:r w:rsidR="009305BA">
        <w:rPr>
          <w:b/>
          <w:spacing w:val="-2"/>
        </w:rPr>
        <w:t>March</w:t>
      </w:r>
      <w:r w:rsidR="009305BA">
        <w:rPr>
          <w:b/>
          <w:spacing w:val="-2"/>
        </w:rPr>
        <w:t xml:space="preserve"> </w:t>
      </w:r>
      <w:r w:rsidR="000405DE">
        <w:rPr>
          <w:b/>
          <w:spacing w:val="-2"/>
        </w:rPr>
        <w:t>12</w:t>
      </w:r>
      <w:r w:rsidR="00DC258D">
        <w:rPr>
          <w:b/>
          <w:spacing w:val="-2"/>
        </w:rPr>
        <w:t>, 2026</w:t>
      </w:r>
    </w:p>
    <w:p w:rsidR="00E4677C" w:rsidRPr="0069050E" w:rsidP="00776DA6" w14:paraId="3376BF7E" w14:textId="77777777">
      <w:pPr>
        <w:widowControl/>
      </w:pPr>
    </w:p>
    <w:p w:rsidR="00E4677C" w:rsidRPr="0069050E" w:rsidP="00776DA6" w14:paraId="6D9D1B8A" w14:textId="701F51DC">
      <w:pPr>
        <w:widowControl/>
        <w:rPr>
          <w:spacing w:val="-2"/>
        </w:rPr>
      </w:pPr>
      <w:r w:rsidRPr="0069050E">
        <w:t>By the Chief</w:t>
      </w:r>
      <w:r w:rsidRPr="0069050E" w:rsidR="00787966">
        <w:t>,</w:t>
      </w:r>
      <w:r w:rsidRPr="0069050E">
        <w:t xml:space="preserve"> Enforcement Bureau</w:t>
      </w:r>
      <w:r w:rsidRPr="0069050E">
        <w:rPr>
          <w:spacing w:val="-2"/>
        </w:rPr>
        <w:t>:</w:t>
      </w:r>
    </w:p>
    <w:p w:rsidR="00E4677C" w:rsidRPr="0069050E" w:rsidP="00776DA6" w14:paraId="3F366402" w14:textId="77777777">
      <w:pPr>
        <w:widowControl/>
        <w:rPr>
          <w:spacing w:val="-2"/>
        </w:rPr>
      </w:pPr>
    </w:p>
    <w:p w:rsidR="00E4677C" w:rsidRPr="0069050E" w:rsidP="00776DA6" w14:paraId="24A789B4" w14:textId="77777777">
      <w:pPr>
        <w:pStyle w:val="Heading1"/>
        <w:widowControl/>
      </w:pPr>
      <w:r w:rsidRPr="0069050E">
        <w:t>introduction</w:t>
      </w:r>
    </w:p>
    <w:p w:rsidR="009A7086" w:rsidP="00237C40" w14:paraId="7FFD3E0F" w14:textId="3C0A9CD8">
      <w:pPr>
        <w:pStyle w:val="ParaNum"/>
        <w:widowControl/>
      </w:pPr>
      <w:r w:rsidRPr="0069050E">
        <w:t>By thi</w:t>
      </w:r>
      <w:r w:rsidRPr="0069050E" w:rsidR="00BF3954">
        <w:t xml:space="preserve">s </w:t>
      </w:r>
      <w:r w:rsidR="009305BA">
        <w:t>Final</w:t>
      </w:r>
      <w:r w:rsidRPr="0069050E" w:rsidR="00BF3954">
        <w:t xml:space="preserve"> Determination</w:t>
      </w:r>
      <w:r w:rsidRPr="0069050E">
        <w:t xml:space="preserve"> </w:t>
      </w:r>
      <w:r w:rsidRPr="0069050E" w:rsidR="00A436F2">
        <w:t>O</w:t>
      </w:r>
      <w:r w:rsidRPr="0069050E">
        <w:t>rder</w:t>
      </w:r>
      <w:r w:rsidR="0089361A">
        <w:t xml:space="preserve"> and </w:t>
      </w:r>
      <w:r w:rsidR="00963D9A">
        <w:t xml:space="preserve">Removal </w:t>
      </w:r>
      <w:r w:rsidR="009305BA">
        <w:t>Order</w:t>
      </w:r>
      <w:r w:rsidRPr="0069050E">
        <w:t xml:space="preserve">, </w:t>
      </w:r>
      <w:r w:rsidRPr="0069050E" w:rsidR="00CB2D01">
        <w:t>the Enforcement Bureau (Bureau)</w:t>
      </w:r>
      <w:r w:rsidRPr="0069050E" w:rsidR="00B96E94">
        <w:t xml:space="preserve"> </w:t>
      </w:r>
      <w:r w:rsidR="00752105">
        <w:t xml:space="preserve">finds </w:t>
      </w:r>
      <w:r w:rsidRPr="0069050E" w:rsidR="00C90269">
        <w:t>that</w:t>
      </w:r>
      <w:r w:rsidRPr="0069050E">
        <w:t xml:space="preserve"> </w:t>
      </w:r>
      <w:r w:rsidR="00802F4B">
        <w:t>Belthrough</w:t>
      </w:r>
      <w:r w:rsidR="00802F4B">
        <w:t xml:space="preserve"> LLC</w:t>
      </w:r>
      <w:r w:rsidRPr="0069050E" w:rsidR="00497500">
        <w:t xml:space="preserve"> </w:t>
      </w:r>
      <w:r w:rsidRPr="0069050E">
        <w:t>(</w:t>
      </w:r>
      <w:r w:rsidR="00802F4B">
        <w:t>Belthrough</w:t>
      </w:r>
      <w:r w:rsidRPr="0069050E" w:rsidR="00497500">
        <w:t xml:space="preserve"> </w:t>
      </w:r>
      <w:r w:rsidRPr="0069050E">
        <w:t xml:space="preserve">or Company) </w:t>
      </w:r>
      <w:r w:rsidRPr="0069050E" w:rsidR="00C53A3D">
        <w:t xml:space="preserve">has </w:t>
      </w:r>
      <w:r w:rsidRPr="0069050E" w:rsidR="00C90269">
        <w:t xml:space="preserve">not </w:t>
      </w:r>
      <w:r w:rsidRPr="0069050E" w:rsidR="006F154C">
        <w:t>complied</w:t>
      </w:r>
      <w:r w:rsidRPr="0069050E" w:rsidR="00C90269">
        <w:t xml:space="preserve"> with the </w:t>
      </w:r>
      <w:r w:rsidR="002D21EE">
        <w:t xml:space="preserve">requirements </w:t>
      </w:r>
      <w:r w:rsidR="00752105">
        <w:t>of</w:t>
      </w:r>
      <w:r w:rsidR="002D21EE">
        <w:t xml:space="preserve"> section 64.1200(n)(2) of </w:t>
      </w:r>
      <w:r w:rsidR="005F417D">
        <w:t xml:space="preserve">the </w:t>
      </w:r>
      <w:r w:rsidRPr="0069050E" w:rsidR="00477861">
        <w:t xml:space="preserve">Federal Communications </w:t>
      </w:r>
      <w:r w:rsidRPr="0069050E" w:rsidR="00C90269">
        <w:t>Commission’s</w:t>
      </w:r>
      <w:r w:rsidRPr="0069050E" w:rsidR="00477861">
        <w:t xml:space="preserve"> (Commission or FCC)</w:t>
      </w:r>
      <w:r w:rsidR="00F44E88">
        <w:t xml:space="preserve"> rules </w:t>
      </w:r>
      <w:r w:rsidRPr="0069050E" w:rsidR="00C90269">
        <w:t xml:space="preserve">for </w:t>
      </w:r>
      <w:r w:rsidR="00F44E88">
        <w:t>voice service</w:t>
      </w:r>
      <w:r w:rsidRPr="0069050E" w:rsidR="00F44E88">
        <w:t xml:space="preserve"> </w:t>
      </w:r>
      <w:r w:rsidRPr="0069050E" w:rsidR="00C90269">
        <w:t>providers</w:t>
      </w:r>
      <w:r w:rsidRPr="0069050E">
        <w:t>.</w:t>
      </w:r>
      <w:r>
        <w:rPr>
          <w:rStyle w:val="FootnoteReference"/>
        </w:rPr>
        <w:footnoteReference w:id="3"/>
      </w:r>
      <w:r w:rsidRPr="0069050E" w:rsidR="00C90269">
        <w:t xml:space="preserve">  </w:t>
      </w:r>
      <w:r w:rsidR="00752105">
        <w:t>A</w:t>
      </w:r>
      <w:r>
        <w:t xml:space="preserve">ll providers immediately downstream of </w:t>
      </w:r>
      <w:r>
        <w:t>Belthrough</w:t>
      </w:r>
      <w:r>
        <w:t xml:space="preserve"> must </w:t>
      </w:r>
      <w:r w:rsidR="003012F2">
        <w:t xml:space="preserve">block and cease accepting all traffic from </w:t>
      </w:r>
      <w:r w:rsidR="003012F2">
        <w:t>Belthrough</w:t>
      </w:r>
      <w:r w:rsidR="003012F2">
        <w:t xml:space="preserve"> </w:t>
      </w:r>
      <w:r w:rsidR="00752105">
        <w:t>beginning</w:t>
      </w:r>
      <w:r>
        <w:t xml:space="preserve"> 30 </w:t>
      </w:r>
      <w:r w:rsidR="00E07A7F">
        <w:t xml:space="preserve">calendar </w:t>
      </w:r>
      <w:r>
        <w:t xml:space="preserve">days </w:t>
      </w:r>
      <w:r w:rsidR="00752105">
        <w:t>after</w:t>
      </w:r>
      <w:r>
        <w:t xml:space="preserve"> the </w:t>
      </w:r>
      <w:r w:rsidR="003012F2">
        <w:t xml:space="preserve">release of this </w:t>
      </w:r>
      <w:r w:rsidR="008731B6">
        <w:t xml:space="preserve">Final Determination </w:t>
      </w:r>
      <w:r w:rsidR="003012F2">
        <w:t>Order.</w:t>
      </w:r>
      <w:r>
        <w:rPr>
          <w:rStyle w:val="FootnoteReference"/>
        </w:rPr>
        <w:footnoteReference w:id="4"/>
      </w:r>
      <w:r w:rsidR="00D032C3">
        <w:t xml:space="preserve">  </w:t>
      </w:r>
      <w:r w:rsidR="00752105">
        <w:t xml:space="preserve">Providers may initiate blocking sooner than 30 </w:t>
      </w:r>
      <w:r w:rsidR="00195372">
        <w:t xml:space="preserve">calendar </w:t>
      </w:r>
      <w:r w:rsidR="00752105">
        <w:t xml:space="preserve">days from the release of this </w:t>
      </w:r>
      <w:r w:rsidR="00E55120">
        <w:t xml:space="preserve">Final Determination </w:t>
      </w:r>
      <w:r w:rsidR="003946AA">
        <w:t>O</w:t>
      </w:r>
      <w:r w:rsidR="00752105">
        <w:t>rder if they provide the Commission with notice and a brief summary of the basi</w:t>
      </w:r>
      <w:r w:rsidR="00AB3122">
        <w:t xml:space="preserve">s for their determination that </w:t>
      </w:r>
      <w:r w:rsidR="00AB3122">
        <w:t>Belthrough</w:t>
      </w:r>
      <w:r w:rsidR="00AB3122">
        <w:t xml:space="preserve"> has failed to effectively mitigate illegal traffic or failed to implement effective measures to prevent new and renewing customers from using its network to originate illegal calls.</w:t>
      </w:r>
      <w:r>
        <w:rPr>
          <w:rStyle w:val="FootnoteReference"/>
        </w:rPr>
        <w:footnoteReference w:id="5"/>
      </w:r>
      <w:r w:rsidR="00AB3122">
        <w:t xml:space="preserve">  </w:t>
      </w:r>
      <w:r w:rsidR="00D032C3">
        <w:t xml:space="preserve">Furthermore, </w:t>
      </w:r>
      <w:r w:rsidR="000F5666">
        <w:t xml:space="preserve">by this </w:t>
      </w:r>
      <w:r w:rsidR="00237C40">
        <w:t>Removal</w:t>
      </w:r>
      <w:r w:rsidR="001A165C">
        <w:t xml:space="preserve"> </w:t>
      </w:r>
      <w:r w:rsidR="000F5666">
        <w:t xml:space="preserve">Order, </w:t>
      </w:r>
      <w:r w:rsidR="009159A1">
        <w:t>t</w:t>
      </w:r>
      <w:r w:rsidR="000F5666">
        <w:t xml:space="preserve">he </w:t>
      </w:r>
      <w:r w:rsidR="00D7125E">
        <w:t xml:space="preserve">Bureau </w:t>
      </w:r>
      <w:r w:rsidR="000F5666">
        <w:t xml:space="preserve">removes the certification of </w:t>
      </w:r>
      <w:r w:rsidR="000F5666">
        <w:t>Belthrough</w:t>
      </w:r>
      <w:r w:rsidR="000F5666">
        <w:t xml:space="preserve"> from the </w:t>
      </w:r>
      <w:r w:rsidR="00E82D76">
        <w:t>Robocall Mitigation Database (</w:t>
      </w:r>
      <w:r w:rsidR="000F5666">
        <w:t>RMD</w:t>
      </w:r>
      <w:r w:rsidR="00E82D76">
        <w:t>)</w:t>
      </w:r>
      <w:r w:rsidR="000F5666">
        <w:t xml:space="preserve">.  Removal of </w:t>
      </w:r>
      <w:r w:rsidR="000F5666">
        <w:t>Belthrough’s</w:t>
      </w:r>
      <w:r w:rsidR="000F5666">
        <w:t xml:space="preserve"> certification from the RMD requires all intermediate providers and voice service providers to cease accepting all calls directly from the Company.</w:t>
      </w:r>
      <w:r>
        <w:rPr>
          <w:rStyle w:val="FootnoteReference"/>
        </w:rPr>
        <w:footnoteReference w:id="6"/>
      </w:r>
      <w:r w:rsidR="000F5666">
        <w:t xml:space="preserve">  </w:t>
      </w:r>
      <w:r w:rsidR="000F5666">
        <w:t>Belthrough</w:t>
      </w:r>
      <w:r w:rsidR="000F5666">
        <w:t xml:space="preserve"> shall not re-file an RMD certification without the prior approval of the Bureau and the Wireline Competition Bureau (WCB).  </w:t>
      </w:r>
      <w:r w:rsidR="008731B6">
        <w:t>This Final Determination Order follows the Bureau’s September 10, 2025, Notification of Suspected Illegal Traffic (Notice),</w:t>
      </w:r>
      <w:bookmarkStart w:id="0" w:name="_Ref209539652"/>
      <w:r>
        <w:rPr>
          <w:rStyle w:val="FootnoteReference"/>
        </w:rPr>
        <w:footnoteReference w:id="7"/>
      </w:r>
      <w:bookmarkEnd w:id="0"/>
      <w:r w:rsidR="008731B6">
        <w:t xml:space="preserve"> and the Bureau’s February 19, 2026, Initial Determination Order and Order </w:t>
      </w:r>
      <w:r w:rsidR="0014175B">
        <w:t>to Show Cause</w:t>
      </w:r>
      <w:r w:rsidR="00ED147E">
        <w:t xml:space="preserve"> </w:t>
      </w:r>
      <w:r w:rsidR="008731B6">
        <w:t>(Initial Determination Order).</w:t>
      </w:r>
      <w:r>
        <w:rPr>
          <w:rStyle w:val="FootnoteReference"/>
        </w:rPr>
        <w:footnoteReference w:id="8"/>
      </w:r>
      <w:r w:rsidR="008731B6">
        <w:t xml:space="preserve">  </w:t>
      </w:r>
      <w:r w:rsidR="00A80F64">
        <w:t xml:space="preserve">Other than acknowledging receipt of the </w:t>
      </w:r>
      <w:r w:rsidR="00B50C66">
        <w:t>Notice</w:t>
      </w:r>
      <w:r w:rsidR="00ED147E">
        <w:t xml:space="preserve">, </w:t>
      </w:r>
      <w:r w:rsidR="000F5666">
        <w:t>Belthrough</w:t>
      </w:r>
      <w:r w:rsidR="000F5666">
        <w:t xml:space="preserve"> took no action </w:t>
      </w:r>
      <w:r w:rsidR="001A165C">
        <w:t>in response</w:t>
      </w:r>
      <w:r w:rsidR="000F5666">
        <w:t xml:space="preserve"> to </w:t>
      </w:r>
      <w:r w:rsidR="008C4453">
        <w:t>either</w:t>
      </w:r>
      <w:r w:rsidR="000F5666">
        <w:t xml:space="preserve"> the </w:t>
      </w:r>
      <w:r w:rsidR="008731B6">
        <w:t xml:space="preserve">Notice </w:t>
      </w:r>
      <w:r w:rsidR="008C4453">
        <w:t>or</w:t>
      </w:r>
      <w:r w:rsidR="008731B6">
        <w:t xml:space="preserve"> the </w:t>
      </w:r>
      <w:r w:rsidR="000F5666">
        <w:t xml:space="preserve">Initial Determination Order.  </w:t>
      </w:r>
    </w:p>
    <w:p w:rsidR="009A7086" w:rsidP="000F5666" w14:paraId="66DC897C" w14:textId="75018902">
      <w:pPr>
        <w:pStyle w:val="ParaNum"/>
        <w:widowControl/>
        <w:numPr>
          <w:ilvl w:val="0"/>
          <w:numId w:val="0"/>
        </w:numPr>
      </w:pPr>
    </w:p>
    <w:p w:rsidR="00E4677C" w:rsidRPr="0069050E" w:rsidP="00776DA6" w14:paraId="0D8F63A4" w14:textId="77777777">
      <w:pPr>
        <w:pStyle w:val="Heading1"/>
        <w:widowControl/>
      </w:pPr>
      <w:r w:rsidRPr="0069050E">
        <w:t>Background</w:t>
      </w:r>
    </w:p>
    <w:p w:rsidR="00E4677C" w:rsidRPr="0069050E" w:rsidP="00776DA6" w14:paraId="50EE3164" w14:textId="75A5DF34">
      <w:pPr>
        <w:pStyle w:val="Heading2"/>
        <w:widowControl/>
      </w:pPr>
      <w:r>
        <w:t>Voice Service</w:t>
      </w:r>
      <w:r w:rsidRPr="0069050E">
        <w:t xml:space="preserve"> </w:t>
      </w:r>
      <w:r w:rsidRPr="0069050E" w:rsidR="007035B1">
        <w:t>Provider Mandatory Blocking Rules</w:t>
      </w:r>
      <w:r>
        <w:rPr>
          <w:rStyle w:val="FootnoteReference"/>
        </w:rPr>
        <w:footnoteReference w:id="9"/>
      </w:r>
    </w:p>
    <w:p w:rsidR="004C52DB" w:rsidRPr="001A165C" w:rsidP="001A165C" w14:paraId="3ED0F8B3" w14:textId="70E48B9F">
      <w:pPr>
        <w:pStyle w:val="ParaNum"/>
        <w:rPr>
          <w:szCs w:val="22"/>
        </w:rPr>
      </w:pPr>
      <w:r w:rsidRPr="0050384A">
        <w:t xml:space="preserve">Protecting </w:t>
      </w:r>
      <w:r w:rsidRPr="0050384A" w:rsidR="008672AD">
        <w:t>consumers in the United States</w:t>
      </w:r>
      <w:r w:rsidRPr="0050384A">
        <w:t xml:space="preserve"> from the dangers</w:t>
      </w:r>
      <w:r w:rsidRPr="0050384A" w:rsidR="00C4438E">
        <w:t xml:space="preserve"> and risks</w:t>
      </w:r>
      <w:r w:rsidRPr="0050384A">
        <w:t xml:space="preserve"> of unwanted and illegal robocalls is the Commission’s top consumer protection priority.</w:t>
      </w:r>
      <w:r>
        <w:rPr>
          <w:rStyle w:val="FootnoteReference"/>
          <w:sz w:val="22"/>
          <w:szCs w:val="22"/>
        </w:rPr>
        <w:footnoteReference w:id="10"/>
      </w:r>
      <w:r w:rsidRPr="0050384A">
        <w:t xml:space="preserve">  </w:t>
      </w:r>
      <w:r w:rsidR="001A165C">
        <w:t>V</w:t>
      </w:r>
      <w:r w:rsidRPr="0050384A" w:rsidR="00C12278">
        <w:t>oice service providers can—and sometimes do—facilitate, or even protect, bad-actor callers.</w:t>
      </w:r>
      <w:r>
        <w:rPr>
          <w:rStyle w:val="FootnoteReference"/>
          <w:sz w:val="22"/>
          <w:szCs w:val="22"/>
        </w:rPr>
        <w:footnoteReference w:id="11"/>
      </w:r>
      <w:r w:rsidR="001A165C">
        <w:t xml:space="preserve">  W</w:t>
      </w:r>
      <w:r w:rsidRPr="001A165C" w:rsidR="001A165C">
        <w:rPr>
          <w:szCs w:val="22"/>
        </w:rPr>
        <w:t>hen bad-actor callers are shielded by bad-actor voice service providers, it is significantly mor</w:t>
      </w:r>
      <w:r w:rsidR="001A165C">
        <w:rPr>
          <w:szCs w:val="22"/>
        </w:rPr>
        <w:t xml:space="preserve">e </w:t>
      </w:r>
      <w:r w:rsidRPr="001A165C" w:rsidR="001A165C">
        <w:rPr>
          <w:szCs w:val="22"/>
        </w:rPr>
        <w:t>difficult to stop the calls</w:t>
      </w:r>
      <w:r w:rsidR="001A165C">
        <w:rPr>
          <w:szCs w:val="22"/>
        </w:rPr>
        <w:t>.</w:t>
      </w:r>
      <w:r>
        <w:rPr>
          <w:rStyle w:val="FootnoteReference"/>
          <w:szCs w:val="22"/>
        </w:rPr>
        <w:footnoteReference w:id="12"/>
      </w:r>
      <w:r w:rsidR="001A165C">
        <w:rPr>
          <w:szCs w:val="22"/>
        </w:rPr>
        <w:t xml:space="preserve">  </w:t>
      </w:r>
      <w:r w:rsidRPr="0050384A" w:rsidR="00EF4CD4">
        <w:t xml:space="preserve">To address the problem, the Commission requires </w:t>
      </w:r>
      <w:r w:rsidRPr="0050384A" w:rsidR="001C6506">
        <w:t>voice service providers to block illegal traffic in some cases.</w:t>
      </w:r>
      <w:r>
        <w:rPr>
          <w:rStyle w:val="FootnoteReference"/>
          <w:sz w:val="22"/>
          <w:szCs w:val="22"/>
        </w:rPr>
        <w:footnoteReference w:id="13"/>
      </w:r>
      <w:r w:rsidRPr="0050384A" w:rsidR="003069E2">
        <w:t xml:space="preserve">  </w:t>
      </w:r>
      <w:r w:rsidR="009D50D0">
        <w:t>On May 19, 2022, the Commission adopted t</w:t>
      </w:r>
      <w:r w:rsidRPr="0050384A" w:rsidR="003069E2">
        <w:t xml:space="preserve">he </w:t>
      </w:r>
      <w:r w:rsidRPr="001A165C" w:rsidR="003069E2">
        <w:rPr>
          <w:i/>
          <w:iCs/>
        </w:rPr>
        <w:t>Gateway Provider Order</w:t>
      </w:r>
      <w:r w:rsidR="009D50D0">
        <w:t>, which</w:t>
      </w:r>
      <w:r w:rsidRPr="0050384A" w:rsidR="003069E2">
        <w:t xml:space="preserve"> built upon the Commission’s prior, </w:t>
      </w:r>
      <w:r w:rsidR="003E14E9">
        <w:t>permissive</w:t>
      </w:r>
      <w:r w:rsidRPr="0050384A" w:rsidR="003069E2">
        <w:t xml:space="preserve"> call blocking rules to require gateway providers to block illegal traffic when notified of such traffic by the Commission.</w:t>
      </w:r>
      <w:bookmarkStart w:id="1" w:name="_Ref209173913"/>
      <w:r>
        <w:rPr>
          <w:rStyle w:val="FootnoteReference"/>
          <w:sz w:val="22"/>
          <w:szCs w:val="22"/>
        </w:rPr>
        <w:footnoteReference w:id="14"/>
      </w:r>
      <w:bookmarkEnd w:id="1"/>
      <w:r w:rsidRPr="0050384A" w:rsidR="003069E2">
        <w:t xml:space="preserve">  </w:t>
      </w:r>
      <w:r w:rsidRPr="0050384A" w:rsidR="00672A47">
        <w:t xml:space="preserve">On May </w:t>
      </w:r>
      <w:r w:rsidRPr="0050384A" w:rsidR="0050384A">
        <w:t>18, 202</w:t>
      </w:r>
      <w:r w:rsidR="00AC3189">
        <w:t>3</w:t>
      </w:r>
      <w:r w:rsidRPr="0050384A" w:rsidR="0050384A">
        <w:t xml:space="preserve">, the Commission expanded the mandatory call blocking framework created in the </w:t>
      </w:r>
      <w:r w:rsidRPr="001A165C" w:rsidR="0050384A">
        <w:rPr>
          <w:i/>
          <w:iCs/>
        </w:rPr>
        <w:t>Gateway Provider Order</w:t>
      </w:r>
      <w:r w:rsidRPr="0050384A" w:rsidR="0050384A">
        <w:t xml:space="preserve"> to all voice service providers</w:t>
      </w:r>
      <w:r w:rsidR="0050384A">
        <w:t>.</w:t>
      </w:r>
      <w:r>
        <w:rPr>
          <w:rStyle w:val="FootnoteReference"/>
        </w:rPr>
        <w:footnoteReference w:id="15"/>
      </w:r>
    </w:p>
    <w:p w:rsidR="00934138" w:rsidRPr="0069050E" w:rsidP="006635C9" w14:paraId="2B786F9C" w14:textId="4F1C9892">
      <w:pPr>
        <w:pStyle w:val="ParaNum"/>
        <w:widowControl/>
      </w:pPr>
      <w:r>
        <w:t xml:space="preserve">Mandatory </w:t>
      </w:r>
      <w:r w:rsidR="004E7D83">
        <w:t xml:space="preserve">call blocking </w:t>
      </w:r>
      <w:r w:rsidR="008F4279">
        <w:t>p</w:t>
      </w:r>
      <w:r w:rsidR="00E503A9">
        <w:t>ursuant to section</w:t>
      </w:r>
      <w:r w:rsidR="00C37050">
        <w:t>s</w:t>
      </w:r>
      <w:r w:rsidR="00E503A9">
        <w:t xml:space="preserve"> </w:t>
      </w:r>
      <w:r w:rsidR="00C27B1C">
        <w:t>64.1200(n)(2)</w:t>
      </w:r>
      <w:r w:rsidR="00C37050">
        <w:t xml:space="preserve"> and (n)(3)</w:t>
      </w:r>
      <w:r w:rsidR="00351409">
        <w:t xml:space="preserve"> </w:t>
      </w:r>
      <w:r w:rsidR="000572C9">
        <w:t xml:space="preserve">can </w:t>
      </w:r>
      <w:r w:rsidR="00C03139">
        <w:t>entail</w:t>
      </w:r>
      <w:r w:rsidR="004E7D83">
        <w:t xml:space="preserve"> a three-step process</w:t>
      </w:r>
      <w:r w:rsidR="004E39A2">
        <w:t xml:space="preserve"> if the notified </w:t>
      </w:r>
      <w:r w:rsidR="00A00184">
        <w:t>provider fails to take action</w:t>
      </w:r>
      <w:r w:rsidR="00384BA2">
        <w:t xml:space="preserve"> as directed by the Bureau</w:t>
      </w:r>
      <w:r w:rsidR="004E7D83">
        <w:t>.</w:t>
      </w:r>
      <w:r>
        <w:rPr>
          <w:rStyle w:val="FootnoteReference"/>
        </w:rPr>
        <w:footnoteReference w:id="16"/>
      </w:r>
      <w:r w:rsidR="00237C40">
        <w:t xml:space="preserve"> </w:t>
      </w:r>
      <w:r w:rsidR="00A9453D">
        <w:t xml:space="preserve"> </w:t>
      </w:r>
      <w:r w:rsidR="004E7D83">
        <w:rPr>
          <w:i/>
          <w:iCs/>
        </w:rPr>
        <w:t>First</w:t>
      </w:r>
      <w:r w:rsidR="004E7D83">
        <w:t xml:space="preserve">, </w:t>
      </w:r>
      <w:r w:rsidR="005E3DC5">
        <w:t xml:space="preserve">a </w:t>
      </w:r>
      <w:r w:rsidR="004122A9">
        <w:t xml:space="preserve">provider </w:t>
      </w:r>
      <w:r w:rsidR="00E65C28">
        <w:t xml:space="preserve">will </w:t>
      </w:r>
      <w:r w:rsidR="004122A9">
        <w:t>receive</w:t>
      </w:r>
      <w:r w:rsidRPr="0069050E" w:rsidR="00EA6469">
        <w:t xml:space="preserve"> a </w:t>
      </w:r>
      <w:r w:rsidR="004122A9">
        <w:t>notification of suspected illegal traffic</w:t>
      </w:r>
      <w:r w:rsidRPr="0069050E" w:rsidR="004122A9">
        <w:t xml:space="preserve"> </w:t>
      </w:r>
      <w:r w:rsidRPr="0069050E" w:rsidR="00EA6469">
        <w:t>from the Bureau</w:t>
      </w:r>
      <w:r w:rsidR="00735A42">
        <w:t xml:space="preserve"> requiring the provider to</w:t>
      </w:r>
      <w:r w:rsidRPr="0069050E" w:rsidR="00EA6469">
        <w:t xml:space="preserve"> investigat</w:t>
      </w:r>
      <w:r w:rsidR="00735A42">
        <w:t>e the suspected illegal traffic</w:t>
      </w:r>
      <w:r w:rsidR="006022B6">
        <w:t>,</w:t>
      </w:r>
      <w:r w:rsidRPr="0069050E" w:rsidR="00EA6469">
        <w:t xml:space="preserve"> report the results of the investigation to the Bureau</w:t>
      </w:r>
      <w:r w:rsidR="00C0146E">
        <w:t>, and block the identified traffic</w:t>
      </w:r>
      <w:r w:rsidR="002E506A">
        <w:t xml:space="preserve"> </w:t>
      </w:r>
      <w:r w:rsidR="00C0043D">
        <w:t xml:space="preserve">and substantially similar traffic </w:t>
      </w:r>
      <w:r w:rsidR="002E506A">
        <w:t>unless it determines the</w:t>
      </w:r>
      <w:r w:rsidR="00C0043D">
        <w:t xml:space="preserve"> identified</w:t>
      </w:r>
      <w:r w:rsidR="002E506A">
        <w:t xml:space="preserve"> traffic is not illegal</w:t>
      </w:r>
      <w:r w:rsidRPr="0069050E" w:rsidR="00EA6469">
        <w:t>.</w:t>
      </w:r>
      <w:r>
        <w:rPr>
          <w:rStyle w:val="FootnoteReference"/>
        </w:rPr>
        <w:footnoteReference w:id="17"/>
      </w:r>
      <w:r w:rsidR="00D30BDE">
        <w:t xml:space="preserve">  </w:t>
      </w:r>
      <w:r w:rsidR="00D30BDE">
        <w:rPr>
          <w:i/>
          <w:iCs/>
        </w:rPr>
        <w:t>Second</w:t>
      </w:r>
      <w:r w:rsidR="00D30BDE">
        <w:t xml:space="preserve">, </w:t>
      </w:r>
      <w:r w:rsidR="0000245C">
        <w:t>if the provider fails to respond to the notification</w:t>
      </w:r>
      <w:r w:rsidR="00A40C23">
        <w:t>,</w:t>
      </w:r>
      <w:r w:rsidR="0000245C">
        <w:t xml:space="preserve"> the Bureau determines that the response is insufficient</w:t>
      </w:r>
      <w:r w:rsidR="00A40C23">
        <w:t>,</w:t>
      </w:r>
      <w:r w:rsidR="00C43D69">
        <w:t xml:space="preserve"> the Bureau determines that the provider is continuing to originate substantially similar traffic</w:t>
      </w:r>
      <w:r w:rsidR="00A40C23">
        <w:t>,</w:t>
      </w:r>
      <w:r w:rsidR="00C70B31">
        <w:t xml:space="preserve"> or the Bureau determines that </w:t>
      </w:r>
      <w:r w:rsidR="00027485">
        <w:t>the traffic is illegal despite assertions by the provider</w:t>
      </w:r>
      <w:r w:rsidR="00A40C23">
        <w:t xml:space="preserve"> to the contrary</w:t>
      </w:r>
      <w:r w:rsidR="00027485">
        <w:t xml:space="preserve">, then the Bureau </w:t>
      </w:r>
      <w:r w:rsidR="00E65C28">
        <w:t>will</w:t>
      </w:r>
      <w:r w:rsidR="00027485">
        <w:t xml:space="preserve"> issue an Initial Determination Order</w:t>
      </w:r>
      <w:r w:rsidR="00533360">
        <w:t>.</w:t>
      </w:r>
      <w:r>
        <w:rPr>
          <w:rStyle w:val="FootnoteReference"/>
        </w:rPr>
        <w:footnoteReference w:id="18"/>
      </w:r>
      <w:r w:rsidR="002D3810">
        <w:t xml:space="preserve">  The provider </w:t>
      </w:r>
      <w:r w:rsidR="00A40C23">
        <w:t xml:space="preserve">then </w:t>
      </w:r>
      <w:r w:rsidR="00B13664">
        <w:t>has</w:t>
      </w:r>
      <w:r w:rsidR="002D3810">
        <w:t xml:space="preserve"> </w:t>
      </w:r>
      <w:r w:rsidR="006635C9">
        <w:t>an opportunity to respond.</w:t>
      </w:r>
      <w:r>
        <w:rPr>
          <w:rStyle w:val="FootnoteReference"/>
        </w:rPr>
        <w:footnoteReference w:id="19"/>
      </w:r>
      <w:r w:rsidRPr="0069050E" w:rsidR="005D3997">
        <w:t xml:space="preserve">  </w:t>
      </w:r>
      <w:r w:rsidRPr="006635C9" w:rsidR="006635C9">
        <w:rPr>
          <w:i/>
          <w:iCs/>
        </w:rPr>
        <w:t>Third</w:t>
      </w:r>
      <w:r w:rsidR="006635C9">
        <w:t>,</w:t>
      </w:r>
      <w:r w:rsidRPr="0069050E" w:rsidR="00BE5210">
        <w:t xml:space="preserve"> </w:t>
      </w:r>
      <w:r w:rsidR="006635C9">
        <w:t>i</w:t>
      </w:r>
      <w:r w:rsidRPr="0069050E" w:rsidR="00BE5210">
        <w:t>f the Bureau determines that the provider’s response</w:t>
      </w:r>
      <w:r w:rsidRPr="0069050E" w:rsidR="00942E02">
        <w:t xml:space="preserve"> to the Initial Determination Order</w:t>
      </w:r>
      <w:r w:rsidRPr="006635C9" w:rsidR="00BE5210">
        <w:rPr>
          <w:szCs w:val="22"/>
        </w:rPr>
        <w:t xml:space="preserve"> </w:t>
      </w:r>
      <w:r w:rsidRPr="0069050E" w:rsidR="000367A7">
        <w:t>is</w:t>
      </w:r>
      <w:r w:rsidRPr="0069050E" w:rsidR="00BE5210">
        <w:t xml:space="preserve"> inadequate</w:t>
      </w:r>
      <w:r w:rsidRPr="006635C9" w:rsidR="00BE5210">
        <w:rPr>
          <w:szCs w:val="22"/>
        </w:rPr>
        <w:t xml:space="preserve"> </w:t>
      </w:r>
      <w:r w:rsidRPr="006635C9" w:rsidR="00B65523">
        <w:rPr>
          <w:szCs w:val="22"/>
        </w:rPr>
        <w:t>(</w:t>
      </w:r>
      <w:r w:rsidRPr="0069050E" w:rsidR="00BE5210">
        <w:t>including</w:t>
      </w:r>
      <w:r w:rsidRPr="0069050E" w:rsidR="00B65523">
        <w:t xml:space="preserve"> </w:t>
      </w:r>
      <w:r w:rsidR="00A40C23">
        <w:t>if</w:t>
      </w:r>
      <w:r w:rsidRPr="0069050E" w:rsidR="00B65523">
        <w:t xml:space="preserve"> the provider fails to respond)</w:t>
      </w:r>
      <w:r w:rsidRPr="006635C9" w:rsidR="00BE5210">
        <w:rPr>
          <w:szCs w:val="22"/>
        </w:rPr>
        <w:t>,</w:t>
      </w:r>
      <w:r w:rsidRPr="0069050E" w:rsidR="00BE5210">
        <w:t xml:space="preserve"> or </w:t>
      </w:r>
      <w:r w:rsidRPr="0069050E" w:rsidR="00082B83">
        <w:t xml:space="preserve">if </w:t>
      </w:r>
      <w:r w:rsidRPr="0069050E" w:rsidR="00BE5210">
        <w:t>it continues to transmit substantially similar traffic,</w:t>
      </w:r>
      <w:r w:rsidRPr="006635C9" w:rsidR="00BE5210">
        <w:rPr>
          <w:szCs w:val="22"/>
        </w:rPr>
        <w:t xml:space="preserve"> </w:t>
      </w:r>
      <w:r w:rsidRPr="0069050E" w:rsidR="00BE5210">
        <w:t xml:space="preserve">the Bureau </w:t>
      </w:r>
      <w:r w:rsidRPr="0069050E" w:rsidR="00C8229A">
        <w:t xml:space="preserve">may </w:t>
      </w:r>
      <w:r w:rsidRPr="0069050E" w:rsidR="00C67357">
        <w:t>issue</w:t>
      </w:r>
      <w:r w:rsidRPr="006635C9" w:rsidR="00005735">
        <w:rPr>
          <w:szCs w:val="22"/>
        </w:rPr>
        <w:t xml:space="preserve"> </w:t>
      </w:r>
      <w:r w:rsidRPr="0069050E" w:rsidR="00BE5210">
        <w:t>a Final Determination Order</w:t>
      </w:r>
      <w:r w:rsidRPr="006635C9" w:rsidR="00C8229A">
        <w:rPr>
          <w:szCs w:val="22"/>
        </w:rPr>
        <w:t xml:space="preserve"> mandating</w:t>
      </w:r>
      <w:r w:rsidRPr="006635C9" w:rsidR="00B65523">
        <w:rPr>
          <w:szCs w:val="22"/>
        </w:rPr>
        <w:t xml:space="preserve"> </w:t>
      </w:r>
      <w:r w:rsidRPr="0069050E" w:rsidR="00C8229A">
        <w:t>a</w:t>
      </w:r>
      <w:r w:rsidRPr="0069050E" w:rsidR="00BE5210">
        <w:t xml:space="preserve">ll </w:t>
      </w:r>
      <w:r w:rsidRPr="0069050E" w:rsidR="00AF1238">
        <w:t>immediate</w:t>
      </w:r>
      <w:r w:rsidRPr="006635C9" w:rsidR="005F30D2">
        <w:rPr>
          <w:szCs w:val="22"/>
        </w:rPr>
        <w:t xml:space="preserve"> </w:t>
      </w:r>
      <w:r w:rsidRPr="0069050E" w:rsidR="00BE5210">
        <w:t xml:space="preserve">downstream providers block and cease accepting all traffic from the provider starting 30 </w:t>
      </w:r>
      <w:r w:rsidR="00195372">
        <w:t xml:space="preserve">calendar </w:t>
      </w:r>
      <w:r w:rsidRPr="0069050E" w:rsidR="00BE5210">
        <w:t>days from release of the Final Determination Order.</w:t>
      </w:r>
      <w:r>
        <w:rPr>
          <w:rStyle w:val="FootnoteReference"/>
          <w:sz w:val="22"/>
          <w:szCs w:val="22"/>
        </w:rPr>
        <w:footnoteReference w:id="20"/>
      </w:r>
      <w:r w:rsidR="00A40C23">
        <w:t xml:space="preserve">  </w:t>
      </w:r>
      <w:r w:rsidR="007D740A">
        <w:t xml:space="preserve">Downstream providers may choose to initiate blocking sooner than 30 </w:t>
      </w:r>
      <w:r w:rsidR="00195372">
        <w:t xml:space="preserve">calendar </w:t>
      </w:r>
      <w:r w:rsidR="007D740A">
        <w:t xml:space="preserve">days from the release of the Final Determination Order if, prior to initiating blocking, they provide the Commission with notice and a brief summary of the basis for their determination that the provider failed to effectively mitigate illegal traffic within 48 hours of being notified by the </w:t>
      </w:r>
      <w:r w:rsidR="000E30E7">
        <w:t>C</w:t>
      </w:r>
      <w:r w:rsidR="007D740A">
        <w:t>ommission or failed to implement effective measures to prevent new and renewing customers from using its network to originate illegal calls.</w:t>
      </w:r>
      <w:r>
        <w:rPr>
          <w:rStyle w:val="FootnoteReference"/>
        </w:rPr>
        <w:footnoteReference w:id="21"/>
      </w:r>
      <w:r w:rsidR="007D740A">
        <w:t xml:space="preserve"> </w:t>
      </w:r>
    </w:p>
    <w:p w:rsidR="00F45CF0" w:rsidRPr="00762352" w:rsidP="00762352" w14:paraId="347D70F1" w14:textId="3F66FB2C">
      <w:pPr>
        <w:pStyle w:val="Heading2"/>
      </w:pPr>
      <w:r>
        <w:t xml:space="preserve">RMD Rules and Removal Procedure </w:t>
      </w:r>
      <w:r w:rsidR="001E742B">
        <w:t xml:space="preserve">and </w:t>
      </w:r>
      <w:r w:rsidR="00A41E1F">
        <w:t>Consequences of</w:t>
      </w:r>
      <w:r w:rsidR="009C4C90">
        <w:t xml:space="preserve"> Removal </w:t>
      </w:r>
      <w:r w:rsidR="00E646AA">
        <w:t>Pursuant to</w:t>
      </w:r>
      <w:r w:rsidRPr="007F3BF2">
        <w:t xml:space="preserve"> Section 64.6305(g)</w:t>
      </w:r>
    </w:p>
    <w:p w:rsidR="00A40C23" w:rsidP="00A40C23" w14:paraId="5B85213B" w14:textId="2DF704E3">
      <w:pPr>
        <w:pStyle w:val="ParaNum"/>
      </w:pPr>
      <w:r>
        <w:t>The FCC established the RMD in 2020 to promote transparency and effective robocall mitigation.</w:t>
      </w:r>
      <w:r>
        <w:rPr>
          <w:rStyle w:val="FootnoteReference"/>
        </w:rPr>
        <w:footnoteReference w:id="22"/>
      </w:r>
      <w:r>
        <w:t xml:space="preserve">  </w:t>
      </w:r>
      <w:r w:rsidR="000728BF">
        <w:t>Voice service providers, gateway providers, and non-gateway intermediate providers must file certifications in the RMD.</w:t>
      </w:r>
      <w:r>
        <w:rPr>
          <w:rStyle w:val="FootnoteReference"/>
        </w:rPr>
        <w:footnoteReference w:id="23"/>
      </w:r>
      <w:r w:rsidR="000728BF">
        <w:t xml:space="preserve">  </w:t>
      </w:r>
      <w:r w:rsidR="00ED4F1F">
        <w:t xml:space="preserve">RMD </w:t>
      </w:r>
      <w:r w:rsidR="00375BC3">
        <w:t>certifications</w:t>
      </w:r>
      <w:r w:rsidRPr="00F460F9">
        <w:t xml:space="preserve"> must</w:t>
      </w:r>
      <w:r w:rsidR="00C5230D">
        <w:t>, among other things,</w:t>
      </w:r>
      <w:r w:rsidRPr="00F460F9">
        <w:t xml:space="preserve"> </w:t>
      </w:r>
      <w:r w:rsidR="00ED4F1F">
        <w:t>describe</w:t>
      </w:r>
      <w:r w:rsidRPr="00F460F9">
        <w:t xml:space="preserve"> the specific reasonable steps the provider </w:t>
      </w:r>
      <w:r w:rsidR="00ED4F1F">
        <w:t>i</w:t>
      </w:r>
      <w:r w:rsidRPr="00F460F9">
        <w:t>s tak</w:t>
      </w:r>
      <w:r w:rsidR="00ED4F1F">
        <w:t>ing</w:t>
      </w:r>
      <w:r w:rsidRPr="00F460F9">
        <w:t xml:space="preserve"> to avoid originating, carrying, or processing illegal robocall traffic as part of its robocall mitigation program.</w:t>
      </w:r>
      <w:r>
        <w:rPr>
          <w:rStyle w:val="FootnoteReference"/>
          <w:rFonts w:eastAsiaTheme="majorEastAsia"/>
          <w:sz w:val="22"/>
          <w:szCs w:val="22"/>
        </w:rPr>
        <w:footnoteReference w:id="24"/>
      </w:r>
      <w:r w:rsidRPr="00F460F9">
        <w:t xml:space="preserve"> </w:t>
      </w:r>
      <w:r w:rsidR="0000644E">
        <w:t xml:space="preserve"> </w:t>
      </w:r>
      <w:r w:rsidR="00685E23">
        <w:t xml:space="preserve">RMD </w:t>
      </w:r>
      <w:r w:rsidR="00375BC3">
        <w:t>certifications</w:t>
      </w:r>
      <w:r w:rsidR="00685E23">
        <w:t xml:space="preserve"> must also include a commitment to respond to all traceback requests from the Commission and to cooperate with the Commission in investigating and stopping any illegal robocallers that use its service to </w:t>
      </w:r>
      <w:r w:rsidR="00D95E7D">
        <w:t>originate, carry, or process</w:t>
      </w:r>
      <w:r w:rsidR="00685E23">
        <w:t xml:space="preserve"> calls.</w:t>
      </w:r>
      <w:r>
        <w:rPr>
          <w:rStyle w:val="FootnoteReference"/>
        </w:rPr>
        <w:footnoteReference w:id="25"/>
      </w:r>
      <w:r w:rsidR="0000644E">
        <w:t xml:space="preserve"> </w:t>
      </w:r>
      <w:r w:rsidR="00685E23">
        <w:t xml:space="preserve"> </w:t>
      </w:r>
      <w:r w:rsidR="0000644E">
        <w:t>A</w:t>
      </w:r>
      <w:r>
        <w:t>n officer of the provider filing a certification</w:t>
      </w:r>
      <w:r w:rsidR="0000644E">
        <w:t xml:space="preserve"> </w:t>
      </w:r>
      <w:r>
        <w:t xml:space="preserve">in the RMD </w:t>
      </w:r>
      <w:r w:rsidR="0000644E">
        <w:t>must</w:t>
      </w:r>
      <w:r>
        <w:t xml:space="preserve"> declare, under penalty of perjury, that the information included in the certification is true and correct.</w:t>
      </w:r>
      <w:r>
        <w:rPr>
          <w:rStyle w:val="FootnoteReference"/>
          <w:rFonts w:eastAsiaTheme="majorEastAsia"/>
        </w:rPr>
        <w:footnoteReference w:id="26"/>
      </w:r>
      <w:r>
        <w:t xml:space="preserve">  The submission of false or inaccurate information makes a certification deficient and may result in an enforcement action against the filer</w:t>
      </w:r>
      <w:r w:rsidR="003F7E0C">
        <w:t xml:space="preserve">, including removal of the </w:t>
      </w:r>
      <w:r w:rsidR="00D47CF4">
        <w:t>filing</w:t>
      </w:r>
      <w:r w:rsidR="003F7E0C">
        <w:t xml:space="preserve"> from the RMD</w:t>
      </w:r>
      <w:r>
        <w:t>.</w:t>
      </w:r>
      <w:r>
        <w:rPr>
          <w:rStyle w:val="FootnoteReference"/>
          <w:rFonts w:eastAsiaTheme="majorEastAsia"/>
        </w:rPr>
        <w:footnoteReference w:id="27"/>
      </w:r>
      <w:r w:rsidRPr="00AB371E">
        <w:t xml:space="preserve"> </w:t>
      </w:r>
      <w:r>
        <w:t xml:space="preserve"> </w:t>
      </w:r>
    </w:p>
    <w:p w:rsidR="00D47CF4" w:rsidRPr="000728BF" w:rsidP="00D47CF4" w14:paraId="3371D0A1" w14:textId="7E37B675">
      <w:pPr>
        <w:pStyle w:val="ParaNum"/>
        <w:rPr>
          <w:b/>
        </w:rPr>
      </w:pPr>
      <w:r w:rsidRPr="001E6C1F">
        <w:rPr>
          <w:rStyle w:val="boolean-control"/>
        </w:rPr>
        <w:t>The Commission may remove a provider’s filing from the RMD that it finds “deficient in some way.”</w:t>
      </w:r>
      <w:bookmarkStart w:id="2" w:name="_Ref209173982"/>
      <w:r>
        <w:rPr>
          <w:rStyle w:val="FootnoteReference"/>
          <w:sz w:val="22"/>
        </w:rPr>
        <w:footnoteReference w:id="28"/>
      </w:r>
      <w:bookmarkEnd w:id="2"/>
      <w:r w:rsidRPr="001E6C1F">
        <w:rPr>
          <w:rStyle w:val="boolean-control"/>
        </w:rPr>
        <w:t xml:space="preserve">  To do so, the Commission </w:t>
      </w:r>
      <w:r w:rsidR="00234E96">
        <w:rPr>
          <w:rStyle w:val="boolean-control"/>
        </w:rPr>
        <w:t xml:space="preserve">will </w:t>
      </w:r>
      <w:r w:rsidRPr="001E6C1F">
        <w:rPr>
          <w:rStyle w:val="boolean-control"/>
        </w:rPr>
        <w:t>first contact the provider</w:t>
      </w:r>
      <w:r w:rsidR="00D26C62">
        <w:rPr>
          <w:rStyle w:val="boolean-control"/>
        </w:rPr>
        <w:t xml:space="preserve"> to</w:t>
      </w:r>
      <w:r w:rsidRPr="001E6C1F">
        <w:rPr>
          <w:rStyle w:val="boolean-control"/>
        </w:rPr>
        <w:t xml:space="preserve"> notif</w:t>
      </w:r>
      <w:r w:rsidR="00234E96">
        <w:rPr>
          <w:rStyle w:val="boolean-control"/>
        </w:rPr>
        <w:t>y</w:t>
      </w:r>
      <w:r w:rsidRPr="001E6C1F">
        <w:rPr>
          <w:rStyle w:val="boolean-control"/>
        </w:rPr>
        <w:t xml:space="preserve"> it that its filing is deficient, explain</w:t>
      </w:r>
      <w:r>
        <w:rPr>
          <w:rStyle w:val="boolean-control"/>
        </w:rPr>
        <w:t xml:space="preserve"> </w:t>
      </w:r>
      <w:r w:rsidRPr="001E6C1F">
        <w:rPr>
          <w:rStyle w:val="boolean-control"/>
        </w:rPr>
        <w:t>the nature of the deficiency, and provid</w:t>
      </w:r>
      <w:r>
        <w:rPr>
          <w:rStyle w:val="boolean-control"/>
        </w:rPr>
        <w:t>e</w:t>
      </w:r>
      <w:r w:rsidR="00234E96">
        <w:rPr>
          <w:rStyle w:val="boolean-control"/>
        </w:rPr>
        <w:t xml:space="preserve"> </w:t>
      </w:r>
      <w:r w:rsidRPr="001E6C1F">
        <w:rPr>
          <w:rStyle w:val="boolean-control"/>
        </w:rPr>
        <w:t>14 days for the provider to cure the deficiency.</w:t>
      </w:r>
      <w:bookmarkStart w:id="3" w:name="_Ref209539965"/>
      <w:r>
        <w:rPr>
          <w:rStyle w:val="FootnoteReference"/>
          <w:sz w:val="22"/>
        </w:rPr>
        <w:footnoteReference w:id="29"/>
      </w:r>
      <w:bookmarkEnd w:id="3"/>
      <w:r w:rsidRPr="001E6C1F">
        <w:rPr>
          <w:rStyle w:val="boolean-control"/>
        </w:rPr>
        <w:t xml:space="preserve">  If the provider fails to cure the deficiency, the Bureau will release an order concluding that </w:t>
      </w:r>
      <w:r w:rsidR="00234E96">
        <w:rPr>
          <w:rStyle w:val="boolean-control"/>
        </w:rPr>
        <w:t>the</w:t>
      </w:r>
      <w:r w:rsidRPr="001E6C1F">
        <w:rPr>
          <w:rStyle w:val="boolean-control"/>
        </w:rPr>
        <w:t xml:space="preserve"> provider’s filing is deficient based on the available evidence.  The order will direct the provider to—within 14 days—cure the deficiency in its filing and explain </w:t>
      </w:r>
      <w:r w:rsidRPr="001E6C1F">
        <w:t xml:space="preserve">why the Bureau should not remove the </w:t>
      </w:r>
      <w:r w:rsidR="00234E96">
        <w:t>provider</w:t>
      </w:r>
      <w:r w:rsidRPr="001E6C1F">
        <w:t>’s certification from the RMD</w:t>
      </w:r>
      <w:r w:rsidRPr="001E6C1F">
        <w:rPr>
          <w:rStyle w:val="boolean-control"/>
        </w:rPr>
        <w:t>.</w:t>
      </w:r>
      <w:r>
        <w:rPr>
          <w:rStyle w:val="FootnoteReference"/>
          <w:sz w:val="22"/>
        </w:rPr>
        <w:footnoteReference w:id="30"/>
      </w:r>
      <w:r w:rsidRPr="001E6C1F">
        <w:rPr>
          <w:rStyle w:val="boolean-control"/>
        </w:rPr>
        <w:t xml:space="preserve"> </w:t>
      </w:r>
      <w:r>
        <w:rPr>
          <w:rStyle w:val="boolean-control"/>
        </w:rPr>
        <w:t xml:space="preserve"> </w:t>
      </w:r>
      <w:r w:rsidRPr="001E6C1F">
        <w:rPr>
          <w:rStyle w:val="boolean-control"/>
        </w:rPr>
        <w:t>If the provider fails to cure the deficiency or provide a sufficient explanation why its filing is not deficient within that 14-day period, the Bureau will release an order removing the provider</w:t>
      </w:r>
      <w:r w:rsidR="00D95E7D">
        <w:rPr>
          <w:rStyle w:val="boolean-control"/>
        </w:rPr>
        <w:t>’s certification</w:t>
      </w:r>
      <w:r w:rsidRPr="001E6C1F">
        <w:rPr>
          <w:rStyle w:val="boolean-control"/>
        </w:rPr>
        <w:t xml:space="preserve"> from the RMD.</w:t>
      </w:r>
      <w:r>
        <w:rPr>
          <w:rStyle w:val="FootnoteReference"/>
          <w:sz w:val="22"/>
        </w:rPr>
        <w:footnoteReference w:id="31"/>
      </w:r>
      <w:r w:rsidRPr="000728BF">
        <w:t xml:space="preserve"> </w:t>
      </w:r>
    </w:p>
    <w:p w:rsidR="00A40C23" w:rsidP="00D7125E" w14:paraId="5D8345A4" w14:textId="64EAF5D4">
      <w:pPr>
        <w:pStyle w:val="ParaNum"/>
      </w:pPr>
      <w:r>
        <w:rPr>
          <w:rStyle w:val="boolean-control"/>
        </w:rPr>
        <w:t>Whe</w:t>
      </w:r>
      <w:r w:rsidR="00234E96">
        <w:rPr>
          <w:rStyle w:val="boolean-control"/>
        </w:rPr>
        <w:t>n</w:t>
      </w:r>
      <w:r>
        <w:rPr>
          <w:rStyle w:val="boolean-control"/>
        </w:rPr>
        <w:t xml:space="preserve"> </w:t>
      </w:r>
      <w:r w:rsidR="00234E96">
        <w:rPr>
          <w:rStyle w:val="boolean-control"/>
        </w:rPr>
        <w:t xml:space="preserve">a provider’s </w:t>
      </w:r>
      <w:r w:rsidR="00C56CCE">
        <w:rPr>
          <w:rStyle w:val="boolean-control"/>
        </w:rPr>
        <w:t>violation of the Commission’s rules</w:t>
      </w:r>
      <w:r>
        <w:rPr>
          <w:rStyle w:val="boolean-control"/>
        </w:rPr>
        <w:t xml:space="preserve"> is willful </w:t>
      </w:r>
      <w:r w:rsidR="00234E96">
        <w:rPr>
          <w:rStyle w:val="boolean-control"/>
        </w:rPr>
        <w:t>its</w:t>
      </w:r>
      <w:r>
        <w:rPr>
          <w:rStyle w:val="boolean-control"/>
        </w:rPr>
        <w:t xml:space="preserve"> certification may be removed from the RMD under </w:t>
      </w:r>
      <w:r w:rsidRPr="00E877B9">
        <w:rPr>
          <w:rStyle w:val="boolean-control"/>
        </w:rPr>
        <w:t>a two-step expedited procedure.</w:t>
      </w:r>
      <w:r>
        <w:rPr>
          <w:rStyle w:val="FootnoteReference"/>
          <w:rFonts w:eastAsiaTheme="majorEastAsia"/>
        </w:rPr>
        <w:footnoteReference w:id="32"/>
      </w:r>
      <w:r w:rsidRPr="00E877B9">
        <w:rPr>
          <w:rStyle w:val="boolean-control"/>
        </w:rPr>
        <w:t xml:space="preserve">  </w:t>
      </w:r>
      <w:r w:rsidRPr="0046018D" w:rsidR="003844DC">
        <w:t>An action “is willful if a prohibited act is done intentionally, irrespective of evil intent, or done with careless disregard of statutory requirements.”</w:t>
      </w:r>
      <w:r>
        <w:rPr>
          <w:rStyle w:val="FootnoteReference"/>
        </w:rPr>
        <w:footnoteReference w:id="33"/>
      </w:r>
      <w:r w:rsidRPr="0046018D" w:rsidR="003844DC">
        <w:t> </w:t>
      </w:r>
      <w:r w:rsidR="003844DC">
        <w:t xml:space="preserve"> </w:t>
      </w:r>
      <w:r w:rsidRPr="00D172CC">
        <w:rPr>
          <w:rStyle w:val="boolean-control"/>
          <w:i/>
          <w:iCs/>
        </w:rPr>
        <w:t>First</w:t>
      </w:r>
      <w:r w:rsidRPr="00E877B9">
        <w:rPr>
          <w:rStyle w:val="boolean-control"/>
        </w:rPr>
        <w:t xml:space="preserve">, the </w:t>
      </w:r>
      <w:r>
        <w:rPr>
          <w:rStyle w:val="boolean-control"/>
        </w:rPr>
        <w:t xml:space="preserve">Bureau </w:t>
      </w:r>
      <w:r w:rsidR="00234E96">
        <w:rPr>
          <w:rStyle w:val="boolean-control"/>
        </w:rPr>
        <w:t xml:space="preserve">will </w:t>
      </w:r>
      <w:r>
        <w:rPr>
          <w:rStyle w:val="boolean-control"/>
        </w:rPr>
        <w:t>issue a notice to</w:t>
      </w:r>
      <w:r w:rsidRPr="00E877B9">
        <w:rPr>
          <w:rStyle w:val="boolean-control"/>
        </w:rPr>
        <w:t xml:space="preserve"> the provider </w:t>
      </w:r>
      <w:r>
        <w:rPr>
          <w:rStyle w:val="boolean-control"/>
        </w:rPr>
        <w:t>informing</w:t>
      </w:r>
      <w:r w:rsidRPr="00E877B9">
        <w:rPr>
          <w:rStyle w:val="boolean-control"/>
        </w:rPr>
        <w:t xml:space="preserve"> it that its </w:t>
      </w:r>
      <w:r>
        <w:rPr>
          <w:rStyle w:val="boolean-control"/>
        </w:rPr>
        <w:t>certification</w:t>
      </w:r>
      <w:r w:rsidRPr="00E877B9">
        <w:rPr>
          <w:rStyle w:val="boolean-control"/>
        </w:rPr>
        <w:t xml:space="preserve"> is deficient</w:t>
      </w:r>
      <w:r>
        <w:rPr>
          <w:rStyle w:val="boolean-control"/>
        </w:rPr>
        <w:t xml:space="preserve"> and represents a willful violation</w:t>
      </w:r>
      <w:r w:rsidRPr="00E877B9">
        <w:rPr>
          <w:rStyle w:val="boolean-control"/>
        </w:rPr>
        <w:t>, explain the nature of the deficiency</w:t>
      </w:r>
      <w:r>
        <w:rPr>
          <w:rStyle w:val="boolean-control"/>
        </w:rPr>
        <w:t xml:space="preserve"> and the willful violation</w:t>
      </w:r>
      <w:r w:rsidRPr="00E877B9">
        <w:rPr>
          <w:rStyle w:val="boolean-control"/>
        </w:rPr>
        <w:t xml:space="preserve">, and allow 10 days for the provider to cure the deficiency </w:t>
      </w:r>
      <w:r w:rsidRPr="00E877B9">
        <w:t>or explain why its certification is not deficient</w:t>
      </w:r>
      <w:r w:rsidRPr="00E877B9">
        <w:rPr>
          <w:rStyle w:val="boolean-control"/>
        </w:rPr>
        <w:t>.</w:t>
      </w:r>
      <w:r>
        <w:rPr>
          <w:rStyle w:val="FootnoteReference"/>
          <w:rFonts w:eastAsiaTheme="majorEastAsia"/>
        </w:rPr>
        <w:footnoteReference w:id="34"/>
      </w:r>
      <w:r w:rsidRPr="00E877B9">
        <w:rPr>
          <w:rStyle w:val="boolean-control"/>
        </w:rPr>
        <w:t xml:space="preserve">  </w:t>
      </w:r>
      <w:r w:rsidRPr="00D172CC">
        <w:rPr>
          <w:rStyle w:val="boolean-control"/>
          <w:i/>
          <w:iCs/>
        </w:rPr>
        <w:t>Second</w:t>
      </w:r>
      <w:r>
        <w:rPr>
          <w:rStyle w:val="boolean-control"/>
        </w:rPr>
        <w:t>, i</w:t>
      </w:r>
      <w:r w:rsidRPr="00E877B9">
        <w:rPr>
          <w:rStyle w:val="boolean-control"/>
        </w:rPr>
        <w:t xml:space="preserve">f the provider fails to cure or </w:t>
      </w:r>
      <w:r>
        <w:rPr>
          <w:rStyle w:val="boolean-control"/>
        </w:rPr>
        <w:t>establish that there is no deficiency within the 10-day period</w:t>
      </w:r>
      <w:r w:rsidRPr="00E877B9">
        <w:rPr>
          <w:rStyle w:val="boolean-control"/>
        </w:rPr>
        <w:t xml:space="preserve">, the Bureau </w:t>
      </w:r>
      <w:r w:rsidR="00234E96">
        <w:rPr>
          <w:rStyle w:val="boolean-control"/>
        </w:rPr>
        <w:t xml:space="preserve">will </w:t>
      </w:r>
      <w:r w:rsidRPr="00E877B9">
        <w:rPr>
          <w:rStyle w:val="boolean-control"/>
        </w:rPr>
        <w:t>release an order removing the provider</w:t>
      </w:r>
      <w:r>
        <w:rPr>
          <w:rStyle w:val="boolean-control"/>
        </w:rPr>
        <w:t>’s certification</w:t>
      </w:r>
      <w:r w:rsidRPr="00E877B9">
        <w:rPr>
          <w:rStyle w:val="boolean-control"/>
        </w:rPr>
        <w:t xml:space="preserve"> from the </w:t>
      </w:r>
      <w:r>
        <w:rPr>
          <w:rStyle w:val="boolean-control"/>
        </w:rPr>
        <w:t>RMD</w:t>
      </w:r>
      <w:r w:rsidRPr="00E877B9">
        <w:rPr>
          <w:rStyle w:val="boolean-control"/>
        </w:rPr>
        <w:t>.</w:t>
      </w:r>
      <w:r>
        <w:rPr>
          <w:rStyle w:val="FootnoteReference"/>
          <w:rFonts w:eastAsiaTheme="majorEastAsia"/>
        </w:rPr>
        <w:footnoteReference w:id="35"/>
      </w:r>
      <w:r w:rsidRPr="00305169">
        <w:t xml:space="preserve"> </w:t>
      </w:r>
      <w:r w:rsidR="003844DC">
        <w:t xml:space="preserve"> </w:t>
      </w:r>
    </w:p>
    <w:p w:rsidR="008633CD" w:rsidRPr="00A04518" w:rsidP="000405DE" w14:paraId="5A2ABD7E" w14:textId="5F4A658A">
      <w:pPr>
        <w:pStyle w:val="ParaNum"/>
        <w:widowControl/>
        <w:rPr>
          <w:b/>
        </w:rPr>
      </w:pPr>
      <w:r>
        <w:t>Under the Commission’s rules, i</w:t>
      </w:r>
      <w:r w:rsidRPr="00F460F9">
        <w:t xml:space="preserve">ntermediate </w:t>
      </w:r>
      <w:r>
        <w:t xml:space="preserve">providers </w:t>
      </w:r>
      <w:r w:rsidRPr="00F460F9">
        <w:t xml:space="preserve">and voice service providers shall accept </w:t>
      </w:r>
      <w:r w:rsidR="00F95F11">
        <w:t>calls directly</w:t>
      </w:r>
      <w:r w:rsidRPr="00F460F9">
        <w:t xml:space="preserve"> from a domestic voice service provider</w:t>
      </w:r>
      <w:r w:rsidR="008179D7">
        <w:t>,</w:t>
      </w:r>
      <w:r w:rsidRPr="00F460F9">
        <w:t xml:space="preserve"> gateway provider</w:t>
      </w:r>
      <w:r w:rsidR="008179D7">
        <w:t>, or non-gateway intermediate provider</w:t>
      </w:r>
      <w:r w:rsidRPr="00F460F9">
        <w:t xml:space="preserve"> </w:t>
      </w:r>
      <w:r w:rsidR="00BC2AC6">
        <w:t xml:space="preserve">only </w:t>
      </w:r>
      <w:r w:rsidRPr="00F460F9">
        <w:t>if that provider’s certification appears in the RMD.</w:t>
      </w:r>
      <w:r>
        <w:rPr>
          <w:rStyle w:val="FootnoteReference"/>
          <w:rFonts w:eastAsiaTheme="majorEastAsia"/>
          <w:sz w:val="22"/>
          <w:szCs w:val="22"/>
        </w:rPr>
        <w:footnoteReference w:id="36"/>
      </w:r>
      <w:r w:rsidRPr="00F460F9">
        <w:t xml:space="preserve">  </w:t>
      </w:r>
      <w:r w:rsidR="00234E96">
        <w:t xml:space="preserve">Removal of a provider’s certification from the RMD therefore requires all intermediate providers and voice service providers to </w:t>
      </w:r>
      <w:r w:rsidR="00234E96">
        <w:t>cease accepting all calls directly from the provider</w:t>
      </w:r>
      <w:r w:rsidR="00D95E7D">
        <w:t>, except calls to 911 and other emergency communications numbers</w:t>
      </w:r>
      <w:r w:rsidR="00234E96">
        <w:t>.</w:t>
      </w:r>
      <w:r>
        <w:rPr>
          <w:rStyle w:val="FootnoteReference"/>
        </w:rPr>
        <w:footnoteReference w:id="37"/>
      </w:r>
      <w:r w:rsidR="00234E96">
        <w:t xml:space="preserve">  </w:t>
      </w:r>
    </w:p>
    <w:p w:rsidR="00E4677C" w:rsidRPr="0069050E" w:rsidP="00776DA6" w14:paraId="465E6CC4" w14:textId="7139800E">
      <w:pPr>
        <w:pStyle w:val="Heading2"/>
        <w:widowControl/>
      </w:pPr>
      <w:r>
        <w:t>Belthrough</w:t>
      </w:r>
      <w:r w:rsidRPr="0069050E" w:rsidR="00510BBF">
        <w:t>’s</w:t>
      </w:r>
      <w:r w:rsidRPr="0069050E" w:rsidR="00510BBF">
        <w:t xml:space="preserve"> Transmission of Illegal Robocalls</w:t>
      </w:r>
    </w:p>
    <w:p w:rsidR="00D26C62" w:rsidRPr="00D26C62" w:rsidP="00D26C62" w14:paraId="4968634A" w14:textId="06BE9FE8">
      <w:pPr>
        <w:pStyle w:val="ParaNum"/>
        <w:widowControl/>
      </w:pPr>
      <w:r>
        <w:t xml:space="preserve">In March 2025, </w:t>
      </w:r>
      <w:r>
        <w:t>Belthrough</w:t>
      </w:r>
      <w:r w:rsidRPr="0069050E">
        <w:t xml:space="preserve"> </w:t>
      </w:r>
      <w:r w:rsidR="00BC069B">
        <w:t xml:space="preserve">certified </w:t>
      </w:r>
      <w:r w:rsidR="00595EC7">
        <w:t>that it is</w:t>
      </w:r>
      <w:r w:rsidR="00BC069B">
        <w:t xml:space="preserve"> </w:t>
      </w:r>
      <w:r w:rsidRPr="0069050E">
        <w:t xml:space="preserve">a </w:t>
      </w:r>
      <w:r>
        <w:t>voice service</w:t>
      </w:r>
      <w:r w:rsidRPr="0069050E">
        <w:t xml:space="preserve"> provider</w:t>
      </w:r>
      <w:r>
        <w:t xml:space="preserve"> in the RMD</w:t>
      </w:r>
      <w:r w:rsidRPr="0069050E">
        <w:t>.</w:t>
      </w:r>
      <w:bookmarkStart w:id="4" w:name="_Ref209539722"/>
      <w:r>
        <w:rPr>
          <w:rStyle w:val="FootnoteReference"/>
        </w:rPr>
        <w:footnoteReference w:id="38"/>
      </w:r>
      <w:bookmarkEnd w:id="4"/>
      <w:r>
        <w:t xml:space="preserve">  Its certification contains a declaration under penalty of perjury that the Company has a robocall mitigation program that includes a commitment to “</w:t>
      </w:r>
      <w:r w:rsidRPr="008633CD">
        <w:t xml:space="preserve">cooperate with </w:t>
      </w:r>
      <w:r>
        <w:t>[the Commission]</w:t>
      </w:r>
      <w:r w:rsidRPr="008633CD">
        <w:t xml:space="preserve"> in investigating and stopping any illegal robocallers that use its service to originate calls</w:t>
      </w:r>
      <w:r>
        <w:t>.”</w:t>
      </w:r>
      <w:r>
        <w:rPr>
          <w:rStyle w:val="FootnoteReference"/>
        </w:rPr>
        <w:footnoteReference w:id="39"/>
      </w:r>
      <w:r>
        <w:t xml:space="preserve">  </w:t>
      </w:r>
    </w:p>
    <w:p w:rsidR="009C5646" w:rsidRPr="0069050E" w:rsidP="009C5646" w14:paraId="1E63819F" w14:textId="3AC81347">
      <w:pPr>
        <w:pStyle w:val="ParaNum"/>
        <w:widowControl/>
      </w:pPr>
      <w:r>
        <w:rPr>
          <w:szCs w:val="22"/>
        </w:rPr>
        <w:t>In 2024 and 2025, t</w:t>
      </w:r>
      <w:r>
        <w:rPr>
          <w:szCs w:val="22"/>
        </w:rPr>
        <w:t>he</w:t>
      </w:r>
      <w:r w:rsidRPr="0069050E">
        <w:rPr>
          <w:szCs w:val="22"/>
        </w:rPr>
        <w:t xml:space="preserve"> Industry Traceback Group (ITG)</w:t>
      </w:r>
      <w:r>
        <w:rPr>
          <w:rStyle w:val="FootnoteReference"/>
          <w:sz w:val="22"/>
          <w:szCs w:val="22"/>
        </w:rPr>
        <w:footnoteReference w:id="40"/>
      </w:r>
      <w:r w:rsidRPr="0069050E">
        <w:rPr>
          <w:szCs w:val="22"/>
        </w:rPr>
        <w:t xml:space="preserve"> investigated </w:t>
      </w:r>
      <w:r>
        <w:rPr>
          <w:szCs w:val="22"/>
        </w:rPr>
        <w:t xml:space="preserve">various </w:t>
      </w:r>
      <w:r w:rsidRPr="0069050E">
        <w:rPr>
          <w:szCs w:val="22"/>
        </w:rPr>
        <w:t xml:space="preserve">prerecorded voice message calls made without </w:t>
      </w:r>
      <w:r>
        <w:rPr>
          <w:szCs w:val="22"/>
        </w:rPr>
        <w:t xml:space="preserve">the </w:t>
      </w:r>
      <w:r w:rsidRPr="0069050E">
        <w:rPr>
          <w:szCs w:val="22"/>
        </w:rPr>
        <w:t>consent</w:t>
      </w:r>
      <w:r>
        <w:rPr>
          <w:szCs w:val="22"/>
        </w:rPr>
        <w:t xml:space="preserve"> of the called party that impersonated Internet Service Providers (ISP)</w:t>
      </w:r>
      <w:r w:rsidRPr="0069050E">
        <w:rPr>
          <w:szCs w:val="22"/>
        </w:rPr>
        <w:t>.</w:t>
      </w:r>
      <w:r>
        <w:rPr>
          <w:rStyle w:val="FootnoteReference"/>
          <w:sz w:val="22"/>
          <w:szCs w:val="22"/>
        </w:rPr>
        <w:footnoteReference w:id="41"/>
      </w:r>
      <w:r w:rsidRPr="0069050E">
        <w:rPr>
          <w:szCs w:val="22"/>
        </w:rPr>
        <w:t xml:space="preserve">  The ITG conducted tracebacks and determined that </w:t>
      </w:r>
      <w:r>
        <w:rPr>
          <w:szCs w:val="22"/>
        </w:rPr>
        <w:t>Belthrough</w:t>
      </w:r>
      <w:r w:rsidRPr="0069050E">
        <w:rPr>
          <w:szCs w:val="22"/>
        </w:rPr>
        <w:t xml:space="preserve"> acted as the originator for some of the calls and the gateway provider for other calls.</w:t>
      </w:r>
      <w:r>
        <w:rPr>
          <w:rStyle w:val="FootnoteReference"/>
          <w:szCs w:val="22"/>
        </w:rPr>
        <w:footnoteReference w:id="42"/>
      </w:r>
      <w:r w:rsidRPr="0069050E">
        <w:rPr>
          <w:szCs w:val="22"/>
        </w:rPr>
        <w:t xml:space="preserve">  The ITG notified </w:t>
      </w:r>
      <w:r>
        <w:rPr>
          <w:szCs w:val="22"/>
        </w:rPr>
        <w:t>Belthrough</w:t>
      </w:r>
      <w:r w:rsidRPr="0069050E">
        <w:rPr>
          <w:szCs w:val="22"/>
        </w:rPr>
        <w:t xml:space="preserve"> of these calls and provided it access to supporting data identifying each call.</w:t>
      </w:r>
      <w:r>
        <w:rPr>
          <w:rStyle w:val="FootnoteReference"/>
          <w:szCs w:val="22"/>
        </w:rPr>
        <w:footnoteReference w:id="43"/>
      </w:r>
      <w:r w:rsidRPr="0069050E">
        <w:rPr>
          <w:szCs w:val="22"/>
        </w:rPr>
        <w:t xml:space="preserve">  </w:t>
      </w:r>
      <w:r>
        <w:rPr>
          <w:szCs w:val="22"/>
        </w:rPr>
        <w:t>Belthrough</w:t>
      </w:r>
      <w:r w:rsidRPr="0069050E">
        <w:rPr>
          <w:szCs w:val="22"/>
        </w:rPr>
        <w:t xml:space="preserve"> did not provide the ITG proof </w:t>
      </w:r>
      <w:r>
        <w:rPr>
          <w:szCs w:val="22"/>
        </w:rPr>
        <w:t xml:space="preserve">that </w:t>
      </w:r>
      <w:r w:rsidR="00F37DD8">
        <w:rPr>
          <w:szCs w:val="22"/>
        </w:rPr>
        <w:t>the calls</w:t>
      </w:r>
      <w:r>
        <w:rPr>
          <w:szCs w:val="22"/>
        </w:rPr>
        <w:t xml:space="preserve"> had </w:t>
      </w:r>
      <w:r w:rsidRPr="0069050E">
        <w:rPr>
          <w:szCs w:val="22"/>
        </w:rPr>
        <w:t>the req</w:t>
      </w:r>
      <w:r>
        <w:rPr>
          <w:szCs w:val="22"/>
        </w:rPr>
        <w:t>uired</w:t>
      </w:r>
      <w:r w:rsidRPr="0069050E">
        <w:rPr>
          <w:szCs w:val="22"/>
        </w:rPr>
        <w:t xml:space="preserve"> consent.</w:t>
      </w:r>
      <w:r>
        <w:rPr>
          <w:rStyle w:val="FootnoteReference"/>
          <w:szCs w:val="22"/>
        </w:rPr>
        <w:footnoteReference w:id="44"/>
      </w:r>
    </w:p>
    <w:p w:rsidR="00B16B27" w:rsidP="009C5646" w14:paraId="02A3F945" w14:textId="50A87334">
      <w:pPr>
        <w:pStyle w:val="ParaNum"/>
        <w:widowControl/>
      </w:pPr>
      <w:r w:rsidRPr="0069050E">
        <w:t xml:space="preserve">On </w:t>
      </w:r>
      <w:r w:rsidR="0068526C">
        <w:t>September 10, 2025</w:t>
      </w:r>
      <w:r w:rsidRPr="0069050E">
        <w:t xml:space="preserve">, the Bureau issued </w:t>
      </w:r>
      <w:r w:rsidR="00B90CB5">
        <w:t>the</w:t>
      </w:r>
      <w:r w:rsidRPr="0069050E">
        <w:t xml:space="preserve"> Notice </w:t>
      </w:r>
      <w:r w:rsidRPr="0069050E" w:rsidR="00474EA7">
        <w:t xml:space="preserve">to </w:t>
      </w:r>
      <w:r w:rsidR="0068526C">
        <w:t>Belthrough</w:t>
      </w:r>
      <w:r w:rsidRPr="0069050E" w:rsidR="00474EA7">
        <w:t>.</w:t>
      </w:r>
      <w:r>
        <w:rPr>
          <w:rStyle w:val="FootnoteReference"/>
        </w:rPr>
        <w:footnoteReference w:id="45"/>
      </w:r>
      <w:r w:rsidRPr="0069050E" w:rsidR="00474EA7">
        <w:t xml:space="preserve">  </w:t>
      </w:r>
      <w:r w:rsidRPr="0069050E" w:rsidR="004B3904">
        <w:t xml:space="preserve">The </w:t>
      </w:r>
      <w:r w:rsidR="00B9047B">
        <w:t xml:space="preserve">Notice identified </w:t>
      </w:r>
      <w:r w:rsidR="00D16D74">
        <w:t>seven</w:t>
      </w:r>
      <w:r w:rsidR="009C5646">
        <w:t xml:space="preserve"> </w:t>
      </w:r>
      <w:r w:rsidR="00B9047B">
        <w:t xml:space="preserve">calls </w:t>
      </w:r>
      <w:r w:rsidR="009C5646">
        <w:t xml:space="preserve">for which </w:t>
      </w:r>
      <w:r w:rsidR="00B9047B">
        <w:t>Belthrough</w:t>
      </w:r>
      <w:r w:rsidR="00B9047B">
        <w:t xml:space="preserve"> </w:t>
      </w:r>
      <w:r w:rsidR="00957192">
        <w:t>had been</w:t>
      </w:r>
      <w:r w:rsidR="009C5646">
        <w:t xml:space="preserve"> </w:t>
      </w:r>
      <w:r w:rsidR="00843A91">
        <w:t xml:space="preserve">identified </w:t>
      </w:r>
      <w:r w:rsidR="00133440">
        <w:t xml:space="preserve">by the ITG </w:t>
      </w:r>
      <w:r w:rsidR="00843A91">
        <w:t xml:space="preserve">as </w:t>
      </w:r>
      <w:r w:rsidR="009C5646">
        <w:t>the originat</w:t>
      </w:r>
      <w:r w:rsidR="00C21270">
        <w:t>ing</w:t>
      </w:r>
      <w:r w:rsidR="009C5646">
        <w:t xml:space="preserve"> </w:t>
      </w:r>
      <w:r w:rsidR="00B9047B">
        <w:t>or gateway</w:t>
      </w:r>
      <w:r w:rsidR="006F3A57">
        <w:t xml:space="preserve"> </w:t>
      </w:r>
      <w:r w:rsidR="0005099A">
        <w:t>provider</w:t>
      </w:r>
      <w:r w:rsidR="009C5646">
        <w:t>.</w:t>
      </w:r>
      <w:r>
        <w:rPr>
          <w:rStyle w:val="FootnoteReference"/>
        </w:rPr>
        <w:footnoteReference w:id="46"/>
      </w:r>
      <w:r w:rsidR="009C5646">
        <w:t xml:space="preserve">  The Notice e</w:t>
      </w:r>
      <w:r w:rsidR="00B9047B">
        <w:t xml:space="preserve">xplained that the </w:t>
      </w:r>
      <w:r w:rsidR="009C5646">
        <w:t xml:space="preserve">identified </w:t>
      </w:r>
      <w:r w:rsidRPr="0069050E" w:rsidR="004B3904">
        <w:t>calls</w:t>
      </w:r>
      <w:r w:rsidRPr="0069050E" w:rsidR="003B5D95">
        <w:t xml:space="preserve"> </w:t>
      </w:r>
      <w:r w:rsidRPr="0069050E" w:rsidR="00803781">
        <w:t xml:space="preserve">transmitted prerecorded voice messages </w:t>
      </w:r>
      <w:r w:rsidR="00AD36C6">
        <w:t>to wireless telephone numbers</w:t>
      </w:r>
      <w:r w:rsidR="00201AB8">
        <w:t xml:space="preserve"> or residential landline</w:t>
      </w:r>
      <w:r w:rsidR="009E317B">
        <w:t>s</w:t>
      </w:r>
      <w:r w:rsidR="00AD36C6">
        <w:t xml:space="preserve"> </w:t>
      </w:r>
      <w:r w:rsidRPr="0069050E" w:rsidR="00803781">
        <w:t>without the requisite consent</w:t>
      </w:r>
      <w:r w:rsidRPr="0069050E" w:rsidR="00AF600B">
        <w:t xml:space="preserve"> of the called party</w:t>
      </w:r>
      <w:r w:rsidR="00B9047B">
        <w:t xml:space="preserve"> and </w:t>
      </w:r>
      <w:r w:rsidR="009C5646">
        <w:t xml:space="preserve">that they </w:t>
      </w:r>
      <w:r w:rsidR="00E87EBE">
        <w:t xml:space="preserve">were part of a </w:t>
      </w:r>
      <w:r w:rsidR="00015447">
        <w:t xml:space="preserve">calling campaign that </w:t>
      </w:r>
      <w:r w:rsidR="003E7F31">
        <w:t xml:space="preserve">impersonated </w:t>
      </w:r>
      <w:r w:rsidR="008743C5">
        <w:t>ISPs.</w:t>
      </w:r>
      <w:r>
        <w:rPr>
          <w:rStyle w:val="FootnoteReference"/>
        </w:rPr>
        <w:footnoteReference w:id="47"/>
      </w:r>
      <w:r w:rsidR="008743C5">
        <w:t xml:space="preserve">  </w:t>
      </w:r>
      <w:bookmarkStart w:id="5" w:name="_Ref209173904"/>
      <w:r w:rsidRPr="0069050E" w:rsidR="00B9047B">
        <w:t xml:space="preserve">The Notice required </w:t>
      </w:r>
      <w:r w:rsidR="00B9047B">
        <w:t>Belthrough</w:t>
      </w:r>
      <w:r w:rsidRPr="0069050E" w:rsidR="00B9047B">
        <w:t xml:space="preserve"> to investigate the </w:t>
      </w:r>
      <w:r w:rsidR="00B9047B">
        <w:t xml:space="preserve">identified </w:t>
      </w:r>
      <w:r w:rsidRPr="0069050E" w:rsidR="00B9047B">
        <w:t>traffic</w:t>
      </w:r>
      <w:r w:rsidR="004C71BC">
        <w:t xml:space="preserve">, block </w:t>
      </w:r>
      <w:r w:rsidR="00E333BA">
        <w:t>substantially similar traffic</w:t>
      </w:r>
      <w:r w:rsidRPr="0069050E" w:rsidR="00B9047B">
        <w:t xml:space="preserve"> </w:t>
      </w:r>
      <w:r w:rsidR="006A51A5">
        <w:t xml:space="preserve">going forward </w:t>
      </w:r>
      <w:r w:rsidR="002D1199">
        <w:t xml:space="preserve">if </w:t>
      </w:r>
      <w:r w:rsidR="00E333BA">
        <w:t>Belthrough’s</w:t>
      </w:r>
      <w:r w:rsidR="002D1199">
        <w:t xml:space="preserve"> investigation showed that </w:t>
      </w:r>
      <w:r w:rsidR="00E333BA">
        <w:t>the</w:t>
      </w:r>
      <w:r w:rsidR="00D45586">
        <w:t xml:space="preserve"> identified</w:t>
      </w:r>
      <w:r w:rsidR="00E333BA">
        <w:t xml:space="preserve"> traffic</w:t>
      </w:r>
      <w:r w:rsidR="002D1199">
        <w:t xml:space="preserve"> was illegal</w:t>
      </w:r>
      <w:r w:rsidR="006A51A5">
        <w:t>,</w:t>
      </w:r>
      <w:r w:rsidR="002D1199">
        <w:t xml:space="preserve"> </w:t>
      </w:r>
      <w:r w:rsidRPr="0069050E" w:rsidR="00B9047B">
        <w:t>and report the results of the investigation to the Bureau by</w:t>
      </w:r>
      <w:r w:rsidR="00B9047B">
        <w:t xml:space="preserve"> September 24, 2025</w:t>
      </w:r>
      <w:r w:rsidRPr="0069050E" w:rsidR="00B9047B">
        <w:t>.</w:t>
      </w:r>
      <w:r>
        <w:rPr>
          <w:rStyle w:val="FootnoteReference"/>
        </w:rPr>
        <w:footnoteReference w:id="48"/>
      </w:r>
      <w:r w:rsidRPr="0069050E" w:rsidR="00B9047B">
        <w:t xml:space="preserve">  The Notice warned </w:t>
      </w:r>
      <w:r w:rsidR="00B9047B">
        <w:t>Belthrough</w:t>
      </w:r>
      <w:r w:rsidRPr="0069050E" w:rsidR="00B9047B">
        <w:t xml:space="preserve"> that a failure to comply with </w:t>
      </w:r>
      <w:r w:rsidR="00927730">
        <w:t>the Notice</w:t>
      </w:r>
      <w:r w:rsidRPr="0069050E" w:rsidR="00B9047B">
        <w:t xml:space="preserve"> </w:t>
      </w:r>
      <w:r w:rsidR="00B9047B">
        <w:t>c</w:t>
      </w:r>
      <w:r w:rsidRPr="0069050E" w:rsidR="00B9047B">
        <w:t>ould result in the Bureau requiring all immediate downstream providers to block its traffic pursuant to section 64.1200(n)(</w:t>
      </w:r>
      <w:r w:rsidR="00B9047B">
        <w:t>2</w:t>
      </w:r>
      <w:r w:rsidRPr="0069050E" w:rsidR="00B9047B">
        <w:t>)</w:t>
      </w:r>
      <w:r w:rsidR="00871304">
        <w:t>(iii)</w:t>
      </w:r>
      <w:r w:rsidRPr="0069050E" w:rsidR="00B9047B">
        <w:t xml:space="preserve"> and </w:t>
      </w:r>
      <w:r w:rsidR="00423EA4">
        <w:t>(n)</w:t>
      </w:r>
      <w:r w:rsidRPr="0069050E" w:rsidR="00B9047B">
        <w:t>(</w:t>
      </w:r>
      <w:r w:rsidR="00B9047B">
        <w:t>3</w:t>
      </w:r>
      <w:r w:rsidRPr="0069050E" w:rsidR="00B9047B">
        <w:t>).</w:t>
      </w:r>
      <w:r>
        <w:rPr>
          <w:rStyle w:val="FootnoteReference"/>
        </w:rPr>
        <w:footnoteReference w:id="49"/>
      </w:r>
      <w:r w:rsidR="00B9047B">
        <w:t xml:space="preserve">  The Notice also warned </w:t>
      </w:r>
      <w:r w:rsidR="00B9047B">
        <w:t>Belthrough</w:t>
      </w:r>
      <w:r w:rsidR="00B9047B">
        <w:t xml:space="preserve"> that failure to respond to the Notice </w:t>
      </w:r>
      <w:r w:rsidR="00055E2D">
        <w:t xml:space="preserve">may </w:t>
      </w:r>
      <w:r w:rsidR="00290635">
        <w:t>be used as</w:t>
      </w:r>
      <w:r w:rsidR="00B9047B">
        <w:t xml:space="preserve"> </w:t>
      </w:r>
      <w:r w:rsidR="00BC069B">
        <w:t xml:space="preserve">evidence that the Company was deficient with respect to its commitment to cooperate with the Commission and be </w:t>
      </w:r>
      <w:r w:rsidR="00B9047B">
        <w:t>grounds for removal</w:t>
      </w:r>
      <w:r w:rsidR="00F37DD8">
        <w:t xml:space="preserve"> of its certification</w:t>
      </w:r>
      <w:r w:rsidR="00B9047B">
        <w:t xml:space="preserve"> from the RMD.</w:t>
      </w:r>
      <w:r>
        <w:rPr>
          <w:rStyle w:val="FootnoteReference"/>
        </w:rPr>
        <w:footnoteReference w:id="50"/>
      </w:r>
      <w:r w:rsidRPr="0069050E" w:rsidR="00B9047B">
        <w:t xml:space="preserve">  </w:t>
      </w:r>
      <w:bookmarkEnd w:id="5"/>
    </w:p>
    <w:p w:rsidR="007B0445" w:rsidP="003E7F31" w14:paraId="72897E8D" w14:textId="79280742">
      <w:pPr>
        <w:pStyle w:val="ParaNum"/>
        <w:widowControl/>
      </w:pPr>
      <w:r>
        <w:t>On September 10, 2025, t</w:t>
      </w:r>
      <w:r w:rsidR="00B16B27">
        <w:t xml:space="preserve">he Bureau sent the </w:t>
      </w:r>
      <w:r w:rsidR="00432A79">
        <w:t>Notice</w:t>
      </w:r>
      <w:r w:rsidR="00B16B27">
        <w:t xml:space="preserve"> to </w:t>
      </w:r>
      <w:r w:rsidR="00B16B27">
        <w:t>Belthrough</w:t>
      </w:r>
      <w:r w:rsidR="00B16B27">
        <w:t xml:space="preserve"> via certified mail, and on September 24, 2025, the Bureau received a signed</w:t>
      </w:r>
      <w:r w:rsidR="00615FD5">
        <w:t xml:space="preserve">, </w:t>
      </w:r>
      <w:r w:rsidR="00B16B27">
        <w:t>certified mail card acknowledging receipt.</w:t>
      </w:r>
      <w:bookmarkStart w:id="6" w:name="_Ref216883933"/>
      <w:r>
        <w:rPr>
          <w:rStyle w:val="FootnoteReference"/>
        </w:rPr>
        <w:footnoteReference w:id="51"/>
      </w:r>
      <w:bookmarkEnd w:id="6"/>
      <w:r w:rsidR="00B16B27">
        <w:t xml:space="preserve"> </w:t>
      </w:r>
      <w:r w:rsidR="00D205C8">
        <w:t xml:space="preserve"> </w:t>
      </w:r>
      <w:r w:rsidR="004F5E5E">
        <w:t>O</w:t>
      </w:r>
      <w:r w:rsidR="00335BD0">
        <w:t xml:space="preserve">n September 10, 2025, </w:t>
      </w:r>
      <w:r w:rsidR="004F5E5E">
        <w:t>t</w:t>
      </w:r>
      <w:r w:rsidR="00B16B27">
        <w:t xml:space="preserve">he Bureau </w:t>
      </w:r>
      <w:r w:rsidR="003E7F31">
        <w:t xml:space="preserve">also </w:t>
      </w:r>
      <w:r w:rsidR="00B16B27">
        <w:t xml:space="preserve">sent an email containing the </w:t>
      </w:r>
      <w:r w:rsidR="00AD28D3">
        <w:t>Notice</w:t>
      </w:r>
      <w:r w:rsidR="00B16B27">
        <w:t xml:space="preserve">, with the subject line “Official Correspondence from the Federal Communications Commission,” to </w:t>
      </w:r>
      <w:r w:rsidR="00B16B27">
        <w:t>Belthrough’s</w:t>
      </w:r>
      <w:r w:rsidR="00B16B27">
        <w:t xml:space="preserve"> official contact listed in the RMD.</w:t>
      </w:r>
      <w:r>
        <w:rPr>
          <w:rStyle w:val="FootnoteReference"/>
        </w:rPr>
        <w:footnoteReference w:id="52"/>
      </w:r>
      <w:r w:rsidR="003E7F31">
        <w:t xml:space="preserve">  </w:t>
      </w:r>
      <w:r>
        <w:t xml:space="preserve">Despite returning the certified mail card acknowledging receipt of the </w:t>
      </w:r>
      <w:r w:rsidR="00F92EA2">
        <w:t>N</w:t>
      </w:r>
      <w:r w:rsidR="00BA6D5E">
        <w:t>otice</w:t>
      </w:r>
      <w:r>
        <w:t xml:space="preserve">, </w:t>
      </w:r>
      <w:r>
        <w:t>Belthrough</w:t>
      </w:r>
      <w:r>
        <w:t xml:space="preserve"> continued to transmit </w:t>
      </w:r>
      <w:r w:rsidR="00964019">
        <w:t>suspected</w:t>
      </w:r>
      <w:r w:rsidR="009C5646">
        <w:t xml:space="preserve"> illegal</w:t>
      </w:r>
      <w:r>
        <w:t xml:space="preserve"> robocall traffic over its network, generating at least nine additional tracebacks</w:t>
      </w:r>
      <w:r w:rsidR="005B1CE9">
        <w:t xml:space="preserve"> from the ITG</w:t>
      </w:r>
      <w:r>
        <w:t>.</w:t>
      </w:r>
      <w:bookmarkStart w:id="7" w:name="_Ref216883920"/>
      <w:r>
        <w:rPr>
          <w:rStyle w:val="FootnoteReference"/>
        </w:rPr>
        <w:footnoteReference w:id="53"/>
      </w:r>
      <w:bookmarkEnd w:id="7"/>
      <w:r>
        <w:t xml:space="preserve"> </w:t>
      </w:r>
      <w:r w:rsidR="00D205C8">
        <w:t xml:space="preserve"> </w:t>
      </w:r>
      <w:r w:rsidR="003E7F31">
        <w:t xml:space="preserve">The </w:t>
      </w:r>
      <w:r w:rsidR="00517CEA">
        <w:t>ITG identified th</w:t>
      </w:r>
      <w:r w:rsidR="00927730">
        <w:t xml:space="preserve">ose </w:t>
      </w:r>
      <w:r w:rsidR="00517CEA">
        <w:t xml:space="preserve">calls </w:t>
      </w:r>
      <w:r w:rsidR="00412FD4">
        <w:t xml:space="preserve">as belonging to robocall campaigns that </w:t>
      </w:r>
      <w:r w:rsidR="00517CEA">
        <w:t>impersonat</w:t>
      </w:r>
      <w:r w:rsidR="003E7F31">
        <w:t>ed</w:t>
      </w:r>
      <w:r w:rsidR="00517CEA">
        <w:t xml:space="preserve"> financial services providers and border protection services.</w:t>
      </w:r>
      <w:r>
        <w:rPr>
          <w:rStyle w:val="FootnoteReference"/>
        </w:rPr>
        <w:footnoteReference w:id="54"/>
      </w:r>
      <w:r w:rsidR="00517CEA">
        <w:t xml:space="preserve">  </w:t>
      </w:r>
      <w:r>
        <w:t>Belthrough</w:t>
      </w:r>
      <w:r>
        <w:t xml:space="preserve"> listed itself on the</w:t>
      </w:r>
      <w:r w:rsidR="001971C6">
        <w:t>se</w:t>
      </w:r>
      <w:r>
        <w:t xml:space="preserve"> tracebacks as the “calling party,” and under </w:t>
      </w:r>
      <w:r w:rsidR="00025710">
        <w:t>the column “</w:t>
      </w:r>
      <w:r>
        <w:t>action taken</w:t>
      </w:r>
      <w:r w:rsidR="00025710">
        <w:t>” in response to the traceback</w:t>
      </w:r>
      <w:r w:rsidR="001971C6">
        <w:t>, it</w:t>
      </w:r>
      <w:r>
        <w:t xml:space="preserve"> stated “[t]</w:t>
      </w:r>
      <w:r w:rsidRPr="005E125A">
        <w:t>he customer has been notified to limit that traffic.</w:t>
      </w:r>
      <w:r>
        <w:t>”</w:t>
      </w:r>
      <w:r>
        <w:rPr>
          <w:rStyle w:val="FootnoteReference"/>
        </w:rPr>
        <w:footnoteReference w:id="55"/>
      </w:r>
      <w:r>
        <w:t xml:space="preserve"> </w:t>
      </w:r>
      <w:r w:rsidR="00D205C8">
        <w:t xml:space="preserve"> Other than signing the certified mail signature card, </w:t>
      </w:r>
      <w:r w:rsidRPr="0017476B" w:rsidR="00D205C8">
        <w:t>Belthrough</w:t>
      </w:r>
      <w:r w:rsidRPr="0017476B" w:rsidR="00D205C8">
        <w:t xml:space="preserve"> </w:t>
      </w:r>
      <w:r w:rsidR="003E7F31">
        <w:t>did</w:t>
      </w:r>
      <w:r w:rsidR="00D205C8">
        <w:t xml:space="preserve"> not respond</w:t>
      </w:r>
      <w:r w:rsidR="003E7F31">
        <w:t xml:space="preserve"> </w:t>
      </w:r>
      <w:r w:rsidR="00D205C8">
        <w:t>to the Notice</w:t>
      </w:r>
      <w:r w:rsidR="003E7F31">
        <w:t xml:space="preserve">. </w:t>
      </w:r>
    </w:p>
    <w:p w:rsidR="00615FD5" w:rsidP="00FE6676" w14:paraId="15921D45" w14:textId="6E7098D3">
      <w:pPr>
        <w:pStyle w:val="ParaNum"/>
        <w:widowControl/>
      </w:pPr>
      <w:r>
        <w:t>On February 19, 2026,</w:t>
      </w:r>
      <w:r w:rsidR="00927730">
        <w:t xml:space="preserve"> </w:t>
      </w:r>
      <w:r>
        <w:t>the Bureau released the Initial Determination Order.</w:t>
      </w:r>
      <w:r>
        <w:rPr>
          <w:rStyle w:val="FootnoteReference"/>
        </w:rPr>
        <w:footnoteReference w:id="56"/>
      </w:r>
      <w:r>
        <w:t xml:space="preserve"> </w:t>
      </w:r>
      <w:r w:rsidR="003E7F31">
        <w:t xml:space="preserve"> </w:t>
      </w:r>
      <w:r>
        <w:t xml:space="preserve">The Initial Determination Order directed </w:t>
      </w:r>
      <w:r>
        <w:t>Belthrough</w:t>
      </w:r>
      <w:r>
        <w:t xml:space="preserve"> to </w:t>
      </w:r>
      <w:r w:rsidR="001B541E">
        <w:t>file a response</w:t>
      </w:r>
      <w:r w:rsidR="00A65881">
        <w:t xml:space="preserve"> within 1</w:t>
      </w:r>
      <w:r w:rsidR="00917AC8">
        <w:t xml:space="preserve">4 days of the date of the order and </w:t>
      </w:r>
      <w:r w:rsidR="00E62BF8">
        <w:t>stated that the response should include any</w:t>
      </w:r>
      <w:r w:rsidR="00694E89">
        <w:t xml:space="preserve"> explanation </w:t>
      </w:r>
      <w:r w:rsidR="00A65881">
        <w:t>as to why the Bur</w:t>
      </w:r>
      <w:r w:rsidR="00E62BF8">
        <w:t>eau should not i</w:t>
      </w:r>
      <w:r w:rsidR="00BB7A13">
        <w:t>ssue a</w:t>
      </w:r>
      <w:r w:rsidR="00B103E4">
        <w:rPr>
          <w:rFonts w:ascii="TimesNewRomanPSMT" w:hAnsi="TimesNewRomanPSMT" w:cs="TimesNewRomanPSMT"/>
          <w:kern w:val="0"/>
          <w:szCs w:val="22"/>
        </w:rPr>
        <w:t xml:space="preserve"> Final Determination Order mandating that providers immediately downstream from </w:t>
      </w:r>
      <w:r w:rsidR="00B103E4">
        <w:rPr>
          <w:rFonts w:ascii="TimesNewRomanPSMT" w:hAnsi="TimesNewRomanPSMT" w:cs="TimesNewRomanPSMT"/>
          <w:kern w:val="0"/>
          <w:szCs w:val="22"/>
        </w:rPr>
        <w:t>Belthrough</w:t>
      </w:r>
      <w:r w:rsidR="00B103E4">
        <w:rPr>
          <w:rFonts w:ascii="TimesNewRomanPSMT" w:hAnsi="TimesNewRomanPSMT" w:cs="TimesNewRomanPSMT"/>
          <w:kern w:val="0"/>
          <w:szCs w:val="22"/>
        </w:rPr>
        <w:t xml:space="preserve"> block </w:t>
      </w:r>
      <w:r w:rsidR="00B103E4">
        <w:rPr>
          <w:rFonts w:ascii="TimesNewRomanPS-ItalicMT" w:hAnsi="TimesNewRomanPS-ItalicMT" w:cs="TimesNewRomanPS-ItalicMT"/>
          <w:i/>
          <w:iCs/>
          <w:kern w:val="0"/>
          <w:szCs w:val="22"/>
        </w:rPr>
        <w:t xml:space="preserve">all </w:t>
      </w:r>
      <w:r w:rsidR="00B103E4">
        <w:rPr>
          <w:rFonts w:ascii="TimesNewRomanPSMT" w:hAnsi="TimesNewRomanPSMT" w:cs="TimesNewRomanPSMT"/>
          <w:kern w:val="0"/>
          <w:szCs w:val="22"/>
        </w:rPr>
        <w:t xml:space="preserve">of </w:t>
      </w:r>
      <w:r w:rsidR="00B103E4">
        <w:rPr>
          <w:rFonts w:ascii="TimesNewRomanPSMT" w:hAnsi="TimesNewRomanPSMT" w:cs="TimesNewRomanPSMT"/>
          <w:kern w:val="0"/>
          <w:szCs w:val="22"/>
        </w:rPr>
        <w:t>Belthrough’s</w:t>
      </w:r>
      <w:r w:rsidR="00B103E4">
        <w:rPr>
          <w:rFonts w:ascii="TimesNewRomanPSMT" w:hAnsi="TimesNewRomanPSMT" w:cs="TimesNewRomanPSMT"/>
          <w:kern w:val="0"/>
          <w:szCs w:val="22"/>
        </w:rPr>
        <w:t xml:space="preserve"> traffic</w:t>
      </w:r>
      <w:r>
        <w:t>.</w:t>
      </w:r>
      <w:r>
        <w:rPr>
          <w:rStyle w:val="FootnoteReference"/>
        </w:rPr>
        <w:footnoteReference w:id="57"/>
      </w:r>
      <w:r>
        <w:t xml:space="preserve">  The Initial Determination Order also </w:t>
      </w:r>
      <w:r w:rsidR="001B1DCB">
        <w:t>informed</w:t>
      </w:r>
      <w:r w:rsidR="00D26C62">
        <w:t xml:space="preserve"> </w:t>
      </w:r>
      <w:r w:rsidR="00D26C62">
        <w:t>Belthrough</w:t>
      </w:r>
      <w:r w:rsidR="00D26C62">
        <w:t xml:space="preserve"> that its </w:t>
      </w:r>
      <w:r w:rsidR="00537D81">
        <w:t xml:space="preserve">willful </w:t>
      </w:r>
      <w:r w:rsidR="00D26C62">
        <w:t xml:space="preserve">failure to cooperate with the </w:t>
      </w:r>
      <w:r w:rsidR="006B0DCB">
        <w:t>Bureau’s investigation</w:t>
      </w:r>
      <w:r w:rsidR="00D26C62">
        <w:t xml:space="preserve"> </w:t>
      </w:r>
      <w:r w:rsidR="006B0DCB">
        <w:t>demonstrated</w:t>
      </w:r>
      <w:r w:rsidR="00EF3BF6">
        <w:t xml:space="preserve"> that </w:t>
      </w:r>
      <w:r w:rsidR="00D26C62">
        <w:t xml:space="preserve">its RMD certification </w:t>
      </w:r>
      <w:r w:rsidR="00EF3BF6">
        <w:t xml:space="preserve">was deficient </w:t>
      </w:r>
      <w:r w:rsidR="00D26C62">
        <w:t xml:space="preserve">and </w:t>
      </w:r>
      <w:r>
        <w:t xml:space="preserve">directed </w:t>
      </w:r>
      <w:r>
        <w:t>Belthrough</w:t>
      </w:r>
      <w:r>
        <w:t xml:space="preserve"> to show cause why it</w:t>
      </w:r>
      <w:r w:rsidR="00C117C7">
        <w:t>s certification</w:t>
      </w:r>
      <w:r>
        <w:t xml:space="preserve"> should not be removed from the RMD.</w:t>
      </w:r>
      <w:r>
        <w:rPr>
          <w:rStyle w:val="FootnoteReference"/>
        </w:rPr>
        <w:footnoteReference w:id="58"/>
      </w:r>
      <w:r>
        <w:t xml:space="preserve">  </w:t>
      </w:r>
      <w:r>
        <w:t>Belthrough</w:t>
      </w:r>
      <w:r>
        <w:t xml:space="preserve"> took no action </w:t>
      </w:r>
      <w:r w:rsidR="003E7F31">
        <w:t>in response to</w:t>
      </w:r>
      <w:r>
        <w:t xml:space="preserve"> the Initial Determination Orde</w:t>
      </w:r>
      <w:r w:rsidR="003E7F31">
        <w:t xml:space="preserve">r. </w:t>
      </w:r>
    </w:p>
    <w:p w:rsidR="00E4677C" w:rsidRPr="0069050E" w:rsidP="005C6165" w14:paraId="28D90F4C" w14:textId="77777777">
      <w:pPr>
        <w:pStyle w:val="Heading1"/>
        <w:widowControl/>
        <w:spacing w:before="120"/>
      </w:pPr>
      <w:r w:rsidRPr="0069050E">
        <w:t>Discussion</w:t>
      </w:r>
    </w:p>
    <w:p w:rsidR="00651117" w:rsidP="00A9453D" w14:paraId="052C53D2" w14:textId="6A3AECCF">
      <w:pPr>
        <w:pStyle w:val="Heading2"/>
      </w:pPr>
      <w:r>
        <w:t>Belthrough</w:t>
      </w:r>
      <w:r>
        <w:t xml:space="preserve"> </w:t>
      </w:r>
      <w:r w:rsidR="00F6317F">
        <w:t xml:space="preserve">is </w:t>
      </w:r>
      <w:r>
        <w:t>Subject to Mandatory Call Blocking</w:t>
      </w:r>
    </w:p>
    <w:p w:rsidR="008547BB" w:rsidRPr="0069050E" w:rsidP="005E53A5" w14:paraId="0B77CB9F" w14:textId="70A3D9BD">
      <w:pPr>
        <w:pStyle w:val="ParaNum"/>
        <w:widowControl/>
      </w:pPr>
      <w:r>
        <w:t>The Commission’s rules require</w:t>
      </w:r>
      <w:r w:rsidR="005E53A5">
        <w:t>d</w:t>
      </w:r>
      <w:r>
        <w:t xml:space="preserve"> </w:t>
      </w:r>
      <w:r w:rsidR="00111BF3">
        <w:t>Belthrough</w:t>
      </w:r>
      <w:r w:rsidRPr="0069050E" w:rsidR="00A60FF4">
        <w:t xml:space="preserve"> </w:t>
      </w:r>
      <w:r>
        <w:t>to</w:t>
      </w:r>
      <w:r w:rsidRPr="0069050E">
        <w:t xml:space="preserve"> </w:t>
      </w:r>
      <w:r w:rsidRPr="0069050E" w:rsidR="00A60FF4">
        <w:t xml:space="preserve">investigate traffic identified by the Bureau after receiving </w:t>
      </w:r>
      <w:r>
        <w:t>a notification of suspected illegal traffic</w:t>
      </w:r>
      <w:r w:rsidR="00BE46DC">
        <w:t xml:space="preserve"> and to block </w:t>
      </w:r>
      <w:r w:rsidR="00364E98">
        <w:t xml:space="preserve">the identified traffic </w:t>
      </w:r>
      <w:r w:rsidR="00CD6473">
        <w:t xml:space="preserve">and </w:t>
      </w:r>
      <w:r w:rsidR="00A81410">
        <w:t xml:space="preserve">substantially similar traffic </w:t>
      </w:r>
      <w:r w:rsidR="00364E98">
        <w:t>unless it determine</w:t>
      </w:r>
      <w:r w:rsidR="00CD6473">
        <w:t>d</w:t>
      </w:r>
      <w:r w:rsidR="00364E98">
        <w:t xml:space="preserve"> the </w:t>
      </w:r>
      <w:r w:rsidR="00A81410">
        <w:t xml:space="preserve">identified </w:t>
      </w:r>
      <w:r w:rsidR="00364E98">
        <w:t xml:space="preserve">traffic </w:t>
      </w:r>
      <w:r w:rsidR="00CD6473">
        <w:t>was</w:t>
      </w:r>
      <w:r w:rsidR="00364E98">
        <w:t xml:space="preserve"> not illegal</w:t>
      </w:r>
      <w:r w:rsidRPr="0069050E" w:rsidR="00A60FF4">
        <w:t>.</w:t>
      </w:r>
      <w:r>
        <w:rPr>
          <w:rStyle w:val="FootnoteReference"/>
        </w:rPr>
        <w:footnoteReference w:id="59"/>
      </w:r>
      <w:r w:rsidRPr="0069050E" w:rsidR="00A60FF4">
        <w:t xml:space="preserve">  </w:t>
      </w:r>
      <w:r>
        <w:t>The rules also require</w:t>
      </w:r>
      <w:r w:rsidR="005E53A5">
        <w:t>d</w:t>
      </w:r>
      <w:r>
        <w:t xml:space="preserve"> </w:t>
      </w:r>
      <w:r>
        <w:t>Belthrough</w:t>
      </w:r>
      <w:r>
        <w:t xml:space="preserve"> to</w:t>
      </w:r>
      <w:r w:rsidRPr="0069050E" w:rsidR="00970085">
        <w:t xml:space="preserve"> </w:t>
      </w:r>
      <w:r w:rsidRPr="0069050E" w:rsidR="00A60FF4">
        <w:t>report the results of its investigation to the Bureau.</w:t>
      </w:r>
      <w:r>
        <w:rPr>
          <w:rStyle w:val="FootnoteReference"/>
        </w:rPr>
        <w:footnoteReference w:id="60"/>
      </w:r>
      <w:r w:rsidR="005E53A5">
        <w:t xml:space="preserve">  </w:t>
      </w:r>
      <w:r w:rsidR="007831BE">
        <w:t xml:space="preserve">Other than returning the certified mail acknowledgement card, </w:t>
      </w:r>
      <w:r w:rsidR="007831BE">
        <w:t>Bel</w:t>
      </w:r>
      <w:r w:rsidR="002A385F">
        <w:t>thro</w:t>
      </w:r>
      <w:r w:rsidR="005E53A5">
        <w:t>ugh</w:t>
      </w:r>
      <w:r w:rsidR="005E53A5">
        <w:t xml:space="preserve"> </w:t>
      </w:r>
      <w:r w:rsidR="002A385F">
        <w:t xml:space="preserve">failed to </w:t>
      </w:r>
      <w:r w:rsidR="005E53A5">
        <w:t>provide any response</w:t>
      </w:r>
      <w:r w:rsidR="002A385F">
        <w:t xml:space="preserve"> </w:t>
      </w:r>
      <w:r w:rsidR="00911C40">
        <w:t xml:space="preserve">to </w:t>
      </w:r>
      <w:r w:rsidR="002A385F">
        <w:t xml:space="preserve">the Notice. </w:t>
      </w:r>
      <w:r w:rsidRPr="0069050E" w:rsidR="000428A5">
        <w:t xml:space="preserve">  </w:t>
      </w:r>
    </w:p>
    <w:p w:rsidR="00F6317F" w:rsidP="00FE6676" w14:paraId="0B1E164E" w14:textId="5798C5CF">
      <w:pPr>
        <w:pStyle w:val="ParaNum"/>
        <w:widowControl/>
        <w:rPr>
          <w:szCs w:val="22"/>
        </w:rPr>
      </w:pPr>
      <w:r>
        <w:t>The Bureau</w:t>
      </w:r>
      <w:r w:rsidRPr="0069050E" w:rsidR="004E7D83">
        <w:t xml:space="preserve"> </w:t>
      </w:r>
      <w:r>
        <w:t xml:space="preserve">then </w:t>
      </w:r>
      <w:r w:rsidRPr="0069050E" w:rsidR="004E7D83">
        <w:t>direct</w:t>
      </w:r>
      <w:r>
        <w:t>ed</w:t>
      </w:r>
      <w:r w:rsidRPr="0069050E" w:rsidR="004E7D83">
        <w:t xml:space="preserve"> </w:t>
      </w:r>
      <w:r w:rsidR="00907A62">
        <w:t>Belthrough</w:t>
      </w:r>
      <w:r w:rsidRPr="0069050E" w:rsidR="004E7D83">
        <w:t xml:space="preserve"> to </w:t>
      </w:r>
      <w:r w:rsidR="00097ADF">
        <w:t>file</w:t>
      </w:r>
      <w:r w:rsidRPr="0069050E" w:rsidR="00BA0DC3">
        <w:t xml:space="preserve"> a </w:t>
      </w:r>
      <w:r w:rsidRPr="0069050E" w:rsidR="00472B25">
        <w:t>response</w:t>
      </w:r>
      <w:r w:rsidRPr="0069050E" w:rsidR="008547BB">
        <w:t xml:space="preserve"> to th</w:t>
      </w:r>
      <w:r>
        <w:t>e</w:t>
      </w:r>
      <w:r w:rsidRPr="0069050E" w:rsidR="008547BB">
        <w:t xml:space="preserve"> Initial Determination Order</w:t>
      </w:r>
      <w:r w:rsidRPr="0069050E" w:rsidR="002C7513">
        <w:t>.</w:t>
      </w:r>
      <w:r>
        <w:rPr>
          <w:rStyle w:val="FootnoteReference"/>
        </w:rPr>
        <w:footnoteReference w:id="61"/>
      </w:r>
      <w:r w:rsidRPr="0069050E" w:rsidR="002C7513">
        <w:t xml:space="preserve">  </w:t>
      </w:r>
      <w:r w:rsidR="00B50CDF">
        <w:t>Specifically, The Initial Determination Order</w:t>
      </w:r>
      <w:r>
        <w:t xml:space="preserve"> </w:t>
      </w:r>
      <w:r w:rsidR="00B50CDF">
        <w:t xml:space="preserve">required </w:t>
      </w:r>
      <w:r w:rsidR="00B50CDF">
        <w:t>Belthrough</w:t>
      </w:r>
      <w:r w:rsidR="00B50CDF">
        <w:t xml:space="preserve"> </w:t>
      </w:r>
      <w:r>
        <w:t>to</w:t>
      </w:r>
      <w:r w:rsidRPr="0069050E" w:rsidR="002C7513">
        <w:t xml:space="preserve"> provide an</w:t>
      </w:r>
      <w:r w:rsidRPr="0069050E" w:rsidR="00392CF9">
        <w:t xml:space="preserve"> explan</w:t>
      </w:r>
      <w:r w:rsidRPr="0069050E" w:rsidR="002C7513">
        <w:t>ation as to</w:t>
      </w:r>
      <w:r w:rsidRPr="0069050E" w:rsidR="00392CF9">
        <w:t xml:space="preserve"> why the Bureau should not issue a Final Determination Order</w:t>
      </w:r>
      <w:r w:rsidRPr="0069050E" w:rsidR="002C7513">
        <w:t xml:space="preserve"> </w:t>
      </w:r>
      <w:r w:rsidRPr="0069050E" w:rsidR="008A76C7">
        <w:t xml:space="preserve">mandating </w:t>
      </w:r>
      <w:r w:rsidRPr="0069050E" w:rsidR="002C7513">
        <w:t xml:space="preserve">that </w:t>
      </w:r>
      <w:r w:rsidRPr="0069050E" w:rsidR="00392CF9">
        <w:t>providers</w:t>
      </w:r>
      <w:r w:rsidRPr="0069050E" w:rsidR="00C74B3C">
        <w:t xml:space="preserve"> immediately downstream from </w:t>
      </w:r>
      <w:r w:rsidR="00907A62">
        <w:t>Belthrough</w:t>
      </w:r>
      <w:r w:rsidRPr="0069050E" w:rsidR="00392CF9">
        <w:t xml:space="preserve"> block </w:t>
      </w:r>
      <w:r w:rsidRPr="0069050E" w:rsidR="00392CF9">
        <w:rPr>
          <w:i/>
          <w:iCs/>
        </w:rPr>
        <w:t>all</w:t>
      </w:r>
      <w:r w:rsidRPr="0069050E" w:rsidR="00392CF9">
        <w:t xml:space="preserve"> of </w:t>
      </w:r>
      <w:r w:rsidR="00907A62">
        <w:t>Belthrough</w:t>
      </w:r>
      <w:r w:rsidRPr="0069050E" w:rsidR="00392CF9">
        <w:t>’s</w:t>
      </w:r>
      <w:r w:rsidRPr="0069050E" w:rsidR="00392CF9">
        <w:t xml:space="preserve"> </w:t>
      </w:r>
      <w:r w:rsidRPr="0069050E" w:rsidR="00DA467C">
        <w:t>traffic</w:t>
      </w:r>
      <w:r w:rsidRPr="0069050E" w:rsidR="00BA0DC3">
        <w:t>.</w:t>
      </w:r>
      <w:r>
        <w:rPr>
          <w:rStyle w:val="FootnoteReference"/>
        </w:rPr>
        <w:footnoteReference w:id="62"/>
      </w:r>
      <w:r w:rsidRPr="0069050E" w:rsidR="00BA0DC3">
        <w:t xml:space="preserve">  </w:t>
      </w:r>
      <w:r w:rsidR="00B50CDF">
        <w:t>The Initial Determination Order</w:t>
      </w:r>
      <w:r>
        <w:t xml:space="preserve"> </w:t>
      </w:r>
      <w:r w:rsidR="00B50CDF">
        <w:t xml:space="preserve">directed </w:t>
      </w:r>
      <w:r w:rsidR="00B50CDF">
        <w:t>Belthrough</w:t>
      </w:r>
      <w:r w:rsidR="00B50CDF">
        <w:t xml:space="preserve"> </w:t>
      </w:r>
      <w:r>
        <w:t xml:space="preserve">to </w:t>
      </w:r>
      <w:r w:rsidRPr="0069050E" w:rsidR="004E7D83">
        <w:t>file its response with</w:t>
      </w:r>
      <w:r w:rsidRPr="0069050E" w:rsidR="00676680">
        <w:t xml:space="preserve"> the</w:t>
      </w:r>
      <w:r w:rsidRPr="0069050E" w:rsidR="004E7D83">
        <w:t xml:space="preserve"> Bureau within 14 calendar days</w:t>
      </w:r>
      <w:r w:rsidRPr="0069050E" w:rsidR="008061DD">
        <w:t xml:space="preserve"> of the date of th</w:t>
      </w:r>
      <w:r>
        <w:t>e</w:t>
      </w:r>
      <w:r w:rsidRPr="0069050E" w:rsidR="008061DD">
        <w:t xml:space="preserve"> </w:t>
      </w:r>
      <w:r w:rsidRPr="0069050E" w:rsidR="00BF3954">
        <w:t xml:space="preserve">Initial Determination </w:t>
      </w:r>
      <w:r w:rsidRPr="0069050E" w:rsidR="008061DD">
        <w:t>Order</w:t>
      </w:r>
      <w:r w:rsidRPr="0069050E" w:rsidR="004E7D83">
        <w:t>.</w:t>
      </w:r>
      <w:r>
        <w:rPr>
          <w:rStyle w:val="FootnoteReference"/>
        </w:rPr>
        <w:footnoteReference w:id="63"/>
      </w:r>
      <w:r w:rsidRPr="0069050E" w:rsidR="004E7D83">
        <w:t xml:space="preserve"> </w:t>
      </w:r>
      <w:r>
        <w:t xml:space="preserve"> </w:t>
      </w:r>
      <w:r w:rsidR="00B50CDF">
        <w:t xml:space="preserve">Furthermore, the Bureau advised the </w:t>
      </w:r>
      <w:r>
        <w:t>Company that f</w:t>
      </w:r>
      <w:r w:rsidRPr="0069050E" w:rsidR="004E7D83">
        <w:t>ailure to respond</w:t>
      </w:r>
      <w:r w:rsidRPr="0069050E" w:rsidR="00497500">
        <w:t xml:space="preserve"> to th</w:t>
      </w:r>
      <w:r>
        <w:t>e</w:t>
      </w:r>
      <w:r w:rsidRPr="0069050E" w:rsidR="00497500">
        <w:t xml:space="preserve"> </w:t>
      </w:r>
      <w:r w:rsidRPr="0069050E" w:rsidR="00BF3954">
        <w:t xml:space="preserve">Initial Determination </w:t>
      </w:r>
      <w:r w:rsidRPr="0069050E" w:rsidR="00A436F2">
        <w:t>O</w:t>
      </w:r>
      <w:r w:rsidRPr="0069050E" w:rsidR="00497500">
        <w:t xml:space="preserve">rder or </w:t>
      </w:r>
      <w:r w:rsidRPr="0069050E" w:rsidR="004E7D83">
        <w:t>submit a</w:t>
      </w:r>
      <w:r w:rsidRPr="0069050E" w:rsidR="008A2893">
        <w:t>n adequate</w:t>
      </w:r>
      <w:r w:rsidRPr="0069050E" w:rsidR="004E7D83">
        <w:t xml:space="preserve"> response providing a reasonable basis for why </w:t>
      </w:r>
      <w:r w:rsidRPr="0069050E" w:rsidR="00600197">
        <w:t>the identified traffic</w:t>
      </w:r>
      <w:r w:rsidRPr="0069050E" w:rsidR="00357A4A">
        <w:t xml:space="preserve"> is legal</w:t>
      </w:r>
      <w:r w:rsidRPr="0069050E" w:rsidR="002C7513">
        <w:t>,</w:t>
      </w:r>
      <w:r w:rsidRPr="0069050E" w:rsidR="00600197">
        <w:t xml:space="preserve"> or continued transmi</w:t>
      </w:r>
      <w:r w:rsidR="00174B9C">
        <w:t>ssion</w:t>
      </w:r>
      <w:r w:rsidR="005E53A5">
        <w:t xml:space="preserve"> </w:t>
      </w:r>
      <w:r w:rsidR="00174B9C">
        <w:t xml:space="preserve">of </w:t>
      </w:r>
      <w:r w:rsidRPr="00F460F9" w:rsidR="00600197">
        <w:rPr>
          <w:szCs w:val="22"/>
        </w:rPr>
        <w:t>substantially similar traffic</w:t>
      </w:r>
      <w:r w:rsidRPr="00F460F9" w:rsidR="002C7513">
        <w:rPr>
          <w:szCs w:val="22"/>
        </w:rPr>
        <w:t xml:space="preserve">, </w:t>
      </w:r>
      <w:r w:rsidRPr="00F460F9" w:rsidR="00600197">
        <w:rPr>
          <w:szCs w:val="22"/>
        </w:rPr>
        <w:t>w</w:t>
      </w:r>
      <w:r>
        <w:rPr>
          <w:szCs w:val="22"/>
        </w:rPr>
        <w:t>ould</w:t>
      </w:r>
      <w:r w:rsidRPr="00F460F9" w:rsidR="00600197">
        <w:rPr>
          <w:szCs w:val="22"/>
        </w:rPr>
        <w:t xml:space="preserve"> result in the Bureau issuing a Final </w:t>
      </w:r>
      <w:r w:rsidRPr="00F460F9" w:rsidR="00082B83">
        <w:rPr>
          <w:szCs w:val="22"/>
        </w:rPr>
        <w:t xml:space="preserve">Determination </w:t>
      </w:r>
      <w:r w:rsidRPr="00F460F9" w:rsidR="00600197">
        <w:rPr>
          <w:szCs w:val="22"/>
        </w:rPr>
        <w:t>Order</w:t>
      </w:r>
      <w:r w:rsidRPr="00F460F9" w:rsidR="004E7D83">
        <w:rPr>
          <w:szCs w:val="22"/>
        </w:rPr>
        <w:t>.</w:t>
      </w:r>
      <w:r>
        <w:rPr>
          <w:rStyle w:val="FootnoteReference"/>
          <w:sz w:val="22"/>
          <w:szCs w:val="22"/>
        </w:rPr>
        <w:footnoteReference w:id="64"/>
      </w:r>
      <w:r w:rsidRPr="00F460F9" w:rsidR="004E7D83">
        <w:rPr>
          <w:szCs w:val="22"/>
        </w:rPr>
        <w:t xml:space="preserve">  </w:t>
      </w:r>
      <w:r>
        <w:rPr>
          <w:szCs w:val="22"/>
        </w:rPr>
        <w:t>Belthrough</w:t>
      </w:r>
      <w:r>
        <w:rPr>
          <w:szCs w:val="22"/>
        </w:rPr>
        <w:t xml:space="preserve"> did </w:t>
      </w:r>
      <w:r w:rsidR="009F6287">
        <w:rPr>
          <w:szCs w:val="22"/>
        </w:rPr>
        <w:t xml:space="preserve">not </w:t>
      </w:r>
      <w:r w:rsidR="005E53A5">
        <w:rPr>
          <w:szCs w:val="22"/>
        </w:rPr>
        <w:t xml:space="preserve">provide any </w:t>
      </w:r>
      <w:r>
        <w:rPr>
          <w:szCs w:val="22"/>
        </w:rPr>
        <w:t>respon</w:t>
      </w:r>
      <w:r w:rsidR="005E53A5">
        <w:rPr>
          <w:szCs w:val="22"/>
        </w:rPr>
        <w:t>se</w:t>
      </w:r>
      <w:r w:rsidR="009F6287">
        <w:rPr>
          <w:szCs w:val="22"/>
        </w:rPr>
        <w:t xml:space="preserve"> </w:t>
      </w:r>
      <w:r>
        <w:rPr>
          <w:szCs w:val="22"/>
        </w:rPr>
        <w:t>to the Initial Determination Order</w:t>
      </w:r>
      <w:r w:rsidR="003E7F31">
        <w:rPr>
          <w:szCs w:val="22"/>
        </w:rPr>
        <w:t xml:space="preserve">.  </w:t>
      </w:r>
    </w:p>
    <w:p w:rsidR="002A2DFC" w:rsidRPr="00FE6676" w:rsidP="00FE6676" w14:paraId="39FF2F08" w14:textId="45CEE021">
      <w:pPr>
        <w:pStyle w:val="ParaNum"/>
        <w:widowControl/>
        <w:rPr>
          <w:szCs w:val="22"/>
        </w:rPr>
      </w:pPr>
      <w:r>
        <w:rPr>
          <w:szCs w:val="22"/>
        </w:rPr>
        <w:t>Belthrough</w:t>
      </w:r>
      <w:r>
        <w:rPr>
          <w:szCs w:val="22"/>
        </w:rPr>
        <w:t xml:space="preserve"> did not respond to the Notice or the Initial Determination Order</w:t>
      </w:r>
      <w:r w:rsidRPr="005E53A5" w:rsidR="005E53A5">
        <w:rPr>
          <w:szCs w:val="22"/>
        </w:rPr>
        <w:t xml:space="preserve"> </w:t>
      </w:r>
      <w:r w:rsidR="005E53A5">
        <w:rPr>
          <w:szCs w:val="22"/>
        </w:rPr>
        <w:t>in any way</w:t>
      </w:r>
      <w:r>
        <w:rPr>
          <w:szCs w:val="22"/>
        </w:rPr>
        <w:t xml:space="preserve">.  </w:t>
      </w:r>
      <w:r w:rsidR="000F5CE6">
        <w:rPr>
          <w:szCs w:val="22"/>
        </w:rPr>
        <w:t>The Bureau</w:t>
      </w:r>
      <w:r>
        <w:rPr>
          <w:szCs w:val="22"/>
        </w:rPr>
        <w:t xml:space="preserve"> therefore find</w:t>
      </w:r>
      <w:r w:rsidR="000F5CE6">
        <w:rPr>
          <w:szCs w:val="22"/>
        </w:rPr>
        <w:t>s</w:t>
      </w:r>
      <w:r>
        <w:rPr>
          <w:szCs w:val="22"/>
        </w:rPr>
        <w:t xml:space="preserve"> that </w:t>
      </w:r>
      <w:r>
        <w:rPr>
          <w:szCs w:val="22"/>
        </w:rPr>
        <w:t>Belthrough</w:t>
      </w:r>
      <w:r>
        <w:rPr>
          <w:szCs w:val="22"/>
        </w:rPr>
        <w:t xml:space="preserve"> has failed to comply with its obligations under section 64.1200(n)</w:t>
      </w:r>
      <w:r w:rsidR="00DA6577">
        <w:rPr>
          <w:szCs w:val="22"/>
        </w:rPr>
        <w:t>(2)</w:t>
      </w:r>
      <w:r>
        <w:rPr>
          <w:szCs w:val="22"/>
        </w:rPr>
        <w:t xml:space="preserve"> of </w:t>
      </w:r>
      <w:r w:rsidR="00946722">
        <w:rPr>
          <w:szCs w:val="22"/>
        </w:rPr>
        <w:t>the Commission’s</w:t>
      </w:r>
      <w:r>
        <w:rPr>
          <w:szCs w:val="22"/>
        </w:rPr>
        <w:t xml:space="preserve"> rules.</w:t>
      </w:r>
      <w:r>
        <w:rPr>
          <w:rStyle w:val="FootnoteReference"/>
          <w:szCs w:val="22"/>
        </w:rPr>
        <w:footnoteReference w:id="65"/>
      </w:r>
      <w:r>
        <w:rPr>
          <w:szCs w:val="22"/>
        </w:rPr>
        <w:t xml:space="preserve">  </w:t>
      </w:r>
      <w:r w:rsidR="00DA6577">
        <w:rPr>
          <w:szCs w:val="22"/>
        </w:rPr>
        <w:t>T</w:t>
      </w:r>
      <w:r>
        <w:rPr>
          <w:szCs w:val="22"/>
        </w:rPr>
        <w:t xml:space="preserve">his </w:t>
      </w:r>
      <w:r w:rsidR="00F13D9F">
        <w:rPr>
          <w:szCs w:val="22"/>
        </w:rPr>
        <w:t xml:space="preserve">Final Determination </w:t>
      </w:r>
      <w:r w:rsidRPr="00F460F9" w:rsidR="00A60FF4">
        <w:rPr>
          <w:szCs w:val="22"/>
        </w:rPr>
        <w:t xml:space="preserve">Order </w:t>
      </w:r>
      <w:r w:rsidRPr="00F460F9" w:rsidR="00990DC8">
        <w:rPr>
          <w:szCs w:val="22"/>
        </w:rPr>
        <w:t>serve</w:t>
      </w:r>
      <w:r>
        <w:rPr>
          <w:szCs w:val="22"/>
        </w:rPr>
        <w:t>s</w:t>
      </w:r>
      <w:r w:rsidRPr="00F460F9" w:rsidR="00990DC8">
        <w:rPr>
          <w:szCs w:val="22"/>
        </w:rPr>
        <w:t xml:space="preserve"> </w:t>
      </w:r>
      <w:r w:rsidRPr="00F460F9" w:rsidR="00E76230">
        <w:rPr>
          <w:szCs w:val="22"/>
        </w:rPr>
        <w:t>as notification to</w:t>
      </w:r>
      <w:r w:rsidRPr="00F460F9" w:rsidR="00990DC8">
        <w:rPr>
          <w:szCs w:val="22"/>
        </w:rPr>
        <w:t xml:space="preserve"> </w:t>
      </w:r>
      <w:r w:rsidRPr="00F460F9" w:rsidR="00A60FF4">
        <w:rPr>
          <w:szCs w:val="22"/>
        </w:rPr>
        <w:t xml:space="preserve">all </w:t>
      </w:r>
      <w:r w:rsidRPr="00F460F9" w:rsidR="00AF1238">
        <w:rPr>
          <w:szCs w:val="22"/>
        </w:rPr>
        <w:t>immediate</w:t>
      </w:r>
      <w:r w:rsidRPr="00F460F9" w:rsidR="005A5D0E">
        <w:rPr>
          <w:szCs w:val="22"/>
        </w:rPr>
        <w:t xml:space="preserve"> downstream </w:t>
      </w:r>
      <w:r w:rsidRPr="00F460F9" w:rsidR="00A60FF4">
        <w:rPr>
          <w:szCs w:val="22"/>
        </w:rPr>
        <w:t>providers</w:t>
      </w:r>
      <w:r w:rsidRPr="00F460F9" w:rsidR="00990DC8">
        <w:rPr>
          <w:szCs w:val="22"/>
        </w:rPr>
        <w:t xml:space="preserve"> that they must</w:t>
      </w:r>
      <w:r w:rsidRPr="00F460F9" w:rsidR="00A60FF4">
        <w:rPr>
          <w:szCs w:val="22"/>
        </w:rPr>
        <w:t xml:space="preserve"> block and cease accepting all traffic received directly from </w:t>
      </w:r>
      <w:r w:rsidRPr="00F460F9" w:rsidR="00907A62">
        <w:rPr>
          <w:szCs w:val="22"/>
        </w:rPr>
        <w:t>Belthrough</w:t>
      </w:r>
      <w:r w:rsidRPr="00F460F9" w:rsidR="00A60FF4">
        <w:rPr>
          <w:szCs w:val="22"/>
        </w:rPr>
        <w:t xml:space="preserve"> </w:t>
      </w:r>
      <w:r w:rsidRPr="00F460F9" w:rsidR="00A436F2">
        <w:rPr>
          <w:szCs w:val="22"/>
        </w:rPr>
        <w:t>beginning</w:t>
      </w:r>
      <w:r w:rsidRPr="00F460F9" w:rsidR="00A60FF4">
        <w:rPr>
          <w:szCs w:val="22"/>
        </w:rPr>
        <w:t xml:space="preserve"> 30 </w:t>
      </w:r>
      <w:r w:rsidR="004E58F5">
        <w:rPr>
          <w:szCs w:val="22"/>
        </w:rPr>
        <w:t xml:space="preserve">calendar </w:t>
      </w:r>
      <w:r w:rsidRPr="00F460F9" w:rsidR="00A60FF4">
        <w:rPr>
          <w:szCs w:val="22"/>
        </w:rPr>
        <w:t xml:space="preserve">days </w:t>
      </w:r>
      <w:r w:rsidR="008805E5">
        <w:rPr>
          <w:szCs w:val="22"/>
        </w:rPr>
        <w:t>after</w:t>
      </w:r>
      <w:r>
        <w:rPr>
          <w:szCs w:val="22"/>
        </w:rPr>
        <w:t xml:space="preserve"> </w:t>
      </w:r>
      <w:r w:rsidR="00CA3378">
        <w:rPr>
          <w:szCs w:val="22"/>
        </w:rPr>
        <w:t xml:space="preserve">the release date of this </w:t>
      </w:r>
      <w:r w:rsidR="00F13D9F">
        <w:rPr>
          <w:szCs w:val="22"/>
        </w:rPr>
        <w:t xml:space="preserve">Final Determination </w:t>
      </w:r>
      <w:r w:rsidRPr="00F460F9" w:rsidR="00A60FF4">
        <w:rPr>
          <w:szCs w:val="22"/>
        </w:rPr>
        <w:t>Order.</w:t>
      </w:r>
      <w:r>
        <w:rPr>
          <w:rStyle w:val="FootnoteReference"/>
          <w:sz w:val="22"/>
          <w:szCs w:val="22"/>
        </w:rPr>
        <w:footnoteReference w:id="66"/>
      </w:r>
      <w:r w:rsidRPr="00F460F9" w:rsidR="00A60FF4">
        <w:rPr>
          <w:szCs w:val="22"/>
        </w:rPr>
        <w:t xml:space="preserve"> </w:t>
      </w:r>
      <w:r w:rsidR="005E53A5">
        <w:rPr>
          <w:szCs w:val="22"/>
        </w:rPr>
        <w:t xml:space="preserve"> </w:t>
      </w:r>
      <w:r w:rsidR="000005CE">
        <w:rPr>
          <w:szCs w:val="22"/>
        </w:rPr>
        <w:t xml:space="preserve">Any provider that chooses to initiate blocking sooner than 30 </w:t>
      </w:r>
      <w:r w:rsidR="004E58F5">
        <w:rPr>
          <w:szCs w:val="22"/>
        </w:rPr>
        <w:t xml:space="preserve">calendar </w:t>
      </w:r>
      <w:r w:rsidR="000005CE">
        <w:rPr>
          <w:szCs w:val="22"/>
        </w:rPr>
        <w:t xml:space="preserve">days from the release of this </w:t>
      </w:r>
      <w:r w:rsidR="00126D2D">
        <w:rPr>
          <w:szCs w:val="22"/>
        </w:rPr>
        <w:t xml:space="preserve">Final Determination </w:t>
      </w:r>
      <w:r w:rsidR="000005CE">
        <w:rPr>
          <w:szCs w:val="22"/>
        </w:rPr>
        <w:t xml:space="preserve">Order may do so consistent with section 64.1200(k)(4) of </w:t>
      </w:r>
      <w:r w:rsidR="00DB302F">
        <w:rPr>
          <w:szCs w:val="22"/>
        </w:rPr>
        <w:t>the Commission’s</w:t>
      </w:r>
      <w:r w:rsidR="000005CE">
        <w:rPr>
          <w:szCs w:val="22"/>
        </w:rPr>
        <w:t xml:space="preserve"> rules.</w:t>
      </w:r>
      <w:r>
        <w:rPr>
          <w:rStyle w:val="FootnoteReference"/>
          <w:szCs w:val="22"/>
        </w:rPr>
        <w:footnoteReference w:id="67"/>
      </w:r>
      <w:r w:rsidR="000005CE">
        <w:rPr>
          <w:szCs w:val="22"/>
        </w:rPr>
        <w:t xml:space="preserve"> </w:t>
      </w:r>
    </w:p>
    <w:p w:rsidR="0020335A" w:rsidP="00FE6676" w14:paraId="71D91437" w14:textId="64903445">
      <w:pPr>
        <w:pStyle w:val="Heading2"/>
      </w:pPr>
      <w:r w:rsidRPr="00607334">
        <w:t>Belthrough</w:t>
      </w:r>
      <w:r w:rsidRPr="00607334" w:rsidR="005C7A08">
        <w:t>’s</w:t>
      </w:r>
      <w:r w:rsidRPr="00607334" w:rsidR="005C7A08">
        <w:t xml:space="preserve"> Certification </w:t>
      </w:r>
      <w:r w:rsidR="00BC069B">
        <w:t>is Removed From the RMD</w:t>
      </w:r>
    </w:p>
    <w:p w:rsidR="00DC261B" w:rsidRPr="00DC261B" w:rsidP="00D172CC" w14:paraId="238E3187" w14:textId="06225A75">
      <w:pPr>
        <w:pStyle w:val="ParaNum"/>
      </w:pPr>
      <w:r w:rsidRPr="00F460F9">
        <w:t>Belthrough</w:t>
      </w:r>
      <w:r w:rsidRPr="00F460F9">
        <w:t xml:space="preserve"> certified in its RMD filing, under penalty of perjury, that it w</w:t>
      </w:r>
      <w:r w:rsidR="00AB371E">
        <w:t>ould</w:t>
      </w:r>
      <w:r w:rsidRPr="00F460F9">
        <w:t xml:space="preserve"> cooperate with the FCC in investigating and stopping any illegal robocallers that use its service to </w:t>
      </w:r>
      <w:r w:rsidR="000073D9">
        <w:t>originate</w:t>
      </w:r>
      <w:r w:rsidRPr="00F460F9">
        <w:t xml:space="preserve"> calls.</w:t>
      </w:r>
      <w:r>
        <w:rPr>
          <w:rStyle w:val="FootnoteReference"/>
          <w:rFonts w:eastAsiaTheme="majorEastAsia"/>
          <w:sz w:val="22"/>
          <w:szCs w:val="22"/>
        </w:rPr>
        <w:footnoteReference w:id="68"/>
      </w:r>
      <w:r w:rsidRPr="00F460F9">
        <w:t xml:space="preserve">  </w:t>
      </w:r>
      <w:r w:rsidRPr="00F460F9" w:rsidR="005C7A08">
        <w:t xml:space="preserve">The Notice warned </w:t>
      </w:r>
      <w:r w:rsidRPr="00F460F9" w:rsidR="005C7A08">
        <w:t>Belth</w:t>
      </w:r>
      <w:r w:rsidR="00224E21">
        <w:t>r</w:t>
      </w:r>
      <w:r w:rsidRPr="00F460F9" w:rsidR="005C7A08">
        <w:t>ough</w:t>
      </w:r>
      <w:r w:rsidRPr="00F460F9" w:rsidR="005C7A08">
        <w:t xml:space="preserve"> that</w:t>
      </w:r>
      <w:r w:rsidR="005E53A5">
        <w:t>,</w:t>
      </w:r>
      <w:r w:rsidRPr="00F460F9" w:rsidR="005C7A08">
        <w:t xml:space="preserve"> “f</w:t>
      </w:r>
      <w:r w:rsidRPr="00A60AA6" w:rsidR="005C7A08">
        <w:t xml:space="preserve">ailure to respond to this </w:t>
      </w:r>
      <w:r w:rsidR="00D26C62">
        <w:t>[Notice]</w:t>
      </w:r>
      <w:r w:rsidRPr="00A60AA6" w:rsidR="005C7A08">
        <w:t xml:space="preserve"> </w:t>
      </w:r>
      <w:r w:rsidR="00D26C62">
        <w:t xml:space="preserve">. . . </w:t>
      </w:r>
      <w:r w:rsidRPr="00A60AA6" w:rsidR="005C7A08">
        <w:t>may be used as evidence that the Company’s certification is deficient with respect to its commitment to cooperate.”</w:t>
      </w:r>
      <w:r>
        <w:rPr>
          <w:rStyle w:val="FootnoteReference"/>
          <w:sz w:val="22"/>
          <w:szCs w:val="22"/>
        </w:rPr>
        <w:footnoteReference w:id="69"/>
      </w:r>
      <w:r w:rsidRPr="00F460F9" w:rsidR="005C7A08">
        <w:t xml:space="preserve">  </w:t>
      </w:r>
      <w:r w:rsidR="00432A79">
        <w:t xml:space="preserve">The Bureau received a certified mail receipt </w:t>
      </w:r>
      <w:r w:rsidR="009645C3">
        <w:t xml:space="preserve">on September </w:t>
      </w:r>
      <w:r w:rsidR="00237BF4">
        <w:t xml:space="preserve">24, 2025, </w:t>
      </w:r>
      <w:r w:rsidR="00432A79">
        <w:t xml:space="preserve">showing that </w:t>
      </w:r>
      <w:r w:rsidR="00432A79">
        <w:t>Belthrough</w:t>
      </w:r>
      <w:r w:rsidR="00432A79">
        <w:t xml:space="preserve"> received the Notice.</w:t>
      </w:r>
      <w:r>
        <w:rPr>
          <w:rStyle w:val="FootnoteReference"/>
        </w:rPr>
        <w:footnoteReference w:id="70"/>
      </w:r>
      <w:r w:rsidR="00432A79">
        <w:t xml:space="preserve">  </w:t>
      </w:r>
      <w:r w:rsidR="003F28CA">
        <w:t>N</w:t>
      </w:r>
      <w:r w:rsidR="004852DD">
        <w:t>evertheless</w:t>
      </w:r>
      <w:r w:rsidR="003F28CA">
        <w:t xml:space="preserve">, </w:t>
      </w:r>
      <w:r w:rsidR="003F28CA">
        <w:t>Belth</w:t>
      </w:r>
      <w:r w:rsidR="007B4CFE">
        <w:t>r</w:t>
      </w:r>
      <w:r w:rsidR="003F28CA">
        <w:t>ough</w:t>
      </w:r>
      <w:r w:rsidR="003F28CA">
        <w:t xml:space="preserve"> </w:t>
      </w:r>
      <w:r w:rsidR="00AB371E">
        <w:t>did not file a report or take any of the actions called for in the Notice</w:t>
      </w:r>
      <w:r w:rsidR="00AD28D3">
        <w:t>, and it</w:t>
      </w:r>
      <w:r w:rsidR="00AB371E">
        <w:t xml:space="preserve"> </w:t>
      </w:r>
      <w:r w:rsidR="003F28CA">
        <w:t xml:space="preserve">continued </w:t>
      </w:r>
      <w:r w:rsidR="00AD28D3">
        <w:t xml:space="preserve">to </w:t>
      </w:r>
      <w:r w:rsidR="003F28CA">
        <w:t xml:space="preserve">transmit </w:t>
      </w:r>
      <w:r w:rsidR="009406DD">
        <w:t>suspected</w:t>
      </w:r>
      <w:r w:rsidR="00AB371E">
        <w:t xml:space="preserve"> illegal</w:t>
      </w:r>
      <w:r w:rsidR="003F28CA">
        <w:t xml:space="preserve"> robocall traffic.</w:t>
      </w:r>
      <w:r>
        <w:rPr>
          <w:rStyle w:val="FootnoteReference"/>
        </w:rPr>
        <w:footnoteReference w:id="71"/>
      </w:r>
      <w:r w:rsidR="00C1724C">
        <w:t xml:space="preserve">  </w:t>
      </w:r>
    </w:p>
    <w:p w:rsidR="00B56F76" w:rsidP="00F44E88" w14:paraId="0473DF38" w14:textId="04C989AA">
      <w:pPr>
        <w:pStyle w:val="ParaNum"/>
        <w:widowControl/>
        <w:rPr>
          <w:szCs w:val="22"/>
        </w:rPr>
      </w:pPr>
      <w:r>
        <w:rPr>
          <w:szCs w:val="22"/>
        </w:rPr>
        <w:t xml:space="preserve">On February 19, 2026, the Bureau ordered </w:t>
      </w:r>
      <w:r>
        <w:rPr>
          <w:szCs w:val="22"/>
        </w:rPr>
        <w:t>Belthrough</w:t>
      </w:r>
      <w:r w:rsidR="003A6FE2">
        <w:rPr>
          <w:szCs w:val="22"/>
        </w:rPr>
        <w:t>, in the Initial Determination Order,</w:t>
      </w:r>
      <w:r>
        <w:rPr>
          <w:szCs w:val="22"/>
        </w:rPr>
        <w:t xml:space="preserve"> to show cause why it</w:t>
      </w:r>
      <w:r w:rsidR="00AC4171">
        <w:rPr>
          <w:szCs w:val="22"/>
        </w:rPr>
        <w:t>s</w:t>
      </w:r>
      <w:r w:rsidR="0019414C">
        <w:rPr>
          <w:szCs w:val="22"/>
        </w:rPr>
        <w:t xml:space="preserve"> certification</w:t>
      </w:r>
      <w:r>
        <w:rPr>
          <w:szCs w:val="22"/>
        </w:rPr>
        <w:t xml:space="preserve"> should not be removed from the RMD.</w:t>
      </w:r>
      <w:r>
        <w:rPr>
          <w:rStyle w:val="FootnoteReference"/>
          <w:szCs w:val="22"/>
        </w:rPr>
        <w:footnoteReference w:id="72"/>
      </w:r>
      <w:r>
        <w:rPr>
          <w:szCs w:val="22"/>
        </w:rPr>
        <w:t xml:space="preserve">  </w:t>
      </w:r>
      <w:r w:rsidR="00BC069B">
        <w:rPr>
          <w:szCs w:val="22"/>
        </w:rPr>
        <w:t xml:space="preserve">The Bureau explained that </w:t>
      </w:r>
      <w:r w:rsidR="00BC069B">
        <w:t>Belthrough’s</w:t>
      </w:r>
      <w:r w:rsidR="00BC069B">
        <w:t xml:space="preserve"> failure to cooperate with </w:t>
      </w:r>
      <w:r w:rsidR="00F678F7">
        <w:t>its</w:t>
      </w:r>
      <w:r w:rsidR="00BC069B">
        <w:t xml:space="preserve"> investigation—despite its attestation </w:t>
      </w:r>
      <w:r w:rsidR="00935144">
        <w:t xml:space="preserve">in its certification </w:t>
      </w:r>
      <w:r w:rsidR="00BC069B">
        <w:t xml:space="preserve">to </w:t>
      </w:r>
      <w:r w:rsidR="00935144">
        <w:t>cooperate</w:t>
      </w:r>
      <w:r w:rsidR="00BC069B">
        <w:t>—</w:t>
      </w:r>
      <w:r w:rsidR="00262434">
        <w:t xml:space="preserve">was willful and </w:t>
      </w:r>
      <w:r w:rsidR="00BC069B">
        <w:t>demonstrated that its RMD certificat</w:t>
      </w:r>
      <w:r w:rsidR="0019414C">
        <w:t>ion</w:t>
      </w:r>
      <w:r w:rsidR="00BC069B">
        <w:t xml:space="preserve"> was deficient.</w:t>
      </w:r>
      <w:r>
        <w:rPr>
          <w:rStyle w:val="FootnoteReference"/>
        </w:rPr>
        <w:footnoteReference w:id="73"/>
      </w:r>
      <w:r w:rsidR="00BC069B">
        <w:t xml:space="preserve">  </w:t>
      </w:r>
      <w:r w:rsidRPr="00F460F9" w:rsidR="004E7D83">
        <w:rPr>
          <w:szCs w:val="22"/>
        </w:rPr>
        <w:t>The Bureau direct</w:t>
      </w:r>
      <w:r>
        <w:rPr>
          <w:szCs w:val="22"/>
        </w:rPr>
        <w:t>ed</w:t>
      </w:r>
      <w:r w:rsidRPr="00F460F9" w:rsidR="004E7D83">
        <w:rPr>
          <w:szCs w:val="22"/>
        </w:rPr>
        <w:t xml:space="preserve"> </w:t>
      </w:r>
      <w:r w:rsidRPr="00F460F9" w:rsidR="004E7D83">
        <w:rPr>
          <w:szCs w:val="22"/>
        </w:rPr>
        <w:t>Belthrough</w:t>
      </w:r>
      <w:r w:rsidRPr="00F460F9" w:rsidR="004E7D83">
        <w:rPr>
          <w:szCs w:val="22"/>
        </w:rPr>
        <w:t xml:space="preserve"> to explain why the Bureau should not remove the Company’s certification from the RMD.</w:t>
      </w:r>
      <w:r>
        <w:rPr>
          <w:rStyle w:val="FootnoteReference"/>
          <w:sz w:val="22"/>
          <w:szCs w:val="22"/>
        </w:rPr>
        <w:footnoteReference w:id="74"/>
      </w:r>
      <w:r w:rsidRPr="00F460F9" w:rsidR="004E7D83">
        <w:rPr>
          <w:szCs w:val="22"/>
        </w:rPr>
        <w:t xml:space="preserve">  </w:t>
      </w:r>
      <w:r w:rsidR="00B50CDF">
        <w:rPr>
          <w:szCs w:val="22"/>
        </w:rPr>
        <w:t xml:space="preserve">The Initial Determination Order directed </w:t>
      </w:r>
      <w:r>
        <w:rPr>
          <w:szCs w:val="22"/>
        </w:rPr>
        <w:t>Belthrough</w:t>
      </w:r>
      <w:r>
        <w:rPr>
          <w:szCs w:val="22"/>
        </w:rPr>
        <w:t xml:space="preserve"> to file its respons</w:t>
      </w:r>
      <w:r>
        <w:rPr>
          <w:szCs w:val="22"/>
        </w:rPr>
        <w:t>e</w:t>
      </w:r>
      <w:r>
        <w:rPr>
          <w:szCs w:val="22"/>
        </w:rPr>
        <w:t xml:space="preserve"> within 14 calendar days and advised that a failure to respond would result in removal of its certification from the RMD.</w:t>
      </w:r>
      <w:r>
        <w:rPr>
          <w:rStyle w:val="FootnoteReference"/>
          <w:szCs w:val="22"/>
        </w:rPr>
        <w:footnoteReference w:id="75"/>
      </w:r>
      <w:r>
        <w:rPr>
          <w:szCs w:val="22"/>
        </w:rPr>
        <w:t xml:space="preserve">  </w:t>
      </w:r>
    </w:p>
    <w:p w:rsidR="00F57361" w:rsidRPr="00B56F76" w:rsidP="00B56F76" w14:paraId="27A0E9F3" w14:textId="42B2E785">
      <w:pPr>
        <w:pStyle w:val="ParaNum"/>
        <w:widowControl/>
        <w:rPr>
          <w:szCs w:val="22"/>
        </w:rPr>
      </w:pPr>
      <w:r>
        <w:rPr>
          <w:szCs w:val="22"/>
        </w:rPr>
        <w:t>Belthrough</w:t>
      </w:r>
      <w:r>
        <w:rPr>
          <w:szCs w:val="22"/>
        </w:rPr>
        <w:t xml:space="preserve"> failed to respond.  Therefore</w:t>
      </w:r>
      <w:r w:rsidR="00B56F76">
        <w:rPr>
          <w:szCs w:val="22"/>
        </w:rPr>
        <w:t>,</w:t>
      </w:r>
      <w:r>
        <w:rPr>
          <w:szCs w:val="22"/>
        </w:rPr>
        <w:t xml:space="preserve"> </w:t>
      </w:r>
      <w:r>
        <w:rPr>
          <w:szCs w:val="22"/>
        </w:rPr>
        <w:t>Belthrough’s</w:t>
      </w:r>
      <w:r>
        <w:rPr>
          <w:szCs w:val="22"/>
        </w:rPr>
        <w:t xml:space="preserve"> certification </w:t>
      </w:r>
      <w:r w:rsidR="00EC220A">
        <w:rPr>
          <w:szCs w:val="22"/>
        </w:rPr>
        <w:t xml:space="preserve">shall be removed </w:t>
      </w:r>
      <w:r>
        <w:rPr>
          <w:szCs w:val="22"/>
        </w:rPr>
        <w:t>from the RMD</w:t>
      </w:r>
      <w:r w:rsidR="00B56F76">
        <w:rPr>
          <w:szCs w:val="22"/>
        </w:rPr>
        <w:t>.</w:t>
      </w:r>
      <w:r w:rsidRPr="00B56F76" w:rsidR="004E7D83">
        <w:rPr>
          <w:szCs w:val="22"/>
        </w:rPr>
        <w:t xml:space="preserve"> </w:t>
      </w:r>
      <w:r w:rsidR="00B56F76">
        <w:rPr>
          <w:szCs w:val="22"/>
        </w:rPr>
        <w:t xml:space="preserve"> A</w:t>
      </w:r>
      <w:r w:rsidRPr="00B56F76" w:rsidR="004E7D83">
        <w:rPr>
          <w:szCs w:val="22"/>
        </w:rPr>
        <w:t xml:space="preserve">ll voice service providers and intermediate providers </w:t>
      </w:r>
      <w:r w:rsidR="00B56F76">
        <w:rPr>
          <w:szCs w:val="22"/>
        </w:rPr>
        <w:t>shall</w:t>
      </w:r>
      <w:r w:rsidRPr="00B56F76" w:rsidR="004E7D83">
        <w:rPr>
          <w:szCs w:val="22"/>
        </w:rPr>
        <w:t xml:space="preserve"> cease accepting calls directly from </w:t>
      </w:r>
      <w:r w:rsidRPr="00B56F76" w:rsidR="004E7D83">
        <w:rPr>
          <w:szCs w:val="22"/>
        </w:rPr>
        <w:t>Belthrough</w:t>
      </w:r>
      <w:r w:rsidR="001D132C">
        <w:rPr>
          <w:szCs w:val="22"/>
        </w:rPr>
        <w:t xml:space="preserve"> within two business days of the release date of this </w:t>
      </w:r>
      <w:r w:rsidR="00F14A94">
        <w:rPr>
          <w:szCs w:val="22"/>
        </w:rPr>
        <w:t>Removal</w:t>
      </w:r>
      <w:r w:rsidR="00E217A8">
        <w:rPr>
          <w:szCs w:val="22"/>
        </w:rPr>
        <w:t xml:space="preserve"> Order</w:t>
      </w:r>
      <w:r w:rsidRPr="00B56F76" w:rsidR="004E7D83">
        <w:rPr>
          <w:szCs w:val="22"/>
        </w:rPr>
        <w:t>.</w:t>
      </w:r>
      <w:r>
        <w:rPr>
          <w:rStyle w:val="FootnoteReference"/>
          <w:sz w:val="22"/>
          <w:szCs w:val="22"/>
        </w:rPr>
        <w:footnoteReference w:id="76"/>
      </w:r>
      <w:r w:rsidRPr="00B56F76" w:rsidR="004E7D83">
        <w:rPr>
          <w:szCs w:val="22"/>
        </w:rPr>
        <w:t xml:space="preserve">  </w:t>
      </w:r>
      <w:r w:rsidR="00B56F76">
        <w:rPr>
          <w:color w:val="000000"/>
          <w:szCs w:val="22"/>
        </w:rPr>
        <w:t>Belthrough</w:t>
      </w:r>
      <w:r w:rsidRPr="00B56F76" w:rsidR="004E7D83">
        <w:rPr>
          <w:color w:val="000000"/>
          <w:szCs w:val="22"/>
        </w:rPr>
        <w:t xml:space="preserve"> shall not be permitted to </w:t>
      </w:r>
      <w:r w:rsidRPr="00B56F76" w:rsidR="004E7D83">
        <w:rPr>
          <w:color w:val="000000"/>
          <w:szCs w:val="22"/>
        </w:rPr>
        <w:t>refile</w:t>
      </w:r>
      <w:r w:rsidRPr="00B56F76" w:rsidR="00784386">
        <w:rPr>
          <w:color w:val="000000"/>
          <w:szCs w:val="22"/>
        </w:rPr>
        <w:t xml:space="preserve"> unless and</w:t>
      </w:r>
      <w:r w:rsidRPr="00B56F76" w:rsidR="004E7D83">
        <w:rPr>
          <w:color w:val="000000"/>
          <w:szCs w:val="22"/>
        </w:rPr>
        <w:t xml:space="preserve"> until both the Bureau and </w:t>
      </w:r>
      <w:r w:rsidR="00D55501">
        <w:rPr>
          <w:color w:val="000000"/>
          <w:szCs w:val="22"/>
        </w:rPr>
        <w:t>WCB</w:t>
      </w:r>
      <w:r w:rsidRPr="00B56F76" w:rsidR="004E7D83">
        <w:rPr>
          <w:color w:val="000000"/>
          <w:szCs w:val="22"/>
        </w:rPr>
        <w:t xml:space="preserve"> </w:t>
      </w:r>
      <w:r w:rsidRPr="00B56F76" w:rsidR="00784386">
        <w:rPr>
          <w:color w:val="000000"/>
          <w:szCs w:val="22"/>
        </w:rPr>
        <w:t>consent</w:t>
      </w:r>
      <w:r w:rsidRPr="00B56F76" w:rsidR="004E7D83">
        <w:rPr>
          <w:color w:val="000000"/>
          <w:szCs w:val="22"/>
        </w:rPr>
        <w:t>.</w:t>
      </w:r>
    </w:p>
    <w:p w:rsidR="00E4677C" w:rsidRPr="0069050E" w:rsidP="00776DA6" w14:paraId="4C43AD75" w14:textId="77777777">
      <w:pPr>
        <w:pStyle w:val="Heading1"/>
        <w:widowControl/>
      </w:pPr>
      <w:r w:rsidRPr="0069050E">
        <w:t>ordering clauses</w:t>
      </w:r>
    </w:p>
    <w:p w:rsidR="00E4677C" w:rsidP="006561A3" w14:paraId="5B624ADA" w14:textId="1DEAECBD">
      <w:pPr>
        <w:pStyle w:val="ParaNum"/>
        <w:widowControl/>
      </w:pPr>
      <w:r w:rsidRPr="0069050E">
        <w:t xml:space="preserve">Accordingly, </w:t>
      </w:r>
      <w:r w:rsidRPr="0069050E">
        <w:rPr>
          <w:b/>
          <w:bCs/>
        </w:rPr>
        <w:t>IT IS ORDERED</w:t>
      </w:r>
      <w:r w:rsidRPr="0069050E">
        <w:t xml:space="preserve"> that, pursuant to sections 4(i), 4(j), 227(b)</w:t>
      </w:r>
      <w:r w:rsidRPr="0069050E" w:rsidR="00B42618">
        <w:t>,</w:t>
      </w:r>
      <w:r w:rsidRPr="0069050E">
        <w:t xml:space="preserve"> 251(e), and 403 of the </w:t>
      </w:r>
      <w:r w:rsidRPr="0069050E" w:rsidR="00AD1921">
        <w:t xml:space="preserve">Communications </w:t>
      </w:r>
      <w:r w:rsidRPr="0069050E">
        <w:t>Act</w:t>
      </w:r>
      <w:r w:rsidRPr="0069050E" w:rsidR="00AD1921">
        <w:t xml:space="preserve"> of 1934, as amended</w:t>
      </w:r>
      <w:r w:rsidRPr="0069050E">
        <w:t>,</w:t>
      </w:r>
      <w:r w:rsidRPr="0069050E" w:rsidR="00C3584B">
        <w:t xml:space="preserve"> </w:t>
      </w:r>
      <w:r w:rsidRPr="0069050E" w:rsidR="008547BB">
        <w:t xml:space="preserve">47 U.S.C. §§ </w:t>
      </w:r>
      <w:r w:rsidRPr="0069050E" w:rsidR="00134811">
        <w:t>15</w:t>
      </w:r>
      <w:r w:rsidRPr="0069050E" w:rsidR="008547BB">
        <w:t xml:space="preserve">4(i), </w:t>
      </w:r>
      <w:r w:rsidRPr="0069050E" w:rsidR="00142B72">
        <w:t>15</w:t>
      </w:r>
      <w:r w:rsidRPr="0069050E" w:rsidR="008547BB">
        <w:t>4(j), 227(b), 251(e), 403</w:t>
      </w:r>
      <w:r w:rsidRPr="0069050E" w:rsidR="00035362">
        <w:t>;</w:t>
      </w:r>
      <w:r w:rsidRPr="0069050E">
        <w:t xml:space="preserve"> sections 0.111, 0.311, 1.1, 1.102(b)(1), </w:t>
      </w:r>
      <w:r w:rsidRPr="0069050E" w:rsidR="00A60FF4">
        <w:t xml:space="preserve">and </w:t>
      </w:r>
      <w:r w:rsidRPr="0069050E">
        <w:t>64.1200</w:t>
      </w:r>
      <w:r w:rsidR="000D3364">
        <w:t>(n)(2)</w:t>
      </w:r>
      <w:r w:rsidRPr="0069050E" w:rsidR="00A60FF4">
        <w:t xml:space="preserve"> </w:t>
      </w:r>
      <w:r w:rsidRPr="0069050E">
        <w:t>of the Commission’s rules,</w:t>
      </w:r>
      <w:r w:rsidRPr="0069050E" w:rsidR="008547BB">
        <w:t xml:space="preserve"> 47 CFR §§ 0.111, 0.311, 1.1, 1.102(b)(1), </w:t>
      </w:r>
      <w:r w:rsidR="00017032">
        <w:t xml:space="preserve">and </w:t>
      </w:r>
      <w:r w:rsidRPr="0069050E" w:rsidR="008547BB">
        <w:t>64.1200</w:t>
      </w:r>
      <w:r w:rsidR="002B61E9">
        <w:t>(n)(2)</w:t>
      </w:r>
      <w:r w:rsidRPr="0069050E" w:rsidR="00035362">
        <w:t>;</w:t>
      </w:r>
      <w:r w:rsidRPr="0069050E" w:rsidR="008061DD">
        <w:t xml:space="preserve"> and the</w:t>
      </w:r>
      <w:r w:rsidR="00EB18BD">
        <w:t xml:space="preserve"> </w:t>
      </w:r>
      <w:r w:rsidRPr="001E530E" w:rsidR="00EB18BD">
        <w:rPr>
          <w:i/>
          <w:iCs/>
        </w:rPr>
        <w:t>Sixth Caller ID Authentication Order</w:t>
      </w:r>
      <w:r w:rsidR="00AF71BD">
        <w:rPr>
          <w:i/>
          <w:iCs/>
        </w:rPr>
        <w:t>,</w:t>
      </w:r>
      <w:r>
        <w:rPr>
          <w:rStyle w:val="FootnoteReference"/>
        </w:rPr>
        <w:footnoteReference w:id="77"/>
      </w:r>
      <w:r w:rsidR="00AF71BD">
        <w:rPr>
          <w:i/>
          <w:iCs/>
        </w:rPr>
        <w:t xml:space="preserve"> </w:t>
      </w:r>
      <w:r w:rsidR="00AF71BD">
        <w:t xml:space="preserve">all immediate downstream providers </w:t>
      </w:r>
      <w:r w:rsidR="00AF71BD">
        <w:rPr>
          <w:b/>
          <w:bCs/>
        </w:rPr>
        <w:t xml:space="preserve">MUST BLOCK AND CEASE TO ACCEPT ALL TRAFFIC </w:t>
      </w:r>
      <w:r w:rsidR="00AF71BD">
        <w:t xml:space="preserve">directly from </w:t>
      </w:r>
      <w:r w:rsidR="00AF71BD">
        <w:t>Belthrough</w:t>
      </w:r>
      <w:r w:rsidR="00AF71BD">
        <w:t xml:space="preserve"> </w:t>
      </w:r>
      <w:r w:rsidR="00AF71BD">
        <w:rPr>
          <w:b/>
          <w:bCs/>
        </w:rPr>
        <w:t xml:space="preserve">beginning no later than 30 calendar days </w:t>
      </w:r>
      <w:r w:rsidRPr="00916FCC" w:rsidR="00916FCC">
        <w:t>after</w:t>
      </w:r>
      <w:r w:rsidRPr="00AF71BD" w:rsidR="00AF71BD">
        <w:t xml:space="preserve"> the release date of this Final Determination Order</w:t>
      </w:r>
      <w:r w:rsidR="00140738">
        <w:t xml:space="preserve"> and </w:t>
      </w:r>
      <w:r w:rsidR="00F14A94">
        <w:t xml:space="preserve">Removal </w:t>
      </w:r>
      <w:r w:rsidR="00140738">
        <w:t>Order</w:t>
      </w:r>
      <w:r w:rsidRPr="0069050E">
        <w:t>.</w:t>
      </w:r>
      <w:r>
        <w:rPr>
          <w:rStyle w:val="FootnoteReference"/>
        </w:rPr>
        <w:footnoteReference w:id="78"/>
      </w:r>
      <w:r w:rsidR="005C7A08">
        <w:t xml:space="preserve">    </w:t>
      </w:r>
    </w:p>
    <w:p w:rsidR="008731B6" w:rsidRPr="00513C46" w:rsidP="006561A3" w14:paraId="63F56E93" w14:textId="2EE89AB7">
      <w:pPr>
        <w:pStyle w:val="ParaNum"/>
        <w:widowControl/>
      </w:pPr>
      <w:r>
        <w:rPr>
          <w:b/>
          <w:bCs/>
        </w:rPr>
        <w:t xml:space="preserve">IT IS FURTHER ORDERED </w:t>
      </w:r>
      <w:r>
        <w:rPr>
          <w:bCs/>
        </w:rPr>
        <w:t xml:space="preserve">that </w:t>
      </w:r>
      <w:r>
        <w:rPr>
          <w:bCs/>
        </w:rPr>
        <w:t>Belthrough</w:t>
      </w:r>
      <w:r>
        <w:rPr>
          <w:bCs/>
        </w:rPr>
        <w:t xml:space="preserve"> is </w:t>
      </w:r>
      <w:r>
        <w:rPr>
          <w:b/>
        </w:rPr>
        <w:t>IMMEDIATELY REMOVED</w:t>
      </w:r>
      <w:r>
        <w:rPr>
          <w:bCs/>
        </w:rPr>
        <w:t xml:space="preserve"> from the Robocall Mitigation Database as of the release date of this </w:t>
      </w:r>
      <w:r w:rsidRPr="00AF71BD" w:rsidR="00140738">
        <w:t>Final Determination Order</w:t>
      </w:r>
      <w:r w:rsidR="00140738">
        <w:t xml:space="preserve"> and </w:t>
      </w:r>
      <w:r w:rsidR="00F14A94">
        <w:t xml:space="preserve">Removal </w:t>
      </w:r>
      <w:r>
        <w:rPr>
          <w:bCs/>
        </w:rPr>
        <w:t>Order.</w:t>
      </w:r>
      <w:r w:rsidR="00F671B2">
        <w:rPr>
          <w:bCs/>
        </w:rPr>
        <w:t xml:space="preserve">  </w:t>
      </w:r>
    </w:p>
    <w:p w:rsidR="00513C46" w:rsidRPr="008731B6" w:rsidP="006561A3" w14:paraId="6982398D" w14:textId="79EA1A24">
      <w:pPr>
        <w:pStyle w:val="ParaNum"/>
        <w:widowControl/>
      </w:pPr>
      <w:r>
        <w:rPr>
          <w:rFonts w:ascii="TimesNewRomanPS-BoldMT" w:hAnsi="TimesNewRomanPS-BoldMT" w:cs="TimesNewRomanPS-BoldMT"/>
          <w:b/>
          <w:bCs/>
          <w:kern w:val="0"/>
          <w:szCs w:val="22"/>
        </w:rPr>
        <w:t xml:space="preserve">IT IS FURTHER ORDERED </w:t>
      </w:r>
      <w:r>
        <w:rPr>
          <w:rFonts w:ascii="TimesNewRomanPSMT" w:hAnsi="TimesNewRomanPSMT" w:cs="TimesNewRomanPSMT"/>
          <w:kern w:val="0"/>
          <w:szCs w:val="22"/>
        </w:rPr>
        <w:t xml:space="preserve">that within </w:t>
      </w:r>
      <w:r>
        <w:rPr>
          <w:rFonts w:ascii="TimesNewRomanPS-BoldMT" w:hAnsi="TimesNewRomanPS-BoldMT" w:cs="TimesNewRomanPS-BoldMT"/>
          <w:b/>
          <w:bCs/>
          <w:kern w:val="0"/>
          <w:szCs w:val="22"/>
        </w:rPr>
        <w:t xml:space="preserve">two business days </w:t>
      </w:r>
      <w:r>
        <w:rPr>
          <w:rFonts w:ascii="TimesNewRomanPSMT" w:hAnsi="TimesNewRomanPSMT" w:cs="TimesNewRomanPSMT"/>
          <w:kern w:val="0"/>
          <w:szCs w:val="22"/>
        </w:rPr>
        <w:t>of the release of this Final Determination Order</w:t>
      </w:r>
      <w:r w:rsidR="00F32273">
        <w:rPr>
          <w:rFonts w:ascii="TimesNewRomanPSMT" w:hAnsi="TimesNewRomanPSMT" w:cs="TimesNewRomanPSMT"/>
          <w:kern w:val="0"/>
          <w:szCs w:val="22"/>
        </w:rPr>
        <w:t xml:space="preserve"> and </w:t>
      </w:r>
      <w:r w:rsidR="00F14A94">
        <w:rPr>
          <w:rFonts w:ascii="TimesNewRomanPSMT" w:hAnsi="TimesNewRomanPSMT" w:cs="TimesNewRomanPSMT"/>
          <w:kern w:val="0"/>
          <w:szCs w:val="22"/>
        </w:rPr>
        <w:t xml:space="preserve">Removal </w:t>
      </w:r>
      <w:r w:rsidR="00F32273">
        <w:rPr>
          <w:rFonts w:ascii="TimesNewRomanPSMT" w:hAnsi="TimesNewRomanPSMT" w:cs="TimesNewRomanPSMT"/>
          <w:kern w:val="0"/>
          <w:szCs w:val="22"/>
        </w:rPr>
        <w:t>Order</w:t>
      </w:r>
      <w:r>
        <w:rPr>
          <w:rFonts w:ascii="TimesNewRomanPSMT" w:hAnsi="TimesNewRomanPSMT" w:cs="TimesNewRomanPSMT"/>
          <w:kern w:val="0"/>
          <w:szCs w:val="22"/>
        </w:rPr>
        <w:t xml:space="preserve"> all intermediate providers and voice service providers </w:t>
      </w:r>
      <w:r>
        <w:rPr>
          <w:rFonts w:ascii="TimesNewRomanPS-BoldMT" w:hAnsi="TimesNewRomanPS-BoldMT" w:cs="TimesNewRomanPS-BoldMT"/>
          <w:b/>
          <w:bCs/>
          <w:kern w:val="0"/>
          <w:szCs w:val="22"/>
        </w:rPr>
        <w:t xml:space="preserve">MUST CEASE ACCEPTING TRAFFIC </w:t>
      </w:r>
      <w:r w:rsidRPr="001F27BB" w:rsidR="001F27BB">
        <w:rPr>
          <w:rFonts w:ascii="TimesNewRomanPS-BoldMT" w:hAnsi="TimesNewRomanPS-BoldMT" w:cs="TimesNewRomanPS-BoldMT"/>
          <w:kern w:val="0"/>
          <w:szCs w:val="22"/>
        </w:rPr>
        <w:t>directly from</w:t>
      </w:r>
      <w:r w:rsidRPr="001F27BB">
        <w:rPr>
          <w:rFonts w:ascii="TimesNewRomanPS-BoldMT" w:hAnsi="TimesNewRomanPS-BoldMT" w:cs="TimesNewRomanPS-BoldMT"/>
          <w:kern w:val="0"/>
          <w:szCs w:val="22"/>
        </w:rPr>
        <w:t xml:space="preserve"> </w:t>
      </w:r>
      <w:r w:rsidRPr="001F27BB">
        <w:rPr>
          <w:rFonts w:ascii="TimesNewRomanPS-BoldMT" w:hAnsi="TimesNewRomanPS-BoldMT" w:cs="TimesNewRomanPS-BoldMT"/>
          <w:kern w:val="0"/>
          <w:szCs w:val="22"/>
        </w:rPr>
        <w:t>Belthrough</w:t>
      </w:r>
      <w:r w:rsidRPr="00F14A94">
        <w:rPr>
          <w:rFonts w:ascii="TimesNewRomanPS-BoldMT" w:hAnsi="TimesNewRomanPS-BoldMT" w:cs="TimesNewRomanPS-BoldMT"/>
          <w:kern w:val="0"/>
          <w:szCs w:val="22"/>
        </w:rPr>
        <w:t>.</w:t>
      </w:r>
    </w:p>
    <w:p w:rsidR="008731B6" w:rsidRPr="008731B6" w:rsidP="006561A3" w14:paraId="39BCA232" w14:textId="0C4E3CD1">
      <w:pPr>
        <w:pStyle w:val="ParaNum"/>
        <w:widowControl/>
      </w:pPr>
      <w:r>
        <w:rPr>
          <w:b/>
          <w:bCs/>
        </w:rPr>
        <w:t>IT IS FURTHER ORDERED</w:t>
      </w:r>
      <w:r>
        <w:t xml:space="preserve"> that </w:t>
      </w:r>
      <w:r>
        <w:t>Belthrough</w:t>
      </w:r>
      <w:r>
        <w:t xml:space="preserve"> shall not refile in the Robocall Mitigation Database unless and until both the Wireline Competition Bureau and the Enforcement Bureau consent. </w:t>
      </w:r>
    </w:p>
    <w:p w:rsidR="00AF71BD" w:rsidRPr="0069050E" w:rsidP="006561A3" w14:paraId="6E36533D" w14:textId="54C0460F">
      <w:pPr>
        <w:pStyle w:val="ParaNum"/>
        <w:widowControl/>
      </w:pPr>
      <w:r>
        <w:rPr>
          <w:b/>
          <w:bCs/>
        </w:rPr>
        <w:t xml:space="preserve">IT IS FURTHER ORDERED </w:t>
      </w:r>
      <w:r>
        <w:t xml:space="preserve">that pursuant to section 1.102(b) of the Commission’s rules, 47 CFR § 1.102(b), this Final Determination Order and </w:t>
      </w:r>
      <w:r w:rsidR="00F14A94">
        <w:t xml:space="preserve">Removal </w:t>
      </w:r>
      <w:r>
        <w:t xml:space="preserve">Order </w:t>
      </w:r>
      <w:r>
        <w:rPr>
          <w:b/>
          <w:bCs/>
        </w:rPr>
        <w:t xml:space="preserve">SHALL BE EFFECTIVE </w:t>
      </w:r>
      <w:r>
        <w:t xml:space="preserve">upon release. </w:t>
      </w:r>
      <w:r>
        <w:rPr>
          <w:bCs/>
        </w:rPr>
        <w:t xml:space="preserve"> </w:t>
      </w:r>
    </w:p>
    <w:p w:rsidR="00E4677C" w:rsidRPr="0069050E" w:rsidP="006A2B40" w14:paraId="455CBC56" w14:textId="5888D312">
      <w:pPr>
        <w:pStyle w:val="ParaNum"/>
        <w:keepNext/>
        <w:keepLines/>
        <w:widowControl/>
      </w:pPr>
      <w:r w:rsidRPr="0069050E">
        <w:rPr>
          <w:b/>
          <w:bCs/>
        </w:rPr>
        <w:t>IT IS FURTHER ORDERED</w:t>
      </w:r>
      <w:r w:rsidRPr="0069050E">
        <w:t xml:space="preserve"> that copies of this </w:t>
      </w:r>
      <w:r w:rsidR="00AF71BD">
        <w:t>Final</w:t>
      </w:r>
      <w:r w:rsidRPr="0069050E" w:rsidR="00BF3954">
        <w:t xml:space="preserve"> Determination </w:t>
      </w:r>
      <w:r w:rsidRPr="0069050E">
        <w:t xml:space="preserve">Order </w:t>
      </w:r>
      <w:r w:rsidR="00561789">
        <w:t xml:space="preserve">and </w:t>
      </w:r>
      <w:r w:rsidR="00F14A94">
        <w:t xml:space="preserve">Removal </w:t>
      </w:r>
      <w:r w:rsidR="00561789">
        <w:t xml:space="preserve">Order </w:t>
      </w:r>
      <w:r w:rsidRPr="0069050E">
        <w:t xml:space="preserve">shall be </w:t>
      </w:r>
      <w:r w:rsidRPr="0069050E" w:rsidR="00A60FF4">
        <w:t>filed in EB Docket No. 22-17</w:t>
      </w:r>
      <w:r w:rsidRPr="0069050E" w:rsidR="00B42618">
        <w:t>4</w:t>
      </w:r>
      <w:r w:rsidRPr="0069050E" w:rsidR="00A60FF4">
        <w:t xml:space="preserve"> and </w:t>
      </w:r>
      <w:r w:rsidRPr="0069050E">
        <w:t>sent by</w:t>
      </w:r>
      <w:r w:rsidRPr="0069050E" w:rsidR="00F75776">
        <w:t xml:space="preserve"> email and</w:t>
      </w:r>
      <w:r w:rsidRPr="0069050E">
        <w:t xml:space="preserve"> </w:t>
      </w:r>
      <w:r w:rsidR="00D50C54">
        <w:t>certified</w:t>
      </w:r>
      <w:r w:rsidRPr="0069050E">
        <w:t xml:space="preserve"> mail, return receipt requested, to:  </w:t>
      </w:r>
      <w:r w:rsidR="003434F4">
        <w:t>Brisa Cruz</w:t>
      </w:r>
      <w:r w:rsidRPr="0069050E" w:rsidR="00A60FF4">
        <w:t xml:space="preserve">, </w:t>
      </w:r>
      <w:r w:rsidR="003E4581">
        <w:t>Belthrough</w:t>
      </w:r>
      <w:r w:rsidR="003E4581">
        <w:t xml:space="preserve"> LLC,</w:t>
      </w:r>
      <w:r w:rsidRPr="0069050E" w:rsidR="00A60FF4">
        <w:t xml:space="preserve"> </w:t>
      </w:r>
      <w:r w:rsidRPr="001E07F8" w:rsidR="001E07F8">
        <w:t>1942 Broadway, Ste 314C</w:t>
      </w:r>
      <w:r w:rsidR="005420FB">
        <w:t xml:space="preserve">, </w:t>
      </w:r>
      <w:r w:rsidRPr="001E07F8" w:rsidR="001E07F8">
        <w:t>Boulder, CO 80302</w:t>
      </w:r>
      <w:r w:rsidR="00D56371">
        <w:t xml:space="preserve">, and </w:t>
      </w:r>
      <w:hyperlink r:id="rId6" w:history="1">
        <w:r w:rsidRPr="001D779E" w:rsidR="00F54871">
          <w:rPr>
            <w:rStyle w:val="Hyperlink"/>
          </w:rPr>
          <w:t>brisa@belthrough.com</w:t>
        </w:r>
      </w:hyperlink>
      <w:r w:rsidRPr="0069050E" w:rsidR="00A60FF4">
        <w:t>.</w:t>
      </w:r>
    </w:p>
    <w:p w:rsidR="00E4677C" w:rsidRPr="0069050E" w:rsidP="006A2B40" w14:paraId="11B1FE4B" w14:textId="77777777">
      <w:pPr>
        <w:pStyle w:val="ParaNum"/>
        <w:keepNext/>
        <w:keepLines/>
        <w:widowControl/>
        <w:numPr>
          <w:ilvl w:val="0"/>
          <w:numId w:val="0"/>
        </w:numPr>
        <w:ind w:left="720"/>
      </w:pPr>
    </w:p>
    <w:p w:rsidR="00E4677C" w:rsidRPr="0069050E" w:rsidP="006A2B40" w14:paraId="74754EEC" w14:textId="77777777">
      <w:pPr>
        <w:pStyle w:val="ParaNum"/>
        <w:keepNext/>
        <w:keepLines/>
        <w:widowControl/>
        <w:numPr>
          <w:ilvl w:val="0"/>
          <w:numId w:val="0"/>
        </w:numPr>
        <w:spacing w:after="0"/>
        <w:ind w:left="4320"/>
      </w:pPr>
      <w:r w:rsidRPr="0069050E">
        <w:t>FEDERAL COMMUNICATIONS COMMISSION</w:t>
      </w:r>
    </w:p>
    <w:p w:rsidR="00E4677C" w:rsidRPr="0069050E" w:rsidP="006A2B40" w14:paraId="53619F1B" w14:textId="77777777">
      <w:pPr>
        <w:pStyle w:val="ParaNum"/>
        <w:keepNext/>
        <w:keepLines/>
        <w:widowControl/>
        <w:numPr>
          <w:ilvl w:val="0"/>
          <w:numId w:val="0"/>
        </w:numPr>
        <w:spacing w:after="0"/>
        <w:ind w:left="4320"/>
      </w:pPr>
    </w:p>
    <w:p w:rsidR="0005502A" w:rsidRPr="0069050E" w:rsidP="006A2B40" w14:paraId="1EFEE694" w14:textId="77777777">
      <w:pPr>
        <w:pStyle w:val="ParaNum"/>
        <w:keepNext/>
        <w:widowControl/>
        <w:numPr>
          <w:ilvl w:val="0"/>
          <w:numId w:val="0"/>
        </w:numPr>
        <w:spacing w:after="0"/>
      </w:pPr>
    </w:p>
    <w:p w:rsidR="00E4677C" w:rsidRPr="0069050E" w:rsidP="006A2B40" w14:paraId="33E090CF" w14:textId="77777777">
      <w:pPr>
        <w:pStyle w:val="ParaNum"/>
        <w:keepNext/>
        <w:widowControl/>
        <w:numPr>
          <w:ilvl w:val="0"/>
          <w:numId w:val="0"/>
        </w:numPr>
        <w:spacing w:after="0"/>
        <w:ind w:left="4320"/>
      </w:pPr>
    </w:p>
    <w:p w:rsidR="00E4677C" w:rsidRPr="0069050E" w:rsidP="006A2B40" w14:paraId="49203542" w14:textId="57058648">
      <w:pPr>
        <w:pStyle w:val="ParaNum"/>
        <w:keepNext/>
        <w:widowControl/>
        <w:numPr>
          <w:ilvl w:val="0"/>
          <w:numId w:val="0"/>
        </w:numPr>
        <w:spacing w:after="0"/>
        <w:ind w:left="4320"/>
      </w:pPr>
      <w:r>
        <w:t>Patrick Webre</w:t>
      </w:r>
    </w:p>
    <w:p w:rsidR="00E4677C" w:rsidRPr="0069050E" w:rsidP="006A2B40" w14:paraId="73A7F991" w14:textId="2141B090">
      <w:pPr>
        <w:pStyle w:val="ParaNum"/>
        <w:keepNext/>
        <w:widowControl/>
        <w:numPr>
          <w:ilvl w:val="0"/>
          <w:numId w:val="0"/>
        </w:numPr>
        <w:ind w:left="4320"/>
        <w:contextualSpacing/>
      </w:pPr>
      <w:r w:rsidRPr="0069050E">
        <w:t>Chief</w:t>
      </w:r>
    </w:p>
    <w:p w:rsidR="00412FC5" w:rsidRPr="00EA70B7" w:rsidP="006A2B40" w14:paraId="0E1E32A7" w14:textId="77777777">
      <w:pPr>
        <w:pStyle w:val="ParaNum"/>
        <w:keepNext/>
        <w:widowControl/>
        <w:numPr>
          <w:ilvl w:val="0"/>
          <w:numId w:val="0"/>
        </w:numPr>
        <w:ind w:left="4320"/>
        <w:contextualSpacing/>
      </w:pPr>
      <w:r w:rsidRPr="0069050E">
        <w:t>Enforcement Bureau</w:t>
      </w:r>
    </w:p>
    <w:sectPr w:rsidSect="0055614C">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12F65" w14:paraId="65B6FB27" w14:textId="77777777">
      <w:r>
        <w:separator/>
      </w:r>
    </w:p>
  </w:endnote>
  <w:endnote w:type="continuationSeparator" w:id="1">
    <w:p w:rsidR="00912F65" w14:paraId="70DED4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3A2103E0"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1F9E6E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05502A" w14:paraId="6603F440" w14:textId="77777777">
    <w:pPr>
      <w:pStyle w:val="Footer"/>
      <w:jc w:val="center"/>
    </w:pPr>
    <w:r>
      <w:fldChar w:fldCharType="begin"/>
    </w:r>
    <w:r>
      <w:instrText xml:space="preserve"> PAGE   \* MERGEFORMAT </w:instrText>
    </w:r>
    <w:r>
      <w:fldChar w:fldCharType="separate"/>
    </w:r>
    <w:r w:rsidR="007770D8">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28090661"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2F65" w14:paraId="7934524B" w14:textId="77777777">
      <w:r>
        <w:separator/>
      </w:r>
    </w:p>
  </w:footnote>
  <w:footnote w:type="continuationSeparator" w:id="1">
    <w:p w:rsidR="00912F65" w:rsidP="00C721AC" w14:paraId="01821C05" w14:textId="77777777">
      <w:pPr>
        <w:spacing w:before="120"/>
        <w:rPr>
          <w:sz w:val="20"/>
        </w:rPr>
      </w:pPr>
      <w:r>
        <w:rPr>
          <w:sz w:val="20"/>
        </w:rPr>
        <w:t xml:space="preserve">(Continued from previous page)  </w:t>
      </w:r>
      <w:r>
        <w:rPr>
          <w:sz w:val="20"/>
        </w:rPr>
        <w:separator/>
      </w:r>
    </w:p>
  </w:footnote>
  <w:footnote w:type="continuationNotice" w:id="2">
    <w:p w:rsidR="00912F65" w:rsidP="00C721AC" w14:paraId="0D2C1117" w14:textId="77777777">
      <w:pPr>
        <w:jc w:val="right"/>
        <w:rPr>
          <w:sz w:val="20"/>
        </w:rPr>
      </w:pPr>
      <w:r>
        <w:rPr>
          <w:sz w:val="20"/>
        </w:rPr>
        <w:t>(</w:t>
      </w:r>
      <w:r>
        <w:rPr>
          <w:sz w:val="20"/>
        </w:rPr>
        <w:t>continued</w:t>
      </w:r>
      <w:r>
        <w:rPr>
          <w:sz w:val="20"/>
        </w:rPr>
        <w:t>….)</w:t>
      </w:r>
    </w:p>
  </w:footnote>
  <w:footnote w:id="3">
    <w:p w:rsidR="00A96F98" w:rsidRPr="00927730" w14:paraId="518E75A8" w14:textId="4E9A3C34">
      <w:pPr>
        <w:pStyle w:val="FootnoteText"/>
      </w:pPr>
      <w:r w:rsidRPr="00927730">
        <w:rPr>
          <w:rStyle w:val="FootnoteReference"/>
        </w:rPr>
        <w:footnoteRef/>
      </w:r>
      <w:r w:rsidRPr="00927730">
        <w:t xml:space="preserve"> </w:t>
      </w:r>
      <w:r w:rsidRPr="00927730">
        <w:rPr>
          <w:i/>
          <w:iCs/>
        </w:rPr>
        <w:t xml:space="preserve">See </w:t>
      </w:r>
      <w:r w:rsidRPr="00927730">
        <w:t xml:space="preserve">47 CFR § 64.1200(n)(2). </w:t>
      </w:r>
    </w:p>
  </w:footnote>
  <w:footnote w:id="4">
    <w:p w:rsidR="003012F2" w:rsidRPr="00927730" w14:paraId="0F2F9ACF" w14:textId="40642612">
      <w:pPr>
        <w:pStyle w:val="FootnoteText"/>
      </w:pPr>
      <w:r w:rsidRPr="00927730">
        <w:rPr>
          <w:rStyle w:val="FootnoteReference"/>
        </w:rPr>
        <w:footnoteRef/>
      </w:r>
      <w:r w:rsidRPr="00927730">
        <w:t xml:space="preserve"> </w:t>
      </w:r>
      <w:r w:rsidRPr="00927730" w:rsidR="0000644E">
        <w:rPr>
          <w:i/>
          <w:iCs/>
        </w:rPr>
        <w:t>Id.</w:t>
      </w:r>
      <w:r w:rsidRPr="00927730" w:rsidR="00A96F98">
        <w:rPr>
          <w:i/>
          <w:iCs/>
        </w:rPr>
        <w:t xml:space="preserve"> </w:t>
      </w:r>
      <w:r w:rsidRPr="00927730">
        <w:t xml:space="preserve">§ 64.1200(n)(3).  </w:t>
      </w:r>
    </w:p>
  </w:footnote>
  <w:footnote w:id="5">
    <w:p w:rsidR="00752105" w:rsidRPr="00927730" w14:paraId="1E1EAC6A" w14:textId="2FADF9CA">
      <w:pPr>
        <w:pStyle w:val="FootnoteText"/>
      </w:pPr>
      <w:r w:rsidRPr="00927730">
        <w:rPr>
          <w:rStyle w:val="FootnoteReference"/>
        </w:rPr>
        <w:footnoteRef/>
      </w:r>
      <w:r w:rsidRPr="00927730">
        <w:t xml:space="preserve"> </w:t>
      </w:r>
      <w:r w:rsidRPr="00927730" w:rsidR="0000644E">
        <w:rPr>
          <w:i/>
          <w:iCs/>
        </w:rPr>
        <w:t>Id.</w:t>
      </w:r>
      <w:r w:rsidRPr="00F052D5" w:rsidR="00D61BF8">
        <w:t>;</w:t>
      </w:r>
      <w:r w:rsidRPr="00927730" w:rsidR="00AB3122">
        <w:t xml:space="preserve"> </w:t>
      </w:r>
      <w:r w:rsidR="003B7844">
        <w:rPr>
          <w:i/>
          <w:iCs/>
        </w:rPr>
        <w:t>s</w:t>
      </w:r>
      <w:r w:rsidRPr="00927730" w:rsidR="00AB3122">
        <w:rPr>
          <w:i/>
          <w:iCs/>
        </w:rPr>
        <w:t xml:space="preserve">ee </w:t>
      </w:r>
      <w:r w:rsidR="00D61BF8">
        <w:rPr>
          <w:i/>
          <w:iCs/>
        </w:rPr>
        <w:t>id.</w:t>
      </w:r>
      <w:r w:rsidRPr="00927730" w:rsidR="00AB3122">
        <w:t xml:space="preserve"> §</w:t>
      </w:r>
      <w:r w:rsidR="00D61BF8">
        <w:t xml:space="preserve"> </w:t>
      </w:r>
      <w:r w:rsidRPr="00927730" w:rsidR="00AB3122">
        <w:t xml:space="preserve">64.1200(k)(4).   </w:t>
      </w:r>
    </w:p>
  </w:footnote>
  <w:footnote w:id="6">
    <w:p w:rsidR="000F5666" w:rsidRPr="00927730" w14:paraId="6E26C04B" w14:textId="7318CD82">
      <w:pPr>
        <w:pStyle w:val="FootnoteText"/>
      </w:pPr>
      <w:r w:rsidRPr="00927730">
        <w:rPr>
          <w:rStyle w:val="FootnoteReference"/>
        </w:rPr>
        <w:footnoteRef/>
      </w:r>
      <w:r w:rsidRPr="00927730">
        <w:t xml:space="preserve"> </w:t>
      </w:r>
      <w:r w:rsidRPr="00927730">
        <w:rPr>
          <w:i/>
          <w:iCs/>
        </w:rPr>
        <w:t xml:space="preserve">See </w:t>
      </w:r>
      <w:r w:rsidRPr="00927730">
        <w:t xml:space="preserve">47 CFR § 64.6305(g). </w:t>
      </w:r>
    </w:p>
  </w:footnote>
  <w:footnote w:id="7">
    <w:p w:rsidR="008731B6" w:rsidRPr="00927730" w:rsidP="008731B6" w14:paraId="3AFCF025" w14:textId="77777777">
      <w:pPr>
        <w:pStyle w:val="FootnoteText"/>
      </w:pPr>
      <w:r w:rsidRPr="00927730">
        <w:rPr>
          <w:rStyle w:val="FootnoteReference"/>
        </w:rPr>
        <w:footnoteRef/>
      </w:r>
      <w:r w:rsidRPr="00927730">
        <w:t xml:space="preserve"> Letter from Patrick Webre, Acting Chief, FCC Enforcement Bureau, to Brisa Cruz, </w:t>
      </w:r>
      <w:r w:rsidRPr="00927730">
        <w:t>Belthrough</w:t>
      </w:r>
      <w:r w:rsidRPr="00927730">
        <w:t xml:space="preserve">, LLC, 2025 WL 2622184 (Sept. 10, 2025), </w:t>
      </w:r>
      <w:hyperlink r:id="rId1" w:history="1">
        <w:r w:rsidRPr="00927730">
          <w:rPr>
            <w:rStyle w:val="Hyperlink"/>
          </w:rPr>
          <w:t>https://docs.fcc.gov/public/attachments/DOC-414391A1.pdf</w:t>
        </w:r>
      </w:hyperlink>
      <w:r w:rsidRPr="00927730">
        <w:t xml:space="preserve"> (Notice).  </w:t>
      </w:r>
    </w:p>
  </w:footnote>
  <w:footnote w:id="8">
    <w:p w:rsidR="008731B6" w:rsidRPr="00927730" w:rsidP="008731B6" w14:paraId="14957C1C" w14:textId="61680101">
      <w:pPr>
        <w:pStyle w:val="FootnoteText"/>
      </w:pPr>
      <w:r w:rsidRPr="00927730">
        <w:rPr>
          <w:rStyle w:val="FootnoteReference"/>
        </w:rPr>
        <w:footnoteRef/>
      </w:r>
      <w:r w:rsidRPr="00927730">
        <w:t xml:space="preserve"> </w:t>
      </w:r>
      <w:r w:rsidRPr="00927730">
        <w:rPr>
          <w:i/>
          <w:iCs/>
        </w:rPr>
        <w:t>Belthrough</w:t>
      </w:r>
      <w:r w:rsidRPr="00927730">
        <w:rPr>
          <w:i/>
          <w:iCs/>
        </w:rPr>
        <w:t xml:space="preserve"> LLC</w:t>
      </w:r>
      <w:r w:rsidRPr="00927730">
        <w:t>, EB Docket No. 22-174, Initial Determination Order and Order to Show Cause, DA 26-172 (EB Feb. 19, 2026) (</w:t>
      </w:r>
      <w:r w:rsidRPr="00F14A94">
        <w:t>Initial Determination Order</w:t>
      </w:r>
      <w:r w:rsidRPr="00927730">
        <w:t xml:space="preserve">). </w:t>
      </w:r>
    </w:p>
  </w:footnote>
  <w:footnote w:id="9">
    <w:p w:rsidR="004C7E27" w14:paraId="7770CFE3" w14:textId="1BEE6647">
      <w:pPr>
        <w:pStyle w:val="FootnoteText"/>
      </w:pPr>
      <w:r>
        <w:rPr>
          <w:rStyle w:val="FootnoteReference"/>
        </w:rPr>
        <w:footnoteRef/>
      </w:r>
      <w:r>
        <w:t xml:space="preserve"> </w:t>
      </w:r>
      <w:r w:rsidR="00B637BB">
        <w:t xml:space="preserve">For purposes of this section, the term </w:t>
      </w:r>
      <w:r w:rsidR="007F2EEA">
        <w:t xml:space="preserve">“voice service provider” </w:t>
      </w:r>
      <w:r w:rsidR="006758DC">
        <w:t xml:space="preserve">refers to that term as used in section 64.1200 of the Commission’s rules, which </w:t>
      </w:r>
      <w:r w:rsidR="00920111">
        <w:t xml:space="preserve">is based on the definition of “voice service” </w:t>
      </w:r>
      <w:r w:rsidR="007F2EEA">
        <w:t>in</w:t>
      </w:r>
      <w:r w:rsidR="00054E4D">
        <w:t xml:space="preserve"> 47 CFR § 64.1600(</w:t>
      </w:r>
      <w:r w:rsidR="00A72483">
        <w:t>r) and in</w:t>
      </w:r>
      <w:r w:rsidR="007F2EEA">
        <w:t xml:space="preserve">cludes </w:t>
      </w:r>
      <w:r w:rsidR="00FB7302">
        <w:t>intermediate p</w:t>
      </w:r>
      <w:r w:rsidR="00920111">
        <w:t xml:space="preserve">roviders.  </w:t>
      </w:r>
    </w:p>
  </w:footnote>
  <w:footnote w:id="10">
    <w:p w:rsidR="00AD1921" w:rsidRPr="00927730" w14:paraId="7283744B" w14:textId="569D2439">
      <w:pPr>
        <w:pStyle w:val="FootnoteText"/>
        <w:rPr>
          <w:highlight w:val="lightGray"/>
        </w:rPr>
      </w:pPr>
      <w:r w:rsidRPr="00927730">
        <w:rPr>
          <w:rStyle w:val="FootnoteReference"/>
        </w:rPr>
        <w:footnoteRef/>
      </w:r>
      <w:r w:rsidRPr="00927730">
        <w:t xml:space="preserve"> </w:t>
      </w:r>
      <w:r w:rsidRPr="00927730" w:rsidR="005008B8">
        <w:t xml:space="preserve">FCC, </w:t>
      </w:r>
      <w:r w:rsidRPr="00927730" w:rsidR="005008B8">
        <w:rPr>
          <w:i/>
          <w:iCs/>
        </w:rPr>
        <w:t>Stop Unwanted Robocalls and Texts</w:t>
      </w:r>
      <w:r w:rsidRPr="00927730" w:rsidR="005008B8">
        <w:t xml:space="preserve">, </w:t>
      </w:r>
      <w:hyperlink r:id="rId2" w:history="1">
        <w:r w:rsidRPr="00927730" w:rsidR="00434489">
          <w:rPr>
            <w:rStyle w:val="Hyperlink"/>
          </w:rPr>
          <w:t>https://www.fcc.gov/consumers/guides/stop-unwanted-robocalls-and-texts</w:t>
        </w:r>
      </w:hyperlink>
      <w:r w:rsidRPr="00927730" w:rsidR="00434489">
        <w:t xml:space="preserve"> </w:t>
      </w:r>
      <w:r w:rsidRPr="00927730" w:rsidR="005008B8">
        <w:t xml:space="preserve">(last visited </w:t>
      </w:r>
      <w:r w:rsidRPr="00927730" w:rsidR="001A165C">
        <w:t>Feb</w:t>
      </w:r>
      <w:r w:rsidRPr="00927730" w:rsidR="00F013BB">
        <w:t xml:space="preserve">. </w:t>
      </w:r>
      <w:r w:rsidRPr="00927730" w:rsidR="004D581B">
        <w:t>2</w:t>
      </w:r>
      <w:r w:rsidRPr="00927730" w:rsidR="001A165C">
        <w:t>6</w:t>
      </w:r>
      <w:r w:rsidRPr="00927730" w:rsidR="005008B8">
        <w:t>, 202</w:t>
      </w:r>
      <w:r w:rsidRPr="00927730" w:rsidR="001A165C">
        <w:t>6</w:t>
      </w:r>
      <w:r w:rsidRPr="00927730" w:rsidR="005008B8">
        <w:t>) (</w:t>
      </w:r>
      <w:r w:rsidRPr="00927730" w:rsidR="001A165C">
        <w:t xml:space="preserve">explaining that </w:t>
      </w:r>
      <w:r w:rsidRPr="00927730" w:rsidR="00F31C9B">
        <w:t xml:space="preserve">“Unwanted calls – including illegal and spoofed robocalls </w:t>
      </w:r>
      <w:r w:rsidRPr="00927730" w:rsidR="00F013BB">
        <w:t xml:space="preserve">– </w:t>
      </w:r>
      <w:r w:rsidRPr="00927730" w:rsidR="00F31C9B">
        <w:t>are the FCC</w:t>
      </w:r>
      <w:r w:rsidRPr="00927730" w:rsidR="00EE61D9">
        <w:t>’</w:t>
      </w:r>
      <w:r w:rsidRPr="00927730" w:rsidR="00F31C9B">
        <w:t>s top consumer complaint and our top consumer protection priority</w:t>
      </w:r>
      <w:r w:rsidRPr="00927730">
        <w:t>.</w:t>
      </w:r>
      <w:r w:rsidRPr="00927730" w:rsidR="00F31C9B">
        <w:t>”</w:t>
      </w:r>
      <w:r w:rsidRPr="00927730" w:rsidR="005008B8">
        <w:t>)</w:t>
      </w:r>
      <w:r w:rsidRPr="00927730">
        <w:t>.</w:t>
      </w:r>
    </w:p>
  </w:footnote>
  <w:footnote w:id="11">
    <w:p w:rsidR="001A165C" w:rsidRPr="00927730" w:rsidP="001A165C" w14:paraId="23AF14D1" w14:textId="77777777">
      <w:pPr>
        <w:pStyle w:val="FootnoteText"/>
      </w:pPr>
      <w:r w:rsidRPr="00927730">
        <w:rPr>
          <w:rStyle w:val="FootnoteReference"/>
        </w:rPr>
        <w:footnoteRef/>
      </w:r>
      <w:r w:rsidRPr="00927730">
        <w:t xml:space="preserve"> </w:t>
      </w:r>
      <w:r w:rsidRPr="00927730">
        <w:rPr>
          <w:i/>
          <w:iCs/>
        </w:rPr>
        <w:t>Advanced Methods to Target and Eliminate Unlawful Robocalls</w:t>
      </w:r>
      <w:r w:rsidRPr="00927730">
        <w:t>, CG Docket No, 17-59, WC Docket No. 17-97, Seventh Report and Order in CG Docket 17-59 and WC Docket 17-97, Eighth Further Notice of Proposed Rulemaking in CG Docket 17-59, and Third Notice of Inquiry in CG Docket 17-59, 38 FCC Rcd 5404, 5410, para. 15 (2023) (</w:t>
      </w:r>
      <w:r w:rsidRPr="00927730">
        <w:rPr>
          <w:i/>
          <w:iCs/>
        </w:rPr>
        <w:t>Seventh Call Blocking Order</w:t>
      </w:r>
      <w:r w:rsidRPr="00927730">
        <w:t>).</w:t>
      </w:r>
    </w:p>
  </w:footnote>
  <w:footnote w:id="12">
    <w:p w:rsidR="001A165C" w:rsidRPr="00927730" w14:paraId="7958F9E4" w14:textId="6B07E5C2">
      <w:pPr>
        <w:pStyle w:val="FootnoteText"/>
      </w:pPr>
      <w:r w:rsidRPr="00927730">
        <w:rPr>
          <w:rStyle w:val="FootnoteReference"/>
        </w:rPr>
        <w:footnoteRef/>
      </w:r>
      <w:r w:rsidRPr="00927730">
        <w:t xml:space="preserve"> </w:t>
      </w:r>
      <w:r w:rsidRPr="00927730">
        <w:rPr>
          <w:i/>
          <w:iCs/>
        </w:rPr>
        <w:t xml:space="preserve">Id. </w:t>
      </w:r>
    </w:p>
  </w:footnote>
  <w:footnote w:id="13">
    <w:p w:rsidR="001C6506" w:rsidRPr="00927730" w14:paraId="1D55DAC5" w14:textId="07964295">
      <w:pPr>
        <w:pStyle w:val="FootnoteText"/>
      </w:pPr>
      <w:r w:rsidRPr="00927730">
        <w:rPr>
          <w:rStyle w:val="FootnoteReference"/>
        </w:rPr>
        <w:footnoteRef/>
      </w:r>
      <w:r w:rsidRPr="00927730">
        <w:t xml:space="preserve"> </w:t>
      </w:r>
      <w:r w:rsidRPr="00927730">
        <w:rPr>
          <w:i/>
          <w:iCs/>
        </w:rPr>
        <w:t>Id.</w:t>
      </w:r>
      <w:r w:rsidRPr="00927730">
        <w:t xml:space="preserve"> at </w:t>
      </w:r>
      <w:r w:rsidRPr="00927730" w:rsidR="00A40C23">
        <w:t>541</w:t>
      </w:r>
      <w:r w:rsidR="00E11A82">
        <w:t>5</w:t>
      </w:r>
      <w:r w:rsidRPr="00927730" w:rsidR="00A40C23">
        <w:t xml:space="preserve">, </w:t>
      </w:r>
      <w:r w:rsidRPr="00927730">
        <w:t xml:space="preserve">para. </w:t>
      </w:r>
      <w:r w:rsidR="00E11A82">
        <w:t>29</w:t>
      </w:r>
      <w:r w:rsidRPr="00927730">
        <w:t>.</w:t>
      </w:r>
    </w:p>
  </w:footnote>
  <w:footnote w:id="14">
    <w:p w:rsidR="003069E2" w:rsidRPr="00927730" w:rsidP="003069E2" w14:paraId="4E81735D" w14:textId="5D806E8B">
      <w:pPr>
        <w:pStyle w:val="FootnoteText"/>
        <w:rPr>
          <w:highlight w:val="lightGray"/>
        </w:rPr>
      </w:pPr>
      <w:r w:rsidRPr="00927730">
        <w:rPr>
          <w:rStyle w:val="FootnoteReference"/>
        </w:rPr>
        <w:footnoteRef/>
      </w:r>
      <w:r w:rsidRPr="00927730">
        <w:t xml:space="preserve"> </w:t>
      </w:r>
      <w:r w:rsidRPr="00927730">
        <w:rPr>
          <w:i/>
          <w:iCs/>
        </w:rPr>
        <w:t>Advanced Methods to Target and Eliminate Unlawful Robocalls, Call Authentication Trust Anchor</w:t>
      </w:r>
      <w:r w:rsidRPr="00927730">
        <w:t xml:space="preserve">, CG Docket No. 17-59, WC Docket No. 17-97, Sixth Report and Order in CG Docket No. 17-59, Fifth Report and Order in WC Docket No. 17-97, Order on Reconsideration in WC Docket No. 17-97, Order, Seventh Further Notice of Proposed Rulemaking in CG Docket No. 17-59, and Fifth Further Notice of Proposed Rulemaking in WC Docket No. 17-97, </w:t>
      </w:r>
      <w:r w:rsidRPr="00927730">
        <w:rPr>
          <w:rStyle w:val="cf01"/>
          <w:rFonts w:ascii="Times New Roman" w:hAnsi="Times New Roman" w:cs="Times New Roman"/>
          <w:sz w:val="20"/>
          <w:szCs w:val="20"/>
        </w:rPr>
        <w:t>37 FCC Rcd 6865, 68</w:t>
      </w:r>
      <w:r w:rsidRPr="00927730" w:rsidR="000B33E1">
        <w:rPr>
          <w:rStyle w:val="cf01"/>
          <w:rFonts w:ascii="Times New Roman" w:hAnsi="Times New Roman" w:cs="Times New Roman"/>
          <w:sz w:val="20"/>
          <w:szCs w:val="20"/>
        </w:rPr>
        <w:t>98</w:t>
      </w:r>
      <w:r w:rsidRPr="00927730">
        <w:rPr>
          <w:rStyle w:val="cf01"/>
          <w:rFonts w:ascii="Times New Roman" w:hAnsi="Times New Roman" w:cs="Times New Roman"/>
          <w:sz w:val="20"/>
          <w:szCs w:val="20"/>
        </w:rPr>
        <w:t xml:space="preserve">, </w:t>
      </w:r>
      <w:r w:rsidRPr="00927730">
        <w:t xml:space="preserve">para. </w:t>
      </w:r>
      <w:r w:rsidRPr="00927730" w:rsidR="000B33E1">
        <w:t>75</w:t>
      </w:r>
      <w:r w:rsidRPr="00927730">
        <w:t xml:space="preserve"> </w:t>
      </w:r>
      <w:r w:rsidRPr="00927730" w:rsidR="004C36CB">
        <w:t xml:space="preserve">(2022) </w:t>
      </w:r>
      <w:r w:rsidRPr="00927730">
        <w:t>(</w:t>
      </w:r>
      <w:r w:rsidRPr="00927730">
        <w:rPr>
          <w:i/>
          <w:iCs/>
        </w:rPr>
        <w:t>Gateway Provider Order</w:t>
      </w:r>
      <w:r w:rsidRPr="00927730" w:rsidR="009D5C69">
        <w:t>)</w:t>
      </w:r>
      <w:r w:rsidRPr="00927730" w:rsidR="00A20A15">
        <w:t xml:space="preserve">; </w:t>
      </w:r>
      <w:r w:rsidRPr="00927730" w:rsidR="00A20A15">
        <w:rPr>
          <w:i/>
          <w:iCs/>
        </w:rPr>
        <w:t>s</w:t>
      </w:r>
      <w:r w:rsidRPr="00927730" w:rsidR="003E14E9">
        <w:rPr>
          <w:i/>
          <w:iCs/>
        </w:rPr>
        <w:t xml:space="preserve">ee </w:t>
      </w:r>
      <w:r w:rsidRPr="00927730" w:rsidR="009415F1">
        <w:t>47 CFR § 64.1200(k)</w:t>
      </w:r>
      <w:r w:rsidRPr="00927730" w:rsidR="0015570D">
        <w:t>(1)-(3)</w:t>
      </w:r>
      <w:r w:rsidRPr="00927730" w:rsidR="00FD61A8">
        <w:t xml:space="preserve"> (listing permissive blocking scenarios such as </w:t>
      </w:r>
      <w:r w:rsidRPr="00927730" w:rsidR="00FD179F">
        <w:t>Do-Not-Originate lists, invalid</w:t>
      </w:r>
      <w:r w:rsidRPr="00927730" w:rsidR="00113B69">
        <w:t xml:space="preserve"> and unallocated </w:t>
      </w:r>
      <w:r w:rsidRPr="00927730" w:rsidR="00FD179F">
        <w:t xml:space="preserve">numbers, </w:t>
      </w:r>
      <w:r w:rsidRPr="00927730" w:rsidR="00223773">
        <w:t xml:space="preserve">and </w:t>
      </w:r>
      <w:r w:rsidRPr="00927730" w:rsidR="00FD179F">
        <w:t>reasonable analytics</w:t>
      </w:r>
      <w:r w:rsidRPr="00927730" w:rsidR="0015570D">
        <w:t>).</w:t>
      </w:r>
    </w:p>
  </w:footnote>
  <w:footnote w:id="15">
    <w:p w:rsidR="0050384A" w:rsidRPr="00B312E3" w14:paraId="3D94241B" w14:textId="37A2D452">
      <w:pPr>
        <w:pStyle w:val="FootnoteText"/>
      </w:pPr>
      <w:r w:rsidRPr="00927730">
        <w:rPr>
          <w:rStyle w:val="FootnoteReference"/>
        </w:rPr>
        <w:footnoteRef/>
      </w:r>
      <w:r w:rsidRPr="00927730">
        <w:t xml:space="preserve"> </w:t>
      </w:r>
      <w:r w:rsidRPr="00927730" w:rsidR="000311B4">
        <w:rPr>
          <w:i/>
          <w:iCs/>
        </w:rPr>
        <w:t>Seventh</w:t>
      </w:r>
      <w:r w:rsidRPr="00927730">
        <w:rPr>
          <w:i/>
          <w:iCs/>
        </w:rPr>
        <w:t xml:space="preserve"> Call Blocking Order</w:t>
      </w:r>
      <w:r w:rsidRPr="00927730">
        <w:t xml:space="preserve">, </w:t>
      </w:r>
      <w:r w:rsidRPr="00927730" w:rsidR="00C26725">
        <w:t xml:space="preserve">37 FCC Rcd at 5415, para. </w:t>
      </w:r>
      <w:r w:rsidRPr="00B312E3" w:rsidR="0046630B">
        <w:t>29</w:t>
      </w:r>
      <w:r w:rsidRPr="00B312E3" w:rsidR="007E2354">
        <w:t xml:space="preserve"> (</w:t>
      </w:r>
      <w:r w:rsidRPr="00B312E3" w:rsidR="00414359">
        <w:t xml:space="preserve">requirements </w:t>
      </w:r>
      <w:r w:rsidRPr="00B312E3" w:rsidR="007E2354">
        <w:t xml:space="preserve">codified </w:t>
      </w:r>
      <w:r w:rsidRPr="00B312E3" w:rsidR="00414359">
        <w:t xml:space="preserve">at 47 CFR </w:t>
      </w:r>
      <w:r w:rsidRPr="00B312E3" w:rsidR="00414359">
        <w:t>§  64.1200</w:t>
      </w:r>
      <w:r w:rsidRPr="00B312E3" w:rsidR="00414359">
        <w:t>(n)(</w:t>
      </w:r>
      <w:r w:rsidRPr="00B312E3" w:rsidR="00F34E78">
        <w:t>2</w:t>
      </w:r>
      <w:r w:rsidRPr="00B312E3" w:rsidR="00414359">
        <w:t>)-(3))</w:t>
      </w:r>
      <w:r w:rsidRPr="00B312E3" w:rsidR="0046630B">
        <w:t>.</w:t>
      </w:r>
    </w:p>
  </w:footnote>
  <w:footnote w:id="16">
    <w:p w:rsidR="00237C40" w:rsidRPr="00FA10A3" w:rsidP="00237C40" w14:paraId="65DD6265" w14:textId="77777777">
      <w:pPr>
        <w:pStyle w:val="FootnoteText"/>
        <w:rPr>
          <w:lang w:val="pt-BR"/>
        </w:rPr>
      </w:pPr>
      <w:r>
        <w:rPr>
          <w:rStyle w:val="FootnoteReference"/>
        </w:rPr>
        <w:footnoteRef/>
      </w:r>
      <w:r w:rsidRPr="00FA10A3">
        <w:rPr>
          <w:lang w:val="pt-BR"/>
        </w:rPr>
        <w:t xml:space="preserve"> </w:t>
      </w:r>
      <w:r w:rsidRPr="00FA10A3">
        <w:rPr>
          <w:lang w:val="pt-BR"/>
        </w:rPr>
        <w:t>47 CFR § 64.1200(n)(2)-(3).</w:t>
      </w:r>
    </w:p>
  </w:footnote>
  <w:footnote w:id="17">
    <w:p w:rsidR="005D3997" w:rsidRPr="00927730" w:rsidP="005D3997" w14:paraId="286692B4" w14:textId="2A84FA7D">
      <w:pPr>
        <w:pStyle w:val="FootnoteText"/>
        <w:rPr>
          <w:i/>
          <w:iCs/>
          <w:highlight w:val="lightGray"/>
          <w:lang w:val="pt-BR"/>
        </w:rPr>
      </w:pPr>
      <w:r w:rsidRPr="00927730">
        <w:rPr>
          <w:rStyle w:val="FootnoteReference"/>
        </w:rPr>
        <w:footnoteRef/>
      </w:r>
      <w:r w:rsidRPr="00927730">
        <w:rPr>
          <w:lang w:val="pt-BR"/>
        </w:rPr>
        <w:t xml:space="preserve"> </w:t>
      </w:r>
      <w:r w:rsidRPr="004A6D64" w:rsidR="00351409">
        <w:rPr>
          <w:i/>
          <w:iCs/>
          <w:lang w:val="pt-BR"/>
        </w:rPr>
        <w:t>Id</w:t>
      </w:r>
      <w:r w:rsidR="004A6D64">
        <w:rPr>
          <w:lang w:val="pt-BR"/>
        </w:rPr>
        <w:t>.</w:t>
      </w:r>
      <w:r w:rsidRPr="00927730">
        <w:rPr>
          <w:lang w:val="pt-BR"/>
        </w:rPr>
        <w:t xml:space="preserve"> § 64.1200(n)(</w:t>
      </w:r>
      <w:r w:rsidRPr="00927730" w:rsidR="00D30BDE">
        <w:rPr>
          <w:lang w:val="pt-BR"/>
        </w:rPr>
        <w:t>2</w:t>
      </w:r>
      <w:r w:rsidRPr="00927730">
        <w:rPr>
          <w:lang w:val="pt-BR"/>
        </w:rPr>
        <w:t>)(i)(A)</w:t>
      </w:r>
      <w:r w:rsidRPr="00927730" w:rsidR="00AF0A2E">
        <w:rPr>
          <w:lang w:val="pt-BR"/>
        </w:rPr>
        <w:t>.</w:t>
      </w:r>
    </w:p>
  </w:footnote>
  <w:footnote w:id="18">
    <w:p w:rsidR="00533360" w:rsidRPr="00927730" w14:paraId="1EA172BB" w14:textId="3EDF3935">
      <w:pPr>
        <w:pStyle w:val="FootnoteText"/>
        <w:rPr>
          <w:lang w:val="pt-BR"/>
        </w:rPr>
      </w:pPr>
      <w:r w:rsidRPr="00927730">
        <w:rPr>
          <w:rStyle w:val="FootnoteReference"/>
        </w:rPr>
        <w:footnoteRef/>
      </w:r>
      <w:r w:rsidRPr="00927730">
        <w:rPr>
          <w:lang w:val="pt-BR"/>
        </w:rPr>
        <w:t xml:space="preserve"> </w:t>
      </w:r>
      <w:r w:rsidRPr="00927730">
        <w:rPr>
          <w:i/>
          <w:iCs/>
          <w:lang w:val="pt-BR"/>
        </w:rPr>
        <w:t>Id.</w:t>
      </w:r>
      <w:r w:rsidRPr="00927730">
        <w:rPr>
          <w:lang w:val="pt-BR"/>
        </w:rPr>
        <w:t xml:space="preserve"> § 64.1200(n)(2)(i</w:t>
      </w:r>
      <w:r w:rsidRPr="00927730" w:rsidR="002D3810">
        <w:rPr>
          <w:lang w:val="pt-BR"/>
        </w:rPr>
        <w:t>i)</w:t>
      </w:r>
      <w:r w:rsidRPr="00927730" w:rsidR="00527F1A">
        <w:rPr>
          <w:lang w:val="pt-BR"/>
        </w:rPr>
        <w:t>.</w:t>
      </w:r>
      <w:r w:rsidR="00B937F6">
        <w:rPr>
          <w:lang w:val="pt-BR"/>
        </w:rPr>
        <w:t xml:space="preserve">  </w:t>
      </w:r>
    </w:p>
  </w:footnote>
  <w:footnote w:id="19">
    <w:p w:rsidR="006635C9" w:rsidRPr="00927730" w14:paraId="32ABF6FD" w14:textId="52A32151">
      <w:pPr>
        <w:pStyle w:val="FootnoteText"/>
        <w:rPr>
          <w:i/>
          <w:iCs/>
        </w:rPr>
      </w:pPr>
      <w:r w:rsidRPr="00927730">
        <w:rPr>
          <w:rStyle w:val="FootnoteReference"/>
        </w:rPr>
        <w:footnoteRef/>
      </w:r>
      <w:r w:rsidRPr="00927730">
        <w:t xml:space="preserve"> </w:t>
      </w:r>
      <w:r w:rsidRPr="00927730">
        <w:rPr>
          <w:i/>
          <w:iCs/>
        </w:rPr>
        <w:t>Id.</w:t>
      </w:r>
    </w:p>
  </w:footnote>
  <w:footnote w:id="20">
    <w:p w:rsidR="00510BBF" w:rsidRPr="00927730" w:rsidP="00510BBF" w14:paraId="085C5C22" w14:textId="57D3357C">
      <w:pPr>
        <w:pStyle w:val="FootnoteText"/>
        <w:rPr>
          <w:i/>
          <w:iCs/>
        </w:rPr>
      </w:pPr>
      <w:r w:rsidRPr="00927730">
        <w:rPr>
          <w:rStyle w:val="FootnoteReference"/>
        </w:rPr>
        <w:footnoteRef/>
      </w:r>
      <w:r w:rsidRPr="00927730">
        <w:t xml:space="preserve"> </w:t>
      </w:r>
      <w:r w:rsidRPr="00927730" w:rsidR="00FB410B">
        <w:rPr>
          <w:i/>
          <w:iCs/>
        </w:rPr>
        <w:t>I</w:t>
      </w:r>
      <w:r w:rsidRPr="00927730">
        <w:rPr>
          <w:i/>
          <w:iCs/>
        </w:rPr>
        <w:t>d.</w:t>
      </w:r>
      <w:r w:rsidRPr="00927730">
        <w:t xml:space="preserve"> </w:t>
      </w:r>
      <w:r w:rsidRPr="00927730" w:rsidR="00BF1A2E">
        <w:t>§ 64.1200(n)(</w:t>
      </w:r>
      <w:r w:rsidRPr="00927730" w:rsidR="001D5F9C">
        <w:t>2</w:t>
      </w:r>
      <w:r w:rsidRPr="00927730" w:rsidR="00BF1A2E">
        <w:t xml:space="preserve">)(iii) (permitting </w:t>
      </w:r>
      <w:r w:rsidRPr="00927730" w:rsidR="00AD081A">
        <w:t>issuance</w:t>
      </w:r>
      <w:r w:rsidRPr="00927730" w:rsidR="00BF1A2E">
        <w:t xml:space="preserve"> of a</w:t>
      </w:r>
      <w:r w:rsidRPr="00927730">
        <w:t xml:space="preserve"> Final Determination Order up to one year after release of the Initial Determination Order</w:t>
      </w:r>
      <w:r w:rsidRPr="00927730" w:rsidR="00BF1A2E">
        <w:t>)</w:t>
      </w:r>
      <w:r w:rsidRPr="00927730" w:rsidR="006231B4">
        <w:t>;</w:t>
      </w:r>
      <w:r w:rsidRPr="00927730" w:rsidR="001D5F9C">
        <w:t xml:space="preserve"> </w:t>
      </w:r>
      <w:r w:rsidRPr="00927730" w:rsidR="001D5F9C">
        <w:rPr>
          <w:i/>
          <w:iCs/>
        </w:rPr>
        <w:t>id.</w:t>
      </w:r>
      <w:r w:rsidRPr="00927730" w:rsidR="001D5F9C">
        <w:t xml:space="preserve"> § 64.1200(n)(</w:t>
      </w:r>
      <w:r w:rsidRPr="00927730" w:rsidR="00E10BE4">
        <w:t>3);</w:t>
      </w:r>
      <w:r w:rsidRPr="00927730" w:rsidR="006231B4">
        <w:t xml:space="preserve"> </w:t>
      </w:r>
      <w:r w:rsidRPr="00927730" w:rsidR="003E5240">
        <w:rPr>
          <w:i/>
        </w:rPr>
        <w:t xml:space="preserve">One Eye LLC </w:t>
      </w:r>
      <w:r w:rsidRPr="00927730" w:rsidR="00DD0F1E">
        <w:rPr>
          <w:i/>
        </w:rPr>
        <w:t>Final Determination Order</w:t>
      </w:r>
      <w:r w:rsidRPr="00927730" w:rsidR="00DD0F1E">
        <w:t>, EB Docket No. 22-174</w:t>
      </w:r>
      <w:r w:rsidRPr="00927730" w:rsidR="005F25DD">
        <w:t xml:space="preserve">, </w:t>
      </w:r>
      <w:r w:rsidRPr="00927730" w:rsidR="0037587F">
        <w:t>38 FCC Rcd 4211</w:t>
      </w:r>
      <w:r w:rsidRPr="00927730" w:rsidR="00A118AE">
        <w:t xml:space="preserve">, </w:t>
      </w:r>
      <w:r w:rsidRPr="00927730" w:rsidR="00CA02ED">
        <w:t xml:space="preserve">4214, </w:t>
      </w:r>
      <w:r w:rsidRPr="00927730" w:rsidR="00E627C2">
        <w:t>para. 8 (EB 2023) (finding</w:t>
      </w:r>
      <w:r w:rsidRPr="00927730" w:rsidR="00DD0F1E">
        <w:t xml:space="preserve"> </w:t>
      </w:r>
      <w:r w:rsidRPr="00927730" w:rsidR="00E627C2">
        <w:t xml:space="preserve">that One Eye’s failure to respond to the Initial Determination Order </w:t>
      </w:r>
      <w:r w:rsidRPr="00927730" w:rsidR="00573B84">
        <w:t>was an inadequate response)</w:t>
      </w:r>
      <w:r w:rsidRPr="00927730" w:rsidR="00BF1A2E">
        <w:t>.</w:t>
      </w:r>
    </w:p>
  </w:footnote>
  <w:footnote w:id="21">
    <w:p w:rsidR="007D740A" w:rsidRPr="00927730" w14:paraId="21D06CD9" w14:textId="7176985D">
      <w:pPr>
        <w:pStyle w:val="FootnoteText"/>
      </w:pPr>
      <w:r w:rsidRPr="00927730">
        <w:rPr>
          <w:rStyle w:val="FootnoteReference"/>
        </w:rPr>
        <w:footnoteRef/>
      </w:r>
      <w:r w:rsidRPr="00927730">
        <w:t xml:space="preserve"> 47 CFR § 64.1200(n)(2)(iii)</w:t>
      </w:r>
      <w:r w:rsidR="003D1523">
        <w:t>;</w:t>
      </w:r>
      <w:r w:rsidRPr="00927730">
        <w:t xml:space="preserve"> </w:t>
      </w:r>
      <w:r w:rsidR="003D1523">
        <w:rPr>
          <w:i/>
          <w:iCs/>
        </w:rPr>
        <w:t>s</w:t>
      </w:r>
      <w:r w:rsidRPr="00927730">
        <w:rPr>
          <w:i/>
          <w:iCs/>
        </w:rPr>
        <w:t xml:space="preserve">ee </w:t>
      </w:r>
      <w:r w:rsidR="003D1523">
        <w:rPr>
          <w:i/>
          <w:iCs/>
        </w:rPr>
        <w:t>id.</w:t>
      </w:r>
      <w:r w:rsidRPr="00927730">
        <w:t xml:space="preserve"> § 64.1200(k)(4). </w:t>
      </w:r>
    </w:p>
  </w:footnote>
  <w:footnote w:id="22">
    <w:p w:rsidR="00A40C23" w:rsidRPr="00927730" w:rsidP="00A40C23" w14:paraId="1D58BC10" w14:textId="6C558C26">
      <w:pPr>
        <w:pStyle w:val="FootnoteText"/>
      </w:pPr>
      <w:r w:rsidRPr="00927730">
        <w:rPr>
          <w:rStyle w:val="FootnoteReference"/>
        </w:rPr>
        <w:footnoteRef/>
      </w:r>
      <w:r w:rsidRPr="00927730">
        <w:t xml:space="preserve"> </w:t>
      </w:r>
      <w:r w:rsidRPr="00927730" w:rsidR="00ED4F1F">
        <w:rPr>
          <w:rStyle w:val="boolean-control"/>
          <w:i/>
          <w:iCs/>
        </w:rPr>
        <w:t>Call Authentication Trust Anchor</w:t>
      </w:r>
      <w:r w:rsidRPr="00927730" w:rsidR="00ED4F1F">
        <w:rPr>
          <w:rStyle w:val="boolean-control"/>
        </w:rPr>
        <w:t xml:space="preserve">, WC Docket No. 17-97, Second Report and Order, 36 FCC Rcd 1859, </w:t>
      </w:r>
      <w:r w:rsidRPr="00927730" w:rsidR="00D47CF4">
        <w:rPr>
          <w:rStyle w:val="boolean-control"/>
        </w:rPr>
        <w:t xml:space="preserve">1902-03, </w:t>
      </w:r>
      <w:r w:rsidRPr="00927730" w:rsidR="00ED4F1F">
        <w:rPr>
          <w:rStyle w:val="boolean-control"/>
        </w:rPr>
        <w:t>para</w:t>
      </w:r>
      <w:r w:rsidR="002B2B74">
        <w:rPr>
          <w:rStyle w:val="boolean-control"/>
        </w:rPr>
        <w:t>s</w:t>
      </w:r>
      <w:r w:rsidRPr="00927730" w:rsidR="00ED4F1F">
        <w:rPr>
          <w:rStyle w:val="boolean-control"/>
        </w:rPr>
        <w:t xml:space="preserve">. </w:t>
      </w:r>
      <w:r w:rsidR="002B2B74">
        <w:rPr>
          <w:rStyle w:val="boolean-control"/>
        </w:rPr>
        <w:t>82-</w:t>
      </w:r>
      <w:r w:rsidRPr="00927730" w:rsidR="00ED4F1F">
        <w:rPr>
          <w:rStyle w:val="boolean-control"/>
        </w:rPr>
        <w:t>83 (2020) (</w:t>
      </w:r>
      <w:r w:rsidRPr="00927730" w:rsidR="00ED4F1F">
        <w:rPr>
          <w:rStyle w:val="boolean-control"/>
          <w:i/>
          <w:iCs/>
        </w:rPr>
        <w:t>Second Caller ID Authentication Order</w:t>
      </w:r>
      <w:r w:rsidRPr="00927730" w:rsidR="00ED4F1F">
        <w:rPr>
          <w:rStyle w:val="boolean-control"/>
        </w:rPr>
        <w:t xml:space="preserve">). </w:t>
      </w:r>
    </w:p>
  </w:footnote>
  <w:footnote w:id="23">
    <w:p w:rsidR="000728BF" w:rsidRPr="00927730" w14:paraId="1F8D876A" w14:textId="6E5C8D88">
      <w:pPr>
        <w:pStyle w:val="FootnoteText"/>
      </w:pPr>
      <w:r w:rsidRPr="00927730">
        <w:rPr>
          <w:rStyle w:val="FootnoteReference"/>
        </w:rPr>
        <w:footnoteRef/>
      </w:r>
      <w:r w:rsidRPr="00927730">
        <w:t xml:space="preserve"> 47 CFR § 64.6305(d), (e), (f).  </w:t>
      </w:r>
      <w:r w:rsidR="00F31037">
        <w:t xml:space="preserve">Paragraph (d) applies to voice service providers; paragraph (e) applies to gateway providers; </w:t>
      </w:r>
      <w:r w:rsidR="00B00BF6">
        <w:t xml:space="preserve">and paragraph (f) applies to non-gateway intermediate providers.  For purposes of this section, the term “voice service provider” </w:t>
      </w:r>
      <w:r w:rsidR="00F92FEA">
        <w:t>is based on the d</w:t>
      </w:r>
      <w:r w:rsidR="004D6E7D">
        <w:t>e</w:t>
      </w:r>
      <w:r w:rsidR="00F92FEA">
        <w:t xml:space="preserve">finition of “voice service” in </w:t>
      </w:r>
      <w:r w:rsidR="004D6E7D">
        <w:t xml:space="preserve">47 CFR § 64.6300(o) </w:t>
      </w:r>
      <w:r w:rsidR="00080B16">
        <w:t xml:space="preserve">that applies to the RMD requirements in </w:t>
      </w:r>
      <w:r w:rsidR="00EE3B3E">
        <w:t xml:space="preserve">47 CFR § 64.6305.  </w:t>
      </w:r>
      <w:r w:rsidR="007F3D91">
        <w:t xml:space="preserve">The terms “gateway provider” and “non-gateway intermediate provider” are defined in 47 CFR § </w:t>
      </w:r>
      <w:r w:rsidR="002A236B">
        <w:t xml:space="preserve">64.6300(d) and (i).  </w:t>
      </w:r>
    </w:p>
  </w:footnote>
  <w:footnote w:id="24">
    <w:p w:rsidR="00A40C23" w:rsidRPr="00FA10A3" w:rsidP="00A40C23" w14:paraId="7FF52BB7" w14:textId="4C4C688F">
      <w:pPr>
        <w:pStyle w:val="FootnoteText"/>
        <w:rPr>
          <w:lang w:val="pt-BR"/>
        </w:rPr>
      </w:pPr>
      <w:r w:rsidRPr="00927730">
        <w:rPr>
          <w:rStyle w:val="FootnoteReference"/>
          <w:rFonts w:eastAsiaTheme="majorEastAsia"/>
        </w:rPr>
        <w:footnoteRef/>
      </w:r>
      <w:r w:rsidRPr="00FA10A3">
        <w:rPr>
          <w:lang w:val="pt-BR"/>
        </w:rPr>
        <w:t xml:space="preserve"> </w:t>
      </w:r>
      <w:r w:rsidRPr="00FA10A3" w:rsidR="0000644E">
        <w:rPr>
          <w:lang w:val="pt-BR"/>
        </w:rPr>
        <w:t>47 CFR</w:t>
      </w:r>
      <w:r w:rsidRPr="00FA10A3">
        <w:rPr>
          <w:lang w:val="pt-BR"/>
        </w:rPr>
        <w:t xml:space="preserve"> § 64.6305(d)(2)(ii), (e)(2)(ii)</w:t>
      </w:r>
      <w:r w:rsidRPr="00FA10A3" w:rsidR="0000644E">
        <w:rPr>
          <w:lang w:val="pt-BR"/>
        </w:rPr>
        <w:t>, (f)(2)(ii)</w:t>
      </w:r>
      <w:r w:rsidRPr="00FA10A3">
        <w:rPr>
          <w:lang w:val="pt-BR"/>
        </w:rPr>
        <w:t>.</w:t>
      </w:r>
    </w:p>
  </w:footnote>
  <w:footnote w:id="25">
    <w:p w:rsidR="00685E23" w:rsidRPr="00FA10A3" w14:paraId="6E9A7DD4" w14:textId="107EF7F2">
      <w:pPr>
        <w:pStyle w:val="FootnoteText"/>
        <w:rPr>
          <w:lang w:val="pt-BR"/>
        </w:rPr>
      </w:pPr>
      <w:r w:rsidRPr="00927730">
        <w:rPr>
          <w:rStyle w:val="FootnoteReference"/>
        </w:rPr>
        <w:footnoteRef/>
      </w:r>
      <w:r w:rsidRPr="00FA10A3">
        <w:rPr>
          <w:lang w:val="pt-BR"/>
        </w:rPr>
        <w:t xml:space="preserve"> </w:t>
      </w:r>
      <w:r w:rsidRPr="00FA10A3" w:rsidR="0000644E">
        <w:rPr>
          <w:lang w:val="pt-BR"/>
        </w:rPr>
        <w:t xml:space="preserve">47 CFR § 64.6305(d)(2)(iii), (e)(2)(iii), (f)(2)(ii). </w:t>
      </w:r>
    </w:p>
  </w:footnote>
  <w:footnote w:id="26">
    <w:p w:rsidR="00A40C23" w:rsidRPr="00FA10A3" w:rsidP="00A40C23" w14:paraId="7B9AF859" w14:textId="31FDD156">
      <w:pPr>
        <w:pStyle w:val="FootnoteText"/>
        <w:rPr>
          <w:lang w:val="pt-BR"/>
        </w:rPr>
      </w:pPr>
      <w:r w:rsidRPr="00927730">
        <w:rPr>
          <w:rStyle w:val="FootnoteReference"/>
          <w:rFonts w:eastAsiaTheme="majorEastAsia"/>
        </w:rPr>
        <w:footnoteRef/>
      </w:r>
      <w:r w:rsidRPr="00FA10A3">
        <w:rPr>
          <w:lang w:val="pt-BR"/>
        </w:rPr>
        <w:t xml:space="preserve"> </w:t>
      </w:r>
      <w:r w:rsidRPr="00FA10A3">
        <w:rPr>
          <w:lang w:val="pt-BR"/>
        </w:rPr>
        <w:t>47 CFR § 64.6305(d)(3)(ii), (e)(3)(ii), (f)(3)(ii)</w:t>
      </w:r>
      <w:r w:rsidRPr="00FA10A3" w:rsidR="0000644E">
        <w:rPr>
          <w:lang w:val="pt-BR"/>
        </w:rPr>
        <w:t xml:space="preserve">. </w:t>
      </w:r>
    </w:p>
  </w:footnote>
  <w:footnote w:id="27">
    <w:p w:rsidR="00A40C23" w:rsidRPr="00927730" w:rsidP="00A40C23" w14:paraId="03366BB1" w14:textId="10F1D1C9">
      <w:pPr>
        <w:pStyle w:val="FootnoteText"/>
      </w:pPr>
      <w:r w:rsidRPr="00927730">
        <w:rPr>
          <w:rStyle w:val="FootnoteReference"/>
          <w:rFonts w:eastAsiaTheme="majorEastAsia"/>
        </w:rPr>
        <w:footnoteRef/>
      </w:r>
      <w:r w:rsidRPr="00927730">
        <w:t xml:space="preserve"> </w:t>
      </w:r>
      <w:r w:rsidRPr="00927730" w:rsidR="003F7E0C">
        <w:rPr>
          <w:i/>
          <w:iCs/>
        </w:rPr>
        <w:t>See Second Caller ID Authentication Order</w:t>
      </w:r>
      <w:r w:rsidRPr="00927730" w:rsidR="003F7E0C">
        <w:t xml:space="preserve">, 36 FCC Rcd </w:t>
      </w:r>
      <w:r w:rsidRPr="00927730" w:rsidR="003F7E0C">
        <w:t>at</w:t>
      </w:r>
      <w:r w:rsidRPr="00927730" w:rsidR="003F7E0C">
        <w:t xml:space="preserve"> 1903, para. 83 (noting that if a certification “is deficient in some way,” the Commission may take enforcement action as appropriate, including “removing a defective certification from the database after providing notice to the voice service provider and an opportunity to cure the filing”)</w:t>
      </w:r>
      <w:r w:rsidR="00EC49D5">
        <w:t xml:space="preserve">; </w:t>
      </w:r>
      <w:r w:rsidRPr="00927730" w:rsidR="00EC49D5">
        <w:rPr>
          <w:i/>
          <w:iCs/>
        </w:rPr>
        <w:t>Gateway Provider Order</w:t>
      </w:r>
      <w:r w:rsidRPr="0090382B" w:rsidR="00EC49D5">
        <w:rPr>
          <w:rStyle w:val="boolean-control"/>
        </w:rPr>
        <w:t>,</w:t>
      </w:r>
      <w:r w:rsidR="00EC49D5">
        <w:rPr>
          <w:rStyle w:val="boolean-control"/>
        </w:rPr>
        <w:t xml:space="preserve"> </w:t>
      </w:r>
      <w:r w:rsidRPr="00927730" w:rsidR="00EC49D5">
        <w:rPr>
          <w:rStyle w:val="cf01"/>
          <w:rFonts w:ascii="Times New Roman" w:hAnsi="Times New Roman" w:cs="Times New Roman"/>
          <w:sz w:val="20"/>
          <w:szCs w:val="20"/>
        </w:rPr>
        <w:t xml:space="preserve">37 FCC Rcd </w:t>
      </w:r>
      <w:r w:rsidR="002F3F96">
        <w:rPr>
          <w:rStyle w:val="cf01"/>
          <w:rFonts w:ascii="Times New Roman" w:hAnsi="Times New Roman" w:cs="Times New Roman"/>
          <w:sz w:val="20"/>
          <w:szCs w:val="20"/>
        </w:rPr>
        <w:t xml:space="preserve">at </w:t>
      </w:r>
      <w:r w:rsidRPr="00927730" w:rsidR="00EC49D5">
        <w:rPr>
          <w:rStyle w:val="cf01"/>
          <w:rFonts w:ascii="Times New Roman" w:hAnsi="Times New Roman" w:cs="Times New Roman"/>
          <w:sz w:val="20"/>
          <w:szCs w:val="20"/>
        </w:rPr>
        <w:t>68</w:t>
      </w:r>
      <w:r w:rsidR="00EC49D5">
        <w:rPr>
          <w:rStyle w:val="cf01"/>
          <w:rFonts w:ascii="Times New Roman" w:hAnsi="Times New Roman" w:cs="Times New Roman"/>
          <w:sz w:val="20"/>
          <w:szCs w:val="20"/>
        </w:rPr>
        <w:t>82</w:t>
      </w:r>
      <w:r w:rsidRPr="00927730" w:rsidR="00EC49D5">
        <w:rPr>
          <w:rStyle w:val="cf01"/>
          <w:rFonts w:ascii="Times New Roman" w:hAnsi="Times New Roman" w:cs="Times New Roman"/>
          <w:sz w:val="20"/>
          <w:szCs w:val="20"/>
        </w:rPr>
        <w:t xml:space="preserve">, </w:t>
      </w:r>
      <w:r w:rsidRPr="00927730" w:rsidR="00EC49D5">
        <w:t xml:space="preserve">para. </w:t>
      </w:r>
      <w:r w:rsidR="00EC49D5">
        <w:t>40 (</w:t>
      </w:r>
      <w:r w:rsidR="000266EE">
        <w:t>discussing the same enforcement actions against gateway providers</w:t>
      </w:r>
      <w:r w:rsidR="0035120C">
        <w:t>)</w:t>
      </w:r>
      <w:r w:rsidR="00EC49D5">
        <w:t xml:space="preserve">; </w:t>
      </w:r>
      <w:r w:rsidRPr="00927730" w:rsidR="00EC49D5">
        <w:rPr>
          <w:i/>
          <w:iCs/>
        </w:rPr>
        <w:t>Sixth</w:t>
      </w:r>
      <w:r w:rsidRPr="00927730" w:rsidR="00EC49D5">
        <w:t xml:space="preserve"> </w:t>
      </w:r>
      <w:r w:rsidRPr="00927730" w:rsidR="00EC49D5">
        <w:rPr>
          <w:i/>
          <w:iCs/>
        </w:rPr>
        <w:t>Caller ID Authentication Order</w:t>
      </w:r>
      <w:r w:rsidRPr="00D44851" w:rsidR="00EC49D5">
        <w:t>, 38 FCC Rcd at 2603, para. 57</w:t>
      </w:r>
      <w:r w:rsidR="0035120C">
        <w:t xml:space="preserve"> (discussing the same enforcement actions against non-gateway intermediate providers)</w:t>
      </w:r>
      <w:r w:rsidRPr="00927730" w:rsidR="003F7E0C">
        <w:t xml:space="preserve">.  The Commission may also impose a forfeiture on filers that submit false or inaccurate information in the RMD.  </w:t>
      </w:r>
      <w:r w:rsidRPr="00927730" w:rsidR="003F7E0C">
        <w:rPr>
          <w:i/>
          <w:iCs/>
        </w:rPr>
        <w:t>See Improving the Effectiveness of the Robocall Mitigation Database, Amendment of Part 1 of the Commission’s Rules, Concerning Practice and Procedure, Amendment of CORES Registration System</w:t>
      </w:r>
      <w:r w:rsidRPr="00927730" w:rsidR="003F7E0C">
        <w:t xml:space="preserve">, WC Docket No. 24-213, MD Docket No. 10-234, Report and Order, </w:t>
      </w:r>
      <w:r w:rsidR="00AD731A">
        <w:t xml:space="preserve">40 </w:t>
      </w:r>
      <w:r w:rsidRPr="00927730" w:rsidR="003F7E0C">
        <w:t xml:space="preserve">FCC </w:t>
      </w:r>
      <w:r w:rsidR="00AD731A">
        <w:t xml:space="preserve">Rcd 599, </w:t>
      </w:r>
      <w:r w:rsidR="00285D6F">
        <w:t>606</w:t>
      </w:r>
      <w:r w:rsidRPr="00927730" w:rsidR="003F7E0C">
        <w:t xml:space="preserve">, para. 18 (2025) (adopting a $10,000 base forfeiture for submitting false or inaccurate information to the RMD); </w:t>
      </w:r>
      <w:r w:rsidRPr="00927730" w:rsidR="003F7E0C">
        <w:rPr>
          <w:i/>
          <w:iCs/>
        </w:rPr>
        <w:t xml:space="preserve">see also </w:t>
      </w:r>
      <w:r w:rsidRPr="00927730" w:rsidR="00B90343">
        <w:rPr>
          <w:i/>
          <w:iCs/>
        </w:rPr>
        <w:t>Call Authentication Trust Anchor</w:t>
      </w:r>
      <w:r w:rsidRPr="00927730" w:rsidR="00B90343">
        <w:t>, WC Docket No. 17-97,</w:t>
      </w:r>
      <w:r w:rsidRPr="00927730" w:rsidR="00B90343">
        <w:rPr>
          <w:i/>
          <w:iCs/>
        </w:rPr>
        <w:t xml:space="preserve"> </w:t>
      </w:r>
      <w:r w:rsidRPr="00927730" w:rsidR="00B90343">
        <w:t>Sixth Report and Order, 38 FCC Rcd 2573, 2590, para. 31 (202</w:t>
      </w:r>
      <w:r w:rsidRPr="00927730" w:rsidR="003844DC">
        <w:t>3</w:t>
      </w:r>
      <w:r w:rsidRPr="00927730" w:rsidR="00B90343">
        <w:t>)</w:t>
      </w:r>
      <w:r w:rsidRPr="00927730" w:rsidR="00B90343">
        <w:rPr>
          <w:i/>
          <w:iCs/>
        </w:rPr>
        <w:t xml:space="preserve"> </w:t>
      </w:r>
      <w:r w:rsidRPr="00927730" w:rsidR="003844DC">
        <w:t>(</w:t>
      </w:r>
      <w:r w:rsidRPr="00927730" w:rsidR="003844DC">
        <w:rPr>
          <w:i/>
          <w:iCs/>
        </w:rPr>
        <w:t>Sixth</w:t>
      </w:r>
      <w:r w:rsidRPr="00927730" w:rsidR="003844DC">
        <w:t xml:space="preserve"> </w:t>
      </w:r>
      <w:r w:rsidRPr="00927730" w:rsidR="00375BC3">
        <w:rPr>
          <w:i/>
          <w:iCs/>
        </w:rPr>
        <w:t>Caller ID Authentication Order</w:t>
      </w:r>
      <w:r w:rsidRPr="00927730" w:rsidR="003844DC">
        <w:t>) (</w:t>
      </w:r>
      <w:r w:rsidRPr="00927730" w:rsidR="00375BC3">
        <w:t>“[A] provider’s program is ‘sufficient if it includes detailed practices that can reasonably be expected to significantly reduce’ the carrying or processing (for intermediate providers) or origination (for voice service providers) of illegal robocalls.  Each provider ‘must comply with the practices’ that its program requires, and its program is insufficient if the provider ‘knowingly or through negligence’ carries or processes calls (for intermediate providers) or originates (for voice service providers) unlawful robocall campaigns.” (citations omitted)).</w:t>
      </w:r>
    </w:p>
  </w:footnote>
  <w:footnote w:id="28">
    <w:p w:rsidR="00D47CF4" w:rsidRPr="00927730" w:rsidP="00D47CF4" w14:paraId="305D6FE1" w14:textId="2809D860">
      <w:pPr>
        <w:pStyle w:val="FootnoteText"/>
        <w:spacing w:after="160"/>
      </w:pPr>
      <w:r w:rsidRPr="00927730">
        <w:rPr>
          <w:rStyle w:val="FootnoteReference"/>
        </w:rPr>
        <w:footnoteRef/>
      </w:r>
      <w:r w:rsidRPr="00927730">
        <w:t xml:space="preserve"> </w:t>
      </w:r>
      <w:r w:rsidRPr="00927730">
        <w:rPr>
          <w:rStyle w:val="boolean-control"/>
          <w:i/>
          <w:iCs/>
        </w:rPr>
        <w:t>Second Caller ID Authentication Order,</w:t>
      </w:r>
      <w:r w:rsidRPr="00927730">
        <w:rPr>
          <w:rStyle w:val="boolean-control"/>
        </w:rPr>
        <w:t xml:space="preserve"> 36 FCC Rcd </w:t>
      </w:r>
      <w:r w:rsidRPr="00927730">
        <w:rPr>
          <w:rStyle w:val="boolean-control"/>
        </w:rPr>
        <w:t>at</w:t>
      </w:r>
      <w:r w:rsidRPr="00927730">
        <w:rPr>
          <w:rStyle w:val="boolean-control"/>
        </w:rPr>
        <w:t xml:space="preserve"> 1903, para. 83</w:t>
      </w:r>
      <w:r w:rsidR="00CF73B2">
        <w:rPr>
          <w:rStyle w:val="boolean-control"/>
        </w:rPr>
        <w:t xml:space="preserve"> (regarding voice service provider certifications)</w:t>
      </w:r>
      <w:r w:rsidR="0079479A">
        <w:rPr>
          <w:rStyle w:val="boolean-control"/>
        </w:rPr>
        <w:t xml:space="preserve">; </w:t>
      </w:r>
      <w:r w:rsidRPr="00CF73B2" w:rsidR="00CF73B2">
        <w:rPr>
          <w:rStyle w:val="boolean-control"/>
          <w:i/>
          <w:iCs/>
        </w:rPr>
        <w:t>see also</w:t>
      </w:r>
      <w:r w:rsidR="00CF73B2">
        <w:rPr>
          <w:rStyle w:val="boolean-control"/>
        </w:rPr>
        <w:t xml:space="preserve"> </w:t>
      </w:r>
      <w:r w:rsidRPr="00927730" w:rsidR="0079479A">
        <w:rPr>
          <w:i/>
          <w:iCs/>
        </w:rPr>
        <w:t>Gateway Provider Order</w:t>
      </w:r>
      <w:r w:rsidRPr="0090382B" w:rsidR="0090382B">
        <w:rPr>
          <w:rStyle w:val="boolean-control"/>
        </w:rPr>
        <w:t>,</w:t>
      </w:r>
      <w:r w:rsidR="0090382B">
        <w:rPr>
          <w:rStyle w:val="boolean-control"/>
        </w:rPr>
        <w:t xml:space="preserve"> </w:t>
      </w:r>
      <w:r w:rsidRPr="00927730" w:rsidR="0090382B">
        <w:rPr>
          <w:rStyle w:val="cf01"/>
          <w:rFonts w:ascii="Times New Roman" w:hAnsi="Times New Roman" w:cs="Times New Roman"/>
          <w:sz w:val="20"/>
          <w:szCs w:val="20"/>
        </w:rPr>
        <w:t xml:space="preserve">37 FCC Rcd </w:t>
      </w:r>
      <w:r w:rsidR="002F3F96">
        <w:rPr>
          <w:rStyle w:val="cf01"/>
          <w:rFonts w:ascii="Times New Roman" w:hAnsi="Times New Roman" w:cs="Times New Roman"/>
          <w:sz w:val="20"/>
          <w:szCs w:val="20"/>
        </w:rPr>
        <w:t xml:space="preserve">at </w:t>
      </w:r>
      <w:r w:rsidRPr="00927730" w:rsidR="0090382B">
        <w:rPr>
          <w:rStyle w:val="cf01"/>
          <w:rFonts w:ascii="Times New Roman" w:hAnsi="Times New Roman" w:cs="Times New Roman"/>
          <w:sz w:val="20"/>
          <w:szCs w:val="20"/>
        </w:rPr>
        <w:t>68</w:t>
      </w:r>
      <w:r w:rsidR="00867C6F">
        <w:rPr>
          <w:rStyle w:val="cf01"/>
          <w:rFonts w:ascii="Times New Roman" w:hAnsi="Times New Roman" w:cs="Times New Roman"/>
          <w:sz w:val="20"/>
          <w:szCs w:val="20"/>
        </w:rPr>
        <w:t>82</w:t>
      </w:r>
      <w:r w:rsidRPr="00927730" w:rsidR="0090382B">
        <w:rPr>
          <w:rStyle w:val="cf01"/>
          <w:rFonts w:ascii="Times New Roman" w:hAnsi="Times New Roman" w:cs="Times New Roman"/>
          <w:sz w:val="20"/>
          <w:szCs w:val="20"/>
        </w:rPr>
        <w:t xml:space="preserve">, </w:t>
      </w:r>
      <w:r w:rsidRPr="00927730" w:rsidR="0090382B">
        <w:t xml:space="preserve">para. </w:t>
      </w:r>
      <w:r w:rsidR="00867C6F">
        <w:t>40</w:t>
      </w:r>
      <w:r w:rsidR="00344C34">
        <w:t xml:space="preserve"> (</w:t>
      </w:r>
      <w:r w:rsidR="00E82634">
        <w:t xml:space="preserve">adopting </w:t>
      </w:r>
      <w:r w:rsidR="00290D65">
        <w:t xml:space="preserve">the </w:t>
      </w:r>
      <w:r w:rsidR="00E82634">
        <w:t>same approach for gateway provider</w:t>
      </w:r>
      <w:r w:rsidR="00290D65">
        <w:t xml:space="preserve"> certification</w:t>
      </w:r>
      <w:r w:rsidR="00E82634">
        <w:t>s)</w:t>
      </w:r>
      <w:r w:rsidR="00867C6F">
        <w:t xml:space="preserve">; </w:t>
      </w:r>
      <w:r w:rsidRPr="00927730" w:rsidR="00867C6F">
        <w:rPr>
          <w:i/>
          <w:iCs/>
        </w:rPr>
        <w:t>Sixth</w:t>
      </w:r>
      <w:r w:rsidRPr="00927730" w:rsidR="00867C6F">
        <w:t xml:space="preserve"> </w:t>
      </w:r>
      <w:r w:rsidRPr="00927730" w:rsidR="00867C6F">
        <w:rPr>
          <w:i/>
          <w:iCs/>
        </w:rPr>
        <w:t>Caller ID Authentication Order</w:t>
      </w:r>
      <w:r w:rsidRPr="00D44851" w:rsidR="00867C6F">
        <w:t xml:space="preserve">, 38 FCC Rcd at </w:t>
      </w:r>
      <w:r w:rsidRPr="00D44851" w:rsidR="00D44851">
        <w:t>2603, para. 57</w:t>
      </w:r>
      <w:r w:rsidR="00E82634">
        <w:t xml:space="preserve"> (adopting same approach for non-gateway intermediate provider</w:t>
      </w:r>
      <w:r w:rsidR="00290D65">
        <w:t xml:space="preserve"> certification</w:t>
      </w:r>
      <w:r w:rsidR="00E82634">
        <w:t>s)</w:t>
      </w:r>
      <w:r w:rsidRPr="00927730">
        <w:rPr>
          <w:rStyle w:val="boolean-control"/>
        </w:rPr>
        <w:t>.</w:t>
      </w:r>
    </w:p>
  </w:footnote>
  <w:footnote w:id="29">
    <w:p w:rsidR="00D47CF4" w:rsidRPr="00927730" w:rsidP="00D47CF4" w14:paraId="0B99D7D8" w14:textId="77777777">
      <w:pPr>
        <w:pStyle w:val="FootnoteText"/>
        <w:spacing w:after="160"/>
      </w:pPr>
      <w:r w:rsidRPr="00927730">
        <w:rPr>
          <w:rStyle w:val="FootnoteReference"/>
        </w:rPr>
        <w:footnoteRef/>
      </w:r>
      <w:r w:rsidRPr="00927730">
        <w:t xml:space="preserve"> </w:t>
      </w:r>
      <w:r w:rsidRPr="00927730">
        <w:rPr>
          <w:rStyle w:val="boolean-control"/>
          <w:i/>
          <w:iCs/>
        </w:rPr>
        <w:t xml:space="preserve">Sixth Caller ID Authentication Order, </w:t>
      </w:r>
      <w:r w:rsidRPr="00927730">
        <w:rPr>
          <w:rStyle w:val="boolean-control"/>
        </w:rPr>
        <w:t>38 FCC Rcd at 2604, para. 60.</w:t>
      </w:r>
    </w:p>
  </w:footnote>
  <w:footnote w:id="30">
    <w:p w:rsidR="00D47CF4" w:rsidRPr="00927730" w:rsidP="00D47CF4" w14:paraId="27FA296D" w14:textId="32F26558">
      <w:pPr>
        <w:pStyle w:val="FootnoteText"/>
        <w:spacing w:after="160"/>
      </w:pPr>
      <w:r w:rsidRPr="00927730">
        <w:rPr>
          <w:rStyle w:val="FootnoteReference"/>
        </w:rPr>
        <w:footnoteRef/>
      </w:r>
      <w:r w:rsidRPr="00927730">
        <w:t xml:space="preserve"> </w:t>
      </w:r>
      <w:r w:rsidRPr="00927730">
        <w:rPr>
          <w:rStyle w:val="boolean-control"/>
          <w:i/>
          <w:iCs/>
        </w:rPr>
        <w:t>Id.</w:t>
      </w:r>
      <w:r w:rsidRPr="00927730">
        <w:rPr>
          <w:rStyle w:val="boolean-control"/>
        </w:rPr>
        <w:t xml:space="preserve"> (quoting </w:t>
      </w:r>
      <w:r w:rsidRPr="00927730">
        <w:rPr>
          <w:i/>
          <w:iCs/>
        </w:rPr>
        <w:t>Global UC Inc</w:t>
      </w:r>
      <w:r w:rsidRPr="00927730">
        <w:t>, Removal Order, 37 FCC Rcd 13376, 13378, para. 5 (EB 2022)</w:t>
      </w:r>
      <w:r w:rsidR="000564B9">
        <w:t xml:space="preserve"> (</w:t>
      </w:r>
      <w:r w:rsidRPr="000564B9" w:rsidR="000564B9">
        <w:rPr>
          <w:i/>
          <w:iCs/>
        </w:rPr>
        <w:t>Global UC</w:t>
      </w:r>
      <w:r w:rsidR="000564B9">
        <w:t xml:space="preserve"> </w:t>
      </w:r>
      <w:r w:rsidRPr="000564B9" w:rsidR="000564B9">
        <w:rPr>
          <w:i/>
          <w:iCs/>
        </w:rPr>
        <w:t>Removal</w:t>
      </w:r>
      <w:r w:rsidRPr="000564B9" w:rsidR="000564B9">
        <w:t xml:space="preserve"> </w:t>
      </w:r>
      <w:r w:rsidRPr="000564B9" w:rsidR="000564B9">
        <w:rPr>
          <w:i/>
          <w:iCs/>
        </w:rPr>
        <w:t>Order</w:t>
      </w:r>
      <w:r w:rsidR="000564B9">
        <w:t>)</w:t>
      </w:r>
      <w:r w:rsidRPr="00927730">
        <w:t>).</w:t>
      </w:r>
      <w:r w:rsidRPr="00927730">
        <w:rPr>
          <w:rStyle w:val="boolean-control"/>
        </w:rPr>
        <w:t xml:space="preserve"> </w:t>
      </w:r>
    </w:p>
  </w:footnote>
  <w:footnote w:id="31">
    <w:p w:rsidR="00D47CF4" w:rsidRPr="00927730" w:rsidP="00D47CF4" w14:paraId="4313F7AA" w14:textId="2589B6B9">
      <w:pPr>
        <w:pStyle w:val="FootnoteText"/>
        <w:spacing w:after="160"/>
      </w:pPr>
      <w:r w:rsidRPr="00927730">
        <w:rPr>
          <w:rStyle w:val="FootnoteReference"/>
        </w:rPr>
        <w:footnoteRef/>
      </w:r>
      <w:r w:rsidRPr="00927730">
        <w:t xml:space="preserve"> </w:t>
      </w:r>
      <w:r w:rsidRPr="00EB22BD">
        <w:rPr>
          <w:rStyle w:val="boolean-control"/>
          <w:i/>
          <w:iCs/>
        </w:rPr>
        <w:t>Sixth</w:t>
      </w:r>
      <w:r w:rsidRPr="00927730">
        <w:rPr>
          <w:rStyle w:val="boolean-control"/>
          <w:i/>
          <w:iCs/>
        </w:rPr>
        <w:t xml:space="preserve"> Caller ID Authentication Order, </w:t>
      </w:r>
      <w:r w:rsidRPr="00927730">
        <w:rPr>
          <w:rStyle w:val="boolean-control"/>
        </w:rPr>
        <w:t>38 FCC Rcd at 2604, para. 60.</w:t>
      </w:r>
    </w:p>
  </w:footnote>
  <w:footnote w:id="32">
    <w:p w:rsidR="00A40C23" w:rsidRPr="00927730" w:rsidP="00A40C23" w14:paraId="5B57ED54" w14:textId="6C4D0CE3">
      <w:pPr>
        <w:pStyle w:val="FootnoteText"/>
      </w:pPr>
      <w:r w:rsidRPr="00927730">
        <w:rPr>
          <w:rStyle w:val="FootnoteReference"/>
          <w:rFonts w:eastAsiaTheme="majorEastAsia"/>
        </w:rPr>
        <w:footnoteRef/>
      </w:r>
      <w:r w:rsidRPr="00927730">
        <w:t xml:space="preserve"> </w:t>
      </w:r>
      <w:r w:rsidRPr="00C828AA" w:rsidR="00C828AA">
        <w:rPr>
          <w:i/>
          <w:iCs/>
        </w:rPr>
        <w:t>Id</w:t>
      </w:r>
      <w:r w:rsidR="00C828AA">
        <w:t>.</w:t>
      </w:r>
      <w:r w:rsidRPr="00927730" w:rsidR="003844DC">
        <w:t xml:space="preserve"> </w:t>
      </w:r>
      <w:r w:rsidRPr="00927730">
        <w:t>at 2604-05, para. 62 (</w:t>
      </w:r>
      <w:r w:rsidRPr="00927730" w:rsidR="00E65C28">
        <w:t>describing</w:t>
      </w:r>
      <w:r w:rsidRPr="00927730">
        <w:t xml:space="preserve"> the two-step expedited procedure and explaining that it applies to situations where a provider “has ‘willfully’ violated its Robocall Mitigation Database filing obligation within the meaning of that term in section 9(b) of the Administrative Procedure Act (APA), 5 U.S.C. § 558(c), which applies to revocation of licenses”)</w:t>
      </w:r>
      <w:r w:rsidRPr="00927730" w:rsidR="003844DC">
        <w:t xml:space="preserve">. </w:t>
      </w:r>
    </w:p>
  </w:footnote>
  <w:footnote w:id="33">
    <w:p w:rsidR="003844DC" w:rsidRPr="00927730" w:rsidP="003844DC" w14:paraId="0B191047" w14:textId="692C1959">
      <w:pPr>
        <w:pStyle w:val="FootnoteText"/>
      </w:pPr>
      <w:r w:rsidRPr="00927730">
        <w:rPr>
          <w:rStyle w:val="FootnoteReference"/>
        </w:rPr>
        <w:footnoteRef/>
      </w:r>
      <w:r w:rsidRPr="00927730">
        <w:t xml:space="preserve"> </w:t>
      </w:r>
      <w:r w:rsidRPr="00927730">
        <w:rPr>
          <w:i/>
          <w:iCs/>
        </w:rPr>
        <w:t>Coosemans</w:t>
      </w:r>
      <w:r w:rsidRPr="00927730">
        <w:rPr>
          <w:i/>
          <w:iCs/>
        </w:rPr>
        <w:t xml:space="preserve"> Specialties, Inc. v. </w:t>
      </w:r>
      <w:r w:rsidRPr="00927730">
        <w:rPr>
          <w:i/>
          <w:iCs/>
        </w:rPr>
        <w:t>Dep’t</w:t>
      </w:r>
      <w:r w:rsidRPr="00927730">
        <w:rPr>
          <w:i/>
          <w:iCs/>
        </w:rPr>
        <w:t xml:space="preserve"> of Agric</w:t>
      </w:r>
      <w:r w:rsidRPr="00927730">
        <w:t xml:space="preserve">., 482 F.3d 560, 567 (D.C. Cir. 2007) (“[A]n action [under 5 U.S.C. § 558(c)] is willful if a prohibited act is done intentionally, irrespective of evil intent, or done with careless disregard of statutory requirements.”) (quoting </w:t>
      </w:r>
      <w:r w:rsidRPr="00927730">
        <w:rPr>
          <w:i/>
          <w:iCs/>
        </w:rPr>
        <w:t>Finer Foods Sales Co. v. Block</w:t>
      </w:r>
      <w:r w:rsidRPr="00927730">
        <w:t>, 708 F.2d 774, 778 (D.C. Cir. 1983)).</w:t>
      </w:r>
    </w:p>
  </w:footnote>
  <w:footnote w:id="34">
    <w:p w:rsidR="00A40C23" w:rsidRPr="00927730" w:rsidP="00A40C23" w14:paraId="57389A96" w14:textId="313FC18D">
      <w:pPr>
        <w:pStyle w:val="FootnoteText"/>
      </w:pPr>
      <w:r w:rsidRPr="00927730">
        <w:rPr>
          <w:rStyle w:val="FootnoteReference"/>
          <w:rFonts w:eastAsiaTheme="majorEastAsia"/>
        </w:rPr>
        <w:footnoteRef/>
      </w:r>
      <w:r w:rsidRPr="00927730">
        <w:t xml:space="preserve"> </w:t>
      </w:r>
      <w:r w:rsidRPr="00927730" w:rsidR="003844DC">
        <w:rPr>
          <w:i/>
          <w:iCs/>
        </w:rPr>
        <w:t>Sixth Caller ID Authentication Order</w:t>
      </w:r>
      <w:r w:rsidRPr="00927730" w:rsidR="003844DC">
        <w:t>, 38 FCC Rcd at 2605, para. 62</w:t>
      </w:r>
      <w:r w:rsidRPr="00927730">
        <w:t>.</w:t>
      </w:r>
    </w:p>
  </w:footnote>
  <w:footnote w:id="35">
    <w:p w:rsidR="00A40C23" w:rsidRPr="00927730" w:rsidP="00A40C23" w14:paraId="318F5BFD" w14:textId="5AF502C4">
      <w:pPr>
        <w:pStyle w:val="FootnoteText"/>
      </w:pPr>
      <w:r w:rsidRPr="00927730">
        <w:rPr>
          <w:rStyle w:val="FootnoteReference"/>
          <w:rFonts w:eastAsiaTheme="majorEastAsia"/>
        </w:rPr>
        <w:footnoteRef/>
      </w:r>
      <w:r w:rsidRPr="00927730">
        <w:t xml:space="preserve"> </w:t>
      </w:r>
      <w:r w:rsidRPr="00927730" w:rsidR="003844DC">
        <w:rPr>
          <w:rStyle w:val="boolean-control"/>
          <w:i/>
          <w:iCs/>
        </w:rPr>
        <w:t>I</w:t>
      </w:r>
      <w:r w:rsidRPr="00927730">
        <w:rPr>
          <w:rStyle w:val="boolean-control"/>
          <w:i/>
          <w:iCs/>
        </w:rPr>
        <w:t>d.</w:t>
      </w:r>
      <w:r w:rsidRPr="00927730">
        <w:rPr>
          <w:rStyle w:val="boolean-control"/>
        </w:rPr>
        <w:t xml:space="preserve"> </w:t>
      </w:r>
    </w:p>
  </w:footnote>
  <w:footnote w:id="36">
    <w:p w:rsidR="000728BF" w:rsidRPr="00927730" w:rsidP="000728BF" w14:paraId="24B14106" w14:textId="39154E15">
      <w:pPr>
        <w:pStyle w:val="FootnoteText"/>
        <w:rPr>
          <w:i/>
          <w:iCs/>
        </w:rPr>
      </w:pPr>
      <w:r w:rsidRPr="00927730">
        <w:rPr>
          <w:rStyle w:val="FootnoteReference"/>
          <w:rFonts w:eastAsiaTheme="majorEastAsia"/>
        </w:rPr>
        <w:footnoteRef/>
      </w:r>
      <w:r w:rsidRPr="00927730">
        <w:t xml:space="preserve"> 47 CFR § 64.6305(g)</w:t>
      </w:r>
      <w:r w:rsidRPr="00927730" w:rsidR="00234E96">
        <w:t xml:space="preserve">. </w:t>
      </w:r>
    </w:p>
  </w:footnote>
  <w:footnote w:id="37">
    <w:p w:rsidR="00234E96" w:rsidRPr="00927730" w14:paraId="1E3C01D0" w14:textId="61E8D441">
      <w:pPr>
        <w:pStyle w:val="FootnoteText"/>
      </w:pPr>
      <w:r w:rsidRPr="00927730">
        <w:rPr>
          <w:rStyle w:val="FootnoteReference"/>
        </w:rPr>
        <w:footnoteRef/>
      </w:r>
      <w:r w:rsidRPr="00927730">
        <w:t xml:space="preserve"> </w:t>
      </w:r>
      <w:r w:rsidRPr="00927730">
        <w:rPr>
          <w:i/>
          <w:iCs/>
        </w:rPr>
        <w:t>See id.</w:t>
      </w:r>
    </w:p>
  </w:footnote>
  <w:footnote w:id="38">
    <w:p w:rsidR="00D26C62" w:rsidRPr="00D115F7" w:rsidP="00D26C62" w14:paraId="0F26114D" w14:textId="0713A3DA">
      <w:pPr>
        <w:pStyle w:val="FootnoteText"/>
      </w:pPr>
      <w:r w:rsidRPr="00927730">
        <w:rPr>
          <w:rStyle w:val="FootnoteReference"/>
        </w:rPr>
        <w:footnoteRef/>
      </w:r>
      <w:r w:rsidRPr="00927730">
        <w:t xml:space="preserve"> </w:t>
      </w:r>
      <w:r w:rsidRPr="00927730">
        <w:t>Belthrough</w:t>
      </w:r>
      <w:r w:rsidRPr="00927730">
        <w:t xml:space="preserve"> (No. RMD0015088), FCC, Robocall Mitigation Database (filed Mar. 11, 2025)</w:t>
      </w:r>
      <w:r>
        <w:t xml:space="preserve"> (</w:t>
      </w:r>
      <w:r>
        <w:t>Belthrough</w:t>
      </w:r>
      <w:r>
        <w:t xml:space="preserve"> RMD Filing)</w:t>
      </w:r>
      <w:r w:rsidR="00583861">
        <w:t>.</w:t>
      </w:r>
      <w:r w:rsidRPr="00927730">
        <w:t xml:space="preserve"> </w:t>
      </w:r>
      <w:r w:rsidRPr="00927730">
        <w:rPr>
          <w:i/>
          <w:iCs/>
        </w:rPr>
        <w:t xml:space="preserve"> </w:t>
      </w:r>
      <w:r w:rsidRPr="009C48BD" w:rsidR="009C48BD">
        <w:t>As</w:t>
      </w:r>
      <w:r w:rsidRPr="009C48BD" w:rsidR="00D73CB1">
        <w:t xml:space="preserve"> </w:t>
      </w:r>
      <w:r w:rsidRPr="00D115F7" w:rsidR="00D73CB1">
        <w:t xml:space="preserve">indicated in the Notice, </w:t>
      </w:r>
      <w:r w:rsidRPr="00D115F7" w:rsidR="00D73CB1">
        <w:t>Belthrough</w:t>
      </w:r>
      <w:r w:rsidRPr="00D115F7" w:rsidR="00D73CB1">
        <w:t xml:space="preserve"> </w:t>
      </w:r>
      <w:r w:rsidR="00855732">
        <w:t xml:space="preserve">has </w:t>
      </w:r>
      <w:r w:rsidR="00E66526">
        <w:t>transmitted</w:t>
      </w:r>
      <w:r w:rsidRPr="00D115F7" w:rsidR="00D115F7">
        <w:t xml:space="preserve"> traffic</w:t>
      </w:r>
      <w:r w:rsidRPr="00D115F7" w:rsidR="00555FE7">
        <w:t xml:space="preserve"> as a gateway provider</w:t>
      </w:r>
      <w:r w:rsidR="00196F35">
        <w:t xml:space="preserve"> in the past</w:t>
      </w:r>
      <w:r w:rsidRPr="00D115F7" w:rsidR="00555FE7">
        <w:t xml:space="preserve">. </w:t>
      </w:r>
      <w:r w:rsidR="00B50CDF">
        <w:t xml:space="preserve"> </w:t>
      </w:r>
      <w:r w:rsidRPr="00855732" w:rsidR="00D115F7">
        <w:rPr>
          <w:i/>
          <w:iCs/>
        </w:rPr>
        <w:t>See</w:t>
      </w:r>
      <w:r w:rsidR="00D115F7">
        <w:t xml:space="preserve"> Notice</w:t>
      </w:r>
      <w:r w:rsidR="00855732">
        <w:t xml:space="preserve">, </w:t>
      </w:r>
      <w:r w:rsidRPr="00927730" w:rsidR="00855732">
        <w:t xml:space="preserve">2025 WL 2622184 </w:t>
      </w:r>
      <w:r w:rsidR="00855732">
        <w:t>at *1.</w:t>
      </w:r>
    </w:p>
  </w:footnote>
  <w:footnote w:id="39">
    <w:p w:rsidR="00D26C62" w:rsidRPr="00927730" w:rsidP="00D26C62" w14:paraId="4272614F" w14:textId="3C1BA294">
      <w:pPr>
        <w:pStyle w:val="FootnoteText"/>
      </w:pPr>
      <w:r w:rsidRPr="00927730">
        <w:rPr>
          <w:rStyle w:val="FootnoteReference"/>
        </w:rPr>
        <w:footnoteRef/>
      </w:r>
      <w:r w:rsidRPr="00927730">
        <w:t xml:space="preserve"> </w:t>
      </w:r>
      <w:r w:rsidR="00B26866">
        <w:t>Belthrough</w:t>
      </w:r>
      <w:r w:rsidR="00B26866">
        <w:t xml:space="preserve"> RMD Filing</w:t>
      </w:r>
      <w:r w:rsidR="009E317B">
        <w:t>.</w:t>
      </w:r>
      <w:r w:rsidR="00CC6923">
        <w:t xml:space="preserve"> </w:t>
      </w:r>
    </w:p>
  </w:footnote>
  <w:footnote w:id="40">
    <w:p w:rsidR="009C5646" w:rsidRPr="00927730" w:rsidP="009C5646" w14:paraId="6A706356" w14:textId="77777777">
      <w:pPr>
        <w:pStyle w:val="FootnoteText"/>
        <w:spacing w:before="120"/>
        <w:rPr>
          <w:highlight w:val="lightGray"/>
        </w:rPr>
      </w:pPr>
      <w:r w:rsidRPr="00927730">
        <w:rPr>
          <w:rStyle w:val="FootnoteReference"/>
        </w:rPr>
        <w:footnoteRef/>
      </w:r>
      <w:r w:rsidRPr="00927730">
        <w:t xml:space="preserve"> The ITG is the registered industry consortium selected pursuant to the TRACED Act to conduct tracebacks. </w:t>
      </w:r>
      <w:r w:rsidRPr="00927730">
        <w:rPr>
          <w:i/>
          <w:iCs/>
        </w:rPr>
        <w:t xml:space="preserve"> See Implementing Section 13(d) of the Pallone-Thune Telephone Robocall Abuse Criminal Enforcement and Deterrence Act (TRACED Act)</w:t>
      </w:r>
      <w:r w:rsidRPr="00927730">
        <w:t xml:space="preserve">, EB Docket No. 20-22, Report and Order, 38 FCC Rcd 7561, 7561-62, para. 1 (EB 2023); </w:t>
      </w:r>
      <w:r w:rsidRPr="00927730">
        <w:rPr>
          <w:i/>
          <w:iCs/>
        </w:rPr>
        <w:t xml:space="preserve">see also </w:t>
      </w:r>
      <w:r w:rsidRPr="00927730">
        <w:t>Pallone-Thune Telephone Robocall Abuse Criminal Enforcement and Deterrence Act, Pub. L. No. 116-105, § 13(d), 133 Stat. 3274, 3287-88 (2019).</w:t>
      </w:r>
    </w:p>
  </w:footnote>
  <w:footnote w:id="41">
    <w:p w:rsidR="009C5646" w:rsidRPr="00927730" w:rsidP="009C5646" w14:paraId="749FCB62" w14:textId="0B38EA60">
      <w:pPr>
        <w:pStyle w:val="FootnoteText"/>
      </w:pPr>
      <w:r w:rsidRPr="00927730">
        <w:rPr>
          <w:rStyle w:val="FootnoteReference"/>
        </w:rPr>
        <w:footnoteRef/>
      </w:r>
      <w:r w:rsidRPr="00927730" w:rsidR="00843A91">
        <w:t xml:space="preserve">ITG Subpoena Response (Sept. 19, 2024) </w:t>
      </w:r>
      <w:r w:rsidR="00EF4EEB">
        <w:t>(</w:t>
      </w:r>
      <w:r w:rsidRPr="00927730" w:rsidR="00843A91">
        <w:t xml:space="preserve">on file at EB-TCD-24-00037445) (ITG Sept. 2024 Response); ITG Subpoena Response (June 23, 2025) (on file at EB-TCD-24-00037445) (ITG June 2025 Response). </w:t>
      </w:r>
    </w:p>
  </w:footnote>
  <w:footnote w:id="42">
    <w:p w:rsidR="009C5646" w:rsidRPr="00927730" w:rsidP="009C5646" w14:paraId="314A5315" w14:textId="39CD949D">
      <w:pPr>
        <w:pStyle w:val="FootnoteText"/>
      </w:pPr>
      <w:r w:rsidRPr="00927730">
        <w:rPr>
          <w:rStyle w:val="FootnoteReference"/>
        </w:rPr>
        <w:footnoteRef/>
      </w:r>
      <w:r w:rsidRPr="00927730">
        <w:t xml:space="preserve"> </w:t>
      </w:r>
      <w:r w:rsidRPr="00927730" w:rsidR="00843A91">
        <w:rPr>
          <w:i/>
          <w:iCs/>
        </w:rPr>
        <w:t>I</w:t>
      </w:r>
      <w:r w:rsidRPr="00927730">
        <w:rPr>
          <w:i/>
          <w:iCs/>
        </w:rPr>
        <w:t>d.</w:t>
      </w:r>
      <w:r w:rsidRPr="00927730">
        <w:t xml:space="preserve">; Notice, 2025 WL 2622184, Attachment A (noting </w:t>
      </w:r>
      <w:r w:rsidRPr="00927730">
        <w:t>Belthrough’s</w:t>
      </w:r>
      <w:r w:rsidRPr="00927730">
        <w:t xml:space="preserve"> role as the originator or the gateway provider for each identified call).</w:t>
      </w:r>
    </w:p>
  </w:footnote>
  <w:footnote w:id="43">
    <w:p w:rsidR="009C5646" w:rsidRPr="00927730" w:rsidP="009C5646" w14:paraId="0B621670" w14:textId="7F6F78FE">
      <w:pPr>
        <w:pStyle w:val="FootnoteText"/>
        <w:rPr>
          <w:highlight w:val="lightGray"/>
        </w:rPr>
      </w:pPr>
      <w:r w:rsidRPr="00927730">
        <w:rPr>
          <w:rStyle w:val="FootnoteReference"/>
        </w:rPr>
        <w:footnoteRef/>
      </w:r>
      <w:r w:rsidRPr="00927730">
        <w:t xml:space="preserve"> ITG Sept. 2024 Response,</w:t>
      </w:r>
      <w:r w:rsidRPr="00927730" w:rsidR="00843A91">
        <w:rPr>
          <w:i/>
          <w:iCs/>
        </w:rPr>
        <w:t xml:space="preserve"> </w:t>
      </w:r>
      <w:r w:rsidRPr="00927730">
        <w:t>ITG June 2025 Response</w:t>
      </w:r>
      <w:r w:rsidRPr="00927730" w:rsidR="00843A91">
        <w:t xml:space="preserve">. </w:t>
      </w:r>
    </w:p>
  </w:footnote>
  <w:footnote w:id="44">
    <w:p w:rsidR="009C5646" w:rsidRPr="00927730" w:rsidP="009C5646" w14:paraId="4D0376F1" w14:textId="1EB522BA">
      <w:pPr>
        <w:pStyle w:val="FootnoteText"/>
        <w:rPr>
          <w:highlight w:val="lightGray"/>
        </w:rPr>
      </w:pPr>
      <w:r w:rsidRPr="00927730">
        <w:rPr>
          <w:rStyle w:val="FootnoteReference"/>
        </w:rPr>
        <w:footnoteRef/>
      </w:r>
      <w:r w:rsidRPr="00927730">
        <w:t xml:space="preserve"> </w:t>
      </w:r>
      <w:r w:rsidRPr="00927730" w:rsidR="00843A91">
        <w:rPr>
          <w:i/>
          <w:iCs/>
        </w:rPr>
        <w:t>I</w:t>
      </w:r>
      <w:r w:rsidRPr="00927730">
        <w:rPr>
          <w:i/>
          <w:iCs/>
        </w:rPr>
        <w:t>d.</w:t>
      </w:r>
      <w:r w:rsidRPr="00927730">
        <w:t xml:space="preserve">  For the two identified calls that </w:t>
      </w:r>
      <w:r w:rsidRPr="00927730">
        <w:t>Belthrough</w:t>
      </w:r>
      <w:r w:rsidRPr="00927730">
        <w:t xml:space="preserve"> originated in April 2025, </w:t>
      </w:r>
      <w:r w:rsidRPr="00927730">
        <w:t>Belthrough</w:t>
      </w:r>
      <w:r w:rsidRPr="00927730">
        <w:t xml:space="preserve"> claimed to have terminated “that campaign from our network” for one of the calls and “blocked that traffic from our network” for the other.  However, </w:t>
      </w:r>
      <w:r w:rsidRPr="00927730">
        <w:t>Belthrough</w:t>
      </w:r>
      <w:r w:rsidRPr="00927730">
        <w:t xml:space="preserve"> listed itself as the “calling party” for both calls, rather than identifying the name of its customer(s).  Notice, 2025 WL 2622184 at *2; ITG June 2025 Response.</w:t>
      </w:r>
    </w:p>
  </w:footnote>
  <w:footnote w:id="45">
    <w:p w:rsidR="00474EA7" w:rsidRPr="00927730" w14:paraId="7A8BA24B" w14:textId="7DA5EA62">
      <w:pPr>
        <w:pStyle w:val="FootnoteText"/>
        <w:rPr>
          <w:highlight w:val="lightGray"/>
        </w:rPr>
      </w:pPr>
      <w:r w:rsidRPr="00927730">
        <w:rPr>
          <w:rStyle w:val="FootnoteReference"/>
        </w:rPr>
        <w:footnoteRef/>
      </w:r>
      <w:r w:rsidRPr="00927730">
        <w:t xml:space="preserve"> </w:t>
      </w:r>
      <w:r w:rsidRPr="00927730" w:rsidR="00DD61A1">
        <w:t>Notice</w:t>
      </w:r>
      <w:r w:rsidRPr="00927730" w:rsidR="00857C43">
        <w:t xml:space="preserve">, </w:t>
      </w:r>
      <w:r w:rsidRPr="00927730" w:rsidR="00A758E2">
        <w:t>2025 WL 2622184</w:t>
      </w:r>
      <w:r w:rsidRPr="00927730" w:rsidR="00B9047B">
        <w:t xml:space="preserve"> at *1</w:t>
      </w:r>
      <w:r w:rsidRPr="00927730">
        <w:t xml:space="preserve">.  </w:t>
      </w:r>
    </w:p>
  </w:footnote>
  <w:footnote w:id="46">
    <w:p w:rsidR="00843A91" w:rsidRPr="00927730" w:rsidP="00843A91" w14:paraId="7946472E" w14:textId="218419DA">
      <w:pPr>
        <w:pStyle w:val="FootnoteText"/>
        <w:rPr>
          <w:highlight w:val="lightGray"/>
        </w:rPr>
      </w:pPr>
      <w:r w:rsidRPr="00927730">
        <w:rPr>
          <w:rStyle w:val="FootnoteReference"/>
        </w:rPr>
        <w:footnoteRef/>
      </w:r>
      <w:r w:rsidRPr="00927730">
        <w:t xml:space="preserve"> </w:t>
      </w:r>
      <w:r w:rsidRPr="00927730" w:rsidR="00927730">
        <w:rPr>
          <w:i/>
          <w:iCs/>
        </w:rPr>
        <w:t>I</w:t>
      </w:r>
      <w:r w:rsidRPr="00927730">
        <w:rPr>
          <w:i/>
          <w:iCs/>
        </w:rPr>
        <w:t xml:space="preserve">d. </w:t>
      </w:r>
      <w:r w:rsidRPr="00927730">
        <w:t xml:space="preserve">at *2 &amp; Attachment A (identifying calls); </w:t>
      </w:r>
      <w:r w:rsidRPr="00332ED6" w:rsidR="00A12602">
        <w:rPr>
          <w:i/>
          <w:iCs/>
        </w:rPr>
        <w:t>see also</w:t>
      </w:r>
      <w:r w:rsidR="00A12602">
        <w:t xml:space="preserve"> </w:t>
      </w:r>
      <w:r w:rsidRPr="00927730">
        <w:t xml:space="preserve">47 U.S.C. § 227(b)(1)(A)(iii) (requiring callers obtain consent before placing </w:t>
      </w:r>
      <w:r w:rsidR="00C56634">
        <w:t xml:space="preserve">artificial or </w:t>
      </w:r>
      <w:r w:rsidRPr="00927730">
        <w:t xml:space="preserve">prerecorded </w:t>
      </w:r>
      <w:r w:rsidR="00426FE0">
        <w:t>voice</w:t>
      </w:r>
      <w:r w:rsidR="00C56634">
        <w:t xml:space="preserve"> </w:t>
      </w:r>
      <w:r w:rsidRPr="00927730">
        <w:t>calls to wireless telephone numbers); 47 CFR § 64.1200(a)(1)(iii) (same).</w:t>
      </w:r>
    </w:p>
  </w:footnote>
  <w:footnote w:id="47">
    <w:p w:rsidR="008743C5" w:rsidRPr="00927730" w14:paraId="41F483C7" w14:textId="6D6FAE76">
      <w:pPr>
        <w:pStyle w:val="FootnoteText"/>
      </w:pPr>
      <w:r w:rsidRPr="00927730">
        <w:rPr>
          <w:rStyle w:val="FootnoteReference"/>
        </w:rPr>
        <w:footnoteRef/>
      </w:r>
      <w:r w:rsidRPr="00927730">
        <w:t xml:space="preserve"> Notice, </w:t>
      </w:r>
      <w:r w:rsidRPr="00927730" w:rsidR="006F379F">
        <w:t>2025 WL 2622184</w:t>
      </w:r>
      <w:r w:rsidRPr="00927730">
        <w:t xml:space="preserve"> at </w:t>
      </w:r>
      <w:r w:rsidRPr="00927730" w:rsidR="006F379F">
        <w:t>*</w:t>
      </w:r>
      <w:r w:rsidRPr="00927730" w:rsidR="004D055E">
        <w:t>1-2.</w:t>
      </w:r>
    </w:p>
  </w:footnote>
  <w:footnote w:id="48">
    <w:p w:rsidR="00B9047B" w:rsidRPr="00927730" w:rsidP="00B9047B" w14:paraId="1F6A3308" w14:textId="348F7AA1">
      <w:pPr>
        <w:pStyle w:val="FootnoteText"/>
      </w:pPr>
      <w:r w:rsidRPr="00927730">
        <w:rPr>
          <w:rStyle w:val="FootnoteReference"/>
        </w:rPr>
        <w:footnoteRef/>
      </w:r>
      <w:r w:rsidRPr="00927730">
        <w:t xml:space="preserve"> </w:t>
      </w:r>
      <w:r w:rsidRPr="00927730" w:rsidR="00927730">
        <w:rPr>
          <w:i/>
          <w:iCs/>
        </w:rPr>
        <w:t>Id.</w:t>
      </w:r>
      <w:r w:rsidRPr="00927730">
        <w:t xml:space="preserve"> at *3-4.  </w:t>
      </w:r>
    </w:p>
  </w:footnote>
  <w:footnote w:id="49">
    <w:p w:rsidR="00B9047B" w:rsidRPr="00927730" w:rsidP="00B9047B" w14:paraId="48347B3E" w14:textId="77777777">
      <w:pPr>
        <w:pStyle w:val="FootnoteText"/>
      </w:pPr>
      <w:r w:rsidRPr="00927730">
        <w:rPr>
          <w:rStyle w:val="FootnoteReference"/>
        </w:rPr>
        <w:footnoteRef/>
      </w:r>
      <w:r w:rsidRPr="00927730">
        <w:t xml:space="preserve"> </w:t>
      </w:r>
      <w:r w:rsidRPr="00927730">
        <w:rPr>
          <w:i/>
          <w:iCs/>
        </w:rPr>
        <w:t>Id</w:t>
      </w:r>
      <w:r w:rsidRPr="00927730">
        <w:t xml:space="preserve">. at *4. </w:t>
      </w:r>
    </w:p>
  </w:footnote>
  <w:footnote w:id="50">
    <w:p w:rsidR="00B9047B" w:rsidRPr="00927730" w:rsidP="00B9047B" w14:paraId="2068E25A" w14:textId="05DDC528">
      <w:pPr>
        <w:pStyle w:val="FootnoteText"/>
      </w:pPr>
      <w:r w:rsidRPr="00927730">
        <w:rPr>
          <w:rStyle w:val="FootnoteReference"/>
        </w:rPr>
        <w:footnoteRef/>
      </w:r>
      <w:r w:rsidRPr="00927730">
        <w:t xml:space="preserve"> </w:t>
      </w:r>
      <w:r w:rsidRPr="00927730">
        <w:rPr>
          <w:i/>
          <w:iCs/>
        </w:rPr>
        <w:t>Id.</w:t>
      </w:r>
      <w:r w:rsidRPr="00927730">
        <w:t xml:space="preserve"> at *</w:t>
      </w:r>
      <w:r w:rsidR="00595EC7">
        <w:t>5</w:t>
      </w:r>
      <w:r w:rsidRPr="00927730">
        <w:t>.</w:t>
      </w:r>
    </w:p>
  </w:footnote>
  <w:footnote w:id="51">
    <w:p w:rsidR="00B16B27" w:rsidRPr="00927730" w:rsidP="008C52C5" w14:paraId="0831B777" w14:textId="63E083C7">
      <w:pPr>
        <w:pStyle w:val="FootnoteText"/>
      </w:pPr>
      <w:r w:rsidRPr="00927730">
        <w:rPr>
          <w:rStyle w:val="FootnoteReference"/>
        </w:rPr>
        <w:footnoteRef/>
      </w:r>
      <w:r w:rsidRPr="00927730">
        <w:t xml:space="preserve"> </w:t>
      </w:r>
      <w:r w:rsidRPr="00927730" w:rsidR="008C52C5">
        <w:rPr>
          <w:i/>
          <w:iCs/>
        </w:rPr>
        <w:t>See</w:t>
      </w:r>
      <w:r w:rsidRPr="00927730" w:rsidR="008C52C5">
        <w:t xml:space="preserve"> Brisa Cruz</w:t>
      </w:r>
      <w:r w:rsidR="00504CE0">
        <w:t>,</w:t>
      </w:r>
      <w:r w:rsidRPr="00927730" w:rsidR="008C52C5">
        <w:t xml:space="preserve"> </w:t>
      </w:r>
      <w:r w:rsidRPr="00927730" w:rsidR="008C52C5">
        <w:t>Belthrough</w:t>
      </w:r>
      <w:r w:rsidRPr="00927730" w:rsidR="008C52C5">
        <w:t>, LLC, PS Form 3811</w:t>
      </w:r>
      <w:r w:rsidRPr="00927730" w:rsidR="00615FD5">
        <w:t xml:space="preserve"> </w:t>
      </w:r>
      <w:r w:rsidR="00595EC7">
        <w:t>(</w:t>
      </w:r>
      <w:r w:rsidRPr="00927730" w:rsidR="00615FD5">
        <w:t>on file in EB-TCD-00037445</w:t>
      </w:r>
      <w:r w:rsidR="00595EC7">
        <w:t>)</w:t>
      </w:r>
      <w:r w:rsidRPr="00927730" w:rsidR="00861904">
        <w:t xml:space="preserve"> (Certified Mail Return</w:t>
      </w:r>
      <w:r w:rsidRPr="00927730" w:rsidR="00BC00B3">
        <w:t xml:space="preserve"> Receipt</w:t>
      </w:r>
      <w:r w:rsidRPr="00927730" w:rsidR="00861904">
        <w:t>)</w:t>
      </w:r>
      <w:r w:rsidRPr="00927730">
        <w:t>.</w:t>
      </w:r>
      <w:r w:rsidRPr="00927730" w:rsidR="008C52C5">
        <w:t xml:space="preserve"> </w:t>
      </w:r>
      <w:r w:rsidRPr="00927730">
        <w:t xml:space="preserve"> </w:t>
      </w:r>
      <w:r w:rsidRPr="00927730" w:rsidR="00010452">
        <w:t xml:space="preserve">Although signed, the </w:t>
      </w:r>
      <w:r w:rsidRPr="00927730" w:rsidR="008C52C5">
        <w:t xml:space="preserve">return receipt </w:t>
      </w:r>
      <w:r w:rsidRPr="00927730" w:rsidR="00010452">
        <w:t xml:space="preserve">was undated. </w:t>
      </w:r>
      <w:r w:rsidRPr="00927730" w:rsidR="00A033A1">
        <w:t xml:space="preserve"> </w:t>
      </w:r>
      <w:r w:rsidRPr="00927730" w:rsidR="00010452">
        <w:rPr>
          <w:i/>
          <w:iCs/>
        </w:rPr>
        <w:t>Id</w:t>
      </w:r>
      <w:r w:rsidRPr="00927730" w:rsidR="00A83660">
        <w:t>.</w:t>
      </w:r>
    </w:p>
  </w:footnote>
  <w:footnote w:id="52">
    <w:p w:rsidR="00B16B27" w:rsidRPr="00927730" w:rsidP="008C52C5" w14:paraId="00EC9484" w14:textId="41E38C20">
      <w:pPr>
        <w:spacing w:after="120"/>
        <w:rPr>
          <w:sz w:val="20"/>
        </w:rPr>
      </w:pPr>
      <w:r w:rsidRPr="00927730">
        <w:rPr>
          <w:rStyle w:val="FootnoteReference"/>
        </w:rPr>
        <w:footnoteRef/>
      </w:r>
      <w:r w:rsidRPr="00927730">
        <w:rPr>
          <w:sz w:val="20"/>
        </w:rPr>
        <w:t xml:space="preserve"> Email from Enforcement</w:t>
      </w:r>
      <w:r w:rsidRPr="00927730" w:rsidR="00B5416B">
        <w:rPr>
          <w:sz w:val="20"/>
        </w:rPr>
        <w:t xml:space="preserve"> </w:t>
      </w:r>
      <w:r w:rsidRPr="00927730">
        <w:rPr>
          <w:sz w:val="20"/>
        </w:rPr>
        <w:t>Bureau</w:t>
      </w:r>
      <w:r w:rsidRPr="00927730" w:rsidR="00B5416B">
        <w:rPr>
          <w:sz w:val="20"/>
        </w:rPr>
        <w:t xml:space="preserve"> </w:t>
      </w:r>
      <w:r w:rsidRPr="00927730">
        <w:rPr>
          <w:sz w:val="20"/>
        </w:rPr>
        <w:t xml:space="preserve">TCD to Brisa Cruz, </w:t>
      </w:r>
      <w:r w:rsidRPr="00927730">
        <w:rPr>
          <w:sz w:val="20"/>
        </w:rPr>
        <w:t>Belthrough</w:t>
      </w:r>
      <w:r w:rsidRPr="00927730">
        <w:rPr>
          <w:sz w:val="20"/>
        </w:rPr>
        <w:t>, Wednesday, Sept</w:t>
      </w:r>
      <w:r w:rsidR="00A95C0C">
        <w:rPr>
          <w:sz w:val="20"/>
        </w:rPr>
        <w:t>.</w:t>
      </w:r>
      <w:r w:rsidRPr="00927730">
        <w:rPr>
          <w:sz w:val="20"/>
        </w:rPr>
        <w:t xml:space="preserve"> 10, 2025</w:t>
      </w:r>
      <w:r w:rsidR="00A95C0C">
        <w:rPr>
          <w:sz w:val="20"/>
        </w:rPr>
        <w:t>,</w:t>
      </w:r>
      <w:r w:rsidRPr="00927730">
        <w:rPr>
          <w:sz w:val="20"/>
        </w:rPr>
        <w:t xml:space="preserve"> 1</w:t>
      </w:r>
      <w:r w:rsidR="00F953C9">
        <w:rPr>
          <w:sz w:val="20"/>
        </w:rPr>
        <w:t>0</w:t>
      </w:r>
      <w:r w:rsidRPr="00927730">
        <w:rPr>
          <w:sz w:val="20"/>
        </w:rPr>
        <w:t>:44</w:t>
      </w:r>
      <w:r w:rsidR="00092B5A">
        <w:rPr>
          <w:sz w:val="20"/>
        </w:rPr>
        <w:t xml:space="preserve"> [</w:t>
      </w:r>
      <w:r w:rsidR="000E30E7">
        <w:rPr>
          <w:sz w:val="20"/>
        </w:rPr>
        <w:t>E</w:t>
      </w:r>
      <w:r w:rsidR="00F14A94">
        <w:rPr>
          <w:sz w:val="20"/>
        </w:rPr>
        <w:t>S</w:t>
      </w:r>
      <w:r w:rsidR="000E30E7">
        <w:rPr>
          <w:sz w:val="20"/>
        </w:rPr>
        <w:t>T</w:t>
      </w:r>
      <w:r w:rsidR="00092B5A">
        <w:rPr>
          <w:sz w:val="20"/>
        </w:rPr>
        <w:t>]</w:t>
      </w:r>
      <w:r w:rsidRPr="00927730" w:rsidR="003E7F31">
        <w:rPr>
          <w:sz w:val="20"/>
        </w:rPr>
        <w:t xml:space="preserve"> </w:t>
      </w:r>
      <w:r w:rsidR="00595EC7">
        <w:rPr>
          <w:sz w:val="20"/>
        </w:rPr>
        <w:t>(</w:t>
      </w:r>
      <w:r w:rsidRPr="00927730" w:rsidR="003E7F31">
        <w:rPr>
          <w:sz w:val="20"/>
        </w:rPr>
        <w:t>on file in EB-TCD-00037445</w:t>
      </w:r>
      <w:r w:rsidR="00595EC7">
        <w:rPr>
          <w:sz w:val="20"/>
        </w:rPr>
        <w:t>)</w:t>
      </w:r>
      <w:r w:rsidRPr="00927730" w:rsidR="003E7F31">
        <w:rPr>
          <w:sz w:val="20"/>
        </w:rPr>
        <w:t xml:space="preserve">. </w:t>
      </w:r>
    </w:p>
  </w:footnote>
  <w:footnote w:id="53">
    <w:p w:rsidR="00B16B27" w:rsidRPr="00927730" w:rsidP="008C52C5" w14:paraId="0F0A3338" w14:textId="51837553">
      <w:pPr>
        <w:pStyle w:val="FootnoteText"/>
      </w:pPr>
      <w:r w:rsidRPr="00927730">
        <w:rPr>
          <w:rStyle w:val="FootnoteReference"/>
        </w:rPr>
        <w:footnoteRef/>
      </w:r>
      <w:r w:rsidRPr="00927730">
        <w:t xml:space="preserve"> ITG November 21, </w:t>
      </w:r>
      <w:r w:rsidRPr="00927730">
        <w:t>2025</w:t>
      </w:r>
      <w:r w:rsidRPr="00927730">
        <w:t xml:space="preserve"> Subpoena Response</w:t>
      </w:r>
      <w:r w:rsidRPr="00927730" w:rsidR="00FB53D3">
        <w:t xml:space="preserve"> </w:t>
      </w:r>
      <w:r w:rsidR="00595EC7">
        <w:t>(</w:t>
      </w:r>
      <w:r w:rsidRPr="00927730">
        <w:t>on file in EB-TCD-00037445</w:t>
      </w:r>
      <w:r w:rsidR="00595EC7">
        <w:t>)</w:t>
      </w:r>
      <w:r w:rsidRPr="00927730" w:rsidR="00215C0C">
        <w:t xml:space="preserve"> (ITG Nov. 2025 Response)</w:t>
      </w:r>
      <w:r w:rsidRPr="00927730">
        <w:t xml:space="preserve">. </w:t>
      </w:r>
    </w:p>
  </w:footnote>
  <w:footnote w:id="54">
    <w:p w:rsidR="00517CEA" w:rsidRPr="00927730" w14:paraId="46A5C908" w14:textId="681C8297">
      <w:pPr>
        <w:pStyle w:val="FootnoteText"/>
      </w:pPr>
      <w:r w:rsidRPr="00927730">
        <w:rPr>
          <w:rStyle w:val="FootnoteReference"/>
        </w:rPr>
        <w:footnoteRef/>
      </w:r>
      <w:r w:rsidRPr="00927730">
        <w:t xml:space="preserve"> </w:t>
      </w:r>
      <w:r w:rsidRPr="00927730" w:rsidR="0004566A">
        <w:rPr>
          <w:i/>
          <w:iCs/>
        </w:rPr>
        <w:t>Id.</w:t>
      </w:r>
    </w:p>
  </w:footnote>
  <w:footnote w:id="55">
    <w:p w:rsidR="00B16B27" w:rsidRPr="00FA10A3" w:rsidP="008C52C5" w14:paraId="155BA5B8" w14:textId="77777777">
      <w:pPr>
        <w:pStyle w:val="FootnoteText"/>
      </w:pPr>
      <w:r w:rsidRPr="00927730">
        <w:rPr>
          <w:rStyle w:val="FootnoteReference"/>
        </w:rPr>
        <w:footnoteRef/>
      </w:r>
      <w:r w:rsidRPr="00FA10A3">
        <w:t xml:space="preserve"> </w:t>
      </w:r>
      <w:r w:rsidRPr="00FA10A3">
        <w:rPr>
          <w:i/>
          <w:iCs/>
        </w:rPr>
        <w:t>Id</w:t>
      </w:r>
      <w:r w:rsidRPr="00FA10A3">
        <w:t>.</w:t>
      </w:r>
    </w:p>
  </w:footnote>
  <w:footnote w:id="56">
    <w:p w:rsidR="00615FD5" w:rsidRPr="00927730" w14:paraId="0441BA26" w14:textId="4EAD93A9">
      <w:pPr>
        <w:pStyle w:val="FootnoteText"/>
      </w:pPr>
      <w:r w:rsidRPr="00927730">
        <w:rPr>
          <w:rStyle w:val="FootnoteReference"/>
        </w:rPr>
        <w:footnoteRef/>
      </w:r>
      <w:r w:rsidRPr="00927730">
        <w:t xml:space="preserve"> </w:t>
      </w:r>
      <w:r w:rsidRPr="00F14A94">
        <w:t>Initial Determination Order</w:t>
      </w:r>
      <w:r w:rsidRPr="00927730">
        <w:t>, DA 26-172.</w:t>
      </w:r>
    </w:p>
  </w:footnote>
  <w:footnote w:id="57">
    <w:p w:rsidR="00615FD5" w:rsidRPr="00927730" w:rsidP="00615FD5" w14:paraId="7CCF55DC" w14:textId="1570F298">
      <w:pPr>
        <w:pStyle w:val="FootnoteText"/>
      </w:pPr>
      <w:r w:rsidRPr="00927730">
        <w:rPr>
          <w:rStyle w:val="FootnoteReference"/>
        </w:rPr>
        <w:footnoteRef/>
      </w:r>
      <w:r w:rsidRPr="00927730">
        <w:t xml:space="preserve"> </w:t>
      </w:r>
      <w:r w:rsidRPr="00927730">
        <w:rPr>
          <w:i/>
          <w:iCs/>
        </w:rPr>
        <w:t>Id.</w:t>
      </w:r>
      <w:r w:rsidRPr="00927730">
        <w:t xml:space="preserve"> at </w:t>
      </w:r>
      <w:r w:rsidR="00D26C62">
        <w:t>5, para. 12</w:t>
      </w:r>
      <w:r w:rsidRPr="00927730">
        <w:t xml:space="preserve">. </w:t>
      </w:r>
    </w:p>
  </w:footnote>
  <w:footnote w:id="58">
    <w:p w:rsidR="00615FD5" w:rsidRPr="00927730" w:rsidP="00615FD5" w14:paraId="391DE078" w14:textId="686018EE">
      <w:pPr>
        <w:pStyle w:val="FootnoteText"/>
      </w:pPr>
      <w:r w:rsidRPr="00927730">
        <w:rPr>
          <w:rStyle w:val="FootnoteReference"/>
        </w:rPr>
        <w:footnoteRef/>
      </w:r>
      <w:r w:rsidRPr="00927730">
        <w:t xml:space="preserve"> </w:t>
      </w:r>
      <w:r w:rsidRPr="00927730">
        <w:rPr>
          <w:i/>
          <w:iCs/>
        </w:rPr>
        <w:t>Id.</w:t>
      </w:r>
      <w:r w:rsidRPr="00D26C62" w:rsidR="00D26C62">
        <w:t xml:space="preserve"> </w:t>
      </w:r>
      <w:r w:rsidRPr="00927730" w:rsidR="00D26C62">
        <w:t xml:space="preserve">at </w:t>
      </w:r>
      <w:r w:rsidR="00D26C62">
        <w:t>6-7, para</w:t>
      </w:r>
      <w:r w:rsidR="007B52A2">
        <w:t>s</w:t>
      </w:r>
      <w:r w:rsidR="00D26C62">
        <w:t>. 14.</w:t>
      </w:r>
    </w:p>
  </w:footnote>
  <w:footnote w:id="59">
    <w:p w:rsidR="00497500" w:rsidRPr="00FA10A3" w14:paraId="139C0D99" w14:textId="38429D3A">
      <w:pPr>
        <w:pStyle w:val="FootnoteText"/>
      </w:pPr>
      <w:r w:rsidRPr="00927730">
        <w:rPr>
          <w:rStyle w:val="FootnoteReference"/>
        </w:rPr>
        <w:footnoteRef/>
      </w:r>
      <w:r w:rsidRPr="00FA10A3">
        <w:t xml:space="preserve"> 47 CFR § 64.1200(n)(</w:t>
      </w:r>
      <w:r w:rsidRPr="00FA10A3" w:rsidR="00651117">
        <w:t>2</w:t>
      </w:r>
      <w:r w:rsidRPr="00FA10A3">
        <w:t>)</w:t>
      </w:r>
      <w:r w:rsidRPr="00FA10A3" w:rsidR="00026D0D">
        <w:t>(i)(A)</w:t>
      </w:r>
      <w:r w:rsidRPr="00FA10A3">
        <w:t>.</w:t>
      </w:r>
    </w:p>
  </w:footnote>
  <w:footnote w:id="60">
    <w:p w:rsidR="00497500" w:rsidRPr="00E43C29" w14:paraId="64C252B6" w14:textId="77777777">
      <w:pPr>
        <w:pStyle w:val="FootnoteText"/>
        <w:rPr>
          <w:highlight w:val="lightGray"/>
        </w:rPr>
      </w:pPr>
      <w:r w:rsidRPr="00927730">
        <w:rPr>
          <w:rStyle w:val="FootnoteReference"/>
        </w:rPr>
        <w:footnoteRef/>
      </w:r>
      <w:r w:rsidRPr="00E43C29">
        <w:t xml:space="preserve"> </w:t>
      </w:r>
      <w:r w:rsidRPr="00E43C29">
        <w:rPr>
          <w:i/>
          <w:iCs/>
        </w:rPr>
        <w:t>Id.</w:t>
      </w:r>
    </w:p>
  </w:footnote>
  <w:footnote w:id="61">
    <w:p w:rsidR="00F6317F" w:rsidRPr="00927730" w14:paraId="1C1CC451" w14:textId="42FC463E">
      <w:pPr>
        <w:pStyle w:val="FootnoteText"/>
      </w:pPr>
      <w:r w:rsidRPr="00927730">
        <w:rPr>
          <w:rStyle w:val="FootnoteReference"/>
        </w:rPr>
        <w:footnoteRef/>
      </w:r>
      <w:r w:rsidRPr="00927730">
        <w:t xml:space="preserve"> </w:t>
      </w:r>
      <w:r w:rsidRPr="00F14A94">
        <w:t>Initial Determination Order</w:t>
      </w:r>
      <w:r w:rsidR="005E53A5">
        <w:t>,</w:t>
      </w:r>
      <w:r w:rsidRPr="005E53A5" w:rsidR="005E53A5">
        <w:t xml:space="preserve"> </w:t>
      </w:r>
      <w:r w:rsidRPr="00927730" w:rsidR="005E53A5">
        <w:t>DA 26-172, at 1</w:t>
      </w:r>
      <w:r w:rsidR="003A6FE2">
        <w:t xml:space="preserve">, </w:t>
      </w:r>
      <w:r w:rsidR="004F78C2">
        <w:t>5</w:t>
      </w:r>
      <w:r w:rsidR="00DA3BE7">
        <w:t xml:space="preserve">, </w:t>
      </w:r>
      <w:r w:rsidR="003A6FE2">
        <w:t>para</w:t>
      </w:r>
      <w:r w:rsidR="00DA3BE7">
        <w:t>s</w:t>
      </w:r>
      <w:r w:rsidR="003A6FE2">
        <w:t>. 1</w:t>
      </w:r>
      <w:r w:rsidR="00DA3BE7">
        <w:t>, 1</w:t>
      </w:r>
      <w:r w:rsidR="004F78C2">
        <w:t>2</w:t>
      </w:r>
      <w:r w:rsidR="003A6FE2">
        <w:t xml:space="preserve">. </w:t>
      </w:r>
    </w:p>
  </w:footnote>
  <w:footnote w:id="62">
    <w:p w:rsidR="00DA467C" w:rsidRPr="00E43C29" w:rsidP="00DA5832" w14:paraId="2D78BC10" w14:textId="22D616F8">
      <w:pPr>
        <w:pStyle w:val="FootnoteText"/>
        <w:keepLines/>
        <w:rPr>
          <w:i/>
          <w:iCs/>
          <w:highlight w:val="lightGray"/>
        </w:rPr>
      </w:pPr>
      <w:r w:rsidRPr="00927730">
        <w:rPr>
          <w:rStyle w:val="FootnoteReference"/>
        </w:rPr>
        <w:footnoteRef/>
      </w:r>
      <w:r w:rsidRPr="00E43C29">
        <w:t xml:space="preserve"> </w:t>
      </w:r>
      <w:r w:rsidRPr="00E43C29" w:rsidR="005E53A5">
        <w:rPr>
          <w:i/>
          <w:iCs/>
        </w:rPr>
        <w:t xml:space="preserve">Id. </w:t>
      </w:r>
    </w:p>
  </w:footnote>
  <w:footnote w:id="63">
    <w:p w:rsidR="00F6317F" w:rsidRPr="005E53A5" w14:paraId="174BDD3E" w14:textId="43203F97">
      <w:pPr>
        <w:pStyle w:val="FootnoteText"/>
        <w:rPr>
          <w:i/>
          <w:iCs/>
        </w:rPr>
      </w:pPr>
      <w:r w:rsidRPr="00927730">
        <w:rPr>
          <w:rStyle w:val="FootnoteReference"/>
        </w:rPr>
        <w:footnoteRef/>
      </w:r>
      <w:r w:rsidRPr="00927730">
        <w:t xml:space="preserve"> </w:t>
      </w:r>
      <w:r w:rsidR="005E53A5">
        <w:rPr>
          <w:i/>
          <w:iCs/>
        </w:rPr>
        <w:t xml:space="preserve">Id. </w:t>
      </w:r>
    </w:p>
  </w:footnote>
  <w:footnote w:id="64">
    <w:p w:rsidR="005A5D0E" w:rsidRPr="00927730" w:rsidP="00DA5832" w14:paraId="0BD37494" w14:textId="47345F58">
      <w:pPr>
        <w:pStyle w:val="FootnoteText"/>
      </w:pPr>
      <w:r w:rsidRPr="00927730">
        <w:rPr>
          <w:rStyle w:val="FootnoteReference"/>
        </w:rPr>
        <w:footnoteRef/>
      </w:r>
      <w:r w:rsidRPr="00927730">
        <w:t xml:space="preserve"> </w:t>
      </w:r>
      <w:r w:rsidRPr="00927730" w:rsidR="00F15497">
        <w:rPr>
          <w:i/>
          <w:iCs/>
        </w:rPr>
        <w:t>Id.</w:t>
      </w:r>
      <w:r w:rsidRPr="00927730">
        <w:t xml:space="preserve"> </w:t>
      </w:r>
    </w:p>
  </w:footnote>
  <w:footnote w:id="65">
    <w:p w:rsidR="009F6287" w:rsidRPr="00927730" w14:paraId="46C5284F" w14:textId="5C23F4BC">
      <w:pPr>
        <w:pStyle w:val="FootnoteText"/>
      </w:pPr>
      <w:r w:rsidRPr="00927730">
        <w:rPr>
          <w:rStyle w:val="FootnoteReference"/>
        </w:rPr>
        <w:footnoteRef/>
      </w:r>
      <w:r w:rsidRPr="00927730">
        <w:t xml:space="preserve"> </w:t>
      </w:r>
      <w:r w:rsidRPr="00927730">
        <w:rPr>
          <w:i/>
          <w:iCs/>
        </w:rPr>
        <w:t xml:space="preserve">See </w:t>
      </w:r>
      <w:r w:rsidR="005E53A5">
        <w:t>47 CFR § 64.1200(n)(2)(iii).</w:t>
      </w:r>
    </w:p>
  </w:footnote>
  <w:footnote w:id="66">
    <w:p w:rsidR="005A5D0E" w:rsidRPr="00927730" w:rsidP="005A5D0E" w14:paraId="4A2BFF2C" w14:textId="080374D4">
      <w:pPr>
        <w:pStyle w:val="FootnoteText"/>
      </w:pPr>
      <w:r w:rsidRPr="00927730">
        <w:rPr>
          <w:rStyle w:val="FootnoteReference"/>
        </w:rPr>
        <w:footnoteRef/>
      </w:r>
      <w:r w:rsidRPr="00927730">
        <w:t xml:space="preserve"> </w:t>
      </w:r>
      <w:r w:rsidRPr="00927730" w:rsidR="00F15497">
        <w:rPr>
          <w:i/>
          <w:iCs/>
        </w:rPr>
        <w:t>Id.</w:t>
      </w:r>
      <w:r w:rsidRPr="00927730">
        <w:t xml:space="preserve"> § 64.1200(n)(</w:t>
      </w:r>
      <w:r w:rsidRPr="00927730" w:rsidR="00110355">
        <w:t>3</w:t>
      </w:r>
      <w:r w:rsidRPr="00927730">
        <w:t>).</w:t>
      </w:r>
    </w:p>
  </w:footnote>
  <w:footnote w:id="67">
    <w:p w:rsidR="000005CE" w:rsidRPr="00927730" w14:paraId="3E04DF44" w14:textId="5DADFA13">
      <w:pPr>
        <w:pStyle w:val="FootnoteText"/>
      </w:pPr>
      <w:r w:rsidRPr="00927730">
        <w:rPr>
          <w:rStyle w:val="FootnoteReference"/>
        </w:rPr>
        <w:footnoteRef/>
      </w:r>
      <w:r w:rsidRPr="00927730">
        <w:t xml:space="preserve"> </w:t>
      </w:r>
      <w:r w:rsidRPr="00927730">
        <w:rPr>
          <w:i/>
          <w:iCs/>
        </w:rPr>
        <w:t>Id.</w:t>
      </w:r>
      <w:r w:rsidRPr="00F47AD3" w:rsidR="00F47AD3">
        <w:t>;</w:t>
      </w:r>
      <w:r w:rsidRPr="00F47AD3">
        <w:t xml:space="preserve"> </w:t>
      </w:r>
      <w:r w:rsidRPr="00B807B6" w:rsidR="00B807B6">
        <w:rPr>
          <w:i/>
          <w:iCs/>
        </w:rPr>
        <w:t>id</w:t>
      </w:r>
      <w:r w:rsidR="00B807B6">
        <w:t>.</w:t>
      </w:r>
      <w:r w:rsidRPr="00927730">
        <w:t xml:space="preserve"> § 64.1200(k)(4) (allowing for permissive blocking of </w:t>
      </w:r>
      <w:r w:rsidR="00BE3BDB">
        <w:t>call</w:t>
      </w:r>
      <w:r w:rsidR="00517E75">
        <w:t>s</w:t>
      </w:r>
      <w:r w:rsidR="00BE3BDB">
        <w:t xml:space="preserve"> from </w:t>
      </w:r>
      <w:r w:rsidRPr="00927730">
        <w:t>an originating or intermediate provider</w:t>
      </w:r>
      <w:r w:rsidR="00735982">
        <w:t xml:space="preserve"> if</w:t>
      </w:r>
      <w:r w:rsidR="00721E5C">
        <w:t xml:space="preserve"> certain conditions are met</w:t>
      </w:r>
      <w:r w:rsidRPr="00927730">
        <w:t>).</w:t>
      </w:r>
    </w:p>
  </w:footnote>
  <w:footnote w:id="68">
    <w:p w:rsidR="002D36BE" w:rsidRPr="00927730" w:rsidP="002D36BE" w14:paraId="47159301" w14:textId="40A106A7">
      <w:pPr>
        <w:pStyle w:val="FootnoteText"/>
      </w:pPr>
      <w:r w:rsidRPr="00927730">
        <w:rPr>
          <w:rStyle w:val="FootnoteReference"/>
          <w:rFonts w:eastAsiaTheme="majorEastAsia"/>
        </w:rPr>
        <w:footnoteRef/>
      </w:r>
      <w:r w:rsidRPr="00927730">
        <w:t xml:space="preserve"> </w:t>
      </w:r>
      <w:r w:rsidR="005E53A5">
        <w:t>Belthrough</w:t>
      </w:r>
      <w:r w:rsidR="005E53A5">
        <w:t xml:space="preserve"> RMD Filing</w:t>
      </w:r>
      <w:r w:rsidR="00F14A94">
        <w:t>.</w:t>
      </w:r>
    </w:p>
  </w:footnote>
  <w:footnote w:id="69">
    <w:p w:rsidR="005C7A08" w:rsidRPr="00927730" w14:paraId="66FF11E4" w14:textId="1AA1D4AA">
      <w:pPr>
        <w:pStyle w:val="FootnoteText"/>
      </w:pPr>
      <w:r w:rsidRPr="00927730">
        <w:rPr>
          <w:rStyle w:val="FootnoteReference"/>
        </w:rPr>
        <w:footnoteRef/>
      </w:r>
      <w:r w:rsidRPr="00927730">
        <w:t xml:space="preserve"> Notice, </w:t>
      </w:r>
      <w:r w:rsidRPr="00927730" w:rsidR="005520B6">
        <w:t>2025 WL 2622184</w:t>
      </w:r>
      <w:r w:rsidRPr="00927730" w:rsidR="002A0A09">
        <w:t>,</w:t>
      </w:r>
      <w:r w:rsidRPr="00927730" w:rsidR="00224E21">
        <w:t xml:space="preserve"> </w:t>
      </w:r>
      <w:r w:rsidRPr="00927730">
        <w:t xml:space="preserve">at </w:t>
      </w:r>
      <w:r w:rsidRPr="00927730" w:rsidR="005520B6">
        <w:t>*</w:t>
      </w:r>
      <w:r w:rsidR="004852DD">
        <w:t>5</w:t>
      </w:r>
      <w:r w:rsidRPr="00927730">
        <w:t>.</w:t>
      </w:r>
    </w:p>
  </w:footnote>
  <w:footnote w:id="70">
    <w:p w:rsidR="00432A79" w:rsidRPr="00927730" w14:paraId="37212E03" w14:textId="3E0A7732">
      <w:pPr>
        <w:pStyle w:val="FootnoteText"/>
      </w:pPr>
      <w:r w:rsidRPr="00927730">
        <w:rPr>
          <w:rStyle w:val="FootnoteReference"/>
        </w:rPr>
        <w:footnoteRef/>
      </w:r>
      <w:r w:rsidRPr="00927730" w:rsidR="008C52C5">
        <w:t xml:space="preserve"> </w:t>
      </w:r>
      <w:r w:rsidRPr="00927730" w:rsidR="002B60BF">
        <w:t>Certified Mail Return Receipt</w:t>
      </w:r>
      <w:r w:rsidR="00F14A94">
        <w:t>.</w:t>
      </w:r>
    </w:p>
  </w:footnote>
  <w:footnote w:id="71">
    <w:p w:rsidR="00AB371E" w:rsidRPr="00E43C29" w14:paraId="18D1C5F2" w14:textId="4B7CCDE1">
      <w:pPr>
        <w:pStyle w:val="FootnoteText"/>
      </w:pPr>
      <w:r w:rsidRPr="00927730">
        <w:rPr>
          <w:rStyle w:val="FootnoteReference"/>
        </w:rPr>
        <w:footnoteRef/>
      </w:r>
      <w:r w:rsidRPr="00E43C29" w:rsidR="008C52C5">
        <w:t xml:space="preserve"> </w:t>
      </w:r>
      <w:r w:rsidRPr="00E43C29" w:rsidR="004852DD">
        <w:rPr>
          <w:i/>
          <w:iCs/>
        </w:rPr>
        <w:t xml:space="preserve">See </w:t>
      </w:r>
      <w:r w:rsidRPr="00E43C29" w:rsidR="00807A70">
        <w:t xml:space="preserve">ITG </w:t>
      </w:r>
      <w:r w:rsidRPr="00E43C29" w:rsidR="00B82BFE">
        <w:t>Nov</w:t>
      </w:r>
      <w:r w:rsidRPr="00E43C29" w:rsidR="008B2771">
        <w:t xml:space="preserve">. </w:t>
      </w:r>
      <w:r w:rsidRPr="00E43C29" w:rsidR="00B82BFE">
        <w:t>2025 Response</w:t>
      </w:r>
      <w:r w:rsidR="00F14A94">
        <w:t>.</w:t>
      </w:r>
    </w:p>
  </w:footnote>
  <w:footnote w:id="72">
    <w:p w:rsidR="00822DC8" w:rsidRPr="00927730" w14:paraId="71C79F03" w14:textId="6468ABF6">
      <w:pPr>
        <w:pStyle w:val="FootnoteText"/>
      </w:pPr>
      <w:r w:rsidRPr="00927730">
        <w:rPr>
          <w:rStyle w:val="FootnoteReference"/>
        </w:rPr>
        <w:footnoteRef/>
      </w:r>
      <w:r w:rsidRPr="00927730">
        <w:t xml:space="preserve"> </w:t>
      </w:r>
      <w:r w:rsidRPr="00F14A94">
        <w:t>Initial Determination Order</w:t>
      </w:r>
      <w:r w:rsidR="00B50CDF">
        <w:t>,</w:t>
      </w:r>
      <w:r w:rsidRPr="00927730">
        <w:t xml:space="preserve"> </w:t>
      </w:r>
      <w:r w:rsidRPr="00927730" w:rsidR="003A6FE2">
        <w:t xml:space="preserve">DA 26-172, at </w:t>
      </w:r>
      <w:r w:rsidR="003A6FE2">
        <w:t>7, para. 15.</w:t>
      </w:r>
    </w:p>
  </w:footnote>
  <w:footnote w:id="73">
    <w:p w:rsidR="00BC069B" w:rsidRPr="003A6FE2" w14:paraId="6CE45427" w14:textId="44D585BE">
      <w:pPr>
        <w:pStyle w:val="FootnoteText"/>
      </w:pPr>
      <w:r>
        <w:rPr>
          <w:rStyle w:val="FootnoteReference"/>
        </w:rPr>
        <w:footnoteRef/>
      </w:r>
      <w:r>
        <w:t xml:space="preserve"> </w:t>
      </w:r>
      <w:r w:rsidR="003A6FE2">
        <w:rPr>
          <w:i/>
          <w:iCs/>
        </w:rPr>
        <w:t xml:space="preserve">Id. </w:t>
      </w:r>
      <w:r w:rsidR="003A6FE2">
        <w:t>at 6-7. para. 14.</w:t>
      </w:r>
    </w:p>
  </w:footnote>
  <w:footnote w:id="74">
    <w:p w:rsidR="00F44E88" w:rsidRPr="003A6FE2" w:rsidP="00F44E88" w14:paraId="0B729C49" w14:textId="5D9EB8A7">
      <w:pPr>
        <w:pStyle w:val="FootnoteText"/>
      </w:pPr>
      <w:r w:rsidRPr="00927730">
        <w:rPr>
          <w:rStyle w:val="FootnoteReference"/>
        </w:rPr>
        <w:footnoteRef/>
      </w:r>
      <w:r w:rsidRPr="00927730">
        <w:t xml:space="preserve"> </w:t>
      </w:r>
      <w:r w:rsidR="003A6FE2">
        <w:rPr>
          <w:i/>
          <w:iCs/>
        </w:rPr>
        <w:t xml:space="preserve">Id. </w:t>
      </w:r>
      <w:r w:rsidR="003A6FE2">
        <w:t xml:space="preserve">at 7, para. 15. </w:t>
      </w:r>
    </w:p>
  </w:footnote>
  <w:footnote w:id="75">
    <w:p w:rsidR="00BC069B" w:rsidRPr="003A6FE2" w14:paraId="56E32482" w14:textId="26650014">
      <w:pPr>
        <w:pStyle w:val="FootnoteText"/>
      </w:pPr>
      <w:r>
        <w:rPr>
          <w:rStyle w:val="FootnoteReference"/>
        </w:rPr>
        <w:footnoteRef/>
      </w:r>
      <w:r>
        <w:t xml:space="preserve"> </w:t>
      </w:r>
      <w:r w:rsidR="003A6FE2">
        <w:rPr>
          <w:i/>
          <w:iCs/>
        </w:rPr>
        <w:t xml:space="preserve">Id. </w:t>
      </w:r>
      <w:r w:rsidR="003A6FE2">
        <w:t>at 7,</w:t>
      </w:r>
      <w:r w:rsidR="003A6FE2">
        <w:rPr>
          <w:i/>
          <w:iCs/>
        </w:rPr>
        <w:t xml:space="preserve"> </w:t>
      </w:r>
      <w:r w:rsidR="003A6FE2">
        <w:t>para. 16.</w:t>
      </w:r>
    </w:p>
  </w:footnote>
  <w:footnote w:id="76">
    <w:p w:rsidR="00F44E88" w:rsidRPr="00927730" w:rsidP="000564B9" w14:paraId="78964A39" w14:textId="682D4FF9">
      <w:pPr>
        <w:pStyle w:val="FootnoteText"/>
      </w:pPr>
      <w:r w:rsidRPr="00927730">
        <w:rPr>
          <w:rStyle w:val="FootnoteReference"/>
        </w:rPr>
        <w:footnoteRef/>
      </w:r>
      <w:r w:rsidRPr="00927730">
        <w:t xml:space="preserve"> </w:t>
      </w:r>
      <w:r w:rsidR="004852DD">
        <w:rPr>
          <w:i/>
          <w:iCs/>
        </w:rPr>
        <w:t xml:space="preserve">See </w:t>
      </w:r>
      <w:r w:rsidRPr="00927730">
        <w:t>47 CFR § 64.6305(g)(1)</w:t>
      </w:r>
      <w:r w:rsidR="000564B9">
        <w:t xml:space="preserve">; </w:t>
      </w:r>
      <w:r w:rsidRPr="000564B9" w:rsidR="000564B9">
        <w:rPr>
          <w:i/>
          <w:iCs/>
        </w:rPr>
        <w:t>Sixth Caller ID Authentication Order</w:t>
      </w:r>
      <w:r w:rsidRPr="000564B9" w:rsidR="000564B9">
        <w:t xml:space="preserve">, </w:t>
      </w:r>
      <w:r w:rsidR="009C45BC">
        <w:t xml:space="preserve">38 FCC Rcd </w:t>
      </w:r>
      <w:r w:rsidRPr="000564B9" w:rsidR="000564B9">
        <w:t xml:space="preserve">at 2603, para. 58; </w:t>
      </w:r>
      <w:r w:rsidRPr="000564B9" w:rsidR="000564B9">
        <w:rPr>
          <w:i/>
          <w:iCs/>
        </w:rPr>
        <w:t>Global UC</w:t>
      </w:r>
      <w:r w:rsidR="000564B9">
        <w:t xml:space="preserve"> </w:t>
      </w:r>
      <w:r w:rsidRPr="000564B9" w:rsidR="000564B9">
        <w:rPr>
          <w:i/>
          <w:iCs/>
        </w:rPr>
        <w:t>Removal Order</w:t>
      </w:r>
      <w:r w:rsidRPr="000564B9" w:rsidR="000564B9">
        <w:t xml:space="preserve">, 37 FCC Rcd </w:t>
      </w:r>
      <w:r w:rsidR="000564B9">
        <w:t>at</w:t>
      </w:r>
      <w:r w:rsidRPr="000564B9" w:rsidR="000564B9">
        <w:t xml:space="preserve"> 13379, para. 8</w:t>
      </w:r>
      <w:r w:rsidRPr="00927730">
        <w:t>.</w:t>
      </w:r>
    </w:p>
  </w:footnote>
  <w:footnote w:id="77">
    <w:p w:rsidR="008061DD" w:rsidRPr="00927730" w14:paraId="14E917AC" w14:textId="51FC9AB0">
      <w:pPr>
        <w:pStyle w:val="FootnoteText"/>
      </w:pPr>
      <w:r w:rsidRPr="00927730">
        <w:rPr>
          <w:rStyle w:val="FootnoteReference"/>
        </w:rPr>
        <w:footnoteRef/>
      </w:r>
      <w:r w:rsidRPr="00927730">
        <w:t xml:space="preserve"> </w:t>
      </w:r>
      <w:r w:rsidRPr="00927730" w:rsidR="00F52AD2">
        <w:rPr>
          <w:i/>
          <w:iCs/>
        </w:rPr>
        <w:t>Sixth Caller ID Authentication Order</w:t>
      </w:r>
      <w:r w:rsidRPr="00927730" w:rsidR="00F52AD2">
        <w:t>, 38 FCC Rcd at 2604</w:t>
      </w:r>
      <w:r w:rsidR="00140738">
        <w:t>-05</w:t>
      </w:r>
      <w:r w:rsidRPr="00927730" w:rsidR="00F52AD2">
        <w:t>, paras. 60-6</w:t>
      </w:r>
      <w:r w:rsidRPr="00927730" w:rsidR="002F663F">
        <w:t>2</w:t>
      </w:r>
      <w:r w:rsidRPr="00927730" w:rsidR="00A60FF4">
        <w:t>.</w:t>
      </w:r>
      <w:r w:rsidRPr="00927730">
        <w:t xml:space="preserve">  </w:t>
      </w:r>
    </w:p>
  </w:footnote>
  <w:footnote w:id="78">
    <w:p w:rsidR="00880D20" w:rsidRPr="00927730" w14:paraId="4D3DEF69" w14:textId="181006D6">
      <w:pPr>
        <w:pStyle w:val="FootnoteText"/>
      </w:pPr>
      <w:r w:rsidRPr="00927730">
        <w:rPr>
          <w:rStyle w:val="FootnoteReference"/>
        </w:rPr>
        <w:footnoteRef/>
      </w:r>
      <w:r w:rsidRPr="00927730">
        <w:t xml:space="preserve"> 47 CFR § 64.1200(n)</w:t>
      </w:r>
      <w:r w:rsidRPr="00927730" w:rsidR="00A53C9E">
        <w:t>(</w:t>
      </w:r>
      <w:r w:rsidR="00FE3C2D">
        <w:t>3</w:t>
      </w:r>
      <w:r w:rsidRPr="00927730" w:rsidR="00A53C9E">
        <w:t>)</w:t>
      </w:r>
      <w:r w:rsidRPr="00927730">
        <w:t>.</w:t>
      </w:r>
      <w:r w:rsidR="00771A32">
        <w:t xml:space="preserve">  </w:t>
      </w:r>
      <w:r w:rsidRPr="003A6A57" w:rsidR="00771A32">
        <w:t>We note</w:t>
      </w:r>
      <w:r w:rsidRPr="003A6A57" w:rsidR="00EA6234">
        <w:t xml:space="preserve"> that </w:t>
      </w:r>
      <w:r w:rsidR="004A3B98">
        <w:t xml:space="preserve">downstream </w:t>
      </w:r>
      <w:r w:rsidRPr="003A6A57" w:rsidR="00EA6234">
        <w:t xml:space="preserve">providers will be required to </w:t>
      </w:r>
      <w:r w:rsidRPr="003A6A57" w:rsidR="004C7A61">
        <w:t>cease accepting</w:t>
      </w:r>
      <w:r w:rsidRPr="003A6A57" w:rsidR="00EA6234">
        <w:t xml:space="preserve"> traffic</w:t>
      </w:r>
      <w:r w:rsidRPr="003A6A57" w:rsidR="009630F3">
        <w:t xml:space="preserve"> directly</w:t>
      </w:r>
      <w:r w:rsidRPr="003A6A57" w:rsidR="00EA6234">
        <w:t xml:space="preserve"> from </w:t>
      </w:r>
      <w:r w:rsidRPr="003A6A57" w:rsidR="009630F3">
        <w:t>Belthrough</w:t>
      </w:r>
      <w:r w:rsidRPr="003A6A57" w:rsidR="009630F3">
        <w:t xml:space="preserve"> </w:t>
      </w:r>
      <w:r w:rsidRPr="003A6A57" w:rsidR="003A15BF">
        <w:t>on a shorter timeframe pursuant to para</w:t>
      </w:r>
      <w:r w:rsidRPr="003A6A57" w:rsidR="00A003F5">
        <w:t xml:space="preserve">graphs </w:t>
      </w:r>
      <w:r w:rsidRPr="003A6A57" w:rsidR="002E0FF8">
        <w:t xml:space="preserve">18 and </w:t>
      </w:r>
      <w:r w:rsidRPr="003A6A57" w:rsidR="00693241">
        <w:t>21 of this Final Determination Order</w:t>
      </w:r>
      <w:r w:rsidR="00F14A94">
        <w:t xml:space="preserve"> and Removal Order</w:t>
      </w:r>
      <w:r w:rsidR="00693241">
        <w:t>.</w:t>
      </w:r>
      <w:r w:rsidR="003A15B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C077CA" w14:paraId="40DF629C" w14:textId="125551AC">
    <w:pPr>
      <w:pStyle w:val="Header"/>
    </w:pPr>
    <w:r>
      <w:tab/>
      <w:t>Federal Communications Commission</w:t>
    </w:r>
    <w:r>
      <w:tab/>
    </w:r>
    <w:r w:rsidR="00E4677C">
      <w:t xml:space="preserve">DA </w:t>
    </w:r>
    <w:r w:rsidRPr="00DC258D" w:rsidR="00DC258D">
      <w:t>26-</w:t>
    </w:r>
    <w:r w:rsidR="000405DE">
      <w:t>237</w:t>
    </w:r>
  </w:p>
  <w:p w:rsidR="00D25FB5" w14:paraId="54D6D230"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609524164" name="Rectangle 609524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09524164"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w10:wrap anchorx="margin"/>
            </v:rect>
          </w:pict>
        </mc:Fallback>
      </mc:AlternateContent>
    </w:r>
  </w:p>
  <w:p w:rsidR="00D25FB5" w14:paraId="504A5B45"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C077CA" w14:paraId="57C01F14" w14:textId="388C1068">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085740193" name="Rectangle 1085740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8574019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w10:wrap anchorx="margin"/>
            </v:rect>
          </w:pict>
        </mc:Fallback>
      </mc:AlternateContent>
    </w:r>
    <w:r>
      <w:tab/>
      <w:t>Federal Communications Commission</w:t>
    </w:r>
    <w:r>
      <w:tab/>
    </w:r>
    <w:r w:rsidRPr="00DC258D" w:rsidR="00E4677C">
      <w:rPr>
        <w:spacing w:val="-2"/>
      </w:rPr>
      <w:t xml:space="preserve">DA </w:t>
    </w:r>
    <w:r w:rsidRPr="00DC258D" w:rsidR="00DC258D">
      <w:rPr>
        <w:spacing w:val="-2"/>
      </w:rPr>
      <w:t>26-</w:t>
    </w:r>
    <w:r w:rsidR="000405DE">
      <w:rPr>
        <w:spacing w:val="-2"/>
      </w:rPr>
      <w:t>237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C6DBC"/>
    <w:multiLevelType w:val="hybridMultilevel"/>
    <w:tmpl w:val="7CF0A48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50F05E77"/>
    <w:multiLevelType w:val="hybridMultilevel"/>
    <w:tmpl w:val="84C26B3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065298461">
    <w:abstractNumId w:val="2"/>
  </w:num>
  <w:num w:numId="2" w16cid:durableId="1872764609">
    <w:abstractNumId w:val="7"/>
  </w:num>
  <w:num w:numId="3" w16cid:durableId="950212195">
    <w:abstractNumId w:val="4"/>
  </w:num>
  <w:num w:numId="4" w16cid:durableId="1269777005">
    <w:abstractNumId w:val="5"/>
  </w:num>
  <w:num w:numId="5" w16cid:durableId="1325400462">
    <w:abstractNumId w:val="3"/>
  </w:num>
  <w:num w:numId="6" w16cid:durableId="987435082">
    <w:abstractNumId w:val="1"/>
  </w:num>
  <w:num w:numId="7" w16cid:durableId="6174008">
    <w:abstractNumId w:val="7"/>
  </w:num>
  <w:num w:numId="8" w16cid:durableId="399594169">
    <w:abstractNumId w:val="7"/>
  </w:num>
  <w:num w:numId="9" w16cid:durableId="681586636">
    <w:abstractNumId w:val="0"/>
  </w:num>
  <w:num w:numId="10" w16cid:durableId="434638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7C"/>
    <w:rsid w:val="000005CE"/>
    <w:rsid w:val="00001187"/>
    <w:rsid w:val="00001C9F"/>
    <w:rsid w:val="00002069"/>
    <w:rsid w:val="0000245C"/>
    <w:rsid w:val="0000246E"/>
    <w:rsid w:val="000024DA"/>
    <w:rsid w:val="00003608"/>
    <w:rsid w:val="00004810"/>
    <w:rsid w:val="00005735"/>
    <w:rsid w:val="00005966"/>
    <w:rsid w:val="000060FF"/>
    <w:rsid w:val="0000644E"/>
    <w:rsid w:val="00006DB7"/>
    <w:rsid w:val="000073D9"/>
    <w:rsid w:val="0000766A"/>
    <w:rsid w:val="000077A1"/>
    <w:rsid w:val="00010452"/>
    <w:rsid w:val="00010D61"/>
    <w:rsid w:val="00012294"/>
    <w:rsid w:val="00012CF2"/>
    <w:rsid w:val="00012DB6"/>
    <w:rsid w:val="00014169"/>
    <w:rsid w:val="000149B5"/>
    <w:rsid w:val="00014A4F"/>
    <w:rsid w:val="00015447"/>
    <w:rsid w:val="000157F7"/>
    <w:rsid w:val="00016B0E"/>
    <w:rsid w:val="00017032"/>
    <w:rsid w:val="00017590"/>
    <w:rsid w:val="00020410"/>
    <w:rsid w:val="0002060C"/>
    <w:rsid w:val="000215B2"/>
    <w:rsid w:val="000219D4"/>
    <w:rsid w:val="0002246F"/>
    <w:rsid w:val="00022DE2"/>
    <w:rsid w:val="00023533"/>
    <w:rsid w:val="00023DC9"/>
    <w:rsid w:val="0002545B"/>
    <w:rsid w:val="00025710"/>
    <w:rsid w:val="000258DE"/>
    <w:rsid w:val="000266EE"/>
    <w:rsid w:val="00026883"/>
    <w:rsid w:val="00026D0D"/>
    <w:rsid w:val="00026F52"/>
    <w:rsid w:val="0002732C"/>
    <w:rsid w:val="00027476"/>
    <w:rsid w:val="00027485"/>
    <w:rsid w:val="000276B7"/>
    <w:rsid w:val="000311B4"/>
    <w:rsid w:val="00033003"/>
    <w:rsid w:val="000339E7"/>
    <w:rsid w:val="00034588"/>
    <w:rsid w:val="00035362"/>
    <w:rsid w:val="0003570F"/>
    <w:rsid w:val="00036039"/>
    <w:rsid w:val="00036652"/>
    <w:rsid w:val="000367A7"/>
    <w:rsid w:val="00036B72"/>
    <w:rsid w:val="00036E93"/>
    <w:rsid w:val="00037F90"/>
    <w:rsid w:val="00040581"/>
    <w:rsid w:val="000405DE"/>
    <w:rsid w:val="000423C4"/>
    <w:rsid w:val="000428A5"/>
    <w:rsid w:val="00044087"/>
    <w:rsid w:val="00044581"/>
    <w:rsid w:val="000445E1"/>
    <w:rsid w:val="00044866"/>
    <w:rsid w:val="000448C7"/>
    <w:rsid w:val="0004566A"/>
    <w:rsid w:val="00050108"/>
    <w:rsid w:val="0005099A"/>
    <w:rsid w:val="000510E0"/>
    <w:rsid w:val="0005202F"/>
    <w:rsid w:val="00052219"/>
    <w:rsid w:val="000523FF"/>
    <w:rsid w:val="000528FB"/>
    <w:rsid w:val="00053408"/>
    <w:rsid w:val="000534B8"/>
    <w:rsid w:val="00053DAB"/>
    <w:rsid w:val="0005460D"/>
    <w:rsid w:val="00054E4D"/>
    <w:rsid w:val="0005502A"/>
    <w:rsid w:val="00055E2D"/>
    <w:rsid w:val="000560A9"/>
    <w:rsid w:val="000564B9"/>
    <w:rsid w:val="000572C9"/>
    <w:rsid w:val="00057537"/>
    <w:rsid w:val="00057760"/>
    <w:rsid w:val="00060D1B"/>
    <w:rsid w:val="00060E7B"/>
    <w:rsid w:val="00062486"/>
    <w:rsid w:val="000628C9"/>
    <w:rsid w:val="00062F9D"/>
    <w:rsid w:val="00063A04"/>
    <w:rsid w:val="00063F68"/>
    <w:rsid w:val="000646D5"/>
    <w:rsid w:val="000659FA"/>
    <w:rsid w:val="00070264"/>
    <w:rsid w:val="000704C0"/>
    <w:rsid w:val="00070745"/>
    <w:rsid w:val="00070CC0"/>
    <w:rsid w:val="00071364"/>
    <w:rsid w:val="00071A2E"/>
    <w:rsid w:val="00071E5B"/>
    <w:rsid w:val="000724DF"/>
    <w:rsid w:val="000728BF"/>
    <w:rsid w:val="00073082"/>
    <w:rsid w:val="00074476"/>
    <w:rsid w:val="00075378"/>
    <w:rsid w:val="00075631"/>
    <w:rsid w:val="00075635"/>
    <w:rsid w:val="00075F86"/>
    <w:rsid w:val="00080A2C"/>
    <w:rsid w:val="00080B16"/>
    <w:rsid w:val="00081DBB"/>
    <w:rsid w:val="0008224E"/>
    <w:rsid w:val="00082B83"/>
    <w:rsid w:val="00083AD7"/>
    <w:rsid w:val="0008479D"/>
    <w:rsid w:val="0008540D"/>
    <w:rsid w:val="00086BA0"/>
    <w:rsid w:val="00086FB9"/>
    <w:rsid w:val="000875BF"/>
    <w:rsid w:val="00090557"/>
    <w:rsid w:val="00090BD6"/>
    <w:rsid w:val="00091F2B"/>
    <w:rsid w:val="00092B5A"/>
    <w:rsid w:val="00095529"/>
    <w:rsid w:val="000955CE"/>
    <w:rsid w:val="000960B2"/>
    <w:rsid w:val="000969E3"/>
    <w:rsid w:val="00096D8C"/>
    <w:rsid w:val="0009794D"/>
    <w:rsid w:val="00097ADF"/>
    <w:rsid w:val="000A066A"/>
    <w:rsid w:val="000A06CF"/>
    <w:rsid w:val="000A1007"/>
    <w:rsid w:val="000A15AE"/>
    <w:rsid w:val="000A1F69"/>
    <w:rsid w:val="000A392B"/>
    <w:rsid w:val="000A39B6"/>
    <w:rsid w:val="000A5501"/>
    <w:rsid w:val="000A5CE2"/>
    <w:rsid w:val="000A6A66"/>
    <w:rsid w:val="000A6EE3"/>
    <w:rsid w:val="000A6F70"/>
    <w:rsid w:val="000B0D86"/>
    <w:rsid w:val="000B2998"/>
    <w:rsid w:val="000B33E1"/>
    <w:rsid w:val="000B45F2"/>
    <w:rsid w:val="000B49CC"/>
    <w:rsid w:val="000B4ED1"/>
    <w:rsid w:val="000B5668"/>
    <w:rsid w:val="000B6938"/>
    <w:rsid w:val="000C0B65"/>
    <w:rsid w:val="000C0FF3"/>
    <w:rsid w:val="000C31A9"/>
    <w:rsid w:val="000C4532"/>
    <w:rsid w:val="000C56BC"/>
    <w:rsid w:val="000D00C9"/>
    <w:rsid w:val="000D01C6"/>
    <w:rsid w:val="000D1114"/>
    <w:rsid w:val="000D1C50"/>
    <w:rsid w:val="000D1EAC"/>
    <w:rsid w:val="000D1F33"/>
    <w:rsid w:val="000D21E0"/>
    <w:rsid w:val="000D3364"/>
    <w:rsid w:val="000D3612"/>
    <w:rsid w:val="000D4F39"/>
    <w:rsid w:val="000D7539"/>
    <w:rsid w:val="000D7BB4"/>
    <w:rsid w:val="000D7D06"/>
    <w:rsid w:val="000D7E8E"/>
    <w:rsid w:val="000E05FE"/>
    <w:rsid w:val="000E0C75"/>
    <w:rsid w:val="000E0C92"/>
    <w:rsid w:val="000E1757"/>
    <w:rsid w:val="000E1A95"/>
    <w:rsid w:val="000E29DE"/>
    <w:rsid w:val="000E30E7"/>
    <w:rsid w:val="000E3D42"/>
    <w:rsid w:val="000E420A"/>
    <w:rsid w:val="000E66C5"/>
    <w:rsid w:val="000E6744"/>
    <w:rsid w:val="000E6F53"/>
    <w:rsid w:val="000E75F0"/>
    <w:rsid w:val="000E7BFC"/>
    <w:rsid w:val="000F23E9"/>
    <w:rsid w:val="000F2829"/>
    <w:rsid w:val="000F2C45"/>
    <w:rsid w:val="000F3358"/>
    <w:rsid w:val="000F3FF6"/>
    <w:rsid w:val="000F4497"/>
    <w:rsid w:val="000F5005"/>
    <w:rsid w:val="000F5666"/>
    <w:rsid w:val="000F5CE6"/>
    <w:rsid w:val="000F5E34"/>
    <w:rsid w:val="000F6F50"/>
    <w:rsid w:val="000F77A5"/>
    <w:rsid w:val="00100BBE"/>
    <w:rsid w:val="00101DE3"/>
    <w:rsid w:val="00102440"/>
    <w:rsid w:val="0010284C"/>
    <w:rsid w:val="00102A65"/>
    <w:rsid w:val="00102D11"/>
    <w:rsid w:val="00102FFE"/>
    <w:rsid w:val="00103286"/>
    <w:rsid w:val="001035E8"/>
    <w:rsid w:val="00104B05"/>
    <w:rsid w:val="00104D8F"/>
    <w:rsid w:val="00105427"/>
    <w:rsid w:val="001056EA"/>
    <w:rsid w:val="00105CF4"/>
    <w:rsid w:val="00106DCC"/>
    <w:rsid w:val="00106EC6"/>
    <w:rsid w:val="00107E8C"/>
    <w:rsid w:val="00110355"/>
    <w:rsid w:val="00110891"/>
    <w:rsid w:val="00111BF3"/>
    <w:rsid w:val="0011213A"/>
    <w:rsid w:val="00112A1D"/>
    <w:rsid w:val="00113B69"/>
    <w:rsid w:val="00114462"/>
    <w:rsid w:val="00115D83"/>
    <w:rsid w:val="0011601A"/>
    <w:rsid w:val="001173A3"/>
    <w:rsid w:val="00117ECA"/>
    <w:rsid w:val="00121332"/>
    <w:rsid w:val="00121B0C"/>
    <w:rsid w:val="00121D7E"/>
    <w:rsid w:val="00121F8D"/>
    <w:rsid w:val="00121FED"/>
    <w:rsid w:val="0012224E"/>
    <w:rsid w:val="0012263F"/>
    <w:rsid w:val="0012272C"/>
    <w:rsid w:val="00122BD5"/>
    <w:rsid w:val="0012387A"/>
    <w:rsid w:val="001243F2"/>
    <w:rsid w:val="00125128"/>
    <w:rsid w:val="00126D2D"/>
    <w:rsid w:val="0012797E"/>
    <w:rsid w:val="001308BE"/>
    <w:rsid w:val="0013200A"/>
    <w:rsid w:val="00132DFC"/>
    <w:rsid w:val="00133440"/>
    <w:rsid w:val="00133F79"/>
    <w:rsid w:val="0013412E"/>
    <w:rsid w:val="00134811"/>
    <w:rsid w:val="00134BBD"/>
    <w:rsid w:val="001352EC"/>
    <w:rsid w:val="00135800"/>
    <w:rsid w:val="00136308"/>
    <w:rsid w:val="00136844"/>
    <w:rsid w:val="00137BF6"/>
    <w:rsid w:val="00140738"/>
    <w:rsid w:val="001414B6"/>
    <w:rsid w:val="0014175B"/>
    <w:rsid w:val="00141ACF"/>
    <w:rsid w:val="0014203C"/>
    <w:rsid w:val="001423E1"/>
    <w:rsid w:val="00142B72"/>
    <w:rsid w:val="0014376F"/>
    <w:rsid w:val="00143C5A"/>
    <w:rsid w:val="001447CC"/>
    <w:rsid w:val="0014510D"/>
    <w:rsid w:val="001459CF"/>
    <w:rsid w:val="00145C33"/>
    <w:rsid w:val="00145D04"/>
    <w:rsid w:val="001462AD"/>
    <w:rsid w:val="00150751"/>
    <w:rsid w:val="00150E49"/>
    <w:rsid w:val="0015260C"/>
    <w:rsid w:val="0015296F"/>
    <w:rsid w:val="00152CD1"/>
    <w:rsid w:val="001540E0"/>
    <w:rsid w:val="001551DC"/>
    <w:rsid w:val="0015570D"/>
    <w:rsid w:val="00156330"/>
    <w:rsid w:val="0015674B"/>
    <w:rsid w:val="001570D7"/>
    <w:rsid w:val="00157DAB"/>
    <w:rsid w:val="00160B7A"/>
    <w:rsid w:val="00161B24"/>
    <w:rsid w:val="001621AE"/>
    <w:rsid w:val="00162B0F"/>
    <w:rsid w:val="00162C1B"/>
    <w:rsid w:val="001633FB"/>
    <w:rsid w:val="0016383B"/>
    <w:rsid w:val="001638E2"/>
    <w:rsid w:val="00163CA5"/>
    <w:rsid w:val="0016680D"/>
    <w:rsid w:val="001707C5"/>
    <w:rsid w:val="00170E58"/>
    <w:rsid w:val="0017240A"/>
    <w:rsid w:val="001726BB"/>
    <w:rsid w:val="0017476B"/>
    <w:rsid w:val="00174B9C"/>
    <w:rsid w:val="001756E5"/>
    <w:rsid w:val="00176635"/>
    <w:rsid w:val="001770CD"/>
    <w:rsid w:val="00177ADC"/>
    <w:rsid w:val="001804C8"/>
    <w:rsid w:val="0018227B"/>
    <w:rsid w:val="001825D2"/>
    <w:rsid w:val="00183263"/>
    <w:rsid w:val="00183FDB"/>
    <w:rsid w:val="001844C3"/>
    <w:rsid w:val="0018539F"/>
    <w:rsid w:val="001854E0"/>
    <w:rsid w:val="001859BA"/>
    <w:rsid w:val="001871E2"/>
    <w:rsid w:val="0018787C"/>
    <w:rsid w:val="0019066E"/>
    <w:rsid w:val="001917D8"/>
    <w:rsid w:val="00191EE7"/>
    <w:rsid w:val="00192811"/>
    <w:rsid w:val="00192EC1"/>
    <w:rsid w:val="001930C8"/>
    <w:rsid w:val="001938EE"/>
    <w:rsid w:val="00193A86"/>
    <w:rsid w:val="00193D4F"/>
    <w:rsid w:val="0019407E"/>
    <w:rsid w:val="0019414C"/>
    <w:rsid w:val="001946ED"/>
    <w:rsid w:val="00194798"/>
    <w:rsid w:val="00194A66"/>
    <w:rsid w:val="00195372"/>
    <w:rsid w:val="001957E0"/>
    <w:rsid w:val="0019691F"/>
    <w:rsid w:val="00196F35"/>
    <w:rsid w:val="001971C6"/>
    <w:rsid w:val="0019771D"/>
    <w:rsid w:val="00197C32"/>
    <w:rsid w:val="001A0D46"/>
    <w:rsid w:val="001A165C"/>
    <w:rsid w:val="001A3A9D"/>
    <w:rsid w:val="001A457B"/>
    <w:rsid w:val="001A4FE2"/>
    <w:rsid w:val="001A6E0E"/>
    <w:rsid w:val="001A7BF4"/>
    <w:rsid w:val="001B0E19"/>
    <w:rsid w:val="001B1DCB"/>
    <w:rsid w:val="001B2070"/>
    <w:rsid w:val="001B21AF"/>
    <w:rsid w:val="001B2A3B"/>
    <w:rsid w:val="001B431E"/>
    <w:rsid w:val="001B52C4"/>
    <w:rsid w:val="001B541E"/>
    <w:rsid w:val="001B6054"/>
    <w:rsid w:val="001B6D3C"/>
    <w:rsid w:val="001B7505"/>
    <w:rsid w:val="001B7558"/>
    <w:rsid w:val="001B7B8E"/>
    <w:rsid w:val="001C1182"/>
    <w:rsid w:val="001C2C2F"/>
    <w:rsid w:val="001C3365"/>
    <w:rsid w:val="001C3A76"/>
    <w:rsid w:val="001C3ABD"/>
    <w:rsid w:val="001C3C8F"/>
    <w:rsid w:val="001C4085"/>
    <w:rsid w:val="001C50CB"/>
    <w:rsid w:val="001C5869"/>
    <w:rsid w:val="001C5E60"/>
    <w:rsid w:val="001C6506"/>
    <w:rsid w:val="001C789E"/>
    <w:rsid w:val="001D010D"/>
    <w:rsid w:val="001D0444"/>
    <w:rsid w:val="001D0DFA"/>
    <w:rsid w:val="001D127A"/>
    <w:rsid w:val="001D132C"/>
    <w:rsid w:val="001D185D"/>
    <w:rsid w:val="001D1C80"/>
    <w:rsid w:val="001D21BA"/>
    <w:rsid w:val="001D345E"/>
    <w:rsid w:val="001D35BE"/>
    <w:rsid w:val="001D3E6F"/>
    <w:rsid w:val="001D3F07"/>
    <w:rsid w:val="001D4607"/>
    <w:rsid w:val="001D498B"/>
    <w:rsid w:val="001D4AD0"/>
    <w:rsid w:val="001D5986"/>
    <w:rsid w:val="001D5F9C"/>
    <w:rsid w:val="001D6BCF"/>
    <w:rsid w:val="001D7420"/>
    <w:rsid w:val="001D779E"/>
    <w:rsid w:val="001E01CA"/>
    <w:rsid w:val="001E02D0"/>
    <w:rsid w:val="001E07F8"/>
    <w:rsid w:val="001E0B3E"/>
    <w:rsid w:val="001E0CC9"/>
    <w:rsid w:val="001E1788"/>
    <w:rsid w:val="001E3B2F"/>
    <w:rsid w:val="001E3B9B"/>
    <w:rsid w:val="001E40BC"/>
    <w:rsid w:val="001E530E"/>
    <w:rsid w:val="001E6C1F"/>
    <w:rsid w:val="001E742B"/>
    <w:rsid w:val="001F00F7"/>
    <w:rsid w:val="001F14A8"/>
    <w:rsid w:val="001F184D"/>
    <w:rsid w:val="001F27BB"/>
    <w:rsid w:val="001F4EAC"/>
    <w:rsid w:val="001F6097"/>
    <w:rsid w:val="001F67E4"/>
    <w:rsid w:val="00201AB8"/>
    <w:rsid w:val="002026A7"/>
    <w:rsid w:val="0020335A"/>
    <w:rsid w:val="0020387F"/>
    <w:rsid w:val="00203C95"/>
    <w:rsid w:val="00206A11"/>
    <w:rsid w:val="00207892"/>
    <w:rsid w:val="00207A56"/>
    <w:rsid w:val="00210B72"/>
    <w:rsid w:val="00211114"/>
    <w:rsid w:val="002111B9"/>
    <w:rsid w:val="00212089"/>
    <w:rsid w:val="00212EF5"/>
    <w:rsid w:val="00213615"/>
    <w:rsid w:val="002137F5"/>
    <w:rsid w:val="00214302"/>
    <w:rsid w:val="002147CE"/>
    <w:rsid w:val="0021588D"/>
    <w:rsid w:val="00215C0C"/>
    <w:rsid w:val="00216418"/>
    <w:rsid w:val="00216F1B"/>
    <w:rsid w:val="00216FC8"/>
    <w:rsid w:val="00220147"/>
    <w:rsid w:val="00221272"/>
    <w:rsid w:val="002212A9"/>
    <w:rsid w:val="002222BA"/>
    <w:rsid w:val="00223773"/>
    <w:rsid w:val="0022387C"/>
    <w:rsid w:val="00224C07"/>
    <w:rsid w:val="00224D57"/>
    <w:rsid w:val="00224E21"/>
    <w:rsid w:val="00227B90"/>
    <w:rsid w:val="0023063D"/>
    <w:rsid w:val="00230733"/>
    <w:rsid w:val="00230B6A"/>
    <w:rsid w:val="00230E73"/>
    <w:rsid w:val="0023249E"/>
    <w:rsid w:val="002325BD"/>
    <w:rsid w:val="00232681"/>
    <w:rsid w:val="0023271C"/>
    <w:rsid w:val="00233720"/>
    <w:rsid w:val="00233BA5"/>
    <w:rsid w:val="002348C5"/>
    <w:rsid w:val="00234C6B"/>
    <w:rsid w:val="00234E96"/>
    <w:rsid w:val="00235894"/>
    <w:rsid w:val="002359ED"/>
    <w:rsid w:val="002373CC"/>
    <w:rsid w:val="00237945"/>
    <w:rsid w:val="00237BF4"/>
    <w:rsid w:val="00237C40"/>
    <w:rsid w:val="00240F15"/>
    <w:rsid w:val="00241BF6"/>
    <w:rsid w:val="00242BF0"/>
    <w:rsid w:val="0024382E"/>
    <w:rsid w:val="00243CAD"/>
    <w:rsid w:val="0024493D"/>
    <w:rsid w:val="00246361"/>
    <w:rsid w:val="00246699"/>
    <w:rsid w:val="00246A04"/>
    <w:rsid w:val="00246C47"/>
    <w:rsid w:val="00247782"/>
    <w:rsid w:val="002500AA"/>
    <w:rsid w:val="00252A9E"/>
    <w:rsid w:val="002544D3"/>
    <w:rsid w:val="00254658"/>
    <w:rsid w:val="002551E2"/>
    <w:rsid w:val="00256835"/>
    <w:rsid w:val="00260D75"/>
    <w:rsid w:val="002616FE"/>
    <w:rsid w:val="002618FB"/>
    <w:rsid w:val="00262434"/>
    <w:rsid w:val="0026267C"/>
    <w:rsid w:val="00262BE0"/>
    <w:rsid w:val="00262DDE"/>
    <w:rsid w:val="00262F8C"/>
    <w:rsid w:val="00263816"/>
    <w:rsid w:val="00266642"/>
    <w:rsid w:val="00266D73"/>
    <w:rsid w:val="00267713"/>
    <w:rsid w:val="00270044"/>
    <w:rsid w:val="00270886"/>
    <w:rsid w:val="00271616"/>
    <w:rsid w:val="00271F76"/>
    <w:rsid w:val="0027239D"/>
    <w:rsid w:val="00272C01"/>
    <w:rsid w:val="00272DB3"/>
    <w:rsid w:val="00274B2F"/>
    <w:rsid w:val="00274E24"/>
    <w:rsid w:val="002758DC"/>
    <w:rsid w:val="00275CF5"/>
    <w:rsid w:val="00276E14"/>
    <w:rsid w:val="00277560"/>
    <w:rsid w:val="002778C7"/>
    <w:rsid w:val="002811A4"/>
    <w:rsid w:val="002812C7"/>
    <w:rsid w:val="002816AA"/>
    <w:rsid w:val="0028301F"/>
    <w:rsid w:val="00283D01"/>
    <w:rsid w:val="00284537"/>
    <w:rsid w:val="00284C9E"/>
    <w:rsid w:val="00285017"/>
    <w:rsid w:val="00285078"/>
    <w:rsid w:val="00285D6F"/>
    <w:rsid w:val="002860EF"/>
    <w:rsid w:val="0028699D"/>
    <w:rsid w:val="00286BC0"/>
    <w:rsid w:val="00287EBF"/>
    <w:rsid w:val="00290635"/>
    <w:rsid w:val="00290D65"/>
    <w:rsid w:val="00292695"/>
    <w:rsid w:val="00292B7E"/>
    <w:rsid w:val="0029527E"/>
    <w:rsid w:val="00295868"/>
    <w:rsid w:val="002962E4"/>
    <w:rsid w:val="002976FE"/>
    <w:rsid w:val="002A009A"/>
    <w:rsid w:val="002A0A09"/>
    <w:rsid w:val="002A1F75"/>
    <w:rsid w:val="002A1F7B"/>
    <w:rsid w:val="002A236B"/>
    <w:rsid w:val="002A25CF"/>
    <w:rsid w:val="002A2D2E"/>
    <w:rsid w:val="002A2DFC"/>
    <w:rsid w:val="002A385F"/>
    <w:rsid w:val="002A4A89"/>
    <w:rsid w:val="002A532C"/>
    <w:rsid w:val="002A5C0B"/>
    <w:rsid w:val="002A5D8C"/>
    <w:rsid w:val="002A6894"/>
    <w:rsid w:val="002A78AB"/>
    <w:rsid w:val="002B0C11"/>
    <w:rsid w:val="002B238E"/>
    <w:rsid w:val="002B2AF7"/>
    <w:rsid w:val="002B2B74"/>
    <w:rsid w:val="002B4CAA"/>
    <w:rsid w:val="002B56DA"/>
    <w:rsid w:val="002B5866"/>
    <w:rsid w:val="002B5D8B"/>
    <w:rsid w:val="002B6005"/>
    <w:rsid w:val="002B60BF"/>
    <w:rsid w:val="002B61E9"/>
    <w:rsid w:val="002B62D7"/>
    <w:rsid w:val="002B6698"/>
    <w:rsid w:val="002B71B3"/>
    <w:rsid w:val="002B7602"/>
    <w:rsid w:val="002B79F9"/>
    <w:rsid w:val="002C00E8"/>
    <w:rsid w:val="002C1098"/>
    <w:rsid w:val="002C151B"/>
    <w:rsid w:val="002C161D"/>
    <w:rsid w:val="002C1B89"/>
    <w:rsid w:val="002C1F7D"/>
    <w:rsid w:val="002C2139"/>
    <w:rsid w:val="002C28C4"/>
    <w:rsid w:val="002C302C"/>
    <w:rsid w:val="002C52D6"/>
    <w:rsid w:val="002C544A"/>
    <w:rsid w:val="002C54E0"/>
    <w:rsid w:val="002C62AE"/>
    <w:rsid w:val="002C724B"/>
    <w:rsid w:val="002C7513"/>
    <w:rsid w:val="002C7BC6"/>
    <w:rsid w:val="002D1199"/>
    <w:rsid w:val="002D127D"/>
    <w:rsid w:val="002D13D6"/>
    <w:rsid w:val="002D1981"/>
    <w:rsid w:val="002D21EE"/>
    <w:rsid w:val="002D3032"/>
    <w:rsid w:val="002D36BE"/>
    <w:rsid w:val="002D3810"/>
    <w:rsid w:val="002D3A4A"/>
    <w:rsid w:val="002D502B"/>
    <w:rsid w:val="002D5513"/>
    <w:rsid w:val="002D740A"/>
    <w:rsid w:val="002D7444"/>
    <w:rsid w:val="002D761D"/>
    <w:rsid w:val="002E0188"/>
    <w:rsid w:val="002E0FF8"/>
    <w:rsid w:val="002E254D"/>
    <w:rsid w:val="002E2771"/>
    <w:rsid w:val="002E3832"/>
    <w:rsid w:val="002E4FC9"/>
    <w:rsid w:val="002E506A"/>
    <w:rsid w:val="002E5457"/>
    <w:rsid w:val="002E60FC"/>
    <w:rsid w:val="002F20E2"/>
    <w:rsid w:val="002F39B7"/>
    <w:rsid w:val="002F3F96"/>
    <w:rsid w:val="002F4B9B"/>
    <w:rsid w:val="002F506F"/>
    <w:rsid w:val="002F58D5"/>
    <w:rsid w:val="002F5D45"/>
    <w:rsid w:val="002F663F"/>
    <w:rsid w:val="002F739F"/>
    <w:rsid w:val="002F788F"/>
    <w:rsid w:val="002F7D8A"/>
    <w:rsid w:val="003012F2"/>
    <w:rsid w:val="00301353"/>
    <w:rsid w:val="0030200E"/>
    <w:rsid w:val="00302822"/>
    <w:rsid w:val="00302B9E"/>
    <w:rsid w:val="003033F6"/>
    <w:rsid w:val="003041C6"/>
    <w:rsid w:val="0030449A"/>
    <w:rsid w:val="00304AA7"/>
    <w:rsid w:val="00304AF4"/>
    <w:rsid w:val="00304D78"/>
    <w:rsid w:val="00305169"/>
    <w:rsid w:val="0030562C"/>
    <w:rsid w:val="003069E2"/>
    <w:rsid w:val="00306BB8"/>
    <w:rsid w:val="00307589"/>
    <w:rsid w:val="00307980"/>
    <w:rsid w:val="003079E1"/>
    <w:rsid w:val="00311F52"/>
    <w:rsid w:val="003122D0"/>
    <w:rsid w:val="00314857"/>
    <w:rsid w:val="0031725F"/>
    <w:rsid w:val="00317599"/>
    <w:rsid w:val="00320439"/>
    <w:rsid w:val="00323748"/>
    <w:rsid w:val="00323AC5"/>
    <w:rsid w:val="00324EEE"/>
    <w:rsid w:val="00325F1F"/>
    <w:rsid w:val="003268C9"/>
    <w:rsid w:val="00326C9C"/>
    <w:rsid w:val="0033073E"/>
    <w:rsid w:val="00330F00"/>
    <w:rsid w:val="003313AC"/>
    <w:rsid w:val="0033163C"/>
    <w:rsid w:val="00331BD3"/>
    <w:rsid w:val="00332542"/>
    <w:rsid w:val="00332E0C"/>
    <w:rsid w:val="00332ED6"/>
    <w:rsid w:val="003353D2"/>
    <w:rsid w:val="00335B0F"/>
    <w:rsid w:val="00335BD0"/>
    <w:rsid w:val="00335F58"/>
    <w:rsid w:val="00336268"/>
    <w:rsid w:val="00337236"/>
    <w:rsid w:val="003434F4"/>
    <w:rsid w:val="00343749"/>
    <w:rsid w:val="00344C34"/>
    <w:rsid w:val="00344CDB"/>
    <w:rsid w:val="00345ECE"/>
    <w:rsid w:val="00346C07"/>
    <w:rsid w:val="00350076"/>
    <w:rsid w:val="00350AD6"/>
    <w:rsid w:val="0035120C"/>
    <w:rsid w:val="00351409"/>
    <w:rsid w:val="00353AAD"/>
    <w:rsid w:val="00354794"/>
    <w:rsid w:val="003559D8"/>
    <w:rsid w:val="00355A80"/>
    <w:rsid w:val="00355E80"/>
    <w:rsid w:val="003563A9"/>
    <w:rsid w:val="00357393"/>
    <w:rsid w:val="00357716"/>
    <w:rsid w:val="00357A27"/>
    <w:rsid w:val="00357A4A"/>
    <w:rsid w:val="00357FAA"/>
    <w:rsid w:val="003608AB"/>
    <w:rsid w:val="00360CBC"/>
    <w:rsid w:val="003610CC"/>
    <w:rsid w:val="00361725"/>
    <w:rsid w:val="0036342C"/>
    <w:rsid w:val="00364D0D"/>
    <w:rsid w:val="00364E98"/>
    <w:rsid w:val="00365443"/>
    <w:rsid w:val="00365BDF"/>
    <w:rsid w:val="003660ED"/>
    <w:rsid w:val="0036777F"/>
    <w:rsid w:val="0037108E"/>
    <w:rsid w:val="003731F9"/>
    <w:rsid w:val="00373B88"/>
    <w:rsid w:val="003753F6"/>
    <w:rsid w:val="0037587F"/>
    <w:rsid w:val="00375BC3"/>
    <w:rsid w:val="0037625A"/>
    <w:rsid w:val="003762F1"/>
    <w:rsid w:val="00376DB8"/>
    <w:rsid w:val="00377039"/>
    <w:rsid w:val="00377364"/>
    <w:rsid w:val="00377613"/>
    <w:rsid w:val="0037767A"/>
    <w:rsid w:val="00377779"/>
    <w:rsid w:val="00380F04"/>
    <w:rsid w:val="003812DA"/>
    <w:rsid w:val="0038282A"/>
    <w:rsid w:val="00382AEB"/>
    <w:rsid w:val="00383691"/>
    <w:rsid w:val="003837EF"/>
    <w:rsid w:val="0038398C"/>
    <w:rsid w:val="003844DC"/>
    <w:rsid w:val="003848D5"/>
    <w:rsid w:val="00384BA2"/>
    <w:rsid w:val="00385C85"/>
    <w:rsid w:val="00385E4C"/>
    <w:rsid w:val="003867D1"/>
    <w:rsid w:val="003902D7"/>
    <w:rsid w:val="00390488"/>
    <w:rsid w:val="00390852"/>
    <w:rsid w:val="003914B7"/>
    <w:rsid w:val="00391B8C"/>
    <w:rsid w:val="0039259D"/>
    <w:rsid w:val="00392CF9"/>
    <w:rsid w:val="003946AA"/>
    <w:rsid w:val="00394BEA"/>
    <w:rsid w:val="00395091"/>
    <w:rsid w:val="00397625"/>
    <w:rsid w:val="003A00B7"/>
    <w:rsid w:val="003A0104"/>
    <w:rsid w:val="003A1138"/>
    <w:rsid w:val="003A15BF"/>
    <w:rsid w:val="003A2A97"/>
    <w:rsid w:val="003A3CA6"/>
    <w:rsid w:val="003A555C"/>
    <w:rsid w:val="003A5591"/>
    <w:rsid w:val="003A5E1A"/>
    <w:rsid w:val="003A6533"/>
    <w:rsid w:val="003A6A57"/>
    <w:rsid w:val="003A6FE2"/>
    <w:rsid w:val="003B024F"/>
    <w:rsid w:val="003B0550"/>
    <w:rsid w:val="003B0E14"/>
    <w:rsid w:val="003B2A2D"/>
    <w:rsid w:val="003B318C"/>
    <w:rsid w:val="003B44DC"/>
    <w:rsid w:val="003B4C80"/>
    <w:rsid w:val="003B5D95"/>
    <w:rsid w:val="003B694F"/>
    <w:rsid w:val="003B6A00"/>
    <w:rsid w:val="003B6BEF"/>
    <w:rsid w:val="003B7844"/>
    <w:rsid w:val="003C02D7"/>
    <w:rsid w:val="003C0FCB"/>
    <w:rsid w:val="003C4BDB"/>
    <w:rsid w:val="003C50BE"/>
    <w:rsid w:val="003C56A9"/>
    <w:rsid w:val="003D11C4"/>
    <w:rsid w:val="003D1523"/>
    <w:rsid w:val="003D15AD"/>
    <w:rsid w:val="003D221A"/>
    <w:rsid w:val="003D2DD5"/>
    <w:rsid w:val="003D3BC2"/>
    <w:rsid w:val="003D475B"/>
    <w:rsid w:val="003D47CA"/>
    <w:rsid w:val="003D7B5A"/>
    <w:rsid w:val="003D7CA4"/>
    <w:rsid w:val="003E0165"/>
    <w:rsid w:val="003E049A"/>
    <w:rsid w:val="003E0AE1"/>
    <w:rsid w:val="003E0B92"/>
    <w:rsid w:val="003E0C68"/>
    <w:rsid w:val="003E0E02"/>
    <w:rsid w:val="003E14E9"/>
    <w:rsid w:val="003E23E9"/>
    <w:rsid w:val="003E4581"/>
    <w:rsid w:val="003E5240"/>
    <w:rsid w:val="003E52A6"/>
    <w:rsid w:val="003E6066"/>
    <w:rsid w:val="003E6413"/>
    <w:rsid w:val="003E7AA9"/>
    <w:rsid w:val="003E7F31"/>
    <w:rsid w:val="003F07EF"/>
    <w:rsid w:val="003F0CB8"/>
    <w:rsid w:val="003F0CBB"/>
    <w:rsid w:val="003F11DE"/>
    <w:rsid w:val="003F171C"/>
    <w:rsid w:val="003F1C77"/>
    <w:rsid w:val="003F28CA"/>
    <w:rsid w:val="003F2C32"/>
    <w:rsid w:val="003F3169"/>
    <w:rsid w:val="003F36FC"/>
    <w:rsid w:val="003F37E8"/>
    <w:rsid w:val="003F44EE"/>
    <w:rsid w:val="003F4F60"/>
    <w:rsid w:val="003F55A3"/>
    <w:rsid w:val="003F6B28"/>
    <w:rsid w:val="003F7B07"/>
    <w:rsid w:val="003F7E0C"/>
    <w:rsid w:val="0040112A"/>
    <w:rsid w:val="00401EFE"/>
    <w:rsid w:val="004026A5"/>
    <w:rsid w:val="00402B37"/>
    <w:rsid w:val="00402BAB"/>
    <w:rsid w:val="00403512"/>
    <w:rsid w:val="00403990"/>
    <w:rsid w:val="00407432"/>
    <w:rsid w:val="00407606"/>
    <w:rsid w:val="00407656"/>
    <w:rsid w:val="00407CE8"/>
    <w:rsid w:val="00410B4F"/>
    <w:rsid w:val="004122A9"/>
    <w:rsid w:val="0041232C"/>
    <w:rsid w:val="00412FC5"/>
    <w:rsid w:val="00412FD4"/>
    <w:rsid w:val="00413139"/>
    <w:rsid w:val="0041343B"/>
    <w:rsid w:val="00413C4C"/>
    <w:rsid w:val="00414206"/>
    <w:rsid w:val="00414359"/>
    <w:rsid w:val="00415048"/>
    <w:rsid w:val="00416253"/>
    <w:rsid w:val="00416361"/>
    <w:rsid w:val="00416584"/>
    <w:rsid w:val="00416993"/>
    <w:rsid w:val="00416FCF"/>
    <w:rsid w:val="00417364"/>
    <w:rsid w:val="0042105E"/>
    <w:rsid w:val="0042191B"/>
    <w:rsid w:val="00422276"/>
    <w:rsid w:val="00422BD7"/>
    <w:rsid w:val="00422C7C"/>
    <w:rsid w:val="00423261"/>
    <w:rsid w:val="00423EA4"/>
    <w:rsid w:val="004242F1"/>
    <w:rsid w:val="00424C04"/>
    <w:rsid w:val="00426553"/>
    <w:rsid w:val="00426892"/>
    <w:rsid w:val="00426FE0"/>
    <w:rsid w:val="00427B84"/>
    <w:rsid w:val="00427BAC"/>
    <w:rsid w:val="00430D03"/>
    <w:rsid w:val="00431EB1"/>
    <w:rsid w:val="0043204E"/>
    <w:rsid w:val="00432A79"/>
    <w:rsid w:val="0043429D"/>
    <w:rsid w:val="00434489"/>
    <w:rsid w:val="004349E5"/>
    <w:rsid w:val="0043538A"/>
    <w:rsid w:val="00435538"/>
    <w:rsid w:val="004361D6"/>
    <w:rsid w:val="00436854"/>
    <w:rsid w:val="0044070C"/>
    <w:rsid w:val="004407BA"/>
    <w:rsid w:val="0044134F"/>
    <w:rsid w:val="0044162E"/>
    <w:rsid w:val="0044580D"/>
    <w:rsid w:val="004458CD"/>
    <w:rsid w:val="004458D3"/>
    <w:rsid w:val="00445A00"/>
    <w:rsid w:val="00445AE9"/>
    <w:rsid w:val="00447200"/>
    <w:rsid w:val="004479C7"/>
    <w:rsid w:val="00450DE7"/>
    <w:rsid w:val="0045184E"/>
    <w:rsid w:val="00451B0F"/>
    <w:rsid w:val="00451B3E"/>
    <w:rsid w:val="00452E89"/>
    <w:rsid w:val="004540A8"/>
    <w:rsid w:val="0045460B"/>
    <w:rsid w:val="00455555"/>
    <w:rsid w:val="00457A54"/>
    <w:rsid w:val="0046018D"/>
    <w:rsid w:val="00460918"/>
    <w:rsid w:val="00460B44"/>
    <w:rsid w:val="004612C0"/>
    <w:rsid w:val="00461389"/>
    <w:rsid w:val="004626D8"/>
    <w:rsid w:val="00463DB4"/>
    <w:rsid w:val="0046591B"/>
    <w:rsid w:val="00465C6C"/>
    <w:rsid w:val="0046630B"/>
    <w:rsid w:val="00466315"/>
    <w:rsid w:val="004669F3"/>
    <w:rsid w:val="00466E30"/>
    <w:rsid w:val="004671E1"/>
    <w:rsid w:val="004674CC"/>
    <w:rsid w:val="0046789F"/>
    <w:rsid w:val="00467927"/>
    <w:rsid w:val="00467997"/>
    <w:rsid w:val="00467EA4"/>
    <w:rsid w:val="00470712"/>
    <w:rsid w:val="004708E6"/>
    <w:rsid w:val="00471ED5"/>
    <w:rsid w:val="00472B25"/>
    <w:rsid w:val="00473B6B"/>
    <w:rsid w:val="00473E9F"/>
    <w:rsid w:val="00473FD7"/>
    <w:rsid w:val="00474145"/>
    <w:rsid w:val="00474CA2"/>
    <w:rsid w:val="00474EA7"/>
    <w:rsid w:val="0047557B"/>
    <w:rsid w:val="004759AD"/>
    <w:rsid w:val="004763CE"/>
    <w:rsid w:val="00476CDB"/>
    <w:rsid w:val="004773E3"/>
    <w:rsid w:val="004777F4"/>
    <w:rsid w:val="00477844"/>
    <w:rsid w:val="00477861"/>
    <w:rsid w:val="00477897"/>
    <w:rsid w:val="004801E9"/>
    <w:rsid w:val="00480D2E"/>
    <w:rsid w:val="00481894"/>
    <w:rsid w:val="00481D1B"/>
    <w:rsid w:val="00482465"/>
    <w:rsid w:val="00482AD1"/>
    <w:rsid w:val="004851C1"/>
    <w:rsid w:val="004852DD"/>
    <w:rsid w:val="004859D6"/>
    <w:rsid w:val="0048624F"/>
    <w:rsid w:val="004907D4"/>
    <w:rsid w:val="00491CA7"/>
    <w:rsid w:val="00493160"/>
    <w:rsid w:val="004935F9"/>
    <w:rsid w:val="0049455F"/>
    <w:rsid w:val="0049483A"/>
    <w:rsid w:val="00495B1C"/>
    <w:rsid w:val="004964F8"/>
    <w:rsid w:val="00496506"/>
    <w:rsid w:val="00497500"/>
    <w:rsid w:val="00497766"/>
    <w:rsid w:val="004A044A"/>
    <w:rsid w:val="004A31C5"/>
    <w:rsid w:val="004A32F3"/>
    <w:rsid w:val="004A3B98"/>
    <w:rsid w:val="004A51B8"/>
    <w:rsid w:val="004A6489"/>
    <w:rsid w:val="004A6D64"/>
    <w:rsid w:val="004A70DB"/>
    <w:rsid w:val="004A7107"/>
    <w:rsid w:val="004B1D83"/>
    <w:rsid w:val="004B2273"/>
    <w:rsid w:val="004B2B30"/>
    <w:rsid w:val="004B2BD2"/>
    <w:rsid w:val="004B360F"/>
    <w:rsid w:val="004B3719"/>
    <w:rsid w:val="004B3904"/>
    <w:rsid w:val="004B39B1"/>
    <w:rsid w:val="004B4142"/>
    <w:rsid w:val="004B5B5D"/>
    <w:rsid w:val="004B5BED"/>
    <w:rsid w:val="004B6173"/>
    <w:rsid w:val="004C0A42"/>
    <w:rsid w:val="004C0ED2"/>
    <w:rsid w:val="004C2316"/>
    <w:rsid w:val="004C2579"/>
    <w:rsid w:val="004C2EE3"/>
    <w:rsid w:val="004C36CB"/>
    <w:rsid w:val="004C43D2"/>
    <w:rsid w:val="004C44FF"/>
    <w:rsid w:val="004C52DB"/>
    <w:rsid w:val="004C58FE"/>
    <w:rsid w:val="004C5ED2"/>
    <w:rsid w:val="004C5F18"/>
    <w:rsid w:val="004C71BC"/>
    <w:rsid w:val="004C7320"/>
    <w:rsid w:val="004C766A"/>
    <w:rsid w:val="004C7A61"/>
    <w:rsid w:val="004C7E27"/>
    <w:rsid w:val="004D055E"/>
    <w:rsid w:val="004D2307"/>
    <w:rsid w:val="004D26A9"/>
    <w:rsid w:val="004D28DA"/>
    <w:rsid w:val="004D4424"/>
    <w:rsid w:val="004D49FA"/>
    <w:rsid w:val="004D5068"/>
    <w:rsid w:val="004D515C"/>
    <w:rsid w:val="004D537F"/>
    <w:rsid w:val="004D581B"/>
    <w:rsid w:val="004D5F71"/>
    <w:rsid w:val="004D680F"/>
    <w:rsid w:val="004D6E7D"/>
    <w:rsid w:val="004D6F67"/>
    <w:rsid w:val="004E0515"/>
    <w:rsid w:val="004E09E0"/>
    <w:rsid w:val="004E1C81"/>
    <w:rsid w:val="004E39A2"/>
    <w:rsid w:val="004E4A22"/>
    <w:rsid w:val="004E58F5"/>
    <w:rsid w:val="004E5975"/>
    <w:rsid w:val="004E62D6"/>
    <w:rsid w:val="004E7D83"/>
    <w:rsid w:val="004F0097"/>
    <w:rsid w:val="004F159E"/>
    <w:rsid w:val="004F1DF4"/>
    <w:rsid w:val="004F2AF3"/>
    <w:rsid w:val="004F44B1"/>
    <w:rsid w:val="004F4AE0"/>
    <w:rsid w:val="004F4E02"/>
    <w:rsid w:val="004F5E5E"/>
    <w:rsid w:val="004F6212"/>
    <w:rsid w:val="004F78C2"/>
    <w:rsid w:val="005008B8"/>
    <w:rsid w:val="0050384A"/>
    <w:rsid w:val="005047B7"/>
    <w:rsid w:val="00504CE0"/>
    <w:rsid w:val="00504D1D"/>
    <w:rsid w:val="005055CF"/>
    <w:rsid w:val="005058EA"/>
    <w:rsid w:val="00505A8B"/>
    <w:rsid w:val="00505E07"/>
    <w:rsid w:val="00506032"/>
    <w:rsid w:val="00506182"/>
    <w:rsid w:val="0050660F"/>
    <w:rsid w:val="00510BBF"/>
    <w:rsid w:val="00510C4B"/>
    <w:rsid w:val="00511552"/>
    <w:rsid w:val="00511968"/>
    <w:rsid w:val="00511DD5"/>
    <w:rsid w:val="00512AF4"/>
    <w:rsid w:val="0051307C"/>
    <w:rsid w:val="005137B4"/>
    <w:rsid w:val="005138A1"/>
    <w:rsid w:val="00513C46"/>
    <w:rsid w:val="0051497F"/>
    <w:rsid w:val="00514F8E"/>
    <w:rsid w:val="00516150"/>
    <w:rsid w:val="005163D0"/>
    <w:rsid w:val="00517ADA"/>
    <w:rsid w:val="00517CEA"/>
    <w:rsid w:val="00517E75"/>
    <w:rsid w:val="00520701"/>
    <w:rsid w:val="00520987"/>
    <w:rsid w:val="00525DA6"/>
    <w:rsid w:val="00526014"/>
    <w:rsid w:val="005269C6"/>
    <w:rsid w:val="00526DB7"/>
    <w:rsid w:val="005270E3"/>
    <w:rsid w:val="00527F1A"/>
    <w:rsid w:val="00530A6B"/>
    <w:rsid w:val="00531777"/>
    <w:rsid w:val="00531A72"/>
    <w:rsid w:val="005324B1"/>
    <w:rsid w:val="00533360"/>
    <w:rsid w:val="00533408"/>
    <w:rsid w:val="005336B7"/>
    <w:rsid w:val="00533F03"/>
    <w:rsid w:val="005348D3"/>
    <w:rsid w:val="00534903"/>
    <w:rsid w:val="00534AF9"/>
    <w:rsid w:val="0053536B"/>
    <w:rsid w:val="005357B9"/>
    <w:rsid w:val="005359B5"/>
    <w:rsid w:val="005368C3"/>
    <w:rsid w:val="00537260"/>
    <w:rsid w:val="005375B7"/>
    <w:rsid w:val="00537D81"/>
    <w:rsid w:val="005403C8"/>
    <w:rsid w:val="005420FB"/>
    <w:rsid w:val="005424B4"/>
    <w:rsid w:val="005425AD"/>
    <w:rsid w:val="005429A7"/>
    <w:rsid w:val="0054657C"/>
    <w:rsid w:val="005468D8"/>
    <w:rsid w:val="00546B0B"/>
    <w:rsid w:val="00546C51"/>
    <w:rsid w:val="00546EFC"/>
    <w:rsid w:val="00547201"/>
    <w:rsid w:val="005472B6"/>
    <w:rsid w:val="0054786D"/>
    <w:rsid w:val="00547EB2"/>
    <w:rsid w:val="00550660"/>
    <w:rsid w:val="00550829"/>
    <w:rsid w:val="00551007"/>
    <w:rsid w:val="0055127F"/>
    <w:rsid w:val="005520B6"/>
    <w:rsid w:val="005540D4"/>
    <w:rsid w:val="00555FE7"/>
    <w:rsid w:val="0055614C"/>
    <w:rsid w:val="00557140"/>
    <w:rsid w:val="00557354"/>
    <w:rsid w:val="00557E83"/>
    <w:rsid w:val="00560087"/>
    <w:rsid w:val="00560E56"/>
    <w:rsid w:val="00561789"/>
    <w:rsid w:val="00561FFE"/>
    <w:rsid w:val="0056222C"/>
    <w:rsid w:val="00562708"/>
    <w:rsid w:val="0056488E"/>
    <w:rsid w:val="005654A3"/>
    <w:rsid w:val="00565DC0"/>
    <w:rsid w:val="00566B95"/>
    <w:rsid w:val="00566D06"/>
    <w:rsid w:val="0056713B"/>
    <w:rsid w:val="005701C3"/>
    <w:rsid w:val="0057282C"/>
    <w:rsid w:val="005739E7"/>
    <w:rsid w:val="00573B35"/>
    <w:rsid w:val="00573B84"/>
    <w:rsid w:val="00575A45"/>
    <w:rsid w:val="00575ACC"/>
    <w:rsid w:val="0057636B"/>
    <w:rsid w:val="0057642C"/>
    <w:rsid w:val="00577481"/>
    <w:rsid w:val="00577E6B"/>
    <w:rsid w:val="00581BA9"/>
    <w:rsid w:val="005832E1"/>
    <w:rsid w:val="005835E6"/>
    <w:rsid w:val="005836BD"/>
    <w:rsid w:val="00583861"/>
    <w:rsid w:val="005840D6"/>
    <w:rsid w:val="0058471D"/>
    <w:rsid w:val="00584B07"/>
    <w:rsid w:val="00584C9E"/>
    <w:rsid w:val="005859AD"/>
    <w:rsid w:val="0059054D"/>
    <w:rsid w:val="00590AEE"/>
    <w:rsid w:val="00592C9D"/>
    <w:rsid w:val="00593312"/>
    <w:rsid w:val="005936B4"/>
    <w:rsid w:val="00594A64"/>
    <w:rsid w:val="00595EC7"/>
    <w:rsid w:val="00597AA2"/>
    <w:rsid w:val="00597DBC"/>
    <w:rsid w:val="005A0427"/>
    <w:rsid w:val="005A1214"/>
    <w:rsid w:val="005A2F8F"/>
    <w:rsid w:val="005A30C4"/>
    <w:rsid w:val="005A31A4"/>
    <w:rsid w:val="005A54CD"/>
    <w:rsid w:val="005A5D0E"/>
    <w:rsid w:val="005B01E5"/>
    <w:rsid w:val="005B1C74"/>
    <w:rsid w:val="005B1CE9"/>
    <w:rsid w:val="005B25D3"/>
    <w:rsid w:val="005B4F4F"/>
    <w:rsid w:val="005B50A6"/>
    <w:rsid w:val="005B6B73"/>
    <w:rsid w:val="005C1225"/>
    <w:rsid w:val="005C2147"/>
    <w:rsid w:val="005C235D"/>
    <w:rsid w:val="005C246D"/>
    <w:rsid w:val="005C24D8"/>
    <w:rsid w:val="005C4DD5"/>
    <w:rsid w:val="005C5434"/>
    <w:rsid w:val="005C6165"/>
    <w:rsid w:val="005C66B3"/>
    <w:rsid w:val="005C7906"/>
    <w:rsid w:val="005C7A08"/>
    <w:rsid w:val="005C7DD7"/>
    <w:rsid w:val="005C7EA8"/>
    <w:rsid w:val="005D0EDC"/>
    <w:rsid w:val="005D104F"/>
    <w:rsid w:val="005D3997"/>
    <w:rsid w:val="005D3A60"/>
    <w:rsid w:val="005D4AE2"/>
    <w:rsid w:val="005D532A"/>
    <w:rsid w:val="005D5637"/>
    <w:rsid w:val="005D61E5"/>
    <w:rsid w:val="005D6490"/>
    <w:rsid w:val="005D6EBA"/>
    <w:rsid w:val="005D7266"/>
    <w:rsid w:val="005D7A08"/>
    <w:rsid w:val="005D7D25"/>
    <w:rsid w:val="005E0306"/>
    <w:rsid w:val="005E11BC"/>
    <w:rsid w:val="005E125A"/>
    <w:rsid w:val="005E1370"/>
    <w:rsid w:val="005E14C2"/>
    <w:rsid w:val="005E1740"/>
    <w:rsid w:val="005E20DB"/>
    <w:rsid w:val="005E23E9"/>
    <w:rsid w:val="005E39E4"/>
    <w:rsid w:val="005E3DC5"/>
    <w:rsid w:val="005E3E24"/>
    <w:rsid w:val="005E4267"/>
    <w:rsid w:val="005E53A5"/>
    <w:rsid w:val="005E6765"/>
    <w:rsid w:val="005E7655"/>
    <w:rsid w:val="005F0A2C"/>
    <w:rsid w:val="005F21C0"/>
    <w:rsid w:val="005F2561"/>
    <w:rsid w:val="005F25DD"/>
    <w:rsid w:val="005F29D3"/>
    <w:rsid w:val="005F30D2"/>
    <w:rsid w:val="005F3257"/>
    <w:rsid w:val="005F3B60"/>
    <w:rsid w:val="005F417D"/>
    <w:rsid w:val="005F4920"/>
    <w:rsid w:val="005F582A"/>
    <w:rsid w:val="005F6B27"/>
    <w:rsid w:val="005F710E"/>
    <w:rsid w:val="00600197"/>
    <w:rsid w:val="00600B24"/>
    <w:rsid w:val="00601C17"/>
    <w:rsid w:val="006022B6"/>
    <w:rsid w:val="00605872"/>
    <w:rsid w:val="00605FE5"/>
    <w:rsid w:val="00606373"/>
    <w:rsid w:val="00606E8A"/>
    <w:rsid w:val="00606EF0"/>
    <w:rsid w:val="00606F00"/>
    <w:rsid w:val="00607334"/>
    <w:rsid w:val="00607BA5"/>
    <w:rsid w:val="00610400"/>
    <w:rsid w:val="00610645"/>
    <w:rsid w:val="00611619"/>
    <w:rsid w:val="0061180A"/>
    <w:rsid w:val="00612084"/>
    <w:rsid w:val="00612094"/>
    <w:rsid w:val="006125E2"/>
    <w:rsid w:val="006139B5"/>
    <w:rsid w:val="00614566"/>
    <w:rsid w:val="00615FD5"/>
    <w:rsid w:val="00616499"/>
    <w:rsid w:val="006174D8"/>
    <w:rsid w:val="00620223"/>
    <w:rsid w:val="00620C30"/>
    <w:rsid w:val="00621590"/>
    <w:rsid w:val="00622942"/>
    <w:rsid w:val="00622EE9"/>
    <w:rsid w:val="006231B4"/>
    <w:rsid w:val="00624A3F"/>
    <w:rsid w:val="00624ADD"/>
    <w:rsid w:val="00625405"/>
    <w:rsid w:val="00625E22"/>
    <w:rsid w:val="006262C2"/>
    <w:rsid w:val="00626492"/>
    <w:rsid w:val="006266B4"/>
    <w:rsid w:val="00626AD7"/>
    <w:rsid w:val="00626EB6"/>
    <w:rsid w:val="006278B0"/>
    <w:rsid w:val="0063023B"/>
    <w:rsid w:val="00630C36"/>
    <w:rsid w:val="00630C47"/>
    <w:rsid w:val="00630D04"/>
    <w:rsid w:val="00630D8A"/>
    <w:rsid w:val="00630F84"/>
    <w:rsid w:val="00631B64"/>
    <w:rsid w:val="00632AD6"/>
    <w:rsid w:val="00632FA2"/>
    <w:rsid w:val="006336EF"/>
    <w:rsid w:val="00633E2E"/>
    <w:rsid w:val="0063414F"/>
    <w:rsid w:val="00634830"/>
    <w:rsid w:val="0063552A"/>
    <w:rsid w:val="006358B7"/>
    <w:rsid w:val="00635BD8"/>
    <w:rsid w:val="006377A5"/>
    <w:rsid w:val="00637ACA"/>
    <w:rsid w:val="00637B1B"/>
    <w:rsid w:val="00640743"/>
    <w:rsid w:val="00640BB7"/>
    <w:rsid w:val="00640D7F"/>
    <w:rsid w:val="006410D2"/>
    <w:rsid w:val="00641301"/>
    <w:rsid w:val="00641D8C"/>
    <w:rsid w:val="00641DF4"/>
    <w:rsid w:val="00641FB9"/>
    <w:rsid w:val="006420D2"/>
    <w:rsid w:val="006430B2"/>
    <w:rsid w:val="006453EE"/>
    <w:rsid w:val="006464A6"/>
    <w:rsid w:val="00646BDA"/>
    <w:rsid w:val="00650D87"/>
    <w:rsid w:val="00651117"/>
    <w:rsid w:val="0065187D"/>
    <w:rsid w:val="0065215E"/>
    <w:rsid w:val="006523E7"/>
    <w:rsid w:val="00653234"/>
    <w:rsid w:val="00655589"/>
    <w:rsid w:val="00655D03"/>
    <w:rsid w:val="00655E1C"/>
    <w:rsid w:val="006561A3"/>
    <w:rsid w:val="0065691A"/>
    <w:rsid w:val="0065692B"/>
    <w:rsid w:val="00656F3E"/>
    <w:rsid w:val="00656F89"/>
    <w:rsid w:val="00657507"/>
    <w:rsid w:val="00657B36"/>
    <w:rsid w:val="006635C9"/>
    <w:rsid w:val="0066378F"/>
    <w:rsid w:val="00663E10"/>
    <w:rsid w:val="00664519"/>
    <w:rsid w:val="00665737"/>
    <w:rsid w:val="00666CC8"/>
    <w:rsid w:val="00666E26"/>
    <w:rsid w:val="00670026"/>
    <w:rsid w:val="0067068F"/>
    <w:rsid w:val="00670BF3"/>
    <w:rsid w:val="006718CF"/>
    <w:rsid w:val="006719A2"/>
    <w:rsid w:val="00672863"/>
    <w:rsid w:val="00672A47"/>
    <w:rsid w:val="00673AA3"/>
    <w:rsid w:val="00673F77"/>
    <w:rsid w:val="006758DC"/>
    <w:rsid w:val="00676680"/>
    <w:rsid w:val="00676836"/>
    <w:rsid w:val="006801F4"/>
    <w:rsid w:val="00680DC2"/>
    <w:rsid w:val="00683388"/>
    <w:rsid w:val="00683D21"/>
    <w:rsid w:val="00683F84"/>
    <w:rsid w:val="006841D1"/>
    <w:rsid w:val="0068526C"/>
    <w:rsid w:val="00685503"/>
    <w:rsid w:val="00685E23"/>
    <w:rsid w:val="00686A63"/>
    <w:rsid w:val="0069050E"/>
    <w:rsid w:val="00690AF1"/>
    <w:rsid w:val="006914B1"/>
    <w:rsid w:val="006925D9"/>
    <w:rsid w:val="00693241"/>
    <w:rsid w:val="006945D3"/>
    <w:rsid w:val="0069475C"/>
    <w:rsid w:val="00694E89"/>
    <w:rsid w:val="00696E95"/>
    <w:rsid w:val="006A062C"/>
    <w:rsid w:val="006A0842"/>
    <w:rsid w:val="006A0B94"/>
    <w:rsid w:val="006A12E1"/>
    <w:rsid w:val="006A20C6"/>
    <w:rsid w:val="006A246B"/>
    <w:rsid w:val="006A2B40"/>
    <w:rsid w:val="006A3EF6"/>
    <w:rsid w:val="006A4952"/>
    <w:rsid w:val="006A4CAE"/>
    <w:rsid w:val="006A4D16"/>
    <w:rsid w:val="006A51A5"/>
    <w:rsid w:val="006A67CB"/>
    <w:rsid w:val="006A67EE"/>
    <w:rsid w:val="006A6A81"/>
    <w:rsid w:val="006A746D"/>
    <w:rsid w:val="006A7471"/>
    <w:rsid w:val="006A7C05"/>
    <w:rsid w:val="006B0DCB"/>
    <w:rsid w:val="006B17BF"/>
    <w:rsid w:val="006B1C83"/>
    <w:rsid w:val="006B1FFB"/>
    <w:rsid w:val="006B21AC"/>
    <w:rsid w:val="006B2875"/>
    <w:rsid w:val="006B2EDA"/>
    <w:rsid w:val="006B3B3E"/>
    <w:rsid w:val="006B5072"/>
    <w:rsid w:val="006B7028"/>
    <w:rsid w:val="006B75C7"/>
    <w:rsid w:val="006B7AD5"/>
    <w:rsid w:val="006C0298"/>
    <w:rsid w:val="006C14D7"/>
    <w:rsid w:val="006C1B3A"/>
    <w:rsid w:val="006C1D0D"/>
    <w:rsid w:val="006C2DBA"/>
    <w:rsid w:val="006C3E41"/>
    <w:rsid w:val="006C4EB4"/>
    <w:rsid w:val="006C6C7C"/>
    <w:rsid w:val="006C75CF"/>
    <w:rsid w:val="006D064F"/>
    <w:rsid w:val="006D0E74"/>
    <w:rsid w:val="006D1FE0"/>
    <w:rsid w:val="006D36FA"/>
    <w:rsid w:val="006D465A"/>
    <w:rsid w:val="006D75B3"/>
    <w:rsid w:val="006E1BF9"/>
    <w:rsid w:val="006E1E7C"/>
    <w:rsid w:val="006E251F"/>
    <w:rsid w:val="006E266C"/>
    <w:rsid w:val="006E41C9"/>
    <w:rsid w:val="006E498B"/>
    <w:rsid w:val="006E4A7A"/>
    <w:rsid w:val="006E5010"/>
    <w:rsid w:val="006E60F8"/>
    <w:rsid w:val="006F0FE7"/>
    <w:rsid w:val="006F154C"/>
    <w:rsid w:val="006F202A"/>
    <w:rsid w:val="006F27F4"/>
    <w:rsid w:val="006F379F"/>
    <w:rsid w:val="006F3A57"/>
    <w:rsid w:val="006F4D70"/>
    <w:rsid w:val="006F4FBB"/>
    <w:rsid w:val="006F596E"/>
    <w:rsid w:val="006F5BE8"/>
    <w:rsid w:val="006F684A"/>
    <w:rsid w:val="006F7393"/>
    <w:rsid w:val="006F7CD4"/>
    <w:rsid w:val="007008C0"/>
    <w:rsid w:val="00700D7E"/>
    <w:rsid w:val="00700EA6"/>
    <w:rsid w:val="007012DF"/>
    <w:rsid w:val="0070224F"/>
    <w:rsid w:val="007035B1"/>
    <w:rsid w:val="00703F69"/>
    <w:rsid w:val="007047B6"/>
    <w:rsid w:val="00705587"/>
    <w:rsid w:val="00705CC4"/>
    <w:rsid w:val="00706104"/>
    <w:rsid w:val="0070633D"/>
    <w:rsid w:val="007070E6"/>
    <w:rsid w:val="00707E9E"/>
    <w:rsid w:val="007101A4"/>
    <w:rsid w:val="007115F7"/>
    <w:rsid w:val="00711CFA"/>
    <w:rsid w:val="007127AA"/>
    <w:rsid w:val="007133CC"/>
    <w:rsid w:val="007136B8"/>
    <w:rsid w:val="00714295"/>
    <w:rsid w:val="00714830"/>
    <w:rsid w:val="0071484B"/>
    <w:rsid w:val="00714D35"/>
    <w:rsid w:val="007156F2"/>
    <w:rsid w:val="00716864"/>
    <w:rsid w:val="007169BB"/>
    <w:rsid w:val="0071723A"/>
    <w:rsid w:val="00717F67"/>
    <w:rsid w:val="00720478"/>
    <w:rsid w:val="00721E5C"/>
    <w:rsid w:val="0072260A"/>
    <w:rsid w:val="00723CE2"/>
    <w:rsid w:val="00723E26"/>
    <w:rsid w:val="00724376"/>
    <w:rsid w:val="00727B89"/>
    <w:rsid w:val="00727D7B"/>
    <w:rsid w:val="00731403"/>
    <w:rsid w:val="00731567"/>
    <w:rsid w:val="00731F37"/>
    <w:rsid w:val="00735982"/>
    <w:rsid w:val="00735A42"/>
    <w:rsid w:val="00736397"/>
    <w:rsid w:val="00736D8B"/>
    <w:rsid w:val="00737486"/>
    <w:rsid w:val="00737B1D"/>
    <w:rsid w:val="00737F3E"/>
    <w:rsid w:val="00740031"/>
    <w:rsid w:val="007406F6"/>
    <w:rsid w:val="0074166B"/>
    <w:rsid w:val="00741985"/>
    <w:rsid w:val="007420AA"/>
    <w:rsid w:val="007431DE"/>
    <w:rsid w:val="007435BC"/>
    <w:rsid w:val="00744F8A"/>
    <w:rsid w:val="00745B26"/>
    <w:rsid w:val="0075095E"/>
    <w:rsid w:val="00750CE3"/>
    <w:rsid w:val="00752105"/>
    <w:rsid w:val="0075305D"/>
    <w:rsid w:val="00753306"/>
    <w:rsid w:val="00753F26"/>
    <w:rsid w:val="0075492D"/>
    <w:rsid w:val="00754B65"/>
    <w:rsid w:val="00755E7E"/>
    <w:rsid w:val="00756B2E"/>
    <w:rsid w:val="00760004"/>
    <w:rsid w:val="0076006F"/>
    <w:rsid w:val="00760B93"/>
    <w:rsid w:val="00761666"/>
    <w:rsid w:val="00761DA1"/>
    <w:rsid w:val="00761EC0"/>
    <w:rsid w:val="00762352"/>
    <w:rsid w:val="007625A6"/>
    <w:rsid w:val="0076353A"/>
    <w:rsid w:val="00763600"/>
    <w:rsid w:val="00763E2C"/>
    <w:rsid w:val="00763F3E"/>
    <w:rsid w:val="00763FE7"/>
    <w:rsid w:val="007657C6"/>
    <w:rsid w:val="007657E4"/>
    <w:rsid w:val="00766865"/>
    <w:rsid w:val="0076704B"/>
    <w:rsid w:val="00767231"/>
    <w:rsid w:val="00767DF8"/>
    <w:rsid w:val="0077166A"/>
    <w:rsid w:val="0077185F"/>
    <w:rsid w:val="00771A32"/>
    <w:rsid w:val="00773121"/>
    <w:rsid w:val="007738F6"/>
    <w:rsid w:val="00773BA6"/>
    <w:rsid w:val="0077493E"/>
    <w:rsid w:val="00774E8F"/>
    <w:rsid w:val="007750FA"/>
    <w:rsid w:val="00776A99"/>
    <w:rsid w:val="00776CC8"/>
    <w:rsid w:val="00776DA6"/>
    <w:rsid w:val="0077705B"/>
    <w:rsid w:val="007770D8"/>
    <w:rsid w:val="00781AAA"/>
    <w:rsid w:val="0078212F"/>
    <w:rsid w:val="00782DA0"/>
    <w:rsid w:val="007831BE"/>
    <w:rsid w:val="00784386"/>
    <w:rsid w:val="0078560D"/>
    <w:rsid w:val="00785689"/>
    <w:rsid w:val="00785972"/>
    <w:rsid w:val="00785FE2"/>
    <w:rsid w:val="007862CB"/>
    <w:rsid w:val="007863A2"/>
    <w:rsid w:val="00786D98"/>
    <w:rsid w:val="00786F34"/>
    <w:rsid w:val="00787500"/>
    <w:rsid w:val="00787966"/>
    <w:rsid w:val="00787E4A"/>
    <w:rsid w:val="00787E98"/>
    <w:rsid w:val="00790F5B"/>
    <w:rsid w:val="0079191E"/>
    <w:rsid w:val="0079352F"/>
    <w:rsid w:val="0079479A"/>
    <w:rsid w:val="00795816"/>
    <w:rsid w:val="00796E29"/>
    <w:rsid w:val="00797411"/>
    <w:rsid w:val="0079754B"/>
    <w:rsid w:val="0079783D"/>
    <w:rsid w:val="00797894"/>
    <w:rsid w:val="007A0E9B"/>
    <w:rsid w:val="007A1813"/>
    <w:rsid w:val="007A1E6D"/>
    <w:rsid w:val="007A2480"/>
    <w:rsid w:val="007A2E7C"/>
    <w:rsid w:val="007A3A15"/>
    <w:rsid w:val="007A3A52"/>
    <w:rsid w:val="007A6344"/>
    <w:rsid w:val="007A63E5"/>
    <w:rsid w:val="007A643B"/>
    <w:rsid w:val="007B0445"/>
    <w:rsid w:val="007B0B99"/>
    <w:rsid w:val="007B0EB2"/>
    <w:rsid w:val="007B1030"/>
    <w:rsid w:val="007B28F0"/>
    <w:rsid w:val="007B2AA4"/>
    <w:rsid w:val="007B4CFE"/>
    <w:rsid w:val="007B4DE3"/>
    <w:rsid w:val="007B52A2"/>
    <w:rsid w:val="007B5DE4"/>
    <w:rsid w:val="007B6630"/>
    <w:rsid w:val="007B67A0"/>
    <w:rsid w:val="007B6F23"/>
    <w:rsid w:val="007C04A2"/>
    <w:rsid w:val="007C0590"/>
    <w:rsid w:val="007C0F4D"/>
    <w:rsid w:val="007C131E"/>
    <w:rsid w:val="007C258B"/>
    <w:rsid w:val="007C2A12"/>
    <w:rsid w:val="007C2E1A"/>
    <w:rsid w:val="007C4ED8"/>
    <w:rsid w:val="007C6367"/>
    <w:rsid w:val="007C670F"/>
    <w:rsid w:val="007C7DE2"/>
    <w:rsid w:val="007D016D"/>
    <w:rsid w:val="007D03B1"/>
    <w:rsid w:val="007D082F"/>
    <w:rsid w:val="007D181D"/>
    <w:rsid w:val="007D2F84"/>
    <w:rsid w:val="007D4283"/>
    <w:rsid w:val="007D4864"/>
    <w:rsid w:val="007D4E7D"/>
    <w:rsid w:val="007D50CC"/>
    <w:rsid w:val="007D69E4"/>
    <w:rsid w:val="007D740A"/>
    <w:rsid w:val="007D77BB"/>
    <w:rsid w:val="007E0763"/>
    <w:rsid w:val="007E2354"/>
    <w:rsid w:val="007E2DE2"/>
    <w:rsid w:val="007E2F43"/>
    <w:rsid w:val="007E542A"/>
    <w:rsid w:val="007E7BDF"/>
    <w:rsid w:val="007F0371"/>
    <w:rsid w:val="007F0E58"/>
    <w:rsid w:val="007F1DE9"/>
    <w:rsid w:val="007F22C7"/>
    <w:rsid w:val="007F2EEA"/>
    <w:rsid w:val="007F38F1"/>
    <w:rsid w:val="007F3BF2"/>
    <w:rsid w:val="007F3D91"/>
    <w:rsid w:val="007F6D82"/>
    <w:rsid w:val="007F7008"/>
    <w:rsid w:val="0080027B"/>
    <w:rsid w:val="008011AC"/>
    <w:rsid w:val="00801AFE"/>
    <w:rsid w:val="00801C91"/>
    <w:rsid w:val="00802C6A"/>
    <w:rsid w:val="00802F4B"/>
    <w:rsid w:val="00803641"/>
    <w:rsid w:val="00803781"/>
    <w:rsid w:val="008041CF"/>
    <w:rsid w:val="00806088"/>
    <w:rsid w:val="008061DD"/>
    <w:rsid w:val="00806DDC"/>
    <w:rsid w:val="00806EC4"/>
    <w:rsid w:val="0080710B"/>
    <w:rsid w:val="00807712"/>
    <w:rsid w:val="00807A70"/>
    <w:rsid w:val="00807D90"/>
    <w:rsid w:val="00807F45"/>
    <w:rsid w:val="00810B1A"/>
    <w:rsid w:val="00810B6F"/>
    <w:rsid w:val="00810F3E"/>
    <w:rsid w:val="0081294C"/>
    <w:rsid w:val="00812C6E"/>
    <w:rsid w:val="00812EEF"/>
    <w:rsid w:val="008130B8"/>
    <w:rsid w:val="00813772"/>
    <w:rsid w:val="00813BC4"/>
    <w:rsid w:val="00813C27"/>
    <w:rsid w:val="008142FF"/>
    <w:rsid w:val="0081602E"/>
    <w:rsid w:val="008165A6"/>
    <w:rsid w:val="00817064"/>
    <w:rsid w:val="008179D7"/>
    <w:rsid w:val="00817D66"/>
    <w:rsid w:val="00817E7E"/>
    <w:rsid w:val="00821FAE"/>
    <w:rsid w:val="0082278B"/>
    <w:rsid w:val="0082291F"/>
    <w:rsid w:val="00822B4B"/>
    <w:rsid w:val="00822CE0"/>
    <w:rsid w:val="00822DC8"/>
    <w:rsid w:val="00823453"/>
    <w:rsid w:val="008246A5"/>
    <w:rsid w:val="00824C58"/>
    <w:rsid w:val="0082515C"/>
    <w:rsid w:val="008252B3"/>
    <w:rsid w:val="00825719"/>
    <w:rsid w:val="00825AF0"/>
    <w:rsid w:val="00826A39"/>
    <w:rsid w:val="00826DAE"/>
    <w:rsid w:val="00826F9C"/>
    <w:rsid w:val="00827DE2"/>
    <w:rsid w:val="00830CED"/>
    <w:rsid w:val="008311D9"/>
    <w:rsid w:val="008319EF"/>
    <w:rsid w:val="00831BA0"/>
    <w:rsid w:val="00832D8C"/>
    <w:rsid w:val="0083312D"/>
    <w:rsid w:val="00833DC3"/>
    <w:rsid w:val="008369CC"/>
    <w:rsid w:val="00837AC8"/>
    <w:rsid w:val="008409E6"/>
    <w:rsid w:val="00840A26"/>
    <w:rsid w:val="00841AB1"/>
    <w:rsid w:val="00841D20"/>
    <w:rsid w:val="00842233"/>
    <w:rsid w:val="0084236F"/>
    <w:rsid w:val="00842E06"/>
    <w:rsid w:val="00843A91"/>
    <w:rsid w:val="00844041"/>
    <w:rsid w:val="00845A04"/>
    <w:rsid w:val="00850306"/>
    <w:rsid w:val="008508B1"/>
    <w:rsid w:val="00852EB1"/>
    <w:rsid w:val="00853DF5"/>
    <w:rsid w:val="0085457B"/>
    <w:rsid w:val="008545ED"/>
    <w:rsid w:val="008546C1"/>
    <w:rsid w:val="008547BB"/>
    <w:rsid w:val="00854BD7"/>
    <w:rsid w:val="00855598"/>
    <w:rsid w:val="00855732"/>
    <w:rsid w:val="008565A7"/>
    <w:rsid w:val="0085686E"/>
    <w:rsid w:val="00856DA0"/>
    <w:rsid w:val="008571C4"/>
    <w:rsid w:val="00857318"/>
    <w:rsid w:val="00857C43"/>
    <w:rsid w:val="00860286"/>
    <w:rsid w:val="00861904"/>
    <w:rsid w:val="00861BAA"/>
    <w:rsid w:val="008620A8"/>
    <w:rsid w:val="00862413"/>
    <w:rsid w:val="0086260F"/>
    <w:rsid w:val="008633CD"/>
    <w:rsid w:val="00863E90"/>
    <w:rsid w:val="008652A3"/>
    <w:rsid w:val="008659D6"/>
    <w:rsid w:val="00866FDB"/>
    <w:rsid w:val="008672AD"/>
    <w:rsid w:val="00867C6F"/>
    <w:rsid w:val="00867E5D"/>
    <w:rsid w:val="008705E0"/>
    <w:rsid w:val="00870F38"/>
    <w:rsid w:val="008710B9"/>
    <w:rsid w:val="00871304"/>
    <w:rsid w:val="008721AE"/>
    <w:rsid w:val="008731B6"/>
    <w:rsid w:val="00873F21"/>
    <w:rsid w:val="008743C5"/>
    <w:rsid w:val="00874EB5"/>
    <w:rsid w:val="008756AC"/>
    <w:rsid w:val="008757CC"/>
    <w:rsid w:val="00876184"/>
    <w:rsid w:val="00876EBC"/>
    <w:rsid w:val="00877118"/>
    <w:rsid w:val="008805E5"/>
    <w:rsid w:val="00880D20"/>
    <w:rsid w:val="00880DA2"/>
    <w:rsid w:val="00881925"/>
    <w:rsid w:val="0088224C"/>
    <w:rsid w:val="00882E74"/>
    <w:rsid w:val="008832E9"/>
    <w:rsid w:val="0088341B"/>
    <w:rsid w:val="00883883"/>
    <w:rsid w:val="00884255"/>
    <w:rsid w:val="00884AAD"/>
    <w:rsid w:val="008859BD"/>
    <w:rsid w:val="0088607E"/>
    <w:rsid w:val="008861D2"/>
    <w:rsid w:val="00886602"/>
    <w:rsid w:val="008905E0"/>
    <w:rsid w:val="00890C1A"/>
    <w:rsid w:val="00890FF7"/>
    <w:rsid w:val="0089216F"/>
    <w:rsid w:val="008922AC"/>
    <w:rsid w:val="00892587"/>
    <w:rsid w:val="0089361A"/>
    <w:rsid w:val="008938FC"/>
    <w:rsid w:val="00893A9B"/>
    <w:rsid w:val="00893FEC"/>
    <w:rsid w:val="00895985"/>
    <w:rsid w:val="00896A44"/>
    <w:rsid w:val="00896E2B"/>
    <w:rsid w:val="00897B14"/>
    <w:rsid w:val="008A0186"/>
    <w:rsid w:val="008A2893"/>
    <w:rsid w:val="008A2F0C"/>
    <w:rsid w:val="008A320D"/>
    <w:rsid w:val="008A3E5F"/>
    <w:rsid w:val="008A4756"/>
    <w:rsid w:val="008A6344"/>
    <w:rsid w:val="008A6F88"/>
    <w:rsid w:val="008A703A"/>
    <w:rsid w:val="008A76C7"/>
    <w:rsid w:val="008B0B8D"/>
    <w:rsid w:val="008B21C7"/>
    <w:rsid w:val="008B2771"/>
    <w:rsid w:val="008B2E1D"/>
    <w:rsid w:val="008B41C9"/>
    <w:rsid w:val="008B674C"/>
    <w:rsid w:val="008C0962"/>
    <w:rsid w:val="008C0D8D"/>
    <w:rsid w:val="008C1488"/>
    <w:rsid w:val="008C18BB"/>
    <w:rsid w:val="008C1D56"/>
    <w:rsid w:val="008C21B1"/>
    <w:rsid w:val="008C268C"/>
    <w:rsid w:val="008C3935"/>
    <w:rsid w:val="008C421D"/>
    <w:rsid w:val="008C4453"/>
    <w:rsid w:val="008C52C5"/>
    <w:rsid w:val="008C68F1"/>
    <w:rsid w:val="008C6DFC"/>
    <w:rsid w:val="008C6F5C"/>
    <w:rsid w:val="008C720B"/>
    <w:rsid w:val="008C7623"/>
    <w:rsid w:val="008D181E"/>
    <w:rsid w:val="008D1D8B"/>
    <w:rsid w:val="008D1F47"/>
    <w:rsid w:val="008D25FB"/>
    <w:rsid w:val="008D2BD0"/>
    <w:rsid w:val="008D332C"/>
    <w:rsid w:val="008D3A33"/>
    <w:rsid w:val="008D3E02"/>
    <w:rsid w:val="008D54CE"/>
    <w:rsid w:val="008D76D5"/>
    <w:rsid w:val="008D798C"/>
    <w:rsid w:val="008E0BB2"/>
    <w:rsid w:val="008E1519"/>
    <w:rsid w:val="008E1C5E"/>
    <w:rsid w:val="008E2DC2"/>
    <w:rsid w:val="008E314B"/>
    <w:rsid w:val="008E4313"/>
    <w:rsid w:val="008E5AE3"/>
    <w:rsid w:val="008E71BC"/>
    <w:rsid w:val="008E729C"/>
    <w:rsid w:val="008E747E"/>
    <w:rsid w:val="008F0A3F"/>
    <w:rsid w:val="008F1088"/>
    <w:rsid w:val="008F1E7C"/>
    <w:rsid w:val="008F1F67"/>
    <w:rsid w:val="008F3064"/>
    <w:rsid w:val="008F3253"/>
    <w:rsid w:val="008F368F"/>
    <w:rsid w:val="008F4279"/>
    <w:rsid w:val="008F6F0C"/>
    <w:rsid w:val="00900DFF"/>
    <w:rsid w:val="00901672"/>
    <w:rsid w:val="00901C79"/>
    <w:rsid w:val="00902181"/>
    <w:rsid w:val="0090382B"/>
    <w:rsid w:val="00905840"/>
    <w:rsid w:val="0090634F"/>
    <w:rsid w:val="0090666A"/>
    <w:rsid w:val="00906872"/>
    <w:rsid w:val="009068DC"/>
    <w:rsid w:val="009077CE"/>
    <w:rsid w:val="00907A62"/>
    <w:rsid w:val="009102D2"/>
    <w:rsid w:val="00910545"/>
    <w:rsid w:val="00910701"/>
    <w:rsid w:val="00911C40"/>
    <w:rsid w:val="00911ECD"/>
    <w:rsid w:val="009121AE"/>
    <w:rsid w:val="00912F65"/>
    <w:rsid w:val="00913628"/>
    <w:rsid w:val="009143B3"/>
    <w:rsid w:val="00914DF8"/>
    <w:rsid w:val="009159A1"/>
    <w:rsid w:val="00916D04"/>
    <w:rsid w:val="00916D55"/>
    <w:rsid w:val="00916FCC"/>
    <w:rsid w:val="00917AC8"/>
    <w:rsid w:val="00917D0F"/>
    <w:rsid w:val="00917E10"/>
    <w:rsid w:val="00920111"/>
    <w:rsid w:val="00921803"/>
    <w:rsid w:val="00921917"/>
    <w:rsid w:val="0092217E"/>
    <w:rsid w:val="00922A10"/>
    <w:rsid w:val="00922BD1"/>
    <w:rsid w:val="00923ABC"/>
    <w:rsid w:val="00923D2F"/>
    <w:rsid w:val="00924172"/>
    <w:rsid w:val="00925428"/>
    <w:rsid w:val="00925F1F"/>
    <w:rsid w:val="009260EA"/>
    <w:rsid w:val="0092633F"/>
    <w:rsid w:val="009264B0"/>
    <w:rsid w:val="00926503"/>
    <w:rsid w:val="00926D27"/>
    <w:rsid w:val="00927098"/>
    <w:rsid w:val="00927730"/>
    <w:rsid w:val="009305BA"/>
    <w:rsid w:val="009313E4"/>
    <w:rsid w:val="0093259F"/>
    <w:rsid w:val="00932B59"/>
    <w:rsid w:val="00934138"/>
    <w:rsid w:val="00935144"/>
    <w:rsid w:val="00936681"/>
    <w:rsid w:val="009406DD"/>
    <w:rsid w:val="009415F1"/>
    <w:rsid w:val="009419B3"/>
    <w:rsid w:val="00941E35"/>
    <w:rsid w:val="0094295C"/>
    <w:rsid w:val="00942E02"/>
    <w:rsid w:val="009433BC"/>
    <w:rsid w:val="00943855"/>
    <w:rsid w:val="00943BE3"/>
    <w:rsid w:val="00945503"/>
    <w:rsid w:val="00946534"/>
    <w:rsid w:val="00946722"/>
    <w:rsid w:val="00950530"/>
    <w:rsid w:val="00950A09"/>
    <w:rsid w:val="00950C05"/>
    <w:rsid w:val="0095295B"/>
    <w:rsid w:val="00952AD1"/>
    <w:rsid w:val="00952AE2"/>
    <w:rsid w:val="0095361D"/>
    <w:rsid w:val="00955700"/>
    <w:rsid w:val="00956892"/>
    <w:rsid w:val="00957192"/>
    <w:rsid w:val="00960119"/>
    <w:rsid w:val="009607B6"/>
    <w:rsid w:val="00960DEC"/>
    <w:rsid w:val="009615B2"/>
    <w:rsid w:val="0096225F"/>
    <w:rsid w:val="00962B09"/>
    <w:rsid w:val="00962B44"/>
    <w:rsid w:val="00962F3D"/>
    <w:rsid w:val="009630F3"/>
    <w:rsid w:val="00963D9A"/>
    <w:rsid w:val="00964019"/>
    <w:rsid w:val="009640B7"/>
    <w:rsid w:val="009645C3"/>
    <w:rsid w:val="00965944"/>
    <w:rsid w:val="0096616D"/>
    <w:rsid w:val="009663CC"/>
    <w:rsid w:val="00966843"/>
    <w:rsid w:val="00970085"/>
    <w:rsid w:val="00971A41"/>
    <w:rsid w:val="00971D3E"/>
    <w:rsid w:val="00971DE5"/>
    <w:rsid w:val="0097244F"/>
    <w:rsid w:val="009726D8"/>
    <w:rsid w:val="0097321E"/>
    <w:rsid w:val="009733D6"/>
    <w:rsid w:val="00973941"/>
    <w:rsid w:val="00975023"/>
    <w:rsid w:val="00975E6C"/>
    <w:rsid w:val="00976013"/>
    <w:rsid w:val="00976162"/>
    <w:rsid w:val="00976E27"/>
    <w:rsid w:val="00976E38"/>
    <w:rsid w:val="00981CC2"/>
    <w:rsid w:val="00982191"/>
    <w:rsid w:val="00982844"/>
    <w:rsid w:val="00983311"/>
    <w:rsid w:val="009849C2"/>
    <w:rsid w:val="00984B53"/>
    <w:rsid w:val="00984CAD"/>
    <w:rsid w:val="009905EF"/>
    <w:rsid w:val="009907F0"/>
    <w:rsid w:val="0099093B"/>
    <w:rsid w:val="00990DC8"/>
    <w:rsid w:val="00990F5C"/>
    <w:rsid w:val="009914EA"/>
    <w:rsid w:val="009942AB"/>
    <w:rsid w:val="00995AA0"/>
    <w:rsid w:val="00996C7F"/>
    <w:rsid w:val="00997A40"/>
    <w:rsid w:val="009A0A82"/>
    <w:rsid w:val="009A19A9"/>
    <w:rsid w:val="009A29A9"/>
    <w:rsid w:val="009A31F9"/>
    <w:rsid w:val="009A3508"/>
    <w:rsid w:val="009A3BA4"/>
    <w:rsid w:val="009A3E00"/>
    <w:rsid w:val="009A40C6"/>
    <w:rsid w:val="009A47D6"/>
    <w:rsid w:val="009A5591"/>
    <w:rsid w:val="009A5939"/>
    <w:rsid w:val="009A6195"/>
    <w:rsid w:val="009A6325"/>
    <w:rsid w:val="009A7086"/>
    <w:rsid w:val="009A71B4"/>
    <w:rsid w:val="009A7F3C"/>
    <w:rsid w:val="009B0FFC"/>
    <w:rsid w:val="009B1DDA"/>
    <w:rsid w:val="009B2044"/>
    <w:rsid w:val="009B2F9A"/>
    <w:rsid w:val="009B351B"/>
    <w:rsid w:val="009B45FC"/>
    <w:rsid w:val="009B5779"/>
    <w:rsid w:val="009B62FF"/>
    <w:rsid w:val="009B7093"/>
    <w:rsid w:val="009C0EFC"/>
    <w:rsid w:val="009C192D"/>
    <w:rsid w:val="009C25A4"/>
    <w:rsid w:val="009C2D8E"/>
    <w:rsid w:val="009C38F4"/>
    <w:rsid w:val="009C45BC"/>
    <w:rsid w:val="009C48BD"/>
    <w:rsid w:val="009C4B41"/>
    <w:rsid w:val="009C4C90"/>
    <w:rsid w:val="009C4D52"/>
    <w:rsid w:val="009C5646"/>
    <w:rsid w:val="009C603C"/>
    <w:rsid w:val="009D1CCB"/>
    <w:rsid w:val="009D26E4"/>
    <w:rsid w:val="009D39B3"/>
    <w:rsid w:val="009D3FBF"/>
    <w:rsid w:val="009D50D0"/>
    <w:rsid w:val="009D56F4"/>
    <w:rsid w:val="009D5C69"/>
    <w:rsid w:val="009D6F85"/>
    <w:rsid w:val="009D7308"/>
    <w:rsid w:val="009E02EA"/>
    <w:rsid w:val="009E044C"/>
    <w:rsid w:val="009E11E6"/>
    <w:rsid w:val="009E1ED8"/>
    <w:rsid w:val="009E23A4"/>
    <w:rsid w:val="009E2EBD"/>
    <w:rsid w:val="009E317B"/>
    <w:rsid w:val="009E3F32"/>
    <w:rsid w:val="009E6B54"/>
    <w:rsid w:val="009E6B81"/>
    <w:rsid w:val="009E6D4A"/>
    <w:rsid w:val="009E7D4F"/>
    <w:rsid w:val="009F0421"/>
    <w:rsid w:val="009F13F0"/>
    <w:rsid w:val="009F2CB6"/>
    <w:rsid w:val="009F4378"/>
    <w:rsid w:val="009F4475"/>
    <w:rsid w:val="009F51B3"/>
    <w:rsid w:val="009F5825"/>
    <w:rsid w:val="009F6287"/>
    <w:rsid w:val="009F6E3A"/>
    <w:rsid w:val="009F76DB"/>
    <w:rsid w:val="00A000C8"/>
    <w:rsid w:val="00A00184"/>
    <w:rsid w:val="00A003F5"/>
    <w:rsid w:val="00A00B7C"/>
    <w:rsid w:val="00A0106D"/>
    <w:rsid w:val="00A01587"/>
    <w:rsid w:val="00A017FB"/>
    <w:rsid w:val="00A01DBF"/>
    <w:rsid w:val="00A023A0"/>
    <w:rsid w:val="00A026C8"/>
    <w:rsid w:val="00A0309C"/>
    <w:rsid w:val="00A033A1"/>
    <w:rsid w:val="00A0374E"/>
    <w:rsid w:val="00A03C05"/>
    <w:rsid w:val="00A04518"/>
    <w:rsid w:val="00A047D8"/>
    <w:rsid w:val="00A070DD"/>
    <w:rsid w:val="00A10D21"/>
    <w:rsid w:val="00A10F31"/>
    <w:rsid w:val="00A118AE"/>
    <w:rsid w:val="00A12602"/>
    <w:rsid w:val="00A12B0C"/>
    <w:rsid w:val="00A12EC3"/>
    <w:rsid w:val="00A13339"/>
    <w:rsid w:val="00A13D98"/>
    <w:rsid w:val="00A142BF"/>
    <w:rsid w:val="00A14BCE"/>
    <w:rsid w:val="00A151B7"/>
    <w:rsid w:val="00A15537"/>
    <w:rsid w:val="00A17761"/>
    <w:rsid w:val="00A209AA"/>
    <w:rsid w:val="00A20A15"/>
    <w:rsid w:val="00A20B5F"/>
    <w:rsid w:val="00A21B04"/>
    <w:rsid w:val="00A23ACA"/>
    <w:rsid w:val="00A2777F"/>
    <w:rsid w:val="00A3205E"/>
    <w:rsid w:val="00A32250"/>
    <w:rsid w:val="00A32C3B"/>
    <w:rsid w:val="00A32E9E"/>
    <w:rsid w:val="00A33A72"/>
    <w:rsid w:val="00A34501"/>
    <w:rsid w:val="00A35EBC"/>
    <w:rsid w:val="00A37E79"/>
    <w:rsid w:val="00A40597"/>
    <w:rsid w:val="00A40C23"/>
    <w:rsid w:val="00A41E1F"/>
    <w:rsid w:val="00A42AFD"/>
    <w:rsid w:val="00A42C44"/>
    <w:rsid w:val="00A43095"/>
    <w:rsid w:val="00A436F2"/>
    <w:rsid w:val="00A43909"/>
    <w:rsid w:val="00A43C51"/>
    <w:rsid w:val="00A4407B"/>
    <w:rsid w:val="00A44083"/>
    <w:rsid w:val="00A45923"/>
    <w:rsid w:val="00A45F4F"/>
    <w:rsid w:val="00A460EE"/>
    <w:rsid w:val="00A464B0"/>
    <w:rsid w:val="00A46A89"/>
    <w:rsid w:val="00A46BAA"/>
    <w:rsid w:val="00A51B6D"/>
    <w:rsid w:val="00A52DAA"/>
    <w:rsid w:val="00A5304A"/>
    <w:rsid w:val="00A5376C"/>
    <w:rsid w:val="00A53C9E"/>
    <w:rsid w:val="00A54B24"/>
    <w:rsid w:val="00A5553C"/>
    <w:rsid w:val="00A55A5C"/>
    <w:rsid w:val="00A56634"/>
    <w:rsid w:val="00A57757"/>
    <w:rsid w:val="00A600A9"/>
    <w:rsid w:val="00A60AA6"/>
    <w:rsid w:val="00A60FF4"/>
    <w:rsid w:val="00A61279"/>
    <w:rsid w:val="00A61A89"/>
    <w:rsid w:val="00A62103"/>
    <w:rsid w:val="00A63950"/>
    <w:rsid w:val="00A63D4B"/>
    <w:rsid w:val="00A6486C"/>
    <w:rsid w:val="00A64D82"/>
    <w:rsid w:val="00A6524D"/>
    <w:rsid w:val="00A655A3"/>
    <w:rsid w:val="00A65647"/>
    <w:rsid w:val="00A65881"/>
    <w:rsid w:val="00A65E2C"/>
    <w:rsid w:val="00A6728A"/>
    <w:rsid w:val="00A676A6"/>
    <w:rsid w:val="00A70807"/>
    <w:rsid w:val="00A7180C"/>
    <w:rsid w:val="00A72483"/>
    <w:rsid w:val="00A729A5"/>
    <w:rsid w:val="00A74382"/>
    <w:rsid w:val="00A758E2"/>
    <w:rsid w:val="00A80F64"/>
    <w:rsid w:val="00A81410"/>
    <w:rsid w:val="00A81CD1"/>
    <w:rsid w:val="00A83660"/>
    <w:rsid w:val="00A83C5A"/>
    <w:rsid w:val="00A851E7"/>
    <w:rsid w:val="00A8599C"/>
    <w:rsid w:val="00A87272"/>
    <w:rsid w:val="00A873FB"/>
    <w:rsid w:val="00A91F64"/>
    <w:rsid w:val="00A921E9"/>
    <w:rsid w:val="00A924BB"/>
    <w:rsid w:val="00A92BF7"/>
    <w:rsid w:val="00A93B37"/>
    <w:rsid w:val="00A9453D"/>
    <w:rsid w:val="00A94586"/>
    <w:rsid w:val="00A95C0C"/>
    <w:rsid w:val="00A96398"/>
    <w:rsid w:val="00A96697"/>
    <w:rsid w:val="00A96F98"/>
    <w:rsid w:val="00A9700F"/>
    <w:rsid w:val="00A9770A"/>
    <w:rsid w:val="00A977E3"/>
    <w:rsid w:val="00A97B54"/>
    <w:rsid w:val="00AA0201"/>
    <w:rsid w:val="00AA1662"/>
    <w:rsid w:val="00AA3156"/>
    <w:rsid w:val="00AA31E6"/>
    <w:rsid w:val="00AA323F"/>
    <w:rsid w:val="00AA54D8"/>
    <w:rsid w:val="00AA55B7"/>
    <w:rsid w:val="00AA5B9E"/>
    <w:rsid w:val="00AA5F4C"/>
    <w:rsid w:val="00AA621A"/>
    <w:rsid w:val="00AA6D59"/>
    <w:rsid w:val="00AA70D9"/>
    <w:rsid w:val="00AA73E6"/>
    <w:rsid w:val="00AA7493"/>
    <w:rsid w:val="00AA79E4"/>
    <w:rsid w:val="00AB0113"/>
    <w:rsid w:val="00AB0474"/>
    <w:rsid w:val="00AB14AC"/>
    <w:rsid w:val="00AB1545"/>
    <w:rsid w:val="00AB1A8D"/>
    <w:rsid w:val="00AB1EBF"/>
    <w:rsid w:val="00AB2407"/>
    <w:rsid w:val="00AB3122"/>
    <w:rsid w:val="00AB371E"/>
    <w:rsid w:val="00AB3DA3"/>
    <w:rsid w:val="00AB488A"/>
    <w:rsid w:val="00AB4B43"/>
    <w:rsid w:val="00AB4D30"/>
    <w:rsid w:val="00AB53DF"/>
    <w:rsid w:val="00AB54E0"/>
    <w:rsid w:val="00AB6496"/>
    <w:rsid w:val="00AB6BAE"/>
    <w:rsid w:val="00AC06E6"/>
    <w:rsid w:val="00AC15E9"/>
    <w:rsid w:val="00AC1698"/>
    <w:rsid w:val="00AC1E1E"/>
    <w:rsid w:val="00AC3189"/>
    <w:rsid w:val="00AC4171"/>
    <w:rsid w:val="00AC5135"/>
    <w:rsid w:val="00AC526C"/>
    <w:rsid w:val="00AC540F"/>
    <w:rsid w:val="00AC5B06"/>
    <w:rsid w:val="00AC67CA"/>
    <w:rsid w:val="00AC7258"/>
    <w:rsid w:val="00AD0804"/>
    <w:rsid w:val="00AD081A"/>
    <w:rsid w:val="00AD1025"/>
    <w:rsid w:val="00AD161A"/>
    <w:rsid w:val="00AD1921"/>
    <w:rsid w:val="00AD1B4C"/>
    <w:rsid w:val="00AD27F3"/>
    <w:rsid w:val="00AD28D3"/>
    <w:rsid w:val="00AD2E27"/>
    <w:rsid w:val="00AD3006"/>
    <w:rsid w:val="00AD36C6"/>
    <w:rsid w:val="00AD4878"/>
    <w:rsid w:val="00AD516E"/>
    <w:rsid w:val="00AD5841"/>
    <w:rsid w:val="00AD731A"/>
    <w:rsid w:val="00AE14A9"/>
    <w:rsid w:val="00AE2513"/>
    <w:rsid w:val="00AE356D"/>
    <w:rsid w:val="00AE39B2"/>
    <w:rsid w:val="00AE3DEF"/>
    <w:rsid w:val="00AE4875"/>
    <w:rsid w:val="00AE4D2A"/>
    <w:rsid w:val="00AE4EAC"/>
    <w:rsid w:val="00AE54A9"/>
    <w:rsid w:val="00AE5693"/>
    <w:rsid w:val="00AE6EB4"/>
    <w:rsid w:val="00AE7233"/>
    <w:rsid w:val="00AF0A2E"/>
    <w:rsid w:val="00AF0EFB"/>
    <w:rsid w:val="00AF1238"/>
    <w:rsid w:val="00AF3602"/>
    <w:rsid w:val="00AF3B06"/>
    <w:rsid w:val="00AF3CCD"/>
    <w:rsid w:val="00AF5C53"/>
    <w:rsid w:val="00AF600B"/>
    <w:rsid w:val="00AF63F2"/>
    <w:rsid w:val="00AF674D"/>
    <w:rsid w:val="00AF6AFA"/>
    <w:rsid w:val="00AF6DA5"/>
    <w:rsid w:val="00AF71BD"/>
    <w:rsid w:val="00AF77B3"/>
    <w:rsid w:val="00B00BF6"/>
    <w:rsid w:val="00B00C09"/>
    <w:rsid w:val="00B018DD"/>
    <w:rsid w:val="00B038E4"/>
    <w:rsid w:val="00B03B34"/>
    <w:rsid w:val="00B048AC"/>
    <w:rsid w:val="00B04D12"/>
    <w:rsid w:val="00B07585"/>
    <w:rsid w:val="00B07CB7"/>
    <w:rsid w:val="00B07E5C"/>
    <w:rsid w:val="00B103E4"/>
    <w:rsid w:val="00B10AA8"/>
    <w:rsid w:val="00B111BF"/>
    <w:rsid w:val="00B11470"/>
    <w:rsid w:val="00B117B6"/>
    <w:rsid w:val="00B11C15"/>
    <w:rsid w:val="00B12DDB"/>
    <w:rsid w:val="00B131B5"/>
    <w:rsid w:val="00B133A3"/>
    <w:rsid w:val="00B13664"/>
    <w:rsid w:val="00B14012"/>
    <w:rsid w:val="00B1621B"/>
    <w:rsid w:val="00B16B27"/>
    <w:rsid w:val="00B17DFA"/>
    <w:rsid w:val="00B23E1A"/>
    <w:rsid w:val="00B23FD9"/>
    <w:rsid w:val="00B240A2"/>
    <w:rsid w:val="00B2591D"/>
    <w:rsid w:val="00B264FF"/>
    <w:rsid w:val="00B26665"/>
    <w:rsid w:val="00B26866"/>
    <w:rsid w:val="00B2780D"/>
    <w:rsid w:val="00B27A04"/>
    <w:rsid w:val="00B303B1"/>
    <w:rsid w:val="00B312E3"/>
    <w:rsid w:val="00B31D95"/>
    <w:rsid w:val="00B3280F"/>
    <w:rsid w:val="00B36917"/>
    <w:rsid w:val="00B36B78"/>
    <w:rsid w:val="00B36C3A"/>
    <w:rsid w:val="00B40CBB"/>
    <w:rsid w:val="00B41622"/>
    <w:rsid w:val="00B42384"/>
    <w:rsid w:val="00B42618"/>
    <w:rsid w:val="00B430C7"/>
    <w:rsid w:val="00B43493"/>
    <w:rsid w:val="00B4463E"/>
    <w:rsid w:val="00B45193"/>
    <w:rsid w:val="00B4617C"/>
    <w:rsid w:val="00B4734B"/>
    <w:rsid w:val="00B50C66"/>
    <w:rsid w:val="00B50CDF"/>
    <w:rsid w:val="00B51AA5"/>
    <w:rsid w:val="00B528F2"/>
    <w:rsid w:val="00B52920"/>
    <w:rsid w:val="00B52CB9"/>
    <w:rsid w:val="00B52E2A"/>
    <w:rsid w:val="00B52EF9"/>
    <w:rsid w:val="00B5416B"/>
    <w:rsid w:val="00B54DC8"/>
    <w:rsid w:val="00B564CF"/>
    <w:rsid w:val="00B569D0"/>
    <w:rsid w:val="00B56F76"/>
    <w:rsid w:val="00B606E0"/>
    <w:rsid w:val="00B60972"/>
    <w:rsid w:val="00B629D9"/>
    <w:rsid w:val="00B637BB"/>
    <w:rsid w:val="00B654D0"/>
    <w:rsid w:val="00B65523"/>
    <w:rsid w:val="00B6601D"/>
    <w:rsid w:val="00B66025"/>
    <w:rsid w:val="00B66BB9"/>
    <w:rsid w:val="00B66FBF"/>
    <w:rsid w:val="00B70180"/>
    <w:rsid w:val="00B703C6"/>
    <w:rsid w:val="00B70ABA"/>
    <w:rsid w:val="00B722C6"/>
    <w:rsid w:val="00B7237F"/>
    <w:rsid w:val="00B73E67"/>
    <w:rsid w:val="00B740B7"/>
    <w:rsid w:val="00B75054"/>
    <w:rsid w:val="00B76281"/>
    <w:rsid w:val="00B807B6"/>
    <w:rsid w:val="00B811F7"/>
    <w:rsid w:val="00B82BFE"/>
    <w:rsid w:val="00B83479"/>
    <w:rsid w:val="00B84790"/>
    <w:rsid w:val="00B84EE1"/>
    <w:rsid w:val="00B86248"/>
    <w:rsid w:val="00B86733"/>
    <w:rsid w:val="00B8677F"/>
    <w:rsid w:val="00B86C76"/>
    <w:rsid w:val="00B87042"/>
    <w:rsid w:val="00B90343"/>
    <w:rsid w:val="00B9047B"/>
    <w:rsid w:val="00B90B4F"/>
    <w:rsid w:val="00B90CB5"/>
    <w:rsid w:val="00B9160E"/>
    <w:rsid w:val="00B9182C"/>
    <w:rsid w:val="00B9204A"/>
    <w:rsid w:val="00B92292"/>
    <w:rsid w:val="00B92CC5"/>
    <w:rsid w:val="00B93441"/>
    <w:rsid w:val="00B93741"/>
    <w:rsid w:val="00B937F6"/>
    <w:rsid w:val="00B93EA9"/>
    <w:rsid w:val="00B948D3"/>
    <w:rsid w:val="00B95229"/>
    <w:rsid w:val="00B95613"/>
    <w:rsid w:val="00B958C5"/>
    <w:rsid w:val="00B959A0"/>
    <w:rsid w:val="00B95E00"/>
    <w:rsid w:val="00B96B0E"/>
    <w:rsid w:val="00B96D20"/>
    <w:rsid w:val="00B96E94"/>
    <w:rsid w:val="00BA0DC3"/>
    <w:rsid w:val="00BA0F66"/>
    <w:rsid w:val="00BA1D0F"/>
    <w:rsid w:val="00BA29CB"/>
    <w:rsid w:val="00BA3DAF"/>
    <w:rsid w:val="00BA4049"/>
    <w:rsid w:val="00BA40E2"/>
    <w:rsid w:val="00BA4502"/>
    <w:rsid w:val="00BA50A3"/>
    <w:rsid w:val="00BA50D8"/>
    <w:rsid w:val="00BA54DB"/>
    <w:rsid w:val="00BA5DC6"/>
    <w:rsid w:val="00BA6196"/>
    <w:rsid w:val="00BA61D9"/>
    <w:rsid w:val="00BA6D5E"/>
    <w:rsid w:val="00BB02B5"/>
    <w:rsid w:val="00BB0D10"/>
    <w:rsid w:val="00BB1047"/>
    <w:rsid w:val="00BB1EB8"/>
    <w:rsid w:val="00BB23C4"/>
    <w:rsid w:val="00BB2A7A"/>
    <w:rsid w:val="00BB2D06"/>
    <w:rsid w:val="00BB350B"/>
    <w:rsid w:val="00BB52BD"/>
    <w:rsid w:val="00BB7A13"/>
    <w:rsid w:val="00BB7AFB"/>
    <w:rsid w:val="00BB7C06"/>
    <w:rsid w:val="00BC00B3"/>
    <w:rsid w:val="00BC05FC"/>
    <w:rsid w:val="00BC069B"/>
    <w:rsid w:val="00BC116E"/>
    <w:rsid w:val="00BC11CC"/>
    <w:rsid w:val="00BC28F2"/>
    <w:rsid w:val="00BC2AC6"/>
    <w:rsid w:val="00BC2AE2"/>
    <w:rsid w:val="00BC3DF0"/>
    <w:rsid w:val="00BC3E40"/>
    <w:rsid w:val="00BC4B8E"/>
    <w:rsid w:val="00BC4E28"/>
    <w:rsid w:val="00BC6003"/>
    <w:rsid w:val="00BC6D48"/>
    <w:rsid w:val="00BC6D8C"/>
    <w:rsid w:val="00BC7548"/>
    <w:rsid w:val="00BD0975"/>
    <w:rsid w:val="00BD11A3"/>
    <w:rsid w:val="00BD1E9B"/>
    <w:rsid w:val="00BD3A28"/>
    <w:rsid w:val="00BD4292"/>
    <w:rsid w:val="00BD4AE6"/>
    <w:rsid w:val="00BD4DB3"/>
    <w:rsid w:val="00BD5342"/>
    <w:rsid w:val="00BD59BB"/>
    <w:rsid w:val="00BD757E"/>
    <w:rsid w:val="00BE00A1"/>
    <w:rsid w:val="00BE03AA"/>
    <w:rsid w:val="00BE0915"/>
    <w:rsid w:val="00BE115F"/>
    <w:rsid w:val="00BE1D9D"/>
    <w:rsid w:val="00BE2023"/>
    <w:rsid w:val="00BE321E"/>
    <w:rsid w:val="00BE3485"/>
    <w:rsid w:val="00BE3BDB"/>
    <w:rsid w:val="00BE46DC"/>
    <w:rsid w:val="00BE4881"/>
    <w:rsid w:val="00BE5210"/>
    <w:rsid w:val="00BE53CA"/>
    <w:rsid w:val="00BE6077"/>
    <w:rsid w:val="00BE60BD"/>
    <w:rsid w:val="00BE671F"/>
    <w:rsid w:val="00BE6989"/>
    <w:rsid w:val="00BE6AE5"/>
    <w:rsid w:val="00BE7E24"/>
    <w:rsid w:val="00BF168C"/>
    <w:rsid w:val="00BF1A2E"/>
    <w:rsid w:val="00BF27A1"/>
    <w:rsid w:val="00BF348F"/>
    <w:rsid w:val="00BF3954"/>
    <w:rsid w:val="00BF3DD9"/>
    <w:rsid w:val="00BF4AC1"/>
    <w:rsid w:val="00BF62FB"/>
    <w:rsid w:val="00BF7BDB"/>
    <w:rsid w:val="00C003A5"/>
    <w:rsid w:val="00C0043D"/>
    <w:rsid w:val="00C00629"/>
    <w:rsid w:val="00C007DF"/>
    <w:rsid w:val="00C00A4E"/>
    <w:rsid w:val="00C0146E"/>
    <w:rsid w:val="00C01846"/>
    <w:rsid w:val="00C03139"/>
    <w:rsid w:val="00C0386A"/>
    <w:rsid w:val="00C03FC6"/>
    <w:rsid w:val="00C04766"/>
    <w:rsid w:val="00C04C36"/>
    <w:rsid w:val="00C051DB"/>
    <w:rsid w:val="00C05E8B"/>
    <w:rsid w:val="00C06047"/>
    <w:rsid w:val="00C06187"/>
    <w:rsid w:val="00C063CE"/>
    <w:rsid w:val="00C077CA"/>
    <w:rsid w:val="00C117C7"/>
    <w:rsid w:val="00C11BA9"/>
    <w:rsid w:val="00C12278"/>
    <w:rsid w:val="00C126AA"/>
    <w:rsid w:val="00C12AAF"/>
    <w:rsid w:val="00C13855"/>
    <w:rsid w:val="00C14421"/>
    <w:rsid w:val="00C1576B"/>
    <w:rsid w:val="00C1724C"/>
    <w:rsid w:val="00C17B9F"/>
    <w:rsid w:val="00C20055"/>
    <w:rsid w:val="00C21270"/>
    <w:rsid w:val="00C2150B"/>
    <w:rsid w:val="00C21BD0"/>
    <w:rsid w:val="00C223D0"/>
    <w:rsid w:val="00C2432B"/>
    <w:rsid w:val="00C24A7F"/>
    <w:rsid w:val="00C26725"/>
    <w:rsid w:val="00C27B1C"/>
    <w:rsid w:val="00C320CD"/>
    <w:rsid w:val="00C32907"/>
    <w:rsid w:val="00C3294A"/>
    <w:rsid w:val="00C33280"/>
    <w:rsid w:val="00C34006"/>
    <w:rsid w:val="00C34653"/>
    <w:rsid w:val="00C346EB"/>
    <w:rsid w:val="00C34CD5"/>
    <w:rsid w:val="00C3584B"/>
    <w:rsid w:val="00C36B4C"/>
    <w:rsid w:val="00C37050"/>
    <w:rsid w:val="00C404D5"/>
    <w:rsid w:val="00C40580"/>
    <w:rsid w:val="00C41F38"/>
    <w:rsid w:val="00C426AF"/>
    <w:rsid w:val="00C426B1"/>
    <w:rsid w:val="00C43D69"/>
    <w:rsid w:val="00C4438E"/>
    <w:rsid w:val="00C44D87"/>
    <w:rsid w:val="00C4511B"/>
    <w:rsid w:val="00C45840"/>
    <w:rsid w:val="00C45D65"/>
    <w:rsid w:val="00C45F27"/>
    <w:rsid w:val="00C46EA6"/>
    <w:rsid w:val="00C47E07"/>
    <w:rsid w:val="00C51C7E"/>
    <w:rsid w:val="00C5230D"/>
    <w:rsid w:val="00C52787"/>
    <w:rsid w:val="00C52BA3"/>
    <w:rsid w:val="00C52BC8"/>
    <w:rsid w:val="00C52CD9"/>
    <w:rsid w:val="00C537A4"/>
    <w:rsid w:val="00C53A3D"/>
    <w:rsid w:val="00C53B15"/>
    <w:rsid w:val="00C559E3"/>
    <w:rsid w:val="00C55BF7"/>
    <w:rsid w:val="00C56185"/>
    <w:rsid w:val="00C56634"/>
    <w:rsid w:val="00C56762"/>
    <w:rsid w:val="00C56CCE"/>
    <w:rsid w:val="00C579A0"/>
    <w:rsid w:val="00C57A24"/>
    <w:rsid w:val="00C609D6"/>
    <w:rsid w:val="00C60FF2"/>
    <w:rsid w:val="00C615EA"/>
    <w:rsid w:val="00C6161E"/>
    <w:rsid w:val="00C619EA"/>
    <w:rsid w:val="00C61B25"/>
    <w:rsid w:val="00C61E35"/>
    <w:rsid w:val="00C6201F"/>
    <w:rsid w:val="00C639B3"/>
    <w:rsid w:val="00C64623"/>
    <w:rsid w:val="00C65A07"/>
    <w:rsid w:val="00C65CE2"/>
    <w:rsid w:val="00C66160"/>
    <w:rsid w:val="00C67357"/>
    <w:rsid w:val="00C677BD"/>
    <w:rsid w:val="00C7099A"/>
    <w:rsid w:val="00C70B31"/>
    <w:rsid w:val="00C721AC"/>
    <w:rsid w:val="00C72B57"/>
    <w:rsid w:val="00C72EA9"/>
    <w:rsid w:val="00C73977"/>
    <w:rsid w:val="00C74349"/>
    <w:rsid w:val="00C74A62"/>
    <w:rsid w:val="00C74B3C"/>
    <w:rsid w:val="00C75435"/>
    <w:rsid w:val="00C75804"/>
    <w:rsid w:val="00C75AF8"/>
    <w:rsid w:val="00C767EA"/>
    <w:rsid w:val="00C7757F"/>
    <w:rsid w:val="00C77646"/>
    <w:rsid w:val="00C77DA1"/>
    <w:rsid w:val="00C81EDA"/>
    <w:rsid w:val="00C8229A"/>
    <w:rsid w:val="00C825D6"/>
    <w:rsid w:val="00C828AA"/>
    <w:rsid w:val="00C83BBE"/>
    <w:rsid w:val="00C83E4A"/>
    <w:rsid w:val="00C83E6E"/>
    <w:rsid w:val="00C844F2"/>
    <w:rsid w:val="00C851D2"/>
    <w:rsid w:val="00C868F7"/>
    <w:rsid w:val="00C87CE3"/>
    <w:rsid w:val="00C90269"/>
    <w:rsid w:val="00C90D6A"/>
    <w:rsid w:val="00C91178"/>
    <w:rsid w:val="00C923FE"/>
    <w:rsid w:val="00C9598F"/>
    <w:rsid w:val="00C9619C"/>
    <w:rsid w:val="00C964F9"/>
    <w:rsid w:val="00C9767C"/>
    <w:rsid w:val="00C977C2"/>
    <w:rsid w:val="00CA02ED"/>
    <w:rsid w:val="00CA16C4"/>
    <w:rsid w:val="00CA1927"/>
    <w:rsid w:val="00CA247E"/>
    <w:rsid w:val="00CA3009"/>
    <w:rsid w:val="00CA305B"/>
    <w:rsid w:val="00CA3378"/>
    <w:rsid w:val="00CA3DF6"/>
    <w:rsid w:val="00CA4650"/>
    <w:rsid w:val="00CA53A7"/>
    <w:rsid w:val="00CA53B4"/>
    <w:rsid w:val="00CA5410"/>
    <w:rsid w:val="00CA62B2"/>
    <w:rsid w:val="00CA6D21"/>
    <w:rsid w:val="00CB034B"/>
    <w:rsid w:val="00CB0702"/>
    <w:rsid w:val="00CB0A1A"/>
    <w:rsid w:val="00CB0E0D"/>
    <w:rsid w:val="00CB2D01"/>
    <w:rsid w:val="00CB3176"/>
    <w:rsid w:val="00CB35DF"/>
    <w:rsid w:val="00CB4512"/>
    <w:rsid w:val="00CB469B"/>
    <w:rsid w:val="00CB5EF9"/>
    <w:rsid w:val="00CB66D7"/>
    <w:rsid w:val="00CC0130"/>
    <w:rsid w:val="00CC03E4"/>
    <w:rsid w:val="00CC06F5"/>
    <w:rsid w:val="00CC0BA6"/>
    <w:rsid w:val="00CC3EDF"/>
    <w:rsid w:val="00CC524E"/>
    <w:rsid w:val="00CC537A"/>
    <w:rsid w:val="00CC5EB3"/>
    <w:rsid w:val="00CC6495"/>
    <w:rsid w:val="00CC6923"/>
    <w:rsid w:val="00CC6974"/>
    <w:rsid w:val="00CC6EC8"/>
    <w:rsid w:val="00CC72B6"/>
    <w:rsid w:val="00CD16A0"/>
    <w:rsid w:val="00CD1D18"/>
    <w:rsid w:val="00CD25D8"/>
    <w:rsid w:val="00CD2CE8"/>
    <w:rsid w:val="00CD3D83"/>
    <w:rsid w:val="00CD5069"/>
    <w:rsid w:val="00CD62AF"/>
    <w:rsid w:val="00CD6473"/>
    <w:rsid w:val="00CD6EA2"/>
    <w:rsid w:val="00CD71DD"/>
    <w:rsid w:val="00CE0441"/>
    <w:rsid w:val="00CE10A2"/>
    <w:rsid w:val="00CE1A3B"/>
    <w:rsid w:val="00CE2203"/>
    <w:rsid w:val="00CE548A"/>
    <w:rsid w:val="00CE5526"/>
    <w:rsid w:val="00CE634C"/>
    <w:rsid w:val="00CE672D"/>
    <w:rsid w:val="00CE687D"/>
    <w:rsid w:val="00CF174E"/>
    <w:rsid w:val="00CF1F48"/>
    <w:rsid w:val="00CF2922"/>
    <w:rsid w:val="00CF5020"/>
    <w:rsid w:val="00CF50E3"/>
    <w:rsid w:val="00CF531A"/>
    <w:rsid w:val="00CF549F"/>
    <w:rsid w:val="00CF5F30"/>
    <w:rsid w:val="00CF71C7"/>
    <w:rsid w:val="00CF73B2"/>
    <w:rsid w:val="00CF7879"/>
    <w:rsid w:val="00D0018C"/>
    <w:rsid w:val="00D01401"/>
    <w:rsid w:val="00D019AA"/>
    <w:rsid w:val="00D0218D"/>
    <w:rsid w:val="00D032C3"/>
    <w:rsid w:val="00D0378D"/>
    <w:rsid w:val="00D045E0"/>
    <w:rsid w:val="00D05589"/>
    <w:rsid w:val="00D0617B"/>
    <w:rsid w:val="00D06B09"/>
    <w:rsid w:val="00D072C0"/>
    <w:rsid w:val="00D0781F"/>
    <w:rsid w:val="00D1083C"/>
    <w:rsid w:val="00D115F7"/>
    <w:rsid w:val="00D11D1B"/>
    <w:rsid w:val="00D12280"/>
    <w:rsid w:val="00D13EA4"/>
    <w:rsid w:val="00D14227"/>
    <w:rsid w:val="00D1490E"/>
    <w:rsid w:val="00D14EC8"/>
    <w:rsid w:val="00D15059"/>
    <w:rsid w:val="00D1561D"/>
    <w:rsid w:val="00D169E0"/>
    <w:rsid w:val="00D16D74"/>
    <w:rsid w:val="00D16F4C"/>
    <w:rsid w:val="00D172CC"/>
    <w:rsid w:val="00D179CE"/>
    <w:rsid w:val="00D201C6"/>
    <w:rsid w:val="00D205C8"/>
    <w:rsid w:val="00D20977"/>
    <w:rsid w:val="00D2174E"/>
    <w:rsid w:val="00D23F07"/>
    <w:rsid w:val="00D24A48"/>
    <w:rsid w:val="00D24CB4"/>
    <w:rsid w:val="00D24F9F"/>
    <w:rsid w:val="00D25D94"/>
    <w:rsid w:val="00D25FB5"/>
    <w:rsid w:val="00D26029"/>
    <w:rsid w:val="00D264B3"/>
    <w:rsid w:val="00D26C62"/>
    <w:rsid w:val="00D3084D"/>
    <w:rsid w:val="00D30AFE"/>
    <w:rsid w:val="00D30BDE"/>
    <w:rsid w:val="00D329D6"/>
    <w:rsid w:val="00D33B61"/>
    <w:rsid w:val="00D36D23"/>
    <w:rsid w:val="00D36F9E"/>
    <w:rsid w:val="00D37454"/>
    <w:rsid w:val="00D37AC1"/>
    <w:rsid w:val="00D37C3F"/>
    <w:rsid w:val="00D37D5F"/>
    <w:rsid w:val="00D4016B"/>
    <w:rsid w:val="00D402CF"/>
    <w:rsid w:val="00D40305"/>
    <w:rsid w:val="00D40B62"/>
    <w:rsid w:val="00D412ED"/>
    <w:rsid w:val="00D41691"/>
    <w:rsid w:val="00D43AE8"/>
    <w:rsid w:val="00D44223"/>
    <w:rsid w:val="00D44851"/>
    <w:rsid w:val="00D44AA7"/>
    <w:rsid w:val="00D45586"/>
    <w:rsid w:val="00D456AD"/>
    <w:rsid w:val="00D459EA"/>
    <w:rsid w:val="00D46F3C"/>
    <w:rsid w:val="00D47836"/>
    <w:rsid w:val="00D47CF4"/>
    <w:rsid w:val="00D5074C"/>
    <w:rsid w:val="00D50C54"/>
    <w:rsid w:val="00D50E71"/>
    <w:rsid w:val="00D50F59"/>
    <w:rsid w:val="00D51E80"/>
    <w:rsid w:val="00D52FF9"/>
    <w:rsid w:val="00D53736"/>
    <w:rsid w:val="00D53940"/>
    <w:rsid w:val="00D53976"/>
    <w:rsid w:val="00D54421"/>
    <w:rsid w:val="00D5450C"/>
    <w:rsid w:val="00D5490A"/>
    <w:rsid w:val="00D54C43"/>
    <w:rsid w:val="00D5533F"/>
    <w:rsid w:val="00D55501"/>
    <w:rsid w:val="00D56371"/>
    <w:rsid w:val="00D579FC"/>
    <w:rsid w:val="00D608F6"/>
    <w:rsid w:val="00D61BF8"/>
    <w:rsid w:val="00D6200F"/>
    <w:rsid w:val="00D6264F"/>
    <w:rsid w:val="00D62BEF"/>
    <w:rsid w:val="00D63182"/>
    <w:rsid w:val="00D6538D"/>
    <w:rsid w:val="00D657EC"/>
    <w:rsid w:val="00D65DDF"/>
    <w:rsid w:val="00D666CF"/>
    <w:rsid w:val="00D66D92"/>
    <w:rsid w:val="00D70AE7"/>
    <w:rsid w:val="00D70B39"/>
    <w:rsid w:val="00D7125E"/>
    <w:rsid w:val="00D7127A"/>
    <w:rsid w:val="00D718E3"/>
    <w:rsid w:val="00D726E8"/>
    <w:rsid w:val="00D72E3D"/>
    <w:rsid w:val="00D73019"/>
    <w:rsid w:val="00D7380E"/>
    <w:rsid w:val="00D73CB1"/>
    <w:rsid w:val="00D7441A"/>
    <w:rsid w:val="00D74B2D"/>
    <w:rsid w:val="00D751CC"/>
    <w:rsid w:val="00D76693"/>
    <w:rsid w:val="00D7688D"/>
    <w:rsid w:val="00D770EA"/>
    <w:rsid w:val="00D8031D"/>
    <w:rsid w:val="00D80857"/>
    <w:rsid w:val="00D810DB"/>
    <w:rsid w:val="00D825D8"/>
    <w:rsid w:val="00D83CBA"/>
    <w:rsid w:val="00D8462A"/>
    <w:rsid w:val="00D84A34"/>
    <w:rsid w:val="00D84A3F"/>
    <w:rsid w:val="00D850FC"/>
    <w:rsid w:val="00D878C0"/>
    <w:rsid w:val="00D90005"/>
    <w:rsid w:val="00D90A30"/>
    <w:rsid w:val="00D90F34"/>
    <w:rsid w:val="00D91575"/>
    <w:rsid w:val="00D937EB"/>
    <w:rsid w:val="00D94340"/>
    <w:rsid w:val="00D95135"/>
    <w:rsid w:val="00D95E7D"/>
    <w:rsid w:val="00DA00B7"/>
    <w:rsid w:val="00DA06D5"/>
    <w:rsid w:val="00DA1188"/>
    <w:rsid w:val="00DA1E5B"/>
    <w:rsid w:val="00DA2529"/>
    <w:rsid w:val="00DA29CC"/>
    <w:rsid w:val="00DA2CFB"/>
    <w:rsid w:val="00DA2D15"/>
    <w:rsid w:val="00DA32E1"/>
    <w:rsid w:val="00DA3766"/>
    <w:rsid w:val="00DA3BE7"/>
    <w:rsid w:val="00DA3E5A"/>
    <w:rsid w:val="00DA3FD3"/>
    <w:rsid w:val="00DA45C2"/>
    <w:rsid w:val="00DA467C"/>
    <w:rsid w:val="00DA5832"/>
    <w:rsid w:val="00DA6577"/>
    <w:rsid w:val="00DA6999"/>
    <w:rsid w:val="00DA7B2F"/>
    <w:rsid w:val="00DA7D48"/>
    <w:rsid w:val="00DB034A"/>
    <w:rsid w:val="00DB082B"/>
    <w:rsid w:val="00DB0F3D"/>
    <w:rsid w:val="00DB130A"/>
    <w:rsid w:val="00DB1B7F"/>
    <w:rsid w:val="00DB2BB9"/>
    <w:rsid w:val="00DB2EBB"/>
    <w:rsid w:val="00DB302F"/>
    <w:rsid w:val="00DB33B4"/>
    <w:rsid w:val="00DB4F43"/>
    <w:rsid w:val="00DB531E"/>
    <w:rsid w:val="00DB70BB"/>
    <w:rsid w:val="00DB72CF"/>
    <w:rsid w:val="00DB7906"/>
    <w:rsid w:val="00DC0E47"/>
    <w:rsid w:val="00DC10A1"/>
    <w:rsid w:val="00DC1652"/>
    <w:rsid w:val="00DC233C"/>
    <w:rsid w:val="00DC258D"/>
    <w:rsid w:val="00DC261B"/>
    <w:rsid w:val="00DC2B5A"/>
    <w:rsid w:val="00DC55E4"/>
    <w:rsid w:val="00DC655F"/>
    <w:rsid w:val="00DC668C"/>
    <w:rsid w:val="00DC7462"/>
    <w:rsid w:val="00DD04EE"/>
    <w:rsid w:val="00DD0B59"/>
    <w:rsid w:val="00DD0F1E"/>
    <w:rsid w:val="00DD579C"/>
    <w:rsid w:val="00DD61A1"/>
    <w:rsid w:val="00DD7158"/>
    <w:rsid w:val="00DD7EBD"/>
    <w:rsid w:val="00DE08FD"/>
    <w:rsid w:val="00DE2A96"/>
    <w:rsid w:val="00DE3B59"/>
    <w:rsid w:val="00DE4996"/>
    <w:rsid w:val="00DE4FAC"/>
    <w:rsid w:val="00DE77DF"/>
    <w:rsid w:val="00DF05A1"/>
    <w:rsid w:val="00DF0D9D"/>
    <w:rsid w:val="00DF1B2E"/>
    <w:rsid w:val="00DF2E21"/>
    <w:rsid w:val="00DF3311"/>
    <w:rsid w:val="00DF62B6"/>
    <w:rsid w:val="00DF6548"/>
    <w:rsid w:val="00DF6634"/>
    <w:rsid w:val="00DF6700"/>
    <w:rsid w:val="00DF6D8E"/>
    <w:rsid w:val="00DF70F7"/>
    <w:rsid w:val="00DF71C0"/>
    <w:rsid w:val="00DF74AD"/>
    <w:rsid w:val="00DF7E46"/>
    <w:rsid w:val="00E006D4"/>
    <w:rsid w:val="00E027DB"/>
    <w:rsid w:val="00E055A3"/>
    <w:rsid w:val="00E06930"/>
    <w:rsid w:val="00E07225"/>
    <w:rsid w:val="00E07698"/>
    <w:rsid w:val="00E07A7F"/>
    <w:rsid w:val="00E10BE4"/>
    <w:rsid w:val="00E111E9"/>
    <w:rsid w:val="00E113D8"/>
    <w:rsid w:val="00E11A82"/>
    <w:rsid w:val="00E14AFF"/>
    <w:rsid w:val="00E153FB"/>
    <w:rsid w:val="00E15B23"/>
    <w:rsid w:val="00E15D12"/>
    <w:rsid w:val="00E16789"/>
    <w:rsid w:val="00E167E8"/>
    <w:rsid w:val="00E16BCD"/>
    <w:rsid w:val="00E16CA2"/>
    <w:rsid w:val="00E17627"/>
    <w:rsid w:val="00E17863"/>
    <w:rsid w:val="00E20DD7"/>
    <w:rsid w:val="00E217A8"/>
    <w:rsid w:val="00E22CB7"/>
    <w:rsid w:val="00E24F2E"/>
    <w:rsid w:val="00E252D0"/>
    <w:rsid w:val="00E26D72"/>
    <w:rsid w:val="00E2754E"/>
    <w:rsid w:val="00E30680"/>
    <w:rsid w:val="00E312DF"/>
    <w:rsid w:val="00E3165B"/>
    <w:rsid w:val="00E31FA3"/>
    <w:rsid w:val="00E3315A"/>
    <w:rsid w:val="00E333BA"/>
    <w:rsid w:val="00E336CE"/>
    <w:rsid w:val="00E33721"/>
    <w:rsid w:val="00E348CF"/>
    <w:rsid w:val="00E34A15"/>
    <w:rsid w:val="00E34C7A"/>
    <w:rsid w:val="00E35940"/>
    <w:rsid w:val="00E3688E"/>
    <w:rsid w:val="00E368A8"/>
    <w:rsid w:val="00E36B19"/>
    <w:rsid w:val="00E37429"/>
    <w:rsid w:val="00E40657"/>
    <w:rsid w:val="00E407E4"/>
    <w:rsid w:val="00E409B4"/>
    <w:rsid w:val="00E412CD"/>
    <w:rsid w:val="00E41897"/>
    <w:rsid w:val="00E41EA4"/>
    <w:rsid w:val="00E41EF2"/>
    <w:rsid w:val="00E42B1A"/>
    <w:rsid w:val="00E430FB"/>
    <w:rsid w:val="00E431D5"/>
    <w:rsid w:val="00E43C29"/>
    <w:rsid w:val="00E4574F"/>
    <w:rsid w:val="00E45905"/>
    <w:rsid w:val="00E4677C"/>
    <w:rsid w:val="00E47844"/>
    <w:rsid w:val="00E47FCB"/>
    <w:rsid w:val="00E503A9"/>
    <w:rsid w:val="00E51BA9"/>
    <w:rsid w:val="00E5409F"/>
    <w:rsid w:val="00E547FD"/>
    <w:rsid w:val="00E548EC"/>
    <w:rsid w:val="00E55120"/>
    <w:rsid w:val="00E55E3A"/>
    <w:rsid w:val="00E57CB8"/>
    <w:rsid w:val="00E6064D"/>
    <w:rsid w:val="00E60DE5"/>
    <w:rsid w:val="00E61376"/>
    <w:rsid w:val="00E61654"/>
    <w:rsid w:val="00E61D37"/>
    <w:rsid w:val="00E62031"/>
    <w:rsid w:val="00E625DE"/>
    <w:rsid w:val="00E627C2"/>
    <w:rsid w:val="00E62BF8"/>
    <w:rsid w:val="00E62D52"/>
    <w:rsid w:val="00E62FE7"/>
    <w:rsid w:val="00E63143"/>
    <w:rsid w:val="00E646AA"/>
    <w:rsid w:val="00E65633"/>
    <w:rsid w:val="00E65C28"/>
    <w:rsid w:val="00E660E9"/>
    <w:rsid w:val="00E66526"/>
    <w:rsid w:val="00E66672"/>
    <w:rsid w:val="00E672C9"/>
    <w:rsid w:val="00E67C62"/>
    <w:rsid w:val="00E70F1D"/>
    <w:rsid w:val="00E70FF2"/>
    <w:rsid w:val="00E71152"/>
    <w:rsid w:val="00E719FB"/>
    <w:rsid w:val="00E727C8"/>
    <w:rsid w:val="00E734AF"/>
    <w:rsid w:val="00E73EFD"/>
    <w:rsid w:val="00E7465B"/>
    <w:rsid w:val="00E750F2"/>
    <w:rsid w:val="00E76230"/>
    <w:rsid w:val="00E76E84"/>
    <w:rsid w:val="00E80516"/>
    <w:rsid w:val="00E8074D"/>
    <w:rsid w:val="00E81498"/>
    <w:rsid w:val="00E816D2"/>
    <w:rsid w:val="00E81834"/>
    <w:rsid w:val="00E81AFF"/>
    <w:rsid w:val="00E82634"/>
    <w:rsid w:val="00E82D76"/>
    <w:rsid w:val="00E84E1F"/>
    <w:rsid w:val="00E85192"/>
    <w:rsid w:val="00E85399"/>
    <w:rsid w:val="00E87020"/>
    <w:rsid w:val="00E877B9"/>
    <w:rsid w:val="00E87EBE"/>
    <w:rsid w:val="00E904B9"/>
    <w:rsid w:val="00E90880"/>
    <w:rsid w:val="00E92576"/>
    <w:rsid w:val="00E93357"/>
    <w:rsid w:val="00E93A85"/>
    <w:rsid w:val="00E93CD8"/>
    <w:rsid w:val="00E93E91"/>
    <w:rsid w:val="00E95218"/>
    <w:rsid w:val="00E95632"/>
    <w:rsid w:val="00E9643E"/>
    <w:rsid w:val="00E964A0"/>
    <w:rsid w:val="00EA0B00"/>
    <w:rsid w:val="00EA0F90"/>
    <w:rsid w:val="00EA1542"/>
    <w:rsid w:val="00EA24E5"/>
    <w:rsid w:val="00EA29DE"/>
    <w:rsid w:val="00EA3BCA"/>
    <w:rsid w:val="00EA425E"/>
    <w:rsid w:val="00EA4E76"/>
    <w:rsid w:val="00EA5177"/>
    <w:rsid w:val="00EA6234"/>
    <w:rsid w:val="00EA6469"/>
    <w:rsid w:val="00EA70B7"/>
    <w:rsid w:val="00EB18BD"/>
    <w:rsid w:val="00EB22BD"/>
    <w:rsid w:val="00EB2772"/>
    <w:rsid w:val="00EB36F9"/>
    <w:rsid w:val="00EB5B23"/>
    <w:rsid w:val="00EB5F45"/>
    <w:rsid w:val="00EB75C0"/>
    <w:rsid w:val="00EB7B69"/>
    <w:rsid w:val="00EC1367"/>
    <w:rsid w:val="00EC220A"/>
    <w:rsid w:val="00EC2E6E"/>
    <w:rsid w:val="00EC31CA"/>
    <w:rsid w:val="00EC417A"/>
    <w:rsid w:val="00EC49D5"/>
    <w:rsid w:val="00EC5037"/>
    <w:rsid w:val="00EC5159"/>
    <w:rsid w:val="00EC5789"/>
    <w:rsid w:val="00EC5868"/>
    <w:rsid w:val="00EC6C49"/>
    <w:rsid w:val="00EC7E63"/>
    <w:rsid w:val="00ED06F2"/>
    <w:rsid w:val="00ED0FCE"/>
    <w:rsid w:val="00ED147E"/>
    <w:rsid w:val="00ED36D5"/>
    <w:rsid w:val="00ED376F"/>
    <w:rsid w:val="00ED37AB"/>
    <w:rsid w:val="00ED3A95"/>
    <w:rsid w:val="00ED3B44"/>
    <w:rsid w:val="00ED3B53"/>
    <w:rsid w:val="00ED4D43"/>
    <w:rsid w:val="00ED4F1F"/>
    <w:rsid w:val="00ED59EC"/>
    <w:rsid w:val="00ED714F"/>
    <w:rsid w:val="00EE01B6"/>
    <w:rsid w:val="00EE05E7"/>
    <w:rsid w:val="00EE0EAE"/>
    <w:rsid w:val="00EE1546"/>
    <w:rsid w:val="00EE17D5"/>
    <w:rsid w:val="00EE240F"/>
    <w:rsid w:val="00EE2984"/>
    <w:rsid w:val="00EE3B3E"/>
    <w:rsid w:val="00EE50B9"/>
    <w:rsid w:val="00EE513E"/>
    <w:rsid w:val="00EE61D9"/>
    <w:rsid w:val="00EE641B"/>
    <w:rsid w:val="00EE6488"/>
    <w:rsid w:val="00EE7DE6"/>
    <w:rsid w:val="00EF0721"/>
    <w:rsid w:val="00EF0A37"/>
    <w:rsid w:val="00EF0D83"/>
    <w:rsid w:val="00EF166D"/>
    <w:rsid w:val="00EF177D"/>
    <w:rsid w:val="00EF1869"/>
    <w:rsid w:val="00EF18D6"/>
    <w:rsid w:val="00EF241C"/>
    <w:rsid w:val="00EF3BF6"/>
    <w:rsid w:val="00EF499C"/>
    <w:rsid w:val="00EF4CD4"/>
    <w:rsid w:val="00EF4EEB"/>
    <w:rsid w:val="00EF5181"/>
    <w:rsid w:val="00EF581A"/>
    <w:rsid w:val="00EF5B40"/>
    <w:rsid w:val="00EF636E"/>
    <w:rsid w:val="00EF64E2"/>
    <w:rsid w:val="00EF67ED"/>
    <w:rsid w:val="00F000DC"/>
    <w:rsid w:val="00F00965"/>
    <w:rsid w:val="00F013BB"/>
    <w:rsid w:val="00F021FA"/>
    <w:rsid w:val="00F0399E"/>
    <w:rsid w:val="00F04044"/>
    <w:rsid w:val="00F04481"/>
    <w:rsid w:val="00F04DFF"/>
    <w:rsid w:val="00F052D5"/>
    <w:rsid w:val="00F10034"/>
    <w:rsid w:val="00F11251"/>
    <w:rsid w:val="00F11FAD"/>
    <w:rsid w:val="00F13D9F"/>
    <w:rsid w:val="00F14A94"/>
    <w:rsid w:val="00F14BEC"/>
    <w:rsid w:val="00F15497"/>
    <w:rsid w:val="00F155BB"/>
    <w:rsid w:val="00F160A7"/>
    <w:rsid w:val="00F162F5"/>
    <w:rsid w:val="00F17E1A"/>
    <w:rsid w:val="00F20CCE"/>
    <w:rsid w:val="00F21790"/>
    <w:rsid w:val="00F21831"/>
    <w:rsid w:val="00F241D3"/>
    <w:rsid w:val="00F2622F"/>
    <w:rsid w:val="00F26872"/>
    <w:rsid w:val="00F31037"/>
    <w:rsid w:val="00F319A2"/>
    <w:rsid w:val="00F31C9B"/>
    <w:rsid w:val="00F32273"/>
    <w:rsid w:val="00F343D0"/>
    <w:rsid w:val="00F34E78"/>
    <w:rsid w:val="00F362B7"/>
    <w:rsid w:val="00F363FC"/>
    <w:rsid w:val="00F367D9"/>
    <w:rsid w:val="00F37959"/>
    <w:rsid w:val="00F37DD8"/>
    <w:rsid w:val="00F4151E"/>
    <w:rsid w:val="00F4168E"/>
    <w:rsid w:val="00F42210"/>
    <w:rsid w:val="00F44E88"/>
    <w:rsid w:val="00F4585C"/>
    <w:rsid w:val="00F45CF0"/>
    <w:rsid w:val="00F460F9"/>
    <w:rsid w:val="00F46365"/>
    <w:rsid w:val="00F46509"/>
    <w:rsid w:val="00F46C2E"/>
    <w:rsid w:val="00F47581"/>
    <w:rsid w:val="00F47641"/>
    <w:rsid w:val="00F47771"/>
    <w:rsid w:val="00F47AD3"/>
    <w:rsid w:val="00F47C3D"/>
    <w:rsid w:val="00F47E5D"/>
    <w:rsid w:val="00F50099"/>
    <w:rsid w:val="00F500BA"/>
    <w:rsid w:val="00F519A2"/>
    <w:rsid w:val="00F52079"/>
    <w:rsid w:val="00F52505"/>
    <w:rsid w:val="00F5255D"/>
    <w:rsid w:val="00F52767"/>
    <w:rsid w:val="00F528BA"/>
    <w:rsid w:val="00F52AD2"/>
    <w:rsid w:val="00F5379A"/>
    <w:rsid w:val="00F54871"/>
    <w:rsid w:val="00F5524F"/>
    <w:rsid w:val="00F55CCB"/>
    <w:rsid w:val="00F56547"/>
    <w:rsid w:val="00F56AC5"/>
    <w:rsid w:val="00F57361"/>
    <w:rsid w:val="00F578D1"/>
    <w:rsid w:val="00F57B70"/>
    <w:rsid w:val="00F57C74"/>
    <w:rsid w:val="00F606A7"/>
    <w:rsid w:val="00F60ED0"/>
    <w:rsid w:val="00F61B2C"/>
    <w:rsid w:val="00F62E97"/>
    <w:rsid w:val="00F6317F"/>
    <w:rsid w:val="00F6321D"/>
    <w:rsid w:val="00F64209"/>
    <w:rsid w:val="00F65505"/>
    <w:rsid w:val="00F65795"/>
    <w:rsid w:val="00F664A5"/>
    <w:rsid w:val="00F671B2"/>
    <w:rsid w:val="00F678F7"/>
    <w:rsid w:val="00F67FDB"/>
    <w:rsid w:val="00F718CD"/>
    <w:rsid w:val="00F71CB1"/>
    <w:rsid w:val="00F71EFD"/>
    <w:rsid w:val="00F733B7"/>
    <w:rsid w:val="00F73717"/>
    <w:rsid w:val="00F743BD"/>
    <w:rsid w:val="00F75776"/>
    <w:rsid w:val="00F75B25"/>
    <w:rsid w:val="00F77AB7"/>
    <w:rsid w:val="00F81CF9"/>
    <w:rsid w:val="00F81E15"/>
    <w:rsid w:val="00F81E2E"/>
    <w:rsid w:val="00F81E51"/>
    <w:rsid w:val="00F83954"/>
    <w:rsid w:val="00F83A4F"/>
    <w:rsid w:val="00F844CF"/>
    <w:rsid w:val="00F85395"/>
    <w:rsid w:val="00F85A64"/>
    <w:rsid w:val="00F86AF4"/>
    <w:rsid w:val="00F86D71"/>
    <w:rsid w:val="00F8702D"/>
    <w:rsid w:val="00F87C65"/>
    <w:rsid w:val="00F900B2"/>
    <w:rsid w:val="00F90B1E"/>
    <w:rsid w:val="00F91289"/>
    <w:rsid w:val="00F9149D"/>
    <w:rsid w:val="00F92960"/>
    <w:rsid w:val="00F92DC3"/>
    <w:rsid w:val="00F92EA2"/>
    <w:rsid w:val="00F92FEA"/>
    <w:rsid w:val="00F93BF5"/>
    <w:rsid w:val="00F93C5E"/>
    <w:rsid w:val="00F953C9"/>
    <w:rsid w:val="00F95F11"/>
    <w:rsid w:val="00F9645C"/>
    <w:rsid w:val="00F97093"/>
    <w:rsid w:val="00F97A03"/>
    <w:rsid w:val="00F97AC4"/>
    <w:rsid w:val="00FA0CCE"/>
    <w:rsid w:val="00FA0DE6"/>
    <w:rsid w:val="00FA10A3"/>
    <w:rsid w:val="00FA42AC"/>
    <w:rsid w:val="00FA4DC6"/>
    <w:rsid w:val="00FA4ED4"/>
    <w:rsid w:val="00FA7737"/>
    <w:rsid w:val="00FB063A"/>
    <w:rsid w:val="00FB2130"/>
    <w:rsid w:val="00FB289C"/>
    <w:rsid w:val="00FB3B7F"/>
    <w:rsid w:val="00FB40DE"/>
    <w:rsid w:val="00FB410B"/>
    <w:rsid w:val="00FB494D"/>
    <w:rsid w:val="00FB53D3"/>
    <w:rsid w:val="00FB6D76"/>
    <w:rsid w:val="00FB6EDB"/>
    <w:rsid w:val="00FB7302"/>
    <w:rsid w:val="00FC098F"/>
    <w:rsid w:val="00FC1246"/>
    <w:rsid w:val="00FC2274"/>
    <w:rsid w:val="00FC3B5F"/>
    <w:rsid w:val="00FC3D7B"/>
    <w:rsid w:val="00FC42CA"/>
    <w:rsid w:val="00FC45D0"/>
    <w:rsid w:val="00FC6203"/>
    <w:rsid w:val="00FC7232"/>
    <w:rsid w:val="00FC743C"/>
    <w:rsid w:val="00FC7965"/>
    <w:rsid w:val="00FD0772"/>
    <w:rsid w:val="00FD179F"/>
    <w:rsid w:val="00FD2981"/>
    <w:rsid w:val="00FD3B3B"/>
    <w:rsid w:val="00FD4BA5"/>
    <w:rsid w:val="00FD5E3D"/>
    <w:rsid w:val="00FD61A8"/>
    <w:rsid w:val="00FD73BA"/>
    <w:rsid w:val="00FD7E42"/>
    <w:rsid w:val="00FE2897"/>
    <w:rsid w:val="00FE35A4"/>
    <w:rsid w:val="00FE37D5"/>
    <w:rsid w:val="00FE39A4"/>
    <w:rsid w:val="00FE3C2D"/>
    <w:rsid w:val="00FE4E3E"/>
    <w:rsid w:val="00FE4EAD"/>
    <w:rsid w:val="00FE5ABF"/>
    <w:rsid w:val="00FE60CE"/>
    <w:rsid w:val="00FE6676"/>
    <w:rsid w:val="00FE75A3"/>
    <w:rsid w:val="00FF08C9"/>
    <w:rsid w:val="00FF1040"/>
    <w:rsid w:val="00FF1574"/>
    <w:rsid w:val="00FF21BC"/>
    <w:rsid w:val="00FF2E61"/>
    <w:rsid w:val="00FF3953"/>
    <w:rsid w:val="00FF4477"/>
    <w:rsid w:val="00FF674C"/>
    <w:rsid w:val="00FF68B3"/>
    <w:rsid w:val="00FF6D8E"/>
    <w:rsid w:val="00FF6FAC"/>
    <w:rsid w:val="0F20C21D"/>
    <w:rsid w:val="0F86DA64"/>
    <w:rsid w:val="1DDB50B5"/>
    <w:rsid w:val="1DF6B091"/>
    <w:rsid w:val="2323FA7F"/>
    <w:rsid w:val="282AC0C3"/>
    <w:rsid w:val="29867983"/>
    <w:rsid w:val="2CDC6CA6"/>
    <w:rsid w:val="30A52541"/>
    <w:rsid w:val="39B0A543"/>
    <w:rsid w:val="3F5B7DC8"/>
    <w:rsid w:val="4148C698"/>
    <w:rsid w:val="4330E2FB"/>
    <w:rsid w:val="48474254"/>
    <w:rsid w:val="4BD4C0B0"/>
    <w:rsid w:val="50342F3C"/>
    <w:rsid w:val="5050C4AD"/>
    <w:rsid w:val="6682F902"/>
    <w:rsid w:val="681E4A50"/>
    <w:rsid w:val="78CDB8FD"/>
    <w:rsid w:val="791A03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BF2BFB"/>
  <w15:chartTrackingRefBased/>
  <w15:docId w15:val="{82E9D4DE-F9E1-4477-9C3D-646F2C58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05DE"/>
    <w:pPr>
      <w:widowControl w:val="0"/>
    </w:pPr>
    <w:rPr>
      <w:snapToGrid w:val="0"/>
      <w:kern w:val="28"/>
      <w:sz w:val="22"/>
    </w:rPr>
  </w:style>
  <w:style w:type="paragraph" w:styleId="Heading1">
    <w:name w:val="heading 1"/>
    <w:basedOn w:val="Normal"/>
    <w:next w:val="ParaNum"/>
    <w:link w:val="Heading1Char"/>
    <w:qFormat/>
    <w:rsid w:val="000405DE"/>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0405DE"/>
    <w:pPr>
      <w:keepNext/>
      <w:numPr>
        <w:ilvl w:val="1"/>
        <w:numId w:val="3"/>
      </w:numPr>
      <w:spacing w:after="120"/>
      <w:outlineLvl w:val="1"/>
    </w:pPr>
    <w:rPr>
      <w:b/>
    </w:rPr>
  </w:style>
  <w:style w:type="paragraph" w:styleId="Heading3">
    <w:name w:val="heading 3"/>
    <w:basedOn w:val="Normal"/>
    <w:next w:val="ParaNum"/>
    <w:qFormat/>
    <w:rsid w:val="000405DE"/>
    <w:pPr>
      <w:keepNext/>
      <w:numPr>
        <w:ilvl w:val="2"/>
        <w:numId w:val="3"/>
      </w:numPr>
      <w:tabs>
        <w:tab w:val="left" w:pos="2160"/>
      </w:tabs>
      <w:spacing w:after="120"/>
      <w:outlineLvl w:val="2"/>
    </w:pPr>
    <w:rPr>
      <w:b/>
    </w:rPr>
  </w:style>
  <w:style w:type="paragraph" w:styleId="Heading4">
    <w:name w:val="heading 4"/>
    <w:basedOn w:val="Normal"/>
    <w:next w:val="ParaNum"/>
    <w:qFormat/>
    <w:rsid w:val="000405DE"/>
    <w:pPr>
      <w:keepNext/>
      <w:numPr>
        <w:ilvl w:val="3"/>
        <w:numId w:val="3"/>
      </w:numPr>
      <w:tabs>
        <w:tab w:val="left" w:pos="2880"/>
      </w:tabs>
      <w:spacing w:after="120"/>
      <w:outlineLvl w:val="3"/>
    </w:pPr>
    <w:rPr>
      <w:b/>
    </w:rPr>
  </w:style>
  <w:style w:type="paragraph" w:styleId="Heading5">
    <w:name w:val="heading 5"/>
    <w:basedOn w:val="Normal"/>
    <w:next w:val="ParaNum"/>
    <w:qFormat/>
    <w:rsid w:val="000405DE"/>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405DE"/>
    <w:pPr>
      <w:numPr>
        <w:ilvl w:val="5"/>
        <w:numId w:val="3"/>
      </w:numPr>
      <w:tabs>
        <w:tab w:val="left" w:pos="4320"/>
      </w:tabs>
      <w:spacing w:after="120"/>
      <w:outlineLvl w:val="5"/>
    </w:pPr>
    <w:rPr>
      <w:b/>
    </w:rPr>
  </w:style>
  <w:style w:type="paragraph" w:styleId="Heading7">
    <w:name w:val="heading 7"/>
    <w:basedOn w:val="Normal"/>
    <w:next w:val="ParaNum"/>
    <w:qFormat/>
    <w:rsid w:val="000405DE"/>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0405DE"/>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0405DE"/>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0405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05DE"/>
  </w:style>
  <w:style w:type="paragraph" w:customStyle="1" w:styleId="ParaNum">
    <w:name w:val="ParaNum"/>
    <w:basedOn w:val="Normal"/>
    <w:rsid w:val="000405DE"/>
    <w:pPr>
      <w:numPr>
        <w:numId w:val="2"/>
      </w:numPr>
      <w:tabs>
        <w:tab w:val="clear" w:pos="1080"/>
        <w:tab w:val="num" w:pos="1440"/>
      </w:tabs>
      <w:spacing w:after="120"/>
    </w:pPr>
  </w:style>
  <w:style w:type="paragraph" w:styleId="EndnoteText">
    <w:name w:val="endnote text"/>
    <w:basedOn w:val="Normal"/>
    <w:semiHidden/>
    <w:rsid w:val="000405DE"/>
    <w:rPr>
      <w:sz w:val="20"/>
    </w:rPr>
  </w:style>
  <w:style w:type="character" w:styleId="EndnoteReference">
    <w:name w:val="endnote reference"/>
    <w:semiHidden/>
    <w:rsid w:val="000405DE"/>
    <w:rPr>
      <w:vertAlign w:val="superscript"/>
    </w:rPr>
  </w:style>
  <w:style w:type="paragraph" w:styleId="FootnoteText">
    <w:name w:val="footnote text"/>
    <w:aliases w:val="ALTS FOOTNOTE Char Char,ALTS FOOTNOTE Char Char Char Char,Footnote Text Char,Footnote Text Char Char,Footnote Text Char Char Char Char,Footnote Text Char1,Footnote Text Char1 Char Char,f,fn Char,fn Char Char,fn Char Char Char Char,fn Char1"/>
    <w:link w:val="FootnoteTextChar2"/>
    <w:rsid w:val="000405DE"/>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0405DE"/>
    <w:rPr>
      <w:rFonts w:ascii="Times New Roman" w:hAnsi="Times New Roman"/>
      <w:dstrike w:val="0"/>
      <w:color w:val="auto"/>
      <w:sz w:val="20"/>
      <w:vertAlign w:val="superscript"/>
    </w:rPr>
  </w:style>
  <w:style w:type="paragraph" w:styleId="TOC1">
    <w:name w:val="toc 1"/>
    <w:basedOn w:val="Normal"/>
    <w:next w:val="Normal"/>
    <w:semiHidden/>
    <w:rsid w:val="000405DE"/>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0405DE"/>
    <w:pPr>
      <w:tabs>
        <w:tab w:val="left" w:pos="720"/>
        <w:tab w:val="right" w:leader="dot" w:pos="9360"/>
      </w:tabs>
      <w:suppressAutoHyphens/>
      <w:ind w:left="720" w:right="720" w:hanging="360"/>
    </w:pPr>
    <w:rPr>
      <w:noProof/>
    </w:rPr>
  </w:style>
  <w:style w:type="paragraph" w:styleId="TOC3">
    <w:name w:val="toc 3"/>
    <w:basedOn w:val="Normal"/>
    <w:next w:val="Normal"/>
    <w:semiHidden/>
    <w:rsid w:val="000405DE"/>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0405DE"/>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0405DE"/>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0405DE"/>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0405DE"/>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0405DE"/>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0405DE"/>
    <w:pPr>
      <w:tabs>
        <w:tab w:val="left" w:pos="3240"/>
        <w:tab w:val="right" w:leader="dot" w:pos="9360"/>
      </w:tabs>
      <w:suppressAutoHyphens/>
      <w:ind w:left="3240" w:hanging="360"/>
    </w:pPr>
    <w:rPr>
      <w:noProof/>
    </w:rPr>
  </w:style>
  <w:style w:type="paragraph" w:styleId="TOAHeading">
    <w:name w:val="toa heading"/>
    <w:basedOn w:val="Normal"/>
    <w:next w:val="Normal"/>
    <w:semiHidden/>
    <w:rsid w:val="000405DE"/>
    <w:pPr>
      <w:tabs>
        <w:tab w:val="right" w:pos="9360"/>
      </w:tabs>
      <w:suppressAutoHyphens/>
    </w:pPr>
  </w:style>
  <w:style w:type="character" w:customStyle="1" w:styleId="EquationCaption">
    <w:name w:val="_Equation Caption"/>
    <w:rsid w:val="000405DE"/>
  </w:style>
  <w:style w:type="paragraph" w:styleId="Header">
    <w:name w:val="header"/>
    <w:basedOn w:val="Normal"/>
    <w:autoRedefine/>
    <w:rsid w:val="000405DE"/>
    <w:pPr>
      <w:tabs>
        <w:tab w:val="center" w:pos="4680"/>
        <w:tab w:val="right" w:pos="9360"/>
      </w:tabs>
    </w:pPr>
    <w:rPr>
      <w:b/>
    </w:rPr>
  </w:style>
  <w:style w:type="paragraph" w:styleId="Footer">
    <w:name w:val="footer"/>
    <w:basedOn w:val="Normal"/>
    <w:link w:val="FooterChar"/>
    <w:uiPriority w:val="99"/>
    <w:rsid w:val="000405DE"/>
    <w:pPr>
      <w:tabs>
        <w:tab w:val="center" w:pos="4320"/>
        <w:tab w:val="right" w:pos="8640"/>
      </w:tabs>
    </w:pPr>
  </w:style>
  <w:style w:type="character" w:styleId="PageNumber">
    <w:name w:val="page number"/>
    <w:basedOn w:val="DefaultParagraphFont"/>
    <w:rsid w:val="000405DE"/>
  </w:style>
  <w:style w:type="paragraph" w:styleId="BlockText">
    <w:name w:val="Block Text"/>
    <w:basedOn w:val="Normal"/>
    <w:rsid w:val="000405DE"/>
    <w:pPr>
      <w:spacing w:after="240"/>
      <w:ind w:left="1440" w:right="1440"/>
    </w:pPr>
  </w:style>
  <w:style w:type="paragraph" w:customStyle="1" w:styleId="Paratitle">
    <w:name w:val="Para title"/>
    <w:basedOn w:val="Normal"/>
    <w:rsid w:val="000405DE"/>
    <w:pPr>
      <w:tabs>
        <w:tab w:val="center" w:pos="9270"/>
      </w:tabs>
      <w:spacing w:after="240"/>
    </w:pPr>
    <w:rPr>
      <w:spacing w:val="-2"/>
    </w:rPr>
  </w:style>
  <w:style w:type="paragraph" w:customStyle="1" w:styleId="Bullet">
    <w:name w:val="Bullet"/>
    <w:basedOn w:val="Normal"/>
    <w:rsid w:val="000405DE"/>
    <w:pPr>
      <w:tabs>
        <w:tab w:val="left" w:pos="2160"/>
      </w:tabs>
      <w:spacing w:after="220"/>
      <w:ind w:left="2160" w:hanging="720"/>
    </w:pPr>
  </w:style>
  <w:style w:type="paragraph" w:customStyle="1" w:styleId="TableFormat">
    <w:name w:val="TableFormat"/>
    <w:basedOn w:val="Bullet"/>
    <w:rsid w:val="000405DE"/>
    <w:pPr>
      <w:tabs>
        <w:tab w:val="clear" w:pos="2160"/>
        <w:tab w:val="left" w:pos="5040"/>
      </w:tabs>
      <w:ind w:left="5040" w:hanging="3600"/>
    </w:pPr>
  </w:style>
  <w:style w:type="paragraph" w:customStyle="1" w:styleId="TOCTitle">
    <w:name w:val="TOC Title"/>
    <w:basedOn w:val="Normal"/>
    <w:rsid w:val="000405DE"/>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405DE"/>
    <w:pPr>
      <w:jc w:val="center"/>
    </w:pPr>
    <w:rPr>
      <w:rFonts w:ascii="Times New Roman Bold" w:hAnsi="Times New Roman Bold"/>
      <w:b/>
      <w:bCs/>
      <w:caps/>
      <w:szCs w:val="22"/>
    </w:rPr>
  </w:style>
  <w:style w:type="character" w:styleId="Hyperlink">
    <w:name w:val="Hyperlink"/>
    <w:rsid w:val="000405DE"/>
    <w:rPr>
      <w:color w:val="0000FF"/>
      <w:u w:val="single"/>
    </w:rPr>
  </w:style>
  <w:style w:type="character" w:customStyle="1" w:styleId="FooterChar">
    <w:name w:val="Footer Char"/>
    <w:link w:val="Footer"/>
    <w:uiPriority w:val="99"/>
    <w:rsid w:val="000405DE"/>
    <w:rPr>
      <w:snapToGrid w:val="0"/>
      <w:kern w:val="28"/>
      <w:sz w:val="22"/>
    </w:rPr>
  </w:style>
  <w:style w:type="character" w:customStyle="1" w:styleId="FootnoteTextChar2">
    <w:name w:val="Footnote Text Char2"/>
    <w:aliases w:val="ALTS FOOTNOTE Char Char Char,ALTS FOOTNOTE Char Char Char Char Char,Footnote Text Char Char1,Footnote Text Char Char Char,Footnote Text Char Char Char Char Char,Footnote Text Char1 Char,Footnote Text Char1 Char Char Char,f Char"/>
    <w:link w:val="FootnoteText"/>
    <w:locked/>
    <w:rsid w:val="00E4677C"/>
  </w:style>
  <w:style w:type="character" w:styleId="CommentReference">
    <w:name w:val="annotation reference"/>
    <w:rsid w:val="00A921E9"/>
    <w:rPr>
      <w:sz w:val="16"/>
      <w:szCs w:val="16"/>
    </w:rPr>
  </w:style>
  <w:style w:type="paragraph" w:styleId="CommentText">
    <w:name w:val="annotation text"/>
    <w:basedOn w:val="Normal"/>
    <w:link w:val="CommentTextChar"/>
    <w:rsid w:val="00A921E9"/>
    <w:rPr>
      <w:sz w:val="20"/>
    </w:rPr>
  </w:style>
  <w:style w:type="character" w:customStyle="1" w:styleId="CommentTextChar">
    <w:name w:val="Comment Text Char"/>
    <w:link w:val="CommentText"/>
    <w:rsid w:val="00A921E9"/>
    <w:rPr>
      <w:snapToGrid w:val="0"/>
      <w:kern w:val="28"/>
    </w:rPr>
  </w:style>
  <w:style w:type="paragraph" w:styleId="CommentSubject">
    <w:name w:val="annotation subject"/>
    <w:basedOn w:val="CommentText"/>
    <w:next w:val="CommentText"/>
    <w:link w:val="CommentSubjectChar"/>
    <w:rsid w:val="00A921E9"/>
    <w:rPr>
      <w:b/>
      <w:bCs/>
    </w:rPr>
  </w:style>
  <w:style w:type="character" w:customStyle="1" w:styleId="CommentSubjectChar">
    <w:name w:val="Comment Subject Char"/>
    <w:link w:val="CommentSubject"/>
    <w:rsid w:val="00A921E9"/>
    <w:rPr>
      <w:b/>
      <w:bCs/>
      <w:snapToGrid w:val="0"/>
      <w:kern w:val="28"/>
    </w:rPr>
  </w:style>
  <w:style w:type="paragraph" w:styleId="BalloonText">
    <w:name w:val="Balloon Text"/>
    <w:basedOn w:val="Normal"/>
    <w:link w:val="BalloonTextChar"/>
    <w:rsid w:val="00A921E9"/>
    <w:rPr>
      <w:rFonts w:ascii="Tahoma" w:hAnsi="Tahoma" w:cs="Tahoma"/>
      <w:sz w:val="16"/>
      <w:szCs w:val="16"/>
    </w:rPr>
  </w:style>
  <w:style w:type="character" w:customStyle="1" w:styleId="BalloonTextChar">
    <w:name w:val="Balloon Text Char"/>
    <w:link w:val="BalloonText"/>
    <w:rsid w:val="00A921E9"/>
    <w:rPr>
      <w:rFonts w:ascii="Tahoma" w:hAnsi="Tahoma" w:cs="Tahoma"/>
      <w:snapToGrid w:val="0"/>
      <w:kern w:val="28"/>
      <w:sz w:val="16"/>
      <w:szCs w:val="16"/>
    </w:rPr>
  </w:style>
  <w:style w:type="character" w:styleId="UnresolvedMention">
    <w:name w:val="Unresolved Mention"/>
    <w:uiPriority w:val="99"/>
    <w:semiHidden/>
    <w:unhideWhenUsed/>
    <w:rsid w:val="00AC67CA"/>
    <w:rPr>
      <w:color w:val="605E5C"/>
      <w:shd w:val="clear" w:color="auto" w:fill="E1DFDD"/>
    </w:rPr>
  </w:style>
  <w:style w:type="paragraph" w:styleId="Revision">
    <w:name w:val="Revision"/>
    <w:hidden/>
    <w:uiPriority w:val="99"/>
    <w:semiHidden/>
    <w:rsid w:val="00EA425E"/>
    <w:rPr>
      <w:snapToGrid w:val="0"/>
      <w:kern w:val="28"/>
      <w:sz w:val="22"/>
    </w:rPr>
  </w:style>
  <w:style w:type="character" w:styleId="Strong">
    <w:name w:val="Strong"/>
    <w:qFormat/>
    <w:rsid w:val="007035B1"/>
    <w:rPr>
      <w:b/>
      <w:bCs/>
    </w:rPr>
  </w:style>
  <w:style w:type="character" w:customStyle="1" w:styleId="enumxml">
    <w:name w:val="enumxml"/>
    <w:basedOn w:val="DefaultParagraphFont"/>
    <w:rsid w:val="00BC28F2"/>
  </w:style>
  <w:style w:type="character" w:customStyle="1" w:styleId="cf01">
    <w:name w:val="cf01"/>
    <w:rsid w:val="00F17E1A"/>
    <w:rPr>
      <w:rFonts w:ascii="Segoe UI" w:hAnsi="Segoe UI" w:cs="Segoe UI" w:hint="default"/>
      <w:sz w:val="18"/>
      <w:szCs w:val="18"/>
    </w:rPr>
  </w:style>
  <w:style w:type="character" w:styleId="FollowedHyperlink">
    <w:name w:val="FollowedHyperlink"/>
    <w:rsid w:val="00C41F38"/>
    <w:rPr>
      <w:color w:val="954F72"/>
      <w:u w:val="single"/>
    </w:rPr>
  </w:style>
  <w:style w:type="paragraph" w:customStyle="1" w:styleId="xmsonormal">
    <w:name w:val="x_msonormal"/>
    <w:basedOn w:val="Normal"/>
    <w:rsid w:val="000C4532"/>
    <w:pPr>
      <w:widowControl/>
      <w:spacing w:before="100" w:beforeAutospacing="1" w:after="100" w:afterAutospacing="1"/>
    </w:pPr>
    <w:rPr>
      <w:rFonts w:ascii="Calibri" w:eastAsia="Calibri" w:hAnsi="Calibri" w:cs="Calibri"/>
      <w:snapToGrid/>
      <w:kern w:val="0"/>
      <w:szCs w:val="22"/>
    </w:rPr>
  </w:style>
  <w:style w:type="character" w:styleId="Mention">
    <w:name w:val="Mention"/>
    <w:basedOn w:val="DefaultParagraphFont"/>
    <w:uiPriority w:val="99"/>
    <w:unhideWhenUsed/>
    <w:rsid w:val="001707C5"/>
    <w:rPr>
      <w:color w:val="2B579A"/>
      <w:shd w:val="clear" w:color="auto" w:fill="E1DFDD"/>
    </w:rPr>
  </w:style>
  <w:style w:type="character" w:customStyle="1" w:styleId="ui-provider">
    <w:name w:val="ui-provider"/>
    <w:basedOn w:val="DefaultParagraphFont"/>
    <w:rsid w:val="00463DB4"/>
  </w:style>
  <w:style w:type="paragraph" w:styleId="BodyText">
    <w:name w:val="Body Text"/>
    <w:basedOn w:val="Normal"/>
    <w:link w:val="BodyTextChar"/>
    <w:rsid w:val="001E07F8"/>
    <w:pPr>
      <w:spacing w:after="120"/>
    </w:pPr>
  </w:style>
  <w:style w:type="character" w:customStyle="1" w:styleId="BodyTextChar">
    <w:name w:val="Body Text Char"/>
    <w:basedOn w:val="DefaultParagraphFont"/>
    <w:link w:val="BodyText"/>
    <w:rsid w:val="001E07F8"/>
    <w:rPr>
      <w:snapToGrid w:val="0"/>
      <w:kern w:val="28"/>
      <w:sz w:val="22"/>
    </w:rPr>
  </w:style>
  <w:style w:type="character" w:customStyle="1" w:styleId="Heading2Char">
    <w:name w:val="Heading 2 Char"/>
    <w:basedOn w:val="DefaultParagraphFont"/>
    <w:link w:val="Heading2"/>
    <w:rsid w:val="002C54E0"/>
    <w:rPr>
      <w:b/>
      <w:snapToGrid w:val="0"/>
      <w:kern w:val="28"/>
      <w:sz w:val="22"/>
    </w:rPr>
  </w:style>
  <w:style w:type="paragraph" w:styleId="ListParagraph">
    <w:name w:val="List Paragraph"/>
    <w:basedOn w:val="Normal"/>
    <w:uiPriority w:val="34"/>
    <w:qFormat/>
    <w:rsid w:val="002C54E0"/>
    <w:pPr>
      <w:widowControl/>
      <w:ind w:left="720"/>
      <w:contextualSpacing/>
    </w:pPr>
    <w:rPr>
      <w:snapToGrid/>
      <w:kern w:val="0"/>
      <w:sz w:val="24"/>
      <w:szCs w:val="24"/>
    </w:rPr>
  </w:style>
  <w:style w:type="character" w:customStyle="1" w:styleId="boolean-control">
    <w:name w:val="boolean-control"/>
    <w:basedOn w:val="DefaultParagraphFont"/>
    <w:rsid w:val="002C54E0"/>
  </w:style>
  <w:style w:type="character" w:customStyle="1" w:styleId="ng-binding">
    <w:name w:val="ng-binding"/>
    <w:basedOn w:val="DefaultParagraphFont"/>
    <w:rsid w:val="008633CD"/>
  </w:style>
  <w:style w:type="character" w:customStyle="1" w:styleId="Heading1Char">
    <w:name w:val="Heading 1 Char"/>
    <w:basedOn w:val="DefaultParagraphFont"/>
    <w:link w:val="Heading1"/>
    <w:rsid w:val="002C1F7D"/>
    <w:rPr>
      <w:rFonts w:ascii="Times New Roman Bold" w:hAnsi="Times New Roman Bold"/>
      <w:b/>
      <w:caps/>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brisa@belthrough.co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DOC-414391A1.pdf" TargetMode="External" /><Relationship Id="rId2" Type="http://schemas.openxmlformats.org/officeDocument/2006/relationships/hyperlink" Target="https://www.fcc.gov/consumers/guides/stop-unwanted-robocalls-and-texts"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