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36F03782"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388E365E" w14:textId="77777777">
      <w:pPr>
        <w:pStyle w:val="StyleBoldCentered"/>
      </w:pPr>
      <w:r>
        <w:t>F</w:t>
      </w:r>
      <w:r>
        <w:rPr>
          <w:caps w:val="0"/>
        </w:rPr>
        <w:t>ederal Communications Commission</w:t>
      </w:r>
    </w:p>
    <w:p w:rsidR="004C2EE3" w:rsidP="00096D8C" w14:paraId="42C87A35" w14:textId="77777777">
      <w:pPr>
        <w:pStyle w:val="StyleBoldCentered"/>
      </w:pPr>
      <w:r>
        <w:rPr>
          <w:caps w:val="0"/>
        </w:rPr>
        <w:t>Washington, D.C. 20554</w:t>
      </w:r>
    </w:p>
    <w:p w:rsidR="004C2EE3" w:rsidP="0070224F" w14:paraId="200516BA" w14:textId="77777777"/>
    <w:p w:rsidR="004C2EE3" w:rsidP="0070224F" w14:paraId="7E459E61" w14:textId="77777777"/>
    <w:tbl>
      <w:tblPr>
        <w:tblW w:w="0" w:type="auto"/>
        <w:tblLayout w:type="fixed"/>
        <w:tblLook w:val="0000"/>
      </w:tblPr>
      <w:tblGrid>
        <w:gridCol w:w="4698"/>
        <w:gridCol w:w="630"/>
        <w:gridCol w:w="4248"/>
      </w:tblGrid>
      <w:tr w14:paraId="0CF88B40" w14:textId="77777777">
        <w:tblPrEx>
          <w:tblW w:w="0" w:type="auto"/>
          <w:tblLayout w:type="fixed"/>
          <w:tblLook w:val="0000"/>
        </w:tblPrEx>
        <w:tc>
          <w:tcPr>
            <w:tcW w:w="4698" w:type="dxa"/>
          </w:tcPr>
          <w:p w:rsidR="004C2EE3" w14:paraId="4FD9F403" w14:textId="77777777">
            <w:pPr>
              <w:tabs>
                <w:tab w:val="center" w:pos="4680"/>
              </w:tabs>
              <w:suppressAutoHyphens/>
              <w:rPr>
                <w:spacing w:val="-2"/>
              </w:rPr>
            </w:pPr>
            <w:r>
              <w:rPr>
                <w:spacing w:val="-2"/>
              </w:rPr>
              <w:t>In the Matter of</w:t>
            </w:r>
          </w:p>
          <w:p w:rsidR="004C2EE3" w14:paraId="7772EBD5" w14:textId="77777777">
            <w:pPr>
              <w:tabs>
                <w:tab w:val="center" w:pos="4680"/>
              </w:tabs>
              <w:suppressAutoHyphens/>
              <w:rPr>
                <w:spacing w:val="-2"/>
              </w:rPr>
            </w:pPr>
          </w:p>
          <w:p w:rsidR="00B81869" w:rsidRPr="00B81869" w:rsidP="00B81869" w14:paraId="2727FDED" w14:textId="271FDB13">
            <w:pPr>
              <w:tabs>
                <w:tab w:val="center" w:pos="4680"/>
              </w:tabs>
              <w:suppressAutoHyphens/>
              <w:rPr>
                <w:spacing w:val="-2"/>
              </w:rPr>
            </w:pPr>
            <w:r w:rsidRPr="00B81869">
              <w:rPr>
                <w:spacing w:val="-2"/>
              </w:rPr>
              <w:t xml:space="preserve">July 1, </w:t>
            </w:r>
            <w:r w:rsidR="00683532">
              <w:rPr>
                <w:spacing w:val="-2"/>
              </w:rPr>
              <w:t>2026</w:t>
            </w:r>
          </w:p>
          <w:p w:rsidR="004C2EE3" w:rsidRPr="007115F7" w:rsidP="00B81869" w14:paraId="0ECE34EE" w14:textId="44453747">
            <w:pPr>
              <w:tabs>
                <w:tab w:val="center" w:pos="4680"/>
              </w:tabs>
              <w:suppressAutoHyphens/>
              <w:rPr>
                <w:spacing w:val="-2"/>
              </w:rPr>
            </w:pPr>
            <w:r w:rsidRPr="00B81869">
              <w:rPr>
                <w:spacing w:val="-2"/>
              </w:rPr>
              <w:t>Annual Access Charge Tariff Filings</w:t>
            </w:r>
          </w:p>
        </w:tc>
        <w:tc>
          <w:tcPr>
            <w:tcW w:w="630" w:type="dxa"/>
          </w:tcPr>
          <w:p w:rsidR="004C2EE3" w14:paraId="17D14D54" w14:textId="77777777">
            <w:pPr>
              <w:tabs>
                <w:tab w:val="center" w:pos="4680"/>
              </w:tabs>
              <w:suppressAutoHyphens/>
              <w:rPr>
                <w:b/>
                <w:spacing w:val="-2"/>
              </w:rPr>
            </w:pPr>
            <w:r>
              <w:rPr>
                <w:b/>
                <w:spacing w:val="-2"/>
              </w:rPr>
              <w:t>)</w:t>
            </w:r>
          </w:p>
          <w:p w:rsidR="004C2EE3" w14:paraId="53905233" w14:textId="77777777">
            <w:pPr>
              <w:tabs>
                <w:tab w:val="center" w:pos="4680"/>
              </w:tabs>
              <w:suppressAutoHyphens/>
              <w:rPr>
                <w:b/>
                <w:spacing w:val="-2"/>
              </w:rPr>
            </w:pPr>
            <w:r>
              <w:rPr>
                <w:b/>
                <w:spacing w:val="-2"/>
              </w:rPr>
              <w:t>)</w:t>
            </w:r>
          </w:p>
          <w:p w:rsidR="004C2EE3" w14:paraId="62AE61B1" w14:textId="77777777">
            <w:pPr>
              <w:tabs>
                <w:tab w:val="center" w:pos="4680"/>
              </w:tabs>
              <w:suppressAutoHyphens/>
              <w:rPr>
                <w:b/>
                <w:spacing w:val="-2"/>
              </w:rPr>
            </w:pPr>
            <w:r>
              <w:rPr>
                <w:b/>
                <w:spacing w:val="-2"/>
              </w:rPr>
              <w:t>)</w:t>
            </w:r>
          </w:p>
          <w:p w:rsidR="004C2EE3" w14:paraId="56E6A41B" w14:textId="77777777">
            <w:pPr>
              <w:tabs>
                <w:tab w:val="center" w:pos="4680"/>
              </w:tabs>
              <w:suppressAutoHyphens/>
              <w:rPr>
                <w:b/>
                <w:spacing w:val="-2"/>
              </w:rPr>
            </w:pPr>
            <w:r>
              <w:rPr>
                <w:b/>
                <w:spacing w:val="-2"/>
              </w:rPr>
              <w:t>)</w:t>
            </w:r>
          </w:p>
          <w:p w:rsidR="004C2EE3" w:rsidRPr="00B81869" w14:paraId="6BE02DA1" w14:textId="270F459E">
            <w:pPr>
              <w:tabs>
                <w:tab w:val="center" w:pos="4680"/>
              </w:tabs>
              <w:suppressAutoHyphens/>
              <w:rPr>
                <w:b/>
                <w:spacing w:val="-2"/>
              </w:rPr>
            </w:pPr>
            <w:r>
              <w:rPr>
                <w:b/>
                <w:spacing w:val="-2"/>
              </w:rPr>
              <w:t>)</w:t>
            </w:r>
          </w:p>
        </w:tc>
        <w:tc>
          <w:tcPr>
            <w:tcW w:w="4248" w:type="dxa"/>
          </w:tcPr>
          <w:p w:rsidR="004C2EE3" w14:paraId="12436F21" w14:textId="77777777">
            <w:pPr>
              <w:tabs>
                <w:tab w:val="center" w:pos="4680"/>
              </w:tabs>
              <w:suppressAutoHyphens/>
              <w:rPr>
                <w:spacing w:val="-2"/>
              </w:rPr>
            </w:pPr>
          </w:p>
          <w:p w:rsidR="004C2EE3" w14:paraId="400AFF5C" w14:textId="77777777">
            <w:pPr>
              <w:pStyle w:val="TOAHeading"/>
              <w:tabs>
                <w:tab w:val="center" w:pos="4680"/>
                <w:tab w:val="clear" w:pos="9360"/>
              </w:tabs>
              <w:rPr>
                <w:spacing w:val="-2"/>
              </w:rPr>
            </w:pPr>
          </w:p>
          <w:p w:rsidR="004C2EE3" w14:paraId="00F33302" w14:textId="0C24318F">
            <w:pPr>
              <w:tabs>
                <w:tab w:val="center" w:pos="4680"/>
              </w:tabs>
              <w:suppressAutoHyphens/>
              <w:rPr>
                <w:spacing w:val="-2"/>
              </w:rPr>
            </w:pPr>
            <w:r w:rsidRPr="00B81869">
              <w:rPr>
                <w:spacing w:val="-2"/>
              </w:rPr>
              <w:t xml:space="preserve">WC Docket No. </w:t>
            </w:r>
            <w:r w:rsidR="00CD1368">
              <w:rPr>
                <w:spacing w:val="-2"/>
              </w:rPr>
              <w:t>26-50</w:t>
            </w:r>
          </w:p>
        </w:tc>
      </w:tr>
    </w:tbl>
    <w:p w:rsidR="004C2EE3" w:rsidP="0070224F" w14:paraId="3602E095" w14:textId="77777777"/>
    <w:p w:rsidR="00841AB1" w:rsidP="00F021FA" w14:paraId="276E7A4D" w14:textId="7BB56B07">
      <w:pPr>
        <w:pStyle w:val="StyleBoldCentered"/>
      </w:pPr>
      <w:r>
        <w:t>order</w:t>
      </w:r>
    </w:p>
    <w:p w:rsidR="004C2EE3" w14:paraId="5456A6C0" w14:textId="77777777">
      <w:pPr>
        <w:tabs>
          <w:tab w:val="left" w:pos="-720"/>
        </w:tabs>
        <w:suppressAutoHyphens/>
        <w:spacing w:line="227" w:lineRule="auto"/>
        <w:rPr>
          <w:spacing w:val="-2"/>
        </w:rPr>
      </w:pPr>
    </w:p>
    <w:p w:rsidR="004C2EE3" w:rsidP="00133F79" w14:paraId="1B47F83B" w14:textId="5A2E18AB">
      <w:pPr>
        <w:tabs>
          <w:tab w:val="left" w:pos="720"/>
          <w:tab w:val="right" w:pos="9360"/>
        </w:tabs>
        <w:suppressAutoHyphens/>
        <w:spacing w:line="227" w:lineRule="auto"/>
        <w:rPr>
          <w:spacing w:val="-2"/>
        </w:rPr>
      </w:pPr>
      <w:r>
        <w:rPr>
          <w:b/>
          <w:spacing w:val="-2"/>
        </w:rPr>
        <w:t xml:space="preserve">Adopted:  </w:t>
      </w:r>
      <w:r w:rsidRPr="00B81869" w:rsidR="00B81869">
        <w:rPr>
          <w:b/>
          <w:spacing w:val="-2"/>
        </w:rPr>
        <w:t xml:space="preserve">March 25, </w:t>
      </w:r>
      <w:r w:rsidR="00683532">
        <w:rPr>
          <w:b/>
          <w:spacing w:val="-2"/>
        </w:rPr>
        <w:t>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Pr="00B81869" w:rsidR="00B81869">
        <w:rPr>
          <w:b/>
          <w:spacing w:val="-2"/>
        </w:rPr>
        <w:t xml:space="preserve">March 25, </w:t>
      </w:r>
      <w:r w:rsidR="00683532">
        <w:rPr>
          <w:b/>
          <w:spacing w:val="-2"/>
        </w:rPr>
        <w:t>2026</w:t>
      </w:r>
    </w:p>
    <w:p w:rsidR="00822CE0" w14:paraId="330AB92A" w14:textId="77777777"/>
    <w:p w:rsidR="004C2EE3" w14:paraId="3D6E4FE8" w14:textId="144A4376">
      <w:pPr>
        <w:rPr>
          <w:spacing w:val="-2"/>
        </w:rPr>
      </w:pPr>
      <w:r>
        <w:t xml:space="preserve">By </w:t>
      </w:r>
      <w:r w:rsidR="004E4A22">
        <w:t>the</w:t>
      </w:r>
      <w:r w:rsidR="002A2D2E">
        <w:t xml:space="preserve"> </w:t>
      </w:r>
      <w:r w:rsidR="00B81869">
        <w:rPr>
          <w:spacing w:val="-2"/>
        </w:rPr>
        <w:t>Chief, Pricing Policy Division</w:t>
      </w:r>
      <w:r>
        <w:rPr>
          <w:spacing w:val="-2"/>
        </w:rPr>
        <w:t>:</w:t>
      </w:r>
    </w:p>
    <w:p w:rsidR="00B81869" w14:paraId="1026B9AF" w14:textId="77777777">
      <w:pPr>
        <w:rPr>
          <w:spacing w:val="-2"/>
        </w:rPr>
      </w:pPr>
    </w:p>
    <w:p w:rsidR="00B81869" w:rsidRPr="00B81869" w:rsidP="00B81869" w14:paraId="30E27672" w14:textId="35754884">
      <w:pPr>
        <w:rPr>
          <w:spacing w:val="-2"/>
        </w:rPr>
      </w:pPr>
      <w:r w:rsidRPr="00B81869">
        <w:rPr>
          <w:spacing w:val="-2"/>
        </w:rPr>
        <w:t>15-DAY TARIFF FILINGS:</w:t>
      </w:r>
      <w:r w:rsidRPr="00B81869">
        <w:rPr>
          <w:spacing w:val="-2"/>
        </w:rPr>
        <w:tab/>
      </w:r>
      <w:r w:rsidRPr="00B81869">
        <w:rPr>
          <w:spacing w:val="-2"/>
        </w:rPr>
        <w:tab/>
        <w:t xml:space="preserve">June 16, </w:t>
      </w:r>
      <w:r w:rsidR="00683532">
        <w:rPr>
          <w:spacing w:val="-2"/>
        </w:rPr>
        <w:t>2026</w:t>
      </w:r>
    </w:p>
    <w:p w:rsidR="00B81869" w:rsidRPr="00B81869" w:rsidP="00B81869" w14:paraId="7AE6BB91" w14:textId="6F6BB51C">
      <w:pPr>
        <w:rPr>
          <w:spacing w:val="-2"/>
        </w:rPr>
      </w:pPr>
      <w:r w:rsidRPr="00B81869">
        <w:rPr>
          <w:spacing w:val="-2"/>
        </w:rPr>
        <w:t>EFFECTIVE:</w:t>
      </w:r>
      <w:r w:rsidRPr="00B81869">
        <w:rPr>
          <w:spacing w:val="-2"/>
        </w:rPr>
        <w:tab/>
      </w:r>
      <w:r w:rsidRPr="00B81869">
        <w:rPr>
          <w:spacing w:val="-2"/>
        </w:rPr>
        <w:tab/>
      </w:r>
      <w:r>
        <w:rPr>
          <w:spacing w:val="-2"/>
        </w:rPr>
        <w:tab/>
      </w:r>
      <w:r>
        <w:rPr>
          <w:spacing w:val="-2"/>
        </w:rPr>
        <w:tab/>
      </w:r>
      <w:r w:rsidRPr="00B81869">
        <w:rPr>
          <w:spacing w:val="-2"/>
        </w:rPr>
        <w:t xml:space="preserve">July 1, </w:t>
      </w:r>
      <w:r w:rsidR="00683532">
        <w:rPr>
          <w:spacing w:val="-2"/>
        </w:rPr>
        <w:t>2026</w:t>
      </w:r>
    </w:p>
    <w:p w:rsidR="00B81869" w:rsidRPr="00B81869" w:rsidP="00B81869" w14:paraId="00B6A6CF" w14:textId="120FE61D">
      <w:pPr>
        <w:rPr>
          <w:spacing w:val="-2"/>
        </w:rPr>
      </w:pPr>
      <w:r w:rsidRPr="00B81869">
        <w:rPr>
          <w:spacing w:val="-2"/>
        </w:rPr>
        <w:t>PETITIONS:</w:t>
      </w:r>
      <w:r w:rsidRPr="00B81869">
        <w:rPr>
          <w:spacing w:val="-2"/>
        </w:rPr>
        <w:tab/>
      </w:r>
      <w:r w:rsidRPr="00B81869">
        <w:rPr>
          <w:spacing w:val="-2"/>
        </w:rPr>
        <w:tab/>
      </w:r>
      <w:r>
        <w:rPr>
          <w:spacing w:val="-2"/>
        </w:rPr>
        <w:tab/>
      </w:r>
      <w:r>
        <w:rPr>
          <w:spacing w:val="-2"/>
        </w:rPr>
        <w:tab/>
      </w:r>
      <w:r w:rsidRPr="00B81869">
        <w:rPr>
          <w:spacing w:val="-2"/>
        </w:rPr>
        <w:t xml:space="preserve">June 23, </w:t>
      </w:r>
      <w:r w:rsidR="008F3D36">
        <w:rPr>
          <w:spacing w:val="-2"/>
        </w:rPr>
        <w:t>2026</w:t>
      </w:r>
    </w:p>
    <w:p w:rsidR="00B81869" w:rsidRPr="00B81869" w:rsidP="00B81869" w14:paraId="7A2A13DC" w14:textId="06FBB297">
      <w:pPr>
        <w:rPr>
          <w:spacing w:val="-2"/>
        </w:rPr>
      </w:pPr>
      <w:r w:rsidRPr="00B81869">
        <w:rPr>
          <w:spacing w:val="-2"/>
        </w:rPr>
        <w:t>REPLIES:</w:t>
      </w:r>
      <w:r w:rsidRPr="00B81869">
        <w:rPr>
          <w:spacing w:val="-2"/>
        </w:rPr>
        <w:tab/>
      </w:r>
      <w:r w:rsidRPr="00B81869">
        <w:rPr>
          <w:spacing w:val="-2"/>
        </w:rPr>
        <w:tab/>
      </w:r>
      <w:r>
        <w:rPr>
          <w:spacing w:val="-2"/>
        </w:rPr>
        <w:tab/>
      </w:r>
      <w:r>
        <w:rPr>
          <w:spacing w:val="-2"/>
        </w:rPr>
        <w:tab/>
      </w:r>
      <w:r w:rsidRPr="00B81869">
        <w:rPr>
          <w:spacing w:val="-2"/>
        </w:rPr>
        <w:t xml:space="preserve">June </w:t>
      </w:r>
      <w:r w:rsidR="008F3D36">
        <w:rPr>
          <w:spacing w:val="-2"/>
        </w:rPr>
        <w:t>29, 2026</w:t>
      </w:r>
      <w:r w:rsidRPr="00B81869">
        <w:rPr>
          <w:spacing w:val="-2"/>
        </w:rPr>
        <w:t xml:space="preserve"> (due no later than 12:00 p.m. (noon) Eastern Time)</w:t>
      </w:r>
    </w:p>
    <w:p w:rsidR="00B81869" w:rsidRPr="00B81869" w:rsidP="00B81869" w14:paraId="3B48D5C3" w14:textId="77777777">
      <w:pPr>
        <w:rPr>
          <w:spacing w:val="-2"/>
        </w:rPr>
      </w:pPr>
    </w:p>
    <w:p w:rsidR="00B81869" w:rsidRPr="00B81869" w:rsidP="00B81869" w14:paraId="743D5C00" w14:textId="00FF0C59">
      <w:pPr>
        <w:rPr>
          <w:spacing w:val="-2"/>
        </w:rPr>
      </w:pPr>
      <w:r w:rsidRPr="00B81869">
        <w:rPr>
          <w:spacing w:val="-2"/>
        </w:rPr>
        <w:t>7-DAY TARIFF FILINGS:</w:t>
      </w:r>
      <w:r w:rsidRPr="00B81869">
        <w:rPr>
          <w:spacing w:val="-2"/>
        </w:rPr>
        <w:tab/>
      </w:r>
      <w:r w:rsidRPr="00B81869">
        <w:rPr>
          <w:spacing w:val="-2"/>
        </w:rPr>
        <w:tab/>
        <w:t xml:space="preserve">June 24, </w:t>
      </w:r>
      <w:r w:rsidR="00683532">
        <w:rPr>
          <w:spacing w:val="-2"/>
        </w:rPr>
        <w:t>2026</w:t>
      </w:r>
    </w:p>
    <w:p w:rsidR="00B81869" w:rsidRPr="00B81869" w:rsidP="00B81869" w14:paraId="70FF54BF" w14:textId="53895C5E">
      <w:pPr>
        <w:rPr>
          <w:spacing w:val="-2"/>
        </w:rPr>
      </w:pPr>
      <w:r w:rsidRPr="00B81869">
        <w:rPr>
          <w:spacing w:val="-2"/>
        </w:rPr>
        <w:t>EFFECTIVE:</w:t>
      </w:r>
      <w:r w:rsidRPr="00B81869">
        <w:rPr>
          <w:spacing w:val="-2"/>
        </w:rPr>
        <w:tab/>
      </w:r>
      <w:r w:rsidRPr="00B81869">
        <w:rPr>
          <w:spacing w:val="-2"/>
        </w:rPr>
        <w:tab/>
      </w:r>
      <w:r>
        <w:rPr>
          <w:spacing w:val="-2"/>
        </w:rPr>
        <w:tab/>
      </w:r>
      <w:r>
        <w:rPr>
          <w:spacing w:val="-2"/>
        </w:rPr>
        <w:tab/>
      </w:r>
      <w:r w:rsidRPr="00B81869">
        <w:rPr>
          <w:spacing w:val="-2"/>
        </w:rPr>
        <w:t xml:space="preserve">July 1, </w:t>
      </w:r>
      <w:r w:rsidR="00683532">
        <w:rPr>
          <w:spacing w:val="-2"/>
        </w:rPr>
        <w:t>2026</w:t>
      </w:r>
    </w:p>
    <w:p w:rsidR="00B81869" w:rsidRPr="00B81869" w:rsidP="00B81869" w14:paraId="0E632132" w14:textId="57A9582B">
      <w:pPr>
        <w:rPr>
          <w:spacing w:val="-2"/>
        </w:rPr>
      </w:pPr>
      <w:r w:rsidRPr="00B81869">
        <w:rPr>
          <w:spacing w:val="-2"/>
        </w:rPr>
        <w:t>PETITIONS:</w:t>
      </w:r>
      <w:r w:rsidRPr="00B81869">
        <w:rPr>
          <w:spacing w:val="-2"/>
        </w:rPr>
        <w:tab/>
      </w:r>
      <w:r w:rsidRPr="00B81869">
        <w:rPr>
          <w:spacing w:val="-2"/>
        </w:rPr>
        <w:tab/>
      </w:r>
      <w:r>
        <w:rPr>
          <w:spacing w:val="-2"/>
        </w:rPr>
        <w:tab/>
      </w:r>
      <w:r>
        <w:rPr>
          <w:spacing w:val="-2"/>
        </w:rPr>
        <w:tab/>
      </w:r>
      <w:r w:rsidRPr="00B81869">
        <w:rPr>
          <w:spacing w:val="-2"/>
        </w:rPr>
        <w:t xml:space="preserve">June </w:t>
      </w:r>
      <w:r w:rsidR="008F3D36">
        <w:rPr>
          <w:spacing w:val="-2"/>
        </w:rPr>
        <w:t>29, 2026</w:t>
      </w:r>
      <w:r w:rsidRPr="00B81869">
        <w:rPr>
          <w:spacing w:val="-2"/>
        </w:rPr>
        <w:t xml:space="preserve"> (due no later than 12:00 p.m. (noon) Eastern Time)</w:t>
      </w:r>
    </w:p>
    <w:p w:rsidR="00B81869" w:rsidP="00B81869" w14:paraId="0AA246CE" w14:textId="16A83CA5">
      <w:pPr>
        <w:rPr>
          <w:spacing w:val="-2"/>
        </w:rPr>
      </w:pPr>
      <w:r w:rsidRPr="00B81869">
        <w:rPr>
          <w:spacing w:val="-2"/>
        </w:rPr>
        <w:t>REPLIES:</w:t>
      </w:r>
      <w:r w:rsidRPr="00B81869">
        <w:rPr>
          <w:spacing w:val="-2"/>
        </w:rPr>
        <w:tab/>
      </w:r>
      <w:r w:rsidRPr="00B81869">
        <w:rPr>
          <w:spacing w:val="-2"/>
        </w:rPr>
        <w:tab/>
      </w:r>
      <w:r>
        <w:rPr>
          <w:spacing w:val="-2"/>
        </w:rPr>
        <w:tab/>
      </w:r>
      <w:r>
        <w:rPr>
          <w:spacing w:val="-2"/>
        </w:rPr>
        <w:tab/>
      </w:r>
      <w:r w:rsidRPr="00B81869">
        <w:rPr>
          <w:spacing w:val="-2"/>
        </w:rPr>
        <w:t xml:space="preserve">June </w:t>
      </w:r>
      <w:r w:rsidR="008F3D36">
        <w:rPr>
          <w:spacing w:val="-2"/>
        </w:rPr>
        <w:t>30, 2026</w:t>
      </w:r>
      <w:r w:rsidRPr="00B81869">
        <w:rPr>
          <w:spacing w:val="-2"/>
        </w:rPr>
        <w:t xml:space="preserve"> (due no later than 12:00 p.m. (noon) Eastern Time)</w:t>
      </w:r>
    </w:p>
    <w:p w:rsidR="00822CE0" w14:paraId="4BFC5457" w14:textId="77777777">
      <w:pPr>
        <w:rPr>
          <w:spacing w:val="-2"/>
        </w:rPr>
      </w:pPr>
    </w:p>
    <w:p w:rsidR="00412FC5" w:rsidP="00C36B4C" w14:paraId="2A3C7E60" w14:textId="1F5547E6">
      <w:pPr>
        <w:pStyle w:val="Heading1"/>
      </w:pPr>
      <w:r>
        <w:t>introduction</w:t>
      </w:r>
    </w:p>
    <w:p w:rsidR="00B81869" w:rsidRPr="00D356BD" w:rsidP="004E0306" w14:paraId="2BEA7172" w14:textId="5F0D57D4">
      <w:pPr>
        <w:pStyle w:val="ParaNum"/>
        <w:widowControl/>
        <w:tabs>
          <w:tab w:val="clear" w:pos="1080"/>
          <w:tab w:val="num" w:pos="1440"/>
        </w:tabs>
      </w:pPr>
      <w:r>
        <w:t>In this</w:t>
      </w:r>
      <w:r w:rsidRPr="008452C9">
        <w:t xml:space="preserve"> </w:t>
      </w:r>
      <w:r>
        <w:t>O</w:t>
      </w:r>
      <w:r w:rsidRPr="008452C9">
        <w:t>rder</w:t>
      </w:r>
      <w:r>
        <w:t xml:space="preserve">, we </w:t>
      </w:r>
      <w:r w:rsidR="000D2CE1">
        <w:t xml:space="preserve">remind </w:t>
      </w:r>
      <w:r w:rsidR="00FA0D1F">
        <w:t xml:space="preserve">incumbent </w:t>
      </w:r>
      <w:r w:rsidR="00894AEB">
        <w:t xml:space="preserve">local exchange </w:t>
      </w:r>
      <w:r w:rsidRPr="00894AEB" w:rsidR="00894AEB">
        <w:t>carriers</w:t>
      </w:r>
      <w:r w:rsidR="00894AEB">
        <w:t xml:space="preserve"> (LECs or carriers)</w:t>
      </w:r>
      <w:r w:rsidRPr="00894AEB" w:rsidR="00894AEB">
        <w:t xml:space="preserve"> of existing </w:t>
      </w:r>
      <w:r w:rsidRPr="008452C9">
        <w:t xml:space="preserve">procedures </w:t>
      </w:r>
      <w:r w:rsidR="00894AEB">
        <w:t xml:space="preserve">under the </w:t>
      </w:r>
      <w:r w:rsidR="000D2CE1">
        <w:t xml:space="preserve">Commission’s rules </w:t>
      </w:r>
      <w:r w:rsidRPr="008452C9">
        <w:t xml:space="preserve">for filing </w:t>
      </w:r>
      <w:r w:rsidR="00894AEB">
        <w:t>carriers’ 2026</w:t>
      </w:r>
      <w:r w:rsidRPr="008452C9" w:rsidR="00894AEB">
        <w:t xml:space="preserve"> </w:t>
      </w:r>
      <w:r w:rsidRPr="008452C9">
        <w:t xml:space="preserve">annual access charge tariffs and </w:t>
      </w:r>
      <w:r>
        <w:t>t</w:t>
      </w:r>
      <w:r w:rsidRPr="008452C9">
        <w:t xml:space="preserve">ariff </w:t>
      </w:r>
      <w:r>
        <w:t>r</w:t>
      </w:r>
      <w:r w:rsidRPr="008452C9">
        <w:t xml:space="preserve">eview </w:t>
      </w:r>
      <w:r>
        <w:t>p</w:t>
      </w:r>
      <w:r w:rsidRPr="008452C9">
        <w:t>lans (TRPs)</w:t>
      </w:r>
      <w:r>
        <w:t>.</w:t>
      </w:r>
      <w:r>
        <w:rPr>
          <w:rStyle w:val="FootnoteReference"/>
          <w:szCs w:val="24"/>
        </w:rPr>
        <w:footnoteReference w:id="3"/>
      </w:r>
      <w:r>
        <w:t xml:space="preserve">  </w:t>
      </w:r>
      <w:r w:rsidR="00D91450">
        <w:t>Specifically, we</w:t>
      </w:r>
      <w:r w:rsidRPr="00D356BD">
        <w:t xml:space="preserve">: (1) </w:t>
      </w:r>
      <w:r w:rsidR="00FA0D1F">
        <w:t xml:space="preserve">remind carriers that the </w:t>
      </w:r>
      <w:r w:rsidRPr="00D356BD">
        <w:t xml:space="preserve">effective date for </w:t>
      </w:r>
      <w:r w:rsidR="00FA0D1F">
        <w:t xml:space="preserve">the </w:t>
      </w:r>
      <w:r w:rsidR="00103938">
        <w:t>2026</w:t>
      </w:r>
      <w:r w:rsidRPr="00D356BD" w:rsidR="00103938">
        <w:t xml:space="preserve"> </w:t>
      </w:r>
      <w:r w:rsidRPr="00D356BD">
        <w:t xml:space="preserve">annual access charge tariff </w:t>
      </w:r>
      <w:bookmarkStart w:id="1" w:name="_Hlk34743626"/>
      <w:r w:rsidRPr="00D356BD">
        <w:t>filings</w:t>
      </w:r>
      <w:r w:rsidR="00FA0D1F">
        <w:t xml:space="preserve"> is July 1, 2026</w:t>
      </w:r>
      <w:bookmarkEnd w:id="1"/>
      <w:r w:rsidRPr="00D356BD">
        <w:t xml:space="preserve">; (2) </w:t>
      </w:r>
      <w:r w:rsidR="00FA0D1F">
        <w:t xml:space="preserve">remind interested parties of </w:t>
      </w:r>
      <w:r w:rsidRPr="00D356BD">
        <w:t>the d</w:t>
      </w:r>
      <w:r w:rsidR="00FA0D1F">
        <w:t xml:space="preserve">eadlines </w:t>
      </w:r>
      <w:r w:rsidRPr="00D356BD">
        <w:t xml:space="preserve">for filing petitions to suspend or reject </w:t>
      </w:r>
      <w:r w:rsidR="00FA0D1F">
        <w:t xml:space="preserve">a </w:t>
      </w:r>
      <w:r>
        <w:t>carrier’s</w:t>
      </w:r>
      <w:r w:rsidRPr="00D356BD">
        <w:t xml:space="preserve"> </w:t>
      </w:r>
      <w:r w:rsidR="00FA0D1F">
        <w:t xml:space="preserve">2026 annual access charge </w:t>
      </w:r>
      <w:r w:rsidRPr="00D356BD">
        <w:t>tariff filing and replies to such petitions;</w:t>
      </w:r>
      <w:r>
        <w:rPr>
          <w:rStyle w:val="FootnoteReference"/>
        </w:rPr>
        <w:footnoteReference w:id="4"/>
      </w:r>
      <w:r w:rsidRPr="00D356BD">
        <w:t xml:space="preserve"> and (3)</w:t>
      </w:r>
      <w:r w:rsidR="00FA0D1F">
        <w:t xml:space="preserve"> remind interested parties of existing procedures for </w:t>
      </w:r>
      <w:r w:rsidRPr="00D356BD">
        <w:t xml:space="preserve">service of the petitions and </w:t>
      </w:r>
      <w:r w:rsidRPr="004E0306">
        <w:rPr>
          <w:shd w:val="clear" w:color="auto" w:fill="FFFFFF"/>
        </w:rPr>
        <w:t>replies.</w:t>
      </w:r>
      <w:r w:rsidRPr="00D356BD">
        <w:t xml:space="preserve">  </w:t>
      </w:r>
    </w:p>
    <w:p w:rsidR="00B81869" w:rsidRPr="009374AE" w:rsidP="00B81869" w14:paraId="5C0EEFAA" w14:textId="69EA1E42">
      <w:pPr>
        <w:pStyle w:val="ParaNum"/>
        <w:widowControl/>
        <w:tabs>
          <w:tab w:val="clear" w:pos="1080"/>
          <w:tab w:val="num" w:pos="1440"/>
        </w:tabs>
      </w:pPr>
      <w:r w:rsidRPr="008452C9">
        <w:t xml:space="preserve">In the </w:t>
      </w:r>
      <w:r w:rsidRPr="002E5139">
        <w:rPr>
          <w:i/>
        </w:rPr>
        <w:t>USF/ICC</w:t>
      </w:r>
      <w:r w:rsidRPr="008452C9">
        <w:rPr>
          <w:i/>
        </w:rPr>
        <w:t xml:space="preserve"> Transformation </w:t>
      </w:r>
      <w:r w:rsidRPr="00882EAC">
        <w:rPr>
          <w:i/>
        </w:rPr>
        <w:t>Order</w:t>
      </w:r>
      <w:r>
        <w:t>,</w:t>
      </w:r>
      <w:r w:rsidRPr="008452C9">
        <w:t xml:space="preserve"> the Commission adopted rules requiring </w:t>
      </w:r>
      <w:r>
        <w:t xml:space="preserve">incumbent </w:t>
      </w:r>
      <w:r w:rsidRPr="008452C9">
        <w:t xml:space="preserve">LECs to </w:t>
      </w:r>
      <w:r>
        <w:t>reduce</w:t>
      </w:r>
      <w:r w:rsidRPr="008452C9">
        <w:t xml:space="preserve">, over a period of years, </w:t>
      </w:r>
      <w:r>
        <w:t xml:space="preserve">many of </w:t>
      </w:r>
      <w:r w:rsidRPr="008452C9">
        <w:t xml:space="preserve">their switched access </w:t>
      </w:r>
      <w:r>
        <w:t>rates.</w:t>
      </w:r>
      <w:r>
        <w:rPr>
          <w:rStyle w:val="FootnoteReference"/>
        </w:rPr>
        <w:footnoteReference w:id="5"/>
      </w:r>
      <w:r>
        <w:t xml:space="preserve">  </w:t>
      </w:r>
      <w:r w:rsidRPr="008452C9">
        <w:t>Th</w:t>
      </w:r>
      <w:r>
        <w:t>at</w:t>
      </w:r>
      <w:r w:rsidRPr="008452C9">
        <w:t xml:space="preserve"> </w:t>
      </w:r>
      <w:r>
        <w:t>rate transition ended in 2020.</w:t>
      </w:r>
      <w:r>
        <w:rPr>
          <w:rStyle w:val="FootnoteReference"/>
        </w:rPr>
        <w:footnoteReference w:id="6"/>
      </w:r>
      <w:r>
        <w:t xml:space="preserve">  </w:t>
      </w:r>
      <w:r w:rsidR="00D91450">
        <w:t xml:space="preserve">In the </w:t>
      </w:r>
      <w:r w:rsidR="00D91450">
        <w:rPr>
          <w:i/>
          <w:iCs/>
        </w:rPr>
        <w:t>USF/ICC Transformation Order</w:t>
      </w:r>
      <w:r w:rsidR="00D91450">
        <w:t>,</w:t>
      </w:r>
      <w:r w:rsidR="00D91450">
        <w:rPr>
          <w:i/>
          <w:iCs/>
        </w:rPr>
        <w:t xml:space="preserve"> </w:t>
      </w:r>
      <w:r w:rsidR="00D91450">
        <w:t>t</w:t>
      </w:r>
      <w:r>
        <w:t xml:space="preserve">he Commission also established </w:t>
      </w:r>
      <w:r>
        <w:t>Eligible Recovery which enables incumbent LECs to recover a decreasing portion of their lost revenue attributable to the required switched access rate reductions.</w:t>
      </w:r>
      <w:r>
        <w:rPr>
          <w:sz w:val="20"/>
          <w:vertAlign w:val="superscript"/>
        </w:rPr>
        <w:footnoteReference w:id="7"/>
      </w:r>
      <w:r>
        <w:t xml:space="preserve">  We rely on TRP worksheets</w:t>
      </w:r>
      <w:r>
        <w:rPr>
          <w:rStyle w:val="FootnoteReference"/>
        </w:rPr>
        <w:footnoteReference w:id="8"/>
      </w:r>
      <w:r>
        <w:t xml:space="preserve"> submitted by filing carriers to confirm that the annual </w:t>
      </w:r>
      <w:r w:rsidRPr="008452C9">
        <w:t>adjustments</w:t>
      </w:r>
      <w:r>
        <w:t xml:space="preserve"> to Eligible Recovery have been implemented in accordance with the Commission’s rules</w:t>
      </w:r>
      <w:r w:rsidRPr="008452C9">
        <w:t>.</w:t>
      </w:r>
      <w:r>
        <w:rPr>
          <w:rStyle w:val="FootnoteReference"/>
        </w:rPr>
        <w:footnoteReference w:id="9"/>
      </w:r>
      <w:r w:rsidRPr="008452C9">
        <w:t xml:space="preserve">  All correspondence and comments in connection with these filings should refer to the caption of this proceeding, </w:t>
      </w:r>
      <w:r>
        <w:rPr>
          <w:i/>
        </w:rPr>
        <w:t xml:space="preserve">July </w:t>
      </w:r>
      <w:r w:rsidR="0068222C">
        <w:rPr>
          <w:i/>
        </w:rPr>
        <w:t>1, 2026</w:t>
      </w:r>
      <w:r w:rsidRPr="0057149E">
        <w:rPr>
          <w:i/>
        </w:rPr>
        <w:t xml:space="preserve"> Annual Access Charge Tariff Filings</w:t>
      </w:r>
      <w:r>
        <w:t xml:space="preserve">, </w:t>
      </w:r>
      <w:r w:rsidRPr="00B068FC">
        <w:t xml:space="preserve">WC Docket No. </w:t>
      </w:r>
      <w:r w:rsidRPr="004E0306" w:rsidR="0068222C">
        <w:t>26-</w:t>
      </w:r>
      <w:r w:rsidRPr="00C759A2" w:rsidR="004E0306">
        <w:t>50</w:t>
      </w:r>
      <w:r w:rsidRPr="004E0306">
        <w:t>.</w:t>
      </w:r>
    </w:p>
    <w:p w:rsidR="00B81869" w:rsidP="00B81869" w14:paraId="03BEA4E9" w14:textId="7460343D">
      <w:pPr>
        <w:pStyle w:val="Heading1"/>
      </w:pPr>
      <w:r>
        <w:t>discussion</w:t>
      </w:r>
    </w:p>
    <w:p w:rsidR="00B81869" w:rsidP="00B81869" w14:paraId="41464E10" w14:textId="26BC1021">
      <w:pPr>
        <w:pStyle w:val="Heading2"/>
      </w:pPr>
      <w:r>
        <w:t>Tariff Effective Dates and Tariff Filing Dates</w:t>
      </w:r>
    </w:p>
    <w:p w:rsidR="00B81869" w:rsidP="00B81869" w14:paraId="4BFB697A" w14:textId="2144AF67">
      <w:pPr>
        <w:pStyle w:val="ParaNum"/>
        <w:widowControl/>
        <w:tabs>
          <w:tab w:val="clear" w:pos="1080"/>
          <w:tab w:val="num" w:pos="1440"/>
        </w:tabs>
      </w:pPr>
      <w:r w:rsidRPr="008A7535">
        <w:t xml:space="preserve">The Commission’s rules </w:t>
      </w:r>
      <w:r>
        <w:t xml:space="preserve">generally </w:t>
      </w:r>
      <w:r w:rsidRPr="008A7535">
        <w:t xml:space="preserve">require </w:t>
      </w:r>
      <w:r>
        <w:t xml:space="preserve">carriers to file </w:t>
      </w:r>
      <w:r w:rsidRPr="008A7535">
        <w:t>annual access charge tariff</w:t>
      </w:r>
      <w:r>
        <w:t>s</w:t>
      </w:r>
      <w:r w:rsidRPr="008A7535">
        <w:t xml:space="preserve"> with a scheduled effective date of July 1</w:t>
      </w:r>
      <w:r>
        <w:t>.</w:t>
      </w:r>
      <w:r>
        <w:rPr>
          <w:vertAlign w:val="superscript"/>
        </w:rPr>
        <w:footnoteReference w:id="10"/>
      </w:r>
      <w:r>
        <w:t xml:space="preserve">  The Commission’s rules, however, do not preclude the filing of revisions to annual tariffs effective on dates other than July 1.</w:t>
      </w:r>
      <w:r>
        <w:rPr>
          <w:rStyle w:val="FootnoteReference"/>
        </w:rPr>
        <w:footnoteReference w:id="11"/>
      </w:r>
      <w:r w:rsidRPr="008A7535">
        <w:t xml:space="preserve"> </w:t>
      </w:r>
      <w:r>
        <w:t xml:space="preserve"> Carriers</w:t>
      </w:r>
      <w:r w:rsidRPr="006F77DF">
        <w:t xml:space="preserve"> may </w:t>
      </w:r>
      <w:r>
        <w:t>submit their annual tariff filings on a</w:t>
      </w:r>
      <w:r w:rsidRPr="006F77DF">
        <w:t xml:space="preserve"> streamlined basis</w:t>
      </w:r>
      <w:r>
        <w:t xml:space="preserve"> pursuant to section 204(a)(3) of the Communications Act of 1934, as amended</w:t>
      </w:r>
      <w:r w:rsidR="00D91450">
        <w:t xml:space="preserve"> (the Act)</w:t>
      </w:r>
      <w:r>
        <w:t>, either 15 or 7 days prior to the scheduled effective date of their tariff revisions, depending on the type of changes they propose to make.</w:t>
      </w:r>
      <w:r>
        <w:rPr>
          <w:rStyle w:val="FootnoteReference"/>
        </w:rPr>
        <w:footnoteReference w:id="12"/>
      </w:r>
      <w:r>
        <w:t xml:space="preserve">  Unless the Commission takes action during the relevant statutory notice periods, rates contained in annual tariff filings filed 15 days (for rate increases) or 7 days </w:t>
      </w:r>
      <w:r w:rsidRPr="00CB404E">
        <w:t>(</w:t>
      </w:r>
      <w:r>
        <w:t>for rate</w:t>
      </w:r>
      <w:r w:rsidRPr="00CB404E">
        <w:t xml:space="preserve"> reduction</w:t>
      </w:r>
      <w:r>
        <w:t>s</w:t>
      </w:r>
      <w:r w:rsidRPr="00CB404E">
        <w:t>)</w:t>
      </w:r>
      <w:r>
        <w:t xml:space="preserve"> prior to the effective date are “deemed lawful.”</w:t>
      </w:r>
      <w:r>
        <w:rPr>
          <w:rStyle w:val="FootnoteReference"/>
        </w:rPr>
        <w:footnoteReference w:id="13"/>
      </w:r>
      <w:r w:rsidRPr="00CB404E">
        <w:t xml:space="preserve"> </w:t>
      </w:r>
      <w:r>
        <w:t xml:space="preserve"> For the </w:t>
      </w:r>
      <w:r w:rsidR="0068222C">
        <w:t xml:space="preserve">2026 </w:t>
      </w:r>
      <w:r>
        <w:t>tariff filings, carriers</w:t>
      </w:r>
      <w:r w:rsidRPr="00A34929">
        <w:t xml:space="preserve"> filing tariffs on 15</w:t>
      </w:r>
      <w:r>
        <w:t>-</w:t>
      </w:r>
      <w:r w:rsidRPr="00A34929">
        <w:t xml:space="preserve">days’ notice must </w:t>
      </w:r>
      <w:r>
        <w:t>submit</w:t>
      </w:r>
      <w:r w:rsidRPr="00A34929">
        <w:t xml:space="preserve"> their annual tariff filings on </w:t>
      </w:r>
      <w:r>
        <w:t xml:space="preserve">June 16, </w:t>
      </w:r>
      <w:r w:rsidR="0068222C">
        <w:t xml:space="preserve">2026 </w:t>
      </w:r>
      <w:r>
        <w:t xml:space="preserve">to be effective July 1, </w:t>
      </w:r>
      <w:r w:rsidR="0068222C">
        <w:t>2026</w:t>
      </w:r>
      <w:r w:rsidRPr="00A34929">
        <w:t xml:space="preserve">.  </w:t>
      </w:r>
      <w:r>
        <w:t xml:space="preserve">Carriers filing tariffs on 7-days’ notice must submit their annual tariff filings on June 24, </w:t>
      </w:r>
      <w:r w:rsidR="0068222C">
        <w:t xml:space="preserve">2026 </w:t>
      </w:r>
      <w:r>
        <w:t xml:space="preserve">to be effective July 1, </w:t>
      </w:r>
      <w:r w:rsidR="0068222C">
        <w:t>2026</w:t>
      </w:r>
      <w:r>
        <w:t>.</w:t>
      </w:r>
    </w:p>
    <w:p w:rsidR="00B81869" w:rsidRPr="00D266F9" w:rsidP="00B81869" w14:paraId="070A4F08" w14:textId="282FA041">
      <w:pPr>
        <w:pStyle w:val="ParaNum"/>
        <w:widowControl/>
        <w:tabs>
          <w:tab w:val="clear" w:pos="1080"/>
          <w:tab w:val="num" w:pos="1440"/>
        </w:tabs>
        <w:rPr>
          <w:szCs w:val="22"/>
        </w:rPr>
      </w:pPr>
      <w:r>
        <w:t>We remind c</w:t>
      </w:r>
      <w:r w:rsidR="0080457C">
        <w:t>arriers</w:t>
      </w:r>
      <w:r w:rsidRPr="00243513" w:rsidR="0080457C">
        <w:t xml:space="preserve"> that file tariffs under the price cap ratemaking methodology </w:t>
      </w:r>
      <w:r>
        <w:t xml:space="preserve">that they </w:t>
      </w:r>
      <w:r w:rsidRPr="00243513" w:rsidR="0080457C">
        <w:t>are required to file revised annual access charge tariffs every year.</w:t>
      </w:r>
      <w:r>
        <w:rPr>
          <w:rStyle w:val="FootnoteReference"/>
          <w:szCs w:val="24"/>
        </w:rPr>
        <w:footnoteReference w:id="14"/>
      </w:r>
      <w:r w:rsidRPr="00243513" w:rsidR="0080457C">
        <w:t xml:space="preserve">  </w:t>
      </w:r>
      <w:r>
        <w:t>We remind c</w:t>
      </w:r>
      <w:r w:rsidR="0080457C">
        <w:t>arriers</w:t>
      </w:r>
      <w:r w:rsidRPr="00243513" w:rsidR="0080457C">
        <w:t xml:space="preserve"> that file tariffs under </w:t>
      </w:r>
      <w:r w:rsidR="0080457C">
        <w:t xml:space="preserve">a </w:t>
      </w:r>
      <w:r w:rsidRPr="00243513" w:rsidR="0080457C">
        <w:t xml:space="preserve">rate-of-return ratemaking methodology </w:t>
      </w:r>
      <w:r>
        <w:t xml:space="preserve">that they </w:t>
      </w:r>
      <w:r w:rsidRPr="00243513" w:rsidR="0080457C">
        <w:t xml:space="preserve">are required to file every other year.  </w:t>
      </w:r>
      <w:r w:rsidR="00E41342">
        <w:t>Therefore, c</w:t>
      </w:r>
      <w:r w:rsidR="0080457C">
        <w:t>arriers</w:t>
      </w:r>
      <w:r w:rsidRPr="00243513" w:rsidR="0080457C">
        <w:t xml:space="preserve"> filing pursuant to the requirements of section </w:t>
      </w:r>
      <w:r w:rsidR="00A46A82">
        <w:t>61.38</w:t>
      </w:r>
      <w:r w:rsidRPr="00243513" w:rsidR="0080457C">
        <w:t xml:space="preserve"> of the Commission’s rules are required to file annual access charge tariffs this year, an </w:t>
      </w:r>
      <w:r w:rsidR="00A46A82">
        <w:t>even</w:t>
      </w:r>
      <w:r w:rsidRPr="00243513" w:rsidR="0080457C">
        <w:t>-numbered year.</w:t>
      </w:r>
      <w:r>
        <w:rPr>
          <w:rStyle w:val="FootnoteReference"/>
          <w:szCs w:val="24"/>
        </w:rPr>
        <w:footnoteReference w:id="15"/>
      </w:r>
      <w:r w:rsidRPr="00243513" w:rsidR="0080457C">
        <w:t xml:space="preserve">  </w:t>
      </w:r>
      <w:r w:rsidR="0080457C">
        <w:t xml:space="preserve">Ordinarily, rate-of-return carriers subject </w:t>
      </w:r>
      <w:r w:rsidR="0080457C">
        <w:t xml:space="preserve">to section </w:t>
      </w:r>
      <w:r w:rsidR="00A46A82">
        <w:t>61.39</w:t>
      </w:r>
      <w:r w:rsidR="0080457C">
        <w:t xml:space="preserve"> of the Commission’s rules</w:t>
      </w:r>
      <w:r>
        <w:rPr>
          <w:rStyle w:val="FootnoteReference"/>
        </w:rPr>
        <w:footnoteReference w:id="16"/>
      </w:r>
      <w:r w:rsidR="0080457C">
        <w:t xml:space="preserve"> would </w:t>
      </w:r>
      <w:r w:rsidRPr="00C521C6" w:rsidR="0080457C">
        <w:rPr>
          <w:szCs w:val="22"/>
        </w:rPr>
        <w:t>not</w:t>
      </w:r>
      <w:r w:rsidR="0080457C">
        <w:rPr>
          <w:szCs w:val="22"/>
        </w:rPr>
        <w:t xml:space="preserve"> </w:t>
      </w:r>
      <w:r w:rsidRPr="00C521C6" w:rsidR="0080457C">
        <w:rPr>
          <w:szCs w:val="22"/>
        </w:rPr>
        <w:t xml:space="preserve">be required </w:t>
      </w:r>
      <w:r w:rsidR="0080457C">
        <w:rPr>
          <w:szCs w:val="22"/>
        </w:rPr>
        <w:t xml:space="preserve">to </w:t>
      </w:r>
      <w:r w:rsidRPr="00C521C6" w:rsidR="0080457C">
        <w:rPr>
          <w:szCs w:val="22"/>
        </w:rPr>
        <w:t xml:space="preserve">file annual access charge tariffs this year, because they file revisions in </w:t>
      </w:r>
      <w:r w:rsidR="00A46A82">
        <w:rPr>
          <w:szCs w:val="22"/>
        </w:rPr>
        <w:t>odd</w:t>
      </w:r>
      <w:r w:rsidRPr="00C521C6" w:rsidR="0080457C">
        <w:rPr>
          <w:szCs w:val="22"/>
        </w:rPr>
        <w:t>-numbered years.</w:t>
      </w:r>
      <w:r>
        <w:rPr>
          <w:rStyle w:val="FootnoteReference"/>
          <w:sz w:val="22"/>
          <w:szCs w:val="22"/>
        </w:rPr>
        <w:footnoteReference w:id="17"/>
      </w:r>
      <w:r w:rsidRPr="00C521C6" w:rsidR="0080457C">
        <w:rPr>
          <w:szCs w:val="22"/>
        </w:rPr>
        <w:t xml:space="preserve">  </w:t>
      </w:r>
      <w:r w:rsidRPr="00D266F9" w:rsidR="0080457C">
        <w:rPr>
          <w:szCs w:val="22"/>
        </w:rPr>
        <w:t xml:space="preserve">Pursuant to the </w:t>
      </w:r>
      <w:r w:rsidRPr="00D266F9" w:rsidR="0080457C">
        <w:rPr>
          <w:i/>
          <w:iCs/>
          <w:szCs w:val="22"/>
        </w:rPr>
        <w:t>USF/ICC Transformation Order</w:t>
      </w:r>
      <w:r w:rsidRPr="00D266F9" w:rsidR="0080457C">
        <w:rPr>
          <w:szCs w:val="22"/>
        </w:rPr>
        <w:t xml:space="preserve">, however, </w:t>
      </w:r>
      <w:r>
        <w:rPr>
          <w:szCs w:val="22"/>
        </w:rPr>
        <w:t xml:space="preserve">we remind </w:t>
      </w:r>
      <w:r w:rsidRPr="00D266F9" w:rsidR="0080457C">
        <w:rPr>
          <w:szCs w:val="22"/>
        </w:rPr>
        <w:t xml:space="preserve">rate-of-return </w:t>
      </w:r>
      <w:r w:rsidR="0080457C">
        <w:rPr>
          <w:szCs w:val="22"/>
        </w:rPr>
        <w:t>carriers</w:t>
      </w:r>
      <w:r w:rsidRPr="00D266F9" w:rsidR="0080457C">
        <w:rPr>
          <w:szCs w:val="22"/>
        </w:rPr>
        <w:t xml:space="preserve"> subject to section </w:t>
      </w:r>
      <w:r w:rsidR="0080457C">
        <w:rPr>
          <w:szCs w:val="22"/>
        </w:rPr>
        <w:t>61.</w:t>
      </w:r>
      <w:r w:rsidR="00A46A82">
        <w:rPr>
          <w:szCs w:val="22"/>
        </w:rPr>
        <w:t>39</w:t>
      </w:r>
      <w:r w:rsidRPr="00D266F9" w:rsidR="00A46A82">
        <w:rPr>
          <w:szCs w:val="22"/>
        </w:rPr>
        <w:t xml:space="preserve"> </w:t>
      </w:r>
      <w:r w:rsidRPr="00D266F9" w:rsidR="0080457C">
        <w:rPr>
          <w:szCs w:val="22"/>
        </w:rPr>
        <w:t xml:space="preserve">of the Commission’s rules </w:t>
      </w:r>
      <w:r>
        <w:rPr>
          <w:szCs w:val="22"/>
        </w:rPr>
        <w:t xml:space="preserve">that they </w:t>
      </w:r>
      <w:r w:rsidRPr="00D266F9" w:rsidR="0080457C">
        <w:rPr>
          <w:szCs w:val="22"/>
        </w:rPr>
        <w:t xml:space="preserve">must submit tariff filings </w:t>
      </w:r>
      <w:r w:rsidR="0080457C">
        <w:rPr>
          <w:szCs w:val="22"/>
        </w:rPr>
        <w:t>each</w:t>
      </w:r>
      <w:r w:rsidRPr="00D266F9" w:rsidR="0080457C">
        <w:rPr>
          <w:szCs w:val="22"/>
        </w:rPr>
        <w:t xml:space="preserve"> year</w:t>
      </w:r>
      <w:r w:rsidR="00BD2298">
        <w:rPr>
          <w:szCs w:val="22"/>
        </w:rPr>
        <w:t>,</w:t>
      </w:r>
      <w:r w:rsidRPr="00D266F9" w:rsidR="0080457C">
        <w:rPr>
          <w:szCs w:val="22"/>
        </w:rPr>
        <w:t xml:space="preserve"> </w:t>
      </w:r>
      <w:r w:rsidR="0080457C">
        <w:rPr>
          <w:szCs w:val="22"/>
        </w:rPr>
        <w:t>including this year</w:t>
      </w:r>
      <w:r w:rsidR="00BD2298">
        <w:rPr>
          <w:szCs w:val="22"/>
        </w:rPr>
        <w:t>,</w:t>
      </w:r>
      <w:r w:rsidR="0080457C">
        <w:rPr>
          <w:szCs w:val="22"/>
        </w:rPr>
        <w:t xml:space="preserve"> </w:t>
      </w:r>
      <w:r w:rsidRPr="00D266F9" w:rsidR="0080457C">
        <w:rPr>
          <w:szCs w:val="22"/>
        </w:rPr>
        <w:t xml:space="preserve">to comply with the requirements of section 51.917(d)(1)(iv), </w:t>
      </w:r>
      <w:r w:rsidR="0080457C">
        <w:rPr>
          <w:szCs w:val="22"/>
        </w:rPr>
        <w:t>(e), and (f)</w:t>
      </w:r>
      <w:r w:rsidRPr="00D266F9" w:rsidR="0080457C">
        <w:rPr>
          <w:szCs w:val="22"/>
        </w:rPr>
        <w:t xml:space="preserve"> of the Commission’s rules.</w:t>
      </w:r>
      <w:r>
        <w:rPr>
          <w:rStyle w:val="FootnoteReference"/>
          <w:szCs w:val="22"/>
        </w:rPr>
        <w:footnoteReference w:id="18"/>
      </w:r>
      <w:r w:rsidRPr="00D266F9" w:rsidR="0080457C">
        <w:rPr>
          <w:szCs w:val="22"/>
        </w:rPr>
        <w:t xml:space="preserve">  </w:t>
      </w:r>
    </w:p>
    <w:p w:rsidR="00B81869" w:rsidP="00B81869" w14:paraId="6CBE314A" w14:textId="4A6FD871">
      <w:pPr>
        <w:pStyle w:val="Heading2"/>
      </w:pPr>
      <w:r>
        <w:t>Tariff and Tariff Review Plan Filing Instructions</w:t>
      </w:r>
    </w:p>
    <w:p w:rsidR="00B369B2" w:rsidP="00B369B2" w14:paraId="22142464" w14:textId="5787A2C4">
      <w:pPr>
        <w:pStyle w:val="ParaNum"/>
        <w:widowControl/>
        <w:tabs>
          <w:tab w:val="clear" w:pos="1080"/>
          <w:tab w:val="num" w:pos="1440"/>
        </w:tabs>
      </w:pPr>
      <w:r>
        <w:t>We remind c</w:t>
      </w:r>
      <w:r w:rsidR="0080457C">
        <w:t>arriers</w:t>
      </w:r>
      <w:r>
        <w:t xml:space="preserve"> that they</w:t>
      </w:r>
      <w:r w:rsidR="0080457C">
        <w:t xml:space="preserve"> must file their tariff materials through the Commission’s Electronic Tariff Filing System (ETFS)</w:t>
      </w:r>
      <w:r>
        <w:rPr>
          <w:rStyle w:val="FootnoteReference"/>
        </w:rPr>
        <w:footnoteReference w:id="19"/>
      </w:r>
      <w:r w:rsidR="0080457C">
        <w:t xml:space="preserve"> and submit the associated complex tariff filing fee payment through the Commission’s Registration System (CORES).</w:t>
      </w:r>
      <w:r>
        <w:rPr>
          <w:rStyle w:val="FootnoteReference"/>
        </w:rPr>
        <w:footnoteReference w:id="20"/>
      </w:r>
      <w:r w:rsidR="0080457C">
        <w:t xml:space="preserve">  Carriers should make every effort to file as early in the day as possible to avoid any complications in meeting the applicable filing deadlines.  </w:t>
      </w:r>
      <w:r>
        <w:t>We remind c</w:t>
      </w:r>
      <w:r w:rsidR="0080457C">
        <w:t>arriers</w:t>
      </w:r>
      <w:r>
        <w:t xml:space="preserve"> submitting </w:t>
      </w:r>
      <w:r w:rsidR="0080457C">
        <w:t xml:space="preserve">15-days’ notice tariff filings </w:t>
      </w:r>
      <w:r>
        <w:t xml:space="preserve">that these filings </w:t>
      </w:r>
      <w:r w:rsidR="0080457C">
        <w:t xml:space="preserve">must be received by ETFS after 7:00 p.m. Eastern Time on June </w:t>
      </w:r>
      <w:r w:rsidR="00BB5B12">
        <w:t>15, 2026</w:t>
      </w:r>
      <w:r w:rsidR="00BF143B">
        <w:t xml:space="preserve"> </w:t>
      </w:r>
      <w:r w:rsidR="0080457C">
        <w:t xml:space="preserve">and before 7:00 p.m. Eastern Time on June 16, </w:t>
      </w:r>
      <w:r w:rsidR="00BB5B12">
        <w:t xml:space="preserve">2026 </w:t>
      </w:r>
      <w:r w:rsidR="0080457C">
        <w:t xml:space="preserve">for the </w:t>
      </w:r>
      <w:r w:rsidRPr="00B369B2" w:rsidR="0080457C">
        <w:rPr>
          <w:szCs w:val="22"/>
        </w:rPr>
        <w:t>filing</w:t>
      </w:r>
      <w:r w:rsidR="0080457C">
        <w:t xml:space="preserve"> to be considered officially received on June 16, </w:t>
      </w:r>
      <w:r w:rsidR="00BB5B12">
        <w:t>2026</w:t>
      </w:r>
      <w:r w:rsidR="0080457C">
        <w:t>.</w:t>
      </w:r>
      <w:r>
        <w:rPr>
          <w:rStyle w:val="FootnoteReference"/>
        </w:rPr>
        <w:footnoteReference w:id="21"/>
      </w:r>
      <w:r w:rsidR="0080457C">
        <w:t xml:space="preserve">  </w:t>
      </w:r>
      <w:r>
        <w:t>We remind c</w:t>
      </w:r>
      <w:r w:rsidR="0080457C">
        <w:t>arriers</w:t>
      </w:r>
      <w:r>
        <w:t xml:space="preserve"> submitting</w:t>
      </w:r>
      <w:r w:rsidR="0080457C">
        <w:t xml:space="preserve"> 7-days’ notice tariff filings </w:t>
      </w:r>
      <w:r>
        <w:t xml:space="preserve">that these filings </w:t>
      </w:r>
      <w:r w:rsidR="0080457C">
        <w:t xml:space="preserve">must be received after 7:00 p.m. Eastern Time on June 23, </w:t>
      </w:r>
      <w:r w:rsidR="00BB5B12">
        <w:t xml:space="preserve">2026 </w:t>
      </w:r>
      <w:r w:rsidR="0080457C">
        <w:t xml:space="preserve">and before 7:00 p.m. Eastern Time on June 24, </w:t>
      </w:r>
      <w:r w:rsidR="00BB5B12">
        <w:t xml:space="preserve">2026 </w:t>
      </w:r>
      <w:r w:rsidR="0080457C">
        <w:t xml:space="preserve">for the filing to be considered officially received on June 24, </w:t>
      </w:r>
      <w:r w:rsidR="00BB5B12">
        <w:t>2026</w:t>
      </w:r>
      <w:r w:rsidR="0080457C">
        <w:t>.</w:t>
      </w:r>
      <w:r>
        <w:rPr>
          <w:rStyle w:val="FootnoteReference"/>
        </w:rPr>
        <w:footnoteReference w:id="22"/>
      </w:r>
    </w:p>
    <w:p w:rsidR="00B369B2" w:rsidP="00B369B2" w14:paraId="79C4DDCD" w14:textId="3F1C57D7">
      <w:pPr>
        <w:pStyle w:val="ParaNum"/>
        <w:widowControl/>
        <w:tabs>
          <w:tab w:val="clear" w:pos="1080"/>
          <w:tab w:val="num" w:pos="1440"/>
        </w:tabs>
      </w:pPr>
      <w:r>
        <w:t xml:space="preserve">The public and interested parties may obtain copies of tariffing materials through ETFS.  For more information, please </w:t>
      </w:r>
      <w:r w:rsidRPr="00B369B2">
        <w:rPr>
          <w:szCs w:val="22"/>
        </w:rPr>
        <w:t>contact</w:t>
      </w:r>
      <w:r>
        <w:t xml:space="preserve"> either Christopher S. Koves, Pricing Policy Division, Wireline Competition Bureau, </w:t>
      </w:r>
      <w:hyperlink r:id="rId6" w:history="1">
        <w:r w:rsidRPr="003C6C25">
          <w:rPr>
            <w:rStyle w:val="Hyperlink"/>
          </w:rPr>
          <w:t>Christopher.Koves@fcc.gov</w:t>
        </w:r>
      </w:hyperlink>
      <w:r>
        <w:t xml:space="preserve">, or Richard Kwiatkowski, Economic Analysis Division, Office of Economics and Analytics, </w:t>
      </w:r>
      <w:hyperlink r:id="rId7" w:history="1">
        <w:r w:rsidRPr="003C6C25">
          <w:rPr>
            <w:rStyle w:val="Hyperlink"/>
          </w:rPr>
          <w:t>Richard.Kwiatkowski@fcc.gov</w:t>
        </w:r>
      </w:hyperlink>
      <w:r>
        <w:t>.</w:t>
      </w:r>
    </w:p>
    <w:p w:rsidR="00B369B2" w:rsidP="00B369B2" w14:paraId="4786181C" w14:textId="7D6B3DE3">
      <w:pPr>
        <w:pStyle w:val="Heading2"/>
      </w:pPr>
      <w:r>
        <w:t>Pleading Filing Dates and Procedures</w:t>
      </w:r>
    </w:p>
    <w:p w:rsidR="00B369B2" w:rsidP="00B369B2" w14:paraId="1F311DBC" w14:textId="49D0A4D1">
      <w:pPr>
        <w:pStyle w:val="ParaNum"/>
        <w:widowControl/>
        <w:tabs>
          <w:tab w:val="clear" w:pos="1080"/>
          <w:tab w:val="num" w:pos="1440"/>
        </w:tabs>
      </w:pPr>
      <w:r>
        <w:t>We remind interested parties that p</w:t>
      </w:r>
      <w:r w:rsidRPr="00B369B2" w:rsidR="0080457C">
        <w:t xml:space="preserve">etitions to suspend or reject 15 days’ notice tariff filings will be due no later than 7:00 p.m. Eastern Time on June 23, </w:t>
      </w:r>
      <w:r w:rsidR="006B6BBB">
        <w:t>2026</w:t>
      </w:r>
      <w:r w:rsidRPr="00B369B2" w:rsidR="0080457C">
        <w:t xml:space="preserve">, and replies will be due no later than 12:00 p.m. (noon) Eastern Time on June </w:t>
      </w:r>
      <w:r w:rsidR="006B6BBB">
        <w:t>29, 2026</w:t>
      </w:r>
      <w:r w:rsidRPr="00B369B2" w:rsidR="0080457C">
        <w:t>.</w:t>
      </w:r>
      <w:r>
        <w:rPr>
          <w:rStyle w:val="FootnoteReference"/>
        </w:rPr>
        <w:footnoteReference w:id="23"/>
      </w:r>
      <w:r w:rsidRPr="00B369B2" w:rsidR="0080457C">
        <w:t xml:space="preserve">  </w:t>
      </w:r>
      <w:r>
        <w:t>We remind interested parties that p</w:t>
      </w:r>
      <w:r w:rsidRPr="00B369B2" w:rsidR="0080457C">
        <w:t xml:space="preserve">etitions to suspend or reject 7-days’ notice tariff filings will be due no later than 12:00 p.m. (noon) Eastern Time on June </w:t>
      </w:r>
      <w:r w:rsidR="006B6BBB">
        <w:t>29, 2026</w:t>
      </w:r>
      <w:r w:rsidRPr="00B369B2" w:rsidR="0080457C">
        <w:t xml:space="preserve">, and replies will be due no later than 12:00 p.m. (noon) Eastern Time on June </w:t>
      </w:r>
      <w:r w:rsidR="006B6BBB">
        <w:t>30, 2026</w:t>
      </w:r>
      <w:r w:rsidRPr="00B369B2" w:rsidR="0080457C">
        <w:t>.</w:t>
      </w:r>
      <w:r>
        <w:rPr>
          <w:rStyle w:val="FootnoteReference"/>
        </w:rPr>
        <w:footnoteReference w:id="24"/>
      </w:r>
      <w:r w:rsidRPr="00B369B2" w:rsidR="0080457C">
        <w:t xml:space="preserve">  We waive</w:t>
      </w:r>
      <w:r w:rsidR="00714BD2">
        <w:t>, on our own motion,</w:t>
      </w:r>
      <w:r w:rsidRPr="00B369B2" w:rsidR="0080457C">
        <w:t xml:space="preserve"> those portions of sections 1.4(f) and 1.773 of the Commission’s rules that are inconsistent with these deadlines.</w:t>
      </w:r>
      <w:r>
        <w:rPr>
          <w:rStyle w:val="FootnoteReference"/>
        </w:rPr>
        <w:footnoteReference w:id="25"/>
      </w:r>
    </w:p>
    <w:p w:rsidR="00B369B2" w:rsidRPr="00B369B2" w:rsidP="00B369B2" w14:paraId="02E67385" w14:textId="64A75AEA">
      <w:pPr>
        <w:pStyle w:val="ParaNum"/>
        <w:widowControl/>
        <w:tabs>
          <w:tab w:val="clear" w:pos="1080"/>
          <w:tab w:val="num" w:pos="1440"/>
        </w:tabs>
      </w:pPr>
      <w:r w:rsidRPr="00B369B2">
        <w:t xml:space="preserve">Pursuant to sections 1.419 and 1.773 of the Commission’s rules, interested parties may file petitions to suspend or reject tariff filings, and replies thereto, on or before the dates indicated in this </w:t>
      </w:r>
      <w:r w:rsidRPr="00B369B2">
        <w:t>Order</w:t>
      </w:r>
      <w:r>
        <w:t>.</w:t>
      </w:r>
      <w:r>
        <w:rPr>
          <w:rStyle w:val="FootnoteReference"/>
        </w:rPr>
        <w:footnoteReference w:id="26"/>
      </w:r>
      <w:r w:rsidRPr="00B369B2">
        <w:t xml:space="preserve"> </w:t>
      </w:r>
      <w:r>
        <w:t xml:space="preserve"> </w:t>
      </w:r>
      <w:r w:rsidRPr="00B369B2">
        <w:t xml:space="preserve">Pleadings must reference </w:t>
      </w:r>
      <w:r w:rsidRPr="00B369B2">
        <w:rPr>
          <w:b/>
          <w:bCs/>
        </w:rPr>
        <w:t xml:space="preserve">WC Docket No. </w:t>
      </w:r>
      <w:r w:rsidR="004360F8">
        <w:rPr>
          <w:b/>
          <w:bCs/>
        </w:rPr>
        <w:t xml:space="preserve">26-50 </w:t>
      </w:r>
      <w:r w:rsidRPr="00B369B2">
        <w:t xml:space="preserve">and must be addressed to the Commission’s Secretary, Office of the Secretary, Federal Communications Commission.  </w:t>
      </w:r>
    </w:p>
    <w:p w:rsidR="00B369B2" w:rsidRPr="0034612B" w:rsidP="00B369B2" w14:paraId="10AF4CC5" w14:textId="77777777">
      <w:pPr>
        <w:pStyle w:val="ParaNum"/>
        <w:widowControl/>
        <w:numPr>
          <w:ilvl w:val="0"/>
          <w:numId w:val="18"/>
        </w:numPr>
      </w:pPr>
      <w:r w:rsidRPr="001556C5">
        <w:rPr>
          <w:i/>
          <w:iCs/>
        </w:rPr>
        <w:t>Electronic Filers</w:t>
      </w:r>
      <w:r>
        <w:t xml:space="preserve">:  Pleadings may be filed electronically using the Commission’s Electronic Comment Filing System (ECFS): </w:t>
      </w:r>
      <w:hyperlink r:id="rId8" w:history="1">
        <w:r>
          <w:rPr>
            <w:rStyle w:val="Hyperlink"/>
          </w:rPr>
          <w:t>www</w:t>
        </w:r>
        <w:r w:rsidRPr="0034612B">
          <w:rPr>
            <w:rStyle w:val="Hyperlink"/>
          </w:rPr>
          <w:t>.fcc.gov/ecfs</w:t>
        </w:r>
      </w:hyperlink>
      <w:r w:rsidRPr="0034612B">
        <w:rPr>
          <w:rStyle w:val="Hyperlink"/>
          <w:u w:val="none"/>
        </w:rPr>
        <w:t>.</w:t>
      </w:r>
      <w:r>
        <w:rPr>
          <w:rStyle w:val="FootnoteReference"/>
          <w:szCs w:val="24"/>
        </w:rPr>
        <w:footnoteReference w:id="27"/>
      </w:r>
      <w:r w:rsidRPr="0034612B">
        <w:t xml:space="preserve">  </w:t>
      </w:r>
    </w:p>
    <w:p w:rsidR="00B369B2" w:rsidRPr="0034612B" w:rsidP="00B369B2" w14:paraId="3020C89B" w14:textId="77777777">
      <w:pPr>
        <w:pStyle w:val="ParaNum"/>
        <w:widowControl/>
        <w:numPr>
          <w:ilvl w:val="0"/>
          <w:numId w:val="18"/>
        </w:numPr>
      </w:pPr>
      <w:r w:rsidRPr="001556C5">
        <w:rPr>
          <w:i/>
          <w:iCs/>
        </w:rPr>
        <w:t>Paper Filers</w:t>
      </w:r>
      <w:r w:rsidRPr="0034612B">
        <w:t xml:space="preserve">:  Parties who choose to file by paper must file an original and one copy of each filing. </w:t>
      </w:r>
      <w:r>
        <w:t xml:space="preserve"> </w:t>
      </w:r>
    </w:p>
    <w:p w:rsidR="00B369B2" w:rsidP="00B369B2" w14:paraId="74BCAE22" w14:textId="77777777">
      <w:pPr>
        <w:pStyle w:val="ParaNum"/>
        <w:widowControl/>
        <w:numPr>
          <w:ilvl w:val="1"/>
          <w:numId w:val="18"/>
        </w:numPr>
      </w:pPr>
      <w:r>
        <w:t xml:space="preserve">Filings can be sent by hand or messenger delivery, by commercial courier, or by the U.S. Postal Service.  </w:t>
      </w:r>
    </w:p>
    <w:p w:rsidR="00B369B2" w:rsidP="00B369B2" w14:paraId="057147AA" w14:textId="77777777">
      <w:pPr>
        <w:pStyle w:val="ParaNum"/>
        <w:widowControl/>
        <w:numPr>
          <w:ilvl w:val="1"/>
          <w:numId w:val="18"/>
        </w:numPr>
      </w:pPr>
      <w: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B369B2" w:rsidP="00B369B2" w14:paraId="65D6FB3B" w14:textId="77777777">
      <w:pPr>
        <w:numPr>
          <w:ilvl w:val="1"/>
          <w:numId w:val="18"/>
        </w:numPr>
        <w:spacing w:after="120"/>
      </w:pPr>
      <w:r>
        <w:t>Commercial courier deliveries (any deliveries not by the U.S. Postal Service) must be sent to 9050 Junction Drive, Annapolis Junction, MD 20701.</w:t>
      </w:r>
    </w:p>
    <w:p w:rsidR="00B369B2" w:rsidP="00B369B2" w14:paraId="0370E24D" w14:textId="77777777">
      <w:pPr>
        <w:widowControl/>
        <w:numPr>
          <w:ilvl w:val="2"/>
          <w:numId w:val="19"/>
        </w:numPr>
        <w:spacing w:after="120"/>
      </w:pPr>
      <w:r>
        <w:t>Filings sent by U.S. Postal Service First-Class Mail, Priority Mail, and Priority Mail Express must be sent to 45 L Street NE, Washington, DC 20554.</w:t>
      </w:r>
    </w:p>
    <w:p w:rsidR="00B369B2" w:rsidRPr="0034612B" w:rsidP="00B369B2" w14:paraId="1CA64B9D" w14:textId="0357A6AB">
      <w:pPr>
        <w:pStyle w:val="ParaNum"/>
        <w:widowControl/>
        <w:tabs>
          <w:tab w:val="clear" w:pos="1080"/>
          <w:tab w:val="num" w:pos="1440"/>
        </w:tabs>
      </w:pPr>
      <w:bookmarkStart w:id="5" w:name="_Hlk158647718"/>
      <w:r w:rsidRPr="004C5F18">
        <w:rPr>
          <w:i/>
          <w:iCs/>
        </w:rPr>
        <w:t>People with Disabilities</w:t>
      </w:r>
      <w:r>
        <w:t xml:space="preserve">. To request materials in accessible formats for people with disabilities (Braille, large print, </w:t>
      </w:r>
      <w:r w:rsidRPr="004C5F18">
        <w:rPr>
          <w:i/>
          <w:iCs/>
          <w:szCs w:val="24"/>
        </w:rPr>
        <w:t>electronic</w:t>
      </w:r>
      <w:r>
        <w:t xml:space="preserve"> files, audio format), send an email to </w:t>
      </w:r>
      <w:hyperlink r:id="rId9" w:history="1">
        <w:r w:rsidRPr="00050AF9">
          <w:rPr>
            <w:rStyle w:val="Hyperlink"/>
          </w:rPr>
          <w:t>fcc504@fcc.gov</w:t>
        </w:r>
      </w:hyperlink>
      <w:r w:rsidRPr="002A55C2">
        <w:t xml:space="preserve"> or call the Consumer &amp; Governmental Affairs Bureau at 202-418-0530 (voice), 202-418-0432 (TTY).</w:t>
      </w:r>
    </w:p>
    <w:bookmarkEnd w:id="5"/>
    <w:p w:rsidR="00B369B2" w:rsidRPr="00D353B2" w:rsidP="00B369B2" w14:paraId="32AF7CE2" w14:textId="77777777">
      <w:pPr>
        <w:pStyle w:val="ParaNum"/>
        <w:widowControl/>
        <w:tabs>
          <w:tab w:val="clear" w:pos="1080"/>
          <w:tab w:val="num" w:pos="1440"/>
        </w:tabs>
      </w:pPr>
      <w:r w:rsidRPr="008E4B29">
        <w:rPr>
          <w:i/>
          <w:iCs/>
          <w:szCs w:val="24"/>
        </w:rPr>
        <w:t>Courtesy Copies</w:t>
      </w:r>
      <w:r>
        <w:rPr>
          <w:szCs w:val="24"/>
        </w:rPr>
        <w:t>.  On</w:t>
      </w:r>
      <w:r w:rsidRPr="00D353B2">
        <w:rPr>
          <w:szCs w:val="24"/>
        </w:rPr>
        <w:t xml:space="preserve"> the </w:t>
      </w:r>
      <w:r w:rsidRPr="00166DA7">
        <w:t>day</w:t>
      </w:r>
      <w:r w:rsidRPr="00D353B2">
        <w:rPr>
          <w:szCs w:val="24"/>
        </w:rPr>
        <w:t xml:space="preserve"> an electronic filing is submitted, an electronic courtesy </w:t>
      </w:r>
      <w:r w:rsidRPr="00D353B2">
        <w:rPr>
          <w:bCs/>
          <w:szCs w:val="24"/>
        </w:rPr>
        <w:t>copy</w:t>
      </w:r>
      <w:r w:rsidRPr="00D353B2">
        <w:rPr>
          <w:szCs w:val="24"/>
        </w:rPr>
        <w:t xml:space="preserve"> of any comments, reply comments, petitions</w:t>
      </w:r>
      <w:r>
        <w:rPr>
          <w:szCs w:val="24"/>
        </w:rPr>
        <w:t>,</w:t>
      </w:r>
      <w:r w:rsidRPr="00D353B2">
        <w:rPr>
          <w:szCs w:val="24"/>
        </w:rPr>
        <w:t xml:space="preserve"> and replies, must also be emailed to</w:t>
      </w:r>
      <w:r>
        <w:rPr>
          <w:szCs w:val="24"/>
        </w:rPr>
        <w:t xml:space="preserve"> Christopher Koves, </w:t>
      </w:r>
      <w:r>
        <w:fldChar w:fldCharType="begin"/>
      </w:r>
      <w:r w:rsidRPr="00AE6B82">
        <w:rPr>
          <w:rStyle w:val="Hyperlink"/>
          <w:szCs w:val="24"/>
        </w:rPr>
        <w:instrText xml:space="preserve"> HYPERLINK "mailto:Christopher.Koves@fcc.gov" </w:instrText>
      </w:r>
      <w:r>
        <w:fldChar w:fldCharType="separate"/>
      </w:r>
      <w:r w:rsidRPr="00AE6B82">
        <w:rPr>
          <w:rStyle w:val="Hyperlink"/>
          <w:szCs w:val="24"/>
        </w:rPr>
        <w:t>Christopher.Koves@fcc.gov</w:t>
      </w:r>
      <w:r>
        <w:fldChar w:fldCharType="end"/>
      </w:r>
      <w:r>
        <w:rPr>
          <w:szCs w:val="24"/>
        </w:rPr>
        <w:t xml:space="preserve">, </w:t>
      </w:r>
      <w:r w:rsidRPr="00D353B2">
        <w:rPr>
          <w:szCs w:val="24"/>
        </w:rPr>
        <w:t xml:space="preserve">and </w:t>
      </w:r>
      <w:r w:rsidRPr="006B3EE7">
        <w:t>Richard</w:t>
      </w:r>
      <w:r>
        <w:rPr>
          <w:szCs w:val="24"/>
        </w:rPr>
        <w:t xml:space="preserve"> Kwiatkowski, </w:t>
      </w:r>
      <w:r>
        <w:fldChar w:fldCharType="begin"/>
      </w:r>
      <w:r w:rsidRPr="00AE6B82">
        <w:rPr>
          <w:rStyle w:val="Hyperlink"/>
          <w:szCs w:val="24"/>
        </w:rPr>
        <w:instrText xml:space="preserve"> HYPERLINK "mailto:Richard.Kwiatkowski@fcc.gov" </w:instrText>
      </w:r>
      <w:r>
        <w:fldChar w:fldCharType="separate"/>
      </w:r>
      <w:r w:rsidRPr="00AE6B82">
        <w:rPr>
          <w:rStyle w:val="Hyperlink"/>
          <w:szCs w:val="24"/>
        </w:rPr>
        <w:t>Richard.Kwiatkowski@fcc.gov</w:t>
      </w:r>
      <w:r>
        <w:fldChar w:fldCharType="end"/>
      </w:r>
      <w:r w:rsidRPr="00D353B2">
        <w:rPr>
          <w:szCs w:val="24"/>
        </w:rPr>
        <w:t>.</w:t>
      </w:r>
    </w:p>
    <w:p w:rsidR="00B369B2" w:rsidRPr="007D5CC6" w:rsidP="00B369B2" w14:paraId="1156C272" w14:textId="77777777">
      <w:pPr>
        <w:pStyle w:val="ParaNum"/>
        <w:widowControl/>
        <w:tabs>
          <w:tab w:val="clear" w:pos="1080"/>
          <w:tab w:val="num" w:pos="1440"/>
        </w:tabs>
        <w:rPr>
          <w:szCs w:val="22"/>
        </w:rPr>
      </w:pPr>
      <w:r w:rsidRPr="001A0972">
        <w:rPr>
          <w:i/>
          <w:iCs/>
        </w:rPr>
        <w:t>Ex Parte Rules</w:t>
      </w:r>
      <w:r>
        <w:t xml:space="preserve">.  The proceeding this Order </w:t>
      </w:r>
      <w:r w:rsidRPr="00D353B2">
        <w:rPr>
          <w:szCs w:val="24"/>
        </w:rPr>
        <w:t>initiates</w:t>
      </w:r>
      <w:r>
        <w:t xml:space="preserve"> shall be treated as a “permit-but-disclose” proceeding in accordance with the Commission’s </w:t>
      </w:r>
      <w:r w:rsidRPr="00D353B2">
        <w:rPr>
          <w:i/>
          <w:iCs/>
        </w:rPr>
        <w:t xml:space="preserve">ex parte </w:t>
      </w:r>
      <w:r>
        <w:t>rules.</w:t>
      </w:r>
      <w:r>
        <w:rPr>
          <w:rStyle w:val="FootnoteReference"/>
        </w:rPr>
        <w:footnoteReference w:id="28"/>
      </w:r>
      <w:r>
        <w:t xml:space="preserve">  </w:t>
      </w:r>
      <w:r w:rsidRPr="008E44CF">
        <w:rPr>
          <w:szCs w:val="22"/>
        </w:rPr>
        <w:t xml:space="preserve">Persons making </w:t>
      </w:r>
      <w:r w:rsidRPr="008E44CF">
        <w:rPr>
          <w:i/>
          <w:iCs/>
          <w:szCs w:val="22"/>
        </w:rPr>
        <w:t>ex parte</w:t>
      </w:r>
      <w:r w:rsidRPr="008E44CF">
        <w:rPr>
          <w:szCs w:val="22"/>
        </w:rPr>
        <w:t xml:space="preserve"> presentations must file a copy of any written </w:t>
      </w:r>
      <w:r w:rsidRPr="00166DA7">
        <w:t>presentation</w:t>
      </w:r>
      <w:r w:rsidRPr="008E44CF">
        <w:rPr>
          <w:szCs w:val="22"/>
        </w:rPr>
        <w:t xml:space="preserve"> or a memorandum summarizing any oral presentation within two business days after the presentation (unless a different deadline applicable to the Sunshine period applies).  Persons making oral </w:t>
      </w:r>
      <w:r w:rsidRPr="008E44CF">
        <w:rPr>
          <w:i/>
          <w:iCs/>
          <w:szCs w:val="22"/>
        </w:rPr>
        <w:t>ex parte</w:t>
      </w:r>
      <w:r w:rsidRPr="008E44CF">
        <w:rPr>
          <w:szCs w:val="22"/>
        </w:rPr>
        <w:t xml:space="preserve"> presentations are reminded that memoranda summarizing the presentation must (1) list all persons attending or otherwise participating in the meeting at which the </w:t>
      </w:r>
      <w:r w:rsidRPr="008E44CF">
        <w:rPr>
          <w:i/>
          <w:iCs/>
          <w:szCs w:val="22"/>
        </w:rPr>
        <w:t>ex parte</w:t>
      </w:r>
      <w:r w:rsidRPr="008E44CF">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8E44CF">
        <w:rPr>
          <w:i/>
          <w:iCs/>
          <w:szCs w:val="22"/>
        </w:rPr>
        <w:t>ex parte</w:t>
      </w:r>
      <w:r w:rsidRPr="008E44CF">
        <w:rPr>
          <w:szCs w:val="22"/>
        </w:rPr>
        <w:t xml:space="preserve"> meetings are deemed to be written </w:t>
      </w:r>
      <w:r w:rsidRPr="008E44CF">
        <w:rPr>
          <w:i/>
          <w:iCs/>
          <w:szCs w:val="22"/>
        </w:rPr>
        <w:t>ex parte</w:t>
      </w:r>
      <w:r w:rsidRPr="008E44CF">
        <w:rPr>
          <w:szCs w:val="22"/>
        </w:rPr>
        <w:t xml:space="preserve"> presentations and must be filed consistent with rule 1.1206(b).  In proceedings governed by rule 1.49(f) or for which the Commission has made available a method of electronic filing, written </w:t>
      </w:r>
      <w:r w:rsidRPr="008E44CF">
        <w:rPr>
          <w:i/>
          <w:iCs/>
          <w:szCs w:val="22"/>
        </w:rPr>
        <w:t>ex parte</w:t>
      </w:r>
      <w:r w:rsidRPr="008E44CF">
        <w:rPr>
          <w:szCs w:val="22"/>
        </w:rPr>
        <w:t xml:space="preserve"> presentations and memoranda summarizing oral </w:t>
      </w:r>
      <w:r w:rsidRPr="008E44CF">
        <w:rPr>
          <w:i/>
          <w:iCs/>
          <w:szCs w:val="22"/>
        </w:rPr>
        <w:t>ex parte</w:t>
      </w:r>
      <w:r w:rsidRPr="008E44CF">
        <w:rPr>
          <w:szCs w:val="22"/>
        </w:rPr>
        <w:t xml:space="preserve"> presentations, and all attachments thereto, must be filed in their native format (e.g., .doc, .xml, .ppt, searchable .pdf).  Participants in this proceeding should familiarize themselves with the Commission’s </w:t>
      </w:r>
      <w:r w:rsidRPr="008E44CF">
        <w:rPr>
          <w:i/>
          <w:iCs/>
          <w:szCs w:val="22"/>
        </w:rPr>
        <w:t>ex parte</w:t>
      </w:r>
      <w:r w:rsidRPr="008E44CF">
        <w:rPr>
          <w:szCs w:val="22"/>
        </w:rPr>
        <w:t xml:space="preserve"> rules.</w:t>
      </w:r>
    </w:p>
    <w:p w:rsidR="00B369B2" w:rsidRPr="003632C2" w:rsidP="00B369B2" w14:paraId="486E48CF" w14:textId="77777777">
      <w:pPr>
        <w:pStyle w:val="Heading2"/>
        <w:keepNext/>
        <w:widowControl w:val="0"/>
      </w:pPr>
      <w:r w:rsidRPr="003632C2">
        <w:t>Service</w:t>
      </w:r>
    </w:p>
    <w:p w:rsidR="00B369B2" w:rsidRPr="00A704D2" w:rsidP="00B369B2" w14:paraId="49EC0C48" w14:textId="1C3E6E06">
      <w:pPr>
        <w:pStyle w:val="ParaNum"/>
        <w:widowControl/>
        <w:tabs>
          <w:tab w:val="clear" w:pos="1080"/>
          <w:tab w:val="num" w:pos="1440"/>
        </w:tabs>
        <w:rPr>
          <w:szCs w:val="24"/>
        </w:rPr>
      </w:pPr>
      <w:r>
        <w:t xml:space="preserve">Because </w:t>
      </w:r>
      <w:r w:rsidRPr="00166DA7">
        <w:rPr>
          <w:szCs w:val="22"/>
        </w:rPr>
        <w:t>there</w:t>
      </w:r>
      <w:r>
        <w:t xml:space="preserve"> is </w:t>
      </w:r>
      <w:r w:rsidRPr="00BD5A96">
        <w:rPr>
          <w:bCs/>
        </w:rPr>
        <w:t>limited</w:t>
      </w:r>
      <w:r>
        <w:t xml:space="preserve"> time </w:t>
      </w:r>
      <w:r w:rsidRPr="00D0713D">
        <w:t>available</w:t>
      </w:r>
      <w:r>
        <w:t xml:space="preserve"> for review of petitions to suspend or reject tariff filings made pursuant to this Order, we </w:t>
      </w:r>
      <w:r w:rsidR="008101EB">
        <w:t>remind interest</w:t>
      </w:r>
      <w:r w:rsidR="00714BD2">
        <w:t>ed</w:t>
      </w:r>
      <w:r w:rsidR="008101EB">
        <w:t xml:space="preserve"> parties of </w:t>
      </w:r>
      <w:r>
        <w:t xml:space="preserve">the following service requirements for such petitions and responses thereto.  </w:t>
      </w:r>
      <w:r w:rsidR="008101EB">
        <w:t>We remind a</w:t>
      </w:r>
      <w:r>
        <w:t xml:space="preserve">ny party filing a </w:t>
      </w:r>
      <w:r w:rsidRPr="006B3EE7">
        <w:rPr>
          <w:szCs w:val="22"/>
        </w:rPr>
        <w:t>petition</w:t>
      </w:r>
      <w:r>
        <w:t xml:space="preserve"> to suspend or reject such a tariff filing </w:t>
      </w:r>
      <w:r w:rsidR="008101EB">
        <w:t xml:space="preserve">that they </w:t>
      </w:r>
      <w:r>
        <w:t xml:space="preserve">must also serve that petition on the relevant tariff-filer, or the tariff-filer’s attorney or other duly-constituted agent, by personal delivery, facsimile transmission, </w:t>
      </w:r>
      <w:r w:rsidRPr="00CB7418">
        <w:rPr>
          <w:szCs w:val="22"/>
        </w:rPr>
        <w:t>or</w:t>
      </w:r>
      <w:r>
        <w:t xml:space="preserve"> email.</w:t>
      </w:r>
      <w:r>
        <w:rPr>
          <w:rStyle w:val="FootnoteReference"/>
          <w:szCs w:val="24"/>
        </w:rPr>
        <w:footnoteReference w:id="29"/>
      </w:r>
      <w:r>
        <w:t xml:space="preserve">  </w:t>
      </w:r>
      <w:r w:rsidR="008101EB">
        <w:t xml:space="preserve">We also remind parties </w:t>
      </w:r>
      <w:r>
        <w:t xml:space="preserve">responding to a petition to suspend or reject </w:t>
      </w:r>
      <w:r w:rsidR="008101EB">
        <w:t xml:space="preserve">a tariff filing that they </w:t>
      </w:r>
      <w:r>
        <w:t>must serve th</w:t>
      </w:r>
      <w:r w:rsidR="008101EB">
        <w:t>eir</w:t>
      </w:r>
      <w:r>
        <w:t xml:space="preserve"> response on the relevant petitioner, or the petitioner’s attorney or other duly-constituted agent, by personal delivery, facsimile transmission, or email.  To effectuate these service requirements, we </w:t>
      </w:r>
      <w:r w:rsidRPr="00A704D2">
        <w:rPr>
          <w:szCs w:val="24"/>
        </w:rPr>
        <w:t>waive</w:t>
      </w:r>
      <w:r w:rsidR="00714BD2">
        <w:rPr>
          <w:szCs w:val="24"/>
        </w:rPr>
        <w:t>, on our own motion,</w:t>
      </w:r>
      <w:r w:rsidRPr="00A704D2">
        <w:rPr>
          <w:szCs w:val="24"/>
        </w:rPr>
        <w:t xml:space="preserve"> those portions of sections 1.47(d), 1.773(a)(4) and 1.773(b)(3) of the Commission’s rules that are inconsistent with the requirements set forth above.</w:t>
      </w:r>
      <w:r>
        <w:rPr>
          <w:rStyle w:val="FootnoteReference"/>
          <w:szCs w:val="24"/>
        </w:rPr>
        <w:footnoteReference w:id="30"/>
      </w:r>
      <w:r w:rsidRPr="00A704D2">
        <w:rPr>
          <w:szCs w:val="24"/>
        </w:rPr>
        <w:t xml:space="preserve">  </w:t>
      </w:r>
      <w:r>
        <w:t xml:space="preserve">Parties are instructed to provide contact persons, email addresses, and facsimile numbers in their filings.  </w:t>
      </w:r>
    </w:p>
    <w:p w:rsidR="00B369B2" w:rsidP="00B369B2" w14:paraId="7FA01340" w14:textId="77777777">
      <w:pPr>
        <w:pStyle w:val="Heading1"/>
        <w:tabs>
          <w:tab w:val="left" w:pos="720"/>
        </w:tabs>
      </w:pPr>
      <w:r>
        <w:t>ORDERING CLAUSEs</w:t>
      </w:r>
    </w:p>
    <w:p w:rsidR="00B369B2" w:rsidP="00B369B2" w14:paraId="3B0F6A13" w14:textId="77777777">
      <w:pPr>
        <w:pStyle w:val="ParaNum"/>
        <w:widowControl/>
        <w:tabs>
          <w:tab w:val="clear" w:pos="1080"/>
          <w:tab w:val="num" w:pos="1440"/>
        </w:tabs>
        <w:rPr>
          <w:szCs w:val="24"/>
        </w:rPr>
      </w:pPr>
      <w:r w:rsidRPr="00BD5A96">
        <w:rPr>
          <w:bCs/>
          <w:szCs w:val="24"/>
        </w:rPr>
        <w:t>Accordingly</w:t>
      </w:r>
      <w:r>
        <w:rPr>
          <w:szCs w:val="24"/>
        </w:rPr>
        <w:t xml:space="preserve">, IT IS ORDERED that, pursuant to sections 1, 4(i) and (j), 5, and 201-209 of the Communications Act of 1934, </w:t>
      </w:r>
      <w:r w:rsidRPr="006B3EE7">
        <w:rPr>
          <w:szCs w:val="22"/>
        </w:rPr>
        <w:t>as</w:t>
      </w:r>
      <w:r>
        <w:rPr>
          <w:szCs w:val="24"/>
        </w:rPr>
        <w:t xml:space="preserve"> amended, 47 U.S.C. §§ 151, 154(i)-(j), 155, 201-209, and sections 0.91 and 0.291 of the Commission’s rules, 47 CFR §§ 0.91, 0.291, this Order IS ADOPTED.</w:t>
      </w:r>
    </w:p>
    <w:p w:rsidR="00B369B2" w:rsidRPr="00703E65" w:rsidP="00B369B2" w14:paraId="59651D10" w14:textId="4BAA9ED2">
      <w:pPr>
        <w:pStyle w:val="ParaNum"/>
        <w:widowControl/>
        <w:tabs>
          <w:tab w:val="clear" w:pos="1080"/>
          <w:tab w:val="num" w:pos="1440"/>
        </w:tabs>
        <w:rPr>
          <w:szCs w:val="24"/>
        </w:rPr>
      </w:pPr>
      <w:r w:rsidRPr="00703E65">
        <w:rPr>
          <w:rFonts w:ascii="TimesNewRomanPSMT" w:hAnsi="TimesNewRomanPSMT" w:cs="TimesNewRomanPSMT"/>
          <w:snapToGrid/>
          <w:kern w:val="0"/>
          <w:szCs w:val="22"/>
        </w:rPr>
        <w:t xml:space="preserve">IT IS FURTHER ORDERED that, pursuant to sections 0.91, 0.291, and 1.3 of the </w:t>
      </w:r>
      <w:r w:rsidRPr="001556C5">
        <w:rPr>
          <w:szCs w:val="24"/>
        </w:rPr>
        <w:t>Commission’s</w:t>
      </w:r>
      <w:r w:rsidRPr="00703E65">
        <w:rPr>
          <w:rFonts w:ascii="TimesNewRomanPSMT" w:hAnsi="TimesNewRomanPSMT" w:cs="TimesNewRomanPSMT"/>
          <w:snapToGrid/>
          <w:kern w:val="0"/>
          <w:szCs w:val="22"/>
        </w:rPr>
        <w:t xml:space="preserve"> rules, 47 CFR §§ 0.91, 0.291, 1.3, </w:t>
      </w:r>
      <w:r>
        <w:rPr>
          <w:rFonts w:ascii="TimesNewRomanPSMT" w:hAnsi="TimesNewRomanPSMT" w:cs="TimesNewRomanPSMT"/>
          <w:snapToGrid/>
          <w:kern w:val="0"/>
          <w:szCs w:val="22"/>
        </w:rPr>
        <w:t xml:space="preserve">that </w:t>
      </w:r>
      <w:r w:rsidRPr="00703E65">
        <w:rPr>
          <w:rFonts w:ascii="TimesNewRomanPSMT" w:hAnsi="TimesNewRomanPSMT" w:cs="TimesNewRomanPSMT"/>
          <w:snapToGrid/>
          <w:kern w:val="0"/>
          <w:szCs w:val="22"/>
        </w:rPr>
        <w:t xml:space="preserve">sections </w:t>
      </w:r>
      <w:r>
        <w:rPr>
          <w:rFonts w:ascii="TimesNewRomanPSMT" w:hAnsi="TimesNewRomanPSMT" w:cs="TimesNewRomanPSMT"/>
          <w:snapToGrid/>
          <w:kern w:val="0"/>
          <w:szCs w:val="22"/>
        </w:rPr>
        <w:t xml:space="preserve">1.4(f), </w:t>
      </w:r>
      <w:r w:rsidRPr="00703E65">
        <w:rPr>
          <w:rFonts w:ascii="TimesNewRomanPSMT" w:hAnsi="TimesNewRomanPSMT" w:cs="TimesNewRomanPSMT"/>
          <w:snapToGrid/>
          <w:kern w:val="0"/>
          <w:szCs w:val="22"/>
        </w:rPr>
        <w:t>1.47(d)</w:t>
      </w:r>
      <w:r>
        <w:rPr>
          <w:rFonts w:ascii="TimesNewRomanPSMT" w:hAnsi="TimesNewRomanPSMT" w:cs="TimesNewRomanPSMT"/>
          <w:snapToGrid/>
          <w:kern w:val="0"/>
          <w:szCs w:val="22"/>
        </w:rPr>
        <w:t>,</w:t>
      </w:r>
      <w:r w:rsidRPr="00703E65">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 xml:space="preserve">and </w:t>
      </w:r>
      <w:r w:rsidRPr="00703E65">
        <w:rPr>
          <w:rFonts w:ascii="TimesNewRomanPSMT" w:hAnsi="TimesNewRomanPSMT" w:cs="TimesNewRomanPSMT"/>
          <w:snapToGrid/>
          <w:kern w:val="0"/>
          <w:szCs w:val="22"/>
        </w:rPr>
        <w:t xml:space="preserve">1.773 of the Commission’s rules, </w:t>
      </w:r>
      <w:r w:rsidRPr="00703E65">
        <w:rPr>
          <w:szCs w:val="24"/>
        </w:rPr>
        <w:t xml:space="preserve">47 CFR §§ </w:t>
      </w:r>
      <w:r>
        <w:rPr>
          <w:szCs w:val="24"/>
        </w:rPr>
        <w:t xml:space="preserve">1.4(f), </w:t>
      </w:r>
      <w:r w:rsidRPr="00703E65">
        <w:rPr>
          <w:rFonts w:ascii="TimesNewRomanPSMT" w:hAnsi="TimesNewRomanPSMT" w:cs="TimesNewRomanPSMT"/>
          <w:snapToGrid/>
          <w:kern w:val="0"/>
          <w:szCs w:val="22"/>
        </w:rPr>
        <w:t>1.47(d), 1.773, ARE</w:t>
      </w:r>
      <w:r w:rsidRPr="00703E65">
        <w:rPr>
          <w:szCs w:val="24"/>
        </w:rPr>
        <w:t xml:space="preserve"> </w:t>
      </w:r>
      <w:r w:rsidRPr="00703E65">
        <w:rPr>
          <w:rFonts w:ascii="TimesNewRomanPSMT" w:hAnsi="TimesNewRomanPSMT" w:cs="TimesNewRomanPSMT"/>
          <w:snapToGrid/>
          <w:kern w:val="0"/>
          <w:szCs w:val="22"/>
        </w:rPr>
        <w:t>WAIVED for the limited purpose</w:t>
      </w:r>
      <w:r>
        <w:rPr>
          <w:rFonts w:ascii="TimesNewRomanPSMT" w:hAnsi="TimesNewRomanPSMT" w:cs="TimesNewRomanPSMT"/>
          <w:snapToGrid/>
          <w:kern w:val="0"/>
          <w:szCs w:val="22"/>
        </w:rPr>
        <w:t>s</w:t>
      </w:r>
      <w:r w:rsidRPr="00703E65">
        <w:rPr>
          <w:rFonts w:ascii="TimesNewRomanPSMT" w:hAnsi="TimesNewRomanPSMT" w:cs="TimesNewRomanPSMT"/>
          <w:snapToGrid/>
          <w:kern w:val="0"/>
          <w:szCs w:val="22"/>
        </w:rPr>
        <w:t xml:space="preserve"> specified herein</w:t>
      </w:r>
      <w:r>
        <w:rPr>
          <w:rFonts w:ascii="TimesNewRomanPSMT" w:hAnsi="TimesNewRomanPSMT" w:cs="TimesNewRomanPSMT"/>
          <w:snapToGrid/>
          <w:kern w:val="0"/>
          <w:szCs w:val="22"/>
        </w:rPr>
        <w:t xml:space="preserve"> in paragraphs </w:t>
      </w:r>
      <w:r w:rsidR="0017168D">
        <w:rPr>
          <w:rFonts w:ascii="TimesNewRomanPSMT" w:hAnsi="TimesNewRomanPSMT" w:cs="TimesNewRomanPSMT"/>
          <w:snapToGrid/>
          <w:kern w:val="0"/>
          <w:szCs w:val="22"/>
        </w:rPr>
        <w:t xml:space="preserve">7 </w:t>
      </w:r>
      <w:r>
        <w:rPr>
          <w:rFonts w:ascii="TimesNewRomanPSMT" w:hAnsi="TimesNewRomanPSMT" w:cs="TimesNewRomanPSMT"/>
          <w:snapToGrid/>
          <w:kern w:val="0"/>
          <w:szCs w:val="22"/>
        </w:rPr>
        <w:t xml:space="preserve">and </w:t>
      </w:r>
      <w:r w:rsidR="0017168D">
        <w:rPr>
          <w:rFonts w:ascii="TimesNewRomanPSMT" w:hAnsi="TimesNewRomanPSMT" w:cs="TimesNewRomanPSMT"/>
          <w:snapToGrid/>
          <w:kern w:val="0"/>
          <w:szCs w:val="22"/>
        </w:rPr>
        <w:t>12</w:t>
      </w:r>
      <w:r w:rsidRPr="00703E65">
        <w:rPr>
          <w:rFonts w:ascii="TimesNewRomanPSMT" w:hAnsi="TimesNewRomanPSMT" w:cs="TimesNewRomanPSMT"/>
          <w:snapToGrid/>
          <w:kern w:val="0"/>
          <w:szCs w:val="22"/>
        </w:rPr>
        <w:t>.</w:t>
      </w:r>
    </w:p>
    <w:p w:rsidR="00B369B2" w:rsidRPr="00DE78CB" w:rsidP="00C759A2" w14:paraId="1718D791" w14:textId="77777777">
      <w:pPr>
        <w:pStyle w:val="ParaNum"/>
        <w:widowControl/>
        <w:tabs>
          <w:tab w:val="clear" w:pos="1080"/>
          <w:tab w:val="num" w:pos="1440"/>
        </w:tabs>
        <w:spacing w:after="0"/>
        <w:rPr>
          <w:szCs w:val="24"/>
        </w:rPr>
      </w:pPr>
      <w:r w:rsidRPr="00180CE7">
        <w:t xml:space="preserve">IT IS </w:t>
      </w:r>
      <w:r w:rsidRPr="004924EB">
        <w:rPr>
          <w:szCs w:val="24"/>
        </w:rPr>
        <w:t>FURTHER</w:t>
      </w:r>
      <w:r w:rsidRPr="00180CE7">
        <w:t xml:space="preserve"> ORDERED </w:t>
      </w:r>
      <w:r w:rsidRPr="002E5139">
        <w:rPr>
          <w:rFonts w:ascii="TimesNewRomanPSMT" w:hAnsi="TimesNewRomanPSMT" w:cs="TimesNewRomanPSMT"/>
          <w:snapToGrid/>
          <w:kern w:val="0"/>
          <w:szCs w:val="22"/>
        </w:rPr>
        <w:t>that</w:t>
      </w:r>
      <w:r w:rsidRPr="00180CE7">
        <w:t xml:space="preserve">, </w:t>
      </w:r>
      <w:r w:rsidRPr="001556C5">
        <w:rPr>
          <w:rFonts w:ascii="TimesNewRomanPSMT" w:hAnsi="TimesNewRomanPSMT" w:cs="TimesNewRomanPSMT"/>
          <w:snapToGrid/>
          <w:kern w:val="0"/>
          <w:szCs w:val="22"/>
        </w:rPr>
        <w:t>pursuant</w:t>
      </w:r>
      <w:r w:rsidRPr="00180CE7">
        <w:t xml:space="preserve"> to section 1.102(b)(1) of the Commission’s rules, 47 CFR § 1.102(b)(1), this Order SHALL BE EFFECTIVE upon release.</w:t>
      </w:r>
      <w:r w:rsidRPr="004924EB">
        <w:rPr>
          <w:b/>
          <w:i/>
          <w:szCs w:val="24"/>
        </w:rPr>
        <w:t xml:space="preserve"> </w:t>
      </w:r>
    </w:p>
    <w:p w:rsidR="00637BDD" w:rsidP="00B369B2" w14:paraId="3D49D2F9" w14:textId="77777777">
      <w:pPr>
        <w:ind w:left="2880" w:firstLine="720"/>
        <w:rPr>
          <w:szCs w:val="24"/>
        </w:rPr>
      </w:pPr>
    </w:p>
    <w:p w:rsidR="00B369B2" w:rsidP="002838B6" w14:paraId="2F12869B" w14:textId="154CC5B8">
      <w:pPr>
        <w:ind w:left="3600" w:firstLine="720"/>
        <w:rPr>
          <w:szCs w:val="24"/>
        </w:rPr>
      </w:pPr>
      <w:r>
        <w:rPr>
          <w:szCs w:val="24"/>
        </w:rPr>
        <w:t>FEDERAL COMMUNICATIONS COMMISSION</w:t>
      </w:r>
    </w:p>
    <w:p w:rsidR="00B369B2" w:rsidP="00B369B2" w14:paraId="74C2B33C" w14:textId="77777777">
      <w:pPr>
        <w:ind w:firstLine="720"/>
        <w:rPr>
          <w:szCs w:val="24"/>
        </w:rPr>
      </w:pPr>
    </w:p>
    <w:p w:rsidR="00B369B2" w:rsidP="00B369B2" w14:paraId="6C62F736" w14:textId="77777777">
      <w:pPr>
        <w:rPr>
          <w:szCs w:val="24"/>
        </w:rPr>
      </w:pPr>
    </w:p>
    <w:p w:rsidR="00B369B2" w:rsidP="00B369B2" w14:paraId="2BB2BA8B" w14:textId="77777777">
      <w:pPr>
        <w:rPr>
          <w:szCs w:val="24"/>
        </w:rPr>
      </w:pPr>
    </w:p>
    <w:p w:rsidR="00B369B2" w:rsidP="002838B6" w14:paraId="02AB3DF1" w14:textId="6B9BC3D1">
      <w:pPr>
        <w:pStyle w:val="BodyTextIndent2"/>
        <w:spacing w:after="0" w:line="240" w:lineRule="auto"/>
        <w:ind w:left="3600" w:firstLine="720"/>
        <w:rPr>
          <w:szCs w:val="24"/>
        </w:rPr>
      </w:pPr>
      <w:r>
        <w:rPr>
          <w:szCs w:val="24"/>
        </w:rPr>
        <w:t>Lynne H. Engledow</w:t>
      </w:r>
    </w:p>
    <w:p w:rsidR="00B369B2" w:rsidP="002838B6" w14:paraId="7E73F90D" w14:textId="77777777">
      <w:pPr>
        <w:pStyle w:val="BodyTextIndent2"/>
        <w:spacing w:after="0" w:line="240" w:lineRule="auto"/>
        <w:ind w:left="3600" w:firstLine="720"/>
        <w:rPr>
          <w:szCs w:val="24"/>
        </w:rPr>
      </w:pPr>
      <w:r>
        <w:rPr>
          <w:szCs w:val="24"/>
        </w:rPr>
        <w:t>Chief, Pricing Policy Division</w:t>
      </w:r>
    </w:p>
    <w:p w:rsidR="00B369B2" w:rsidRPr="00B369B2" w:rsidP="002838B6" w14:paraId="4739646A" w14:textId="4C4C40EC">
      <w:pPr>
        <w:spacing w:after="240"/>
        <w:ind w:left="3600" w:firstLine="720"/>
      </w:pPr>
      <w:r>
        <w:t>Wireline Competition Bureau</w:t>
      </w:r>
    </w:p>
    <w:sectPr w:rsidSect="0055614C">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13C6" w14:paraId="5014EDBD" w14:textId="77777777">
      <w:pPr>
        <w:spacing w:line="20" w:lineRule="exact"/>
      </w:pPr>
    </w:p>
  </w:endnote>
  <w:endnote w:type="continuationSeparator" w:id="1">
    <w:p w:rsidR="00B013C6" w14:paraId="3F654A3F" w14:textId="77777777">
      <w:r>
        <w:t xml:space="preserve"> </w:t>
      </w:r>
    </w:p>
  </w:endnote>
  <w:endnote w:type="continuationNotice" w:id="2">
    <w:p w:rsidR="00B013C6" w14:paraId="0369E42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BAD042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785D0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644BD23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BCDB5EB"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696410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13C6" w14:paraId="4F95B703" w14:textId="77777777">
      <w:r>
        <w:separator/>
      </w:r>
    </w:p>
  </w:footnote>
  <w:footnote w:type="continuationSeparator" w:id="1">
    <w:p w:rsidR="00B013C6" w:rsidP="00C721AC" w14:paraId="7944C0FA" w14:textId="77777777">
      <w:pPr>
        <w:spacing w:before="120"/>
        <w:rPr>
          <w:sz w:val="20"/>
        </w:rPr>
      </w:pPr>
      <w:r>
        <w:rPr>
          <w:sz w:val="20"/>
        </w:rPr>
        <w:t xml:space="preserve">(Continued from previous page)  </w:t>
      </w:r>
      <w:r>
        <w:rPr>
          <w:sz w:val="20"/>
        </w:rPr>
        <w:separator/>
      </w:r>
    </w:p>
  </w:footnote>
  <w:footnote w:type="continuationNotice" w:id="2">
    <w:p w:rsidR="00B013C6" w:rsidP="00C721AC" w14:paraId="347F7F11" w14:textId="77777777">
      <w:pPr>
        <w:jc w:val="right"/>
        <w:rPr>
          <w:sz w:val="20"/>
        </w:rPr>
      </w:pPr>
      <w:r>
        <w:rPr>
          <w:sz w:val="20"/>
        </w:rPr>
        <w:t>(continued….)</w:t>
      </w:r>
    </w:p>
  </w:footnote>
  <w:footnote w:id="3">
    <w:p w:rsidR="00B81869" w:rsidRPr="00393CD6" w:rsidP="00B81869" w14:paraId="5514052A" w14:textId="7DBA468D">
      <w:pPr>
        <w:pStyle w:val="FootnoteText"/>
      </w:pPr>
      <w:bookmarkStart w:id="0" w:name="_Hlk508634488"/>
      <w:r w:rsidRPr="00393CD6">
        <w:rPr>
          <w:rStyle w:val="FootnoteReference"/>
        </w:rPr>
        <w:footnoteRef/>
      </w:r>
      <w:r w:rsidRPr="00393CD6">
        <w:t xml:space="preserve"> </w:t>
      </w:r>
      <w:r w:rsidRPr="00C759A2" w:rsidR="004E0306">
        <w:rPr>
          <w:i/>
          <w:iCs/>
        </w:rPr>
        <w:t>See</w:t>
      </w:r>
      <w:r w:rsidR="004E0306">
        <w:t xml:space="preserve"> </w:t>
      </w:r>
      <w:r w:rsidRPr="00393CD6">
        <w:t>47 CFR §§</w:t>
      </w:r>
      <w:r>
        <w:t> </w:t>
      </w:r>
      <w:r w:rsidRPr="00393CD6">
        <w:t xml:space="preserve">61.38 </w:t>
      </w:r>
      <w:bookmarkEnd w:id="0"/>
      <w:r w:rsidRPr="00393CD6">
        <w:t xml:space="preserve">(rate-of-return carriers that file tariffs based on projected costs and demand), 61.39 (rate-of-return carriers that file tariffs based on historical costs and demand), 61.43 (tariff filings for price cap </w:t>
      </w:r>
      <w:r>
        <w:t>carriers</w:t>
      </w:r>
      <w:r w:rsidRPr="00393CD6">
        <w:t>), and  61.50 (regulation of business data services offered by rate-of-return carriers electing incentive regulation).</w:t>
      </w:r>
    </w:p>
  </w:footnote>
  <w:footnote w:id="4">
    <w:p w:rsidR="00B81869" w:rsidRPr="00393CD6" w:rsidP="00B81869" w14:paraId="440D3103" w14:textId="77777777">
      <w:pPr>
        <w:pStyle w:val="FootnoteText"/>
      </w:pPr>
      <w:r w:rsidRPr="00393CD6">
        <w:rPr>
          <w:rStyle w:val="FootnoteReference"/>
        </w:rPr>
        <w:footnoteRef/>
      </w:r>
      <w:r w:rsidRPr="00393CD6">
        <w:t xml:space="preserve"> </w:t>
      </w:r>
      <w:bookmarkStart w:id="2" w:name="_Hlk508635113"/>
      <w:r w:rsidRPr="00393CD6">
        <w:rPr>
          <w:i/>
        </w:rPr>
        <w:t xml:space="preserve">See </w:t>
      </w:r>
      <w:r w:rsidRPr="00393CD6">
        <w:t>47 CFR §</w:t>
      </w:r>
      <w:bookmarkStart w:id="3" w:name="_Hlk4000501"/>
      <w:r>
        <w:t> </w:t>
      </w:r>
      <w:r w:rsidRPr="00393CD6">
        <w:t>1.773</w:t>
      </w:r>
      <w:bookmarkEnd w:id="2"/>
      <w:bookmarkEnd w:id="3"/>
      <w:r w:rsidRPr="00393CD6">
        <w:t>.</w:t>
      </w:r>
    </w:p>
  </w:footnote>
  <w:footnote w:id="5">
    <w:p w:rsidR="00B81869" w:rsidP="00B81869" w14:paraId="491E1B47" w14:textId="22407543">
      <w:pPr>
        <w:pStyle w:val="FootnoteText"/>
      </w:pPr>
      <w:r>
        <w:rPr>
          <w:rStyle w:val="FootnoteReference"/>
        </w:rPr>
        <w:footnoteRef/>
      </w:r>
      <w:r>
        <w:t xml:space="preserve"> </w:t>
      </w:r>
      <w:r w:rsidRPr="00393CD6">
        <w:rPr>
          <w:i/>
          <w:iCs/>
        </w:rPr>
        <w:t>Connect America Fund et al.</w:t>
      </w:r>
      <w:r w:rsidRPr="00393CD6">
        <w:rPr>
          <w:iCs/>
        </w:rPr>
        <w:t xml:space="preserve">, </w:t>
      </w:r>
      <w:r>
        <w:rPr>
          <w:iCs/>
        </w:rPr>
        <w:t xml:space="preserve">WC Docket No. 10-90, et al., </w:t>
      </w:r>
      <w:r w:rsidRPr="00393CD6">
        <w:t xml:space="preserve">Report and Order and Further Notice of Proposed Rulemaking, 26 FCC Rcd 17663, </w:t>
      </w:r>
      <w:r w:rsidRPr="00062708">
        <w:t xml:space="preserve">17677, 17934-35, </w:t>
      </w:r>
      <w:r w:rsidRPr="00393CD6">
        <w:t>18149, para</w:t>
      </w:r>
      <w:r>
        <w:t>s</w:t>
      </w:r>
      <w:r w:rsidRPr="00393CD6">
        <w:t xml:space="preserve">. </w:t>
      </w:r>
      <w:r>
        <w:t xml:space="preserve">36, 801 &amp; fig. 9, </w:t>
      </w:r>
      <w:r w:rsidRPr="00393CD6">
        <w:t>1404 (2011) (</w:t>
      </w:r>
      <w:r w:rsidRPr="00393CD6">
        <w:rPr>
          <w:i/>
          <w:iCs/>
        </w:rPr>
        <w:t>USF/ICC Transformation Order</w:t>
      </w:r>
      <w:r w:rsidRPr="00393CD6">
        <w:rPr>
          <w:iCs/>
        </w:rPr>
        <w:t>)</w:t>
      </w:r>
      <w:r w:rsidRPr="00393CD6">
        <w:t xml:space="preserve">, </w:t>
      </w:r>
      <w:r w:rsidRPr="00393CD6">
        <w:rPr>
          <w:i/>
        </w:rPr>
        <w:t>pets. for review denied sub nom.</w:t>
      </w:r>
      <w:r>
        <w:rPr>
          <w:i/>
        </w:rPr>
        <w:t xml:space="preserve"> </w:t>
      </w:r>
      <w:r w:rsidRPr="00393CD6">
        <w:rPr>
          <w:i/>
        </w:rPr>
        <w:t>In re: FCC 11-161</w:t>
      </w:r>
      <w:r w:rsidRPr="00393CD6">
        <w:t>, 753 F.3d 1015 (10th Cir. 2014)</w:t>
      </w:r>
      <w:r>
        <w:t>; 47 CFR §§ 51.915, 51.917</w:t>
      </w:r>
      <w:r w:rsidR="00103938">
        <w:t xml:space="preserve">; </w:t>
      </w:r>
      <w:r w:rsidRPr="00C759A2" w:rsidR="00103938">
        <w:rPr>
          <w:i/>
          <w:iCs/>
        </w:rPr>
        <w:t>see Reforming Legacy Rules for an All-IP Future</w:t>
      </w:r>
      <w:r w:rsidR="00103938">
        <w:t xml:space="preserve">, </w:t>
      </w:r>
      <w:r w:rsidRPr="00C759A2" w:rsidR="00AA52FC">
        <w:rPr>
          <w:i/>
          <w:iCs/>
        </w:rPr>
        <w:t>Accelerating Network Modernization</w:t>
      </w:r>
      <w:r w:rsidR="00AA52FC">
        <w:rPr>
          <w:i/>
          <w:iCs/>
        </w:rPr>
        <w:t>,</w:t>
      </w:r>
      <w:r w:rsidR="00AA52FC">
        <w:t xml:space="preserve"> </w:t>
      </w:r>
      <w:r w:rsidR="00103938">
        <w:t>WC Docket No</w:t>
      </w:r>
      <w:r w:rsidR="00AA52FC">
        <w:t>s</w:t>
      </w:r>
      <w:r w:rsidR="00103938">
        <w:t>. 25-311</w:t>
      </w:r>
      <w:r w:rsidR="00AA52FC">
        <w:t xml:space="preserve"> &amp; </w:t>
      </w:r>
      <w:r w:rsidR="00103938">
        <w:t>25-208, Notice of Proposed Rulemaking, FCC 26-11</w:t>
      </w:r>
      <w:r w:rsidR="00C460A5">
        <w:t>,</w:t>
      </w:r>
      <w:r w:rsidRPr="00C460A5" w:rsidR="00C460A5">
        <w:t xml:space="preserve"> 2026 WL 567517</w:t>
      </w:r>
      <w:r w:rsidR="00103938">
        <w:t xml:space="preserve"> (rel. Feb. 19, 2026)</w:t>
      </w:r>
      <w:r w:rsidRPr="00103938" w:rsidR="00103938">
        <w:t xml:space="preserve"> </w:t>
      </w:r>
      <w:r w:rsidR="00103938">
        <w:t>(</w:t>
      </w:r>
      <w:r w:rsidRPr="00103938" w:rsidR="00103938">
        <w:t>proposing comprehensive reform of the regulatory framework for voice telecommunications rates</w:t>
      </w:r>
      <w:r w:rsidR="00103938">
        <w:t>).</w:t>
      </w:r>
      <w:r>
        <w:t xml:space="preserve">  </w:t>
      </w:r>
    </w:p>
  </w:footnote>
  <w:footnote w:id="6">
    <w:p w:rsidR="00B81869" w:rsidP="00B81869" w14:paraId="23094ECF" w14:textId="77777777">
      <w:pPr>
        <w:pStyle w:val="FootnoteText"/>
      </w:pPr>
      <w:r>
        <w:rPr>
          <w:rStyle w:val="FootnoteReference"/>
        </w:rPr>
        <w:footnoteRef/>
      </w:r>
      <w:r>
        <w:t xml:space="preserve"> Price cap carriers were required to transition certain tariffed switched access rates effective July 1 on each of those years to bill-and-keep ($0) over a six-year period that ended in 2018.  Rate-of-return carriers were required to transition certain tariffed switched access rates effective July 1 on each of those years to bill-and-keep ($0) over a nine-year period that ended in 2020.  </w:t>
      </w:r>
      <w:r w:rsidRPr="0084298C">
        <w:rPr>
          <w:i/>
          <w:iCs/>
        </w:rPr>
        <w:t>See</w:t>
      </w:r>
      <w:r>
        <w:t xml:space="preserve"> </w:t>
      </w:r>
      <w:r w:rsidRPr="0084298C">
        <w:rPr>
          <w:i/>
          <w:iCs/>
        </w:rPr>
        <w:t>USF/ICC Transformation Order</w:t>
      </w:r>
      <w:r>
        <w:t>, 26 FCC Rcd at 17934-96, para. 801, fig. 9; 47 CFR §§ 51.907(h), 51.909(j).</w:t>
      </w:r>
    </w:p>
  </w:footnote>
  <w:footnote w:id="7">
    <w:p w:rsidR="00B81869" w:rsidRPr="00393CD6" w:rsidP="00B81869" w14:paraId="372110C6" w14:textId="3D09AC54">
      <w:pPr>
        <w:pStyle w:val="FootnoteText"/>
      </w:pPr>
      <w:r w:rsidRPr="00393CD6">
        <w:rPr>
          <w:rStyle w:val="FootnoteReference"/>
        </w:rPr>
        <w:footnoteRef/>
      </w:r>
      <w:r>
        <w:t xml:space="preserve"> </w:t>
      </w:r>
      <w:r w:rsidRPr="00EF532D">
        <w:rPr>
          <w:i/>
          <w:iCs/>
        </w:rPr>
        <w:t>USF/ICC Transformation Order</w:t>
      </w:r>
      <w:r>
        <w:t xml:space="preserve">, 26 FCC Rcd at 17677, 17956-96, paras. 36, 847-923; 47 CFR §§ 51.915, 51.917. </w:t>
      </w:r>
    </w:p>
  </w:footnote>
  <w:footnote w:id="8">
    <w:p w:rsidR="00B81869" w:rsidP="00B81869" w14:paraId="0A8D50E7" w14:textId="77777777">
      <w:pPr>
        <w:pStyle w:val="FootnoteText"/>
      </w:pPr>
      <w:r>
        <w:rPr>
          <w:rStyle w:val="FootnoteReference"/>
        </w:rPr>
        <w:footnoteRef/>
      </w:r>
      <w:r>
        <w:t xml:space="preserve"> Commission staff works with industry to prepare updated TRP worksheets every year.  TRP worksheets collect and display the information necessary to calculate Eligible Recovery in a consistent manner, facilitating review by Commission staff and interested parties.  </w:t>
      </w:r>
      <w:r w:rsidRPr="0036068F">
        <w:t xml:space="preserve">Carriers are free, however, to create and use their own TRPs, as long as those TRPs comply with </w:t>
      </w:r>
      <w:r>
        <w:t>the Commission’s</w:t>
      </w:r>
      <w:r w:rsidRPr="0036068F">
        <w:t xml:space="preserve"> rules.</w:t>
      </w:r>
      <w:r>
        <w:t xml:space="preserve">  </w:t>
      </w:r>
      <w:r w:rsidRPr="00676EF3">
        <w:rPr>
          <w:i/>
          <w:iCs/>
        </w:rPr>
        <w:t>See July 1, 2022 Annual Access Charge Tariff Filings</w:t>
      </w:r>
      <w:r w:rsidRPr="00676EF3">
        <w:t>, WC Docket No. 22-108, Order, 37 FCC Rcd 5972</w:t>
      </w:r>
      <w:r>
        <w:t>, 5972</w:t>
      </w:r>
      <w:r w:rsidRPr="00676EF3">
        <w:t>, para. 2 (PPD 2022).</w:t>
      </w:r>
    </w:p>
  </w:footnote>
  <w:footnote w:id="9">
    <w:p w:rsidR="00B81869" w:rsidP="00B81869" w14:paraId="6A6560A4" w14:textId="77777777">
      <w:pPr>
        <w:pStyle w:val="FootnoteText"/>
      </w:pPr>
      <w:r>
        <w:rPr>
          <w:rStyle w:val="FootnoteReference"/>
        </w:rPr>
        <w:footnoteRef/>
      </w:r>
      <w:r>
        <w:t xml:space="preserve"> </w:t>
      </w:r>
      <w:r w:rsidRPr="00CA5F0A">
        <w:rPr>
          <w:i/>
          <w:iCs/>
        </w:rPr>
        <w:t>See</w:t>
      </w:r>
      <w:r>
        <w:t xml:space="preserve"> </w:t>
      </w:r>
      <w:r w:rsidRPr="00CA5F0A">
        <w:rPr>
          <w:i/>
          <w:iCs/>
        </w:rPr>
        <w:t>USF/ICC Transformation Order</w:t>
      </w:r>
      <w:r>
        <w:t xml:space="preserve">, 26 FCC Rcd at </w:t>
      </w:r>
      <w:r w:rsidRPr="00393CD6">
        <w:t>18149, para</w:t>
      </w:r>
      <w:r>
        <w:t xml:space="preserve">. </w:t>
      </w:r>
      <w:r w:rsidRPr="00393CD6">
        <w:t>1404</w:t>
      </w:r>
      <w:r>
        <w:t xml:space="preserve"> (delegating authority to the Wireline Competition Bureau, as appropriate, to implement the rules adopted in the </w:t>
      </w:r>
      <w:r w:rsidRPr="00CA5F0A">
        <w:rPr>
          <w:i/>
          <w:iCs/>
        </w:rPr>
        <w:t>USF/ICC Transformation Order</w:t>
      </w:r>
      <w:r>
        <w:t xml:space="preserve">). </w:t>
      </w:r>
      <w:r w:rsidRPr="00393CD6">
        <w:t xml:space="preserve"> </w:t>
      </w:r>
    </w:p>
  </w:footnote>
  <w:footnote w:id="10">
    <w:p w:rsidR="00B81869" w:rsidRPr="00393CD6" w:rsidP="00B81869" w14:paraId="318693FD" w14:textId="63FB2675">
      <w:pPr>
        <w:pStyle w:val="FootnoteText"/>
      </w:pPr>
      <w:r w:rsidRPr="00393CD6">
        <w:rPr>
          <w:rStyle w:val="FootnoteReference"/>
        </w:rPr>
        <w:footnoteRef/>
      </w:r>
      <w:r w:rsidRPr="00393CD6">
        <w:t xml:space="preserve"> </w:t>
      </w:r>
      <w:r w:rsidRPr="00393CD6">
        <w:rPr>
          <w:i/>
        </w:rPr>
        <w:t>See</w:t>
      </w:r>
      <w:r w:rsidRPr="00393CD6">
        <w:t xml:space="preserve"> 47 CFR §</w:t>
      </w:r>
      <w:r>
        <w:t> </w:t>
      </w:r>
      <w:r w:rsidRPr="00393CD6">
        <w:t>69.3(a).</w:t>
      </w:r>
    </w:p>
  </w:footnote>
  <w:footnote w:id="11">
    <w:p w:rsidR="00B81869" w:rsidP="00B81869" w14:paraId="12E81F97" w14:textId="77777777">
      <w:pPr>
        <w:pStyle w:val="FootnoteText"/>
      </w:pPr>
      <w:r>
        <w:rPr>
          <w:rStyle w:val="FootnoteReference"/>
        </w:rPr>
        <w:footnoteRef/>
      </w:r>
      <w:r>
        <w:t xml:space="preserve"> 47 CFR § 69.3(b).</w:t>
      </w:r>
    </w:p>
  </w:footnote>
  <w:footnote w:id="12">
    <w:p w:rsidR="00B81869" w:rsidRPr="004A1ECD" w:rsidP="00B81869" w14:paraId="6E108CB0" w14:textId="0415245F">
      <w:pPr>
        <w:pStyle w:val="FootnoteText"/>
        <w:rPr>
          <w:b/>
          <w:bCs/>
        </w:rPr>
      </w:pPr>
      <w:r w:rsidRPr="00393CD6">
        <w:rPr>
          <w:rStyle w:val="FootnoteReference"/>
        </w:rPr>
        <w:footnoteRef/>
      </w:r>
      <w:r w:rsidRPr="00393CD6">
        <w:t xml:space="preserve"> 47 U.S.C. §</w:t>
      </w:r>
      <w:r>
        <w:t> </w:t>
      </w:r>
      <w:r w:rsidRPr="00393CD6">
        <w:t>204(a)(3)</w:t>
      </w:r>
      <w:r>
        <w:t xml:space="preserve"> (“</w:t>
      </w:r>
      <w:r w:rsidRPr="00BB43C6">
        <w:t>A local exchange carrier may file with the Commission a new or revised charge, classification, regulation, or practice on a streamlined basis</w:t>
      </w:r>
      <w:r>
        <w:t>…[which]…</w:t>
      </w:r>
      <w:r w:rsidRPr="00BB43C6">
        <w:t>shall be deemed lawful and shall be effective 7 days (in the case of a reduction in rates) or 15 days (in the case of an increase in rates) after the date on which it is filed with the Commission unless the Commission takes action</w:t>
      </w:r>
      <w:r>
        <w:t>…</w:t>
      </w:r>
      <w:r w:rsidRPr="00BB43C6">
        <w:t>before the end of that 7-day or 15-day period, as is appropriate.</w:t>
      </w:r>
      <w:r>
        <w:t>”)</w:t>
      </w:r>
      <w:r w:rsidRPr="00393CD6">
        <w:t>; 47 CFR § 61.58</w:t>
      </w:r>
      <w:r>
        <w:t>(a)(2)(i)</w:t>
      </w:r>
      <w:r w:rsidRPr="00393CD6">
        <w:t>.</w:t>
      </w:r>
    </w:p>
  </w:footnote>
  <w:footnote w:id="13">
    <w:p w:rsidR="00B81869" w:rsidP="00B81869" w14:paraId="0BF23BEB" w14:textId="77777777">
      <w:pPr>
        <w:pStyle w:val="FootnoteText"/>
      </w:pPr>
      <w:r>
        <w:rPr>
          <w:rStyle w:val="FootnoteReference"/>
        </w:rPr>
        <w:footnoteRef/>
      </w:r>
      <w:r>
        <w:t xml:space="preserve"> </w:t>
      </w:r>
      <w:r w:rsidRPr="00CB404E">
        <w:t>47 U.S.C. §</w:t>
      </w:r>
      <w:r>
        <w:t> </w:t>
      </w:r>
      <w:r w:rsidRPr="00CB404E">
        <w:t>204(a)(3)</w:t>
      </w:r>
      <w:r>
        <w:t>.</w:t>
      </w:r>
    </w:p>
  </w:footnote>
  <w:footnote w:id="14">
    <w:p w:rsidR="00B81869" w:rsidRPr="00393CD6" w:rsidP="00B81869" w14:paraId="66F16323" w14:textId="77777777">
      <w:pPr>
        <w:pStyle w:val="FootnoteText"/>
      </w:pPr>
      <w:r w:rsidRPr="00393CD6">
        <w:rPr>
          <w:rStyle w:val="FootnoteReference"/>
        </w:rPr>
        <w:footnoteRef/>
      </w:r>
      <w:r w:rsidRPr="00393CD6">
        <w:t xml:space="preserve"> 47 CFR </w:t>
      </w:r>
      <w:bookmarkStart w:id="4" w:name="_Hlk34403158"/>
      <w:r w:rsidRPr="00393CD6">
        <w:t>§</w:t>
      </w:r>
      <w:bookmarkEnd w:id="4"/>
      <w:r>
        <w:t> </w:t>
      </w:r>
      <w:r w:rsidRPr="00393CD6">
        <w:t>61.43.</w:t>
      </w:r>
    </w:p>
  </w:footnote>
  <w:footnote w:id="15">
    <w:p w:rsidR="00B81869" w:rsidRPr="00393CD6" w:rsidP="00B81869" w14:paraId="55751B77" w14:textId="44182033">
      <w:pPr>
        <w:pStyle w:val="FootnoteText"/>
      </w:pPr>
      <w:r w:rsidRPr="00393CD6">
        <w:rPr>
          <w:rStyle w:val="FootnoteReference"/>
        </w:rPr>
        <w:footnoteRef/>
      </w:r>
      <w:r w:rsidRPr="00393CD6">
        <w:t xml:space="preserve"> 47 CFR §</w:t>
      </w:r>
      <w:r>
        <w:t>§ </w:t>
      </w:r>
      <w:r w:rsidR="00A46A82">
        <w:t>61.38</w:t>
      </w:r>
      <w:r>
        <w:t>,</w:t>
      </w:r>
      <w:r w:rsidRPr="00393CD6">
        <w:t xml:space="preserve"> 69.3(f)</w:t>
      </w:r>
      <w:r>
        <w:t>(</w:t>
      </w:r>
      <w:r w:rsidR="00A46A82">
        <w:t>1</w:t>
      </w:r>
      <w:r>
        <w:t>)</w:t>
      </w:r>
      <w:r w:rsidRPr="00393CD6">
        <w:t>.</w:t>
      </w:r>
    </w:p>
  </w:footnote>
  <w:footnote w:id="16">
    <w:p w:rsidR="00B81869" w:rsidRPr="00393CD6" w:rsidP="00B81869" w14:paraId="08AB97B3" w14:textId="6C980F14">
      <w:pPr>
        <w:pStyle w:val="FootnoteText"/>
      </w:pPr>
      <w:r w:rsidRPr="00393CD6">
        <w:rPr>
          <w:rStyle w:val="FootnoteReference"/>
        </w:rPr>
        <w:footnoteRef/>
      </w:r>
      <w:r w:rsidRPr="00393CD6">
        <w:t xml:space="preserve"> 47 CFR §</w:t>
      </w:r>
      <w:r>
        <w:t> </w:t>
      </w:r>
      <w:r w:rsidRPr="00393CD6">
        <w:t>61.</w:t>
      </w:r>
      <w:r w:rsidR="00A46A82">
        <w:t>39</w:t>
      </w:r>
      <w:r w:rsidRPr="00393CD6">
        <w:t xml:space="preserve">. </w:t>
      </w:r>
    </w:p>
  </w:footnote>
  <w:footnote w:id="17">
    <w:p w:rsidR="00B81869" w:rsidRPr="001C14F7" w:rsidP="00B81869" w14:paraId="39E75DFB" w14:textId="20876834">
      <w:pPr>
        <w:pStyle w:val="FootnoteText"/>
      </w:pPr>
      <w:r w:rsidRPr="001C14F7">
        <w:rPr>
          <w:rStyle w:val="FootnoteReference"/>
        </w:rPr>
        <w:footnoteRef/>
      </w:r>
      <w:r w:rsidRPr="001C14F7">
        <w:t xml:space="preserve"> 47 CFR §</w:t>
      </w:r>
      <w:r>
        <w:t> </w:t>
      </w:r>
      <w:r w:rsidRPr="001C14F7">
        <w:t>69.3(f)(</w:t>
      </w:r>
      <w:r w:rsidR="00A46A82">
        <w:t>2</w:t>
      </w:r>
      <w:r w:rsidRPr="001C14F7">
        <w:t>).</w:t>
      </w:r>
    </w:p>
  </w:footnote>
  <w:footnote w:id="18">
    <w:p w:rsidR="00B81869" w:rsidRPr="001C14F7" w:rsidP="00B81869" w14:paraId="7C0D499C" w14:textId="77777777">
      <w:pPr>
        <w:pStyle w:val="FootnoteText"/>
      </w:pPr>
      <w:r w:rsidRPr="001C14F7">
        <w:rPr>
          <w:rStyle w:val="FootnoteReference"/>
        </w:rPr>
        <w:footnoteRef/>
      </w:r>
      <w:r w:rsidRPr="001C14F7">
        <w:t xml:space="preserve"> 47 CFR §</w:t>
      </w:r>
      <w:r>
        <w:t> </w:t>
      </w:r>
      <w:r w:rsidRPr="001C14F7">
        <w:t>51.917(d)(1)(iv), (e)</w:t>
      </w:r>
      <w:r>
        <w:t>, (f</w:t>
      </w:r>
      <w:r w:rsidRPr="001C14F7">
        <w:t>).</w:t>
      </w:r>
    </w:p>
  </w:footnote>
  <w:footnote w:id="19">
    <w:p w:rsidR="00B369B2" w14:paraId="4D76C89D" w14:textId="46A9417C">
      <w:pPr>
        <w:pStyle w:val="FootnoteText"/>
      </w:pPr>
      <w:r>
        <w:rPr>
          <w:rStyle w:val="FootnoteReference"/>
        </w:rPr>
        <w:footnoteRef/>
      </w:r>
      <w:r>
        <w:t xml:space="preserve"> </w:t>
      </w:r>
      <w:r w:rsidRPr="0084155F">
        <w:rPr>
          <w:i/>
          <w:iCs/>
        </w:rPr>
        <w:t>See</w:t>
      </w:r>
      <w:r>
        <w:t xml:space="preserve"> 4</w:t>
      </w:r>
      <w:r w:rsidRPr="001C14F7">
        <w:t>7 CFR §</w:t>
      </w:r>
      <w:r>
        <w:t> </w:t>
      </w:r>
      <w:r w:rsidRPr="001C14F7">
        <w:t>61.13(b).</w:t>
      </w:r>
      <w:r>
        <w:t xml:space="preserve">  Access to ETFS is available here: </w:t>
      </w:r>
      <w:hyperlink r:id="rId1" w:history="1">
        <w:r w:rsidRPr="00AE6B82">
          <w:rPr>
            <w:rStyle w:val="Hyperlink"/>
          </w:rPr>
          <w:t>https://apps.fcc.gov/etfs/etfsHome.action</w:t>
        </w:r>
      </w:hyperlink>
      <w:r>
        <w:t>.</w:t>
      </w:r>
    </w:p>
  </w:footnote>
  <w:footnote w:id="20">
    <w:p w:rsidR="00B369B2" w14:paraId="0C470076" w14:textId="0BBDE942">
      <w:pPr>
        <w:pStyle w:val="FootnoteText"/>
      </w:pPr>
      <w:r>
        <w:rPr>
          <w:rStyle w:val="FootnoteReference"/>
        </w:rPr>
        <w:footnoteRef/>
      </w:r>
      <w:r>
        <w:t xml:space="preserve"> 47 CFR § 1.1105</w:t>
      </w:r>
      <w:r w:rsidRPr="00A53833">
        <w:t xml:space="preserve">.   For more information about the CORES Payment System, please visit: </w:t>
      </w:r>
      <w:hyperlink r:id="rId2" w:history="1">
        <w:r w:rsidRPr="00A53833">
          <w:rPr>
            <w:rStyle w:val="Hyperlink"/>
          </w:rPr>
          <w:t>https://www.fcc.gov/licensing-databases/fees/cores-payment-system</w:t>
        </w:r>
      </w:hyperlink>
      <w:r w:rsidRPr="00A53833">
        <w:t>.</w:t>
      </w:r>
    </w:p>
  </w:footnote>
  <w:footnote w:id="21">
    <w:p w:rsidR="00590A88" w14:paraId="2EF12F07" w14:textId="7DF4C175">
      <w:pPr>
        <w:pStyle w:val="FootnoteText"/>
      </w:pPr>
      <w:r>
        <w:rPr>
          <w:rStyle w:val="FootnoteReference"/>
        </w:rPr>
        <w:footnoteRef/>
      </w:r>
      <w:r>
        <w:t xml:space="preserve"> </w:t>
      </w:r>
      <w:r w:rsidRPr="00C759A2">
        <w:rPr>
          <w:i/>
          <w:iCs/>
        </w:rPr>
        <w:t xml:space="preserve">See </w:t>
      </w:r>
      <w:r>
        <w:t xml:space="preserve">47 CFR § 1.4(f) (noting Commission’s pre-7:00 p.m. deadline). </w:t>
      </w:r>
    </w:p>
  </w:footnote>
  <w:footnote w:id="22">
    <w:p w:rsidR="002441FB" w14:paraId="02FFED95" w14:textId="77EE56A3">
      <w:pPr>
        <w:pStyle w:val="FootnoteText"/>
      </w:pPr>
      <w:r>
        <w:rPr>
          <w:rStyle w:val="FootnoteReference"/>
        </w:rPr>
        <w:footnoteRef/>
      </w:r>
      <w:r>
        <w:t xml:space="preserve"> </w:t>
      </w:r>
      <w:r w:rsidRPr="00C759A2">
        <w:rPr>
          <w:i/>
          <w:iCs/>
        </w:rPr>
        <w:t>Id</w:t>
      </w:r>
      <w:r>
        <w:t>.</w:t>
      </w:r>
    </w:p>
  </w:footnote>
  <w:footnote w:id="23">
    <w:p w:rsidR="00531212" w14:paraId="49B623B7" w14:textId="3E185901">
      <w:pPr>
        <w:pStyle w:val="FootnoteText"/>
      </w:pPr>
      <w:r>
        <w:rPr>
          <w:rStyle w:val="FootnoteReference"/>
        </w:rPr>
        <w:footnoteRef/>
      </w:r>
      <w:r>
        <w:t xml:space="preserve"> </w:t>
      </w:r>
      <w:r w:rsidRPr="00C759A2">
        <w:rPr>
          <w:i/>
          <w:iCs/>
        </w:rPr>
        <w:t>See</w:t>
      </w:r>
      <w:r>
        <w:t xml:space="preserve"> 47 CFR §1.773(a)(2)(iii), (b)(</w:t>
      </w:r>
      <w:r w:rsidR="0017168D">
        <w:t>1</w:t>
      </w:r>
      <w:r>
        <w:t>)(iii)</w:t>
      </w:r>
      <w:r w:rsidR="00425062">
        <w:t xml:space="preserve">; </w:t>
      </w:r>
      <w:r w:rsidRPr="00C759A2" w:rsidR="00425062">
        <w:rPr>
          <w:i/>
          <w:iCs/>
        </w:rPr>
        <w:t>id</w:t>
      </w:r>
      <w:r w:rsidR="00425062">
        <w:t>.</w:t>
      </w:r>
      <w:r>
        <w:t xml:space="preserve"> </w:t>
      </w:r>
      <w:r w:rsidR="00425062">
        <w:t xml:space="preserve">§ </w:t>
      </w:r>
      <w:r>
        <w:t>1.4(j)</w:t>
      </w:r>
      <w:r w:rsidRPr="00207407" w:rsidR="00207407">
        <w:t xml:space="preserve"> </w:t>
      </w:r>
      <w:r w:rsidR="00207407">
        <w:t>(</w:t>
      </w:r>
      <w:r w:rsidRPr="00207407" w:rsidR="00207407">
        <w:t>if</w:t>
      </w:r>
      <w:r w:rsidR="00207407">
        <w:t xml:space="preserve"> </w:t>
      </w:r>
      <w:r w:rsidRPr="00207407" w:rsidR="00207407">
        <w:t>the filing date falls on a holiday, the document shall be filed on the next business day</w:t>
      </w:r>
      <w:r w:rsidR="00207407">
        <w:t xml:space="preserve">); </w:t>
      </w:r>
      <w:r w:rsidRPr="00C759A2" w:rsidR="00207407">
        <w:rPr>
          <w:i/>
          <w:iCs/>
        </w:rPr>
        <w:t>id</w:t>
      </w:r>
      <w:r w:rsidR="00207407">
        <w:t>. § 1.4</w:t>
      </w:r>
      <w:r w:rsidR="004E0306">
        <w:t>(e)</w:t>
      </w:r>
      <w:r w:rsidR="00207407">
        <w:t>(</w:t>
      </w:r>
      <w:r w:rsidR="004E0306">
        <w:t>1</w:t>
      </w:r>
      <w:r w:rsidR="00207407">
        <w:t xml:space="preserve">) (defining “holiday” as including a Saturday or Sunday).  </w:t>
      </w:r>
    </w:p>
  </w:footnote>
  <w:footnote w:id="24">
    <w:p w:rsidR="00531212" w14:paraId="1B88419D" w14:textId="63BD39D9">
      <w:pPr>
        <w:pStyle w:val="FootnoteText"/>
      </w:pPr>
      <w:r>
        <w:rPr>
          <w:rStyle w:val="FootnoteReference"/>
        </w:rPr>
        <w:footnoteRef/>
      </w:r>
      <w:r>
        <w:t xml:space="preserve"> </w:t>
      </w:r>
      <w:r w:rsidRPr="00C759A2">
        <w:rPr>
          <w:i/>
          <w:iCs/>
        </w:rPr>
        <w:t>See</w:t>
      </w:r>
      <w:r w:rsidRPr="00531212">
        <w:t xml:space="preserve"> 47 CFR § 1.773</w:t>
      </w:r>
      <w:r w:rsidR="007369D5">
        <w:t>(a)</w:t>
      </w:r>
      <w:r w:rsidR="0017168D">
        <w:t>(2)</w:t>
      </w:r>
      <w:r w:rsidR="00F126EB">
        <w:t>(i), (b)</w:t>
      </w:r>
      <w:r w:rsidR="0017168D">
        <w:t>(1)</w:t>
      </w:r>
      <w:r w:rsidR="00F126EB">
        <w:t>(i)</w:t>
      </w:r>
      <w:r w:rsidR="007369D5">
        <w:t xml:space="preserve">; </w:t>
      </w:r>
      <w:r w:rsidRPr="00C759A2" w:rsidR="007369D5">
        <w:rPr>
          <w:i/>
          <w:iCs/>
        </w:rPr>
        <w:t>id</w:t>
      </w:r>
      <w:r w:rsidR="007369D5">
        <w:t>.</w:t>
      </w:r>
      <w:r w:rsidRPr="00531212">
        <w:t xml:space="preserve"> </w:t>
      </w:r>
      <w:r w:rsidR="007369D5">
        <w:t xml:space="preserve">§ </w:t>
      </w:r>
      <w:r w:rsidRPr="00531212">
        <w:t>1.4</w:t>
      </w:r>
      <w:r>
        <w:t>(j)</w:t>
      </w:r>
      <w:r w:rsidRPr="00531212">
        <w:t>.</w:t>
      </w:r>
    </w:p>
  </w:footnote>
  <w:footnote w:id="25">
    <w:p w:rsidR="00B369B2" w14:paraId="7D3DFB41" w14:textId="1DFA87D3">
      <w:pPr>
        <w:pStyle w:val="FootnoteText"/>
      </w:pPr>
      <w:r>
        <w:rPr>
          <w:rStyle w:val="FootnoteReference"/>
        </w:rPr>
        <w:footnoteRef/>
      </w:r>
      <w:r w:rsidRPr="00B369B2">
        <w:rPr>
          <w:i/>
          <w:iCs/>
        </w:rPr>
        <w:t xml:space="preserve"> See</w:t>
      </w:r>
      <w:r w:rsidRPr="00B369B2">
        <w:t xml:space="preserve"> 47 CFR §§ 1.3, 1.4(f), 1.773(a), (b).</w:t>
      </w:r>
    </w:p>
  </w:footnote>
  <w:footnote w:id="26">
    <w:p w:rsidR="00B369B2" w14:paraId="3FADE58F" w14:textId="29687C2B">
      <w:pPr>
        <w:pStyle w:val="FootnoteText"/>
      </w:pPr>
      <w:r>
        <w:rPr>
          <w:rStyle w:val="FootnoteReference"/>
        </w:rPr>
        <w:footnoteRef/>
      </w:r>
      <w:r>
        <w:t xml:space="preserve"> </w:t>
      </w:r>
      <w:r w:rsidRPr="00B369B2">
        <w:rPr>
          <w:i/>
          <w:iCs/>
        </w:rPr>
        <w:t>Id</w:t>
      </w:r>
      <w:r w:rsidRPr="00B369B2">
        <w:t>. §§ 1.419, 1.773.</w:t>
      </w:r>
    </w:p>
  </w:footnote>
  <w:footnote w:id="27">
    <w:p w:rsidR="00B369B2" w:rsidRPr="001C14F7" w:rsidP="00B369B2" w14:paraId="5320BDCB" w14:textId="77777777">
      <w:pPr>
        <w:pStyle w:val="FootnoteText"/>
      </w:pPr>
      <w:r w:rsidRPr="001C14F7">
        <w:rPr>
          <w:rStyle w:val="FootnoteReference"/>
        </w:rPr>
        <w:footnoteRef/>
      </w:r>
      <w:r w:rsidRPr="001C14F7">
        <w:t xml:space="preserve"> </w:t>
      </w:r>
      <w:r w:rsidRPr="0069140D">
        <w:rPr>
          <w:i/>
        </w:rPr>
        <w:t>See Electronic Filing of Documents in Rulemaking Proceedings</w:t>
      </w:r>
      <w:r w:rsidRPr="0069140D">
        <w:t>, 63 FR 24121 (1998).</w:t>
      </w:r>
    </w:p>
  </w:footnote>
  <w:footnote w:id="28">
    <w:p w:rsidR="00B369B2" w:rsidRPr="001C14F7" w:rsidP="00B369B2" w14:paraId="2A1DFB66" w14:textId="77777777">
      <w:pPr>
        <w:pStyle w:val="FootnoteText"/>
        <w:rPr>
          <w:i/>
          <w:iCs/>
        </w:rPr>
      </w:pPr>
      <w:r w:rsidRPr="001C14F7">
        <w:rPr>
          <w:rStyle w:val="FootnoteReference"/>
        </w:rPr>
        <w:footnoteRef/>
      </w:r>
      <w:r w:rsidRPr="001C14F7">
        <w:t xml:space="preserve"> 47 CFR §</w:t>
      </w:r>
      <w:r>
        <w:t> </w:t>
      </w:r>
      <w:r w:rsidRPr="001C14F7">
        <w:t xml:space="preserve">1.1200 </w:t>
      </w:r>
      <w:r w:rsidRPr="001C14F7">
        <w:rPr>
          <w:i/>
          <w:iCs/>
        </w:rPr>
        <w:t>et seq.</w:t>
      </w:r>
    </w:p>
  </w:footnote>
  <w:footnote w:id="29">
    <w:p w:rsidR="00B369B2" w:rsidRPr="001C14F7" w:rsidP="00B369B2" w14:paraId="5B424C0C" w14:textId="7493E9EA">
      <w:pPr>
        <w:pStyle w:val="FootnoteText"/>
      </w:pPr>
      <w:r w:rsidRPr="001C14F7">
        <w:rPr>
          <w:rStyle w:val="FootnoteReference"/>
        </w:rPr>
        <w:footnoteRef/>
      </w:r>
      <w:r w:rsidRPr="001C14F7">
        <w:t xml:space="preserve"> </w:t>
      </w:r>
      <w:r w:rsidRPr="001C14F7">
        <w:rPr>
          <w:i/>
        </w:rPr>
        <w:t xml:space="preserve">See </w:t>
      </w:r>
      <w:r w:rsidRPr="001C14F7">
        <w:rPr>
          <w:i/>
          <w:iCs/>
        </w:rPr>
        <w:t>id</w:t>
      </w:r>
      <w:r w:rsidRPr="001C14F7">
        <w:t>. §</w:t>
      </w:r>
      <w:r>
        <w:t> </w:t>
      </w:r>
      <w:r w:rsidRPr="001C14F7">
        <w:t xml:space="preserve">1.773(a)(4), (b)(3).  </w:t>
      </w:r>
    </w:p>
  </w:footnote>
  <w:footnote w:id="30">
    <w:p w:rsidR="00B369B2" w:rsidRPr="001C14F7" w:rsidP="00B369B2" w14:paraId="196C59F4" w14:textId="77777777">
      <w:pPr>
        <w:pStyle w:val="FootnoteText"/>
      </w:pPr>
      <w:r w:rsidRPr="001C14F7">
        <w:rPr>
          <w:rStyle w:val="FootnoteReference"/>
        </w:rPr>
        <w:footnoteRef/>
      </w:r>
      <w:r w:rsidRPr="001C14F7">
        <w:t xml:space="preserve"> </w:t>
      </w:r>
      <w:r w:rsidRPr="001C14F7">
        <w:rPr>
          <w:i/>
          <w:iCs/>
        </w:rPr>
        <w:t>Id</w:t>
      </w:r>
      <w:r w:rsidRPr="001C14F7">
        <w:t>. §§</w:t>
      </w:r>
      <w:r>
        <w:t> </w:t>
      </w:r>
      <w:r w:rsidRPr="001C14F7">
        <w:t xml:space="preserve">1.3, 1.47(d), 1.773(a)(4), (b)(3).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99B5559" w14:textId="2464FDF6">
    <w:pPr>
      <w:pStyle w:val="Header"/>
      <w:rPr>
        <w:b w:val="0"/>
      </w:rPr>
    </w:pPr>
    <w:r>
      <w:tab/>
      <w:t>Federal Communications Commission</w:t>
    </w:r>
    <w:r>
      <w:tab/>
    </w:r>
    <w:r w:rsidRPr="0089225E" w:rsidR="00F26D1D">
      <w:t xml:space="preserve">DA </w:t>
    </w:r>
    <w:r w:rsidRPr="0089225E" w:rsidR="0068222C">
      <w:t>26-</w:t>
    </w:r>
    <w:r w:rsidRPr="0089225E" w:rsidR="0089225E">
      <w:t>254</w:t>
    </w:r>
  </w:p>
  <w:p w:rsidR="00D25FB5" w14:paraId="072629D4" w14:textId="3396B74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5E1F4C1B"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DAAE27B" w14:textId="3F4E54AD">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Pr="0089225E" w:rsidR="00C91BDD">
      <w:rPr>
        <w:spacing w:val="-2"/>
      </w:rPr>
      <w:t xml:space="preserve">DA </w:t>
    </w:r>
    <w:r w:rsidRPr="0089225E" w:rsidR="0068222C">
      <w:rPr>
        <w:spacing w:val="-2"/>
      </w:rPr>
      <w:t>26-</w:t>
    </w:r>
    <w:r w:rsidRPr="0089225E" w:rsidR="0089225E">
      <w:rPr>
        <w:spacing w:val="-2"/>
      </w:rPr>
      <w:t>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8D4AF2E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0E225D9"/>
    <w:multiLevelType w:val="hybridMultilevel"/>
    <w:tmpl w:val="DEFE62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TimesNewRoman"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TimesNewRoman"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5FFD2FBC"/>
    <w:multiLevelType w:val="hybridMultilevel"/>
    <w:tmpl w:val="E0A81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133447972">
    <w:abstractNumId w:val="1"/>
  </w:num>
  <w:num w:numId="2" w16cid:durableId="519701224">
    <w:abstractNumId w:val="7"/>
  </w:num>
  <w:num w:numId="3" w16cid:durableId="876433877">
    <w:abstractNumId w:val="3"/>
  </w:num>
  <w:num w:numId="4" w16cid:durableId="583606341">
    <w:abstractNumId w:val="4"/>
  </w:num>
  <w:num w:numId="5" w16cid:durableId="672533122">
    <w:abstractNumId w:val="2"/>
  </w:num>
  <w:num w:numId="6" w16cid:durableId="1510169803">
    <w:abstractNumId w:val="0"/>
  </w:num>
  <w:num w:numId="7" w16cid:durableId="672075660">
    <w:abstractNumId w:val="7"/>
    <w:lvlOverride w:ilvl="0">
      <w:startOverride w:val="1"/>
    </w:lvlOverride>
  </w:num>
  <w:num w:numId="8" w16cid:durableId="2097166253">
    <w:abstractNumId w:val="7"/>
  </w:num>
  <w:num w:numId="9" w16cid:durableId="329916161">
    <w:abstractNumId w:val="7"/>
  </w:num>
  <w:num w:numId="10" w16cid:durableId="775441710">
    <w:abstractNumId w:val="7"/>
  </w:num>
  <w:num w:numId="11" w16cid:durableId="1029374435">
    <w:abstractNumId w:val="7"/>
  </w:num>
  <w:num w:numId="12" w16cid:durableId="975332398">
    <w:abstractNumId w:val="3"/>
  </w:num>
  <w:num w:numId="13" w16cid:durableId="714427926">
    <w:abstractNumId w:val="7"/>
  </w:num>
  <w:num w:numId="14" w16cid:durableId="1843743122">
    <w:abstractNumId w:val="7"/>
  </w:num>
  <w:num w:numId="15" w16cid:durableId="1277175385">
    <w:abstractNumId w:val="7"/>
  </w:num>
  <w:num w:numId="16" w16cid:durableId="731545145">
    <w:abstractNumId w:val="7"/>
  </w:num>
  <w:num w:numId="17" w16cid:durableId="1849906556">
    <w:abstractNumId w:val="7"/>
  </w:num>
  <w:num w:numId="18" w16cid:durableId="1851796511">
    <w:abstractNumId w:val="6"/>
  </w:num>
  <w:num w:numId="19" w16cid:durableId="1021469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9"/>
    <w:rsid w:val="00036039"/>
    <w:rsid w:val="00037F90"/>
    <w:rsid w:val="0004588E"/>
    <w:rsid w:val="00050AF9"/>
    <w:rsid w:val="00062708"/>
    <w:rsid w:val="000661B3"/>
    <w:rsid w:val="000875BF"/>
    <w:rsid w:val="00096D8C"/>
    <w:rsid w:val="000C0B65"/>
    <w:rsid w:val="000D2CE1"/>
    <w:rsid w:val="000E05FE"/>
    <w:rsid w:val="000E3D42"/>
    <w:rsid w:val="00103938"/>
    <w:rsid w:val="00122BD5"/>
    <w:rsid w:val="00133F79"/>
    <w:rsid w:val="001556C5"/>
    <w:rsid w:val="00166DA7"/>
    <w:rsid w:val="0017168D"/>
    <w:rsid w:val="00180CE7"/>
    <w:rsid w:val="00194A66"/>
    <w:rsid w:val="001A0972"/>
    <w:rsid w:val="001C14F7"/>
    <w:rsid w:val="001D6BCF"/>
    <w:rsid w:val="001E01CA"/>
    <w:rsid w:val="00207407"/>
    <w:rsid w:val="00243513"/>
    <w:rsid w:val="002441FB"/>
    <w:rsid w:val="00275CF5"/>
    <w:rsid w:val="0028301F"/>
    <w:rsid w:val="002838B6"/>
    <w:rsid w:val="00285017"/>
    <w:rsid w:val="00293DC2"/>
    <w:rsid w:val="002A1DB7"/>
    <w:rsid w:val="002A2D2E"/>
    <w:rsid w:val="002A55C2"/>
    <w:rsid w:val="002C00E8"/>
    <w:rsid w:val="002E5139"/>
    <w:rsid w:val="00330407"/>
    <w:rsid w:val="00343749"/>
    <w:rsid w:val="0034612B"/>
    <w:rsid w:val="0036068F"/>
    <w:rsid w:val="003632C2"/>
    <w:rsid w:val="003660ED"/>
    <w:rsid w:val="00393CD6"/>
    <w:rsid w:val="003A23CF"/>
    <w:rsid w:val="003B0550"/>
    <w:rsid w:val="003B694F"/>
    <w:rsid w:val="003C6C25"/>
    <w:rsid w:val="003E39B5"/>
    <w:rsid w:val="003F171C"/>
    <w:rsid w:val="00412FC5"/>
    <w:rsid w:val="00422276"/>
    <w:rsid w:val="004242F1"/>
    <w:rsid w:val="00425062"/>
    <w:rsid w:val="004324BF"/>
    <w:rsid w:val="004360F8"/>
    <w:rsid w:val="00445A00"/>
    <w:rsid w:val="00451B0F"/>
    <w:rsid w:val="0047264B"/>
    <w:rsid w:val="0047505C"/>
    <w:rsid w:val="0048791D"/>
    <w:rsid w:val="004924EB"/>
    <w:rsid w:val="0049491A"/>
    <w:rsid w:val="004A1ECD"/>
    <w:rsid w:val="004A522C"/>
    <w:rsid w:val="004C2EE3"/>
    <w:rsid w:val="004C5F18"/>
    <w:rsid w:val="004E0306"/>
    <w:rsid w:val="004E4A22"/>
    <w:rsid w:val="00511968"/>
    <w:rsid w:val="00531212"/>
    <w:rsid w:val="0055614C"/>
    <w:rsid w:val="00566D06"/>
    <w:rsid w:val="0057149E"/>
    <w:rsid w:val="005774F7"/>
    <w:rsid w:val="00590A88"/>
    <w:rsid w:val="005E14C2"/>
    <w:rsid w:val="00607BA5"/>
    <w:rsid w:val="0061180A"/>
    <w:rsid w:val="00626EB6"/>
    <w:rsid w:val="00637BDD"/>
    <w:rsid w:val="00644AB8"/>
    <w:rsid w:val="00655D03"/>
    <w:rsid w:val="00676EF3"/>
    <w:rsid w:val="0068222C"/>
    <w:rsid w:val="00683388"/>
    <w:rsid w:val="00683532"/>
    <w:rsid w:val="00683F84"/>
    <w:rsid w:val="0069140D"/>
    <w:rsid w:val="006A6A81"/>
    <w:rsid w:val="006B3EE7"/>
    <w:rsid w:val="006B6BBB"/>
    <w:rsid w:val="006F7393"/>
    <w:rsid w:val="006F77DF"/>
    <w:rsid w:val="0070224F"/>
    <w:rsid w:val="00703E65"/>
    <w:rsid w:val="00704EF3"/>
    <w:rsid w:val="007115F7"/>
    <w:rsid w:val="00714BD2"/>
    <w:rsid w:val="007344CD"/>
    <w:rsid w:val="007369D5"/>
    <w:rsid w:val="00785689"/>
    <w:rsid w:val="0079754B"/>
    <w:rsid w:val="007A0B68"/>
    <w:rsid w:val="007A1E6D"/>
    <w:rsid w:val="007A228B"/>
    <w:rsid w:val="007B0EB2"/>
    <w:rsid w:val="007D5CC6"/>
    <w:rsid w:val="0080457C"/>
    <w:rsid w:val="008101EB"/>
    <w:rsid w:val="00810B6F"/>
    <w:rsid w:val="00822CE0"/>
    <w:rsid w:val="0084155F"/>
    <w:rsid w:val="00841AB1"/>
    <w:rsid w:val="0084298C"/>
    <w:rsid w:val="008452C9"/>
    <w:rsid w:val="00882EAC"/>
    <w:rsid w:val="0089225E"/>
    <w:rsid w:val="00894AEB"/>
    <w:rsid w:val="008A7535"/>
    <w:rsid w:val="008B4AB8"/>
    <w:rsid w:val="008C68F1"/>
    <w:rsid w:val="008E44CF"/>
    <w:rsid w:val="008E4B29"/>
    <w:rsid w:val="008F3D36"/>
    <w:rsid w:val="00911D5B"/>
    <w:rsid w:val="00921803"/>
    <w:rsid w:val="00926503"/>
    <w:rsid w:val="009374AE"/>
    <w:rsid w:val="009726D8"/>
    <w:rsid w:val="0098513C"/>
    <w:rsid w:val="00993897"/>
    <w:rsid w:val="009B6ACE"/>
    <w:rsid w:val="009D7308"/>
    <w:rsid w:val="009F76DB"/>
    <w:rsid w:val="00A23387"/>
    <w:rsid w:val="00A32C3B"/>
    <w:rsid w:val="00A34929"/>
    <w:rsid w:val="00A45F4F"/>
    <w:rsid w:val="00A46A82"/>
    <w:rsid w:val="00A53833"/>
    <w:rsid w:val="00A5705F"/>
    <w:rsid w:val="00A600A9"/>
    <w:rsid w:val="00A704D2"/>
    <w:rsid w:val="00AA52FC"/>
    <w:rsid w:val="00AA55B7"/>
    <w:rsid w:val="00AA5B9E"/>
    <w:rsid w:val="00AB2407"/>
    <w:rsid w:val="00AB53DF"/>
    <w:rsid w:val="00AE4B54"/>
    <w:rsid w:val="00AE6B82"/>
    <w:rsid w:val="00B013C6"/>
    <w:rsid w:val="00B068FC"/>
    <w:rsid w:val="00B07E5C"/>
    <w:rsid w:val="00B369B2"/>
    <w:rsid w:val="00B40CAC"/>
    <w:rsid w:val="00B42602"/>
    <w:rsid w:val="00B52924"/>
    <w:rsid w:val="00B75155"/>
    <w:rsid w:val="00B77392"/>
    <w:rsid w:val="00B811F7"/>
    <w:rsid w:val="00B81869"/>
    <w:rsid w:val="00B82659"/>
    <w:rsid w:val="00BA5DC6"/>
    <w:rsid w:val="00BA6196"/>
    <w:rsid w:val="00BB43C6"/>
    <w:rsid w:val="00BB5B12"/>
    <w:rsid w:val="00BC2E2F"/>
    <w:rsid w:val="00BC6D8C"/>
    <w:rsid w:val="00BD2298"/>
    <w:rsid w:val="00BD5A96"/>
    <w:rsid w:val="00BF143B"/>
    <w:rsid w:val="00C07989"/>
    <w:rsid w:val="00C34006"/>
    <w:rsid w:val="00C36B4C"/>
    <w:rsid w:val="00C426B1"/>
    <w:rsid w:val="00C460A5"/>
    <w:rsid w:val="00C521C6"/>
    <w:rsid w:val="00C66160"/>
    <w:rsid w:val="00C721AC"/>
    <w:rsid w:val="00C759A2"/>
    <w:rsid w:val="00C90D6A"/>
    <w:rsid w:val="00C91BDD"/>
    <w:rsid w:val="00C95A7F"/>
    <w:rsid w:val="00CA247E"/>
    <w:rsid w:val="00CA5F0A"/>
    <w:rsid w:val="00CA6D21"/>
    <w:rsid w:val="00CB404E"/>
    <w:rsid w:val="00CB7418"/>
    <w:rsid w:val="00CC72B6"/>
    <w:rsid w:val="00CD1368"/>
    <w:rsid w:val="00D0218D"/>
    <w:rsid w:val="00D0713D"/>
    <w:rsid w:val="00D25FB5"/>
    <w:rsid w:val="00D266F9"/>
    <w:rsid w:val="00D353B2"/>
    <w:rsid w:val="00D356BD"/>
    <w:rsid w:val="00D44223"/>
    <w:rsid w:val="00D84074"/>
    <w:rsid w:val="00D91450"/>
    <w:rsid w:val="00DA2529"/>
    <w:rsid w:val="00DB130A"/>
    <w:rsid w:val="00DB2EBB"/>
    <w:rsid w:val="00DC10A1"/>
    <w:rsid w:val="00DC19A8"/>
    <w:rsid w:val="00DC655F"/>
    <w:rsid w:val="00DD0B59"/>
    <w:rsid w:val="00DD7EBD"/>
    <w:rsid w:val="00DE4917"/>
    <w:rsid w:val="00DE78CB"/>
    <w:rsid w:val="00DF62B6"/>
    <w:rsid w:val="00E03A03"/>
    <w:rsid w:val="00E07225"/>
    <w:rsid w:val="00E15401"/>
    <w:rsid w:val="00E25DF6"/>
    <w:rsid w:val="00E33F7C"/>
    <w:rsid w:val="00E41342"/>
    <w:rsid w:val="00E5409F"/>
    <w:rsid w:val="00EE6488"/>
    <w:rsid w:val="00EF438C"/>
    <w:rsid w:val="00EF4C26"/>
    <w:rsid w:val="00EF532D"/>
    <w:rsid w:val="00F021FA"/>
    <w:rsid w:val="00F025A0"/>
    <w:rsid w:val="00F126EB"/>
    <w:rsid w:val="00F26D1D"/>
    <w:rsid w:val="00F60979"/>
    <w:rsid w:val="00F62E97"/>
    <w:rsid w:val="00F64209"/>
    <w:rsid w:val="00F93BF5"/>
    <w:rsid w:val="00F962BF"/>
    <w:rsid w:val="00FA0D1F"/>
    <w:rsid w:val="00FC653B"/>
    <w:rsid w:val="00FD2F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3964BC"/>
  <w15:chartTrackingRefBased/>
  <w15:docId w15:val="{F8F4D3BE-128D-4858-A354-5E8E9598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B81869"/>
    <w:pPr>
      <w:widowControl/>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link w:val="FootnoteTextChar2"/>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2">
    <w:name w:val="Footnote Text Char2"/>
    <w:aliases w:val="ALTS FOOTNOTE Char Char Char,ALTS FOOTNOTE Char Char Char Char Char,Footnote Text Char Char1,Footnote Text Char Char Char,Footnote Text Char Char Char Char Char,Footnote Text Char1 Char,Footnote Text Char1 Char Char Char,f Char"/>
    <w:link w:val="FootnoteText"/>
    <w:locked/>
    <w:rsid w:val="00B81869"/>
  </w:style>
  <w:style w:type="character" w:customStyle="1" w:styleId="ParaNumCharChar">
    <w:name w:val="ParaNum Char Char"/>
    <w:link w:val="ParaNum"/>
    <w:locked/>
    <w:rsid w:val="00B81869"/>
    <w:rPr>
      <w:snapToGrid w:val="0"/>
      <w:kern w:val="28"/>
      <w:sz w:val="22"/>
    </w:rPr>
  </w:style>
  <w:style w:type="character" w:styleId="UnresolvedMention">
    <w:name w:val="Unresolved Mention"/>
    <w:basedOn w:val="DefaultParagraphFont"/>
    <w:uiPriority w:val="99"/>
    <w:semiHidden/>
    <w:unhideWhenUsed/>
    <w:rsid w:val="00B369B2"/>
    <w:rPr>
      <w:color w:val="605E5C"/>
      <w:shd w:val="clear" w:color="auto" w:fill="E1DFDD"/>
    </w:rPr>
  </w:style>
  <w:style w:type="paragraph" w:styleId="BodyTextIndent2">
    <w:name w:val="Body Text Indent 2"/>
    <w:basedOn w:val="Normal"/>
    <w:link w:val="BodyTextIndent2Char"/>
    <w:rsid w:val="00B369B2"/>
    <w:pPr>
      <w:widowControl/>
      <w:spacing w:after="120" w:line="480" w:lineRule="auto"/>
      <w:ind w:left="360"/>
    </w:pPr>
    <w:rPr>
      <w:snapToGrid/>
      <w:kern w:val="0"/>
    </w:rPr>
  </w:style>
  <w:style w:type="character" w:customStyle="1" w:styleId="BodyTextIndent2Char">
    <w:name w:val="Body Text Indent 2 Char"/>
    <w:basedOn w:val="DefaultParagraphFont"/>
    <w:link w:val="BodyTextIndent2"/>
    <w:rsid w:val="00B369B2"/>
    <w:rPr>
      <w:sz w:val="22"/>
    </w:rPr>
  </w:style>
  <w:style w:type="paragraph" w:styleId="Revision">
    <w:name w:val="Revision"/>
    <w:hidden/>
    <w:uiPriority w:val="99"/>
    <w:semiHidden/>
    <w:rsid w:val="00683532"/>
    <w:rPr>
      <w:snapToGrid w:val="0"/>
      <w:kern w:val="28"/>
      <w:sz w:val="22"/>
    </w:rPr>
  </w:style>
  <w:style w:type="character" w:styleId="CommentReference">
    <w:name w:val="annotation reference"/>
    <w:basedOn w:val="DefaultParagraphFont"/>
    <w:rsid w:val="00683532"/>
    <w:rPr>
      <w:sz w:val="16"/>
      <w:szCs w:val="16"/>
    </w:rPr>
  </w:style>
  <w:style w:type="paragraph" w:styleId="CommentText">
    <w:name w:val="annotation text"/>
    <w:basedOn w:val="Normal"/>
    <w:link w:val="CommentTextChar"/>
    <w:rsid w:val="00683532"/>
    <w:rPr>
      <w:sz w:val="20"/>
    </w:rPr>
  </w:style>
  <w:style w:type="character" w:customStyle="1" w:styleId="CommentTextChar">
    <w:name w:val="Comment Text Char"/>
    <w:basedOn w:val="DefaultParagraphFont"/>
    <w:link w:val="CommentText"/>
    <w:rsid w:val="00683532"/>
    <w:rPr>
      <w:snapToGrid w:val="0"/>
      <w:kern w:val="28"/>
    </w:rPr>
  </w:style>
  <w:style w:type="paragraph" w:styleId="CommentSubject">
    <w:name w:val="annotation subject"/>
    <w:basedOn w:val="CommentText"/>
    <w:next w:val="CommentText"/>
    <w:link w:val="CommentSubjectChar"/>
    <w:rsid w:val="00683532"/>
    <w:rPr>
      <w:b/>
      <w:bCs/>
    </w:rPr>
  </w:style>
  <w:style w:type="character" w:customStyle="1" w:styleId="CommentSubjectChar">
    <w:name w:val="Comment Subject Char"/>
    <w:basedOn w:val="CommentTextChar"/>
    <w:link w:val="CommentSubject"/>
    <w:rsid w:val="00683532"/>
    <w:rPr>
      <w:b/>
      <w:bCs/>
      <w:snapToGrid w:val="0"/>
      <w:kern w:val="28"/>
    </w:rPr>
  </w:style>
  <w:style w:type="character" w:styleId="FollowedHyperlink">
    <w:name w:val="FollowedHyperlink"/>
    <w:basedOn w:val="DefaultParagraphFont"/>
    <w:rsid w:val="009938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Christopher.Koves@fcc.gov" TargetMode="External" /><Relationship Id="rId7" Type="http://schemas.openxmlformats.org/officeDocument/2006/relationships/hyperlink" Target="mailto:Richard.Kwiatkowski@fcc.gov" TargetMode="External" /><Relationship Id="rId8" Type="http://schemas.openxmlformats.org/officeDocument/2006/relationships/hyperlink" Target="http://apps.fcc.gov/ecfs" TargetMode="External" /><Relationship Id="rId9" Type="http://schemas.openxmlformats.org/officeDocument/2006/relationships/hyperlink" Target="mailto:fcc504@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fcc.gov/etfs/etfsHome.action" TargetMode="External" /><Relationship Id="rId2" Type="http://schemas.openxmlformats.org/officeDocument/2006/relationships/hyperlink" Target="https://www.fcc.gov/licensing-databases/fees/cores-payment-syste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