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013A8B" w:rsidRPr="00B20363" w:rsidP="00013A8B" w14:paraId="209CA987" w14:textId="2A5E04C1">
      <w:pPr>
        <w:jc w:val="right"/>
        <w:rPr>
          <w:b/>
          <w:sz w:val="24"/>
        </w:rPr>
      </w:pPr>
      <w:r w:rsidRPr="009D4435">
        <w:rPr>
          <w:b/>
          <w:sz w:val="24"/>
        </w:rPr>
        <w:t xml:space="preserve">DA </w:t>
      </w:r>
      <w:r w:rsidRPr="009D4435" w:rsidR="009D4435">
        <w:rPr>
          <w:b/>
          <w:sz w:val="24"/>
        </w:rPr>
        <w:t>26-255</w:t>
      </w:r>
    </w:p>
    <w:p w:rsidR="00013A8B" w:rsidRPr="00B20363" w:rsidP="00013A8B" w14:paraId="35206C9F" w14:textId="5548E731">
      <w:pPr>
        <w:spacing w:before="60"/>
        <w:jc w:val="right"/>
        <w:rPr>
          <w:b/>
          <w:sz w:val="24"/>
        </w:rPr>
      </w:pPr>
      <w:r>
        <w:rPr>
          <w:b/>
          <w:sz w:val="24"/>
        </w:rPr>
        <w:t xml:space="preserve">Released:  </w:t>
      </w:r>
      <w:r w:rsidR="003903E9">
        <w:rPr>
          <w:b/>
          <w:sz w:val="24"/>
        </w:rPr>
        <w:t xml:space="preserve">March 25, </w:t>
      </w:r>
      <w:r w:rsidR="00863C4D">
        <w:rPr>
          <w:b/>
          <w:sz w:val="24"/>
        </w:rPr>
        <w:t>2026</w:t>
      </w:r>
    </w:p>
    <w:p w:rsidR="00013A8B" w:rsidP="00013A8B" w14:paraId="37F3DBAA" w14:textId="77777777">
      <w:pPr>
        <w:jc w:val="right"/>
        <w:rPr>
          <w:sz w:val="24"/>
        </w:rPr>
      </w:pPr>
    </w:p>
    <w:p w:rsidR="00013A8B" w:rsidRPr="005C7176" w:rsidP="005C7176" w14:paraId="213EE2AD" w14:textId="68DA2B2C">
      <w:pPr>
        <w:spacing w:after="240"/>
        <w:jc w:val="center"/>
        <w:rPr>
          <w:rFonts w:ascii="Times New Roman Bold" w:hAnsi="Times New Roman Bold"/>
          <w:b/>
          <w:caps/>
          <w:sz w:val="24"/>
        </w:rPr>
      </w:pPr>
      <w:r w:rsidRPr="005C7176">
        <w:rPr>
          <w:rFonts w:ascii="Times New Roman Bold" w:hAnsi="Times New Roman Bold"/>
          <w:b/>
          <w:caps/>
          <w:sz w:val="24"/>
        </w:rPr>
        <w:t xml:space="preserve">WIRELINE COMPETITION BUREAU REMINDS NONDOMINANT INTEREXCHANGE CARRIERS TO FILE ANNUAL SECTION 64.1900 CERTIFICATIONS BY MAY 1, </w:t>
      </w:r>
      <w:r w:rsidR="00863C4D">
        <w:rPr>
          <w:rFonts w:ascii="Times New Roman Bold" w:hAnsi="Times New Roman Bold"/>
          <w:b/>
          <w:caps/>
          <w:sz w:val="24"/>
        </w:rPr>
        <w:t>2026</w:t>
      </w:r>
    </w:p>
    <w:p w:rsidR="00013A8B" w:rsidP="00013A8B" w14:paraId="048AB921" w14:textId="77777777">
      <w:pPr>
        <w:jc w:val="center"/>
        <w:rPr>
          <w:b/>
          <w:sz w:val="24"/>
        </w:rPr>
      </w:pPr>
      <w:r>
        <w:rPr>
          <w:b/>
          <w:sz w:val="24"/>
        </w:rPr>
        <w:t>CC Docket No. 96-61</w:t>
      </w:r>
    </w:p>
    <w:p w:rsidR="00F96F63" w:rsidRPr="00930ECF" w:rsidP="00F96F63" w14:paraId="58ECD5E4" w14:textId="77777777">
      <w:pPr>
        <w:rPr>
          <w:sz w:val="24"/>
        </w:rPr>
      </w:pPr>
      <w:bookmarkStart w:id="0" w:name="TOChere"/>
    </w:p>
    <w:bookmarkEnd w:id="0"/>
    <w:p w:rsidR="005C7176" w:rsidP="005C7176" w14:paraId="10D680CB" w14:textId="53F25C6D">
      <w:pPr>
        <w:spacing w:after="120"/>
        <w:ind w:firstLine="720"/>
        <w:rPr>
          <w:szCs w:val="22"/>
        </w:rPr>
      </w:pPr>
      <w:r w:rsidRPr="00045FDB">
        <w:rPr>
          <w:szCs w:val="22"/>
        </w:rPr>
        <w:t xml:space="preserve">By this Public Notice, the Wireline Competition Bureau (Bureau) reminds nondominant interexchange carriers (IXCs) to submit annual filings by </w:t>
      </w:r>
      <w:r>
        <w:rPr>
          <w:b/>
          <w:bCs/>
          <w:szCs w:val="22"/>
        </w:rPr>
        <w:t xml:space="preserve">May 1, </w:t>
      </w:r>
      <w:r w:rsidR="00863C4D">
        <w:rPr>
          <w:b/>
          <w:bCs/>
          <w:szCs w:val="22"/>
        </w:rPr>
        <w:t>2026</w:t>
      </w:r>
      <w:r w:rsidRPr="00045FDB" w:rsidR="00863C4D">
        <w:rPr>
          <w:b/>
          <w:bCs/>
          <w:szCs w:val="22"/>
        </w:rPr>
        <w:t xml:space="preserve"> </w:t>
      </w:r>
      <w:r w:rsidRPr="00045FDB">
        <w:rPr>
          <w:szCs w:val="22"/>
        </w:rPr>
        <w:t>certifying compliance with their geographic rate averaging and rate integration obligations pursuant to section 64.1900 of the</w:t>
      </w:r>
      <w:r w:rsidRPr="00D3795F">
        <w:rPr>
          <w:szCs w:val="22"/>
        </w:rPr>
        <w:t xml:space="preserve"> Commission’s rules.</w:t>
      </w:r>
      <w:r>
        <w:rPr>
          <w:rStyle w:val="FootnoteReference"/>
          <w:szCs w:val="22"/>
        </w:rPr>
        <w:footnoteReference w:id="3"/>
      </w:r>
      <w:r w:rsidRPr="00D3795F">
        <w:rPr>
          <w:szCs w:val="22"/>
        </w:rPr>
        <w:t xml:space="preserve"> </w:t>
      </w:r>
      <w:r>
        <w:rPr>
          <w:szCs w:val="22"/>
        </w:rPr>
        <w:t xml:space="preserve"> </w:t>
      </w:r>
    </w:p>
    <w:p w:rsidR="005C7176" w:rsidP="005C7176" w14:paraId="1017B3FB" w14:textId="13D0B225">
      <w:pPr>
        <w:spacing w:after="120"/>
        <w:ind w:firstLine="720"/>
        <w:rPr>
          <w:szCs w:val="22"/>
        </w:rPr>
      </w:pPr>
      <w:r>
        <w:rPr>
          <w:kern w:val="0"/>
          <w:szCs w:val="22"/>
        </w:rPr>
        <w:t xml:space="preserve">Section 254(g) </w:t>
      </w:r>
      <w:r w:rsidRPr="00D3795F">
        <w:rPr>
          <w:kern w:val="0"/>
          <w:szCs w:val="22"/>
        </w:rPr>
        <w:t>of the Communications Act</w:t>
      </w:r>
      <w:r>
        <w:rPr>
          <w:kern w:val="0"/>
          <w:szCs w:val="22"/>
        </w:rPr>
        <w:t xml:space="preserve"> of 1934, as amended (the Act), requires providers of interexchange telecommunications services to charge rates to subscribers in </w:t>
      </w:r>
      <w:r w:rsidRPr="00BD1415">
        <w:rPr>
          <w:kern w:val="0"/>
          <w:szCs w:val="22"/>
        </w:rPr>
        <w:t>rural and high cost areas</w:t>
      </w:r>
      <w:r>
        <w:rPr>
          <w:kern w:val="0"/>
          <w:szCs w:val="22"/>
        </w:rPr>
        <w:t xml:space="preserve"> that are no higher than urban areas and to charge rates in one state that are no higher than rates charged in other states.</w:t>
      </w:r>
      <w:r>
        <w:rPr>
          <w:rStyle w:val="FootnoteReference"/>
          <w:kern w:val="0"/>
          <w:szCs w:val="22"/>
        </w:rPr>
        <w:footnoteReference w:id="4"/>
      </w:r>
      <w:r>
        <w:rPr>
          <w:kern w:val="0"/>
          <w:szCs w:val="22"/>
        </w:rPr>
        <w:t xml:space="preserve">  As part of the rules implementing section 254(g) of the Act, the Commission adopted s</w:t>
      </w:r>
      <w:r w:rsidRPr="00D3795F">
        <w:rPr>
          <w:kern w:val="0"/>
          <w:szCs w:val="22"/>
        </w:rPr>
        <w:t>ection 64.1900</w:t>
      </w:r>
      <w:r>
        <w:rPr>
          <w:kern w:val="0"/>
          <w:szCs w:val="22"/>
        </w:rPr>
        <w:t xml:space="preserve">, requiring </w:t>
      </w:r>
      <w:r w:rsidRPr="00D3795F">
        <w:rPr>
          <w:kern w:val="0"/>
          <w:szCs w:val="22"/>
        </w:rPr>
        <w:t xml:space="preserve">nondominant </w:t>
      </w:r>
      <w:r>
        <w:rPr>
          <w:kern w:val="0"/>
          <w:szCs w:val="22"/>
        </w:rPr>
        <w:t>IXCs providing detariffed interstate, domestic, interexchange services,</w:t>
      </w:r>
      <w:r w:rsidRPr="00D3795F">
        <w:rPr>
          <w:kern w:val="0"/>
          <w:szCs w:val="22"/>
        </w:rPr>
        <w:t xml:space="preserve"> to annual</w:t>
      </w:r>
      <w:r>
        <w:rPr>
          <w:kern w:val="0"/>
          <w:szCs w:val="22"/>
        </w:rPr>
        <w:t xml:space="preserve">ly certify </w:t>
      </w:r>
      <w:r w:rsidRPr="00D3795F">
        <w:rPr>
          <w:kern w:val="0"/>
          <w:szCs w:val="22"/>
        </w:rPr>
        <w:t xml:space="preserve">that </w:t>
      </w:r>
      <w:r>
        <w:rPr>
          <w:kern w:val="0"/>
          <w:szCs w:val="22"/>
        </w:rPr>
        <w:t xml:space="preserve">they are in compliance with their </w:t>
      </w:r>
      <w:r w:rsidRPr="00D3795F">
        <w:rPr>
          <w:kern w:val="0"/>
          <w:szCs w:val="22"/>
        </w:rPr>
        <w:t xml:space="preserve">geographic rate averaging and rate integration obligations </w:t>
      </w:r>
      <w:r>
        <w:rPr>
          <w:kern w:val="0"/>
          <w:szCs w:val="22"/>
        </w:rPr>
        <w:t>pursuant to section 254(g) of the Act</w:t>
      </w:r>
      <w:r w:rsidRPr="00D3795F">
        <w:rPr>
          <w:kern w:val="0"/>
          <w:szCs w:val="22"/>
        </w:rPr>
        <w:t>.</w:t>
      </w:r>
      <w:r>
        <w:rPr>
          <w:kern w:val="0"/>
          <w:szCs w:val="22"/>
          <w:vertAlign w:val="superscript"/>
        </w:rPr>
        <w:footnoteReference w:id="5"/>
      </w:r>
      <w:r w:rsidRPr="00D3795F">
        <w:rPr>
          <w:kern w:val="0"/>
          <w:szCs w:val="22"/>
        </w:rPr>
        <w:t xml:space="preserve">  </w:t>
      </w:r>
      <w:r w:rsidRPr="00935394">
        <w:rPr>
          <w:kern w:val="0"/>
          <w:szCs w:val="22"/>
        </w:rPr>
        <w:t xml:space="preserve">The </w:t>
      </w:r>
      <w:r>
        <w:rPr>
          <w:kern w:val="0"/>
          <w:szCs w:val="22"/>
        </w:rPr>
        <w:t xml:space="preserve">rule requires these </w:t>
      </w:r>
      <w:r w:rsidRPr="00935394">
        <w:rPr>
          <w:kern w:val="0"/>
          <w:szCs w:val="22"/>
        </w:rPr>
        <w:t>certification</w:t>
      </w:r>
      <w:r>
        <w:rPr>
          <w:kern w:val="0"/>
          <w:szCs w:val="22"/>
        </w:rPr>
        <w:t>s</w:t>
      </w:r>
      <w:r w:rsidRPr="00935394">
        <w:rPr>
          <w:kern w:val="0"/>
          <w:szCs w:val="22"/>
        </w:rPr>
        <w:t xml:space="preserve"> </w:t>
      </w:r>
      <w:r>
        <w:rPr>
          <w:kern w:val="0"/>
          <w:szCs w:val="22"/>
        </w:rPr>
        <w:t>to</w:t>
      </w:r>
      <w:r w:rsidRPr="00935394">
        <w:rPr>
          <w:kern w:val="0"/>
          <w:szCs w:val="22"/>
        </w:rPr>
        <w:t xml:space="preserve"> be signed by an officer of the company</w:t>
      </w:r>
      <w:r>
        <w:rPr>
          <w:kern w:val="0"/>
          <w:szCs w:val="22"/>
        </w:rPr>
        <w:t>,</w:t>
      </w:r>
      <w:r w:rsidRPr="00935394">
        <w:rPr>
          <w:kern w:val="0"/>
          <w:szCs w:val="22"/>
        </w:rPr>
        <w:t xml:space="preserve"> under oath.</w:t>
      </w:r>
      <w:r>
        <w:rPr>
          <w:rStyle w:val="FootnoteReference"/>
          <w:kern w:val="0"/>
          <w:szCs w:val="22"/>
        </w:rPr>
        <w:footnoteReference w:id="6"/>
      </w:r>
      <w:r>
        <w:rPr>
          <w:kern w:val="0"/>
          <w:szCs w:val="22"/>
        </w:rPr>
        <w:t xml:space="preserve">  </w:t>
      </w:r>
      <w:r>
        <w:rPr>
          <w:szCs w:val="22"/>
        </w:rPr>
        <w:t>Consistent with past practice, the annual certifications should continue to be filed by May 1 each year.</w:t>
      </w:r>
      <w:r>
        <w:rPr>
          <w:rStyle w:val="FootnoteReference"/>
          <w:szCs w:val="22"/>
        </w:rPr>
        <w:footnoteReference w:id="7"/>
      </w:r>
      <w:r>
        <w:rPr>
          <w:szCs w:val="22"/>
        </w:rPr>
        <w:t xml:space="preserve">  Accordingly, the annual section 64.1900 certifications should be filed this year on or before May 1, </w:t>
      </w:r>
      <w:r w:rsidR="009D3430">
        <w:rPr>
          <w:szCs w:val="22"/>
        </w:rPr>
        <w:t>2026</w:t>
      </w:r>
      <w:r>
        <w:rPr>
          <w:szCs w:val="22"/>
        </w:rPr>
        <w:t>.</w:t>
      </w:r>
      <w:r>
        <w:rPr>
          <w:rStyle w:val="FootnoteReference"/>
          <w:szCs w:val="22"/>
        </w:rPr>
        <w:footnoteReference w:id="8"/>
      </w:r>
      <w:r>
        <w:rPr>
          <w:szCs w:val="22"/>
        </w:rPr>
        <w:t xml:space="preserve">  </w:t>
      </w:r>
    </w:p>
    <w:p w:rsidR="003903E9" w:rsidRPr="009974CA" w:rsidP="003903E9" w14:paraId="78605B8D" w14:textId="484EE22C">
      <w:pPr>
        <w:widowControl/>
        <w:autoSpaceDE w:val="0"/>
        <w:autoSpaceDN w:val="0"/>
        <w:adjustRightInd w:val="0"/>
        <w:spacing w:after="120"/>
        <w:ind w:firstLine="720"/>
        <w:rPr>
          <w:snapToGrid/>
          <w:kern w:val="0"/>
          <w:szCs w:val="22"/>
        </w:rPr>
      </w:pPr>
      <w:r w:rsidRPr="009974CA">
        <w:rPr>
          <w:i/>
          <w:iCs/>
          <w:szCs w:val="22"/>
        </w:rPr>
        <w:t>Filing Requirements</w:t>
      </w:r>
      <w:r w:rsidRPr="009974CA">
        <w:rPr>
          <w:szCs w:val="22"/>
        </w:rPr>
        <w:t xml:space="preserve">.  </w:t>
      </w:r>
      <w:r w:rsidRPr="00DE08DB">
        <w:rPr>
          <w:snapToGrid/>
          <w:kern w:val="0"/>
          <w:szCs w:val="22"/>
        </w:rPr>
        <w:t>Pursuant to section</w:t>
      </w:r>
      <w:r>
        <w:rPr>
          <w:snapToGrid/>
          <w:kern w:val="0"/>
          <w:szCs w:val="22"/>
        </w:rPr>
        <w:t xml:space="preserve"> 64.1900 </w:t>
      </w:r>
      <w:r w:rsidRPr="00DE08DB">
        <w:rPr>
          <w:snapToGrid/>
          <w:kern w:val="0"/>
          <w:szCs w:val="22"/>
        </w:rPr>
        <w:t>of the Commission’s rules, 47 CFR §</w:t>
      </w:r>
      <w:r>
        <w:rPr>
          <w:snapToGrid/>
          <w:kern w:val="0"/>
          <w:szCs w:val="22"/>
        </w:rPr>
        <w:t xml:space="preserve"> 64.1900</w:t>
      </w:r>
      <w:r w:rsidRPr="00DE08DB">
        <w:rPr>
          <w:snapToGrid/>
          <w:kern w:val="0"/>
          <w:szCs w:val="22"/>
        </w:rPr>
        <w:t xml:space="preserve">, </w:t>
      </w:r>
      <w:r>
        <w:rPr>
          <w:snapToGrid/>
          <w:kern w:val="0"/>
          <w:szCs w:val="22"/>
        </w:rPr>
        <w:t xml:space="preserve">nondominant IXCs must file their annual certifications </w:t>
      </w:r>
      <w:r w:rsidRPr="00DE08DB">
        <w:rPr>
          <w:snapToGrid/>
          <w:kern w:val="0"/>
          <w:szCs w:val="22"/>
        </w:rPr>
        <w:t xml:space="preserve">on or before </w:t>
      </w:r>
      <w:r>
        <w:rPr>
          <w:snapToGrid/>
          <w:kern w:val="0"/>
          <w:szCs w:val="22"/>
        </w:rPr>
        <w:t xml:space="preserve">May 1, </w:t>
      </w:r>
      <w:r w:rsidR="009D3430">
        <w:rPr>
          <w:snapToGrid/>
          <w:kern w:val="0"/>
          <w:szCs w:val="22"/>
        </w:rPr>
        <w:t>2026</w:t>
      </w:r>
      <w:r w:rsidRPr="00DE08DB">
        <w:rPr>
          <w:snapToGrid/>
          <w:kern w:val="0"/>
          <w:szCs w:val="22"/>
        </w:rPr>
        <w:t xml:space="preserve">.  </w:t>
      </w:r>
      <w:r>
        <w:rPr>
          <w:snapToGrid/>
          <w:kern w:val="0"/>
          <w:szCs w:val="22"/>
        </w:rPr>
        <w:t>Certifications must be filed in</w:t>
      </w:r>
      <w:r w:rsidRPr="00DE08DB">
        <w:rPr>
          <w:snapToGrid/>
          <w:kern w:val="0"/>
          <w:szCs w:val="22"/>
        </w:rPr>
        <w:t xml:space="preserve"> </w:t>
      </w:r>
      <w:r w:rsidRPr="00DE08DB">
        <w:rPr>
          <w:b/>
          <w:bCs/>
          <w:snapToGrid/>
          <w:kern w:val="0"/>
          <w:szCs w:val="22"/>
        </w:rPr>
        <w:t>CC Docket No. 96-61</w:t>
      </w:r>
      <w:r>
        <w:t xml:space="preserve"> and </w:t>
      </w:r>
      <w:r w:rsidRPr="003903E9">
        <w:t>must be addressed to the Secretary, Federal Communications Commission.</w:t>
      </w:r>
    </w:p>
    <w:p w:rsidR="003903E9" w:rsidRPr="003903E9" w:rsidP="00404E4E" w14:paraId="23A53958" w14:textId="77777777">
      <w:pPr>
        <w:widowControl/>
        <w:numPr>
          <w:ilvl w:val="0"/>
          <w:numId w:val="10"/>
        </w:numPr>
        <w:spacing w:after="120"/>
        <w:ind w:left="1080"/>
        <w:rPr>
          <w:i/>
        </w:rPr>
      </w:pPr>
      <w:r w:rsidRPr="003903E9">
        <w:rPr>
          <w:i/>
        </w:rPr>
        <w:t>Electronic Filers</w:t>
      </w:r>
      <w:r w:rsidRPr="003903E9">
        <w:rPr>
          <w:iCs/>
        </w:rPr>
        <w:t>:</w:t>
      </w:r>
      <w:r w:rsidRPr="003903E9">
        <w:t xml:space="preserve"> Comments may be filed electronically using the Internet by accessing the </w:t>
      </w:r>
      <w:r w:rsidRPr="003903E9">
        <w:rPr>
          <w:iCs/>
        </w:rPr>
        <w:t xml:space="preserve">Electronic Comment Filing System (ECFS): </w:t>
      </w:r>
      <w:hyperlink r:id="rId6" w:history="1">
        <w:r w:rsidRPr="003903E9">
          <w:rPr>
            <w:iCs/>
            <w:color w:val="0000FF"/>
            <w:u w:val="single"/>
          </w:rPr>
          <w:t>https://www.fcc.gov/ecfs/filings/standard</w:t>
        </w:r>
      </w:hyperlink>
      <w:r w:rsidRPr="003903E9">
        <w:rPr>
          <w:i/>
        </w:rPr>
        <w:t>.</w:t>
      </w:r>
      <w:r>
        <w:rPr>
          <w:snapToGrid/>
          <w:sz w:val="20"/>
          <w:szCs w:val="22"/>
          <w:vertAlign w:val="superscript"/>
        </w:rPr>
        <w:footnoteReference w:id="9"/>
      </w:r>
    </w:p>
    <w:p w:rsidR="003903E9" w:rsidRPr="003903E9" w:rsidP="003903E9" w14:paraId="1495A808" w14:textId="77777777">
      <w:pPr>
        <w:numPr>
          <w:ilvl w:val="0"/>
          <w:numId w:val="10"/>
        </w:numPr>
        <w:spacing w:after="120"/>
        <w:ind w:left="1080"/>
      </w:pPr>
      <w:r w:rsidRPr="003903E9">
        <w:rPr>
          <w:i/>
        </w:rPr>
        <w:t>Paper Filers</w:t>
      </w:r>
      <w:r w:rsidRPr="003903E9">
        <w:rPr>
          <w:iCs/>
        </w:rPr>
        <w:t>:</w:t>
      </w:r>
      <w:r w:rsidRPr="003903E9">
        <w:t xml:space="preserve"> Parties who choose to file by paper must file an original and one copy of each filing.  If more than one docket or rulemaking number appears in the caption of this proceeding, filers must submit two additional copies for each additional docket or rulemaking number.  </w:t>
      </w:r>
    </w:p>
    <w:p w:rsidR="003903E9" w:rsidRPr="003903E9" w:rsidP="003903E9" w14:paraId="4C5C0430" w14:textId="77777777">
      <w:pPr>
        <w:widowControl/>
        <w:numPr>
          <w:ilvl w:val="1"/>
          <w:numId w:val="10"/>
        </w:numPr>
        <w:spacing w:after="120"/>
      </w:pPr>
      <w:r w:rsidRPr="003903E9">
        <w:t xml:space="preserve">Filings can be sent by hand or messenger delivery, by commercial courier, or by the U.S. Postal Service.  </w:t>
      </w:r>
    </w:p>
    <w:p w:rsidR="003903E9" w:rsidRPr="003903E9" w:rsidP="003903E9" w14:paraId="011971A5" w14:textId="77777777">
      <w:pPr>
        <w:widowControl/>
        <w:numPr>
          <w:ilvl w:val="1"/>
          <w:numId w:val="10"/>
        </w:numPr>
        <w:spacing w:after="120"/>
      </w:pPr>
      <w:r w:rsidRPr="003903E9">
        <w:t xml:space="preserve">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  </w:t>
      </w:r>
    </w:p>
    <w:p w:rsidR="003903E9" w:rsidRPr="003903E9" w:rsidP="003903E9" w14:paraId="48297000" w14:textId="77777777">
      <w:pPr>
        <w:numPr>
          <w:ilvl w:val="1"/>
          <w:numId w:val="10"/>
        </w:numPr>
        <w:spacing w:after="120"/>
      </w:pPr>
      <w:r w:rsidRPr="003903E9">
        <w:t>Commercial courier deliveries (any deliveries not by the U.S. Postal Service) must be sent to 9050 Junction Drive, Annapolis Junction, MD 20701.</w:t>
      </w:r>
    </w:p>
    <w:p w:rsidR="003903E9" w:rsidRPr="003903E9" w:rsidP="003903E9" w14:paraId="78BA9E84" w14:textId="77777777">
      <w:pPr>
        <w:widowControl/>
        <w:numPr>
          <w:ilvl w:val="1"/>
          <w:numId w:val="10"/>
        </w:numPr>
        <w:spacing w:after="120"/>
      </w:pPr>
      <w:r w:rsidRPr="003903E9">
        <w:t>Filings sent by U.S. Postal Service First-Class Mail, Priority Mail, and Priority Mail Express must be sent to 45 L Street NE, Washington, DC 20554.</w:t>
      </w:r>
    </w:p>
    <w:p w:rsidR="003903E9" w:rsidRPr="003903E9" w:rsidP="00404E4E" w14:paraId="2A60368D" w14:textId="77777777">
      <w:pPr>
        <w:spacing w:after="120"/>
        <w:ind w:firstLine="720"/>
        <w:rPr>
          <w:szCs w:val="22"/>
        </w:rPr>
      </w:pPr>
      <w:r w:rsidRPr="00404E4E">
        <w:rPr>
          <w:i/>
          <w:iCs/>
          <w:szCs w:val="22"/>
        </w:rPr>
        <w:t>People with Disabilities</w:t>
      </w:r>
      <w:r w:rsidRPr="003903E9">
        <w:rPr>
          <w:szCs w:val="22"/>
        </w:rPr>
        <w:t xml:space="preserve">:  To request materials in accessible formats for people with disabilities (braille, large print, electronic files, audio format), send an email to </w:t>
      </w:r>
      <w:hyperlink r:id="rId7" w:history="1">
        <w:r w:rsidRPr="00B471A7">
          <w:rPr>
            <w:rStyle w:val="Hyperlink"/>
            <w:szCs w:val="22"/>
          </w:rPr>
          <w:t>fcc504@fcc.gov</w:t>
        </w:r>
      </w:hyperlink>
      <w:r>
        <w:rPr>
          <w:szCs w:val="22"/>
        </w:rPr>
        <w:t xml:space="preserve"> </w:t>
      </w:r>
      <w:r w:rsidRPr="003903E9">
        <w:rPr>
          <w:szCs w:val="22"/>
        </w:rPr>
        <w:t xml:space="preserve"> or call the Consumer &amp; Governmental Affairs Bureau at 202-418-0530 (voice), 202-418-0432 (TTY).</w:t>
      </w:r>
    </w:p>
    <w:p w:rsidR="005C7176" w:rsidRPr="004E716D" w:rsidP="00404E4E" w14:paraId="481977CB" w14:textId="77777777">
      <w:pPr>
        <w:spacing w:after="120"/>
        <w:ind w:firstLine="720"/>
        <w:rPr>
          <w:szCs w:val="22"/>
        </w:rPr>
      </w:pPr>
      <w:r w:rsidRPr="004E716D">
        <w:rPr>
          <w:szCs w:val="22"/>
        </w:rPr>
        <w:t xml:space="preserve">For more information about this Public Notice, please contact Christopher S. Koves, Pricing Policy Division, Wireline Competition Bureau, </w:t>
      </w:r>
      <w:hyperlink r:id="rId8" w:history="1">
        <w:r w:rsidRPr="004E716D">
          <w:rPr>
            <w:rStyle w:val="Hyperlink"/>
            <w:szCs w:val="22"/>
          </w:rPr>
          <w:t>Christopher.Koves@fcc.gov</w:t>
        </w:r>
      </w:hyperlink>
      <w:r w:rsidRPr="004E716D">
        <w:rPr>
          <w:szCs w:val="22"/>
        </w:rPr>
        <w:t xml:space="preserve">. </w:t>
      </w:r>
    </w:p>
    <w:p w:rsidR="005C7176" w:rsidRPr="004E716D" w:rsidP="005C7176" w14:paraId="141585E8" w14:textId="77777777">
      <w:pPr>
        <w:rPr>
          <w:szCs w:val="22"/>
        </w:rPr>
      </w:pPr>
    </w:p>
    <w:p w:rsidR="005C7176" w:rsidRPr="004E716D" w:rsidP="005C7176" w14:paraId="18BEE2FC" w14:textId="77777777">
      <w:pPr>
        <w:tabs>
          <w:tab w:val="center" w:pos="4680"/>
          <w:tab w:val="left" w:pos="5685"/>
        </w:tabs>
        <w:jc w:val="center"/>
        <w:rPr>
          <w:szCs w:val="22"/>
        </w:rPr>
      </w:pPr>
      <w:r w:rsidRPr="004E716D">
        <w:rPr>
          <w:b/>
          <w:szCs w:val="22"/>
        </w:rPr>
        <w:t>- FCC -</w:t>
      </w:r>
    </w:p>
    <w:p w:rsidR="005C7176" w:rsidP="005C7176" w14:paraId="6E169EE2" w14:textId="77777777"/>
    <w:p w:rsidR="00930ECF" w:rsidRPr="00930ECF" w:rsidP="00F96F63" w14:paraId="74DA2CEC" w14:textId="77777777">
      <w:pPr>
        <w:rPr>
          <w:sz w:val="24"/>
        </w:rPr>
      </w:pPr>
    </w:p>
    <w:sectPr w:rsidSect="00FE5609">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C35A9" w14:paraId="6D8F7E78" w14:textId="77777777">
      <w:r>
        <w:separator/>
      </w:r>
    </w:p>
  </w:endnote>
  <w:endnote w:type="continuationSeparator" w:id="1">
    <w:p w:rsidR="007C35A9" w14:paraId="02D7E9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55614C" w14:paraId="2324ECF1" w14:textId="77777777">
    <w:pPr>
      <w:pStyle w:val="Footer"/>
      <w:framePr w:wrap="around" w:vAnchor="text" w:hAnchor="margin" w:xAlign="center" w:y="1"/>
    </w:pPr>
    <w:r>
      <w:fldChar w:fldCharType="begin"/>
    </w:r>
    <w:r>
      <w:instrText xml:space="preserve">PAGE  </w:instrText>
    </w:r>
    <w:r>
      <w:fldChar w:fldCharType="separate"/>
    </w:r>
    <w:r>
      <w:fldChar w:fldCharType="end"/>
    </w:r>
  </w:p>
  <w:p w:rsidR="006F7393" w14:paraId="5AA2AE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910F12" w14:paraId="1EEC19D4"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14:paraId="36D0EC10"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C35A9" w14:paraId="5B89CC39" w14:textId="77777777">
      <w:r>
        <w:separator/>
      </w:r>
    </w:p>
  </w:footnote>
  <w:footnote w:type="continuationSeparator" w:id="1">
    <w:p w:rsidR="007C35A9" w14:paraId="6F74F68B" w14:textId="77777777">
      <w:pPr>
        <w:rPr>
          <w:sz w:val="20"/>
        </w:rPr>
      </w:pPr>
      <w:r>
        <w:rPr>
          <w:sz w:val="20"/>
        </w:rPr>
        <w:t xml:space="preserve">(Continued from previous page)  </w:t>
      </w:r>
      <w:r>
        <w:rPr>
          <w:sz w:val="20"/>
        </w:rPr>
        <w:separator/>
      </w:r>
    </w:p>
  </w:footnote>
  <w:footnote w:type="continuationNotice" w:id="2">
    <w:p w:rsidR="007C35A9" w:rsidP="00910F12" w14:paraId="60CA60E1" w14:textId="77777777">
      <w:pPr>
        <w:jc w:val="right"/>
        <w:rPr>
          <w:sz w:val="20"/>
        </w:rPr>
      </w:pPr>
      <w:r>
        <w:rPr>
          <w:sz w:val="20"/>
        </w:rPr>
        <w:t>(continued….)</w:t>
      </w:r>
    </w:p>
  </w:footnote>
  <w:footnote w:id="3">
    <w:p w:rsidR="005C7176" w:rsidP="005C7176" w14:paraId="347E8577" w14:textId="77777777">
      <w:pPr>
        <w:pStyle w:val="FootnoteText"/>
      </w:pPr>
      <w:r>
        <w:rPr>
          <w:rStyle w:val="FootnoteReference"/>
        </w:rPr>
        <w:footnoteRef/>
      </w:r>
      <w:r>
        <w:t xml:space="preserve"> </w:t>
      </w:r>
      <w:r w:rsidRPr="00974513">
        <w:t>47 CFR § 64.1900</w:t>
      </w:r>
      <w:r>
        <w:t>.</w:t>
      </w:r>
    </w:p>
  </w:footnote>
  <w:footnote w:id="4">
    <w:p w:rsidR="005C7176" w:rsidP="005C7176" w14:paraId="74D304B6" w14:textId="77777777">
      <w:pPr>
        <w:pStyle w:val="FootnoteText"/>
      </w:pPr>
      <w:r>
        <w:rPr>
          <w:rStyle w:val="FootnoteReference"/>
        </w:rPr>
        <w:footnoteRef/>
      </w:r>
      <w:r>
        <w:t xml:space="preserve"> </w:t>
      </w:r>
      <w:r w:rsidRPr="00BD1415">
        <w:t>47 U.S.C. § 254(g)</w:t>
      </w:r>
      <w:r>
        <w:t xml:space="preserve">.  </w:t>
      </w:r>
    </w:p>
  </w:footnote>
  <w:footnote w:id="5">
    <w:p w:rsidR="005C7176" w:rsidP="005C7176" w14:paraId="5E68BC31" w14:textId="77777777">
      <w:pPr>
        <w:pStyle w:val="FootnoteText"/>
      </w:pPr>
      <w:r>
        <w:rPr>
          <w:rStyle w:val="FootnoteReference"/>
        </w:rPr>
        <w:footnoteRef/>
      </w:r>
      <w:r>
        <w:t xml:space="preserve">  47 CFR § 64.1900; 47 U.S.C. § 254(g); </w:t>
      </w:r>
      <w:r>
        <w:rPr>
          <w:i/>
        </w:rPr>
        <w:t>see</w:t>
      </w:r>
      <w:r>
        <w:t xml:space="preserve"> </w:t>
      </w:r>
      <w:r>
        <w:rPr>
          <w:i/>
        </w:rPr>
        <w:t>Policy and Rules Concerning the Interstate, Interexchange Marketplace</w:t>
      </w:r>
      <w:r>
        <w:t>, CC Docket No. 96-61, Second Report and Order, 11 FCC Rcd 20730, 20773-78, paras. 78-87 (1996); Order on Reconsideration, 12 FCC Rcd 15014 (1997); Second Order on Reconsideration and Erratum, 14 FCC Rcd 6004 (1999).</w:t>
      </w:r>
    </w:p>
  </w:footnote>
  <w:footnote w:id="6">
    <w:p w:rsidR="005C7176" w:rsidP="005C7176" w14:paraId="73088A3A" w14:textId="77777777">
      <w:pPr>
        <w:pStyle w:val="FootnoteText"/>
      </w:pPr>
      <w:r>
        <w:rPr>
          <w:rStyle w:val="FootnoteReference"/>
        </w:rPr>
        <w:footnoteRef/>
      </w:r>
      <w:r>
        <w:t xml:space="preserve"> </w:t>
      </w:r>
      <w:r w:rsidRPr="00935394">
        <w:t>47 CFR § 64.1900</w:t>
      </w:r>
      <w:r>
        <w:t>(b).</w:t>
      </w:r>
    </w:p>
  </w:footnote>
  <w:footnote w:id="7">
    <w:p w:rsidR="005C7176" w:rsidP="005C7176" w14:paraId="29ABB886" w14:textId="03A205D5">
      <w:pPr>
        <w:pStyle w:val="FootnoteText"/>
      </w:pPr>
      <w:r>
        <w:rPr>
          <w:rStyle w:val="FootnoteReference"/>
        </w:rPr>
        <w:footnoteRef/>
      </w:r>
      <w:r>
        <w:t xml:space="preserve"> </w:t>
      </w:r>
      <w:r w:rsidRPr="00D3795F">
        <w:rPr>
          <w:i/>
        </w:rPr>
        <w:t>See</w:t>
      </w:r>
      <w:r w:rsidRPr="00D3795F">
        <w:t xml:space="preserve"> </w:t>
      </w:r>
      <w:r w:rsidRPr="001673B0">
        <w:rPr>
          <w:i/>
          <w:iCs/>
        </w:rPr>
        <w:t xml:space="preserve">Wireline Competition Bureau Reminds Nondominant Interexchange Carriers to File Annual Section 64.1900 Certifications by May 1, </w:t>
      </w:r>
      <w:r w:rsidR="00BC1C40">
        <w:rPr>
          <w:i/>
          <w:iCs/>
        </w:rPr>
        <w:t>2025</w:t>
      </w:r>
      <w:r>
        <w:t xml:space="preserve">, CC Docket No. 96-61, Public Notice, </w:t>
      </w:r>
      <w:r w:rsidRPr="00357AB8" w:rsidR="00357AB8">
        <w:t>40 FCC Rcd 2076</w:t>
      </w:r>
      <w:r w:rsidR="00357AB8">
        <w:t xml:space="preserve"> </w:t>
      </w:r>
      <w:r>
        <w:t xml:space="preserve">(WCB </w:t>
      </w:r>
      <w:r w:rsidR="00BC1C40">
        <w:t>2025</w:t>
      </w:r>
      <w:r>
        <w:t xml:space="preserve">); </w:t>
      </w:r>
      <w:r w:rsidRPr="008A25CA">
        <w:rPr>
          <w:i/>
          <w:iCs/>
        </w:rPr>
        <w:t>C</w:t>
      </w:r>
      <w:r w:rsidRPr="00D3795F">
        <w:rPr>
          <w:i/>
          <w:iCs/>
        </w:rPr>
        <w:t>ommon Carrier Bureau Extends Deadline for First Annual Certification of Compliance with Geographic Deaveraging and Rate Integration Requirements to August 1, 2001</w:t>
      </w:r>
      <w:r>
        <w:t xml:space="preserve">, CC Docket No. 96-61, Public Notice, </w:t>
      </w:r>
      <w:r w:rsidRPr="00BC7107">
        <w:t xml:space="preserve">16 FCC Rcd 4556 </w:t>
      </w:r>
      <w:r w:rsidRPr="00D3795F">
        <w:t>(</w:t>
      </w:r>
      <w:r w:rsidR="00EE46AC">
        <w:t>CCB</w:t>
      </w:r>
      <w:r w:rsidRPr="00D3795F">
        <w:t xml:space="preserve"> 2000)</w:t>
      </w:r>
      <w:r>
        <w:t>.</w:t>
      </w:r>
    </w:p>
  </w:footnote>
  <w:footnote w:id="8">
    <w:p w:rsidR="009D3430" w14:paraId="3BD2C46C" w14:textId="79C66CC8">
      <w:pPr>
        <w:pStyle w:val="FootnoteText"/>
      </w:pPr>
      <w:r>
        <w:rPr>
          <w:rStyle w:val="FootnoteReference"/>
        </w:rPr>
        <w:footnoteRef/>
      </w:r>
      <w:r>
        <w:t xml:space="preserve"> </w:t>
      </w:r>
      <w:r w:rsidRPr="00A1008F">
        <w:rPr>
          <w:i/>
          <w:iCs/>
        </w:rPr>
        <w:t>See</w:t>
      </w:r>
      <w:r>
        <w:t xml:space="preserve"> </w:t>
      </w:r>
      <w:r w:rsidRPr="003C405B">
        <w:rPr>
          <w:i/>
          <w:iCs/>
        </w:rPr>
        <w:t>Reforming Legacy Rules for an All-IP Future</w:t>
      </w:r>
      <w:r>
        <w:t xml:space="preserve">, WC Docket No. 25-311; </w:t>
      </w:r>
      <w:r w:rsidRPr="003C405B">
        <w:rPr>
          <w:i/>
          <w:iCs/>
        </w:rPr>
        <w:t>Accelerating Network Modernization</w:t>
      </w:r>
      <w:r>
        <w:t xml:space="preserve">, WC Docket No. 25-208, Notice of Proposed Rulemaking, FCC 26-11, </w:t>
      </w:r>
      <w:r w:rsidRPr="00A55E93" w:rsidR="00A55E93">
        <w:t>2026 WL 567517</w:t>
      </w:r>
      <w:r w:rsidR="00A55E93">
        <w:t xml:space="preserve">, </w:t>
      </w:r>
      <w:r>
        <w:t>at *55-56, para. 134 (rel. Feb. 19, 2026)</w:t>
      </w:r>
      <w:r w:rsidRPr="00103938">
        <w:t xml:space="preserve"> </w:t>
      </w:r>
      <w:r>
        <w:t xml:space="preserve">(seeking comment on whether the Commission should eliminate interexchange provider geographic rate averaging certification requirements under section 64.1900 of the Commission’s rules); </w:t>
      </w:r>
      <w:r w:rsidRPr="00A1008F">
        <w:rPr>
          <w:i/>
          <w:iCs/>
        </w:rPr>
        <w:t>see also id</w:t>
      </w:r>
      <w:r>
        <w:t xml:space="preserve">. at *55-57, paras. 131-38.   </w:t>
      </w:r>
    </w:p>
  </w:footnote>
  <w:footnote w:id="9">
    <w:p w:rsidR="003903E9" w:rsidRPr="002578F1" w:rsidP="003903E9" w14:paraId="1FC6319D" w14:textId="77777777">
      <w:pPr>
        <w:pStyle w:val="FootnoteText"/>
      </w:pPr>
      <w:r w:rsidRPr="002578F1">
        <w:rPr>
          <w:rStyle w:val="FootnoteReference"/>
        </w:rPr>
        <w:footnoteRef/>
      </w:r>
      <w:r w:rsidRPr="002578F1">
        <w:t xml:space="preserve"> </w:t>
      </w:r>
      <w:r w:rsidRPr="002578F1">
        <w:rPr>
          <w:i/>
        </w:rPr>
        <w:t>See Electronic Filing of Documents in Rulemaking Proceedings</w:t>
      </w:r>
      <w:r w:rsidRPr="002578F1">
        <w:t>, 63 FR 24121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9838BC" w:rsidP="009838BC" w14:paraId="7FE7AB85" w14:textId="03A3E9C8">
    <w:pPr>
      <w:tabs>
        <w:tab w:val="center" w:pos="4680"/>
        <w:tab w:val="right" w:pos="9360"/>
      </w:tabs>
    </w:pPr>
    <w:r w:rsidRPr="009838BC">
      <w:rPr>
        <w:b/>
      </w:rPr>
      <w:tab/>
      <w:t>Federal Communications Commission</w:t>
    </w:r>
    <w:r w:rsidRPr="009838BC">
      <w:rPr>
        <w:b/>
      </w:rPr>
      <w:tab/>
    </w:r>
    <w:r w:rsidRPr="009D4435" w:rsidR="00674DEF">
      <w:rPr>
        <w:b/>
      </w:rPr>
      <w:t xml:space="preserve">DA </w:t>
    </w:r>
    <w:r w:rsidRPr="009D4435" w:rsidR="00357AB8">
      <w:rPr>
        <w:b/>
      </w:rPr>
      <w:t>26-</w:t>
    </w:r>
    <w:r w:rsidRPr="009D4435" w:rsidR="009D4435">
      <w:rPr>
        <w:b/>
      </w:rPr>
      <w:t>255</w:t>
    </w:r>
  </w:p>
  <w:p w:rsidR="009838BC" w:rsidRPr="009838BC" w:rsidP="009838BC" w14:paraId="75AC17DB"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9838BC" w:rsidRPr="009838BC" w:rsidP="009838BC" w14:paraId="661C2737"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A866AC" w:rsidP="009838BC" w14:paraId="511CCA3F" w14:textId="77777777">
    <w:pPr>
      <w:spacing w:before="40"/>
      <w:rPr>
        <w:rFonts w:ascii="Arial" w:hAnsi="Arial" w:cs="Arial"/>
        <w:b/>
        <w:sz w:val="96"/>
      </w:rPr>
    </w:pPr>
    <w:r>
      <w:rPr>
        <w:noProof/>
      </w:rPr>
      <mc:AlternateContent>
        <mc:Choice Requires="wps">
          <w:drawing>
            <wp:anchor distT="0" distB="0" distL="114300" distR="114300" simplePos="0" relativeHeight="251660288" behindDoc="0" locked="0" layoutInCell="0" allowOverlap="1">
              <wp:simplePos x="0" y="0"/>
              <wp:positionH relativeFrom="margin">
                <wp:posOffset>-57150</wp:posOffset>
              </wp:positionH>
              <wp:positionV relativeFrom="paragraph">
                <wp:posOffset>741045</wp:posOffset>
              </wp:positionV>
              <wp:extent cx="3108960" cy="640080"/>
              <wp:effectExtent l="0" t="0" r="0" b="0"/>
              <wp:wrapNone/>
              <wp:docPr id="1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6400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0AB8" w:rsidP="00DE0AB8" w14:paraId="2BA93E86" w14:textId="77777777">
                          <w:pPr>
                            <w:rPr>
                              <w:rFonts w:ascii="Arial" w:hAnsi="Arial"/>
                              <w:b/>
                              <w:snapToGrid/>
                            </w:rPr>
                          </w:pPr>
                          <w:r>
                            <w:rPr>
                              <w:rFonts w:ascii="Arial" w:hAnsi="Arial"/>
                              <w:b/>
                            </w:rPr>
                            <w:t>Federal Communications Commission</w:t>
                          </w:r>
                        </w:p>
                        <w:p w:rsidR="00DE0AB8" w:rsidP="00DE0AB8" w14:paraId="16D055F3" w14:textId="77777777">
                          <w:pPr>
                            <w:rPr>
                              <w:rFonts w:ascii="Arial" w:hAnsi="Arial"/>
                              <w:b/>
                            </w:rPr>
                          </w:pPr>
                          <w:r>
                            <w:rPr>
                              <w:rFonts w:ascii="Arial" w:hAnsi="Arial"/>
                              <w:b/>
                            </w:rPr>
                            <w:t>45 L Street NE</w:t>
                          </w:r>
                        </w:p>
                        <w:p w:rsidR="009838BC" w:rsidP="00DE0AB8" w14:paraId="517E18C1" w14:textId="77777777">
                          <w:pPr>
                            <w:rPr>
                              <w:rFonts w:ascii="Arial" w:hAnsi="Arial"/>
                              <w:sz w:val="24"/>
                            </w:rPr>
                          </w:pPr>
                          <w:r>
                            <w:rPr>
                              <w:rFonts w:ascii="Arial" w:hAnsi="Arial"/>
                              <w:b/>
                            </w:rPr>
                            <w:t>Washington, DC 20554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0" type="#_x0000_t202" style="width:244.8pt;height:50.4pt;margin-top:58.35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61312" o:allowincell="f" stroked="f">
              <v:textbox>
                <w:txbxContent>
                  <w:p w:rsidR="00DE0AB8" w:rsidP="00DE0AB8" w14:paraId="530A756C" w14:textId="77777777">
                    <w:pPr>
                      <w:rPr>
                        <w:rFonts w:ascii="Arial" w:hAnsi="Arial"/>
                        <w:b/>
                        <w:snapToGrid/>
                      </w:rPr>
                    </w:pPr>
                    <w:r>
                      <w:rPr>
                        <w:rFonts w:ascii="Arial" w:hAnsi="Arial"/>
                        <w:b/>
                      </w:rPr>
                      <w:t>Federal Communications Commission</w:t>
                    </w:r>
                  </w:p>
                  <w:p w:rsidR="00DE0AB8" w:rsidP="00DE0AB8" w14:paraId="53478E45" w14:textId="77777777">
                    <w:pPr>
                      <w:rPr>
                        <w:rFonts w:ascii="Arial" w:hAnsi="Arial"/>
                        <w:b/>
                      </w:rPr>
                    </w:pPr>
                    <w:r>
                      <w:rPr>
                        <w:rFonts w:ascii="Arial" w:hAnsi="Arial"/>
                        <w:b/>
                      </w:rPr>
                      <w:t>45 L Street NE</w:t>
                    </w:r>
                  </w:p>
                  <w:p w:rsidR="009838BC" w:rsidP="00DE0AB8" w14:paraId="7B29C554" w14:textId="77777777">
                    <w:pPr>
                      <w:rPr>
                        <w:rFonts w:ascii="Arial" w:hAnsi="Arial"/>
                        <w:sz w:val="24"/>
                      </w:rPr>
                    </w:pPr>
                    <w:r>
                      <w:rPr>
                        <w:rFonts w:ascii="Arial" w:hAnsi="Arial"/>
                        <w:b/>
                      </w:rPr>
                      <w:t>Washington, DC 20554</w:t>
                    </w:r>
                  </w:p>
                </w:txbxContent>
              </v:textbox>
              <w10:wrap anchorx="margin"/>
            </v:shape>
          </w:pict>
        </mc:Fallback>
      </mc:AlternateContent>
    </w:r>
    <w:r>
      <w:rPr>
        <w:noProof/>
      </w:rPr>
      <w:drawing>
        <wp:anchor distT="0" distB="0" distL="114300" distR="114300" simplePos="0" relativeHeight="251662336" behindDoc="0" locked="0" layoutInCell="0" allowOverlap="1">
          <wp:simplePos x="0" y="0"/>
          <wp:positionH relativeFrom="column">
            <wp:posOffset>-650875</wp:posOffset>
          </wp:positionH>
          <wp:positionV relativeFrom="paragraph">
            <wp:posOffset>136525</wp:posOffset>
          </wp:positionV>
          <wp:extent cx="530225" cy="530225"/>
          <wp:effectExtent l="0" t="0" r="0" b="0"/>
          <wp:wrapTopAndBottom/>
          <wp:docPr id="1160593471" name="Picture 11"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93471" name="Picture 11" descr="fcc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22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66AC">
      <w:rPr>
        <w:rFonts w:ascii="Arial" w:hAnsi="Arial" w:cs="Arial"/>
        <w:b/>
        <w:sz w:val="96"/>
      </w:rPr>
      <w:t>PUBLIC NOTICE</w:t>
    </w:r>
  </w:p>
  <w:p w:rsidR="009838BC" w:rsidRPr="00357D50" w:rsidP="009838BC" w14:paraId="5887B2F2" w14:textId="77777777">
    <w:pPr>
      <w:spacing w:before="40"/>
      <w:rPr>
        <w:rFonts w:ascii="Arial" w:hAnsi="Arial" w:cs="Arial"/>
        <w:b/>
        <w:sz w:val="96"/>
      </w:rPr>
    </w:pPr>
    <w:r>
      <w:rPr>
        <w:noProof/>
      </w:rPr>
      <mc:AlternateContent>
        <mc:Choice Requires="wps">
          <w:drawing>
            <wp:anchor distT="0" distB="0" distL="114300" distR="114300" simplePos="0" relativeHeight="251663360" behindDoc="0" locked="0" layoutInCell="0" allowOverlap="1">
              <wp:simplePos x="0" y="0"/>
              <wp:positionH relativeFrom="margin">
                <wp:align>right</wp:align>
              </wp:positionH>
              <wp:positionV relativeFrom="paragraph">
                <wp:posOffset>720089</wp:posOffset>
              </wp:positionV>
              <wp:extent cx="5943600" cy="0"/>
              <wp:effectExtent l="0" t="0" r="0" b="0"/>
              <wp:wrapNone/>
              <wp:docPr id="10"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1" style="mso-height-percent:0;mso-height-relative:page;mso-position-horizontal:right;mso-position-horizontal-relative:margin;mso-width-percent:0;mso-width-relative:page;mso-wrap-distance-bottom:0;mso-wrap-distance-left:9pt;mso-wrap-distance-right:9pt;mso-wrap-distance-top:0;mso-wrap-style:square;position:absolute;visibility:visible;z-index:251664384" from="416.8pt,56.7pt" to="884.8pt,56.7pt" o:allowincell="f">
              <w10:wrap anchorx="margin"/>
            </v:line>
          </w:pict>
        </mc:Fallback>
      </mc:AlternateContent>
    </w:r>
    <w:r>
      <w:rPr>
        <w:noProof/>
      </w:rPr>
      <mc:AlternateContent>
        <mc:Choice Requires="wps">
          <w:drawing>
            <wp:anchor distT="0" distB="0" distL="114300" distR="114300" simplePos="0" relativeHeight="251665408" behindDoc="0" locked="0" layoutInCell="0" allowOverlap="1">
              <wp:simplePos x="0" y="0"/>
              <wp:positionH relativeFrom="column">
                <wp:posOffset>3343275</wp:posOffset>
              </wp:positionH>
              <wp:positionV relativeFrom="paragraph">
                <wp:posOffset>178435</wp:posOffset>
              </wp:positionV>
              <wp:extent cx="2640965" cy="447675"/>
              <wp:effectExtent l="0" t="0" r="0" b="0"/>
              <wp:wrapNone/>
              <wp:docPr id="9"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40965" cy="4476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38BC" w:rsidP="009838BC" w14:paraId="27469779" w14:textId="77777777">
                          <w:pPr>
                            <w:spacing w:before="40"/>
                            <w:jc w:val="right"/>
                            <w:rPr>
                              <w:rFonts w:ascii="Arial" w:hAnsi="Arial"/>
                              <w:b/>
                              <w:sz w:val="16"/>
                            </w:rPr>
                          </w:pPr>
                          <w:r>
                            <w:rPr>
                              <w:rFonts w:ascii="Arial" w:hAnsi="Arial"/>
                              <w:b/>
                              <w:sz w:val="16"/>
                            </w:rPr>
                            <w:t>News Media Information 202 / 418-0500</w:t>
                          </w:r>
                        </w:p>
                        <w:p w:rsidR="009838BC" w:rsidP="009838BC" w14:paraId="5A2DB3BA" w14:textId="77777777">
                          <w:pPr>
                            <w:jc w:val="right"/>
                            <w:rPr>
                              <w:rFonts w:ascii="Arial" w:hAnsi="Arial"/>
                              <w:b/>
                              <w:sz w:val="16"/>
                            </w:rPr>
                          </w:pPr>
                          <w:r>
                            <w:rPr>
                              <w:rFonts w:ascii="Arial" w:hAnsi="Arial"/>
                              <w:b/>
                              <w:sz w:val="16"/>
                            </w:rPr>
                            <w:t xml:space="preserve">Internet: </w:t>
                          </w:r>
                          <w:bookmarkStart w:id="1" w:name="_Hlt233824"/>
                          <w:hyperlink r:id="rId2" w:history="1">
                            <w:r w:rsidRPr="00D216CD">
                              <w:rPr>
                                <w:rStyle w:val="Hyperlink"/>
                                <w:rFonts w:ascii="Arial" w:hAnsi="Arial"/>
                                <w:b/>
                                <w:sz w:val="16"/>
                              </w:rPr>
                              <w:t>h</w:t>
                            </w:r>
                            <w:bookmarkEnd w:id="1"/>
                            <w:r w:rsidRPr="00D216CD">
                              <w:rPr>
                                <w:rStyle w:val="Hyperlink"/>
                                <w:rFonts w:ascii="Arial" w:hAnsi="Arial"/>
                                <w:b/>
                                <w:sz w:val="16"/>
                              </w:rPr>
                              <w:t>ttps://www.fcc.gov</w:t>
                            </w:r>
                          </w:hyperlink>
                        </w:p>
                        <w:p w:rsidR="009838BC" w:rsidP="009838BC" w14:paraId="2654DE4F" w14:textId="77777777">
                          <w:pPr>
                            <w:jc w:val="right"/>
                          </w:pPr>
                          <w:r>
                            <w:rPr>
                              <w:rFonts w:ascii="Arial" w:hAnsi="Arial"/>
                              <w:b/>
                              <w:sz w:val="16"/>
                            </w:rPr>
                            <w:t>TTY: 1-888-835-5322</w:t>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2" type="#_x0000_t202" style="width:207.95pt;height:35.25pt;margin-top:14.05pt;margin-left:263.25pt;mso-height-percent:0;mso-height-relative:page;mso-width-percent:0;mso-width-relative:page;mso-wrap-distance-bottom:0;mso-wrap-distance-left:9pt;mso-wrap-distance-right:9pt;mso-wrap-distance-top:0;mso-wrap-style:square;position:absolute;visibility:visible;v-text-anchor:top;z-index:251666432" o:allowincell="f" stroked="f">
              <v:textbox inset=",0,,0">
                <w:txbxContent>
                  <w:p w:rsidR="009838BC" w:rsidP="009838BC" w14:paraId="6D5BA9BE" w14:textId="77777777">
                    <w:pPr>
                      <w:spacing w:before="40"/>
                      <w:jc w:val="right"/>
                      <w:rPr>
                        <w:rFonts w:ascii="Arial" w:hAnsi="Arial"/>
                        <w:b/>
                        <w:sz w:val="16"/>
                      </w:rPr>
                    </w:pPr>
                    <w:r>
                      <w:rPr>
                        <w:rFonts w:ascii="Arial" w:hAnsi="Arial"/>
                        <w:b/>
                        <w:sz w:val="16"/>
                      </w:rPr>
                      <w:t>News Media Information 202 / 418-0500</w:t>
                    </w:r>
                  </w:p>
                  <w:p w:rsidR="009838BC" w:rsidP="009838BC" w14:paraId="708BC93E" w14:textId="77777777">
                    <w:pPr>
                      <w:jc w:val="right"/>
                      <w:rPr>
                        <w:rFonts w:ascii="Arial" w:hAnsi="Arial"/>
                        <w:b/>
                        <w:sz w:val="16"/>
                      </w:rPr>
                    </w:pPr>
                    <w:r>
                      <w:rPr>
                        <w:rFonts w:ascii="Arial" w:hAnsi="Arial"/>
                        <w:b/>
                        <w:sz w:val="16"/>
                      </w:rPr>
                      <w:t xml:space="preserve">Internet: </w:t>
                    </w:r>
                    <w:bookmarkStart w:id="1" w:name="_Hlt233824"/>
                    <w:hyperlink r:id="rId2" w:history="1">
                      <w:r w:rsidRPr="00D216CD">
                        <w:rPr>
                          <w:rStyle w:val="Hyperlink"/>
                          <w:rFonts w:ascii="Arial" w:hAnsi="Arial"/>
                          <w:b/>
                          <w:sz w:val="16"/>
                        </w:rPr>
                        <w:t>h</w:t>
                      </w:r>
                      <w:bookmarkEnd w:id="1"/>
                      <w:r w:rsidRPr="00D216CD">
                        <w:rPr>
                          <w:rStyle w:val="Hyperlink"/>
                          <w:rFonts w:ascii="Arial" w:hAnsi="Arial"/>
                          <w:b/>
                          <w:sz w:val="16"/>
                        </w:rPr>
                        <w:t>ttps://www.fcc.gov</w:t>
                      </w:r>
                    </w:hyperlink>
                  </w:p>
                  <w:p w:rsidR="009838BC" w:rsidP="009838BC" w14:paraId="3DB44D07" w14:textId="77777777">
                    <w:pPr>
                      <w:jc w:val="right"/>
                    </w:pPr>
                    <w:r>
                      <w:rPr>
                        <w:rFonts w:ascii="Arial" w:hAnsi="Arial"/>
                        <w:b/>
                        <w:sz w:val="16"/>
                      </w:rPr>
                      <w:t>TTY: 1-888-835-5322</w:t>
                    </w:r>
                  </w:p>
                </w:txbxContent>
              </v:textbox>
            </v:shape>
          </w:pict>
        </mc:Fallback>
      </mc:AlternateContent>
    </w:r>
  </w:p>
  <w:p w:rsidR="006F7393" w:rsidRPr="009838BC" w:rsidP="009838BC" w14:paraId="68E8C282" w14:textId="7777777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133045BA"/>
    <w:multiLevelType w:val="hybridMultilevel"/>
    <w:tmpl w:val="0678645A"/>
    <w:lvl w:ilvl="0">
      <w:start w:val="1"/>
      <w:numFmt w:val="bullet"/>
      <w:lvlText w:val=""/>
      <w:lvlJc w:val="left"/>
      <w:pPr>
        <w:ind w:left="1800" w:hanging="360"/>
      </w:pPr>
      <w:rPr>
        <w:rFonts w:ascii="Wingdings" w:hAnsi="Wingdings" w:hint="default"/>
      </w:rPr>
    </w:lvl>
    <w:lvl w:ilvl="1">
      <w:start w:val="1"/>
      <w:numFmt w:val="bullet"/>
      <w:lvlText w:val=""/>
      <w:lvlJc w:val="left"/>
      <w:pPr>
        <w:ind w:left="2520" w:hanging="360"/>
      </w:pPr>
      <w:rPr>
        <w:rFonts w:ascii="Wingdings" w:hAnsi="Wingdings"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39F951A7"/>
    <w:multiLevelType w:val="hybridMultilevel"/>
    <w:tmpl w:val="29DAD822"/>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BBB472E"/>
    <w:multiLevelType w:val="hybridMultilevel"/>
    <w:tmpl w:val="E33CF1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nsid w:val="5F685BC1"/>
    <w:multiLevelType w:val="hybridMultilevel"/>
    <w:tmpl w:val="A5B46A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115367186">
    <w:abstractNumId w:val="2"/>
  </w:num>
  <w:num w:numId="2" w16cid:durableId="1567909068">
    <w:abstractNumId w:val="9"/>
  </w:num>
  <w:num w:numId="3" w16cid:durableId="972252532">
    <w:abstractNumId w:val="4"/>
  </w:num>
  <w:num w:numId="4" w16cid:durableId="810098833">
    <w:abstractNumId w:val="7"/>
  </w:num>
  <w:num w:numId="5" w16cid:durableId="984697097">
    <w:abstractNumId w:val="3"/>
  </w:num>
  <w:num w:numId="6" w16cid:durableId="691417115">
    <w:abstractNumId w:val="0"/>
  </w:num>
  <w:num w:numId="7" w16cid:durableId="1590653151">
    <w:abstractNumId w:val="1"/>
  </w:num>
  <w:num w:numId="8" w16cid:durableId="830296695">
    <w:abstractNumId w:val="8"/>
  </w:num>
  <w:num w:numId="9" w16cid:durableId="205533164">
    <w:abstractNumId w:val="6"/>
  </w:num>
  <w:num w:numId="10" w16cid:durableId="1379432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09"/>
    <w:rsid w:val="000072CE"/>
    <w:rsid w:val="00013A8B"/>
    <w:rsid w:val="00021445"/>
    <w:rsid w:val="00032160"/>
    <w:rsid w:val="00036039"/>
    <w:rsid w:val="00037F90"/>
    <w:rsid w:val="0004588E"/>
    <w:rsid w:val="00045FDB"/>
    <w:rsid w:val="00061E79"/>
    <w:rsid w:val="000875BF"/>
    <w:rsid w:val="00096D8C"/>
    <w:rsid w:val="000C0B65"/>
    <w:rsid w:val="000E3D42"/>
    <w:rsid w:val="000E5884"/>
    <w:rsid w:val="000F371B"/>
    <w:rsid w:val="00101796"/>
    <w:rsid w:val="00103938"/>
    <w:rsid w:val="00107A87"/>
    <w:rsid w:val="00110EE9"/>
    <w:rsid w:val="00122BD5"/>
    <w:rsid w:val="00130B2F"/>
    <w:rsid w:val="001673B0"/>
    <w:rsid w:val="001979D9"/>
    <w:rsid w:val="001D6BCF"/>
    <w:rsid w:val="001E01CA"/>
    <w:rsid w:val="002060D9"/>
    <w:rsid w:val="00226822"/>
    <w:rsid w:val="00253070"/>
    <w:rsid w:val="00254C5E"/>
    <w:rsid w:val="002578F1"/>
    <w:rsid w:val="00260594"/>
    <w:rsid w:val="00285017"/>
    <w:rsid w:val="002A2D2E"/>
    <w:rsid w:val="00343749"/>
    <w:rsid w:val="00357AB8"/>
    <w:rsid w:val="00357D50"/>
    <w:rsid w:val="003903E9"/>
    <w:rsid w:val="003925DC"/>
    <w:rsid w:val="00393787"/>
    <w:rsid w:val="003A23CF"/>
    <w:rsid w:val="003B0550"/>
    <w:rsid w:val="003B694F"/>
    <w:rsid w:val="003C405B"/>
    <w:rsid w:val="003E0242"/>
    <w:rsid w:val="003E39B5"/>
    <w:rsid w:val="003F171C"/>
    <w:rsid w:val="003F4D3F"/>
    <w:rsid w:val="00404E4E"/>
    <w:rsid w:val="00412FC5"/>
    <w:rsid w:val="00422276"/>
    <w:rsid w:val="004242F1"/>
    <w:rsid w:val="00445A00"/>
    <w:rsid w:val="00451B0F"/>
    <w:rsid w:val="0046125F"/>
    <w:rsid w:val="00485BBC"/>
    <w:rsid w:val="00487524"/>
    <w:rsid w:val="00496106"/>
    <w:rsid w:val="004A35AD"/>
    <w:rsid w:val="004C12D0"/>
    <w:rsid w:val="004C2EE3"/>
    <w:rsid w:val="004E4A22"/>
    <w:rsid w:val="004E716D"/>
    <w:rsid w:val="00511968"/>
    <w:rsid w:val="00550FDB"/>
    <w:rsid w:val="005558D3"/>
    <w:rsid w:val="0055614C"/>
    <w:rsid w:val="0057151E"/>
    <w:rsid w:val="005C7176"/>
    <w:rsid w:val="00607BA5"/>
    <w:rsid w:val="00626EB6"/>
    <w:rsid w:val="006353A3"/>
    <w:rsid w:val="00640463"/>
    <w:rsid w:val="00644AB8"/>
    <w:rsid w:val="00655D03"/>
    <w:rsid w:val="00674DEF"/>
    <w:rsid w:val="00683F84"/>
    <w:rsid w:val="006A6A81"/>
    <w:rsid w:val="006E26AF"/>
    <w:rsid w:val="006F7393"/>
    <w:rsid w:val="0070224F"/>
    <w:rsid w:val="007115F7"/>
    <w:rsid w:val="00785689"/>
    <w:rsid w:val="0079754B"/>
    <w:rsid w:val="007A1E6D"/>
    <w:rsid w:val="007A43B9"/>
    <w:rsid w:val="007C35A9"/>
    <w:rsid w:val="00822CE0"/>
    <w:rsid w:val="00837C62"/>
    <w:rsid w:val="00841AB1"/>
    <w:rsid w:val="00863C4D"/>
    <w:rsid w:val="008A25CA"/>
    <w:rsid w:val="008A2A81"/>
    <w:rsid w:val="008C22FD"/>
    <w:rsid w:val="00910F12"/>
    <w:rsid w:val="00926503"/>
    <w:rsid w:val="00930ECF"/>
    <w:rsid w:val="00935394"/>
    <w:rsid w:val="00974513"/>
    <w:rsid w:val="009838BC"/>
    <w:rsid w:val="009974CA"/>
    <w:rsid w:val="009D3430"/>
    <w:rsid w:val="009D4435"/>
    <w:rsid w:val="009E443A"/>
    <w:rsid w:val="00A1008F"/>
    <w:rsid w:val="00A45F4F"/>
    <w:rsid w:val="00A55E93"/>
    <w:rsid w:val="00A600A9"/>
    <w:rsid w:val="00A866AC"/>
    <w:rsid w:val="00AA55B7"/>
    <w:rsid w:val="00AA5B9E"/>
    <w:rsid w:val="00AB2407"/>
    <w:rsid w:val="00AB3464"/>
    <w:rsid w:val="00AB53DF"/>
    <w:rsid w:val="00AF14E5"/>
    <w:rsid w:val="00B07E5C"/>
    <w:rsid w:val="00B20363"/>
    <w:rsid w:val="00B326E3"/>
    <w:rsid w:val="00B42602"/>
    <w:rsid w:val="00B44CBD"/>
    <w:rsid w:val="00B471A7"/>
    <w:rsid w:val="00B76D87"/>
    <w:rsid w:val="00B811F7"/>
    <w:rsid w:val="00BA5DC6"/>
    <w:rsid w:val="00BA6196"/>
    <w:rsid w:val="00BC1C40"/>
    <w:rsid w:val="00BC6D8C"/>
    <w:rsid w:val="00BC7107"/>
    <w:rsid w:val="00BD1415"/>
    <w:rsid w:val="00BD6C50"/>
    <w:rsid w:val="00C16AF2"/>
    <w:rsid w:val="00C34006"/>
    <w:rsid w:val="00C426B1"/>
    <w:rsid w:val="00C82B6B"/>
    <w:rsid w:val="00C90D6A"/>
    <w:rsid w:val="00CC72B6"/>
    <w:rsid w:val="00D0218D"/>
    <w:rsid w:val="00D216CD"/>
    <w:rsid w:val="00D3795F"/>
    <w:rsid w:val="00D81D95"/>
    <w:rsid w:val="00DA2529"/>
    <w:rsid w:val="00DB130A"/>
    <w:rsid w:val="00DC07DD"/>
    <w:rsid w:val="00DC10A1"/>
    <w:rsid w:val="00DC655F"/>
    <w:rsid w:val="00DD77E1"/>
    <w:rsid w:val="00DD7EBD"/>
    <w:rsid w:val="00DE08DB"/>
    <w:rsid w:val="00DE0AB8"/>
    <w:rsid w:val="00DF62B6"/>
    <w:rsid w:val="00E07225"/>
    <w:rsid w:val="00E155B7"/>
    <w:rsid w:val="00E5409F"/>
    <w:rsid w:val="00EC0185"/>
    <w:rsid w:val="00EE46AC"/>
    <w:rsid w:val="00EF2AAD"/>
    <w:rsid w:val="00EF68F7"/>
    <w:rsid w:val="00F021FA"/>
    <w:rsid w:val="00F57ACA"/>
    <w:rsid w:val="00F62E97"/>
    <w:rsid w:val="00F64209"/>
    <w:rsid w:val="00F86E0D"/>
    <w:rsid w:val="00F93BF5"/>
    <w:rsid w:val="00F96F63"/>
    <w:rsid w:val="00FE56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569C0D"/>
  <w15:chartTrackingRefBased/>
  <w15:docId w15:val="{8EF05DD1-9D9F-4B5D-9394-6EF4FF6E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F90"/>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ootnote Text Char Char2 Char Char,Footnote Text Char1,Footnote Text Char1 Char Char,Footnote Text Char2 Char,Footnote Text Char2 Char1 Char Char Char Char,Footnote Text Char4 Char Char Char Char,f,fn,fn ,fn C,fn Char1,F"/>
    <w:link w:val="FootnoteTextChar"/>
    <w:uiPriority w:val="99"/>
    <w:rsid w:val="000E3D42"/>
    <w:pPr>
      <w:spacing w:after="120"/>
    </w:pPr>
  </w:style>
  <w:style w:type="character" w:styleId="FootnoteReference">
    <w:name w:val="footnote reference"/>
    <w:semiHidden/>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rsid w:val="00837C62"/>
    <w:pPr>
      <w:tabs>
        <w:tab w:val="center" w:pos="4680"/>
        <w:tab w:val="right" w:pos="9360"/>
      </w:tabs>
      <w:ind w:firstLine="1080"/>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10F12"/>
    <w:rPr>
      <w:snapToGrid w:val="0"/>
      <w:kern w:val="28"/>
      <w:sz w:val="22"/>
    </w:rPr>
  </w:style>
  <w:style w:type="paragraph" w:styleId="Revision">
    <w:name w:val="Revision"/>
    <w:hidden/>
    <w:uiPriority w:val="99"/>
    <w:semiHidden/>
    <w:rsid w:val="003903E9"/>
    <w:rPr>
      <w:snapToGrid w:val="0"/>
      <w:kern w:val="28"/>
      <w:sz w:val="22"/>
    </w:rPr>
  </w:style>
  <w:style w:type="character" w:styleId="UnresolvedMention">
    <w:name w:val="Unresolved Mention"/>
    <w:basedOn w:val="DefaultParagraphFont"/>
    <w:uiPriority w:val="99"/>
    <w:semiHidden/>
    <w:unhideWhenUsed/>
    <w:rsid w:val="003903E9"/>
    <w:rPr>
      <w:color w:val="605E5C"/>
      <w:shd w:val="clear" w:color="auto" w:fill="E1DFDD"/>
    </w:rPr>
  </w:style>
  <w:style w:type="paragraph" w:styleId="ListParagraph">
    <w:name w:val="List Paragraph"/>
    <w:basedOn w:val="Normal"/>
    <w:uiPriority w:val="34"/>
    <w:qFormat/>
    <w:rsid w:val="003903E9"/>
    <w:pPr>
      <w:ind w:left="720"/>
      <w:contextualSpacing/>
    </w:pPr>
  </w:style>
  <w:style w:type="character" w:customStyle="1" w:styleId="FootnoteTextChar">
    <w:name w:val="Footnote Text Char"/>
    <w:aliases w:val="ALTS FOOTNOTE Char,Footnote Text Char Char2 Char Char Char,Footnote Text Char1 Char,Footnote Text Char1 Char Char Char,Footnote Text Char2 Char Char,Footnote Text Char2 Char1 Char Char Char Char Char,f Char,fn Char,fn  Char,fn C Char"/>
    <w:basedOn w:val="DefaultParagraphFont"/>
    <w:link w:val="FootnoteText"/>
    <w:uiPriority w:val="99"/>
    <w:rsid w:val="003903E9"/>
  </w:style>
  <w:style w:type="character" w:styleId="CommentReference">
    <w:name w:val="annotation reference"/>
    <w:basedOn w:val="DefaultParagraphFont"/>
    <w:uiPriority w:val="99"/>
    <w:semiHidden/>
    <w:unhideWhenUsed/>
    <w:rsid w:val="00130B2F"/>
    <w:rPr>
      <w:sz w:val="16"/>
      <w:szCs w:val="16"/>
    </w:rPr>
  </w:style>
  <w:style w:type="paragraph" w:styleId="CommentText">
    <w:name w:val="annotation text"/>
    <w:basedOn w:val="Normal"/>
    <w:link w:val="CommentTextChar"/>
    <w:uiPriority w:val="99"/>
    <w:unhideWhenUsed/>
    <w:rsid w:val="00130B2F"/>
    <w:rPr>
      <w:sz w:val="20"/>
    </w:rPr>
  </w:style>
  <w:style w:type="character" w:customStyle="1" w:styleId="CommentTextChar">
    <w:name w:val="Comment Text Char"/>
    <w:basedOn w:val="DefaultParagraphFont"/>
    <w:link w:val="CommentText"/>
    <w:uiPriority w:val="99"/>
    <w:rsid w:val="00130B2F"/>
    <w:rPr>
      <w:snapToGrid w:val="0"/>
      <w:kern w:val="28"/>
    </w:rPr>
  </w:style>
  <w:style w:type="paragraph" w:styleId="CommentSubject">
    <w:name w:val="annotation subject"/>
    <w:basedOn w:val="CommentText"/>
    <w:next w:val="CommentText"/>
    <w:link w:val="CommentSubjectChar"/>
    <w:uiPriority w:val="99"/>
    <w:semiHidden/>
    <w:unhideWhenUsed/>
    <w:rsid w:val="00130B2F"/>
    <w:rPr>
      <w:b/>
      <w:bCs/>
    </w:rPr>
  </w:style>
  <w:style w:type="character" w:customStyle="1" w:styleId="CommentSubjectChar">
    <w:name w:val="Comment Subject Char"/>
    <w:basedOn w:val="CommentTextChar"/>
    <w:link w:val="CommentSubject"/>
    <w:uiPriority w:val="99"/>
    <w:semiHidden/>
    <w:rsid w:val="00130B2F"/>
    <w:rPr>
      <w:b/>
      <w:bCs/>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ecfs/filings/standard" TargetMode="External" /><Relationship Id="rId7" Type="http://schemas.openxmlformats.org/officeDocument/2006/relationships/hyperlink" Target="mailto:fcc504@fcc.gov" TargetMode="External" /><Relationship Id="rId8" Type="http://schemas.openxmlformats.org/officeDocument/2006/relationships/hyperlink" Target="mailto:Christopher.Koves@fcc.gov"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www.fcc.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K:\Bureaus-Offices\WCB\PPD\Tariffing\1_Annual%20Filings\2024%20Annual%20Tariff%20Filings\Drafts%20ready%20for%20release\2024_03_25_geographic%20rate%20averaging%20PN_Final.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2024_03_25_geographic rate averaging PN_Final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