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4C2EE3" w14:paraId="042309F1" w14:textId="77777777">
      <w:pPr>
        <w:jc w:val="center"/>
        <w:rPr>
          <w:b/>
        </w:rPr>
      </w:pPr>
      <w:r w:rsidRPr="0070224F">
        <w:rPr>
          <w:rFonts w:ascii="Times New Roman Bold" w:hAnsi="Times New Roman Bold"/>
          <w:b/>
          <w:kern w:val="0"/>
          <w:szCs w:val="22"/>
        </w:rPr>
        <w:t>Before</w:t>
      </w:r>
      <w:r>
        <w:rPr>
          <w:b/>
        </w:rPr>
        <w:t xml:space="preserve"> the</w:t>
      </w:r>
    </w:p>
    <w:p w:rsidR="00921803" w:rsidP="00921803" w14:paraId="4F4120AA" w14:textId="77777777">
      <w:pPr>
        <w:pStyle w:val="StyleBoldCentered"/>
      </w:pPr>
      <w:r>
        <w:t>F</w:t>
      </w:r>
      <w:r>
        <w:rPr>
          <w:caps w:val="0"/>
        </w:rPr>
        <w:t>ederal Communications Commission</w:t>
      </w:r>
    </w:p>
    <w:p w:rsidR="004C2EE3" w:rsidP="00096D8C" w14:paraId="108F09DB" w14:textId="77777777">
      <w:pPr>
        <w:pStyle w:val="StyleBoldCentered"/>
      </w:pPr>
      <w:r>
        <w:rPr>
          <w:caps w:val="0"/>
        </w:rPr>
        <w:t>Washington, D.C. 20554</w:t>
      </w:r>
    </w:p>
    <w:p w:rsidR="004C2EE3" w:rsidP="0070224F" w14:paraId="5A79BFD8" w14:textId="77777777"/>
    <w:p w:rsidR="004C2EE3" w:rsidP="0070224F" w14:paraId="0BC19E88" w14:textId="77777777"/>
    <w:tbl>
      <w:tblPr>
        <w:tblW w:w="0" w:type="auto"/>
        <w:tblLayout w:type="fixed"/>
        <w:tblLook w:val="0000"/>
      </w:tblPr>
      <w:tblGrid>
        <w:gridCol w:w="4698"/>
        <w:gridCol w:w="630"/>
        <w:gridCol w:w="4248"/>
      </w:tblGrid>
      <w:tr w14:paraId="538D42E0" w14:textId="77777777">
        <w:tblPrEx>
          <w:tblW w:w="0" w:type="auto"/>
          <w:tblLayout w:type="fixed"/>
          <w:tblLook w:val="0000"/>
        </w:tblPrEx>
        <w:tc>
          <w:tcPr>
            <w:tcW w:w="4698" w:type="dxa"/>
          </w:tcPr>
          <w:p w:rsidR="004C2EE3" w14:paraId="1DEB91D0" w14:textId="77777777">
            <w:pPr>
              <w:tabs>
                <w:tab w:val="center" w:pos="4680"/>
              </w:tabs>
              <w:suppressAutoHyphens/>
              <w:rPr>
                <w:spacing w:val="-2"/>
              </w:rPr>
            </w:pPr>
            <w:r>
              <w:rPr>
                <w:spacing w:val="-2"/>
              </w:rPr>
              <w:t>In the Matter of</w:t>
            </w:r>
          </w:p>
          <w:p w:rsidR="004C2EE3" w14:paraId="71459A32" w14:textId="77777777">
            <w:pPr>
              <w:tabs>
                <w:tab w:val="center" w:pos="4680"/>
              </w:tabs>
              <w:suppressAutoHyphens/>
              <w:rPr>
                <w:spacing w:val="-2"/>
              </w:rPr>
            </w:pPr>
          </w:p>
          <w:p w:rsidR="004C2EE3" w:rsidRPr="007115F7" w:rsidP="007115F7" w14:paraId="163974DD" w14:textId="2521B294">
            <w:pPr>
              <w:tabs>
                <w:tab w:val="center" w:pos="4680"/>
              </w:tabs>
              <w:suppressAutoHyphens/>
              <w:rPr>
                <w:spacing w:val="-2"/>
              </w:rPr>
            </w:pPr>
            <w:r w:rsidRPr="00320D3A">
              <w:rPr>
                <w:spacing w:val="-2"/>
              </w:rPr>
              <w:t>Amendment of Part 11 of the Commission</w:t>
            </w:r>
            <w:r>
              <w:rPr>
                <w:spacing w:val="-2"/>
              </w:rPr>
              <w:t>’</w:t>
            </w:r>
            <w:r w:rsidRPr="00320D3A">
              <w:rPr>
                <w:spacing w:val="-2"/>
              </w:rPr>
              <w:t xml:space="preserve"> Rules Regarding the Emergency Alert System</w:t>
            </w:r>
          </w:p>
        </w:tc>
        <w:tc>
          <w:tcPr>
            <w:tcW w:w="630" w:type="dxa"/>
          </w:tcPr>
          <w:p w:rsidR="004C2EE3" w14:paraId="35451023" w14:textId="77777777">
            <w:pPr>
              <w:tabs>
                <w:tab w:val="center" w:pos="4680"/>
              </w:tabs>
              <w:suppressAutoHyphens/>
              <w:rPr>
                <w:b/>
                <w:spacing w:val="-2"/>
              </w:rPr>
            </w:pPr>
            <w:r>
              <w:rPr>
                <w:b/>
                <w:spacing w:val="-2"/>
              </w:rPr>
              <w:t>)</w:t>
            </w:r>
          </w:p>
          <w:p w:rsidR="004C2EE3" w14:paraId="3588DDFD" w14:textId="77777777">
            <w:pPr>
              <w:tabs>
                <w:tab w:val="center" w:pos="4680"/>
              </w:tabs>
              <w:suppressAutoHyphens/>
              <w:rPr>
                <w:b/>
                <w:spacing w:val="-2"/>
              </w:rPr>
            </w:pPr>
            <w:r>
              <w:rPr>
                <w:b/>
                <w:spacing w:val="-2"/>
              </w:rPr>
              <w:t>)</w:t>
            </w:r>
          </w:p>
          <w:p w:rsidR="004C2EE3" w14:paraId="5EB9137E" w14:textId="77777777">
            <w:pPr>
              <w:tabs>
                <w:tab w:val="center" w:pos="4680"/>
              </w:tabs>
              <w:suppressAutoHyphens/>
              <w:rPr>
                <w:b/>
                <w:spacing w:val="-2"/>
              </w:rPr>
            </w:pPr>
            <w:r>
              <w:rPr>
                <w:b/>
                <w:spacing w:val="-2"/>
              </w:rPr>
              <w:t>)</w:t>
            </w:r>
          </w:p>
          <w:p w:rsidR="004C2EE3" w14:paraId="7D2DA7C7" w14:textId="77777777">
            <w:pPr>
              <w:tabs>
                <w:tab w:val="center" w:pos="4680"/>
              </w:tabs>
              <w:suppressAutoHyphens/>
              <w:rPr>
                <w:b/>
                <w:spacing w:val="-2"/>
              </w:rPr>
            </w:pPr>
            <w:r>
              <w:rPr>
                <w:b/>
                <w:spacing w:val="-2"/>
              </w:rPr>
              <w:t>)</w:t>
            </w:r>
          </w:p>
          <w:p w:rsidR="004C2EE3" w14:paraId="2E9EE4D8" w14:textId="65F6DB15">
            <w:pPr>
              <w:tabs>
                <w:tab w:val="center" w:pos="4680"/>
              </w:tabs>
              <w:suppressAutoHyphens/>
              <w:rPr>
                <w:spacing w:val="-2"/>
              </w:rPr>
            </w:pPr>
          </w:p>
        </w:tc>
        <w:tc>
          <w:tcPr>
            <w:tcW w:w="4248" w:type="dxa"/>
          </w:tcPr>
          <w:p w:rsidR="004C2EE3" w14:paraId="20BDEF63" w14:textId="77777777">
            <w:pPr>
              <w:tabs>
                <w:tab w:val="center" w:pos="4680"/>
              </w:tabs>
              <w:suppressAutoHyphens/>
              <w:rPr>
                <w:spacing w:val="-2"/>
              </w:rPr>
            </w:pPr>
          </w:p>
          <w:p w:rsidR="004C2EE3" w14:paraId="3195764B" w14:textId="77777777">
            <w:pPr>
              <w:pStyle w:val="TOAHeading"/>
              <w:tabs>
                <w:tab w:val="center" w:pos="4680"/>
                <w:tab w:val="clear" w:pos="9360"/>
              </w:tabs>
              <w:rPr>
                <w:spacing w:val="-2"/>
              </w:rPr>
            </w:pPr>
          </w:p>
          <w:p w:rsidR="004C2EE3" w14:paraId="4DE7E01B" w14:textId="1DF86B11">
            <w:pPr>
              <w:tabs>
                <w:tab w:val="center" w:pos="4680"/>
              </w:tabs>
              <w:suppressAutoHyphens/>
              <w:rPr>
                <w:spacing w:val="-2"/>
              </w:rPr>
            </w:pPr>
            <w:r>
              <w:rPr>
                <w:spacing w:val="-2"/>
              </w:rPr>
              <w:t>PS</w:t>
            </w:r>
            <w:r w:rsidR="00A60522">
              <w:rPr>
                <w:spacing w:val="-2"/>
              </w:rPr>
              <w:t xml:space="preserve"> Docket No. 15-94</w:t>
            </w:r>
          </w:p>
        </w:tc>
      </w:tr>
    </w:tbl>
    <w:p w:rsidR="004C2EE3" w:rsidP="0070224F" w14:paraId="6D4B67C2" w14:textId="77777777"/>
    <w:p w:rsidR="00841AB1" w:rsidP="00F021FA" w14:paraId="00D87C42" w14:textId="7C4B273E">
      <w:pPr>
        <w:pStyle w:val="StyleBoldCentered"/>
      </w:pPr>
      <w:r>
        <w:t>Order</w:t>
      </w:r>
    </w:p>
    <w:p w:rsidR="004C2EE3" w14:paraId="0C23B058" w14:textId="77777777">
      <w:pPr>
        <w:tabs>
          <w:tab w:val="left" w:pos="-720"/>
        </w:tabs>
        <w:suppressAutoHyphens/>
        <w:spacing w:line="227" w:lineRule="auto"/>
        <w:rPr>
          <w:spacing w:val="-2"/>
        </w:rPr>
      </w:pPr>
    </w:p>
    <w:p w:rsidR="004C2EE3" w:rsidP="00133F79" w14:paraId="5030D492" w14:textId="431B4EE0">
      <w:pPr>
        <w:tabs>
          <w:tab w:val="left" w:pos="720"/>
          <w:tab w:val="right" w:pos="9360"/>
        </w:tabs>
        <w:suppressAutoHyphens/>
        <w:spacing w:line="227" w:lineRule="auto"/>
        <w:rPr>
          <w:spacing w:val="-2"/>
        </w:rPr>
      </w:pPr>
      <w:r w:rsidRPr="00BB56EB">
        <w:rPr>
          <w:b/>
          <w:spacing w:val="-2"/>
        </w:rPr>
        <w:t xml:space="preserve">Adopted:  </w:t>
      </w:r>
      <w:r w:rsidR="0003070C">
        <w:rPr>
          <w:b/>
          <w:spacing w:val="-2"/>
        </w:rPr>
        <w:t>March</w:t>
      </w:r>
      <w:r>
        <w:rPr>
          <w:b/>
          <w:spacing w:val="-2"/>
        </w:rPr>
        <w:t xml:space="preserve"> </w:t>
      </w:r>
      <w:r w:rsidR="00AC6C74">
        <w:rPr>
          <w:b/>
          <w:spacing w:val="-2"/>
        </w:rPr>
        <w:t>19</w:t>
      </w:r>
      <w:r>
        <w:rPr>
          <w:b/>
          <w:spacing w:val="-2"/>
        </w:rPr>
        <w:t xml:space="preserve">, </w:t>
      </w:r>
      <w:r w:rsidR="0003660A">
        <w:rPr>
          <w:b/>
          <w:spacing w:val="-2"/>
        </w:rPr>
        <w:t xml:space="preserve">2026 </w:t>
      </w:r>
      <w:r w:rsidR="0003660A">
        <w:rPr>
          <w:b/>
          <w:spacing w:val="-2"/>
        </w:rPr>
        <w:tab/>
      </w:r>
      <w:r w:rsidR="005F24D6">
        <w:rPr>
          <w:b/>
          <w:spacing w:val="-2"/>
        </w:rPr>
        <w:t>Released</w:t>
      </w:r>
      <w:r w:rsidR="0003660A">
        <w:rPr>
          <w:b/>
          <w:spacing w:val="-2"/>
        </w:rPr>
        <w:t xml:space="preserve">:  </w:t>
      </w:r>
      <w:r w:rsidR="00EE7CB5">
        <w:rPr>
          <w:b/>
          <w:spacing w:val="-2"/>
        </w:rPr>
        <w:t>March 19</w:t>
      </w:r>
      <w:r w:rsidR="0003660A">
        <w:rPr>
          <w:b/>
          <w:spacing w:val="-2"/>
        </w:rPr>
        <w:t>, 2026</w:t>
      </w:r>
    </w:p>
    <w:p w:rsidR="00822CE0" w14:paraId="7C57B7A5" w14:textId="77777777"/>
    <w:p w:rsidR="004C2EE3" w14:paraId="4C2D2BED" w14:textId="4A2B0631">
      <w:pPr>
        <w:rPr>
          <w:spacing w:val="-2"/>
        </w:rPr>
      </w:pPr>
      <w:r w:rsidRPr="00BB56EB">
        <w:t xml:space="preserve">By the </w:t>
      </w:r>
      <w:r w:rsidRPr="00BB56EB">
        <w:rPr>
          <w:spacing w:val="-2"/>
        </w:rPr>
        <w:t xml:space="preserve">Chief, </w:t>
      </w:r>
      <w:r w:rsidRPr="00CB05D5">
        <w:rPr>
          <w:spacing w:val="-2"/>
        </w:rPr>
        <w:t>Public Safety and Homeland Security Bureau</w:t>
      </w:r>
      <w:r>
        <w:rPr>
          <w:spacing w:val="-2"/>
        </w:rPr>
        <w:t>:</w:t>
      </w:r>
    </w:p>
    <w:p w:rsidR="00822CE0" w14:paraId="7BFB0E04" w14:textId="77777777">
      <w:pPr>
        <w:rPr>
          <w:spacing w:val="-2"/>
        </w:rPr>
      </w:pPr>
    </w:p>
    <w:p w:rsidR="00412FC5" w:rsidP="00C36B4C" w14:paraId="6955B75F" w14:textId="0BF93ABE">
      <w:pPr>
        <w:pStyle w:val="Heading1"/>
      </w:pPr>
      <w:r>
        <w:t>I</w:t>
      </w:r>
      <w:r w:rsidR="00D16083">
        <w:t>ntroduction</w:t>
      </w:r>
    </w:p>
    <w:p w:rsidR="00253AD4" w:rsidP="00D16083" w14:paraId="393B07EB" w14:textId="71CF68A9">
      <w:pPr>
        <w:pStyle w:val="ParaNum"/>
      </w:pPr>
      <w:r w:rsidRPr="006201DA">
        <w:t>In this Order</w:t>
      </w:r>
      <w:r w:rsidR="00F74F23">
        <w:t>,</w:t>
      </w:r>
      <w:r w:rsidRPr="006201DA">
        <w:t xml:space="preserve"> </w:t>
      </w:r>
      <w:r w:rsidR="001D292E">
        <w:t>the Public Safety and Homeland Security Bureau (Bureau)</w:t>
      </w:r>
      <w:r w:rsidRPr="006201DA">
        <w:t xml:space="preserve"> </w:t>
      </w:r>
      <w:r w:rsidR="000B4267">
        <w:t>considers</w:t>
      </w:r>
      <w:r w:rsidR="000002B0">
        <w:t xml:space="preserve"> </w:t>
      </w:r>
      <w:r>
        <w:t>a</w:t>
      </w:r>
      <w:r w:rsidRPr="006201DA">
        <w:t xml:space="preserve"> </w:t>
      </w:r>
      <w:r w:rsidR="003E3DEE">
        <w:t xml:space="preserve">request </w:t>
      </w:r>
      <w:r w:rsidRPr="006201DA">
        <w:t>filed by</w:t>
      </w:r>
      <w:r w:rsidR="00D007FD">
        <w:t xml:space="preserve"> the</w:t>
      </w:r>
      <w:r w:rsidRPr="006201DA">
        <w:t xml:space="preserve"> </w:t>
      </w:r>
      <w:r w:rsidRPr="008506D0" w:rsidR="008506D0">
        <w:t xml:space="preserve">Grand Valley State University (GVSU) </w:t>
      </w:r>
      <w:r w:rsidR="00D007FD">
        <w:t>seeking</w:t>
      </w:r>
      <w:r w:rsidRPr="006201DA" w:rsidR="00730EA0">
        <w:t xml:space="preserve"> </w:t>
      </w:r>
      <w:r w:rsidR="00730EA0">
        <w:t xml:space="preserve">a </w:t>
      </w:r>
      <w:r w:rsidR="00B00BF0">
        <w:t>limited</w:t>
      </w:r>
      <w:r w:rsidR="00730EA0">
        <w:t xml:space="preserve"> </w:t>
      </w:r>
      <w:r w:rsidRPr="006201DA" w:rsidR="00730EA0">
        <w:t xml:space="preserve">waiver </w:t>
      </w:r>
      <w:r w:rsidR="00730EA0">
        <w:t xml:space="preserve">of the Commission’s </w:t>
      </w:r>
      <w:r w:rsidR="001D292E">
        <w:t xml:space="preserve">rule </w:t>
      </w:r>
      <w:r w:rsidR="003E3DEE">
        <w:t>addressing</w:t>
      </w:r>
      <w:r w:rsidR="00D510B6">
        <w:t xml:space="preserve"> </w:t>
      </w:r>
      <w:r w:rsidR="00A7664F">
        <w:t xml:space="preserve">operational readiness for </w:t>
      </w:r>
      <w:r w:rsidR="00730EA0">
        <w:t xml:space="preserve">Emergency Alert System (EAS) </w:t>
      </w:r>
      <w:r w:rsidR="00D510B6">
        <w:t>equipment</w:t>
      </w:r>
      <w:r w:rsidR="003E3DEE">
        <w:t xml:space="preserve"> as applied to </w:t>
      </w:r>
      <w:r w:rsidR="00F5713E">
        <w:t>two</w:t>
      </w:r>
      <w:r w:rsidR="003E3DEE">
        <w:t xml:space="preserve"> </w:t>
      </w:r>
      <w:r w:rsidRPr="00B4663A" w:rsidR="003E3DEE">
        <w:t xml:space="preserve">broadcast radio stations </w:t>
      </w:r>
      <w:r w:rsidR="003E3DEE">
        <w:t>(</w:t>
      </w:r>
      <w:r w:rsidRPr="000D1C5B" w:rsidR="000D1C5B">
        <w:t>WGVU-FM</w:t>
      </w:r>
      <w:r w:rsidR="00F5713E">
        <w:t xml:space="preserve"> and</w:t>
      </w:r>
      <w:r w:rsidRPr="00B4663A" w:rsidR="003E3DEE">
        <w:t xml:space="preserve"> </w:t>
      </w:r>
      <w:r w:rsidRPr="00D37359" w:rsidR="00D37359">
        <w:t>WGVS-FM</w:t>
      </w:r>
      <w:r w:rsidR="003E3DEE">
        <w:t>)</w:t>
      </w:r>
      <w:r w:rsidRPr="00B4663A" w:rsidR="003E3DEE">
        <w:t xml:space="preserve"> </w:t>
      </w:r>
      <w:r w:rsidR="006E0ACA">
        <w:t xml:space="preserve">and </w:t>
      </w:r>
      <w:r w:rsidR="00E8388C">
        <w:t xml:space="preserve">two </w:t>
      </w:r>
      <w:r w:rsidRPr="00B4663A" w:rsidR="00E8388C">
        <w:t xml:space="preserve">broadcast </w:t>
      </w:r>
      <w:r w:rsidR="002F4A7E">
        <w:t>television</w:t>
      </w:r>
      <w:r w:rsidRPr="00B4663A" w:rsidR="002F4A7E">
        <w:t xml:space="preserve"> </w:t>
      </w:r>
      <w:r w:rsidRPr="00B4663A" w:rsidR="00E8388C">
        <w:t xml:space="preserve">stations </w:t>
      </w:r>
      <w:r w:rsidR="00E8388C">
        <w:t>(</w:t>
      </w:r>
      <w:r w:rsidRPr="00EE3E84" w:rsidR="00EE3E84">
        <w:t>WGVU-TV</w:t>
      </w:r>
      <w:r w:rsidR="00EE3E84">
        <w:t xml:space="preserve"> </w:t>
      </w:r>
      <w:r w:rsidR="00E8388C">
        <w:t>and</w:t>
      </w:r>
      <w:r w:rsidRPr="00B4663A" w:rsidR="00E8388C">
        <w:t xml:space="preserve"> </w:t>
      </w:r>
      <w:r w:rsidRPr="00D7370D" w:rsidR="00D7370D">
        <w:t>WGVK</w:t>
      </w:r>
      <w:r w:rsidR="00E8388C">
        <w:t>)</w:t>
      </w:r>
      <w:r w:rsidR="006E0ACA">
        <w:t xml:space="preserve"> </w:t>
      </w:r>
      <w:r w:rsidR="003E3DEE">
        <w:t xml:space="preserve">that </w:t>
      </w:r>
      <w:r w:rsidR="008506D0">
        <w:t>GVSU</w:t>
      </w:r>
      <w:r w:rsidR="00DE25F2">
        <w:t xml:space="preserve"> </w:t>
      </w:r>
      <w:r w:rsidR="00863E4B">
        <w:t>seek</w:t>
      </w:r>
      <w:r w:rsidR="00DE25F2">
        <w:t>s</w:t>
      </w:r>
      <w:r w:rsidR="00863E4B">
        <w:t xml:space="preserve"> to</w:t>
      </w:r>
      <w:r w:rsidR="003E3DEE">
        <w:t xml:space="preserve"> relocat</w:t>
      </w:r>
      <w:r w:rsidR="00863E4B">
        <w:t>e</w:t>
      </w:r>
      <w:r w:rsidR="003E3DEE">
        <w:t xml:space="preserve"> </w:t>
      </w:r>
      <w:r w:rsidR="00DE25F2">
        <w:t xml:space="preserve">to </w:t>
      </w:r>
      <w:r w:rsidR="00C22A87">
        <w:t xml:space="preserve">new </w:t>
      </w:r>
      <w:r w:rsidR="003E3DEE">
        <w:t>facilit</w:t>
      </w:r>
      <w:r w:rsidR="00811646">
        <w:t>ies</w:t>
      </w:r>
      <w:r w:rsidR="00D510B6">
        <w:t xml:space="preserve">.  </w:t>
      </w:r>
      <w:r w:rsidR="00CB36DF">
        <w:t>For the reasons discussed</w:t>
      </w:r>
      <w:r w:rsidRPr="006201DA">
        <w:t xml:space="preserve"> herein, </w:t>
      </w:r>
      <w:r w:rsidR="002A6E9C">
        <w:t>the Bureau grants</w:t>
      </w:r>
      <w:r w:rsidR="00D64B5B">
        <w:t xml:space="preserve"> </w:t>
      </w:r>
      <w:r w:rsidR="003E3DEE">
        <w:t>the request</w:t>
      </w:r>
      <w:r w:rsidR="00E30604">
        <w:t>.</w:t>
      </w:r>
    </w:p>
    <w:p w:rsidR="0034572A" w:rsidP="00F74F23" w14:paraId="1AEFCE28" w14:textId="55E8F378">
      <w:pPr>
        <w:pStyle w:val="Heading1"/>
      </w:pPr>
      <w:r>
        <w:t>background</w:t>
      </w:r>
    </w:p>
    <w:p w:rsidR="00BE2BB7" w:rsidP="006A7C6D" w14:paraId="153EC259" w14:textId="1FA539F8">
      <w:pPr>
        <w:pStyle w:val="ParaNum"/>
      </w:pPr>
      <w:r w:rsidRPr="0091173E">
        <w:rPr>
          <w:bCs/>
        </w:rPr>
        <w:t>The EAS is a national system used to disseminate public warnings of impeding emergencies over broadcast, cable, and satellite networks to consumers’ radios, televisions, and other audio and video devices.</w:t>
      </w:r>
      <w:r>
        <w:rPr>
          <w:rStyle w:val="FootnoteReference"/>
          <w:bCs/>
        </w:rPr>
        <w:footnoteReference w:id="3"/>
      </w:r>
      <w:r w:rsidRPr="0091173E">
        <w:rPr>
          <w:bCs/>
        </w:rPr>
        <w:t xml:space="preserve">  </w:t>
      </w:r>
      <w:r w:rsidR="00C31F61">
        <w:t xml:space="preserve">EAS </w:t>
      </w:r>
      <w:r w:rsidR="00AF1EB7">
        <w:t>P</w:t>
      </w:r>
      <w:r w:rsidR="00C31F61">
        <w:t>articipants</w:t>
      </w:r>
      <w:r w:rsidR="00D351CB">
        <w:t xml:space="preserve"> </w:t>
      </w:r>
      <w:r>
        <w:t xml:space="preserve">are required </w:t>
      </w:r>
      <w:r w:rsidR="00C31F61">
        <w:t xml:space="preserve">to have </w:t>
      </w:r>
      <w:r w:rsidR="008F3AC6">
        <w:t>d</w:t>
      </w:r>
      <w:r w:rsidR="00C31F61">
        <w:t>evices installed and capable of sending and receiving EAS tests and messages.</w:t>
      </w:r>
      <w:r>
        <w:rPr>
          <w:rStyle w:val="FootnoteReference"/>
        </w:rPr>
        <w:footnoteReference w:id="4"/>
      </w:r>
      <w:r w:rsidR="00D351CB">
        <w:t xml:space="preserve"> </w:t>
      </w:r>
      <w:r w:rsidR="00C31F61">
        <w:t xml:space="preserve"> </w:t>
      </w:r>
      <w:r w:rsidR="00DE25F2">
        <w:t>In particular, s</w:t>
      </w:r>
      <w:r w:rsidR="00E41053">
        <w:t xml:space="preserve">ection 11.35 of the </w:t>
      </w:r>
      <w:r w:rsidR="00DE25F2">
        <w:t xml:space="preserve">FCC’s </w:t>
      </w:r>
      <w:r w:rsidR="00E41053">
        <w:t>rules</w:t>
      </w:r>
      <w:r w:rsidR="00F97CAE">
        <w:t xml:space="preserve"> requires</w:t>
      </w:r>
      <w:r w:rsidR="00E41053">
        <w:t xml:space="preserve"> </w:t>
      </w:r>
      <w:r w:rsidR="00C31F61">
        <w:t xml:space="preserve">EAS Participants </w:t>
      </w:r>
      <w:r w:rsidR="00F97CAE">
        <w:t xml:space="preserve">to </w:t>
      </w:r>
      <w:r w:rsidR="00C31F61">
        <w:t xml:space="preserve">ensure </w:t>
      </w:r>
      <w:r w:rsidR="00D64B5B">
        <w:t>that their EAS equipment is</w:t>
      </w:r>
      <w:r w:rsidR="00C31F61">
        <w:t xml:space="preserve"> “installed so that the monitoring and transmitting functions are available during the times the stations and systems are in operation.”</w:t>
      </w:r>
      <w:r>
        <w:rPr>
          <w:rStyle w:val="FootnoteReference"/>
        </w:rPr>
        <w:footnoteReference w:id="5"/>
      </w:r>
      <w:r w:rsidR="00CF17E5">
        <w:t xml:space="preserve">  </w:t>
      </w:r>
    </w:p>
    <w:p w:rsidR="00E95723" w:rsidP="00D938F4" w14:paraId="04D73F71" w14:textId="247A4256">
      <w:pPr>
        <w:pStyle w:val="ParaNum"/>
      </w:pPr>
      <w:r w:rsidRPr="005B757F">
        <w:t xml:space="preserve">GVSU </w:t>
      </w:r>
      <w:r w:rsidR="002F4A7E">
        <w:t>holds license</w:t>
      </w:r>
      <w:r w:rsidR="00B67E5B">
        <w:t>s</w:t>
      </w:r>
      <w:r w:rsidR="002F4A7E">
        <w:t xml:space="preserve"> for</w:t>
      </w:r>
      <w:r w:rsidRPr="005B757F" w:rsidR="00DE25F2">
        <w:t xml:space="preserve"> broadcast radio stations </w:t>
      </w:r>
      <w:r w:rsidRPr="005B757F" w:rsidR="00D309CB">
        <w:t xml:space="preserve">WGVU-FM and WGVS-FM and broadcast </w:t>
      </w:r>
      <w:r w:rsidRPr="005B757F" w:rsidR="005B757F">
        <w:t>TV</w:t>
      </w:r>
      <w:r w:rsidRPr="005B757F" w:rsidR="00D309CB">
        <w:t xml:space="preserve"> stations WGVU-TV and WGVK</w:t>
      </w:r>
      <w:r w:rsidRPr="005B757F" w:rsidR="00DE25F2">
        <w:t xml:space="preserve">, which are </w:t>
      </w:r>
      <w:r w:rsidR="00B67E5B">
        <w:t xml:space="preserve">all </w:t>
      </w:r>
      <w:r w:rsidRPr="005B757F" w:rsidR="009D5203">
        <w:t xml:space="preserve">EAS </w:t>
      </w:r>
      <w:r w:rsidRPr="005B757F" w:rsidR="00CB5276">
        <w:t>P</w:t>
      </w:r>
      <w:r w:rsidRPr="005B757F" w:rsidR="009D5203">
        <w:t>articipant</w:t>
      </w:r>
      <w:r w:rsidRPr="005B757F" w:rsidR="00DE25F2">
        <w:t>s</w:t>
      </w:r>
      <w:r w:rsidR="007E6211">
        <w:t>.</w:t>
      </w:r>
      <w:r>
        <w:rPr>
          <w:rStyle w:val="FootnoteReference"/>
        </w:rPr>
        <w:footnoteReference w:id="6"/>
      </w:r>
      <w:r w:rsidR="002754F7">
        <w:t xml:space="preserve">  </w:t>
      </w:r>
      <w:r w:rsidR="004F462D">
        <w:t xml:space="preserve">On </w:t>
      </w:r>
      <w:r w:rsidR="00702AAA">
        <w:t>March 10</w:t>
      </w:r>
      <w:r w:rsidRPr="007820D5" w:rsidR="004F462D">
        <w:t>, 2026</w:t>
      </w:r>
      <w:r w:rsidRPr="00340A3B" w:rsidR="004F462D">
        <w:t>,</w:t>
      </w:r>
      <w:r w:rsidR="004F462D">
        <w:t xml:space="preserve"> </w:t>
      </w:r>
      <w:r w:rsidR="0019608E">
        <w:t>GVSU</w:t>
      </w:r>
      <w:r w:rsidR="004F462D">
        <w:t xml:space="preserve"> filed a petition seeking a waiver of </w:t>
      </w:r>
      <w:r w:rsidR="00157ACF">
        <w:t>the Commission’s</w:t>
      </w:r>
      <w:r w:rsidR="007F037C">
        <w:t xml:space="preserve"> </w:t>
      </w:r>
      <w:r w:rsidRPr="00A677A7" w:rsidR="00A677A7">
        <w:t>EAS equipment rules</w:t>
      </w:r>
      <w:r w:rsidR="004F462D">
        <w:t xml:space="preserve"> </w:t>
      </w:r>
      <w:r w:rsidR="00C22A87">
        <w:t>to allow the</w:t>
      </w:r>
      <w:r w:rsidR="006D0E88">
        <w:t xml:space="preserve"> </w:t>
      </w:r>
      <w:r w:rsidR="00C22A87">
        <w:t>relocation of these stations’ EAS equipment</w:t>
      </w:r>
      <w:r w:rsidR="00FF0AF6">
        <w:t xml:space="preserve"> from </w:t>
      </w:r>
      <w:r w:rsidR="005815E6">
        <w:t xml:space="preserve">its </w:t>
      </w:r>
      <w:r w:rsidR="001474CE">
        <w:t xml:space="preserve">current location to </w:t>
      </w:r>
      <w:r w:rsidR="003032B0">
        <w:t xml:space="preserve">three different </w:t>
      </w:r>
      <w:r w:rsidR="0068237B">
        <w:t xml:space="preserve">campus </w:t>
      </w:r>
      <w:r w:rsidR="003032B0">
        <w:t>locations</w:t>
      </w:r>
      <w:r w:rsidR="0031532B">
        <w:t xml:space="preserve"> </w:t>
      </w:r>
      <w:r w:rsidRPr="00F86401" w:rsidR="00F647B6">
        <w:t>on Wednesday, March 25, 2026, at 10 AM</w:t>
      </w:r>
      <w:r w:rsidR="00F647B6">
        <w:t xml:space="preserve"> </w:t>
      </w:r>
      <w:r w:rsidRPr="00F86401" w:rsidR="00F647B6">
        <w:t>EDT</w:t>
      </w:r>
      <w:r w:rsidRPr="00782870" w:rsidR="0006175C">
        <w:t>.</w:t>
      </w:r>
      <w:r>
        <w:rPr>
          <w:rStyle w:val="FootnoteReference"/>
        </w:rPr>
        <w:footnoteReference w:id="7"/>
      </w:r>
      <w:r w:rsidRPr="00782870" w:rsidR="0006175C">
        <w:t xml:space="preserve"> </w:t>
      </w:r>
      <w:r w:rsidR="00003966">
        <w:t xml:space="preserve"> </w:t>
      </w:r>
      <w:r w:rsidR="004C0572">
        <w:t>GVSU</w:t>
      </w:r>
      <w:r w:rsidR="005815E6">
        <w:t xml:space="preserve"> seeks to relocate </w:t>
      </w:r>
      <w:r w:rsidR="00436B97">
        <w:t xml:space="preserve">the EAS equipment because the </w:t>
      </w:r>
      <w:r w:rsidRPr="0050477E" w:rsidR="0050477E">
        <w:t xml:space="preserve">building that </w:t>
      </w:r>
      <w:r w:rsidR="00462898">
        <w:t xml:space="preserve">currently </w:t>
      </w:r>
      <w:r w:rsidRPr="0050477E" w:rsidR="0050477E">
        <w:t xml:space="preserve">houses </w:t>
      </w:r>
      <w:r w:rsidR="005815E6">
        <w:t>it</w:t>
      </w:r>
      <w:r w:rsidRPr="0050477E" w:rsidR="0050477E">
        <w:t xml:space="preserve"> </w:t>
      </w:r>
      <w:r w:rsidR="00AD20EE">
        <w:t>“</w:t>
      </w:r>
      <w:r w:rsidRPr="0050477E" w:rsidR="0050477E">
        <w:t xml:space="preserve">will be renovated beginning in June of this year in a project expected to </w:t>
      </w:r>
      <w:r w:rsidRPr="0050477E" w:rsidR="0050477E">
        <w:t>take at least thirty months.</w:t>
      </w:r>
      <w:r w:rsidR="00AD20EE">
        <w:t>”</w:t>
      </w:r>
      <w:r>
        <w:rPr>
          <w:rStyle w:val="FootnoteReference"/>
        </w:rPr>
        <w:footnoteReference w:id="8"/>
      </w:r>
      <w:r w:rsidR="00404888">
        <w:t xml:space="preserve">  </w:t>
      </w:r>
      <w:r w:rsidR="00FB2EBC">
        <w:t xml:space="preserve">GVSU indicates </w:t>
      </w:r>
      <w:r w:rsidR="004D5A72">
        <w:t>that t</w:t>
      </w:r>
      <w:r w:rsidRPr="004D5A72" w:rsidR="004D5A72">
        <w:t xml:space="preserve">he short distance between the current location of the </w:t>
      </w:r>
      <w:r w:rsidR="00AD20EE">
        <w:t>EAS</w:t>
      </w:r>
      <w:r w:rsidRPr="004D5A72" w:rsidR="004D5A72">
        <w:t xml:space="preserve"> equipment and the new location</w:t>
      </w:r>
      <w:r w:rsidR="00761D76">
        <w:t>s</w:t>
      </w:r>
      <w:r w:rsidRPr="004D5A72" w:rsidR="004D5A72">
        <w:t xml:space="preserve"> ensure</w:t>
      </w:r>
      <w:r w:rsidR="005815E6">
        <w:t>s</w:t>
      </w:r>
      <w:r w:rsidRPr="004D5A72" w:rsidR="004D5A72">
        <w:t xml:space="preserve"> </w:t>
      </w:r>
      <w:r w:rsidR="00761D76">
        <w:t>“</w:t>
      </w:r>
      <w:r w:rsidRPr="004D5A72" w:rsidR="004D5A72">
        <w:t>that the EAS equipment will be inoperable for a very short duration of approximately one hour.</w:t>
      </w:r>
      <w:r w:rsidR="00761D76">
        <w:t>”</w:t>
      </w:r>
      <w:r>
        <w:rPr>
          <w:rStyle w:val="FootnoteReference"/>
        </w:rPr>
        <w:footnoteReference w:id="9"/>
      </w:r>
      <w:r w:rsidRPr="004D5A72" w:rsidR="004D5A72">
        <w:t xml:space="preserve"> </w:t>
      </w:r>
      <w:r w:rsidR="00000F0B">
        <w:t xml:space="preserve"> </w:t>
      </w:r>
      <w:r w:rsidRPr="00F86401" w:rsidR="00000F0B">
        <w:t xml:space="preserve">GVSU </w:t>
      </w:r>
      <w:r w:rsidR="00FA6961">
        <w:t xml:space="preserve">indicates </w:t>
      </w:r>
      <w:r w:rsidR="005815E6">
        <w:t xml:space="preserve">that it </w:t>
      </w:r>
      <w:r w:rsidR="00FA6961">
        <w:t>will</w:t>
      </w:r>
      <w:r w:rsidRPr="00F86401" w:rsidR="00000F0B">
        <w:t xml:space="preserve"> </w:t>
      </w:r>
      <w:r w:rsidR="00B16C13">
        <w:t>“</w:t>
      </w:r>
      <w:r w:rsidRPr="00F86401" w:rsidR="00000F0B">
        <w:t>monitor the situation on the morning of the planned</w:t>
      </w:r>
      <w:r w:rsidR="00000F0B">
        <w:t xml:space="preserve"> </w:t>
      </w:r>
      <w:r w:rsidRPr="00F86401" w:rsidR="00000F0B">
        <w:t>move to ensure that the equipment will not be moved if an emergency appears imminent or if</w:t>
      </w:r>
      <w:r w:rsidR="00000F0B">
        <w:t xml:space="preserve"> </w:t>
      </w:r>
      <w:r w:rsidRPr="00F86401" w:rsidR="00000F0B">
        <w:t>there will be a planned EAS test on that date.</w:t>
      </w:r>
      <w:r w:rsidR="006977A4">
        <w:t>”</w:t>
      </w:r>
      <w:r>
        <w:rPr>
          <w:rStyle w:val="FootnoteReference"/>
        </w:rPr>
        <w:footnoteReference w:id="10"/>
      </w:r>
      <w:r w:rsidR="006977A4">
        <w:t xml:space="preserve"> </w:t>
      </w:r>
      <w:r w:rsidRPr="00F86401" w:rsidR="00000F0B">
        <w:t xml:space="preserve"> </w:t>
      </w:r>
      <w:r w:rsidR="0097375C">
        <w:t xml:space="preserve">Further, </w:t>
      </w:r>
      <w:r w:rsidR="005815E6">
        <w:t>GVSU indicated that “</w:t>
      </w:r>
      <w:r w:rsidRPr="00F86401" w:rsidR="0091446D">
        <w:t>there</w:t>
      </w:r>
      <w:r w:rsidR="00F80B29">
        <w:t xml:space="preserve"> </w:t>
      </w:r>
      <w:r w:rsidR="0091446D">
        <w:t>are</w:t>
      </w:r>
      <w:r w:rsidR="00F80B29">
        <w:t xml:space="preserve"> </w:t>
      </w:r>
      <w:r w:rsidRPr="00F86401" w:rsidR="00000F0B">
        <w:t>no stations that</w:t>
      </w:r>
      <w:r w:rsidR="00000F0B">
        <w:t xml:space="preserve"> </w:t>
      </w:r>
      <w:r w:rsidRPr="00F86401" w:rsidR="00000F0B">
        <w:t>depend on the Stations to relay EAS messages for their own operability.</w:t>
      </w:r>
      <w:r w:rsidR="007C2D04">
        <w:t>”</w:t>
      </w:r>
      <w:r>
        <w:rPr>
          <w:rStyle w:val="FootnoteReference"/>
        </w:rPr>
        <w:footnoteReference w:id="11"/>
      </w:r>
      <w:r w:rsidR="00A20DF6">
        <w:t xml:space="preserve">  </w:t>
      </w:r>
      <w:r w:rsidR="006B42E1">
        <w:t xml:space="preserve">GVSU submits that granting this waiver is warranted </w:t>
      </w:r>
      <w:r w:rsidR="005815E6">
        <w:t xml:space="preserve">because </w:t>
      </w:r>
      <w:r w:rsidR="0000129D">
        <w:t xml:space="preserve">it </w:t>
      </w:r>
      <w:r w:rsidR="00854CAD">
        <w:t xml:space="preserve">would be unreasonable to </w:t>
      </w:r>
      <w:r w:rsidRPr="006F3867" w:rsidR="006F3867">
        <w:t xml:space="preserve">require </w:t>
      </w:r>
      <w:r w:rsidR="005815E6">
        <w:t>GVSU</w:t>
      </w:r>
      <w:r w:rsidRPr="006F3867" w:rsidR="006F3867">
        <w:t xml:space="preserve"> to purchase new EAS equipment solely for the purpose of meeting its EAS obligations during </w:t>
      </w:r>
      <w:r w:rsidR="005815E6">
        <w:t>the</w:t>
      </w:r>
      <w:r w:rsidRPr="006F3867" w:rsidR="005815E6">
        <w:t xml:space="preserve"> </w:t>
      </w:r>
      <w:r w:rsidRPr="006F3867" w:rsidR="006F3867">
        <w:t xml:space="preserve">brief </w:t>
      </w:r>
      <w:r w:rsidR="005815E6">
        <w:t xml:space="preserve">relocation </w:t>
      </w:r>
      <w:r w:rsidRPr="006F3867" w:rsidR="006F3867">
        <w:t>period</w:t>
      </w:r>
      <w:r w:rsidR="00E174AB">
        <w:t>.</w:t>
      </w:r>
      <w:r>
        <w:rPr>
          <w:rStyle w:val="FootnoteReference"/>
        </w:rPr>
        <w:footnoteReference w:id="12"/>
      </w:r>
      <w:r w:rsidR="00E174AB">
        <w:t xml:space="preserve">  </w:t>
      </w:r>
    </w:p>
    <w:p w:rsidR="005358C6" w:rsidP="007820D5" w14:paraId="66DBB694" w14:textId="4ED994CF">
      <w:pPr>
        <w:pStyle w:val="Heading1"/>
      </w:pPr>
      <w:r>
        <w:t>discussion</w:t>
      </w:r>
    </w:p>
    <w:p w:rsidR="005442B6" w:rsidP="00E94453" w14:paraId="711DF3A7" w14:textId="6E3ABAF9">
      <w:pPr>
        <w:pStyle w:val="ParaNum"/>
      </w:pPr>
      <w:r w:rsidRPr="00162069">
        <w:t>A provision of the Commission’s rules “may be waived by the Commission on its own motion or on petition</w:t>
      </w:r>
      <w:r w:rsidRPr="00E94453">
        <w:t xml:space="preserve"> if good cause therefor is shown.”</w:t>
      </w:r>
      <w:r>
        <w:rPr>
          <w:rStyle w:val="FootnoteReference"/>
          <w:bCs/>
          <w:sz w:val="22"/>
          <w:szCs w:val="22"/>
        </w:rPr>
        <w:footnoteReference w:id="13"/>
      </w:r>
      <w:r w:rsidRPr="00E94453">
        <w:t xml:space="preserve">  The Commission may find good cause to </w:t>
      </w:r>
      <w:r w:rsidR="00B444C1">
        <w:t>grant</w:t>
      </w:r>
      <w:r w:rsidRPr="00E94453" w:rsidR="00B444C1">
        <w:t xml:space="preserve"> </w:t>
      </w:r>
      <w:r w:rsidRPr="00E94453">
        <w:t>a waiver “if special circumstances warrant a deviation from the general rule and such deviation will serve the public interest.”</w:t>
      </w:r>
      <w:r>
        <w:rPr>
          <w:rStyle w:val="FootnoteReference"/>
          <w:bCs/>
          <w:sz w:val="22"/>
          <w:szCs w:val="22"/>
        </w:rPr>
        <w:footnoteReference w:id="14"/>
      </w:r>
      <w:r w:rsidRPr="00E437A5">
        <w:rPr>
          <w:rStyle w:val="FootnoteReference"/>
          <w:bCs/>
          <w:sz w:val="22"/>
          <w:szCs w:val="22"/>
          <w:vertAlign w:val="baseline"/>
        </w:rPr>
        <w:t xml:space="preserve"> </w:t>
      </w:r>
      <w:r w:rsidRPr="00E94453">
        <w:t xml:space="preserve"> </w:t>
      </w:r>
      <w:r w:rsidRPr="00E94453">
        <w:rPr>
          <w:color w:val="0B150E"/>
        </w:rPr>
        <w:t>The waiver applicant generally faces a high hurdle and must plead with particularity the facts and circumstances that warrant a waiver.</w:t>
      </w:r>
      <w:r>
        <w:rPr>
          <w:vertAlign w:val="superscript"/>
        </w:rPr>
        <w:footnoteReference w:id="15"/>
      </w:r>
      <w:r w:rsidRPr="00E94453">
        <w:rPr>
          <w:color w:val="0B150E"/>
        </w:rPr>
        <w:t xml:space="preserve">  Based on the circumstances described herein, we conclude there is </w:t>
      </w:r>
      <w:r w:rsidR="00BE19E0">
        <w:t xml:space="preserve">good </w:t>
      </w:r>
      <w:r w:rsidR="00DB64FD">
        <w:t xml:space="preserve">cause to grant </w:t>
      </w:r>
      <w:r w:rsidR="00162069">
        <w:t>GVSU</w:t>
      </w:r>
      <w:r w:rsidR="00405C2F">
        <w:t xml:space="preserve"> </w:t>
      </w:r>
      <w:r w:rsidR="00D64B5B">
        <w:t>a limited</w:t>
      </w:r>
      <w:r w:rsidR="00DB64FD">
        <w:t xml:space="preserve"> </w:t>
      </w:r>
      <w:r w:rsidR="00356C1B">
        <w:t>waiver</w:t>
      </w:r>
      <w:r w:rsidR="00D64B5B">
        <w:t xml:space="preserve"> of the Commission’s EAS requirement</w:t>
      </w:r>
      <w:r>
        <w:t>s</w:t>
      </w:r>
      <w:r w:rsidR="00D64B5B">
        <w:t xml:space="preserve"> to facilitate </w:t>
      </w:r>
      <w:r w:rsidRPr="007212E2" w:rsidR="00D64B5B">
        <w:t xml:space="preserve">the relocation of </w:t>
      </w:r>
      <w:r w:rsidRPr="005B757F" w:rsidR="007212E2">
        <w:t>WGVU-FM</w:t>
      </w:r>
      <w:r w:rsidR="007212E2">
        <w:t xml:space="preserve">’s, </w:t>
      </w:r>
      <w:r w:rsidRPr="005B757F" w:rsidR="007212E2">
        <w:t>WGVS-FM</w:t>
      </w:r>
      <w:r w:rsidR="007212E2">
        <w:t>’s,</w:t>
      </w:r>
      <w:r w:rsidRPr="005B757F" w:rsidR="007212E2">
        <w:t xml:space="preserve"> WGVU-TV</w:t>
      </w:r>
      <w:r w:rsidR="00C75C6E">
        <w:t>’s,</w:t>
      </w:r>
      <w:r w:rsidRPr="005B757F" w:rsidR="007212E2">
        <w:t xml:space="preserve"> and WGVK</w:t>
      </w:r>
      <w:r w:rsidR="00C75C6E">
        <w:t>’s</w:t>
      </w:r>
      <w:r w:rsidR="007212E2">
        <w:t xml:space="preserve"> </w:t>
      </w:r>
      <w:r w:rsidRPr="007212E2" w:rsidR="009514BD">
        <w:t>EAS equipment</w:t>
      </w:r>
      <w:r w:rsidR="004F462D">
        <w:t xml:space="preserve"> for a period not to exceed </w:t>
      </w:r>
      <w:r w:rsidR="0087195A">
        <w:t>one</w:t>
      </w:r>
      <w:r w:rsidR="004F462D">
        <w:t xml:space="preserve"> hour on </w:t>
      </w:r>
      <w:r w:rsidRPr="00F86401" w:rsidR="0087195A">
        <w:t>March 25, 2026</w:t>
      </w:r>
      <w:r w:rsidR="00F35176">
        <w:t xml:space="preserve">.  </w:t>
      </w:r>
      <w:r w:rsidR="00E01407">
        <w:t xml:space="preserve">This </w:t>
      </w:r>
      <w:r w:rsidR="00F35176">
        <w:t xml:space="preserve">limited waiver </w:t>
      </w:r>
      <w:r w:rsidR="00E01407">
        <w:t>is</w:t>
      </w:r>
      <w:r w:rsidR="00F35176">
        <w:t xml:space="preserve"> conditioned on </w:t>
      </w:r>
      <w:r w:rsidR="00E01407">
        <w:t>GVSU</w:t>
      </w:r>
      <w:r w:rsidR="00622EFF">
        <w:t xml:space="preserve">’s </w:t>
      </w:r>
      <w:r w:rsidR="00833A89">
        <w:t xml:space="preserve">representation </w:t>
      </w:r>
      <w:r w:rsidR="00F45F97">
        <w:t>“</w:t>
      </w:r>
      <w:r w:rsidRPr="00F86401" w:rsidR="00CB6704">
        <w:t>that the equipment will not be moved if an emergency appears imminent or if</w:t>
      </w:r>
      <w:r w:rsidR="00CB6704">
        <w:t xml:space="preserve"> </w:t>
      </w:r>
      <w:r w:rsidRPr="00F86401" w:rsidR="00CB6704">
        <w:t>there will be a planned EAS test on that date</w:t>
      </w:r>
      <w:r w:rsidR="00356C1B">
        <w:t>.</w:t>
      </w:r>
      <w:r w:rsidR="00F45F97">
        <w:t>”</w:t>
      </w:r>
      <w:r>
        <w:rPr>
          <w:rStyle w:val="FootnoteReference"/>
        </w:rPr>
        <w:footnoteReference w:id="16"/>
      </w:r>
    </w:p>
    <w:p w:rsidR="00D64B5B" w:rsidP="007C7303" w14:paraId="0866B9B0" w14:textId="16366136">
      <w:pPr>
        <w:pStyle w:val="ParaNum"/>
      </w:pPr>
      <w:r w:rsidRPr="00395110">
        <w:t>The Bureau finds that</w:t>
      </w:r>
      <w:r w:rsidRPr="00395110" w:rsidR="0030359A">
        <w:t xml:space="preserve"> special circumstances exist and that</w:t>
      </w:r>
      <w:r w:rsidRPr="00395110">
        <w:t xml:space="preserve"> it is in the public interest to grant </w:t>
      </w:r>
      <w:r w:rsidRPr="00395110" w:rsidR="00473E33">
        <w:t>GVSU</w:t>
      </w:r>
      <w:r w:rsidRPr="00395110">
        <w:t xml:space="preserve"> a narrow waiver</w:t>
      </w:r>
      <w:r>
        <w:t xml:space="preserve"> to facilitate </w:t>
      </w:r>
      <w:r w:rsidR="009514BD">
        <w:t xml:space="preserve">the relocation of </w:t>
      </w:r>
      <w:r w:rsidR="00011108">
        <w:t xml:space="preserve">the </w:t>
      </w:r>
      <w:r w:rsidR="009514BD">
        <w:t>EAS equipment</w:t>
      </w:r>
      <w:r w:rsidR="00782D8D">
        <w:t xml:space="preserve"> for </w:t>
      </w:r>
      <w:r w:rsidRPr="005B757F" w:rsidR="00126D34">
        <w:t>WGVU-FM</w:t>
      </w:r>
      <w:r w:rsidR="00126D34">
        <w:t xml:space="preserve">, </w:t>
      </w:r>
      <w:r w:rsidRPr="005B757F" w:rsidR="00126D34">
        <w:t>WGVS-FM</w:t>
      </w:r>
      <w:r w:rsidR="00126D34">
        <w:t>,</w:t>
      </w:r>
      <w:r w:rsidRPr="005B757F" w:rsidR="00126D34">
        <w:t xml:space="preserve"> WGVU-TV</w:t>
      </w:r>
      <w:r w:rsidR="00126D34">
        <w:t>,</w:t>
      </w:r>
      <w:r w:rsidRPr="005B757F" w:rsidR="00126D34">
        <w:t xml:space="preserve"> and WGVK</w:t>
      </w:r>
      <w:r>
        <w:t xml:space="preserve">.  </w:t>
      </w:r>
      <w:r w:rsidRPr="00917E86" w:rsidR="004501EB">
        <w:t>A</w:t>
      </w:r>
      <w:r w:rsidRPr="00917E86">
        <w:t xml:space="preserve">ccording to </w:t>
      </w:r>
      <w:r w:rsidRPr="00917E86" w:rsidR="00395110">
        <w:t>GVSU</w:t>
      </w:r>
      <w:r w:rsidRPr="00917E86">
        <w:t xml:space="preserve">, </w:t>
      </w:r>
      <w:r w:rsidRPr="00917E86" w:rsidR="00D862AE">
        <w:t xml:space="preserve">it </w:t>
      </w:r>
      <w:r w:rsidRPr="00917E86" w:rsidR="00782D8D">
        <w:t>is necessary</w:t>
      </w:r>
      <w:r w:rsidR="00782D8D">
        <w:t xml:space="preserve"> </w:t>
      </w:r>
      <w:r w:rsidR="00F53AD8">
        <w:t>to relocate the EAS equipment since the</w:t>
      </w:r>
      <w:r w:rsidR="00801674">
        <w:t xml:space="preserve"> </w:t>
      </w:r>
      <w:r w:rsidRPr="00F86401" w:rsidR="00F53AD8">
        <w:t>building that houses GVSU’s broadcast administration and operations will be closed</w:t>
      </w:r>
      <w:r w:rsidRPr="00F53AD8" w:rsidR="00F53AD8">
        <w:t xml:space="preserve"> </w:t>
      </w:r>
      <w:r w:rsidR="00F53AD8">
        <w:t xml:space="preserve">for </w:t>
      </w:r>
      <w:r w:rsidRPr="00F86401" w:rsidR="00F53AD8">
        <w:t>renovat</w:t>
      </w:r>
      <w:r w:rsidR="00623492">
        <w:t>ions</w:t>
      </w:r>
      <w:r w:rsidR="00FF6549">
        <w:t xml:space="preserve"> for </w:t>
      </w:r>
      <w:r w:rsidRPr="0094620E" w:rsidR="0094620E">
        <w:t>at least thirty months</w:t>
      </w:r>
      <w:r w:rsidR="00132D59">
        <w:t>.</w:t>
      </w:r>
      <w:r>
        <w:rPr>
          <w:rStyle w:val="FootnoteReference"/>
        </w:rPr>
        <w:footnoteReference w:id="17"/>
      </w:r>
      <w:r w:rsidR="003342CC">
        <w:t xml:space="preserve"> </w:t>
      </w:r>
      <w:r w:rsidR="00132D59">
        <w:t xml:space="preserve"> </w:t>
      </w:r>
      <w:r w:rsidR="00782D8D">
        <w:t xml:space="preserve">Without a waiver, compliance with the EAS rules would require these stations to cease broadcasting until the EAS equipment was installed at </w:t>
      </w:r>
      <w:r w:rsidR="00D62ABC">
        <w:t>their new</w:t>
      </w:r>
      <w:r w:rsidR="00782D8D">
        <w:t xml:space="preserve"> location</w:t>
      </w:r>
      <w:r w:rsidR="00D62ABC">
        <w:t>s</w:t>
      </w:r>
      <w:r w:rsidR="00782D8D">
        <w:t>.</w:t>
      </w:r>
      <w:r>
        <w:rPr>
          <w:rStyle w:val="FootnoteReference"/>
        </w:rPr>
        <w:footnoteReference w:id="18"/>
      </w:r>
      <w:r w:rsidR="00782D8D">
        <w:t xml:space="preserve">  The Bureau finds that the relocation of the equipment serves the purpose of continued EAS participation by </w:t>
      </w:r>
      <w:r w:rsidRPr="005B757F" w:rsidR="00BD3B90">
        <w:t>WGVU-FM</w:t>
      </w:r>
      <w:r w:rsidR="00BD3B90">
        <w:t xml:space="preserve">, </w:t>
      </w:r>
      <w:r w:rsidRPr="005B757F" w:rsidR="00BD3B90">
        <w:t>WGVS-FM</w:t>
      </w:r>
      <w:r w:rsidR="00BD3B90">
        <w:t>,</w:t>
      </w:r>
      <w:r w:rsidRPr="005B757F" w:rsidR="00BD3B90">
        <w:t xml:space="preserve"> WGVU-TV</w:t>
      </w:r>
      <w:r w:rsidR="00BD3B90">
        <w:t>,</w:t>
      </w:r>
      <w:r w:rsidRPr="005B757F" w:rsidR="00BD3B90">
        <w:t xml:space="preserve"> and WGVK</w:t>
      </w:r>
      <w:r w:rsidR="004D44FB">
        <w:t xml:space="preserve"> </w:t>
      </w:r>
      <w:r w:rsidR="00782D8D">
        <w:t xml:space="preserve">and that the public interest would best be served by allowing these stations to continue broadcasting to the public during the short duration of the move.  </w:t>
      </w:r>
      <w:r w:rsidR="005736A7">
        <w:t>Because of the limited duration of the waiver</w:t>
      </w:r>
      <w:r w:rsidR="00671497">
        <w:t xml:space="preserve"> </w:t>
      </w:r>
      <w:r w:rsidR="005736A7">
        <w:t xml:space="preserve">and </w:t>
      </w:r>
      <w:r w:rsidR="00433B07">
        <w:t>GVSU</w:t>
      </w:r>
      <w:r w:rsidR="00BD3C41">
        <w:t xml:space="preserve">’s assurance that </w:t>
      </w:r>
      <w:r w:rsidRPr="00433B07" w:rsidR="00433B07">
        <w:t>the equipment will not be moved if an emergency appears imminent or if there will be a planned EAS test on that date</w:t>
      </w:r>
      <w:r w:rsidR="00E4234A">
        <w:t>,</w:t>
      </w:r>
      <w:r w:rsidR="00D85875">
        <w:t xml:space="preserve"> </w:t>
      </w:r>
      <w:r w:rsidR="00E4234A">
        <w:t>we conclude that t</w:t>
      </w:r>
      <w:r w:rsidR="0022347A">
        <w:t>h</w:t>
      </w:r>
      <w:r w:rsidR="00DA16E7">
        <w:t xml:space="preserve">e </w:t>
      </w:r>
      <w:r w:rsidR="0022347A">
        <w:t>risk of harm</w:t>
      </w:r>
      <w:r w:rsidR="00DA16E7">
        <w:t xml:space="preserve"> to the public </w:t>
      </w:r>
      <w:r w:rsidR="00782D8D">
        <w:t>will be minimized</w:t>
      </w:r>
      <w:r w:rsidR="002C3803">
        <w:t>.</w:t>
      </w:r>
    </w:p>
    <w:p w:rsidR="00F03F3A" w:rsidP="00427606" w14:paraId="493B8F4D" w14:textId="296F18C1">
      <w:pPr>
        <w:pStyle w:val="Heading1"/>
      </w:pPr>
      <w:r>
        <w:t>ordering clauses</w:t>
      </w:r>
    </w:p>
    <w:p w:rsidR="003E20F0" w:rsidRPr="007C7303" w:rsidP="007C7303" w14:paraId="1D5F132D" w14:textId="25DDDF06">
      <w:pPr>
        <w:pStyle w:val="ParaNum"/>
        <w:tabs>
          <w:tab w:val="clear" w:pos="1440"/>
        </w:tabs>
        <w:rPr>
          <w:bCs/>
        </w:rPr>
      </w:pPr>
      <w:r w:rsidRPr="0091173E">
        <w:rPr>
          <w:bCs/>
        </w:rPr>
        <w:t>Accordingly, IT IS ORDERED that, pursuant to section</w:t>
      </w:r>
      <w:r>
        <w:rPr>
          <w:bCs/>
        </w:rPr>
        <w:t>s</w:t>
      </w:r>
      <w:r w:rsidRPr="0091173E">
        <w:rPr>
          <w:bCs/>
        </w:rPr>
        <w:t xml:space="preserve"> 4(i) </w:t>
      </w:r>
      <w:r>
        <w:rPr>
          <w:bCs/>
        </w:rPr>
        <w:t xml:space="preserve">and (j) </w:t>
      </w:r>
      <w:r w:rsidRPr="0091173E">
        <w:rPr>
          <w:bCs/>
        </w:rPr>
        <w:t>of the Communications Act of 1934, as amended, 47 U.S.C. §§ 154(i)</w:t>
      </w:r>
      <w:r>
        <w:rPr>
          <w:bCs/>
        </w:rPr>
        <w:t xml:space="preserve"> and (j)</w:t>
      </w:r>
      <w:r w:rsidRPr="0091173E">
        <w:rPr>
          <w:bCs/>
        </w:rPr>
        <w:t>, and section 1.3 of the Commission’s rules, 47 CFR § 1.3, section</w:t>
      </w:r>
      <w:r>
        <w:rPr>
          <w:bCs/>
        </w:rPr>
        <w:t>s</w:t>
      </w:r>
      <w:r w:rsidRPr="0091173E">
        <w:rPr>
          <w:bCs/>
        </w:rPr>
        <w:t xml:space="preserve"> </w:t>
      </w:r>
      <w:r>
        <w:t>11.11(a), 11.35(a)</w:t>
      </w:r>
      <w:r w:rsidR="00461B4E">
        <w:t>,</w:t>
      </w:r>
      <w:r>
        <w:t xml:space="preserve"> 11.52(a), and 11.56(a) </w:t>
      </w:r>
      <w:r w:rsidRPr="0091173E">
        <w:rPr>
          <w:bCs/>
        </w:rPr>
        <w:t>of the Commission’s rules, 47 CFR §§ 11.</w:t>
      </w:r>
      <w:r>
        <w:rPr>
          <w:bCs/>
        </w:rPr>
        <w:t>11(a), 11.35(a), 11.52(a), and 11.56(a), ARE</w:t>
      </w:r>
      <w:r w:rsidRPr="0091173E">
        <w:rPr>
          <w:bCs/>
        </w:rPr>
        <w:t xml:space="preserve"> WAIVED, </w:t>
      </w:r>
      <w:r>
        <w:rPr>
          <w:bCs/>
        </w:rPr>
        <w:t xml:space="preserve">as to stations </w:t>
      </w:r>
      <w:r w:rsidRPr="00E8599D" w:rsidR="00E8599D">
        <w:t xml:space="preserve">WGVU-FM, WGVS-FM, WGVU-TV, and WGVK </w:t>
      </w:r>
      <w:r>
        <w:rPr>
          <w:bCs/>
        </w:rPr>
        <w:t>as specified herein.</w:t>
      </w:r>
      <w:r w:rsidR="00442DD7">
        <w:rPr>
          <w:bCs/>
        </w:rPr>
        <w:t xml:space="preserve">  </w:t>
      </w:r>
    </w:p>
    <w:p w:rsidR="00F03F3A" w:rsidP="00493CE9" w14:paraId="47D6C1DD" w14:textId="50A45AD7">
      <w:pPr>
        <w:pStyle w:val="ParaNum"/>
      </w:pPr>
      <w:r>
        <w:t xml:space="preserve">This action is </w:t>
      </w:r>
      <w:r w:rsidRPr="00493CE9" w:rsidR="00493CE9">
        <w:t>taken under delegated authority pursuant to Sections 0.191 and 0.392 of the Commission’s rules, 47 CFR §§ 0.191, 0.392.</w:t>
      </w:r>
    </w:p>
    <w:p w:rsidR="00F03F3A" w:rsidRPr="00BB56EB" w:rsidP="00F03F3A" w14:paraId="47F7E245" w14:textId="77777777">
      <w:pPr>
        <w:tabs>
          <w:tab w:val="left" w:pos="1440"/>
        </w:tabs>
        <w:spacing w:after="120"/>
        <w:ind w:left="720"/>
      </w:pPr>
    </w:p>
    <w:p w:rsidR="00F03F3A" w:rsidRPr="00BB56EB" w:rsidP="00F03F3A" w14:paraId="0BB053C0" w14:textId="77777777">
      <w:pPr>
        <w:autoSpaceDE w:val="0"/>
        <w:autoSpaceDN w:val="0"/>
        <w:adjustRightInd w:val="0"/>
        <w:ind w:left="4320"/>
        <w:rPr>
          <w:color w:val="000000"/>
        </w:rPr>
      </w:pPr>
      <w:r w:rsidRPr="00BB56EB">
        <w:rPr>
          <w:color w:val="000000"/>
        </w:rPr>
        <w:t>FEDERAL COMMUNICATIONS COMMISSION</w:t>
      </w:r>
    </w:p>
    <w:p w:rsidR="00F03F3A" w:rsidRPr="00BB56EB" w:rsidP="00F03F3A" w14:paraId="0689A8B2" w14:textId="77777777">
      <w:pPr>
        <w:autoSpaceDE w:val="0"/>
        <w:autoSpaceDN w:val="0"/>
        <w:adjustRightInd w:val="0"/>
        <w:rPr>
          <w:color w:val="000000"/>
        </w:rPr>
      </w:pPr>
    </w:p>
    <w:p w:rsidR="00F03F3A" w:rsidRPr="00BB56EB" w:rsidP="00F03F3A" w14:paraId="6A197420" w14:textId="77777777">
      <w:pPr>
        <w:autoSpaceDE w:val="0"/>
        <w:autoSpaceDN w:val="0"/>
        <w:adjustRightInd w:val="0"/>
        <w:rPr>
          <w:color w:val="000000"/>
        </w:rPr>
      </w:pPr>
    </w:p>
    <w:p w:rsidR="00F03F3A" w:rsidRPr="00BB56EB" w:rsidP="00F03F3A" w14:paraId="6D88EA0E" w14:textId="77777777">
      <w:pPr>
        <w:autoSpaceDE w:val="0"/>
        <w:autoSpaceDN w:val="0"/>
        <w:adjustRightInd w:val="0"/>
        <w:rPr>
          <w:color w:val="000000"/>
        </w:rPr>
      </w:pPr>
    </w:p>
    <w:p w:rsidR="00F03F3A" w:rsidRPr="00BB56EB" w:rsidP="00F03F3A" w14:paraId="388813A5" w14:textId="77777777">
      <w:pPr>
        <w:autoSpaceDE w:val="0"/>
        <w:autoSpaceDN w:val="0"/>
        <w:adjustRightInd w:val="0"/>
        <w:ind w:left="3600" w:firstLine="720"/>
        <w:rPr>
          <w:color w:val="000000"/>
        </w:rPr>
      </w:pPr>
    </w:p>
    <w:p w:rsidR="00B9173C" w:rsidP="00F03F3A" w14:paraId="47FF5390" w14:textId="77777777">
      <w:pPr>
        <w:autoSpaceDE w:val="0"/>
        <w:autoSpaceDN w:val="0"/>
        <w:adjustRightInd w:val="0"/>
        <w:ind w:left="3600" w:firstLine="720"/>
        <w:rPr>
          <w:color w:val="000000"/>
        </w:rPr>
      </w:pPr>
      <w:r w:rsidRPr="00971DC9">
        <w:rPr>
          <w:color w:val="000000"/>
        </w:rPr>
        <w:t>Zenji Nakazawa</w:t>
      </w:r>
    </w:p>
    <w:p w:rsidR="00F03F3A" w:rsidRPr="00BB56EB" w:rsidP="00F03F3A" w14:paraId="576684D2" w14:textId="2E99E277">
      <w:pPr>
        <w:autoSpaceDE w:val="0"/>
        <w:autoSpaceDN w:val="0"/>
        <w:adjustRightInd w:val="0"/>
        <w:ind w:left="3600" w:firstLine="720"/>
        <w:rPr>
          <w:color w:val="000000"/>
        </w:rPr>
      </w:pPr>
      <w:r w:rsidRPr="00BB56EB">
        <w:rPr>
          <w:color w:val="000000"/>
        </w:rPr>
        <w:t>Chief</w:t>
      </w:r>
    </w:p>
    <w:p w:rsidR="00F03F3A" w:rsidRPr="00BE19E0" w:rsidP="00E64C19" w14:paraId="2414AB2F" w14:textId="6091B37D">
      <w:pPr>
        <w:spacing w:after="120"/>
        <w:ind w:left="3600" w:firstLine="720"/>
      </w:pPr>
      <w:r>
        <w:rPr>
          <w:color w:val="000000"/>
        </w:rPr>
        <w:t>Public Safety</w:t>
      </w:r>
      <w:r w:rsidRPr="00BB56EB">
        <w:rPr>
          <w:color w:val="000000"/>
        </w:rPr>
        <w:t xml:space="preserve"> and </w:t>
      </w:r>
      <w:r>
        <w:rPr>
          <w:color w:val="000000"/>
        </w:rPr>
        <w:t>Homeland Security</w:t>
      </w:r>
      <w:r w:rsidRPr="00BB56EB">
        <w:rPr>
          <w:color w:val="000000"/>
        </w:rPr>
        <w:t xml:space="preserve"> Bureau</w:t>
      </w:r>
    </w:p>
    <w:sectPr w:rsidSect="0055614C">
      <w:headerReference w:type="default" r:id="rId6"/>
      <w:footerReference w:type="even" r:id="rId7"/>
      <w:footerReference w:type="default" r:id="rId8"/>
      <w:headerReference w:type="first" r:id="rId9"/>
      <w:footerReference w:type="first" r:id="rId10"/>
      <w:endnotePr>
        <w:numFmt w:val="decimal"/>
      </w:endnotePr>
      <w:pgSz w:w="12240" w:h="15840"/>
      <w:pgMar w:top="1440" w:right="1440" w:bottom="72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C0431" w14:paraId="2825233C" w14:textId="77777777">
      <w:pPr>
        <w:spacing w:line="20" w:lineRule="exact"/>
      </w:pPr>
    </w:p>
  </w:endnote>
  <w:endnote w:type="continuationSeparator" w:id="1">
    <w:p w:rsidR="004C0431" w14:paraId="3C291E75" w14:textId="77777777">
      <w:r>
        <w:t xml:space="preserve"> </w:t>
      </w:r>
    </w:p>
  </w:endnote>
  <w:endnote w:type="continuationNotice" w:id="2">
    <w:p w:rsidR="004C0431" w14:paraId="70C22DC7"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40DAF856" w14:textId="77777777">
    <w:pPr>
      <w:pStyle w:val="Footer"/>
      <w:framePr w:wrap="around" w:vAnchor="text" w:hAnchor="margin" w:xAlign="center" w:y="1"/>
    </w:pPr>
    <w:r>
      <w:fldChar w:fldCharType="begin"/>
    </w:r>
    <w:r>
      <w:instrText xml:space="preserve">PAGE  </w:instrText>
    </w:r>
    <w:r>
      <w:fldChar w:fldCharType="separate"/>
    </w:r>
    <w:r>
      <w:fldChar w:fldCharType="end"/>
    </w:r>
  </w:p>
  <w:p w:rsidR="00D25FB5" w14:paraId="2B75E55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455013" w14:paraId="25F1C903" w14:textId="10BFB1CA">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14:paraId="4F25B771"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C0431" w14:paraId="07ED97B4" w14:textId="77777777">
      <w:r>
        <w:separator/>
      </w:r>
    </w:p>
  </w:footnote>
  <w:footnote w:type="continuationSeparator" w:id="1">
    <w:p w:rsidR="004C0431" w:rsidP="00C721AC" w14:paraId="248B3F53" w14:textId="77777777">
      <w:pPr>
        <w:spacing w:before="120"/>
        <w:rPr>
          <w:sz w:val="20"/>
        </w:rPr>
      </w:pPr>
      <w:r>
        <w:rPr>
          <w:sz w:val="20"/>
        </w:rPr>
        <w:t xml:space="preserve">(Continued from previous page)  </w:t>
      </w:r>
      <w:r>
        <w:rPr>
          <w:sz w:val="20"/>
        </w:rPr>
        <w:separator/>
      </w:r>
    </w:p>
  </w:footnote>
  <w:footnote w:type="continuationNotice" w:id="2">
    <w:p w:rsidR="004C0431" w:rsidP="00C721AC" w14:paraId="338BA3E5" w14:textId="77777777">
      <w:pPr>
        <w:jc w:val="right"/>
        <w:rPr>
          <w:sz w:val="20"/>
        </w:rPr>
      </w:pPr>
      <w:r>
        <w:rPr>
          <w:sz w:val="20"/>
        </w:rPr>
        <w:t>(continued….)</w:t>
      </w:r>
    </w:p>
  </w:footnote>
  <w:footnote w:id="3">
    <w:p w:rsidR="00863E4B" w:rsidRPr="001F1D46" w:rsidP="00863E4B" w14:paraId="3FD9EA48" w14:textId="2B8C9858">
      <w:pPr>
        <w:pStyle w:val="FootnoteText"/>
      </w:pPr>
      <w:r>
        <w:rPr>
          <w:rStyle w:val="FootnoteReference"/>
        </w:rPr>
        <w:footnoteRef/>
      </w:r>
      <w:r>
        <w:t xml:space="preserve"> </w:t>
      </w:r>
      <w:r w:rsidRPr="00445D20">
        <w:rPr>
          <w:i/>
          <w:iCs/>
        </w:rPr>
        <w:t xml:space="preserve">See </w:t>
      </w:r>
      <w:bookmarkStart w:id="0" w:name="_Hlk151467061"/>
      <w:r w:rsidRPr="00445D20">
        <w:t xml:space="preserve">47 CFR § </w:t>
      </w:r>
      <w:bookmarkEnd w:id="0"/>
      <w:r w:rsidRPr="00445D20">
        <w:t>11.</w:t>
      </w:r>
      <w:r w:rsidR="004325CE">
        <w:t>1</w:t>
      </w:r>
      <w:r w:rsidRPr="00445D20">
        <w:t xml:space="preserve"> (</w:t>
      </w:r>
      <w:r w:rsidR="0069563F">
        <w:t>indicating that</w:t>
      </w:r>
      <w:r w:rsidR="00FD6C73">
        <w:t xml:space="preserve"> EAS </w:t>
      </w:r>
      <w:r w:rsidR="00387247">
        <w:t xml:space="preserve">can be used by State and local governments </w:t>
      </w:r>
      <w:r w:rsidR="00570641">
        <w:t>as a means of emergency communication with the public</w:t>
      </w:r>
      <w:r>
        <w:t>).</w:t>
      </w:r>
    </w:p>
  </w:footnote>
  <w:footnote w:id="4">
    <w:p w:rsidR="00863E4B" w14:paraId="22BEA290" w14:textId="1FEA054D">
      <w:pPr>
        <w:pStyle w:val="FootnoteText"/>
      </w:pPr>
      <w:r>
        <w:rPr>
          <w:rStyle w:val="FootnoteReference"/>
        </w:rPr>
        <w:footnoteRef/>
      </w:r>
      <w:r>
        <w:t xml:space="preserve"> </w:t>
      </w:r>
      <w:r>
        <w:rPr>
          <w:i/>
          <w:iCs/>
        </w:rPr>
        <w:t>See</w:t>
      </w:r>
      <w:r>
        <w:t xml:space="preserve">, </w:t>
      </w:r>
      <w:r>
        <w:rPr>
          <w:i/>
          <w:iCs/>
        </w:rPr>
        <w:t>e.g.</w:t>
      </w:r>
      <w:r>
        <w:t xml:space="preserve">, </w:t>
      </w:r>
      <w:r w:rsidRPr="00445D20" w:rsidR="004325CE">
        <w:t>47 CFR § 11.</w:t>
      </w:r>
      <w:r w:rsidR="004325CE">
        <w:t>2</w:t>
      </w:r>
      <w:r w:rsidRPr="00445D20" w:rsidR="004325CE">
        <w:t>(b) (defining “EAS Participants</w:t>
      </w:r>
      <w:r w:rsidR="004325CE">
        <w:t xml:space="preserve">”); </w:t>
      </w:r>
      <w:r>
        <w:t xml:space="preserve">47 CFR </w:t>
      </w:r>
      <w:r w:rsidRPr="000D4CF6">
        <w:t>§§</w:t>
      </w:r>
      <w:r>
        <w:t xml:space="preserve"> 11.</w:t>
      </w:r>
      <w:r w:rsidR="00F97CAE">
        <w:t>11</w:t>
      </w:r>
      <w:r>
        <w:t>(</w:t>
      </w:r>
      <w:r w:rsidR="00F97CAE">
        <w:t>a</w:t>
      </w:r>
      <w:r>
        <w:t xml:space="preserve">) </w:t>
      </w:r>
      <w:r w:rsidRPr="00863E4B">
        <w:t>(</w:t>
      </w:r>
      <w:r w:rsidR="00F97CAE">
        <w:t>summarizing EAS encoder and decoder requirements for broadcasters</w:t>
      </w:r>
      <w:r w:rsidRPr="00863E4B">
        <w:t>)</w:t>
      </w:r>
      <w:r>
        <w:t>; 11.52(a) (</w:t>
      </w:r>
      <w:r w:rsidRPr="00863E4B">
        <w:t>requiring EAS Participants to be capable of receiving the attention signal and emergency messages of other broadcast stations</w:t>
      </w:r>
      <w:r>
        <w:t xml:space="preserve">); </w:t>
      </w:r>
      <w:r w:rsidR="00F97CAE">
        <w:t>11.56(a) (</w:t>
      </w:r>
      <w:r w:rsidRPr="00F97CAE" w:rsidR="00F97CAE">
        <w:t>requiring EAS Participants to have deployed equipment that can receive and process C</w:t>
      </w:r>
      <w:r w:rsidR="00F97CAE">
        <w:t xml:space="preserve">ommon </w:t>
      </w:r>
      <w:r w:rsidRPr="00F97CAE" w:rsidR="00F97CAE">
        <w:t>A</w:t>
      </w:r>
      <w:r w:rsidR="00F97CAE">
        <w:t xml:space="preserve">lerting </w:t>
      </w:r>
      <w:r w:rsidRPr="00F97CAE" w:rsidR="00F97CAE">
        <w:t>P</w:t>
      </w:r>
      <w:r w:rsidR="00F97CAE">
        <w:t>rotocol</w:t>
      </w:r>
      <w:r w:rsidRPr="00F97CAE" w:rsidR="00F97CAE">
        <w:t xml:space="preserve"> messages from </w:t>
      </w:r>
      <w:r w:rsidR="00F97CAE">
        <w:t xml:space="preserve">the </w:t>
      </w:r>
      <w:r w:rsidRPr="00F97CAE" w:rsidR="00F97CAE">
        <w:t>I</w:t>
      </w:r>
      <w:r w:rsidR="00F97CAE">
        <w:t xml:space="preserve">ntegrated </w:t>
      </w:r>
      <w:r w:rsidRPr="00F97CAE" w:rsidR="00F97CAE">
        <w:t>P</w:t>
      </w:r>
      <w:r w:rsidR="00F97CAE">
        <w:t xml:space="preserve">ublic </w:t>
      </w:r>
      <w:r w:rsidRPr="00F97CAE" w:rsidR="00F97CAE">
        <w:t>A</w:t>
      </w:r>
      <w:r w:rsidR="00F97CAE">
        <w:t xml:space="preserve">lert and </w:t>
      </w:r>
      <w:r w:rsidRPr="00F97CAE" w:rsidR="00F97CAE">
        <w:t>W</w:t>
      </w:r>
      <w:r w:rsidR="00F97CAE">
        <w:t xml:space="preserve">arning </w:t>
      </w:r>
      <w:r w:rsidRPr="00F97CAE" w:rsidR="00F97CAE">
        <w:t>S</w:t>
      </w:r>
      <w:r w:rsidR="00F97CAE">
        <w:t>ystem).</w:t>
      </w:r>
    </w:p>
  </w:footnote>
  <w:footnote w:id="5">
    <w:p w:rsidR="00337648" w14:paraId="1F29BD48" w14:textId="36B798BF">
      <w:pPr>
        <w:pStyle w:val="FootnoteText"/>
      </w:pPr>
      <w:r>
        <w:rPr>
          <w:rStyle w:val="FootnoteReference"/>
        </w:rPr>
        <w:footnoteRef/>
      </w:r>
      <w:r>
        <w:t xml:space="preserve"> </w:t>
      </w:r>
      <w:r w:rsidRPr="002C775E" w:rsidR="008D743C">
        <w:t xml:space="preserve">47 CFR </w:t>
      </w:r>
      <w:r w:rsidRPr="000D4CF6" w:rsidR="000D4CF6">
        <w:t>§ 11.</w:t>
      </w:r>
      <w:r w:rsidR="000D4CF6">
        <w:t>35(a).</w:t>
      </w:r>
    </w:p>
  </w:footnote>
  <w:footnote w:id="6">
    <w:p w:rsidR="008B619D" w:rsidP="00B4663A" w14:paraId="2C622886" w14:textId="44E5FA8F">
      <w:pPr>
        <w:pStyle w:val="FootnoteText"/>
      </w:pPr>
      <w:r>
        <w:rPr>
          <w:rStyle w:val="FootnoteReference"/>
        </w:rPr>
        <w:footnoteRef/>
      </w:r>
      <w:r>
        <w:t xml:space="preserve"> </w:t>
      </w:r>
      <w:r w:rsidRPr="003D2788" w:rsidR="0073241C">
        <w:rPr>
          <w:i/>
          <w:iCs/>
        </w:rPr>
        <w:t xml:space="preserve">See </w:t>
      </w:r>
      <w:r w:rsidRPr="003D2788" w:rsidR="003D2788">
        <w:t>Grand Valley State University – Limited Waiver of the EAS Equipment Rules</w:t>
      </w:r>
      <w:r w:rsidRPr="003D2788" w:rsidR="0073241C">
        <w:t xml:space="preserve">, </w:t>
      </w:r>
      <w:r w:rsidRPr="003D2788" w:rsidR="00C42084">
        <w:t>PS</w:t>
      </w:r>
      <w:r w:rsidRPr="003D2788" w:rsidR="0073241C">
        <w:t xml:space="preserve"> Docket </w:t>
      </w:r>
      <w:r w:rsidRPr="003D2788" w:rsidR="00985E6E">
        <w:t xml:space="preserve">No. </w:t>
      </w:r>
      <w:r w:rsidRPr="003D2788" w:rsidR="00C42084">
        <w:t>15</w:t>
      </w:r>
      <w:r w:rsidRPr="003D2788" w:rsidR="0073241C">
        <w:t>-</w:t>
      </w:r>
      <w:r w:rsidRPr="003D2788" w:rsidR="00C42084">
        <w:t>94</w:t>
      </w:r>
      <w:r w:rsidRPr="003D2788" w:rsidR="0073241C">
        <w:t xml:space="preserve"> (filed </w:t>
      </w:r>
      <w:r w:rsidR="008B7C4D">
        <w:t>Mar</w:t>
      </w:r>
      <w:r w:rsidRPr="003D2788" w:rsidR="003929B3">
        <w:t>. 1</w:t>
      </w:r>
      <w:r w:rsidR="008B7C4D">
        <w:t>0</w:t>
      </w:r>
      <w:r w:rsidRPr="003D2788" w:rsidR="0073241C">
        <w:t>, 20</w:t>
      </w:r>
      <w:r w:rsidRPr="003D2788" w:rsidR="00C42084">
        <w:t>26</w:t>
      </w:r>
      <w:r w:rsidRPr="003D2788" w:rsidR="0073241C">
        <w:t>)</w:t>
      </w:r>
      <w:r w:rsidRPr="003D2788" w:rsidR="00B4663A">
        <w:t xml:space="preserve"> </w:t>
      </w:r>
      <w:r w:rsidRPr="003D2788" w:rsidR="001B792C">
        <w:t>(</w:t>
      </w:r>
      <w:r w:rsidR="003D2788">
        <w:rPr>
          <w:i/>
          <w:iCs/>
        </w:rPr>
        <w:t>GVSU</w:t>
      </w:r>
      <w:r w:rsidRPr="003D2788" w:rsidR="001B792C">
        <w:rPr>
          <w:i/>
          <w:iCs/>
        </w:rPr>
        <w:t xml:space="preserve"> </w:t>
      </w:r>
      <w:r w:rsidRPr="003D2788" w:rsidR="003E3DEE">
        <w:rPr>
          <w:i/>
          <w:iCs/>
        </w:rPr>
        <w:t>Waiver Request</w:t>
      </w:r>
      <w:r w:rsidRPr="003D2788" w:rsidR="001B792C">
        <w:t>).</w:t>
      </w:r>
      <w:r w:rsidR="00B4663A">
        <w:t xml:space="preserve">  </w:t>
      </w:r>
    </w:p>
  </w:footnote>
  <w:footnote w:id="7">
    <w:p w:rsidR="006D0E88" w:rsidRPr="006D0E88" w14:paraId="400A735F" w14:textId="31F61BAA">
      <w:pPr>
        <w:pStyle w:val="FootnoteText"/>
      </w:pPr>
      <w:r>
        <w:rPr>
          <w:rStyle w:val="FootnoteReference"/>
        </w:rPr>
        <w:footnoteRef/>
      </w:r>
      <w:r>
        <w:t xml:space="preserve"> </w:t>
      </w:r>
      <w:r>
        <w:rPr>
          <w:i/>
          <w:iCs/>
        </w:rPr>
        <w:t xml:space="preserve">Id. </w:t>
      </w:r>
      <w:r>
        <w:t>at 1.</w:t>
      </w:r>
      <w:r w:rsidR="00B67E5B">
        <w:t xml:space="preserve">  </w:t>
      </w:r>
      <w:r w:rsidRPr="00312EAB" w:rsidR="00B67E5B">
        <w:t xml:space="preserve">We construe </w:t>
      </w:r>
      <w:r w:rsidR="00B67E5B">
        <w:t>GVSU</w:t>
      </w:r>
      <w:r w:rsidRPr="00312EAB" w:rsidR="00B67E5B">
        <w:t>’s filing as a request to waive all rules, such as 11.11(a), 11.35(a), 11.52(a), and 11.56(a), that may require continuous operation of EAS equipment.</w:t>
      </w:r>
    </w:p>
  </w:footnote>
  <w:footnote w:id="8">
    <w:p w:rsidR="00AD20EE" w:rsidRPr="006D0E88" w:rsidP="00AD20EE" w14:paraId="68E25CCC" w14:textId="77777777">
      <w:pPr>
        <w:pStyle w:val="FootnoteText"/>
      </w:pPr>
      <w:r>
        <w:rPr>
          <w:rStyle w:val="FootnoteReference"/>
        </w:rPr>
        <w:footnoteRef/>
      </w:r>
      <w:r>
        <w:t xml:space="preserve"> </w:t>
      </w:r>
      <w:r>
        <w:rPr>
          <w:i/>
          <w:iCs/>
        </w:rPr>
        <w:t>Id.</w:t>
      </w:r>
    </w:p>
  </w:footnote>
  <w:footnote w:id="9">
    <w:p w:rsidR="00761D76" w:rsidRPr="006D0E88" w:rsidP="00761D76" w14:paraId="77D5A623" w14:textId="31DA98A3">
      <w:pPr>
        <w:pStyle w:val="FootnoteText"/>
      </w:pPr>
      <w:r>
        <w:rPr>
          <w:rStyle w:val="FootnoteReference"/>
        </w:rPr>
        <w:footnoteRef/>
      </w:r>
      <w:r>
        <w:t xml:space="preserve"> </w:t>
      </w:r>
      <w:r>
        <w:rPr>
          <w:i/>
          <w:iCs/>
        </w:rPr>
        <w:t>Id.</w:t>
      </w:r>
    </w:p>
  </w:footnote>
  <w:footnote w:id="10">
    <w:p w:rsidR="006977A4" w:rsidRPr="006D0E88" w:rsidP="006977A4" w14:paraId="3CD8F81D" w14:textId="77777777">
      <w:pPr>
        <w:pStyle w:val="FootnoteText"/>
      </w:pPr>
      <w:r>
        <w:rPr>
          <w:rStyle w:val="FootnoteReference"/>
        </w:rPr>
        <w:footnoteRef/>
      </w:r>
      <w:r>
        <w:t xml:space="preserve"> </w:t>
      </w:r>
      <w:r>
        <w:rPr>
          <w:i/>
          <w:iCs/>
        </w:rPr>
        <w:t>Id.</w:t>
      </w:r>
    </w:p>
  </w:footnote>
  <w:footnote w:id="11">
    <w:p w:rsidR="00A20DF6" w:rsidRPr="006D0E88" w:rsidP="00A20DF6" w14:paraId="44A245F6" w14:textId="77777777">
      <w:pPr>
        <w:pStyle w:val="FootnoteText"/>
      </w:pPr>
      <w:r>
        <w:rPr>
          <w:rStyle w:val="FootnoteReference"/>
        </w:rPr>
        <w:footnoteRef/>
      </w:r>
      <w:r>
        <w:t xml:space="preserve"> </w:t>
      </w:r>
      <w:r>
        <w:rPr>
          <w:i/>
          <w:iCs/>
        </w:rPr>
        <w:t>Id.</w:t>
      </w:r>
    </w:p>
  </w:footnote>
  <w:footnote w:id="12">
    <w:p w:rsidR="00E174AB" w:rsidRPr="00BF3D42" w:rsidP="00E174AB" w14:paraId="0AE6B240" w14:textId="19BE0159">
      <w:pPr>
        <w:pStyle w:val="FootnoteText"/>
      </w:pPr>
      <w:r>
        <w:rPr>
          <w:rStyle w:val="FootnoteReference"/>
        </w:rPr>
        <w:footnoteRef/>
      </w:r>
      <w:r>
        <w:t xml:space="preserve"> </w:t>
      </w:r>
      <w:r w:rsidRPr="0005295A" w:rsidR="0005295A">
        <w:rPr>
          <w:i/>
          <w:iCs/>
        </w:rPr>
        <w:t>See</w:t>
      </w:r>
      <w:r w:rsidR="0005295A">
        <w:t xml:space="preserve"> </w:t>
      </w:r>
      <w:r w:rsidR="00DC3112">
        <w:rPr>
          <w:i/>
          <w:iCs/>
        </w:rPr>
        <w:t>i</w:t>
      </w:r>
      <w:r>
        <w:rPr>
          <w:i/>
          <w:iCs/>
        </w:rPr>
        <w:t>d.</w:t>
      </w:r>
      <w:r>
        <w:t xml:space="preserve"> at 2</w:t>
      </w:r>
      <w:r w:rsidR="003022DA">
        <w:t xml:space="preserve"> (</w:t>
      </w:r>
      <w:r w:rsidRPr="00416788" w:rsidR="003022DA">
        <w:t xml:space="preserve">citing </w:t>
      </w:r>
      <w:r w:rsidRPr="005D68D7" w:rsidR="005D68D7">
        <w:rPr>
          <w:i/>
        </w:rPr>
        <w:t>Public Safety and Homeland Security Bureau Grants Limited EAS Waiver to Fort Meyers Broadcasting Company</w:t>
      </w:r>
      <w:r w:rsidRPr="0083740E" w:rsidR="0083740E">
        <w:t>, PS Docket No. 15-94, Order, DA 26-1</w:t>
      </w:r>
      <w:r w:rsidR="008F2482">
        <w:t>09</w:t>
      </w:r>
      <w:r w:rsidRPr="0083740E" w:rsidR="0083740E">
        <w:t xml:space="preserve"> (PSHSB Feb. 3, 2026)</w:t>
      </w:r>
      <w:r w:rsidR="005E2A8E">
        <w:t>)</w:t>
      </w:r>
      <w:r w:rsidRPr="0083740E" w:rsidR="0083740E">
        <w:t>.</w:t>
      </w:r>
    </w:p>
  </w:footnote>
  <w:footnote w:id="13">
    <w:p w:rsidR="00E94453" w:rsidRPr="00675326" w:rsidP="00E94453" w14:paraId="574A95B2" w14:textId="182218D4">
      <w:pPr>
        <w:pStyle w:val="FootnoteText"/>
      </w:pPr>
      <w:r w:rsidRPr="00675326">
        <w:rPr>
          <w:rStyle w:val="FootnoteReference"/>
        </w:rPr>
        <w:footnoteRef/>
      </w:r>
      <w:r w:rsidRPr="00675326">
        <w:t xml:space="preserve"> 47 CFR</w:t>
      </w:r>
      <w:r w:rsidRPr="00675326">
        <w:rPr>
          <w:spacing w:val="-1"/>
        </w:rPr>
        <w:t xml:space="preserve"> </w:t>
      </w:r>
      <w:r w:rsidRPr="00675326">
        <w:t>§ 1.3.</w:t>
      </w:r>
    </w:p>
  </w:footnote>
  <w:footnote w:id="14">
    <w:p w:rsidR="00E94453" w:rsidRPr="00B0643B" w:rsidP="00E94453" w14:paraId="635DC267" w14:textId="56B9A896">
      <w:pPr>
        <w:pStyle w:val="FootnoteText"/>
      </w:pPr>
      <w:r w:rsidRPr="00675326">
        <w:rPr>
          <w:rStyle w:val="FootnoteReference"/>
        </w:rPr>
        <w:footnoteRef/>
      </w:r>
      <w:r w:rsidRPr="00675326">
        <w:t xml:space="preserve"> </w:t>
      </w:r>
      <w:r w:rsidRPr="00675326">
        <w:rPr>
          <w:i/>
        </w:rPr>
        <w:t>See</w:t>
      </w:r>
      <w:r w:rsidRPr="00675326">
        <w:rPr>
          <w:i/>
          <w:spacing w:val="-3"/>
        </w:rPr>
        <w:t xml:space="preserve"> </w:t>
      </w:r>
      <w:r w:rsidRPr="00675326">
        <w:rPr>
          <w:i/>
        </w:rPr>
        <w:t>Northeast</w:t>
      </w:r>
      <w:r w:rsidRPr="00B0643B">
        <w:rPr>
          <w:i/>
          <w:spacing w:val="-4"/>
        </w:rPr>
        <w:t xml:space="preserve"> </w:t>
      </w:r>
      <w:r w:rsidRPr="00B0643B">
        <w:rPr>
          <w:i/>
        </w:rPr>
        <w:t>Cellular</w:t>
      </w:r>
      <w:r w:rsidRPr="00B0643B">
        <w:rPr>
          <w:i/>
          <w:spacing w:val="-2"/>
        </w:rPr>
        <w:t xml:space="preserve"> </w:t>
      </w:r>
      <w:r w:rsidRPr="00B0643B">
        <w:rPr>
          <w:i/>
          <w:spacing w:val="-1"/>
        </w:rPr>
        <w:t>Telephone</w:t>
      </w:r>
      <w:r w:rsidRPr="00B0643B">
        <w:rPr>
          <w:i/>
          <w:spacing w:val="-3"/>
        </w:rPr>
        <w:t xml:space="preserve"> </w:t>
      </w:r>
      <w:r w:rsidRPr="00B0643B">
        <w:rPr>
          <w:i/>
        </w:rPr>
        <w:t>Co.</w:t>
      </w:r>
      <w:r w:rsidRPr="00B0643B">
        <w:rPr>
          <w:i/>
          <w:spacing w:val="-3"/>
        </w:rPr>
        <w:t xml:space="preserve"> </w:t>
      </w:r>
      <w:r w:rsidRPr="00B0643B">
        <w:rPr>
          <w:i/>
        </w:rPr>
        <w:t>v.</w:t>
      </w:r>
      <w:r w:rsidRPr="00B0643B">
        <w:rPr>
          <w:i/>
          <w:spacing w:val="-4"/>
        </w:rPr>
        <w:t xml:space="preserve"> </w:t>
      </w:r>
      <w:r w:rsidRPr="00B0643B">
        <w:rPr>
          <w:i/>
          <w:spacing w:val="-1"/>
        </w:rPr>
        <w:t>FCC</w:t>
      </w:r>
      <w:r w:rsidRPr="00B0643B">
        <w:rPr>
          <w:spacing w:val="-1"/>
        </w:rPr>
        <w:t>,</w:t>
      </w:r>
      <w:r w:rsidRPr="00B0643B">
        <w:rPr>
          <w:spacing w:val="-3"/>
        </w:rPr>
        <w:t xml:space="preserve"> </w:t>
      </w:r>
      <w:r w:rsidRPr="00B0643B">
        <w:t>897</w:t>
      </w:r>
      <w:r w:rsidRPr="00B0643B">
        <w:rPr>
          <w:spacing w:val="-3"/>
        </w:rPr>
        <w:t xml:space="preserve"> </w:t>
      </w:r>
      <w:r w:rsidRPr="00B0643B">
        <w:rPr>
          <w:spacing w:val="-1"/>
        </w:rPr>
        <w:t>F.2d</w:t>
      </w:r>
      <w:r w:rsidRPr="00B0643B">
        <w:rPr>
          <w:spacing w:val="-3"/>
        </w:rPr>
        <w:t xml:space="preserve"> </w:t>
      </w:r>
      <w:r w:rsidRPr="00B0643B">
        <w:t>1164,</w:t>
      </w:r>
      <w:r w:rsidRPr="00B0643B">
        <w:rPr>
          <w:spacing w:val="-2"/>
        </w:rPr>
        <w:t xml:space="preserve"> </w:t>
      </w:r>
      <w:r w:rsidRPr="00B0643B">
        <w:t>1166</w:t>
      </w:r>
      <w:r w:rsidRPr="00B0643B">
        <w:rPr>
          <w:spacing w:val="-3"/>
        </w:rPr>
        <w:t xml:space="preserve"> </w:t>
      </w:r>
      <w:r w:rsidRPr="00B0643B">
        <w:t>(D.C.</w:t>
      </w:r>
      <w:r w:rsidRPr="00B0643B">
        <w:rPr>
          <w:spacing w:val="-4"/>
        </w:rPr>
        <w:t xml:space="preserve"> </w:t>
      </w:r>
      <w:r w:rsidRPr="00B0643B">
        <w:t>Cir.</w:t>
      </w:r>
      <w:r w:rsidRPr="00B0643B">
        <w:rPr>
          <w:spacing w:val="-3"/>
        </w:rPr>
        <w:t xml:space="preserve"> </w:t>
      </w:r>
      <w:r w:rsidRPr="00B0643B">
        <w:t>1990)</w:t>
      </w:r>
      <w:r w:rsidRPr="00B0643B">
        <w:rPr>
          <w:spacing w:val="-3"/>
        </w:rPr>
        <w:t xml:space="preserve"> </w:t>
      </w:r>
      <w:r w:rsidRPr="00B0643B">
        <w:t>(</w:t>
      </w:r>
      <w:r w:rsidRPr="00EB4698">
        <w:t>citing</w:t>
      </w:r>
      <w:r w:rsidRPr="00B0643B">
        <w:rPr>
          <w:i/>
          <w:spacing w:val="-4"/>
        </w:rPr>
        <w:t xml:space="preserve"> </w:t>
      </w:r>
      <w:r w:rsidRPr="00B0643B">
        <w:rPr>
          <w:i/>
          <w:spacing w:val="-1"/>
        </w:rPr>
        <w:t>WAIT</w:t>
      </w:r>
      <w:r w:rsidRPr="00B0643B">
        <w:rPr>
          <w:i/>
          <w:spacing w:val="-3"/>
        </w:rPr>
        <w:t xml:space="preserve"> </w:t>
      </w:r>
      <w:r w:rsidRPr="00B0643B">
        <w:rPr>
          <w:i/>
          <w:spacing w:val="-1"/>
        </w:rPr>
        <w:t>Radio</w:t>
      </w:r>
      <w:r w:rsidRPr="00B0643B">
        <w:rPr>
          <w:i/>
          <w:spacing w:val="-2"/>
        </w:rPr>
        <w:t xml:space="preserve"> </w:t>
      </w:r>
      <w:r w:rsidRPr="00B0643B">
        <w:rPr>
          <w:i/>
        </w:rPr>
        <w:t>v.</w:t>
      </w:r>
      <w:r w:rsidRPr="00B0643B">
        <w:rPr>
          <w:i/>
          <w:spacing w:val="-4"/>
        </w:rPr>
        <w:t xml:space="preserve"> </w:t>
      </w:r>
      <w:r w:rsidRPr="00B0643B">
        <w:rPr>
          <w:i/>
          <w:spacing w:val="-1"/>
        </w:rPr>
        <w:t>FCC</w:t>
      </w:r>
      <w:r w:rsidRPr="00B0643B">
        <w:rPr>
          <w:spacing w:val="-1"/>
        </w:rPr>
        <w:t>,</w:t>
      </w:r>
      <w:r w:rsidRPr="00B0643B">
        <w:rPr>
          <w:spacing w:val="31"/>
        </w:rPr>
        <w:t xml:space="preserve"> </w:t>
      </w:r>
      <w:r w:rsidRPr="00B0643B">
        <w:t>418</w:t>
      </w:r>
      <w:r w:rsidRPr="00B0643B">
        <w:rPr>
          <w:spacing w:val="-1"/>
        </w:rPr>
        <w:t xml:space="preserve"> F.2d </w:t>
      </w:r>
      <w:r w:rsidRPr="00B0643B">
        <w:t>1153,</w:t>
      </w:r>
      <w:r w:rsidRPr="00B0643B">
        <w:rPr>
          <w:spacing w:val="-1"/>
        </w:rPr>
        <w:t xml:space="preserve"> </w:t>
      </w:r>
      <w:r w:rsidRPr="00B0643B">
        <w:t>1159</w:t>
      </w:r>
      <w:r w:rsidRPr="00B0643B">
        <w:rPr>
          <w:spacing w:val="-1"/>
        </w:rPr>
        <w:t xml:space="preserve"> </w:t>
      </w:r>
      <w:r w:rsidRPr="00B0643B">
        <w:t>(D.C.</w:t>
      </w:r>
      <w:r w:rsidRPr="00B0643B">
        <w:rPr>
          <w:spacing w:val="-2"/>
        </w:rPr>
        <w:t xml:space="preserve"> </w:t>
      </w:r>
      <w:r w:rsidRPr="00B0643B">
        <w:t>Cir.</w:t>
      </w:r>
      <w:r w:rsidRPr="00B0643B">
        <w:rPr>
          <w:spacing w:val="-1"/>
        </w:rPr>
        <w:t xml:space="preserve"> </w:t>
      </w:r>
      <w:r w:rsidRPr="00B0643B">
        <w:t>1969)).</w:t>
      </w:r>
    </w:p>
  </w:footnote>
  <w:footnote w:id="15">
    <w:p w:rsidR="00E94453" w:rsidP="00E94453" w14:paraId="1EF7C31C" w14:textId="45978391">
      <w:pPr>
        <w:pStyle w:val="footnotedescription"/>
        <w:spacing w:after="120" w:line="259" w:lineRule="auto"/>
        <w:ind w:right="0"/>
      </w:pPr>
      <w:r>
        <w:rPr>
          <w:rStyle w:val="footnotemark"/>
        </w:rPr>
        <w:footnoteRef/>
      </w:r>
      <w:r>
        <w:t xml:space="preserve"> </w:t>
      </w:r>
      <w:r w:rsidRPr="008820CC">
        <w:rPr>
          <w:i/>
          <w:iCs/>
        </w:rPr>
        <w:t>WAIT Radio v. FCC</w:t>
      </w:r>
      <w:r>
        <w:t>, 418 F.2d at 1157.</w:t>
      </w:r>
    </w:p>
  </w:footnote>
  <w:footnote w:id="16">
    <w:p w:rsidR="005442B6" w:rsidRPr="004A32A0" w14:paraId="7E906D86" w14:textId="66E04A83">
      <w:pPr>
        <w:pStyle w:val="FootnoteText"/>
      </w:pPr>
      <w:r>
        <w:rPr>
          <w:rStyle w:val="FootnoteReference"/>
        </w:rPr>
        <w:footnoteRef/>
      </w:r>
      <w:r>
        <w:t xml:space="preserve"> </w:t>
      </w:r>
      <w:r w:rsidR="00A46B3F">
        <w:rPr>
          <w:i/>
          <w:iCs/>
        </w:rPr>
        <w:t>GVSU</w:t>
      </w:r>
      <w:r w:rsidRPr="003D2788" w:rsidR="00A46B3F">
        <w:rPr>
          <w:i/>
          <w:iCs/>
        </w:rPr>
        <w:t xml:space="preserve"> </w:t>
      </w:r>
      <w:r w:rsidR="002A4ADC">
        <w:rPr>
          <w:i/>
          <w:iCs/>
        </w:rPr>
        <w:t>Waiver</w:t>
      </w:r>
      <w:r w:rsidR="004A32A0">
        <w:rPr>
          <w:i/>
          <w:iCs/>
        </w:rPr>
        <w:t xml:space="preserve"> Request</w:t>
      </w:r>
      <w:r w:rsidR="004A32A0">
        <w:t xml:space="preserve"> at </w:t>
      </w:r>
      <w:r w:rsidR="00A964BF">
        <w:t>1</w:t>
      </w:r>
      <w:r w:rsidR="00774BB6">
        <w:t>.</w:t>
      </w:r>
    </w:p>
  </w:footnote>
  <w:footnote w:id="17">
    <w:p w:rsidR="00C631A7" w:rsidP="00C631A7" w14:paraId="0B902096" w14:textId="102F652A">
      <w:pPr>
        <w:pStyle w:val="FootnoteText"/>
      </w:pPr>
      <w:r>
        <w:rPr>
          <w:rStyle w:val="FootnoteReference"/>
        </w:rPr>
        <w:footnoteRef/>
      </w:r>
      <w:r>
        <w:t xml:space="preserve"> </w:t>
      </w:r>
      <w:r w:rsidR="007C7303">
        <w:rPr>
          <w:i/>
          <w:iCs/>
        </w:rPr>
        <w:t>Id</w:t>
      </w:r>
      <w:r>
        <w:t>.</w:t>
      </w:r>
    </w:p>
  </w:footnote>
  <w:footnote w:id="18">
    <w:p w:rsidR="00782D8D" w:rsidRPr="00550FCE" w:rsidP="00782D8D" w14:paraId="2D274352" w14:textId="0AA209E7">
      <w:pPr>
        <w:pStyle w:val="FootnoteText"/>
        <w:rPr>
          <w:i/>
          <w:iCs/>
        </w:rPr>
      </w:pPr>
      <w:r>
        <w:rPr>
          <w:rStyle w:val="FootnoteReference"/>
        </w:rPr>
        <w:footnoteRef/>
      </w:r>
      <w:r>
        <w:t xml:space="preserve"> </w:t>
      </w:r>
      <w:r w:rsidRPr="002C775E">
        <w:t xml:space="preserve">47 CFR </w:t>
      </w:r>
      <w:r w:rsidRPr="000D4CF6">
        <w:t>§ 11.</w:t>
      </w:r>
      <w:r>
        <w:t>35(a)</w:t>
      </w:r>
      <w:r w:rsidR="00DC4D0A">
        <w:t xml:space="preserve"> (requiring </w:t>
      </w:r>
      <w:r w:rsidRPr="00313695" w:rsidR="00313695">
        <w:t xml:space="preserve">EAS Participants </w:t>
      </w:r>
      <w:r w:rsidR="00313695">
        <w:t>to ensure that their EAS devices are</w:t>
      </w:r>
      <w:r w:rsidRPr="00313695" w:rsidR="00313695">
        <w:t xml:space="preserve"> installed so that the monitoring and transmitting functions</w:t>
      </w:r>
      <w:r w:rsidR="004F669D">
        <w:t xml:space="preserve"> of the EAS devices</w:t>
      </w:r>
      <w:r w:rsidRPr="00313695" w:rsidR="00313695">
        <w:t xml:space="preserve"> are available during the times the stations and systems are in operation</w:t>
      </w:r>
      <w:r w:rsidR="00576277">
        <w:t>)</w:t>
      </w:r>
      <w:r>
        <w:rPr>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5727A5F2" w14:textId="71A5F00E">
    <w:pPr>
      <w:pStyle w:val="Header"/>
      <w:rPr>
        <w:b w:val="0"/>
      </w:rPr>
    </w:pPr>
    <w:r>
      <w:tab/>
      <w:t>Federal Communications Commission</w:t>
    </w:r>
    <w:r>
      <w:tab/>
    </w:r>
    <w:r w:rsidR="00EA4369">
      <w:t>DA 2</w:t>
    </w:r>
    <w:r w:rsidR="00F61843">
      <w:t>6</w:t>
    </w:r>
    <w:r w:rsidR="00EA4369">
      <w:t>-</w:t>
    </w:r>
    <w:r w:rsidR="00D046E7">
      <w:t>269</w:t>
    </w:r>
  </w:p>
  <w:p w:rsidR="00D25FB5" w14:paraId="271618B8" w14:textId="3AC5AD1E">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D25FB5" w14:paraId="15BF2296" w14:textId="77777777">
    <w:pPr>
      <w:spacing w:after="389"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29E25C25" w14:textId="5B427620">
    <w:pPr>
      <w:pStyle w:val="Header"/>
      <w:rPr>
        <w:b w:val="0"/>
      </w:rPr>
    </w:pPr>
    <w:r>
      <w:rPr>
        <w:noProof/>
      </w:rPr>
      <mc:AlternateContent>
        <mc:Choice Requires="wps">
          <w:drawing>
            <wp:anchor distT="0" distB="0" distL="114300" distR="114300" simplePos="0" relativeHeight="251660288" behindDoc="1" locked="0" layoutInCell="0" allowOverlap="1">
              <wp:simplePos x="0" y="0"/>
              <wp:positionH relativeFrom="margin">
                <wp:posOffset>7620</wp:posOffset>
              </wp:positionH>
              <wp:positionV relativeFrom="paragraph">
                <wp:posOffset>160655</wp:posOffset>
              </wp:positionV>
              <wp:extent cx="5943600" cy="12065"/>
              <wp:effectExtent l="0" t="0" r="0" b="0"/>
              <wp:wrapNone/>
              <wp:docPr id="1"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2050"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55168" o:allowincell="f" fillcolor="black" stroked="f" strokeweight="0.05pt">
              <w10:wrap anchorx="margin"/>
            </v:rect>
          </w:pict>
        </mc:Fallback>
      </mc:AlternateContent>
    </w:r>
    <w:r>
      <w:tab/>
      <w:t>Federal Communications Commission</w:t>
    </w:r>
    <w:r>
      <w:tab/>
    </w:r>
    <w:r w:rsidR="003C1C8B">
      <w:rPr>
        <w:spacing w:val="-2"/>
      </w:rPr>
      <w:t>DA 26</w:t>
    </w:r>
    <w:r w:rsidR="00A6466F">
      <w:rPr>
        <w:spacing w:val="-2"/>
      </w:rPr>
      <w:t>-</w:t>
    </w:r>
    <w:r w:rsidR="00D046E7">
      <w:rPr>
        <w:spacing w:val="-2"/>
      </w:rPr>
      <w:t>269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nsid w:val="61182925"/>
    <w:multiLevelType w:val="singleLevel"/>
    <w:tmpl w:val="A9EE9842"/>
    <w:lvl w:ilvl="0">
      <w:start w:val="1"/>
      <w:numFmt w:val="decimal"/>
      <w:pStyle w:val="ParaNum"/>
      <w:lvlText w:val="%1."/>
      <w:lvlJc w:val="left"/>
      <w:pPr>
        <w:tabs>
          <w:tab w:val="num" w:pos="1080"/>
        </w:tabs>
        <w:ind w:left="0" w:firstLine="720"/>
      </w:pPr>
    </w:lvl>
  </w:abstractNum>
  <w:num w:numId="1" w16cid:durableId="1915504078">
    <w:abstractNumId w:val="1"/>
  </w:num>
  <w:num w:numId="2" w16cid:durableId="1102452834">
    <w:abstractNumId w:val="5"/>
  </w:num>
  <w:num w:numId="3" w16cid:durableId="262766114">
    <w:abstractNumId w:val="3"/>
  </w:num>
  <w:num w:numId="4" w16cid:durableId="1020467375">
    <w:abstractNumId w:val="4"/>
  </w:num>
  <w:num w:numId="5" w16cid:durableId="745956695">
    <w:abstractNumId w:val="2"/>
  </w:num>
  <w:num w:numId="6" w16cid:durableId="69739814">
    <w:abstractNumId w:val="0"/>
  </w:num>
  <w:num w:numId="7" w16cid:durableId="543367510">
    <w:abstractNumId w:val="5"/>
    <w:lvlOverride w:ilvl="0">
      <w:startOverride w:val="1"/>
    </w:lvlOverride>
  </w:num>
  <w:num w:numId="8" w16cid:durableId="318584435">
    <w:abstractNumId w:val="5"/>
    <w:lvlOverride w:ilvl="0">
      <w:startOverride w:val="1"/>
    </w:lvlOverride>
  </w:num>
  <w:num w:numId="9" w16cid:durableId="1869415776">
    <w:abstractNumId w:val="5"/>
    <w:lvlOverride w:ilvl="0">
      <w:startOverride w:val="1"/>
    </w:lvlOverride>
  </w:num>
  <w:num w:numId="10" w16cid:durableId="400949836">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207"/>
    <w:rsid w:val="000002B0"/>
    <w:rsid w:val="00000F0B"/>
    <w:rsid w:val="0000129D"/>
    <w:rsid w:val="00003966"/>
    <w:rsid w:val="00007A19"/>
    <w:rsid w:val="00011108"/>
    <w:rsid w:val="00017448"/>
    <w:rsid w:val="0003070C"/>
    <w:rsid w:val="00036039"/>
    <w:rsid w:val="0003660A"/>
    <w:rsid w:val="00037F90"/>
    <w:rsid w:val="00046D5A"/>
    <w:rsid w:val="0005295A"/>
    <w:rsid w:val="00057D0A"/>
    <w:rsid w:val="00060E91"/>
    <w:rsid w:val="00060F14"/>
    <w:rsid w:val="00061044"/>
    <w:rsid w:val="0006175C"/>
    <w:rsid w:val="00076FD2"/>
    <w:rsid w:val="000801B6"/>
    <w:rsid w:val="00080692"/>
    <w:rsid w:val="00080D39"/>
    <w:rsid w:val="000810AA"/>
    <w:rsid w:val="000870A8"/>
    <w:rsid w:val="000875BF"/>
    <w:rsid w:val="0008777B"/>
    <w:rsid w:val="000911D4"/>
    <w:rsid w:val="00091FE4"/>
    <w:rsid w:val="00096D8C"/>
    <w:rsid w:val="000976DA"/>
    <w:rsid w:val="000A10BB"/>
    <w:rsid w:val="000A147D"/>
    <w:rsid w:val="000A21BE"/>
    <w:rsid w:val="000A7A56"/>
    <w:rsid w:val="000B1A75"/>
    <w:rsid w:val="000B4267"/>
    <w:rsid w:val="000B6519"/>
    <w:rsid w:val="000C0B65"/>
    <w:rsid w:val="000C68C5"/>
    <w:rsid w:val="000D1C5B"/>
    <w:rsid w:val="000D4A2B"/>
    <w:rsid w:val="000D4CF6"/>
    <w:rsid w:val="000D4D7A"/>
    <w:rsid w:val="000D6348"/>
    <w:rsid w:val="000E05FE"/>
    <w:rsid w:val="000E2FB3"/>
    <w:rsid w:val="000E3D42"/>
    <w:rsid w:val="000E7EDB"/>
    <w:rsid w:val="000F145C"/>
    <w:rsid w:val="000F448F"/>
    <w:rsid w:val="000F6861"/>
    <w:rsid w:val="00100995"/>
    <w:rsid w:val="0010108C"/>
    <w:rsid w:val="00102D99"/>
    <w:rsid w:val="001037A5"/>
    <w:rsid w:val="00105A99"/>
    <w:rsid w:val="00106485"/>
    <w:rsid w:val="001076C0"/>
    <w:rsid w:val="00122BD5"/>
    <w:rsid w:val="00123536"/>
    <w:rsid w:val="00125644"/>
    <w:rsid w:val="00126D34"/>
    <w:rsid w:val="001277C3"/>
    <w:rsid w:val="00130054"/>
    <w:rsid w:val="00131857"/>
    <w:rsid w:val="00131DDD"/>
    <w:rsid w:val="00132D59"/>
    <w:rsid w:val="00133F79"/>
    <w:rsid w:val="0013411A"/>
    <w:rsid w:val="00136D40"/>
    <w:rsid w:val="00144A09"/>
    <w:rsid w:val="001474CE"/>
    <w:rsid w:val="00147C21"/>
    <w:rsid w:val="001575FE"/>
    <w:rsid w:val="00157ACF"/>
    <w:rsid w:val="00160985"/>
    <w:rsid w:val="00162069"/>
    <w:rsid w:val="00163289"/>
    <w:rsid w:val="00163C84"/>
    <w:rsid w:val="00165566"/>
    <w:rsid w:val="00175E5D"/>
    <w:rsid w:val="00185BF7"/>
    <w:rsid w:val="00187776"/>
    <w:rsid w:val="00191C69"/>
    <w:rsid w:val="00192C84"/>
    <w:rsid w:val="0019378D"/>
    <w:rsid w:val="00194A66"/>
    <w:rsid w:val="0019608E"/>
    <w:rsid w:val="001A380A"/>
    <w:rsid w:val="001A387F"/>
    <w:rsid w:val="001A4209"/>
    <w:rsid w:val="001A5052"/>
    <w:rsid w:val="001A5ADC"/>
    <w:rsid w:val="001A5E0D"/>
    <w:rsid w:val="001B08CF"/>
    <w:rsid w:val="001B4F71"/>
    <w:rsid w:val="001B65D2"/>
    <w:rsid w:val="001B792C"/>
    <w:rsid w:val="001C47D9"/>
    <w:rsid w:val="001C6DD8"/>
    <w:rsid w:val="001C78D0"/>
    <w:rsid w:val="001D292E"/>
    <w:rsid w:val="001D595D"/>
    <w:rsid w:val="001D6BCF"/>
    <w:rsid w:val="001E0108"/>
    <w:rsid w:val="001E01CA"/>
    <w:rsid w:val="001E1FFB"/>
    <w:rsid w:val="001F1D46"/>
    <w:rsid w:val="001F61C5"/>
    <w:rsid w:val="00211222"/>
    <w:rsid w:val="00222591"/>
    <w:rsid w:val="002233EB"/>
    <w:rsid w:val="0022347A"/>
    <w:rsid w:val="00223ED0"/>
    <w:rsid w:val="00224474"/>
    <w:rsid w:val="002264A1"/>
    <w:rsid w:val="0023480A"/>
    <w:rsid w:val="00235408"/>
    <w:rsid w:val="0024416F"/>
    <w:rsid w:val="002531A4"/>
    <w:rsid w:val="00253713"/>
    <w:rsid w:val="00253AD4"/>
    <w:rsid w:val="002575A4"/>
    <w:rsid w:val="00260262"/>
    <w:rsid w:val="002634A8"/>
    <w:rsid w:val="002754F7"/>
    <w:rsid w:val="00275CF5"/>
    <w:rsid w:val="00277CC0"/>
    <w:rsid w:val="0028301F"/>
    <w:rsid w:val="00285017"/>
    <w:rsid w:val="00285EF6"/>
    <w:rsid w:val="0028652A"/>
    <w:rsid w:val="00291E23"/>
    <w:rsid w:val="00294AA0"/>
    <w:rsid w:val="002A2D2E"/>
    <w:rsid w:val="002A4ADC"/>
    <w:rsid w:val="002A6E9C"/>
    <w:rsid w:val="002A7066"/>
    <w:rsid w:val="002B2700"/>
    <w:rsid w:val="002C00E8"/>
    <w:rsid w:val="002C0222"/>
    <w:rsid w:val="002C10B2"/>
    <w:rsid w:val="002C2AA0"/>
    <w:rsid w:val="002C3803"/>
    <w:rsid w:val="002C44E8"/>
    <w:rsid w:val="002C4FDE"/>
    <w:rsid w:val="002C659E"/>
    <w:rsid w:val="002C775E"/>
    <w:rsid w:val="002D1C45"/>
    <w:rsid w:val="002D1C4C"/>
    <w:rsid w:val="002D2AFF"/>
    <w:rsid w:val="002D33F3"/>
    <w:rsid w:val="002D521E"/>
    <w:rsid w:val="002D5AA5"/>
    <w:rsid w:val="002F077A"/>
    <w:rsid w:val="002F4A7E"/>
    <w:rsid w:val="00300AB6"/>
    <w:rsid w:val="003022DA"/>
    <w:rsid w:val="003032B0"/>
    <w:rsid w:val="0030359A"/>
    <w:rsid w:val="00304089"/>
    <w:rsid w:val="0030502A"/>
    <w:rsid w:val="00312EAB"/>
    <w:rsid w:val="00313695"/>
    <w:rsid w:val="003140E9"/>
    <w:rsid w:val="0031532B"/>
    <w:rsid w:val="00320D3A"/>
    <w:rsid w:val="00321067"/>
    <w:rsid w:val="00322038"/>
    <w:rsid w:val="00322C08"/>
    <w:rsid w:val="00325760"/>
    <w:rsid w:val="00325F76"/>
    <w:rsid w:val="0033326F"/>
    <w:rsid w:val="00333CA7"/>
    <w:rsid w:val="003342CC"/>
    <w:rsid w:val="003375E3"/>
    <w:rsid w:val="00337648"/>
    <w:rsid w:val="00340A3B"/>
    <w:rsid w:val="00343749"/>
    <w:rsid w:val="0034572A"/>
    <w:rsid w:val="0035163F"/>
    <w:rsid w:val="00356C1B"/>
    <w:rsid w:val="00357C22"/>
    <w:rsid w:val="00364B36"/>
    <w:rsid w:val="003660ED"/>
    <w:rsid w:val="00382344"/>
    <w:rsid w:val="003849AE"/>
    <w:rsid w:val="00387247"/>
    <w:rsid w:val="003875F0"/>
    <w:rsid w:val="00391C74"/>
    <w:rsid w:val="003929B3"/>
    <w:rsid w:val="0039450A"/>
    <w:rsid w:val="00395110"/>
    <w:rsid w:val="003A2701"/>
    <w:rsid w:val="003A6F4B"/>
    <w:rsid w:val="003B0550"/>
    <w:rsid w:val="003B0B81"/>
    <w:rsid w:val="003B3FA1"/>
    <w:rsid w:val="003B48A7"/>
    <w:rsid w:val="003B694F"/>
    <w:rsid w:val="003B6CB2"/>
    <w:rsid w:val="003C1C8B"/>
    <w:rsid w:val="003C360A"/>
    <w:rsid w:val="003C427D"/>
    <w:rsid w:val="003C49DB"/>
    <w:rsid w:val="003C6A25"/>
    <w:rsid w:val="003D07F7"/>
    <w:rsid w:val="003D0C84"/>
    <w:rsid w:val="003D2788"/>
    <w:rsid w:val="003D76CB"/>
    <w:rsid w:val="003E20F0"/>
    <w:rsid w:val="003E3DEE"/>
    <w:rsid w:val="003E4FB4"/>
    <w:rsid w:val="003F171C"/>
    <w:rsid w:val="004028E9"/>
    <w:rsid w:val="00402933"/>
    <w:rsid w:val="00404888"/>
    <w:rsid w:val="00405C2F"/>
    <w:rsid w:val="00406807"/>
    <w:rsid w:val="00407D68"/>
    <w:rsid w:val="00412FC5"/>
    <w:rsid w:val="00416788"/>
    <w:rsid w:val="00422276"/>
    <w:rsid w:val="004242F1"/>
    <w:rsid w:val="0042644E"/>
    <w:rsid w:val="004265C7"/>
    <w:rsid w:val="00427606"/>
    <w:rsid w:val="00430CFE"/>
    <w:rsid w:val="004325CE"/>
    <w:rsid w:val="0043268B"/>
    <w:rsid w:val="00433B07"/>
    <w:rsid w:val="00436B97"/>
    <w:rsid w:val="004375DB"/>
    <w:rsid w:val="00442DD7"/>
    <w:rsid w:val="00443CFB"/>
    <w:rsid w:val="00444A41"/>
    <w:rsid w:val="0044545D"/>
    <w:rsid w:val="00445A00"/>
    <w:rsid w:val="00445D20"/>
    <w:rsid w:val="004501EB"/>
    <w:rsid w:val="00451B0F"/>
    <w:rsid w:val="0045321B"/>
    <w:rsid w:val="00455013"/>
    <w:rsid w:val="00457764"/>
    <w:rsid w:val="00461B4E"/>
    <w:rsid w:val="00462609"/>
    <w:rsid w:val="00462898"/>
    <w:rsid w:val="00463916"/>
    <w:rsid w:val="00471C4D"/>
    <w:rsid w:val="00472CED"/>
    <w:rsid w:val="00473E33"/>
    <w:rsid w:val="00474495"/>
    <w:rsid w:val="00477766"/>
    <w:rsid w:val="00477F54"/>
    <w:rsid w:val="0048017F"/>
    <w:rsid w:val="0048081D"/>
    <w:rsid w:val="00481291"/>
    <w:rsid w:val="0048200C"/>
    <w:rsid w:val="00486421"/>
    <w:rsid w:val="00487947"/>
    <w:rsid w:val="00493CE9"/>
    <w:rsid w:val="00494EB4"/>
    <w:rsid w:val="004968F8"/>
    <w:rsid w:val="00497624"/>
    <w:rsid w:val="00497E77"/>
    <w:rsid w:val="004A1CBC"/>
    <w:rsid w:val="004A32A0"/>
    <w:rsid w:val="004B46F6"/>
    <w:rsid w:val="004B5076"/>
    <w:rsid w:val="004B598A"/>
    <w:rsid w:val="004C0431"/>
    <w:rsid w:val="004C0572"/>
    <w:rsid w:val="004C2EE3"/>
    <w:rsid w:val="004C3C3A"/>
    <w:rsid w:val="004C75B0"/>
    <w:rsid w:val="004D3EF4"/>
    <w:rsid w:val="004D44FB"/>
    <w:rsid w:val="004D5A72"/>
    <w:rsid w:val="004E098A"/>
    <w:rsid w:val="004E4A22"/>
    <w:rsid w:val="004F2F09"/>
    <w:rsid w:val="004F462D"/>
    <w:rsid w:val="004F669D"/>
    <w:rsid w:val="004F6F15"/>
    <w:rsid w:val="004F7C0C"/>
    <w:rsid w:val="004F7F14"/>
    <w:rsid w:val="0050042B"/>
    <w:rsid w:val="00502DCB"/>
    <w:rsid w:val="00504250"/>
    <w:rsid w:val="0050477E"/>
    <w:rsid w:val="00511968"/>
    <w:rsid w:val="005134C7"/>
    <w:rsid w:val="005258F6"/>
    <w:rsid w:val="00525AB7"/>
    <w:rsid w:val="00526630"/>
    <w:rsid w:val="00530745"/>
    <w:rsid w:val="005319F4"/>
    <w:rsid w:val="005358C6"/>
    <w:rsid w:val="00541127"/>
    <w:rsid w:val="005416A9"/>
    <w:rsid w:val="005442B6"/>
    <w:rsid w:val="005505F0"/>
    <w:rsid w:val="00550FCE"/>
    <w:rsid w:val="00555087"/>
    <w:rsid w:val="00555A80"/>
    <w:rsid w:val="00555B81"/>
    <w:rsid w:val="0055614C"/>
    <w:rsid w:val="00562B55"/>
    <w:rsid w:val="00564A36"/>
    <w:rsid w:val="00564F9B"/>
    <w:rsid w:val="00566D06"/>
    <w:rsid w:val="00570641"/>
    <w:rsid w:val="00571449"/>
    <w:rsid w:val="005736A7"/>
    <w:rsid w:val="0057558B"/>
    <w:rsid w:val="00576277"/>
    <w:rsid w:val="005815E6"/>
    <w:rsid w:val="00582329"/>
    <w:rsid w:val="00582CAB"/>
    <w:rsid w:val="00590594"/>
    <w:rsid w:val="00591959"/>
    <w:rsid w:val="00595C1D"/>
    <w:rsid w:val="005A7B29"/>
    <w:rsid w:val="005B0F9C"/>
    <w:rsid w:val="005B1B5E"/>
    <w:rsid w:val="005B3DFE"/>
    <w:rsid w:val="005B757F"/>
    <w:rsid w:val="005C1B20"/>
    <w:rsid w:val="005C3BC8"/>
    <w:rsid w:val="005C5947"/>
    <w:rsid w:val="005D1541"/>
    <w:rsid w:val="005D179F"/>
    <w:rsid w:val="005D552F"/>
    <w:rsid w:val="005D5CB8"/>
    <w:rsid w:val="005D68D7"/>
    <w:rsid w:val="005E0FE3"/>
    <w:rsid w:val="005E14C2"/>
    <w:rsid w:val="005E2350"/>
    <w:rsid w:val="005E2A8E"/>
    <w:rsid w:val="005E5CFD"/>
    <w:rsid w:val="005E6775"/>
    <w:rsid w:val="005E75A1"/>
    <w:rsid w:val="005F1FAC"/>
    <w:rsid w:val="005F24D6"/>
    <w:rsid w:val="006029D1"/>
    <w:rsid w:val="00607BA5"/>
    <w:rsid w:val="0061180A"/>
    <w:rsid w:val="006125C5"/>
    <w:rsid w:val="0061475F"/>
    <w:rsid w:val="006150BA"/>
    <w:rsid w:val="006201DA"/>
    <w:rsid w:val="00620600"/>
    <w:rsid w:val="0062199A"/>
    <w:rsid w:val="00622EFF"/>
    <w:rsid w:val="00623492"/>
    <w:rsid w:val="00626EB6"/>
    <w:rsid w:val="00642D6B"/>
    <w:rsid w:val="00651A37"/>
    <w:rsid w:val="0065391A"/>
    <w:rsid w:val="00654F31"/>
    <w:rsid w:val="00655D03"/>
    <w:rsid w:val="0065714D"/>
    <w:rsid w:val="0066280B"/>
    <w:rsid w:val="0066545B"/>
    <w:rsid w:val="00671497"/>
    <w:rsid w:val="006714F3"/>
    <w:rsid w:val="0067180D"/>
    <w:rsid w:val="00672082"/>
    <w:rsid w:val="00674218"/>
    <w:rsid w:val="00675326"/>
    <w:rsid w:val="00676E26"/>
    <w:rsid w:val="006809B7"/>
    <w:rsid w:val="0068237B"/>
    <w:rsid w:val="00683388"/>
    <w:rsid w:val="00683F84"/>
    <w:rsid w:val="00686988"/>
    <w:rsid w:val="00687CB6"/>
    <w:rsid w:val="00687F57"/>
    <w:rsid w:val="006908C9"/>
    <w:rsid w:val="00691D1E"/>
    <w:rsid w:val="006948EC"/>
    <w:rsid w:val="0069563F"/>
    <w:rsid w:val="006977A4"/>
    <w:rsid w:val="006A1994"/>
    <w:rsid w:val="006A2648"/>
    <w:rsid w:val="006A2D0B"/>
    <w:rsid w:val="006A6A81"/>
    <w:rsid w:val="006A6BD8"/>
    <w:rsid w:val="006A7C6D"/>
    <w:rsid w:val="006B08C2"/>
    <w:rsid w:val="006B22E9"/>
    <w:rsid w:val="006B344D"/>
    <w:rsid w:val="006B42E1"/>
    <w:rsid w:val="006C5A85"/>
    <w:rsid w:val="006D0E88"/>
    <w:rsid w:val="006D6318"/>
    <w:rsid w:val="006D6772"/>
    <w:rsid w:val="006D6B86"/>
    <w:rsid w:val="006D7F79"/>
    <w:rsid w:val="006E0ACA"/>
    <w:rsid w:val="006E1C66"/>
    <w:rsid w:val="006E5DBA"/>
    <w:rsid w:val="006F3867"/>
    <w:rsid w:val="006F5585"/>
    <w:rsid w:val="006F68D6"/>
    <w:rsid w:val="006F7393"/>
    <w:rsid w:val="0070224F"/>
    <w:rsid w:val="00702AAA"/>
    <w:rsid w:val="00703155"/>
    <w:rsid w:val="00703EAE"/>
    <w:rsid w:val="00703F78"/>
    <w:rsid w:val="007115F7"/>
    <w:rsid w:val="00712AAF"/>
    <w:rsid w:val="0071434B"/>
    <w:rsid w:val="007212E2"/>
    <w:rsid w:val="00730EA0"/>
    <w:rsid w:val="0073241C"/>
    <w:rsid w:val="007328BF"/>
    <w:rsid w:val="0073644C"/>
    <w:rsid w:val="00743EC9"/>
    <w:rsid w:val="0074544D"/>
    <w:rsid w:val="007456B4"/>
    <w:rsid w:val="007509B7"/>
    <w:rsid w:val="00757207"/>
    <w:rsid w:val="00760E9E"/>
    <w:rsid w:val="00761D76"/>
    <w:rsid w:val="00762F73"/>
    <w:rsid w:val="0076307F"/>
    <w:rsid w:val="00770C43"/>
    <w:rsid w:val="00770D94"/>
    <w:rsid w:val="00774BB6"/>
    <w:rsid w:val="007757EF"/>
    <w:rsid w:val="007767C8"/>
    <w:rsid w:val="007820D5"/>
    <w:rsid w:val="00782870"/>
    <w:rsid w:val="00782D8D"/>
    <w:rsid w:val="00785689"/>
    <w:rsid w:val="00790DC0"/>
    <w:rsid w:val="00792836"/>
    <w:rsid w:val="0079754B"/>
    <w:rsid w:val="007A00E6"/>
    <w:rsid w:val="007A09EC"/>
    <w:rsid w:val="007A1E6D"/>
    <w:rsid w:val="007A2A38"/>
    <w:rsid w:val="007A6FB6"/>
    <w:rsid w:val="007A7155"/>
    <w:rsid w:val="007B0EB2"/>
    <w:rsid w:val="007B0FF3"/>
    <w:rsid w:val="007B2783"/>
    <w:rsid w:val="007C2D04"/>
    <w:rsid w:val="007C4B3B"/>
    <w:rsid w:val="007C7303"/>
    <w:rsid w:val="007C7D65"/>
    <w:rsid w:val="007D0E61"/>
    <w:rsid w:val="007D2714"/>
    <w:rsid w:val="007D3BC1"/>
    <w:rsid w:val="007D40CD"/>
    <w:rsid w:val="007E4D0A"/>
    <w:rsid w:val="007E6211"/>
    <w:rsid w:val="007F037C"/>
    <w:rsid w:val="007F227D"/>
    <w:rsid w:val="00801674"/>
    <w:rsid w:val="00802ADF"/>
    <w:rsid w:val="0080653E"/>
    <w:rsid w:val="00806C06"/>
    <w:rsid w:val="00807580"/>
    <w:rsid w:val="00810B6F"/>
    <w:rsid w:val="00810F9A"/>
    <w:rsid w:val="00811646"/>
    <w:rsid w:val="0081397D"/>
    <w:rsid w:val="00817DA7"/>
    <w:rsid w:val="00822CE0"/>
    <w:rsid w:val="00824D76"/>
    <w:rsid w:val="0082662F"/>
    <w:rsid w:val="0083063B"/>
    <w:rsid w:val="00833A89"/>
    <w:rsid w:val="00833F65"/>
    <w:rsid w:val="0083740E"/>
    <w:rsid w:val="008374F8"/>
    <w:rsid w:val="00841AB1"/>
    <w:rsid w:val="00842A56"/>
    <w:rsid w:val="00842FA2"/>
    <w:rsid w:val="0084704D"/>
    <w:rsid w:val="008506D0"/>
    <w:rsid w:val="00854CAD"/>
    <w:rsid w:val="008553A5"/>
    <w:rsid w:val="00857834"/>
    <w:rsid w:val="00860793"/>
    <w:rsid w:val="008632FA"/>
    <w:rsid w:val="00863E4B"/>
    <w:rsid w:val="0087195A"/>
    <w:rsid w:val="00873A72"/>
    <w:rsid w:val="008766A0"/>
    <w:rsid w:val="00881E13"/>
    <w:rsid w:val="008820CC"/>
    <w:rsid w:val="00883242"/>
    <w:rsid w:val="00884E53"/>
    <w:rsid w:val="008A154C"/>
    <w:rsid w:val="008A29CE"/>
    <w:rsid w:val="008B2DFF"/>
    <w:rsid w:val="008B3CAB"/>
    <w:rsid w:val="008B59A1"/>
    <w:rsid w:val="008B619D"/>
    <w:rsid w:val="008B775B"/>
    <w:rsid w:val="008B7C4D"/>
    <w:rsid w:val="008C5524"/>
    <w:rsid w:val="008C5581"/>
    <w:rsid w:val="008C68F1"/>
    <w:rsid w:val="008D53D4"/>
    <w:rsid w:val="008D743C"/>
    <w:rsid w:val="008E056B"/>
    <w:rsid w:val="008E142B"/>
    <w:rsid w:val="008E2E11"/>
    <w:rsid w:val="008E40E4"/>
    <w:rsid w:val="008E5012"/>
    <w:rsid w:val="008F0019"/>
    <w:rsid w:val="008F0B8F"/>
    <w:rsid w:val="008F146D"/>
    <w:rsid w:val="008F2482"/>
    <w:rsid w:val="008F3AC6"/>
    <w:rsid w:val="008F55F2"/>
    <w:rsid w:val="008F6525"/>
    <w:rsid w:val="008F6C1C"/>
    <w:rsid w:val="00903A7C"/>
    <w:rsid w:val="00904642"/>
    <w:rsid w:val="0091173E"/>
    <w:rsid w:val="0091446D"/>
    <w:rsid w:val="00915C4B"/>
    <w:rsid w:val="009161B7"/>
    <w:rsid w:val="00917E86"/>
    <w:rsid w:val="00920079"/>
    <w:rsid w:val="00921803"/>
    <w:rsid w:val="0092394C"/>
    <w:rsid w:val="00925940"/>
    <w:rsid w:val="00926503"/>
    <w:rsid w:val="00926B38"/>
    <w:rsid w:val="00935D04"/>
    <w:rsid w:val="00936874"/>
    <w:rsid w:val="00942214"/>
    <w:rsid w:val="0094620E"/>
    <w:rsid w:val="00946E71"/>
    <w:rsid w:val="0094713E"/>
    <w:rsid w:val="00950BAD"/>
    <w:rsid w:val="009514BD"/>
    <w:rsid w:val="00951E01"/>
    <w:rsid w:val="00951EB4"/>
    <w:rsid w:val="00970D72"/>
    <w:rsid w:val="00971DC9"/>
    <w:rsid w:val="009726D8"/>
    <w:rsid w:val="0097375C"/>
    <w:rsid w:val="009840A7"/>
    <w:rsid w:val="00984C46"/>
    <w:rsid w:val="00984F61"/>
    <w:rsid w:val="00985E6E"/>
    <w:rsid w:val="00986F4F"/>
    <w:rsid w:val="00987C21"/>
    <w:rsid w:val="0099143E"/>
    <w:rsid w:val="00991552"/>
    <w:rsid w:val="00993175"/>
    <w:rsid w:val="00997A02"/>
    <w:rsid w:val="009A2BB3"/>
    <w:rsid w:val="009A71BB"/>
    <w:rsid w:val="009B7607"/>
    <w:rsid w:val="009C349E"/>
    <w:rsid w:val="009D0F75"/>
    <w:rsid w:val="009D19B8"/>
    <w:rsid w:val="009D2331"/>
    <w:rsid w:val="009D5203"/>
    <w:rsid w:val="009D7308"/>
    <w:rsid w:val="009E0FCD"/>
    <w:rsid w:val="009E172F"/>
    <w:rsid w:val="009E4E08"/>
    <w:rsid w:val="009F4D67"/>
    <w:rsid w:val="009F5343"/>
    <w:rsid w:val="009F76DB"/>
    <w:rsid w:val="00A06219"/>
    <w:rsid w:val="00A1415D"/>
    <w:rsid w:val="00A20DF6"/>
    <w:rsid w:val="00A226EF"/>
    <w:rsid w:val="00A32957"/>
    <w:rsid w:val="00A32C3B"/>
    <w:rsid w:val="00A339F2"/>
    <w:rsid w:val="00A453BC"/>
    <w:rsid w:val="00A455AF"/>
    <w:rsid w:val="00A45F4F"/>
    <w:rsid w:val="00A46B3F"/>
    <w:rsid w:val="00A50689"/>
    <w:rsid w:val="00A54092"/>
    <w:rsid w:val="00A54479"/>
    <w:rsid w:val="00A600A9"/>
    <w:rsid w:val="00A60522"/>
    <w:rsid w:val="00A62D41"/>
    <w:rsid w:val="00A6363F"/>
    <w:rsid w:val="00A6466F"/>
    <w:rsid w:val="00A677A7"/>
    <w:rsid w:val="00A67836"/>
    <w:rsid w:val="00A67F7A"/>
    <w:rsid w:val="00A72AF9"/>
    <w:rsid w:val="00A7664F"/>
    <w:rsid w:val="00A83F02"/>
    <w:rsid w:val="00A83FCC"/>
    <w:rsid w:val="00A842DA"/>
    <w:rsid w:val="00A853B1"/>
    <w:rsid w:val="00A863BC"/>
    <w:rsid w:val="00A8728E"/>
    <w:rsid w:val="00A90068"/>
    <w:rsid w:val="00A90233"/>
    <w:rsid w:val="00A92DD8"/>
    <w:rsid w:val="00A95C43"/>
    <w:rsid w:val="00A964BF"/>
    <w:rsid w:val="00A965FB"/>
    <w:rsid w:val="00AA2B3C"/>
    <w:rsid w:val="00AA2EDB"/>
    <w:rsid w:val="00AA4C27"/>
    <w:rsid w:val="00AA55B7"/>
    <w:rsid w:val="00AA5B9E"/>
    <w:rsid w:val="00AB2407"/>
    <w:rsid w:val="00AB32F5"/>
    <w:rsid w:val="00AB4198"/>
    <w:rsid w:val="00AB5075"/>
    <w:rsid w:val="00AB53DF"/>
    <w:rsid w:val="00AB661E"/>
    <w:rsid w:val="00AC6C74"/>
    <w:rsid w:val="00AD11CF"/>
    <w:rsid w:val="00AD20EE"/>
    <w:rsid w:val="00AD2A0C"/>
    <w:rsid w:val="00AD2D52"/>
    <w:rsid w:val="00AE0E29"/>
    <w:rsid w:val="00AE1889"/>
    <w:rsid w:val="00AF05BD"/>
    <w:rsid w:val="00AF09B2"/>
    <w:rsid w:val="00AF1EB7"/>
    <w:rsid w:val="00AF5064"/>
    <w:rsid w:val="00B00BF0"/>
    <w:rsid w:val="00B03F05"/>
    <w:rsid w:val="00B0605A"/>
    <w:rsid w:val="00B0643B"/>
    <w:rsid w:val="00B07348"/>
    <w:rsid w:val="00B07E5C"/>
    <w:rsid w:val="00B132A5"/>
    <w:rsid w:val="00B134DF"/>
    <w:rsid w:val="00B13A17"/>
    <w:rsid w:val="00B14107"/>
    <w:rsid w:val="00B146F2"/>
    <w:rsid w:val="00B16C13"/>
    <w:rsid w:val="00B17A34"/>
    <w:rsid w:val="00B20FE9"/>
    <w:rsid w:val="00B24CC3"/>
    <w:rsid w:val="00B2694B"/>
    <w:rsid w:val="00B27063"/>
    <w:rsid w:val="00B27E56"/>
    <w:rsid w:val="00B35F07"/>
    <w:rsid w:val="00B37870"/>
    <w:rsid w:val="00B40A07"/>
    <w:rsid w:val="00B41D19"/>
    <w:rsid w:val="00B444C1"/>
    <w:rsid w:val="00B4663A"/>
    <w:rsid w:val="00B47C47"/>
    <w:rsid w:val="00B512B8"/>
    <w:rsid w:val="00B52B9A"/>
    <w:rsid w:val="00B532AF"/>
    <w:rsid w:val="00B66B1A"/>
    <w:rsid w:val="00B67E5B"/>
    <w:rsid w:val="00B7459B"/>
    <w:rsid w:val="00B75F82"/>
    <w:rsid w:val="00B77798"/>
    <w:rsid w:val="00B811F7"/>
    <w:rsid w:val="00B81C09"/>
    <w:rsid w:val="00B853BF"/>
    <w:rsid w:val="00B85EC1"/>
    <w:rsid w:val="00B87DDA"/>
    <w:rsid w:val="00B9077C"/>
    <w:rsid w:val="00B9173C"/>
    <w:rsid w:val="00BA0075"/>
    <w:rsid w:val="00BA5DC6"/>
    <w:rsid w:val="00BA6196"/>
    <w:rsid w:val="00BB1B8B"/>
    <w:rsid w:val="00BB56EB"/>
    <w:rsid w:val="00BB6A53"/>
    <w:rsid w:val="00BC20C2"/>
    <w:rsid w:val="00BC2F5E"/>
    <w:rsid w:val="00BC6D8C"/>
    <w:rsid w:val="00BD1CF1"/>
    <w:rsid w:val="00BD3B90"/>
    <w:rsid w:val="00BD3C41"/>
    <w:rsid w:val="00BD75B1"/>
    <w:rsid w:val="00BE0223"/>
    <w:rsid w:val="00BE19E0"/>
    <w:rsid w:val="00BE2BB7"/>
    <w:rsid w:val="00BE35B0"/>
    <w:rsid w:val="00BF22E0"/>
    <w:rsid w:val="00BF3D42"/>
    <w:rsid w:val="00BF4FE2"/>
    <w:rsid w:val="00C03E13"/>
    <w:rsid w:val="00C05406"/>
    <w:rsid w:val="00C06256"/>
    <w:rsid w:val="00C11A95"/>
    <w:rsid w:val="00C2128C"/>
    <w:rsid w:val="00C21D12"/>
    <w:rsid w:val="00C22A87"/>
    <w:rsid w:val="00C24773"/>
    <w:rsid w:val="00C31D90"/>
    <w:rsid w:val="00C31F61"/>
    <w:rsid w:val="00C34006"/>
    <w:rsid w:val="00C36B4C"/>
    <w:rsid w:val="00C42084"/>
    <w:rsid w:val="00C426B1"/>
    <w:rsid w:val="00C43F29"/>
    <w:rsid w:val="00C46AAB"/>
    <w:rsid w:val="00C511E9"/>
    <w:rsid w:val="00C62D80"/>
    <w:rsid w:val="00C631A7"/>
    <w:rsid w:val="00C650B5"/>
    <w:rsid w:val="00C66160"/>
    <w:rsid w:val="00C675B4"/>
    <w:rsid w:val="00C71AA4"/>
    <w:rsid w:val="00C721AC"/>
    <w:rsid w:val="00C74CDA"/>
    <w:rsid w:val="00C75113"/>
    <w:rsid w:val="00C75C6E"/>
    <w:rsid w:val="00C82805"/>
    <w:rsid w:val="00C852EA"/>
    <w:rsid w:val="00C90D6A"/>
    <w:rsid w:val="00C91AC3"/>
    <w:rsid w:val="00C94110"/>
    <w:rsid w:val="00C95B90"/>
    <w:rsid w:val="00C96FF4"/>
    <w:rsid w:val="00CA247E"/>
    <w:rsid w:val="00CA26CB"/>
    <w:rsid w:val="00CA61A1"/>
    <w:rsid w:val="00CA6CEB"/>
    <w:rsid w:val="00CA6D21"/>
    <w:rsid w:val="00CB05D5"/>
    <w:rsid w:val="00CB36DF"/>
    <w:rsid w:val="00CB5276"/>
    <w:rsid w:val="00CB5D7C"/>
    <w:rsid w:val="00CB6704"/>
    <w:rsid w:val="00CC0FC2"/>
    <w:rsid w:val="00CC72B6"/>
    <w:rsid w:val="00CD15C7"/>
    <w:rsid w:val="00CD2B05"/>
    <w:rsid w:val="00CD3060"/>
    <w:rsid w:val="00CD5336"/>
    <w:rsid w:val="00CD558B"/>
    <w:rsid w:val="00CD627B"/>
    <w:rsid w:val="00CE5B51"/>
    <w:rsid w:val="00CF17E5"/>
    <w:rsid w:val="00CF6671"/>
    <w:rsid w:val="00CF6890"/>
    <w:rsid w:val="00CF720F"/>
    <w:rsid w:val="00D007FD"/>
    <w:rsid w:val="00D0218D"/>
    <w:rsid w:val="00D046E7"/>
    <w:rsid w:val="00D05A5B"/>
    <w:rsid w:val="00D10A3E"/>
    <w:rsid w:val="00D129F3"/>
    <w:rsid w:val="00D12B6A"/>
    <w:rsid w:val="00D13A91"/>
    <w:rsid w:val="00D1463B"/>
    <w:rsid w:val="00D16083"/>
    <w:rsid w:val="00D25FB5"/>
    <w:rsid w:val="00D264CE"/>
    <w:rsid w:val="00D278C8"/>
    <w:rsid w:val="00D309CB"/>
    <w:rsid w:val="00D30D3D"/>
    <w:rsid w:val="00D34871"/>
    <w:rsid w:val="00D351CB"/>
    <w:rsid w:val="00D36BEE"/>
    <w:rsid w:val="00D37359"/>
    <w:rsid w:val="00D416A4"/>
    <w:rsid w:val="00D42703"/>
    <w:rsid w:val="00D4384C"/>
    <w:rsid w:val="00D44223"/>
    <w:rsid w:val="00D46691"/>
    <w:rsid w:val="00D47ACE"/>
    <w:rsid w:val="00D510B6"/>
    <w:rsid w:val="00D518EB"/>
    <w:rsid w:val="00D60D27"/>
    <w:rsid w:val="00D619CC"/>
    <w:rsid w:val="00D6275A"/>
    <w:rsid w:val="00D62ABC"/>
    <w:rsid w:val="00D64B5B"/>
    <w:rsid w:val="00D66147"/>
    <w:rsid w:val="00D6677F"/>
    <w:rsid w:val="00D7370D"/>
    <w:rsid w:val="00D82D7C"/>
    <w:rsid w:val="00D85875"/>
    <w:rsid w:val="00D85C46"/>
    <w:rsid w:val="00D862AE"/>
    <w:rsid w:val="00D87BB5"/>
    <w:rsid w:val="00D938F4"/>
    <w:rsid w:val="00D94353"/>
    <w:rsid w:val="00D9749D"/>
    <w:rsid w:val="00DA051A"/>
    <w:rsid w:val="00DA120C"/>
    <w:rsid w:val="00DA16E7"/>
    <w:rsid w:val="00DA2529"/>
    <w:rsid w:val="00DA2B34"/>
    <w:rsid w:val="00DA4394"/>
    <w:rsid w:val="00DA6F20"/>
    <w:rsid w:val="00DA70B6"/>
    <w:rsid w:val="00DA7C6A"/>
    <w:rsid w:val="00DB073D"/>
    <w:rsid w:val="00DB130A"/>
    <w:rsid w:val="00DB2C3F"/>
    <w:rsid w:val="00DB2EBB"/>
    <w:rsid w:val="00DB63B0"/>
    <w:rsid w:val="00DB64FD"/>
    <w:rsid w:val="00DB67E1"/>
    <w:rsid w:val="00DC10A1"/>
    <w:rsid w:val="00DC3112"/>
    <w:rsid w:val="00DC4292"/>
    <w:rsid w:val="00DC4D0A"/>
    <w:rsid w:val="00DC655F"/>
    <w:rsid w:val="00DD0B59"/>
    <w:rsid w:val="00DD78F6"/>
    <w:rsid w:val="00DD7EBD"/>
    <w:rsid w:val="00DE25F2"/>
    <w:rsid w:val="00DE2C6D"/>
    <w:rsid w:val="00DF1C95"/>
    <w:rsid w:val="00DF62B6"/>
    <w:rsid w:val="00DF7933"/>
    <w:rsid w:val="00E01407"/>
    <w:rsid w:val="00E06F5C"/>
    <w:rsid w:val="00E07225"/>
    <w:rsid w:val="00E12425"/>
    <w:rsid w:val="00E12FD4"/>
    <w:rsid w:val="00E14456"/>
    <w:rsid w:val="00E1478E"/>
    <w:rsid w:val="00E1609D"/>
    <w:rsid w:val="00E174AB"/>
    <w:rsid w:val="00E17E3E"/>
    <w:rsid w:val="00E26A77"/>
    <w:rsid w:val="00E30604"/>
    <w:rsid w:val="00E3196E"/>
    <w:rsid w:val="00E3373D"/>
    <w:rsid w:val="00E34128"/>
    <w:rsid w:val="00E34187"/>
    <w:rsid w:val="00E35061"/>
    <w:rsid w:val="00E365FA"/>
    <w:rsid w:val="00E41053"/>
    <w:rsid w:val="00E4234A"/>
    <w:rsid w:val="00E437A5"/>
    <w:rsid w:val="00E467D0"/>
    <w:rsid w:val="00E51254"/>
    <w:rsid w:val="00E5210A"/>
    <w:rsid w:val="00E5274C"/>
    <w:rsid w:val="00E5409F"/>
    <w:rsid w:val="00E63F15"/>
    <w:rsid w:val="00E64C19"/>
    <w:rsid w:val="00E81D6A"/>
    <w:rsid w:val="00E8388C"/>
    <w:rsid w:val="00E8599D"/>
    <w:rsid w:val="00E94453"/>
    <w:rsid w:val="00E95201"/>
    <w:rsid w:val="00E95723"/>
    <w:rsid w:val="00E95ACC"/>
    <w:rsid w:val="00E96699"/>
    <w:rsid w:val="00EA0D72"/>
    <w:rsid w:val="00EA0F14"/>
    <w:rsid w:val="00EA2F78"/>
    <w:rsid w:val="00EA4369"/>
    <w:rsid w:val="00EA6A61"/>
    <w:rsid w:val="00EB4698"/>
    <w:rsid w:val="00EB5D70"/>
    <w:rsid w:val="00EC331D"/>
    <w:rsid w:val="00EC3499"/>
    <w:rsid w:val="00EC4382"/>
    <w:rsid w:val="00EC5A15"/>
    <w:rsid w:val="00EC6739"/>
    <w:rsid w:val="00EC78B5"/>
    <w:rsid w:val="00ED0394"/>
    <w:rsid w:val="00ED38F9"/>
    <w:rsid w:val="00ED4692"/>
    <w:rsid w:val="00ED49E5"/>
    <w:rsid w:val="00ED7A7B"/>
    <w:rsid w:val="00EE105A"/>
    <w:rsid w:val="00EE2997"/>
    <w:rsid w:val="00EE31AC"/>
    <w:rsid w:val="00EE3E84"/>
    <w:rsid w:val="00EE6488"/>
    <w:rsid w:val="00EE7CB5"/>
    <w:rsid w:val="00EF1445"/>
    <w:rsid w:val="00EF6EA7"/>
    <w:rsid w:val="00F021FA"/>
    <w:rsid w:val="00F03F3A"/>
    <w:rsid w:val="00F105D7"/>
    <w:rsid w:val="00F1403C"/>
    <w:rsid w:val="00F14226"/>
    <w:rsid w:val="00F26A3C"/>
    <w:rsid w:val="00F27753"/>
    <w:rsid w:val="00F347CE"/>
    <w:rsid w:val="00F35176"/>
    <w:rsid w:val="00F36A9E"/>
    <w:rsid w:val="00F36AFE"/>
    <w:rsid w:val="00F4065C"/>
    <w:rsid w:val="00F43364"/>
    <w:rsid w:val="00F45F97"/>
    <w:rsid w:val="00F53AD8"/>
    <w:rsid w:val="00F5713E"/>
    <w:rsid w:val="00F61843"/>
    <w:rsid w:val="00F62C71"/>
    <w:rsid w:val="00F62E97"/>
    <w:rsid w:val="00F64209"/>
    <w:rsid w:val="00F647B6"/>
    <w:rsid w:val="00F70F6F"/>
    <w:rsid w:val="00F74F23"/>
    <w:rsid w:val="00F75CFA"/>
    <w:rsid w:val="00F76D80"/>
    <w:rsid w:val="00F80B29"/>
    <w:rsid w:val="00F82042"/>
    <w:rsid w:val="00F84483"/>
    <w:rsid w:val="00F84DCB"/>
    <w:rsid w:val="00F86401"/>
    <w:rsid w:val="00F9363A"/>
    <w:rsid w:val="00F93BF5"/>
    <w:rsid w:val="00F9790B"/>
    <w:rsid w:val="00F97CAE"/>
    <w:rsid w:val="00FA6961"/>
    <w:rsid w:val="00FB2792"/>
    <w:rsid w:val="00FB2EBC"/>
    <w:rsid w:val="00FB7EFD"/>
    <w:rsid w:val="00FC2AFB"/>
    <w:rsid w:val="00FC663E"/>
    <w:rsid w:val="00FC7540"/>
    <w:rsid w:val="00FD1836"/>
    <w:rsid w:val="00FD3CDA"/>
    <w:rsid w:val="00FD6C73"/>
    <w:rsid w:val="00FD7AF5"/>
    <w:rsid w:val="00FE0500"/>
    <w:rsid w:val="00FE57B2"/>
    <w:rsid w:val="00FF0AF6"/>
    <w:rsid w:val="00FF2E05"/>
    <w:rsid w:val="00FF6549"/>
    <w:rsid w:val="00FF732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C8AB009"/>
  <w15:chartTrackingRefBased/>
  <w15:docId w15:val="{E626E506-E60D-47E7-9E32-653520E3E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25FB5"/>
    <w:pPr>
      <w:widowControl w:val="0"/>
    </w:pPr>
    <w:rPr>
      <w:snapToGrid w:val="0"/>
      <w:kern w:val="28"/>
      <w:sz w:val="22"/>
    </w:rPr>
  </w:style>
  <w:style w:type="paragraph" w:styleId="Heading1">
    <w:name w:val="heading 1"/>
    <w:basedOn w:val="Normal"/>
    <w:next w:val="ParaNum"/>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7A1E6D"/>
    <w:pPr>
      <w:keepNext/>
      <w:numPr>
        <w:ilvl w:val="1"/>
        <w:numId w:val="3"/>
      </w:numPr>
      <w:spacing w:after="120"/>
      <w:outlineLvl w:val="1"/>
    </w:pPr>
    <w:rPr>
      <w:b/>
    </w:rPr>
  </w:style>
  <w:style w:type="paragraph" w:styleId="Heading3">
    <w:name w:val="heading 3"/>
    <w:basedOn w:val="Normal"/>
    <w:next w:val="ParaNum"/>
    <w:qFormat/>
    <w:rsid w:val="00BA6196"/>
    <w:pPr>
      <w:keepNext/>
      <w:numPr>
        <w:ilvl w:val="2"/>
        <w:numId w:val="3"/>
      </w:numPr>
      <w:tabs>
        <w:tab w:val="left" w:pos="2160"/>
      </w:tabs>
      <w:spacing w:after="120"/>
      <w:outlineLvl w:val="2"/>
    </w:pPr>
    <w:rPr>
      <w:b/>
    </w:rPr>
  </w:style>
  <w:style w:type="paragraph" w:styleId="Heading4">
    <w:name w:val="heading 4"/>
    <w:basedOn w:val="Normal"/>
    <w:next w:val="ParaNum"/>
    <w:qFormat/>
    <w:rsid w:val="00C426B1"/>
    <w:pPr>
      <w:keepNext/>
      <w:numPr>
        <w:ilvl w:val="3"/>
        <w:numId w:val="3"/>
      </w:numPr>
      <w:tabs>
        <w:tab w:val="left" w:pos="2880"/>
      </w:tabs>
      <w:spacing w:after="120"/>
      <w:outlineLvl w:val="3"/>
    </w:pPr>
    <w:rPr>
      <w:b/>
    </w:rPr>
  </w:style>
  <w:style w:type="paragraph" w:styleId="Heading5">
    <w:name w:val="heading 5"/>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036039"/>
    <w:pPr>
      <w:numPr>
        <w:ilvl w:val="5"/>
        <w:numId w:val="3"/>
      </w:numPr>
      <w:tabs>
        <w:tab w:val="left" w:pos="4320"/>
      </w:tabs>
      <w:spacing w:after="120"/>
      <w:outlineLvl w:val="5"/>
    </w:pPr>
    <w:rPr>
      <w:b/>
    </w:rPr>
  </w:style>
  <w:style w:type="paragraph" w:styleId="Heading7">
    <w:name w:val="heading 7"/>
    <w:basedOn w:val="Normal"/>
    <w:next w:val="ParaNum"/>
    <w:qFormat/>
    <w:rsid w:val="00036039"/>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1E01C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
    <w:rsid w:val="00E07225"/>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ALTS FOOTNOTE,Footnote Text Char Char,Footnote Text Char1,Footnote Text Char1 Char Char,Footnote Text Char1 Char1 Char Char Char Char,Footnote Text Char2,Footnote Text Char2 Char,Footnote Text Char2 Char Char Char Char,Footnote text,f,fn"/>
    <w:link w:val="FootnoteTextChar"/>
    <w:rsid w:val="000E3D42"/>
    <w:pPr>
      <w:spacing w:after="120"/>
    </w:p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rsid w:val="00A32C3B"/>
    <w:rPr>
      <w:rFonts w:ascii="Times New Roman" w:hAnsi="Times New Roman"/>
      <w:dstrike w:val="0"/>
      <w:color w:val="auto"/>
      <w:sz w:val="20"/>
      <w:vertAlign w:val="superscript"/>
    </w:rPr>
  </w:style>
  <w:style w:type="paragraph" w:styleId="TOC1">
    <w:name w:val="toc 1"/>
    <w:basedOn w:val="Normal"/>
    <w:next w:val="Normal"/>
    <w:semiHidden/>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b/>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ind w:left="2160" w:hanging="7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rsid w:val="002A2D2E"/>
    <w:rPr>
      <w:color w:val="0000FF"/>
      <w:u w:val="single"/>
    </w:rPr>
  </w:style>
  <w:style w:type="character" w:customStyle="1" w:styleId="FooterChar">
    <w:name w:val="Footer Char"/>
    <w:link w:val="Footer"/>
    <w:uiPriority w:val="99"/>
    <w:rsid w:val="009D7308"/>
    <w:rPr>
      <w:snapToGrid w:val="0"/>
      <w:kern w:val="28"/>
      <w:sz w:val="22"/>
    </w:rPr>
  </w:style>
  <w:style w:type="paragraph" w:styleId="Revision">
    <w:name w:val="Revision"/>
    <w:hidden/>
    <w:uiPriority w:val="99"/>
    <w:semiHidden/>
    <w:rsid w:val="00D64B5B"/>
    <w:rPr>
      <w:snapToGrid w:val="0"/>
      <w:kern w:val="28"/>
      <w:sz w:val="22"/>
    </w:rPr>
  </w:style>
  <w:style w:type="character" w:styleId="UnresolvedMention">
    <w:name w:val="Unresolved Mention"/>
    <w:basedOn w:val="DefaultParagraphFont"/>
    <w:uiPriority w:val="99"/>
    <w:semiHidden/>
    <w:unhideWhenUsed/>
    <w:rsid w:val="00340A3B"/>
    <w:rPr>
      <w:color w:val="605E5C"/>
      <w:shd w:val="clear" w:color="auto" w:fill="E1DFDD"/>
    </w:rPr>
  </w:style>
  <w:style w:type="character" w:styleId="CommentReference">
    <w:name w:val="annotation reference"/>
    <w:basedOn w:val="DefaultParagraphFont"/>
    <w:rsid w:val="00B03F05"/>
    <w:rPr>
      <w:sz w:val="16"/>
      <w:szCs w:val="16"/>
    </w:rPr>
  </w:style>
  <w:style w:type="paragraph" w:styleId="CommentText">
    <w:name w:val="annotation text"/>
    <w:basedOn w:val="Normal"/>
    <w:link w:val="CommentTextChar"/>
    <w:rsid w:val="00B03F05"/>
    <w:rPr>
      <w:sz w:val="20"/>
    </w:rPr>
  </w:style>
  <w:style w:type="character" w:customStyle="1" w:styleId="CommentTextChar">
    <w:name w:val="Comment Text Char"/>
    <w:basedOn w:val="DefaultParagraphFont"/>
    <w:link w:val="CommentText"/>
    <w:rsid w:val="00B03F05"/>
    <w:rPr>
      <w:snapToGrid w:val="0"/>
      <w:kern w:val="28"/>
    </w:rPr>
  </w:style>
  <w:style w:type="paragraph" w:styleId="CommentSubject">
    <w:name w:val="annotation subject"/>
    <w:basedOn w:val="CommentText"/>
    <w:next w:val="CommentText"/>
    <w:link w:val="CommentSubjectChar"/>
    <w:rsid w:val="00B03F05"/>
    <w:rPr>
      <w:b/>
      <w:bCs/>
    </w:rPr>
  </w:style>
  <w:style w:type="character" w:customStyle="1" w:styleId="CommentSubjectChar">
    <w:name w:val="Comment Subject Char"/>
    <w:basedOn w:val="CommentTextChar"/>
    <w:link w:val="CommentSubject"/>
    <w:rsid w:val="00B03F05"/>
    <w:rPr>
      <w:b/>
      <w:bCs/>
      <w:snapToGrid w:val="0"/>
      <w:kern w:val="28"/>
    </w:rPr>
  </w:style>
  <w:style w:type="character" w:customStyle="1" w:styleId="FootnoteTextChar">
    <w:name w:val="Footnote Text Char"/>
    <w:aliases w:val="ALTS FOOTNOTE Char,Footnote Text Char Char Char,Footnote Text Char1 Char,Footnote Text Char1 Char Char Char,Footnote Text Char1 Char1 Char Char Char Char Char,Footnote Text Char2 Char1,Footnote Text Char2 Char Char,Footnote text Char"/>
    <w:basedOn w:val="DefaultParagraphFont"/>
    <w:link w:val="FootnoteText"/>
    <w:rsid w:val="00863E4B"/>
  </w:style>
  <w:style w:type="character" w:customStyle="1" w:styleId="ParaNumChar">
    <w:name w:val="ParaNum Char"/>
    <w:link w:val="ParaNum"/>
    <w:locked/>
    <w:rsid w:val="00E94453"/>
    <w:rPr>
      <w:snapToGrid w:val="0"/>
      <w:kern w:val="28"/>
      <w:sz w:val="22"/>
    </w:rPr>
  </w:style>
  <w:style w:type="paragraph" w:customStyle="1" w:styleId="footnotedescription">
    <w:name w:val="footnote description"/>
    <w:next w:val="Normal"/>
    <w:link w:val="footnotedescriptionChar"/>
    <w:hidden/>
    <w:rsid w:val="00E94453"/>
    <w:pPr>
      <w:spacing w:after="28" w:line="216" w:lineRule="auto"/>
      <w:ind w:right="89"/>
    </w:pPr>
    <w:rPr>
      <w:color w:val="0B150E"/>
      <w:kern w:val="2"/>
      <w:szCs w:val="22"/>
      <w14:ligatures w14:val="standardContextual"/>
    </w:rPr>
  </w:style>
  <w:style w:type="character" w:customStyle="1" w:styleId="footnotedescriptionChar">
    <w:name w:val="footnote description Char"/>
    <w:link w:val="footnotedescription"/>
    <w:rsid w:val="00E94453"/>
    <w:rPr>
      <w:color w:val="0B150E"/>
      <w:kern w:val="2"/>
      <w:szCs w:val="22"/>
      <w14:ligatures w14:val="standardContextual"/>
    </w:rPr>
  </w:style>
  <w:style w:type="character" w:customStyle="1" w:styleId="footnotemark">
    <w:name w:val="footnote mark"/>
    <w:hidden/>
    <w:rsid w:val="00E94453"/>
    <w:rPr>
      <w:rFonts w:ascii="Times New Roman" w:eastAsia="Times New Roman" w:hAnsi="Times New Roman" w:cs="Times New Roman"/>
      <w:color w:val="0B150E"/>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Orders</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