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429281EB" w14:textId="77777777">
      <w:pPr>
        <w:jc w:val="right"/>
        <w:rPr>
          <w:sz w:val="24"/>
        </w:rPr>
      </w:pPr>
    </w:p>
    <w:p w:rsidR="009B2D87" w:rsidRPr="009B2D87" w:rsidP="009B2D87" w14:paraId="6FFAEB2E" w14:textId="77777777">
      <w:pPr>
        <w:spacing w:before="60"/>
        <w:jc w:val="right"/>
        <w:rPr>
          <w:b/>
          <w:szCs w:val="22"/>
        </w:rPr>
      </w:pPr>
      <w:r w:rsidRPr="009B2D87">
        <w:rPr>
          <w:b/>
          <w:szCs w:val="22"/>
        </w:rPr>
        <w:t>DA 26-273</w:t>
      </w:r>
    </w:p>
    <w:p w:rsidR="00BA3BA8" w:rsidRPr="009B2D87" w14:paraId="1787DF82" w14:textId="1332EF2B">
      <w:pPr>
        <w:spacing w:before="60"/>
        <w:jc w:val="right"/>
        <w:rPr>
          <w:b/>
          <w:szCs w:val="22"/>
        </w:rPr>
      </w:pPr>
      <w:r w:rsidRPr="009B2D87">
        <w:rPr>
          <w:b/>
          <w:szCs w:val="22"/>
        </w:rPr>
        <w:t>Released</w:t>
      </w:r>
      <w:r w:rsidRPr="009B2D87">
        <w:rPr>
          <w:b/>
          <w:szCs w:val="22"/>
        </w:rPr>
        <w:t xml:space="preserve">:  </w:t>
      </w:r>
      <w:r w:rsidRPr="009B2D87" w:rsidR="009B2D87">
        <w:rPr>
          <w:b/>
          <w:szCs w:val="22"/>
        </w:rPr>
        <w:t>March</w:t>
      </w:r>
      <w:r w:rsidRPr="009B2D87" w:rsidR="009B2D87">
        <w:rPr>
          <w:b/>
          <w:szCs w:val="22"/>
        </w:rPr>
        <w:t xml:space="preserve"> 26, 2026</w:t>
      </w:r>
    </w:p>
    <w:p w:rsidR="00BA3BA8" w14:paraId="52963719" w14:textId="77777777">
      <w:pPr>
        <w:jc w:val="right"/>
        <w:rPr>
          <w:sz w:val="24"/>
        </w:rPr>
      </w:pPr>
    </w:p>
    <w:p w:rsidR="009B2D87" w:rsidRPr="00FB5B54" w:rsidP="009B2D87" w14:paraId="4A51C8A6" w14:textId="77777777">
      <w:pPr>
        <w:spacing w:after="240"/>
        <w:jc w:val="center"/>
        <w:rPr>
          <w:b/>
        </w:rPr>
      </w:pPr>
      <w:bookmarkStart w:id="0" w:name="_Hlk41899037"/>
      <w:r w:rsidRPr="00FB5B54">
        <w:rPr>
          <w:b/>
        </w:rPr>
        <w:t>AUCTION OF</w:t>
      </w:r>
      <w:r>
        <w:rPr>
          <w:b/>
        </w:rPr>
        <w:t xml:space="preserve"> </w:t>
      </w:r>
      <w:r w:rsidRPr="00DA3070">
        <w:rPr>
          <w:b/>
        </w:rPr>
        <w:t>ADVANCED WIRELESS SERVICES (AWS-3) LICENSES</w:t>
      </w:r>
    </w:p>
    <w:bookmarkEnd w:id="0"/>
    <w:p w:rsidR="00BA3BA8" w:rsidRPr="009B2D87" w:rsidP="009B2D87" w14:paraId="2D8D3F55" w14:textId="27A03A7D">
      <w:pPr>
        <w:spacing w:after="240"/>
        <w:jc w:val="center"/>
        <w:rPr>
          <w:b/>
          <w:bCs/>
        </w:rPr>
      </w:pPr>
      <w:r w:rsidRPr="65C0C3DD">
        <w:rPr>
          <w:b/>
          <w:bCs/>
        </w:rPr>
        <w:t>STATUS OF APPLICATIONS TO PARTICIPATE IN AUCTION</w:t>
      </w:r>
      <w:r>
        <w:rPr>
          <w:b/>
          <w:bCs/>
        </w:rPr>
        <w:t> 113</w:t>
      </w:r>
    </w:p>
    <w:p w:rsidR="009B2D87" w:rsidP="009B2D87" w14:paraId="55A7B56B" w14:textId="77777777">
      <w:pPr>
        <w:jc w:val="center"/>
        <w:rPr>
          <w:b/>
          <w:sz w:val="24"/>
        </w:rPr>
      </w:pPr>
      <w:bookmarkStart w:id="1" w:name="TOChere"/>
      <w:r w:rsidRPr="00134B79">
        <w:rPr>
          <w:b/>
          <w:szCs w:val="22"/>
        </w:rPr>
        <w:t xml:space="preserve">AU Docket No. </w:t>
      </w:r>
      <w:r>
        <w:rPr>
          <w:b/>
          <w:szCs w:val="22"/>
        </w:rPr>
        <w:t>25-117</w:t>
      </w:r>
    </w:p>
    <w:p w:rsidR="00BA3BA8" w14:paraId="7802F9E8" w14:textId="77777777"/>
    <w:p w:rsidR="00BA3BA8" w:rsidP="009B2D87" w14:paraId="253A2DF2" w14:textId="77777777"/>
    <w:bookmarkEnd w:id="1"/>
    <w:p w:rsidR="009B2D87" w:rsidRPr="00AE5051" w:rsidP="009B2D87" w14:paraId="0A170B8A" w14:textId="77777777">
      <w:pPr>
        <w:pStyle w:val="ParaNum"/>
      </w:pPr>
      <w:r>
        <w:t>By this Public Notice, the Office of Economics and Analytics (OEA) and the Wireless Telecommunications Bureau (WTB) announce the status of 19 short-form applications received for Auction 113</w:t>
      </w:r>
      <w:r w:rsidRPr="00287D58">
        <w:t>.</w:t>
      </w:r>
      <w:r>
        <w:rPr>
          <w:rStyle w:val="FootnoteReference"/>
        </w:rPr>
        <w:footnoteReference w:id="3"/>
      </w:r>
      <w:r w:rsidRPr="00287D58">
        <w:t xml:space="preserve"> </w:t>
      </w:r>
      <w:r>
        <w:t xml:space="preserve"> Auction 113 will offer</w:t>
      </w:r>
      <w:r w:rsidRPr="00BA77D9">
        <w:t xml:space="preserve"> </w:t>
      </w:r>
      <w:r w:rsidRPr="002A36BA">
        <w:t>Advanced Wireless Services licenses in the 1695</w:t>
      </w:r>
      <w:r w:rsidRPr="003004E6">
        <w:t>–</w:t>
      </w:r>
      <w:r w:rsidRPr="002A36BA">
        <w:t>1710 MHz, 1755</w:t>
      </w:r>
      <w:r w:rsidRPr="003004E6">
        <w:t>–</w:t>
      </w:r>
      <w:r w:rsidRPr="002A36BA">
        <w:t>1780 MHz, and 2155</w:t>
      </w:r>
      <w:r w:rsidRPr="003004E6">
        <w:t>–</w:t>
      </w:r>
      <w:r w:rsidRPr="002A36BA">
        <w:t>2180 MHz bands (collectively, the “AWS-3” bands</w:t>
      </w:r>
      <w:r>
        <w:t>)</w:t>
      </w:r>
      <w:r w:rsidRPr="00E5449C">
        <w:t>.</w:t>
      </w:r>
      <w:r>
        <w:rPr>
          <w:rStyle w:val="FootnoteReference"/>
        </w:rPr>
        <w:footnoteReference w:id="4"/>
      </w:r>
      <w:r>
        <w:t xml:space="preserve">  Bidding in Auction 113 is scheduled to begin on June 2, 2026.  This Public Notice also provides important information regarding the modification and resubmission of short-form applications and reminds </w:t>
      </w:r>
      <w:r w:rsidRPr="00AE5051">
        <w:t xml:space="preserve">applicants of </w:t>
      </w:r>
      <w:r>
        <w:t xml:space="preserve">deadlines and </w:t>
      </w:r>
      <w:r w:rsidRPr="00AE5051">
        <w:t xml:space="preserve">certain procedures adopted for </w:t>
      </w:r>
      <w:r>
        <w:t>Auction 113</w:t>
      </w:r>
      <w:r w:rsidRPr="00AE5051">
        <w:t>.</w:t>
      </w:r>
    </w:p>
    <w:p w:rsidR="009B2D87" w:rsidRPr="00AE5051" w:rsidP="009B2D87" w14:paraId="31226AF3" w14:textId="77777777">
      <w:pPr>
        <w:pStyle w:val="Heading1"/>
        <w:widowControl/>
        <w:tabs>
          <w:tab w:val="num" w:pos="720"/>
        </w:tabs>
      </w:pPr>
      <w:r w:rsidRPr="00AE5051">
        <w:t>SHORT-FORM APPLICATIONS AND UPFRONT PAYMENTS</w:t>
      </w:r>
    </w:p>
    <w:p w:rsidR="009B2D87" w:rsidRPr="00AE5051" w:rsidP="009B2D87" w14:paraId="106DC080" w14:textId="77777777">
      <w:pPr>
        <w:pStyle w:val="Heading2"/>
      </w:pPr>
      <w:r w:rsidRPr="00AE5051">
        <w:t>Status of Short-Form Applications</w:t>
      </w:r>
    </w:p>
    <w:p w:rsidR="009B2D87" w:rsidRPr="00AE5051" w:rsidP="009B2D87" w14:paraId="5D7EA845" w14:textId="77777777">
      <w:pPr>
        <w:pStyle w:val="ParaNum"/>
        <w:widowControl/>
      </w:pPr>
      <w:r w:rsidRPr="00AE5051">
        <w:t xml:space="preserve">The short-form applications (FCC Forms 175) to participate in </w:t>
      </w:r>
      <w:r>
        <w:t>Auction 113</w:t>
      </w:r>
      <w:r w:rsidRPr="00AE5051">
        <w:t xml:space="preserve"> have been reviewed for completeness and compliance with the Commission’s rules</w:t>
      </w:r>
      <w:r>
        <w:t>.  The applications</w:t>
      </w:r>
      <w:r w:rsidRPr="00AE5051">
        <w:t xml:space="preserve"> have been classified into the </w:t>
      </w:r>
      <w:r>
        <w:t xml:space="preserve">two </w:t>
      </w:r>
      <w:r w:rsidRPr="00AE5051">
        <w:t xml:space="preserve">categories </w:t>
      </w:r>
      <w:r>
        <w:t>set forth</w:t>
      </w:r>
      <w:r w:rsidRPr="00AE5051">
        <w:t xml:space="preserve"> below</w:t>
      </w:r>
      <w:r>
        <w:t>:</w:t>
      </w:r>
    </w:p>
    <w:p w:rsidR="009B2D87" w:rsidRPr="00AE5051" w:rsidP="009B2D87" w14:paraId="5F0A3AA1" w14:textId="3D3DAC66">
      <w:pPr>
        <w:keepNext/>
        <w:widowControl/>
        <w:tabs>
          <w:tab w:val="right" w:leader="dot" w:pos="7920"/>
        </w:tabs>
        <w:spacing w:after="120"/>
        <w:ind w:left="720" w:firstLine="720"/>
      </w:pPr>
      <w:r w:rsidRPr="3A052725">
        <w:rPr>
          <w:b/>
          <w:bCs/>
        </w:rPr>
        <w:t>Complete</w:t>
      </w:r>
      <w:r w:rsidRPr="00AE5051">
        <w:tab/>
      </w:r>
      <w:r>
        <w:rPr>
          <w:b/>
          <w:bCs/>
        </w:rPr>
        <w:t>5</w:t>
      </w:r>
      <w:r w:rsidRPr="3A052725">
        <w:rPr>
          <w:b/>
          <w:bCs/>
        </w:rPr>
        <w:t xml:space="preserve"> applications</w:t>
      </w:r>
    </w:p>
    <w:p w:rsidR="009B2D87" w:rsidRPr="00AE5051" w:rsidP="009B2D87" w14:paraId="26780AFB" w14:textId="144AE46F">
      <w:pPr>
        <w:widowControl/>
        <w:tabs>
          <w:tab w:val="right" w:leader="dot" w:pos="7920"/>
        </w:tabs>
        <w:spacing w:after="120"/>
        <w:ind w:left="720" w:firstLine="720"/>
      </w:pPr>
      <w:r w:rsidRPr="00AE5051">
        <w:rPr>
          <w:b/>
        </w:rPr>
        <w:t>Incomplete</w:t>
      </w:r>
      <w:r w:rsidRPr="00AE5051">
        <w:tab/>
      </w:r>
      <w:r>
        <w:rPr>
          <w:b/>
          <w:bCs/>
        </w:rPr>
        <w:t>14</w:t>
      </w:r>
      <w:r w:rsidRPr="00AE5051">
        <w:rPr>
          <w:b/>
        </w:rPr>
        <w:t xml:space="preserve"> applications</w:t>
      </w:r>
    </w:p>
    <w:p w:rsidR="009B2D87" w:rsidRPr="00C02B11" w:rsidP="009B2D87" w14:paraId="664A0683" w14:textId="77777777">
      <w:pPr>
        <w:pStyle w:val="ParaNum"/>
        <w:widowControl/>
      </w:pPr>
      <w:r w:rsidRPr="00666343">
        <w:rPr>
          <w:b/>
        </w:rPr>
        <w:t>Complete</w:t>
      </w:r>
      <w:r w:rsidRPr="00056A46">
        <w:rPr>
          <w:b/>
        </w:rPr>
        <w:t xml:space="preserve"> </w:t>
      </w:r>
      <w:r w:rsidRPr="00C02B11">
        <w:rPr>
          <w:b/>
        </w:rPr>
        <w:t>Applications.</w:t>
      </w:r>
      <w:r w:rsidRPr="00C02B11">
        <w:t xml:space="preserve">  Attachment A to this Public Notice lists the short-form applications for </w:t>
      </w:r>
      <w:r>
        <w:t xml:space="preserve">Auction 113 </w:t>
      </w:r>
      <w:r w:rsidRPr="00C02B11">
        <w:t xml:space="preserve">that </w:t>
      </w:r>
      <w:r>
        <w:t xml:space="preserve">have been </w:t>
      </w:r>
      <w:r w:rsidRPr="00C02B11">
        <w:t xml:space="preserve">accepted for filing and </w:t>
      </w:r>
      <w:r>
        <w:t xml:space="preserve">designated as </w:t>
      </w:r>
      <w:r w:rsidRPr="00C02B11">
        <w:t>complete.</w:t>
      </w:r>
      <w:r>
        <w:t xml:space="preserve">  </w:t>
      </w:r>
      <w:r w:rsidRPr="00C02B11">
        <w:t>Each of these applicants will become a qualified bidder upon receipt by the Commission of the required upfront payment by the</w:t>
      </w:r>
      <w:r w:rsidRPr="00C02B11">
        <w:t xml:space="preserve"> </w:t>
      </w:r>
      <w:r>
        <w:t>April 8, 2026</w:t>
      </w:r>
      <w:r w:rsidRPr="00C02B11">
        <w:t>, deadline described below.</w:t>
      </w:r>
      <w:r>
        <w:rPr>
          <w:rStyle w:val="FootnoteReference"/>
        </w:rPr>
        <w:footnoteReference w:id="5"/>
      </w:r>
      <w:r w:rsidRPr="00C02B11">
        <w:t xml:space="preserve">  Each applicant must maintain the accuracy of its short-form application as required by sections 1.65 and 1.2105(b) of the Commission’s rules.</w:t>
      </w:r>
      <w:r>
        <w:rPr>
          <w:rStyle w:val="FootnoteReference"/>
        </w:rPr>
        <w:footnoteReference w:id="6"/>
      </w:r>
    </w:p>
    <w:p w:rsidR="009B2D87" w:rsidRPr="00AE5051" w:rsidP="009B2D87" w14:paraId="40E8CCCC" w14:textId="77777777">
      <w:pPr>
        <w:pStyle w:val="ParaNum"/>
        <w:widowControl/>
      </w:pPr>
      <w:r w:rsidRPr="00AE5051">
        <w:t xml:space="preserve">Designation of an application as complete indicates the applicant has provided the certifications and basic information concerning its qualifications that are required by the Commission’s </w:t>
      </w:r>
      <w:r w:rsidRPr="00AE5051">
        <w:t xml:space="preserve">competitive bidding rules for participation in the auction.  </w:t>
      </w:r>
      <w:r>
        <w:t xml:space="preserve">This designation, however, is not determinative of an applicant’s qualifications to hold a Commission license or its entitlement to a bidding credit.  </w:t>
      </w:r>
      <w:r w:rsidRPr="00AE5051">
        <w:t>Under the Commission’s two-phased auction application process, a winning bidder must submit a long-form application after the close of the auction to demonstrate its qualifications to hold a Commission license and, if a bidding credit is requested, its eligibility for the bidding credit.</w:t>
      </w:r>
      <w:r>
        <w:rPr>
          <w:rStyle w:val="FootnoteReference"/>
        </w:rPr>
        <w:footnoteReference w:id="7"/>
      </w:r>
      <w:r w:rsidRPr="00AE5051">
        <w:t xml:space="preserve">  In the event that an applicant is found unqualified to be a Commission licensee, or ineligible for claimed designated entity benefits, it will be liable for any obligations incurred as a result of its participation in the auction.</w:t>
      </w:r>
      <w:r>
        <w:rPr>
          <w:rStyle w:val="FootnoteReference"/>
        </w:rPr>
        <w:footnoteReference w:id="8"/>
      </w:r>
      <w:r w:rsidRPr="00AE5051">
        <w:t xml:space="preserve"> </w:t>
      </w:r>
    </w:p>
    <w:p w:rsidR="009B2D87" w:rsidP="009B2D87" w14:paraId="3E057597" w14:textId="77777777">
      <w:pPr>
        <w:pStyle w:val="ParaNum"/>
        <w:widowControl/>
      </w:pPr>
      <w:r w:rsidRPr="00666343">
        <w:rPr>
          <w:b/>
        </w:rPr>
        <w:t>Incomplete</w:t>
      </w:r>
      <w:r w:rsidRPr="00056A46">
        <w:rPr>
          <w:b/>
        </w:rPr>
        <w:t xml:space="preserve"> </w:t>
      </w:r>
      <w:r w:rsidRPr="00AE5051">
        <w:rPr>
          <w:b/>
        </w:rPr>
        <w:t>Applications.</w:t>
      </w:r>
      <w:r w:rsidRPr="00AE5051">
        <w:t xml:space="preserve">  Attachment B to this Public Notice lists the short-form applications for </w:t>
      </w:r>
      <w:r>
        <w:t>Auction 113</w:t>
      </w:r>
      <w:r w:rsidRPr="00AE5051">
        <w:t xml:space="preserve"> that </w:t>
      </w:r>
      <w:r>
        <w:t>have been</w:t>
      </w:r>
      <w:r w:rsidRPr="00AE5051">
        <w:t xml:space="preserve"> accepted for filing but </w:t>
      </w:r>
      <w:r>
        <w:t xml:space="preserve">were </w:t>
      </w:r>
      <w:r w:rsidRPr="00AE5051">
        <w:t xml:space="preserve">found to be incomplete or otherwise deficient. </w:t>
      </w:r>
      <w:r>
        <w:t xml:space="preserve"> </w:t>
      </w:r>
      <w:r w:rsidRPr="00AE5051">
        <w:t xml:space="preserve">Each of these applicants will receive a letter identifying </w:t>
      </w:r>
      <w:r>
        <w:t>each</w:t>
      </w:r>
      <w:r w:rsidRPr="00AE5051">
        <w:t xml:space="preserve"> deficiency in its application.  This letter will be sent to the contact person </w:t>
      </w:r>
      <w:r>
        <w:t xml:space="preserve">at the </w:t>
      </w:r>
      <w:r w:rsidRPr="00AE5051">
        <w:t>contact address listed on its application.  To become a qualified bidder</w:t>
      </w:r>
      <w:r>
        <w:t xml:space="preserve"> for Auction 113</w:t>
      </w:r>
      <w:r w:rsidRPr="00AE5051">
        <w:t xml:space="preserve">, each applicant must </w:t>
      </w:r>
      <w:r>
        <w:t xml:space="preserve">resubmit its application, having corrected any deficiencies, and </w:t>
      </w:r>
      <w:r w:rsidRPr="00AE5051">
        <w:t>make the required upfront payment</w:t>
      </w:r>
      <w:r>
        <w:t xml:space="preserve"> by</w:t>
      </w:r>
      <w:r w:rsidRPr="00AE5051">
        <w:t xml:space="preserve"> the</w:t>
      </w:r>
      <w:r>
        <w:t xml:space="preserve"> April 8, 2026</w:t>
      </w:r>
      <w:r w:rsidRPr="00AE5051">
        <w:t>, deadline.  Each applicant must also maintain the accuracy of its application as required by sections 1.65 and 1.2105(b) of the Commission’s rules.</w:t>
      </w:r>
      <w:r>
        <w:rPr>
          <w:rStyle w:val="FootnoteReference"/>
        </w:rPr>
        <w:footnoteReference w:id="9"/>
      </w:r>
    </w:p>
    <w:p w:rsidR="009B2D87" w:rsidRPr="00A023AD" w:rsidP="009B2D87" w14:paraId="727D06A2" w14:textId="77777777">
      <w:pPr>
        <w:pStyle w:val="ParaNum"/>
        <w:widowControl/>
        <w:rPr>
          <w:szCs w:val="22"/>
        </w:rPr>
      </w:pPr>
      <w:r>
        <w:rPr>
          <w:szCs w:val="22"/>
        </w:rPr>
        <w:t xml:space="preserve">As a reminder, </w:t>
      </w:r>
      <w:r w:rsidRPr="00435180">
        <w:rPr>
          <w:szCs w:val="22"/>
        </w:rPr>
        <w:t xml:space="preserve">Commission staff will communicate only with an applicant’s contact person or certifying official, as designated </w:t>
      </w:r>
      <w:r>
        <w:rPr>
          <w:szCs w:val="22"/>
        </w:rPr>
        <w:t>i</w:t>
      </w:r>
      <w:r w:rsidRPr="00435180">
        <w:rPr>
          <w:szCs w:val="22"/>
        </w:rPr>
        <w:t>n the applicant’s FCC Form 175, unless the applicant’s certifying official or contact person notifies Commission staff in writing that another representative is authorized to speak on the applicant’s behalf.</w:t>
      </w:r>
      <w:r>
        <w:rPr>
          <w:rStyle w:val="FootnoteReference"/>
          <w:szCs w:val="22"/>
        </w:rPr>
        <w:footnoteReference w:id="10"/>
      </w:r>
      <w:r w:rsidRPr="00435180">
        <w:rPr>
          <w:szCs w:val="22"/>
        </w:rPr>
        <w:t xml:space="preserve">  Authorizations </w:t>
      </w:r>
      <w:r>
        <w:rPr>
          <w:szCs w:val="22"/>
        </w:rPr>
        <w:t>should</w:t>
      </w:r>
      <w:r w:rsidRPr="00435180">
        <w:rPr>
          <w:szCs w:val="22"/>
        </w:rPr>
        <w:t xml:space="preserve"> be sent by email to </w:t>
      </w:r>
      <w:hyperlink r:id="rId6" w:history="1">
        <w:r w:rsidRPr="00B52FA5">
          <w:rPr>
            <w:rStyle w:val="Hyperlink"/>
            <w:szCs w:val="22"/>
          </w:rPr>
          <w:t>auction113@fcc.gov</w:t>
        </w:r>
      </w:hyperlink>
      <w:r w:rsidRPr="00435180">
        <w:rPr>
          <w:szCs w:val="22"/>
        </w:rPr>
        <w:t>.</w:t>
      </w:r>
    </w:p>
    <w:p w:rsidR="009B2D87" w:rsidRPr="00AE5051" w:rsidP="009B2D87" w14:paraId="41745A74" w14:textId="77777777">
      <w:pPr>
        <w:pStyle w:val="Heading2"/>
      </w:pPr>
      <w:r w:rsidRPr="00AE5051">
        <w:t>Upfront Payments</w:t>
      </w:r>
    </w:p>
    <w:p w:rsidR="009B2D87" w:rsidRPr="00283963" w:rsidP="009B2D87" w14:paraId="27BEF9AC" w14:textId="77777777">
      <w:pPr>
        <w:pStyle w:val="ParaNum"/>
        <w:widowControl/>
      </w:pPr>
      <w:r w:rsidRPr="00AE5051">
        <w:t xml:space="preserve">Upfront payments for </w:t>
      </w:r>
      <w:r>
        <w:t>Auction 113</w:t>
      </w:r>
      <w:r w:rsidRPr="00AE5051">
        <w:t xml:space="preserve"> are due in the proper account at the U.S. Treasury </w:t>
      </w:r>
      <w:r w:rsidRPr="00AE5051">
        <w:rPr>
          <w:b/>
        </w:rPr>
        <w:t>b</w:t>
      </w:r>
      <w:r>
        <w:rPr>
          <w:b/>
        </w:rPr>
        <w:t>efore</w:t>
      </w:r>
      <w:r w:rsidRPr="00AE5051">
        <w:rPr>
          <w:b/>
        </w:rPr>
        <w:t xml:space="preserve"> 6:00</w:t>
      </w:r>
      <w:r>
        <w:rPr>
          <w:b/>
        </w:rPr>
        <w:t> </w:t>
      </w:r>
      <w:r w:rsidRPr="00AE5051">
        <w:rPr>
          <w:b/>
        </w:rPr>
        <w:t>p.m. Eastern Time (ET) on</w:t>
      </w:r>
      <w:r>
        <w:rPr>
          <w:b/>
        </w:rPr>
        <w:t xml:space="preserve"> April 8, 2026</w:t>
      </w:r>
      <w:r w:rsidRPr="00AE5051">
        <w:rPr>
          <w:b/>
        </w:rPr>
        <w:t xml:space="preserve">. </w:t>
      </w:r>
      <w:r w:rsidRPr="00AE5051">
        <w:t xml:space="preserve"> </w:t>
      </w:r>
      <w:r w:rsidRPr="00AE5051">
        <w:t>In order to</w:t>
      </w:r>
      <w:r w:rsidRPr="00AE5051">
        <w:t xml:space="preserve"> meet the Commission’s upfront payment deadline, an applicant’s payment must be credited to the Commission’s account by the deadline.</w:t>
      </w:r>
      <w:r w:rsidRPr="00AE5051">
        <w:rPr>
          <w:b/>
        </w:rPr>
        <w:t xml:space="preserve">  </w:t>
      </w:r>
      <w:r w:rsidRPr="00AE5051">
        <w:rPr>
          <w:b/>
          <w:bCs/>
        </w:rPr>
        <w:t xml:space="preserve">Payments must be made by wire transfer in accordance with the instructions provided in the </w:t>
      </w:r>
      <w:r>
        <w:rPr>
          <w:b/>
          <w:bCs/>
          <w:i/>
        </w:rPr>
        <w:t>Auction 113</w:t>
      </w:r>
      <w:r w:rsidRPr="00AE5051">
        <w:rPr>
          <w:b/>
          <w:bCs/>
          <w:i/>
        </w:rPr>
        <w:t xml:space="preserve"> Procedures Public Notice</w:t>
      </w:r>
      <w:r w:rsidRPr="00AE5051">
        <w:rPr>
          <w:b/>
          <w:bCs/>
        </w:rPr>
        <w:t>.</w:t>
      </w:r>
      <w:r>
        <w:rPr>
          <w:rStyle w:val="FootnoteReference"/>
          <w:bCs/>
        </w:rPr>
        <w:footnoteReference w:id="11"/>
      </w:r>
      <w:r w:rsidRPr="00AE5051">
        <w:t xml:space="preserve">  </w:t>
      </w:r>
      <w:r w:rsidRPr="00AE5051">
        <w:rPr>
          <w:bCs/>
        </w:rPr>
        <w:t>No other payment method is acceptable for this auction.</w:t>
      </w:r>
      <w:r>
        <w:rPr>
          <w:rStyle w:val="FootnoteReference"/>
        </w:rPr>
        <w:footnoteReference w:id="12"/>
      </w:r>
      <w:r w:rsidRPr="00AE5051">
        <w:t xml:space="preserve">  Each applicant is reminded to provide its FCC Registration Number</w:t>
      </w:r>
      <w:r w:rsidRPr="00AE5051">
        <w:rPr>
          <w:rFonts w:ascii="Times New Roman Bold" w:hAnsi="Times New Roman Bold"/>
        </w:rPr>
        <w:t xml:space="preserve"> </w:t>
      </w:r>
      <w:r w:rsidRPr="00AE5051">
        <w:t>(FRN) on the FCC Remittance Advice Form (</w:t>
      </w:r>
      <w:r>
        <w:t xml:space="preserve">FCC </w:t>
      </w:r>
      <w:r w:rsidRPr="00AE5051">
        <w:t>Form 159</w:t>
      </w:r>
      <w:r>
        <w:t>, Revised 2/03)</w:t>
      </w:r>
      <w:r w:rsidRPr="00AE5051">
        <w:t xml:space="preserve"> and to submit the same FRN with all future payments for </w:t>
      </w:r>
      <w:r>
        <w:t>Auction 113</w:t>
      </w:r>
      <w:r w:rsidRPr="00AE5051">
        <w:t>.  At least one hour before placing the order for the wire transfer (but on the same business day), each applicant must submit a completed FCC Form</w:t>
      </w:r>
      <w:r>
        <w:t> </w:t>
      </w:r>
      <w:r w:rsidRPr="00AE5051">
        <w:t xml:space="preserve">159 to </w:t>
      </w:r>
      <w:r w:rsidRPr="00283963">
        <w:t xml:space="preserve">the Commission by fax to (202) 418-2843, or by email to </w:t>
      </w:r>
      <w:hyperlink r:id="rId7" w:history="1">
        <w:r w:rsidRPr="00283963">
          <w:rPr>
            <w:rStyle w:val="Hyperlink"/>
          </w:rPr>
          <w:t>RROGWireFaxes@fcc.gov</w:t>
        </w:r>
      </w:hyperlink>
      <w:r w:rsidRPr="00283963">
        <w:t>.</w:t>
      </w:r>
    </w:p>
    <w:p w:rsidR="009B2D87" w:rsidRPr="00AE5051" w:rsidP="009B2D87" w14:paraId="647CF3AE" w14:textId="77777777">
      <w:pPr>
        <w:pStyle w:val="ParaNum"/>
        <w:widowControl/>
      </w:pPr>
      <w:r w:rsidRPr="00AE5051">
        <w:t xml:space="preserve">Each applicant is responsible </w:t>
      </w:r>
      <w:r w:rsidRPr="00AE5051">
        <w:t>for timely</w:t>
      </w:r>
      <w:r w:rsidRPr="00AE5051">
        <w:t xml:space="preserve"> </w:t>
      </w:r>
      <w:r>
        <w:t xml:space="preserve">submitting </w:t>
      </w:r>
      <w:r w:rsidRPr="00AE5051">
        <w:t>its upfront payment and filing an accurate and complete FCC Form 159.</w:t>
      </w:r>
      <w:r>
        <w:rPr>
          <w:rStyle w:val="FootnoteReference"/>
        </w:rPr>
        <w:footnoteReference w:id="13"/>
      </w:r>
      <w:r w:rsidRPr="00AE5051">
        <w:t xml:space="preserve">  An applicant should coordinate with its financial institution well </w:t>
      </w:r>
      <w:r w:rsidRPr="00AE5051">
        <w:t>ahead of the due date regarding its wire transfer and allow sufficient time for the wire transfer to be initiated and completed prior to the deadline.</w:t>
      </w:r>
      <w:r>
        <w:rPr>
          <w:rStyle w:val="CommentReference"/>
        </w:rPr>
        <w:t xml:space="preserve">  </w:t>
      </w:r>
      <w:r w:rsidRPr="00AE5051">
        <w:t xml:space="preserve">The Commission has repeatedly cautioned auction </w:t>
      </w:r>
      <w:r>
        <w:t>applicants</w:t>
      </w:r>
      <w:r w:rsidRPr="00AE5051">
        <w:t xml:space="preserve"> about the importance of planning ahead to prepare for unforeseen last-minute difficulties in making payments by wire transfer</w:t>
      </w:r>
      <w:r>
        <w:t xml:space="preserve"> and has consistently denied requests for waiver of upfront payment deadlines</w:t>
      </w:r>
      <w:r w:rsidRPr="00AE5051">
        <w:t>.</w:t>
      </w:r>
      <w:r>
        <w:rPr>
          <w:rStyle w:val="FootnoteReference"/>
        </w:rPr>
        <w:footnoteReference w:id="14"/>
      </w:r>
      <w:r w:rsidRPr="00AE5051">
        <w:t xml:space="preserve">  </w:t>
      </w:r>
      <w:r w:rsidRPr="00AE5051">
        <w:rPr>
          <w:b/>
        </w:rPr>
        <w:t>Each applicant should obtain confirmation from its financial institution that its wire transfer to the U.S. Treasury was successful and from Commission staff that its upfront payment was timely received and deposited into the proper account</w:t>
      </w:r>
      <w:r w:rsidRPr="00AE5051">
        <w:t xml:space="preserve">.  </w:t>
      </w:r>
      <w:r w:rsidRPr="004869F3">
        <w:t>As a regulatory requirement, the U</w:t>
      </w:r>
      <w:r>
        <w:t>.</w:t>
      </w:r>
      <w:r w:rsidRPr="004869F3">
        <w:t>S</w:t>
      </w:r>
      <w:r>
        <w:t>.</w:t>
      </w:r>
      <w:r w:rsidRPr="004869F3">
        <w:t xml:space="preserve"> Treasury screens all payments from all financial institutions before deposits are made available to specified accounts. </w:t>
      </w:r>
      <w:r>
        <w:t xml:space="preserve"> </w:t>
      </w:r>
      <w:r w:rsidRPr="004869F3">
        <w:t xml:space="preserve">If wires are suspended, the U.S. Treasury may direct questions regarding any transfer to the financial institution initiating the wire.  Each </w:t>
      </w:r>
      <w:r>
        <w:t>applicant</w:t>
      </w:r>
      <w:r w:rsidRPr="004869F3">
        <w:t xml:space="preserve"> must take care to assure that any questions directed to its financial institution(s) are addressed promptly. </w:t>
      </w:r>
      <w:r>
        <w:t xml:space="preserve"> </w:t>
      </w:r>
      <w:r w:rsidRPr="001B6103">
        <w:t>Any delay in processing or responding may cause the payment to miss the deadline.</w:t>
      </w:r>
      <w:r>
        <w:t xml:space="preserve">  </w:t>
      </w:r>
      <w:r w:rsidRPr="00AE5051">
        <w:t xml:space="preserve">For confirmation from the Commission, an applicant may contact Scott Radcliffe </w:t>
      </w:r>
      <w:r>
        <w:t xml:space="preserve">or Theresa Meeks </w:t>
      </w:r>
      <w:r w:rsidRPr="00AE5051">
        <w:t xml:space="preserve">of the Office of Managing Director’s Revenue &amp; Receivables Operations Group/Auctions </w:t>
      </w:r>
      <w:r>
        <w:t>using the contact information listed at the end of this Public Notice</w:t>
      </w:r>
      <w:r w:rsidRPr="00AE5051">
        <w:t>.  Detailed information regarding</w:t>
      </w:r>
      <w:r>
        <w:t xml:space="preserve"> submitting an</w:t>
      </w:r>
      <w:r w:rsidRPr="00AE5051">
        <w:t xml:space="preserve"> upfront payment can be found in </w:t>
      </w:r>
      <w:r>
        <w:t xml:space="preserve">Section II.E of </w:t>
      </w:r>
      <w:r w:rsidRPr="00AE5051">
        <w:t xml:space="preserve">the </w:t>
      </w:r>
      <w:r>
        <w:rPr>
          <w:i/>
        </w:rPr>
        <w:t>Auction</w:t>
      </w:r>
      <w:r>
        <w:rPr>
          <w:i/>
        </w:rPr>
        <w:t xml:space="preserve"> 113</w:t>
      </w:r>
      <w:r w:rsidRPr="00CF2572">
        <w:rPr>
          <w:i/>
        </w:rPr>
        <w:t xml:space="preserve"> Procedures Public Notice</w:t>
      </w:r>
      <w:r w:rsidRPr="00AE5051">
        <w:t>.</w:t>
      </w:r>
      <w:r>
        <w:rPr>
          <w:rStyle w:val="FootnoteReference"/>
        </w:rPr>
        <w:footnoteReference w:id="15"/>
      </w:r>
    </w:p>
    <w:p w:rsidR="009B2D87" w:rsidRPr="00AE5051" w:rsidP="009B2D87" w14:paraId="289D3CE5" w14:textId="77777777">
      <w:pPr>
        <w:pStyle w:val="Heading2"/>
      </w:pPr>
      <w:r w:rsidRPr="00AE5051">
        <w:t>Short-Form Application Changes and Resubmission</w:t>
      </w:r>
    </w:p>
    <w:p w:rsidR="009B2D87" w:rsidRPr="0038667B" w:rsidP="009B2D87" w14:paraId="3335D923" w14:textId="77777777">
      <w:pPr>
        <w:pStyle w:val="ParaNum"/>
        <w:widowControl/>
      </w:pPr>
      <w:r>
        <w:t>An</w:t>
      </w:r>
      <w:r w:rsidRPr="0038667B">
        <w:t xml:space="preserve"> applicant whose application for </w:t>
      </w:r>
      <w:r>
        <w:t>Auction 113</w:t>
      </w:r>
      <w:r w:rsidRPr="0038667B">
        <w:t xml:space="preserve"> has been identified as incomplete, as noted in Attachment</w:t>
      </w:r>
      <w:r>
        <w:t> </w:t>
      </w:r>
      <w:r w:rsidRPr="0038667B">
        <w:t xml:space="preserve">B to this Public Notice, must address </w:t>
      </w:r>
      <w:r>
        <w:t xml:space="preserve">each </w:t>
      </w:r>
      <w:r w:rsidRPr="0038667B">
        <w:t>defect in its application during the resubmission window, which is now open</w:t>
      </w:r>
      <w:r w:rsidRPr="0038667B">
        <w:rPr>
          <w:szCs w:val="22"/>
        </w:rPr>
        <w:t>.</w:t>
      </w:r>
      <w:r>
        <w:rPr>
          <w:rStyle w:val="FootnoteReference"/>
          <w:szCs w:val="22"/>
        </w:rPr>
        <w:footnoteReference w:id="16"/>
      </w:r>
      <w:r w:rsidRPr="0038667B">
        <w:rPr>
          <w:szCs w:val="22"/>
        </w:rPr>
        <w:t xml:space="preserve">  </w:t>
      </w:r>
      <w:r>
        <w:t>Any short-form application corrections must be made electronically using the Auction Application Portal (AAP).  C</w:t>
      </w:r>
      <w:r w:rsidRPr="0038667B">
        <w:t xml:space="preserve">orrected applications must be </w:t>
      </w:r>
      <w:r>
        <w:t>submitted</w:t>
      </w:r>
      <w:r w:rsidRPr="0038667B">
        <w:t xml:space="preserve"> </w:t>
      </w:r>
      <w:r>
        <w:rPr>
          <w:b/>
        </w:rPr>
        <w:t>before</w:t>
      </w:r>
      <w:r w:rsidRPr="0038667B">
        <w:t xml:space="preserve"> </w:t>
      </w:r>
      <w:r w:rsidRPr="0038667B">
        <w:rPr>
          <w:b/>
        </w:rPr>
        <w:t>6:00</w:t>
      </w:r>
      <w:r>
        <w:rPr>
          <w:b/>
        </w:rPr>
        <w:t> </w:t>
      </w:r>
      <w:r w:rsidRPr="0038667B">
        <w:rPr>
          <w:b/>
        </w:rPr>
        <w:t>p.m. ET on</w:t>
      </w:r>
      <w:r>
        <w:rPr>
          <w:b/>
        </w:rPr>
        <w:t xml:space="preserve"> Wednesday, April 8, 2026</w:t>
      </w:r>
      <w:r w:rsidRPr="00874457">
        <w:rPr>
          <w:bCs/>
        </w:rPr>
        <w:t>.</w:t>
      </w:r>
      <w:r w:rsidRPr="0038667B">
        <w:rPr>
          <w:b/>
        </w:rPr>
        <w:t xml:space="preserve">  </w:t>
      </w:r>
      <w:r w:rsidRPr="0038667B">
        <w:t>This will be the only opportunity to cure application defects</w:t>
      </w:r>
      <w:r>
        <w:t>, and late</w:t>
      </w:r>
      <w:r w:rsidRPr="0038667B">
        <w:t xml:space="preserve"> resubmissions will not be accepted.  An applicant that filed an application deemed to be incomplete must submit a timely and sufficient upfront payment before the Commission will review its resubmitted application.  If an application is incomplete or otherwise deficient after the resubmission deadline has passed</w:t>
      </w:r>
      <w:r>
        <w:t>,</w:t>
      </w:r>
      <w:r w:rsidRPr="0038667B">
        <w:t xml:space="preserve"> </w:t>
      </w:r>
      <w:r>
        <w:t>and/</w:t>
      </w:r>
      <w:r w:rsidRPr="0038667B">
        <w:t xml:space="preserve">or if the required upfront payment is not made by the specified deadline, the applicant will not be permitted to </w:t>
      </w:r>
      <w:r>
        <w:t>bid</w:t>
      </w:r>
      <w:r w:rsidRPr="0038667B">
        <w:t xml:space="preserve"> in </w:t>
      </w:r>
      <w:r>
        <w:t>Auction 113</w:t>
      </w:r>
      <w:r w:rsidRPr="0038667B">
        <w:t>.</w:t>
      </w:r>
    </w:p>
    <w:p w:rsidR="009B2D87" w:rsidRPr="00B87D07" w:rsidP="009B2D87" w14:paraId="33D7D32E" w14:textId="77777777">
      <w:pPr>
        <w:pStyle w:val="ParaNum"/>
        <w:widowControl/>
      </w:pPr>
      <w:r>
        <w:t>During the resubmission window, an applicant can log in to the AAP to make certain changes to its application.</w:t>
      </w:r>
      <w:r>
        <w:rPr>
          <w:rStyle w:val="FootnoteReference"/>
        </w:rPr>
        <w:footnoteReference w:id="17"/>
      </w:r>
      <w:r>
        <w:t xml:space="preserve">  An applicant can view all the contents of its application, but an applicant will not be permitted </w:t>
      </w:r>
      <w:r w:rsidRPr="00F807F4">
        <w:t xml:space="preserve">to make changes to </w:t>
      </w:r>
      <w:r>
        <w:t xml:space="preserve">its market selections or to </w:t>
      </w:r>
      <w:r w:rsidRPr="00F807F4">
        <w:t xml:space="preserve">the following data fields:  applicant name, legal classification, certifier, </w:t>
      </w:r>
      <w:r>
        <w:t xml:space="preserve">or </w:t>
      </w:r>
      <w:r w:rsidRPr="00F807F4">
        <w:t>bidding credit</w:t>
      </w:r>
      <w:r>
        <w:t xml:space="preserve">.  </w:t>
      </w:r>
      <w:r w:rsidRPr="1FB5EA85">
        <w:t>While changes can be made to ownership and agreement information, we remind each applicant that any application changes must comply with the Commission’s rules, which prohibit, among other things</w:t>
      </w:r>
      <w:r w:rsidRPr="1FB5EA85">
        <w:rPr>
          <w:i/>
        </w:rPr>
        <w:t>,</w:t>
      </w:r>
      <w:r w:rsidRPr="1FB5EA85">
        <w:t xml:space="preserve"> changes in ownership that would constitute an assignment or </w:t>
      </w:r>
      <w:r w:rsidRPr="1FB5EA85">
        <w:t>transfer of control, as well as agreements that would constitute</w:t>
      </w:r>
      <w:r>
        <w:t xml:space="preserve"> a</w:t>
      </w:r>
      <w:r w:rsidRPr="1FB5EA85">
        <w:t xml:space="preserve"> violation of section 1.2105(c).</w:t>
      </w:r>
      <w:r>
        <w:rPr>
          <w:rStyle w:val="FootnoteReference"/>
        </w:rPr>
        <w:footnoteReference w:id="18"/>
      </w:r>
      <w:r w:rsidRPr="1FB5EA85">
        <w:t xml:space="preserve">  If an application is changed to effect a major amendment, such as a change in control, the applicant will be ineligible to bid in Auction</w:t>
      </w:r>
      <w:r>
        <w:t> 113</w:t>
      </w:r>
      <w:r w:rsidRPr="00052864">
        <w:rPr>
          <w:szCs w:val="22"/>
        </w:rPr>
        <w:t>.</w:t>
      </w:r>
      <w:r>
        <w:rPr>
          <w:rStyle w:val="FootnoteReference"/>
        </w:rPr>
        <w:footnoteReference w:id="19"/>
      </w:r>
    </w:p>
    <w:p w:rsidR="009B2D87" w:rsidP="009B2D87" w14:paraId="79CD5FC7" w14:textId="77777777">
      <w:pPr>
        <w:pStyle w:val="Heading1"/>
        <w:widowControl/>
        <w:tabs>
          <w:tab w:val="num" w:pos="720"/>
        </w:tabs>
      </w:pPr>
      <w:r>
        <w:t>OTHER IMPORTANT AUCTION 113 INFORMATION</w:t>
      </w:r>
    </w:p>
    <w:p w:rsidR="009B2D87" w:rsidP="009B2D87" w14:paraId="56E04DDA" w14:textId="77777777">
      <w:pPr>
        <w:pStyle w:val="Heading2"/>
      </w:pPr>
      <w:r>
        <w:t>Announcement of Qualified Bidders</w:t>
      </w:r>
    </w:p>
    <w:p w:rsidR="009B2D87" w:rsidP="009B2D87" w14:paraId="76178812" w14:textId="77777777">
      <w:pPr>
        <w:pStyle w:val="ParaNum"/>
        <w:widowControl/>
      </w:pPr>
      <w:r>
        <w:rPr>
          <w:szCs w:val="22"/>
        </w:rPr>
        <w:t xml:space="preserve">Following Commission review of resubmitted short-form applications and the correlation of upfront </w:t>
      </w:r>
      <w:r w:rsidRPr="00DE5946">
        <w:t>payments</w:t>
      </w:r>
      <w:r>
        <w:rPr>
          <w:szCs w:val="22"/>
        </w:rPr>
        <w:t xml:space="preserve"> and applications, a </w:t>
      </w:r>
      <w:r w:rsidRPr="00161F67">
        <w:rPr>
          <w:szCs w:val="22"/>
        </w:rPr>
        <w:t xml:space="preserve">public notice </w:t>
      </w:r>
      <w:r>
        <w:t>listing</w:t>
      </w:r>
      <w:r w:rsidRPr="00161F67">
        <w:t xml:space="preserve"> all applicants qualified to bid in </w:t>
      </w:r>
      <w:r>
        <w:t>Auction 113 will be released.  This same public notice will also include bidding schedules for the mock auction and the first day of bidding in the auction.</w:t>
      </w:r>
    </w:p>
    <w:p w:rsidR="009B2D87" w:rsidP="009B2D87" w14:paraId="7FCC1F9C" w14:textId="77777777">
      <w:pPr>
        <w:pStyle w:val="Heading2"/>
      </w:pPr>
      <w:r>
        <w:t>Delivery of Registration Materials to Qualified Bidders</w:t>
      </w:r>
    </w:p>
    <w:p w:rsidR="009B2D87" w:rsidRPr="00105A48" w:rsidP="009B2D87" w14:paraId="54E5944A" w14:textId="77777777">
      <w:pPr>
        <w:pStyle w:val="ParaNum"/>
        <w:widowControl/>
      </w:pPr>
      <w:r>
        <w:rPr>
          <w:szCs w:val="22"/>
        </w:rPr>
        <w:t>All qualified bidders are automatically registered for the auction.</w:t>
      </w:r>
      <w:r>
        <w:rPr>
          <w:rStyle w:val="FootnoteReference"/>
          <w:szCs w:val="22"/>
        </w:rPr>
        <w:footnoteReference w:id="20"/>
      </w:r>
      <w:r>
        <w:rPr>
          <w:szCs w:val="22"/>
        </w:rPr>
        <w:t xml:space="preserve">  Registration materials will be sent by overnight delivery to the contact person listed in each qualified bidder’s FCC Form 175.  We ask each applicant to make sure that the contact address provided in its FCC Form 175 is accurate and is a location capable of accepting packages that will require a signature.  The package will </w:t>
      </w:r>
      <w:r w:rsidRPr="00DE5946">
        <w:t>include</w:t>
      </w:r>
      <w:r>
        <w:rPr>
          <w:szCs w:val="22"/>
        </w:rPr>
        <w:t xml:space="preserve"> a </w:t>
      </w:r>
      <w:r w:rsidRPr="00FB5B54">
        <w:t>SecurID</w:t>
      </w:r>
      <w:r w:rsidRPr="00FB5B54">
        <w:rPr>
          <w:vertAlign w:val="superscript"/>
        </w:rPr>
        <w:t>®</w:t>
      </w:r>
      <w:r w:rsidRPr="00FB5B54">
        <w:t xml:space="preserve"> </w:t>
      </w:r>
      <w:r>
        <w:rPr>
          <w:szCs w:val="22"/>
        </w:rPr>
        <w:t xml:space="preserve">token issued by the Commission specifically assigned to each of the authorized bidders identified in the qualified bidder’s FCC Form 175.  The </w:t>
      </w:r>
      <w:r w:rsidRPr="00FB5B54">
        <w:t>SecurID</w:t>
      </w:r>
      <w:r w:rsidRPr="00FB5B54">
        <w:rPr>
          <w:vertAlign w:val="superscript"/>
        </w:rPr>
        <w:t>®</w:t>
      </w:r>
      <w:r>
        <w:rPr>
          <w:szCs w:val="22"/>
        </w:rPr>
        <w:t xml:space="preserve"> token will allow each authorized bidder to log in and access the FCC auction bidding system </w:t>
      </w:r>
      <w:r>
        <w:rPr>
          <w:szCs w:val="22"/>
        </w:rPr>
        <w:t>in order to</w:t>
      </w:r>
      <w:r>
        <w:rPr>
          <w:szCs w:val="22"/>
        </w:rPr>
        <w:t xml:space="preserve"> participate in the mock auction and place bids in Auction 113.  For security purposes, the </w:t>
      </w:r>
      <w:r w:rsidRPr="00FB5B54">
        <w:t>SecurID</w:t>
      </w:r>
      <w:r w:rsidRPr="00FB5B54">
        <w:rPr>
          <w:vertAlign w:val="superscript"/>
        </w:rPr>
        <w:t>®</w:t>
      </w:r>
      <w:r>
        <w:rPr>
          <w:szCs w:val="22"/>
        </w:rPr>
        <w:t xml:space="preserve"> tokens, the Auction Bidder Line telephone number, and other auction-related materials will be sent only to the applicant’s contact person at the contact address listed on its application.</w:t>
      </w:r>
    </w:p>
    <w:p w:rsidR="009B2D87" w:rsidP="009B2D87" w14:paraId="0676B506" w14:textId="77777777">
      <w:pPr>
        <w:pStyle w:val="Heading1"/>
        <w:widowControl/>
      </w:pPr>
      <w:r>
        <w:t>APPLICANTS’ CONTINUING OBLIGATIONS</w:t>
      </w:r>
    </w:p>
    <w:p w:rsidR="009B2D87" w:rsidP="009B2D87" w14:paraId="130B6E5D" w14:textId="77777777">
      <w:pPr>
        <w:pStyle w:val="Heading2"/>
      </w:pPr>
      <w:r>
        <w:t>Authorized Bidder FCC Username Account</w:t>
      </w:r>
    </w:p>
    <w:p w:rsidR="009B2D87" w:rsidP="009B2D87" w14:paraId="3895AEB1" w14:textId="77777777">
      <w:pPr>
        <w:pStyle w:val="ParaNum"/>
        <w:widowControl/>
      </w:pPr>
      <w:r>
        <w:rPr>
          <w:szCs w:val="22"/>
        </w:rPr>
        <w:t xml:space="preserve">Applicants are reminded that </w:t>
      </w:r>
      <w:r w:rsidRPr="00296E9D">
        <w:t xml:space="preserve">each authorized bidder </w:t>
      </w:r>
      <w:r>
        <w:t xml:space="preserve">in Auction 113 must have </w:t>
      </w:r>
      <w:r w:rsidRPr="00296E9D">
        <w:t xml:space="preserve">a unique email address associated with an FCC Username </w:t>
      </w:r>
      <w:r>
        <w:t>a</w:t>
      </w:r>
      <w:r w:rsidRPr="00296E9D">
        <w:t xml:space="preserve">ccount that is </w:t>
      </w:r>
      <w:r>
        <w:t>associated with</w:t>
      </w:r>
      <w:r w:rsidRPr="00296E9D">
        <w:t xml:space="preserve"> the applicant’s FCC Registration Number (FRN) in the Commission Registration System (CORES)</w:t>
      </w:r>
      <w:r>
        <w:t xml:space="preserve"> </w:t>
      </w:r>
      <w:r>
        <w:rPr>
          <w:szCs w:val="22"/>
        </w:rPr>
        <w:t xml:space="preserve">in order to access the </w:t>
      </w:r>
      <w:r>
        <w:t>FCC Auction Bidding System</w:t>
      </w:r>
      <w:r w:rsidRPr="00296E9D">
        <w:t>.</w:t>
      </w:r>
      <w:r>
        <w:rPr>
          <w:rStyle w:val="FootnoteReference"/>
          <w:bCs/>
        </w:rPr>
        <w:footnoteReference w:id="21"/>
      </w:r>
      <w:r w:rsidRPr="00BF3BC0">
        <w:rPr>
          <w:b/>
        </w:rPr>
        <w:t xml:space="preserve">  </w:t>
      </w:r>
      <w:r>
        <w:t>If an applicant does not provide such an email address for an authorized bidder in the applicant’s FCC Form 175, that bidder will not be able to log in to the FCC Auction Bidding System and will not be able to place or submit bids.</w:t>
      </w:r>
      <w:r>
        <w:rPr>
          <w:rStyle w:val="FootnoteReference"/>
        </w:rPr>
        <w:footnoteReference w:id="22"/>
      </w:r>
      <w:r>
        <w:t xml:space="preserve">  </w:t>
      </w:r>
      <w:r w:rsidRPr="00AE5051">
        <w:t>Each applicant</w:t>
      </w:r>
      <w:r>
        <w:t xml:space="preserve"> that has not met this requirement for each of its authorized bidders </w:t>
      </w:r>
      <w:r w:rsidRPr="00AE5051">
        <w:t xml:space="preserve">will receive a letter identifying </w:t>
      </w:r>
      <w:r>
        <w:t>each</w:t>
      </w:r>
      <w:r w:rsidRPr="00AE5051">
        <w:t xml:space="preserve"> </w:t>
      </w:r>
      <w:r>
        <w:t>authorized bidder that is deficient</w:t>
      </w:r>
      <w:r w:rsidRPr="00AE5051">
        <w:t xml:space="preserve"> in its application.</w:t>
      </w:r>
      <w:r>
        <w:t xml:space="preserve">  </w:t>
      </w:r>
      <w:r w:rsidRPr="00AE5051">
        <w:t xml:space="preserve">This letter will be sent to the contact person </w:t>
      </w:r>
      <w:r>
        <w:t xml:space="preserve">at the </w:t>
      </w:r>
      <w:r w:rsidRPr="00AE5051">
        <w:t>contact address listed on its application, along with a copy of this Public Notice</w:t>
      </w:r>
      <w:r>
        <w:t>.</w:t>
      </w:r>
    </w:p>
    <w:p w:rsidR="009B2D87" w:rsidRPr="001833EB" w:rsidP="009B2D87" w14:paraId="615B8C06" w14:textId="77777777">
      <w:pPr>
        <w:pStyle w:val="ParaNum"/>
        <w:widowControl/>
        <w:numPr>
          <w:ilvl w:val="0"/>
          <w:numId w:val="0"/>
        </w:numPr>
      </w:pPr>
      <w:r w:rsidRPr="001833EB">
        <w:rPr>
          <w:b/>
          <w:bCs/>
        </w:rPr>
        <w:t>N</w:t>
      </w:r>
      <w:r>
        <w:rPr>
          <w:b/>
          <w:bCs/>
        </w:rPr>
        <w:t>OTE</w:t>
      </w:r>
      <w:r w:rsidRPr="001833EB">
        <w:rPr>
          <w:b/>
          <w:bCs/>
        </w:rPr>
        <w:t>:</w:t>
      </w:r>
      <w:r w:rsidRPr="001833EB">
        <w:t xml:space="preserve"> </w:t>
      </w:r>
      <w:r>
        <w:t xml:space="preserve"> Each</w:t>
      </w:r>
      <w:r>
        <w:t xml:space="preserve"> applicant is responsible for ensuring compliance with t</w:t>
      </w:r>
      <w:r w:rsidRPr="001833EB">
        <w:t xml:space="preserve">his requirement for any </w:t>
      </w:r>
      <w:r>
        <w:t xml:space="preserve">changes made to its </w:t>
      </w:r>
      <w:r w:rsidRPr="001833EB">
        <w:t>authorized bidder</w:t>
      </w:r>
      <w:r>
        <w:t>s</w:t>
      </w:r>
      <w:r w:rsidRPr="001833EB">
        <w:t xml:space="preserve"> throughout the auction.</w:t>
      </w:r>
    </w:p>
    <w:p w:rsidR="009B2D87" w:rsidRPr="00961699" w:rsidP="009B2D87" w14:paraId="1017A636" w14:textId="77777777">
      <w:pPr>
        <w:pStyle w:val="ParaNum"/>
        <w:widowControl/>
      </w:pPr>
      <w:r>
        <w:t>Instructions for</w:t>
      </w:r>
      <w:r w:rsidRPr="00DB7886">
        <w:t xml:space="preserve"> </w:t>
      </w:r>
      <w:r w:rsidRPr="00A91521">
        <w:t>setting up</w:t>
      </w:r>
      <w:r>
        <w:t xml:space="preserve"> an FCC Username account for an authorized bidder and associating it with the applicant’s FRN are </w:t>
      </w:r>
      <w:r w:rsidRPr="00A91521">
        <w:t xml:space="preserve">available on the </w:t>
      </w:r>
      <w:r>
        <w:t xml:space="preserve">CORES website at </w:t>
      </w:r>
      <w:hyperlink r:id="rId8" w:history="1">
        <w:r w:rsidRPr="007C2769">
          <w:rPr>
            <w:rStyle w:val="Hyperlink"/>
          </w:rPr>
          <w:t>apps.fcc.gov/cores</w:t>
        </w:r>
      </w:hyperlink>
      <w:r>
        <w:t>.  There are also t</w:t>
      </w:r>
      <w:r w:rsidRPr="00231E4F">
        <w:t xml:space="preserve">ip sheets and instructions for setting up an FCC Username </w:t>
      </w:r>
      <w:r w:rsidRPr="00A6330A">
        <w:t xml:space="preserve">account and associating the FCC Username </w:t>
      </w:r>
      <w:r>
        <w:t>for that account with</w:t>
      </w:r>
      <w:r w:rsidRPr="00A6330A">
        <w:t xml:space="preserve"> </w:t>
      </w:r>
      <w:r>
        <w:t xml:space="preserve">the applicant’s </w:t>
      </w:r>
      <w:r w:rsidRPr="00A6330A">
        <w:t xml:space="preserve">FRN available at </w:t>
      </w:r>
      <w:hyperlink r:id="rId9" w:history="1">
        <w:r w:rsidRPr="00A6330A">
          <w:rPr>
            <w:rStyle w:val="Hyperlink"/>
          </w:rPr>
          <w:t>https://apps.fcc.gov/cores/publicHome.do?help=true&amp;csfrToken=</w:t>
        </w:r>
      </w:hyperlink>
      <w:r>
        <w:t xml:space="preserve">. </w:t>
      </w:r>
    </w:p>
    <w:p w:rsidR="009B2D87" w:rsidP="009B2D87" w14:paraId="76502BE6" w14:textId="77777777">
      <w:pPr>
        <w:pStyle w:val="Heading2"/>
      </w:pPr>
      <w:r>
        <w:t>Duty to Maintain Accurate Information in Short-Form Applications</w:t>
      </w:r>
    </w:p>
    <w:p w:rsidR="009B2D87" w:rsidP="009B2D87" w14:paraId="7CB0FEED" w14:textId="77777777">
      <w:pPr>
        <w:pStyle w:val="ParaNum"/>
        <w:widowControl/>
      </w:pPr>
      <w:r>
        <w:t>We remind applicants that sections 1.65 and 1.2105(b) of the Commission’s rules require an applicant to maintain the accuracy and completeness of information furnished in its pending short-form application to participate in Auction 113.</w:t>
      </w:r>
      <w:r>
        <w:rPr>
          <w:rStyle w:val="FootnoteReference"/>
          <w:szCs w:val="22"/>
        </w:rPr>
        <w:footnoteReference w:id="23"/>
      </w:r>
      <w:r>
        <w:t xml:space="preserve">  Each applicant should amend its short-form application to furnish additional or corrected information within five business days of a significant occurrence, or no more than five business days after the applicant becomes aware of the need for amendment.</w:t>
      </w:r>
      <w:r>
        <w:rPr>
          <w:rStyle w:val="FootnoteReference"/>
        </w:rPr>
        <w:footnoteReference w:id="24"/>
      </w:r>
      <w:r>
        <w:t xml:space="preserve">  All changes are subject to review.</w:t>
      </w:r>
    </w:p>
    <w:p w:rsidR="009B2D87" w:rsidP="009B2D87" w14:paraId="2D30CB5A" w14:textId="77777777">
      <w:pPr>
        <w:pStyle w:val="ParaNum"/>
        <w:widowControl/>
      </w:pPr>
      <w:r>
        <w:rPr>
          <w:rFonts w:eastAsia="TimesNewRoman"/>
        </w:rPr>
        <w:t xml:space="preserve">An </w:t>
      </w:r>
      <w:r w:rsidRPr="00DE5946">
        <w:t>applicant</w:t>
      </w:r>
      <w:r>
        <w:rPr>
          <w:rFonts w:eastAsia="TimesNewRoman"/>
        </w:rPr>
        <w:t xml:space="preserve"> that needs to make permissible minor changes to its FCC Form 175 or that must make changes in order to maintain the accuracy and completeness of its short-form application during a </w:t>
      </w:r>
      <w:r w:rsidRPr="0002451B">
        <w:rPr>
          <w:szCs w:val="22"/>
        </w:rPr>
        <w:t>time</w:t>
      </w:r>
      <w:r>
        <w:rPr>
          <w:rFonts w:eastAsia="TimesNewRoman"/>
        </w:rPr>
        <w:t xml:space="preserve"> when the AAP is available to the applicant for purposes of making the type of change(s) required should make such changes to its FCC Form 175 electronically </w:t>
      </w:r>
      <w:bookmarkStart w:id="4" w:name="_Hlk528233003"/>
      <w:r>
        <w:rPr>
          <w:rFonts w:eastAsia="TimesNewRoman"/>
        </w:rPr>
        <w:t xml:space="preserve">using the </w:t>
      </w:r>
      <w:bookmarkEnd w:id="4"/>
      <w:r>
        <w:rPr>
          <w:rFonts w:eastAsia="TimesNewRoman"/>
        </w:rPr>
        <w:t xml:space="preserve">AAP.  Between the closing of the </w:t>
      </w:r>
      <w:r>
        <w:rPr>
          <w:rFonts w:eastAsia="TimesNewRoman"/>
          <w:szCs w:val="22"/>
        </w:rPr>
        <w:t>resubmission filing</w:t>
      </w:r>
      <w:r>
        <w:rPr>
          <w:rFonts w:eastAsia="TimesNewRoman"/>
        </w:rPr>
        <w:t xml:space="preserve"> </w:t>
      </w:r>
      <w:r>
        <w:rPr>
          <w:rFonts w:eastAsia="TimesNewRoman"/>
          <w:szCs w:val="22"/>
        </w:rPr>
        <w:t>window and the release of the public notice announcing qualified bidders for Auction 113</w:t>
      </w:r>
      <w:r>
        <w:rPr>
          <w:i/>
        </w:rPr>
        <w:t xml:space="preserve">, </w:t>
      </w:r>
      <w:r>
        <w:t>the only changes an applicant can make using the AAP are changes to its address, responsible party information, and contact information.</w:t>
      </w:r>
      <w:r>
        <w:rPr>
          <w:rStyle w:val="FootnoteReference"/>
        </w:rPr>
        <w:footnoteReference w:id="25"/>
      </w:r>
      <w:r>
        <w:t xml:space="preserve">  For all other application changes prior to the release of the</w:t>
      </w:r>
      <w:r>
        <w:rPr>
          <w:i/>
        </w:rPr>
        <w:t xml:space="preserve"> </w:t>
      </w:r>
      <w:r>
        <w:rPr>
          <w:rFonts w:eastAsia="TimesNewRoman"/>
          <w:szCs w:val="22"/>
        </w:rPr>
        <w:t>public notice announcing qualified bidders for Auction 113</w:t>
      </w:r>
      <w:r>
        <w:t xml:space="preserve">, an applicant must submit a letter briefly summarizing the changes to its FCC Form 175 by email </w:t>
      </w:r>
      <w:bookmarkStart w:id="5" w:name="_Hlk528233491"/>
      <w:r>
        <w:t xml:space="preserve">to </w:t>
      </w:r>
      <w:hyperlink r:id="rId6" w:history="1">
        <w:r w:rsidRPr="00872F8C">
          <w:rPr>
            <w:rStyle w:val="Hyperlink"/>
          </w:rPr>
          <w:t>auction113@fcc.gov</w:t>
        </w:r>
      </w:hyperlink>
      <w:r>
        <w:t xml:space="preserve"> to the attention of the Auctions Division Chief, Office of Economics and Analytics.</w:t>
      </w:r>
      <w:bookmarkEnd w:id="5"/>
      <w:r>
        <w:rPr>
          <w:rStyle w:val="FootnoteReference"/>
        </w:rPr>
        <w:footnoteReference w:id="26"/>
      </w:r>
      <w:r>
        <w:t xml:space="preserve">  </w:t>
      </w:r>
      <w:bookmarkStart w:id="6" w:name="_Hlk528233643"/>
      <w:r>
        <w:t>An applicant must not submit application-specific material through the Commission’s Electronic Comment Filing System.</w:t>
      </w:r>
      <w:bookmarkEnd w:id="6"/>
    </w:p>
    <w:p w:rsidR="009B2D87" w:rsidP="009B2D87" w14:paraId="43F5FBE9" w14:textId="77777777">
      <w:pPr>
        <w:pStyle w:val="ParaNum"/>
        <w:widowControl/>
      </w:pPr>
      <w:r>
        <w:t xml:space="preserve">For more information on an applicant’s continuing obligation to maintain the accuracy and completeness of </w:t>
      </w:r>
      <w:r w:rsidRPr="009006F7">
        <w:rPr>
          <w:szCs w:val="22"/>
        </w:rPr>
        <w:t>information</w:t>
      </w:r>
      <w:r>
        <w:t xml:space="preserve"> furnished in its application to participate in Auction 113, applicants should refer to the </w:t>
      </w:r>
      <w:r>
        <w:rPr>
          <w:i/>
        </w:rPr>
        <w:t>Auction 113 Procedures Public Notice</w:t>
      </w:r>
      <w:r>
        <w:t>.</w:t>
      </w:r>
      <w:r>
        <w:rPr>
          <w:rStyle w:val="FootnoteReference"/>
        </w:rPr>
        <w:footnoteReference w:id="27"/>
      </w:r>
    </w:p>
    <w:p w:rsidR="009B2D87" w:rsidP="009B2D87" w14:paraId="4ECDE6AC" w14:textId="77777777">
      <w:pPr>
        <w:pStyle w:val="Heading2"/>
      </w:pPr>
      <w:r>
        <w:t>Due Diligence</w:t>
      </w:r>
    </w:p>
    <w:p w:rsidR="009B2D87" w:rsidRPr="00B70259" w:rsidP="009B2D87" w14:paraId="4C1723D5" w14:textId="77777777">
      <w:pPr>
        <w:pStyle w:val="ParaNum"/>
        <w:widowControl/>
      </w:pPr>
      <w:r>
        <w:t>We remind each potential bidder that it</w:t>
      </w:r>
      <w:r w:rsidRPr="00F072E3">
        <w:t xml:space="preserve"> </w:t>
      </w:r>
      <w:r>
        <w:t xml:space="preserve">is </w:t>
      </w:r>
      <w:r w:rsidRPr="00F072E3">
        <w:t xml:space="preserve">solely responsible for investigating and evaluating all </w:t>
      </w:r>
      <w:r>
        <w:t xml:space="preserve">legal, </w:t>
      </w:r>
      <w:r w:rsidRPr="00F072E3">
        <w:t>technical</w:t>
      </w:r>
      <w:r>
        <w:t>,</w:t>
      </w:r>
      <w:r w:rsidRPr="00F072E3">
        <w:t xml:space="preserve"> and marketplace factors </w:t>
      </w:r>
      <w:r>
        <w:t xml:space="preserve">and risks associated with the licenses that it is seeking in Auction 113; </w:t>
      </w:r>
      <w:r w:rsidRPr="009006F7">
        <w:rPr>
          <w:szCs w:val="22"/>
        </w:rPr>
        <w:t>evaluating</w:t>
      </w:r>
      <w:r>
        <w:t xml:space="preserve"> the degree to which those factors and risks</w:t>
      </w:r>
      <w:r w:rsidRPr="00F072E3">
        <w:t xml:space="preserve"> may have a bearing on the </w:t>
      </w:r>
      <w:r w:rsidRPr="00F072E3">
        <w:t xml:space="preserve">value of the </w:t>
      </w:r>
      <w:r>
        <w:t>licenses being offered and/or affect the bidder’s ability to bid on, otherwise acquire, or make use of such licenses; and conducting any technical analyses necessary to assure itself that, if it wins any license(s), it will be able to build and operate facilities in accordance with the Commission’s rules</w:t>
      </w:r>
      <w:r w:rsidRPr="00F072E3">
        <w:t>.</w:t>
      </w:r>
      <w:r>
        <w:rPr>
          <w:rStyle w:val="FootnoteReference"/>
        </w:rPr>
        <w:footnoteReference w:id="28"/>
      </w:r>
      <w:r w:rsidRPr="00F072E3">
        <w:t xml:space="preserve">  </w:t>
      </w:r>
      <w:r>
        <w:t xml:space="preserve">In addition, each potential bidder’s due diligence efforts should include, among other things:  (1) reviewing all Commission orders and public notices establishing rules and policies for </w:t>
      </w:r>
      <w:r w:rsidRPr="004A0416">
        <w:t xml:space="preserve">the </w:t>
      </w:r>
      <w:r>
        <w:t>l</w:t>
      </w:r>
      <w:r w:rsidRPr="004A0416">
        <w:t xml:space="preserve">icenses in the </w:t>
      </w:r>
      <w:r>
        <w:t>AWS-3 bands</w:t>
      </w:r>
      <w:r w:rsidRPr="004A0416">
        <w:t>;</w:t>
      </w:r>
      <w:r>
        <w:t xml:space="preserve"> (2) conducting research to determine the existence of any pending administrative or judicial proceedings that might affect its decision to participate in the auction;</w:t>
      </w:r>
      <w:r>
        <w:rPr>
          <w:rStyle w:val="FootnoteReference"/>
        </w:rPr>
        <w:footnoteReference w:id="29"/>
      </w:r>
      <w:r>
        <w:t xml:space="preserve"> (3) performing (or refreshing previous) technical analyses; and (4) inspecting any prospective sites </w:t>
      </w:r>
      <w:r w:rsidRPr="00FB5B54">
        <w:t xml:space="preserve">for communications facilities </w:t>
      </w:r>
      <w:r>
        <w:t>located in, or near, the geographic area for which it plans to bid and confirming the availability</w:t>
      </w:r>
      <w:r w:rsidRPr="004402D7">
        <w:t xml:space="preserve"> </w:t>
      </w:r>
      <w:r>
        <w:t>of such sites and their conformance with applicable federal, state, and local land use requirements.</w:t>
      </w:r>
      <w:r>
        <w:rPr>
          <w:rStyle w:val="FootnoteReference"/>
        </w:rPr>
        <w:footnoteReference w:id="30"/>
      </w:r>
      <w:r>
        <w:t xml:space="preserve">  Applicants in Auction 113 should pay particular</w:t>
      </w:r>
      <w:r w:rsidRPr="00DA3070">
        <w:t xml:space="preserve"> attention to the requirements presented by the temporary and indefinite sharing of portions of</w:t>
      </w:r>
      <w:r>
        <w:t xml:space="preserve"> the AWS-3 bands </w:t>
      </w:r>
      <w:r w:rsidRPr="00DA3070">
        <w:t>by incumbent Federal users and AWS-3 licensees, which may vary by geography and frequency</w:t>
      </w:r>
      <w:r>
        <w:t>.</w:t>
      </w:r>
      <w:r>
        <w:rPr>
          <w:rStyle w:val="FootnoteReference"/>
        </w:rPr>
        <w:footnoteReference w:id="31"/>
      </w:r>
      <w:r w:rsidRPr="00DA3070">
        <w:t xml:space="preserve"> </w:t>
      </w:r>
      <w:r>
        <w:t xml:space="preserve"> </w:t>
      </w:r>
      <w:r>
        <w:rPr>
          <w:bCs/>
        </w:rPr>
        <w:t>Each potential bidder must undertake its own assessment of the relevance and importance of information gathered as part of its due diligence efforts.  Participants in Auction 113 should continue such due diligence throughout the auction.</w:t>
      </w:r>
    </w:p>
    <w:p w:rsidR="009B2D87" w:rsidP="009B2D87" w14:paraId="2EC689EE" w14:textId="77777777">
      <w:pPr>
        <w:pStyle w:val="ParaNum"/>
        <w:widowControl/>
      </w:pPr>
      <w:r w:rsidRPr="00F072E3">
        <w:t xml:space="preserve">The Commission makes no representations or warranties about the use of this spectrum </w:t>
      </w:r>
      <w:r>
        <w:t>or</w:t>
      </w:r>
      <w:r w:rsidRPr="00F072E3">
        <w:t xml:space="preserve"> </w:t>
      </w:r>
      <w:r>
        <w:t xml:space="preserve">these licenses for </w:t>
      </w:r>
      <w:r w:rsidRPr="00F072E3">
        <w:t>particular services</w:t>
      </w:r>
      <w:r w:rsidRPr="00F072E3">
        <w:t xml:space="preserve">.  </w:t>
      </w:r>
      <w:r>
        <w:t>Each a</w:t>
      </w:r>
      <w:r w:rsidRPr="0028073F">
        <w:t xml:space="preserve">pplicant should be aware that a </w:t>
      </w:r>
      <w:r>
        <w:t xml:space="preserve">Commission </w:t>
      </w:r>
      <w:r w:rsidRPr="0028073F">
        <w:t xml:space="preserve">auction represents an opportunity to </w:t>
      </w:r>
      <w:r w:rsidRPr="009006F7">
        <w:rPr>
          <w:szCs w:val="22"/>
        </w:rPr>
        <w:t>become</w:t>
      </w:r>
      <w:r w:rsidRPr="0028073F">
        <w:t xml:space="preserve"> a </w:t>
      </w:r>
      <w:r>
        <w:t>Commission</w:t>
      </w:r>
      <w:r w:rsidRPr="0028073F">
        <w:t xml:space="preserve"> </w:t>
      </w:r>
      <w:r>
        <w:t>licensee</w:t>
      </w:r>
      <w:r w:rsidRPr="0028073F">
        <w:t xml:space="preserve">, subject to certain conditions and regulations.  </w:t>
      </w:r>
      <w:r>
        <w:t xml:space="preserve">A Commission auction does not constitute </w:t>
      </w:r>
      <w:r>
        <w:t>an endorsement</w:t>
      </w:r>
      <w:r>
        <w:t xml:space="preserve"> by the Commission of any </w:t>
      </w:r>
      <w:r>
        <w:t>particular service</w:t>
      </w:r>
      <w:r>
        <w:t xml:space="preserve">, technology, or product, nor does a Commission license constitute a guarantee of business success.  </w:t>
      </w:r>
      <w:r w:rsidRPr="00F072E3">
        <w:t xml:space="preserve">For further details regarding due diligence, please refer to </w:t>
      </w:r>
      <w:r w:rsidRPr="00CC56D7">
        <w:t xml:space="preserve">the </w:t>
      </w:r>
      <w:r>
        <w:rPr>
          <w:i/>
        </w:rPr>
        <w:t>Auction 113 </w:t>
      </w:r>
      <w:r w:rsidRPr="00CC56D7">
        <w:rPr>
          <w:i/>
        </w:rPr>
        <w:t>Procedures Public Notice</w:t>
      </w:r>
      <w:r w:rsidRPr="00D825CB">
        <w:t>.</w:t>
      </w:r>
      <w:r>
        <w:rPr>
          <w:rStyle w:val="FootnoteReference"/>
          <w:szCs w:val="22"/>
        </w:rPr>
        <w:footnoteReference w:id="32"/>
      </w:r>
    </w:p>
    <w:p w:rsidR="009B2D87" w:rsidP="009B2D87" w14:paraId="11A64A5A" w14:textId="77777777">
      <w:pPr>
        <w:pStyle w:val="Heading2"/>
      </w:pPr>
      <w:r>
        <w:t>Prohibition of Certain Communications</w:t>
      </w:r>
    </w:p>
    <w:p w:rsidR="009B2D87" w:rsidRPr="00A3757F" w:rsidP="009B2D87" w14:paraId="337F1ED6" w14:textId="77777777">
      <w:pPr>
        <w:pStyle w:val="ParaNum"/>
        <w:widowControl/>
        <w:rPr>
          <w:snapToGrid/>
        </w:rPr>
      </w:pPr>
      <w:r>
        <w:t>We</w:t>
      </w:r>
      <w:r w:rsidRPr="0038667B">
        <w:t xml:space="preserve"> remind applicants that </w:t>
      </w:r>
      <w:r>
        <w:t>the rules prohibiting certain communications set forth in s</w:t>
      </w:r>
      <w:r w:rsidRPr="0038667B">
        <w:t>ection 1.2105</w:t>
      </w:r>
      <w:r>
        <w:t>(c) of the Commission’s rules apply to each applicant that filed a short-form application (FCC Form 175) in Auction 113.</w:t>
      </w:r>
      <w:r>
        <w:rPr>
          <w:rStyle w:val="FootnoteReference"/>
        </w:rPr>
        <w:footnoteReference w:id="33"/>
      </w:r>
      <w:r>
        <w:t xml:space="preserve">  Section 1.2105(c)(1) provides that, subject to specified exceptions, after the deadline for filing a short-form application, “all applicants are prohibited from cooperating or collaborating with respect to, communicating with or disclosing, to each other </w:t>
      </w:r>
      <w:r w:rsidRPr="00A3757F">
        <w:rPr>
          <w:szCs w:val="22"/>
        </w:rPr>
        <w:t>or any nationwide provider [of communications services] that is not an applicant, or, if the applicant is a nationwide provider, any non-nationwide provider that is not an applicant,</w:t>
      </w:r>
      <w:r>
        <w:t xml:space="preserve"> in any manner the substance of their own, or each other’s, or any other applicants’ bids or bidding strategies (including post-auction market structure), or discussing or negotiating settlement agreements, until after the down payment deadline.”</w:t>
      </w:r>
      <w:r>
        <w:rPr>
          <w:rStyle w:val="FootnoteReference"/>
        </w:rPr>
        <w:footnoteReference w:id="34"/>
      </w:r>
      <w:r>
        <w:t xml:space="preserve">  </w:t>
      </w:r>
      <w:r w:rsidRPr="00A3757F">
        <w:rPr>
          <w:szCs w:val="22"/>
        </w:rPr>
        <w:t>An “applicant” for purposes of this rule includes all “controlling interests” in the entity submitting the FCC</w:t>
      </w:r>
      <w:r>
        <w:rPr>
          <w:szCs w:val="22"/>
        </w:rPr>
        <w:t> </w:t>
      </w:r>
      <w:r w:rsidRPr="00A3757F">
        <w:rPr>
          <w:szCs w:val="22"/>
        </w:rPr>
        <w:t>Form</w:t>
      </w:r>
      <w:r>
        <w:rPr>
          <w:szCs w:val="22"/>
        </w:rPr>
        <w:t> </w:t>
      </w:r>
      <w:r w:rsidRPr="00A3757F">
        <w:rPr>
          <w:szCs w:val="22"/>
        </w:rPr>
        <w:t xml:space="preserve">175, </w:t>
      </w:r>
      <w:r w:rsidRPr="00CC65EA">
        <w:rPr>
          <w:szCs w:val="22"/>
        </w:rPr>
        <w:t xml:space="preserve">as well as all holders of interests amounting to 10% or more of the entity, and all officers </w:t>
      </w:r>
      <w:r w:rsidRPr="00CC65EA">
        <w:rPr>
          <w:szCs w:val="22"/>
        </w:rPr>
        <w:t>and directors of that entity.</w:t>
      </w:r>
      <w:r>
        <w:rPr>
          <w:rStyle w:val="FootnoteReference"/>
          <w:szCs w:val="22"/>
        </w:rPr>
        <w:footnoteReference w:id="35"/>
      </w:r>
      <w:r w:rsidRPr="00A3757F">
        <w:rPr>
          <w:szCs w:val="22"/>
        </w:rPr>
        <w:t xml:space="preserve">  </w:t>
      </w:r>
      <w:r w:rsidRPr="00034ACC">
        <w:t>AT&amp;T, T-Mobile, and Verizon a</w:t>
      </w:r>
      <w:r>
        <w:t>re considered</w:t>
      </w:r>
      <w:r w:rsidRPr="00034ACC">
        <w:t xml:space="preserve"> “nationwide providers” for </w:t>
      </w:r>
      <w:r>
        <w:t>purposes of this</w:t>
      </w:r>
      <w:r w:rsidRPr="00034ACC">
        <w:t xml:space="preserve"> rule in </w:t>
      </w:r>
      <w:r>
        <w:t>Auction 113</w:t>
      </w:r>
      <w:r w:rsidRPr="00034ACC">
        <w:t>.</w:t>
      </w:r>
      <w:r>
        <w:rPr>
          <w:rStyle w:val="FootnoteReference"/>
        </w:rPr>
        <w:footnoteReference w:id="36"/>
      </w:r>
    </w:p>
    <w:p w:rsidR="009B2D87" w:rsidRPr="0038667B" w:rsidP="009B2D87" w14:paraId="2ECEBDCD" w14:textId="77777777">
      <w:pPr>
        <w:pStyle w:val="ParaNum"/>
        <w:widowControl/>
      </w:pPr>
      <w:r w:rsidRPr="0038667B">
        <w:t xml:space="preserve">This prohibition took effect </w:t>
      </w:r>
      <w:r w:rsidRPr="005B2B43">
        <w:rPr>
          <w:szCs w:val="22"/>
        </w:rPr>
        <w:t>as</w:t>
      </w:r>
      <w:r w:rsidRPr="0038667B">
        <w:t xml:space="preserve"> of the short-form application filing deadline, which for </w:t>
      </w:r>
      <w:r>
        <w:t xml:space="preserve">Auction 113 </w:t>
      </w:r>
      <w:r w:rsidRPr="0038667B">
        <w:t>was</w:t>
      </w:r>
      <w:r>
        <w:t xml:space="preserve"> Wednesday, February 11, 2026, </w:t>
      </w:r>
      <w:r w:rsidRPr="0038667B">
        <w:t xml:space="preserve">at 6:00 p.m. ET, and </w:t>
      </w:r>
      <w:r>
        <w:t>it will end at</w:t>
      </w:r>
      <w:r w:rsidRPr="0038667B">
        <w:t xml:space="preserve"> the post-auction down payment deadline</w:t>
      </w:r>
      <w:r>
        <w:t xml:space="preserve"> for Auction 113,</w:t>
      </w:r>
      <w:r w:rsidRPr="0038667B">
        <w:t xml:space="preserve"> which will be announced in a </w:t>
      </w:r>
      <w:r>
        <w:t xml:space="preserve">future </w:t>
      </w:r>
      <w:r w:rsidRPr="0038667B">
        <w:t>public notice.</w:t>
      </w:r>
      <w:r>
        <w:rPr>
          <w:rStyle w:val="FootnoteReference"/>
          <w:szCs w:val="22"/>
        </w:rPr>
        <w:footnoteReference w:id="37"/>
      </w:r>
      <w:r w:rsidRPr="0038667B">
        <w:t xml:space="preserve">  </w:t>
      </w:r>
      <w:r w:rsidRPr="0038667B">
        <w:rPr>
          <w:b/>
        </w:rPr>
        <w:t>Th</w:t>
      </w:r>
      <w:r>
        <w:rPr>
          <w:b/>
        </w:rPr>
        <w:t>is</w:t>
      </w:r>
      <w:r w:rsidRPr="0038667B">
        <w:rPr>
          <w:b/>
        </w:rPr>
        <w:t xml:space="preserve"> prohibition applies to all applicants regardless of whether such applicants become qualified bidders</w:t>
      </w:r>
      <w:r>
        <w:rPr>
          <w:b/>
        </w:rPr>
        <w:t>,</w:t>
      </w:r>
      <w:r w:rsidRPr="0038667B">
        <w:rPr>
          <w:b/>
        </w:rPr>
        <w:t xml:space="preserve"> </w:t>
      </w:r>
      <w:r>
        <w:rPr>
          <w:b/>
        </w:rPr>
        <w:t xml:space="preserve">intend to, and/or </w:t>
      </w:r>
      <w:r w:rsidRPr="0038667B">
        <w:rPr>
          <w:b/>
        </w:rPr>
        <w:t>actually</w:t>
      </w:r>
      <w:r>
        <w:rPr>
          <w:b/>
        </w:rPr>
        <w:t xml:space="preserve"> do</w:t>
      </w:r>
      <w:r w:rsidRPr="0038667B">
        <w:rPr>
          <w:b/>
        </w:rPr>
        <w:t xml:space="preserve"> bid</w:t>
      </w:r>
      <w:r>
        <w:rPr>
          <w:b/>
        </w:rPr>
        <w:t xml:space="preserve"> in Auction 113</w:t>
      </w:r>
      <w:r w:rsidRPr="0038667B">
        <w:rPr>
          <w:b/>
        </w:rPr>
        <w:t>.</w:t>
      </w:r>
      <w:r>
        <w:rPr>
          <w:rStyle w:val="FootnoteReference"/>
        </w:rPr>
        <w:footnoteReference w:id="38"/>
      </w:r>
      <w:r>
        <w:rPr>
          <w:b/>
        </w:rPr>
        <w:t xml:space="preserve">  </w:t>
      </w:r>
      <w:r w:rsidRPr="0014521B">
        <w:rPr>
          <w:bCs/>
        </w:rPr>
        <w:t xml:space="preserve">For further information on the prohibition, applicants should refer to the </w:t>
      </w:r>
      <w:r w:rsidRPr="0014521B">
        <w:rPr>
          <w:i/>
        </w:rPr>
        <w:t xml:space="preserve">Auction </w:t>
      </w:r>
      <w:r>
        <w:rPr>
          <w:bCs/>
          <w:i/>
          <w:iCs/>
        </w:rPr>
        <w:t>113</w:t>
      </w:r>
      <w:r w:rsidRPr="0014521B">
        <w:rPr>
          <w:i/>
        </w:rPr>
        <w:t xml:space="preserve"> Procedures Public Notice</w:t>
      </w:r>
      <w:r>
        <w:t>.</w:t>
      </w:r>
      <w:r>
        <w:rPr>
          <w:rStyle w:val="FootnoteReference"/>
        </w:rPr>
        <w:footnoteReference w:id="39"/>
      </w:r>
    </w:p>
    <w:p w:rsidR="009B2D87" w:rsidRPr="00A95566" w:rsidP="009B2D87" w14:paraId="4C5434F1" w14:textId="77777777">
      <w:pPr>
        <w:pStyle w:val="ParaNum"/>
        <w:widowControl/>
        <w:rPr>
          <w:color w:val="000000"/>
        </w:rPr>
      </w:pPr>
      <w:r w:rsidRPr="009250A6">
        <w:rPr>
          <w:i/>
        </w:rPr>
        <w:t>Disclosure Obligations.</w:t>
      </w:r>
      <w:r>
        <w:t xml:space="preserve">  Section 1.2105(c)(4) requires each auction applicant that makes or receives a communication that appears to violate section 1.2105(c) to report the communication in writing to the Commission immediately, but in no case later than five business days after the communication occurs.</w:t>
      </w:r>
      <w:r>
        <w:rPr>
          <w:rStyle w:val="FootnoteReference"/>
          <w:szCs w:val="22"/>
        </w:rPr>
        <w:footnoteReference w:id="40"/>
      </w:r>
      <w:r>
        <w:t xml:space="preserve">  Each applicant’s obligation to report any such communication continues beyond the five-day period after the communication is made, even if the report is not made within the five-day period.</w:t>
      </w:r>
      <w:r>
        <w:rPr>
          <w:rStyle w:val="FootnoteReference"/>
        </w:rPr>
        <w:footnoteReference w:id="41"/>
      </w:r>
    </w:p>
    <w:p w:rsidR="009B2D87" w:rsidRPr="00C315BE" w:rsidP="009B2D87" w14:paraId="557FE8BA" w14:textId="77777777">
      <w:pPr>
        <w:pStyle w:val="ParaNum"/>
        <w:widowControl/>
      </w:pPr>
      <w:r w:rsidRPr="009250A6">
        <w:rPr>
          <w:i/>
        </w:rPr>
        <w:t>Reporting Prohibited Communication</w:t>
      </w:r>
      <w:r>
        <w:t>.  Any party reporting any communication pursuant to s</w:t>
      </w:r>
      <w:r w:rsidRPr="0038667B">
        <w:t>ections 1.65</w:t>
      </w:r>
      <w:r>
        <w:t>, 1.2105(a)(2), or 1.2105(c)(4)</w:t>
      </w:r>
      <w:r w:rsidRPr="0038667B">
        <w:t xml:space="preserve"> </w:t>
      </w:r>
      <w:r>
        <w:t xml:space="preserve">must take care to ensure that the report </w:t>
      </w:r>
      <w:r>
        <w:t>does not itself</w:t>
      </w:r>
      <w:r>
        <w:t xml:space="preserve"> give rise to a violation of section 1.2105(c).  To minimize the risk of inadvertent dissemination of a report of a potential prohibited communication, section 1.2105(c)(6) requires a party to file only a single report with the </w:t>
      </w:r>
      <w:r w:rsidRPr="00A56B61">
        <w:t xml:space="preserve">Auctions Division </w:t>
      </w:r>
      <w:r>
        <w:t>Chief, Office of Economics and Analytics.</w:t>
      </w:r>
      <w:r>
        <w:rPr>
          <w:rStyle w:val="FootnoteReference"/>
          <w:szCs w:val="22"/>
        </w:rPr>
        <w:footnoteReference w:id="42"/>
      </w:r>
      <w:r>
        <w:t xml:space="preserve">  For Auction 113</w:t>
      </w:r>
      <w:r w:rsidRPr="000F6866">
        <w:t xml:space="preserve">, any such report must be filed according to the instructions set forth in the </w:t>
      </w:r>
      <w:r>
        <w:rPr>
          <w:i/>
        </w:rPr>
        <w:t>Auction 113 </w:t>
      </w:r>
      <w:r w:rsidRPr="00DF440C">
        <w:rPr>
          <w:i/>
        </w:rPr>
        <w:t>Procedures Public Notice</w:t>
      </w:r>
      <w:r w:rsidRPr="000F6866">
        <w:t>.</w:t>
      </w:r>
      <w:r>
        <w:rPr>
          <w:rStyle w:val="FootnoteReference"/>
          <w:szCs w:val="22"/>
        </w:rPr>
        <w:footnoteReference w:id="43"/>
      </w:r>
    </w:p>
    <w:p w:rsidR="009B2D87" w:rsidRPr="00C315BE" w:rsidP="009B2D87" w14:paraId="271005FB" w14:textId="77777777">
      <w:pPr>
        <w:pStyle w:val="ParaNum"/>
        <w:widowControl/>
      </w:pPr>
      <w:r w:rsidRPr="005F72C3">
        <w:rPr>
          <w:i/>
        </w:rPr>
        <w:t xml:space="preserve">Possible </w:t>
      </w:r>
      <w:r w:rsidRPr="00666343">
        <w:rPr>
          <w:i/>
        </w:rPr>
        <w:t>Sanctions</w:t>
      </w:r>
      <w:r w:rsidRPr="005F72C3">
        <w:rPr>
          <w:i/>
        </w:rPr>
        <w:t>.</w:t>
      </w:r>
      <w:r>
        <w:t xml:space="preserve">  </w:t>
      </w:r>
      <w:r w:rsidRPr="00146716">
        <w:t xml:space="preserve">Any applicant found to have violated </w:t>
      </w:r>
      <w:r>
        <w:t xml:space="preserve">section 1.2105(c) of the Commission’s rules </w:t>
      </w:r>
      <w:r w:rsidRPr="00146716">
        <w:t>may be subject to sanctions.</w:t>
      </w:r>
      <w:r>
        <w:rPr>
          <w:rStyle w:val="FootnoteReference"/>
        </w:rPr>
        <w:footnoteReference w:id="44"/>
      </w:r>
      <w:r w:rsidRPr="00146716">
        <w:t xml:space="preserve">  In addition, </w:t>
      </w:r>
      <w:r>
        <w:t xml:space="preserve">we remind each </w:t>
      </w:r>
      <w:r w:rsidRPr="00146716">
        <w:t xml:space="preserve">applicant that </w:t>
      </w:r>
      <w:r>
        <w:t xml:space="preserve">it is </w:t>
      </w:r>
      <w:r w:rsidRPr="00146716">
        <w:t xml:space="preserve">subject to the antitrust laws, which are designed to </w:t>
      </w:r>
      <w:r w:rsidRPr="00C315BE">
        <w:t>prevent anti-competitive behavior in the marketplace.</w:t>
      </w:r>
      <w:r>
        <w:rPr>
          <w:rStyle w:val="FootnoteReference"/>
        </w:rPr>
        <w:footnoteReference w:id="45"/>
      </w:r>
      <w:r w:rsidRPr="00C315BE">
        <w:t xml:space="preserve">  If an applicant is </w:t>
      </w:r>
      <w:r w:rsidRPr="009006F7">
        <w:rPr>
          <w:szCs w:val="22"/>
        </w:rPr>
        <w:t>found</w:t>
      </w:r>
      <w:r w:rsidRPr="00C315BE">
        <w:t xml:space="preserve"> to have violated the antitrust laws or the Commission’s rules in connection with its participation in the competitive bidding process, it may be subject to forfeiture of its upfront payment, down payment, or full bid amount, and it may be prohibited from participating in future auctions, among other sanctions.</w:t>
      </w:r>
      <w:r>
        <w:rPr>
          <w:rStyle w:val="FootnoteReference"/>
        </w:rPr>
        <w:footnoteReference w:id="46"/>
      </w:r>
      <w:r w:rsidRPr="00C315BE">
        <w:t xml:space="preserve">  </w:t>
      </w:r>
    </w:p>
    <w:p w:rsidR="009B2D87" w:rsidP="009B2D87" w14:paraId="2CC242EE" w14:textId="77777777">
      <w:pPr>
        <w:pStyle w:val="Heading2"/>
      </w:pPr>
      <w:r>
        <w:t>Limited Information Procedures</w:t>
      </w:r>
    </w:p>
    <w:p w:rsidR="009B2D87" w:rsidP="009B2D87" w14:paraId="338E68A6" w14:textId="77777777">
      <w:pPr>
        <w:pStyle w:val="ParaNum"/>
        <w:widowControl/>
      </w:pPr>
      <w:r>
        <w:rPr>
          <w:snapToGrid/>
        </w:rPr>
        <w:t xml:space="preserve">We remind applicants that, under the limited information procedures in effect for Auction 113 </w:t>
      </w:r>
      <w:r w:rsidRPr="005712E5">
        <w:rPr>
          <w:szCs w:val="22"/>
        </w:rPr>
        <w:t>(sometimes also referred to as anonymous bidding)</w:t>
      </w:r>
      <w:r>
        <w:rPr>
          <w:snapToGrid/>
        </w:rPr>
        <w:t>, the Commission is withholding from public release, until after the close of bidding in Auction 113, any information that may indicate specific applicants’ interests in the auction</w:t>
      </w:r>
      <w:r w:rsidRPr="0038667B">
        <w:t>—</w:t>
      </w:r>
      <w:r>
        <w:rPr>
          <w:snapToGrid/>
        </w:rPr>
        <w:t>including, among other things, market selections, upfront payments and bidding eligibility information</w:t>
      </w:r>
      <w:r>
        <w:t xml:space="preserve">, </w:t>
      </w:r>
      <w:r>
        <w:rPr>
          <w:snapToGrid/>
        </w:rPr>
        <w:t>and the identities of bidders placing bids or taking other bidding-related actions.</w:t>
      </w:r>
      <w:r>
        <w:rPr>
          <w:rStyle w:val="FootnoteReference"/>
          <w:snapToGrid/>
        </w:rPr>
        <w:footnoteReference w:id="47"/>
      </w:r>
      <w:r>
        <w:rPr>
          <w:snapToGrid/>
        </w:rPr>
        <w:t xml:space="preserve">  Accordingly, communication with other applicants or public disclosure of such non-public information may violate the Commission’s limited information procedures and the rule prohibiting certain communications, section 1.2105(c) of the Commission’s rules.</w:t>
      </w:r>
      <w:r>
        <w:rPr>
          <w:rStyle w:val="FootnoteReference"/>
          <w:snapToGrid/>
        </w:rPr>
        <w:footnoteReference w:id="48"/>
      </w:r>
    </w:p>
    <w:p w:rsidR="009B2D87" w:rsidP="009B2D87" w14:paraId="79516704" w14:textId="77777777">
      <w:pPr>
        <w:pStyle w:val="ParaNum"/>
        <w:widowControl/>
      </w:pPr>
      <w:r>
        <w:t>Therefore, applicants must take care not to communicate non-public information to the public, financial analysts, or the press.</w:t>
      </w:r>
      <w:r>
        <w:rPr>
          <w:rStyle w:val="FootnoteReference"/>
          <w:szCs w:val="22"/>
        </w:rPr>
        <w:footnoteReference w:id="49"/>
      </w:r>
      <w:r>
        <w:t xml:space="preserve">  Examples of communications raising concern, given the limited information procedures in effect for Auction 113, would include an applicant’s statement to the press or other public statement (for example, a statement on social media) about its upfront payment or bidding eligibility, an applicant’s statement to the press or other public statement that it is or is not interested in bidding in the auction, or an applicant’s statement to the press or other public statement prior to the down payment deadline that it is the winning bidder in any particular geographic areas.</w:t>
      </w:r>
    </w:p>
    <w:p w:rsidR="009B2D87" w:rsidP="009B2D87" w14:paraId="42EA05EE" w14:textId="77777777">
      <w:pPr>
        <w:pStyle w:val="Heading2"/>
      </w:pPr>
      <w:r w:rsidRPr="007B3C50">
        <w:t>Submission of Auction-Related Filings</w:t>
      </w:r>
    </w:p>
    <w:p w:rsidR="009B2D87" w:rsidRPr="007B3C50" w:rsidP="009B2D87" w14:paraId="26F25082" w14:textId="77777777">
      <w:pPr>
        <w:pStyle w:val="ParaNum"/>
        <w:widowControl/>
      </w:pPr>
      <w:r>
        <w:t>A party</w:t>
      </w:r>
      <w:r w:rsidRPr="007B3C50">
        <w:t xml:space="preserve"> wishing to submit </w:t>
      </w:r>
      <w:r>
        <w:t xml:space="preserve">a </w:t>
      </w:r>
      <w:r w:rsidRPr="007B3C50">
        <w:t xml:space="preserve">request, </w:t>
      </w:r>
      <w:r>
        <w:t xml:space="preserve">a </w:t>
      </w:r>
      <w:r w:rsidRPr="007B3C50">
        <w:t xml:space="preserve">complaint, or other </w:t>
      </w:r>
      <w:r>
        <w:t>information concerning Auction 113</w:t>
      </w:r>
      <w:r w:rsidRPr="007B3C50">
        <w:t xml:space="preserve"> should</w:t>
      </w:r>
      <w:r>
        <w:t>,</w:t>
      </w:r>
      <w:r w:rsidRPr="007B3C50">
        <w:t xml:space="preserve"> in addition to following other procedures prescribed b</w:t>
      </w:r>
      <w:r>
        <w:t xml:space="preserve">y the Commission’s rules, </w:t>
      </w:r>
      <w:r w:rsidRPr="00A56B61">
        <w:t xml:space="preserve">send a copy by </w:t>
      </w:r>
      <w:r w:rsidRPr="00690541">
        <w:t xml:space="preserve">email to </w:t>
      </w:r>
      <w:hyperlink r:id="rId6" w:history="1">
        <w:r w:rsidRPr="007173DD">
          <w:rPr>
            <w:rStyle w:val="Hyperlink"/>
          </w:rPr>
          <w:t>auction113@fcc.gov</w:t>
        </w:r>
      </w:hyperlink>
      <w:r>
        <w:t xml:space="preserve"> </w:t>
      </w:r>
      <w:r w:rsidRPr="00A56B61">
        <w:t>to the</w:t>
      </w:r>
      <w:r w:rsidRPr="00690541">
        <w:t xml:space="preserve"> attention of the Auctions Division Chief</w:t>
      </w:r>
      <w:r>
        <w:t>, Office of Economics and Analytics.</w:t>
      </w:r>
      <w:r w:rsidRPr="007B3C50">
        <w:t xml:space="preserve">  </w:t>
      </w:r>
      <w:r>
        <w:t>We</w:t>
      </w:r>
      <w:r w:rsidRPr="007B3C50">
        <w:t xml:space="preserve"> occasionally receive </w:t>
      </w:r>
      <w:r w:rsidRPr="009006F7">
        <w:rPr>
          <w:szCs w:val="22"/>
        </w:rPr>
        <w:t>complaints</w:t>
      </w:r>
      <w:r w:rsidRPr="007B3C50">
        <w:t xml:space="preserve"> regarding </w:t>
      </w:r>
      <w:r>
        <w:t>specific</w:t>
      </w:r>
      <w:r w:rsidRPr="007B3C50">
        <w:t xml:space="preserve"> bidders and requests to suspend bidding during an auction.  While </w:t>
      </w:r>
      <w:r>
        <w:t xml:space="preserve">we </w:t>
      </w:r>
      <w:r w:rsidRPr="007B3C50">
        <w:t xml:space="preserve">reserve the right to take appropriate action during an auction to preserve the integrity of the auction process, it is generally our practice to address any such allegations only after </w:t>
      </w:r>
      <w:r>
        <w:t>a</w:t>
      </w:r>
      <w:r w:rsidRPr="007B3C50">
        <w:t xml:space="preserve"> winning bidder</w:t>
      </w:r>
      <w:r>
        <w:t xml:space="preserve"> ha</w:t>
      </w:r>
      <w:r w:rsidRPr="007B3C50">
        <w:t xml:space="preserve">s submitted </w:t>
      </w:r>
      <w:r>
        <w:t>its</w:t>
      </w:r>
      <w:r w:rsidRPr="007B3C50">
        <w:t xml:space="preserve"> long-form application, when there is greater opportunity for investigation of such allegations, if warranted.  The Commission will not investigate any complaints or allegations that are not accompanied by full contact information, including name, address, and telephone number, for the complaining party or parties</w:t>
      </w:r>
      <w:r>
        <w:t>.</w:t>
      </w:r>
    </w:p>
    <w:p w:rsidR="009B2D87" w:rsidRPr="00474CE7" w:rsidP="009B2D87" w14:paraId="390744EC" w14:textId="77777777">
      <w:pPr>
        <w:pStyle w:val="Heading2"/>
      </w:pPr>
      <w:r w:rsidRPr="00101A80">
        <w:t xml:space="preserve">Ex </w:t>
      </w:r>
      <w:r w:rsidRPr="00101A80">
        <w:t>Parte</w:t>
      </w:r>
      <w:r w:rsidRPr="00474CE7">
        <w:t xml:space="preserve"> Rule</w:t>
      </w:r>
    </w:p>
    <w:p w:rsidR="009B2D87" w:rsidRPr="00474CE7" w:rsidP="009B2D87" w14:paraId="66EBE654" w14:textId="77777777">
      <w:pPr>
        <w:pStyle w:val="ParaNum"/>
        <w:widowControl/>
      </w:pPr>
      <w:r w:rsidRPr="00474CE7">
        <w:t>Applicants should also be aware that the Commission has generally treated mutually exclusive short-</w:t>
      </w:r>
      <w:r w:rsidRPr="009006F7">
        <w:rPr>
          <w:szCs w:val="22"/>
        </w:rPr>
        <w:t>form</w:t>
      </w:r>
      <w:r w:rsidRPr="00474CE7">
        <w:t xml:space="preserve"> applications as exempt proceedings and, therefore, not subject to the </w:t>
      </w:r>
      <w:r w:rsidRPr="00474CE7">
        <w:rPr>
          <w:i/>
        </w:rPr>
        <w:t xml:space="preserve">ex </w:t>
      </w:r>
      <w:r w:rsidRPr="00474CE7">
        <w:rPr>
          <w:i/>
        </w:rPr>
        <w:t>parte</w:t>
      </w:r>
      <w:r w:rsidRPr="00474CE7">
        <w:t xml:space="preserve"> prohibitions that pertain to restricted proceedings.</w:t>
      </w:r>
      <w:r>
        <w:rPr>
          <w:rStyle w:val="FootnoteReference"/>
        </w:rPr>
        <w:footnoteReference w:id="50"/>
      </w:r>
    </w:p>
    <w:p w:rsidR="009B2D87" w:rsidP="009B2D87" w14:paraId="02F00122" w14:textId="77777777">
      <w:pPr>
        <w:pStyle w:val="Heading1"/>
        <w:widowControl/>
        <w:tabs>
          <w:tab w:val="num" w:pos="720"/>
        </w:tabs>
      </w:pPr>
      <w:r>
        <w:t>CONTACT INFORMATION</w:t>
      </w:r>
    </w:p>
    <w:p w:rsidR="009B2D87" w:rsidRPr="00832CDC" w:rsidP="009B2D87" w14:paraId="4C6815F2" w14:textId="77777777">
      <w:pPr>
        <w:pStyle w:val="ParaNum"/>
        <w:widowControl/>
      </w:pPr>
      <w:r w:rsidRPr="0027695B">
        <w:t xml:space="preserve">For specific questions about an applicant’s incomplete status or its application deficiencies, </w:t>
      </w:r>
      <w:r>
        <w:t>the</w:t>
      </w:r>
      <w:r w:rsidRPr="0027695B">
        <w:t xml:space="preserve"> applicant should contact the </w:t>
      </w:r>
      <w:r>
        <w:t xml:space="preserve">FCC </w:t>
      </w:r>
      <w:r w:rsidRPr="0027695B">
        <w:t>staff reviewer identified in the correspondence sent to the applicant</w:t>
      </w:r>
      <w:r>
        <w:t xml:space="preserve"> by overnight mail</w:t>
      </w:r>
      <w:r w:rsidRPr="00832CDC">
        <w:t>.</w:t>
      </w:r>
    </w:p>
    <w:p w:rsidR="009B2D87" w:rsidP="009B2D87" w14:paraId="501EBF47" w14:textId="77777777">
      <w:pPr>
        <w:pStyle w:val="ParaNum"/>
        <w:widowControl/>
      </w:pPr>
      <w:r w:rsidRPr="009006F7">
        <w:rPr>
          <w:szCs w:val="22"/>
        </w:rPr>
        <w:t>Additional</w:t>
      </w:r>
      <w:r>
        <w:t xml:space="preserve"> information for applicants is available at the Auction 113 website: </w:t>
      </w:r>
      <w:hyperlink r:id="rId10" w:history="1">
        <w:r>
          <w:rPr>
            <w:rStyle w:val="Hyperlink"/>
          </w:rPr>
          <w:t>www.fcc.gov/auction/113</w:t>
        </w:r>
      </w:hyperlink>
      <w:r>
        <w:t xml:space="preserve">. </w:t>
      </w:r>
    </w:p>
    <w:p w:rsidR="009B2D87" w:rsidP="009B2D87" w14:paraId="469CF9E2" w14:textId="77777777">
      <w:pPr>
        <w:pStyle w:val="ParaNum"/>
        <w:keepNext/>
        <w:widowControl/>
      </w:pPr>
      <w:r>
        <w:t xml:space="preserve">For </w:t>
      </w:r>
      <w:r w:rsidRPr="009006F7">
        <w:rPr>
          <w:szCs w:val="22"/>
        </w:rPr>
        <w:t>further</w:t>
      </w:r>
      <w:r>
        <w:t xml:space="preserve"> information concerning Auction 113, contact:  </w:t>
      </w:r>
    </w:p>
    <w:tbl>
      <w:tblPr>
        <w:tblW w:w="9828" w:type="dxa"/>
        <w:tblLayout w:type="fixed"/>
        <w:tblLook w:val="0000"/>
      </w:tblPr>
      <w:tblGrid>
        <w:gridCol w:w="4968"/>
        <w:gridCol w:w="4860"/>
      </w:tblGrid>
      <w:tr w14:paraId="7CD93C2C" w14:textId="77777777" w:rsidTr="004A32BB">
        <w:tblPrEx>
          <w:tblW w:w="9828" w:type="dxa"/>
          <w:tblLayout w:type="fixed"/>
          <w:tblLook w:val="0000"/>
        </w:tblPrEx>
        <w:trPr>
          <w:cantSplit/>
        </w:trPr>
        <w:tc>
          <w:tcPr>
            <w:tcW w:w="4968" w:type="dxa"/>
          </w:tcPr>
          <w:p w:rsidR="009B2D87" w:rsidRPr="008D1285" w:rsidP="004A32BB" w14:paraId="0F2B2CF2" w14:textId="77777777">
            <w:pPr>
              <w:keepNext/>
              <w:widowControl/>
              <w:rPr>
                <w:b/>
                <w:szCs w:val="22"/>
              </w:rPr>
            </w:pPr>
            <w:r w:rsidRPr="008D1285">
              <w:rPr>
                <w:b/>
                <w:szCs w:val="22"/>
              </w:rPr>
              <w:t>General Auction Information</w:t>
            </w:r>
          </w:p>
          <w:p w:rsidR="009B2D87" w:rsidRPr="008D1285" w:rsidP="004A32BB" w14:paraId="0667EB3A" w14:textId="77777777">
            <w:pPr>
              <w:keepNext/>
              <w:widowControl/>
              <w:ind w:left="360"/>
              <w:rPr>
                <w:szCs w:val="22"/>
              </w:rPr>
            </w:pPr>
            <w:r w:rsidRPr="008D1285">
              <w:rPr>
                <w:szCs w:val="22"/>
              </w:rPr>
              <w:t>General Auction Questions</w:t>
            </w:r>
          </w:p>
          <w:p w:rsidR="009B2D87" w:rsidRPr="008D1285" w:rsidP="004A32BB" w14:paraId="5BB7C318" w14:textId="77777777">
            <w:pPr>
              <w:keepNext/>
              <w:widowControl/>
              <w:ind w:left="360"/>
              <w:rPr>
                <w:b/>
                <w:szCs w:val="22"/>
              </w:rPr>
            </w:pPr>
          </w:p>
        </w:tc>
        <w:tc>
          <w:tcPr>
            <w:tcW w:w="4860" w:type="dxa"/>
          </w:tcPr>
          <w:p w:rsidR="009B2D87" w:rsidRPr="008D1285" w:rsidP="004A32BB" w14:paraId="33C4644F" w14:textId="77777777">
            <w:pPr>
              <w:keepNext/>
              <w:widowControl/>
              <w:rPr>
                <w:b/>
                <w:szCs w:val="22"/>
              </w:rPr>
            </w:pPr>
            <w:r w:rsidRPr="008D1285">
              <w:rPr>
                <w:b/>
                <w:szCs w:val="22"/>
              </w:rPr>
              <w:t xml:space="preserve">FCC Auctions Hotline </w:t>
            </w:r>
          </w:p>
          <w:p w:rsidR="009B2D87" w:rsidRPr="008D1285" w:rsidP="004A32BB" w14:paraId="1048F674" w14:textId="77777777">
            <w:pPr>
              <w:keepNext/>
              <w:widowControl/>
              <w:rPr>
                <w:szCs w:val="22"/>
              </w:rPr>
            </w:pPr>
            <w:r w:rsidRPr="008D1285">
              <w:rPr>
                <w:szCs w:val="22"/>
              </w:rPr>
              <w:t>(888) 225-5322, option two; or</w:t>
            </w:r>
          </w:p>
          <w:p w:rsidR="009B2D87" w:rsidRPr="008D1285" w:rsidP="004A32BB" w14:paraId="5A238C1E" w14:textId="77777777">
            <w:pPr>
              <w:keepNext/>
              <w:widowControl/>
              <w:rPr>
                <w:szCs w:val="22"/>
              </w:rPr>
            </w:pPr>
            <w:r w:rsidRPr="008D1285">
              <w:rPr>
                <w:szCs w:val="22"/>
              </w:rPr>
              <w:t>(717) 338-2868</w:t>
            </w:r>
          </w:p>
          <w:p w:rsidR="009B2D87" w:rsidRPr="008D1285" w:rsidP="004A32BB" w14:paraId="20C33BC8" w14:textId="77777777">
            <w:pPr>
              <w:keepNext/>
              <w:widowControl/>
              <w:rPr>
                <w:b/>
                <w:szCs w:val="22"/>
              </w:rPr>
            </w:pPr>
          </w:p>
        </w:tc>
      </w:tr>
      <w:tr w14:paraId="30860B31" w14:textId="77777777" w:rsidTr="004A32BB">
        <w:tblPrEx>
          <w:tblW w:w="9828" w:type="dxa"/>
          <w:tblLayout w:type="fixed"/>
          <w:tblLook w:val="0000"/>
        </w:tblPrEx>
        <w:trPr>
          <w:cantSplit/>
        </w:trPr>
        <w:tc>
          <w:tcPr>
            <w:tcW w:w="4968" w:type="dxa"/>
          </w:tcPr>
          <w:p w:rsidR="009B2D87" w:rsidRPr="008D1285" w:rsidP="004A32BB" w14:paraId="34E65FFE" w14:textId="77777777">
            <w:pPr>
              <w:widowControl/>
              <w:rPr>
                <w:b/>
                <w:szCs w:val="22"/>
              </w:rPr>
            </w:pPr>
            <w:r>
              <w:rPr>
                <w:b/>
                <w:szCs w:val="22"/>
              </w:rPr>
              <w:t>Auction 113</w:t>
            </w:r>
            <w:r w:rsidRPr="008D1285">
              <w:rPr>
                <w:b/>
                <w:szCs w:val="22"/>
              </w:rPr>
              <w:t xml:space="preserve"> Process and Procedures</w:t>
            </w:r>
          </w:p>
          <w:p w:rsidR="009B2D87" w:rsidRPr="008D1285" w:rsidP="004A32BB" w14:paraId="04FD5E6E" w14:textId="77777777">
            <w:pPr>
              <w:widowControl/>
              <w:ind w:left="360"/>
              <w:rPr>
                <w:szCs w:val="22"/>
              </w:rPr>
            </w:pPr>
            <w:r w:rsidRPr="008D1285">
              <w:rPr>
                <w:szCs w:val="22"/>
              </w:rPr>
              <w:t>Bidding Procedures</w:t>
            </w:r>
          </w:p>
          <w:p w:rsidR="009B2D87" w:rsidRPr="008D1285" w:rsidP="004A32BB" w14:paraId="071C5C8F" w14:textId="77777777">
            <w:pPr>
              <w:widowControl/>
              <w:ind w:left="360"/>
              <w:rPr>
                <w:szCs w:val="22"/>
              </w:rPr>
            </w:pPr>
            <w:r w:rsidRPr="008D1285">
              <w:rPr>
                <w:szCs w:val="22"/>
              </w:rPr>
              <w:t>Auction Schedule</w:t>
            </w:r>
          </w:p>
          <w:p w:rsidR="009B2D87" w:rsidRPr="008D1285" w:rsidP="004A32BB" w14:paraId="66178F12" w14:textId="77777777">
            <w:pPr>
              <w:widowControl/>
              <w:ind w:left="360"/>
              <w:rPr>
                <w:szCs w:val="22"/>
              </w:rPr>
            </w:pPr>
          </w:p>
        </w:tc>
        <w:tc>
          <w:tcPr>
            <w:tcW w:w="4860" w:type="dxa"/>
          </w:tcPr>
          <w:p w:rsidR="009B2D87" w:rsidRPr="008D1285" w:rsidP="004A32BB" w14:paraId="30D89D6D" w14:textId="77777777">
            <w:pPr>
              <w:widowControl/>
              <w:rPr>
                <w:szCs w:val="22"/>
              </w:rPr>
            </w:pPr>
            <w:r w:rsidRPr="008D1285">
              <w:rPr>
                <w:b/>
                <w:szCs w:val="22"/>
              </w:rPr>
              <w:t>Auctions Division</w:t>
            </w:r>
            <w:r>
              <w:rPr>
                <w:b/>
                <w:szCs w:val="22"/>
              </w:rPr>
              <w:t>, OEA</w:t>
            </w:r>
            <w:r w:rsidRPr="008D1285">
              <w:rPr>
                <w:szCs w:val="22"/>
              </w:rPr>
              <w:t xml:space="preserve"> </w:t>
            </w:r>
          </w:p>
          <w:p w:rsidR="009B2D87" w:rsidRPr="008D1285" w:rsidP="004A32BB" w14:paraId="011C2A0E" w14:textId="77777777">
            <w:pPr>
              <w:widowControl/>
              <w:rPr>
                <w:szCs w:val="22"/>
              </w:rPr>
            </w:pPr>
            <w:r w:rsidRPr="008D1285">
              <w:rPr>
                <w:szCs w:val="22"/>
              </w:rPr>
              <w:t xml:space="preserve">Auctions Hotline </w:t>
            </w:r>
            <w:r>
              <w:rPr>
                <w:szCs w:val="22"/>
              </w:rPr>
              <w:t>(</w:t>
            </w:r>
            <w:r w:rsidRPr="008D1285">
              <w:rPr>
                <w:szCs w:val="22"/>
              </w:rPr>
              <w:t>717</w:t>
            </w:r>
            <w:r>
              <w:rPr>
                <w:szCs w:val="22"/>
              </w:rPr>
              <w:t xml:space="preserve">) </w:t>
            </w:r>
            <w:r w:rsidRPr="008D1285">
              <w:rPr>
                <w:szCs w:val="22"/>
              </w:rPr>
              <w:t>338-2868</w:t>
            </w:r>
          </w:p>
        </w:tc>
      </w:tr>
      <w:tr w14:paraId="4235EE2A" w14:textId="77777777" w:rsidTr="004A32BB">
        <w:tblPrEx>
          <w:tblW w:w="9828" w:type="dxa"/>
          <w:tblLayout w:type="fixed"/>
          <w:tblLook w:val="0000"/>
        </w:tblPrEx>
        <w:trPr>
          <w:cantSplit/>
        </w:trPr>
        <w:tc>
          <w:tcPr>
            <w:tcW w:w="4968" w:type="dxa"/>
          </w:tcPr>
          <w:p w:rsidR="009B2D87" w:rsidRPr="008D1285" w:rsidP="004A32BB" w14:paraId="216821CF" w14:textId="77777777">
            <w:pPr>
              <w:widowControl/>
              <w:rPr>
                <w:b/>
                <w:szCs w:val="22"/>
              </w:rPr>
            </w:pPr>
            <w:r>
              <w:rPr>
                <w:b/>
                <w:szCs w:val="22"/>
              </w:rPr>
              <w:t>Auction 113</w:t>
            </w:r>
            <w:r w:rsidRPr="008D1285">
              <w:rPr>
                <w:b/>
                <w:szCs w:val="22"/>
              </w:rPr>
              <w:t xml:space="preserve"> Legal Information</w:t>
            </w:r>
          </w:p>
          <w:p w:rsidR="009B2D87" w:rsidRPr="008D1285" w:rsidP="004A32BB" w14:paraId="32E5BA5C" w14:textId="77777777">
            <w:pPr>
              <w:widowControl/>
              <w:ind w:left="360"/>
              <w:rPr>
                <w:b/>
                <w:szCs w:val="22"/>
              </w:rPr>
            </w:pPr>
            <w:r w:rsidRPr="008D1285">
              <w:rPr>
                <w:szCs w:val="22"/>
              </w:rPr>
              <w:t xml:space="preserve">Auction Rules, Policies, Regulations, </w:t>
            </w:r>
            <w:r>
              <w:rPr>
                <w:szCs w:val="22"/>
              </w:rPr>
              <w:t>i</w:t>
            </w:r>
            <w:r w:rsidRPr="008D1285">
              <w:rPr>
                <w:szCs w:val="22"/>
              </w:rPr>
              <w:t>ncluding</w:t>
            </w:r>
          </w:p>
          <w:p w:rsidR="009B2D87" w:rsidRPr="008D1285" w:rsidP="004A32BB" w14:paraId="322B2770" w14:textId="77777777">
            <w:pPr>
              <w:widowControl/>
              <w:ind w:left="360"/>
              <w:rPr>
                <w:szCs w:val="22"/>
              </w:rPr>
            </w:pPr>
            <w:r w:rsidRPr="008D1285">
              <w:rPr>
                <w:szCs w:val="22"/>
              </w:rPr>
              <w:t xml:space="preserve">Reports </w:t>
            </w:r>
            <w:r>
              <w:rPr>
                <w:szCs w:val="22"/>
              </w:rPr>
              <w:t>Pursuant to S</w:t>
            </w:r>
            <w:r w:rsidRPr="008D1285">
              <w:rPr>
                <w:szCs w:val="22"/>
              </w:rPr>
              <w:t>ection 1.2105(c) and Application Modifications</w:t>
            </w:r>
          </w:p>
          <w:p w:rsidR="009B2D87" w:rsidRPr="008D1285" w:rsidP="004A32BB" w14:paraId="3C94C4DF" w14:textId="77777777">
            <w:pPr>
              <w:widowControl/>
              <w:ind w:left="360"/>
              <w:rPr>
                <w:b/>
                <w:szCs w:val="22"/>
              </w:rPr>
            </w:pPr>
          </w:p>
        </w:tc>
        <w:tc>
          <w:tcPr>
            <w:tcW w:w="4860" w:type="dxa"/>
          </w:tcPr>
          <w:p w:rsidR="009B2D87" w:rsidRPr="008D1285" w:rsidP="004A32BB" w14:paraId="325184A7" w14:textId="77777777">
            <w:pPr>
              <w:widowControl/>
              <w:rPr>
                <w:b/>
                <w:szCs w:val="22"/>
              </w:rPr>
            </w:pPr>
            <w:r w:rsidRPr="008D1285">
              <w:rPr>
                <w:b/>
                <w:szCs w:val="22"/>
              </w:rPr>
              <w:t>Auctions Division</w:t>
            </w:r>
            <w:r>
              <w:rPr>
                <w:b/>
                <w:szCs w:val="22"/>
              </w:rPr>
              <w:t>, OEA</w:t>
            </w:r>
          </w:p>
          <w:p w:rsidR="009B2D87" w:rsidRPr="008D1285" w:rsidP="004A32BB" w14:paraId="7C5AD088" w14:textId="77777777">
            <w:pPr>
              <w:widowControl/>
              <w:rPr>
                <w:szCs w:val="22"/>
              </w:rPr>
            </w:pPr>
            <w:r w:rsidRPr="008D1285">
              <w:rPr>
                <w:szCs w:val="22"/>
              </w:rPr>
              <w:t>(202) 418-0660</w:t>
            </w:r>
          </w:p>
          <w:p w:rsidR="009B2D87" w:rsidP="004A32BB" w14:paraId="42FEF7C1" w14:textId="77777777">
            <w:pPr>
              <w:widowControl/>
              <w:rPr>
                <w:szCs w:val="22"/>
              </w:rPr>
            </w:pPr>
            <w:r w:rsidRPr="00E46FCE">
              <w:rPr>
                <w:szCs w:val="22"/>
              </w:rPr>
              <w:t>Valerie Barrish</w:t>
            </w:r>
            <w:r>
              <w:rPr>
                <w:szCs w:val="22"/>
              </w:rPr>
              <w:t xml:space="preserve"> (Attorney)</w:t>
            </w:r>
          </w:p>
          <w:p w:rsidR="009B2D87" w:rsidRPr="00AD18D1" w:rsidP="004A32BB" w14:paraId="4A7374D0" w14:textId="77777777">
            <w:pPr>
              <w:widowControl/>
              <w:rPr>
                <w:szCs w:val="22"/>
              </w:rPr>
            </w:pPr>
            <w:r w:rsidRPr="00421FA5">
              <w:rPr>
                <w:szCs w:val="22"/>
              </w:rPr>
              <w:t>Yasiman Montgomery</w:t>
            </w:r>
            <w:r w:rsidRPr="00421FA5">
              <w:rPr>
                <w:szCs w:val="22"/>
              </w:rPr>
              <w:t xml:space="preserve"> </w:t>
            </w:r>
            <w:r>
              <w:rPr>
                <w:szCs w:val="22"/>
              </w:rPr>
              <w:t xml:space="preserve">(Attorney)  </w:t>
            </w:r>
          </w:p>
          <w:p w:rsidR="009B2D87" w:rsidRPr="00400B6C" w:rsidP="004A32BB" w14:paraId="4A553743" w14:textId="77777777">
            <w:pPr>
              <w:widowControl/>
              <w:rPr>
                <w:szCs w:val="22"/>
              </w:rPr>
            </w:pPr>
          </w:p>
        </w:tc>
      </w:tr>
      <w:tr w14:paraId="2D021366" w14:textId="77777777" w:rsidTr="004A32BB">
        <w:tblPrEx>
          <w:tblW w:w="9828" w:type="dxa"/>
          <w:tblLayout w:type="fixed"/>
          <w:tblLook w:val="0000"/>
        </w:tblPrEx>
        <w:trPr>
          <w:cantSplit/>
        </w:trPr>
        <w:tc>
          <w:tcPr>
            <w:tcW w:w="4968" w:type="dxa"/>
          </w:tcPr>
          <w:p w:rsidR="009B2D87" w:rsidRPr="008D1285" w:rsidP="004A32BB" w14:paraId="29FE9F85" w14:textId="77777777">
            <w:pPr>
              <w:widowControl/>
              <w:rPr>
                <w:b/>
                <w:i/>
                <w:szCs w:val="22"/>
              </w:rPr>
            </w:pPr>
            <w:r>
              <w:rPr>
                <w:b/>
                <w:szCs w:val="22"/>
              </w:rPr>
              <w:t>AWS-3 Licensing</w:t>
            </w:r>
            <w:r w:rsidRPr="008D1285">
              <w:rPr>
                <w:b/>
                <w:szCs w:val="22"/>
              </w:rPr>
              <w:t xml:space="preserve"> Information </w:t>
            </w:r>
          </w:p>
          <w:p w:rsidR="009B2D87" w:rsidRPr="008D1285" w:rsidP="004A32BB" w14:paraId="283A7820" w14:textId="77777777">
            <w:pPr>
              <w:keepNext/>
              <w:keepLines/>
              <w:widowControl/>
              <w:ind w:left="360"/>
              <w:rPr>
                <w:szCs w:val="22"/>
              </w:rPr>
            </w:pPr>
            <w:r w:rsidRPr="008D1285">
              <w:rPr>
                <w:szCs w:val="22"/>
              </w:rPr>
              <w:t xml:space="preserve">Service Rules, Policies, Regulations </w:t>
            </w:r>
          </w:p>
          <w:p w:rsidR="009B2D87" w:rsidRPr="008D1285" w:rsidP="004A32BB" w14:paraId="661F300D" w14:textId="77777777">
            <w:pPr>
              <w:keepNext/>
              <w:keepLines/>
              <w:widowControl/>
              <w:ind w:left="360"/>
              <w:rPr>
                <w:szCs w:val="22"/>
              </w:rPr>
            </w:pPr>
            <w:r w:rsidRPr="008D1285">
              <w:rPr>
                <w:szCs w:val="22"/>
              </w:rPr>
              <w:t xml:space="preserve">Licensing Issues, Engineering Issues </w:t>
            </w:r>
          </w:p>
          <w:p w:rsidR="009B2D87" w:rsidP="004A32BB" w14:paraId="5583470D" w14:textId="77777777">
            <w:pPr>
              <w:keepNext/>
              <w:keepLines/>
              <w:widowControl/>
              <w:ind w:left="360"/>
              <w:rPr>
                <w:szCs w:val="22"/>
              </w:rPr>
            </w:pPr>
            <w:r w:rsidRPr="008D1285">
              <w:rPr>
                <w:szCs w:val="22"/>
              </w:rPr>
              <w:t>Due Diligence, Incumbency Issues</w:t>
            </w:r>
          </w:p>
          <w:p w:rsidR="009B2D87" w:rsidRPr="008D1285" w:rsidP="004A32BB" w14:paraId="28499FE1" w14:textId="77777777">
            <w:pPr>
              <w:widowControl/>
              <w:ind w:left="360"/>
              <w:rPr>
                <w:b/>
                <w:szCs w:val="22"/>
              </w:rPr>
            </w:pPr>
          </w:p>
        </w:tc>
        <w:tc>
          <w:tcPr>
            <w:tcW w:w="4860" w:type="dxa"/>
          </w:tcPr>
          <w:p w:rsidR="009B2D87" w:rsidRPr="00D32005" w:rsidP="004A32BB" w14:paraId="2B8752A1" w14:textId="77777777">
            <w:pPr>
              <w:widowControl/>
              <w:rPr>
                <w:b/>
                <w:szCs w:val="22"/>
              </w:rPr>
            </w:pPr>
            <w:r w:rsidRPr="00D32005">
              <w:rPr>
                <w:b/>
                <w:szCs w:val="22"/>
              </w:rPr>
              <w:t>Broadband Division, WTB</w:t>
            </w:r>
          </w:p>
          <w:p w:rsidR="009B2D87" w:rsidP="004A32BB" w14:paraId="0179C6CE" w14:textId="77777777">
            <w:pPr>
              <w:widowControl/>
            </w:pPr>
            <w:r>
              <w:t xml:space="preserve">Madelaine Maior </w:t>
            </w:r>
            <w:r>
              <w:rPr>
                <w:szCs w:val="22"/>
              </w:rPr>
              <w:t>(Attorney)</w:t>
            </w:r>
            <w:r>
              <w:t xml:space="preserve"> at (202) 418-1466</w:t>
            </w:r>
          </w:p>
          <w:p w:rsidR="009B2D87" w:rsidRPr="00DD5A88" w:rsidP="004A32BB" w14:paraId="37CC77EC" w14:textId="77777777">
            <w:pPr>
              <w:widowControl/>
              <w:rPr>
                <w:szCs w:val="22"/>
              </w:rPr>
            </w:pPr>
            <w:r w:rsidRPr="00A233AC">
              <w:t>Jeffrey Tignor</w:t>
            </w:r>
            <w:r w:rsidRPr="00A233AC">
              <w:t xml:space="preserve"> </w:t>
            </w:r>
            <w:r>
              <w:rPr>
                <w:szCs w:val="22"/>
              </w:rPr>
              <w:t>(Attorney)</w:t>
            </w:r>
            <w:r>
              <w:t xml:space="preserve"> at (202) 418-0774</w:t>
            </w:r>
          </w:p>
          <w:p w:rsidR="009B2D87" w:rsidRPr="008D1285" w:rsidP="004A32BB" w14:paraId="3A215D38" w14:textId="77777777">
            <w:pPr>
              <w:widowControl/>
              <w:rPr>
                <w:szCs w:val="22"/>
              </w:rPr>
            </w:pPr>
          </w:p>
        </w:tc>
      </w:tr>
      <w:tr w14:paraId="67A09F4D" w14:textId="77777777" w:rsidTr="004A32BB">
        <w:tblPrEx>
          <w:tblW w:w="9828" w:type="dxa"/>
          <w:tblLayout w:type="fixed"/>
          <w:tblLook w:val="0000"/>
        </w:tblPrEx>
        <w:trPr>
          <w:cantSplit/>
        </w:trPr>
        <w:tc>
          <w:tcPr>
            <w:tcW w:w="4968" w:type="dxa"/>
          </w:tcPr>
          <w:p w:rsidR="009B2D87" w:rsidRPr="008D1285" w:rsidP="004A32BB" w14:paraId="43AEF2AB" w14:textId="77777777">
            <w:pPr>
              <w:widowControl/>
              <w:rPr>
                <w:b/>
                <w:szCs w:val="22"/>
              </w:rPr>
            </w:pPr>
            <w:r w:rsidRPr="008D1285">
              <w:rPr>
                <w:b/>
                <w:szCs w:val="22"/>
              </w:rPr>
              <w:t>Technical Support</w:t>
            </w:r>
          </w:p>
          <w:p w:rsidR="009B2D87" w:rsidRPr="008D1285" w:rsidP="004A32BB" w14:paraId="29A04FF5" w14:textId="77777777">
            <w:pPr>
              <w:widowControl/>
              <w:ind w:left="360"/>
              <w:rPr>
                <w:szCs w:val="22"/>
              </w:rPr>
            </w:pPr>
            <w:r w:rsidRPr="008D1285">
              <w:rPr>
                <w:szCs w:val="22"/>
              </w:rPr>
              <w:t>Hardware/Software Issues with Electronic Filing</w:t>
            </w:r>
          </w:p>
          <w:p w:rsidR="009B2D87" w:rsidP="004A32BB" w14:paraId="06282893" w14:textId="77777777">
            <w:pPr>
              <w:widowControl/>
              <w:ind w:left="360"/>
              <w:rPr>
                <w:szCs w:val="22"/>
              </w:rPr>
            </w:pPr>
          </w:p>
          <w:p w:rsidR="009B2D87" w:rsidP="004A32BB" w14:paraId="4DA93637" w14:textId="77777777">
            <w:pPr>
              <w:widowControl/>
              <w:ind w:left="360"/>
              <w:rPr>
                <w:szCs w:val="22"/>
              </w:rPr>
            </w:pPr>
          </w:p>
          <w:p w:rsidR="009B2D87" w:rsidP="004A32BB" w14:paraId="6F91B943" w14:textId="77777777">
            <w:pPr>
              <w:widowControl/>
              <w:ind w:left="360"/>
              <w:rPr>
                <w:szCs w:val="22"/>
              </w:rPr>
            </w:pPr>
          </w:p>
          <w:p w:rsidR="009B2D87" w:rsidP="004A32BB" w14:paraId="447D4503" w14:textId="77777777">
            <w:pPr>
              <w:widowControl/>
              <w:ind w:left="360"/>
              <w:rPr>
                <w:szCs w:val="22"/>
              </w:rPr>
            </w:pPr>
          </w:p>
          <w:p w:rsidR="009B2D87" w:rsidRPr="008D1285" w:rsidP="004A32BB" w14:paraId="14CD5FBB" w14:textId="77777777">
            <w:pPr>
              <w:widowControl/>
              <w:ind w:left="360"/>
              <w:rPr>
                <w:szCs w:val="22"/>
              </w:rPr>
            </w:pPr>
            <w:r>
              <w:t>For FCC Username and Password Questions</w:t>
            </w:r>
          </w:p>
        </w:tc>
        <w:tc>
          <w:tcPr>
            <w:tcW w:w="4860" w:type="dxa"/>
          </w:tcPr>
          <w:p w:rsidR="009B2D87" w:rsidRPr="008D1285" w:rsidP="004A32BB" w14:paraId="25DE4208" w14:textId="77777777">
            <w:pPr>
              <w:widowControl/>
              <w:rPr>
                <w:b/>
                <w:szCs w:val="22"/>
              </w:rPr>
            </w:pPr>
            <w:r w:rsidRPr="008D1285">
              <w:rPr>
                <w:b/>
                <w:szCs w:val="22"/>
              </w:rPr>
              <w:t>FCC Auctions Technical Support Hotline</w:t>
            </w:r>
          </w:p>
          <w:p w:rsidR="009B2D87" w:rsidRPr="008D1285" w:rsidP="004A32BB" w14:paraId="5A97F01E" w14:textId="77777777">
            <w:pPr>
              <w:widowControl/>
              <w:rPr>
                <w:szCs w:val="22"/>
              </w:rPr>
            </w:pPr>
            <w:r w:rsidRPr="008D1285">
              <w:rPr>
                <w:szCs w:val="22"/>
              </w:rPr>
              <w:t>(877) 480-3201, option nine; or (202) 41</w:t>
            </w:r>
            <w:r>
              <w:rPr>
                <w:szCs w:val="22"/>
              </w:rPr>
              <w:t>8</w:t>
            </w:r>
            <w:r w:rsidRPr="008D1285">
              <w:rPr>
                <w:szCs w:val="22"/>
              </w:rPr>
              <w:t>-1250</w:t>
            </w:r>
          </w:p>
          <w:p w:rsidR="009B2D87" w:rsidRPr="00FB5B54" w:rsidP="004A32BB" w14:paraId="11E3861E" w14:textId="77777777">
            <w:pPr>
              <w:widowControl/>
            </w:pPr>
            <w:r>
              <w:t>ASL Video Call: (844) 432-2275</w:t>
            </w:r>
          </w:p>
          <w:p w:rsidR="009B2D87" w:rsidRPr="008D1285" w:rsidP="004A32BB" w14:paraId="609CF0DB" w14:textId="77777777">
            <w:pPr>
              <w:widowControl/>
              <w:rPr>
                <w:szCs w:val="22"/>
              </w:rPr>
            </w:pPr>
            <w:r w:rsidRPr="008D1285">
              <w:rPr>
                <w:szCs w:val="22"/>
              </w:rPr>
              <w:t>Hours of service: 8:00 a.m. – 6:00 p.m. ET,</w:t>
            </w:r>
          </w:p>
          <w:p w:rsidR="009B2D87" w:rsidRPr="008D1285" w:rsidP="004A32BB" w14:paraId="7FD0F817" w14:textId="77777777">
            <w:pPr>
              <w:widowControl/>
              <w:rPr>
                <w:szCs w:val="22"/>
              </w:rPr>
            </w:pPr>
            <w:r w:rsidRPr="008D1285">
              <w:rPr>
                <w:szCs w:val="22"/>
              </w:rPr>
              <w:t>Monday through Friday</w:t>
            </w:r>
          </w:p>
          <w:p w:rsidR="009B2D87" w:rsidP="004A32BB" w14:paraId="0ECA9833" w14:textId="77777777">
            <w:pPr>
              <w:widowControl/>
              <w:rPr>
                <w:szCs w:val="22"/>
              </w:rPr>
            </w:pPr>
          </w:p>
          <w:p w:rsidR="009B2D87" w:rsidRPr="008D1285" w:rsidP="004A32BB" w14:paraId="0D3D8A29" w14:textId="77777777">
            <w:pPr>
              <w:widowControl/>
              <w:rPr>
                <w:b/>
                <w:szCs w:val="22"/>
              </w:rPr>
            </w:pPr>
            <w:r w:rsidRPr="008D1285">
              <w:rPr>
                <w:b/>
                <w:szCs w:val="22"/>
              </w:rPr>
              <w:t xml:space="preserve">FCC </w:t>
            </w:r>
            <w:r>
              <w:rPr>
                <w:b/>
                <w:szCs w:val="22"/>
              </w:rPr>
              <w:t xml:space="preserve">Licensing </w:t>
            </w:r>
            <w:r w:rsidRPr="008D1285">
              <w:rPr>
                <w:b/>
                <w:szCs w:val="22"/>
              </w:rPr>
              <w:t xml:space="preserve">Support </w:t>
            </w:r>
            <w:r>
              <w:rPr>
                <w:b/>
                <w:szCs w:val="22"/>
              </w:rPr>
              <w:t>Center</w:t>
            </w:r>
          </w:p>
          <w:p w:rsidR="009B2D87" w:rsidP="004A32BB" w14:paraId="0CEA1220" w14:textId="77777777">
            <w:pPr>
              <w:widowControl/>
            </w:pPr>
            <w:r>
              <w:t xml:space="preserve">(877) 480-3201, option 1 </w:t>
            </w:r>
          </w:p>
          <w:p w:rsidR="009B2D87" w:rsidP="004A32BB" w14:paraId="0AC61731" w14:textId="77777777">
            <w:pPr>
              <w:widowControl/>
            </w:pPr>
            <w:r>
              <w:t xml:space="preserve">Hours of service: 8:00 a.m. – 6:00 p.m. ET, </w:t>
            </w:r>
          </w:p>
          <w:p w:rsidR="009B2D87" w:rsidP="004A32BB" w14:paraId="6C7463CD" w14:textId="77777777">
            <w:pPr>
              <w:widowControl/>
            </w:pPr>
            <w:r>
              <w:t>Monday through Friday</w:t>
            </w:r>
          </w:p>
          <w:p w:rsidR="009B2D87" w:rsidRPr="008D1285" w:rsidP="004A32BB" w14:paraId="4825A7BB" w14:textId="77777777">
            <w:pPr>
              <w:widowControl/>
              <w:rPr>
                <w:szCs w:val="22"/>
              </w:rPr>
            </w:pPr>
          </w:p>
        </w:tc>
      </w:tr>
      <w:tr w14:paraId="5EA95FC1" w14:textId="77777777" w:rsidTr="004A32BB">
        <w:tblPrEx>
          <w:tblW w:w="9828" w:type="dxa"/>
          <w:tblLayout w:type="fixed"/>
          <w:tblLook w:val="0000"/>
        </w:tblPrEx>
        <w:trPr>
          <w:cantSplit/>
        </w:trPr>
        <w:tc>
          <w:tcPr>
            <w:tcW w:w="4968" w:type="dxa"/>
          </w:tcPr>
          <w:p w:rsidR="009B2D87" w:rsidRPr="0038667B" w:rsidP="004A32BB" w14:paraId="180C3C2B" w14:textId="77777777">
            <w:pPr>
              <w:widowControl/>
              <w:rPr>
                <w:b/>
                <w:szCs w:val="22"/>
              </w:rPr>
            </w:pPr>
            <w:r>
              <w:rPr>
                <w:b/>
                <w:szCs w:val="22"/>
              </w:rPr>
              <w:t>Payment Information</w:t>
            </w:r>
          </w:p>
          <w:p w:rsidR="009B2D87" w:rsidRPr="008D1285" w:rsidP="004A32BB" w14:paraId="286D0661" w14:textId="77777777">
            <w:pPr>
              <w:widowControl/>
              <w:ind w:left="360"/>
              <w:rPr>
                <w:b/>
                <w:szCs w:val="22"/>
              </w:rPr>
            </w:pPr>
            <w:r w:rsidRPr="0038667B">
              <w:rPr>
                <w:szCs w:val="22"/>
              </w:rPr>
              <w:t>I</w:t>
            </w:r>
            <w:r w:rsidRPr="0038667B">
              <w:t>nstructions for Wiring Upfront Payments and Completin</w:t>
            </w:r>
            <w:r>
              <w:t>g</w:t>
            </w:r>
            <w:r w:rsidRPr="0038667B">
              <w:t xml:space="preserve"> Form 159</w:t>
            </w:r>
          </w:p>
        </w:tc>
        <w:tc>
          <w:tcPr>
            <w:tcW w:w="4860" w:type="dxa"/>
          </w:tcPr>
          <w:p w:rsidR="009B2D87" w:rsidRPr="0038667B" w:rsidP="004A32BB" w14:paraId="799A7906" w14:textId="77777777">
            <w:pPr>
              <w:widowControl/>
              <w:rPr>
                <w:b/>
                <w:szCs w:val="22"/>
              </w:rPr>
            </w:pPr>
            <w:r>
              <w:rPr>
                <w:b/>
              </w:rPr>
              <w:t>FCC Revenue &amp; Receivables Operations Group/Auctions</w:t>
            </w:r>
            <w:r w:rsidRPr="0038667B">
              <w:rPr>
                <w:b/>
                <w:szCs w:val="22"/>
              </w:rPr>
              <w:t xml:space="preserve"> </w:t>
            </w:r>
          </w:p>
          <w:p w:rsidR="009B2D87" w:rsidP="004A32BB" w14:paraId="3621C774" w14:textId="77777777">
            <w:pPr>
              <w:keepNext/>
              <w:widowControl/>
              <w:rPr>
                <w:szCs w:val="22"/>
              </w:rPr>
            </w:pPr>
            <w:r>
              <w:rPr>
                <w:szCs w:val="22"/>
              </w:rPr>
              <w:t xml:space="preserve">Scott Radcliffe at (202) 418-7518, or </w:t>
            </w:r>
          </w:p>
          <w:p w:rsidR="009B2D87" w:rsidP="004A32BB" w14:paraId="48ED72C0" w14:textId="77777777">
            <w:pPr>
              <w:keepNext/>
              <w:widowControl/>
              <w:rPr>
                <w:szCs w:val="22"/>
              </w:rPr>
            </w:pPr>
            <w:r>
              <w:rPr>
                <w:szCs w:val="22"/>
              </w:rPr>
              <w:t>Theresa Meeks at (202) 418-2945</w:t>
            </w:r>
          </w:p>
          <w:p w:rsidR="009B2D87" w:rsidP="004A32BB" w14:paraId="5857FFC6" w14:textId="77777777">
            <w:pPr>
              <w:widowControl/>
              <w:rPr>
                <w:szCs w:val="22"/>
              </w:rPr>
            </w:pPr>
            <w:r>
              <w:rPr>
                <w:szCs w:val="22"/>
              </w:rPr>
              <w:t xml:space="preserve">(202) 418-2843 (fax) or email to </w:t>
            </w:r>
            <w:hyperlink r:id="rId7" w:history="1">
              <w:r w:rsidRPr="000750F4">
                <w:rPr>
                  <w:rStyle w:val="Hyperlink"/>
                </w:rPr>
                <w:t>RROGWireFaxes@fcc.gov</w:t>
              </w:r>
            </w:hyperlink>
          </w:p>
          <w:p w:rsidR="009B2D87" w:rsidRPr="008D1285" w:rsidP="004A32BB" w14:paraId="42FC2878" w14:textId="77777777">
            <w:pPr>
              <w:widowControl/>
              <w:rPr>
                <w:b/>
                <w:szCs w:val="22"/>
              </w:rPr>
            </w:pPr>
          </w:p>
        </w:tc>
      </w:tr>
      <w:tr w14:paraId="43DBDA56" w14:textId="77777777" w:rsidTr="004A32BB">
        <w:tblPrEx>
          <w:tblW w:w="9828" w:type="dxa"/>
          <w:tblLayout w:type="fixed"/>
          <w:tblLook w:val="0000"/>
        </w:tblPrEx>
        <w:trPr>
          <w:cantSplit/>
        </w:trPr>
        <w:tc>
          <w:tcPr>
            <w:tcW w:w="4968" w:type="dxa"/>
          </w:tcPr>
          <w:p w:rsidR="009B2D87" w:rsidRPr="00FB5B54" w:rsidP="004A32BB" w14:paraId="22CB58FD" w14:textId="77777777">
            <w:pPr>
              <w:widowControl/>
              <w:rPr>
                <w:b/>
              </w:rPr>
            </w:pPr>
            <w:r w:rsidRPr="00FB5B54">
              <w:rPr>
                <w:b/>
              </w:rPr>
              <w:t>Accessible Formats</w:t>
            </w:r>
          </w:p>
          <w:p w:rsidR="009B2D87" w:rsidP="004A32BB" w14:paraId="6E21AEA2" w14:textId="77777777">
            <w:pPr>
              <w:widowControl/>
              <w:ind w:left="360"/>
            </w:pPr>
            <w:r w:rsidRPr="00FB5B54">
              <w:t>Braille, large print, electronic files, or</w:t>
            </w:r>
          </w:p>
          <w:p w:rsidR="009B2D87" w:rsidP="004A32BB" w14:paraId="1D357D0E" w14:textId="77777777">
            <w:pPr>
              <w:widowControl/>
              <w:rPr>
                <w:b/>
                <w:szCs w:val="22"/>
              </w:rPr>
            </w:pPr>
            <w:r>
              <w:t xml:space="preserve">       </w:t>
            </w:r>
            <w:r w:rsidRPr="00FB5B54">
              <w:t>audio format for people with disabilities</w:t>
            </w:r>
          </w:p>
        </w:tc>
        <w:tc>
          <w:tcPr>
            <w:tcW w:w="4860" w:type="dxa"/>
          </w:tcPr>
          <w:p w:rsidR="009B2D87" w:rsidRPr="00FB5B54" w:rsidP="004A32BB" w14:paraId="280B53D6" w14:textId="77777777">
            <w:pPr>
              <w:widowControl/>
              <w:rPr>
                <w:b/>
              </w:rPr>
            </w:pPr>
            <w:r w:rsidRPr="00FB5B54">
              <w:rPr>
                <w:b/>
              </w:rPr>
              <w:t>Consumer and Governmental Affairs Bureau</w:t>
            </w:r>
          </w:p>
          <w:p w:rsidR="009B2D87" w:rsidRPr="000502A4" w:rsidP="004A32BB" w14:paraId="559BF2BC" w14:textId="77777777">
            <w:pPr>
              <w:widowControl/>
            </w:pPr>
            <w:r w:rsidRPr="00FB5B54">
              <w:t xml:space="preserve">(202) 418-0530 or </w:t>
            </w:r>
            <w:r w:rsidRPr="00D21FF4">
              <w:t>(844)</w:t>
            </w:r>
            <w:r>
              <w:t xml:space="preserve"> </w:t>
            </w:r>
            <w:r w:rsidRPr="00D21FF4">
              <w:t>432-2275 (ASL Video Call)</w:t>
            </w:r>
          </w:p>
          <w:p w:rsidR="009B2D87" w:rsidRPr="00FB5B54" w:rsidP="004A32BB" w14:paraId="5ABC06C3" w14:textId="77777777">
            <w:pPr>
              <w:widowControl/>
            </w:pPr>
            <w:hyperlink r:id="rId11" w:history="1">
              <w:r w:rsidRPr="00FB5B54">
                <w:rPr>
                  <w:rStyle w:val="Hyperlink"/>
                </w:rPr>
                <w:t>fcc504@fcc.gov</w:t>
              </w:r>
            </w:hyperlink>
          </w:p>
          <w:p w:rsidR="009B2D87" w:rsidRPr="00AD18D1" w:rsidP="004A32BB" w14:paraId="7A5C5954" w14:textId="77777777">
            <w:pPr>
              <w:widowControl/>
              <w:rPr>
                <w:b/>
              </w:rPr>
            </w:pPr>
          </w:p>
        </w:tc>
      </w:tr>
      <w:tr w14:paraId="51BA7880" w14:textId="77777777" w:rsidTr="004A32BB">
        <w:tblPrEx>
          <w:tblW w:w="9828" w:type="dxa"/>
          <w:tblLayout w:type="fixed"/>
          <w:tblLook w:val="0000"/>
        </w:tblPrEx>
        <w:trPr>
          <w:cantSplit/>
        </w:trPr>
        <w:tc>
          <w:tcPr>
            <w:tcW w:w="4968" w:type="dxa"/>
          </w:tcPr>
          <w:p w:rsidR="009B2D87" w:rsidP="004A32BB" w14:paraId="6453E198" w14:textId="77777777">
            <w:pPr>
              <w:widowControl/>
              <w:rPr>
                <w:b/>
                <w:szCs w:val="22"/>
              </w:rPr>
            </w:pPr>
            <w:r>
              <w:rPr>
                <w:b/>
                <w:szCs w:val="22"/>
              </w:rPr>
              <w:t>Press Information</w:t>
            </w:r>
          </w:p>
        </w:tc>
        <w:tc>
          <w:tcPr>
            <w:tcW w:w="4860" w:type="dxa"/>
          </w:tcPr>
          <w:p w:rsidR="009B2D87" w:rsidRPr="00AD18D1" w:rsidP="004A32BB" w14:paraId="01026195" w14:textId="77777777">
            <w:pPr>
              <w:widowControl/>
              <w:rPr>
                <w:b/>
              </w:rPr>
            </w:pPr>
            <w:r w:rsidRPr="00AD18D1">
              <w:rPr>
                <w:b/>
              </w:rPr>
              <w:t>Office of Media Relations</w:t>
            </w:r>
          </w:p>
          <w:p w:rsidR="009B2D87" w:rsidRPr="00CA368D" w:rsidP="004A32BB" w14:paraId="5366510B" w14:textId="77777777">
            <w:pPr>
              <w:widowControl/>
              <w:rPr>
                <w:bCs/>
              </w:rPr>
            </w:pPr>
            <w:r>
              <w:rPr>
                <w:bCs/>
              </w:rPr>
              <w:t>Will Wiquist</w:t>
            </w:r>
          </w:p>
          <w:p w:rsidR="009B2D87" w:rsidP="004A32BB" w14:paraId="173FEA84" w14:textId="77777777">
            <w:pPr>
              <w:widowControl/>
              <w:rPr>
                <w:bCs/>
              </w:rPr>
            </w:pPr>
            <w:r w:rsidRPr="00CA368D">
              <w:rPr>
                <w:bCs/>
              </w:rPr>
              <w:t>(202) 418-0500</w:t>
            </w:r>
          </w:p>
          <w:p w:rsidR="009B2D87" w:rsidRPr="00432630" w:rsidP="004A32BB" w14:paraId="0A148EE4" w14:textId="77777777">
            <w:pPr>
              <w:widowControl/>
              <w:rPr>
                <w:bCs/>
              </w:rPr>
            </w:pPr>
          </w:p>
        </w:tc>
      </w:tr>
    </w:tbl>
    <w:p w:rsidR="009B2D87" w:rsidRPr="00AB729C" w:rsidP="009B2D87" w14:paraId="79AD9EC3" w14:textId="77777777">
      <w:pPr>
        <w:widowControl/>
        <w:suppressAutoHyphens/>
        <w:rPr>
          <w:szCs w:val="22"/>
        </w:rPr>
      </w:pPr>
    </w:p>
    <w:p w:rsidR="009B2D87" w:rsidP="009B2D87" w14:paraId="140BF5DF" w14:textId="6262C820">
      <w:pPr>
        <w:widowControl/>
        <w:suppressAutoHyphens/>
        <w:jc w:val="center"/>
      </w:pPr>
      <w:r>
        <w:rPr>
          <w:b/>
        </w:rPr>
        <w:t>–FCC–</w:t>
      </w:r>
    </w:p>
    <w:p w:rsidR="009B2D87" w:rsidP="009B2D87" w14:paraId="29E41CB7" w14:textId="77777777"/>
    <w:p w:rsidR="00BA3BA8" w14:paraId="44016FB6" w14:textId="77777777"/>
    <w:sectPr>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07B5A" w14:paraId="2175AD34" w14:textId="77777777">
      <w:pPr>
        <w:spacing w:line="20" w:lineRule="exact"/>
      </w:pPr>
    </w:p>
  </w:endnote>
  <w:endnote w:type="continuationSeparator" w:id="1">
    <w:p w:rsidR="00107B5A" w14:paraId="360AFB10" w14:textId="77777777">
      <w:r>
        <w:t xml:space="preserve"> </w:t>
      </w:r>
    </w:p>
  </w:endnote>
  <w:endnote w:type="continuationNotice" w:id="2">
    <w:p w:rsidR="00107B5A" w14:paraId="7F572C9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BBF9143"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F34A1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BF1BD9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9E3F82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7B5A" w14:paraId="07CB7266" w14:textId="77777777">
      <w:r>
        <w:separator/>
      </w:r>
    </w:p>
  </w:footnote>
  <w:footnote w:type="continuationSeparator" w:id="1">
    <w:p w:rsidR="00107B5A" w14:paraId="7D382E74" w14:textId="77777777">
      <w:pPr>
        <w:rPr>
          <w:sz w:val="20"/>
        </w:rPr>
      </w:pPr>
      <w:r>
        <w:rPr>
          <w:sz w:val="20"/>
        </w:rPr>
        <w:t xml:space="preserve">(Continued from previous page)  </w:t>
      </w:r>
      <w:r>
        <w:rPr>
          <w:sz w:val="20"/>
        </w:rPr>
        <w:separator/>
      </w:r>
    </w:p>
  </w:footnote>
  <w:footnote w:type="continuationNotice" w:id="2">
    <w:p w:rsidR="00107B5A" w14:paraId="11FE9988" w14:textId="77777777">
      <w:pPr>
        <w:jc w:val="right"/>
        <w:rPr>
          <w:sz w:val="20"/>
        </w:rPr>
      </w:pPr>
      <w:r>
        <w:rPr>
          <w:sz w:val="20"/>
        </w:rPr>
        <w:t>(</w:t>
      </w:r>
      <w:r>
        <w:rPr>
          <w:sz w:val="20"/>
        </w:rPr>
        <w:t>continued</w:t>
      </w:r>
      <w:r>
        <w:rPr>
          <w:sz w:val="20"/>
        </w:rPr>
        <w:t>….)</w:t>
      </w:r>
    </w:p>
  </w:footnote>
  <w:footnote w:id="3">
    <w:p w:rsidR="009B2D87" w:rsidRPr="009B2D87" w:rsidP="009B2D87" w14:paraId="2F2E74DE" w14:textId="77777777">
      <w:pPr>
        <w:pStyle w:val="FootnoteText"/>
      </w:pPr>
      <w:r w:rsidRPr="009B2D87">
        <w:rPr>
          <w:rStyle w:val="FootnoteReference"/>
          <w:sz w:val="20"/>
        </w:rPr>
        <w:footnoteRef/>
      </w:r>
      <w:r w:rsidRPr="009B2D87">
        <w:t xml:space="preserve"> A copy of this Public Notice will be sent by email and overnight delivery to the contact person listed in the FCC Form 175 for each Auction 113 applicant.</w:t>
      </w:r>
    </w:p>
  </w:footnote>
  <w:footnote w:id="4">
    <w:p w:rsidR="009B2D87" w:rsidRPr="009B2D87" w:rsidP="009B2D87" w14:paraId="24464111" w14:textId="77777777">
      <w:pPr>
        <w:pStyle w:val="FootnoteText"/>
      </w:pPr>
      <w:r w:rsidRPr="009B2D87">
        <w:rPr>
          <w:rStyle w:val="FootnoteReference"/>
          <w:sz w:val="20"/>
        </w:rPr>
        <w:footnoteRef/>
      </w:r>
      <w:r w:rsidRPr="009B2D87">
        <w:t xml:space="preserve"> </w:t>
      </w:r>
      <w:r w:rsidRPr="009B2D87">
        <w:rPr>
          <w:i/>
        </w:rPr>
        <w:t>See Auction of Advanced Wireless Services (AWS-3) Licenses; Notice and Filing Requirements, Minimum Opening Bids, Upfront Payments, and Other Procedures for Auction 113; Bidding Scheduled to Begin June 2, 2026</w:t>
      </w:r>
      <w:r w:rsidRPr="009B2D87">
        <w:t>, AU Docket No.</w:t>
      </w:r>
      <w:r w:rsidRPr="009B2D87">
        <w:rPr>
          <w:snapToGrid w:val="0"/>
          <w:kern w:val="28"/>
        </w:rPr>
        <w:t xml:space="preserve"> </w:t>
      </w:r>
      <w:r w:rsidRPr="009B2D87">
        <w:t xml:space="preserve">25-117, Public Notice, </w:t>
      </w:r>
      <w:bookmarkStart w:id="2" w:name="OLE_LINK3"/>
      <w:bookmarkStart w:id="3" w:name="OLE_LINK4"/>
      <w:r w:rsidRPr="009B2D87">
        <w:t xml:space="preserve">DA 25-1075 </w:t>
      </w:r>
      <w:bookmarkEnd w:id="2"/>
      <w:bookmarkEnd w:id="3"/>
      <w:r w:rsidRPr="009B2D87">
        <w:t>(OEA/WTB 2025) (</w:t>
      </w:r>
      <w:r w:rsidRPr="009B2D87">
        <w:rPr>
          <w:i/>
        </w:rPr>
        <w:t>Auction 113 Procedures Public Notice</w:t>
      </w:r>
      <w:r w:rsidRPr="009B2D87">
        <w:t>).</w:t>
      </w:r>
    </w:p>
  </w:footnote>
  <w:footnote w:id="5">
    <w:p w:rsidR="009B2D87" w:rsidRPr="009B2D87" w:rsidP="009B2D87" w14:paraId="363AE98A" w14:textId="77777777">
      <w:pPr>
        <w:pStyle w:val="FootnoteText"/>
      </w:pPr>
      <w:r w:rsidRPr="009B2D87">
        <w:rPr>
          <w:rStyle w:val="FootnoteReference"/>
          <w:sz w:val="20"/>
        </w:rPr>
        <w:footnoteRef/>
      </w:r>
      <w:r w:rsidRPr="009B2D87">
        <w:t xml:space="preserve"> </w:t>
      </w:r>
      <w:r w:rsidRPr="009B2D87">
        <w:rPr>
          <w:i/>
        </w:rPr>
        <w:t xml:space="preserve">See </w:t>
      </w:r>
      <w:r w:rsidRPr="009B2D87">
        <w:t xml:space="preserve">Section I.B (Upfront Payments), below; </w:t>
      </w:r>
      <w:r w:rsidRPr="009B2D87">
        <w:rPr>
          <w:i/>
        </w:rPr>
        <w:t xml:space="preserve">see also </w:t>
      </w:r>
      <w:r w:rsidRPr="009B2D87">
        <w:t>47 CFR § 1.2106.</w:t>
      </w:r>
    </w:p>
  </w:footnote>
  <w:footnote w:id="6">
    <w:p w:rsidR="009B2D87" w:rsidRPr="009B2D87" w:rsidP="009B2D87" w14:paraId="0D1E2E19" w14:textId="77777777">
      <w:pPr>
        <w:pStyle w:val="FootnoteText"/>
        <w:rPr>
          <w:b/>
        </w:rPr>
      </w:pPr>
      <w:r w:rsidRPr="009B2D87">
        <w:rPr>
          <w:rStyle w:val="FootnoteReference"/>
          <w:sz w:val="20"/>
        </w:rPr>
        <w:footnoteRef/>
      </w:r>
      <w:r w:rsidRPr="009B2D87">
        <w:t xml:space="preserve"> 47 CFR §§ 1.65, 1.2105(b).  Important information about this continuing obligation can be found in Section III.B, (Duty to Maintain Accurate Information in Short-Form Applications), below.</w:t>
      </w:r>
    </w:p>
  </w:footnote>
  <w:footnote w:id="7">
    <w:p w:rsidR="009B2D87" w:rsidRPr="009B2D87" w:rsidP="009B2D87" w14:paraId="59DB3C30" w14:textId="77777777">
      <w:pPr>
        <w:pStyle w:val="FootnoteText"/>
      </w:pPr>
      <w:r w:rsidRPr="009B2D87">
        <w:rPr>
          <w:rStyle w:val="FootnoteReference"/>
          <w:sz w:val="20"/>
        </w:rPr>
        <w:footnoteRef/>
      </w:r>
      <w:r w:rsidRPr="009B2D87">
        <w:t xml:space="preserve"> 47 CFR §§ 1.2107, 1.2109; </w:t>
      </w:r>
      <w:r w:rsidRPr="009B2D87">
        <w:rPr>
          <w:i/>
        </w:rPr>
        <w:t>see also</w:t>
      </w:r>
      <w:r w:rsidRPr="009B2D87">
        <w:t xml:space="preserve"> </w:t>
      </w:r>
      <w:r w:rsidRPr="009B2D87">
        <w:rPr>
          <w:i/>
        </w:rPr>
        <w:t>Implementation of Section 309(j) of the Communications Act – Competitive Bidding</w:t>
      </w:r>
      <w:r w:rsidRPr="009B2D87">
        <w:t xml:space="preserve">, PP Docket No. 93-253, Second Report and Order, 9 FCC </w:t>
      </w:r>
      <w:r w:rsidRPr="009B2D87">
        <w:t>Rcd</w:t>
      </w:r>
      <w:r w:rsidRPr="009B2D87">
        <w:t xml:space="preserve"> 2348, 2376–77, paras. 163–68 (1994).</w:t>
      </w:r>
    </w:p>
  </w:footnote>
  <w:footnote w:id="8">
    <w:p w:rsidR="009B2D87" w:rsidRPr="009B2D87" w:rsidP="009B2D87" w14:paraId="4AA0E5BD" w14:textId="77777777">
      <w:pPr>
        <w:pStyle w:val="FootnoteText"/>
      </w:pPr>
      <w:r w:rsidRPr="009B2D87">
        <w:rPr>
          <w:rStyle w:val="FootnoteReference"/>
          <w:sz w:val="20"/>
        </w:rPr>
        <w:footnoteRef/>
      </w:r>
      <w:r w:rsidRPr="009B2D87">
        <w:t xml:space="preserve"> </w:t>
      </w:r>
      <w:r w:rsidRPr="009B2D87">
        <w:rPr>
          <w:i/>
        </w:rPr>
        <w:t xml:space="preserve">See generally </w:t>
      </w:r>
      <w:r w:rsidRPr="009B2D87">
        <w:t>47 CFR § 1.2109.</w:t>
      </w:r>
    </w:p>
  </w:footnote>
  <w:footnote w:id="9">
    <w:p w:rsidR="009B2D87" w:rsidRPr="009B2D87" w:rsidP="009B2D87" w14:paraId="199A5782" w14:textId="77777777">
      <w:pPr>
        <w:pStyle w:val="FootnoteText"/>
      </w:pPr>
      <w:r w:rsidRPr="009B2D87">
        <w:rPr>
          <w:rStyle w:val="FootnoteReference"/>
          <w:sz w:val="20"/>
        </w:rPr>
        <w:footnoteRef/>
      </w:r>
      <w:r w:rsidRPr="009B2D87">
        <w:t xml:space="preserve"> </w:t>
      </w:r>
      <w:r w:rsidRPr="009B2D87">
        <w:rPr>
          <w:i/>
          <w:iCs/>
        </w:rPr>
        <w:t>Id</w:t>
      </w:r>
      <w:r w:rsidRPr="009B2D87">
        <w:t>. §§ 1.65, 1.2105(b).</w:t>
      </w:r>
    </w:p>
  </w:footnote>
  <w:footnote w:id="10">
    <w:p w:rsidR="009B2D87" w:rsidRPr="009B2D87" w:rsidP="009B2D87" w14:paraId="511BD384" w14:textId="77777777">
      <w:pPr>
        <w:pStyle w:val="FootnoteText"/>
        <w:widowControl w:val="0"/>
      </w:pPr>
      <w:r w:rsidRPr="009B2D87">
        <w:rPr>
          <w:rStyle w:val="FootnoteReference"/>
          <w:sz w:val="20"/>
        </w:rPr>
        <w:footnoteRef/>
      </w:r>
      <w:r w:rsidRPr="009B2D87">
        <w:t xml:space="preserve"> In no event, however, will the Commission send auction registration materials to anyone other than the contact person listed in the applicant’s FCC Form 175 or respond to a request for replacement registration materials from anyone other than the authorized bidder, contact person, or certifying official listed on the applicant’s FCC Form 175.  </w:t>
      </w:r>
      <w:r w:rsidRPr="009B2D87">
        <w:rPr>
          <w:i/>
          <w:iCs/>
        </w:rPr>
        <w:t xml:space="preserve">See </w:t>
      </w:r>
      <w:r w:rsidRPr="009B2D87">
        <w:t>Section</w:t>
      </w:r>
      <w:r w:rsidRPr="009B2D87">
        <w:rPr>
          <w:iCs/>
        </w:rPr>
        <w:t xml:space="preserve"> </w:t>
      </w:r>
      <w:r w:rsidRPr="009B2D87">
        <w:t>II.B (Delivery of Registration Materials to Qualified Bidders), below.</w:t>
      </w:r>
    </w:p>
  </w:footnote>
  <w:footnote w:id="11">
    <w:p w:rsidR="009B2D87" w:rsidRPr="009B2D87" w:rsidP="009B2D87" w14:paraId="338E5F1F" w14:textId="77777777">
      <w:pPr>
        <w:pStyle w:val="FootnoteText"/>
      </w:pPr>
      <w:r w:rsidRPr="009B2D87">
        <w:rPr>
          <w:rStyle w:val="FootnoteReference"/>
          <w:sz w:val="20"/>
        </w:rPr>
        <w:footnoteRef/>
      </w:r>
      <w:r w:rsidRPr="009B2D87">
        <w:t xml:space="preserve"> </w:t>
      </w:r>
      <w:r w:rsidRPr="009B2D87">
        <w:rPr>
          <w:i/>
        </w:rPr>
        <w:t>See Auction 113 Procedures Public Notice</w:t>
      </w:r>
      <w:r w:rsidRPr="009B2D87">
        <w:t xml:space="preserve"> at 17–19, paras. 40–46.</w:t>
      </w:r>
    </w:p>
  </w:footnote>
  <w:footnote w:id="12">
    <w:p w:rsidR="009B2D87" w:rsidRPr="009B2D87" w:rsidP="009B2D87" w14:paraId="77E3FEE0" w14:textId="77777777">
      <w:pPr>
        <w:pStyle w:val="FootnoteText"/>
      </w:pPr>
      <w:r w:rsidRPr="009B2D87">
        <w:rPr>
          <w:rStyle w:val="FootnoteReference"/>
          <w:sz w:val="20"/>
        </w:rPr>
        <w:footnoteRef/>
      </w:r>
      <w:r w:rsidRPr="009B2D87">
        <w:t xml:space="preserve"> The Commission will not accept checks, credit cards, or automated clearing house (ACH) payments.</w:t>
      </w:r>
    </w:p>
  </w:footnote>
  <w:footnote w:id="13">
    <w:p w:rsidR="009B2D87" w:rsidRPr="009B2D87" w:rsidP="009B2D87" w14:paraId="00B5D6AF" w14:textId="77777777">
      <w:pPr>
        <w:pStyle w:val="FootnoteText"/>
      </w:pPr>
      <w:r w:rsidRPr="009B2D87">
        <w:rPr>
          <w:rStyle w:val="FootnoteReference"/>
          <w:sz w:val="20"/>
        </w:rPr>
        <w:footnoteRef/>
      </w:r>
      <w:r w:rsidRPr="009B2D87">
        <w:t xml:space="preserve"> Each applicant may access an electronic blank version of the FCC Form 159 through the Auction Application Portal (AAP).  </w:t>
      </w:r>
      <w:r w:rsidRPr="009B2D87">
        <w:rPr>
          <w:i/>
        </w:rPr>
        <w:t>See Auction 113 Procedures Public Notice</w:t>
      </w:r>
      <w:r w:rsidRPr="009B2D87">
        <w:t xml:space="preserve"> at 16–17, para. 39 &amp; n.67.  Applicants can find detailed instructions for completing and submitting FCC Form 159 in connection with Auction 113 upfront payments in the </w:t>
      </w:r>
      <w:r w:rsidRPr="009B2D87">
        <w:rPr>
          <w:i/>
          <w:iCs/>
        </w:rPr>
        <w:t>Auction 113 Procedures Public Notice</w:t>
      </w:r>
      <w:r w:rsidRPr="009B2D87">
        <w:t xml:space="preserve">.  </w:t>
      </w:r>
      <w:r w:rsidRPr="009B2D87">
        <w:rPr>
          <w:i/>
          <w:iCs/>
        </w:rPr>
        <w:t>See id</w:t>
      </w:r>
      <w:r w:rsidRPr="009B2D87">
        <w:t>. at 18–19, paras. 45–46.</w:t>
      </w:r>
    </w:p>
  </w:footnote>
  <w:footnote w:id="14">
    <w:p w:rsidR="009B2D87" w:rsidRPr="009B2D87" w:rsidP="009B2D87" w14:paraId="5AF99C10" w14:textId="77777777">
      <w:pPr>
        <w:pStyle w:val="FootnoteText"/>
        <w:rPr>
          <w:i/>
          <w:iCs/>
        </w:rPr>
      </w:pPr>
      <w:r w:rsidRPr="009B2D87">
        <w:rPr>
          <w:rStyle w:val="FootnoteReference"/>
          <w:sz w:val="20"/>
        </w:rPr>
        <w:footnoteRef/>
      </w:r>
      <w:r w:rsidRPr="009B2D87">
        <w:t xml:space="preserve"> </w:t>
      </w:r>
      <w:r w:rsidRPr="009B2D87">
        <w:rPr>
          <w:i/>
        </w:rPr>
        <w:t>See, e.g.,</w:t>
      </w:r>
      <w:r w:rsidRPr="009B2D87">
        <w:t xml:space="preserve"> </w:t>
      </w:r>
      <w:r w:rsidRPr="009B2D87">
        <w:rPr>
          <w:i/>
        </w:rPr>
        <w:t>Four Corners Broadcasting, LLC—Request for Waiver of Section 1.2106(a), Closed Broadcast Auction 88</w:t>
      </w:r>
      <w:r w:rsidRPr="009B2D87">
        <w:t xml:space="preserve">, Letter Order, 25 FCC </w:t>
      </w:r>
      <w:r w:rsidRPr="009B2D87">
        <w:t>Rcd</w:t>
      </w:r>
      <w:r w:rsidRPr="009B2D87">
        <w:t xml:space="preserve"> 9046 (WTB 2010) (denying waiver request of upfront payment deadline); </w:t>
      </w:r>
      <w:r w:rsidRPr="009B2D87">
        <w:rPr>
          <w:i/>
        </w:rPr>
        <w:t>Spectrum Acquisition, Inc</w:t>
      </w:r>
      <w:r w:rsidRPr="009B2D87">
        <w:t xml:space="preserve">. </w:t>
      </w:r>
      <w:r w:rsidRPr="009B2D87">
        <w:rPr>
          <w:i/>
          <w:iCs/>
        </w:rPr>
        <w:t>Application to Participate in Auction 73—Request for Waiver of Upfront Payment Deadline,</w:t>
      </w:r>
      <w:r w:rsidRPr="009B2D87">
        <w:t xml:space="preserve">, Letter Order, 23 FCC </w:t>
      </w:r>
      <w:r w:rsidRPr="009B2D87">
        <w:t>Rcd</w:t>
      </w:r>
      <w:r w:rsidRPr="009B2D87">
        <w:t xml:space="preserve"> 4765 (WTB 2008) (denying waiver request of upfront payment deadline); </w:t>
      </w:r>
      <w:r w:rsidRPr="009B2D87">
        <w:rPr>
          <w:i/>
        </w:rPr>
        <w:t>Lynch 3G Communications Corp</w:t>
      </w:r>
      <w:r w:rsidRPr="009B2D87">
        <w:t xml:space="preserve">., Letter Order, 18 FCC </w:t>
      </w:r>
      <w:r w:rsidRPr="009B2D87">
        <w:t>Rcd</w:t>
      </w:r>
      <w:r w:rsidRPr="009B2D87">
        <w:t xml:space="preserve"> 11552 (WTB 2003) (finding that upfront payment was not timely submitted).</w:t>
      </w:r>
    </w:p>
  </w:footnote>
  <w:footnote w:id="15">
    <w:p w:rsidR="009B2D87" w:rsidRPr="009B2D87" w:rsidP="009B2D87" w14:paraId="34E4FD43" w14:textId="77777777">
      <w:pPr>
        <w:pStyle w:val="FootnoteText"/>
      </w:pPr>
      <w:r w:rsidRPr="009B2D87">
        <w:rPr>
          <w:rStyle w:val="FootnoteReference"/>
          <w:sz w:val="20"/>
        </w:rPr>
        <w:footnoteRef/>
      </w:r>
      <w:r w:rsidRPr="009B2D87">
        <w:t xml:space="preserve"> </w:t>
      </w:r>
      <w:r w:rsidRPr="009B2D87">
        <w:rPr>
          <w:i/>
        </w:rPr>
        <w:t>See Auction 113 Procedures Public Notice</w:t>
      </w:r>
      <w:r w:rsidRPr="009B2D87">
        <w:t xml:space="preserve"> at 16–21, paras. 39–52.</w:t>
      </w:r>
    </w:p>
  </w:footnote>
  <w:footnote w:id="16">
    <w:p w:rsidR="009B2D87" w:rsidRPr="009B2D87" w:rsidP="009B2D87" w14:paraId="4FD4C469" w14:textId="77777777">
      <w:pPr>
        <w:pStyle w:val="FootnoteText"/>
      </w:pPr>
      <w:r w:rsidRPr="009B2D87">
        <w:rPr>
          <w:rStyle w:val="FootnoteReference"/>
          <w:sz w:val="20"/>
        </w:rPr>
        <w:footnoteRef/>
      </w:r>
      <w:r w:rsidRPr="009B2D87">
        <w:t xml:space="preserve"> </w:t>
      </w:r>
      <w:r w:rsidRPr="009B2D87">
        <w:rPr>
          <w:i/>
          <w:iCs/>
        </w:rPr>
        <w:t>See</w:t>
      </w:r>
      <w:r w:rsidRPr="009B2D87">
        <w:t xml:space="preserve"> 47 CFR § 1.2105(b)(2).</w:t>
      </w:r>
    </w:p>
  </w:footnote>
  <w:footnote w:id="17">
    <w:p w:rsidR="009B2D87" w:rsidRPr="009B2D87" w:rsidP="009B2D87" w14:paraId="307FDE84" w14:textId="77777777">
      <w:pPr>
        <w:pStyle w:val="FootnoteText"/>
      </w:pPr>
      <w:r w:rsidRPr="009B2D87">
        <w:rPr>
          <w:rStyle w:val="FootnoteReference"/>
          <w:sz w:val="20"/>
        </w:rPr>
        <w:footnoteRef/>
      </w:r>
      <w:r w:rsidRPr="009B2D87">
        <w:t xml:space="preserve"> During the resubmission phase, applicants will have access to update the following application fields:  jurisdiction of formation/country of citizenship, applicant address, responsible party information, responsible party address, contact information, contact address, authorized bidder information, agreement information, and ownership information.  During the resubmission period, some required updates to an FCC Form 175 may need to be submitted by uploading an attachment.  During all phases of the application process, each applicant will have access to make certain administrative changes, including updates </w:t>
      </w:r>
      <w:r w:rsidRPr="009B2D87">
        <w:t>to:</w:t>
      </w:r>
      <w:r w:rsidRPr="009B2D87">
        <w:t xml:space="preserve">  applicant address, responsible party address, contact information, and contact address.</w:t>
      </w:r>
    </w:p>
  </w:footnote>
  <w:footnote w:id="18">
    <w:p w:rsidR="009B2D87" w:rsidRPr="009B2D87" w:rsidP="009B2D87" w14:paraId="348836C9" w14:textId="77777777">
      <w:pPr>
        <w:pStyle w:val="FootnoteText"/>
      </w:pPr>
      <w:r w:rsidRPr="009B2D87">
        <w:rPr>
          <w:rStyle w:val="FootnoteReference"/>
          <w:sz w:val="20"/>
        </w:rPr>
        <w:footnoteRef/>
      </w:r>
      <w:r w:rsidRPr="009B2D87">
        <w:t xml:space="preserve"> </w:t>
      </w:r>
      <w:r w:rsidRPr="009B2D87">
        <w:rPr>
          <w:i/>
        </w:rPr>
        <w:t xml:space="preserve">See </w:t>
      </w:r>
      <w:r w:rsidRPr="009B2D87">
        <w:t xml:space="preserve">47 CFR § 1.2105(b), (c).  For more information on making administrative changes to an existing application, </w:t>
      </w:r>
      <w:r w:rsidRPr="009B2D87">
        <w:rPr>
          <w:i/>
          <w:iCs/>
        </w:rPr>
        <w:t>see</w:t>
      </w:r>
      <w:r w:rsidRPr="009B2D87">
        <w:t xml:space="preserve"> </w:t>
      </w:r>
      <w:r w:rsidRPr="009B2D87">
        <w:rPr>
          <w:i/>
        </w:rPr>
        <w:t>Auction 113 Procedures Public Notice</w:t>
      </w:r>
      <w:r w:rsidRPr="009B2D87">
        <w:t xml:space="preserve"> at 45–46, paras. 123–29.  </w:t>
      </w:r>
      <w:r w:rsidRPr="009B2D87">
        <w:rPr>
          <w:i/>
        </w:rPr>
        <w:t>See also</w:t>
      </w:r>
      <w:r w:rsidRPr="009B2D87">
        <w:t xml:space="preserve"> </w:t>
      </w:r>
      <w:r w:rsidRPr="009B2D87">
        <w:rPr>
          <w:i/>
        </w:rPr>
        <w:t xml:space="preserve">FCC Form 175 Filing Instructions for Auction 113 </w:t>
      </w:r>
      <w:r w:rsidRPr="009B2D87">
        <w:t xml:space="preserve">(Dec. 18, 2025), which is available in the Education section on the Auction 113 website at </w:t>
      </w:r>
      <w:hyperlink r:id="rId1" w:history="1">
        <w:r w:rsidRPr="009B2D87">
          <w:rPr>
            <w:rStyle w:val="Hyperlink"/>
          </w:rPr>
          <w:t>www.fcc.gov/auction/113</w:t>
        </w:r>
      </w:hyperlink>
      <w:r w:rsidRPr="009B2D87">
        <w:t>.</w:t>
      </w:r>
    </w:p>
  </w:footnote>
  <w:footnote w:id="19">
    <w:p w:rsidR="009B2D87" w:rsidRPr="009B2D87" w:rsidP="009B2D87" w14:paraId="68AA85C6" w14:textId="77777777">
      <w:pPr>
        <w:pStyle w:val="FootnoteText"/>
      </w:pPr>
      <w:r w:rsidRPr="009B2D87">
        <w:rPr>
          <w:rStyle w:val="FootnoteReference"/>
          <w:sz w:val="20"/>
        </w:rPr>
        <w:footnoteRef/>
      </w:r>
      <w:r w:rsidRPr="009B2D87">
        <w:t xml:space="preserve"> </w:t>
      </w:r>
      <w:r w:rsidRPr="009B2D87">
        <w:rPr>
          <w:i/>
        </w:rPr>
        <w:t>Id.</w:t>
      </w:r>
      <w:r w:rsidRPr="009B2D87">
        <w:t xml:space="preserve"> § 1.2105(b)(2);</w:t>
      </w:r>
      <w:r w:rsidRPr="009B2D87">
        <w:rPr>
          <w:i/>
        </w:rPr>
        <w:t xml:space="preserve"> see also,</w:t>
      </w:r>
      <w:r w:rsidRPr="009B2D87">
        <w:t xml:space="preserve"> </w:t>
      </w:r>
      <w:r w:rsidRPr="009B2D87">
        <w:rPr>
          <w:i/>
        </w:rPr>
        <w:t>e.g</w:t>
      </w:r>
      <w:r w:rsidRPr="009B2D87">
        <w:t>.</w:t>
      </w:r>
      <w:r w:rsidRPr="009B2D87">
        <w:rPr>
          <w:i/>
          <w:iCs/>
        </w:rPr>
        <w:t>,</w:t>
      </w:r>
      <w:r w:rsidRPr="009B2D87">
        <w:t xml:space="preserve"> </w:t>
      </w:r>
      <w:r w:rsidRPr="009B2D87">
        <w:rPr>
          <w:i/>
        </w:rPr>
        <w:t>Koch Broadcasting Corp</w:t>
      </w:r>
      <w:r w:rsidRPr="009B2D87">
        <w:t xml:space="preserve">., Letter Order, 21 FCC </w:t>
      </w:r>
      <w:r w:rsidRPr="009B2D87">
        <w:t>Rcd</w:t>
      </w:r>
      <w:r w:rsidRPr="009B2D87">
        <w:t xml:space="preserve"> 147 (WTB/MB 2006) (dismissing short-form application due to major amendment reporting change of control of applicant).</w:t>
      </w:r>
    </w:p>
  </w:footnote>
  <w:footnote w:id="20">
    <w:p w:rsidR="009B2D87" w:rsidRPr="009B2D87" w:rsidP="009B2D87" w14:paraId="70DAE514" w14:textId="77777777">
      <w:pPr>
        <w:pStyle w:val="FootnoteText"/>
      </w:pPr>
      <w:r w:rsidRPr="009B2D87">
        <w:rPr>
          <w:rStyle w:val="FootnoteReference"/>
          <w:sz w:val="20"/>
        </w:rPr>
        <w:footnoteRef/>
      </w:r>
      <w:r w:rsidRPr="009B2D87">
        <w:t xml:space="preserve"> </w:t>
      </w:r>
      <w:r w:rsidRPr="009B2D87">
        <w:rPr>
          <w:i/>
        </w:rPr>
        <w:t xml:space="preserve">Auction 113 Procedures Public Notice </w:t>
      </w:r>
      <w:r w:rsidRPr="009B2D87">
        <w:t>at 21, para. 53.</w:t>
      </w:r>
    </w:p>
  </w:footnote>
  <w:footnote w:id="21">
    <w:p w:rsidR="009B2D87" w:rsidRPr="009B2D87" w:rsidP="009B2D87" w14:paraId="18931C8A" w14:textId="77777777">
      <w:pPr>
        <w:pStyle w:val="FootnoteText"/>
      </w:pPr>
      <w:r w:rsidRPr="009B2D87">
        <w:rPr>
          <w:rStyle w:val="FootnoteReference"/>
          <w:sz w:val="20"/>
        </w:rPr>
        <w:footnoteRef/>
      </w:r>
      <w:r w:rsidRPr="009B2D87">
        <w:t xml:space="preserve"> </w:t>
      </w:r>
      <w:r w:rsidRPr="009B2D87">
        <w:rPr>
          <w:i/>
        </w:rPr>
        <w:t>Auction 113 Procedures Public Notice</w:t>
      </w:r>
      <w:r w:rsidRPr="009B2D87">
        <w:t xml:space="preserve"> at 25-26, para. 71.  Each authorized bidder must have its own unique FCC Username; authorized bidders cannot share FCC Usernames or FCC Username accounts.  The email address associated with an FCC Username account is also the FCC Username for that account.  An applicant should provide that FCC Username as the unique email address for the authorized bidder in the applicant’s FCC Form 175.  An applicant may designate up to three individuals to serve as an authorized bidder for the applicant.  Instructions for setting up an FCC Username account and associating the FCC Username for that account to an FRN are available on the CORES website:  </w:t>
      </w:r>
      <w:hyperlink r:id="rId2" w:history="1">
        <w:r w:rsidRPr="009B2D87">
          <w:rPr>
            <w:rStyle w:val="Hyperlink"/>
          </w:rPr>
          <w:t>apps.fcc.gov/cores</w:t>
        </w:r>
      </w:hyperlink>
      <w:r w:rsidRPr="009B2D87">
        <w:t xml:space="preserve">.  </w:t>
      </w:r>
    </w:p>
  </w:footnote>
  <w:footnote w:id="22">
    <w:p w:rsidR="009B2D87" w:rsidRPr="009B2D87" w:rsidP="009B2D87" w14:paraId="5EBA9FBD" w14:textId="77777777">
      <w:pPr>
        <w:pStyle w:val="FootnoteText"/>
      </w:pPr>
      <w:r w:rsidRPr="009B2D87">
        <w:rPr>
          <w:rStyle w:val="FootnoteReference"/>
          <w:sz w:val="20"/>
        </w:rPr>
        <w:footnoteRef/>
      </w:r>
      <w:r w:rsidRPr="009B2D87">
        <w:t xml:space="preserve"> </w:t>
      </w:r>
      <w:r w:rsidRPr="009B2D87">
        <w:rPr>
          <w:i/>
          <w:iCs/>
        </w:rPr>
        <w:t xml:space="preserve">See </w:t>
      </w:r>
      <w:r w:rsidRPr="009B2D87">
        <w:rPr>
          <w:i/>
        </w:rPr>
        <w:t>FCC Form 175 Instructions for Auction 113</w:t>
      </w:r>
      <w:r w:rsidRPr="009B2D87">
        <w:t>.</w:t>
      </w:r>
    </w:p>
  </w:footnote>
  <w:footnote w:id="23">
    <w:p w:rsidR="009B2D87" w:rsidRPr="009B2D87" w:rsidP="009B2D87" w14:paraId="388F0C0C" w14:textId="77777777">
      <w:pPr>
        <w:pStyle w:val="FootnoteText"/>
      </w:pPr>
      <w:r w:rsidRPr="009B2D87">
        <w:rPr>
          <w:rStyle w:val="FootnoteReference"/>
          <w:sz w:val="20"/>
        </w:rPr>
        <w:footnoteRef/>
      </w:r>
      <w:r w:rsidRPr="009B2D87">
        <w:t xml:space="preserve"> 47 CFR §§ 1.65, 1.2105(b).</w:t>
      </w:r>
    </w:p>
  </w:footnote>
  <w:footnote w:id="24">
    <w:p w:rsidR="009B2D87" w:rsidRPr="009B2D87" w:rsidP="009B2D87" w14:paraId="62CE01E6" w14:textId="77777777">
      <w:pPr>
        <w:pStyle w:val="FootnoteText"/>
      </w:pPr>
      <w:r w:rsidRPr="009B2D87">
        <w:rPr>
          <w:rStyle w:val="FootnoteReference"/>
          <w:sz w:val="20"/>
        </w:rPr>
        <w:footnoteRef/>
      </w:r>
      <w:r w:rsidRPr="009B2D87">
        <w:t xml:space="preserve"> </w:t>
      </w:r>
      <w:r w:rsidRPr="009B2D87">
        <w:rPr>
          <w:i/>
        </w:rPr>
        <w:t xml:space="preserve">Id. </w:t>
      </w:r>
      <w:r w:rsidRPr="009B2D87">
        <w:t>§</w:t>
      </w:r>
      <w:r w:rsidRPr="009B2D87">
        <w:rPr>
          <w:rFonts w:eastAsia="TimesNewRoman"/>
        </w:rPr>
        <w:t xml:space="preserve"> </w:t>
      </w:r>
      <w:r w:rsidRPr="009B2D87">
        <w:t>1.2105(b)(4).</w:t>
      </w:r>
    </w:p>
  </w:footnote>
  <w:footnote w:id="25">
    <w:p w:rsidR="009B2D87" w:rsidRPr="009B2D87" w:rsidP="009B2D87" w14:paraId="142BB0B8" w14:textId="77777777">
      <w:pPr>
        <w:pStyle w:val="FootnoteText"/>
      </w:pPr>
      <w:r w:rsidRPr="009B2D87">
        <w:rPr>
          <w:rStyle w:val="FootnoteReference"/>
          <w:sz w:val="20"/>
        </w:rPr>
        <w:footnoteRef/>
      </w:r>
      <w:r w:rsidRPr="009B2D87">
        <w:t xml:space="preserve"> An applicant cannot use the AAP outside of the initial and resubmission filing windows to make changes to its short-form application other than for administrative changes.  Auction applicants are not permitted to make a change to the following data fields after the short-form application filing deadline:  applicant name, legal classification, certifier, bidding credit, and market selection.</w:t>
      </w:r>
    </w:p>
  </w:footnote>
  <w:footnote w:id="26">
    <w:p w:rsidR="009B2D87" w:rsidRPr="009B2D87" w:rsidP="009B2D87" w14:paraId="6B27465A" w14:textId="77777777">
      <w:pPr>
        <w:pStyle w:val="FootnoteText"/>
      </w:pPr>
      <w:r w:rsidRPr="009B2D87">
        <w:rPr>
          <w:rStyle w:val="FootnoteReference"/>
          <w:sz w:val="20"/>
        </w:rPr>
        <w:footnoteRef/>
      </w:r>
      <w:r w:rsidRPr="009B2D87">
        <w:t xml:space="preserve"> The letter summarizing the changes must include a subject or caption referring to Auction 113 and the name of the applicant, for example, “Re:  Changes to Auction 113 Application of XYZ Corp.”  Any attachments to the email must be formatted as Adobe</w:t>
      </w:r>
      <w:r w:rsidRPr="009B2D87">
        <w:rPr>
          <w:vertAlign w:val="superscript"/>
        </w:rPr>
        <w:t>®</w:t>
      </w:r>
      <w:r w:rsidRPr="009B2D87">
        <w:t xml:space="preserve"> Acrobat</w:t>
      </w:r>
      <w:r w:rsidRPr="009B2D87">
        <w:rPr>
          <w:vertAlign w:val="superscript"/>
        </w:rPr>
        <w:t>®</w:t>
      </w:r>
      <w:r w:rsidRPr="009B2D87">
        <w:t xml:space="preserve"> (PDF) or Microsoft</w:t>
      </w:r>
      <w:r w:rsidRPr="009B2D87">
        <w:rPr>
          <w:vertAlign w:val="superscript"/>
        </w:rPr>
        <w:t xml:space="preserve">® </w:t>
      </w:r>
      <w:r w:rsidRPr="009B2D87">
        <w:t>Word documents.  An applicant that submits its changes in this manner must subsequently update its short-form application in the AAP once it is open and available to applicants again.</w:t>
      </w:r>
    </w:p>
  </w:footnote>
  <w:footnote w:id="27">
    <w:p w:rsidR="009B2D87" w:rsidRPr="009B2D87" w:rsidP="009B2D87" w14:paraId="5CC2DDC9" w14:textId="77777777">
      <w:pPr>
        <w:pStyle w:val="FootnoteText"/>
      </w:pPr>
      <w:r w:rsidRPr="009B2D87">
        <w:rPr>
          <w:rStyle w:val="FootnoteReference"/>
          <w:sz w:val="20"/>
        </w:rPr>
        <w:footnoteRef/>
      </w:r>
      <w:r w:rsidRPr="009B2D87">
        <w:t xml:space="preserve"> </w:t>
      </w:r>
      <w:r w:rsidRPr="009B2D87">
        <w:rPr>
          <w:i/>
        </w:rPr>
        <w:t>See Auction 113 Procedures Public Notice</w:t>
      </w:r>
      <w:r w:rsidRPr="009B2D87">
        <w:t xml:space="preserve"> at 44, para. 122; </w:t>
      </w:r>
      <w:bookmarkStart w:id="7" w:name="_Hlk528234192"/>
      <w:r w:rsidRPr="009B2D87">
        <w:rPr>
          <w:i/>
        </w:rPr>
        <w:t>see also</w:t>
      </w:r>
      <w:r w:rsidRPr="009B2D87">
        <w:t xml:space="preserve"> 47 CFR §§ 1.65, 1.2105(b).</w:t>
      </w:r>
      <w:bookmarkEnd w:id="7"/>
      <w:r w:rsidRPr="009B2D87">
        <w:t xml:space="preserve">  Questions about FCC Form 175 amendments should be directed to the Auctions Division at (202) 418-0660 or by email to </w:t>
      </w:r>
      <w:hyperlink r:id="rId3" w:history="1">
        <w:r w:rsidRPr="009B2D87">
          <w:rPr>
            <w:rStyle w:val="Hyperlink"/>
          </w:rPr>
          <w:t>auction113@fcc.gov</w:t>
        </w:r>
      </w:hyperlink>
      <w:r w:rsidRPr="009B2D87">
        <w:t>.</w:t>
      </w:r>
    </w:p>
  </w:footnote>
  <w:footnote w:id="28">
    <w:p w:rsidR="009B2D87" w:rsidRPr="009B2D87" w:rsidP="009B2D87" w14:paraId="3AC341DC" w14:textId="77777777">
      <w:pPr>
        <w:pStyle w:val="FootnoteText"/>
      </w:pPr>
      <w:r w:rsidRPr="009B2D87">
        <w:rPr>
          <w:rStyle w:val="FootnoteReference"/>
          <w:sz w:val="20"/>
        </w:rPr>
        <w:footnoteRef/>
      </w:r>
      <w:r w:rsidRPr="009B2D87">
        <w:t xml:space="preserve"> </w:t>
      </w:r>
      <w:r w:rsidRPr="009B2D87">
        <w:rPr>
          <w:i/>
        </w:rPr>
        <w:t xml:space="preserve">See Auction 113 Procedures Public Notice </w:t>
      </w:r>
      <w:r w:rsidRPr="009B2D87">
        <w:t>at 12–13, paras. 21–25.</w:t>
      </w:r>
    </w:p>
  </w:footnote>
  <w:footnote w:id="29">
    <w:p w:rsidR="009B2D87" w:rsidRPr="009B2D87" w:rsidP="009B2D87" w14:paraId="6FC26697" w14:textId="77777777">
      <w:pPr>
        <w:pStyle w:val="FootnoteText"/>
      </w:pPr>
      <w:r w:rsidRPr="009B2D87">
        <w:rPr>
          <w:rStyle w:val="FootnoteReference"/>
          <w:sz w:val="20"/>
        </w:rPr>
        <w:footnoteRef/>
      </w:r>
      <w:r w:rsidRPr="009B2D87">
        <w:t xml:space="preserve"> The Commission’s statutory authority under the Communications Act of 1934, as amended, to add, modify, and eliminate rules governing spectrum use, as the public interest warrants, applies equally to all licenses, whether acquired through the competitive bidding process or otherwise.  </w:t>
      </w:r>
      <w:r w:rsidRPr="009B2D87">
        <w:rPr>
          <w:i/>
        </w:rPr>
        <w:t xml:space="preserve">See </w:t>
      </w:r>
      <w:r w:rsidRPr="009B2D87">
        <w:t xml:space="preserve">47 U.S.C. § 309(j)(6)(C), (D); </w:t>
      </w:r>
      <w:r w:rsidRPr="009B2D87">
        <w:rPr>
          <w:i/>
        </w:rPr>
        <w:t>Celtronix</w:t>
      </w:r>
      <w:r w:rsidRPr="009B2D87">
        <w:rPr>
          <w:i/>
        </w:rPr>
        <w:t xml:space="preserve"> Telemetry, Inc. v. FCC</w:t>
      </w:r>
      <w:r w:rsidRPr="009B2D87">
        <w:t>,</w:t>
      </w:r>
      <w:r w:rsidRPr="009B2D87">
        <w:rPr>
          <w:i/>
        </w:rPr>
        <w:t xml:space="preserve"> </w:t>
      </w:r>
      <w:r w:rsidRPr="009B2D87">
        <w:t>272 F.3d 585 (D.C. Cir. 2001).</w:t>
      </w:r>
    </w:p>
  </w:footnote>
  <w:footnote w:id="30">
    <w:p w:rsidR="009B2D87" w:rsidRPr="009B2D87" w:rsidP="009B2D87" w14:paraId="0FE6AE9D" w14:textId="77777777">
      <w:pPr>
        <w:pStyle w:val="FootnoteText"/>
      </w:pPr>
      <w:r w:rsidRPr="009B2D87">
        <w:rPr>
          <w:rStyle w:val="FootnoteReference"/>
          <w:sz w:val="20"/>
        </w:rPr>
        <w:footnoteRef/>
      </w:r>
      <w:r w:rsidRPr="009B2D87">
        <w:t xml:space="preserve"> </w:t>
      </w:r>
      <w:r w:rsidRPr="009B2D87">
        <w:rPr>
          <w:i/>
        </w:rPr>
        <w:t>See</w:t>
      </w:r>
      <w:r w:rsidRPr="009B2D87">
        <w:t xml:space="preserve">, </w:t>
      </w:r>
      <w:r w:rsidRPr="009B2D87">
        <w:rPr>
          <w:i/>
        </w:rPr>
        <w:t>e</w:t>
      </w:r>
      <w:r w:rsidRPr="009B2D87">
        <w:t>.</w:t>
      </w:r>
      <w:r w:rsidRPr="009B2D87">
        <w:rPr>
          <w:i/>
        </w:rPr>
        <w:t>g</w:t>
      </w:r>
      <w:r w:rsidRPr="009B2D87">
        <w:t xml:space="preserve">., 47 U.S.C. §§ 332(c)(7), 1455(a); </w:t>
      </w:r>
      <w:r w:rsidRPr="009B2D87">
        <w:rPr>
          <w:i/>
        </w:rPr>
        <w:t>see also</w:t>
      </w:r>
      <w:r w:rsidRPr="009B2D87">
        <w:t xml:space="preserve"> </w:t>
      </w:r>
      <w:r w:rsidRPr="009B2D87">
        <w:rPr>
          <w:i/>
        </w:rPr>
        <w:t>Acceleration of Broadband Deployment by Improving Wireless Facilities Siting Policies</w:t>
      </w:r>
      <w:r w:rsidRPr="009B2D87">
        <w:t xml:space="preserve">, WT Docket No. 17-79, Second Report and Order, 33 FCC </w:t>
      </w:r>
      <w:r w:rsidRPr="009B2D87">
        <w:t>Rcd</w:t>
      </w:r>
      <w:r w:rsidRPr="009B2D87">
        <w:t xml:space="preserve"> 3102 (2018) (amending the Commission’s rules concerning the types of deployments that are subject to review pursuant to NHPA and NEPA). </w:t>
      </w:r>
    </w:p>
  </w:footnote>
  <w:footnote w:id="31">
    <w:p w:rsidR="009B2D87" w:rsidRPr="009B2D87" w:rsidP="009B2D87" w14:paraId="1FC564F9" w14:textId="77777777">
      <w:pPr>
        <w:pStyle w:val="FootnoteText"/>
      </w:pPr>
      <w:r w:rsidRPr="009B2D87">
        <w:rPr>
          <w:rStyle w:val="FootnoteReference"/>
          <w:sz w:val="20"/>
        </w:rPr>
        <w:footnoteRef/>
      </w:r>
      <w:r w:rsidRPr="009B2D87">
        <w:t xml:space="preserve"> </w:t>
      </w:r>
      <w:r w:rsidRPr="009B2D87">
        <w:rPr>
          <w:i/>
        </w:rPr>
        <w:t>See Auction 113 Procedures Public Notice</w:t>
      </w:r>
      <w:r w:rsidRPr="009B2D87">
        <w:t xml:space="preserve"> at 12–13</w:t>
      </w:r>
      <w:r w:rsidRPr="009B2D87">
        <w:rPr>
          <w:i/>
        </w:rPr>
        <w:t xml:space="preserve">, </w:t>
      </w:r>
      <w:r w:rsidRPr="009B2D87">
        <w:t>para. 23</w:t>
      </w:r>
      <w:r w:rsidRPr="009B2D87">
        <w:rPr>
          <w:iCs/>
        </w:rPr>
        <w:t>.</w:t>
      </w:r>
    </w:p>
  </w:footnote>
  <w:footnote w:id="32">
    <w:p w:rsidR="009B2D87" w:rsidRPr="009B2D87" w:rsidP="009B2D87" w14:paraId="72BF772D" w14:textId="77777777">
      <w:pPr>
        <w:pStyle w:val="FootnoteText"/>
      </w:pPr>
      <w:r w:rsidRPr="009B2D87">
        <w:rPr>
          <w:rStyle w:val="FootnoteReference"/>
          <w:sz w:val="20"/>
        </w:rPr>
        <w:footnoteRef/>
      </w:r>
      <w:r w:rsidRPr="009B2D87">
        <w:t xml:space="preserve"> </w:t>
      </w:r>
      <w:r w:rsidRPr="009B2D87">
        <w:rPr>
          <w:i/>
        </w:rPr>
        <w:t>See Auction 113 Procedures Public Notice</w:t>
      </w:r>
      <w:r w:rsidRPr="009B2D87">
        <w:t xml:space="preserve"> at 12–13</w:t>
      </w:r>
      <w:r w:rsidRPr="009B2D87">
        <w:rPr>
          <w:i/>
        </w:rPr>
        <w:t xml:space="preserve">, </w:t>
      </w:r>
      <w:r w:rsidRPr="009B2D87">
        <w:t>paras. 21–25.</w:t>
      </w:r>
    </w:p>
  </w:footnote>
  <w:footnote w:id="33">
    <w:p w:rsidR="009B2D87" w:rsidRPr="009B2D87" w:rsidP="009B2D87" w14:paraId="364BE791" w14:textId="77777777">
      <w:pPr>
        <w:pStyle w:val="FootnoteText"/>
      </w:pPr>
      <w:r w:rsidRPr="009B2D87">
        <w:rPr>
          <w:rStyle w:val="FootnoteReference"/>
          <w:sz w:val="20"/>
        </w:rPr>
        <w:footnoteRef/>
      </w:r>
      <w:r w:rsidRPr="009B2D87">
        <w:t xml:space="preserve"> 47 CFR § 1.2105(c)</w:t>
      </w:r>
      <w:bookmarkStart w:id="8" w:name="_Hlk528236240"/>
      <w:r w:rsidRPr="009B2D87">
        <w:t xml:space="preserve">; </w:t>
      </w:r>
      <w:r w:rsidRPr="009B2D87">
        <w:rPr>
          <w:i/>
        </w:rPr>
        <w:t>see also</w:t>
      </w:r>
      <w:r w:rsidRPr="009B2D87">
        <w:t xml:space="preserve"> </w:t>
      </w:r>
      <w:r w:rsidRPr="009B2D87">
        <w:rPr>
          <w:i/>
        </w:rPr>
        <w:t>Auction 113 Procedures Public Notice</w:t>
      </w:r>
      <w:r w:rsidRPr="009B2D87">
        <w:t xml:space="preserve"> at 48, paras. 136–37.</w:t>
      </w:r>
      <w:bookmarkEnd w:id="8"/>
    </w:p>
  </w:footnote>
  <w:footnote w:id="34">
    <w:p w:rsidR="009B2D87" w:rsidRPr="009B2D87" w:rsidP="009B2D87" w14:paraId="18FF8703" w14:textId="77777777">
      <w:pPr>
        <w:pStyle w:val="FootnoteText"/>
      </w:pPr>
      <w:r w:rsidRPr="009B2D87">
        <w:rPr>
          <w:rStyle w:val="FootnoteReference"/>
          <w:sz w:val="20"/>
        </w:rPr>
        <w:footnoteRef/>
      </w:r>
      <w:r w:rsidRPr="009B2D87">
        <w:t xml:space="preserve"> </w:t>
      </w:r>
      <w:bookmarkStart w:id="9" w:name="_Hlk528236277"/>
      <w:r w:rsidRPr="009B2D87">
        <w:t>47 CFR</w:t>
      </w:r>
      <w:bookmarkEnd w:id="9"/>
      <w:r w:rsidRPr="009B2D87">
        <w:t xml:space="preserve"> § 1.2105(c)(1).</w:t>
      </w:r>
    </w:p>
  </w:footnote>
  <w:footnote w:id="35">
    <w:p w:rsidR="009B2D87" w:rsidRPr="009B2D87" w:rsidP="009B2D87" w14:paraId="1DEB2FB2" w14:textId="77777777">
      <w:pPr>
        <w:pStyle w:val="FootnoteText"/>
      </w:pPr>
      <w:r w:rsidRPr="009B2D87">
        <w:rPr>
          <w:rStyle w:val="FootnoteReference"/>
          <w:sz w:val="20"/>
        </w:rPr>
        <w:footnoteRef/>
      </w:r>
      <w:r w:rsidRPr="009B2D87">
        <w:t xml:space="preserve"> </w:t>
      </w:r>
      <w:r w:rsidRPr="009B2D87">
        <w:rPr>
          <w:i/>
          <w:iCs/>
        </w:rPr>
        <w:t xml:space="preserve">Id. </w:t>
      </w:r>
      <w:r w:rsidRPr="009B2D87">
        <w:t>§ 1.2105(c)(5)(</w:t>
      </w:r>
      <w:r w:rsidRPr="009B2D87">
        <w:t>i</w:t>
      </w:r>
      <w:r w:rsidRPr="009B2D87">
        <w:t xml:space="preserve">); </w:t>
      </w:r>
      <w:r w:rsidRPr="009B2D87">
        <w:rPr>
          <w:i/>
        </w:rPr>
        <w:t>see also</w:t>
      </w:r>
      <w:r w:rsidRPr="009B2D87">
        <w:t xml:space="preserve"> </w:t>
      </w:r>
      <w:r w:rsidRPr="009B2D87">
        <w:rPr>
          <w:i/>
        </w:rPr>
        <w:t>Auction 113 Procedures Public Notice</w:t>
      </w:r>
      <w:r w:rsidRPr="009B2D87">
        <w:t xml:space="preserve"> at 48, para. 137.</w:t>
      </w:r>
    </w:p>
  </w:footnote>
  <w:footnote w:id="36">
    <w:p w:rsidR="009B2D87" w:rsidRPr="009B2D87" w:rsidP="009B2D87" w14:paraId="62917C94" w14:textId="77777777">
      <w:pPr>
        <w:pStyle w:val="FootnoteText"/>
      </w:pPr>
      <w:r w:rsidRPr="009B2D87">
        <w:rPr>
          <w:rStyle w:val="FootnoteReference"/>
          <w:sz w:val="20"/>
        </w:rPr>
        <w:footnoteRef/>
      </w:r>
      <w:r w:rsidRPr="009B2D87">
        <w:t xml:space="preserve"> </w:t>
      </w:r>
      <w:r w:rsidRPr="009B2D87">
        <w:rPr>
          <w:i/>
        </w:rPr>
        <w:t>Auction 113 Procedures Public Notice</w:t>
      </w:r>
      <w:r w:rsidRPr="009B2D87">
        <w:t xml:space="preserve"> at 29–30, para. 87–88.</w:t>
      </w:r>
    </w:p>
  </w:footnote>
  <w:footnote w:id="37">
    <w:p w:rsidR="009B2D87" w:rsidRPr="009B2D87" w:rsidP="009B2D87" w14:paraId="02652D76" w14:textId="77777777">
      <w:pPr>
        <w:pStyle w:val="FootnoteText"/>
      </w:pPr>
      <w:r w:rsidRPr="009B2D87">
        <w:rPr>
          <w:rStyle w:val="FootnoteReference"/>
          <w:sz w:val="20"/>
        </w:rPr>
        <w:footnoteRef/>
      </w:r>
      <w:r w:rsidRPr="009B2D87">
        <w:t xml:space="preserve"> </w:t>
      </w:r>
      <w:r w:rsidRPr="009B2D87">
        <w:rPr>
          <w:i/>
        </w:rPr>
        <w:t>Id.</w:t>
      </w:r>
      <w:r w:rsidRPr="009B2D87">
        <w:t xml:space="preserve"> at 48–49, para. 138; </w:t>
      </w:r>
      <w:bookmarkStart w:id="10" w:name="_Hlk528236655"/>
      <w:r w:rsidRPr="009B2D87">
        <w:rPr>
          <w:i/>
        </w:rPr>
        <w:t>see also</w:t>
      </w:r>
      <w:r w:rsidRPr="009B2D87">
        <w:t xml:space="preserve"> 47 CFR § 1.2105(c)(1)</w:t>
      </w:r>
      <w:bookmarkEnd w:id="10"/>
      <w:r w:rsidRPr="009B2D87">
        <w:t>.</w:t>
      </w:r>
    </w:p>
  </w:footnote>
  <w:footnote w:id="38">
    <w:p w:rsidR="009B2D87" w:rsidRPr="009B2D87" w:rsidP="009B2D87" w14:paraId="7E8DA65C" w14:textId="77777777">
      <w:pPr>
        <w:pStyle w:val="FootnoteText"/>
      </w:pPr>
      <w:r w:rsidRPr="009B2D87">
        <w:rPr>
          <w:rStyle w:val="FootnoteReference"/>
          <w:sz w:val="20"/>
        </w:rPr>
        <w:footnoteRef/>
      </w:r>
      <w:r w:rsidRPr="009B2D87">
        <w:t xml:space="preserve"> A party becomes an “applicant” under section 1.2105(c)(5)(</w:t>
      </w:r>
      <w:r w:rsidRPr="009B2D87">
        <w:t>i</w:t>
      </w:r>
      <w:r w:rsidRPr="009B2D87">
        <w:t xml:space="preserve">) at the application filing deadline, and that status does not change based on subsequent developments.  </w:t>
      </w:r>
      <w:r w:rsidRPr="009B2D87">
        <w:rPr>
          <w:i/>
        </w:rPr>
        <w:t xml:space="preserve">See </w:t>
      </w:r>
      <w:bookmarkStart w:id="11" w:name="_Hlk528236832"/>
      <w:r w:rsidRPr="009B2D87">
        <w:rPr>
          <w:i/>
        </w:rPr>
        <w:t>Auction 113 Procedures Public Notice</w:t>
      </w:r>
      <w:r w:rsidRPr="009B2D87">
        <w:t xml:space="preserve"> at 48, para.</w:t>
      </w:r>
      <w:bookmarkEnd w:id="11"/>
      <w:r w:rsidRPr="009B2D87">
        <w:t xml:space="preserve"> 137 n.269.</w:t>
      </w:r>
    </w:p>
  </w:footnote>
  <w:footnote w:id="39">
    <w:p w:rsidR="009B2D87" w:rsidRPr="009B2D87" w:rsidP="009B2D87" w14:paraId="1B3414DB" w14:textId="77777777">
      <w:pPr>
        <w:pStyle w:val="FootnoteText"/>
      </w:pPr>
      <w:r w:rsidRPr="009B2D87">
        <w:rPr>
          <w:rStyle w:val="FootnoteReference"/>
          <w:sz w:val="20"/>
        </w:rPr>
        <w:footnoteRef/>
      </w:r>
      <w:r w:rsidRPr="009B2D87">
        <w:t xml:space="preserve"> </w:t>
      </w:r>
      <w:r w:rsidRPr="009B2D87">
        <w:rPr>
          <w:i/>
          <w:iCs/>
        </w:rPr>
        <w:t xml:space="preserve">Id. </w:t>
      </w:r>
      <w:r w:rsidRPr="009B2D87">
        <w:t>at 48–55, paras. 136–59.</w:t>
      </w:r>
    </w:p>
  </w:footnote>
  <w:footnote w:id="40">
    <w:p w:rsidR="009B2D87" w:rsidRPr="009B2D87" w:rsidP="009B2D87" w14:paraId="3810E2A9" w14:textId="77777777">
      <w:pPr>
        <w:pStyle w:val="FootnoteText"/>
      </w:pPr>
      <w:r w:rsidRPr="009B2D87">
        <w:rPr>
          <w:rStyle w:val="FootnoteReference"/>
          <w:sz w:val="20"/>
        </w:rPr>
        <w:footnoteRef/>
      </w:r>
      <w:r w:rsidRPr="009B2D87">
        <w:t xml:space="preserve"> 47 CFR § 1.2105(c)(4); </w:t>
      </w:r>
      <w:r w:rsidRPr="009B2D87">
        <w:rPr>
          <w:i/>
        </w:rPr>
        <w:t>see also Auction 113 Procedures Public Notice</w:t>
      </w:r>
      <w:r w:rsidRPr="009B2D87">
        <w:t xml:space="preserve"> at 53, para. 153.</w:t>
      </w:r>
    </w:p>
  </w:footnote>
  <w:footnote w:id="41">
    <w:p w:rsidR="009B2D87" w:rsidRPr="009B2D87" w:rsidP="009B2D87" w14:paraId="7AD443B5" w14:textId="77777777">
      <w:pPr>
        <w:pStyle w:val="FootnoteText"/>
      </w:pPr>
      <w:r w:rsidRPr="009B2D87">
        <w:rPr>
          <w:rStyle w:val="FootnoteReference"/>
          <w:sz w:val="20"/>
        </w:rPr>
        <w:footnoteRef/>
      </w:r>
      <w:r w:rsidRPr="009B2D87">
        <w:t xml:space="preserve"> </w:t>
      </w:r>
      <w:r w:rsidRPr="009B2D87">
        <w:rPr>
          <w:i/>
        </w:rPr>
        <w:t>Auction 113 Procedures Public Notice</w:t>
      </w:r>
      <w:r w:rsidRPr="009B2D87">
        <w:t xml:space="preserve"> at 53, para. 153; </w:t>
      </w:r>
      <w:r w:rsidRPr="009B2D87">
        <w:rPr>
          <w:i/>
          <w:iCs/>
        </w:rPr>
        <w:t>see also</w:t>
      </w:r>
      <w:r w:rsidRPr="009B2D87">
        <w:t xml:space="preserve"> 47 CFR § 1.2105(c)(4)</w:t>
      </w:r>
      <w:r w:rsidRPr="009B2D87">
        <w:rPr>
          <w:iCs/>
        </w:rPr>
        <w:t>.</w:t>
      </w:r>
    </w:p>
  </w:footnote>
  <w:footnote w:id="42">
    <w:p w:rsidR="009B2D87" w:rsidRPr="009B2D87" w:rsidP="009B2D87" w14:paraId="3C36808C" w14:textId="77777777">
      <w:pPr>
        <w:pStyle w:val="FootnoteText"/>
      </w:pPr>
      <w:r w:rsidRPr="009B2D87">
        <w:rPr>
          <w:rStyle w:val="FootnoteReference"/>
          <w:sz w:val="20"/>
        </w:rPr>
        <w:footnoteRef/>
      </w:r>
      <w:r w:rsidRPr="009B2D87">
        <w:t xml:space="preserve"> 47 CFR § 1.2105(c)(6); </w:t>
      </w:r>
      <w:r w:rsidRPr="009B2D87">
        <w:rPr>
          <w:i/>
          <w:iCs/>
        </w:rPr>
        <w:t>see also</w:t>
      </w:r>
      <w:r w:rsidRPr="009B2D87">
        <w:t xml:space="preserve"> </w:t>
      </w:r>
      <w:r w:rsidRPr="009B2D87">
        <w:rPr>
          <w:i/>
        </w:rPr>
        <w:t>Part 1</w:t>
      </w:r>
      <w:r w:rsidRPr="009B2D87">
        <w:t xml:space="preserve"> </w:t>
      </w:r>
      <w:r w:rsidRPr="009B2D87">
        <w:rPr>
          <w:i/>
        </w:rPr>
        <w:t>Procedural Amendments Order</w:t>
      </w:r>
      <w:r w:rsidRPr="009B2D87">
        <w:t xml:space="preserve">, 25 FCC </w:t>
      </w:r>
      <w:r w:rsidRPr="009B2D87">
        <w:t>Rcd</w:t>
      </w:r>
      <w:r w:rsidRPr="009B2D87">
        <w:t xml:space="preserve"> at 522, para. 4.</w:t>
      </w:r>
    </w:p>
  </w:footnote>
  <w:footnote w:id="43">
    <w:p w:rsidR="009B2D87" w:rsidRPr="009B2D87" w:rsidP="009B2D87" w14:paraId="11EE5633" w14:textId="77777777">
      <w:pPr>
        <w:pStyle w:val="FootnoteText"/>
      </w:pPr>
      <w:r w:rsidRPr="009B2D87">
        <w:rPr>
          <w:rStyle w:val="FootnoteReference"/>
          <w:sz w:val="20"/>
        </w:rPr>
        <w:footnoteRef/>
      </w:r>
      <w:r w:rsidRPr="009B2D87">
        <w:t xml:space="preserve"> </w:t>
      </w:r>
      <w:r w:rsidRPr="009B2D87">
        <w:rPr>
          <w:i/>
        </w:rPr>
        <w:t>See Auction 113 Procedures Public Notice</w:t>
      </w:r>
      <w:r w:rsidRPr="009B2D87">
        <w:t xml:space="preserve"> at 53–54, paras. 154–56.</w:t>
      </w:r>
    </w:p>
  </w:footnote>
  <w:footnote w:id="44">
    <w:p w:rsidR="009B2D87" w:rsidRPr="009B2D87" w:rsidP="009B2D87" w14:paraId="7F6DA61C" w14:textId="77777777">
      <w:pPr>
        <w:pStyle w:val="FootnoteText"/>
      </w:pPr>
      <w:r w:rsidRPr="009B2D87">
        <w:rPr>
          <w:rStyle w:val="FootnoteReference"/>
          <w:sz w:val="20"/>
        </w:rPr>
        <w:footnoteRef/>
      </w:r>
      <w:r w:rsidRPr="009B2D87">
        <w:rPr>
          <w:i/>
        </w:rPr>
        <w:t xml:space="preserve"> See</w:t>
      </w:r>
      <w:r w:rsidRPr="009B2D87">
        <w:t xml:space="preserve"> 47 CFR §§ 1.2105(c), 1.2109(d).</w:t>
      </w:r>
    </w:p>
  </w:footnote>
  <w:footnote w:id="45">
    <w:p w:rsidR="009B2D87" w:rsidRPr="009B2D87" w:rsidP="009B2D87" w14:paraId="2C8A7A3B" w14:textId="77777777">
      <w:pPr>
        <w:pStyle w:val="FootnoteText"/>
      </w:pPr>
      <w:r w:rsidRPr="009B2D87">
        <w:rPr>
          <w:rStyle w:val="FootnoteReference"/>
          <w:sz w:val="20"/>
        </w:rPr>
        <w:footnoteRef/>
      </w:r>
      <w:r w:rsidRPr="009B2D87">
        <w:t xml:space="preserve"> </w:t>
      </w:r>
      <w:r w:rsidRPr="009B2D87">
        <w:rPr>
          <w:i/>
        </w:rPr>
        <w:t>See Auction 113 Procedures Public Notice</w:t>
      </w:r>
      <w:r w:rsidRPr="009B2D87">
        <w:t xml:space="preserve"> at 54–55, paras. 158–59.</w:t>
      </w:r>
    </w:p>
  </w:footnote>
  <w:footnote w:id="46">
    <w:p w:rsidR="009B2D87" w:rsidRPr="009B2D87" w:rsidP="009B2D87" w14:paraId="577FFF3A" w14:textId="77777777">
      <w:pPr>
        <w:pStyle w:val="FootnoteText"/>
      </w:pPr>
      <w:r w:rsidRPr="009B2D87">
        <w:rPr>
          <w:rStyle w:val="FootnoteReference"/>
          <w:sz w:val="20"/>
        </w:rPr>
        <w:footnoteRef/>
      </w:r>
      <w:r w:rsidRPr="009B2D87">
        <w:t xml:space="preserve"> </w:t>
      </w:r>
      <w:r w:rsidRPr="009B2D87">
        <w:rPr>
          <w:i/>
        </w:rPr>
        <w:t>See</w:t>
      </w:r>
      <w:r w:rsidRPr="009B2D87">
        <w:t xml:space="preserve"> 47 CFR § 1.2109(d).</w:t>
      </w:r>
    </w:p>
  </w:footnote>
  <w:footnote w:id="47">
    <w:p w:rsidR="009B2D87" w:rsidRPr="009B2D87" w:rsidP="009B2D87" w14:paraId="646F2D15" w14:textId="77777777">
      <w:pPr>
        <w:pStyle w:val="FootnoteText"/>
      </w:pPr>
      <w:r w:rsidRPr="009B2D87">
        <w:rPr>
          <w:rStyle w:val="FootnoteReference"/>
          <w:sz w:val="20"/>
        </w:rPr>
        <w:footnoteRef/>
      </w:r>
      <w:r w:rsidRPr="009B2D87">
        <w:t xml:space="preserve"> </w:t>
      </w:r>
      <w:r w:rsidRPr="009B2D87">
        <w:rPr>
          <w:i/>
        </w:rPr>
        <w:t>See Auction 113 Procedures Public Notice</w:t>
      </w:r>
      <w:r w:rsidRPr="009B2D87">
        <w:t xml:space="preserve"> at 46–48, paras. 130–135.</w:t>
      </w:r>
    </w:p>
  </w:footnote>
  <w:footnote w:id="48">
    <w:p w:rsidR="009B2D87" w:rsidRPr="009B2D87" w:rsidP="009B2D87" w14:paraId="182176BE" w14:textId="77777777">
      <w:pPr>
        <w:pStyle w:val="FootnoteText"/>
      </w:pPr>
      <w:r w:rsidRPr="009B2D87">
        <w:rPr>
          <w:rStyle w:val="FootnoteReference"/>
          <w:sz w:val="20"/>
        </w:rPr>
        <w:footnoteRef/>
      </w:r>
      <w:r w:rsidRPr="009B2D87">
        <w:t xml:space="preserve"> 47 CFR § 1.2105(c);</w:t>
      </w:r>
      <w:r w:rsidRPr="009B2D87">
        <w:rPr>
          <w:i/>
        </w:rPr>
        <w:t xml:space="preserve"> Auction 113 Procedures Public Notice</w:t>
      </w:r>
      <w:r w:rsidRPr="009B2D87">
        <w:t xml:space="preserve"> at 48, para. 135.</w:t>
      </w:r>
    </w:p>
  </w:footnote>
  <w:footnote w:id="49">
    <w:p w:rsidR="009B2D87" w:rsidRPr="009B2D87" w:rsidP="009B2D87" w14:paraId="56D51104" w14:textId="77777777">
      <w:pPr>
        <w:pStyle w:val="FootnoteText"/>
      </w:pPr>
      <w:r w:rsidRPr="009B2D87">
        <w:rPr>
          <w:rStyle w:val="FootnoteReference"/>
          <w:sz w:val="20"/>
        </w:rPr>
        <w:footnoteRef/>
      </w:r>
      <w:r w:rsidRPr="009B2D87">
        <w:t xml:space="preserve"> The Commission has long expressed the concern that applicants should use caution in their dealings with other parties, such as members of the press, financial analysts, or others who might become a conduit for the communication of non-public information relating to auctions.  </w:t>
      </w:r>
      <w:r w:rsidRPr="009B2D87">
        <w:rPr>
          <w:i/>
        </w:rPr>
        <w:t>See Wireless Telecommunications Bureau Responds to Questions About the Local Multipoint Distribution Service Auction</w:t>
      </w:r>
      <w:r w:rsidRPr="009B2D87">
        <w:t xml:space="preserve">, Public Notice, 13 FCC </w:t>
      </w:r>
      <w:r w:rsidRPr="009B2D87">
        <w:t>Rcd</w:t>
      </w:r>
      <w:r w:rsidRPr="009B2D87">
        <w:t xml:space="preserve"> 341, 347–48 (WTB 1998) (“Public statements can give rise to collusion concerns.  This has occurred in the antitrust context, where certain public statements can support other evidence which tends to indicate the existence of a conspiracy.”).</w:t>
      </w:r>
    </w:p>
  </w:footnote>
  <w:footnote w:id="50">
    <w:p w:rsidR="009B2D87" w:rsidRPr="009B2D87" w:rsidP="009B2D87" w14:paraId="46FAB6EC" w14:textId="77777777">
      <w:pPr>
        <w:pStyle w:val="FootnoteText"/>
      </w:pPr>
      <w:r w:rsidRPr="009B2D87">
        <w:rPr>
          <w:rStyle w:val="FootnoteReference"/>
          <w:sz w:val="20"/>
        </w:rPr>
        <w:footnoteRef/>
      </w:r>
      <w:r w:rsidRPr="009B2D87">
        <w:t xml:space="preserve"> </w:t>
      </w:r>
      <w:r w:rsidRPr="009B2D87">
        <w:rPr>
          <w:i/>
        </w:rPr>
        <w:t xml:space="preserve">See Commission Announces that Mutually Exclusive “Short Form” Applications (Form 175) to Participate in Competitive Bidding Process (“Auctions”) Are Treated as Exempt for Ex </w:t>
      </w:r>
      <w:r w:rsidRPr="009B2D87">
        <w:rPr>
          <w:i/>
        </w:rPr>
        <w:t>Parte</w:t>
      </w:r>
      <w:r w:rsidRPr="009B2D87">
        <w:rPr>
          <w:i/>
        </w:rPr>
        <w:t xml:space="preserve"> Purposes</w:t>
      </w:r>
      <w:r w:rsidRPr="009B2D87">
        <w:t xml:space="preserve">, Public Notice, 9 FCC </w:t>
      </w:r>
      <w:r w:rsidRPr="009B2D87">
        <w:t>Rcd</w:t>
      </w:r>
      <w:r w:rsidRPr="009B2D87">
        <w:t xml:space="preserve"> 6760 (1994); </w:t>
      </w:r>
      <w:r w:rsidRPr="009B2D87">
        <w:rPr>
          <w:i/>
        </w:rPr>
        <w:t>see also</w:t>
      </w:r>
      <w:r w:rsidRPr="009B2D87">
        <w:t xml:space="preserve"> 47 CFR § 1.1202(d)(1) 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415F244" w14:textId="16C38981">
    <w:pPr>
      <w:tabs>
        <w:tab w:val="center" w:pos="4680"/>
        <w:tab w:val="right" w:pos="9360"/>
      </w:tabs>
    </w:pPr>
    <w:r>
      <w:rPr>
        <w:b/>
      </w:rPr>
      <w:tab/>
      <w:t>Federal Communications Commission</w:t>
    </w:r>
    <w:r>
      <w:rPr>
        <w:b/>
      </w:rPr>
      <w:tab/>
    </w:r>
    <w:r w:rsidR="009B2D87">
      <w:rPr>
        <w:b/>
      </w:rPr>
      <w:t>DA 26-273</w:t>
    </w:r>
  </w:p>
  <w:p w:rsidR="00BA3BA8" w14:paraId="58FBC7CF" w14:textId="77777777">
    <w:pPr>
      <w:tabs>
        <w:tab w:val="left" w:pos="-720"/>
      </w:tabs>
      <w:suppressAutoHyphens/>
      <w:spacing w:line="19" w:lineRule="exact"/>
      <w:rPr>
        <w:spacing w:val="-2"/>
      </w:rPr>
    </w:pPr>
    <w:r>
      <w:rPr>
        <w:noProof/>
      </w:rPr>
      <w:pict>
        <v:rect id="Rectangle 15" o:spid="_x0000_s2049" style="width:468pt;height:0.95pt;margin-top:0;margin-left:0;mso-position-horizontal-relative:margin;position:absolute;visibility:visible;z-index:-251658240" o:allowincell="f" fillcolor="black" stroked="f" strokeweight="0.05pt">
          <w10:wrap anchorx="margin"/>
        </v:rect>
      </w:pict>
    </w:r>
  </w:p>
  <w:p w:rsidR="00BA3BA8" w14:paraId="4E2D3760"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0383F28B" w14:textId="7777777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468.5pt;height:112.5pt">
          <v:imagedata r:id="rId1" o:title="PN Portrait pic"/>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11A66CC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917863191">
    <w:abstractNumId w:val="1"/>
  </w:num>
  <w:num w:numId="2" w16cid:durableId="1961186244">
    <w:abstractNumId w:val="5"/>
  </w:num>
  <w:num w:numId="3" w16cid:durableId="1414817255">
    <w:abstractNumId w:val="3"/>
  </w:num>
  <w:num w:numId="4" w16cid:durableId="305671744">
    <w:abstractNumId w:val="4"/>
  </w:num>
  <w:num w:numId="5" w16cid:durableId="277414558">
    <w:abstractNumId w:val="2"/>
  </w:num>
  <w:num w:numId="6" w16cid:durableId="45961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87"/>
    <w:rsid w:val="0002451B"/>
    <w:rsid w:val="00034ACC"/>
    <w:rsid w:val="000502A4"/>
    <w:rsid w:val="00052864"/>
    <w:rsid w:val="00056A46"/>
    <w:rsid w:val="000750F4"/>
    <w:rsid w:val="000F6866"/>
    <w:rsid w:val="00101A80"/>
    <w:rsid w:val="00105A48"/>
    <w:rsid w:val="00107B5A"/>
    <w:rsid w:val="00134B79"/>
    <w:rsid w:val="0014521B"/>
    <w:rsid w:val="00146716"/>
    <w:rsid w:val="00161F67"/>
    <w:rsid w:val="001833EB"/>
    <w:rsid w:val="001B6103"/>
    <w:rsid w:val="00231E4F"/>
    <w:rsid w:val="0027695B"/>
    <w:rsid w:val="0028073F"/>
    <w:rsid w:val="00283963"/>
    <w:rsid w:val="00287D58"/>
    <w:rsid w:val="00296E9D"/>
    <w:rsid w:val="002A36BA"/>
    <w:rsid w:val="003004E6"/>
    <w:rsid w:val="0038667B"/>
    <w:rsid w:val="00400B6C"/>
    <w:rsid w:val="00421FA5"/>
    <w:rsid w:val="00430183"/>
    <w:rsid w:val="00432630"/>
    <w:rsid w:val="00435180"/>
    <w:rsid w:val="004402D7"/>
    <w:rsid w:val="00474CE7"/>
    <w:rsid w:val="004869F3"/>
    <w:rsid w:val="004A0416"/>
    <w:rsid w:val="004A32BB"/>
    <w:rsid w:val="005712E5"/>
    <w:rsid w:val="005B2B43"/>
    <w:rsid w:val="005F72C3"/>
    <w:rsid w:val="00666343"/>
    <w:rsid w:val="00690541"/>
    <w:rsid w:val="007173DD"/>
    <w:rsid w:val="007B3C50"/>
    <w:rsid w:val="007C2769"/>
    <w:rsid w:val="00832CDC"/>
    <w:rsid w:val="00872F8C"/>
    <w:rsid w:val="00874457"/>
    <w:rsid w:val="008D1285"/>
    <w:rsid w:val="009006F7"/>
    <w:rsid w:val="009250A6"/>
    <w:rsid w:val="00961699"/>
    <w:rsid w:val="009B2D87"/>
    <w:rsid w:val="00A023AD"/>
    <w:rsid w:val="00A20679"/>
    <w:rsid w:val="00A233AC"/>
    <w:rsid w:val="00A3757F"/>
    <w:rsid w:val="00A56B61"/>
    <w:rsid w:val="00A6330A"/>
    <w:rsid w:val="00A91521"/>
    <w:rsid w:val="00A95566"/>
    <w:rsid w:val="00AB729C"/>
    <w:rsid w:val="00AD18D1"/>
    <w:rsid w:val="00AE5051"/>
    <w:rsid w:val="00B52FA5"/>
    <w:rsid w:val="00B70259"/>
    <w:rsid w:val="00B87D07"/>
    <w:rsid w:val="00BA3BA8"/>
    <w:rsid w:val="00BA77D9"/>
    <w:rsid w:val="00BF3BC0"/>
    <w:rsid w:val="00C02B11"/>
    <w:rsid w:val="00C315BE"/>
    <w:rsid w:val="00CA368D"/>
    <w:rsid w:val="00CC56D7"/>
    <w:rsid w:val="00CC65EA"/>
    <w:rsid w:val="00CF2572"/>
    <w:rsid w:val="00D21FF4"/>
    <w:rsid w:val="00D32005"/>
    <w:rsid w:val="00D825CB"/>
    <w:rsid w:val="00DA3070"/>
    <w:rsid w:val="00DB7886"/>
    <w:rsid w:val="00DD5A88"/>
    <w:rsid w:val="00DE5946"/>
    <w:rsid w:val="00DF440C"/>
    <w:rsid w:val="00E46FCE"/>
    <w:rsid w:val="00E5449C"/>
    <w:rsid w:val="00EF466B"/>
    <w:rsid w:val="00F03EA1"/>
    <w:rsid w:val="00F072E3"/>
    <w:rsid w:val="00F807F4"/>
    <w:rsid w:val="00FB5B54"/>
    <w:rsid w:val="1FB5EA85"/>
    <w:rsid w:val="3A052725"/>
    <w:rsid w:val="65C0C3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081536"/>
  <w15:chartTrackingRefBased/>
  <w15:docId w15:val="{3E45B161-03F2-4F9D-91AE-96743B35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aliases w:val="Heading 1 Char Char Char,Heading 1 Char Char Char Char Char Char,Heading 1 Char Char1,Heading 1 Char Char1 Char,Heading 1 Char1 Char,Heading 1 Char1 Char Char Char2 Char,Heading 1 Char2,Heading 1 Char2 Char Char1 Char"/>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 Char1,Heading 2 Char Char1 Char Char,Heading 2 Char Char2,Heading 2 Char Char3 Char,Heading 2 Char1 Char,Heading 2 Char1 Char Char,Heading 2 Char1 Char Char Char,Heading 2 Char2,UNDERRUBRIK 1-2 Char,h2 Char"/>
    <w:basedOn w:val="Normal"/>
    <w:next w:val="ParaNum"/>
    <w:autoRedefine/>
    <w:qFormat/>
    <w:rsid w:val="009B2D87"/>
    <w:pPr>
      <w:keepNext/>
      <w:widowControl/>
      <w:numPr>
        <w:ilvl w:val="1"/>
        <w:numId w:val="3"/>
      </w:numPr>
      <w:spacing w:after="120"/>
      <w:outlineLvl w:val="1"/>
    </w:pPr>
    <w:rPr>
      <w:b/>
    </w:rPr>
  </w:style>
  <w:style w:type="paragraph" w:styleId="Heading3">
    <w:name w:val="heading 3"/>
    <w:aliases w:val="1,1 Char,3,3 Char,31,31 Char,?? 3,?? 3 Char,Heading 3 Char Char Char Char,Heading 3 Char Char Char Char Char,Heading 3 Char1,Heading 3 Char1 Char Char,Heading 3 Char2 Char1 Char Char,Titre 3,Titre 3 Char,Titre 31,Titre 31 Char"/>
    <w:basedOn w:val="Normal"/>
    <w:next w:val="ParaNum"/>
    <w:qFormat/>
    <w:pPr>
      <w:keepNext/>
      <w:numPr>
        <w:ilvl w:val="2"/>
        <w:numId w:val="3"/>
      </w:numPr>
      <w:tabs>
        <w:tab w:val="left" w:pos="2160"/>
      </w:tabs>
      <w:spacing w:after="120"/>
      <w:outlineLvl w:val="2"/>
    </w:pPr>
    <w:rPr>
      <w:b/>
    </w:rPr>
  </w:style>
  <w:style w:type="paragraph" w:styleId="Heading4">
    <w:name w:val="heading 4"/>
    <w:aliases w:val="Heading 4 Char Char Char Char Char Char1,Heading 4 Char Char Char1 Char Char1,Heading 4 Char Char1 Char Char1,Heading 4 Char1 Char,Heading 4 Char1 Char Char Char Char1,Heading 4 Char1 Char1 Char Char1,Heading 4 Char2 Char Char1"/>
    <w:basedOn w:val="Normal"/>
    <w:next w:val="ParaNum"/>
    <w:qFormat/>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aliases w:val="9,Heading 9.table,Titre 9,Topic,t,table"/>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link w:val="ParaNumChar"/>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 Char1,Footnote Text Char Char Char,Footnote Text Char1 Char,Footnote Text Char1 Char Char Char1,Footnote Text Char1 Char1 Char,Footnote Text Char2 Char,Footnote Text Char2 Char Char Char,Footnote Text Char3,f,fn,fn Ch,fn Char"/>
    <w:link w:val="FootnoteTextChar"/>
    <w:qFormat/>
    <w:pPr>
      <w:spacing w:after="120"/>
    </w:p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R"/>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1 Char,Footnote Text Char Char Char Char,Footnote Text Char1 Char Char,Footnote Text Char1 Char Char Char1 Char,Footnote Text Char1 Char1 Char Char,Footnote Text Char2 Char Char,Footnote Text Char3 Char,f Char"/>
    <w:link w:val="FootnoteText"/>
    <w:rsid w:val="009B2D87"/>
  </w:style>
  <w:style w:type="character" w:customStyle="1" w:styleId="ParaNumChar">
    <w:name w:val="ParaNum Char"/>
    <w:link w:val="ParaNum"/>
    <w:locked/>
    <w:rsid w:val="009B2D87"/>
    <w:rPr>
      <w:snapToGrid w:val="0"/>
      <w:kern w:val="28"/>
      <w:sz w:val="22"/>
    </w:rPr>
  </w:style>
  <w:style w:type="character" w:styleId="CommentReference">
    <w:name w:val="annotation reference"/>
    <w:uiPriority w:val="99"/>
    <w:semiHidden/>
    <w:unhideWhenUsed/>
    <w:rsid w:val="009B2D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cc.gov/auction/113" TargetMode="External" /><Relationship Id="rId11" Type="http://schemas.openxmlformats.org/officeDocument/2006/relationships/hyperlink" Target="mailto:fcc504@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auction113@fcc.gov" TargetMode="External" /><Relationship Id="rId7" Type="http://schemas.openxmlformats.org/officeDocument/2006/relationships/hyperlink" Target="mailto:RROGWireFaxes@fcc.gov" TargetMode="External" /><Relationship Id="rId8" Type="http://schemas.openxmlformats.org/officeDocument/2006/relationships/hyperlink" Target="https://apps.fcc.gov/cores/userLogin.do" TargetMode="External" /><Relationship Id="rId9" Type="http://schemas.openxmlformats.org/officeDocument/2006/relationships/hyperlink" Target="https://apps.fcc.gov/cores/publicHome.do?help=true&amp;csfrToke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auction/113" TargetMode="External" /><Relationship Id="rId2" Type="http://schemas.openxmlformats.org/officeDocument/2006/relationships/hyperlink" Target="https://apps.fcc.gov/cores/userLogin.do" TargetMode="External" /><Relationship Id="rId3" Type="http://schemas.openxmlformats.org/officeDocument/2006/relationships/hyperlink" Target="mailto:auction113@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