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54DB6FE6" w14:textId="77777777">
      <w:pPr>
        <w:jc w:val="right"/>
        <w:rPr>
          <w:sz w:val="24"/>
        </w:rPr>
      </w:pPr>
    </w:p>
    <w:p w:rsidR="00BA3BA8" w14:paraId="75783260" w14:textId="35D3C4B2">
      <w:pPr>
        <w:jc w:val="right"/>
        <w:rPr>
          <w:b/>
          <w:sz w:val="24"/>
        </w:rPr>
      </w:pPr>
      <w:r>
        <w:rPr>
          <w:b/>
          <w:sz w:val="24"/>
        </w:rPr>
        <w:t>DA 26-</w:t>
      </w:r>
      <w:r w:rsidR="00455879">
        <w:rPr>
          <w:b/>
          <w:sz w:val="24"/>
        </w:rPr>
        <w:t>278</w:t>
      </w:r>
    </w:p>
    <w:p w:rsidR="00BA3BA8" w14:paraId="1F318297" w14:textId="7667CAFF">
      <w:pPr>
        <w:spacing w:before="60"/>
        <w:jc w:val="right"/>
        <w:rPr>
          <w:b/>
          <w:sz w:val="24"/>
        </w:rPr>
      </w:pPr>
      <w:r>
        <w:rPr>
          <w:b/>
          <w:sz w:val="24"/>
        </w:rPr>
        <w:t xml:space="preserve">Released:  </w:t>
      </w:r>
      <w:r w:rsidR="0091050D">
        <w:rPr>
          <w:b/>
          <w:sz w:val="24"/>
        </w:rPr>
        <w:t xml:space="preserve">March </w:t>
      </w:r>
      <w:r w:rsidR="00C742E7">
        <w:rPr>
          <w:b/>
          <w:sz w:val="24"/>
        </w:rPr>
        <w:t>23</w:t>
      </w:r>
      <w:r w:rsidR="0091050D">
        <w:rPr>
          <w:b/>
          <w:sz w:val="24"/>
        </w:rPr>
        <w:t>, 2026</w:t>
      </w:r>
    </w:p>
    <w:p w:rsidR="00BA3BA8" w:rsidP="00451A55" w14:paraId="496BA7A8" w14:textId="5E5CD7AE">
      <w:pPr>
        <w:rPr>
          <w:sz w:val="24"/>
        </w:rPr>
      </w:pPr>
    </w:p>
    <w:p w:rsidR="00BA3BA8" w14:paraId="420BB8D7" w14:textId="144D53AD">
      <w:pPr>
        <w:spacing w:after="240"/>
        <w:jc w:val="center"/>
        <w:rPr>
          <w:rFonts w:ascii="Times New Roman Bold" w:hAnsi="Times New Roman Bold"/>
          <w:b/>
          <w:caps/>
          <w:sz w:val="24"/>
        </w:rPr>
      </w:pPr>
      <w:r>
        <w:rPr>
          <w:rFonts w:ascii="Times New Roman Bold" w:hAnsi="Times New Roman Bold"/>
          <w:b/>
          <w:caps/>
          <w:sz w:val="24"/>
        </w:rPr>
        <w:t xml:space="preserve">FCC’s </w:t>
      </w:r>
      <w:r w:rsidR="005822C3">
        <w:rPr>
          <w:rFonts w:ascii="Times New Roman Bold" w:hAnsi="Times New Roman Bold"/>
          <w:b/>
          <w:caps/>
          <w:sz w:val="24"/>
        </w:rPr>
        <w:t>public safety and homeland security bureau announces addition of</w:t>
      </w:r>
      <w:r w:rsidR="006C1723">
        <w:rPr>
          <w:rFonts w:ascii="Times New Roman Bold" w:hAnsi="Times New Roman Bold"/>
          <w:b/>
          <w:caps/>
          <w:sz w:val="24"/>
        </w:rPr>
        <w:t xml:space="preserve"> routers </w:t>
      </w:r>
      <w:r w:rsidR="00E80BDB">
        <w:rPr>
          <w:rFonts w:ascii="Times New Roman Bold" w:hAnsi="Times New Roman Bold"/>
          <w:b/>
          <w:caps/>
          <w:sz w:val="24"/>
        </w:rPr>
        <w:t xml:space="preserve">produced in foreign countries </w:t>
      </w:r>
      <w:r w:rsidR="005822C3">
        <w:rPr>
          <w:rFonts w:ascii="Times New Roman Bold" w:hAnsi="Times New Roman Bold"/>
          <w:b/>
          <w:caps/>
          <w:sz w:val="24"/>
        </w:rPr>
        <w:t xml:space="preserve">to </w:t>
      </w:r>
      <w:r w:rsidR="00B30087">
        <w:rPr>
          <w:rFonts w:ascii="Times New Roman Bold" w:hAnsi="Times New Roman Bold"/>
          <w:b/>
          <w:caps/>
          <w:sz w:val="24"/>
        </w:rPr>
        <w:t>fcc covered list</w:t>
      </w:r>
    </w:p>
    <w:p w:rsidR="0082508C" w:rsidP="0082508C" w14:paraId="73B67FEC" w14:textId="77777777">
      <w:pPr>
        <w:jc w:val="center"/>
        <w:rPr>
          <w:b/>
          <w:sz w:val="24"/>
        </w:rPr>
      </w:pPr>
      <w:r>
        <w:rPr>
          <w:b/>
          <w:sz w:val="24"/>
        </w:rPr>
        <w:t xml:space="preserve">WC Docket No. 18-89, ET Docket No. 21-232, EA Docket No. 21-233 </w:t>
      </w:r>
    </w:p>
    <w:p w:rsidR="00BA3BA8" w14:paraId="734A4FCB" w14:textId="08E5D203">
      <w:pPr>
        <w:jc w:val="center"/>
        <w:rPr>
          <w:b/>
          <w:sz w:val="24"/>
        </w:rPr>
      </w:pPr>
    </w:p>
    <w:p w:rsidR="00E10B3A" w:rsidP="00D4215A" w14:paraId="22B41633" w14:textId="27A20EAF">
      <w:pPr>
        <w:ind w:firstLine="720"/>
      </w:pPr>
      <w:bookmarkStart w:id="0" w:name="TOChere"/>
      <w:r>
        <w:t xml:space="preserve">The Federal Communications Commission’s (FCC or Commission) Public Safety and Homeland Security Bureau (PSHSB) maintains a list of equipment and services (Covered List) </w:t>
      </w:r>
      <w:r w:rsidRPr="00773C59">
        <w:t>that ha</w:t>
      </w:r>
      <w:r>
        <w:t>ve</w:t>
      </w:r>
      <w:r w:rsidRPr="00773C59">
        <w:t xml:space="preserve"> been determined to “pose an unacceptable risk to the national security of the United States or the security and safety of United States persons</w:t>
      </w:r>
      <w:r>
        <w:t>.</w:t>
      </w:r>
      <w:r w:rsidRPr="00773C59">
        <w:t>”</w:t>
      </w:r>
      <w:r>
        <w:rPr>
          <w:rStyle w:val="FootnoteReference"/>
        </w:rPr>
        <w:footnoteReference w:id="3"/>
      </w:r>
      <w:r w:rsidRPr="00773C59">
        <w:t xml:space="preserve"> </w:t>
      </w:r>
      <w:r>
        <w:t xml:space="preserve"> </w:t>
      </w:r>
      <w:r w:rsidRPr="00733757">
        <w:t xml:space="preserve">Pursuant to </w:t>
      </w:r>
      <w:r>
        <w:t>section 2 of the Secure and Trusted Communications Networks Act of 2019 (Secure Networks Act)</w:t>
      </w:r>
      <w:r>
        <w:rPr>
          <w:rStyle w:val="FootnoteReference"/>
        </w:rPr>
        <w:footnoteReference w:id="4"/>
      </w:r>
      <w:r w:rsidR="00D8162F">
        <w:t xml:space="preserve"> </w:t>
      </w:r>
      <w:r w:rsidRPr="00733757" w:rsidR="00D8162F">
        <w:t>and section</w:t>
      </w:r>
      <w:r w:rsidR="00D8162F">
        <w:t>s</w:t>
      </w:r>
      <w:r w:rsidRPr="00733757" w:rsidR="00D8162F">
        <w:t xml:space="preserve"> 1.50002</w:t>
      </w:r>
      <w:r w:rsidR="00D8162F">
        <w:t>(a)</w:t>
      </w:r>
      <w:r w:rsidRPr="00733757" w:rsidR="00D8162F">
        <w:t xml:space="preserve"> and 1.50003</w:t>
      </w:r>
      <w:r w:rsidR="00D8162F">
        <w:t xml:space="preserve"> </w:t>
      </w:r>
      <w:r w:rsidRPr="00733757" w:rsidR="00D8162F">
        <w:t xml:space="preserve">of the </w:t>
      </w:r>
      <w:r w:rsidR="00D8162F">
        <w:t>Commission’s</w:t>
      </w:r>
      <w:r w:rsidRPr="00733757" w:rsidR="00D8162F">
        <w:t xml:space="preserve"> rules,</w:t>
      </w:r>
      <w:r>
        <w:rPr>
          <w:rStyle w:val="FootnoteReference"/>
        </w:rPr>
        <w:footnoteReference w:id="5"/>
      </w:r>
      <w:r w:rsidRPr="00733757" w:rsidR="00D8162F">
        <w:t xml:space="preserve"> </w:t>
      </w:r>
      <w:r w:rsidR="00D8162F">
        <w:t>PSHSB</w:t>
      </w:r>
      <w:r w:rsidRPr="00733757" w:rsidR="00D8162F">
        <w:t xml:space="preserve"> announce</w:t>
      </w:r>
      <w:r w:rsidR="00D8162F">
        <w:t>s the addition of</w:t>
      </w:r>
      <w:r w:rsidR="001F2A69">
        <w:t xml:space="preserve"> router</w:t>
      </w:r>
      <w:r w:rsidR="00C742E7">
        <w:t>s</w:t>
      </w:r>
      <w:r w:rsidR="001F2A69">
        <w:t xml:space="preserve"> produced in </w:t>
      </w:r>
      <w:r w:rsidR="00FC5689">
        <w:t xml:space="preserve">a </w:t>
      </w:r>
      <w:r w:rsidR="001F2A69">
        <w:t>foreign countr</w:t>
      </w:r>
      <w:r w:rsidR="00FC5689">
        <w:t>y</w:t>
      </w:r>
      <w:r w:rsidR="001F2A69">
        <w:t xml:space="preserve"> </w:t>
      </w:r>
      <w:r w:rsidR="00D8162F">
        <w:t xml:space="preserve">to the Covered List.  </w:t>
      </w:r>
      <w:r w:rsidR="006E143A">
        <w:t>We make th</w:t>
      </w:r>
      <w:r w:rsidR="0090012B">
        <w:t>is</w:t>
      </w:r>
      <w:r w:rsidR="006E143A">
        <w:t xml:space="preserve"> addition</w:t>
      </w:r>
      <w:r w:rsidR="0090012B">
        <w:t xml:space="preserve"> </w:t>
      </w:r>
      <w:r w:rsidR="006E143A">
        <w:t xml:space="preserve">to the Covered List based on </w:t>
      </w:r>
      <w:r w:rsidR="00845DD2">
        <w:t xml:space="preserve">a </w:t>
      </w:r>
      <w:r w:rsidRPr="00E25CDC" w:rsidR="006E143A">
        <w:t>National Security Determination</w:t>
      </w:r>
      <w:r w:rsidR="00845DD2">
        <w:t xml:space="preserve"> </w:t>
      </w:r>
      <w:r w:rsidRPr="00E25CDC" w:rsidR="006E143A">
        <w:t>made by an Executive Branch interagency body with appropriate national security expertise, including appropriate national security agencies.</w:t>
      </w:r>
      <w:r>
        <w:rPr>
          <w:rStyle w:val="FootnoteReference"/>
        </w:rPr>
        <w:footnoteReference w:id="6"/>
      </w:r>
    </w:p>
    <w:p w:rsidR="00D4215A" w:rsidP="00943CB4" w14:paraId="1C68A7BB" w14:textId="77777777">
      <w:pPr>
        <w:ind w:firstLine="720"/>
      </w:pPr>
    </w:p>
    <w:p w:rsidR="009E760D" w:rsidP="00D4215A" w14:paraId="545FDC36" w14:textId="2CBF22B0">
      <w:pPr>
        <w:ind w:firstLine="720"/>
      </w:pPr>
      <w:r w:rsidRPr="00F77920">
        <w:rPr>
          <w:u w:val="single"/>
        </w:rPr>
        <w:t>National Security Determination</w:t>
      </w:r>
      <w:r w:rsidR="00F77920">
        <w:rPr>
          <w:u w:val="single"/>
        </w:rPr>
        <w:t>.</w:t>
      </w:r>
      <w:r w:rsidR="00F77920">
        <w:t xml:space="preserve">  </w:t>
      </w:r>
      <w:r w:rsidRPr="593CAB10">
        <w:t>On</w:t>
      </w:r>
      <w:r>
        <w:t xml:space="preserve"> </w:t>
      </w:r>
      <w:r w:rsidR="00CF41BC">
        <w:t xml:space="preserve">March </w:t>
      </w:r>
      <w:r w:rsidRPr="00C742E7" w:rsidR="00A96850">
        <w:t>20</w:t>
      </w:r>
      <w:r w:rsidR="00CF41BC">
        <w:t>, 2026</w:t>
      </w:r>
      <w:r w:rsidRPr="593CAB10">
        <w:t xml:space="preserve">, </w:t>
      </w:r>
      <w:r w:rsidR="00D4215A">
        <w:t>the FCC</w:t>
      </w:r>
      <w:r w:rsidRPr="593CAB10">
        <w:t xml:space="preserve"> received</w:t>
      </w:r>
      <w:r w:rsidR="00CB063E">
        <w:t xml:space="preserve"> </w:t>
      </w:r>
      <w:r w:rsidR="00F77920">
        <w:t xml:space="preserve">a </w:t>
      </w:r>
      <w:r w:rsidRPr="00FE725F">
        <w:t>National Security Determination</w:t>
      </w:r>
      <w:r w:rsidR="00F77920">
        <w:t xml:space="preserve"> </w:t>
      </w:r>
      <w:r w:rsidRPr="53CC640B">
        <w:t xml:space="preserve">regarding the </w:t>
      </w:r>
      <w:r>
        <w:t>unacceptable risks</w:t>
      </w:r>
      <w:r w:rsidRPr="003F287F">
        <w:rPr>
          <w:szCs w:val="22"/>
        </w:rPr>
        <w:t xml:space="preserve"> </w:t>
      </w:r>
      <w:r w:rsidRPr="53CC640B">
        <w:t xml:space="preserve">posed by </w:t>
      </w:r>
      <w:r w:rsidR="003E72AF">
        <w:t>routers produced in foreign countries.</w:t>
      </w:r>
      <w:r w:rsidR="00080A77">
        <w:t xml:space="preserve">  Among other points, the National Security Determination </w:t>
      </w:r>
      <w:r w:rsidR="00FD285E">
        <w:t>states:</w:t>
      </w:r>
    </w:p>
    <w:p w:rsidR="00D4215A" w:rsidP="00943CB4" w14:paraId="37CB527C" w14:textId="77777777">
      <w:pPr>
        <w:ind w:firstLine="720"/>
      </w:pPr>
    </w:p>
    <w:p w:rsidR="009E760D" w:rsidP="00D4215A" w14:paraId="38B38635" w14:textId="45A9F6DE">
      <w:pPr>
        <w:ind w:left="1440" w:right="1440"/>
        <w:rPr>
          <w:szCs w:val="22"/>
        </w:rPr>
      </w:pPr>
      <w:r w:rsidRPr="00DD6F7D">
        <w:rPr>
          <w:szCs w:val="22"/>
        </w:rPr>
        <w:t xml:space="preserve">“Recently, </w:t>
      </w:r>
      <w:r w:rsidRPr="00DD6F7D">
        <w:rPr>
          <w:szCs w:val="22"/>
        </w:rPr>
        <w:t>malicious state and non-state sponsored cyber attackers have increasingly leveraged the vulnerabilities in small and home office routers produced abroad to carry out direct attacks against American civilians in their homes.</w:t>
      </w:r>
      <w:r w:rsidRPr="00DD6F7D" w:rsidR="00DD6F7D">
        <w:rPr>
          <w:szCs w:val="22"/>
        </w:rPr>
        <w:t xml:space="preserve"> </w:t>
      </w:r>
      <w:r w:rsidRPr="00DD6F7D">
        <w:rPr>
          <w:szCs w:val="22"/>
        </w:rPr>
        <w:t xml:space="preserve"> From disrupting network connectivity to enabling local networking espionage and intellectual property theft, foreign-produced routers present unacceptable risks to Americans. </w:t>
      </w:r>
      <w:r w:rsidRPr="00DD6F7D" w:rsidR="00DD6F7D">
        <w:rPr>
          <w:szCs w:val="22"/>
        </w:rPr>
        <w:t xml:space="preserve"> </w:t>
      </w:r>
      <w:r w:rsidRPr="00DD6F7D">
        <w:rPr>
          <w:szCs w:val="22"/>
        </w:rPr>
        <w:t xml:space="preserve">Additionally, routers produced abroad were directly implicated in the </w:t>
      </w:r>
      <w:r w:rsidRPr="00DD6F7D">
        <w:rPr>
          <w:szCs w:val="22"/>
        </w:rPr>
        <w:t xml:space="preserve">Volt, Flax, and Salt Typhoon cyberattacks which targeted critical American communications, energy, transportation, and water infrastructure. </w:t>
      </w:r>
      <w:r w:rsidRPr="00DD6F7D" w:rsidR="00DD6F7D">
        <w:rPr>
          <w:szCs w:val="22"/>
        </w:rPr>
        <w:t xml:space="preserve"> </w:t>
      </w:r>
      <w:r w:rsidRPr="00DD6F7D">
        <w:rPr>
          <w:szCs w:val="22"/>
        </w:rPr>
        <w:t>Routers in the United States must have trusted supply chains so we are not providing foreign actors with a built-in backdoor to American homes, businesses, critical infrastructure, and emergency services.</w:t>
      </w:r>
      <w:r w:rsidR="001477E2">
        <w:rPr>
          <w:szCs w:val="22"/>
        </w:rPr>
        <w:t>”</w:t>
      </w:r>
      <w:r>
        <w:rPr>
          <w:rStyle w:val="FootnoteReference"/>
          <w:szCs w:val="22"/>
        </w:rPr>
        <w:footnoteReference w:id="7"/>
      </w:r>
    </w:p>
    <w:p w:rsidR="00D4215A" w:rsidRPr="00DD6F7D" w:rsidP="00943CB4" w14:paraId="28CA10E1" w14:textId="77777777">
      <w:pPr>
        <w:ind w:left="1440" w:right="1440"/>
        <w:rPr>
          <w:szCs w:val="22"/>
        </w:rPr>
      </w:pPr>
    </w:p>
    <w:p w:rsidR="00E80304" w:rsidP="00D4215A" w14:paraId="5CB6E459" w14:textId="5FD997BE">
      <w:pPr>
        <w:ind w:firstLine="720"/>
        <w:rPr>
          <w:szCs w:val="22"/>
        </w:rPr>
      </w:pPr>
      <w:r>
        <w:t>As a result of the threats described in the National Security Determination, t</w:t>
      </w:r>
      <w:r w:rsidR="00C41CA4">
        <w:t xml:space="preserve">he Executive Branch interagency body </w:t>
      </w:r>
      <w:r>
        <w:t xml:space="preserve">determined that </w:t>
      </w:r>
      <w:r w:rsidR="008E3B88">
        <w:rPr>
          <w:szCs w:val="22"/>
        </w:rPr>
        <w:t>routers produced in foreign countries</w:t>
      </w:r>
      <w:r w:rsidR="00D04771">
        <w:rPr>
          <w:szCs w:val="22"/>
        </w:rPr>
        <w:t>, regardless of nationality of the producer,</w:t>
      </w:r>
      <w:r w:rsidR="008E3B88">
        <w:rPr>
          <w:szCs w:val="22"/>
        </w:rPr>
        <w:t xml:space="preserve"> pose </w:t>
      </w:r>
      <w:r w:rsidR="00C82375">
        <w:rPr>
          <w:szCs w:val="22"/>
        </w:rPr>
        <w:t xml:space="preserve">the following </w:t>
      </w:r>
      <w:r w:rsidR="008E3B88">
        <w:rPr>
          <w:szCs w:val="22"/>
        </w:rPr>
        <w:t>un</w:t>
      </w:r>
      <w:r w:rsidR="00D10919">
        <w:rPr>
          <w:szCs w:val="22"/>
        </w:rPr>
        <w:t xml:space="preserve">acceptable risks </w:t>
      </w:r>
      <w:r w:rsidR="00807476">
        <w:rPr>
          <w:szCs w:val="22"/>
        </w:rPr>
        <w:t>to the United States</w:t>
      </w:r>
      <w:r w:rsidR="00C82375">
        <w:rPr>
          <w:szCs w:val="22"/>
        </w:rPr>
        <w:t>:  “(1)</w:t>
      </w:r>
      <w:r w:rsidRPr="00C82375" w:rsidR="00C82375">
        <w:rPr>
          <w:szCs w:val="22"/>
        </w:rPr>
        <w:t xml:space="preserve"> </w:t>
      </w:r>
      <w:r w:rsidR="00C82375">
        <w:rPr>
          <w:szCs w:val="22"/>
        </w:rPr>
        <w:t>introducing a</w:t>
      </w:r>
      <w:r w:rsidR="003D383A">
        <w:rPr>
          <w:szCs w:val="22"/>
        </w:rPr>
        <w:t xml:space="preserve"> supply chain vulnerability that could disrupt the U.S. economy, critical infrastructure, and national defense; and (2) establishing a severe cybersecurity risk that could be leveraged to immediately and severely disrupt U.S. critical infrastructure and directly harm U.S. persons.”</w:t>
      </w:r>
      <w:r>
        <w:rPr>
          <w:rStyle w:val="FootnoteReference"/>
          <w:szCs w:val="22"/>
        </w:rPr>
        <w:footnoteReference w:id="8"/>
      </w:r>
      <w:r w:rsidR="007C0D6D">
        <w:rPr>
          <w:szCs w:val="22"/>
        </w:rPr>
        <w:t xml:space="preserve">  </w:t>
      </w:r>
    </w:p>
    <w:p w:rsidR="00D4215A" w:rsidP="00943CB4" w14:paraId="2BE0082F" w14:textId="77777777">
      <w:pPr>
        <w:ind w:firstLine="720"/>
        <w:rPr>
          <w:szCs w:val="22"/>
        </w:rPr>
      </w:pPr>
    </w:p>
    <w:p w:rsidR="005B318B" w:rsidP="00D4215A" w14:paraId="38B0F9B0" w14:textId="36744AAF">
      <w:pPr>
        <w:ind w:firstLine="720"/>
        <w:rPr>
          <w:szCs w:val="22"/>
        </w:rPr>
      </w:pPr>
      <w:r>
        <w:rPr>
          <w:szCs w:val="22"/>
        </w:rPr>
        <w:t xml:space="preserve">Based on these findings, the </w:t>
      </w:r>
      <w:r w:rsidR="009C7DA3">
        <w:rPr>
          <w:szCs w:val="22"/>
        </w:rPr>
        <w:t>Executive</w:t>
      </w:r>
      <w:r w:rsidR="00AC059B">
        <w:rPr>
          <w:szCs w:val="22"/>
        </w:rPr>
        <w:t xml:space="preserve"> </w:t>
      </w:r>
      <w:r>
        <w:rPr>
          <w:szCs w:val="22"/>
        </w:rPr>
        <w:t>Branch interagency body</w:t>
      </w:r>
      <w:r>
        <w:t>, including several appropriate national security agencies,</w:t>
      </w:r>
      <w:r w:rsidRPr="53CC640B">
        <w:t xml:space="preserve"> concluded that </w:t>
      </w:r>
      <w:r>
        <w:t>t</w:t>
      </w:r>
      <w:r w:rsidRPr="53CC640B">
        <w:t xml:space="preserve">he following </w:t>
      </w:r>
      <w:r>
        <w:t>equipment and services</w:t>
      </w:r>
      <w:r>
        <w:rPr>
          <w:szCs w:val="22"/>
        </w:rPr>
        <w:t xml:space="preserve"> </w:t>
      </w:r>
      <w:r w:rsidRPr="53CC640B">
        <w:t>should be added to the FCC’s Covered List because they</w:t>
      </w:r>
      <w:r>
        <w:rPr>
          <w:szCs w:val="22"/>
        </w:rPr>
        <w:t xml:space="preserve"> </w:t>
      </w:r>
      <w:r w:rsidRPr="53CC640B">
        <w:t>pose an unacceptable risk to the national security of the United States and to the safety and security of U.S. persons</w:t>
      </w:r>
      <w:r>
        <w:rPr>
          <w:szCs w:val="22"/>
        </w:rPr>
        <w:t>:</w:t>
      </w:r>
      <w:r w:rsidR="003A1B32">
        <w:rPr>
          <w:szCs w:val="22"/>
        </w:rPr>
        <w:t xml:space="preserve">  </w:t>
      </w:r>
      <w:r>
        <w:rPr>
          <w:szCs w:val="22"/>
        </w:rPr>
        <w:t>Routers produced in a foreign country,</w:t>
      </w:r>
      <w:r w:rsidR="000D45D2">
        <w:rPr>
          <w:szCs w:val="22"/>
        </w:rPr>
        <w:t xml:space="preserve"> </w:t>
      </w:r>
      <w:r>
        <w:rPr>
          <w:szCs w:val="22"/>
        </w:rPr>
        <w:t>unless the D</w:t>
      </w:r>
      <w:r w:rsidR="00D04771">
        <w:rPr>
          <w:szCs w:val="22"/>
        </w:rPr>
        <w:t>epartment of War</w:t>
      </w:r>
      <w:r>
        <w:rPr>
          <w:szCs w:val="22"/>
        </w:rPr>
        <w:t xml:space="preserve"> </w:t>
      </w:r>
      <w:r w:rsidR="000207B9">
        <w:rPr>
          <w:szCs w:val="22"/>
        </w:rPr>
        <w:t>(</w:t>
      </w:r>
      <w:r w:rsidR="000207B9">
        <w:rPr>
          <w:szCs w:val="22"/>
        </w:rPr>
        <w:t>DoW</w:t>
      </w:r>
      <w:r w:rsidR="000207B9">
        <w:rPr>
          <w:szCs w:val="22"/>
        </w:rPr>
        <w:t xml:space="preserve">) </w:t>
      </w:r>
      <w:r>
        <w:rPr>
          <w:szCs w:val="22"/>
        </w:rPr>
        <w:t xml:space="preserve">or </w:t>
      </w:r>
      <w:r w:rsidR="00D04771">
        <w:rPr>
          <w:szCs w:val="22"/>
        </w:rPr>
        <w:t xml:space="preserve">the </w:t>
      </w:r>
      <w:r>
        <w:rPr>
          <w:szCs w:val="22"/>
        </w:rPr>
        <w:t>D</w:t>
      </w:r>
      <w:r w:rsidR="000207B9">
        <w:rPr>
          <w:szCs w:val="22"/>
        </w:rPr>
        <w:t>epartment of Homeland Security (D</w:t>
      </w:r>
      <w:r>
        <w:rPr>
          <w:szCs w:val="22"/>
        </w:rPr>
        <w:t>HS</w:t>
      </w:r>
      <w:r w:rsidR="000207B9">
        <w:rPr>
          <w:szCs w:val="22"/>
        </w:rPr>
        <w:t>)</w:t>
      </w:r>
      <w:r>
        <w:rPr>
          <w:szCs w:val="22"/>
        </w:rPr>
        <w:t xml:space="preserve"> transmits to the FCC a specific determination that a given router or class of routers do</w:t>
      </w:r>
      <w:r w:rsidR="006079EB">
        <w:rPr>
          <w:szCs w:val="22"/>
        </w:rPr>
        <w:t>es</w:t>
      </w:r>
      <w:r>
        <w:rPr>
          <w:szCs w:val="22"/>
        </w:rPr>
        <w:t xml:space="preserve"> not pose such risks.</w:t>
      </w:r>
      <w:r>
        <w:rPr>
          <w:rStyle w:val="FootnoteReference"/>
          <w:szCs w:val="22"/>
        </w:rPr>
        <w:footnoteReference w:id="9"/>
      </w:r>
    </w:p>
    <w:p w:rsidR="00D4215A" w:rsidP="00943CB4" w14:paraId="3E23C4FE" w14:textId="77777777">
      <w:pPr>
        <w:ind w:firstLine="720"/>
        <w:rPr>
          <w:szCs w:val="22"/>
        </w:rPr>
      </w:pPr>
    </w:p>
    <w:p w:rsidR="00B75B35" w:rsidP="00D4215A" w14:paraId="50A1637E" w14:textId="1AF1BA63">
      <w:pPr>
        <w:ind w:firstLine="720"/>
      </w:pPr>
      <w:r w:rsidRPr="005810D0">
        <w:rPr>
          <w:u w:val="single"/>
        </w:rPr>
        <w:t>The Covered List</w:t>
      </w:r>
      <w:r w:rsidR="005810D0">
        <w:rPr>
          <w:u w:val="single"/>
        </w:rPr>
        <w:t>.</w:t>
      </w:r>
      <w:r w:rsidR="005810D0">
        <w:t xml:space="preserve">  </w:t>
      </w:r>
      <w:r w:rsidR="00836753">
        <w:t>We find that</w:t>
      </w:r>
      <w:r w:rsidRPr="007A1C31" w:rsidR="00836753">
        <w:t xml:space="preserve"> </w:t>
      </w:r>
      <w:r w:rsidR="00836753">
        <w:t>the National Security Determination</w:t>
      </w:r>
      <w:r w:rsidR="0006680B">
        <w:t xml:space="preserve"> </w:t>
      </w:r>
      <w:r w:rsidR="00836753">
        <w:t>constitute</w:t>
      </w:r>
      <w:r w:rsidR="0006680B">
        <w:t>s</w:t>
      </w:r>
      <w:r w:rsidR="00C14FEF">
        <w:t xml:space="preserve"> </w:t>
      </w:r>
      <w:r w:rsidR="00836753">
        <w:t>a specific determination of an unacceptable risk to the national security of the United States or the security or safety of United States persons pursuant to section 2 of the Secure Networks Act.</w:t>
      </w:r>
      <w:r>
        <w:rPr>
          <w:rStyle w:val="FootnoteReference"/>
        </w:rPr>
        <w:footnoteReference w:id="10"/>
      </w:r>
      <w:r w:rsidR="00836753">
        <w:t xml:space="preserve">  Therefore, we conclude that the Commission is required to place the equipment and services in th</w:t>
      </w:r>
      <w:r w:rsidR="00E6578D">
        <w:t xml:space="preserve">is </w:t>
      </w:r>
      <w:r w:rsidR="00836753">
        <w:t>determination on the Covered List.</w:t>
      </w:r>
      <w:r>
        <w:rPr>
          <w:rStyle w:val="FootnoteReference"/>
        </w:rPr>
        <w:footnoteReference w:id="11"/>
      </w:r>
      <w:r w:rsidR="00836753">
        <w:t xml:space="preserve">  We update the Covered List to include:  </w:t>
      </w:r>
    </w:p>
    <w:p w:rsidR="00D4215A" w:rsidP="00943CB4" w14:paraId="6BDE7543" w14:textId="77777777">
      <w:pPr>
        <w:ind w:firstLine="720"/>
      </w:pPr>
    </w:p>
    <w:p w:rsidR="009523DB" w:rsidP="00D4215A" w14:paraId="76186454" w14:textId="1BFCE7A7">
      <w:pPr>
        <w:ind w:left="720"/>
        <w:rPr>
          <w:szCs w:val="22"/>
        </w:rPr>
      </w:pPr>
      <w:r>
        <w:rPr>
          <w:szCs w:val="22"/>
        </w:rPr>
        <w:t xml:space="preserve">“Routers produced in a foreign country, </w:t>
      </w:r>
      <w:hyperlink r:id="rId6" w:anchor="conditional-approvals" w:history="1">
        <w:r w:rsidRPr="00E27462">
          <w:rPr>
            <w:rStyle w:val="Hyperlink"/>
            <w:szCs w:val="22"/>
          </w:rPr>
          <w:t xml:space="preserve">except routers which have been granted a Conditional Approval by </w:t>
        </w:r>
        <w:r w:rsidRPr="00E27462">
          <w:rPr>
            <w:rStyle w:val="Hyperlink"/>
            <w:szCs w:val="22"/>
          </w:rPr>
          <w:t>DoW</w:t>
        </w:r>
        <w:r w:rsidRPr="00E27462">
          <w:rPr>
            <w:rStyle w:val="Hyperlink"/>
            <w:szCs w:val="22"/>
          </w:rPr>
          <w:t xml:space="preserve"> or DHS</w:t>
        </w:r>
      </w:hyperlink>
      <w:r w:rsidR="00E6578D">
        <w:rPr>
          <w:szCs w:val="22"/>
        </w:rPr>
        <w:t>.</w:t>
      </w:r>
      <w:r>
        <w:rPr>
          <w:szCs w:val="22"/>
        </w:rPr>
        <w:t>”</w:t>
      </w:r>
    </w:p>
    <w:p w:rsidR="00D4215A" w:rsidP="00943CB4" w14:paraId="2DF42B44" w14:textId="77777777">
      <w:pPr>
        <w:ind w:left="720"/>
        <w:rPr>
          <w:szCs w:val="22"/>
        </w:rPr>
      </w:pPr>
    </w:p>
    <w:p w:rsidR="009523DB" w:rsidP="00D4215A" w14:paraId="1DA9E9A5" w14:textId="71CAFCC5">
      <w:pPr>
        <w:rPr>
          <w:szCs w:val="22"/>
        </w:rPr>
      </w:pPr>
      <w:r>
        <w:rPr>
          <w:szCs w:val="22"/>
        </w:rPr>
        <w:tab/>
      </w:r>
      <w:r w:rsidR="00400002">
        <w:rPr>
          <w:szCs w:val="22"/>
          <w:u w:val="single"/>
        </w:rPr>
        <w:t>Conditional Approvals.</w:t>
      </w:r>
      <w:r w:rsidR="00400002">
        <w:rPr>
          <w:szCs w:val="22"/>
        </w:rPr>
        <w:t xml:space="preserve">  </w:t>
      </w:r>
      <w:r w:rsidR="0014395A">
        <w:rPr>
          <w:szCs w:val="22"/>
        </w:rPr>
        <w:t>The Executive Branch interagency body</w:t>
      </w:r>
      <w:r w:rsidR="00AC0123">
        <w:rPr>
          <w:szCs w:val="22"/>
        </w:rPr>
        <w:t xml:space="preserve"> </w:t>
      </w:r>
      <w:r w:rsidR="00530FF9">
        <w:rPr>
          <w:szCs w:val="22"/>
        </w:rPr>
        <w:t xml:space="preserve">has </w:t>
      </w:r>
      <w:r w:rsidR="00B42EFB">
        <w:rPr>
          <w:szCs w:val="22"/>
        </w:rPr>
        <w:t xml:space="preserve">established a process </w:t>
      </w:r>
      <w:r w:rsidR="005C479D">
        <w:rPr>
          <w:szCs w:val="22"/>
        </w:rPr>
        <w:t xml:space="preserve">in which </w:t>
      </w:r>
      <w:r w:rsidR="00B42EFB">
        <w:rPr>
          <w:szCs w:val="22"/>
        </w:rPr>
        <w:t xml:space="preserve">entities </w:t>
      </w:r>
      <w:r w:rsidR="00E659E6">
        <w:rPr>
          <w:szCs w:val="22"/>
        </w:rPr>
        <w:t xml:space="preserve">producing routers in a foreign country can </w:t>
      </w:r>
      <w:r w:rsidR="00F774E3">
        <w:rPr>
          <w:szCs w:val="22"/>
        </w:rPr>
        <w:t xml:space="preserve">request </w:t>
      </w:r>
      <w:r w:rsidR="00F774E3">
        <w:rPr>
          <w:szCs w:val="22"/>
        </w:rPr>
        <w:t>DoW</w:t>
      </w:r>
      <w:r w:rsidR="00F774E3">
        <w:rPr>
          <w:szCs w:val="22"/>
        </w:rPr>
        <w:t xml:space="preserve"> </w:t>
      </w:r>
      <w:r w:rsidR="000B7449">
        <w:rPr>
          <w:szCs w:val="22"/>
        </w:rPr>
        <w:t>and</w:t>
      </w:r>
      <w:r w:rsidR="00F774E3">
        <w:rPr>
          <w:szCs w:val="22"/>
        </w:rPr>
        <w:t xml:space="preserve"> DHS to evaluate </w:t>
      </w:r>
      <w:r w:rsidR="00F60CC3">
        <w:rPr>
          <w:szCs w:val="22"/>
        </w:rPr>
        <w:t xml:space="preserve">whether their routers </w:t>
      </w:r>
      <w:r w:rsidR="00C3193C">
        <w:rPr>
          <w:szCs w:val="22"/>
        </w:rPr>
        <w:t>do not pose unacceptable risks to national security</w:t>
      </w:r>
      <w:r w:rsidR="00B26530">
        <w:rPr>
          <w:szCs w:val="22"/>
        </w:rPr>
        <w:t xml:space="preserve"> and </w:t>
      </w:r>
      <w:r w:rsidR="00246834">
        <w:rPr>
          <w:szCs w:val="22"/>
        </w:rPr>
        <w:t>receive Conditional Approval</w:t>
      </w:r>
      <w:r w:rsidR="00B878A5">
        <w:rPr>
          <w:szCs w:val="22"/>
        </w:rPr>
        <w:t>s</w:t>
      </w:r>
      <w:r w:rsidR="00246834">
        <w:rPr>
          <w:szCs w:val="22"/>
        </w:rPr>
        <w:t xml:space="preserve"> that would exempt the router</w:t>
      </w:r>
      <w:r w:rsidR="00B878A5">
        <w:rPr>
          <w:szCs w:val="22"/>
        </w:rPr>
        <w:t>s</w:t>
      </w:r>
      <w:r w:rsidR="00246834">
        <w:rPr>
          <w:szCs w:val="22"/>
        </w:rPr>
        <w:t xml:space="preserve"> from the Covered List.</w:t>
      </w:r>
      <w:r w:rsidR="00686AA1">
        <w:rPr>
          <w:szCs w:val="22"/>
        </w:rPr>
        <w:t xml:space="preserve">  </w:t>
      </w:r>
      <w:r w:rsidR="009E441D">
        <w:rPr>
          <w:szCs w:val="22"/>
        </w:rPr>
        <w:t xml:space="preserve">Guidance </w:t>
      </w:r>
      <w:r w:rsidR="009C59B2">
        <w:rPr>
          <w:szCs w:val="22"/>
        </w:rPr>
        <w:t>on submissions for Conditional Approvals is found in Annex A to the National Security Determination.</w:t>
      </w:r>
      <w:r>
        <w:rPr>
          <w:rStyle w:val="FootnoteReference"/>
          <w:szCs w:val="22"/>
        </w:rPr>
        <w:footnoteReference w:id="12"/>
      </w:r>
      <w:r w:rsidR="009C59B2">
        <w:rPr>
          <w:szCs w:val="22"/>
        </w:rPr>
        <w:t xml:space="preserve">  </w:t>
      </w:r>
    </w:p>
    <w:p w:rsidR="00D4215A" w:rsidRPr="00400002" w:rsidP="00943CB4" w14:paraId="6D03B736" w14:textId="77777777">
      <w:pPr>
        <w:rPr>
          <w:szCs w:val="22"/>
        </w:rPr>
      </w:pPr>
    </w:p>
    <w:p w:rsidR="00501D34" w:rsidP="00D4215A" w14:paraId="729947CB" w14:textId="1B7BC554">
      <w:r>
        <w:rPr>
          <w:szCs w:val="22"/>
        </w:rPr>
        <w:tab/>
      </w:r>
      <w:r w:rsidR="00DC0311">
        <w:t xml:space="preserve">If </w:t>
      </w:r>
      <w:r w:rsidR="00966CA8">
        <w:t xml:space="preserve">we receive a further specific determination from the </w:t>
      </w:r>
      <w:r w:rsidR="00966CA8">
        <w:t>DoW</w:t>
      </w:r>
      <w:r w:rsidR="00966CA8">
        <w:t xml:space="preserve"> or DHS</w:t>
      </w:r>
      <w:r w:rsidR="000927E0">
        <w:t xml:space="preserve"> that a given</w:t>
      </w:r>
      <w:r w:rsidR="00B96DB2">
        <w:t xml:space="preserve"> router </w:t>
      </w:r>
      <w:r w:rsidR="006D724C">
        <w:t xml:space="preserve">or class of routers </w:t>
      </w:r>
      <w:r w:rsidR="000927E0">
        <w:t>does not pose unacceptable risks, we will further update the Covered List.</w:t>
      </w:r>
    </w:p>
    <w:p w:rsidR="00D4215A" w:rsidP="00943CB4" w14:paraId="06C02E9D" w14:textId="77777777"/>
    <w:p w:rsidR="00836753" w:rsidP="00D4215A" w14:paraId="2B21A0C1" w14:textId="77777777">
      <w:pPr>
        <w:ind w:firstLine="720"/>
        <w:rPr>
          <w:szCs w:val="22"/>
        </w:rPr>
      </w:pPr>
      <w:r w:rsidRPr="2EE665D4">
        <w:t>PSHSB takes this action under its authority and obligation to publish and maintain the Covered List.  S</w:t>
      </w:r>
      <w:r w:rsidRPr="00733757">
        <w:t>ection</w:t>
      </w:r>
      <w:r>
        <w:t>s</w:t>
      </w:r>
      <w:r w:rsidRPr="00733757">
        <w:t xml:space="preserve"> 1.50002</w:t>
      </w:r>
      <w:r>
        <w:t>(a)</w:t>
      </w:r>
      <w:r w:rsidRPr="00733757">
        <w:t xml:space="preserve"> and 1.50003</w:t>
      </w:r>
      <w:r>
        <w:t xml:space="preserve"> of the Commission’s rules </w:t>
      </w:r>
      <w:r w:rsidRPr="2EE665D4">
        <w:t>require PSHSB to</w:t>
      </w:r>
      <w:r>
        <w:rPr>
          <w:szCs w:val="22"/>
        </w:rPr>
        <w:t xml:space="preserve"> </w:t>
      </w:r>
      <w:r w:rsidRPr="2EE665D4">
        <w:t>publish the Covered List on the Commission's website</w:t>
      </w:r>
      <w:r>
        <w:rPr>
          <w:szCs w:val="22"/>
        </w:rPr>
        <w:t>,</w:t>
      </w:r>
      <w:r w:rsidRPr="002B793F">
        <w:rPr>
          <w:szCs w:val="22"/>
        </w:rPr>
        <w:t xml:space="preserve"> </w:t>
      </w:r>
      <w:r w:rsidRPr="2EE665D4">
        <w:t>to maintain and update the Covered List</w:t>
      </w:r>
      <w:r>
        <w:rPr>
          <w:szCs w:val="22"/>
        </w:rPr>
        <w:t xml:space="preserve">, </w:t>
      </w:r>
      <w:r w:rsidRPr="2EE665D4">
        <w:t xml:space="preserve">and to monitor the status of </w:t>
      </w:r>
      <w:r w:rsidRPr="2EE665D4">
        <w:t>determinations.</w:t>
      </w:r>
      <w:r>
        <w:rPr>
          <w:vertAlign w:val="superscript"/>
        </w:rPr>
        <w:footnoteReference w:id="13"/>
      </w:r>
      <w:r w:rsidRPr="00033494">
        <w:rPr>
          <w:szCs w:val="22"/>
        </w:rPr>
        <w:t xml:space="preserve">  </w:t>
      </w:r>
      <w:r>
        <w:rPr>
          <w:szCs w:val="22"/>
        </w:rPr>
        <w:br/>
      </w:r>
    </w:p>
    <w:p w:rsidR="0053343C" w:rsidP="00D4215A" w14:paraId="42A56D9E" w14:textId="5F6B319F">
      <w:pPr>
        <w:widowControl/>
        <w:ind w:firstLine="720"/>
        <w:rPr>
          <w:szCs w:val="22"/>
        </w:rPr>
      </w:pPr>
      <w:r w:rsidRPr="003C2705">
        <w:rPr>
          <w:szCs w:val="22"/>
          <w:u w:val="single"/>
        </w:rPr>
        <w:t>Equipment Authorization Impacts of the Covered List.</w:t>
      </w:r>
      <w:r>
        <w:rPr>
          <w:i/>
          <w:iCs/>
          <w:szCs w:val="22"/>
        </w:rPr>
        <w:t xml:space="preserve">  </w:t>
      </w:r>
      <w:r w:rsidRPr="00033494">
        <w:rPr>
          <w:szCs w:val="22"/>
        </w:rPr>
        <w:t>Under the Commission’s existing rules</w:t>
      </w:r>
      <w:r>
        <w:rPr>
          <w:szCs w:val="22"/>
        </w:rPr>
        <w:t xml:space="preserve"> in section 2.903(a)</w:t>
      </w:r>
      <w:r w:rsidRPr="00033494">
        <w:rPr>
          <w:szCs w:val="22"/>
        </w:rPr>
        <w:t>, once added to the Covered List</w:t>
      </w:r>
      <w:r>
        <w:rPr>
          <w:szCs w:val="22"/>
        </w:rPr>
        <w:t>,</w:t>
      </w:r>
      <w:r w:rsidRPr="00033494">
        <w:rPr>
          <w:szCs w:val="22"/>
        </w:rPr>
        <w:t xml:space="preserve"> </w:t>
      </w:r>
      <w:r>
        <w:rPr>
          <w:szCs w:val="22"/>
        </w:rPr>
        <w:t xml:space="preserve">“covered” </w:t>
      </w:r>
      <w:r w:rsidRPr="00033494">
        <w:rPr>
          <w:szCs w:val="22"/>
        </w:rPr>
        <w:t xml:space="preserve">equipment </w:t>
      </w:r>
      <w:r>
        <w:rPr>
          <w:szCs w:val="22"/>
        </w:rPr>
        <w:t>is</w:t>
      </w:r>
      <w:r w:rsidRPr="00033494">
        <w:rPr>
          <w:szCs w:val="22"/>
        </w:rPr>
        <w:t xml:space="preserve"> prohibited from receiving equipment authorizations.</w:t>
      </w:r>
      <w:r>
        <w:rPr>
          <w:rStyle w:val="FootnoteReference"/>
          <w:szCs w:val="22"/>
        </w:rPr>
        <w:footnoteReference w:id="14"/>
      </w:r>
      <w:r w:rsidRPr="00033494">
        <w:rPr>
          <w:szCs w:val="22"/>
        </w:rPr>
        <w:t xml:space="preserve">  </w:t>
      </w:r>
      <w:r w:rsidR="00940773">
        <w:rPr>
          <w:szCs w:val="22"/>
        </w:rPr>
        <w:t>Moreover, pursuant to section 2.911 of the Commission’s rules, all applications seeking equipment authorization</w:t>
      </w:r>
      <w:r w:rsidR="004720A6">
        <w:rPr>
          <w:szCs w:val="22"/>
        </w:rPr>
        <w:t xml:space="preserve"> from the Commission must certify that the equipment is not </w:t>
      </w:r>
      <w:r w:rsidR="0026424E">
        <w:rPr>
          <w:szCs w:val="22"/>
        </w:rPr>
        <w:t>prohibited from receiving an equipment authorization</w:t>
      </w:r>
      <w:r w:rsidR="00940773">
        <w:rPr>
          <w:szCs w:val="22"/>
        </w:rPr>
        <w:t xml:space="preserve"> by virtue of being “covered equipment</w:t>
      </w:r>
      <w:r w:rsidR="0026424E">
        <w:rPr>
          <w:szCs w:val="22"/>
        </w:rPr>
        <w:t>.</w:t>
      </w:r>
      <w:r w:rsidR="00940773">
        <w:rPr>
          <w:szCs w:val="22"/>
        </w:rPr>
        <w:t>”</w:t>
      </w:r>
      <w:r>
        <w:rPr>
          <w:rStyle w:val="FootnoteReference"/>
          <w:szCs w:val="22"/>
        </w:rPr>
        <w:footnoteReference w:id="15"/>
      </w:r>
      <w:r w:rsidR="00B11D40">
        <w:t xml:space="preserve">  </w:t>
      </w:r>
      <w:r w:rsidR="00360D6B">
        <w:t>By so certifying, the applicant would be certifying that the equipment does not qualify as equipment listed in this Public Notice as “covered.”</w:t>
      </w:r>
      <w:r w:rsidR="00384001">
        <w:t xml:space="preserve">  </w:t>
      </w:r>
      <w:r w:rsidR="003030EA">
        <w:t>W</w:t>
      </w:r>
      <w:r>
        <w:rPr>
          <w:szCs w:val="22"/>
        </w:rPr>
        <w:t>e clarify that these updates will not implicate various rules and programs applicable to entities “identified” on the Covered List, because this newly-covered equipment is identified by place of production, not by entity.</w:t>
      </w:r>
      <w:r>
        <w:rPr>
          <w:rStyle w:val="FootnoteReference"/>
          <w:szCs w:val="22"/>
        </w:rPr>
        <w:footnoteReference w:id="16"/>
      </w:r>
    </w:p>
    <w:p w:rsidR="00D4215A" w:rsidP="00943CB4" w14:paraId="5556614B" w14:textId="77777777">
      <w:pPr>
        <w:widowControl/>
        <w:ind w:firstLine="720"/>
      </w:pPr>
    </w:p>
    <w:p w:rsidR="00836753" w:rsidP="00D4215A" w14:paraId="3C004060" w14:textId="3749B439">
      <w:pPr>
        <w:widowControl/>
        <w:ind w:firstLine="720"/>
      </w:pPr>
      <w:r w:rsidRPr="00DB1B07">
        <w:t xml:space="preserve">The </w:t>
      </w:r>
      <w:r>
        <w:t xml:space="preserve">updated </w:t>
      </w:r>
      <w:r w:rsidRPr="00DB1B07">
        <w:t>Covered List</w:t>
      </w:r>
      <w:r>
        <w:t xml:space="preserve"> </w:t>
      </w:r>
      <w:r w:rsidR="00727660">
        <w:t xml:space="preserve">and the list of devices that have received Conditional Approvals </w:t>
      </w:r>
      <w:r w:rsidR="0078787E">
        <w:t xml:space="preserve">are </w:t>
      </w:r>
      <w:r w:rsidR="00726097">
        <w:t xml:space="preserve">attached as </w:t>
      </w:r>
      <w:r w:rsidRPr="00DB1B07">
        <w:t>Appendi</w:t>
      </w:r>
      <w:r w:rsidR="0078787E">
        <w:t xml:space="preserve">ces A and B </w:t>
      </w:r>
      <w:r w:rsidRPr="00DB1B07">
        <w:t xml:space="preserve">to this Public Notice and </w:t>
      </w:r>
      <w:r w:rsidR="0078787E">
        <w:t xml:space="preserve">are </w:t>
      </w:r>
      <w:r w:rsidRPr="00DB1B07">
        <w:t xml:space="preserve">also </w:t>
      </w:r>
      <w:r w:rsidR="001E4F06">
        <w:t xml:space="preserve">located </w:t>
      </w:r>
      <w:r w:rsidRPr="00DB1B07">
        <w:t xml:space="preserve">on the Bureau’s website at </w:t>
      </w:r>
      <w:hyperlink r:id="rId6" w:history="1">
        <w:r w:rsidRPr="00DB1B07">
          <w:rPr>
            <w:rStyle w:val="Hyperlink"/>
          </w:rPr>
          <w:t>https://www.fcc.gov/supplychain/coveredlist</w:t>
        </w:r>
      </w:hyperlink>
      <w:r w:rsidRPr="00DB1B07">
        <w:t>.</w:t>
      </w:r>
      <w:r>
        <w:rPr>
          <w:rStyle w:val="FootnoteReference"/>
        </w:rPr>
        <w:footnoteReference w:id="17"/>
      </w:r>
      <w:r w:rsidR="00B8526D">
        <w:t xml:space="preserve">  </w:t>
      </w:r>
      <w:r w:rsidRPr="00B005C9">
        <w:t xml:space="preserve"> </w:t>
      </w:r>
    </w:p>
    <w:p w:rsidR="00D4215A" w:rsidP="00943CB4" w14:paraId="32D080A7" w14:textId="77777777">
      <w:pPr>
        <w:widowControl/>
        <w:ind w:firstLine="720"/>
        <w:rPr>
          <w:szCs w:val="22"/>
          <w:highlight w:val="lightGray"/>
        </w:rPr>
      </w:pPr>
    </w:p>
    <w:p w:rsidR="00836753" w:rsidP="00D4215A" w14:paraId="70B2767E" w14:textId="0610DC68">
      <w:pPr>
        <w:ind w:firstLine="720"/>
        <w:rPr>
          <w:szCs w:val="22"/>
        </w:rPr>
      </w:pPr>
      <w:r>
        <w:rPr>
          <w:szCs w:val="22"/>
        </w:rPr>
        <w:t>W</w:t>
      </w:r>
      <w:r w:rsidRPr="00033494">
        <w:rPr>
          <w:szCs w:val="22"/>
        </w:rPr>
        <w:t xml:space="preserve">e note </w:t>
      </w:r>
      <w:r>
        <w:rPr>
          <w:szCs w:val="22"/>
        </w:rPr>
        <w:t>the continued availability of FCC staff guidance</w:t>
      </w:r>
      <w:r w:rsidRPr="00033494">
        <w:rPr>
          <w:szCs w:val="22"/>
        </w:rPr>
        <w:t xml:space="preserve"> pursuant to sections 0.191 and 0.31(</w:t>
      </w:r>
      <w:r w:rsidRPr="00033494">
        <w:rPr>
          <w:szCs w:val="22"/>
        </w:rPr>
        <w:t>i</w:t>
      </w:r>
      <w:r w:rsidRPr="00033494">
        <w:rPr>
          <w:szCs w:val="22"/>
        </w:rPr>
        <w:t>) of the Commission’s rules</w:t>
      </w:r>
      <w:r>
        <w:rPr>
          <w:szCs w:val="22"/>
        </w:rPr>
        <w:t xml:space="preserve">. </w:t>
      </w:r>
      <w:r w:rsidRPr="00033494">
        <w:rPr>
          <w:szCs w:val="22"/>
        </w:rPr>
        <w:t xml:space="preserve"> Commission staff will provide guidance to TCBs, test labs, and equipment authorization applicants on the impact of </w:t>
      </w:r>
      <w:r>
        <w:rPr>
          <w:szCs w:val="22"/>
        </w:rPr>
        <w:t>these</w:t>
      </w:r>
      <w:r w:rsidRPr="00033494">
        <w:rPr>
          <w:szCs w:val="22"/>
        </w:rPr>
        <w:t xml:space="preserve"> updates</w:t>
      </w:r>
      <w:r>
        <w:rPr>
          <w:szCs w:val="22"/>
        </w:rPr>
        <w:t>.</w:t>
      </w:r>
    </w:p>
    <w:p w:rsidR="00D4215A" w:rsidRPr="00033494" w:rsidP="00943CB4" w14:paraId="396E14FB" w14:textId="77777777">
      <w:pPr>
        <w:ind w:firstLine="720"/>
        <w:rPr>
          <w:szCs w:val="22"/>
        </w:rPr>
      </w:pPr>
    </w:p>
    <w:p w:rsidR="00ED048A" w:rsidP="00943CB4" w14:paraId="584231F7" w14:textId="7E84C710">
      <w:pPr>
        <w:ind w:firstLine="720"/>
      </w:pPr>
      <w:r w:rsidRPr="000B1F05">
        <w:t>For further information, please contact</w:t>
      </w:r>
      <w:r w:rsidR="002B5655">
        <w:t xml:space="preserve"> Rebecca Clinton</w:t>
      </w:r>
      <w:r w:rsidR="00C83405">
        <w:t xml:space="preserve"> </w:t>
      </w:r>
      <w:r w:rsidR="009E1C9C">
        <w:t xml:space="preserve">at </w:t>
      </w:r>
      <w:hyperlink r:id="rId7" w:history="1">
        <w:r w:rsidRPr="00EB3259" w:rsidR="009E1C9C">
          <w:rPr>
            <w:rStyle w:val="Hyperlink"/>
          </w:rPr>
          <w:t>Rebecca.Clinton@fcc.gov</w:t>
        </w:r>
      </w:hyperlink>
      <w:r w:rsidR="009E1C9C">
        <w:t xml:space="preserve"> or 202-418-7815</w:t>
      </w:r>
      <w:r w:rsidR="00C83405">
        <w:t xml:space="preserve">, or Chris Smeenk at </w:t>
      </w:r>
      <w:hyperlink r:id="rId8" w:history="1">
        <w:r w:rsidRPr="007D79BE" w:rsidR="00EE1559">
          <w:rPr>
            <w:rStyle w:val="Hyperlink"/>
          </w:rPr>
          <w:t>Chris.Smeenk@fcc.gov</w:t>
        </w:r>
      </w:hyperlink>
      <w:r w:rsidR="00EE1559">
        <w:t xml:space="preserve"> or </w:t>
      </w:r>
      <w:r w:rsidR="00C83405">
        <w:t xml:space="preserve">202-418-1630, </w:t>
      </w:r>
      <w:r w:rsidR="002B5655">
        <w:t>Attorney Advisor</w:t>
      </w:r>
      <w:r w:rsidR="00C83405">
        <w:t>s</w:t>
      </w:r>
      <w:r w:rsidR="002B5655">
        <w:t xml:space="preserve">, Operations and Emergency Management Division, </w:t>
      </w:r>
      <w:r w:rsidR="00E83984">
        <w:t>Public Safety and Homeland Security Bureau</w:t>
      </w:r>
      <w:r w:rsidR="005D76CA">
        <w:t>.</w:t>
      </w:r>
    </w:p>
    <w:p w:rsidR="00ED048A" w:rsidP="00ED048A" w14:paraId="4D5458EB" w14:textId="77777777">
      <w:pPr>
        <w:spacing w:after="120"/>
        <w:sectPr>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pPr>
    </w:p>
    <w:p w:rsidR="00172F47" w:rsidP="007D435A" w14:paraId="7FA3F992" w14:textId="7E83B8CD">
      <w:pPr>
        <w:spacing w:after="120"/>
        <w:jc w:val="center"/>
        <w:rPr>
          <w:b/>
          <w:bCs/>
        </w:rPr>
      </w:pPr>
      <w:r w:rsidRPr="00F74A24">
        <w:rPr>
          <w:b/>
          <w:bCs/>
        </w:rPr>
        <w:t>APPENDIX</w:t>
      </w:r>
      <w:r>
        <w:rPr>
          <w:b/>
          <w:bCs/>
        </w:rPr>
        <w:t xml:space="preserve"> A</w:t>
      </w:r>
    </w:p>
    <w:p w:rsidR="00172F47" w:rsidRPr="00F74A24" w:rsidP="00172F47" w14:paraId="50AA5651" w14:textId="3AA7DF05">
      <w:pPr>
        <w:spacing w:after="120"/>
        <w:jc w:val="center"/>
      </w:pPr>
      <w:r w:rsidRPr="00F74A24">
        <w:t xml:space="preserve">COVERED LIST </w:t>
      </w:r>
      <w:r w:rsidRPr="004552EB">
        <w:t xml:space="preserve">(Updated </w:t>
      </w:r>
      <w:r>
        <w:t xml:space="preserve">March </w:t>
      </w:r>
      <w:r w:rsidRPr="00B255CE" w:rsidR="00A96850">
        <w:t>23</w:t>
      </w:r>
      <w:r w:rsidRPr="00BF71AE">
        <w:t>, 2026</w:t>
      </w:r>
      <w:r w:rsidRPr="004552EB">
        <w:t>)*</w:t>
      </w:r>
      <w:r w:rsidRPr="00A16F45">
        <w:rPr>
          <w:vertAlign w:val="superscript"/>
        </w:rPr>
        <w:t>†</w:t>
      </w:r>
    </w:p>
    <w:p w:rsidR="00172F47" w:rsidRPr="00F74A24" w:rsidP="00172F47" w14:paraId="31BE3A11" w14:textId="77777777">
      <w:pPr>
        <w:rPr>
          <w:b/>
          <w:bCs/>
        </w:rPr>
      </w:pPr>
    </w:p>
    <w:tbl>
      <w:tblPr>
        <w:tblStyle w:val="TableGrid"/>
        <w:tblW w:w="10350" w:type="dxa"/>
        <w:tblInd w:w="-365" w:type="dxa"/>
        <w:tblLook w:val="04A0"/>
      </w:tblPr>
      <w:tblGrid>
        <w:gridCol w:w="7601"/>
        <w:gridCol w:w="2749"/>
      </w:tblGrid>
      <w:tr w14:paraId="417880AF" w14:textId="77777777">
        <w:tblPrEx>
          <w:tblW w:w="10350" w:type="dxa"/>
          <w:tblInd w:w="-365" w:type="dxa"/>
          <w:tblLook w:val="04A0"/>
        </w:tblPrEx>
        <w:tc>
          <w:tcPr>
            <w:tcW w:w="7601" w:type="dxa"/>
          </w:tcPr>
          <w:p w:rsidR="00172F47" w:rsidRPr="00F74A24" w14:paraId="69C67371" w14:textId="77777777">
            <w:pPr>
              <w:jc w:val="center"/>
              <w:rPr>
                <w:b/>
                <w:bCs/>
              </w:rPr>
            </w:pPr>
            <w:r w:rsidRPr="00F74A24">
              <w:rPr>
                <w:b/>
                <w:bCs/>
              </w:rPr>
              <w:t>Covered Equipment or Services*</w:t>
            </w:r>
          </w:p>
        </w:tc>
        <w:tc>
          <w:tcPr>
            <w:tcW w:w="2749" w:type="dxa"/>
          </w:tcPr>
          <w:p w:rsidR="00172F47" w:rsidRPr="00F74A24" w14:paraId="7D47AB03" w14:textId="77777777">
            <w:pPr>
              <w:jc w:val="center"/>
              <w:rPr>
                <w:b/>
                <w:bCs/>
              </w:rPr>
            </w:pPr>
            <w:r w:rsidRPr="00F74A24">
              <w:rPr>
                <w:b/>
                <w:bCs/>
              </w:rPr>
              <w:t>Date of Inclusion on Covered List</w:t>
            </w:r>
          </w:p>
        </w:tc>
      </w:tr>
      <w:tr w14:paraId="77DA3736" w14:textId="77777777">
        <w:tblPrEx>
          <w:tblW w:w="10350" w:type="dxa"/>
          <w:tblInd w:w="-365" w:type="dxa"/>
          <w:tblLook w:val="04A0"/>
        </w:tblPrEx>
        <w:tc>
          <w:tcPr>
            <w:tcW w:w="7601" w:type="dxa"/>
          </w:tcPr>
          <w:p w:rsidR="00172F47" w:rsidRPr="00F74A24" w14:paraId="46ED974F" w14:textId="77777777">
            <w:r w:rsidRPr="00F74A24">
              <w:t xml:space="preserve">Telecommunications equipment produced or provided by </w:t>
            </w:r>
            <w:r w:rsidRPr="00F74A24">
              <w:rPr>
                <w:b/>
                <w:bCs/>
              </w:rPr>
              <w:t>Huawei Technologies Company</w:t>
            </w:r>
            <w:r w:rsidRPr="00F74A24">
              <w:t>, including telecommunications or video surveillance services produced or provided by such entity or using such equipment.</w:t>
            </w:r>
          </w:p>
        </w:tc>
        <w:tc>
          <w:tcPr>
            <w:tcW w:w="2749" w:type="dxa"/>
          </w:tcPr>
          <w:p w:rsidR="00172F47" w:rsidRPr="00F74A24" w14:paraId="23D29475" w14:textId="77777777">
            <w:pPr>
              <w:jc w:val="center"/>
            </w:pPr>
          </w:p>
          <w:p w:rsidR="00172F47" w:rsidRPr="00F74A24" w14:paraId="60960F6A" w14:textId="77777777">
            <w:pPr>
              <w:jc w:val="center"/>
            </w:pPr>
            <w:r w:rsidRPr="00F74A24">
              <w:t>March 12, 2021</w:t>
            </w:r>
          </w:p>
        </w:tc>
      </w:tr>
      <w:tr w14:paraId="586084FE" w14:textId="77777777">
        <w:tblPrEx>
          <w:tblW w:w="10350" w:type="dxa"/>
          <w:tblInd w:w="-365" w:type="dxa"/>
          <w:tblLook w:val="04A0"/>
        </w:tblPrEx>
        <w:tc>
          <w:tcPr>
            <w:tcW w:w="7601" w:type="dxa"/>
          </w:tcPr>
          <w:p w:rsidR="00172F47" w:rsidRPr="00F74A24" w14:paraId="09850D6E" w14:textId="77777777">
            <w:r w:rsidRPr="00F74A24">
              <w:t xml:space="preserve">Telecommunications equipment produced or provided by </w:t>
            </w:r>
            <w:r w:rsidRPr="00F74A24">
              <w:rPr>
                <w:b/>
                <w:bCs/>
              </w:rPr>
              <w:t>ZTE Corporation</w:t>
            </w:r>
            <w:r w:rsidRPr="00F74A24">
              <w:t>, including telecommunications or video surveillance services provided or provided by such entity or using such equipment.</w:t>
            </w:r>
          </w:p>
        </w:tc>
        <w:tc>
          <w:tcPr>
            <w:tcW w:w="2749" w:type="dxa"/>
          </w:tcPr>
          <w:p w:rsidR="00172F47" w:rsidRPr="00F74A24" w14:paraId="5060DD59" w14:textId="77777777">
            <w:pPr>
              <w:jc w:val="center"/>
            </w:pPr>
          </w:p>
          <w:p w:rsidR="00172F47" w:rsidRPr="00F74A24" w14:paraId="2F187580" w14:textId="77777777">
            <w:pPr>
              <w:jc w:val="center"/>
            </w:pPr>
            <w:r w:rsidRPr="00F74A24">
              <w:t>March 12, 2021</w:t>
            </w:r>
          </w:p>
        </w:tc>
      </w:tr>
      <w:tr w14:paraId="1C8DD5FB" w14:textId="77777777">
        <w:tblPrEx>
          <w:tblW w:w="10350" w:type="dxa"/>
          <w:tblInd w:w="-365" w:type="dxa"/>
          <w:tblLook w:val="04A0"/>
        </w:tblPrEx>
        <w:tc>
          <w:tcPr>
            <w:tcW w:w="7601" w:type="dxa"/>
          </w:tcPr>
          <w:p w:rsidR="00172F47" w:rsidRPr="00F74A24" w14:paraId="09DAE7C8" w14:textId="77777777">
            <w:r w:rsidRPr="00F74A24">
              <w:t xml:space="preserve">Video surveillance and telecommunications equipment produced or provided by </w:t>
            </w:r>
            <w:r w:rsidRPr="00F74A24">
              <w:rPr>
                <w:b/>
                <w:bCs/>
              </w:rPr>
              <w:t>Hytera Communications Corporation</w:t>
            </w:r>
            <w:r w:rsidRPr="00F74A24">
              <w:t>, to the extent it is used for the purpose of public safety, security of government facilities, physical security surveillance of critical infrastructure, and other national security purposes, including telecommunications or video surveillance services produced or provided by such entity or using such equipment.</w:t>
            </w:r>
          </w:p>
        </w:tc>
        <w:tc>
          <w:tcPr>
            <w:tcW w:w="2749" w:type="dxa"/>
          </w:tcPr>
          <w:p w:rsidR="00172F47" w:rsidRPr="00F74A24" w14:paraId="2DFA9F86" w14:textId="77777777">
            <w:pPr>
              <w:jc w:val="center"/>
            </w:pPr>
          </w:p>
          <w:p w:rsidR="00172F47" w:rsidRPr="00F74A24" w14:paraId="02C6B68B" w14:textId="77777777">
            <w:pPr>
              <w:jc w:val="center"/>
            </w:pPr>
          </w:p>
          <w:p w:rsidR="00172F47" w:rsidRPr="00F74A24" w14:paraId="1C55A453" w14:textId="77777777">
            <w:pPr>
              <w:jc w:val="center"/>
            </w:pPr>
            <w:r w:rsidRPr="00F74A24">
              <w:t>March 12, 2021</w:t>
            </w:r>
          </w:p>
        </w:tc>
      </w:tr>
      <w:tr w14:paraId="0C815C10" w14:textId="77777777">
        <w:tblPrEx>
          <w:tblW w:w="10350" w:type="dxa"/>
          <w:tblInd w:w="-365" w:type="dxa"/>
          <w:tblLook w:val="04A0"/>
        </w:tblPrEx>
        <w:tc>
          <w:tcPr>
            <w:tcW w:w="7601" w:type="dxa"/>
          </w:tcPr>
          <w:p w:rsidR="00172F47" w:rsidRPr="00F74A24" w14:paraId="0856AFCA" w14:textId="77777777">
            <w:r w:rsidRPr="00F74A24">
              <w:t xml:space="preserve">Video surveillance and telecommunications equipment produced or provided by </w:t>
            </w:r>
            <w:r w:rsidRPr="00F74A24">
              <w:rPr>
                <w:b/>
                <w:bCs/>
              </w:rPr>
              <w:t>Hangzhou Hikvision Digital Technology Company</w:t>
            </w:r>
            <w:r w:rsidRPr="00F74A24">
              <w:t>, to the extent it is used for the purpose of public safety, security of government facilities, physical security surveillance of critical infrastructure, and other national security purposes, including telecommunications or video surveillance services produced or provided by such entity or using such equipment.</w:t>
            </w:r>
          </w:p>
        </w:tc>
        <w:tc>
          <w:tcPr>
            <w:tcW w:w="2749" w:type="dxa"/>
          </w:tcPr>
          <w:p w:rsidR="00172F47" w:rsidRPr="00F74A24" w14:paraId="00A2954E" w14:textId="77777777"/>
          <w:p w:rsidR="00172F47" w:rsidRPr="00F74A24" w14:paraId="7846784C" w14:textId="77777777">
            <w:pPr>
              <w:jc w:val="center"/>
            </w:pPr>
          </w:p>
          <w:p w:rsidR="00172F47" w:rsidRPr="00F74A24" w14:paraId="4281E6D5" w14:textId="77777777">
            <w:pPr>
              <w:jc w:val="center"/>
            </w:pPr>
            <w:r w:rsidRPr="00F74A24">
              <w:t>March 12, 2021</w:t>
            </w:r>
          </w:p>
        </w:tc>
      </w:tr>
      <w:tr w14:paraId="1165F6D0" w14:textId="77777777">
        <w:tblPrEx>
          <w:tblW w:w="10350" w:type="dxa"/>
          <w:tblInd w:w="-365" w:type="dxa"/>
          <w:tblLook w:val="04A0"/>
        </w:tblPrEx>
        <w:tc>
          <w:tcPr>
            <w:tcW w:w="7601" w:type="dxa"/>
          </w:tcPr>
          <w:p w:rsidR="00172F47" w:rsidRPr="00F74A24" w14:paraId="59B58DC1" w14:textId="77777777">
            <w:r w:rsidRPr="00F74A24">
              <w:t xml:space="preserve">Video surveillance and telecommunications equipment produced or provided by </w:t>
            </w:r>
            <w:r w:rsidRPr="00F74A24">
              <w:rPr>
                <w:b/>
                <w:bCs/>
              </w:rPr>
              <w:t>Dahua Technology Company</w:t>
            </w:r>
            <w:r w:rsidRPr="00F74A24">
              <w:t>, to the extent it is used for the purpose of public safety, security of government facilities, physical security surveillance of critical infrastructure, and other national security purposes, including telecommunications or video surveillance services produced or provided by such entity or using such equipment.</w:t>
            </w:r>
          </w:p>
        </w:tc>
        <w:tc>
          <w:tcPr>
            <w:tcW w:w="2749" w:type="dxa"/>
          </w:tcPr>
          <w:p w:rsidR="00172F47" w:rsidRPr="00F74A24" w14:paraId="250C0AF1" w14:textId="77777777">
            <w:pPr>
              <w:jc w:val="center"/>
            </w:pPr>
          </w:p>
          <w:p w:rsidR="00172F47" w:rsidRPr="00F74A24" w14:paraId="5A0C939E" w14:textId="77777777">
            <w:pPr>
              <w:jc w:val="center"/>
            </w:pPr>
          </w:p>
          <w:p w:rsidR="00172F47" w:rsidRPr="00F74A24" w14:paraId="2F880CF6" w14:textId="77777777">
            <w:pPr>
              <w:jc w:val="center"/>
            </w:pPr>
            <w:r w:rsidRPr="00F74A24">
              <w:t>March 12, 2021</w:t>
            </w:r>
          </w:p>
        </w:tc>
      </w:tr>
      <w:tr w14:paraId="5AE146C9" w14:textId="77777777">
        <w:tblPrEx>
          <w:tblW w:w="10350" w:type="dxa"/>
          <w:tblInd w:w="-365" w:type="dxa"/>
          <w:tblLook w:val="04A0"/>
        </w:tblPrEx>
        <w:tc>
          <w:tcPr>
            <w:tcW w:w="7601" w:type="dxa"/>
          </w:tcPr>
          <w:p w:rsidR="00172F47" w:rsidRPr="00F74A24" w14:paraId="0FBA3AF2" w14:textId="77777777">
            <w:r w:rsidRPr="00F74A24">
              <w:t xml:space="preserve">Information security products, solutions, and services supplied, directly or indirectly, by </w:t>
            </w:r>
            <w:r w:rsidRPr="00F74A24">
              <w:rPr>
                <w:b/>
                <w:bCs/>
              </w:rPr>
              <w:t>AO Kaspersky Lab</w:t>
            </w:r>
            <w:r w:rsidRPr="00F74A24">
              <w:t xml:space="preserve"> or any of its predecessors, successors, parents, subsidiaries, or affiliates.</w:t>
            </w:r>
          </w:p>
        </w:tc>
        <w:tc>
          <w:tcPr>
            <w:tcW w:w="2749" w:type="dxa"/>
          </w:tcPr>
          <w:p w:rsidR="00172F47" w:rsidRPr="00F74A24" w14:paraId="7673FDEC" w14:textId="77777777">
            <w:pPr>
              <w:jc w:val="center"/>
            </w:pPr>
            <w:r>
              <w:br/>
            </w:r>
            <w:r w:rsidRPr="00F74A24">
              <w:t>March 25, 2022</w:t>
            </w:r>
          </w:p>
        </w:tc>
      </w:tr>
      <w:tr w14:paraId="3B7CE7C6" w14:textId="77777777">
        <w:tblPrEx>
          <w:tblW w:w="10350" w:type="dxa"/>
          <w:tblInd w:w="-365" w:type="dxa"/>
          <w:tblLook w:val="04A0"/>
        </w:tblPrEx>
        <w:tc>
          <w:tcPr>
            <w:tcW w:w="7601" w:type="dxa"/>
          </w:tcPr>
          <w:p w:rsidR="00172F47" w:rsidRPr="00F74A24" w14:paraId="0F657732" w14:textId="77777777">
            <w:r w:rsidRPr="00F74A24">
              <w:t xml:space="preserve">International telecommunications services provided by </w:t>
            </w:r>
            <w:r w:rsidRPr="00F74A24">
              <w:rPr>
                <w:b/>
                <w:bCs/>
              </w:rPr>
              <w:t>China Mobile International USA Inc.</w:t>
            </w:r>
            <w:r w:rsidRPr="00F74A24">
              <w:t xml:space="preserve"> subject to section 214 of the Communications Act of 1934. </w:t>
            </w:r>
          </w:p>
        </w:tc>
        <w:tc>
          <w:tcPr>
            <w:tcW w:w="2749" w:type="dxa"/>
          </w:tcPr>
          <w:p w:rsidR="00172F47" w:rsidRPr="00F74A24" w14:paraId="429A7B67" w14:textId="77777777">
            <w:pPr>
              <w:jc w:val="center"/>
            </w:pPr>
            <w:r w:rsidRPr="00F74A24">
              <w:t>March 25, 2022</w:t>
            </w:r>
          </w:p>
        </w:tc>
      </w:tr>
      <w:tr w14:paraId="0262B849" w14:textId="77777777">
        <w:tblPrEx>
          <w:tblW w:w="10350" w:type="dxa"/>
          <w:tblInd w:w="-365" w:type="dxa"/>
          <w:tblLook w:val="04A0"/>
        </w:tblPrEx>
        <w:tc>
          <w:tcPr>
            <w:tcW w:w="7601" w:type="dxa"/>
          </w:tcPr>
          <w:p w:rsidR="00172F47" w:rsidRPr="00F74A24" w14:paraId="41D46A1A" w14:textId="77777777">
            <w:r w:rsidRPr="00F74A24">
              <w:t xml:space="preserve">Telecommunications services provided by </w:t>
            </w:r>
            <w:r w:rsidRPr="00F74A24">
              <w:rPr>
                <w:b/>
                <w:bCs/>
              </w:rPr>
              <w:t>China Telecom (Americas) Corp.</w:t>
            </w:r>
            <w:r w:rsidRPr="00F74A24">
              <w:t xml:space="preserve"> subject to section 214 of the Communications Act of 1934.</w:t>
            </w:r>
          </w:p>
        </w:tc>
        <w:tc>
          <w:tcPr>
            <w:tcW w:w="2749" w:type="dxa"/>
          </w:tcPr>
          <w:p w:rsidR="00172F47" w:rsidRPr="00F74A24" w14:paraId="0CF732C0" w14:textId="77777777">
            <w:pPr>
              <w:jc w:val="center"/>
            </w:pPr>
            <w:r w:rsidRPr="00F74A24">
              <w:t>March 25, 2022</w:t>
            </w:r>
          </w:p>
        </w:tc>
      </w:tr>
      <w:tr w14:paraId="5131DBB6" w14:textId="77777777">
        <w:tblPrEx>
          <w:tblW w:w="10350" w:type="dxa"/>
          <w:tblInd w:w="-365" w:type="dxa"/>
          <w:tblLook w:val="04A0"/>
        </w:tblPrEx>
        <w:tc>
          <w:tcPr>
            <w:tcW w:w="7601" w:type="dxa"/>
          </w:tcPr>
          <w:p w:rsidR="00172F47" w:rsidRPr="00F74A24" w14:paraId="20447567" w14:textId="77777777">
            <w:r w:rsidRPr="00F74A24">
              <w:t xml:space="preserve">International telecommunications services provided by </w:t>
            </w:r>
            <w:r w:rsidRPr="00F74A24">
              <w:rPr>
                <w:b/>
                <w:bCs/>
              </w:rPr>
              <w:t xml:space="preserve">Pacific Networks Corp. </w:t>
            </w:r>
            <w:r w:rsidRPr="00F74A24">
              <w:t xml:space="preserve">and its wholly-owned subsidiary </w:t>
            </w:r>
            <w:r w:rsidRPr="00F74A24">
              <w:rPr>
                <w:b/>
                <w:bCs/>
              </w:rPr>
              <w:t>ComNet</w:t>
            </w:r>
            <w:r w:rsidRPr="00F74A24">
              <w:rPr>
                <w:b/>
                <w:bCs/>
              </w:rPr>
              <w:t xml:space="preserve"> (USA) LLC</w:t>
            </w:r>
            <w:r w:rsidRPr="00F74A24">
              <w:t xml:space="preserve"> subject to section 214 of the Communications Act of 1934. </w:t>
            </w:r>
          </w:p>
        </w:tc>
        <w:tc>
          <w:tcPr>
            <w:tcW w:w="2749" w:type="dxa"/>
          </w:tcPr>
          <w:p w:rsidR="00172F47" w:rsidRPr="00F74A24" w14:paraId="7D58C2B0" w14:textId="77777777">
            <w:pPr>
              <w:jc w:val="center"/>
            </w:pPr>
            <w:r>
              <w:br/>
            </w:r>
            <w:r w:rsidRPr="00F74A24">
              <w:t>September 20, 2022</w:t>
            </w:r>
          </w:p>
        </w:tc>
      </w:tr>
      <w:tr w14:paraId="1F813291" w14:textId="77777777">
        <w:tblPrEx>
          <w:tblW w:w="10350" w:type="dxa"/>
          <w:tblInd w:w="-365" w:type="dxa"/>
          <w:tblLook w:val="04A0"/>
        </w:tblPrEx>
        <w:tc>
          <w:tcPr>
            <w:tcW w:w="7601" w:type="dxa"/>
          </w:tcPr>
          <w:p w:rsidR="00172F47" w:rsidRPr="00F74A24" w14:paraId="00C6C60A" w14:textId="77777777">
            <w:r w:rsidRPr="00F74A24">
              <w:t xml:space="preserve">International telecommunications services provided by </w:t>
            </w:r>
            <w:r w:rsidRPr="00F74A24">
              <w:rPr>
                <w:b/>
                <w:bCs/>
              </w:rPr>
              <w:t>China Unicom (Americas) Operations Limited</w:t>
            </w:r>
            <w:r w:rsidRPr="00F74A24">
              <w:t xml:space="preserve"> subject to section 214 of the Communications Act of 1934. </w:t>
            </w:r>
          </w:p>
        </w:tc>
        <w:tc>
          <w:tcPr>
            <w:tcW w:w="2749" w:type="dxa"/>
          </w:tcPr>
          <w:p w:rsidR="00172F47" w:rsidRPr="00F74A24" w14:paraId="64A816D7" w14:textId="77777777">
            <w:pPr>
              <w:jc w:val="center"/>
            </w:pPr>
            <w:r w:rsidRPr="00F74A24">
              <w:t>September 20, 2022</w:t>
            </w:r>
          </w:p>
        </w:tc>
      </w:tr>
      <w:tr w14:paraId="206BA247" w14:textId="77777777">
        <w:tblPrEx>
          <w:tblW w:w="10350" w:type="dxa"/>
          <w:tblInd w:w="-365" w:type="dxa"/>
          <w:tblLook w:val="04A0"/>
        </w:tblPrEx>
        <w:tc>
          <w:tcPr>
            <w:tcW w:w="7601" w:type="dxa"/>
          </w:tcPr>
          <w:p w:rsidR="00172F47" w:rsidRPr="00F74A24" w14:paraId="3A7D984D" w14:textId="77777777">
            <w:r w:rsidRPr="00F74A24">
              <w:t xml:space="preserve">Cybersecurity and anti-virus software produced or provided by </w:t>
            </w:r>
            <w:r w:rsidRPr="00F74A24">
              <w:rPr>
                <w:b/>
                <w:bCs/>
              </w:rPr>
              <w:t>Kaspersky Lab, Inc.</w:t>
            </w:r>
            <w:r w:rsidRPr="00F74A24">
              <w:t xml:space="preserve"> or any of its successors and assignees.  </w:t>
            </w:r>
          </w:p>
        </w:tc>
        <w:tc>
          <w:tcPr>
            <w:tcW w:w="2749" w:type="dxa"/>
          </w:tcPr>
          <w:p w:rsidR="00172F47" w:rsidRPr="00F74A24" w14:paraId="7F48A194" w14:textId="77777777">
            <w:pPr>
              <w:jc w:val="center"/>
            </w:pPr>
            <w:r w:rsidRPr="00F74A24">
              <w:t>July 23, 2024</w:t>
            </w:r>
          </w:p>
        </w:tc>
      </w:tr>
      <w:tr w14:paraId="633216C4" w14:textId="77777777">
        <w:tblPrEx>
          <w:tblW w:w="10350" w:type="dxa"/>
          <w:tblInd w:w="-365" w:type="dxa"/>
          <w:tblLook w:val="04A0"/>
        </w:tblPrEx>
        <w:tc>
          <w:tcPr>
            <w:tcW w:w="7601" w:type="dxa"/>
          </w:tcPr>
          <w:p w:rsidR="00172F47" w:rsidRPr="00B078CD" w14:paraId="5C3D4CD7" w14:textId="77777777">
            <w:r w:rsidRPr="00E12849">
              <w:t>Uncrewed aircraft systems (UAS) and UAS critical components produced in a foreign country</w:t>
            </w:r>
            <w:r w:rsidRPr="00A16F45">
              <w:rPr>
                <w:vertAlign w:val="superscript"/>
              </w:rPr>
              <w:t>††</w:t>
            </w:r>
            <w:r>
              <w:t xml:space="preserve">—except (a) </w:t>
            </w:r>
            <w:hyperlink r:id="rId14">
              <w:r w:rsidRPr="28D938C6">
                <w:rPr>
                  <w:rStyle w:val="Hyperlink"/>
                </w:rPr>
                <w:t>UAS</w:t>
              </w:r>
            </w:hyperlink>
            <w:r w:rsidRPr="00106461">
              <w:t xml:space="preserve"> and </w:t>
            </w:r>
            <w:hyperlink r:id="rId15">
              <w:r w:rsidRPr="28D938C6">
                <w:rPr>
                  <w:rStyle w:val="Hyperlink"/>
                </w:rPr>
                <w:t>UAS critical components</w:t>
              </w:r>
            </w:hyperlink>
            <w:r w:rsidRPr="00106461">
              <w:t xml:space="preserve"> included on </w:t>
            </w:r>
            <w:r>
              <w:t xml:space="preserve">the </w:t>
            </w:r>
            <w:r w:rsidRPr="00106461">
              <w:t>Defense Contract Management Agency’s</w:t>
            </w:r>
            <w:r>
              <w:t xml:space="preserve"> (DCMA’s)</w:t>
            </w:r>
            <w:r w:rsidRPr="00106461">
              <w:t xml:space="preserve"> Blue UAS</w:t>
            </w:r>
            <w:r>
              <w:t xml:space="preserve"> Cleared List, until January 1, 2027,</w:t>
            </w:r>
            <w:r w:rsidRPr="00FE1CAC">
              <w:rPr>
                <w:rFonts w:ascii="Symbol" w:eastAsia="Symbol" w:hAnsi="Symbol" w:cs="Symbol"/>
                <w:vertAlign w:val="superscript"/>
              </w:rPr>
              <w:t>#</w:t>
            </w:r>
            <w:r>
              <w:t xml:space="preserve"> (b)</w:t>
            </w:r>
            <w:r w:rsidRPr="00106461">
              <w:t xml:space="preserve"> UAS critical components </w:t>
            </w:r>
            <w:r>
              <w:t xml:space="preserve">that qualify as “domestic end products” under the Buy American Standard, </w:t>
            </w:r>
            <w:hyperlink r:id="rId16">
              <w:r w:rsidRPr="28D938C6">
                <w:rPr>
                  <w:rStyle w:val="Hyperlink"/>
                </w:rPr>
                <w:t>48 CFR 25.101(a)</w:t>
              </w:r>
            </w:hyperlink>
            <w:r>
              <w:t xml:space="preserve">, until January 1, 2027; </w:t>
            </w:r>
            <w:r w:rsidRPr="006973A4">
              <w:t xml:space="preserve">and (c) </w:t>
            </w:r>
            <w:hyperlink r:id="rId6" w:anchor="conditional-approvals">
              <w:r w:rsidRPr="532EF8EC">
                <w:rPr>
                  <w:rStyle w:val="Hyperlink"/>
                </w:rPr>
                <w:t xml:space="preserve">devices which have been granted a Conditional Approval by </w:t>
              </w:r>
              <w:r w:rsidRPr="532EF8EC">
                <w:rPr>
                  <w:rStyle w:val="Hyperlink"/>
                </w:rPr>
                <w:t>DoW</w:t>
              </w:r>
              <w:r w:rsidRPr="532EF8EC">
                <w:rPr>
                  <w:rStyle w:val="Hyperlink"/>
                </w:rPr>
                <w:t xml:space="preserve"> or DHS</w:t>
              </w:r>
            </w:hyperlink>
            <w:r>
              <w:t xml:space="preserve">—and </w:t>
            </w:r>
            <w:r w:rsidRPr="00E12849">
              <w:t xml:space="preserve">all communications and video surveillance equipment and services </w:t>
            </w:r>
            <w:r w:rsidRPr="00E12849">
              <w:t>listed in Section 1709(a)(1) of the </w:t>
            </w:r>
            <w:hyperlink r:id="rId17">
              <w:r w:rsidRPr="28D938C6">
                <w:rPr>
                  <w:rStyle w:val="Hyperlink"/>
                </w:rPr>
                <w:t>FY25 National Defense Authorization Act</w:t>
              </w:r>
            </w:hyperlink>
            <w:r w:rsidRPr="00E12849">
              <w:t> (Pub. L. 118-159)</w:t>
            </w:r>
            <w:r>
              <w:t>.</w:t>
            </w:r>
          </w:p>
        </w:tc>
        <w:tc>
          <w:tcPr>
            <w:tcW w:w="2749" w:type="dxa"/>
          </w:tcPr>
          <w:p w:rsidR="00172F47" w14:paraId="36B9C626" w14:textId="77777777">
            <w:pPr>
              <w:jc w:val="center"/>
            </w:pPr>
            <w:r>
              <w:br/>
            </w:r>
          </w:p>
          <w:p w:rsidR="00172F47" w14:paraId="0FF364D1" w14:textId="77777777">
            <w:pPr>
              <w:jc w:val="center"/>
            </w:pPr>
            <w:r>
              <w:t>December 22, 2025</w:t>
            </w:r>
          </w:p>
          <w:p w:rsidR="00172F47" w14:paraId="076F6492" w14:textId="77777777"/>
          <w:p w:rsidR="00172F47" w14:paraId="5771E2D2" w14:textId="77777777">
            <w:pPr>
              <w:jc w:val="center"/>
            </w:pPr>
            <w:r>
              <w:t xml:space="preserve">Updated: January 7, 2026  </w:t>
            </w:r>
          </w:p>
          <w:p w:rsidR="00172F47" w14:paraId="47176B74" w14:textId="77777777">
            <w:pPr>
              <w:jc w:val="center"/>
            </w:pPr>
          </w:p>
          <w:p w:rsidR="00172F47" w:rsidRPr="00F74A24" w14:paraId="688220D2" w14:textId="77777777">
            <w:pPr>
              <w:jc w:val="center"/>
            </w:pPr>
            <w:r>
              <w:t>Updated: March 18, 2026</w:t>
            </w:r>
            <w:r>
              <w:br/>
            </w:r>
          </w:p>
        </w:tc>
      </w:tr>
      <w:tr w14:paraId="4872AEA4" w14:textId="77777777">
        <w:tblPrEx>
          <w:tblW w:w="10350" w:type="dxa"/>
          <w:tblInd w:w="-365" w:type="dxa"/>
          <w:tblLook w:val="04A0"/>
        </w:tblPrEx>
        <w:tc>
          <w:tcPr>
            <w:tcW w:w="7601" w:type="dxa"/>
          </w:tcPr>
          <w:p w:rsidR="00433B0C" w:rsidP="00433B0C" w14:paraId="34FE423E" w14:textId="1206B886">
            <w:r w:rsidRPr="00FD3472">
              <w:t>Routers</w:t>
            </w:r>
            <w:r w:rsidR="00B3117A">
              <w:t>^</w:t>
            </w:r>
            <w:r w:rsidRPr="00FD3472">
              <w:t xml:space="preserve"> produced in a foreign country, </w:t>
            </w:r>
            <w:hyperlink r:id="rId6" w:anchor="conditional-approvals" w:history="1">
              <w:r w:rsidRPr="00D83C46">
                <w:rPr>
                  <w:rStyle w:val="Hyperlink"/>
                </w:rPr>
                <w:t xml:space="preserve">except routers which have been granted a Conditional Approval by </w:t>
              </w:r>
              <w:r w:rsidRPr="00D83C46">
                <w:rPr>
                  <w:rStyle w:val="Hyperlink"/>
                </w:rPr>
                <w:t>DoW</w:t>
              </w:r>
              <w:r w:rsidRPr="00D83C46">
                <w:rPr>
                  <w:rStyle w:val="Hyperlink"/>
                </w:rPr>
                <w:t xml:space="preserve"> or DHS</w:t>
              </w:r>
            </w:hyperlink>
            <w:r w:rsidRPr="00FD3472">
              <w:t>.</w:t>
            </w:r>
          </w:p>
        </w:tc>
        <w:tc>
          <w:tcPr>
            <w:tcW w:w="2749" w:type="dxa"/>
          </w:tcPr>
          <w:p w:rsidR="00433B0C" w:rsidP="00433B0C" w14:paraId="26772782" w14:textId="4B672029">
            <w:pPr>
              <w:jc w:val="center"/>
            </w:pPr>
            <w:r>
              <w:t>March</w:t>
            </w:r>
            <w:r w:rsidR="00D4352D">
              <w:t xml:space="preserve"> </w:t>
            </w:r>
            <w:r w:rsidRPr="00CB07A5" w:rsidR="00A96850">
              <w:t>23</w:t>
            </w:r>
            <w:r w:rsidR="00D4352D">
              <w:t>, 2026</w:t>
            </w:r>
          </w:p>
          <w:p w:rsidR="00433B0C" w:rsidP="00433B0C" w14:paraId="194007A9" w14:textId="1F23C716">
            <w:pPr>
              <w:jc w:val="center"/>
            </w:pPr>
          </w:p>
        </w:tc>
      </w:tr>
    </w:tbl>
    <w:p w:rsidR="00172F47" w:rsidP="00172F47" w14:paraId="13A04E6C" w14:textId="77777777"/>
    <w:p w:rsidR="00172F47" w:rsidP="00172F47" w14:paraId="07ED4A52" w14:textId="77777777">
      <w:r w:rsidRPr="00F74A24">
        <w:t>*The inclusion of producers or providers of equipment or services</w:t>
      </w:r>
      <w:r>
        <w:t xml:space="preserve"> named</w:t>
      </w:r>
      <w:r w:rsidRPr="00F74A24">
        <w:t xml:space="preserve"> on this list should be read to include the subsidiaries and affiliates of such entities.</w:t>
      </w:r>
    </w:p>
    <w:p w:rsidR="00172F47" w:rsidRPr="00F74A24" w:rsidP="00172F47" w14:paraId="3548F166" w14:textId="77777777">
      <w:r w:rsidRPr="00F74A24">
        <w:t xml:space="preserve"> </w:t>
      </w:r>
    </w:p>
    <w:p w:rsidR="00172F47" w:rsidP="00172F47" w14:paraId="4A61A614" w14:textId="77777777">
      <w:r w:rsidRPr="00A16F45">
        <w:rPr>
          <w:vertAlign w:val="superscript"/>
        </w:rPr>
        <w:t>†</w:t>
      </w:r>
      <w:r w:rsidRPr="00F74A24">
        <w:t>Where equipment or services on the list are identified by category, such category should be construed to include only equipment or services capable of the functions outlined in sections 2(b)(2)(A), (B), or (C) of the Secure and Trusted Communications Networks Act of 2019, 47 U.S.C. § 1601(b)(2)(A)-(C).</w:t>
      </w:r>
    </w:p>
    <w:p w:rsidR="00172F47" w:rsidP="00172F47" w14:paraId="1F2D26CF" w14:textId="77777777"/>
    <w:p w:rsidR="00172F47" w:rsidP="00172F47" w14:paraId="22368900" w14:textId="77777777">
      <w:r w:rsidRPr="00A16F45">
        <w:rPr>
          <w:vertAlign w:val="superscript"/>
        </w:rPr>
        <w:t>††</w:t>
      </w:r>
      <w:r>
        <w:t xml:space="preserve">For purposes of inclusion of UAS and UAS critical components, we incorporate the definitions included in the associated </w:t>
      </w:r>
      <w:hyperlink r:id="rId18" w:history="1">
        <w:r w:rsidRPr="002067E6">
          <w:rPr>
            <w:rStyle w:val="Hyperlink"/>
          </w:rPr>
          <w:t>National Security Determination</w:t>
        </w:r>
      </w:hyperlink>
      <w:r>
        <w:t xml:space="preserve">. </w:t>
      </w:r>
    </w:p>
    <w:p w:rsidR="00172F47" w:rsidP="00172F47" w14:paraId="21328883" w14:textId="77777777"/>
    <w:p w:rsidR="006E35FC" w:rsidP="0065691D" w14:paraId="274FC6DA" w14:textId="2AABD651">
      <w:pPr>
        <w:spacing w:after="120"/>
        <w:contextualSpacing/>
        <w:rPr>
          <w:szCs w:val="22"/>
        </w:rPr>
      </w:pPr>
      <w:r w:rsidRPr="002068FF">
        <w:rPr>
          <w:szCs w:val="22"/>
          <w:vertAlign w:val="superscript"/>
        </w:rPr>
        <w:t>#</w:t>
      </w:r>
      <w:r w:rsidRPr="002068FF">
        <w:rPr>
          <w:szCs w:val="22"/>
        </w:rPr>
        <w:t xml:space="preserve">The “Blue UAS </w:t>
      </w:r>
      <w:r>
        <w:rPr>
          <w:szCs w:val="22"/>
        </w:rPr>
        <w:t>list</w:t>
      </w:r>
      <w:r w:rsidRPr="002068FF">
        <w:rPr>
          <w:szCs w:val="22"/>
        </w:rPr>
        <w:t xml:space="preserve">” referred to in the </w:t>
      </w:r>
      <w:hyperlink r:id="rId19" w:history="1">
        <w:r w:rsidRPr="00DD51C2">
          <w:rPr>
            <w:rStyle w:val="Hyperlink"/>
            <w:szCs w:val="22"/>
          </w:rPr>
          <w:t>National Security Determination</w:t>
        </w:r>
      </w:hyperlink>
      <w:r w:rsidRPr="002068FF">
        <w:rPr>
          <w:szCs w:val="22"/>
        </w:rPr>
        <w:t xml:space="preserve"> is the combination of the “Blue UAS Cleared List” at </w:t>
      </w:r>
      <w:hyperlink r:id="rId14" w:history="1">
        <w:r w:rsidRPr="002068FF">
          <w:rPr>
            <w:rStyle w:val="Hyperlink"/>
            <w:szCs w:val="22"/>
          </w:rPr>
          <w:t>https://bluelist.appsplatformportals.us/Cleared-List/</w:t>
        </w:r>
      </w:hyperlink>
      <w:r w:rsidRPr="002068FF">
        <w:rPr>
          <w:szCs w:val="22"/>
        </w:rPr>
        <w:t xml:space="preserve"> and the list of compliant UAS components and software at </w:t>
      </w:r>
      <w:hyperlink r:id="rId15" w:history="1">
        <w:r w:rsidRPr="002068FF">
          <w:rPr>
            <w:rStyle w:val="Hyperlink"/>
            <w:szCs w:val="22"/>
          </w:rPr>
          <w:t>https://bluelist.appsplatformportals.us/Framework/</w:t>
        </w:r>
      </w:hyperlink>
      <w:r w:rsidRPr="002068FF">
        <w:rPr>
          <w:szCs w:val="22"/>
        </w:rPr>
        <w:t>. We use the term “Blue UAS Cleared List” to refer to both lists.</w:t>
      </w:r>
    </w:p>
    <w:p w:rsidR="00B3117A" w:rsidP="0065691D" w14:paraId="3C998925" w14:textId="77777777">
      <w:pPr>
        <w:spacing w:after="120"/>
        <w:contextualSpacing/>
        <w:rPr>
          <w:szCs w:val="22"/>
        </w:rPr>
      </w:pPr>
    </w:p>
    <w:p w:rsidR="00877F05" w:rsidP="0065691D" w14:paraId="3D2BE2FD" w14:textId="30EDBEEC">
      <w:pPr>
        <w:spacing w:after="120"/>
        <w:contextualSpacing/>
        <w:rPr>
          <w:szCs w:val="22"/>
        </w:rPr>
      </w:pPr>
      <w:r>
        <w:rPr>
          <w:szCs w:val="22"/>
        </w:rPr>
        <w:t>^</w:t>
      </w:r>
      <w:r w:rsidRPr="00B3117A">
        <w:rPr>
          <w:szCs w:val="22"/>
        </w:rPr>
        <w:t>For purposes of inclusion of routers, we incorporate the definition</w:t>
      </w:r>
      <w:r>
        <w:rPr>
          <w:szCs w:val="22"/>
        </w:rPr>
        <w:t>s</w:t>
      </w:r>
      <w:r w:rsidRPr="00B3117A">
        <w:rPr>
          <w:szCs w:val="22"/>
        </w:rPr>
        <w:t xml:space="preserve"> included in the associated </w:t>
      </w:r>
      <w:hyperlink r:id="rId20" w:history="1">
        <w:r w:rsidRPr="000701B9">
          <w:rPr>
            <w:rStyle w:val="Hyperlink"/>
            <w:szCs w:val="22"/>
          </w:rPr>
          <w:t>National Security Determination</w:t>
        </w:r>
      </w:hyperlink>
      <w:r w:rsidRPr="00B3117A">
        <w:rPr>
          <w:szCs w:val="22"/>
        </w:rPr>
        <w:t>.</w:t>
      </w:r>
    </w:p>
    <w:p w:rsidR="00437F3F" w:rsidP="00172F47" w14:paraId="51E1AC65" w14:textId="77777777">
      <w:pPr>
        <w:spacing w:after="120"/>
        <w:sectPr w:rsidSect="007D435A">
          <w:footerReference w:type="first" r:id="rId21"/>
          <w:endnotePr>
            <w:numFmt w:val="decimal"/>
          </w:endnotePr>
          <w:pgSz w:w="12240" w:h="15840"/>
          <w:pgMar w:top="1440" w:right="1440" w:bottom="720" w:left="1440" w:header="630" w:footer="720" w:gutter="0"/>
          <w:pgNumType w:start="1"/>
          <w:cols w:space="720"/>
          <w:noEndnote/>
          <w:docGrid w:linePitch="299"/>
        </w:sectPr>
      </w:pPr>
    </w:p>
    <w:p w:rsidR="001D7B56" w:rsidP="001D7B56" w14:paraId="70DCDC66" w14:textId="77777777">
      <w:pPr>
        <w:spacing w:after="120"/>
        <w:jc w:val="center"/>
        <w:rPr>
          <w:b/>
          <w:bCs/>
        </w:rPr>
      </w:pPr>
      <w:r w:rsidRPr="00F74A24">
        <w:rPr>
          <w:b/>
          <w:bCs/>
        </w:rPr>
        <w:t>APPENDIX</w:t>
      </w:r>
      <w:r>
        <w:rPr>
          <w:b/>
          <w:bCs/>
        </w:rPr>
        <w:t xml:space="preserve"> B</w:t>
      </w:r>
    </w:p>
    <w:p w:rsidR="001D7B56" w:rsidRPr="00EC1B38" w:rsidP="001D7B56" w14:paraId="64003627" w14:textId="77777777">
      <w:pPr>
        <w:jc w:val="center"/>
        <w:rPr>
          <w:b/>
          <w:sz w:val="24"/>
          <w:szCs w:val="24"/>
        </w:rPr>
      </w:pPr>
      <w:r>
        <w:rPr>
          <w:b/>
          <w:sz w:val="24"/>
          <w:szCs w:val="24"/>
        </w:rPr>
        <w:t>Conditional Approvals</w:t>
      </w:r>
    </w:p>
    <w:p w:rsidR="001D7B56" w:rsidRPr="00EC1B38" w:rsidP="001D7B56" w14:paraId="772A752B" w14:textId="77777777">
      <w:pPr>
        <w:jc w:val="center"/>
        <w:rPr>
          <w:bCs/>
          <w:i/>
          <w:iCs/>
          <w:sz w:val="24"/>
          <w:szCs w:val="24"/>
        </w:rPr>
      </w:pPr>
      <w:r>
        <w:rPr>
          <w:i/>
          <w:sz w:val="24"/>
          <w:szCs w:val="24"/>
        </w:rPr>
        <w:t>March 18</w:t>
      </w:r>
      <w:r w:rsidRPr="00A63E8D">
        <w:rPr>
          <w:i/>
          <w:sz w:val="24"/>
          <w:szCs w:val="24"/>
        </w:rPr>
        <w:t>, 2026</w:t>
      </w:r>
    </w:p>
    <w:p w:rsidR="001D7B56" w:rsidRPr="00EC1B38" w:rsidP="001D7B56" w14:paraId="32DDEE41" w14:textId="77777777">
      <w:pPr>
        <w:jc w:val="center"/>
        <w:rPr>
          <w:b/>
          <w:sz w:val="24"/>
          <w:szCs w:val="24"/>
        </w:rPr>
      </w:pPr>
    </w:p>
    <w:tbl>
      <w:tblPr>
        <w:tblStyle w:val="TableGrid"/>
        <w:tblW w:w="10350" w:type="dxa"/>
        <w:tblInd w:w="-365" w:type="dxa"/>
        <w:tblLook w:val="04A0"/>
      </w:tblPr>
      <w:tblGrid>
        <w:gridCol w:w="7601"/>
        <w:gridCol w:w="2749"/>
      </w:tblGrid>
      <w:tr w14:paraId="557E8922" w14:textId="77777777" w:rsidTr="00750E31">
        <w:tblPrEx>
          <w:tblW w:w="10350" w:type="dxa"/>
          <w:tblInd w:w="-365" w:type="dxa"/>
          <w:tblLook w:val="04A0"/>
        </w:tblPrEx>
        <w:tc>
          <w:tcPr>
            <w:tcW w:w="7601" w:type="dxa"/>
          </w:tcPr>
          <w:p w:rsidR="001D7B56" w:rsidRPr="00F74A24" w:rsidP="008C50D9" w14:paraId="070A025E" w14:textId="77777777">
            <w:pPr>
              <w:jc w:val="center"/>
              <w:rPr>
                <w:b/>
                <w:bCs/>
              </w:rPr>
            </w:pPr>
            <w:r>
              <w:rPr>
                <w:b/>
                <w:bCs/>
              </w:rPr>
              <w:t>Devices Granted Conditional Approval</w:t>
            </w:r>
          </w:p>
        </w:tc>
        <w:tc>
          <w:tcPr>
            <w:tcW w:w="2749" w:type="dxa"/>
          </w:tcPr>
          <w:p w:rsidR="001D7B56" w:rsidRPr="00F74A24" w:rsidP="008C50D9" w14:paraId="26097FF4" w14:textId="77777777">
            <w:pPr>
              <w:jc w:val="center"/>
              <w:rPr>
                <w:b/>
                <w:bCs/>
              </w:rPr>
            </w:pPr>
            <w:r w:rsidRPr="00F74A24">
              <w:rPr>
                <w:b/>
                <w:bCs/>
              </w:rPr>
              <w:t xml:space="preserve">Date of </w:t>
            </w:r>
            <w:r>
              <w:rPr>
                <w:b/>
                <w:bCs/>
              </w:rPr>
              <w:t>Conditional Approval</w:t>
            </w:r>
          </w:p>
        </w:tc>
      </w:tr>
      <w:tr w14:paraId="4C046196" w14:textId="77777777" w:rsidTr="00750E31">
        <w:tblPrEx>
          <w:tblW w:w="10350" w:type="dxa"/>
          <w:tblInd w:w="-365" w:type="dxa"/>
          <w:tblLook w:val="04A0"/>
        </w:tblPrEx>
        <w:tc>
          <w:tcPr>
            <w:tcW w:w="7601" w:type="dxa"/>
          </w:tcPr>
          <w:p w:rsidR="001D7B56" w:rsidRPr="00887A28" w:rsidP="008C50D9" w14:paraId="725FC0DB" w14:textId="77777777">
            <w:pPr>
              <w:rPr>
                <w:szCs w:val="22"/>
              </w:rPr>
            </w:pPr>
            <w:r w:rsidRPr="00887A28">
              <w:rPr>
                <w:szCs w:val="22"/>
              </w:rPr>
              <w:t>SiFly</w:t>
            </w:r>
            <w:r w:rsidRPr="00887A28">
              <w:rPr>
                <w:szCs w:val="22"/>
              </w:rPr>
              <w:t xml:space="preserve"> Aviation</w:t>
            </w:r>
            <w:r>
              <w:rPr>
                <w:szCs w:val="22"/>
              </w:rPr>
              <w:t>, Inc.</w:t>
            </w:r>
            <w:r w:rsidRPr="00887A28">
              <w:rPr>
                <w:szCs w:val="22"/>
              </w:rPr>
              <w:t xml:space="preserve"> Q12 </w:t>
            </w:r>
            <w:r>
              <w:rPr>
                <w:szCs w:val="22"/>
              </w:rPr>
              <w:t xml:space="preserve">Uncrewed Aircraft </w:t>
            </w:r>
            <w:r w:rsidRPr="00887A28">
              <w:rPr>
                <w:szCs w:val="22"/>
              </w:rPr>
              <w:t xml:space="preserve">System </w:t>
            </w:r>
          </w:p>
          <w:p w:rsidR="001D7B56" w:rsidP="008C50D9" w14:paraId="5E7673CA" w14:textId="77777777">
            <w:pPr>
              <w:jc w:val="center"/>
              <w:rPr>
                <w:b/>
                <w:bCs/>
              </w:rPr>
            </w:pPr>
          </w:p>
        </w:tc>
        <w:tc>
          <w:tcPr>
            <w:tcW w:w="2749" w:type="dxa"/>
          </w:tcPr>
          <w:p w:rsidR="001D7B56" w:rsidRPr="00F74A24" w:rsidP="008C50D9" w14:paraId="0144EB52" w14:textId="77777777">
            <w:pPr>
              <w:jc w:val="center"/>
              <w:rPr>
                <w:b/>
                <w:bCs/>
              </w:rPr>
            </w:pPr>
            <w:r>
              <w:t>March 17, 2026-December 31, 2026</w:t>
            </w:r>
          </w:p>
        </w:tc>
      </w:tr>
      <w:tr w14:paraId="3A3402AF" w14:textId="77777777" w:rsidTr="00750E31">
        <w:tblPrEx>
          <w:tblW w:w="10350" w:type="dxa"/>
          <w:tblInd w:w="-365" w:type="dxa"/>
          <w:tblLook w:val="04A0"/>
        </w:tblPrEx>
        <w:tc>
          <w:tcPr>
            <w:tcW w:w="7601" w:type="dxa"/>
          </w:tcPr>
          <w:p w:rsidR="001D7B56" w:rsidRPr="00887A28" w:rsidP="008C50D9" w14:paraId="5F208531" w14:textId="77777777">
            <w:pPr>
              <w:rPr>
                <w:szCs w:val="22"/>
              </w:rPr>
            </w:pPr>
            <w:r w:rsidRPr="00887A28">
              <w:rPr>
                <w:szCs w:val="22"/>
              </w:rPr>
              <w:t>Mobilicom</w:t>
            </w:r>
            <w:r w:rsidRPr="00887A28">
              <w:rPr>
                <w:szCs w:val="22"/>
              </w:rPr>
              <w:t xml:space="preserve"> </w:t>
            </w:r>
            <w:r w:rsidRPr="00887A28">
              <w:rPr>
                <w:szCs w:val="22"/>
              </w:rPr>
              <w:t>SkyHopper</w:t>
            </w:r>
            <w:r w:rsidRPr="00887A28">
              <w:rPr>
                <w:szCs w:val="22"/>
              </w:rPr>
              <w:t xml:space="preserve"> Series / M Band / Tactical Data Link, </w:t>
            </w:r>
            <w:r>
              <w:rPr>
                <w:szCs w:val="22"/>
              </w:rPr>
              <w:t xml:space="preserve">Various Controllers, and ICE, OS3 Security </w:t>
            </w:r>
            <w:r w:rsidRPr="00887A28">
              <w:rPr>
                <w:szCs w:val="22"/>
              </w:rPr>
              <w:t xml:space="preserve">Software </w:t>
            </w:r>
          </w:p>
          <w:p w:rsidR="001D7B56" w:rsidP="008C50D9" w14:paraId="7DA29BF6" w14:textId="77777777">
            <w:pPr>
              <w:jc w:val="center"/>
              <w:rPr>
                <w:b/>
                <w:bCs/>
              </w:rPr>
            </w:pPr>
          </w:p>
        </w:tc>
        <w:tc>
          <w:tcPr>
            <w:tcW w:w="2749" w:type="dxa"/>
          </w:tcPr>
          <w:p w:rsidR="001D7B56" w:rsidRPr="00F74A24" w:rsidP="008C50D9" w14:paraId="62463389" w14:textId="77777777">
            <w:pPr>
              <w:jc w:val="center"/>
              <w:rPr>
                <w:b/>
                <w:bCs/>
              </w:rPr>
            </w:pPr>
            <w:r>
              <w:t>March 17, 2026-December 31, 2026</w:t>
            </w:r>
          </w:p>
        </w:tc>
      </w:tr>
      <w:tr w14:paraId="0B739E58" w14:textId="77777777" w:rsidTr="00750E31">
        <w:tblPrEx>
          <w:tblW w:w="10350" w:type="dxa"/>
          <w:tblInd w:w="-365" w:type="dxa"/>
          <w:tblLook w:val="04A0"/>
        </w:tblPrEx>
        <w:tc>
          <w:tcPr>
            <w:tcW w:w="7601" w:type="dxa"/>
          </w:tcPr>
          <w:p w:rsidR="001D7B56" w:rsidRPr="00887A28" w:rsidP="008C50D9" w14:paraId="7857CD56" w14:textId="77777777">
            <w:pPr>
              <w:rPr>
                <w:szCs w:val="22"/>
              </w:rPr>
            </w:pPr>
            <w:r w:rsidRPr="00887A28">
              <w:rPr>
                <w:szCs w:val="22"/>
              </w:rPr>
              <w:t>ScoutDI</w:t>
            </w:r>
            <w:r w:rsidRPr="00887A28">
              <w:rPr>
                <w:szCs w:val="22"/>
              </w:rPr>
              <w:t xml:space="preserve"> Scout 137 </w:t>
            </w:r>
            <w:r>
              <w:rPr>
                <w:szCs w:val="22"/>
              </w:rPr>
              <w:t xml:space="preserve">Uncrewed Aircraft </w:t>
            </w:r>
            <w:r w:rsidRPr="00887A28">
              <w:rPr>
                <w:szCs w:val="22"/>
              </w:rPr>
              <w:t xml:space="preserve">System </w:t>
            </w:r>
          </w:p>
          <w:p w:rsidR="001D7B56" w:rsidP="008C50D9" w14:paraId="5B6D4D4F" w14:textId="77777777">
            <w:pPr>
              <w:jc w:val="center"/>
              <w:rPr>
                <w:b/>
                <w:bCs/>
              </w:rPr>
            </w:pPr>
          </w:p>
        </w:tc>
        <w:tc>
          <w:tcPr>
            <w:tcW w:w="2749" w:type="dxa"/>
          </w:tcPr>
          <w:p w:rsidR="001D7B56" w:rsidRPr="00F74A24" w:rsidP="008C50D9" w14:paraId="0B3BAD4A" w14:textId="77777777">
            <w:pPr>
              <w:jc w:val="center"/>
              <w:rPr>
                <w:b/>
                <w:bCs/>
              </w:rPr>
            </w:pPr>
            <w:r>
              <w:t>March 17, 2026-December 31, 2026</w:t>
            </w:r>
          </w:p>
        </w:tc>
      </w:tr>
      <w:tr w14:paraId="7DE412D3" w14:textId="77777777" w:rsidTr="00750E31">
        <w:tblPrEx>
          <w:tblW w:w="10350" w:type="dxa"/>
          <w:tblInd w:w="-365" w:type="dxa"/>
          <w:tblLook w:val="04A0"/>
        </w:tblPrEx>
        <w:tc>
          <w:tcPr>
            <w:tcW w:w="7601" w:type="dxa"/>
          </w:tcPr>
          <w:p w:rsidR="001D7B56" w:rsidP="008C50D9" w14:paraId="6D8E3AC2" w14:textId="77777777">
            <w:pPr>
              <w:rPr>
                <w:szCs w:val="22"/>
              </w:rPr>
            </w:pPr>
            <w:r w:rsidRPr="00887A28">
              <w:rPr>
                <w:szCs w:val="22"/>
              </w:rPr>
              <w:t>Verge</w:t>
            </w:r>
            <w:r>
              <w:rPr>
                <w:szCs w:val="22"/>
              </w:rPr>
              <w:t>, Inc.</w:t>
            </w:r>
            <w:r w:rsidRPr="00887A28">
              <w:rPr>
                <w:szCs w:val="22"/>
              </w:rPr>
              <w:t xml:space="preserve"> X1 </w:t>
            </w:r>
            <w:r>
              <w:rPr>
                <w:szCs w:val="22"/>
              </w:rPr>
              <w:t>Uncrewed Aircraft</w:t>
            </w:r>
            <w:r w:rsidRPr="00887A28">
              <w:rPr>
                <w:szCs w:val="22"/>
              </w:rPr>
              <w:t xml:space="preserve"> System</w:t>
            </w:r>
          </w:p>
          <w:p w:rsidR="001D7B56" w:rsidP="008C50D9" w14:paraId="04710570" w14:textId="77777777">
            <w:pPr>
              <w:jc w:val="center"/>
              <w:rPr>
                <w:b/>
                <w:bCs/>
              </w:rPr>
            </w:pPr>
          </w:p>
        </w:tc>
        <w:tc>
          <w:tcPr>
            <w:tcW w:w="2749" w:type="dxa"/>
          </w:tcPr>
          <w:p w:rsidR="001D7B56" w:rsidRPr="00F74A24" w:rsidP="008C50D9" w14:paraId="7EEA4EF5" w14:textId="77777777">
            <w:pPr>
              <w:jc w:val="center"/>
              <w:rPr>
                <w:b/>
                <w:bCs/>
              </w:rPr>
            </w:pPr>
            <w:r>
              <w:t>March 17, 2026-December 31, 2026</w:t>
            </w:r>
          </w:p>
        </w:tc>
      </w:tr>
    </w:tbl>
    <w:p w:rsidR="00BA3BA8" w14:paraId="3C3F7C26" w14:textId="77777777"/>
    <w:p w:rsidR="00BA3BA8" w14:paraId="6A8A929F" w14:textId="77777777"/>
    <w:bookmarkEnd w:id="0"/>
    <w:p w:rsidR="007D435A" w14:paraId="30993C38" w14:textId="77777777">
      <w:pPr>
        <w:sectPr w:rsidSect="00BD4019">
          <w:headerReference w:type="first" r:id="rId22"/>
          <w:endnotePr>
            <w:numFmt w:val="decimal"/>
          </w:endnotePr>
          <w:pgSz w:w="12240" w:h="15840"/>
          <w:pgMar w:top="1440" w:right="1440" w:bottom="720" w:left="1440" w:header="630" w:footer="720" w:gutter="0"/>
          <w:pgNumType w:start="1"/>
          <w:cols w:space="720"/>
          <w:noEndnote/>
          <w:docGrid w:linePitch="299"/>
        </w:sectPr>
      </w:pPr>
    </w:p>
    <w:p w:rsidR="00BA3BA8" w:rsidP="008610D3" w14:paraId="6127CF47" w14:textId="6C18BE49">
      <w:pPr>
        <w:spacing w:after="120"/>
        <w:jc w:val="center"/>
        <w:rPr>
          <w:b/>
          <w:bCs/>
        </w:rPr>
      </w:pPr>
      <w:r>
        <w:rPr>
          <w:b/>
          <w:bCs/>
        </w:rPr>
        <w:t>APPENDIX C</w:t>
      </w:r>
    </w:p>
    <w:p w:rsidR="008610D3" w:rsidP="008610D3" w14:paraId="6E5D0B3E" w14:textId="228CF845">
      <w:pPr>
        <w:spacing w:after="120"/>
      </w:pPr>
      <w:r w:rsidRPr="00B95232">
        <w:rPr>
          <w:noProof/>
        </w:rPr>
        <w:drawing>
          <wp:inline distT="0" distB="0" distL="0" distR="0">
            <wp:extent cx="5943600" cy="7833360"/>
            <wp:effectExtent l="0" t="0" r="0" b="0"/>
            <wp:docPr id="108904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411" name="Picture 1"/>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833360"/>
                    </a:xfrm>
                    <a:prstGeom prst="rect">
                      <a:avLst/>
                    </a:prstGeom>
                    <a:noFill/>
                    <a:ln>
                      <a:noFill/>
                    </a:ln>
                  </pic:spPr>
                </pic:pic>
              </a:graphicData>
            </a:graphic>
          </wp:inline>
        </w:drawing>
      </w:r>
    </w:p>
    <w:p w:rsidR="00B95232" w:rsidP="008610D3" w14:paraId="7FAA038F" w14:textId="77777777">
      <w:pPr>
        <w:spacing w:after="120"/>
      </w:pPr>
    </w:p>
    <w:p w:rsidR="00B95232" w:rsidP="008610D3" w14:paraId="1222E954" w14:textId="43135320">
      <w:pPr>
        <w:spacing w:after="120"/>
      </w:pPr>
      <w:r w:rsidRPr="00EF3E8C">
        <w:rPr>
          <w:noProof/>
        </w:rPr>
        <w:drawing>
          <wp:inline distT="0" distB="0" distL="0" distR="0">
            <wp:extent cx="5943600" cy="7988935"/>
            <wp:effectExtent l="0" t="0" r="0" b="0"/>
            <wp:docPr id="16775521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52111" name="Picture 2"/>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988935"/>
                    </a:xfrm>
                    <a:prstGeom prst="rect">
                      <a:avLst/>
                    </a:prstGeom>
                    <a:noFill/>
                    <a:ln>
                      <a:noFill/>
                    </a:ln>
                  </pic:spPr>
                </pic:pic>
              </a:graphicData>
            </a:graphic>
          </wp:inline>
        </w:drawing>
      </w:r>
    </w:p>
    <w:p w:rsidR="00EF3E8C" w:rsidP="008610D3" w14:paraId="0D9AB031" w14:textId="77777777">
      <w:pPr>
        <w:spacing w:after="120"/>
      </w:pPr>
    </w:p>
    <w:p w:rsidR="00EF3E8C" w:rsidP="008610D3" w14:paraId="1F6F2374" w14:textId="77777777">
      <w:pPr>
        <w:spacing w:after="120"/>
      </w:pPr>
    </w:p>
    <w:p w:rsidR="00EF3E8C" w:rsidP="008610D3" w14:paraId="43CE00A2" w14:textId="487D5DBE">
      <w:pPr>
        <w:spacing w:after="120"/>
      </w:pPr>
      <w:r w:rsidRPr="005E2491">
        <w:rPr>
          <w:noProof/>
        </w:rPr>
        <w:drawing>
          <wp:inline distT="0" distB="0" distL="0" distR="0">
            <wp:extent cx="5943600" cy="7970520"/>
            <wp:effectExtent l="0" t="0" r="0" b="0"/>
            <wp:docPr id="20334961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96185" name="Picture 3"/>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970520"/>
                    </a:xfrm>
                    <a:prstGeom prst="rect">
                      <a:avLst/>
                    </a:prstGeom>
                    <a:noFill/>
                    <a:ln>
                      <a:noFill/>
                    </a:ln>
                  </pic:spPr>
                </pic:pic>
              </a:graphicData>
            </a:graphic>
          </wp:inline>
        </w:drawing>
      </w:r>
    </w:p>
    <w:p w:rsidR="00F56269" w:rsidP="008610D3" w14:paraId="2AD5EA12" w14:textId="77777777">
      <w:pPr>
        <w:spacing w:after="120"/>
      </w:pPr>
    </w:p>
    <w:p w:rsidR="00F56269" w:rsidP="008610D3" w14:paraId="56CC52D8" w14:textId="77777777">
      <w:pPr>
        <w:spacing w:after="120"/>
      </w:pPr>
    </w:p>
    <w:p w:rsidR="00F56269" w:rsidP="008610D3" w14:paraId="60E2DECE" w14:textId="043C311E">
      <w:pPr>
        <w:spacing w:after="120"/>
      </w:pPr>
      <w:r w:rsidRPr="00F56269">
        <w:rPr>
          <w:noProof/>
        </w:rPr>
        <w:drawing>
          <wp:inline distT="0" distB="0" distL="0" distR="0">
            <wp:extent cx="5943600" cy="7970520"/>
            <wp:effectExtent l="0" t="0" r="0" b="0"/>
            <wp:docPr id="13851703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70315" name="Picture 4"/>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970520"/>
                    </a:xfrm>
                    <a:prstGeom prst="rect">
                      <a:avLst/>
                    </a:prstGeom>
                    <a:noFill/>
                    <a:ln>
                      <a:noFill/>
                    </a:ln>
                  </pic:spPr>
                </pic:pic>
              </a:graphicData>
            </a:graphic>
          </wp:inline>
        </w:drawing>
      </w:r>
    </w:p>
    <w:p w:rsidR="009E5CA2" w:rsidP="008610D3" w14:paraId="38DCC07B" w14:textId="77777777">
      <w:pPr>
        <w:spacing w:after="120"/>
      </w:pPr>
    </w:p>
    <w:p w:rsidR="009E5CA2" w:rsidP="008610D3" w14:paraId="4446220B" w14:textId="77777777">
      <w:pPr>
        <w:spacing w:after="120"/>
      </w:pPr>
    </w:p>
    <w:p w:rsidR="00D60CA3" w:rsidP="00D60CA3" w14:paraId="6A931CE5" w14:textId="77777777">
      <w:pPr>
        <w:pStyle w:val="BodyText"/>
        <w:jc w:val="center"/>
        <w:rPr>
          <w:b/>
          <w:bCs/>
        </w:rPr>
      </w:pPr>
      <w:r w:rsidRPr="00D60CA3">
        <w:rPr>
          <w:b/>
          <w:bCs/>
        </w:rPr>
        <w:t>Annex A: Guidance on Submissions for Conditional Approval for Routers Produced by Foreign Countries Subject to the FCC’s Covered List</w:t>
      </w:r>
    </w:p>
    <w:p w:rsidR="00D60CA3" w:rsidRPr="00D60CA3" w:rsidP="00D60CA3" w14:paraId="5A5FCE0B" w14:textId="1161A8BD">
      <w:pPr>
        <w:pStyle w:val="BodyText"/>
        <w:jc w:val="center"/>
        <w:rPr>
          <w:b/>
          <w:bCs/>
        </w:rPr>
      </w:pPr>
      <w:r>
        <w:t>March 20, 2026</w:t>
      </w:r>
    </w:p>
    <w:p w:rsidR="00D60CA3" w:rsidP="00D60CA3" w14:paraId="6E40ED21" w14:textId="77777777">
      <w:pPr>
        <w:pStyle w:val="BodyText"/>
        <w:ind w:left="0" w:firstLine="0"/>
      </w:pPr>
    </w:p>
    <w:p w:rsidR="00D60CA3" w:rsidP="00D60CA3" w14:paraId="7310CF1E" w14:textId="77777777">
      <w:pPr>
        <w:pStyle w:val="BodyText"/>
        <w:ind w:left="0" w:firstLine="0"/>
        <w:rPr>
          <w:b/>
          <w:bCs/>
        </w:rPr>
      </w:pPr>
      <w:r w:rsidRPr="00D60CA3">
        <w:rPr>
          <w:b/>
          <w:bCs/>
        </w:rPr>
        <w:t>Background</w:t>
      </w:r>
    </w:p>
    <w:p w:rsidR="00D60CA3" w:rsidP="00D60CA3" w14:paraId="3C623493" w14:textId="77777777">
      <w:pPr>
        <w:pStyle w:val="BodyText"/>
        <w:ind w:left="0" w:firstLine="0"/>
        <w:rPr>
          <w:b/>
          <w:bCs/>
        </w:rPr>
      </w:pPr>
    </w:p>
    <w:p w:rsidR="00D60CA3" w:rsidP="00D60CA3" w14:paraId="02D22A10" w14:textId="66E6B95E">
      <w:pPr>
        <w:pStyle w:val="BodyText"/>
        <w:ind w:left="0" w:firstLine="0"/>
      </w:pPr>
      <w:r>
        <w:t>On March 20, 2026, the FCC updated the Covered List to include “Routers produced by foreign countries,” which resulted in such “covered” equipment being prohibited from receiving an equipment authorization from the FCC unless the Department of War (</w:t>
      </w:r>
      <w:r>
        <w:t>DoW</w:t>
      </w:r>
      <w:r>
        <w:t xml:space="preserve">) or DHS makes a specific determination to the FCC that a given router or class of routers (e.g., routers produced by a specified entity) do not pose unacceptable risks to the national security of the United States or to the safety and security of U.S. persons. This document provides guidance for producers of routers covered by this action to apply for a Conditional Approval, through an individualized assessment of “unacceptable risks” that would exempt the approved entity from restrictions imposed by inclusion on the FCC’s Covered List. To be considered for Conditional Approval from </w:t>
      </w:r>
      <w:r>
        <w:t>DoW</w:t>
      </w:r>
      <w:r>
        <w:t xml:space="preserve"> or DHS, router producers must submit the information requested in this document. This information will enable </w:t>
      </w:r>
      <w:r>
        <w:t>DoW</w:t>
      </w:r>
      <w:r>
        <w:t xml:space="preserve"> and DHS to assess national security risks, supply chain resilience, and the applicant’s commitment to establishing trusted manufacturing capacity in the United States to ultimately judge whether the router producer poses “unacceptable risks.” Submission does not guarantee approval. </w:t>
      </w:r>
      <w:r>
        <w:t>DoW</w:t>
      </w:r>
      <w:r>
        <w:t xml:space="preserve"> and DHS may request additional information as necessary. All decisions are final and can only be adjusted at the discretion of </w:t>
      </w:r>
      <w:r>
        <w:t>DoW</w:t>
      </w:r>
      <w:r>
        <w:t xml:space="preserve"> and DHS.</w:t>
      </w:r>
    </w:p>
    <w:p w:rsidR="00174C70" w:rsidP="00174C70" w14:paraId="6815CA93" w14:textId="77777777">
      <w:pPr>
        <w:pStyle w:val="BodyText"/>
        <w:ind w:left="0" w:firstLine="0"/>
      </w:pPr>
    </w:p>
    <w:p w:rsidR="00174C70" w:rsidP="00174C70" w14:paraId="4ECC7809" w14:textId="77777777">
      <w:pPr>
        <w:pStyle w:val="BodyText"/>
        <w:ind w:left="0" w:firstLine="0"/>
        <w:rPr>
          <w:b/>
          <w:bCs/>
        </w:rPr>
      </w:pPr>
      <w:r w:rsidRPr="00174C70">
        <w:rPr>
          <w:b/>
          <w:bCs/>
        </w:rPr>
        <w:t>Information Requested</w:t>
      </w:r>
    </w:p>
    <w:p w:rsidR="00174C70" w:rsidP="00174C70" w14:paraId="67C24DC3" w14:textId="77777777">
      <w:pPr>
        <w:pStyle w:val="BodyText"/>
        <w:ind w:left="0" w:firstLine="0"/>
        <w:rPr>
          <w:b/>
          <w:bCs/>
        </w:rPr>
      </w:pPr>
    </w:p>
    <w:p w:rsidR="00D60CA3" w:rsidP="00174C70" w14:paraId="5C129A98" w14:textId="2D74C2AC">
      <w:pPr>
        <w:pStyle w:val="BodyText"/>
        <w:ind w:left="0" w:firstLine="0"/>
      </w:pPr>
      <w:r>
        <w:t>Any entity that is seeking a Conditional Approval must provide the information requested in this document. Failure to provide all the requested information may result in delays or denial of the application. Submissions must include a certification by an authorized corporate officer that all the information is complete, accurate and that any material change will be promptly disclosed.</w:t>
      </w:r>
      <w:r w:rsidR="00174C70">
        <w:t xml:space="preserve">  </w:t>
      </w:r>
      <w:r>
        <w:t xml:space="preserve">Applicants that knowingly violate the terms of the Conditional Approval or materially misrepresent information provided to the U.S. Government will have their Conditional </w:t>
      </w:r>
      <w:r w:rsidR="007675C2">
        <w:t>A</w:t>
      </w:r>
      <w:r>
        <w:t>pproval terminated (if granted) and will be precluded from applying again. Conditional Approvals will be granted for periods of up to 18 months.</w:t>
      </w:r>
    </w:p>
    <w:p w:rsidR="00863078" w:rsidP="00174C70" w14:paraId="3D24D7CA" w14:textId="38D149F0">
      <w:pPr>
        <w:pStyle w:val="BodyText"/>
        <w:ind w:left="0" w:firstLine="0"/>
      </w:pPr>
      <w:r w:rsidRPr="00863078">
        <w:rPr>
          <w:noProof/>
        </w:rPr>
        <w:drawing>
          <wp:inline distT="0" distB="0" distL="0" distR="0">
            <wp:extent cx="5943600" cy="2685415"/>
            <wp:effectExtent l="0" t="0" r="0" b="635"/>
            <wp:docPr id="18454941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94143" name="Picture 9"/>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685415"/>
                    </a:xfrm>
                    <a:prstGeom prst="rect">
                      <a:avLst/>
                    </a:prstGeom>
                    <a:noFill/>
                    <a:ln>
                      <a:noFill/>
                    </a:ln>
                  </pic:spPr>
                </pic:pic>
              </a:graphicData>
            </a:graphic>
          </wp:inline>
        </w:drawing>
      </w:r>
    </w:p>
    <w:p w:rsidR="00075162" w:rsidP="00075162" w14:paraId="342FB1FD" w14:textId="77777777">
      <w:pPr>
        <w:pStyle w:val="BodyText"/>
        <w:ind w:firstLine="0"/>
      </w:pPr>
    </w:p>
    <w:p w:rsidR="002602E0" w:rsidRPr="002602E0" w:rsidP="00756370" w14:paraId="354A0439" w14:textId="50B112EB">
      <w:pPr>
        <w:pStyle w:val="BodyText"/>
        <w:numPr>
          <w:ilvl w:val="1"/>
          <w:numId w:val="8"/>
        </w:numPr>
      </w:pPr>
      <w:r w:rsidRPr="002602E0">
        <w:t>Country of origin for all components in the router and country of origin for the design of the router;</w:t>
      </w:r>
    </w:p>
    <w:p w:rsidR="002602E0" w:rsidRPr="002602E0" w:rsidP="002602E0" w14:paraId="7390C776" w14:textId="77777777">
      <w:pPr>
        <w:pStyle w:val="BodyText"/>
        <w:numPr>
          <w:ilvl w:val="1"/>
          <w:numId w:val="8"/>
        </w:numPr>
      </w:pPr>
      <w:r w:rsidRPr="002602E0">
        <w:t>Entities responsible for IP ownership and software updates for the router;</w:t>
      </w:r>
    </w:p>
    <w:p w:rsidR="002602E0" w:rsidRPr="002602E0" w:rsidP="002602E0" w14:paraId="1440E205" w14:textId="77777777">
      <w:pPr>
        <w:pStyle w:val="BodyText"/>
        <w:numPr>
          <w:ilvl w:val="1"/>
          <w:numId w:val="8"/>
        </w:numPr>
      </w:pPr>
      <w:r w:rsidRPr="002602E0">
        <w:t>Justification on why any foreign manufactured router is not currently manufactured in the United States, including why these foreign sources were selected and whether alternatives exist;</w:t>
      </w:r>
    </w:p>
    <w:p w:rsidR="002602E0" w:rsidRPr="002602E0" w:rsidP="002602E0" w14:paraId="182B9FE1" w14:textId="77777777">
      <w:pPr>
        <w:pStyle w:val="BodyText"/>
        <w:numPr>
          <w:ilvl w:val="1"/>
          <w:numId w:val="8"/>
        </w:numPr>
      </w:pPr>
      <w:r w:rsidRPr="002602E0">
        <w:t>Locations of manufacturing, final assembly, and testing for the router for which the applicant is seeking the Conditional Approval;</w:t>
      </w:r>
    </w:p>
    <w:p w:rsidR="002602E0" w:rsidRPr="002602E0" w:rsidP="002602E0" w14:paraId="5CA127D8" w14:textId="77777777">
      <w:pPr>
        <w:pStyle w:val="BodyText"/>
        <w:numPr>
          <w:ilvl w:val="1"/>
          <w:numId w:val="8"/>
        </w:numPr>
      </w:pPr>
      <w:r w:rsidRPr="002602E0">
        <w:t>Country of origin for any onboard software and firmware;</w:t>
      </w:r>
    </w:p>
    <w:p w:rsidR="002602E0" w:rsidRPr="002602E0" w:rsidP="002602E0" w14:paraId="2D8270A5" w14:textId="77777777">
      <w:pPr>
        <w:pStyle w:val="BodyText"/>
        <w:numPr>
          <w:ilvl w:val="1"/>
          <w:numId w:val="8"/>
        </w:numPr>
      </w:pPr>
      <w:r w:rsidRPr="002602E0">
        <w:t>Quantitative assessment of supply chain concentration by country, expressed as both a percentage of total value and production volume; and</w:t>
      </w:r>
    </w:p>
    <w:p w:rsidR="002602E0" w:rsidRPr="002602E0" w:rsidP="002602E0" w14:paraId="0028485B" w14:textId="77777777">
      <w:pPr>
        <w:pStyle w:val="BodyText"/>
        <w:numPr>
          <w:ilvl w:val="1"/>
          <w:numId w:val="8"/>
        </w:numPr>
      </w:pPr>
      <w:r w:rsidRPr="002602E0">
        <w:t>Identification of any single points of failure in the supply chain for the router including sole source suppliers, the country of those sole-source suppliers, and a description of contingency plans if those suppliers become unavailable.</w:t>
      </w:r>
    </w:p>
    <w:p w:rsidR="002602E0" w:rsidRPr="002602E0" w:rsidP="002602E0" w14:paraId="246C7971" w14:textId="77777777">
      <w:pPr>
        <w:pStyle w:val="BodyText"/>
      </w:pPr>
    </w:p>
    <w:p w:rsidR="002602E0" w:rsidRPr="002602E0" w:rsidP="00756370" w14:paraId="707BA83C" w14:textId="77777777">
      <w:pPr>
        <w:pStyle w:val="BodyText"/>
        <w:numPr>
          <w:ilvl w:val="0"/>
          <w:numId w:val="10"/>
        </w:numPr>
        <w:rPr>
          <w:b/>
          <w:bCs/>
        </w:rPr>
      </w:pPr>
      <w:r w:rsidRPr="002602E0">
        <w:rPr>
          <w:b/>
          <w:bCs/>
        </w:rPr>
        <w:t>U.S. Manufacturing and Onshoring Plan</w:t>
      </w:r>
    </w:p>
    <w:p w:rsidR="002602E0" w:rsidRPr="002602E0" w:rsidP="00756370" w14:paraId="52F1F943" w14:textId="77777777">
      <w:pPr>
        <w:pStyle w:val="BodyText"/>
        <w:numPr>
          <w:ilvl w:val="1"/>
          <w:numId w:val="10"/>
        </w:numPr>
      </w:pPr>
      <w:r w:rsidRPr="002602E0">
        <w:t>A detailed, time-bound plan to establish or expand manufacturing in the United States for the router for which the applicant is seeking Conditional Approval in order for that device to qualify for FCC authorization;</w:t>
      </w:r>
    </w:p>
    <w:p w:rsidR="002602E0" w:rsidRPr="002602E0" w:rsidP="00756370" w14:paraId="27F455BC" w14:textId="77777777">
      <w:pPr>
        <w:pStyle w:val="BodyText"/>
        <w:numPr>
          <w:ilvl w:val="1"/>
          <w:numId w:val="10"/>
        </w:numPr>
      </w:pPr>
      <w:r w:rsidRPr="002602E0">
        <w:t>A dedicated point of contact or office responsible for implementing and overseeing the U.S. manufacturing and onshoring plan. This individual or office must provide the agency issuing the Conditional Approval an update on the status of their onshoring plan once a quarter;</w:t>
      </w:r>
    </w:p>
    <w:p w:rsidR="002602E0" w:rsidRPr="002602E0" w:rsidP="00756370" w14:paraId="6389D154" w14:textId="77777777">
      <w:pPr>
        <w:pStyle w:val="BodyText"/>
        <w:numPr>
          <w:ilvl w:val="1"/>
          <w:numId w:val="10"/>
        </w:numPr>
      </w:pPr>
      <w:r w:rsidRPr="002602E0">
        <w:t>A description of existing U.S.-based manufacturing and assembly for the router including: percentage of components assembled in the United States and current U.S. headcount and facilities (locations, functions, etc.);</w:t>
      </w:r>
    </w:p>
    <w:p w:rsidR="002602E0" w:rsidRPr="002602E0" w:rsidP="00756370" w14:paraId="39308105" w14:textId="77777777">
      <w:pPr>
        <w:pStyle w:val="BodyText"/>
        <w:numPr>
          <w:ilvl w:val="1"/>
          <w:numId w:val="10"/>
        </w:numPr>
      </w:pPr>
      <w:r w:rsidRPr="002602E0">
        <w:t>A description of committed and planned capital expenditures, financing, or other investments dedicated to U.S.-based manufacturing and assembly over the next 1-5 years, including expected timelines and milestones; and</w:t>
      </w:r>
    </w:p>
    <w:p w:rsidR="002602E0" w:rsidRPr="002602E0" w:rsidP="00756370" w14:paraId="14D2802D" w14:textId="77777777">
      <w:pPr>
        <w:pStyle w:val="BodyText"/>
        <w:numPr>
          <w:ilvl w:val="1"/>
          <w:numId w:val="10"/>
        </w:numPr>
      </w:pPr>
      <w:r w:rsidRPr="002602E0">
        <w:t>An inventory of the progress made on the U.S. manufacturing and onshoring plans submitted for all previous covered approvals, if applying for an extension of an existing Conditional Approval or if the applicant has any other existing covered Conditional Approval.</w:t>
      </w:r>
    </w:p>
    <w:p w:rsidR="001154A2" w:rsidP="002602E0" w14:paraId="0337FD0D" w14:textId="77777777">
      <w:pPr>
        <w:pStyle w:val="BodyText"/>
        <w:ind w:left="0"/>
      </w:pPr>
    </w:p>
    <w:p w:rsidR="002602E0" w:rsidP="001154A2" w14:paraId="6A8BEC47" w14:textId="086419A1">
      <w:pPr>
        <w:pStyle w:val="BodyText"/>
        <w:ind w:left="0"/>
        <w:jc w:val="center"/>
      </w:pPr>
      <w:r w:rsidRPr="002602E0">
        <w:t>###</w:t>
      </w:r>
    </w:p>
    <w:p w:rsidR="001154A2" w:rsidRPr="002602E0" w:rsidP="001154A2" w14:paraId="20C91915" w14:textId="77777777">
      <w:pPr>
        <w:pStyle w:val="BodyText"/>
        <w:ind w:left="0"/>
        <w:jc w:val="center"/>
      </w:pPr>
    </w:p>
    <w:p w:rsidR="002602E0" w:rsidP="00D17185" w14:paraId="14F446E6" w14:textId="77777777">
      <w:pPr>
        <w:pStyle w:val="BodyText"/>
        <w:ind w:left="0" w:firstLine="0"/>
        <w:jc w:val="center"/>
      </w:pPr>
      <w:r w:rsidRPr="002602E0">
        <w:t xml:space="preserve">For questions regarding FCC’s Covered List please contact Chris Smeenk </w:t>
      </w:r>
      <w:hyperlink r:id="rId28">
        <w:r w:rsidRPr="002602E0">
          <w:rPr>
            <w:rStyle w:val="Hyperlink"/>
          </w:rPr>
          <w:t>(chris.smeenk@fcc.gov).</w:t>
        </w:r>
      </w:hyperlink>
    </w:p>
    <w:p w:rsidR="00D17185" w:rsidRPr="002602E0" w:rsidP="00D17185" w14:paraId="0E1BF067" w14:textId="77777777">
      <w:pPr>
        <w:pStyle w:val="BodyText"/>
        <w:ind w:left="0" w:firstLine="0"/>
        <w:jc w:val="center"/>
      </w:pPr>
    </w:p>
    <w:p w:rsidR="001655BD" w:rsidP="00D17185" w14:paraId="6B81C4EF" w14:textId="7A5096A1">
      <w:pPr>
        <w:pStyle w:val="BodyText"/>
        <w:ind w:left="0" w:firstLine="0"/>
        <w:jc w:val="center"/>
      </w:pPr>
      <w:r w:rsidRPr="002602E0">
        <w:t xml:space="preserve">For entities seeking Conditional Approval please email: </w:t>
      </w:r>
      <w:hyperlink r:id="rId29">
        <w:r w:rsidRPr="002602E0">
          <w:rPr>
            <w:rStyle w:val="Hyperlink"/>
          </w:rPr>
          <w:t>Conditional-approvals@fcc.gov</w:t>
        </w:r>
      </w:hyperlink>
    </w:p>
    <w:sectPr w:rsidSect="00811445">
      <w:footerReference w:type="default" r:id="rId30"/>
      <w:pgSz w:w="12240" w:h="15840"/>
      <w:pgMar w:top="1360" w:right="1440" w:bottom="2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843A0" w14:paraId="5A962F41" w14:textId="77777777">
      <w:pPr>
        <w:spacing w:line="20" w:lineRule="exact"/>
      </w:pPr>
    </w:p>
  </w:endnote>
  <w:endnote w:type="continuationSeparator" w:id="1">
    <w:p w:rsidR="00C843A0" w14:paraId="60EA5853" w14:textId="77777777">
      <w:r>
        <w:t xml:space="preserve"> </w:t>
      </w:r>
    </w:p>
  </w:endnote>
  <w:endnote w:type="continuationNotice" w:id="2">
    <w:p w:rsidR="00C843A0" w14:paraId="7A099E1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26BBE26"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1A6A85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666F3D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B66F8E1" w14:textId="77777777">
    <w:pPr>
      <w:pStyle w:val="Footer"/>
      <w:tabs>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35A" w14:paraId="38DD6B41" w14:textId="77777777">
    <w:pPr>
      <w:pStyle w:val="Footer"/>
      <w:tabs>
        <w:tab w:val="clear" w:pos="86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1445" w14:paraId="4877303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43A0" w14:paraId="1263DCE6" w14:textId="77777777">
      <w:r>
        <w:separator/>
      </w:r>
    </w:p>
  </w:footnote>
  <w:footnote w:type="continuationSeparator" w:id="1">
    <w:p w:rsidR="00C843A0" w14:paraId="4D239483" w14:textId="77777777">
      <w:pPr>
        <w:rPr>
          <w:sz w:val="20"/>
        </w:rPr>
      </w:pPr>
      <w:r>
        <w:rPr>
          <w:sz w:val="20"/>
        </w:rPr>
        <w:t xml:space="preserve">(Continued from previous page)  </w:t>
      </w:r>
      <w:r>
        <w:rPr>
          <w:sz w:val="20"/>
        </w:rPr>
        <w:separator/>
      </w:r>
    </w:p>
  </w:footnote>
  <w:footnote w:type="continuationNotice" w:id="2">
    <w:p w:rsidR="00C843A0" w14:paraId="0A9E4248" w14:textId="77777777">
      <w:pPr>
        <w:jc w:val="right"/>
        <w:rPr>
          <w:sz w:val="20"/>
        </w:rPr>
      </w:pPr>
      <w:r>
        <w:rPr>
          <w:sz w:val="20"/>
        </w:rPr>
        <w:t>(continued….)</w:t>
      </w:r>
    </w:p>
  </w:footnote>
  <w:footnote w:id="3">
    <w:p w:rsidR="007C2612" w:rsidRPr="000B50CD" w:rsidP="003359D2" w14:paraId="45EB9295" w14:textId="1EA316B6">
      <w:pPr>
        <w:pStyle w:val="FootnoteText"/>
        <w:rPr>
          <w:color w:val="FF0000"/>
        </w:rPr>
      </w:pPr>
      <w:r w:rsidRPr="007C2612">
        <w:rPr>
          <w:rStyle w:val="FootnoteReference"/>
        </w:rPr>
        <w:footnoteRef/>
      </w:r>
      <w:r>
        <w:t xml:space="preserve"> Secure and Trusted Communications Networks Act of 2019, Pub. L. No. 116-124, 133 Stat. 158 (2020) (codified as amended at 47 U.S.C. §§ 1601-1609) (Secure Networks Act); 47 CFR §§ 1.50002, 1.50003.  For the current version of the Covered List, </w:t>
      </w:r>
      <w:r>
        <w:rPr>
          <w:i/>
          <w:iCs/>
        </w:rPr>
        <w:t>see</w:t>
      </w:r>
      <w:r>
        <w:t xml:space="preserve"> </w:t>
      </w:r>
      <w:r w:rsidRPr="007E048F">
        <w:t xml:space="preserve">Federal Communications Commission, </w:t>
      </w:r>
      <w:r w:rsidRPr="007E048F">
        <w:rPr>
          <w:i/>
          <w:iCs/>
        </w:rPr>
        <w:t>List of Equipment and Services Covered By Section 2 of The Secure Networks Act</w:t>
      </w:r>
      <w:r w:rsidRPr="007E048F">
        <w:t xml:space="preserve">, </w:t>
      </w:r>
      <w:hyperlink r:id="rId1" w:tgtFrame="_blank" w:history="1">
        <w:r w:rsidRPr="007E048F">
          <w:rPr>
            <w:rStyle w:val="Hyperlink"/>
          </w:rPr>
          <w:t>https://www.fcc.gov/supplychain/coveredlist</w:t>
        </w:r>
      </w:hyperlink>
      <w:r w:rsidRPr="007E048F">
        <w:t xml:space="preserve"> (last updated </w:t>
      </w:r>
      <w:r w:rsidR="00F8161A">
        <w:t xml:space="preserve">Mar. </w:t>
      </w:r>
      <w:r w:rsidR="00CB07A5">
        <w:t>18, 2026)</w:t>
      </w:r>
      <w:r w:rsidRPr="007E048F">
        <w:t>.</w:t>
      </w:r>
    </w:p>
  </w:footnote>
  <w:footnote w:id="4">
    <w:p w:rsidR="007C2612" w:rsidP="003359D2" w14:paraId="79633B69" w14:textId="77777777">
      <w:pPr>
        <w:pStyle w:val="FootnoteText"/>
      </w:pPr>
      <w:r>
        <w:rPr>
          <w:rStyle w:val="FootnoteReference"/>
        </w:rPr>
        <w:footnoteRef/>
      </w:r>
      <w:r>
        <w:t xml:space="preserve"> </w:t>
      </w:r>
      <w:r w:rsidRPr="00CA5C28">
        <w:t>47 U.S.C. § 1601</w:t>
      </w:r>
      <w:r>
        <w:t>.</w:t>
      </w:r>
    </w:p>
  </w:footnote>
  <w:footnote w:id="5">
    <w:p w:rsidR="00D8162F" w:rsidP="003359D2" w14:paraId="0FC5ACA0" w14:textId="77777777">
      <w:pPr>
        <w:pStyle w:val="FootnoteText"/>
      </w:pPr>
      <w:r>
        <w:rPr>
          <w:rStyle w:val="FootnoteReference"/>
        </w:rPr>
        <w:footnoteRef/>
      </w:r>
      <w:r>
        <w:t xml:space="preserve"> 47 CFR </w:t>
      </w:r>
      <w:r w:rsidRPr="002A57B7">
        <w:t>§§</w:t>
      </w:r>
      <w:r>
        <w:t xml:space="preserve"> 1.50002(a), 1.50003</w:t>
      </w:r>
      <w:r w:rsidRPr="0009544B">
        <w:t xml:space="preserve">; </w:t>
      </w:r>
      <w:r w:rsidRPr="009D00B7">
        <w:rPr>
          <w:i/>
          <w:iCs/>
        </w:rPr>
        <w:t>see</w:t>
      </w:r>
      <w:r w:rsidRPr="0009544B">
        <w:t xml:space="preserve"> </w:t>
      </w:r>
      <w:r>
        <w:rPr>
          <w:i/>
          <w:iCs/>
        </w:rPr>
        <w:t xml:space="preserve">also </w:t>
      </w:r>
      <w:r w:rsidRPr="00901034">
        <w:rPr>
          <w:i/>
          <w:iCs/>
        </w:rPr>
        <w:t>Protecting Against National Security Threats to the Communications Supply Chain Through FCC Programs</w:t>
      </w:r>
      <w:r w:rsidRPr="0009544B">
        <w:t xml:space="preserve">, WC Docket No. 18-89, Second Report and Order, 35 FCC </w:t>
      </w:r>
      <w:r w:rsidRPr="0009544B">
        <w:t>Rcd</w:t>
      </w:r>
      <w:r w:rsidRPr="0009544B">
        <w:t xml:space="preserve"> 14284 (2020) (</w:t>
      </w:r>
      <w:r w:rsidRPr="009D00B7">
        <w:rPr>
          <w:i/>
          <w:iCs/>
        </w:rPr>
        <w:t>Supply Chain Second Report and Order</w:t>
      </w:r>
      <w:r w:rsidRPr="0009544B">
        <w:t>)</w:t>
      </w:r>
      <w:r>
        <w:t>.</w:t>
      </w:r>
    </w:p>
  </w:footnote>
  <w:footnote w:id="6">
    <w:p w:rsidR="006E143A" w:rsidP="003359D2" w14:paraId="198AE43B" w14:textId="7AE8E4AD">
      <w:pPr>
        <w:pStyle w:val="FootnoteText"/>
      </w:pPr>
      <w:r w:rsidRPr="00B5055B">
        <w:rPr>
          <w:rStyle w:val="FootnoteReference"/>
          <w:sz w:val="20"/>
        </w:rPr>
        <w:footnoteRef/>
      </w:r>
      <w:r>
        <w:t xml:space="preserve"> </w:t>
      </w:r>
      <w:r w:rsidRPr="00FE725F">
        <w:rPr>
          <w:i/>
        </w:rPr>
        <w:t xml:space="preserve">See </w:t>
      </w:r>
      <w:r w:rsidRPr="00FE725F">
        <w:t>47 U.S.C. § 1601(c)(1)</w:t>
      </w:r>
      <w:r w:rsidRPr="00FE725F" w:rsidR="00712A6A">
        <w:t xml:space="preserve">. </w:t>
      </w:r>
      <w:r w:rsidRPr="00FE725F">
        <w:t xml:space="preserve"> The White House convened an Executive Branch interagency body with appropriate national security expertise, including appropriate national security agencies identified in the Secure Networks Act.  </w:t>
      </w:r>
      <w:r w:rsidRPr="00FE725F">
        <w:rPr>
          <w:i/>
        </w:rPr>
        <w:t>Id</w:t>
      </w:r>
      <w:r w:rsidRPr="00FE725F">
        <w:t xml:space="preserve">. §§ 1601(c)(4), 1608(2).  The National Security Determination </w:t>
      </w:r>
      <w:r w:rsidR="00823D98">
        <w:t xml:space="preserve">is </w:t>
      </w:r>
      <w:r w:rsidRPr="00FE725F">
        <w:t xml:space="preserve">attached in full in Appendix </w:t>
      </w:r>
      <w:r w:rsidR="00823D98">
        <w:t xml:space="preserve">C </w:t>
      </w:r>
      <w:r w:rsidRPr="00FE725F">
        <w:t>to this Public Notice.</w:t>
      </w:r>
      <w:r>
        <w:t xml:space="preserve">  </w:t>
      </w:r>
    </w:p>
  </w:footnote>
  <w:footnote w:id="7">
    <w:p w:rsidR="001477E2" w14:paraId="6EF7E97A" w14:textId="0673BE1D">
      <w:pPr>
        <w:pStyle w:val="FootnoteText"/>
      </w:pPr>
      <w:r>
        <w:rPr>
          <w:rStyle w:val="FootnoteReference"/>
        </w:rPr>
        <w:footnoteRef/>
      </w:r>
      <w:r>
        <w:t xml:space="preserve"> National Security Determination at </w:t>
      </w:r>
      <w:r w:rsidR="008F2DF5">
        <w:t>1-2</w:t>
      </w:r>
      <w:r w:rsidR="00CE7B8F">
        <w:t xml:space="preserve"> (internal citations omitted).</w:t>
      </w:r>
    </w:p>
  </w:footnote>
  <w:footnote w:id="8">
    <w:p w:rsidR="003D383A" w:rsidP="003359D2" w14:paraId="05141445" w14:textId="76BF22F2">
      <w:pPr>
        <w:pStyle w:val="FootnoteText"/>
      </w:pPr>
      <w:r>
        <w:rPr>
          <w:rStyle w:val="FootnoteReference"/>
        </w:rPr>
        <w:footnoteRef/>
      </w:r>
      <w:r>
        <w:t xml:space="preserve"> </w:t>
      </w:r>
      <w:r w:rsidR="009126FC">
        <w:rPr>
          <w:i/>
          <w:iCs/>
        </w:rPr>
        <w:t xml:space="preserve">Id. </w:t>
      </w:r>
      <w:r w:rsidR="00CB79EF">
        <w:t xml:space="preserve">at </w:t>
      </w:r>
      <w:r w:rsidR="005F7327">
        <w:t>2</w:t>
      </w:r>
      <w:r w:rsidR="009126FC">
        <w:t>.</w:t>
      </w:r>
    </w:p>
  </w:footnote>
  <w:footnote w:id="9">
    <w:p w:rsidR="005B318B" w:rsidP="005B318B" w14:paraId="3AC02FF3" w14:textId="242277CC">
      <w:pPr>
        <w:pStyle w:val="FootnoteText"/>
      </w:pPr>
      <w:r>
        <w:rPr>
          <w:rStyle w:val="FootnoteReference"/>
        </w:rPr>
        <w:footnoteRef/>
      </w:r>
      <w:r>
        <w:t xml:space="preserve"> </w:t>
      </w:r>
      <w:r w:rsidR="00771681">
        <w:rPr>
          <w:i/>
          <w:iCs/>
        </w:rPr>
        <w:t xml:space="preserve">Id. </w:t>
      </w:r>
      <w:r>
        <w:t>at 2.</w:t>
      </w:r>
    </w:p>
  </w:footnote>
  <w:footnote w:id="10">
    <w:p w:rsidR="00836753" w:rsidP="00836753" w14:paraId="48328237" w14:textId="69F62E21">
      <w:pPr>
        <w:pStyle w:val="FootnoteText"/>
      </w:pPr>
      <w:r>
        <w:rPr>
          <w:rStyle w:val="FootnoteReference"/>
        </w:rPr>
        <w:footnoteRef/>
      </w:r>
      <w:r w:rsidR="007F7C8B">
        <w:rPr>
          <w:color w:val="000000"/>
          <w:kern w:val="28"/>
          <w:lang w:eastAsia="ja-JP"/>
        </w:rPr>
        <w:t xml:space="preserve"> </w:t>
      </w:r>
      <w:r w:rsidR="009A4277">
        <w:rPr>
          <w:color w:val="000000"/>
          <w:kern w:val="28"/>
          <w:lang w:eastAsia="ja-JP"/>
        </w:rPr>
        <w:t xml:space="preserve">47 U.S.C. </w:t>
      </w:r>
      <w:r w:rsidR="009A4277">
        <w:t>§ 1601(</w:t>
      </w:r>
      <w:r w:rsidR="005C4F4C">
        <w:t>c).</w:t>
      </w:r>
      <w:r w:rsidRPr="009914BC">
        <w:rPr>
          <w:color w:val="000000"/>
          <w:kern w:val="28"/>
          <w:lang w:eastAsia="ja-JP"/>
        </w:rPr>
        <w:t xml:space="preserve">  </w:t>
      </w:r>
      <w:r>
        <w:t xml:space="preserve"> </w:t>
      </w:r>
    </w:p>
  </w:footnote>
  <w:footnote w:id="11">
    <w:p w:rsidR="00836753" w:rsidP="00836753" w14:paraId="54BA5783" w14:textId="515B24C7">
      <w:pPr>
        <w:pStyle w:val="FootnoteText"/>
        <w:spacing w:before="120"/>
      </w:pPr>
      <w:r>
        <w:rPr>
          <w:rStyle w:val="FootnoteReference"/>
        </w:rPr>
        <w:footnoteRef/>
      </w:r>
      <w:r>
        <w:t xml:space="preserve"> 47 U.S.C. § 1601(b)-(d)</w:t>
      </w:r>
      <w:r w:rsidRPr="00B07C8F">
        <w:t>.</w:t>
      </w:r>
      <w:r>
        <w:t xml:space="preserve">  </w:t>
      </w:r>
    </w:p>
  </w:footnote>
  <w:footnote w:id="12">
    <w:p w:rsidR="003F0C5A" w14:paraId="1FC7C564" w14:textId="13D2ADE8">
      <w:pPr>
        <w:pStyle w:val="FootnoteText"/>
      </w:pPr>
      <w:r>
        <w:rPr>
          <w:rStyle w:val="FootnoteReference"/>
        </w:rPr>
        <w:footnoteRef/>
      </w:r>
      <w:r>
        <w:t xml:space="preserve"> Annex A to the National Security Determination can be found in Appendix C</w:t>
      </w:r>
      <w:r w:rsidR="008F30C9">
        <w:t xml:space="preserve"> to this Public Notice.</w:t>
      </w:r>
    </w:p>
  </w:footnote>
  <w:footnote w:id="13">
    <w:p w:rsidR="00836753" w:rsidRPr="00033494" w:rsidP="00836753" w14:paraId="4D1C4472" w14:textId="46B2F661">
      <w:pPr>
        <w:pStyle w:val="FootnoteText"/>
        <w:spacing w:before="120"/>
      </w:pPr>
      <w:r w:rsidRPr="00836753">
        <w:rPr>
          <w:rStyle w:val="FootnoteReference"/>
          <w:sz w:val="20"/>
        </w:rPr>
        <w:footnoteRef/>
      </w:r>
      <w:r w:rsidRPr="00033494">
        <w:t xml:space="preserve"> 47 CFR §§ 1.50002</w:t>
      </w:r>
      <w:r>
        <w:t>(a)</w:t>
      </w:r>
      <w:r w:rsidRPr="00033494">
        <w:t>, 1.50003.</w:t>
      </w:r>
      <w:r>
        <w:t xml:space="preserve">  </w:t>
      </w:r>
      <w:r>
        <w:rPr>
          <w:i/>
          <w:iCs/>
        </w:rPr>
        <w:t xml:space="preserve">See </w:t>
      </w:r>
      <w:bookmarkStart w:id="1" w:name="_Hlk168823758"/>
      <w:r>
        <w:rPr>
          <w:i/>
          <w:iCs/>
        </w:rPr>
        <w:t>Supply Chain Second Report and Order</w:t>
      </w:r>
      <w:r>
        <w:t xml:space="preserve">, 35 FCC </w:t>
      </w:r>
      <w:r>
        <w:t>Rcd</w:t>
      </w:r>
      <w:r>
        <w:t xml:space="preserve"> </w:t>
      </w:r>
      <w:bookmarkEnd w:id="1"/>
      <w:r w:rsidR="00F87ABF">
        <w:t xml:space="preserve">at </w:t>
      </w:r>
      <w:r w:rsidRPr="00033494">
        <w:t>1</w:t>
      </w:r>
      <w:r>
        <w:t>4317, 14319, 14325</w:t>
      </w:r>
      <w:r w:rsidRPr="00033494">
        <w:t xml:space="preserve">, paras. </w:t>
      </w:r>
      <w:r>
        <w:t xml:space="preserve">72, 77, </w:t>
      </w:r>
      <w:r w:rsidRPr="00033494">
        <w:t>92</w:t>
      </w:r>
      <w:r>
        <w:t>.</w:t>
      </w:r>
    </w:p>
  </w:footnote>
  <w:footnote w:id="14">
    <w:p w:rsidR="00836753" w:rsidRPr="00033494" w:rsidP="00836753" w14:paraId="507AB41C" w14:textId="77777777">
      <w:pPr>
        <w:pStyle w:val="FootnoteText"/>
      </w:pPr>
      <w:r w:rsidRPr="00836753">
        <w:rPr>
          <w:rStyle w:val="FootnoteReference"/>
        </w:rPr>
        <w:footnoteRef/>
      </w:r>
      <w:r w:rsidRPr="00033494">
        <w:t xml:space="preserve"> 47 CFR § 2.903(a).</w:t>
      </w:r>
    </w:p>
  </w:footnote>
  <w:footnote w:id="15">
    <w:p w:rsidR="0026424E" w14:paraId="4B3D690D" w14:textId="0AC8BE1B">
      <w:pPr>
        <w:pStyle w:val="FootnoteText"/>
      </w:pPr>
      <w:r>
        <w:rPr>
          <w:rStyle w:val="FootnoteReference"/>
        </w:rPr>
        <w:footnoteRef/>
      </w:r>
      <w:r>
        <w:t xml:space="preserve"> 47 CFR </w:t>
      </w:r>
      <w:r w:rsidRPr="00033494">
        <w:t>§</w:t>
      </w:r>
      <w:r>
        <w:t xml:space="preserve"> 2.911(d)(5)(</w:t>
      </w:r>
      <w:r>
        <w:t>i</w:t>
      </w:r>
      <w:r>
        <w:t xml:space="preserve">).  </w:t>
      </w:r>
    </w:p>
  </w:footnote>
  <w:footnote w:id="16">
    <w:p w:rsidR="00836753" w:rsidP="00836753" w14:paraId="0F07C950" w14:textId="77777777">
      <w:pPr>
        <w:pStyle w:val="FootnoteText"/>
      </w:pPr>
      <w:r>
        <w:rPr>
          <w:rStyle w:val="FootnoteReference"/>
        </w:rPr>
        <w:footnoteRef/>
      </w:r>
      <w:r>
        <w:t xml:space="preserve"> </w:t>
      </w:r>
      <w:r>
        <w:rPr>
          <w:i/>
          <w:iCs/>
        </w:rPr>
        <w:t xml:space="preserve">See </w:t>
      </w:r>
      <w:r>
        <w:t xml:space="preserve">47 CFR §§ 2.903, 2.906, 2.907, 2.911, 2.929, 2.932, 2.938, 2.1033, 2.1043. </w:t>
      </w:r>
    </w:p>
  </w:footnote>
  <w:footnote w:id="17">
    <w:p w:rsidR="00836753" w:rsidRPr="00532D57" w:rsidP="00836753" w14:paraId="202007CA" w14:textId="1B094018">
      <w:pPr>
        <w:spacing w:before="120"/>
        <w:rPr>
          <w:snapToGrid/>
          <w:kern w:val="0"/>
          <w:sz w:val="20"/>
        </w:rPr>
      </w:pPr>
      <w:r w:rsidRPr="00B5055B">
        <w:rPr>
          <w:rStyle w:val="FootnoteReference"/>
          <w:sz w:val="20"/>
        </w:rPr>
        <w:footnoteRef/>
      </w:r>
      <w:r w:rsidRPr="00B5055B">
        <w:rPr>
          <w:sz w:val="20"/>
        </w:rPr>
        <w:t xml:space="preserve"> </w:t>
      </w:r>
      <w:r w:rsidRPr="005E4812">
        <w:rPr>
          <w:sz w:val="20"/>
        </w:rPr>
        <w:t xml:space="preserve">The FCC website also contains a list of </w:t>
      </w:r>
      <w:r>
        <w:rPr>
          <w:sz w:val="20"/>
        </w:rPr>
        <w:t xml:space="preserve">certain </w:t>
      </w:r>
      <w:r w:rsidRPr="005E4812">
        <w:rPr>
          <w:sz w:val="20"/>
        </w:rPr>
        <w:t xml:space="preserve">affiliates and subsidiaries of entities identified on the Covered List.  The list of affiliates and subsidiaries does not constitute a comprehensive list of all entities that the Commission may find, upon further examination, to qualify as relevant subsidiaries or affiliates of entities on the Covered List.  Those entities, whether or not they currently provide covered communications equipment or services, are subject to the Commission’s prohibitions, such as the prohibition against obtaining authorizations for covered equipment.  </w:t>
      </w:r>
      <w:r w:rsidRPr="005E4812">
        <w:rPr>
          <w:i/>
          <w:iCs/>
          <w:sz w:val="20"/>
        </w:rPr>
        <w:t xml:space="preserve">See </w:t>
      </w:r>
      <w:r w:rsidRPr="00F85B34">
        <w:rPr>
          <w:i/>
          <w:iCs/>
          <w:sz w:val="20"/>
        </w:rPr>
        <w:t>Reminder: Communications Equipment And Services On The Covered List Pose An Unacceptable Risk To National Security</w:t>
      </w:r>
      <w:r w:rsidRPr="005E4812">
        <w:rPr>
          <w:sz w:val="20"/>
        </w:rPr>
        <w:t xml:space="preserve">, </w:t>
      </w:r>
      <w:r w:rsidRPr="00F85B34">
        <w:rPr>
          <w:sz w:val="20"/>
        </w:rPr>
        <w:t>National Security Advisory No. 2025-01, DA 25-927,</w:t>
      </w:r>
      <w:r w:rsidRPr="005E4812">
        <w:rPr>
          <w:i/>
          <w:iCs/>
          <w:sz w:val="20"/>
        </w:rPr>
        <w:t xml:space="preserve"> </w:t>
      </w:r>
      <w:r w:rsidRPr="005E4812">
        <w:rPr>
          <w:sz w:val="20"/>
        </w:rPr>
        <w:t>note 3 (</w:t>
      </w:r>
      <w:r w:rsidR="00F85B34">
        <w:rPr>
          <w:sz w:val="20"/>
        </w:rPr>
        <w:t>PSHSB</w:t>
      </w:r>
      <w:r w:rsidRPr="005E4812">
        <w:rPr>
          <w:sz w:val="20"/>
        </w:rPr>
        <w:t xml:space="preserve"> Oct</w:t>
      </w:r>
      <w:r w:rsidR="00F85B34">
        <w:rPr>
          <w:sz w:val="20"/>
        </w:rPr>
        <w:t>.</w:t>
      </w:r>
      <w:r w:rsidRPr="005E4812">
        <w:rPr>
          <w:sz w:val="20"/>
        </w:rPr>
        <w:t xml:space="preserve"> 14, 2025)</w:t>
      </w:r>
      <w:r w:rsidRPr="005E4812">
        <w:rPr>
          <w:snapToGrid/>
          <w:kern w:val="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725E323" w14:textId="1F0EF216">
    <w:pPr>
      <w:tabs>
        <w:tab w:val="center" w:pos="4680"/>
        <w:tab w:val="right" w:pos="9360"/>
      </w:tabs>
    </w:pPr>
    <w:r>
      <w:rPr>
        <w:b/>
      </w:rPr>
      <w:tab/>
      <w:t>Federal Communications Commission</w:t>
    </w:r>
    <w:r>
      <w:rPr>
        <w:b/>
      </w:rPr>
      <w:tab/>
    </w:r>
    <w:r w:rsidR="00700309">
      <w:rPr>
        <w:b/>
      </w:rPr>
      <w:t>DA 26-</w:t>
    </w:r>
    <w:r w:rsidR="00455879">
      <w:rPr>
        <w:b/>
      </w:rPr>
      <w:t>278</w:t>
    </w:r>
  </w:p>
  <w:p w:rsidR="00BA3BA8" w14:paraId="238773C2" w14:textId="021C659D">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1E709C3D"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48A" w:rsidP="00ED048A" w14:paraId="4609B64C" w14:textId="7011C690">
    <w:pPr>
      <w:tabs>
        <w:tab w:val="left" w:pos="-720"/>
      </w:tabs>
      <w:suppressAutoHyphens/>
      <w:spacing w:line="19" w:lineRule="exact"/>
      <w:rPr>
        <w:spacing w:val="-2"/>
      </w:rPr>
    </w:pPr>
    <w:r>
      <w:rPr>
        <w:noProof/>
      </w:rPr>
      <w:drawing>
        <wp:inline distT="0" distB="0" distL="0" distR="0">
          <wp:extent cx="5943600" cy="1426210"/>
          <wp:effectExtent l="0" t="0" r="0" b="2540"/>
          <wp:docPr id="1564390678" name="Picture 1564390678"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90678" name="Picture 1" descr="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6210"/>
                  </a:xfrm>
                  <a:prstGeom prst="rect">
                    <a:avLst/>
                  </a:prstGeom>
                  <a:noFill/>
                  <a:ln>
                    <a:noFill/>
                  </a:ln>
                </pic:spPr>
              </pic:pic>
            </a:graphicData>
          </a:graphic>
        </wp:inline>
      </w:drawing>
    </w:r>
    <w:r>
      <w:rPr>
        <w:noProof/>
      </w:rPr>
      <w:drawing>
        <wp:inline distT="0" distB="0" distL="0" distR="0">
          <wp:extent cx="5943600" cy="1426210"/>
          <wp:effectExtent l="0" t="0" r="0" b="2540"/>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6210"/>
                  </a:xfrm>
                  <a:prstGeom prst="rect">
                    <a:avLst/>
                  </a:prstGeom>
                  <a:noFill/>
                  <a:ln>
                    <a:noFill/>
                  </a:ln>
                </pic:spPr>
              </pic:pic>
            </a:graphicData>
          </a:graphic>
        </wp:inline>
      </w:drawing>
    </w:r>
    <w:r>
      <w:rPr>
        <w:noProof/>
      </w:rPr>
      <mc:AlternateContent>
        <mc:Choice Requires="wps">
          <w:drawing>
            <wp:anchor distT="0" distB="0" distL="114300" distR="114300" simplePos="0" relativeHeight="251662336" behindDoc="1" locked="0" layoutInCell="0" allowOverlap="1">
              <wp:simplePos x="0" y="0"/>
              <wp:positionH relativeFrom="margin">
                <wp:posOffset>0</wp:posOffset>
              </wp:positionH>
              <wp:positionV relativeFrom="paragraph">
                <wp:posOffset>0</wp:posOffset>
              </wp:positionV>
              <wp:extent cx="5943600" cy="12065"/>
              <wp:effectExtent l="0" t="0" r="0" b="0"/>
              <wp:wrapNone/>
              <wp:docPr id="1331116554"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strokeweight="0.05pt">
              <w10:wrap anchorx="margin"/>
            </v:rect>
          </w:pict>
        </mc:Fallback>
      </mc:AlternateContent>
    </w:r>
  </w:p>
  <w:p w:rsidR="00ED048A" w:rsidP="00ED048A" w14:paraId="7DA34E42" w14:textId="4674E900">
    <w:pPr>
      <w:spacing w:before="40"/>
      <w:rPr>
        <w:rFonts w:ascii="Arial" w:hAnsi="Arial" w:cs="Arial"/>
        <w:b/>
        <w:sz w:val="20"/>
      </w:rPr>
    </w:pPr>
    <w:r w:rsidRPr="00D009F4">
      <w:rPr>
        <w:noProof/>
      </w:rPr>
      <w:drawing>
        <wp:inline distT="0" distB="0" distL="0" distR="0">
          <wp:extent cx="5943600" cy="1426210"/>
          <wp:effectExtent l="0" t="0" r="0" b="2540"/>
          <wp:docPr id="1028230955" name="Picture 1028230955"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30955" name="Picture 1" descr="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62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49A" w:rsidP="00E6749A" w14:paraId="64EF60F6" w14:textId="77777777">
    <w:pPr>
      <w:tabs>
        <w:tab w:val="center" w:pos="4680"/>
        <w:tab w:val="right" w:pos="9360"/>
      </w:tabs>
    </w:pPr>
    <w:r>
      <w:rPr>
        <w:b/>
      </w:rPr>
      <w:tab/>
      <w:t>Federal Communications Commission</w:t>
    </w:r>
    <w:r>
      <w:rPr>
        <w:b/>
      </w:rPr>
      <w:tab/>
      <w:t>DA 26-278</w:t>
    </w:r>
  </w:p>
  <w:p w:rsidR="00E6749A" w:rsidP="00E6749A" w14:paraId="4E67A691"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627415654"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1"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p>
  <w:p w:rsidR="00E6749A" w:rsidP="00E6749A" w14:paraId="796DE369" w14:textId="77777777">
    <w:pPr>
      <w:spacing w:before="40"/>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28D40EB3"/>
    <w:multiLevelType w:val="hybridMultilevel"/>
    <w:tmpl w:val="4FAA8120"/>
    <w:lvl w:ilvl="0">
      <w:start w:val="1"/>
      <w:numFmt w:val="decimal"/>
      <w:lvlText w:val="%1."/>
      <w:lvlJc w:val="left"/>
      <w:pPr>
        <w:ind w:left="720" w:hanging="360"/>
      </w:pPr>
      <w:rPr>
        <w:rFonts w:ascii="Times New Roman" w:eastAsia="Times New Roman" w:hAnsi="Times New Roman"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340974"/>
    <w:multiLevelType w:val="hybridMultilevel"/>
    <w:tmpl w:val="35AC791E"/>
    <w:lvl w:ilvl="0">
      <w:start w:val="3"/>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2"/>
      <w:numFmt w:val="lowerLetter"/>
      <w:lvlText w:val="%2."/>
      <w:lvlJc w:val="left"/>
      <w:pPr>
        <w:ind w:left="1080" w:hanging="360"/>
      </w:pPr>
      <w:rPr>
        <w:rFonts w:ascii="Times New Roman" w:eastAsia="Times New Roman" w:hAnsi="Times New Roman" w:cs="Times New Roman" w:hint="default"/>
        <w:b w:val="0"/>
        <w:bCs w:val="0"/>
        <w:i w:val="0"/>
        <w:iCs w:val="0"/>
        <w:spacing w:val="-1"/>
        <w:w w:val="100"/>
        <w:sz w:val="24"/>
        <w:szCs w:val="24"/>
      </w:rPr>
    </w:lvl>
    <w:lvl w:ilvl="2">
      <w:start w:val="0"/>
      <w:numFmt w:val="bullet"/>
      <w:lvlText w:val="•"/>
      <w:lvlJc w:val="left"/>
      <w:pPr>
        <w:ind w:left="2000" w:hanging="360"/>
      </w:pPr>
      <w:rPr>
        <w:rFonts w:hint="default"/>
        <w:lang w:val="en-US" w:eastAsia="en-US" w:bidi="ar-SA"/>
      </w:rPr>
    </w:lvl>
    <w:lvl w:ilvl="3">
      <w:start w:val="0"/>
      <w:numFmt w:val="bullet"/>
      <w:lvlText w:val="•"/>
      <w:lvlJc w:val="left"/>
      <w:pPr>
        <w:ind w:left="292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5680" w:hanging="360"/>
      </w:pPr>
      <w:rPr>
        <w:rFonts w:hint="default"/>
        <w:lang w:val="en-US" w:eastAsia="en-US" w:bidi="ar-SA"/>
      </w:rPr>
    </w:lvl>
    <w:lvl w:ilvl="7">
      <w:start w:val="0"/>
      <w:numFmt w:val="bullet"/>
      <w:lvlText w:val="•"/>
      <w:lvlJc w:val="left"/>
      <w:pPr>
        <w:ind w:left="6600" w:hanging="360"/>
      </w:pPr>
      <w:rPr>
        <w:rFonts w:hint="default"/>
        <w:lang w:val="en-US" w:eastAsia="en-US" w:bidi="ar-SA"/>
      </w:rPr>
    </w:lvl>
    <w:lvl w:ilvl="8">
      <w:start w:val="0"/>
      <w:numFmt w:val="bullet"/>
      <w:lvlText w:val="•"/>
      <w:lvlJc w:val="left"/>
      <w:pPr>
        <w:ind w:left="7520" w:hanging="360"/>
      </w:pPr>
      <w:rPr>
        <w:rFonts w:hint="default"/>
        <w:lang w:val="en-US" w:eastAsia="en-US" w:bidi="ar-SA"/>
      </w:rPr>
    </w:lvl>
  </w:abstractNum>
  <w:abstractNum w:abstractNumId="6">
    <w:nsid w:val="4C1B741E"/>
    <w:multiLevelType w:val="hybridMultilevel"/>
    <w:tmpl w:val="6D20E81A"/>
    <w:lvl w:ilvl="0">
      <w:start w:val="3"/>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000" w:hanging="360"/>
      </w:pPr>
      <w:rPr>
        <w:rFonts w:hint="default"/>
        <w:lang w:val="en-US" w:eastAsia="en-US" w:bidi="ar-SA"/>
      </w:rPr>
    </w:lvl>
    <w:lvl w:ilvl="3">
      <w:start w:val="0"/>
      <w:numFmt w:val="bullet"/>
      <w:lvlText w:val="•"/>
      <w:lvlJc w:val="left"/>
      <w:pPr>
        <w:ind w:left="292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5680" w:hanging="360"/>
      </w:pPr>
      <w:rPr>
        <w:rFonts w:hint="default"/>
        <w:lang w:val="en-US" w:eastAsia="en-US" w:bidi="ar-SA"/>
      </w:rPr>
    </w:lvl>
    <w:lvl w:ilvl="7">
      <w:start w:val="0"/>
      <w:numFmt w:val="bullet"/>
      <w:lvlText w:val="•"/>
      <w:lvlJc w:val="left"/>
      <w:pPr>
        <w:ind w:left="6600" w:hanging="360"/>
      </w:pPr>
      <w:rPr>
        <w:rFonts w:hint="default"/>
        <w:lang w:val="en-US" w:eastAsia="en-US" w:bidi="ar-SA"/>
      </w:rPr>
    </w:lvl>
    <w:lvl w:ilvl="8">
      <w:start w:val="0"/>
      <w:numFmt w:val="bullet"/>
      <w:lvlText w:val="•"/>
      <w:lvlJc w:val="left"/>
      <w:pPr>
        <w:ind w:left="7520" w:hanging="360"/>
      </w:pPr>
      <w:rPr>
        <w:rFonts w:hint="default"/>
        <w:lang w:val="en-US" w:eastAsia="en-US" w:bidi="ar-SA"/>
      </w:r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5A6F136C"/>
    <w:multiLevelType w:val="hybridMultilevel"/>
    <w:tmpl w:val="E27C4F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500534273">
    <w:abstractNumId w:val="1"/>
  </w:num>
  <w:num w:numId="2" w16cid:durableId="1007749714">
    <w:abstractNumId w:val="9"/>
  </w:num>
  <w:num w:numId="3" w16cid:durableId="786899658">
    <w:abstractNumId w:val="3"/>
  </w:num>
  <w:num w:numId="4" w16cid:durableId="1767581959">
    <w:abstractNumId w:val="7"/>
  </w:num>
  <w:num w:numId="5" w16cid:durableId="1055200300">
    <w:abstractNumId w:val="2"/>
  </w:num>
  <w:num w:numId="6" w16cid:durableId="296642183">
    <w:abstractNumId w:val="0"/>
  </w:num>
  <w:num w:numId="7" w16cid:durableId="412319208">
    <w:abstractNumId w:val="8"/>
  </w:num>
  <w:num w:numId="8" w16cid:durableId="125702372">
    <w:abstractNumId w:val="5"/>
  </w:num>
  <w:num w:numId="9" w16cid:durableId="368409721">
    <w:abstractNumId w:val="4"/>
  </w:num>
  <w:num w:numId="10" w16cid:durableId="1777820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24"/>
    <w:rsid w:val="00006ACB"/>
    <w:rsid w:val="0000775A"/>
    <w:rsid w:val="00013427"/>
    <w:rsid w:val="00017494"/>
    <w:rsid w:val="00017EA0"/>
    <w:rsid w:val="000207B9"/>
    <w:rsid w:val="00025EBC"/>
    <w:rsid w:val="00026924"/>
    <w:rsid w:val="00033494"/>
    <w:rsid w:val="00040EF6"/>
    <w:rsid w:val="00041C2D"/>
    <w:rsid w:val="000446DC"/>
    <w:rsid w:val="000637F6"/>
    <w:rsid w:val="0006680B"/>
    <w:rsid w:val="000701B9"/>
    <w:rsid w:val="000715B1"/>
    <w:rsid w:val="000716A1"/>
    <w:rsid w:val="000728EE"/>
    <w:rsid w:val="00073773"/>
    <w:rsid w:val="00075162"/>
    <w:rsid w:val="00076511"/>
    <w:rsid w:val="00080A77"/>
    <w:rsid w:val="000927E0"/>
    <w:rsid w:val="0009544B"/>
    <w:rsid w:val="000B1F05"/>
    <w:rsid w:val="000B4449"/>
    <w:rsid w:val="000B50CD"/>
    <w:rsid w:val="000B5880"/>
    <w:rsid w:val="000B7449"/>
    <w:rsid w:val="000C3183"/>
    <w:rsid w:val="000C3532"/>
    <w:rsid w:val="000D1D0C"/>
    <w:rsid w:val="000D45D2"/>
    <w:rsid w:val="000E118E"/>
    <w:rsid w:val="000E4B34"/>
    <w:rsid w:val="000E4EEB"/>
    <w:rsid w:val="000F1A4B"/>
    <w:rsid w:val="000F24BC"/>
    <w:rsid w:val="000F3D86"/>
    <w:rsid w:val="000F43F6"/>
    <w:rsid w:val="000F632A"/>
    <w:rsid w:val="00101634"/>
    <w:rsid w:val="00106461"/>
    <w:rsid w:val="00110669"/>
    <w:rsid w:val="00110733"/>
    <w:rsid w:val="00114C57"/>
    <w:rsid w:val="001154A2"/>
    <w:rsid w:val="00125B30"/>
    <w:rsid w:val="00131D95"/>
    <w:rsid w:val="00140F28"/>
    <w:rsid w:val="001413AD"/>
    <w:rsid w:val="0014395A"/>
    <w:rsid w:val="00146BC1"/>
    <w:rsid w:val="001477E2"/>
    <w:rsid w:val="00154790"/>
    <w:rsid w:val="00163CCC"/>
    <w:rsid w:val="001655BD"/>
    <w:rsid w:val="001712FF"/>
    <w:rsid w:val="00172F47"/>
    <w:rsid w:val="00174C70"/>
    <w:rsid w:val="001772E9"/>
    <w:rsid w:val="001806ED"/>
    <w:rsid w:val="00191076"/>
    <w:rsid w:val="001910CA"/>
    <w:rsid w:val="001A172D"/>
    <w:rsid w:val="001B103F"/>
    <w:rsid w:val="001B1A9A"/>
    <w:rsid w:val="001B6F6A"/>
    <w:rsid w:val="001C576A"/>
    <w:rsid w:val="001D76B4"/>
    <w:rsid w:val="001D7B56"/>
    <w:rsid w:val="001E4F06"/>
    <w:rsid w:val="001F2A69"/>
    <w:rsid w:val="00205BCA"/>
    <w:rsid w:val="002067E6"/>
    <w:rsid w:val="002068FF"/>
    <w:rsid w:val="00213F50"/>
    <w:rsid w:val="00226D38"/>
    <w:rsid w:val="0023325D"/>
    <w:rsid w:val="002359BF"/>
    <w:rsid w:val="00240D6C"/>
    <w:rsid w:val="00241308"/>
    <w:rsid w:val="002462C4"/>
    <w:rsid w:val="00246834"/>
    <w:rsid w:val="0025177A"/>
    <w:rsid w:val="002602E0"/>
    <w:rsid w:val="00260451"/>
    <w:rsid w:val="00260975"/>
    <w:rsid w:val="00261A94"/>
    <w:rsid w:val="0026424E"/>
    <w:rsid w:val="0027033E"/>
    <w:rsid w:val="00280774"/>
    <w:rsid w:val="00281A62"/>
    <w:rsid w:val="0029185D"/>
    <w:rsid w:val="002930D4"/>
    <w:rsid w:val="0029683D"/>
    <w:rsid w:val="002A57B7"/>
    <w:rsid w:val="002B5655"/>
    <w:rsid w:val="002B6769"/>
    <w:rsid w:val="002B793F"/>
    <w:rsid w:val="002C2352"/>
    <w:rsid w:val="002D2DA3"/>
    <w:rsid w:val="002E6F90"/>
    <w:rsid w:val="002F22E3"/>
    <w:rsid w:val="002F3291"/>
    <w:rsid w:val="002F79BF"/>
    <w:rsid w:val="003030EA"/>
    <w:rsid w:val="00305DB7"/>
    <w:rsid w:val="0031006C"/>
    <w:rsid w:val="00322D81"/>
    <w:rsid w:val="003359D2"/>
    <w:rsid w:val="00360D6B"/>
    <w:rsid w:val="003701A0"/>
    <w:rsid w:val="00370968"/>
    <w:rsid w:val="003736C9"/>
    <w:rsid w:val="003741B7"/>
    <w:rsid w:val="0037465E"/>
    <w:rsid w:val="00384001"/>
    <w:rsid w:val="00392D45"/>
    <w:rsid w:val="00394EF7"/>
    <w:rsid w:val="003A1B32"/>
    <w:rsid w:val="003A3562"/>
    <w:rsid w:val="003A58BF"/>
    <w:rsid w:val="003B1007"/>
    <w:rsid w:val="003B448F"/>
    <w:rsid w:val="003B71A2"/>
    <w:rsid w:val="003C2705"/>
    <w:rsid w:val="003C521A"/>
    <w:rsid w:val="003D383A"/>
    <w:rsid w:val="003D38B4"/>
    <w:rsid w:val="003E0DEC"/>
    <w:rsid w:val="003E2C65"/>
    <w:rsid w:val="003E32AF"/>
    <w:rsid w:val="003E3F2D"/>
    <w:rsid w:val="003E4595"/>
    <w:rsid w:val="003E72AF"/>
    <w:rsid w:val="003F00A6"/>
    <w:rsid w:val="003F0C5A"/>
    <w:rsid w:val="003F287F"/>
    <w:rsid w:val="003F68CC"/>
    <w:rsid w:val="003F6DA1"/>
    <w:rsid w:val="00400002"/>
    <w:rsid w:val="00403443"/>
    <w:rsid w:val="00404501"/>
    <w:rsid w:val="0042017B"/>
    <w:rsid w:val="00425082"/>
    <w:rsid w:val="00430183"/>
    <w:rsid w:val="00433B0C"/>
    <w:rsid w:val="00434D84"/>
    <w:rsid w:val="0043551B"/>
    <w:rsid w:val="00437F3F"/>
    <w:rsid w:val="0044045F"/>
    <w:rsid w:val="00451A55"/>
    <w:rsid w:val="0045325B"/>
    <w:rsid w:val="004552EB"/>
    <w:rsid w:val="00455879"/>
    <w:rsid w:val="004720A6"/>
    <w:rsid w:val="00473F40"/>
    <w:rsid w:val="00487356"/>
    <w:rsid w:val="00491A0E"/>
    <w:rsid w:val="00493250"/>
    <w:rsid w:val="004A5F9E"/>
    <w:rsid w:val="004A6E81"/>
    <w:rsid w:val="004B0D58"/>
    <w:rsid w:val="004B2D45"/>
    <w:rsid w:val="004C1DD5"/>
    <w:rsid w:val="004C24FA"/>
    <w:rsid w:val="004C560D"/>
    <w:rsid w:val="004E0E0B"/>
    <w:rsid w:val="00501D34"/>
    <w:rsid w:val="00516EFE"/>
    <w:rsid w:val="00530350"/>
    <w:rsid w:val="00530FF9"/>
    <w:rsid w:val="00531ADE"/>
    <w:rsid w:val="00532D57"/>
    <w:rsid w:val="0053343C"/>
    <w:rsid w:val="00540E81"/>
    <w:rsid w:val="00545A48"/>
    <w:rsid w:val="00555713"/>
    <w:rsid w:val="00557B9C"/>
    <w:rsid w:val="005703A0"/>
    <w:rsid w:val="00573E9C"/>
    <w:rsid w:val="005810D0"/>
    <w:rsid w:val="005822C3"/>
    <w:rsid w:val="00587494"/>
    <w:rsid w:val="00590620"/>
    <w:rsid w:val="00597A23"/>
    <w:rsid w:val="005A2E0D"/>
    <w:rsid w:val="005A4ED7"/>
    <w:rsid w:val="005B318B"/>
    <w:rsid w:val="005C306A"/>
    <w:rsid w:val="005C479D"/>
    <w:rsid w:val="005C4F4C"/>
    <w:rsid w:val="005D76CA"/>
    <w:rsid w:val="005E00EF"/>
    <w:rsid w:val="005E2491"/>
    <w:rsid w:val="005E4812"/>
    <w:rsid w:val="005F0CEF"/>
    <w:rsid w:val="005F3680"/>
    <w:rsid w:val="005F7327"/>
    <w:rsid w:val="005F744B"/>
    <w:rsid w:val="0060708A"/>
    <w:rsid w:val="006079EB"/>
    <w:rsid w:val="00611A49"/>
    <w:rsid w:val="0062637D"/>
    <w:rsid w:val="006412B5"/>
    <w:rsid w:val="0065691D"/>
    <w:rsid w:val="00656A0E"/>
    <w:rsid w:val="00657649"/>
    <w:rsid w:val="00672D18"/>
    <w:rsid w:val="006832D5"/>
    <w:rsid w:val="006842EB"/>
    <w:rsid w:val="00684A9B"/>
    <w:rsid w:val="00686AA1"/>
    <w:rsid w:val="00692DA5"/>
    <w:rsid w:val="00693D7E"/>
    <w:rsid w:val="0069520C"/>
    <w:rsid w:val="006973A4"/>
    <w:rsid w:val="006A122B"/>
    <w:rsid w:val="006A3A6D"/>
    <w:rsid w:val="006A7464"/>
    <w:rsid w:val="006B664B"/>
    <w:rsid w:val="006C1723"/>
    <w:rsid w:val="006C5F0A"/>
    <w:rsid w:val="006D093B"/>
    <w:rsid w:val="006D682A"/>
    <w:rsid w:val="006D724C"/>
    <w:rsid w:val="006E143A"/>
    <w:rsid w:val="006E35FC"/>
    <w:rsid w:val="006F048F"/>
    <w:rsid w:val="006F2146"/>
    <w:rsid w:val="00700309"/>
    <w:rsid w:val="007021AF"/>
    <w:rsid w:val="0070491A"/>
    <w:rsid w:val="00704E4D"/>
    <w:rsid w:val="007050AD"/>
    <w:rsid w:val="00712A6A"/>
    <w:rsid w:val="0071548C"/>
    <w:rsid w:val="00716A5C"/>
    <w:rsid w:val="0072207D"/>
    <w:rsid w:val="00723B6C"/>
    <w:rsid w:val="00726097"/>
    <w:rsid w:val="00727660"/>
    <w:rsid w:val="00733757"/>
    <w:rsid w:val="00735B7F"/>
    <w:rsid w:val="00736C13"/>
    <w:rsid w:val="007401F4"/>
    <w:rsid w:val="00746C17"/>
    <w:rsid w:val="00750E31"/>
    <w:rsid w:val="0075257D"/>
    <w:rsid w:val="007557C6"/>
    <w:rsid w:val="00756370"/>
    <w:rsid w:val="00756B68"/>
    <w:rsid w:val="00761C85"/>
    <w:rsid w:val="00763A1F"/>
    <w:rsid w:val="007675C2"/>
    <w:rsid w:val="007675F4"/>
    <w:rsid w:val="00771267"/>
    <w:rsid w:val="00771681"/>
    <w:rsid w:val="00773C59"/>
    <w:rsid w:val="0078787E"/>
    <w:rsid w:val="007903FF"/>
    <w:rsid w:val="007931AC"/>
    <w:rsid w:val="007957BC"/>
    <w:rsid w:val="007A1C31"/>
    <w:rsid w:val="007A218F"/>
    <w:rsid w:val="007B054F"/>
    <w:rsid w:val="007C042C"/>
    <w:rsid w:val="007C0D6D"/>
    <w:rsid w:val="007C2612"/>
    <w:rsid w:val="007C3044"/>
    <w:rsid w:val="007C44EF"/>
    <w:rsid w:val="007C6433"/>
    <w:rsid w:val="007D435A"/>
    <w:rsid w:val="007D79BE"/>
    <w:rsid w:val="007E048F"/>
    <w:rsid w:val="007E6746"/>
    <w:rsid w:val="007F266B"/>
    <w:rsid w:val="007F2892"/>
    <w:rsid w:val="007F7C8B"/>
    <w:rsid w:val="00801E82"/>
    <w:rsid w:val="00805728"/>
    <w:rsid w:val="00807476"/>
    <w:rsid w:val="00811445"/>
    <w:rsid w:val="00811EFE"/>
    <w:rsid w:val="0081626C"/>
    <w:rsid w:val="008168CE"/>
    <w:rsid w:val="00823D98"/>
    <w:rsid w:val="0082508C"/>
    <w:rsid w:val="00835472"/>
    <w:rsid w:val="00836753"/>
    <w:rsid w:val="00845735"/>
    <w:rsid w:val="00845DD2"/>
    <w:rsid w:val="008610D3"/>
    <w:rsid w:val="00863078"/>
    <w:rsid w:val="00870846"/>
    <w:rsid w:val="00870FB1"/>
    <w:rsid w:val="00874057"/>
    <w:rsid w:val="00874D3F"/>
    <w:rsid w:val="00877197"/>
    <w:rsid w:val="00877F05"/>
    <w:rsid w:val="00885518"/>
    <w:rsid w:val="008868F9"/>
    <w:rsid w:val="00887128"/>
    <w:rsid w:val="00887A28"/>
    <w:rsid w:val="00891846"/>
    <w:rsid w:val="00893D24"/>
    <w:rsid w:val="00893EE8"/>
    <w:rsid w:val="008A11C2"/>
    <w:rsid w:val="008A33DA"/>
    <w:rsid w:val="008A7856"/>
    <w:rsid w:val="008B2B30"/>
    <w:rsid w:val="008B44E4"/>
    <w:rsid w:val="008C50D9"/>
    <w:rsid w:val="008C5158"/>
    <w:rsid w:val="008C5EFE"/>
    <w:rsid w:val="008C6C14"/>
    <w:rsid w:val="008D3746"/>
    <w:rsid w:val="008E1003"/>
    <w:rsid w:val="008E3B88"/>
    <w:rsid w:val="008E63B2"/>
    <w:rsid w:val="008F2DF5"/>
    <w:rsid w:val="008F30C9"/>
    <w:rsid w:val="008F600C"/>
    <w:rsid w:val="0090012B"/>
    <w:rsid w:val="00901034"/>
    <w:rsid w:val="009021FF"/>
    <w:rsid w:val="0091050D"/>
    <w:rsid w:val="009126FC"/>
    <w:rsid w:val="00940773"/>
    <w:rsid w:val="009419AB"/>
    <w:rsid w:val="00943BD4"/>
    <w:rsid w:val="00943CB4"/>
    <w:rsid w:val="00944560"/>
    <w:rsid w:val="00946320"/>
    <w:rsid w:val="009523DB"/>
    <w:rsid w:val="00966CA8"/>
    <w:rsid w:val="00977715"/>
    <w:rsid w:val="0098540D"/>
    <w:rsid w:val="00990629"/>
    <w:rsid w:val="009914BC"/>
    <w:rsid w:val="009A1328"/>
    <w:rsid w:val="009A4277"/>
    <w:rsid w:val="009A5A86"/>
    <w:rsid w:val="009B321F"/>
    <w:rsid w:val="009B3946"/>
    <w:rsid w:val="009C59B2"/>
    <w:rsid w:val="009C7DA3"/>
    <w:rsid w:val="009D00B7"/>
    <w:rsid w:val="009E1C9C"/>
    <w:rsid w:val="009E441D"/>
    <w:rsid w:val="009E54D3"/>
    <w:rsid w:val="009E5CA2"/>
    <w:rsid w:val="009E760D"/>
    <w:rsid w:val="009F3898"/>
    <w:rsid w:val="009F3E69"/>
    <w:rsid w:val="00A00B1B"/>
    <w:rsid w:val="00A02518"/>
    <w:rsid w:val="00A05297"/>
    <w:rsid w:val="00A16F45"/>
    <w:rsid w:val="00A173E1"/>
    <w:rsid w:val="00A20679"/>
    <w:rsid w:val="00A24910"/>
    <w:rsid w:val="00A26BE5"/>
    <w:rsid w:val="00A44523"/>
    <w:rsid w:val="00A45784"/>
    <w:rsid w:val="00A500C9"/>
    <w:rsid w:val="00A55032"/>
    <w:rsid w:val="00A60623"/>
    <w:rsid w:val="00A63E8D"/>
    <w:rsid w:val="00A713E0"/>
    <w:rsid w:val="00A71653"/>
    <w:rsid w:val="00A71EDE"/>
    <w:rsid w:val="00A807E1"/>
    <w:rsid w:val="00A8118E"/>
    <w:rsid w:val="00A96564"/>
    <w:rsid w:val="00A96825"/>
    <w:rsid w:val="00A96850"/>
    <w:rsid w:val="00AB1A80"/>
    <w:rsid w:val="00AB2F66"/>
    <w:rsid w:val="00AB3AD5"/>
    <w:rsid w:val="00AB5E2B"/>
    <w:rsid w:val="00AB6606"/>
    <w:rsid w:val="00AC0123"/>
    <w:rsid w:val="00AC059B"/>
    <w:rsid w:val="00AC528B"/>
    <w:rsid w:val="00AC7C02"/>
    <w:rsid w:val="00AE2B45"/>
    <w:rsid w:val="00AF114B"/>
    <w:rsid w:val="00AF7447"/>
    <w:rsid w:val="00B005C9"/>
    <w:rsid w:val="00B078CD"/>
    <w:rsid w:val="00B07C8F"/>
    <w:rsid w:val="00B1088A"/>
    <w:rsid w:val="00B10C5C"/>
    <w:rsid w:val="00B11D40"/>
    <w:rsid w:val="00B11E64"/>
    <w:rsid w:val="00B211A8"/>
    <w:rsid w:val="00B255CE"/>
    <w:rsid w:val="00B26530"/>
    <w:rsid w:val="00B30087"/>
    <w:rsid w:val="00B3117A"/>
    <w:rsid w:val="00B3151C"/>
    <w:rsid w:val="00B324CE"/>
    <w:rsid w:val="00B42CE6"/>
    <w:rsid w:val="00B42EFB"/>
    <w:rsid w:val="00B5055B"/>
    <w:rsid w:val="00B53063"/>
    <w:rsid w:val="00B56FFB"/>
    <w:rsid w:val="00B7037E"/>
    <w:rsid w:val="00B75B35"/>
    <w:rsid w:val="00B76524"/>
    <w:rsid w:val="00B77127"/>
    <w:rsid w:val="00B8526D"/>
    <w:rsid w:val="00B878A5"/>
    <w:rsid w:val="00B87FE0"/>
    <w:rsid w:val="00B92FF2"/>
    <w:rsid w:val="00B95232"/>
    <w:rsid w:val="00B96DB2"/>
    <w:rsid w:val="00BA3BA8"/>
    <w:rsid w:val="00BA5249"/>
    <w:rsid w:val="00BB0D3C"/>
    <w:rsid w:val="00BB795C"/>
    <w:rsid w:val="00BC03F3"/>
    <w:rsid w:val="00BC3553"/>
    <w:rsid w:val="00BD4019"/>
    <w:rsid w:val="00BD7D0C"/>
    <w:rsid w:val="00BE0E46"/>
    <w:rsid w:val="00BE4D04"/>
    <w:rsid w:val="00BE4FE8"/>
    <w:rsid w:val="00BF00D3"/>
    <w:rsid w:val="00BF19D9"/>
    <w:rsid w:val="00BF3903"/>
    <w:rsid w:val="00BF4A12"/>
    <w:rsid w:val="00BF71AE"/>
    <w:rsid w:val="00C03E3E"/>
    <w:rsid w:val="00C046C3"/>
    <w:rsid w:val="00C14FEF"/>
    <w:rsid w:val="00C2301B"/>
    <w:rsid w:val="00C3193C"/>
    <w:rsid w:val="00C32794"/>
    <w:rsid w:val="00C368B1"/>
    <w:rsid w:val="00C41CA4"/>
    <w:rsid w:val="00C56129"/>
    <w:rsid w:val="00C67A7B"/>
    <w:rsid w:val="00C70846"/>
    <w:rsid w:val="00C72802"/>
    <w:rsid w:val="00C742E7"/>
    <w:rsid w:val="00C82375"/>
    <w:rsid w:val="00C83405"/>
    <w:rsid w:val="00C843A0"/>
    <w:rsid w:val="00C860F7"/>
    <w:rsid w:val="00C947D2"/>
    <w:rsid w:val="00CA070F"/>
    <w:rsid w:val="00CA4069"/>
    <w:rsid w:val="00CA5C28"/>
    <w:rsid w:val="00CB053A"/>
    <w:rsid w:val="00CB063E"/>
    <w:rsid w:val="00CB07A5"/>
    <w:rsid w:val="00CB63A5"/>
    <w:rsid w:val="00CB704D"/>
    <w:rsid w:val="00CB79EF"/>
    <w:rsid w:val="00CD4E78"/>
    <w:rsid w:val="00CD5D7E"/>
    <w:rsid w:val="00CE555B"/>
    <w:rsid w:val="00CE7B8F"/>
    <w:rsid w:val="00CF2A4F"/>
    <w:rsid w:val="00CF41BC"/>
    <w:rsid w:val="00D009F4"/>
    <w:rsid w:val="00D04771"/>
    <w:rsid w:val="00D04DE2"/>
    <w:rsid w:val="00D063BC"/>
    <w:rsid w:val="00D10919"/>
    <w:rsid w:val="00D10A51"/>
    <w:rsid w:val="00D17185"/>
    <w:rsid w:val="00D2257F"/>
    <w:rsid w:val="00D24C5F"/>
    <w:rsid w:val="00D327BF"/>
    <w:rsid w:val="00D40049"/>
    <w:rsid w:val="00D41376"/>
    <w:rsid w:val="00D4215A"/>
    <w:rsid w:val="00D4352D"/>
    <w:rsid w:val="00D6072A"/>
    <w:rsid w:val="00D60CA3"/>
    <w:rsid w:val="00D65E1B"/>
    <w:rsid w:val="00D8162F"/>
    <w:rsid w:val="00D823A1"/>
    <w:rsid w:val="00D83C46"/>
    <w:rsid w:val="00D91591"/>
    <w:rsid w:val="00DA42CF"/>
    <w:rsid w:val="00DA45CF"/>
    <w:rsid w:val="00DB0BEC"/>
    <w:rsid w:val="00DB1B07"/>
    <w:rsid w:val="00DC0311"/>
    <w:rsid w:val="00DC1E7C"/>
    <w:rsid w:val="00DC7322"/>
    <w:rsid w:val="00DD1EC0"/>
    <w:rsid w:val="00DD51C2"/>
    <w:rsid w:val="00DD6F7D"/>
    <w:rsid w:val="00DF2979"/>
    <w:rsid w:val="00E01ACD"/>
    <w:rsid w:val="00E10B3A"/>
    <w:rsid w:val="00E12849"/>
    <w:rsid w:val="00E13886"/>
    <w:rsid w:val="00E20F0D"/>
    <w:rsid w:val="00E25336"/>
    <w:rsid w:val="00E25B81"/>
    <w:rsid w:val="00E25CDC"/>
    <w:rsid w:val="00E261A0"/>
    <w:rsid w:val="00E2689B"/>
    <w:rsid w:val="00E271EE"/>
    <w:rsid w:val="00E27462"/>
    <w:rsid w:val="00E333FD"/>
    <w:rsid w:val="00E539B4"/>
    <w:rsid w:val="00E57887"/>
    <w:rsid w:val="00E60003"/>
    <w:rsid w:val="00E613C5"/>
    <w:rsid w:val="00E6578D"/>
    <w:rsid w:val="00E659E6"/>
    <w:rsid w:val="00E6749A"/>
    <w:rsid w:val="00E7435C"/>
    <w:rsid w:val="00E7505B"/>
    <w:rsid w:val="00E763BF"/>
    <w:rsid w:val="00E80304"/>
    <w:rsid w:val="00E80BDB"/>
    <w:rsid w:val="00E83984"/>
    <w:rsid w:val="00E83D2D"/>
    <w:rsid w:val="00E87B19"/>
    <w:rsid w:val="00E96B8B"/>
    <w:rsid w:val="00E96D8C"/>
    <w:rsid w:val="00EA1F49"/>
    <w:rsid w:val="00EA64CF"/>
    <w:rsid w:val="00EB3259"/>
    <w:rsid w:val="00EC1B38"/>
    <w:rsid w:val="00ED048A"/>
    <w:rsid w:val="00ED19EF"/>
    <w:rsid w:val="00ED3B87"/>
    <w:rsid w:val="00ED704A"/>
    <w:rsid w:val="00ED7B61"/>
    <w:rsid w:val="00EE1559"/>
    <w:rsid w:val="00EF3E8C"/>
    <w:rsid w:val="00EF466B"/>
    <w:rsid w:val="00EF5980"/>
    <w:rsid w:val="00EF7CAD"/>
    <w:rsid w:val="00F006C7"/>
    <w:rsid w:val="00F03EA1"/>
    <w:rsid w:val="00F06A78"/>
    <w:rsid w:val="00F10B86"/>
    <w:rsid w:val="00F16ACA"/>
    <w:rsid w:val="00F219EE"/>
    <w:rsid w:val="00F23ADA"/>
    <w:rsid w:val="00F24394"/>
    <w:rsid w:val="00F25759"/>
    <w:rsid w:val="00F56269"/>
    <w:rsid w:val="00F56807"/>
    <w:rsid w:val="00F57958"/>
    <w:rsid w:val="00F57EFA"/>
    <w:rsid w:val="00F60CC3"/>
    <w:rsid w:val="00F67BB3"/>
    <w:rsid w:val="00F74A24"/>
    <w:rsid w:val="00F774E3"/>
    <w:rsid w:val="00F77920"/>
    <w:rsid w:val="00F8161A"/>
    <w:rsid w:val="00F85B34"/>
    <w:rsid w:val="00F86D0C"/>
    <w:rsid w:val="00F87ABF"/>
    <w:rsid w:val="00FA3B5C"/>
    <w:rsid w:val="00FA7796"/>
    <w:rsid w:val="00FB2AA6"/>
    <w:rsid w:val="00FB46CE"/>
    <w:rsid w:val="00FC2DDB"/>
    <w:rsid w:val="00FC5689"/>
    <w:rsid w:val="00FC607F"/>
    <w:rsid w:val="00FC7737"/>
    <w:rsid w:val="00FD1BBA"/>
    <w:rsid w:val="00FD285E"/>
    <w:rsid w:val="00FD2F7A"/>
    <w:rsid w:val="00FD3472"/>
    <w:rsid w:val="00FD3565"/>
    <w:rsid w:val="00FD4DF3"/>
    <w:rsid w:val="00FE1CAC"/>
    <w:rsid w:val="00FE5EEE"/>
    <w:rsid w:val="00FE725F"/>
    <w:rsid w:val="00FF64C6"/>
    <w:rsid w:val="28D938C6"/>
    <w:rsid w:val="2EE665D4"/>
    <w:rsid w:val="532EF8EC"/>
    <w:rsid w:val="53CC640B"/>
    <w:rsid w:val="593CAB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1B4A116"/>
  <w15:chartTrackingRefBased/>
  <w15:docId w15:val="{06782B3C-8910-4390-B94F-44BBFF71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1,Footnote Text Char Char,Footnote Text Char1,Footnote Text Char2,Footnote Text Char2 Char Char,Footnote Text Char2 Char1 Char1 Char Char,Footnote Text Char3 Char1 Char Char,Footnote Text... + Italic,f,fn,f "/>
    <w:link w:val="FootnoteTextChar"/>
    <w:uiPriority w:val="99"/>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R"/>
    <w:uiPriority w:val="99"/>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ALTS FOOTNOTE Char1 Char,Footnote Text Char Char Char,Footnote Text Char1 Char,Footnote Text Char2 Char,Footnote Text Char2 Char Char Char,Footnote Text Char2 Char1 Char1 Char Char Char,f Char,fn Char,f  Char"/>
    <w:link w:val="FootnoteText"/>
    <w:uiPriority w:val="99"/>
    <w:rsid w:val="007C2612"/>
  </w:style>
  <w:style w:type="character" w:styleId="CommentReference">
    <w:name w:val="annotation reference"/>
    <w:uiPriority w:val="99"/>
    <w:semiHidden/>
    <w:unhideWhenUsed/>
    <w:rsid w:val="00836753"/>
    <w:rPr>
      <w:sz w:val="16"/>
      <w:szCs w:val="16"/>
    </w:rPr>
  </w:style>
  <w:style w:type="paragraph" w:styleId="CommentText">
    <w:name w:val="annotation text"/>
    <w:basedOn w:val="Normal"/>
    <w:link w:val="CommentTextChar"/>
    <w:uiPriority w:val="99"/>
    <w:unhideWhenUsed/>
    <w:rsid w:val="00A26BE5"/>
    <w:rPr>
      <w:sz w:val="20"/>
    </w:rPr>
  </w:style>
  <w:style w:type="character" w:customStyle="1" w:styleId="CommentTextChar">
    <w:name w:val="Comment Text Char"/>
    <w:basedOn w:val="DefaultParagraphFont"/>
    <w:link w:val="CommentText"/>
    <w:uiPriority w:val="99"/>
    <w:rsid w:val="00A26BE5"/>
    <w:rPr>
      <w:snapToGrid w:val="0"/>
      <w:kern w:val="28"/>
    </w:rPr>
  </w:style>
  <w:style w:type="paragraph" w:styleId="CommentSubject">
    <w:name w:val="annotation subject"/>
    <w:basedOn w:val="CommentText"/>
    <w:next w:val="CommentText"/>
    <w:link w:val="CommentSubjectChar"/>
    <w:uiPriority w:val="99"/>
    <w:semiHidden/>
    <w:unhideWhenUsed/>
    <w:rsid w:val="00A26BE5"/>
    <w:rPr>
      <w:b/>
      <w:bCs/>
    </w:rPr>
  </w:style>
  <w:style w:type="character" w:customStyle="1" w:styleId="CommentSubjectChar">
    <w:name w:val="Comment Subject Char"/>
    <w:basedOn w:val="CommentTextChar"/>
    <w:link w:val="CommentSubject"/>
    <w:uiPriority w:val="99"/>
    <w:semiHidden/>
    <w:rsid w:val="00A26BE5"/>
    <w:rPr>
      <w:b/>
      <w:bCs/>
      <w:snapToGrid w:val="0"/>
      <w:kern w:val="28"/>
    </w:rPr>
  </w:style>
  <w:style w:type="table" w:styleId="TableGrid">
    <w:name w:val="Table Grid"/>
    <w:basedOn w:val="TableNormal"/>
    <w:uiPriority w:val="59"/>
    <w:rsid w:val="00172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24394"/>
    <w:pPr>
      <w:autoSpaceDE w:val="0"/>
      <w:autoSpaceDN w:val="0"/>
      <w:ind w:left="1080" w:hanging="360"/>
    </w:pPr>
    <w:rPr>
      <w:snapToGrid/>
      <w:kern w:val="0"/>
      <w:sz w:val="24"/>
      <w:szCs w:val="24"/>
    </w:rPr>
  </w:style>
  <w:style w:type="character" w:customStyle="1" w:styleId="BodyTextChar">
    <w:name w:val="Body Text Char"/>
    <w:basedOn w:val="DefaultParagraphFont"/>
    <w:link w:val="BodyText"/>
    <w:uiPriority w:val="1"/>
    <w:rsid w:val="00F24394"/>
    <w:rPr>
      <w:sz w:val="24"/>
      <w:szCs w:val="24"/>
    </w:rPr>
  </w:style>
  <w:style w:type="paragraph" w:styleId="ListParagraph">
    <w:name w:val="List Paragraph"/>
    <w:basedOn w:val="Normal"/>
    <w:uiPriority w:val="1"/>
    <w:qFormat/>
    <w:rsid w:val="00F24394"/>
    <w:pPr>
      <w:autoSpaceDE w:val="0"/>
      <w:autoSpaceDN w:val="0"/>
      <w:ind w:left="1080" w:hanging="360"/>
    </w:pPr>
    <w:rPr>
      <w:snapToGrid/>
      <w:kern w:val="0"/>
      <w:szCs w:val="22"/>
    </w:rPr>
  </w:style>
  <w:style w:type="paragraph" w:styleId="Revision">
    <w:name w:val="Revision"/>
    <w:hidden/>
    <w:uiPriority w:val="99"/>
    <w:semiHidden/>
    <w:rsid w:val="00B878A5"/>
    <w:rPr>
      <w:snapToGrid w:val="0"/>
      <w:kern w:val="28"/>
      <w:sz w:val="22"/>
    </w:rPr>
  </w:style>
  <w:style w:type="character" w:styleId="FollowedHyperlink">
    <w:name w:val="FollowedHyperlink"/>
    <w:basedOn w:val="DefaultParagraphFont"/>
    <w:uiPriority w:val="99"/>
    <w:semiHidden/>
    <w:unhideWhenUsed/>
    <w:rsid w:val="00E20F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yperlink" Target="https://bluelist.appsplatformportals.us/Cleared-List/" TargetMode="External" /><Relationship Id="rId15" Type="http://schemas.openxmlformats.org/officeDocument/2006/relationships/hyperlink" Target="https://bluelist.appsplatformportals.us/Framework/" TargetMode="External" /><Relationship Id="rId16" Type="http://schemas.openxmlformats.org/officeDocument/2006/relationships/hyperlink" Target="https://www.ecfr.gov/current/title-48/chapter-1/subchapter-D/part-25/subpart-25.1/section-25.101" TargetMode="External" /><Relationship Id="rId17" Type="http://schemas.openxmlformats.org/officeDocument/2006/relationships/hyperlink" Target="https://www.congress.gov/118/plaws/publ159/PLAW-118publ159.pdf" TargetMode="External" /><Relationship Id="rId18" Type="http://schemas.openxmlformats.org/officeDocument/2006/relationships/hyperlink" Target="https://www.fcc.gov/sites/default/files/National-Security-Determination-for-UAS.pdf" TargetMode="External" /><Relationship Id="rId19" Type="http://schemas.openxmlformats.org/officeDocument/2006/relationships/hyperlink" Target="https://gcc02.safelinks.protection.outlook.com/?url=https%3A%2F%2Fwww.fcc.gov%2Ffiles%2Fnsd-fcc-covered-list-waiver-0126&amp;data=05%7C02%7CAdam.Chan%40fcc.gov%7Cc02e17568d314934adbd08de4e242310%7C72970aed36694ca8b960dd016bc72973%7C0%7C0%7C639034114293093703%7CUnknown%7CTWFpbGZsb3d8eyJFbXB0eU1hcGkiOnRydWUsIlYiOiIwLjAuMDAwMCIsIlAiOiJXaW4zMiIsIkFOIjoiTWFpbCIsIldUIjoyfQ%3D%3D%7C0%7C%7C%7C&amp;sdata=n2FUJoAWp4cUQjhf1elk7W0wQwL6peIYLQ83EEdBp4k%3D&amp;reserved=0" TargetMode="External" /><Relationship Id="rId2" Type="http://schemas.openxmlformats.org/officeDocument/2006/relationships/endnotes" Target="endnotes.xml" /><Relationship Id="rId20" Type="http://schemas.openxmlformats.org/officeDocument/2006/relationships/hyperlink" Target="https://gcc02.safelinks.protection.outlook.com/?url=https%3A%2F%2Fwww.fcc.gov%2Fsites%2Fdefault%2Ffiles%2FNSD-Routers0326.pdf&amp;data=05%7C02%7CRebecca.Clinton%40fcc.gov%7C04e422273a424fe5463d08de8900eb9a%7C72970aed36694ca8b960dd016bc72973%7C0%7C0%7C639098834204781257%7CUnknown%7CTWFpbGZsb3d8eyJFbXB0eU1hcGkiOnRydWUsIlYiOiIwLjAuMDAwMCIsIlAiOiJXaW4zMiIsIkFOIjoiTWFpbCIsIldUIjoyfQ%3D%3D%7C0%7C%7C%7C&amp;sdata=CXZV2hrqj7py7QvBmCQJrRzemplQ9ruoMrZC18dQyTk%3D&amp;reserved=0" TargetMode="External" /><Relationship Id="rId21" Type="http://schemas.openxmlformats.org/officeDocument/2006/relationships/footer" Target="footer4.xml" /><Relationship Id="rId22" Type="http://schemas.openxmlformats.org/officeDocument/2006/relationships/header" Target="header3.xml" /><Relationship Id="rId23" Type="http://schemas.openxmlformats.org/officeDocument/2006/relationships/image" Target="media/image2.emf" /><Relationship Id="rId24" Type="http://schemas.openxmlformats.org/officeDocument/2006/relationships/image" Target="media/image3.emf" /><Relationship Id="rId25" Type="http://schemas.openxmlformats.org/officeDocument/2006/relationships/image" Target="media/image4.emf" /><Relationship Id="rId26" Type="http://schemas.openxmlformats.org/officeDocument/2006/relationships/image" Target="media/image5.emf" /><Relationship Id="rId27" Type="http://schemas.openxmlformats.org/officeDocument/2006/relationships/image" Target="media/image6.emf" /><Relationship Id="rId28" Type="http://schemas.openxmlformats.org/officeDocument/2006/relationships/hyperlink" Target="mailto:(chris.smeenk@fcc.gov" TargetMode="External" /><Relationship Id="rId29" Type="http://schemas.openxmlformats.org/officeDocument/2006/relationships/hyperlink" Target="mailto:Conditional-approvals@fcc.gov" TargetMode="External" /><Relationship Id="rId3" Type="http://schemas.openxmlformats.org/officeDocument/2006/relationships/settings" Target="settings.xml" /><Relationship Id="rId30" Type="http://schemas.openxmlformats.org/officeDocument/2006/relationships/footer" Target="footer5.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supplychain/coveredlist" TargetMode="External" /><Relationship Id="rId7" Type="http://schemas.openxmlformats.org/officeDocument/2006/relationships/hyperlink" Target="mailto:Rebecca.Clinton@fcc.gov" TargetMode="External" /><Relationship Id="rId8" Type="http://schemas.openxmlformats.org/officeDocument/2006/relationships/hyperlink" Target="mailto:Chris.Smeenk@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upplychain/coveredlis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