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4C2EE3" w:rsidP="00C243FB" w14:paraId="5060C5D2" w14:textId="77777777">
      <w:pPr>
        <w:jc w:val="center"/>
        <w:rPr>
          <w:b/>
        </w:rPr>
      </w:pPr>
      <w:r w:rsidRPr="0070224F">
        <w:rPr>
          <w:rFonts w:ascii="Times New Roman Bold" w:hAnsi="Times New Roman Bold"/>
          <w:b/>
          <w:kern w:val="0"/>
          <w:szCs w:val="22"/>
        </w:rPr>
        <w:t>Before</w:t>
      </w:r>
      <w:r>
        <w:rPr>
          <w:b/>
        </w:rPr>
        <w:t xml:space="preserve"> the</w:t>
      </w:r>
    </w:p>
    <w:p w:rsidR="00921803" w:rsidP="00C243FB" w14:paraId="2B91F975" w14:textId="77777777">
      <w:pPr>
        <w:pStyle w:val="StyleBoldCentered"/>
      </w:pPr>
      <w:r>
        <w:t>F</w:t>
      </w:r>
      <w:r>
        <w:rPr>
          <w:caps w:val="0"/>
        </w:rPr>
        <w:t>ederal Communications Commission</w:t>
      </w:r>
    </w:p>
    <w:p w:rsidR="004C2EE3" w:rsidP="00C243FB" w14:paraId="1A1BD420" w14:textId="77777777">
      <w:pPr>
        <w:pStyle w:val="StyleBoldCentered"/>
      </w:pPr>
      <w:r>
        <w:rPr>
          <w:caps w:val="0"/>
        </w:rPr>
        <w:t>Washington, D.C. 20554</w:t>
      </w:r>
    </w:p>
    <w:p w:rsidR="004C2EE3" w:rsidP="00C243FB" w14:paraId="38A58234" w14:textId="77777777"/>
    <w:p w:rsidR="004C2EE3" w:rsidP="00C243FB" w14:paraId="4080CFAB" w14:textId="77777777"/>
    <w:tbl>
      <w:tblPr>
        <w:tblW w:w="0" w:type="auto"/>
        <w:tblLayout w:type="fixed"/>
        <w:tblLook w:val="0000"/>
      </w:tblPr>
      <w:tblGrid>
        <w:gridCol w:w="4698"/>
        <w:gridCol w:w="630"/>
        <w:gridCol w:w="4248"/>
      </w:tblGrid>
      <w:tr w14:paraId="292D7A95" w14:textId="77777777">
        <w:tblPrEx>
          <w:tblW w:w="0" w:type="auto"/>
          <w:tblLayout w:type="fixed"/>
          <w:tblLook w:val="0000"/>
        </w:tblPrEx>
        <w:tc>
          <w:tcPr>
            <w:tcW w:w="4698" w:type="dxa"/>
          </w:tcPr>
          <w:p w:rsidR="004C2EE3" w:rsidP="00C243FB" w14:paraId="28ABB79A" w14:textId="77777777">
            <w:pPr>
              <w:tabs>
                <w:tab w:val="center" w:pos="4680"/>
              </w:tabs>
              <w:suppressAutoHyphens/>
              <w:rPr>
                <w:spacing w:val="-2"/>
              </w:rPr>
            </w:pPr>
            <w:r>
              <w:rPr>
                <w:spacing w:val="-2"/>
              </w:rPr>
              <w:t>In the Matter of</w:t>
            </w:r>
          </w:p>
          <w:p w:rsidR="004C2EE3" w:rsidP="00C243FB" w14:paraId="5EAF58AC" w14:textId="77777777">
            <w:pPr>
              <w:tabs>
                <w:tab w:val="center" w:pos="4680"/>
              </w:tabs>
              <w:suppressAutoHyphens/>
              <w:rPr>
                <w:spacing w:val="-2"/>
              </w:rPr>
            </w:pPr>
          </w:p>
          <w:p w:rsidR="00A71980" w:rsidP="00C243FB" w14:paraId="7802065A" w14:textId="38647676">
            <w:pPr>
              <w:tabs>
                <w:tab w:val="center" w:pos="4680"/>
              </w:tabs>
              <w:suppressAutoHyphens/>
              <w:rPr>
                <w:spacing w:val="-2"/>
              </w:rPr>
            </w:pPr>
            <w:r>
              <w:rPr>
                <w:spacing w:val="-2"/>
              </w:rPr>
              <w:t>Morris Broadcasting</w:t>
            </w:r>
            <w:r w:rsidR="001247A2">
              <w:rPr>
                <w:spacing w:val="-2"/>
              </w:rPr>
              <w:t xml:space="preserve"> Company of New Jersey</w:t>
            </w:r>
            <w:r w:rsidR="00353633">
              <w:rPr>
                <w:spacing w:val="-2"/>
              </w:rPr>
              <w:t>,</w:t>
            </w:r>
            <w:r w:rsidR="001247A2">
              <w:rPr>
                <w:spacing w:val="-2"/>
              </w:rPr>
              <w:t xml:space="preserve"> Inc</w:t>
            </w:r>
            <w:r w:rsidR="00353633">
              <w:rPr>
                <w:spacing w:val="-2"/>
              </w:rPr>
              <w:t>.</w:t>
            </w:r>
            <w:r w:rsidR="00AD2A9B">
              <w:rPr>
                <w:spacing w:val="-2"/>
              </w:rPr>
              <w:t xml:space="preserve"> Owner of Antenna Structure</w:t>
            </w:r>
            <w:r w:rsidR="00696D39">
              <w:rPr>
                <w:spacing w:val="-2"/>
              </w:rPr>
              <w:t>s</w:t>
            </w:r>
          </w:p>
          <w:p w:rsidR="00AD2A9B" w:rsidP="00C243FB" w14:paraId="0FF0DD5B" w14:textId="445A7FF2">
            <w:pPr>
              <w:tabs>
                <w:tab w:val="center" w:pos="4680"/>
              </w:tabs>
              <w:suppressAutoHyphens/>
              <w:rPr>
                <w:spacing w:val="-2"/>
              </w:rPr>
            </w:pPr>
            <w:r>
              <w:rPr>
                <w:spacing w:val="-2"/>
              </w:rPr>
              <w:t>1</w:t>
            </w:r>
            <w:r w:rsidRPr="003D3879" w:rsidR="003D3879">
              <w:rPr>
                <w:spacing w:val="-2"/>
              </w:rPr>
              <w:t>04986</w:t>
            </w:r>
            <w:r w:rsidR="0079268D">
              <w:rPr>
                <w:spacing w:val="-2"/>
              </w:rPr>
              <w:t xml:space="preserve">3, </w:t>
            </w:r>
            <w:r w:rsidRPr="003D3879" w:rsidR="0079268D">
              <w:rPr>
                <w:spacing w:val="-2"/>
              </w:rPr>
              <w:t>104986</w:t>
            </w:r>
            <w:r w:rsidR="0079268D">
              <w:rPr>
                <w:spacing w:val="-2"/>
              </w:rPr>
              <w:t xml:space="preserve">4, </w:t>
            </w:r>
            <w:r w:rsidRPr="003D3879" w:rsidR="0079268D">
              <w:rPr>
                <w:spacing w:val="-2"/>
              </w:rPr>
              <w:t>104986</w:t>
            </w:r>
            <w:r w:rsidR="0079268D">
              <w:rPr>
                <w:spacing w:val="-2"/>
              </w:rPr>
              <w:t xml:space="preserve">5, </w:t>
            </w:r>
            <w:r w:rsidR="00E93FE4">
              <w:rPr>
                <w:spacing w:val="-2"/>
              </w:rPr>
              <w:t xml:space="preserve">and </w:t>
            </w:r>
            <w:r w:rsidRPr="003D3879" w:rsidR="0079268D">
              <w:rPr>
                <w:spacing w:val="-2"/>
              </w:rPr>
              <w:t>104986</w:t>
            </w:r>
            <w:r w:rsidR="0079268D">
              <w:rPr>
                <w:spacing w:val="-2"/>
              </w:rPr>
              <w:t>6</w:t>
            </w:r>
          </w:p>
          <w:p w:rsidR="00AD2A9B" w:rsidP="00C243FB" w14:paraId="198BBC1D" w14:textId="77777777">
            <w:pPr>
              <w:tabs>
                <w:tab w:val="center" w:pos="4680"/>
              </w:tabs>
              <w:suppressAutoHyphens/>
              <w:rPr>
                <w:spacing w:val="-2"/>
              </w:rPr>
            </w:pPr>
          </w:p>
          <w:p w:rsidR="00AD2A9B" w:rsidRPr="00AD2A9B" w:rsidP="00C243FB" w14:paraId="07E9B480" w14:textId="21FB6466">
            <w:pPr>
              <w:tabs>
                <w:tab w:val="center" w:pos="4680"/>
              </w:tabs>
              <w:suppressAutoHyphens/>
              <w:rPr>
                <w:spacing w:val="-2"/>
              </w:rPr>
            </w:pPr>
            <w:r>
              <w:rPr>
                <w:spacing w:val="-2"/>
              </w:rPr>
              <w:t>Washington Crossing, Pennsylvania</w:t>
            </w:r>
          </w:p>
        </w:tc>
        <w:tc>
          <w:tcPr>
            <w:tcW w:w="630" w:type="dxa"/>
          </w:tcPr>
          <w:p w:rsidR="004C2EE3" w:rsidP="00C243FB" w14:paraId="2BBE4933" w14:textId="77777777">
            <w:pPr>
              <w:tabs>
                <w:tab w:val="center" w:pos="4680"/>
              </w:tabs>
              <w:suppressAutoHyphens/>
              <w:rPr>
                <w:b/>
                <w:spacing w:val="-2"/>
              </w:rPr>
            </w:pPr>
            <w:r>
              <w:rPr>
                <w:b/>
                <w:spacing w:val="-2"/>
              </w:rPr>
              <w:t>)</w:t>
            </w:r>
          </w:p>
          <w:p w:rsidR="004C2EE3" w:rsidP="00C243FB" w14:paraId="3E0AF3EE" w14:textId="77777777">
            <w:pPr>
              <w:tabs>
                <w:tab w:val="center" w:pos="4680"/>
              </w:tabs>
              <w:suppressAutoHyphens/>
              <w:rPr>
                <w:b/>
                <w:spacing w:val="-2"/>
              </w:rPr>
            </w:pPr>
            <w:r>
              <w:rPr>
                <w:b/>
                <w:spacing w:val="-2"/>
              </w:rPr>
              <w:t>)</w:t>
            </w:r>
          </w:p>
          <w:p w:rsidR="004C2EE3" w:rsidP="00C243FB" w14:paraId="453CD976" w14:textId="77777777">
            <w:pPr>
              <w:tabs>
                <w:tab w:val="center" w:pos="4680"/>
              </w:tabs>
              <w:suppressAutoHyphens/>
              <w:rPr>
                <w:b/>
                <w:spacing w:val="-2"/>
              </w:rPr>
            </w:pPr>
            <w:r>
              <w:rPr>
                <w:b/>
                <w:spacing w:val="-2"/>
              </w:rPr>
              <w:t>)</w:t>
            </w:r>
          </w:p>
          <w:p w:rsidR="004C2EE3" w:rsidP="00C243FB" w14:paraId="4A6F6234" w14:textId="77777777">
            <w:pPr>
              <w:tabs>
                <w:tab w:val="center" w:pos="4680"/>
              </w:tabs>
              <w:suppressAutoHyphens/>
              <w:rPr>
                <w:b/>
                <w:spacing w:val="-2"/>
              </w:rPr>
            </w:pPr>
            <w:r>
              <w:rPr>
                <w:b/>
                <w:spacing w:val="-2"/>
              </w:rPr>
              <w:t>)</w:t>
            </w:r>
          </w:p>
          <w:p w:rsidR="004C2EE3" w:rsidP="00C243FB" w14:paraId="2E1732AB" w14:textId="77777777">
            <w:pPr>
              <w:tabs>
                <w:tab w:val="center" w:pos="4680"/>
              </w:tabs>
              <w:suppressAutoHyphens/>
              <w:rPr>
                <w:b/>
                <w:spacing w:val="-2"/>
              </w:rPr>
            </w:pPr>
            <w:r>
              <w:rPr>
                <w:b/>
                <w:spacing w:val="-2"/>
              </w:rPr>
              <w:t>)</w:t>
            </w:r>
          </w:p>
          <w:p w:rsidR="004C2EE3" w:rsidP="00C243FB" w14:paraId="4AFF926D" w14:textId="51DFDF27">
            <w:pPr>
              <w:tabs>
                <w:tab w:val="center" w:pos="4680"/>
              </w:tabs>
              <w:suppressAutoHyphens/>
              <w:rPr>
                <w:b/>
                <w:spacing w:val="-2"/>
              </w:rPr>
            </w:pPr>
            <w:r>
              <w:rPr>
                <w:b/>
                <w:spacing w:val="-2"/>
              </w:rPr>
              <w:t>)</w:t>
            </w:r>
            <w:r w:rsidR="00097CF0">
              <w:rPr>
                <w:b/>
                <w:spacing w:val="-2"/>
              </w:rPr>
              <w:t xml:space="preserve">                    </w:t>
            </w:r>
          </w:p>
          <w:p w:rsidR="004C2EE3" w:rsidP="00C243FB" w14:paraId="49A1444D" w14:textId="77777777">
            <w:pPr>
              <w:tabs>
                <w:tab w:val="center" w:pos="4680"/>
              </w:tabs>
              <w:suppressAutoHyphens/>
              <w:rPr>
                <w:b/>
                <w:spacing w:val="-2"/>
              </w:rPr>
            </w:pPr>
            <w:r>
              <w:rPr>
                <w:b/>
                <w:spacing w:val="-2"/>
              </w:rPr>
              <w:t>)</w:t>
            </w:r>
          </w:p>
          <w:p w:rsidR="004C2EE3" w:rsidP="00C243FB" w14:paraId="4AC61C9B" w14:textId="77777777">
            <w:pPr>
              <w:tabs>
                <w:tab w:val="center" w:pos="4680"/>
              </w:tabs>
              <w:suppressAutoHyphens/>
              <w:rPr>
                <w:b/>
                <w:spacing w:val="-2"/>
              </w:rPr>
            </w:pPr>
            <w:r>
              <w:rPr>
                <w:b/>
                <w:spacing w:val="-2"/>
              </w:rPr>
              <w:t>)</w:t>
            </w:r>
          </w:p>
          <w:p w:rsidR="004C2EE3" w:rsidP="00C243FB" w14:paraId="2D444FF5" w14:textId="77777777">
            <w:pPr>
              <w:tabs>
                <w:tab w:val="center" w:pos="4680"/>
              </w:tabs>
              <w:suppressAutoHyphens/>
              <w:rPr>
                <w:spacing w:val="-2"/>
              </w:rPr>
            </w:pPr>
            <w:r>
              <w:rPr>
                <w:b/>
                <w:spacing w:val="-2"/>
              </w:rPr>
              <w:t>)</w:t>
            </w:r>
          </w:p>
        </w:tc>
        <w:tc>
          <w:tcPr>
            <w:tcW w:w="4248" w:type="dxa"/>
          </w:tcPr>
          <w:p w:rsidR="004C2EE3" w:rsidP="00C243FB" w14:paraId="30BC4831" w14:textId="77777777">
            <w:pPr>
              <w:tabs>
                <w:tab w:val="center" w:pos="4680"/>
              </w:tabs>
              <w:suppressAutoHyphens/>
              <w:rPr>
                <w:spacing w:val="-2"/>
              </w:rPr>
            </w:pPr>
          </w:p>
          <w:p w:rsidR="004C2EE3" w:rsidP="00C243FB" w14:paraId="422A3FA4" w14:textId="77777777">
            <w:pPr>
              <w:pStyle w:val="TOAHeading"/>
              <w:tabs>
                <w:tab w:val="center" w:pos="4680"/>
                <w:tab w:val="clear" w:pos="9360"/>
              </w:tabs>
              <w:rPr>
                <w:spacing w:val="-2"/>
              </w:rPr>
            </w:pPr>
          </w:p>
          <w:p w:rsidR="00995E84" w:rsidP="00C243FB" w14:paraId="781992BA" w14:textId="77777777">
            <w:pPr>
              <w:tabs>
                <w:tab w:val="center" w:pos="4680"/>
              </w:tabs>
              <w:suppressAutoHyphens/>
              <w:rPr>
                <w:spacing w:val="-2"/>
              </w:rPr>
            </w:pPr>
            <w:r>
              <w:rPr>
                <w:spacing w:val="-2"/>
              </w:rPr>
              <w:t xml:space="preserve">File No.: </w:t>
            </w:r>
            <w:r w:rsidRPr="00995E84">
              <w:rPr>
                <w:spacing w:val="-2"/>
              </w:rPr>
              <w:t>EB-FIELDNER-25-00037925</w:t>
            </w:r>
          </w:p>
          <w:p w:rsidR="00F55031" w:rsidP="00C243FB" w14:paraId="7A21C483" w14:textId="475265DD">
            <w:pPr>
              <w:tabs>
                <w:tab w:val="center" w:pos="4680"/>
              </w:tabs>
              <w:suppressAutoHyphens/>
              <w:rPr>
                <w:spacing w:val="-2"/>
              </w:rPr>
            </w:pPr>
            <w:r>
              <w:rPr>
                <w:spacing w:val="-2"/>
              </w:rPr>
              <w:t>Facility ID: 14635</w:t>
            </w:r>
          </w:p>
          <w:p w:rsidR="006F73E3" w:rsidP="00C243FB" w14:paraId="47C71A85" w14:textId="77777777">
            <w:pPr>
              <w:tabs>
                <w:tab w:val="center" w:pos="4680"/>
              </w:tabs>
              <w:suppressAutoHyphens/>
              <w:rPr>
                <w:spacing w:val="-2"/>
              </w:rPr>
            </w:pPr>
            <w:r>
              <w:rPr>
                <w:spacing w:val="-2"/>
              </w:rPr>
              <w:t xml:space="preserve">FRN: </w:t>
            </w:r>
            <w:r w:rsidRPr="00771FA4" w:rsidR="00771FA4">
              <w:rPr>
                <w:spacing w:val="-2"/>
              </w:rPr>
              <w:t>0003776101</w:t>
            </w:r>
            <w:r w:rsidR="00154575">
              <w:rPr>
                <w:spacing w:val="-2"/>
              </w:rPr>
              <w:t>Del</w:t>
            </w:r>
            <w:r w:rsidR="00434D4B">
              <w:rPr>
                <w:spacing w:val="-2"/>
              </w:rPr>
              <w:t xml:space="preserve">                        </w:t>
            </w:r>
            <w:r w:rsidR="00154575">
              <w:rPr>
                <w:spacing w:val="-2"/>
              </w:rPr>
              <w:t xml:space="preserve"> </w:t>
            </w:r>
          </w:p>
          <w:p w:rsidR="00D55FBC" w:rsidRPr="00D55FBC" w:rsidP="00C243FB" w14:paraId="69D84720" w14:textId="63F5D4FC">
            <w:pPr>
              <w:tabs>
                <w:tab w:val="center" w:pos="4680"/>
              </w:tabs>
              <w:suppressAutoHyphens/>
              <w:rPr>
                <w:spacing w:val="-2"/>
              </w:rPr>
            </w:pPr>
          </w:p>
        </w:tc>
      </w:tr>
    </w:tbl>
    <w:p w:rsidR="004C2EE3" w:rsidP="00C243FB" w14:paraId="50C46571" w14:textId="77777777"/>
    <w:p w:rsidR="00841AB1" w:rsidP="00C243FB" w14:paraId="19748C8D" w14:textId="50CFA8F7">
      <w:pPr>
        <w:pStyle w:val="StyleBoldCentered"/>
      </w:pPr>
      <w:r>
        <w:t>Notice of violation</w:t>
      </w:r>
    </w:p>
    <w:p w:rsidR="004C2EE3" w:rsidP="00C243FB" w14:paraId="2740B14D" w14:textId="77777777">
      <w:pPr>
        <w:tabs>
          <w:tab w:val="left" w:pos="-720"/>
        </w:tabs>
        <w:suppressAutoHyphens/>
        <w:spacing w:line="227" w:lineRule="auto"/>
        <w:rPr>
          <w:spacing w:val="-2"/>
        </w:rPr>
      </w:pPr>
    </w:p>
    <w:p w:rsidR="004C2EE3" w:rsidRPr="00AD2A9B" w:rsidP="00795E19" w14:paraId="77DE93A9" w14:textId="613C1188">
      <w:pPr>
        <w:tabs>
          <w:tab w:val="left" w:pos="720"/>
          <w:tab w:val="right" w:pos="9360"/>
        </w:tabs>
        <w:suppressAutoHyphens/>
        <w:spacing w:line="227" w:lineRule="auto"/>
      </w:pPr>
      <w:r>
        <w:rPr>
          <w:b/>
          <w:bCs/>
          <w:spacing w:val="-2"/>
        </w:rPr>
        <w:tab/>
      </w:r>
      <w:r>
        <w:rPr>
          <w:b/>
          <w:bCs/>
          <w:spacing w:val="-2"/>
        </w:rPr>
        <w:tab/>
        <w:t xml:space="preserve">     </w:t>
      </w:r>
      <w:r w:rsidRPr="2F3FB1A5" w:rsidR="00822CE0">
        <w:rPr>
          <w:b/>
          <w:bCs/>
          <w:spacing w:val="-2"/>
        </w:rPr>
        <w:t>Released</w:t>
      </w:r>
      <w:r w:rsidRPr="2F3FB1A5">
        <w:rPr>
          <w:b/>
          <w:bCs/>
          <w:spacing w:val="-2"/>
        </w:rPr>
        <w:t>:</w:t>
      </w:r>
      <w:r w:rsidRPr="2F3FB1A5" w:rsidR="00822CE0">
        <w:rPr>
          <w:b/>
          <w:bCs/>
          <w:spacing w:val="-2"/>
        </w:rPr>
        <w:t xml:space="preserve"> </w:t>
      </w:r>
      <w:r w:rsidRPr="2F3FB1A5">
        <w:rPr>
          <w:b/>
          <w:bCs/>
          <w:spacing w:val="-2"/>
        </w:rPr>
        <w:t xml:space="preserve"> </w:t>
      </w:r>
      <w:r>
        <w:rPr>
          <w:b/>
          <w:bCs/>
          <w:spacing w:val="-2"/>
        </w:rPr>
        <w:t>March</w:t>
      </w:r>
      <w:r>
        <w:rPr>
          <w:b/>
          <w:bCs/>
          <w:spacing w:val="-2"/>
        </w:rPr>
        <w:t xml:space="preserve"> 25, 2026</w:t>
      </w:r>
    </w:p>
    <w:p w:rsidR="00822CE0" w:rsidP="00C243FB" w14:paraId="30D3BF8B" w14:textId="77777777"/>
    <w:p w:rsidR="004C2EE3" w:rsidP="00C243FB" w14:paraId="466808CB" w14:textId="7F05F47B">
      <w:pPr>
        <w:rPr>
          <w:spacing w:val="-2"/>
        </w:rPr>
      </w:pPr>
      <w:r>
        <w:t xml:space="preserve">By </w:t>
      </w:r>
      <w:r w:rsidR="004E4A22">
        <w:t>the</w:t>
      </w:r>
      <w:r w:rsidR="002A2D2E">
        <w:t xml:space="preserve"> </w:t>
      </w:r>
      <w:r w:rsidR="00AD2A9B">
        <w:rPr>
          <w:spacing w:val="-2"/>
        </w:rPr>
        <w:t xml:space="preserve">Regional Director, Region </w:t>
      </w:r>
      <w:r w:rsidR="00664AF6">
        <w:rPr>
          <w:spacing w:val="-2"/>
        </w:rPr>
        <w:t>One</w:t>
      </w:r>
      <w:r w:rsidR="00AD2A9B">
        <w:rPr>
          <w:spacing w:val="-2"/>
        </w:rPr>
        <w:t>, Enforcement Bureau</w:t>
      </w:r>
      <w:r>
        <w:rPr>
          <w:spacing w:val="-2"/>
        </w:rPr>
        <w:t>:</w:t>
      </w:r>
    </w:p>
    <w:p w:rsidR="00412FC5" w:rsidP="00C243FB" w14:paraId="74257FDC" w14:textId="77777777"/>
    <w:p w:rsidR="00AD2A9B" w:rsidP="00C243FB" w14:paraId="11AFD384" w14:textId="60D72FAE">
      <w:pPr>
        <w:pStyle w:val="ParaNum"/>
        <w:spacing w:after="0"/>
      </w:pPr>
      <w:r w:rsidRPr="00AD2A9B">
        <w:t xml:space="preserve">This is a Notice of Violation (Notice) issued pursuant to </w:t>
      </w:r>
      <w:r w:rsidR="009E31AD">
        <w:t>s</w:t>
      </w:r>
      <w:r w:rsidRPr="00AD2A9B">
        <w:t>ection 1.89 of the Commission’s rules</w:t>
      </w:r>
      <w:r>
        <w:rPr>
          <w:rStyle w:val="FootnoteReference"/>
        </w:rPr>
        <w:footnoteReference w:id="3"/>
      </w:r>
      <w:r w:rsidRPr="00AD2A9B">
        <w:t xml:space="preserve"> to </w:t>
      </w:r>
      <w:r w:rsidR="00DF6407">
        <w:t>Morris Broadcasting</w:t>
      </w:r>
      <w:r w:rsidR="000602B3">
        <w:t xml:space="preserve"> Company of New Jersey</w:t>
      </w:r>
      <w:r w:rsidR="00353633">
        <w:t>,</w:t>
      </w:r>
      <w:r w:rsidR="000602B3">
        <w:t xml:space="preserve"> Inc</w:t>
      </w:r>
      <w:r w:rsidR="00353633">
        <w:t>.</w:t>
      </w:r>
      <w:r w:rsidR="002151CE">
        <w:t xml:space="preserve"> (Morris)</w:t>
      </w:r>
      <w:r w:rsidRPr="00AD2A9B">
        <w:t>, owner of antenna structure number</w:t>
      </w:r>
      <w:r w:rsidR="00A71980">
        <w:t>s</w:t>
      </w:r>
      <w:r w:rsidRPr="00AD2A9B">
        <w:t xml:space="preserve"> </w:t>
      </w:r>
      <w:r w:rsidRPr="0096048F" w:rsidR="0096048F">
        <w:t>104986</w:t>
      </w:r>
      <w:r w:rsidR="00A71980">
        <w:t xml:space="preserve">3, </w:t>
      </w:r>
      <w:r w:rsidRPr="003D3879" w:rsidR="00A71980">
        <w:rPr>
          <w:spacing w:val="-2"/>
        </w:rPr>
        <w:t>104986</w:t>
      </w:r>
      <w:r w:rsidR="00A71980">
        <w:rPr>
          <w:spacing w:val="-2"/>
        </w:rPr>
        <w:t xml:space="preserve">4, </w:t>
      </w:r>
      <w:r w:rsidRPr="003D3879" w:rsidR="00A71980">
        <w:rPr>
          <w:spacing w:val="-2"/>
        </w:rPr>
        <w:t>104986</w:t>
      </w:r>
      <w:r w:rsidR="00A71980">
        <w:rPr>
          <w:spacing w:val="-2"/>
        </w:rPr>
        <w:t xml:space="preserve">5, </w:t>
      </w:r>
      <w:r w:rsidR="00E93FE4">
        <w:rPr>
          <w:spacing w:val="-2"/>
        </w:rPr>
        <w:t xml:space="preserve">and </w:t>
      </w:r>
      <w:r w:rsidRPr="003D3879" w:rsidR="00A71980">
        <w:rPr>
          <w:spacing w:val="-2"/>
        </w:rPr>
        <w:t>104986</w:t>
      </w:r>
      <w:r w:rsidR="00A71980">
        <w:rPr>
          <w:spacing w:val="-2"/>
        </w:rPr>
        <w:t>6</w:t>
      </w:r>
      <w:r w:rsidR="00337F0B">
        <w:rPr>
          <w:spacing w:val="-2"/>
        </w:rPr>
        <w:t xml:space="preserve"> (Antenna Structures)</w:t>
      </w:r>
      <w:r w:rsidR="008F05EC">
        <w:t xml:space="preserve"> </w:t>
      </w:r>
      <w:r w:rsidR="000B17CE">
        <w:t xml:space="preserve">located </w:t>
      </w:r>
      <w:r w:rsidRPr="00AD2A9B">
        <w:t xml:space="preserve">in </w:t>
      </w:r>
      <w:r w:rsidR="00F80D71">
        <w:t>Washington Crossing, Pennsylvania</w:t>
      </w:r>
      <w:r w:rsidR="002C1FD3">
        <w:t>,</w:t>
      </w:r>
      <w:r w:rsidR="000D3FA6">
        <w:t xml:space="preserve"> and licensee of AM Station WIMG</w:t>
      </w:r>
      <w:r w:rsidR="00F80D71">
        <w:t xml:space="preserve"> </w:t>
      </w:r>
      <w:r w:rsidR="000B17CE">
        <w:t xml:space="preserve">(Station) </w:t>
      </w:r>
      <w:r w:rsidR="00F80D71">
        <w:t>located in Ewing, New Jersey</w:t>
      </w:r>
      <w:r w:rsidR="000D3FA6">
        <w:t xml:space="preserve">.  </w:t>
      </w:r>
      <w:r w:rsidRPr="00AD2A9B">
        <w:t xml:space="preserve">Pursuant to </w:t>
      </w:r>
      <w:r w:rsidR="009E31AD">
        <w:t>s</w:t>
      </w:r>
      <w:r w:rsidRPr="00AD2A9B">
        <w:t xml:space="preserve">ection 1.89(a) of the </w:t>
      </w:r>
      <w:r w:rsidR="008F05EC">
        <w:t>Commission’s r</w:t>
      </w:r>
      <w:r w:rsidRPr="00AD2A9B">
        <w:t>ules, issuance of this Notice does not preclude the Enforcement Bureau from further action if warranted, including issuing a Notice of Apparent Liability for Forfeiture for the violation</w:t>
      </w:r>
      <w:r w:rsidR="000D3FA6">
        <w:t>s</w:t>
      </w:r>
      <w:r w:rsidRPr="00AD2A9B">
        <w:t xml:space="preserve"> noted herein.</w:t>
      </w:r>
      <w:r>
        <w:rPr>
          <w:rStyle w:val="FootnoteReference"/>
        </w:rPr>
        <w:footnoteReference w:id="4"/>
      </w:r>
    </w:p>
    <w:p w:rsidR="00C243FB" w:rsidRPr="00AD2A9B" w:rsidP="00C243FB" w14:paraId="6D00DC65" w14:textId="77777777">
      <w:pPr>
        <w:pStyle w:val="ParaNum"/>
        <w:numPr>
          <w:ilvl w:val="0"/>
          <w:numId w:val="0"/>
        </w:numPr>
        <w:spacing w:after="0"/>
        <w:ind w:left="720"/>
      </w:pPr>
    </w:p>
    <w:p w:rsidR="008F05EC" w:rsidP="00C243FB" w14:paraId="3FF9AD5B" w14:textId="2764BE9D">
      <w:pPr>
        <w:pStyle w:val="ParaNum"/>
        <w:spacing w:after="0"/>
      </w:pPr>
      <w:r w:rsidRPr="008F05EC">
        <w:t xml:space="preserve">On </w:t>
      </w:r>
      <w:r w:rsidR="00AC16A2">
        <w:t>May 21</w:t>
      </w:r>
      <w:r w:rsidR="00E80DAA">
        <w:t>, 2025</w:t>
      </w:r>
      <w:r w:rsidR="00516400">
        <w:t>,</w:t>
      </w:r>
      <w:r w:rsidR="00484BBC">
        <w:t xml:space="preserve"> and August 8, 2025</w:t>
      </w:r>
      <w:r w:rsidRPr="008F05EC">
        <w:t xml:space="preserve">, </w:t>
      </w:r>
      <w:r w:rsidR="00DE5220">
        <w:t>Agents</w:t>
      </w:r>
      <w:r w:rsidRPr="008F05EC">
        <w:t xml:space="preserve"> of the Enforcement Bureau’s </w:t>
      </w:r>
      <w:r w:rsidR="000B51E9">
        <w:t>New York</w:t>
      </w:r>
      <w:r w:rsidRPr="008F05EC">
        <w:t xml:space="preserve"> Office </w:t>
      </w:r>
      <w:r w:rsidR="00AC16A2">
        <w:t>inspect</w:t>
      </w:r>
      <w:r w:rsidRPr="008F05EC">
        <w:t>ed</w:t>
      </w:r>
      <w:r w:rsidRPr="00AD2A9B">
        <w:t xml:space="preserve"> </w:t>
      </w:r>
      <w:r w:rsidR="000B17CE">
        <w:t xml:space="preserve">the </w:t>
      </w:r>
      <w:r w:rsidR="000D3FA6">
        <w:t>Station and</w:t>
      </w:r>
      <w:r w:rsidR="00337F0B">
        <w:t xml:space="preserve"> its associated Antenna Structures </w:t>
      </w:r>
      <w:r w:rsidRPr="008F05EC">
        <w:t xml:space="preserve">located at </w:t>
      </w:r>
      <w:r w:rsidR="00B95D9C">
        <w:t xml:space="preserve">the coordinates </w:t>
      </w:r>
      <w:r w:rsidR="00272372">
        <w:t>40</w:t>
      </w:r>
      <w:r w:rsidR="00745F8C">
        <w:t>°</w:t>
      </w:r>
      <w:r w:rsidR="006C6264">
        <w:t>17’</w:t>
      </w:r>
      <w:r w:rsidR="00274296">
        <w:t>1</w:t>
      </w:r>
      <w:r w:rsidR="00845C43">
        <w:t>6</w:t>
      </w:r>
      <w:r w:rsidR="00274296">
        <w:t>”</w:t>
      </w:r>
      <w:r w:rsidR="00B95D9C">
        <w:t xml:space="preserve"> N</w:t>
      </w:r>
      <w:r w:rsidRPr="00274296" w:rsidR="00274296">
        <w:t xml:space="preserve"> </w:t>
      </w:r>
      <w:r w:rsidR="00F00401">
        <w:t>74</w:t>
      </w:r>
      <w:r w:rsidR="00274296">
        <w:t>°</w:t>
      </w:r>
      <w:r w:rsidR="00F00401">
        <w:t>52</w:t>
      </w:r>
      <w:r w:rsidR="00274296">
        <w:t>’</w:t>
      </w:r>
      <w:r w:rsidR="00F00401">
        <w:t>2</w:t>
      </w:r>
      <w:r w:rsidR="00845C43">
        <w:t>3</w:t>
      </w:r>
      <w:r w:rsidR="00274296">
        <w:t>”</w:t>
      </w:r>
      <w:r w:rsidR="00B95D9C">
        <w:t xml:space="preserve"> W</w:t>
      </w:r>
      <w:r w:rsidRPr="008F05EC">
        <w:t xml:space="preserve"> </w:t>
      </w:r>
      <w:r w:rsidR="00845C43">
        <w:t xml:space="preserve">(center of AM array) </w:t>
      </w:r>
      <w:r w:rsidR="00353633">
        <w:t xml:space="preserve">in Washington Crossing, Pennsylvania, </w:t>
      </w:r>
      <w:r w:rsidRPr="008F05EC">
        <w:t>and observed the following violations:</w:t>
      </w:r>
    </w:p>
    <w:p w:rsidR="00C243FB" w:rsidRPr="00BB7CC7" w:rsidP="00C243FB" w14:paraId="79D1E3DF" w14:textId="77777777">
      <w:pPr>
        <w:pStyle w:val="ParaNum"/>
        <w:numPr>
          <w:ilvl w:val="0"/>
          <w:numId w:val="0"/>
        </w:numPr>
        <w:spacing w:after="0"/>
        <w:rPr>
          <w:rStyle w:val="Emphasis"/>
        </w:rPr>
      </w:pPr>
    </w:p>
    <w:p w:rsidR="00BB7CC7" w:rsidP="00BB7CC7" w14:paraId="50B846DA" w14:textId="7A715122">
      <w:pPr>
        <w:pStyle w:val="ListParagraph"/>
        <w:numPr>
          <w:ilvl w:val="0"/>
          <w:numId w:val="7"/>
        </w:numPr>
      </w:pPr>
      <w:r>
        <w:t xml:space="preserve">47 CFR </w:t>
      </w:r>
      <w:r w:rsidRPr="00401A69">
        <w:t>§</w:t>
      </w:r>
      <w:r>
        <w:t xml:space="preserve"> 17.23: “</w:t>
      </w:r>
      <w:r w:rsidR="002E43E8">
        <w:t>…</w:t>
      </w:r>
      <w:r>
        <w:t>[E]</w:t>
      </w:r>
      <w:r w:rsidRPr="00BB7CC7">
        <w:t>ach antenna structure must be painted and lighted in accordance with any painting and lighting requirements prescribed on the antenna structure's registration, or in accordance with any other specifications provided by the Commission.</w:t>
      </w:r>
      <w:r>
        <w:t xml:space="preserve">”  </w:t>
      </w:r>
      <w:r w:rsidRPr="00401A69">
        <w:t>The Antenna Structures are required to be painted and lit in accordance with F</w:t>
      </w:r>
      <w:r>
        <w:t xml:space="preserve">CC </w:t>
      </w:r>
      <w:r w:rsidR="00353633">
        <w:t xml:space="preserve">Paragraphs </w:t>
      </w:r>
      <w:r>
        <w:t xml:space="preserve">1, 3, 12, </w:t>
      </w:r>
      <w:r w:rsidR="007B7865">
        <w:t xml:space="preserve">and </w:t>
      </w:r>
      <w:r>
        <w:t>21</w:t>
      </w:r>
      <w:r w:rsidR="007B7865">
        <w:t>,</w:t>
      </w:r>
      <w:r>
        <w:t xml:space="preserve"> specifying that </w:t>
      </w:r>
      <w:r w:rsidR="00A30C2C">
        <w:t>each</w:t>
      </w:r>
      <w:r>
        <w:t xml:space="preserve"> Antenna Structure be painted and display a red beacon at </w:t>
      </w:r>
      <w:r w:rsidR="00A30C2C">
        <w:t>its</w:t>
      </w:r>
      <w:r>
        <w:t xml:space="preserve"> top level</w:t>
      </w:r>
      <w:r w:rsidR="00062880">
        <w:t>, plus</w:t>
      </w:r>
      <w:r>
        <w:t xml:space="preserve"> two steady burning side markers at </w:t>
      </w:r>
      <w:r w:rsidR="00A30C2C">
        <w:t>its</w:t>
      </w:r>
      <w:r>
        <w:t xml:space="preserve"> one-third and two-thirds levels.</w:t>
      </w:r>
      <w:r>
        <w:rPr>
          <w:rStyle w:val="FootnoteReference"/>
        </w:rPr>
        <w:footnoteReference w:id="5"/>
      </w:r>
      <w:r w:rsidR="0005334B">
        <w:t xml:space="preserve"> </w:t>
      </w:r>
      <w:r>
        <w:t xml:space="preserve"> </w:t>
      </w:r>
      <w:r w:rsidRPr="00401A69">
        <w:t xml:space="preserve">On </w:t>
      </w:r>
      <w:r>
        <w:t>August 8</w:t>
      </w:r>
      <w:r w:rsidRPr="00401A69">
        <w:t>, 202</w:t>
      </w:r>
      <w:r>
        <w:t>5, the Agents observed that</w:t>
      </w:r>
      <w:r w:rsidR="00957FE3">
        <w:t xml:space="preserve"> </w:t>
      </w:r>
      <w:r w:rsidR="00C938FC">
        <w:t xml:space="preserve">while </w:t>
      </w:r>
      <w:r w:rsidR="00957FE3">
        <w:t>each</w:t>
      </w:r>
      <w:r>
        <w:t xml:space="preserve"> </w:t>
      </w:r>
      <w:r w:rsidR="004E0700">
        <w:t xml:space="preserve">of the four </w:t>
      </w:r>
      <w:r>
        <w:t>Antenna Structure</w:t>
      </w:r>
      <w:r w:rsidR="004E0700">
        <w:t>s</w:t>
      </w:r>
      <w:r>
        <w:t xml:space="preserve"> displayed a red beacon at </w:t>
      </w:r>
      <w:r w:rsidR="00957FE3">
        <w:t>its</w:t>
      </w:r>
      <w:r>
        <w:t xml:space="preserve"> top level</w:t>
      </w:r>
      <w:r w:rsidR="00957FE3">
        <w:t>,</w:t>
      </w:r>
      <w:r>
        <w:t xml:space="preserve"> </w:t>
      </w:r>
      <w:r w:rsidR="001D74FF">
        <w:t>none of the</w:t>
      </w:r>
      <w:r w:rsidR="00CC7920">
        <w:t>m</w:t>
      </w:r>
      <w:r w:rsidR="001D74FF">
        <w:t xml:space="preserve"> displayed the required side markers at the one-third and two-thirds levels</w:t>
      </w:r>
      <w:r w:rsidR="00C9489D">
        <w:t>.</w:t>
      </w:r>
      <w:r>
        <w:rPr>
          <w:rStyle w:val="FootnoteReference"/>
        </w:rPr>
        <w:footnoteReference w:id="6"/>
      </w:r>
      <w:r>
        <w:t xml:space="preserve">  </w:t>
      </w:r>
    </w:p>
    <w:p w:rsidR="00BB7CC7" w:rsidP="00BB7CC7" w14:paraId="6EFA4039" w14:textId="77777777"/>
    <w:p w:rsidR="00B95D9C" w:rsidP="00C243FB" w14:paraId="723680EB" w14:textId="645EA37C">
      <w:pPr>
        <w:pStyle w:val="ListParagraph"/>
        <w:numPr>
          <w:ilvl w:val="0"/>
          <w:numId w:val="7"/>
        </w:numPr>
      </w:pPr>
      <w:r w:rsidRPr="00401A69">
        <w:t xml:space="preserve">47 CFR §§ 17.6 (a) and 17.56: “The antenna </w:t>
      </w:r>
      <w:r w:rsidR="00BB7CC7">
        <w:t>structure</w:t>
      </w:r>
      <w:r w:rsidRPr="00401A69">
        <w:t xml:space="preserve"> owner is responsible for maintaining the painting and lighting in accordance with this part.</w:t>
      </w:r>
      <w:r w:rsidR="00BB7CC7">
        <w:t>”  “</w:t>
      </w:r>
      <w:r w:rsidRPr="00401A69">
        <w:t xml:space="preserve">Replacing or repairing of lights, automatic indicators or automatic control or alarm systems shall be accomplished as soon as practicable.”  </w:t>
      </w:r>
      <w:r w:rsidR="005C1490">
        <w:t xml:space="preserve">During the </w:t>
      </w:r>
      <w:r w:rsidR="00817A19">
        <w:t xml:space="preserve">May 21, </w:t>
      </w:r>
      <w:r w:rsidR="00817A19">
        <w:t>2025</w:t>
      </w:r>
      <w:r w:rsidR="00741B23">
        <w:t xml:space="preserve"> inspection, </w:t>
      </w:r>
      <w:r w:rsidR="00396930">
        <w:t xml:space="preserve">the Station CEO </w:t>
      </w:r>
      <w:r w:rsidR="009C5B36">
        <w:t xml:space="preserve">acknowledged that some of the Antenna Structure lighting was </w:t>
      </w:r>
      <w:r w:rsidR="00E3126C">
        <w:t xml:space="preserve">not operational, and </w:t>
      </w:r>
      <w:r w:rsidR="00F51900">
        <w:t xml:space="preserve">the required </w:t>
      </w:r>
      <w:r w:rsidR="00536DBA">
        <w:t xml:space="preserve">Notices to Airmen (NOTAMs) had </w:t>
      </w:r>
      <w:r w:rsidR="00684263">
        <w:t xml:space="preserve">already </w:t>
      </w:r>
      <w:r w:rsidR="00536DBA">
        <w:t xml:space="preserve">been filed </w:t>
      </w:r>
      <w:r w:rsidR="00684263">
        <w:t>by Morris</w:t>
      </w:r>
      <w:r w:rsidR="00536DBA">
        <w:t>.</w:t>
      </w:r>
      <w:r>
        <w:rPr>
          <w:rStyle w:val="FootnoteReference"/>
        </w:rPr>
        <w:footnoteReference w:id="7"/>
      </w:r>
      <w:r w:rsidR="00536DBA">
        <w:t xml:space="preserve">  </w:t>
      </w:r>
      <w:r w:rsidR="00A712D0">
        <w:t xml:space="preserve">Agents </w:t>
      </w:r>
      <w:r w:rsidR="00DD11E9">
        <w:t xml:space="preserve">reminded the Station CEO </w:t>
      </w:r>
      <w:r w:rsidR="00464FBB">
        <w:t xml:space="preserve">at that time </w:t>
      </w:r>
      <w:r w:rsidR="00DD11E9">
        <w:t xml:space="preserve">that the lighting must be repaired as </w:t>
      </w:r>
      <w:r w:rsidR="00C059B5">
        <w:t>soon as practicable</w:t>
      </w:r>
      <w:r w:rsidR="00DD11E9">
        <w:t xml:space="preserve">.  </w:t>
      </w:r>
      <w:r w:rsidR="00464FBB">
        <w:t xml:space="preserve">During </w:t>
      </w:r>
      <w:r w:rsidR="006D26B0">
        <w:t xml:space="preserve">the August 8, </w:t>
      </w:r>
      <w:r w:rsidR="006D26B0">
        <w:t>2025</w:t>
      </w:r>
      <w:r w:rsidR="006D26B0">
        <w:t xml:space="preserve"> inspection, Agents observed that </w:t>
      </w:r>
      <w:r w:rsidR="003E4F0D">
        <w:t>the lighting was still not repaired</w:t>
      </w:r>
      <w:r w:rsidR="001B6F79">
        <w:t>/corrected</w:t>
      </w:r>
      <w:r w:rsidR="00A938E5">
        <w:t xml:space="preserve"> on all four Ante</w:t>
      </w:r>
      <w:r w:rsidR="00F01705">
        <w:t>n</w:t>
      </w:r>
      <w:r w:rsidR="00A938E5">
        <w:t>na Structures</w:t>
      </w:r>
      <w:r w:rsidR="003E4F0D">
        <w:t xml:space="preserve">; </w:t>
      </w:r>
      <w:r>
        <w:t>all obstruction lighting on Antenna Structures 1049864 and 1049866</w:t>
      </w:r>
      <w:r w:rsidR="003E4F0D">
        <w:t xml:space="preserve"> was extinguished</w:t>
      </w:r>
      <w:r>
        <w:t>.</w:t>
      </w:r>
      <w:r w:rsidR="007B6BE2">
        <w:t xml:space="preserve">  </w:t>
      </w:r>
      <w:r w:rsidR="00345176">
        <w:t xml:space="preserve">The </w:t>
      </w:r>
      <w:r w:rsidR="0039176A">
        <w:t>fourth</w:t>
      </w:r>
      <w:r w:rsidR="00345176">
        <w:t xml:space="preserve"> Antenna Structure (104</w:t>
      </w:r>
      <w:r w:rsidR="00617BA4">
        <w:t>9863)</w:t>
      </w:r>
      <w:r w:rsidR="00540726">
        <w:t xml:space="preserve"> displayed </w:t>
      </w:r>
      <w:r w:rsidR="00C059B5">
        <w:t xml:space="preserve">only </w:t>
      </w:r>
      <w:r w:rsidR="00540726">
        <w:t>an operational top beacon.</w:t>
      </w:r>
      <w:r w:rsidRPr="00401A69">
        <w:t xml:space="preserve"> </w:t>
      </w:r>
    </w:p>
    <w:p w:rsidR="000D3FA6" w:rsidP="00C243FB" w14:paraId="611F180F" w14:textId="77777777">
      <w:pPr>
        <w:pStyle w:val="ListParagraph"/>
        <w:ind w:left="1440"/>
      </w:pPr>
    </w:p>
    <w:p w:rsidR="00484BBC" w:rsidRPr="000D1A4D" w:rsidP="000D1A4D" w14:paraId="6FE58DC0" w14:textId="467A366A">
      <w:pPr>
        <w:numPr>
          <w:ilvl w:val="0"/>
          <w:numId w:val="7"/>
        </w:numPr>
      </w:pPr>
      <w:r w:rsidRPr="00E67EB2">
        <w:rPr>
          <w:bCs/>
          <w:color w:val="000000"/>
          <w:szCs w:val="22"/>
        </w:rPr>
        <w:t xml:space="preserve">47 CFR § 17.48(a): </w:t>
      </w:r>
      <w:r>
        <w:rPr>
          <w:bCs/>
          <w:color w:val="000000"/>
          <w:szCs w:val="22"/>
        </w:rPr>
        <w:t xml:space="preserve"> </w:t>
      </w:r>
      <w:r w:rsidRPr="00E67EB2">
        <w:rPr>
          <w:bCs/>
          <w:color w:val="000000"/>
          <w:szCs w:val="22"/>
        </w:rPr>
        <w:t>“The owner of any antenna structure which is registered with the Commission and has been assigned lighting specifications referenced in this part</w:t>
      </w:r>
      <w:r>
        <w:rPr>
          <w:bCs/>
          <w:color w:val="000000"/>
          <w:szCs w:val="22"/>
        </w:rPr>
        <w:t xml:space="preserve"> . . . </w:t>
      </w:r>
      <w:r w:rsidRPr="00E67EB2">
        <w:rPr>
          <w:bCs/>
          <w:color w:val="000000"/>
          <w:szCs w:val="22"/>
        </w:rPr>
        <w:t>[s]hall report immediately to the FAA, by means acceptable to the FAA, any observed or otherwise known extinguishment or improper functioning of any top steady burning light or any flashing obstruction light, regardless of its position on the antenna structure, not corrected within 30 minutes</w:t>
      </w:r>
      <w:r>
        <w:rPr>
          <w:bCs/>
          <w:color w:val="000000"/>
          <w:szCs w:val="22"/>
        </w:rPr>
        <w:t xml:space="preserve"> . . . .</w:t>
      </w:r>
      <w:r w:rsidRPr="00E67EB2">
        <w:rPr>
          <w:bCs/>
          <w:color w:val="000000"/>
          <w:szCs w:val="22"/>
        </w:rPr>
        <w:t xml:space="preserve">”  </w:t>
      </w:r>
      <w:r w:rsidR="000D1A4D">
        <w:rPr>
          <w:bCs/>
          <w:color w:val="000000"/>
        </w:rPr>
        <w:t>On June 1, 2025, Morris</w:t>
      </w:r>
      <w:r w:rsidR="00E75F54">
        <w:rPr>
          <w:bCs/>
          <w:color w:val="000000"/>
        </w:rPr>
        <w:t xml:space="preserve"> contacted the </w:t>
      </w:r>
      <w:r w:rsidR="000D1A4D">
        <w:rPr>
          <w:bCs/>
          <w:color w:val="000000"/>
        </w:rPr>
        <w:t>F</w:t>
      </w:r>
      <w:r w:rsidR="003B4F61">
        <w:rPr>
          <w:bCs/>
          <w:color w:val="000000"/>
        </w:rPr>
        <w:t>ederal Aviation Administration (F</w:t>
      </w:r>
      <w:r w:rsidR="000D1A4D">
        <w:rPr>
          <w:bCs/>
          <w:color w:val="000000"/>
        </w:rPr>
        <w:t>AA</w:t>
      </w:r>
      <w:r w:rsidR="003B4F61">
        <w:rPr>
          <w:bCs/>
          <w:color w:val="000000"/>
        </w:rPr>
        <w:t>)</w:t>
      </w:r>
      <w:r w:rsidR="000D1A4D">
        <w:rPr>
          <w:bCs/>
          <w:color w:val="000000"/>
        </w:rPr>
        <w:t xml:space="preserve"> </w:t>
      </w:r>
      <w:r w:rsidR="00E75F54">
        <w:rPr>
          <w:bCs/>
          <w:color w:val="000000"/>
        </w:rPr>
        <w:t xml:space="preserve">and </w:t>
      </w:r>
      <w:r w:rsidR="00CE7525">
        <w:rPr>
          <w:bCs/>
          <w:color w:val="000000"/>
        </w:rPr>
        <w:t xml:space="preserve">requested a NOTAM </w:t>
      </w:r>
      <w:r w:rsidR="000D1A4D">
        <w:rPr>
          <w:bCs/>
          <w:color w:val="000000"/>
        </w:rPr>
        <w:t xml:space="preserve">for the </w:t>
      </w:r>
      <w:r w:rsidR="00E75F54">
        <w:rPr>
          <w:bCs/>
          <w:color w:val="000000"/>
        </w:rPr>
        <w:t xml:space="preserve">obstruction lighting outages that existed on the </w:t>
      </w:r>
      <w:r w:rsidR="000D1A4D">
        <w:rPr>
          <w:bCs/>
          <w:color w:val="000000"/>
        </w:rPr>
        <w:t xml:space="preserve">Antenna Structures.  </w:t>
      </w:r>
      <w:r w:rsidR="00E75F54">
        <w:rPr>
          <w:bCs/>
          <w:color w:val="000000"/>
        </w:rPr>
        <w:t xml:space="preserve">However, </w:t>
      </w:r>
      <w:r w:rsidR="000D1A4D">
        <w:rPr>
          <w:bCs/>
          <w:color w:val="000000"/>
        </w:rPr>
        <w:t xml:space="preserve">Morris failed to </w:t>
      </w:r>
      <w:r w:rsidR="00E75F54">
        <w:rPr>
          <w:bCs/>
          <w:color w:val="000000"/>
        </w:rPr>
        <w:t xml:space="preserve">renew the NOTAM’s that automatically expired on </w:t>
      </w:r>
      <w:r w:rsidR="000D1A4D">
        <w:rPr>
          <w:bCs/>
          <w:color w:val="000000"/>
        </w:rPr>
        <w:t>July 30, 2025</w:t>
      </w:r>
      <w:r w:rsidR="00E75F54">
        <w:rPr>
          <w:bCs/>
          <w:color w:val="000000"/>
        </w:rPr>
        <w:t xml:space="preserve">.  </w:t>
      </w:r>
      <w:r w:rsidR="000D1A4D">
        <w:rPr>
          <w:bCs/>
          <w:color w:val="000000"/>
        </w:rPr>
        <w:t xml:space="preserve">On August 4, 2025, </w:t>
      </w:r>
      <w:r w:rsidR="00E75F54">
        <w:rPr>
          <w:bCs/>
          <w:color w:val="000000"/>
        </w:rPr>
        <w:t xml:space="preserve">an Agent contacted the </w:t>
      </w:r>
      <w:r w:rsidR="000D1A4D">
        <w:rPr>
          <w:bCs/>
          <w:color w:val="000000"/>
        </w:rPr>
        <w:t xml:space="preserve">FAA </w:t>
      </w:r>
      <w:r w:rsidR="00E75F54">
        <w:rPr>
          <w:bCs/>
          <w:color w:val="000000"/>
        </w:rPr>
        <w:t>and had new NOTAMs issued for the obstruction lighting outages that still existed on the Antenna Structures.</w:t>
      </w:r>
      <w:r>
        <w:rPr>
          <w:rStyle w:val="FootnoteReference"/>
          <w:bCs/>
          <w:color w:val="000000"/>
          <w:sz w:val="22"/>
          <w:szCs w:val="22"/>
        </w:rPr>
        <w:footnoteReference w:id="8"/>
      </w:r>
    </w:p>
    <w:p w:rsidR="000D1A4D" w:rsidP="000D1A4D" w14:paraId="63C5A2CE" w14:textId="77777777">
      <w:pPr>
        <w:ind w:left="1440"/>
      </w:pPr>
    </w:p>
    <w:p w:rsidR="00C243FB" w:rsidP="00C243FB" w14:paraId="4DEF0844" w14:textId="71A364B2">
      <w:pPr>
        <w:numPr>
          <w:ilvl w:val="0"/>
          <w:numId w:val="7"/>
        </w:numPr>
      </w:pPr>
      <w:r w:rsidRPr="000D7EA4">
        <w:t xml:space="preserve">47 CFR </w:t>
      </w:r>
      <w:r w:rsidRPr="000D7EA4">
        <w:t>§  73.49</w:t>
      </w:r>
      <w:r>
        <w:t>: “</w:t>
      </w:r>
      <w:r w:rsidRPr="007855B4">
        <w:t xml:space="preserve">Antenna towers having radio frequency potential at the base (series fed, folded unipole, and insulated base antennas) must be enclosed within effective locked fences or other enclosures. Ready access must be </w:t>
      </w:r>
      <w:r w:rsidRPr="007855B4">
        <w:t>provided to each antenna tower base for meter reading and maintenance purposes at all times</w:t>
      </w:r>
      <w:r w:rsidRPr="007855B4">
        <w:t xml:space="preserve">. However, individual tower fences need not be installed if the towers are contained within a protective property </w:t>
      </w:r>
      <w:r w:rsidRPr="007855B4">
        <w:t>fence.</w:t>
      </w:r>
      <w:r>
        <w:t>”</w:t>
      </w:r>
      <w:r w:rsidRPr="005C1449" w:rsidR="005C1449">
        <w:t xml:space="preserve"> </w:t>
      </w:r>
      <w:r w:rsidR="005C1449">
        <w:t xml:space="preserve"> </w:t>
      </w:r>
      <w:r w:rsidRPr="005C1449" w:rsidR="005C1449">
        <w:t xml:space="preserve">During the May 21, </w:t>
      </w:r>
      <w:r w:rsidRPr="005C1449" w:rsidR="005C1449">
        <w:t>2025</w:t>
      </w:r>
      <w:r w:rsidRPr="005C1449" w:rsidR="005C1449">
        <w:t xml:space="preserve"> inspection, Agents observed that the Station was transmitting an AM signal at full power.  Each of the four Antenna Structure</w:t>
      </w:r>
      <w:r w:rsidR="005C1449">
        <w:t>s</w:t>
      </w:r>
      <w:r w:rsidRPr="005C1449" w:rsidR="005C1449">
        <w:t xml:space="preserve"> broadcasting that AM signal thus had radio frequency potential at their respective </w:t>
      </w:r>
      <w:r w:rsidRPr="005C1449" w:rsidR="005C1449">
        <w:t>bases, and</w:t>
      </w:r>
      <w:r w:rsidRPr="005C1449" w:rsidR="005C1449">
        <w:t xml:space="preserve"> required ready access to those bases for technical and maintenance purposes.  At the time of inspection, however, the denseness of brush and vegetation throughout the property prevented ready access to the bases of all four Antenna Structures</w:t>
      </w:r>
      <w:r w:rsidR="005C1449">
        <w:t>.</w:t>
      </w:r>
      <w:r>
        <w:t xml:space="preserve"> </w:t>
      </w:r>
    </w:p>
    <w:p w:rsidR="00821AC8" w:rsidP="00821AC8" w14:paraId="387C6925" w14:textId="77777777"/>
    <w:p w:rsidR="00484BBC" w:rsidP="00C243FB" w14:paraId="755F9BB6" w14:textId="6AEA5124">
      <w:pPr>
        <w:numPr>
          <w:ilvl w:val="0"/>
          <w:numId w:val="7"/>
        </w:numPr>
      </w:pPr>
      <w:r w:rsidRPr="00A60C07">
        <w:rPr>
          <w:bCs/>
          <w:color w:val="000000"/>
          <w:szCs w:val="22"/>
        </w:rPr>
        <w:t>47 CFR § 73.1560(a)(1): “</w:t>
      </w:r>
      <w:r w:rsidRPr="00E01552">
        <w:t>Except for AM stations using modulation dependent carrier level (MDCL) control technology, or as provided for in paragraph (d) of this section</w:t>
      </w:r>
      <w:r w:rsidR="00872EDE">
        <w:t xml:space="preserve"> [seeking FCC authorization for reduced power operation]</w:t>
      </w:r>
      <w:r w:rsidRPr="00E01552">
        <w:t xml:space="preserve">, the antenna input power of an AM station, as determined by the procedures specified in § 73.51 must be maintained as near as practicable to the authorized antenna input power and may not be less than 90 percent nor greater than 105 percent of the authorized power.”  </w:t>
      </w:r>
      <w:r w:rsidR="006059F2">
        <w:t xml:space="preserve">During the </w:t>
      </w:r>
      <w:r w:rsidR="000D3FA6">
        <w:t xml:space="preserve">May 21, </w:t>
      </w:r>
      <w:r w:rsidR="000D3FA6">
        <w:t>2025</w:t>
      </w:r>
      <w:r w:rsidR="006059F2">
        <w:t xml:space="preserve"> inspection</w:t>
      </w:r>
      <w:r w:rsidRPr="00E01552">
        <w:t xml:space="preserve">, </w:t>
      </w:r>
      <w:r>
        <w:t>A</w:t>
      </w:r>
      <w:r w:rsidRPr="00E01552">
        <w:t>gent</w:t>
      </w:r>
      <w:r>
        <w:t>s</w:t>
      </w:r>
      <w:r w:rsidRPr="00E01552">
        <w:t xml:space="preserve"> observed that </w:t>
      </w:r>
      <w:r>
        <w:t xml:space="preserve">the </w:t>
      </w:r>
      <w:r w:rsidRPr="00E01552">
        <w:t>Station was</w:t>
      </w:r>
      <w:r>
        <w:t xml:space="preserve"> not using </w:t>
      </w:r>
      <w:r w:rsidRPr="00E01552">
        <w:t>MDCL control technology</w:t>
      </w:r>
      <w:r w:rsidR="00577053">
        <w:t xml:space="preserve">, had not sought FCC authorization for reduced power operation, and </w:t>
      </w:r>
      <w:r>
        <w:t xml:space="preserve">was </w:t>
      </w:r>
      <w:r w:rsidRPr="00E01552">
        <w:t xml:space="preserve">operating with </w:t>
      </w:r>
      <w:r>
        <w:t>9</w:t>
      </w:r>
      <w:r w:rsidRPr="00E01552">
        <w:t>00 Watts of power during the daytime</w:t>
      </w:r>
      <w:r>
        <w:t>, which is</w:t>
      </w:r>
      <w:r w:rsidRPr="00E01552">
        <w:t xml:space="preserve"> </w:t>
      </w:r>
      <w:r>
        <w:t>28.1</w:t>
      </w:r>
      <w:r w:rsidRPr="00E01552">
        <w:t xml:space="preserve">% of the authorized daytime power of </w:t>
      </w:r>
      <w:r>
        <w:t>3200</w:t>
      </w:r>
      <w:r w:rsidRPr="00E01552">
        <w:t xml:space="preserve"> Watts.</w:t>
      </w:r>
      <w:r>
        <w:t xml:space="preserve">  </w:t>
      </w:r>
    </w:p>
    <w:p w:rsidR="00B13266" w:rsidP="00B13266" w14:paraId="47EB573D" w14:textId="77777777">
      <w:pPr>
        <w:pStyle w:val="ListParagraph"/>
      </w:pPr>
    </w:p>
    <w:p w:rsidR="00B13266" w:rsidP="00C243FB" w14:paraId="353B885E" w14:textId="3E80BBF4">
      <w:pPr>
        <w:numPr>
          <w:ilvl w:val="0"/>
          <w:numId w:val="7"/>
        </w:numPr>
      </w:pPr>
      <w:r>
        <w:t xml:space="preserve">47 CFR </w:t>
      </w:r>
      <w:r w:rsidRPr="00A60C07">
        <w:rPr>
          <w:bCs/>
          <w:color w:val="000000"/>
          <w:szCs w:val="22"/>
        </w:rPr>
        <w:t>§</w:t>
      </w:r>
      <w:r>
        <w:rPr>
          <w:bCs/>
          <w:color w:val="000000"/>
          <w:szCs w:val="22"/>
        </w:rPr>
        <w:t xml:space="preserve"> 11.35:  “</w:t>
      </w:r>
      <w:r w:rsidRPr="00B13266">
        <w:rPr>
          <w:bCs/>
          <w:color w:val="000000"/>
          <w:szCs w:val="22"/>
        </w:rPr>
        <w:t>EAS Participants are responsible for ensuring that EAS Encoders, EAS Decoders, Attention Signal generating and receiving equipment, and Intermediate Devices used as part of the EAS to decode and/or encode messages formatted in the EAS Protocol and/or the Common Alerting Protocol are installed so that the monitoring and transmitting functions are available during the times the stations and systems are in operation.</w:t>
      </w:r>
      <w:r>
        <w:rPr>
          <w:bCs/>
          <w:color w:val="000000"/>
          <w:szCs w:val="22"/>
        </w:rPr>
        <w:t xml:space="preserve">”  </w:t>
      </w:r>
      <w:r w:rsidR="002B24F0">
        <w:rPr>
          <w:bCs/>
          <w:color w:val="000000"/>
          <w:szCs w:val="22"/>
        </w:rPr>
        <w:t xml:space="preserve">During the </w:t>
      </w:r>
      <w:r>
        <w:rPr>
          <w:bCs/>
          <w:color w:val="000000"/>
          <w:szCs w:val="22"/>
        </w:rPr>
        <w:t xml:space="preserve">May 21, </w:t>
      </w:r>
      <w:r>
        <w:rPr>
          <w:bCs/>
          <w:color w:val="000000"/>
          <w:szCs w:val="22"/>
        </w:rPr>
        <w:t>2025</w:t>
      </w:r>
      <w:r w:rsidR="002B24F0">
        <w:rPr>
          <w:bCs/>
          <w:color w:val="000000"/>
          <w:szCs w:val="22"/>
        </w:rPr>
        <w:t xml:space="preserve"> inspection, Agents observed that </w:t>
      </w:r>
      <w:r>
        <w:rPr>
          <w:bCs/>
          <w:color w:val="000000"/>
          <w:szCs w:val="22"/>
        </w:rPr>
        <w:t>Morris failed to maintain operational EAS equipment for station W</w:t>
      </w:r>
      <w:r w:rsidR="006A0370">
        <w:rPr>
          <w:bCs/>
          <w:color w:val="000000"/>
          <w:szCs w:val="22"/>
        </w:rPr>
        <w:t>IMG,</w:t>
      </w:r>
      <w:r>
        <w:rPr>
          <w:bCs/>
          <w:color w:val="000000"/>
          <w:szCs w:val="22"/>
        </w:rPr>
        <w:t xml:space="preserve"> </w:t>
      </w:r>
      <w:r w:rsidR="00552401">
        <w:rPr>
          <w:bCs/>
          <w:color w:val="000000"/>
          <w:szCs w:val="22"/>
        </w:rPr>
        <w:t xml:space="preserve">because </w:t>
      </w:r>
      <w:r>
        <w:rPr>
          <w:bCs/>
          <w:color w:val="000000"/>
          <w:szCs w:val="22"/>
        </w:rPr>
        <w:t>the EAS equipment would not power on.</w:t>
      </w:r>
      <w:r w:rsidR="004D275A">
        <w:rPr>
          <w:bCs/>
          <w:color w:val="000000"/>
          <w:szCs w:val="22"/>
        </w:rPr>
        <w:t xml:space="preserve">  </w:t>
      </w:r>
    </w:p>
    <w:p w:rsidR="00C243FB" w:rsidP="00C243FB" w14:paraId="598D5C17" w14:textId="77777777"/>
    <w:p w:rsidR="008F05EC" w:rsidP="00C243FB" w14:paraId="51D9F7F8" w14:textId="7B6C1BB4">
      <w:pPr>
        <w:pStyle w:val="ParaNum"/>
        <w:spacing w:after="0"/>
      </w:pPr>
      <w:r>
        <w:t>A</w:t>
      </w:r>
      <w:r w:rsidRPr="008F05EC">
        <w:t xml:space="preserve">s the nation’s emergency warning system, the Emergency Alert System is critical to public safety, and we recognize the vital role that broadcasters play in ensuring </w:t>
      </w:r>
      <w:r w:rsidRPr="008F05EC">
        <w:t>its</w:t>
      </w:r>
      <w:r w:rsidRPr="008F05EC">
        <w:t xml:space="preserve"> success.  The Commission takes seriously any violations of </w:t>
      </w:r>
      <w:r>
        <w:t xml:space="preserve">its rules </w:t>
      </w:r>
      <w:r w:rsidRPr="008F05EC">
        <w:t xml:space="preserve">implementing the EAS and expects full compliance from its regulatees.  We also must investigate violations of other rules that apply to broadcast </w:t>
      </w:r>
      <w:r w:rsidRPr="008F05EC">
        <w:t>licensees</w:t>
      </w:r>
      <w:r w:rsidRPr="008F05EC">
        <w:t>.</w:t>
      </w:r>
    </w:p>
    <w:p w:rsidR="00C243FB" w:rsidRPr="008F05EC" w:rsidP="00C243FB" w14:paraId="54B03D9D" w14:textId="77777777">
      <w:pPr>
        <w:pStyle w:val="ParaNum"/>
        <w:numPr>
          <w:ilvl w:val="0"/>
          <w:numId w:val="0"/>
        </w:numPr>
        <w:spacing w:after="0"/>
        <w:ind w:left="720"/>
      </w:pPr>
    </w:p>
    <w:p w:rsidR="008F05EC" w:rsidP="00C243FB" w14:paraId="32E2E4CC" w14:textId="2E9080A8">
      <w:pPr>
        <w:pStyle w:val="ParaNum"/>
        <w:spacing w:after="0"/>
      </w:pPr>
      <w:r w:rsidRPr="008F05EC">
        <w:t xml:space="preserve">Pursuant to </w:t>
      </w:r>
      <w:r w:rsidR="009E31AD">
        <w:t>s</w:t>
      </w:r>
      <w:r w:rsidRPr="008F05EC">
        <w:t>ection 403 of the Communications Act of 1934, as amended</w:t>
      </w:r>
      <w:r>
        <w:t xml:space="preserve"> (Act)</w:t>
      </w:r>
      <w:r w:rsidRPr="008F05EC">
        <w:t xml:space="preserve">, and </w:t>
      </w:r>
      <w:r w:rsidR="009E31AD">
        <w:t>s</w:t>
      </w:r>
      <w:r w:rsidRPr="008F05EC">
        <w:t xml:space="preserve">ection 1.89 of the </w:t>
      </w:r>
      <w:r>
        <w:t>Commission’s r</w:t>
      </w:r>
      <w:r w:rsidRPr="008F05EC">
        <w:t>ules, we seek additional information concerning the violations and any remedial actions taken.</w:t>
      </w:r>
      <w:r>
        <w:rPr>
          <w:rStyle w:val="FootnoteReference"/>
        </w:rPr>
        <w:footnoteReference w:id="9"/>
      </w:r>
      <w:r w:rsidRPr="008F05EC">
        <w:t xml:space="preserve">  Therefore, </w:t>
      </w:r>
      <w:r w:rsidR="00AC6A8E">
        <w:t>Morris</w:t>
      </w:r>
      <w:r w:rsidRPr="008F05EC">
        <w:t xml:space="preserve"> must submit a written statement concerning this matter within twenty (20) days of release of this Notice.  The response (i)</w:t>
      </w:r>
      <w:r>
        <w:t> </w:t>
      </w:r>
      <w:r w:rsidRPr="008F05EC">
        <w:t>must fully explain each violation, including all relevant surrounding facts and circumstances, (ii)</w:t>
      </w:r>
      <w:r>
        <w:t> </w:t>
      </w:r>
      <w:r w:rsidRPr="008F05EC">
        <w:t>must contain a statement of the specific action(s) taken to correct each violation and preclude recurrence, and (iii)</w:t>
      </w:r>
      <w:r>
        <w:t> </w:t>
      </w:r>
      <w:r w:rsidRPr="008F05EC">
        <w:t xml:space="preserve">must include a </w:t>
      </w:r>
      <w:r w:rsidRPr="008F05EC">
        <w:t>time line</w:t>
      </w:r>
      <w:r w:rsidRPr="008F05EC">
        <w:t xml:space="preserve"> for completion of any pending corrective action(s).  The response must be complete </w:t>
      </w:r>
      <w:r w:rsidRPr="008F05EC">
        <w:t>in itself and</w:t>
      </w:r>
      <w:r w:rsidRPr="008F05EC">
        <w:t xml:space="preserve"> must not be abbreviated by reference to other communications or answers to other notices.</w:t>
      </w:r>
      <w:r>
        <w:rPr>
          <w:rStyle w:val="FootnoteReference"/>
        </w:rPr>
        <w:footnoteReference w:id="10"/>
      </w:r>
    </w:p>
    <w:p w:rsidR="000D3FA6" w:rsidP="000D3FA6" w14:paraId="6DEAB542" w14:textId="77777777">
      <w:pPr>
        <w:pStyle w:val="ParaNum"/>
        <w:numPr>
          <w:ilvl w:val="0"/>
          <w:numId w:val="0"/>
        </w:numPr>
        <w:spacing w:after="0"/>
        <w:ind w:firstLine="720"/>
      </w:pPr>
    </w:p>
    <w:p w:rsidR="00AD2A9B" w:rsidP="00C243FB" w14:paraId="0D0A6DF3" w14:textId="312FD5FA">
      <w:pPr>
        <w:pStyle w:val="ParaNum"/>
        <w:spacing w:after="0"/>
      </w:pPr>
      <w:r w:rsidRPr="00D55FBC">
        <w:t xml:space="preserve">In accordance with </w:t>
      </w:r>
      <w:r w:rsidR="009E31AD">
        <w:t>s</w:t>
      </w:r>
      <w:r w:rsidRPr="00D55FBC" w:rsidR="009E31AD">
        <w:t xml:space="preserve">ection </w:t>
      </w:r>
      <w:r w:rsidRPr="00D55FBC">
        <w:t xml:space="preserve">1.16 of the </w:t>
      </w:r>
      <w:r>
        <w:t>Commission’s r</w:t>
      </w:r>
      <w:r w:rsidRPr="00D55FBC">
        <w:t xml:space="preserve">ules, we direct </w:t>
      </w:r>
      <w:r w:rsidR="004420C1">
        <w:t>Morris</w:t>
      </w:r>
      <w:r w:rsidRPr="00D55FBC">
        <w:t xml:space="preserve"> to support its response to this Notice with an affidavit or declaration under penalty of perjury, signed and dated by an authorized officer of </w:t>
      </w:r>
      <w:r w:rsidR="004420C1">
        <w:t>Morris</w:t>
      </w:r>
      <w:r w:rsidRPr="00D55FBC">
        <w:t xml:space="preserve"> with personal knowledge of the representations provided in </w:t>
      </w:r>
      <w:r w:rsidR="004420C1">
        <w:t>Morris</w:t>
      </w:r>
      <w:r w:rsidRPr="00D55FBC">
        <w:t xml:space="preserve">’s response, verifying the truth and accuracy of the information therein, and confirming that all of the information requested by this Notice which is in </w:t>
      </w:r>
      <w:r w:rsidR="00362C95">
        <w:t>Morri</w:t>
      </w:r>
      <w:r w:rsidR="00483E90">
        <w:t>s</w:t>
      </w:r>
      <w:r w:rsidR="00362C95">
        <w:t>’</w:t>
      </w:r>
      <w:r w:rsidRPr="00D55FBC">
        <w:t xml:space="preserve"> possession, custody, control, or knowledge has been produced.</w:t>
      </w:r>
      <w:r>
        <w:rPr>
          <w:rStyle w:val="FootnoteReference"/>
        </w:rPr>
        <w:footnoteReference w:id="11"/>
      </w:r>
      <w:r w:rsidRPr="00D55FBC">
        <w:t xml:space="preserve">  To knowingly and willfully make any false statement or conceal any material fact in reply to this Notice is punishable by fine or imprisonment under </w:t>
      </w:r>
      <w:r w:rsidR="009E31AD">
        <w:t>t</w:t>
      </w:r>
      <w:r w:rsidRPr="00D55FBC" w:rsidR="009E31AD">
        <w:t xml:space="preserve">itle </w:t>
      </w:r>
      <w:r w:rsidRPr="00D55FBC">
        <w:t>18 of the U.S. Code.</w:t>
      </w:r>
      <w:r>
        <w:rPr>
          <w:rStyle w:val="FootnoteReference"/>
        </w:rPr>
        <w:footnoteReference w:id="12"/>
      </w:r>
    </w:p>
    <w:p w:rsidR="00C243FB" w:rsidP="00C243FB" w14:paraId="7BD1CAC2" w14:textId="77777777">
      <w:pPr>
        <w:pStyle w:val="ParaNum"/>
        <w:numPr>
          <w:ilvl w:val="0"/>
          <w:numId w:val="0"/>
        </w:numPr>
        <w:spacing w:after="0"/>
        <w:ind w:left="720"/>
      </w:pPr>
    </w:p>
    <w:p w:rsidR="00D55FBC" w:rsidP="00D60AB9" w14:paraId="54687F56" w14:textId="6F6EE059">
      <w:pPr>
        <w:pStyle w:val="ParaNum"/>
        <w:keepNext/>
        <w:widowControl/>
        <w:spacing w:after="0"/>
      </w:pPr>
      <w:r w:rsidRPr="00D55FBC">
        <w:t xml:space="preserve">All replies and documentation sent in response to this Notice should be marked with the File </w:t>
      </w:r>
      <w:r w:rsidRPr="00D55FBC" w:rsidR="00051DB5">
        <w:t>N</w:t>
      </w:r>
      <w:r w:rsidR="00051DB5">
        <w:t>umber</w:t>
      </w:r>
      <w:r w:rsidR="009E31AD">
        <w:t>,</w:t>
      </w:r>
      <w:r w:rsidRPr="00D55FBC">
        <w:t xml:space="preserve"> specified above, and mailed to the following address:</w:t>
      </w:r>
    </w:p>
    <w:p w:rsidR="00C243FB" w:rsidP="00D60AB9" w14:paraId="095C58B9" w14:textId="77777777">
      <w:pPr>
        <w:pStyle w:val="ParaNum"/>
        <w:keepNext/>
        <w:widowControl/>
        <w:numPr>
          <w:ilvl w:val="0"/>
          <w:numId w:val="0"/>
        </w:numPr>
        <w:spacing w:after="0"/>
      </w:pPr>
    </w:p>
    <w:p w:rsidR="00D55FBC" w:rsidP="00D60AB9" w14:paraId="4CA45B79" w14:textId="7C3FC165">
      <w:pPr>
        <w:keepNext/>
        <w:widowControl/>
        <w:ind w:left="2160"/>
      </w:pPr>
      <w:r>
        <w:t>Federal Communications Commission</w:t>
      </w:r>
    </w:p>
    <w:p w:rsidR="00D55FBC" w:rsidP="00D60AB9" w14:paraId="34EB3B79" w14:textId="20D66D66">
      <w:pPr>
        <w:keepNext/>
        <w:widowControl/>
        <w:ind w:left="2160"/>
      </w:pPr>
      <w:r>
        <w:t>EB Columbia Regional Office</w:t>
      </w:r>
    </w:p>
    <w:p w:rsidR="00D55FBC" w:rsidP="00D60AB9" w14:paraId="5C405781" w14:textId="235D0895">
      <w:pPr>
        <w:keepNext/>
        <w:widowControl/>
        <w:ind w:left="2160"/>
      </w:pPr>
      <w:r>
        <w:t>9050 Junction Drive</w:t>
      </w:r>
    </w:p>
    <w:p w:rsidR="00D55FBC" w:rsidP="00D60AB9" w14:paraId="6F6D52AF" w14:textId="17768054">
      <w:pPr>
        <w:keepNext/>
        <w:widowControl/>
        <w:ind w:left="2160"/>
      </w:pPr>
      <w:r>
        <w:t>Annapolis Junction,</w:t>
      </w:r>
      <w:r w:rsidR="00F62C27">
        <w:t xml:space="preserve"> Maryland, 20701</w:t>
      </w:r>
    </w:p>
    <w:p w:rsidR="00C243FB" w:rsidRPr="00D55FBC" w:rsidP="00C243FB" w14:paraId="0731C0F1" w14:textId="77777777"/>
    <w:p w:rsidR="00D55FBC" w:rsidP="00C243FB" w14:paraId="532EE6AF" w14:textId="344CC6E3">
      <w:pPr>
        <w:pStyle w:val="ParaNum"/>
        <w:spacing w:after="0"/>
      </w:pPr>
      <w:r w:rsidRPr="00D55FBC">
        <w:t xml:space="preserve">This Notice shall be sent to </w:t>
      </w:r>
      <w:r w:rsidR="00F62C27">
        <w:t xml:space="preserve">Morris Broadcasting Company of </w:t>
      </w:r>
      <w:r w:rsidR="003516D9">
        <w:t>New Jersey</w:t>
      </w:r>
      <w:r w:rsidR="006764C6">
        <w:t>,</w:t>
      </w:r>
      <w:r w:rsidR="003516D9">
        <w:t xml:space="preserve"> Inc</w:t>
      </w:r>
      <w:r w:rsidR="006764C6">
        <w:t>.</w:t>
      </w:r>
      <w:r>
        <w:t xml:space="preserve"> at its</w:t>
      </w:r>
      <w:r w:rsidR="006764C6">
        <w:t xml:space="preserve"> </w:t>
      </w:r>
      <w:r w:rsidRPr="00D55FBC">
        <w:t xml:space="preserve">address of record.  </w:t>
      </w:r>
    </w:p>
    <w:p w:rsidR="004D275A" w:rsidP="00C243FB" w14:paraId="620C874A" w14:textId="77777777">
      <w:pPr>
        <w:pStyle w:val="ParaNum"/>
        <w:numPr>
          <w:ilvl w:val="0"/>
          <w:numId w:val="0"/>
        </w:numPr>
        <w:spacing w:after="0"/>
        <w:ind w:left="720"/>
      </w:pPr>
    </w:p>
    <w:p w:rsidR="00D55FBC" w:rsidP="00C243FB" w14:paraId="23DFCC19" w14:textId="22B4DD25">
      <w:pPr>
        <w:pStyle w:val="ParaNum"/>
        <w:keepNext/>
        <w:spacing w:after="0"/>
      </w:pPr>
      <w:r w:rsidRPr="00D55FBC">
        <w:t>The Privacy Act of 1974</w:t>
      </w:r>
      <w:r>
        <w:rPr>
          <w:rStyle w:val="FootnoteReference"/>
        </w:rPr>
        <w:footnoteReference w:id="13"/>
      </w:r>
      <w:r w:rsidRPr="00D55FBC">
        <w:t xml:space="preserve"> requires that we advise you that the Commission will use all relevant material information before it, including any information disclosed in your reply, to determine what, if any, enforcement action is required to ensure compliance.  </w:t>
      </w:r>
    </w:p>
    <w:p w:rsidR="00C243FB" w:rsidP="00C243FB" w14:paraId="269E3963" w14:textId="77777777">
      <w:pPr>
        <w:pStyle w:val="ListParagraph"/>
      </w:pPr>
    </w:p>
    <w:p w:rsidR="00C243FB" w:rsidP="00C243FB" w14:paraId="19C7F211" w14:textId="77777777">
      <w:pPr>
        <w:pStyle w:val="ParaNum"/>
        <w:keepNext/>
        <w:numPr>
          <w:ilvl w:val="0"/>
          <w:numId w:val="0"/>
        </w:numPr>
        <w:spacing w:after="0"/>
      </w:pPr>
    </w:p>
    <w:p w:rsidR="00D55FBC" w:rsidP="00C243FB" w14:paraId="167DDF59" w14:textId="77777777">
      <w:pPr>
        <w:keepNext/>
      </w:pPr>
      <w:r>
        <w:tab/>
      </w:r>
      <w:r>
        <w:tab/>
      </w:r>
      <w:r>
        <w:tab/>
      </w:r>
      <w:r>
        <w:tab/>
      </w:r>
      <w:r>
        <w:tab/>
      </w:r>
      <w:r>
        <w:tab/>
        <w:t>FEDERAL COMMUNICATIONS COMMISSION</w:t>
      </w:r>
    </w:p>
    <w:p w:rsidR="00D55FBC" w:rsidP="00C243FB" w14:paraId="75EE0756" w14:textId="77777777">
      <w:pPr>
        <w:keepNext/>
      </w:pPr>
    </w:p>
    <w:p w:rsidR="00D55FBC" w:rsidP="00C243FB" w14:paraId="479C5C50" w14:textId="77777777">
      <w:pPr>
        <w:keepNext/>
      </w:pPr>
    </w:p>
    <w:p w:rsidR="00D55FBC" w:rsidP="00C243FB" w14:paraId="548E3C75" w14:textId="77777777">
      <w:pPr>
        <w:keepNext/>
      </w:pPr>
    </w:p>
    <w:p w:rsidR="00D55FBC" w:rsidP="00C243FB" w14:paraId="6FB234B6" w14:textId="77777777">
      <w:pPr>
        <w:keepNext/>
      </w:pPr>
    </w:p>
    <w:p w:rsidR="00D55FBC" w:rsidRPr="00D55FBC" w:rsidP="00C243FB" w14:paraId="229D0CA6" w14:textId="3FB1A595">
      <w:pPr>
        <w:keepNext/>
      </w:pPr>
      <w:r>
        <w:tab/>
      </w:r>
      <w:r>
        <w:tab/>
      </w:r>
      <w:r>
        <w:tab/>
      </w:r>
      <w:r>
        <w:tab/>
      </w:r>
      <w:r>
        <w:tab/>
      </w:r>
      <w:r>
        <w:tab/>
      </w:r>
      <w:r w:rsidR="00C243FB">
        <w:t>David C. Dombrowski</w:t>
      </w:r>
    </w:p>
    <w:p w:rsidR="00D55FBC" w:rsidP="00C243FB" w14:paraId="7DFB10BF" w14:textId="577148DA">
      <w:pPr>
        <w:keepNext/>
      </w:pPr>
      <w:r>
        <w:tab/>
      </w:r>
      <w:r>
        <w:tab/>
      </w:r>
      <w:r>
        <w:tab/>
      </w:r>
      <w:r>
        <w:tab/>
      </w:r>
      <w:r>
        <w:tab/>
      </w:r>
      <w:r>
        <w:tab/>
        <w:t>Regional Director, Region</w:t>
      </w:r>
      <w:r w:rsidR="00C243FB">
        <w:t xml:space="preserve"> One</w:t>
      </w:r>
    </w:p>
    <w:p w:rsidR="00D55FBC" w:rsidRPr="00D55FBC" w:rsidP="00C243FB" w14:paraId="625594D4" w14:textId="24FA788A">
      <w:pPr>
        <w:keepNext/>
      </w:pPr>
      <w:r>
        <w:tab/>
      </w:r>
      <w:r>
        <w:tab/>
      </w:r>
      <w:r>
        <w:tab/>
      </w:r>
      <w:r>
        <w:tab/>
      </w:r>
      <w:r>
        <w:tab/>
      </w:r>
      <w:r>
        <w:tab/>
        <w:t>Enforcement Bureau</w:t>
      </w:r>
    </w:p>
    <w:p w:rsidR="00D55FBC" w:rsidRPr="00AD2A9B" w:rsidP="00C243FB" w14:paraId="0F94A91D" w14:textId="77777777"/>
    <w:sectPr w:rsidSect="0055614C">
      <w:headerReference w:type="even" r:id="rId6"/>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8695B" w14:paraId="01407772" w14:textId="77777777">
      <w:pPr>
        <w:spacing w:line="20" w:lineRule="exact"/>
      </w:pPr>
    </w:p>
  </w:endnote>
  <w:endnote w:type="continuationSeparator" w:id="1">
    <w:p w:rsidR="0068695B" w14:paraId="3F177D42" w14:textId="77777777">
      <w:r>
        <w:t xml:space="preserve"> </w:t>
      </w:r>
    </w:p>
  </w:endnote>
  <w:endnote w:type="continuationNotice" w:id="2">
    <w:p w:rsidR="0068695B" w14:paraId="75218E1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Heavy Heap"/>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6FC5D076"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12DB20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5EEB5AF1" w14:textId="77777777">
    <w:pPr>
      <w:pStyle w:val="Footer"/>
      <w:framePr w:wrap="around" w:vAnchor="text" w:hAnchor="margin" w:xAlign="center" w:y="1"/>
    </w:pPr>
    <w:r>
      <w:fldChar w:fldCharType="begin"/>
    </w:r>
    <w:r>
      <w:instrText xml:space="preserve">PAGE  </w:instrText>
    </w:r>
    <w:r>
      <w:fldChar w:fldCharType="separate"/>
    </w:r>
    <w:r w:rsidR="005E14C2">
      <w:rPr>
        <w:noProof/>
      </w:rPr>
      <w:t>2</w:t>
    </w:r>
    <w:r>
      <w:fldChar w:fldCharType="end"/>
    </w:r>
  </w:p>
  <w:p w:rsidR="00D25FB5" w14:paraId="060CC3C5"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0479F73B"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695B" w14:paraId="0B645F88" w14:textId="77777777">
      <w:r>
        <w:separator/>
      </w:r>
    </w:p>
  </w:footnote>
  <w:footnote w:type="continuationSeparator" w:id="1">
    <w:p w:rsidR="0068695B" w:rsidP="00C721AC" w14:paraId="4D86BA7A" w14:textId="77777777">
      <w:pPr>
        <w:spacing w:before="120"/>
        <w:rPr>
          <w:sz w:val="20"/>
        </w:rPr>
      </w:pPr>
      <w:r>
        <w:rPr>
          <w:sz w:val="20"/>
        </w:rPr>
        <w:t xml:space="preserve">(Continued from previous page)  </w:t>
      </w:r>
      <w:r>
        <w:rPr>
          <w:sz w:val="20"/>
        </w:rPr>
        <w:separator/>
      </w:r>
    </w:p>
  </w:footnote>
  <w:footnote w:type="continuationNotice" w:id="2">
    <w:p w:rsidR="0068695B" w:rsidP="00C721AC" w14:paraId="33233C90" w14:textId="77777777">
      <w:pPr>
        <w:jc w:val="right"/>
        <w:rPr>
          <w:sz w:val="20"/>
        </w:rPr>
      </w:pPr>
      <w:r>
        <w:rPr>
          <w:sz w:val="20"/>
        </w:rPr>
        <w:t>(</w:t>
      </w:r>
      <w:r>
        <w:rPr>
          <w:sz w:val="20"/>
        </w:rPr>
        <w:t>continued</w:t>
      </w:r>
      <w:r>
        <w:rPr>
          <w:sz w:val="20"/>
        </w:rPr>
        <w:t>….)</w:t>
      </w:r>
    </w:p>
  </w:footnote>
  <w:footnote w:id="3">
    <w:p w:rsidR="00AD2A9B" w14:paraId="1FD3986F" w14:textId="4AE72D2A">
      <w:pPr>
        <w:pStyle w:val="FootnoteText"/>
      </w:pPr>
      <w:r>
        <w:rPr>
          <w:rStyle w:val="FootnoteReference"/>
        </w:rPr>
        <w:footnoteRef/>
      </w:r>
      <w:r>
        <w:t xml:space="preserve"> 47 CFR § 1.89.</w:t>
      </w:r>
    </w:p>
  </w:footnote>
  <w:footnote w:id="4">
    <w:p w:rsidR="008F05EC" w14:paraId="75AC50CE" w14:textId="241B9196">
      <w:pPr>
        <w:pStyle w:val="FootnoteText"/>
      </w:pPr>
      <w:r>
        <w:rPr>
          <w:rStyle w:val="FootnoteReference"/>
        </w:rPr>
        <w:footnoteRef/>
      </w:r>
      <w:r>
        <w:t xml:space="preserve"> 47 CFR § 1.89(a).</w:t>
      </w:r>
    </w:p>
  </w:footnote>
  <w:footnote w:id="5">
    <w:p w:rsidR="0005334B" w:rsidP="0005334B" w14:paraId="1CB9E086" w14:textId="3614DFA7">
      <w:pPr>
        <w:pStyle w:val="FootnoteText"/>
      </w:pPr>
      <w:r>
        <w:rPr>
          <w:rStyle w:val="FootnoteReference"/>
        </w:rPr>
        <w:footnoteRef/>
      </w:r>
      <w:r>
        <w:t xml:space="preserve"> </w:t>
      </w:r>
      <w:r w:rsidRPr="00994AAD" w:rsidR="00546052">
        <w:rPr>
          <w:i/>
          <w:iCs/>
        </w:rPr>
        <w:t>See</w:t>
      </w:r>
      <w:r w:rsidR="00546052">
        <w:t xml:space="preserve"> </w:t>
      </w:r>
      <w:r w:rsidR="009D0420">
        <w:t xml:space="preserve">FCC </w:t>
      </w:r>
      <w:r>
        <w:t>Antenna Structure</w:t>
      </w:r>
      <w:r w:rsidR="00546052">
        <w:t xml:space="preserve"> Registr</w:t>
      </w:r>
      <w:r w:rsidR="00994AAD">
        <w:t>y</w:t>
      </w:r>
      <w:r>
        <w:t xml:space="preserve"> (</w:t>
      </w:r>
      <w:hyperlink r:id="rId1" w:history="1">
        <w:r w:rsidRPr="000140B4">
          <w:rPr>
            <w:rStyle w:val="Hyperlink"/>
          </w:rPr>
          <w:t>https://appsint.fcc.gov/</w:t>
        </w:r>
        <w:r>
          <w:rPr>
            <w:rStyle w:val="Hyperlink"/>
          </w:rPr>
          <w:t>‌</w:t>
        </w:r>
        <w:r w:rsidRPr="000140B4">
          <w:rPr>
            <w:rStyle w:val="Hyperlink"/>
          </w:rPr>
          <w:t>UlsApp/</w:t>
        </w:r>
        <w:r>
          <w:rPr>
            <w:rStyle w:val="Hyperlink"/>
          </w:rPr>
          <w:t>‌</w:t>
        </w:r>
        <w:r w:rsidRPr="000140B4">
          <w:rPr>
            <w:rStyle w:val="Hyperlink"/>
          </w:rPr>
          <w:t>AsrSearch/asrRegistration.jsp?</w:t>
        </w:r>
        <w:r>
          <w:rPr>
            <w:rStyle w:val="Hyperlink"/>
          </w:rPr>
          <w:t>‌</w:t>
        </w:r>
        <w:r w:rsidRPr="000140B4">
          <w:rPr>
            <w:rStyle w:val="Hyperlink"/>
          </w:rPr>
          <w:t>regKey</w:t>
        </w:r>
        <w:r>
          <w:rPr>
            <w:rStyle w:val="Hyperlink"/>
          </w:rPr>
          <w:t>‌</w:t>
        </w:r>
        <w:r w:rsidRPr="000140B4">
          <w:rPr>
            <w:rStyle w:val="Hyperlink"/>
          </w:rPr>
          <w:t>=611540</w:t>
        </w:r>
      </w:hyperlink>
      <w:r>
        <w:t xml:space="preserve">, </w:t>
      </w:r>
      <w:hyperlink r:id="rId2" w:history="1">
        <w:r w:rsidRPr="000140B4">
          <w:rPr>
            <w:rStyle w:val="Hyperlink"/>
          </w:rPr>
          <w:t>https://appsint.fcc.gov/UlsApp/AsrSearch/asrRegistration.jsp?</w:t>
        </w:r>
        <w:r>
          <w:rPr>
            <w:rStyle w:val="Hyperlink"/>
          </w:rPr>
          <w:t>‌</w:t>
        </w:r>
        <w:r w:rsidRPr="000140B4">
          <w:rPr>
            <w:rStyle w:val="Hyperlink"/>
          </w:rPr>
          <w:t>regKey</w:t>
        </w:r>
        <w:r>
          <w:rPr>
            <w:rStyle w:val="Hyperlink"/>
          </w:rPr>
          <w:t>‌</w:t>
        </w:r>
        <w:r w:rsidRPr="000140B4">
          <w:rPr>
            <w:rStyle w:val="Hyperlink"/>
          </w:rPr>
          <w:t>=611541</w:t>
        </w:r>
      </w:hyperlink>
      <w:r>
        <w:t xml:space="preserve">, </w:t>
      </w:r>
      <w:hyperlink r:id="rId3" w:history="1">
        <w:r w:rsidRPr="000140B4">
          <w:rPr>
            <w:rStyle w:val="Hyperlink"/>
          </w:rPr>
          <w:t>https://appsint.fcc.gov/</w:t>
        </w:r>
        <w:r>
          <w:rPr>
            <w:rStyle w:val="Hyperlink"/>
          </w:rPr>
          <w:t>‌</w:t>
        </w:r>
        <w:r w:rsidRPr="000140B4">
          <w:rPr>
            <w:rStyle w:val="Hyperlink"/>
          </w:rPr>
          <w:t>UlsApp/AsrSearch/asrRegistration.jsp?regKey=611542</w:t>
        </w:r>
      </w:hyperlink>
      <w:r>
        <w:t xml:space="preserve">, </w:t>
      </w:r>
      <w:hyperlink r:id="rId4" w:history="1">
        <w:r w:rsidRPr="000140B4" w:rsidR="00C809FF">
          <w:rPr>
            <w:rStyle w:val="Hyperlink"/>
          </w:rPr>
          <w:t>https://appsint.fcc.gov/UlsApp/AsrSearch/</w:t>
        </w:r>
        <w:r w:rsidR="000640C7">
          <w:rPr>
            <w:rStyle w:val="Hyperlink"/>
          </w:rPr>
          <w:t>‌</w:t>
        </w:r>
        <w:r w:rsidRPr="000140B4" w:rsidR="00C809FF">
          <w:rPr>
            <w:rStyle w:val="Hyperlink"/>
          </w:rPr>
          <w:t>asrRegistration.jsp?regKey=611543</w:t>
        </w:r>
      </w:hyperlink>
      <w:r w:rsidR="00A24051">
        <w:t>)</w:t>
      </w:r>
      <w:r w:rsidRPr="00C809FF" w:rsidR="00C809FF">
        <w:t xml:space="preserve"> </w:t>
      </w:r>
      <w:r w:rsidR="005337B0">
        <w:t xml:space="preserve">(last visited </w:t>
      </w:r>
      <w:r w:rsidR="00213709">
        <w:t>Mar. 17</w:t>
      </w:r>
      <w:r w:rsidR="005337B0">
        <w:t>, 2026)</w:t>
      </w:r>
      <w:r w:rsidR="00960322">
        <w:t>.</w:t>
      </w:r>
    </w:p>
  </w:footnote>
  <w:footnote w:id="6">
    <w:p w:rsidR="008D1915" w14:paraId="68427957" w14:textId="7C785745">
      <w:pPr>
        <w:pStyle w:val="FootnoteText"/>
      </w:pPr>
      <w:r>
        <w:rPr>
          <w:rStyle w:val="FootnoteReference"/>
        </w:rPr>
        <w:footnoteRef/>
      </w:r>
      <w:r>
        <w:t xml:space="preserve"> The Antenna Structures </w:t>
      </w:r>
      <w:r w:rsidR="00226372">
        <w:t xml:space="preserve">displayed side markers </w:t>
      </w:r>
      <w:r w:rsidR="00F1388F">
        <w:t xml:space="preserve">only </w:t>
      </w:r>
      <w:r w:rsidR="00226372">
        <w:t xml:space="preserve">at the mid-level, </w:t>
      </w:r>
      <w:r w:rsidR="00456D10">
        <w:t xml:space="preserve">which is not </w:t>
      </w:r>
      <w:r w:rsidR="0062086F">
        <w:t>permitted per the</w:t>
      </w:r>
      <w:r w:rsidR="00FB1C81">
        <w:t xml:space="preserve"> requirements of the</w:t>
      </w:r>
      <w:r w:rsidR="0062086F">
        <w:t xml:space="preserve">ir </w:t>
      </w:r>
      <w:r w:rsidR="00603599">
        <w:t xml:space="preserve">respective </w:t>
      </w:r>
      <w:r w:rsidR="0062086F">
        <w:t xml:space="preserve">registrations. </w:t>
      </w:r>
      <w:r w:rsidRPr="00C96F3A" w:rsidR="00C96F3A">
        <w:rPr>
          <w:i/>
          <w:iCs/>
        </w:rPr>
        <w:t>Id</w:t>
      </w:r>
      <w:r w:rsidR="0062086F">
        <w:t>.</w:t>
      </w:r>
      <w:r w:rsidR="00226372">
        <w:t xml:space="preserve"> </w:t>
      </w:r>
    </w:p>
  </w:footnote>
  <w:footnote w:id="7">
    <w:p w:rsidR="0016770C" w14:paraId="2C470B97" w14:textId="3CF92953">
      <w:pPr>
        <w:pStyle w:val="FootnoteText"/>
      </w:pPr>
      <w:r>
        <w:rPr>
          <w:rStyle w:val="FootnoteReference"/>
        </w:rPr>
        <w:footnoteRef/>
      </w:r>
      <w:r>
        <w:t xml:space="preserve"> </w:t>
      </w:r>
      <w:r w:rsidR="00E06362">
        <w:t xml:space="preserve">A NOTAM is a bulletin issued by aviation authorities </w:t>
      </w:r>
      <w:r w:rsidR="003956D7">
        <w:t xml:space="preserve">for a temporary period </w:t>
      </w:r>
      <w:r w:rsidR="00E06362">
        <w:t xml:space="preserve">to inform pilots about important information that may affect flight operations, including </w:t>
      </w:r>
      <w:r w:rsidR="00CB5145">
        <w:t xml:space="preserve">lighting outages on </w:t>
      </w:r>
      <w:r w:rsidR="00D77089">
        <w:t>antenna structures</w:t>
      </w:r>
      <w:r w:rsidR="00684263">
        <w:t xml:space="preserve"> requiring such lighting</w:t>
      </w:r>
      <w:r w:rsidR="00D77089">
        <w:t xml:space="preserve">.  </w:t>
      </w:r>
      <w:r w:rsidR="00E06362">
        <w:t xml:space="preserve"> </w:t>
      </w:r>
    </w:p>
  </w:footnote>
  <w:footnote w:id="8">
    <w:p w:rsidR="000D1A4D" w:rsidRPr="00255DE9" w:rsidP="000D1A4D" w14:paraId="166CD9D0" w14:textId="77777777">
      <w:pPr>
        <w:pStyle w:val="FootnoteText"/>
      </w:pPr>
      <w:r w:rsidRPr="00255DE9">
        <w:rPr>
          <w:rStyle w:val="FootnoteReference"/>
        </w:rPr>
        <w:footnoteRef/>
      </w:r>
      <w:r w:rsidRPr="00255DE9">
        <w:t xml:space="preserve"> </w:t>
      </w:r>
      <w:r w:rsidRPr="00C12579">
        <w:t xml:space="preserve">On June 1, 2025, </w:t>
      </w:r>
      <w:r>
        <w:t xml:space="preserve">per Morris’ </w:t>
      </w:r>
      <w:r w:rsidRPr="00C12579">
        <w:t>request</w:t>
      </w:r>
      <w:r>
        <w:t xml:space="preserve">, the </w:t>
      </w:r>
      <w:r w:rsidRPr="00C12579">
        <w:t xml:space="preserve">FAA issued </w:t>
      </w:r>
      <w:r w:rsidRPr="00C12579">
        <w:t>NOTAMs !</w:t>
      </w:r>
      <w:r>
        <w:t>TTN</w:t>
      </w:r>
      <w:r w:rsidRPr="00C12579">
        <w:t xml:space="preserve"> 0</w:t>
      </w:r>
      <w:r>
        <w:t>6</w:t>
      </w:r>
      <w:r w:rsidRPr="00C12579">
        <w:t>/0</w:t>
      </w:r>
      <w:r>
        <w:t>04</w:t>
      </w:r>
      <w:r w:rsidRPr="00C12579">
        <w:t>, !</w:t>
      </w:r>
      <w:r>
        <w:t>TTN</w:t>
      </w:r>
      <w:r w:rsidRPr="00C12579">
        <w:t xml:space="preserve"> 0</w:t>
      </w:r>
      <w:r>
        <w:t>6</w:t>
      </w:r>
      <w:r w:rsidRPr="00C12579">
        <w:t>/0</w:t>
      </w:r>
      <w:r>
        <w:t>05</w:t>
      </w:r>
      <w:r w:rsidRPr="00C12579">
        <w:t>, !</w:t>
      </w:r>
      <w:r>
        <w:t>TTN</w:t>
      </w:r>
      <w:r w:rsidRPr="00C12579">
        <w:t xml:space="preserve"> 0</w:t>
      </w:r>
      <w:r>
        <w:t>6</w:t>
      </w:r>
      <w:r w:rsidRPr="00C12579">
        <w:t>/0</w:t>
      </w:r>
      <w:r>
        <w:t>06</w:t>
      </w:r>
      <w:r w:rsidRPr="00C12579">
        <w:t xml:space="preserve">, and </w:t>
      </w:r>
      <w:r>
        <w:t xml:space="preserve"> </w:t>
      </w:r>
      <w:r>
        <w:t xml:space="preserve">  </w:t>
      </w:r>
      <w:r w:rsidRPr="00C12579">
        <w:t>!</w:t>
      </w:r>
      <w:r w:rsidRPr="008C38C6">
        <w:t xml:space="preserve"> </w:t>
      </w:r>
      <w:r w:rsidRPr="00C12579">
        <w:t>!</w:t>
      </w:r>
      <w:r>
        <w:t>TTN</w:t>
      </w:r>
      <w:r w:rsidRPr="00C12579">
        <w:t xml:space="preserve"> 0</w:t>
      </w:r>
      <w:r>
        <w:t>6</w:t>
      </w:r>
      <w:r w:rsidRPr="00C12579">
        <w:t>/0</w:t>
      </w:r>
      <w:r>
        <w:t>07</w:t>
      </w:r>
      <w:r w:rsidRPr="00C12579">
        <w:t>.</w:t>
      </w:r>
      <w:r w:rsidRPr="00E649BD">
        <w:t xml:space="preserve"> </w:t>
      </w:r>
      <w:r>
        <w:t xml:space="preserve"> </w:t>
      </w:r>
      <w:r w:rsidRPr="00E649BD">
        <w:t xml:space="preserve">On </w:t>
      </w:r>
      <w:r>
        <w:t>August 4</w:t>
      </w:r>
      <w:r w:rsidRPr="00E649BD">
        <w:t>, 202</w:t>
      </w:r>
      <w:r>
        <w:t>5</w:t>
      </w:r>
      <w:r w:rsidRPr="00E649BD">
        <w:t xml:space="preserve">, </w:t>
      </w:r>
      <w:r>
        <w:t xml:space="preserve">per the request of the FCC Agent, the </w:t>
      </w:r>
      <w:r w:rsidRPr="00E649BD">
        <w:t>FAA issued NOTAM</w:t>
      </w:r>
      <w:r>
        <w:t>s</w:t>
      </w:r>
      <w:r w:rsidRPr="00E649BD">
        <w:t xml:space="preserve"> </w:t>
      </w:r>
      <w:r w:rsidRPr="00E649BD">
        <w:t xml:space="preserve"># </w:t>
      </w:r>
      <w:r w:rsidRPr="00C12579">
        <w:t>!</w:t>
      </w:r>
      <w:r>
        <w:t>TTN</w:t>
      </w:r>
      <w:r w:rsidRPr="00C12579">
        <w:t xml:space="preserve"> 0</w:t>
      </w:r>
      <w:r>
        <w:t>8</w:t>
      </w:r>
      <w:r w:rsidRPr="00C12579">
        <w:t>/0</w:t>
      </w:r>
      <w:r>
        <w:t>07</w:t>
      </w:r>
      <w:r>
        <w:t xml:space="preserve">, </w:t>
      </w:r>
      <w:r w:rsidRPr="00C12579">
        <w:t>!</w:t>
      </w:r>
      <w:r>
        <w:t>TTN</w:t>
      </w:r>
      <w:r w:rsidRPr="00C12579">
        <w:t xml:space="preserve"> 0</w:t>
      </w:r>
      <w:r>
        <w:t>8</w:t>
      </w:r>
      <w:r w:rsidRPr="00C12579">
        <w:t>/0</w:t>
      </w:r>
      <w:r>
        <w:t>08</w:t>
      </w:r>
      <w:r>
        <w:t xml:space="preserve">, </w:t>
      </w:r>
      <w:r w:rsidRPr="00C12579">
        <w:t>!</w:t>
      </w:r>
      <w:r>
        <w:t>TTN</w:t>
      </w:r>
      <w:r w:rsidRPr="00C12579">
        <w:t xml:space="preserve"> 0</w:t>
      </w:r>
      <w:r>
        <w:t>8</w:t>
      </w:r>
      <w:r w:rsidRPr="00C12579">
        <w:t>/0</w:t>
      </w:r>
      <w:r>
        <w:t xml:space="preserve">09, </w:t>
      </w:r>
      <w:r>
        <w:t xml:space="preserve">and </w:t>
      </w:r>
      <w:r w:rsidRPr="00C12579">
        <w:t>!</w:t>
      </w:r>
      <w:r>
        <w:t>TTN</w:t>
      </w:r>
      <w:r w:rsidRPr="00C12579">
        <w:t xml:space="preserve"> 0</w:t>
      </w:r>
      <w:r>
        <w:t>8</w:t>
      </w:r>
      <w:r w:rsidRPr="00C12579">
        <w:t>/0</w:t>
      </w:r>
      <w:r>
        <w:t>10</w:t>
      </w:r>
      <w:r w:rsidRPr="00E649BD">
        <w:t>.</w:t>
      </w:r>
    </w:p>
  </w:footnote>
  <w:footnote w:id="9">
    <w:p w:rsidR="008F05EC" w:rsidRPr="008F05EC" w14:paraId="38A560B6" w14:textId="1EF0FBDF">
      <w:pPr>
        <w:pStyle w:val="FootnoteText"/>
      </w:pPr>
      <w:r>
        <w:rPr>
          <w:rStyle w:val="FootnoteReference"/>
        </w:rPr>
        <w:footnoteRef/>
      </w:r>
      <w:r>
        <w:t xml:space="preserve"> 47 U.S.C. </w:t>
      </w:r>
      <w:r w:rsidR="009E31AD">
        <w:t xml:space="preserve">§ </w:t>
      </w:r>
      <w:r>
        <w:t>403; 47 CFR § 1.89.</w:t>
      </w:r>
    </w:p>
  </w:footnote>
  <w:footnote w:id="10">
    <w:p w:rsidR="00D55FBC" w14:paraId="26AEBABE" w14:textId="75A21E36">
      <w:pPr>
        <w:pStyle w:val="FootnoteText"/>
      </w:pPr>
      <w:r>
        <w:rPr>
          <w:rStyle w:val="FootnoteReference"/>
        </w:rPr>
        <w:footnoteRef/>
      </w:r>
      <w:r>
        <w:t xml:space="preserve"> 47 CFR § 1.89(c).</w:t>
      </w:r>
    </w:p>
  </w:footnote>
  <w:footnote w:id="11">
    <w:p w:rsidR="00D55FBC" w14:paraId="0A081617" w14:textId="26BC59B5">
      <w:pPr>
        <w:pStyle w:val="FootnoteText"/>
      </w:pPr>
      <w:r>
        <w:rPr>
          <w:rStyle w:val="FootnoteReference"/>
        </w:rPr>
        <w:footnoteRef/>
      </w:r>
      <w:r>
        <w:t xml:space="preserve"> </w:t>
      </w:r>
      <w:r w:rsidRPr="00D55FBC">
        <w:t xml:space="preserve">Section 1.16 of the </w:t>
      </w:r>
      <w:r>
        <w:t>Commission’s r</w:t>
      </w:r>
      <w:r w:rsidRPr="00D55FBC">
        <w:t xml:space="preserve">ules provides that “[a]ny document to be filed with the Federal Communications Commission and which is required by any law, rule or other regulation of the United States to be supported, evidenced, established or proved by a written sworn declaration, verification, certificate, statement, oath or affidavit by the person making the same, may be supported, evidenced, established or proved by the unsworn declaration, certification, verification, or statement in writing of such person . . . .  Such declaration shall be subscribed by the declarant as true under penalty of perjury, and dated, in substantially the following form </w:t>
      </w:r>
      <w:r w:rsidRPr="00D55FBC">
        <w:t>. . . :</w:t>
      </w:r>
      <w:r w:rsidRPr="00D55FBC">
        <w:t xml:space="preserve">  ‘I declare (or certify, verify, or state) under penalty of perjury that the foregoing is true and correct.  Executed on (date).  (Signature)’.”  47 CFR § 1.16.</w:t>
      </w:r>
    </w:p>
  </w:footnote>
  <w:footnote w:id="12">
    <w:p w:rsidR="00D55FBC" w:rsidRPr="00D55FBC" w14:paraId="00C93D63" w14:textId="367D66E6">
      <w:pPr>
        <w:pStyle w:val="FootnoteText"/>
      </w:pPr>
      <w:r>
        <w:rPr>
          <w:rStyle w:val="FootnoteReference"/>
        </w:rPr>
        <w:footnoteRef/>
      </w:r>
      <w:r>
        <w:t xml:space="preserve"> 18 U.S.C. §§ 1001, </w:t>
      </w:r>
      <w:r w:rsidRPr="00D55FBC">
        <w:rPr>
          <w:i/>
        </w:rPr>
        <w:t>et seq</w:t>
      </w:r>
      <w:r>
        <w:t xml:space="preserve">.; </w:t>
      </w:r>
      <w:r>
        <w:rPr>
          <w:i/>
        </w:rPr>
        <w:t xml:space="preserve">see also </w:t>
      </w:r>
      <w:r>
        <w:t>47 CFR § 1.17.</w:t>
      </w:r>
    </w:p>
  </w:footnote>
  <w:footnote w:id="13">
    <w:p w:rsidR="00D55FBC" w14:paraId="7FF56E3F" w14:textId="0EC124FE">
      <w:pPr>
        <w:pStyle w:val="FootnoteText"/>
      </w:pPr>
      <w:r>
        <w:rPr>
          <w:rStyle w:val="FootnoteReference"/>
        </w:rPr>
        <w:footnoteRef/>
      </w:r>
      <w:r>
        <w:t xml:space="preserve"> </w:t>
      </w:r>
      <w:r w:rsidRPr="00D55FBC">
        <w:t>5 U.S.C. § 552a(e)(3).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6E30" w:rsidP="002D6E30" w14:paraId="276DAC7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2D6E30" w14:paraId="7B7872BD" w14:textId="7010B0D8">
    <w:pPr>
      <w:pStyle w:val="Header"/>
    </w:pPr>
    <w:r>
      <w:tab/>
      <w:t>Federal Communications Commission</w:t>
    </w:r>
    <w:r>
      <w:tab/>
    </w:r>
  </w:p>
  <w:p w:rsidR="00D25FB5" w14:paraId="56D6C3C1" w14:textId="7D4B0D5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D25FB5" w14:paraId="0820B023" w14:textId="77777777">
    <w:pPr>
      <w:spacing w:after="389"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2D6E30" w14:paraId="6541F9E7" w14:textId="4F44A75C">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tab/>
      <w:t>Federal Communications Commission</w:t>
    </w:r>
    <w:r w:rsidR="002D6E30">
      <w:t xml:space="preserve"> </w:t>
    </w:r>
    <w:r w:rsidR="002D6E30">
      <w:tab/>
    </w:r>
    <w:r w:rsidR="002D6E30">
      <w:rPr>
        <w:spacing w:val="-2"/>
      </w:rPr>
      <w:t>DA 26-289</w:t>
    </w:r>
    <w:r w:rsidR="002D6E30">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3D7C11CA"/>
    <w:multiLevelType w:val="hybridMultilevel"/>
    <w:tmpl w:val="38129D8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703631623">
    <w:abstractNumId w:val="1"/>
  </w:num>
  <w:num w:numId="2" w16cid:durableId="1602759597">
    <w:abstractNumId w:val="6"/>
  </w:num>
  <w:num w:numId="3" w16cid:durableId="1428771976">
    <w:abstractNumId w:val="3"/>
  </w:num>
  <w:num w:numId="4" w16cid:durableId="62870533">
    <w:abstractNumId w:val="5"/>
  </w:num>
  <w:num w:numId="5" w16cid:durableId="361630579">
    <w:abstractNumId w:val="2"/>
  </w:num>
  <w:num w:numId="6" w16cid:durableId="246113971">
    <w:abstractNumId w:val="0"/>
  </w:num>
  <w:num w:numId="7" w16cid:durableId="558706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51"/>
    <w:rsid w:val="0001153E"/>
    <w:rsid w:val="000140B4"/>
    <w:rsid w:val="00025DF4"/>
    <w:rsid w:val="00034B80"/>
    <w:rsid w:val="00035BAE"/>
    <w:rsid w:val="00036039"/>
    <w:rsid w:val="00037F90"/>
    <w:rsid w:val="00050DC6"/>
    <w:rsid w:val="00051DB5"/>
    <w:rsid w:val="0005334B"/>
    <w:rsid w:val="00056CFA"/>
    <w:rsid w:val="000602B3"/>
    <w:rsid w:val="00061035"/>
    <w:rsid w:val="00062880"/>
    <w:rsid w:val="000640C7"/>
    <w:rsid w:val="00066E17"/>
    <w:rsid w:val="000875BF"/>
    <w:rsid w:val="00096D8C"/>
    <w:rsid w:val="00097CF0"/>
    <w:rsid w:val="000A1524"/>
    <w:rsid w:val="000B156A"/>
    <w:rsid w:val="000B17CE"/>
    <w:rsid w:val="000B51E9"/>
    <w:rsid w:val="000C0B65"/>
    <w:rsid w:val="000D1A4D"/>
    <w:rsid w:val="000D3FA6"/>
    <w:rsid w:val="000D7EA4"/>
    <w:rsid w:val="000E05FE"/>
    <w:rsid w:val="000E26FA"/>
    <w:rsid w:val="000E3D42"/>
    <w:rsid w:val="000F1A62"/>
    <w:rsid w:val="000F6EF5"/>
    <w:rsid w:val="001023DE"/>
    <w:rsid w:val="00115FA1"/>
    <w:rsid w:val="00122BD5"/>
    <w:rsid w:val="001247A2"/>
    <w:rsid w:val="00125730"/>
    <w:rsid w:val="001304B6"/>
    <w:rsid w:val="00133F79"/>
    <w:rsid w:val="00145357"/>
    <w:rsid w:val="00154575"/>
    <w:rsid w:val="0016770C"/>
    <w:rsid w:val="00172093"/>
    <w:rsid w:val="00173A46"/>
    <w:rsid w:val="00187B93"/>
    <w:rsid w:val="00194A66"/>
    <w:rsid w:val="001956A3"/>
    <w:rsid w:val="001A0EBC"/>
    <w:rsid w:val="001B2A05"/>
    <w:rsid w:val="001B68C9"/>
    <w:rsid w:val="001B6F79"/>
    <w:rsid w:val="001D6BCF"/>
    <w:rsid w:val="001D74FF"/>
    <w:rsid w:val="001E01CA"/>
    <w:rsid w:val="001E19BC"/>
    <w:rsid w:val="001E76AF"/>
    <w:rsid w:val="001F65B1"/>
    <w:rsid w:val="0020118B"/>
    <w:rsid w:val="00213709"/>
    <w:rsid w:val="002151CE"/>
    <w:rsid w:val="0022356C"/>
    <w:rsid w:val="00226372"/>
    <w:rsid w:val="00255DE9"/>
    <w:rsid w:val="00256B4F"/>
    <w:rsid w:val="002630D5"/>
    <w:rsid w:val="00272372"/>
    <w:rsid w:val="002725C1"/>
    <w:rsid w:val="00274296"/>
    <w:rsid w:val="0027436D"/>
    <w:rsid w:val="00274B17"/>
    <w:rsid w:val="00275CF5"/>
    <w:rsid w:val="00276A53"/>
    <w:rsid w:val="0028301F"/>
    <w:rsid w:val="00285017"/>
    <w:rsid w:val="002876E6"/>
    <w:rsid w:val="002920C9"/>
    <w:rsid w:val="002A2101"/>
    <w:rsid w:val="002A2131"/>
    <w:rsid w:val="002A2D2E"/>
    <w:rsid w:val="002A56B9"/>
    <w:rsid w:val="002B24F0"/>
    <w:rsid w:val="002C00E8"/>
    <w:rsid w:val="002C1FD3"/>
    <w:rsid w:val="002D6E30"/>
    <w:rsid w:val="002E3F71"/>
    <w:rsid w:val="002E43E8"/>
    <w:rsid w:val="002F7DAB"/>
    <w:rsid w:val="00337F0B"/>
    <w:rsid w:val="00343749"/>
    <w:rsid w:val="00345176"/>
    <w:rsid w:val="00347CB1"/>
    <w:rsid w:val="00350ECD"/>
    <w:rsid w:val="003516D9"/>
    <w:rsid w:val="00353633"/>
    <w:rsid w:val="0035667C"/>
    <w:rsid w:val="0036047D"/>
    <w:rsid w:val="00362C95"/>
    <w:rsid w:val="003660ED"/>
    <w:rsid w:val="0039176A"/>
    <w:rsid w:val="003956D7"/>
    <w:rsid w:val="00396930"/>
    <w:rsid w:val="003A19F0"/>
    <w:rsid w:val="003A1E54"/>
    <w:rsid w:val="003B0550"/>
    <w:rsid w:val="003B125E"/>
    <w:rsid w:val="003B4F61"/>
    <w:rsid w:val="003B694F"/>
    <w:rsid w:val="003D3879"/>
    <w:rsid w:val="003E0E63"/>
    <w:rsid w:val="003E1EA7"/>
    <w:rsid w:val="003E4F0D"/>
    <w:rsid w:val="003F171C"/>
    <w:rsid w:val="004000BC"/>
    <w:rsid w:val="00401A69"/>
    <w:rsid w:val="00412FC5"/>
    <w:rsid w:val="00416B33"/>
    <w:rsid w:val="004177AB"/>
    <w:rsid w:val="00422276"/>
    <w:rsid w:val="004242F1"/>
    <w:rsid w:val="00434D00"/>
    <w:rsid w:val="00434D4B"/>
    <w:rsid w:val="004420C1"/>
    <w:rsid w:val="00445A00"/>
    <w:rsid w:val="00451B0F"/>
    <w:rsid w:val="004533C0"/>
    <w:rsid w:val="0045689C"/>
    <w:rsid w:val="00456D10"/>
    <w:rsid w:val="00464FBB"/>
    <w:rsid w:val="00465AA6"/>
    <w:rsid w:val="00481342"/>
    <w:rsid w:val="00481AF7"/>
    <w:rsid w:val="00483E90"/>
    <w:rsid w:val="00484BBC"/>
    <w:rsid w:val="004A28D2"/>
    <w:rsid w:val="004A389F"/>
    <w:rsid w:val="004C2EE3"/>
    <w:rsid w:val="004C4205"/>
    <w:rsid w:val="004D275A"/>
    <w:rsid w:val="004E0700"/>
    <w:rsid w:val="004E4A22"/>
    <w:rsid w:val="004F62CC"/>
    <w:rsid w:val="00500948"/>
    <w:rsid w:val="005027CC"/>
    <w:rsid w:val="005053D5"/>
    <w:rsid w:val="00510A64"/>
    <w:rsid w:val="00511968"/>
    <w:rsid w:val="00515207"/>
    <w:rsid w:val="00516400"/>
    <w:rsid w:val="00517E26"/>
    <w:rsid w:val="005337B0"/>
    <w:rsid w:val="00536DBA"/>
    <w:rsid w:val="00540726"/>
    <w:rsid w:val="005444A6"/>
    <w:rsid w:val="00546052"/>
    <w:rsid w:val="00552401"/>
    <w:rsid w:val="00553A6A"/>
    <w:rsid w:val="0055614C"/>
    <w:rsid w:val="005709AA"/>
    <w:rsid w:val="00577053"/>
    <w:rsid w:val="005A4152"/>
    <w:rsid w:val="005C1449"/>
    <w:rsid w:val="005C1490"/>
    <w:rsid w:val="005C4A2E"/>
    <w:rsid w:val="005D4A39"/>
    <w:rsid w:val="005E14C2"/>
    <w:rsid w:val="00603599"/>
    <w:rsid w:val="006059F2"/>
    <w:rsid w:val="00607BA5"/>
    <w:rsid w:val="0061180A"/>
    <w:rsid w:val="0061720E"/>
    <w:rsid w:val="00617992"/>
    <w:rsid w:val="00617BA4"/>
    <w:rsid w:val="0062086F"/>
    <w:rsid w:val="00626EB6"/>
    <w:rsid w:val="0063051C"/>
    <w:rsid w:val="00635A1F"/>
    <w:rsid w:val="0064328B"/>
    <w:rsid w:val="0065510B"/>
    <w:rsid w:val="00655D03"/>
    <w:rsid w:val="0066040E"/>
    <w:rsid w:val="00664AF6"/>
    <w:rsid w:val="006764C6"/>
    <w:rsid w:val="00677CDF"/>
    <w:rsid w:val="00681842"/>
    <w:rsid w:val="00683388"/>
    <w:rsid w:val="00683F84"/>
    <w:rsid w:val="00684263"/>
    <w:rsid w:val="0068695B"/>
    <w:rsid w:val="00690916"/>
    <w:rsid w:val="00694FF3"/>
    <w:rsid w:val="00696D39"/>
    <w:rsid w:val="006976BB"/>
    <w:rsid w:val="006A0370"/>
    <w:rsid w:val="006A5C94"/>
    <w:rsid w:val="006A6A81"/>
    <w:rsid w:val="006A7AD4"/>
    <w:rsid w:val="006B1EB4"/>
    <w:rsid w:val="006C3A3F"/>
    <w:rsid w:val="006C6264"/>
    <w:rsid w:val="006D26B0"/>
    <w:rsid w:val="006F4705"/>
    <w:rsid w:val="006F7393"/>
    <w:rsid w:val="006F73E3"/>
    <w:rsid w:val="0070224F"/>
    <w:rsid w:val="00703F88"/>
    <w:rsid w:val="007078FA"/>
    <w:rsid w:val="007115F7"/>
    <w:rsid w:val="00741B23"/>
    <w:rsid w:val="00745F8C"/>
    <w:rsid w:val="007661C9"/>
    <w:rsid w:val="00771FA4"/>
    <w:rsid w:val="007855B4"/>
    <w:rsid w:val="00785689"/>
    <w:rsid w:val="0079268D"/>
    <w:rsid w:val="00795E19"/>
    <w:rsid w:val="0079754B"/>
    <w:rsid w:val="007A1E6D"/>
    <w:rsid w:val="007B0EB2"/>
    <w:rsid w:val="007B6BE2"/>
    <w:rsid w:val="007B7865"/>
    <w:rsid w:val="007E6FB5"/>
    <w:rsid w:val="00806367"/>
    <w:rsid w:val="00810B6F"/>
    <w:rsid w:val="00813B92"/>
    <w:rsid w:val="008143B3"/>
    <w:rsid w:val="00817A19"/>
    <w:rsid w:val="00821AC8"/>
    <w:rsid w:val="00822C51"/>
    <w:rsid w:val="00822CE0"/>
    <w:rsid w:val="00826D59"/>
    <w:rsid w:val="00826D81"/>
    <w:rsid w:val="00841AB1"/>
    <w:rsid w:val="00844C4E"/>
    <w:rsid w:val="00845C43"/>
    <w:rsid w:val="00853EAC"/>
    <w:rsid w:val="0086416F"/>
    <w:rsid w:val="00872EDE"/>
    <w:rsid w:val="008763ED"/>
    <w:rsid w:val="00881228"/>
    <w:rsid w:val="0089050E"/>
    <w:rsid w:val="008C1EA8"/>
    <w:rsid w:val="008C38C6"/>
    <w:rsid w:val="008C68F1"/>
    <w:rsid w:val="008D1000"/>
    <w:rsid w:val="008D1915"/>
    <w:rsid w:val="008D4EBB"/>
    <w:rsid w:val="008E3B8F"/>
    <w:rsid w:val="008E3F0F"/>
    <w:rsid w:val="008E41C5"/>
    <w:rsid w:val="008F05EC"/>
    <w:rsid w:val="00921803"/>
    <w:rsid w:val="00926503"/>
    <w:rsid w:val="00927537"/>
    <w:rsid w:val="0092777F"/>
    <w:rsid w:val="00930C6B"/>
    <w:rsid w:val="00957FE3"/>
    <w:rsid w:val="00960322"/>
    <w:rsid w:val="0096048F"/>
    <w:rsid w:val="009726D8"/>
    <w:rsid w:val="00987968"/>
    <w:rsid w:val="00994AAD"/>
    <w:rsid w:val="00995E84"/>
    <w:rsid w:val="009C2043"/>
    <w:rsid w:val="009C5B36"/>
    <w:rsid w:val="009D0420"/>
    <w:rsid w:val="009E31AD"/>
    <w:rsid w:val="009E42A6"/>
    <w:rsid w:val="009E68CE"/>
    <w:rsid w:val="009F76DB"/>
    <w:rsid w:val="00A10927"/>
    <w:rsid w:val="00A13ED9"/>
    <w:rsid w:val="00A23854"/>
    <w:rsid w:val="00A24051"/>
    <w:rsid w:val="00A247BF"/>
    <w:rsid w:val="00A30C2C"/>
    <w:rsid w:val="00A32C3B"/>
    <w:rsid w:val="00A45212"/>
    <w:rsid w:val="00A45F4F"/>
    <w:rsid w:val="00A46065"/>
    <w:rsid w:val="00A50C0E"/>
    <w:rsid w:val="00A53254"/>
    <w:rsid w:val="00A600A9"/>
    <w:rsid w:val="00A60C07"/>
    <w:rsid w:val="00A712D0"/>
    <w:rsid w:val="00A713A2"/>
    <w:rsid w:val="00A71980"/>
    <w:rsid w:val="00A85561"/>
    <w:rsid w:val="00A938E5"/>
    <w:rsid w:val="00AA3DFD"/>
    <w:rsid w:val="00AA55B7"/>
    <w:rsid w:val="00AA5B9E"/>
    <w:rsid w:val="00AB2407"/>
    <w:rsid w:val="00AB53DF"/>
    <w:rsid w:val="00AC16A2"/>
    <w:rsid w:val="00AC6A8E"/>
    <w:rsid w:val="00AD0AEC"/>
    <w:rsid w:val="00AD1BAE"/>
    <w:rsid w:val="00AD2A9B"/>
    <w:rsid w:val="00AD6DFD"/>
    <w:rsid w:val="00AE4553"/>
    <w:rsid w:val="00AE463D"/>
    <w:rsid w:val="00B07E5C"/>
    <w:rsid w:val="00B13266"/>
    <w:rsid w:val="00B24424"/>
    <w:rsid w:val="00B26486"/>
    <w:rsid w:val="00B35564"/>
    <w:rsid w:val="00B3613B"/>
    <w:rsid w:val="00B44119"/>
    <w:rsid w:val="00B551CB"/>
    <w:rsid w:val="00B62BC5"/>
    <w:rsid w:val="00B7084C"/>
    <w:rsid w:val="00B76566"/>
    <w:rsid w:val="00B807EE"/>
    <w:rsid w:val="00B811F7"/>
    <w:rsid w:val="00B95D9C"/>
    <w:rsid w:val="00BA5DC6"/>
    <w:rsid w:val="00BA6196"/>
    <w:rsid w:val="00BB7895"/>
    <w:rsid w:val="00BB7CC7"/>
    <w:rsid w:val="00BC6D8C"/>
    <w:rsid w:val="00BD311C"/>
    <w:rsid w:val="00C059B5"/>
    <w:rsid w:val="00C12579"/>
    <w:rsid w:val="00C13937"/>
    <w:rsid w:val="00C1425E"/>
    <w:rsid w:val="00C243FB"/>
    <w:rsid w:val="00C34006"/>
    <w:rsid w:val="00C426B1"/>
    <w:rsid w:val="00C43525"/>
    <w:rsid w:val="00C54D3D"/>
    <w:rsid w:val="00C6577D"/>
    <w:rsid w:val="00C66160"/>
    <w:rsid w:val="00C67185"/>
    <w:rsid w:val="00C721AC"/>
    <w:rsid w:val="00C809FF"/>
    <w:rsid w:val="00C84B02"/>
    <w:rsid w:val="00C87140"/>
    <w:rsid w:val="00C87B1E"/>
    <w:rsid w:val="00C90D6A"/>
    <w:rsid w:val="00C938FC"/>
    <w:rsid w:val="00C9489D"/>
    <w:rsid w:val="00C96F3A"/>
    <w:rsid w:val="00CA18FC"/>
    <w:rsid w:val="00CA247E"/>
    <w:rsid w:val="00CB1BFE"/>
    <w:rsid w:val="00CB5145"/>
    <w:rsid w:val="00CC72B6"/>
    <w:rsid w:val="00CC7920"/>
    <w:rsid w:val="00CD1E0A"/>
    <w:rsid w:val="00CE21EB"/>
    <w:rsid w:val="00CE7525"/>
    <w:rsid w:val="00CF60BF"/>
    <w:rsid w:val="00D0218D"/>
    <w:rsid w:val="00D0415F"/>
    <w:rsid w:val="00D23CD8"/>
    <w:rsid w:val="00D24900"/>
    <w:rsid w:val="00D25E0E"/>
    <w:rsid w:val="00D25FB5"/>
    <w:rsid w:val="00D401A4"/>
    <w:rsid w:val="00D44223"/>
    <w:rsid w:val="00D44F3E"/>
    <w:rsid w:val="00D46F87"/>
    <w:rsid w:val="00D55FBC"/>
    <w:rsid w:val="00D60AB9"/>
    <w:rsid w:val="00D62DE0"/>
    <w:rsid w:val="00D731D7"/>
    <w:rsid w:val="00D77089"/>
    <w:rsid w:val="00D77C70"/>
    <w:rsid w:val="00DA2529"/>
    <w:rsid w:val="00DB130A"/>
    <w:rsid w:val="00DB2EBB"/>
    <w:rsid w:val="00DC10A1"/>
    <w:rsid w:val="00DC655F"/>
    <w:rsid w:val="00DD0B59"/>
    <w:rsid w:val="00DD11E9"/>
    <w:rsid w:val="00DD7EBD"/>
    <w:rsid w:val="00DE3E41"/>
    <w:rsid w:val="00DE5220"/>
    <w:rsid w:val="00DF03E4"/>
    <w:rsid w:val="00DF62B6"/>
    <w:rsid w:val="00DF6407"/>
    <w:rsid w:val="00DF653E"/>
    <w:rsid w:val="00DF680E"/>
    <w:rsid w:val="00E01552"/>
    <w:rsid w:val="00E02168"/>
    <w:rsid w:val="00E06362"/>
    <w:rsid w:val="00E07225"/>
    <w:rsid w:val="00E3126C"/>
    <w:rsid w:val="00E438D0"/>
    <w:rsid w:val="00E45BB8"/>
    <w:rsid w:val="00E5409F"/>
    <w:rsid w:val="00E56900"/>
    <w:rsid w:val="00E649BD"/>
    <w:rsid w:val="00E667E0"/>
    <w:rsid w:val="00E67EB2"/>
    <w:rsid w:val="00E75F54"/>
    <w:rsid w:val="00E76D7A"/>
    <w:rsid w:val="00E80DAA"/>
    <w:rsid w:val="00E93FE4"/>
    <w:rsid w:val="00E95CDD"/>
    <w:rsid w:val="00E964D0"/>
    <w:rsid w:val="00EA37EC"/>
    <w:rsid w:val="00EA700D"/>
    <w:rsid w:val="00EB1025"/>
    <w:rsid w:val="00EB1E04"/>
    <w:rsid w:val="00EB2407"/>
    <w:rsid w:val="00EB2441"/>
    <w:rsid w:val="00EB66FA"/>
    <w:rsid w:val="00EC1BD9"/>
    <w:rsid w:val="00ED2A4C"/>
    <w:rsid w:val="00ED4640"/>
    <w:rsid w:val="00ED4E3F"/>
    <w:rsid w:val="00EE6488"/>
    <w:rsid w:val="00EF370C"/>
    <w:rsid w:val="00F00401"/>
    <w:rsid w:val="00F01705"/>
    <w:rsid w:val="00F021FA"/>
    <w:rsid w:val="00F12EEC"/>
    <w:rsid w:val="00F1388F"/>
    <w:rsid w:val="00F2217E"/>
    <w:rsid w:val="00F51900"/>
    <w:rsid w:val="00F55031"/>
    <w:rsid w:val="00F55FFB"/>
    <w:rsid w:val="00F62C27"/>
    <w:rsid w:val="00F62E97"/>
    <w:rsid w:val="00F64209"/>
    <w:rsid w:val="00F74D68"/>
    <w:rsid w:val="00F77732"/>
    <w:rsid w:val="00F80D71"/>
    <w:rsid w:val="00F8436B"/>
    <w:rsid w:val="00F93BF5"/>
    <w:rsid w:val="00FA451D"/>
    <w:rsid w:val="00FB1C81"/>
    <w:rsid w:val="00FB22CE"/>
    <w:rsid w:val="00FF1F20"/>
    <w:rsid w:val="2F3FB1A5"/>
    <w:rsid w:val="6081D8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991303"/>
  <w15:chartTrackingRefBased/>
  <w15:docId w15:val="{E412582A-93E7-4E1F-B37D-A6E6DC0D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link w:val="FootnoteTextChar"/>
    <w:uiPriority w:val="99"/>
    <w:rsid w:val="000E3D42"/>
    <w:pPr>
      <w:spacing w:after="120"/>
    </w:pPr>
  </w:style>
  <w:style w:type="character" w:styleId="FootnoteReference">
    <w:name w:val="footnote reference"/>
    <w:uiPriority w:val="99"/>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rsid w:val="002D6E30"/>
    <w:pPr>
      <w:tabs>
        <w:tab w:val="center" w:pos="4680"/>
        <w:tab w:val="right" w:pos="9360"/>
      </w:tabs>
      <w:jc w:val="right"/>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paragraph" w:styleId="ListParagraph">
    <w:name w:val="List Paragraph"/>
    <w:basedOn w:val="Normal"/>
    <w:uiPriority w:val="34"/>
    <w:qFormat/>
    <w:rsid w:val="00401A69"/>
    <w:pPr>
      <w:ind w:left="720"/>
      <w:contextualSpacing/>
    </w:pPr>
  </w:style>
  <w:style w:type="character" w:customStyle="1" w:styleId="FootnoteTextChar">
    <w:name w:val="Footnote Text Char"/>
    <w:basedOn w:val="DefaultParagraphFont"/>
    <w:link w:val="FootnoteText"/>
    <w:uiPriority w:val="99"/>
    <w:locked/>
    <w:rsid w:val="00484BBC"/>
  </w:style>
  <w:style w:type="paragraph" w:styleId="NormalWeb">
    <w:name w:val="Normal (Web)"/>
    <w:basedOn w:val="Normal"/>
    <w:rsid w:val="00BB7CC7"/>
    <w:rPr>
      <w:sz w:val="24"/>
      <w:szCs w:val="24"/>
    </w:rPr>
  </w:style>
  <w:style w:type="character" w:styleId="Emphasis">
    <w:name w:val="Emphasis"/>
    <w:basedOn w:val="DefaultParagraphFont"/>
    <w:qFormat/>
    <w:rsid w:val="00BB7CC7"/>
    <w:rPr>
      <w:i/>
      <w:iCs/>
    </w:rPr>
  </w:style>
  <w:style w:type="paragraph" w:styleId="Revision">
    <w:name w:val="Revision"/>
    <w:hidden/>
    <w:uiPriority w:val="99"/>
    <w:semiHidden/>
    <w:rsid w:val="00BD311C"/>
    <w:rPr>
      <w:snapToGrid w:val="0"/>
      <w:kern w:val="28"/>
      <w:sz w:val="22"/>
    </w:rPr>
  </w:style>
  <w:style w:type="character" w:styleId="CommentReference">
    <w:name w:val="annotation reference"/>
    <w:basedOn w:val="DefaultParagraphFont"/>
    <w:rsid w:val="009E68CE"/>
    <w:rPr>
      <w:sz w:val="16"/>
      <w:szCs w:val="16"/>
    </w:rPr>
  </w:style>
  <w:style w:type="paragraph" w:styleId="CommentText">
    <w:name w:val="annotation text"/>
    <w:basedOn w:val="Normal"/>
    <w:link w:val="CommentTextChar"/>
    <w:rsid w:val="009E68CE"/>
    <w:rPr>
      <w:sz w:val="20"/>
    </w:rPr>
  </w:style>
  <w:style w:type="character" w:customStyle="1" w:styleId="CommentTextChar">
    <w:name w:val="Comment Text Char"/>
    <w:basedOn w:val="DefaultParagraphFont"/>
    <w:link w:val="CommentText"/>
    <w:rsid w:val="009E68CE"/>
    <w:rPr>
      <w:snapToGrid w:val="0"/>
      <w:kern w:val="28"/>
    </w:rPr>
  </w:style>
  <w:style w:type="paragraph" w:styleId="CommentSubject">
    <w:name w:val="annotation subject"/>
    <w:basedOn w:val="CommentText"/>
    <w:next w:val="CommentText"/>
    <w:link w:val="CommentSubjectChar"/>
    <w:rsid w:val="009E68CE"/>
    <w:rPr>
      <w:b/>
      <w:bCs/>
    </w:rPr>
  </w:style>
  <w:style w:type="character" w:customStyle="1" w:styleId="CommentSubjectChar">
    <w:name w:val="Comment Subject Char"/>
    <w:basedOn w:val="CommentTextChar"/>
    <w:link w:val="CommentSubject"/>
    <w:rsid w:val="009E68CE"/>
    <w:rPr>
      <w:b/>
      <w:bCs/>
      <w:snapToGrid w:val="0"/>
      <w:kern w:val="28"/>
    </w:rPr>
  </w:style>
  <w:style w:type="character" w:styleId="UnresolvedMention">
    <w:name w:val="Unresolved Mention"/>
    <w:basedOn w:val="DefaultParagraphFont"/>
    <w:uiPriority w:val="99"/>
    <w:semiHidden/>
    <w:unhideWhenUsed/>
    <w:rsid w:val="00694FF3"/>
    <w:rPr>
      <w:color w:val="605E5C"/>
      <w:shd w:val="clear" w:color="auto" w:fill="E1DFDD"/>
    </w:rPr>
  </w:style>
  <w:style w:type="character" w:styleId="FollowedHyperlink">
    <w:name w:val="FollowedHyperlink"/>
    <w:basedOn w:val="DefaultParagraphFont"/>
    <w:rsid w:val="002876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appsint.fcc.gov/UlsApp/AsrSearch/asrRegistration.jsp?regKey=611540" TargetMode="External" /><Relationship Id="rId2" Type="http://schemas.openxmlformats.org/officeDocument/2006/relationships/hyperlink" Target="https://appsint.fcc.gov/UlsApp/AsrSearch/asrRegistration.jsp?regKey=611541" TargetMode="External" /><Relationship Id="rId3" Type="http://schemas.openxmlformats.org/officeDocument/2006/relationships/hyperlink" Target="https://appsint.fcc.gov/UlsApp/AsrSearch/asrRegistration.jsp?regKey=611542" TargetMode="External" /><Relationship Id="rId4" Type="http://schemas.openxmlformats.org/officeDocument/2006/relationships/hyperlink" Target="https://appsint.fcc.gov/UlsApp/AsrSearch/asrRegistration.jsp?regKey=61154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