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13A8B" w:rsidRPr="00B20363" w:rsidP="00013A8B" w14:paraId="76B6C426" w14:textId="1C45B40F">
      <w:pPr>
        <w:jc w:val="right"/>
        <w:rPr>
          <w:b/>
          <w:sz w:val="24"/>
        </w:rPr>
      </w:pPr>
      <w:r>
        <w:rPr>
          <w:b/>
          <w:sz w:val="24"/>
        </w:rPr>
        <w:t>DA 2</w:t>
      </w:r>
      <w:r w:rsidR="000E150F">
        <w:rPr>
          <w:b/>
          <w:sz w:val="24"/>
        </w:rPr>
        <w:t>6</w:t>
      </w:r>
      <w:r>
        <w:rPr>
          <w:b/>
          <w:sz w:val="24"/>
        </w:rPr>
        <w:t>-</w:t>
      </w:r>
      <w:r w:rsidR="00034F21">
        <w:rPr>
          <w:b/>
          <w:sz w:val="24"/>
        </w:rPr>
        <w:t>291</w:t>
      </w:r>
    </w:p>
    <w:p w:rsidR="00013A8B" w:rsidRPr="00B20363" w:rsidP="00013A8B" w14:paraId="5C8FDBF7" w14:textId="0A55538C">
      <w:pPr>
        <w:spacing w:before="60"/>
        <w:jc w:val="right"/>
        <w:rPr>
          <w:b/>
          <w:sz w:val="24"/>
        </w:rPr>
      </w:pPr>
      <w:r>
        <w:rPr>
          <w:b/>
          <w:sz w:val="24"/>
        </w:rPr>
        <w:t>Released</w:t>
      </w:r>
      <w:r>
        <w:rPr>
          <w:b/>
          <w:sz w:val="24"/>
        </w:rPr>
        <w:t xml:space="preserve">:  </w:t>
      </w:r>
      <w:r w:rsidR="00721407">
        <w:rPr>
          <w:b/>
          <w:sz w:val="24"/>
        </w:rPr>
        <w:t>March</w:t>
      </w:r>
      <w:r w:rsidR="00721407">
        <w:rPr>
          <w:b/>
          <w:sz w:val="24"/>
        </w:rPr>
        <w:t xml:space="preserve"> </w:t>
      </w:r>
      <w:r w:rsidR="007D451F">
        <w:rPr>
          <w:b/>
          <w:sz w:val="24"/>
        </w:rPr>
        <w:t>25</w:t>
      </w:r>
      <w:r w:rsidR="00721407">
        <w:rPr>
          <w:b/>
          <w:sz w:val="24"/>
        </w:rPr>
        <w:t>, 202</w:t>
      </w:r>
      <w:r w:rsidR="000E150F">
        <w:rPr>
          <w:b/>
          <w:sz w:val="24"/>
        </w:rPr>
        <w:t>6</w:t>
      </w:r>
    </w:p>
    <w:p w:rsidR="00013A8B" w:rsidP="00013A8B" w14:paraId="15F67DCE" w14:textId="77777777">
      <w:pPr>
        <w:jc w:val="right"/>
        <w:rPr>
          <w:sz w:val="24"/>
        </w:rPr>
      </w:pPr>
    </w:p>
    <w:p w:rsidR="00013A8B" w:rsidRPr="00B20363" w:rsidP="00013A8B" w14:paraId="2C4510F8" w14:textId="44ADB452">
      <w:pPr>
        <w:spacing w:after="240"/>
        <w:jc w:val="center"/>
        <w:rPr>
          <w:rFonts w:ascii="Times New Roman Bold" w:hAnsi="Times New Roman Bold"/>
          <w:b/>
          <w:caps/>
          <w:sz w:val="24"/>
        </w:rPr>
      </w:pPr>
      <w:r w:rsidRPr="00B84D45">
        <w:rPr>
          <w:b/>
          <w:sz w:val="24"/>
          <w:szCs w:val="24"/>
        </w:rPr>
        <w:t xml:space="preserve">WIRELINE COMPETITION BUREAU ANNOUNCES E-RATE AND RHC PROGRAMS’ INFLATION-BASED CAPS FOR FUNDING YEAR </w:t>
      </w:r>
      <w:r>
        <w:rPr>
          <w:b/>
          <w:sz w:val="24"/>
          <w:szCs w:val="24"/>
        </w:rPr>
        <w:t>202</w:t>
      </w:r>
      <w:r w:rsidR="00C013C6">
        <w:rPr>
          <w:b/>
          <w:sz w:val="24"/>
          <w:szCs w:val="24"/>
        </w:rPr>
        <w:t>6</w:t>
      </w:r>
    </w:p>
    <w:p w:rsidR="00721407" w:rsidP="00721407" w14:paraId="70A8B85B" w14:textId="77777777">
      <w:pPr>
        <w:jc w:val="center"/>
        <w:rPr>
          <w:b/>
          <w:sz w:val="24"/>
        </w:rPr>
      </w:pPr>
      <w:bookmarkStart w:id="0" w:name="TOChere"/>
      <w:r>
        <w:rPr>
          <w:b/>
          <w:sz w:val="24"/>
        </w:rPr>
        <w:t>CC Docket No. 02-6</w:t>
      </w:r>
    </w:p>
    <w:p w:rsidR="00721407" w:rsidP="00721407" w14:paraId="13B57917" w14:textId="77777777">
      <w:pPr>
        <w:jc w:val="center"/>
        <w:rPr>
          <w:b/>
          <w:sz w:val="24"/>
        </w:rPr>
      </w:pPr>
      <w:r>
        <w:rPr>
          <w:b/>
          <w:sz w:val="24"/>
        </w:rPr>
        <w:t>WC Docket No. 02-60</w:t>
      </w:r>
    </w:p>
    <w:p w:rsidR="00721407" w:rsidP="00721407" w14:paraId="33F32EEA" w14:textId="77777777">
      <w:pPr>
        <w:jc w:val="center"/>
        <w:rPr>
          <w:b/>
          <w:sz w:val="24"/>
        </w:rPr>
      </w:pPr>
    </w:p>
    <w:p w:rsidR="00721407" w:rsidRPr="00317718" w:rsidP="00721407" w14:paraId="135B8C65" w14:textId="42A1FDA2">
      <w:pPr>
        <w:spacing w:after="120"/>
        <w:ind w:firstLine="720"/>
        <w:rPr>
          <w:szCs w:val="22"/>
        </w:rPr>
      </w:pPr>
      <w:r w:rsidRPr="00317718">
        <w:rPr>
          <w:szCs w:val="22"/>
        </w:rPr>
        <w:t>Pursuant to sections 54.507(a)(3) and 54.619(a)(3) of the Commission’s rules,</w:t>
      </w:r>
      <w:r>
        <w:rPr>
          <w:rStyle w:val="FootnoteReference"/>
          <w:szCs w:val="22"/>
        </w:rPr>
        <w:footnoteReference w:id="3"/>
      </w:r>
      <w:r w:rsidRPr="00317718">
        <w:rPr>
          <w:szCs w:val="22"/>
        </w:rPr>
        <w:t xml:space="preserve"> the Wireline Competition Bureau (Bureau) announces the E-Rate and Rural Health Care (RHC) programs’ annual caps for funding year </w:t>
      </w:r>
      <w:r>
        <w:rPr>
          <w:szCs w:val="22"/>
        </w:rPr>
        <w:t>202</w:t>
      </w:r>
      <w:r w:rsidR="00C013C6">
        <w:rPr>
          <w:szCs w:val="22"/>
        </w:rPr>
        <w:t>6</w:t>
      </w:r>
      <w:r w:rsidRPr="00317718">
        <w:rPr>
          <w:szCs w:val="22"/>
        </w:rPr>
        <w:t>.</w:t>
      </w:r>
      <w:r>
        <w:rPr>
          <w:rStyle w:val="FootnoteReference"/>
          <w:szCs w:val="22"/>
        </w:rPr>
        <w:footnoteReference w:id="4"/>
      </w:r>
      <w:r w:rsidRPr="00317718">
        <w:rPr>
          <w:szCs w:val="22"/>
        </w:rPr>
        <w:t xml:space="preserve">  The adjusted amounts represent a </w:t>
      </w:r>
      <w:r>
        <w:rPr>
          <w:szCs w:val="22"/>
        </w:rPr>
        <w:t>2.</w:t>
      </w:r>
      <w:r w:rsidR="00C013C6">
        <w:rPr>
          <w:szCs w:val="22"/>
        </w:rPr>
        <w:t>8</w:t>
      </w:r>
      <w:r w:rsidRPr="00317718">
        <w:rPr>
          <w:szCs w:val="22"/>
        </w:rPr>
        <w:t>% inflation-adjusted increase to both programs’ funding year 202</w:t>
      </w:r>
      <w:r w:rsidR="005C4A80">
        <w:rPr>
          <w:szCs w:val="22"/>
        </w:rPr>
        <w:t>5</w:t>
      </w:r>
      <w:r w:rsidRPr="00317718">
        <w:rPr>
          <w:szCs w:val="22"/>
        </w:rPr>
        <w:t xml:space="preserve"> annual caps.</w:t>
      </w:r>
      <w:r>
        <w:rPr>
          <w:rStyle w:val="FootnoteReference"/>
          <w:szCs w:val="22"/>
        </w:rPr>
        <w:footnoteReference w:id="5"/>
      </w:r>
    </w:p>
    <w:p w:rsidR="00721407" w:rsidRPr="00317718" w:rsidP="00721407" w14:paraId="3A25B9CF" w14:textId="20C7C512">
      <w:pPr>
        <w:keepNext/>
        <w:widowControl/>
        <w:spacing w:after="120"/>
        <w:ind w:firstLine="720"/>
        <w:rPr>
          <w:szCs w:val="22"/>
        </w:rPr>
      </w:pPr>
      <w:r w:rsidRPr="00317718">
        <w:rPr>
          <w:szCs w:val="22"/>
          <w:u w:val="single"/>
        </w:rPr>
        <w:t>E-Rate Program</w:t>
      </w:r>
      <w:r w:rsidRPr="00317718">
        <w:rPr>
          <w:szCs w:val="22"/>
        </w:rPr>
        <w:t xml:space="preserve">:  The E-Rate program funding cap for funding year </w:t>
      </w:r>
      <w:r>
        <w:rPr>
          <w:szCs w:val="22"/>
        </w:rPr>
        <w:t>202</w:t>
      </w:r>
      <w:r w:rsidR="00C013C6">
        <w:rPr>
          <w:szCs w:val="22"/>
        </w:rPr>
        <w:t>6</w:t>
      </w:r>
      <w:r w:rsidRPr="00317718">
        <w:rPr>
          <w:szCs w:val="22"/>
        </w:rPr>
        <w:t xml:space="preserve"> is </w:t>
      </w:r>
      <w:r w:rsidRPr="00C013C6" w:rsidR="00C013C6">
        <w:rPr>
          <w:szCs w:val="22"/>
        </w:rPr>
        <w:t>$5,200,279,829</w:t>
      </w:r>
      <w:r w:rsidRPr="00317718">
        <w:rPr>
          <w:szCs w:val="22"/>
        </w:rPr>
        <w:t>.</w:t>
      </w:r>
      <w:r>
        <w:rPr>
          <w:szCs w:val="22"/>
          <w:vertAlign w:val="superscript"/>
        </w:rPr>
        <w:footnoteReference w:id="6"/>
      </w:r>
      <w:r w:rsidRPr="00317718">
        <w:rPr>
          <w:szCs w:val="22"/>
        </w:rPr>
        <w:t xml:space="preserve">  This amount represents a </w:t>
      </w:r>
      <w:r>
        <w:rPr>
          <w:szCs w:val="22"/>
        </w:rPr>
        <w:t>2.</w:t>
      </w:r>
      <w:r w:rsidR="00C013C6">
        <w:rPr>
          <w:szCs w:val="22"/>
        </w:rPr>
        <w:t>8</w:t>
      </w:r>
      <w:r w:rsidRPr="00317718">
        <w:rPr>
          <w:szCs w:val="22"/>
        </w:rPr>
        <w:t xml:space="preserve">% inflation-adjusted increase to </w:t>
      </w:r>
      <w:r w:rsidR="001A423E">
        <w:rPr>
          <w:szCs w:val="22"/>
        </w:rPr>
        <w:t xml:space="preserve">the 2025 annual cap of </w:t>
      </w:r>
      <w:r w:rsidRPr="005A2656" w:rsidR="005A2656">
        <w:rPr>
          <w:szCs w:val="22"/>
        </w:rPr>
        <w:t>$5,058,637,966</w:t>
      </w:r>
      <w:r w:rsidRPr="00317718">
        <w:rPr>
          <w:szCs w:val="22"/>
        </w:rPr>
        <w:t>.</w:t>
      </w:r>
      <w:r>
        <w:rPr>
          <w:szCs w:val="22"/>
          <w:vertAlign w:val="superscript"/>
        </w:rPr>
        <w:footnoteReference w:id="7"/>
      </w:r>
      <w:r w:rsidRPr="00317718">
        <w:rPr>
          <w:szCs w:val="22"/>
        </w:rPr>
        <w:t xml:space="preserve">  In 2010, the Commission adjust</w:t>
      </w:r>
      <w:r w:rsidR="0080151D">
        <w:rPr>
          <w:szCs w:val="22"/>
        </w:rPr>
        <w:t>ed</w:t>
      </w:r>
      <w:r w:rsidRPr="00317718">
        <w:rPr>
          <w:szCs w:val="22"/>
        </w:rPr>
        <w:t xml:space="preserve"> the E-Rate program’s annual cap based on the rate of inflation using the Gross Domestic Product – Chain-type Price Index (GDP-CPI) to help ensure funding </w:t>
      </w:r>
      <w:r w:rsidR="00813F2B">
        <w:rPr>
          <w:szCs w:val="22"/>
        </w:rPr>
        <w:t>kept</w:t>
      </w:r>
      <w:r w:rsidRPr="00317718" w:rsidR="00813F2B">
        <w:rPr>
          <w:szCs w:val="22"/>
        </w:rPr>
        <w:t xml:space="preserve"> </w:t>
      </w:r>
      <w:r w:rsidRPr="00317718">
        <w:rPr>
          <w:szCs w:val="22"/>
        </w:rPr>
        <w:t>pace with the changing broadband and telecommunications needs of schools and libraries.</w:t>
      </w:r>
      <w:r>
        <w:rPr>
          <w:szCs w:val="22"/>
          <w:vertAlign w:val="superscript"/>
        </w:rPr>
        <w:footnoteReference w:id="8"/>
      </w:r>
    </w:p>
    <w:p w:rsidR="00721407" w:rsidRPr="00317718" w:rsidP="00721407" w14:paraId="5456201A" w14:textId="4E384271">
      <w:pPr>
        <w:spacing w:after="120"/>
        <w:ind w:firstLine="720"/>
        <w:rPr>
          <w:szCs w:val="22"/>
        </w:rPr>
      </w:pPr>
      <w:r w:rsidRPr="00317718">
        <w:rPr>
          <w:szCs w:val="22"/>
          <w:u w:val="single"/>
        </w:rPr>
        <w:t>RHC Program</w:t>
      </w:r>
      <w:r w:rsidRPr="00317718">
        <w:rPr>
          <w:szCs w:val="22"/>
        </w:rPr>
        <w:t xml:space="preserve">:  The RHC program funding cap for funding year </w:t>
      </w:r>
      <w:r>
        <w:rPr>
          <w:szCs w:val="22"/>
        </w:rPr>
        <w:t>202</w:t>
      </w:r>
      <w:r w:rsidR="001E3013">
        <w:rPr>
          <w:szCs w:val="22"/>
        </w:rPr>
        <w:t>6</w:t>
      </w:r>
      <w:r w:rsidRPr="00317718">
        <w:rPr>
          <w:szCs w:val="22"/>
        </w:rPr>
        <w:t xml:space="preserve"> is</w:t>
      </w:r>
      <w:r>
        <w:rPr>
          <w:szCs w:val="22"/>
        </w:rPr>
        <w:t xml:space="preserve"> $</w:t>
      </w:r>
      <w:r w:rsidR="001F1B42">
        <w:rPr>
          <w:szCs w:val="22"/>
        </w:rPr>
        <w:t>744,161,84</w:t>
      </w:r>
      <w:r w:rsidR="00DD684F">
        <w:rPr>
          <w:szCs w:val="22"/>
        </w:rPr>
        <w:t>1</w:t>
      </w:r>
      <w:r w:rsidRPr="00317718">
        <w:rPr>
          <w:szCs w:val="22"/>
        </w:rPr>
        <w:t>.</w:t>
      </w:r>
      <w:r>
        <w:rPr>
          <w:rStyle w:val="FootnoteReference"/>
          <w:szCs w:val="22"/>
        </w:rPr>
        <w:footnoteReference w:id="9"/>
      </w:r>
      <w:r w:rsidRPr="00317718">
        <w:rPr>
          <w:szCs w:val="22"/>
        </w:rPr>
        <w:t xml:space="preserve">  The internal cap for upfront payments and multi-year commitments in the Healthcare Connect Fund program is</w:t>
      </w:r>
      <w:r>
        <w:rPr>
          <w:szCs w:val="22"/>
        </w:rPr>
        <w:t xml:space="preserve"> $</w:t>
      </w:r>
      <w:r w:rsidR="0085622E">
        <w:rPr>
          <w:szCs w:val="22"/>
        </w:rPr>
        <w:t>187,898,742</w:t>
      </w:r>
      <w:r w:rsidRPr="00317718">
        <w:rPr>
          <w:szCs w:val="22"/>
        </w:rPr>
        <w:t>.</w:t>
      </w:r>
      <w:r>
        <w:rPr>
          <w:rStyle w:val="FootnoteReference"/>
          <w:szCs w:val="22"/>
        </w:rPr>
        <w:footnoteReference w:id="10"/>
      </w:r>
      <w:r w:rsidRPr="00317718">
        <w:rPr>
          <w:szCs w:val="22"/>
        </w:rPr>
        <w:t xml:space="preserve">  </w:t>
      </w:r>
      <w:r>
        <w:rPr>
          <w:szCs w:val="22"/>
        </w:rPr>
        <w:t>The internal cap for upfront payments and multi-year commitments will apply only if RHC program demand exceeds available funding.</w:t>
      </w:r>
      <w:r>
        <w:rPr>
          <w:rStyle w:val="FootnoteReference"/>
          <w:szCs w:val="22"/>
        </w:rPr>
        <w:footnoteReference w:id="11"/>
      </w:r>
      <w:r>
        <w:rPr>
          <w:szCs w:val="22"/>
        </w:rPr>
        <w:t xml:space="preserve">  </w:t>
      </w:r>
      <w:r w:rsidRPr="0089141C">
        <w:rPr>
          <w:szCs w:val="22"/>
        </w:rPr>
        <w:t xml:space="preserve">These new funding caps represent a </w:t>
      </w:r>
      <w:r>
        <w:rPr>
          <w:szCs w:val="22"/>
        </w:rPr>
        <w:t>2.</w:t>
      </w:r>
      <w:r w:rsidR="001E3013">
        <w:rPr>
          <w:szCs w:val="22"/>
        </w:rPr>
        <w:t>8</w:t>
      </w:r>
      <w:r w:rsidRPr="0089141C">
        <w:rPr>
          <w:szCs w:val="22"/>
        </w:rPr>
        <w:t>% inflation-adjusted increase to the $</w:t>
      </w:r>
      <w:r w:rsidR="0063122F">
        <w:rPr>
          <w:szCs w:val="22"/>
        </w:rPr>
        <w:t>723,892,841</w:t>
      </w:r>
      <w:r w:rsidRPr="0089141C">
        <w:rPr>
          <w:szCs w:val="22"/>
        </w:rPr>
        <w:t xml:space="preserve"> RHC program funding cap and the $</w:t>
      </w:r>
      <w:r w:rsidR="0063122F">
        <w:rPr>
          <w:szCs w:val="22"/>
        </w:rPr>
        <w:t>182,780,877</w:t>
      </w:r>
      <w:r w:rsidRPr="0089141C">
        <w:rPr>
          <w:szCs w:val="22"/>
        </w:rPr>
        <w:t xml:space="preserve"> internal cap for the Healthcare Connect Fund program’s multi-year commitments and upfront payments from funding year 202</w:t>
      </w:r>
      <w:r w:rsidR="0063122F">
        <w:rPr>
          <w:szCs w:val="22"/>
        </w:rPr>
        <w:t>5</w:t>
      </w:r>
      <w:r w:rsidRPr="0089141C">
        <w:rPr>
          <w:szCs w:val="22"/>
        </w:rPr>
        <w:t>.</w:t>
      </w:r>
      <w:r>
        <w:rPr>
          <w:rStyle w:val="FootnoteReference"/>
          <w:szCs w:val="22"/>
        </w:rPr>
        <w:footnoteReference w:id="12"/>
      </w:r>
      <w:r w:rsidRPr="0089141C">
        <w:rPr>
          <w:szCs w:val="22"/>
        </w:rPr>
        <w:t xml:space="preserve">  </w:t>
      </w:r>
      <w:r w:rsidR="004C0B97">
        <w:rPr>
          <w:szCs w:val="22"/>
        </w:rPr>
        <w:t>In 2018, t</w:t>
      </w:r>
      <w:r w:rsidRPr="0089141C">
        <w:rPr>
          <w:szCs w:val="22"/>
        </w:rPr>
        <w:t>he Commission index</w:t>
      </w:r>
      <w:r w:rsidR="004C0B97">
        <w:rPr>
          <w:szCs w:val="22"/>
        </w:rPr>
        <w:t>ed</w:t>
      </w:r>
      <w:r w:rsidRPr="0089141C">
        <w:rPr>
          <w:szCs w:val="22"/>
        </w:rPr>
        <w:t xml:space="preserve"> the RHC</w:t>
      </w:r>
      <w:r w:rsidRPr="00317718">
        <w:rPr>
          <w:szCs w:val="22"/>
        </w:rPr>
        <w:t xml:space="preserve"> program annual cap to </w:t>
      </w:r>
      <w:r w:rsidR="001C487E">
        <w:rPr>
          <w:szCs w:val="22"/>
        </w:rPr>
        <w:t xml:space="preserve">the rate of </w:t>
      </w:r>
      <w:r w:rsidRPr="00317718">
        <w:rPr>
          <w:szCs w:val="22"/>
        </w:rPr>
        <w:t xml:space="preserve">inflation to ensure RHC program funding </w:t>
      </w:r>
      <w:r w:rsidR="00D95868">
        <w:rPr>
          <w:szCs w:val="22"/>
        </w:rPr>
        <w:t>kept</w:t>
      </w:r>
      <w:r w:rsidRPr="00317718" w:rsidR="00D95868">
        <w:rPr>
          <w:szCs w:val="22"/>
        </w:rPr>
        <w:t xml:space="preserve"> </w:t>
      </w:r>
      <w:r w:rsidRPr="00317718">
        <w:rPr>
          <w:szCs w:val="22"/>
        </w:rPr>
        <w:t>pace with the changing broadband and telecommunications needs of rural health care providers.</w:t>
      </w:r>
      <w:r>
        <w:rPr>
          <w:szCs w:val="22"/>
          <w:vertAlign w:val="superscript"/>
        </w:rPr>
        <w:footnoteReference w:id="13"/>
      </w:r>
      <w:r w:rsidRPr="00317718">
        <w:rPr>
          <w:szCs w:val="22"/>
        </w:rPr>
        <w:t xml:space="preserve">  In 2020, the Commission index</w:t>
      </w:r>
      <w:r w:rsidR="00CA1C0A">
        <w:rPr>
          <w:szCs w:val="22"/>
        </w:rPr>
        <w:t>ed</w:t>
      </w:r>
      <w:r w:rsidRPr="00317718">
        <w:rPr>
          <w:szCs w:val="22"/>
        </w:rPr>
        <w:t xml:space="preserve"> the internal cap on multi-year commitments and upfront payments to </w:t>
      </w:r>
      <w:r w:rsidR="004D5D32">
        <w:rPr>
          <w:szCs w:val="22"/>
        </w:rPr>
        <w:t xml:space="preserve">the rate of </w:t>
      </w:r>
      <w:r w:rsidRPr="00317718">
        <w:rPr>
          <w:szCs w:val="22"/>
        </w:rPr>
        <w:t>inflation to prevent inflation from eroding the purchasing power of health care providers requesting multi-year commitments and upfront payments through the Healthcare Connect Fund Program.</w:t>
      </w:r>
      <w:r>
        <w:rPr>
          <w:rStyle w:val="FootnoteReference"/>
          <w:szCs w:val="22"/>
        </w:rPr>
        <w:footnoteReference w:id="14"/>
      </w:r>
    </w:p>
    <w:p w:rsidR="00721407" w:rsidP="00721407" w14:paraId="071A607D" w14:textId="77777777">
      <w:pPr>
        <w:spacing w:after="120"/>
        <w:ind w:firstLine="720"/>
        <w:rPr>
          <w:szCs w:val="22"/>
        </w:rPr>
      </w:pPr>
      <w:r w:rsidRPr="00317718">
        <w:rPr>
          <w:szCs w:val="22"/>
        </w:rPr>
        <w:t>For further information, please contact James Bachtell, Wireline Competition Bureau at (202) 418-7400.</w:t>
      </w:r>
    </w:p>
    <w:p w:rsidR="00721407" w:rsidRPr="00317718" w:rsidP="00721407" w14:paraId="19F44320" w14:textId="77777777">
      <w:pPr>
        <w:spacing w:after="120"/>
        <w:ind w:firstLine="720"/>
        <w:rPr>
          <w:szCs w:val="22"/>
        </w:rPr>
      </w:pPr>
    </w:p>
    <w:p w:rsidR="00721407" w:rsidRPr="00317718" w:rsidP="00721407" w14:paraId="4ABFE071" w14:textId="77777777">
      <w:pPr>
        <w:spacing w:after="220"/>
        <w:jc w:val="center"/>
        <w:rPr>
          <w:szCs w:val="22"/>
        </w:rPr>
      </w:pPr>
      <w:r w:rsidRPr="00317718">
        <w:rPr>
          <w:b/>
          <w:szCs w:val="22"/>
        </w:rPr>
        <w:t>- FCC -</w:t>
      </w:r>
    </w:p>
    <w:p w:rsidR="00F96F63" w:rsidRPr="00930ECF" w:rsidP="00F96F63" w14:paraId="3E122345" w14:textId="77777777">
      <w:pPr>
        <w:rPr>
          <w:sz w:val="24"/>
        </w:rPr>
      </w:pPr>
    </w:p>
    <w:bookmarkEnd w:id="0"/>
    <w:p w:rsidR="00F96F63" w:rsidP="00F96F63" w14:paraId="58DFEE33" w14:textId="77777777">
      <w:pPr>
        <w:rPr>
          <w:sz w:val="24"/>
        </w:rPr>
      </w:pPr>
    </w:p>
    <w:p w:rsidR="00930ECF" w:rsidRPr="00930ECF" w:rsidP="00F96F63" w14:paraId="21C1F618" w14:textId="77777777">
      <w:pPr>
        <w:rPr>
          <w:sz w:val="24"/>
        </w:rPr>
      </w:pPr>
    </w:p>
    <w:sectPr w:rsidSect="000E5884">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84A3E" w14:paraId="0B2CB717" w14:textId="77777777">
      <w:pPr>
        <w:spacing w:line="20" w:lineRule="exact"/>
      </w:pPr>
    </w:p>
  </w:endnote>
  <w:endnote w:type="continuationSeparator" w:id="1">
    <w:p w:rsidR="00A84A3E" w14:paraId="267742CA" w14:textId="77777777">
      <w:r>
        <w:t xml:space="preserve"> </w:t>
      </w:r>
    </w:p>
  </w:endnote>
  <w:endnote w:type="continuationNotice" w:id="2">
    <w:p w:rsidR="00A84A3E" w14:paraId="5B692BE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54A66D2C"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0FB71A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30D3582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37B3F6C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4A3E" w14:paraId="62B3A2A9" w14:textId="77777777">
      <w:r>
        <w:separator/>
      </w:r>
    </w:p>
  </w:footnote>
  <w:footnote w:type="continuationSeparator" w:id="1">
    <w:p w:rsidR="00A84A3E" w14:paraId="204043B6" w14:textId="77777777">
      <w:pPr>
        <w:rPr>
          <w:sz w:val="20"/>
        </w:rPr>
      </w:pPr>
      <w:r>
        <w:rPr>
          <w:sz w:val="20"/>
        </w:rPr>
        <w:t xml:space="preserve">(Continued from previous page)  </w:t>
      </w:r>
      <w:r>
        <w:rPr>
          <w:sz w:val="20"/>
        </w:rPr>
        <w:separator/>
      </w:r>
    </w:p>
  </w:footnote>
  <w:footnote w:type="continuationNotice" w:id="2">
    <w:p w:rsidR="00A84A3E" w:rsidP="00910F12" w14:paraId="29036376" w14:textId="77777777">
      <w:pPr>
        <w:jc w:val="right"/>
        <w:rPr>
          <w:sz w:val="20"/>
        </w:rPr>
      </w:pPr>
      <w:r>
        <w:rPr>
          <w:sz w:val="20"/>
        </w:rPr>
        <w:t>(</w:t>
      </w:r>
      <w:r>
        <w:rPr>
          <w:sz w:val="20"/>
        </w:rPr>
        <w:t>continued</w:t>
      </w:r>
      <w:r>
        <w:rPr>
          <w:sz w:val="20"/>
        </w:rPr>
        <w:t>….)</w:t>
      </w:r>
    </w:p>
  </w:footnote>
  <w:footnote w:id="3">
    <w:p w:rsidR="00721407" w:rsidRPr="00317718" w:rsidP="00721407" w14:paraId="36BD6190" w14:textId="77777777">
      <w:pPr>
        <w:pStyle w:val="FootnoteText"/>
      </w:pPr>
      <w:r>
        <w:rPr>
          <w:rStyle w:val="FootnoteReference"/>
        </w:rPr>
        <w:footnoteRef/>
      </w:r>
      <w:r>
        <w:t xml:space="preserve"> </w:t>
      </w:r>
      <w:r w:rsidRPr="00317718">
        <w:t>47 CFR §§ 54.507(a)(3), 54.619(a)(3).</w:t>
      </w:r>
    </w:p>
  </w:footnote>
  <w:footnote w:id="4">
    <w:p w:rsidR="00721407" w:rsidRPr="00317718" w:rsidP="00721407" w14:paraId="1A549CD8" w14:textId="2C463643">
      <w:pPr>
        <w:pStyle w:val="FootnoteText"/>
      </w:pPr>
      <w:r w:rsidRPr="00A7483F">
        <w:rPr>
          <w:rStyle w:val="FootnoteReference"/>
          <w:sz w:val="20"/>
        </w:rPr>
        <w:footnoteRef/>
      </w:r>
      <w:r w:rsidRPr="00317718">
        <w:t xml:space="preserve"> </w:t>
      </w:r>
      <w:r w:rsidRPr="00317718">
        <w:rPr>
          <w:spacing w:val="-2"/>
          <w:lang w:val="sv-SE"/>
        </w:rPr>
        <w:t xml:space="preserve">47 CFR </w:t>
      </w:r>
      <w:r w:rsidRPr="00317718">
        <w:t>§§</w:t>
      </w:r>
      <w:r w:rsidRPr="00317718">
        <w:rPr>
          <w:spacing w:val="-2"/>
          <w:lang w:val="sv-SE"/>
        </w:rPr>
        <w:t xml:space="preserve"> </w:t>
      </w:r>
      <w:r w:rsidRPr="00317718">
        <w:t xml:space="preserve">54.507(a)(1)-(2); 54.619(a)(1)-(2) (requiring an adjustment of the E-Rate and RHC programs’ annual caps for funding based on the gross domestic product chain-type price index (GDP-CPI) measure of inflation). </w:t>
      </w:r>
      <w:r>
        <w:t xml:space="preserve"> </w:t>
      </w:r>
      <w:r w:rsidRPr="00317718">
        <w:rPr>
          <w:i/>
        </w:rPr>
        <w:t xml:space="preserve">See also Schools and Libraries Universal Service Support Mechanism; A National Broadband Plan </w:t>
      </w:r>
      <w:r w:rsidRPr="00317718">
        <w:rPr>
          <w:i/>
        </w:rPr>
        <w:t>For</w:t>
      </w:r>
      <w:r w:rsidRPr="00317718">
        <w:rPr>
          <w:i/>
        </w:rPr>
        <w:t xml:space="preserve"> Our Future</w:t>
      </w:r>
      <w:r w:rsidRPr="00317718">
        <w:t xml:space="preserve">, </w:t>
      </w:r>
      <w:r w:rsidRPr="00317718">
        <w:rPr>
          <w:spacing w:val="-2"/>
          <w:lang w:val="sv-SE"/>
        </w:rPr>
        <w:t xml:space="preserve">CC Docket No. 02-6, GN Docket No. 09-51, </w:t>
      </w:r>
      <w:r>
        <w:rPr>
          <w:spacing w:val="-2"/>
          <w:lang w:val="sv-SE"/>
        </w:rPr>
        <w:t xml:space="preserve">Sixth Report and </w:t>
      </w:r>
      <w:r w:rsidRPr="00317718">
        <w:rPr>
          <w:spacing w:val="-2"/>
          <w:lang w:val="sv-SE"/>
        </w:rPr>
        <w:t>Order, 25 FCC Rcd 18762, 18782, para. 39 (2010) (</w:t>
      </w:r>
      <w:r w:rsidRPr="00317718">
        <w:rPr>
          <w:i/>
          <w:spacing w:val="-2"/>
          <w:lang w:val="sv-SE"/>
        </w:rPr>
        <w:t>E-Rate Sixth Report and Order</w:t>
      </w:r>
      <w:r w:rsidRPr="00317718">
        <w:rPr>
          <w:spacing w:val="-2"/>
          <w:lang w:val="sv-SE"/>
        </w:rPr>
        <w:t xml:space="preserve">); </w:t>
      </w:r>
      <w:r w:rsidRPr="00317718">
        <w:rPr>
          <w:i/>
          <w:spacing w:val="-2"/>
          <w:lang w:val="sv-SE"/>
        </w:rPr>
        <w:t>Promoting Telehealth In Rural America</w:t>
      </w:r>
      <w:r w:rsidRPr="00317718">
        <w:rPr>
          <w:spacing w:val="-2"/>
          <w:lang w:val="sv-SE"/>
        </w:rPr>
        <w:t>, WC Docket No. 17-310, Report and Order, 33 FCC Rcd 6574, 6580, para. 13 (2018) (</w:t>
      </w:r>
      <w:bookmarkStart w:id="1" w:name="_Hlk2331285"/>
      <w:r w:rsidRPr="00317718">
        <w:rPr>
          <w:i/>
          <w:spacing w:val="-2"/>
          <w:lang w:val="sv-SE"/>
        </w:rPr>
        <w:t>RHC Program Funding Cap Order</w:t>
      </w:r>
      <w:bookmarkEnd w:id="1"/>
      <w:r w:rsidRPr="00317718">
        <w:rPr>
          <w:spacing w:val="-2"/>
          <w:lang w:val="sv-SE"/>
        </w:rPr>
        <w:t xml:space="preserve">); </w:t>
      </w:r>
      <w:r w:rsidRPr="00317718">
        <w:rPr>
          <w:i/>
          <w:color w:val="000000"/>
        </w:rPr>
        <w:t>Promoting Telehealth in Rural America</w:t>
      </w:r>
      <w:r w:rsidRPr="00317718">
        <w:rPr>
          <w:color w:val="000000"/>
        </w:rPr>
        <w:t>, WC Docket No. 17-310, Report and Order, 34 FCC Rcd 7335, 7400-02, paras. 138-140 (2019) (</w:t>
      </w:r>
      <w:r w:rsidRPr="00317718">
        <w:rPr>
          <w:i/>
          <w:iCs/>
          <w:color w:val="000000"/>
        </w:rPr>
        <w:t xml:space="preserve">2019 </w:t>
      </w:r>
      <w:r w:rsidRPr="00317718">
        <w:rPr>
          <w:i/>
          <w:color w:val="000000"/>
        </w:rPr>
        <w:t>Promoting Telehealth Report and Order</w:t>
      </w:r>
      <w:r w:rsidRPr="00317718">
        <w:rPr>
          <w:color w:val="000000"/>
        </w:rPr>
        <w:t>).</w:t>
      </w:r>
      <w:bookmarkStart w:id="2" w:name="_Hlk126914733"/>
      <w:r w:rsidRPr="00317718">
        <w:t xml:space="preserve"> </w:t>
      </w:r>
      <w:r>
        <w:t xml:space="preserve"> </w:t>
      </w:r>
      <w:r w:rsidRPr="00317718">
        <w:t>We note that the E-Rate program is formally known as the schools and libraries universal service support program.</w:t>
      </w:r>
    </w:p>
    <w:bookmarkEnd w:id="2"/>
  </w:footnote>
  <w:footnote w:id="5">
    <w:p w:rsidR="00721407" w:rsidRPr="00317718" w:rsidP="00721407" w14:paraId="3B11C18B" w14:textId="3C709E5A">
      <w:pPr>
        <w:pStyle w:val="FootnoteText"/>
      </w:pPr>
      <w:r w:rsidRPr="00A7483F">
        <w:rPr>
          <w:rStyle w:val="FootnoteReference"/>
          <w:sz w:val="20"/>
        </w:rPr>
        <w:footnoteRef/>
      </w:r>
      <w:r w:rsidRPr="00317718">
        <w:t xml:space="preserve"> National Income and Product Accounts Table, Bureau of Economic Analysis, revised </w:t>
      </w:r>
      <w:r w:rsidR="00C013C6">
        <w:t>Mar. 13</w:t>
      </w:r>
      <w:r w:rsidRPr="00317718">
        <w:t xml:space="preserve">, </w:t>
      </w:r>
      <w:r>
        <w:t>202</w:t>
      </w:r>
      <w:r w:rsidR="00C013C6">
        <w:t>6</w:t>
      </w:r>
      <w:r w:rsidRPr="00317718">
        <w:t xml:space="preserve">, Table 1.1.4 (GDP-CPI), </w:t>
      </w:r>
      <w:hyperlink r:id="rId1" w:anchor="eyJhcHBpZCI6MTksInN0ZXBzIjpbMSwyLDMsM10sImRhdGEiOltbImNhdGVnb3JpZXMiLCJTdXJ2ZXkiXSxbIk5JUEFfVGFibGVfTGlzdCIsIjQiXSxbIkZpcnN0X1llYXIiLCIyMDI0Il0sWyJMYXN0X1llYXIiLCIyMDI1Il0sWyJTY2FsZSIsIjAiXSxbIlNlcmllcyIsIkEiXV19" w:history="1">
        <w:r w:rsidRPr="00946BD3" w:rsidR="00AB545D">
          <w:rPr>
            <w:rStyle w:val="Hyperlink"/>
          </w:rPr>
          <w:t>https://apps.bea.gov/iTable/?reqid=19&amp;step=2&amp;isuri=1&amp;categories=survey&amp;_gl=1*14yafjt*_ga*NTA2OTA0NDM0LjE3MDg2MjQwMDQ.*_ga_J4698JNNFT*MTcwODYyNDIxNy4xLjEuMTcwODYyNTkyMy41NC4wLjA.#eyJhcHBpZCI6MTksInN0ZXBzIjpbMSwyLDMsM10sImRhdGEiOltbImNhdGVnb3JpZXMiLCJTdXJ2ZXkiXSxbIk5JUEFfVGFibGVfTGlzdCIsIjQiXSxbIkZpcnN0X1llYXIiLCIyMDI0Il0sWyJMYXN0X1llYXIiLCIyMDI1Il0sWyJTY2FsZSIsIjAiXSxbIlNlcmllcyIsIkEiXV19</w:t>
        </w:r>
      </w:hyperlink>
      <w:r w:rsidRPr="00317718">
        <w:t xml:space="preserve">.  </w:t>
      </w:r>
      <w:r w:rsidRPr="00EE5C76">
        <w:t>We calculate an increase of 2.</w:t>
      </w:r>
      <w:r w:rsidR="00C013C6">
        <w:t>8</w:t>
      </w:r>
      <w:r w:rsidRPr="00EE5C76">
        <w:t xml:space="preserve">% in the rate of inflation based on the gross domestic product average across four quarters of </w:t>
      </w:r>
      <w:r w:rsidRPr="00C013C6" w:rsidR="00C013C6">
        <w:t>125.430</w:t>
      </w:r>
      <w:r w:rsidR="00C013C6">
        <w:t xml:space="preserve"> </w:t>
      </w:r>
      <w:r w:rsidRPr="00EE5C76">
        <w:t>in 202</w:t>
      </w:r>
      <w:r w:rsidR="00C013C6">
        <w:t>4</w:t>
      </w:r>
      <w:r w:rsidRPr="00EE5C76">
        <w:t xml:space="preserve"> and </w:t>
      </w:r>
      <w:r w:rsidRPr="00C013C6" w:rsidR="00C013C6">
        <w:t>128.996</w:t>
      </w:r>
      <w:r w:rsidRPr="00EE5C76">
        <w:t xml:space="preserve"> in 202</w:t>
      </w:r>
      <w:r w:rsidR="00C013C6">
        <w:t>5</w:t>
      </w:r>
      <w:r w:rsidRPr="00EE5C76">
        <w:t>.  We note that the 202</w:t>
      </w:r>
      <w:r w:rsidR="00C013C6">
        <w:t>4</w:t>
      </w:r>
      <w:r w:rsidRPr="00EE5C76">
        <w:t xml:space="preserve"> gross domestic product figure was revised </w:t>
      </w:r>
      <w:r w:rsidR="00741263">
        <w:t>up</w:t>
      </w:r>
      <w:r w:rsidRPr="00EE5C76">
        <w:t>ward by the Bureau of Economic Analysis (BEA) since the date the Bureau announced the E-Rate and RHC program annual caps for funding year 202</w:t>
      </w:r>
      <w:r w:rsidR="00C013C6">
        <w:t>5</w:t>
      </w:r>
      <w:r w:rsidRPr="00EE5C76">
        <w:t xml:space="preserve">.  </w:t>
      </w:r>
      <w:r w:rsidRPr="00EE5C76">
        <w:rPr>
          <w:i/>
        </w:rPr>
        <w:t>See, e.g.</w:t>
      </w:r>
      <w:r w:rsidRPr="00EE5C76">
        <w:rPr>
          <w:iCs/>
        </w:rPr>
        <w:t>,</w:t>
      </w:r>
      <w:r w:rsidRPr="00EE5C76">
        <w:rPr>
          <w:i/>
        </w:rPr>
        <w:t xml:space="preserve"> Wireline Competition Bureau Announces E-Rate and RHC Programs’ Inflation-Based Caps for Funding Year 202</w:t>
      </w:r>
      <w:r w:rsidR="00C013C6">
        <w:rPr>
          <w:i/>
        </w:rPr>
        <w:t>5</w:t>
      </w:r>
      <w:r w:rsidRPr="00EE5C76">
        <w:t xml:space="preserve">, CC Docket No. 02-06, WC Docket No. 02-60, Public Notice, </w:t>
      </w:r>
      <w:r w:rsidRPr="00C013C6" w:rsidR="00C013C6">
        <w:t>40 FCC Rcd 1530</w:t>
      </w:r>
      <w:r w:rsidRPr="00EE5C76">
        <w:t xml:space="preserve">, </w:t>
      </w:r>
      <w:r w:rsidR="00A31F1E">
        <w:t xml:space="preserve">1530 </w:t>
      </w:r>
      <w:r w:rsidRPr="00EE5C76">
        <w:t>n.3 (WCB 202</w:t>
      </w:r>
      <w:r w:rsidR="00C013C6">
        <w:t>5</w:t>
      </w:r>
      <w:r w:rsidRPr="00EE5C76">
        <w:t>) (</w:t>
      </w:r>
      <w:r w:rsidRPr="00EE5C76">
        <w:rPr>
          <w:i/>
          <w:iCs/>
        </w:rPr>
        <w:t>FY</w:t>
      </w:r>
      <w:r w:rsidRPr="00EE5C76">
        <w:t xml:space="preserve"> </w:t>
      </w:r>
      <w:r w:rsidRPr="00EE5C76">
        <w:rPr>
          <w:i/>
        </w:rPr>
        <w:t>202</w:t>
      </w:r>
      <w:r w:rsidR="00C013C6">
        <w:rPr>
          <w:i/>
        </w:rPr>
        <w:t>5</w:t>
      </w:r>
      <w:r w:rsidRPr="00EE5C76">
        <w:rPr>
          <w:i/>
        </w:rPr>
        <w:t xml:space="preserve"> Inflation Funding Cap Public Notice</w:t>
      </w:r>
      <w:r w:rsidRPr="00EE5C76">
        <w:t xml:space="preserve">) (using a gross domestic product figure of </w:t>
      </w:r>
      <w:r w:rsidRPr="00C013C6" w:rsidR="00C013C6">
        <w:t>125.234</w:t>
      </w:r>
      <w:r w:rsidR="00C013C6">
        <w:t xml:space="preserve"> </w:t>
      </w:r>
      <w:r w:rsidRPr="00EE5C76">
        <w:t>for 202</w:t>
      </w:r>
      <w:r w:rsidR="00C013C6">
        <w:t>4</w:t>
      </w:r>
      <w:r w:rsidRPr="00EE5C76">
        <w:t xml:space="preserve"> to determine E-Rate and RHC programs’ annual caps for funding year 202</w:t>
      </w:r>
      <w:r w:rsidR="00C013C6">
        <w:t>5</w:t>
      </w:r>
      <w:r w:rsidRPr="00EE5C76">
        <w:t>).</w:t>
      </w:r>
    </w:p>
  </w:footnote>
  <w:footnote w:id="6">
    <w:p w:rsidR="00721407" w:rsidRPr="00317718" w:rsidP="00721407" w14:paraId="333AB861" w14:textId="2AE014B0">
      <w:pPr>
        <w:pStyle w:val="FootnoteText"/>
      </w:pPr>
      <w:r w:rsidRPr="00A7483F">
        <w:rPr>
          <w:rStyle w:val="FootnoteReference"/>
          <w:sz w:val="20"/>
        </w:rPr>
        <w:footnoteRef/>
      </w:r>
      <w:r w:rsidRPr="00317718">
        <w:t xml:space="preserve"> This amount represents </w:t>
      </w:r>
      <w:bookmarkStart w:id="3" w:name="_Hlk2330875"/>
      <w:r w:rsidRPr="00317718">
        <w:t xml:space="preserve">a </w:t>
      </w:r>
      <w:r w:rsidRPr="007435D1" w:rsidR="007435D1">
        <w:t>$141,641,863</w:t>
      </w:r>
      <w:r w:rsidR="007435D1">
        <w:t xml:space="preserve"> </w:t>
      </w:r>
      <w:r w:rsidRPr="00317718">
        <w:t xml:space="preserve">increase for the E-Rate program funding </w:t>
      </w:r>
      <w:r w:rsidRPr="00317718">
        <w:t>cap as a whole, including</w:t>
      </w:r>
      <w:r w:rsidRPr="00317718">
        <w:t xml:space="preserve"> a </w:t>
      </w:r>
      <w:r w:rsidRPr="007435D1" w:rsidR="007435D1">
        <w:t>$105,965,609</w:t>
      </w:r>
      <w:r w:rsidR="007435D1">
        <w:t xml:space="preserve"> </w:t>
      </w:r>
      <w:r w:rsidRPr="00317718">
        <w:t xml:space="preserve">increase for the category one services funding level and a </w:t>
      </w:r>
      <w:r w:rsidRPr="007435D1" w:rsidR="007435D1">
        <w:t>$35,676,254</w:t>
      </w:r>
      <w:r w:rsidR="007435D1">
        <w:t xml:space="preserve"> </w:t>
      </w:r>
      <w:r w:rsidRPr="00317718">
        <w:t xml:space="preserve">increase for the category two services funding level.  </w:t>
      </w:r>
      <w:r w:rsidRPr="00317718">
        <w:rPr>
          <w:i/>
        </w:rPr>
        <w:t xml:space="preserve">See </w:t>
      </w:r>
      <w:r w:rsidRPr="00317718">
        <w:t xml:space="preserve">47 CFR § 54.507(a)(3) (noting that the Bureau will release a public notice “announcing any increase of the annual funding cap including any increase to the $1 billion funding level available for category two services based on the rate of inflation”).  The E-Rate program’s funding year </w:t>
      </w:r>
      <w:r>
        <w:t>202</w:t>
      </w:r>
      <w:r w:rsidR="005A2656">
        <w:t>6</w:t>
      </w:r>
      <w:r w:rsidRPr="00317718">
        <w:t xml:space="preserve"> runs from July 1, </w:t>
      </w:r>
      <w:r>
        <w:t>202</w:t>
      </w:r>
      <w:r w:rsidR="005A2656">
        <w:t>6</w:t>
      </w:r>
      <w:r w:rsidRPr="00317718">
        <w:t xml:space="preserve"> to June 30, </w:t>
      </w:r>
      <w:bookmarkEnd w:id="3"/>
      <w:r>
        <w:t>202</w:t>
      </w:r>
      <w:r w:rsidR="005A2656">
        <w:t>7</w:t>
      </w:r>
      <w:r w:rsidRPr="00317718">
        <w:t xml:space="preserve">.  </w:t>
      </w:r>
    </w:p>
  </w:footnote>
  <w:footnote w:id="7">
    <w:p w:rsidR="00721407" w:rsidRPr="00D17279" w:rsidP="00721407" w14:paraId="6EC034A2" w14:textId="2CE1E535">
      <w:pPr>
        <w:pStyle w:val="FootnoteText"/>
      </w:pPr>
      <w:r w:rsidRPr="00A7483F">
        <w:rPr>
          <w:rStyle w:val="FootnoteReference"/>
          <w:sz w:val="20"/>
        </w:rPr>
        <w:footnoteRef/>
      </w:r>
      <w:r w:rsidRPr="00317718">
        <w:t xml:space="preserve"> </w:t>
      </w:r>
      <w:r w:rsidRPr="00D17279">
        <w:rPr>
          <w:i/>
        </w:rPr>
        <w:t>See</w:t>
      </w:r>
      <w:r w:rsidRPr="00D17279">
        <w:t xml:space="preserve"> </w:t>
      </w:r>
      <w:r w:rsidRPr="00D17279">
        <w:rPr>
          <w:i/>
        </w:rPr>
        <w:t xml:space="preserve">supra </w:t>
      </w:r>
      <w:r w:rsidRPr="00D17279">
        <w:t xml:space="preserve">note 3; </w:t>
      </w:r>
      <w:r w:rsidRPr="00D17279">
        <w:rPr>
          <w:i/>
          <w:iCs/>
        </w:rPr>
        <w:t>FY</w:t>
      </w:r>
      <w:r w:rsidRPr="00D17279">
        <w:t xml:space="preserve"> </w:t>
      </w:r>
      <w:r w:rsidRPr="00D17279">
        <w:rPr>
          <w:i/>
        </w:rPr>
        <w:t>202</w:t>
      </w:r>
      <w:r w:rsidR="005A2656">
        <w:rPr>
          <w:i/>
        </w:rPr>
        <w:t>5</w:t>
      </w:r>
      <w:r w:rsidRPr="00D17279">
        <w:rPr>
          <w:i/>
        </w:rPr>
        <w:t xml:space="preserve"> Inflation Funding Cap Public Notice</w:t>
      </w:r>
      <w:r w:rsidRPr="00D17279">
        <w:t>.</w:t>
      </w:r>
    </w:p>
  </w:footnote>
  <w:footnote w:id="8">
    <w:p w:rsidR="00721407" w:rsidRPr="00D17279" w:rsidP="00721407" w14:paraId="5EB00B0F" w14:textId="77777777">
      <w:pPr>
        <w:pStyle w:val="FootnoteText"/>
      </w:pPr>
      <w:r w:rsidRPr="00D17279">
        <w:rPr>
          <w:rStyle w:val="FootnoteReference"/>
          <w:sz w:val="20"/>
        </w:rPr>
        <w:footnoteRef/>
      </w:r>
      <w:r w:rsidRPr="00D17279">
        <w:t xml:space="preserve"> </w:t>
      </w:r>
      <w:r w:rsidRPr="00D17279">
        <w:rPr>
          <w:i/>
        </w:rPr>
        <w:t>E-Rate Sixth Report and Order</w:t>
      </w:r>
      <w:r w:rsidRPr="00D17279">
        <w:t xml:space="preserve">, 25 FCC Rcd at 18781, para. 36.  The Commission did not increase the funding cap for funding year 2015 pursuant to section 54.507(a)(1) of the Commission’s rules. </w:t>
      </w:r>
      <w:r>
        <w:t xml:space="preserve"> </w:t>
      </w:r>
      <w:r w:rsidRPr="00D17279">
        <w:t>47 CFR § 54.507(a)(1).</w:t>
      </w:r>
    </w:p>
  </w:footnote>
  <w:footnote w:id="9">
    <w:p w:rsidR="00721407" w:rsidRPr="00D17279" w:rsidP="00721407" w14:paraId="22A520FB" w14:textId="2A24DE8E">
      <w:pPr>
        <w:pStyle w:val="FootnoteText"/>
      </w:pPr>
      <w:r w:rsidRPr="00D17279">
        <w:rPr>
          <w:rStyle w:val="FootnoteReference"/>
          <w:sz w:val="20"/>
        </w:rPr>
        <w:footnoteRef/>
      </w:r>
      <w:r w:rsidRPr="00D17279">
        <w:t xml:space="preserve"> This represents a $</w:t>
      </w:r>
      <w:r w:rsidR="003A3515">
        <w:t>20,269,000</w:t>
      </w:r>
      <w:r w:rsidRPr="00D17279">
        <w:t xml:space="preserve"> increase for the RHC program funding cap.  The RHC program’s funding year 202</w:t>
      </w:r>
      <w:r w:rsidR="008C2F5B">
        <w:t>6</w:t>
      </w:r>
      <w:r w:rsidRPr="00D17279">
        <w:t xml:space="preserve"> runs from July 1, </w:t>
      </w:r>
      <w:r w:rsidRPr="00D17279">
        <w:t>202</w:t>
      </w:r>
      <w:r w:rsidR="008C2F5B">
        <w:t>6</w:t>
      </w:r>
      <w:r w:rsidRPr="00D17279">
        <w:t xml:space="preserve"> to June 30, 202</w:t>
      </w:r>
      <w:r w:rsidR="008C2F5B">
        <w:t>7</w:t>
      </w:r>
      <w:r w:rsidRPr="00D17279">
        <w:t>.</w:t>
      </w:r>
    </w:p>
  </w:footnote>
  <w:footnote w:id="10">
    <w:p w:rsidR="00721407" w:rsidRPr="00D17279" w:rsidP="00721407" w14:paraId="33EF118E" w14:textId="3CBBE8D4">
      <w:pPr>
        <w:pStyle w:val="FootnoteText"/>
      </w:pPr>
      <w:r w:rsidRPr="00D17279">
        <w:rPr>
          <w:rStyle w:val="FootnoteReference"/>
          <w:sz w:val="20"/>
        </w:rPr>
        <w:footnoteRef/>
      </w:r>
      <w:r w:rsidRPr="00D17279">
        <w:t xml:space="preserve"> This represents a $</w:t>
      </w:r>
      <w:r w:rsidR="003335CB">
        <w:t>5,117,865</w:t>
      </w:r>
      <w:r w:rsidRPr="00D17279">
        <w:t xml:space="preserve"> increase for the internal cap on multi-year commitments and upfront payments under the Healthcare Connect Fund Program.</w:t>
      </w:r>
    </w:p>
  </w:footnote>
  <w:footnote w:id="11">
    <w:p w:rsidR="00721407" w:rsidRPr="00D17279" w:rsidP="00721407" w14:paraId="75813C4A" w14:textId="77777777">
      <w:pPr>
        <w:pStyle w:val="FootnoteText"/>
      </w:pPr>
      <w:r w:rsidRPr="00D17279">
        <w:rPr>
          <w:rStyle w:val="FootnoteReference"/>
        </w:rPr>
        <w:footnoteRef/>
      </w:r>
      <w:r w:rsidRPr="00D17279">
        <w:t xml:space="preserve"> </w:t>
      </w:r>
      <w:r w:rsidRPr="00D17279">
        <w:rPr>
          <w:i/>
          <w:iCs/>
        </w:rPr>
        <w:t>See</w:t>
      </w:r>
      <w:r w:rsidRPr="00D17279">
        <w:t xml:space="preserve"> 47 CFR § 54.619(a); </w:t>
      </w:r>
      <w:r w:rsidRPr="00D17279">
        <w:rPr>
          <w:i/>
          <w:iCs/>
        </w:rPr>
        <w:t>see also</w:t>
      </w:r>
      <w:r w:rsidRPr="00D17279">
        <w:rPr>
          <w:i/>
        </w:rPr>
        <w:t xml:space="preserve"> </w:t>
      </w:r>
      <w:r w:rsidRPr="00D17279">
        <w:rPr>
          <w:i/>
          <w:iCs/>
        </w:rPr>
        <w:t>Promoting Telehealth in Rural America</w:t>
      </w:r>
      <w:r w:rsidRPr="00D17279">
        <w:t xml:space="preserve">, WC Docket No. 17-310, Order on Reconsideration, Second Report and Order, Order, and Second Further Notice of Proposed Rulemaking, 38 FCC Rcd 827, 852, para. 60 (2023).  </w:t>
      </w:r>
    </w:p>
  </w:footnote>
  <w:footnote w:id="12">
    <w:p w:rsidR="00721407" w:rsidRPr="00317718" w:rsidP="00721407" w14:paraId="79F2DC90" w14:textId="3F227A20">
      <w:pPr>
        <w:pStyle w:val="FootnoteText"/>
      </w:pPr>
      <w:r w:rsidRPr="00D17279">
        <w:rPr>
          <w:rStyle w:val="FootnoteReference"/>
          <w:sz w:val="20"/>
        </w:rPr>
        <w:footnoteRef/>
      </w:r>
      <w:r w:rsidRPr="00D17279">
        <w:t xml:space="preserve"> </w:t>
      </w:r>
      <w:r w:rsidRPr="00D17279">
        <w:rPr>
          <w:i/>
        </w:rPr>
        <w:t>See</w:t>
      </w:r>
      <w:r w:rsidRPr="00D17279">
        <w:t xml:space="preserve"> </w:t>
      </w:r>
      <w:r w:rsidRPr="00D17279">
        <w:rPr>
          <w:i/>
          <w:spacing w:val="-2"/>
          <w:lang w:val="sv-SE"/>
        </w:rPr>
        <w:t>RHC Program Funding Cap Order</w:t>
      </w:r>
      <w:r w:rsidRPr="00D17279">
        <w:rPr>
          <w:spacing w:val="-2"/>
          <w:lang w:val="sv-SE"/>
        </w:rPr>
        <w:t xml:space="preserve">, 33 FCC Rcd at 6584, para. </w:t>
      </w:r>
      <w:r w:rsidRPr="00D17279">
        <w:rPr>
          <w:spacing w:val="-2"/>
          <w:lang w:val="sv-SE"/>
        </w:rPr>
        <w:t xml:space="preserve">23; </w:t>
      </w:r>
      <w:r w:rsidRPr="00D17279">
        <w:rPr>
          <w:i/>
          <w:iCs/>
          <w:spacing w:val="-2"/>
          <w:lang w:val="sv-SE"/>
        </w:rPr>
        <w:t>2019</w:t>
      </w:r>
      <w:r w:rsidRPr="00D17279">
        <w:rPr>
          <w:spacing w:val="-2"/>
          <w:lang w:val="sv-SE"/>
        </w:rPr>
        <w:t xml:space="preserve"> </w:t>
      </w:r>
      <w:r w:rsidRPr="00D17279">
        <w:rPr>
          <w:i/>
        </w:rPr>
        <w:t>Promoting Telehealth Report and Order</w:t>
      </w:r>
      <w:r w:rsidRPr="00D17279">
        <w:t>, 34 FCC Rcd at</w:t>
      </w:r>
      <w:r w:rsidRPr="00D17279">
        <w:rPr>
          <w:color w:val="000000"/>
        </w:rPr>
        <w:t xml:space="preserve"> </w:t>
      </w:r>
      <w:r w:rsidRPr="00D17279">
        <w:t xml:space="preserve">7401, para. 139; </w:t>
      </w:r>
      <w:r w:rsidRPr="00D17279">
        <w:rPr>
          <w:i/>
          <w:iCs/>
        </w:rPr>
        <w:t>FY</w:t>
      </w:r>
      <w:r w:rsidRPr="00D17279">
        <w:t xml:space="preserve"> </w:t>
      </w:r>
      <w:r w:rsidRPr="00D17279">
        <w:rPr>
          <w:i/>
        </w:rPr>
        <w:t>202</w:t>
      </w:r>
      <w:r w:rsidR="00890C09">
        <w:rPr>
          <w:i/>
        </w:rPr>
        <w:t>5</w:t>
      </w:r>
      <w:r w:rsidRPr="00D17279">
        <w:rPr>
          <w:i/>
        </w:rPr>
        <w:t xml:space="preserve"> Inflation Funding Cap Public Notice</w:t>
      </w:r>
      <w:r w:rsidRPr="0023790A">
        <w:rPr>
          <w:iCs/>
        </w:rPr>
        <w:t>.</w:t>
      </w:r>
    </w:p>
  </w:footnote>
  <w:footnote w:id="13">
    <w:p w:rsidR="00721407" w:rsidRPr="00317718" w:rsidP="00721407" w14:paraId="75047FEA" w14:textId="77777777">
      <w:pPr>
        <w:pStyle w:val="FootnoteText"/>
      </w:pPr>
      <w:r w:rsidRPr="00A7483F">
        <w:rPr>
          <w:rStyle w:val="FootnoteReference"/>
          <w:sz w:val="20"/>
        </w:rPr>
        <w:footnoteRef/>
      </w:r>
      <w:r w:rsidRPr="00317718">
        <w:t xml:space="preserve"> </w:t>
      </w:r>
      <w:r w:rsidRPr="00317718">
        <w:rPr>
          <w:spacing w:val="-2"/>
          <w:lang w:val="sv-SE"/>
        </w:rPr>
        <w:t xml:space="preserve">47 CFR </w:t>
      </w:r>
      <w:r w:rsidRPr="00317718">
        <w:t xml:space="preserve">§ 54.619(a)(1)-(2); </w:t>
      </w:r>
      <w:r w:rsidRPr="00317718">
        <w:rPr>
          <w:i/>
          <w:spacing w:val="-2"/>
          <w:lang w:val="sv-SE"/>
        </w:rPr>
        <w:t>RHC Program Funding Cap Order</w:t>
      </w:r>
      <w:r w:rsidRPr="00317718">
        <w:rPr>
          <w:spacing w:val="-2"/>
          <w:lang w:val="sv-SE"/>
        </w:rPr>
        <w:t>, 33 FCC Rcd at 6583, para. 21.</w:t>
      </w:r>
    </w:p>
  </w:footnote>
  <w:footnote w:id="14">
    <w:p w:rsidR="00721407" w:rsidRPr="00317718" w:rsidP="00721407" w14:paraId="48AC1ABC" w14:textId="77777777">
      <w:pPr>
        <w:pStyle w:val="FootnoteText"/>
      </w:pPr>
      <w:r w:rsidRPr="00A7483F">
        <w:rPr>
          <w:rStyle w:val="FootnoteReference"/>
          <w:sz w:val="20"/>
        </w:rPr>
        <w:footnoteRef/>
      </w:r>
      <w:r w:rsidRPr="00317718">
        <w:t xml:space="preserve"> </w:t>
      </w:r>
      <w:r w:rsidRPr="00317718">
        <w:rPr>
          <w:spacing w:val="-2"/>
          <w:lang w:val="sv-SE"/>
        </w:rPr>
        <w:t xml:space="preserve">47 CFR </w:t>
      </w:r>
      <w:r w:rsidRPr="00317718">
        <w:t xml:space="preserve">§ 54.619(a)(1)-(2); </w:t>
      </w:r>
      <w:r w:rsidRPr="00317718">
        <w:rPr>
          <w:i/>
          <w:iCs/>
        </w:rPr>
        <w:t>2019 P</w:t>
      </w:r>
      <w:r w:rsidRPr="00317718">
        <w:rPr>
          <w:i/>
        </w:rPr>
        <w:t>romoting Telehealth Report and Order</w:t>
      </w:r>
      <w:r w:rsidRPr="00317718">
        <w:t>, 34 FCC Rcd at</w:t>
      </w:r>
      <w:r w:rsidRPr="00317718">
        <w:rPr>
          <w:color w:val="000000"/>
        </w:rPr>
        <w:t xml:space="preserve"> </w:t>
      </w:r>
      <w:r w:rsidRPr="00317718">
        <w:t xml:space="preserve">7401, para. 139.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4F7F0415" w14:textId="4A28CB98">
    <w:pPr>
      <w:tabs>
        <w:tab w:val="center" w:pos="4680"/>
        <w:tab w:val="right" w:pos="9360"/>
      </w:tabs>
    </w:pPr>
    <w:r w:rsidRPr="009838BC">
      <w:rPr>
        <w:b/>
      </w:rPr>
      <w:tab/>
      <w:t>Federal Communications Commission</w:t>
    </w:r>
    <w:r w:rsidRPr="009838BC">
      <w:rPr>
        <w:b/>
      </w:rPr>
      <w:tab/>
    </w:r>
    <w:r w:rsidR="00721407">
      <w:rPr>
        <w:b/>
      </w:rPr>
      <w:t xml:space="preserve">DA </w:t>
    </w:r>
    <w:r w:rsidR="008B202F">
      <w:rPr>
        <w:b/>
      </w:rPr>
      <w:t>26</w:t>
    </w:r>
    <w:r w:rsidR="00721407">
      <w:rPr>
        <w:b/>
      </w:rPr>
      <w:t>-</w:t>
    </w:r>
    <w:r w:rsidR="00034F21">
      <w:rPr>
        <w:b/>
      </w:rPr>
      <w:t>291</w:t>
    </w:r>
  </w:p>
  <w:p w:rsidR="009838BC" w:rsidRPr="009838BC" w:rsidP="009838BC" w14:paraId="56CC6DE2"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3075F2CC" w14:textId="7777777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DE0AB8" w:rsidP="00DE0AB8" w14:paraId="145DA652" w14:textId="77777777">
                    <w:pPr>
                      <w:rPr>
                        <w:rFonts w:ascii="Arial" w:hAnsi="Arial"/>
                        <w:b/>
                        <w:snapToGrid/>
                      </w:rPr>
                    </w:pPr>
                    <w:r>
                      <w:rPr>
                        <w:rFonts w:ascii="Arial" w:hAnsi="Arial"/>
                        <w:b/>
                      </w:rPr>
                      <w:t>Federal Communications Commission</w:t>
                    </w:r>
                  </w:p>
                  <w:p w:rsidR="00DE0AB8" w:rsidP="00DE0AB8" w14:paraId="67C2559A" w14:textId="77777777">
                    <w:pPr>
                      <w:rPr>
                        <w:rFonts w:ascii="Arial" w:hAnsi="Arial"/>
                        <w:b/>
                      </w:rPr>
                    </w:pPr>
                    <w:r>
                      <w:rPr>
                        <w:rFonts w:ascii="Arial" w:hAnsi="Arial"/>
                        <w:b/>
                      </w:rPr>
                      <w:t>45 L Street NE</w:t>
                    </w:r>
                  </w:p>
                  <w:p w:rsidR="009838BC" w:rsidP="00DE0AB8" w14:paraId="255AEF88"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62828100"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8100"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37F04637"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4" w:name="_Hlt233824"/>
                          <w:hyperlink r:id="rId2" w:history="1">
                            <w:r w:rsidRPr="00D216CD">
                              <w:rPr>
                                <w:rStyle w:val="Hyperlink"/>
                                <w:rFonts w:ascii="Arial" w:hAnsi="Arial"/>
                                <w:b/>
                                <w:sz w:val="16"/>
                              </w:rPr>
                              <w:t>h</w:t>
                            </w:r>
                            <w:bookmarkEnd w:id="4"/>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27F50FE9" w14:textId="77777777">
                    <w:pPr>
                      <w:spacing w:before="40"/>
                      <w:jc w:val="right"/>
                      <w:rPr>
                        <w:rFonts w:ascii="Arial" w:hAnsi="Arial"/>
                        <w:b/>
                        <w:sz w:val="16"/>
                      </w:rPr>
                    </w:pPr>
                    <w:r>
                      <w:rPr>
                        <w:rFonts w:ascii="Arial" w:hAnsi="Arial"/>
                        <w:b/>
                        <w:sz w:val="16"/>
                      </w:rPr>
                      <w:t>News Media Information 202 / 418-0500</w:t>
                    </w:r>
                  </w:p>
                  <w:p w:rsidR="009838BC" w:rsidP="009838BC" w14:paraId="7F703622" w14:textId="77777777">
                    <w:pPr>
                      <w:jc w:val="right"/>
                      <w:rPr>
                        <w:rFonts w:ascii="Arial" w:hAnsi="Arial"/>
                        <w:b/>
                        <w:sz w:val="16"/>
                      </w:rPr>
                    </w:pPr>
                    <w:r>
                      <w:rPr>
                        <w:rFonts w:ascii="Arial" w:hAnsi="Arial"/>
                        <w:b/>
                        <w:sz w:val="16"/>
                      </w:rPr>
                      <w:t xml:space="preserve">Internet: </w:t>
                    </w:r>
                    <w:bookmarkStart w:id="4" w:name="_Hlt233824"/>
                    <w:hyperlink r:id="rId2" w:history="1">
                      <w:r w:rsidRPr="00D216CD">
                        <w:rPr>
                          <w:rStyle w:val="Hyperlink"/>
                          <w:rFonts w:ascii="Arial" w:hAnsi="Arial"/>
                          <w:b/>
                          <w:sz w:val="16"/>
                        </w:rPr>
                        <w:t>h</w:t>
                      </w:r>
                      <w:bookmarkEnd w:id="4"/>
                      <w:r w:rsidRPr="00D216CD">
                        <w:rPr>
                          <w:rStyle w:val="Hyperlink"/>
                          <w:rFonts w:ascii="Arial" w:hAnsi="Arial"/>
                          <w:b/>
                          <w:sz w:val="16"/>
                        </w:rPr>
                        <w:t>ttps://www.fcc.gov</w:t>
                      </w:r>
                    </w:hyperlink>
                  </w:p>
                  <w:p w:rsidR="009838BC" w:rsidP="009838BC" w14:paraId="0ED9A40D" w14:textId="77777777">
                    <w:pPr>
                      <w:jc w:val="right"/>
                    </w:pPr>
                    <w:r>
                      <w:rPr>
                        <w:rFonts w:ascii="Arial" w:hAnsi="Arial"/>
                        <w:b/>
                        <w:sz w:val="16"/>
                      </w:rPr>
                      <w:t>TTY: 1-888-835-5322</w:t>
                    </w:r>
                  </w:p>
                </w:txbxContent>
              </v:textbox>
            </v:shape>
          </w:pict>
        </mc:Fallback>
      </mc:AlternateContent>
    </w:r>
  </w:p>
  <w:p w:rsidR="006F7393" w:rsidRPr="009838BC" w:rsidP="009838BC" w14:paraId="17C2781C"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832864402">
    <w:abstractNumId w:val="1"/>
  </w:num>
  <w:num w:numId="2" w16cid:durableId="2073699047">
    <w:abstractNumId w:val="5"/>
  </w:num>
  <w:num w:numId="3" w16cid:durableId="876888150">
    <w:abstractNumId w:val="3"/>
  </w:num>
  <w:num w:numId="4" w16cid:durableId="1999192347">
    <w:abstractNumId w:val="4"/>
  </w:num>
  <w:num w:numId="5" w16cid:durableId="1889103181">
    <w:abstractNumId w:val="2"/>
  </w:num>
  <w:num w:numId="6" w16cid:durableId="163186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07"/>
    <w:rsid w:val="000072CE"/>
    <w:rsid w:val="00013A8B"/>
    <w:rsid w:val="00021445"/>
    <w:rsid w:val="000250D0"/>
    <w:rsid w:val="000343B6"/>
    <w:rsid w:val="00034F21"/>
    <w:rsid w:val="00036039"/>
    <w:rsid w:val="00037F90"/>
    <w:rsid w:val="00050D5E"/>
    <w:rsid w:val="000875BF"/>
    <w:rsid w:val="00096D8C"/>
    <w:rsid w:val="000B7546"/>
    <w:rsid w:val="000C0B65"/>
    <w:rsid w:val="000E150F"/>
    <w:rsid w:val="000E3D42"/>
    <w:rsid w:val="000E5884"/>
    <w:rsid w:val="000F3B0F"/>
    <w:rsid w:val="00122BD5"/>
    <w:rsid w:val="00170071"/>
    <w:rsid w:val="00171C52"/>
    <w:rsid w:val="001979D9"/>
    <w:rsid w:val="001A423E"/>
    <w:rsid w:val="001C121D"/>
    <w:rsid w:val="001C487E"/>
    <w:rsid w:val="001D6BCF"/>
    <w:rsid w:val="001E01CA"/>
    <w:rsid w:val="001E3013"/>
    <w:rsid w:val="001F1B42"/>
    <w:rsid w:val="00206074"/>
    <w:rsid w:val="002060D9"/>
    <w:rsid w:val="00217840"/>
    <w:rsid w:val="00226822"/>
    <w:rsid w:val="00227EDF"/>
    <w:rsid w:val="00236A1B"/>
    <w:rsid w:val="0023790A"/>
    <w:rsid w:val="0025768F"/>
    <w:rsid w:val="00260594"/>
    <w:rsid w:val="00284026"/>
    <w:rsid w:val="00285017"/>
    <w:rsid w:val="00293D1D"/>
    <w:rsid w:val="002A2D2E"/>
    <w:rsid w:val="002A4CF6"/>
    <w:rsid w:val="002B0FF6"/>
    <w:rsid w:val="002C6415"/>
    <w:rsid w:val="00317718"/>
    <w:rsid w:val="0032263C"/>
    <w:rsid w:val="003335CB"/>
    <w:rsid w:val="00334C2D"/>
    <w:rsid w:val="00343749"/>
    <w:rsid w:val="00357D50"/>
    <w:rsid w:val="003604F5"/>
    <w:rsid w:val="0038426B"/>
    <w:rsid w:val="003925DC"/>
    <w:rsid w:val="003A3515"/>
    <w:rsid w:val="003A4E4E"/>
    <w:rsid w:val="003B0550"/>
    <w:rsid w:val="003B694F"/>
    <w:rsid w:val="003D725A"/>
    <w:rsid w:val="003E037F"/>
    <w:rsid w:val="003F171C"/>
    <w:rsid w:val="0040457B"/>
    <w:rsid w:val="00412FC5"/>
    <w:rsid w:val="00415A1B"/>
    <w:rsid w:val="0041680D"/>
    <w:rsid w:val="00422276"/>
    <w:rsid w:val="004242F1"/>
    <w:rsid w:val="0042542A"/>
    <w:rsid w:val="00445A00"/>
    <w:rsid w:val="00451B0F"/>
    <w:rsid w:val="0046125F"/>
    <w:rsid w:val="00487524"/>
    <w:rsid w:val="004909CC"/>
    <w:rsid w:val="0049212C"/>
    <w:rsid w:val="00496106"/>
    <w:rsid w:val="004C0B97"/>
    <w:rsid w:val="004C12D0"/>
    <w:rsid w:val="004C2EE3"/>
    <w:rsid w:val="004C4B4B"/>
    <w:rsid w:val="004D29CD"/>
    <w:rsid w:val="004D5D32"/>
    <w:rsid w:val="004E4A22"/>
    <w:rsid w:val="00511968"/>
    <w:rsid w:val="00531A8C"/>
    <w:rsid w:val="00542C64"/>
    <w:rsid w:val="0055614C"/>
    <w:rsid w:val="005A2656"/>
    <w:rsid w:val="005C4A80"/>
    <w:rsid w:val="005F5D9C"/>
    <w:rsid w:val="0060004F"/>
    <w:rsid w:val="00607BA5"/>
    <w:rsid w:val="00626EB6"/>
    <w:rsid w:val="0063122F"/>
    <w:rsid w:val="006353A3"/>
    <w:rsid w:val="00636334"/>
    <w:rsid w:val="00655D03"/>
    <w:rsid w:val="006839C7"/>
    <w:rsid w:val="00683F84"/>
    <w:rsid w:val="006A6A81"/>
    <w:rsid w:val="006D622D"/>
    <w:rsid w:val="006E26AF"/>
    <w:rsid w:val="006F7393"/>
    <w:rsid w:val="0070224F"/>
    <w:rsid w:val="007115F7"/>
    <w:rsid w:val="00721407"/>
    <w:rsid w:val="00741263"/>
    <w:rsid w:val="007435D1"/>
    <w:rsid w:val="0074567C"/>
    <w:rsid w:val="00752749"/>
    <w:rsid w:val="00785689"/>
    <w:rsid w:val="0079754B"/>
    <w:rsid w:val="007A1E6D"/>
    <w:rsid w:val="007C1209"/>
    <w:rsid w:val="007D451F"/>
    <w:rsid w:val="007E39D8"/>
    <w:rsid w:val="0080151D"/>
    <w:rsid w:val="00813F2B"/>
    <w:rsid w:val="00822CE0"/>
    <w:rsid w:val="0083748F"/>
    <w:rsid w:val="00837C62"/>
    <w:rsid w:val="00841AB1"/>
    <w:rsid w:val="0085622E"/>
    <w:rsid w:val="0088401F"/>
    <w:rsid w:val="00887DE5"/>
    <w:rsid w:val="00890C09"/>
    <w:rsid w:val="0089141C"/>
    <w:rsid w:val="008930D3"/>
    <w:rsid w:val="008A0969"/>
    <w:rsid w:val="008B202F"/>
    <w:rsid w:val="008C22FD"/>
    <w:rsid w:val="008C2F5B"/>
    <w:rsid w:val="008D1EA7"/>
    <w:rsid w:val="008F039A"/>
    <w:rsid w:val="0090664E"/>
    <w:rsid w:val="00910F12"/>
    <w:rsid w:val="00922A64"/>
    <w:rsid w:val="00923167"/>
    <w:rsid w:val="00926503"/>
    <w:rsid w:val="00930ECF"/>
    <w:rsid w:val="00946BD3"/>
    <w:rsid w:val="009558F3"/>
    <w:rsid w:val="009838BC"/>
    <w:rsid w:val="00A31F1E"/>
    <w:rsid w:val="00A44654"/>
    <w:rsid w:val="00A45F4F"/>
    <w:rsid w:val="00A600A9"/>
    <w:rsid w:val="00A71BB6"/>
    <w:rsid w:val="00A84A3E"/>
    <w:rsid w:val="00A866AC"/>
    <w:rsid w:val="00AA30B7"/>
    <w:rsid w:val="00AA55B7"/>
    <w:rsid w:val="00AA5B9E"/>
    <w:rsid w:val="00AB2407"/>
    <w:rsid w:val="00AB53DF"/>
    <w:rsid w:val="00AB545D"/>
    <w:rsid w:val="00AC10F5"/>
    <w:rsid w:val="00AF0343"/>
    <w:rsid w:val="00B07E5C"/>
    <w:rsid w:val="00B20363"/>
    <w:rsid w:val="00B231A4"/>
    <w:rsid w:val="00B326E3"/>
    <w:rsid w:val="00B811F7"/>
    <w:rsid w:val="00B84D45"/>
    <w:rsid w:val="00B97A57"/>
    <w:rsid w:val="00BA5DC6"/>
    <w:rsid w:val="00BA6196"/>
    <w:rsid w:val="00BC4E56"/>
    <w:rsid w:val="00BC6D8C"/>
    <w:rsid w:val="00BD2D78"/>
    <w:rsid w:val="00BD41DA"/>
    <w:rsid w:val="00C013C6"/>
    <w:rsid w:val="00C1622B"/>
    <w:rsid w:val="00C16AF2"/>
    <w:rsid w:val="00C34006"/>
    <w:rsid w:val="00C426B1"/>
    <w:rsid w:val="00C53A53"/>
    <w:rsid w:val="00C82B6B"/>
    <w:rsid w:val="00C90D6A"/>
    <w:rsid w:val="00CA1C0A"/>
    <w:rsid w:val="00CA3C1D"/>
    <w:rsid w:val="00CB1524"/>
    <w:rsid w:val="00CB7973"/>
    <w:rsid w:val="00CC1651"/>
    <w:rsid w:val="00CC72B6"/>
    <w:rsid w:val="00CC73F9"/>
    <w:rsid w:val="00CF050F"/>
    <w:rsid w:val="00D0218D"/>
    <w:rsid w:val="00D17279"/>
    <w:rsid w:val="00D17440"/>
    <w:rsid w:val="00D216CD"/>
    <w:rsid w:val="00D42048"/>
    <w:rsid w:val="00D46EC2"/>
    <w:rsid w:val="00D81421"/>
    <w:rsid w:val="00D95868"/>
    <w:rsid w:val="00DA2529"/>
    <w:rsid w:val="00DB130A"/>
    <w:rsid w:val="00DC10A1"/>
    <w:rsid w:val="00DC655F"/>
    <w:rsid w:val="00DD684F"/>
    <w:rsid w:val="00DD7EBD"/>
    <w:rsid w:val="00DE0AB8"/>
    <w:rsid w:val="00DF62B6"/>
    <w:rsid w:val="00E07225"/>
    <w:rsid w:val="00E155B7"/>
    <w:rsid w:val="00E45BB8"/>
    <w:rsid w:val="00E5409F"/>
    <w:rsid w:val="00E76BCF"/>
    <w:rsid w:val="00E971E7"/>
    <w:rsid w:val="00EA7676"/>
    <w:rsid w:val="00EB5BA9"/>
    <w:rsid w:val="00EC0185"/>
    <w:rsid w:val="00EE084D"/>
    <w:rsid w:val="00EE5C76"/>
    <w:rsid w:val="00F021FA"/>
    <w:rsid w:val="00F17B76"/>
    <w:rsid w:val="00F275E3"/>
    <w:rsid w:val="00F37650"/>
    <w:rsid w:val="00F57ACA"/>
    <w:rsid w:val="00F62E97"/>
    <w:rsid w:val="00F64209"/>
    <w:rsid w:val="00F86E0D"/>
    <w:rsid w:val="00F93BF5"/>
    <w:rsid w:val="00F94DE0"/>
    <w:rsid w:val="00F96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15AE7C"/>
  <w15:chartTrackingRefBased/>
  <w15:docId w15:val="{36F0B718-E0D9-438E-A75F-4B6511F3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ar"/>
    <w:link w:val="FootnoteTextChar"/>
    <w:rsid w:val="000E3D42"/>
    <w:pPr>
      <w:spacing w:after="120"/>
    </w:pPr>
  </w:style>
  <w:style w:type="character" w:styleId="FootnoteReference">
    <w:name w:val="footnote reference"/>
    <w:aliases w:val="(NECG) Footnote Reference,Appel note de bas de p,FR,Style 12,Style 124,Style 13,Style 3,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 Char,fn Char1,fn Char Char"/>
    <w:basedOn w:val="DefaultParagraphFont"/>
    <w:link w:val="FootnoteText"/>
    <w:rsid w:val="00721407"/>
  </w:style>
  <w:style w:type="character" w:styleId="FollowedHyperlink">
    <w:name w:val="FollowedHyperlink"/>
    <w:basedOn w:val="DefaultParagraphFont"/>
    <w:uiPriority w:val="99"/>
    <w:semiHidden/>
    <w:unhideWhenUsed/>
    <w:rsid w:val="00AF0343"/>
    <w:rPr>
      <w:color w:val="96607D" w:themeColor="followedHyperlink"/>
      <w:u w:val="single"/>
    </w:rPr>
  </w:style>
  <w:style w:type="paragraph" w:styleId="Revision">
    <w:name w:val="Revision"/>
    <w:hidden/>
    <w:uiPriority w:val="99"/>
    <w:semiHidden/>
    <w:rsid w:val="001E3013"/>
    <w:rPr>
      <w:snapToGrid w:val="0"/>
      <w:kern w:val="28"/>
      <w:sz w:val="22"/>
    </w:rPr>
  </w:style>
  <w:style w:type="character" w:styleId="UnresolvedMention">
    <w:name w:val="Unresolved Mention"/>
    <w:basedOn w:val="DefaultParagraphFont"/>
    <w:uiPriority w:val="99"/>
    <w:semiHidden/>
    <w:unhideWhenUsed/>
    <w:rsid w:val="00D46EC2"/>
    <w:rPr>
      <w:color w:val="605E5C"/>
      <w:shd w:val="clear" w:color="auto" w:fill="E1DFDD"/>
    </w:rPr>
  </w:style>
  <w:style w:type="character" w:styleId="CommentReference">
    <w:name w:val="annotation reference"/>
    <w:basedOn w:val="DefaultParagraphFont"/>
    <w:uiPriority w:val="99"/>
    <w:semiHidden/>
    <w:unhideWhenUsed/>
    <w:rsid w:val="00D46EC2"/>
    <w:rPr>
      <w:sz w:val="16"/>
      <w:szCs w:val="16"/>
    </w:rPr>
  </w:style>
  <w:style w:type="paragraph" w:styleId="CommentText">
    <w:name w:val="annotation text"/>
    <w:basedOn w:val="Normal"/>
    <w:link w:val="CommentTextChar"/>
    <w:uiPriority w:val="99"/>
    <w:unhideWhenUsed/>
    <w:rsid w:val="00D46EC2"/>
    <w:rPr>
      <w:sz w:val="20"/>
    </w:rPr>
  </w:style>
  <w:style w:type="character" w:customStyle="1" w:styleId="CommentTextChar">
    <w:name w:val="Comment Text Char"/>
    <w:basedOn w:val="DefaultParagraphFont"/>
    <w:link w:val="CommentText"/>
    <w:uiPriority w:val="99"/>
    <w:rsid w:val="00D46EC2"/>
    <w:rPr>
      <w:snapToGrid w:val="0"/>
      <w:kern w:val="28"/>
    </w:rPr>
  </w:style>
  <w:style w:type="paragraph" w:styleId="CommentSubject">
    <w:name w:val="annotation subject"/>
    <w:basedOn w:val="CommentText"/>
    <w:next w:val="CommentText"/>
    <w:link w:val="CommentSubjectChar"/>
    <w:uiPriority w:val="99"/>
    <w:semiHidden/>
    <w:unhideWhenUsed/>
    <w:rsid w:val="00D46EC2"/>
    <w:rPr>
      <w:b/>
      <w:bCs/>
    </w:rPr>
  </w:style>
  <w:style w:type="character" w:customStyle="1" w:styleId="CommentSubjectChar">
    <w:name w:val="Comment Subject Char"/>
    <w:basedOn w:val="CommentTextChar"/>
    <w:link w:val="CommentSubject"/>
    <w:uiPriority w:val="99"/>
    <w:semiHidden/>
    <w:rsid w:val="00D46EC2"/>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apps.bea.gov/iTable/?reqid=19&amp;step=2&amp;isuri=1&amp;categories=survey&amp;_gl=1*14yafjt*_ga*NTA2OTA0NDM0LjE3MDg2MjQwMDQ.*_ga_J4698JNNFT*MTcwODYyNDIxNy4xLjEuMTcwODYyNTkyMy41NC4wLjA."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Backup\Public%20Notice%20Portrait%203-12-2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 3-12-21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