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773C59" w14:paraId="03D92652" w14:textId="77777777">
      <w:pPr>
        <w:jc w:val="right"/>
        <w:rPr>
          <w:szCs w:val="22"/>
        </w:rPr>
      </w:pPr>
    </w:p>
    <w:p w:rsidR="00BA3BA8" w:rsidRPr="009849A4" w14:paraId="567A0193" w14:textId="1A7D5098">
      <w:pPr>
        <w:jc w:val="right"/>
        <w:rPr>
          <w:b/>
          <w:szCs w:val="22"/>
        </w:rPr>
      </w:pPr>
      <w:r w:rsidRPr="009849A4">
        <w:rPr>
          <w:b/>
          <w:szCs w:val="22"/>
        </w:rPr>
        <w:t>DA</w:t>
      </w:r>
      <w:r w:rsidRPr="009849A4" w:rsidR="00CF4726">
        <w:rPr>
          <w:b/>
          <w:szCs w:val="22"/>
        </w:rPr>
        <w:t xml:space="preserve"> 26-294</w:t>
      </w:r>
    </w:p>
    <w:p w:rsidR="00BA3BA8" w:rsidRPr="00773C59" w14:paraId="219B5A7E" w14:textId="27E44635">
      <w:pPr>
        <w:spacing w:before="60"/>
        <w:jc w:val="right"/>
        <w:rPr>
          <w:b/>
          <w:szCs w:val="22"/>
        </w:rPr>
      </w:pPr>
      <w:r w:rsidRPr="009849A4">
        <w:rPr>
          <w:b/>
          <w:szCs w:val="22"/>
        </w:rPr>
        <w:t xml:space="preserve">Released:  </w:t>
      </w:r>
      <w:r w:rsidRPr="009849A4" w:rsidR="00CF4726">
        <w:rPr>
          <w:b/>
          <w:szCs w:val="22"/>
        </w:rPr>
        <w:t>March 27, 2026</w:t>
      </w:r>
    </w:p>
    <w:p w:rsidR="00BA3BA8" w:rsidRPr="00773C59" w:rsidP="00C73E9C" w14:paraId="5FEB5170" w14:textId="77777777">
      <w:pPr>
        <w:jc w:val="right"/>
        <w:rPr>
          <w:szCs w:val="22"/>
        </w:rPr>
      </w:pPr>
    </w:p>
    <w:p w:rsidR="00BA3BA8" w:rsidRPr="00773C59" w:rsidP="00C73E9C" w14:paraId="61A02255" w14:textId="3531E98E">
      <w:pPr>
        <w:jc w:val="center"/>
        <w:rPr>
          <w:b/>
          <w:caps/>
          <w:szCs w:val="22"/>
        </w:rPr>
      </w:pPr>
      <w:r w:rsidRPr="00773C59">
        <w:rPr>
          <w:b/>
          <w:caps/>
          <w:szCs w:val="22"/>
        </w:rPr>
        <w:t xml:space="preserve">public safety and homeland security BUREAU </w:t>
      </w:r>
      <w:r w:rsidRPr="00773C59" w:rsidR="00A63EF9">
        <w:rPr>
          <w:b/>
          <w:caps/>
          <w:szCs w:val="22"/>
        </w:rPr>
        <w:t xml:space="preserve">and office of engineering and technology </w:t>
      </w:r>
      <w:r w:rsidRPr="00773C59" w:rsidR="003F505F">
        <w:rPr>
          <w:b/>
          <w:caps/>
          <w:szCs w:val="22"/>
        </w:rPr>
        <w:t xml:space="preserve">SEEK COMMENT ON </w:t>
      </w:r>
      <w:r w:rsidRPr="00773C59" w:rsidR="00EC1E71">
        <w:rPr>
          <w:b/>
          <w:caps/>
          <w:szCs w:val="22"/>
        </w:rPr>
        <w:t xml:space="preserve">prohibiting the </w:t>
      </w:r>
      <w:r w:rsidRPr="00773C59" w:rsidR="00962867">
        <w:rPr>
          <w:b/>
          <w:caps/>
          <w:szCs w:val="22"/>
        </w:rPr>
        <w:t>importation and marketing of previously aut</w:t>
      </w:r>
      <w:r w:rsidRPr="00773C59" w:rsidR="007B0976">
        <w:rPr>
          <w:b/>
          <w:caps/>
          <w:szCs w:val="22"/>
        </w:rPr>
        <w:t xml:space="preserve">horized </w:t>
      </w:r>
      <w:r w:rsidR="00532556">
        <w:rPr>
          <w:b/>
          <w:caps/>
          <w:szCs w:val="22"/>
        </w:rPr>
        <w:t>COVERED COMMUNICATIONS</w:t>
      </w:r>
      <w:r w:rsidR="005158A7">
        <w:rPr>
          <w:b/>
          <w:caps/>
          <w:szCs w:val="22"/>
        </w:rPr>
        <w:t xml:space="preserve"> </w:t>
      </w:r>
      <w:r w:rsidRPr="00773C59">
        <w:rPr>
          <w:b/>
          <w:caps/>
          <w:szCs w:val="22"/>
        </w:rPr>
        <w:t xml:space="preserve">equipment </w:t>
      </w:r>
      <w:r w:rsidR="00366ADC">
        <w:rPr>
          <w:b/>
          <w:caps/>
          <w:szCs w:val="22"/>
        </w:rPr>
        <w:t xml:space="preserve">added to the covered list </w:t>
      </w:r>
      <w:r w:rsidR="005D6457">
        <w:rPr>
          <w:b/>
          <w:caps/>
          <w:szCs w:val="22"/>
        </w:rPr>
        <w:t xml:space="preserve">in </w:t>
      </w:r>
      <w:r w:rsidR="00E105A5">
        <w:rPr>
          <w:b/>
          <w:caps/>
          <w:szCs w:val="22"/>
        </w:rPr>
        <w:t xml:space="preserve">2024 or </w:t>
      </w:r>
      <w:r w:rsidR="00165BCB">
        <w:rPr>
          <w:b/>
          <w:caps/>
          <w:szCs w:val="22"/>
        </w:rPr>
        <w:t>EARLIER</w:t>
      </w:r>
    </w:p>
    <w:p w:rsidR="00C73E9C" w:rsidP="00C73E9C" w14:paraId="246F5EC4" w14:textId="77777777">
      <w:pPr>
        <w:jc w:val="center"/>
        <w:rPr>
          <w:b/>
          <w:bCs/>
          <w:szCs w:val="22"/>
          <w:highlight w:val="yellow"/>
        </w:rPr>
      </w:pPr>
      <w:bookmarkStart w:id="0" w:name="TOChere"/>
    </w:p>
    <w:p w:rsidR="00F35108" w:rsidRPr="00773C59" w:rsidP="00C73E9C" w14:paraId="68F08551" w14:textId="790B2E23">
      <w:pPr>
        <w:jc w:val="center"/>
        <w:rPr>
          <w:b/>
          <w:bCs/>
          <w:szCs w:val="22"/>
        </w:rPr>
      </w:pPr>
      <w:r w:rsidRPr="00EF4800">
        <w:rPr>
          <w:b/>
          <w:bCs/>
          <w:szCs w:val="22"/>
        </w:rPr>
        <w:t xml:space="preserve">PS Docket No. </w:t>
      </w:r>
      <w:r w:rsidRPr="00EF4800" w:rsidR="00EF4800">
        <w:rPr>
          <w:b/>
          <w:bCs/>
          <w:szCs w:val="22"/>
        </w:rPr>
        <w:t>26-72</w:t>
      </w:r>
    </w:p>
    <w:p w:rsidR="00A57FBD" w:rsidRPr="00773C59" w:rsidP="00C73E9C" w14:paraId="6C3A955E" w14:textId="77777777">
      <w:pPr>
        <w:jc w:val="center"/>
        <w:rPr>
          <w:b/>
          <w:bCs/>
          <w:szCs w:val="22"/>
        </w:rPr>
      </w:pPr>
    </w:p>
    <w:p w:rsidR="00BA3BA8" w:rsidRPr="00773C59" w:rsidP="00C73E9C" w14:paraId="2686A422" w14:textId="688E16C0">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rPr>
          <w:b/>
          <w:kern w:val="0"/>
          <w:szCs w:val="22"/>
        </w:rPr>
      </w:pPr>
      <w:r w:rsidRPr="00773C59">
        <w:rPr>
          <w:b/>
          <w:kern w:val="0"/>
          <w:szCs w:val="22"/>
        </w:rPr>
        <w:t>Comments Due:</w:t>
      </w:r>
      <w:r w:rsidR="00B505C4">
        <w:rPr>
          <w:b/>
          <w:kern w:val="0"/>
          <w:szCs w:val="22"/>
        </w:rPr>
        <w:t xml:space="preserve">   </w:t>
      </w:r>
      <w:r w:rsidRPr="002A4775" w:rsidR="00B505C4">
        <w:rPr>
          <w:b/>
          <w:kern w:val="0"/>
          <w:szCs w:val="22"/>
        </w:rPr>
        <w:t xml:space="preserve">30 days after publication in the </w:t>
      </w:r>
      <w:r w:rsidRPr="002A4775" w:rsidR="00B505C4">
        <w:rPr>
          <w:b/>
          <w:i/>
          <w:iCs/>
          <w:kern w:val="0"/>
          <w:szCs w:val="22"/>
        </w:rPr>
        <w:t>Federal Register</w:t>
      </w:r>
      <w:r w:rsidR="00991F10">
        <w:rPr>
          <w:b/>
          <w:i/>
          <w:iCs/>
          <w:kern w:val="0"/>
          <w:szCs w:val="22"/>
        </w:rPr>
        <w:t xml:space="preserve"> </w:t>
      </w:r>
    </w:p>
    <w:p w:rsidR="00EC1E71" w:rsidP="00C73E9C" w14:paraId="029C6B42" w14:textId="287B175D">
      <w:pPr>
        <w:pStyle w:val="ParaNum"/>
        <w:numPr>
          <w:ilvl w:val="0"/>
          <w:numId w:val="0"/>
        </w:numPr>
        <w:spacing w:after="0"/>
        <w:rPr>
          <w:szCs w:val="22"/>
          <w:u w:val="single"/>
        </w:rPr>
      </w:pPr>
    </w:p>
    <w:p w:rsidR="007557CC" w:rsidRPr="00DF51AB" w:rsidP="00C73E9C" w14:paraId="7C3EB6D4" w14:textId="4DB09479">
      <w:pPr>
        <w:pStyle w:val="ParaNum"/>
        <w:numPr>
          <w:ilvl w:val="0"/>
          <w:numId w:val="0"/>
        </w:numPr>
        <w:spacing w:after="0"/>
        <w:rPr>
          <w:szCs w:val="22"/>
          <w:u w:val="single"/>
        </w:rPr>
      </w:pPr>
      <w:r>
        <w:rPr>
          <w:szCs w:val="22"/>
          <w:u w:val="single"/>
        </w:rPr>
        <w:t>Introduction</w:t>
      </w:r>
      <w:r>
        <w:rPr>
          <w:szCs w:val="22"/>
          <w:u w:val="single"/>
        </w:rPr>
        <w:br/>
      </w:r>
    </w:p>
    <w:p w:rsidR="009D1539" w:rsidP="00C73E9C" w14:paraId="2FB011D8" w14:textId="78A8083B">
      <w:pPr>
        <w:ind w:firstLine="720"/>
        <w:rPr>
          <w:szCs w:val="22"/>
        </w:rPr>
      </w:pPr>
      <w:r w:rsidRPr="00773C59">
        <w:rPr>
          <w:szCs w:val="22"/>
        </w:rPr>
        <w:t>By</w:t>
      </w:r>
      <w:r w:rsidRPr="00773C59" w:rsidR="00854FCC">
        <w:rPr>
          <w:szCs w:val="22"/>
        </w:rPr>
        <w:t xml:space="preserve"> this Public Notice, the Public Safety and Homeland Security Bureau (PSHSB)</w:t>
      </w:r>
      <w:r w:rsidRPr="00773C59" w:rsidR="00A63EF9">
        <w:rPr>
          <w:szCs w:val="22"/>
        </w:rPr>
        <w:t xml:space="preserve"> and Office of Engineering and Technology (OET)</w:t>
      </w:r>
      <w:r w:rsidRPr="00773C59" w:rsidR="00854FCC">
        <w:rPr>
          <w:szCs w:val="22"/>
        </w:rPr>
        <w:t xml:space="preserve"> </w:t>
      </w:r>
      <w:r w:rsidRPr="00773C59" w:rsidR="00ED3613">
        <w:rPr>
          <w:szCs w:val="22"/>
        </w:rPr>
        <w:t xml:space="preserve">propose to </w:t>
      </w:r>
      <w:r w:rsidRPr="00773C59" w:rsidR="00854FCC">
        <w:rPr>
          <w:szCs w:val="22"/>
        </w:rPr>
        <w:t xml:space="preserve">prohibit the continued importation and marketing of </w:t>
      </w:r>
      <w:r w:rsidRPr="00773C59" w:rsidR="00EC7655">
        <w:rPr>
          <w:szCs w:val="22"/>
        </w:rPr>
        <w:t xml:space="preserve">certain </w:t>
      </w:r>
      <w:r w:rsidRPr="00773C59" w:rsidR="00716645">
        <w:rPr>
          <w:szCs w:val="22"/>
        </w:rPr>
        <w:t xml:space="preserve">previously authorized </w:t>
      </w:r>
      <w:r w:rsidRPr="00773C59" w:rsidR="00854FCC">
        <w:rPr>
          <w:szCs w:val="22"/>
        </w:rPr>
        <w:t>equipment that has been determined to “pose an unacceptable risk to the national security of the United States or the security and safety of United States persons” (covered equipment)</w:t>
      </w:r>
      <w:r w:rsidRPr="00773C59" w:rsidR="00BA6500">
        <w:rPr>
          <w:szCs w:val="22"/>
        </w:rPr>
        <w:t>.</w:t>
      </w:r>
      <w:r>
        <w:rPr>
          <w:rStyle w:val="FootnoteReference"/>
          <w:szCs w:val="22"/>
        </w:rPr>
        <w:footnoteReference w:id="3"/>
      </w:r>
      <w:r w:rsidRPr="00773C59" w:rsidR="00854FCC">
        <w:rPr>
          <w:szCs w:val="22"/>
        </w:rPr>
        <w:t xml:space="preserve">  </w:t>
      </w:r>
      <w:r w:rsidR="00783BAE">
        <w:rPr>
          <w:szCs w:val="22"/>
        </w:rPr>
        <w:t>In particular</w:t>
      </w:r>
      <w:r w:rsidRPr="00773C59" w:rsidR="00987730">
        <w:rPr>
          <w:szCs w:val="22"/>
        </w:rPr>
        <w:t xml:space="preserve">, we propose to </w:t>
      </w:r>
      <w:r w:rsidRPr="00773C59" w:rsidR="0012586F">
        <w:rPr>
          <w:szCs w:val="22"/>
        </w:rPr>
        <w:t xml:space="preserve">apply such prohibitions to </w:t>
      </w:r>
      <w:r w:rsidR="000063A4">
        <w:rPr>
          <w:szCs w:val="22"/>
        </w:rPr>
        <w:t>c</w:t>
      </w:r>
      <w:r w:rsidRPr="00773C59" w:rsidR="00854FCC">
        <w:rPr>
          <w:szCs w:val="22"/>
        </w:rPr>
        <w:t xml:space="preserve">ommunications equipment </w:t>
      </w:r>
      <w:r w:rsidR="00605E02">
        <w:rPr>
          <w:szCs w:val="22"/>
        </w:rPr>
        <w:t>added to the Covered List in 2024 or earlier</w:t>
      </w:r>
      <w:r w:rsidRPr="00773C59" w:rsidR="0012586F">
        <w:rPr>
          <w:szCs w:val="22"/>
        </w:rPr>
        <w:t>.</w:t>
      </w:r>
      <w:r>
        <w:rPr>
          <w:rStyle w:val="FootnoteReference"/>
          <w:szCs w:val="22"/>
        </w:rPr>
        <w:footnoteReference w:id="4"/>
      </w:r>
      <w:r w:rsidR="00E07063">
        <w:rPr>
          <w:szCs w:val="22"/>
        </w:rPr>
        <w:t xml:space="preserve">  </w:t>
      </w:r>
      <w:r w:rsidRPr="00773C59" w:rsidR="00854FCC">
        <w:rPr>
          <w:szCs w:val="22"/>
        </w:rPr>
        <w:t xml:space="preserve">We seek comment </w:t>
      </w:r>
      <w:r w:rsidRPr="00773C59" w:rsidR="00421C30">
        <w:rPr>
          <w:szCs w:val="22"/>
        </w:rPr>
        <w:t>on th</w:t>
      </w:r>
      <w:r w:rsidRPr="00773C59" w:rsidR="00ED3613">
        <w:rPr>
          <w:szCs w:val="22"/>
        </w:rPr>
        <w:t>ese</w:t>
      </w:r>
      <w:r w:rsidRPr="00773C59" w:rsidR="00421C30">
        <w:rPr>
          <w:szCs w:val="22"/>
        </w:rPr>
        <w:t xml:space="preserve"> proposal</w:t>
      </w:r>
      <w:r w:rsidRPr="00773C59" w:rsidR="00ED3613">
        <w:rPr>
          <w:szCs w:val="22"/>
        </w:rPr>
        <w:t>s</w:t>
      </w:r>
      <w:r w:rsidRPr="00773C59" w:rsidR="00421C30">
        <w:rPr>
          <w:szCs w:val="22"/>
        </w:rPr>
        <w:t xml:space="preserve"> and the </w:t>
      </w:r>
      <w:r w:rsidRPr="00773C59" w:rsidR="006D7C71">
        <w:rPr>
          <w:szCs w:val="22"/>
        </w:rPr>
        <w:t xml:space="preserve">relevant factors, including </w:t>
      </w:r>
      <w:r w:rsidRPr="00773C59" w:rsidR="00C15496">
        <w:rPr>
          <w:szCs w:val="22"/>
        </w:rPr>
        <w:t>national security</w:t>
      </w:r>
      <w:r w:rsidR="00320D87">
        <w:rPr>
          <w:szCs w:val="22"/>
        </w:rPr>
        <w:t xml:space="preserve"> and</w:t>
      </w:r>
      <w:r w:rsidRPr="00773C59" w:rsidR="00C15496">
        <w:rPr>
          <w:szCs w:val="22"/>
        </w:rPr>
        <w:t xml:space="preserve"> </w:t>
      </w:r>
      <w:r w:rsidRPr="00773C59" w:rsidR="006D7C71">
        <w:rPr>
          <w:szCs w:val="22"/>
        </w:rPr>
        <w:t xml:space="preserve">economic and supply chain considerations, that </w:t>
      </w:r>
      <w:r w:rsidRPr="00773C59" w:rsidR="00854FCC">
        <w:rPr>
          <w:szCs w:val="22"/>
        </w:rPr>
        <w:t xml:space="preserve">would justify </w:t>
      </w:r>
      <w:r w:rsidRPr="00773C59" w:rsidR="002500FC">
        <w:rPr>
          <w:szCs w:val="22"/>
        </w:rPr>
        <w:t>prohibit</w:t>
      </w:r>
      <w:r w:rsidRPr="00773C59" w:rsidR="004A0832">
        <w:rPr>
          <w:szCs w:val="22"/>
        </w:rPr>
        <w:t>ing</w:t>
      </w:r>
      <w:r w:rsidRPr="00773C59" w:rsidR="002500FC">
        <w:rPr>
          <w:szCs w:val="22"/>
        </w:rPr>
        <w:t xml:space="preserve"> the </w:t>
      </w:r>
      <w:r w:rsidRPr="00773C59" w:rsidR="000E7580">
        <w:rPr>
          <w:szCs w:val="22"/>
        </w:rPr>
        <w:t xml:space="preserve">continued </w:t>
      </w:r>
      <w:r w:rsidRPr="00773C59" w:rsidR="002500FC">
        <w:rPr>
          <w:szCs w:val="22"/>
        </w:rPr>
        <w:t>importation and marketing of</w:t>
      </w:r>
      <w:r w:rsidRPr="00773C59" w:rsidR="003B7BF2">
        <w:rPr>
          <w:szCs w:val="22"/>
        </w:rPr>
        <w:t xml:space="preserve"> </w:t>
      </w:r>
      <w:r w:rsidR="00C36B30">
        <w:rPr>
          <w:szCs w:val="22"/>
        </w:rPr>
        <w:t xml:space="preserve">such </w:t>
      </w:r>
      <w:r w:rsidR="002A721A">
        <w:rPr>
          <w:szCs w:val="22"/>
        </w:rPr>
        <w:t xml:space="preserve">previously authorized </w:t>
      </w:r>
      <w:r w:rsidRPr="00773C59" w:rsidR="003B7BF2">
        <w:rPr>
          <w:szCs w:val="22"/>
        </w:rPr>
        <w:t>covered equipment.</w:t>
      </w:r>
      <w:r w:rsidR="004E6AB4">
        <w:rPr>
          <w:szCs w:val="22"/>
        </w:rPr>
        <w:t xml:space="preserve">  While importation and marketing would be prohibited, this prohibition would not affect continued use or operation of already-purchased communications equipment.</w:t>
      </w:r>
      <w:r w:rsidRPr="00773C59" w:rsidR="004E6AB4">
        <w:rPr>
          <w:szCs w:val="22"/>
        </w:rPr>
        <w:t xml:space="preserve">  </w:t>
      </w:r>
      <w:r w:rsidR="004E6AB4">
        <w:rPr>
          <w:szCs w:val="22"/>
        </w:rPr>
        <w:t xml:space="preserve">The prohibition considered in this </w:t>
      </w:r>
      <w:r w:rsidR="00C249DB">
        <w:rPr>
          <w:szCs w:val="22"/>
        </w:rPr>
        <w:t xml:space="preserve">Public Notice also would not affect equipment added to the Covered List after 2024. </w:t>
      </w:r>
    </w:p>
    <w:p w:rsidR="009D1539" w:rsidRPr="00773C59" w:rsidP="00C73E9C" w14:paraId="381FC360" w14:textId="39BA9501">
      <w:pPr>
        <w:rPr>
          <w:szCs w:val="22"/>
        </w:rPr>
      </w:pPr>
      <w:r>
        <w:rPr>
          <w:szCs w:val="22"/>
        </w:rPr>
        <w:br/>
      </w:r>
      <w:r>
        <w:rPr>
          <w:szCs w:val="22"/>
        </w:rPr>
        <w:br/>
      </w:r>
      <w:r>
        <w:rPr>
          <w:szCs w:val="22"/>
        </w:rPr>
        <w:br/>
      </w:r>
      <w:r>
        <w:rPr>
          <w:szCs w:val="22"/>
        </w:rPr>
        <w:br/>
      </w:r>
    </w:p>
    <w:p w:rsidR="009D1539" w:rsidRPr="002A5B87" w:rsidP="00C73E9C" w14:paraId="45A18BB1" w14:textId="7CCB4325">
      <w:pPr>
        <w:rPr>
          <w:szCs w:val="22"/>
          <w:u w:val="single"/>
        </w:rPr>
      </w:pPr>
      <w:r w:rsidRPr="007557CC">
        <w:rPr>
          <w:szCs w:val="22"/>
          <w:u w:val="single"/>
        </w:rPr>
        <w:t>Background</w:t>
      </w:r>
    </w:p>
    <w:p w:rsidR="00F50391" w:rsidP="00C73E9C" w14:paraId="006309B4" w14:textId="77777777">
      <w:pPr>
        <w:rPr>
          <w:szCs w:val="22"/>
        </w:rPr>
      </w:pPr>
    </w:p>
    <w:p w:rsidR="00A65057" w:rsidRPr="00AE5CA3" w:rsidP="00C73E9C" w14:paraId="53E9F013" w14:textId="30117221">
      <w:pPr>
        <w:pStyle w:val="ParaNum"/>
        <w:widowControl/>
        <w:numPr>
          <w:ilvl w:val="0"/>
          <w:numId w:val="0"/>
        </w:numPr>
        <w:spacing w:after="0"/>
        <w:ind w:firstLine="720"/>
        <w:rPr>
          <w:szCs w:val="22"/>
        </w:rPr>
      </w:pPr>
      <w:r w:rsidRPr="00773C59">
        <w:rPr>
          <w:szCs w:val="22"/>
        </w:rPr>
        <w:t xml:space="preserve">In November 2022, the </w:t>
      </w:r>
      <w:r w:rsidR="00D5366B">
        <w:rPr>
          <w:szCs w:val="22"/>
        </w:rPr>
        <w:t xml:space="preserve">Federal Communications Commission (FCC or </w:t>
      </w:r>
      <w:r w:rsidRPr="00773C59">
        <w:rPr>
          <w:szCs w:val="22"/>
        </w:rPr>
        <w:t>Commission</w:t>
      </w:r>
      <w:r w:rsidR="00D5366B">
        <w:rPr>
          <w:szCs w:val="22"/>
        </w:rPr>
        <w:t>)</w:t>
      </w:r>
      <w:r w:rsidRPr="00773C59">
        <w:rPr>
          <w:szCs w:val="22"/>
        </w:rPr>
        <w:t xml:space="preserve"> adopted rules to prohibit authorization of equipment identified on the Covered List.</w:t>
      </w:r>
      <w:r>
        <w:rPr>
          <w:szCs w:val="22"/>
          <w:vertAlign w:val="superscript"/>
        </w:rPr>
        <w:footnoteReference w:id="5"/>
      </w:r>
      <w:r w:rsidRPr="00773C59">
        <w:rPr>
          <w:szCs w:val="22"/>
        </w:rPr>
        <w:t xml:space="preserve">  However, the Commission did not revoke previously granted authorizations of covered equipment.</w:t>
      </w:r>
      <w:r>
        <w:rPr>
          <w:szCs w:val="22"/>
          <w:vertAlign w:val="superscript"/>
        </w:rPr>
        <w:footnoteReference w:id="6"/>
      </w:r>
      <w:r w:rsidRPr="00773C59">
        <w:rPr>
          <w:szCs w:val="22"/>
        </w:rPr>
        <w:t xml:space="preserve">  In October 2025, the Commission adopted the </w:t>
      </w:r>
      <w:r w:rsidRPr="00773C59">
        <w:rPr>
          <w:i/>
          <w:iCs/>
          <w:szCs w:val="22"/>
        </w:rPr>
        <w:t xml:space="preserve">EA Security Second R&amp;O </w:t>
      </w:r>
      <w:r w:rsidRPr="00773C59" w:rsidR="00600D06">
        <w:rPr>
          <w:szCs w:val="22"/>
        </w:rPr>
        <w:t>which</w:t>
      </w:r>
      <w:r w:rsidRPr="00773C59">
        <w:rPr>
          <w:szCs w:val="22"/>
        </w:rPr>
        <w:t xml:space="preserve">, among other things, established a procedure to </w:t>
      </w:r>
      <w:r w:rsidRPr="00773C59">
        <w:rPr>
          <w:color w:val="000000"/>
          <w:szCs w:val="22"/>
        </w:rPr>
        <w:t>limit the scope of an existing authorization of covered equipment to prohibit continued importation or marketing</w:t>
      </w:r>
      <w:r w:rsidRPr="00773C59">
        <w:rPr>
          <w:szCs w:val="22"/>
        </w:rPr>
        <w:t xml:space="preserve"> of such equipment, without revoking the underlying authorization.</w:t>
      </w:r>
      <w:r>
        <w:rPr>
          <w:rStyle w:val="FootnoteReference"/>
          <w:szCs w:val="22"/>
        </w:rPr>
        <w:footnoteReference w:id="7"/>
      </w:r>
      <w:r w:rsidRPr="00773C59">
        <w:rPr>
          <w:szCs w:val="22"/>
        </w:rPr>
        <w:t xml:space="preserve">  </w:t>
      </w:r>
      <w:r w:rsidR="006834BA">
        <w:rPr>
          <w:szCs w:val="22"/>
        </w:rPr>
        <w:t xml:space="preserve">The Commission noted that its goal </w:t>
      </w:r>
      <w:r w:rsidR="00020D68">
        <w:rPr>
          <w:szCs w:val="22"/>
        </w:rPr>
        <w:t>i</w:t>
      </w:r>
      <w:r w:rsidR="006834BA">
        <w:rPr>
          <w:szCs w:val="22"/>
        </w:rPr>
        <w:t xml:space="preserve">s to mitigate potential national security risks associated with covered equipment in the nation’s supply chain that was authorized prior to </w:t>
      </w:r>
      <w:r w:rsidR="00B175E8">
        <w:rPr>
          <w:szCs w:val="22"/>
        </w:rPr>
        <w:t>a Covered List addition under 47 USC 1601(b).</w:t>
      </w:r>
      <w:r>
        <w:rPr>
          <w:rStyle w:val="FootnoteReference"/>
          <w:szCs w:val="22"/>
        </w:rPr>
        <w:footnoteReference w:id="8"/>
      </w:r>
      <w:r w:rsidR="006834BA">
        <w:rPr>
          <w:szCs w:val="22"/>
        </w:rPr>
        <w:t xml:space="preserve">  </w:t>
      </w:r>
      <w:r w:rsidRPr="00773C59">
        <w:rPr>
          <w:szCs w:val="22"/>
        </w:rPr>
        <w:t xml:space="preserve">The Commission directed PSHSB and OET to “institute proceedings to determine whether to apply these prohibitions to some or all of the equipment currently on the Covered List” and </w:t>
      </w:r>
      <w:r w:rsidR="00471F41">
        <w:rPr>
          <w:szCs w:val="22"/>
        </w:rPr>
        <w:t xml:space="preserve">it </w:t>
      </w:r>
      <w:r w:rsidRPr="00773C59">
        <w:rPr>
          <w:szCs w:val="22"/>
        </w:rPr>
        <w:t xml:space="preserve">delegated authority to PSHSB and </w:t>
      </w:r>
      <w:r w:rsidR="006B1DF0">
        <w:rPr>
          <w:szCs w:val="22"/>
        </w:rPr>
        <w:t>OET</w:t>
      </w:r>
      <w:r w:rsidRPr="00773C59">
        <w:rPr>
          <w:szCs w:val="22"/>
        </w:rPr>
        <w:t xml:space="preserve"> to apply such prohibitions pursuant to the framework and process outlined in the </w:t>
      </w:r>
      <w:r w:rsidRPr="00095B1C" w:rsidR="00095B1C">
        <w:rPr>
          <w:i/>
          <w:iCs/>
          <w:szCs w:val="22"/>
        </w:rPr>
        <w:t xml:space="preserve">EA Security </w:t>
      </w:r>
      <w:r w:rsidRPr="00773C59">
        <w:rPr>
          <w:i/>
          <w:iCs/>
          <w:szCs w:val="22"/>
        </w:rPr>
        <w:t>Second R&amp;O</w:t>
      </w:r>
      <w:r w:rsidRPr="00773C59">
        <w:rPr>
          <w:szCs w:val="22"/>
        </w:rPr>
        <w:t>.</w:t>
      </w:r>
      <w:r>
        <w:rPr>
          <w:rStyle w:val="FootnoteReference"/>
          <w:szCs w:val="22"/>
        </w:rPr>
        <w:footnoteReference w:id="9"/>
      </w:r>
      <w:r w:rsidR="003041B9">
        <w:rPr>
          <w:szCs w:val="22"/>
        </w:rPr>
        <w:t xml:space="preserve"> </w:t>
      </w:r>
      <w:r w:rsidRPr="00773C59">
        <w:rPr>
          <w:szCs w:val="22"/>
        </w:rPr>
        <w:t xml:space="preserve"> </w:t>
      </w:r>
      <w:r w:rsidR="005E420A">
        <w:rPr>
          <w:szCs w:val="22"/>
        </w:rPr>
        <w:t xml:space="preserve">The Commission </w:t>
      </w:r>
      <w:r w:rsidR="000C16AC">
        <w:rPr>
          <w:szCs w:val="22"/>
        </w:rPr>
        <w:t xml:space="preserve">gave specific </w:t>
      </w:r>
      <w:r w:rsidR="007D17DC">
        <w:rPr>
          <w:szCs w:val="22"/>
        </w:rPr>
        <w:t>directives to PSHSB and OE</w:t>
      </w:r>
      <w:r w:rsidR="00AB3A93">
        <w:rPr>
          <w:szCs w:val="22"/>
        </w:rPr>
        <w:t>T</w:t>
      </w:r>
      <w:r w:rsidR="007D17DC">
        <w:rPr>
          <w:szCs w:val="22"/>
        </w:rPr>
        <w:t xml:space="preserve"> </w:t>
      </w:r>
      <w:r w:rsidR="001D4BAA">
        <w:rPr>
          <w:szCs w:val="22"/>
        </w:rPr>
        <w:t>regarding</w:t>
      </w:r>
      <w:r w:rsidR="007D17DC">
        <w:rPr>
          <w:szCs w:val="22"/>
        </w:rPr>
        <w:t xml:space="preserve"> how to analyze and implement the </w:t>
      </w:r>
      <w:r w:rsidR="00405126">
        <w:rPr>
          <w:szCs w:val="22"/>
        </w:rPr>
        <w:t xml:space="preserve">new </w:t>
      </w:r>
      <w:r w:rsidR="007569D3">
        <w:rPr>
          <w:szCs w:val="22"/>
        </w:rPr>
        <w:t>procedures.</w:t>
      </w:r>
      <w:r>
        <w:rPr>
          <w:rStyle w:val="FootnoteReference"/>
          <w:szCs w:val="22"/>
        </w:rPr>
        <w:footnoteReference w:id="10"/>
      </w:r>
      <w:r w:rsidRPr="00773C59">
        <w:rPr>
          <w:szCs w:val="22"/>
        </w:rPr>
        <w:t xml:space="preserve">  </w:t>
      </w:r>
    </w:p>
    <w:p w:rsidR="00A65057" w:rsidRPr="00773C59" w:rsidP="00C73E9C" w14:paraId="7116C6C2" w14:textId="77777777">
      <w:pPr>
        <w:rPr>
          <w:szCs w:val="22"/>
          <w:u w:val="single"/>
        </w:rPr>
      </w:pPr>
    </w:p>
    <w:p w:rsidR="00B175E8" w:rsidP="00C73E9C" w14:paraId="46D4C976" w14:textId="605109C1">
      <w:pPr>
        <w:pStyle w:val="ParaNum"/>
        <w:widowControl/>
        <w:numPr>
          <w:ilvl w:val="0"/>
          <w:numId w:val="0"/>
        </w:numPr>
        <w:spacing w:after="0"/>
        <w:ind w:firstLine="720"/>
        <w:rPr>
          <w:szCs w:val="22"/>
        </w:rPr>
      </w:pPr>
      <w:bookmarkStart w:id="1" w:name="_Hlk216172561"/>
      <w:r w:rsidRPr="00773C59">
        <w:rPr>
          <w:szCs w:val="22"/>
        </w:rPr>
        <w:t xml:space="preserve">Today, we </w:t>
      </w:r>
      <w:r w:rsidR="00A42103">
        <w:rPr>
          <w:szCs w:val="22"/>
        </w:rPr>
        <w:t xml:space="preserve">initiate </w:t>
      </w:r>
      <w:r w:rsidR="008F5268">
        <w:rPr>
          <w:szCs w:val="22"/>
        </w:rPr>
        <w:t xml:space="preserve">a </w:t>
      </w:r>
      <w:r w:rsidR="00A42103">
        <w:rPr>
          <w:szCs w:val="22"/>
        </w:rPr>
        <w:t>proceeding to</w:t>
      </w:r>
      <w:r w:rsidRPr="00773C59">
        <w:rPr>
          <w:szCs w:val="22"/>
        </w:rPr>
        <w:t xml:space="preserve"> prohibit the continued importation and marketing of equipment </w:t>
      </w:r>
      <w:r w:rsidR="00C36B30">
        <w:rPr>
          <w:szCs w:val="22"/>
        </w:rPr>
        <w:t xml:space="preserve">added to the Covered List </w:t>
      </w:r>
      <w:r w:rsidR="0080211A">
        <w:rPr>
          <w:szCs w:val="22"/>
        </w:rPr>
        <w:t>in 2024 or earlier</w:t>
      </w:r>
      <w:r w:rsidR="00987465">
        <w:rPr>
          <w:szCs w:val="22"/>
        </w:rPr>
        <w:t xml:space="preserve"> but was</w:t>
      </w:r>
      <w:r w:rsidR="00443D2A">
        <w:rPr>
          <w:szCs w:val="22"/>
        </w:rPr>
        <w:t xml:space="preserve"> authorized</w:t>
      </w:r>
      <w:r w:rsidR="00E42F70">
        <w:rPr>
          <w:szCs w:val="22"/>
        </w:rPr>
        <w:t xml:space="preserve"> before</w:t>
      </w:r>
      <w:r w:rsidR="00254A1F">
        <w:rPr>
          <w:szCs w:val="22"/>
        </w:rPr>
        <w:t xml:space="preserve"> </w:t>
      </w:r>
      <w:r w:rsidR="008B78CC">
        <w:rPr>
          <w:szCs w:val="22"/>
        </w:rPr>
        <w:t xml:space="preserve">the </w:t>
      </w:r>
      <w:r w:rsidR="006302C1">
        <w:rPr>
          <w:szCs w:val="22"/>
        </w:rPr>
        <w:t xml:space="preserve">adoption </w:t>
      </w:r>
      <w:r w:rsidR="00254A1F">
        <w:rPr>
          <w:szCs w:val="22"/>
        </w:rPr>
        <w:t xml:space="preserve">of </w:t>
      </w:r>
      <w:r w:rsidR="00F80509">
        <w:rPr>
          <w:szCs w:val="22"/>
        </w:rPr>
        <w:t>our 2022 rules</w:t>
      </w:r>
      <w:r w:rsidRPr="00773C59">
        <w:rPr>
          <w:szCs w:val="22"/>
        </w:rPr>
        <w:t>.</w:t>
      </w:r>
      <w:r>
        <w:rPr>
          <w:rStyle w:val="FootnoteReference"/>
          <w:szCs w:val="22"/>
        </w:rPr>
        <w:footnoteReference w:id="11"/>
      </w:r>
      <w:r w:rsidRPr="00773C59">
        <w:rPr>
          <w:szCs w:val="22"/>
        </w:rPr>
        <w:t xml:space="preserve">  </w:t>
      </w:r>
      <w:bookmarkEnd w:id="1"/>
      <w:r w:rsidR="00AF1FFC">
        <w:rPr>
          <w:szCs w:val="22"/>
        </w:rPr>
        <w:t xml:space="preserve">We initially focus on </w:t>
      </w:r>
      <w:r w:rsidR="00B16AFB">
        <w:rPr>
          <w:szCs w:val="22"/>
        </w:rPr>
        <w:t>this equipment because it ha</w:t>
      </w:r>
      <w:r w:rsidR="00DD0C54">
        <w:rPr>
          <w:szCs w:val="22"/>
        </w:rPr>
        <w:t xml:space="preserve">s been on our Covered List for </w:t>
      </w:r>
      <w:r w:rsidR="006B4130">
        <w:rPr>
          <w:szCs w:val="22"/>
        </w:rPr>
        <w:t>years</w:t>
      </w:r>
      <w:r w:rsidR="00BE7380">
        <w:rPr>
          <w:szCs w:val="22"/>
        </w:rPr>
        <w:t xml:space="preserve">. </w:t>
      </w:r>
      <w:r w:rsidR="00DD0C54">
        <w:rPr>
          <w:szCs w:val="22"/>
        </w:rPr>
        <w:t xml:space="preserve"> </w:t>
      </w:r>
    </w:p>
    <w:p w:rsidR="00F51F73" w:rsidP="00C73E9C" w14:paraId="0C1A1717" w14:textId="77777777">
      <w:pPr>
        <w:pStyle w:val="ParaNum"/>
        <w:widowControl/>
        <w:numPr>
          <w:ilvl w:val="0"/>
          <w:numId w:val="0"/>
        </w:numPr>
        <w:spacing w:after="0"/>
        <w:rPr>
          <w:szCs w:val="22"/>
        </w:rPr>
      </w:pPr>
    </w:p>
    <w:p w:rsidR="007557CC" w:rsidP="00C73E9C" w14:paraId="6D75821B" w14:textId="7554873B">
      <w:pPr>
        <w:pStyle w:val="ParaNum"/>
        <w:widowControl/>
        <w:numPr>
          <w:ilvl w:val="0"/>
          <w:numId w:val="0"/>
        </w:numPr>
        <w:spacing w:after="0"/>
        <w:rPr>
          <w:szCs w:val="22"/>
        </w:rPr>
      </w:pPr>
      <w:r w:rsidRPr="007557CC">
        <w:rPr>
          <w:szCs w:val="22"/>
          <w:u w:val="single"/>
        </w:rPr>
        <w:t>Discussion</w:t>
      </w:r>
      <w:r w:rsidRPr="007557CC">
        <w:rPr>
          <w:szCs w:val="22"/>
          <w:u w:val="single"/>
        </w:rPr>
        <w:br/>
      </w:r>
    </w:p>
    <w:p w:rsidR="002A5B87" w:rsidRPr="00B175E8" w:rsidP="00C73E9C" w14:paraId="389B9C3F" w14:textId="10BDAEE6">
      <w:pPr>
        <w:ind w:firstLine="720"/>
        <w:rPr>
          <w:szCs w:val="22"/>
        </w:rPr>
      </w:pPr>
      <w:r w:rsidRPr="00A72692">
        <w:rPr>
          <w:szCs w:val="22"/>
        </w:rPr>
        <w:t xml:space="preserve">The </w:t>
      </w:r>
      <w:r>
        <w:rPr>
          <w:szCs w:val="22"/>
        </w:rPr>
        <w:t>Commission</w:t>
      </w:r>
      <w:r w:rsidRPr="00A72692">
        <w:rPr>
          <w:szCs w:val="22"/>
        </w:rPr>
        <w:t xml:space="preserve"> has legal authority to review a</w:t>
      </w:r>
      <w:r>
        <w:rPr>
          <w:szCs w:val="22"/>
        </w:rPr>
        <w:t>n</w:t>
      </w:r>
      <w:r w:rsidRPr="00A72692">
        <w:rPr>
          <w:szCs w:val="22"/>
        </w:rPr>
        <w:t xml:space="preserve"> existing authorization for covered equipment, and to revoke such authorization pursuant to current rules.</w:t>
      </w:r>
      <w:r>
        <w:rPr>
          <w:rStyle w:val="FootnoteReference"/>
          <w:szCs w:val="22"/>
        </w:rPr>
        <w:footnoteReference w:id="12"/>
      </w:r>
      <w:r w:rsidRPr="00A72692">
        <w:rPr>
          <w:szCs w:val="22"/>
        </w:rPr>
        <w:t xml:space="preserve">  Under section 2.939(a), the Commission </w:t>
      </w:r>
      <w:r>
        <w:rPr>
          <w:szCs w:val="22"/>
        </w:rPr>
        <w:t>may “revoke . . . any equipment authorization” for various reasons, including “</w:t>
      </w:r>
      <w:r w:rsidR="00F51F73">
        <w:rPr>
          <w:szCs w:val="22"/>
        </w:rPr>
        <w:t>c</w:t>
      </w:r>
      <w:r>
        <w:rPr>
          <w:szCs w:val="22"/>
        </w:rPr>
        <w:t>onditions coming to the attention of the Commission which would warrant it in refusing to grant an original application.”</w:t>
      </w:r>
      <w:r>
        <w:rPr>
          <w:rStyle w:val="FootnoteReference"/>
          <w:szCs w:val="22"/>
        </w:rPr>
        <w:footnoteReference w:id="13"/>
      </w:r>
      <w:r>
        <w:rPr>
          <w:szCs w:val="22"/>
        </w:rPr>
        <w:t xml:space="preserve">  Likewise, under section 2.939(e), PSHSB and OET “</w:t>
      </w:r>
      <w:r w:rsidRPr="00EC1B75">
        <w:rPr>
          <w:szCs w:val="22"/>
        </w:rPr>
        <w:t>may place limitations on an existing authorization for covered equipment authorizations to prohibit continued importation or marketing</w:t>
      </w:r>
      <w:r>
        <w:rPr>
          <w:szCs w:val="22"/>
        </w:rPr>
        <w:t>” of such equipment.</w:t>
      </w:r>
      <w:r>
        <w:rPr>
          <w:rStyle w:val="FootnoteReference"/>
          <w:szCs w:val="22"/>
        </w:rPr>
        <w:footnoteReference w:id="14"/>
      </w:r>
    </w:p>
    <w:p w:rsidR="00164DDC" w:rsidP="00C73E9C" w14:paraId="2D645691" w14:textId="70DBAE11">
      <w:pPr>
        <w:pStyle w:val="ParaNum"/>
        <w:widowControl/>
        <w:numPr>
          <w:ilvl w:val="0"/>
          <w:numId w:val="0"/>
        </w:numPr>
        <w:spacing w:after="0"/>
        <w:ind w:firstLine="720"/>
        <w:rPr>
          <w:szCs w:val="22"/>
        </w:rPr>
      </w:pPr>
      <w:r>
        <w:rPr>
          <w:szCs w:val="22"/>
        </w:rPr>
        <w:t>We propose to</w:t>
      </w:r>
      <w:r w:rsidRPr="00773C59">
        <w:rPr>
          <w:szCs w:val="22"/>
        </w:rPr>
        <w:t xml:space="preserve"> prohibit the continued importation and marketing of</w:t>
      </w:r>
      <w:r w:rsidR="00340298">
        <w:rPr>
          <w:szCs w:val="22"/>
        </w:rPr>
        <w:t xml:space="preserve"> any</w:t>
      </w:r>
      <w:r w:rsidRPr="00773C59">
        <w:rPr>
          <w:szCs w:val="22"/>
        </w:rPr>
        <w:t xml:space="preserve"> </w:t>
      </w:r>
      <w:r w:rsidR="00BE7380">
        <w:t>covered equipment</w:t>
      </w:r>
      <w:r w:rsidR="00532556">
        <w:t xml:space="preserve"> added to the Covered List in 2024 or earlier.</w:t>
      </w:r>
      <w:r>
        <w:rPr>
          <w:rStyle w:val="FootnoteReference"/>
        </w:rPr>
        <w:footnoteReference w:id="15"/>
      </w:r>
      <w:r w:rsidR="00214A90">
        <w:t xml:space="preserve">  It would not include any equipment added to the Covered List in 2025.</w:t>
      </w:r>
      <w:r w:rsidRPr="00773C59">
        <w:t xml:space="preserve">  </w:t>
      </w:r>
      <w:r>
        <w:t xml:space="preserve">This prohibition would specifically apply to </w:t>
      </w:r>
      <w:r w:rsidR="00165BCB">
        <w:t>covered</w:t>
      </w:r>
      <w:r>
        <w:t xml:space="preserve"> equipment that </w:t>
      </w:r>
      <w:r>
        <w:rPr>
          <w:szCs w:val="22"/>
        </w:rPr>
        <w:t>was authorized before the adoption of our 2022 rules</w:t>
      </w:r>
      <w:r w:rsidRPr="00773C59">
        <w:rPr>
          <w:szCs w:val="22"/>
        </w:rPr>
        <w:t xml:space="preserve">.  </w:t>
      </w:r>
      <w:r>
        <w:rPr>
          <w:szCs w:val="22"/>
        </w:rPr>
        <w:t>Below</w:t>
      </w:r>
      <w:r w:rsidRPr="000F5F12">
        <w:rPr>
          <w:szCs w:val="22"/>
        </w:rPr>
        <w:t xml:space="preserve">, </w:t>
      </w:r>
      <w:r>
        <w:rPr>
          <w:szCs w:val="22"/>
        </w:rPr>
        <w:t>we provide a</w:t>
      </w:r>
      <w:r w:rsidRPr="000F5F12">
        <w:rPr>
          <w:szCs w:val="22"/>
        </w:rPr>
        <w:t xml:space="preserve"> brief analysis of the relevant factors that would justify limitation on the authorization of previously authorized </w:t>
      </w:r>
      <w:r>
        <w:rPr>
          <w:szCs w:val="22"/>
        </w:rPr>
        <w:t>“</w:t>
      </w:r>
      <w:r w:rsidRPr="000F5F12">
        <w:rPr>
          <w:szCs w:val="22"/>
        </w:rPr>
        <w:t>covered</w:t>
      </w:r>
      <w:r>
        <w:rPr>
          <w:szCs w:val="22"/>
        </w:rPr>
        <w:t>”</w:t>
      </w:r>
      <w:r w:rsidRPr="000F5F12">
        <w:rPr>
          <w:szCs w:val="22"/>
        </w:rPr>
        <w:t xml:space="preserve"> equipment</w:t>
      </w:r>
      <w:r>
        <w:rPr>
          <w:szCs w:val="22"/>
        </w:rPr>
        <w:t xml:space="preserve"> and tentatively conclude that </w:t>
      </w:r>
      <w:r w:rsidRPr="000F5F12">
        <w:rPr>
          <w:szCs w:val="22"/>
        </w:rPr>
        <w:t>prohibiting the importation and marketing of</w:t>
      </w:r>
      <w:r>
        <w:rPr>
          <w:szCs w:val="22"/>
        </w:rPr>
        <w:t xml:space="preserve"> </w:t>
      </w:r>
      <w:r w:rsidR="00263589">
        <w:rPr>
          <w:szCs w:val="22"/>
        </w:rPr>
        <w:t xml:space="preserve">this </w:t>
      </w:r>
      <w:r w:rsidR="00B96AEE">
        <w:rPr>
          <w:szCs w:val="22"/>
        </w:rPr>
        <w:t>previously</w:t>
      </w:r>
      <w:r w:rsidR="00D5722F">
        <w:rPr>
          <w:szCs w:val="22"/>
        </w:rPr>
        <w:t xml:space="preserve"> </w:t>
      </w:r>
      <w:r w:rsidR="00B96AEE">
        <w:rPr>
          <w:szCs w:val="22"/>
        </w:rPr>
        <w:t xml:space="preserve">authorized </w:t>
      </w:r>
      <w:r w:rsidR="00893BF2">
        <w:rPr>
          <w:szCs w:val="22"/>
        </w:rPr>
        <w:t>covered</w:t>
      </w:r>
      <w:r w:rsidR="000C74A4">
        <w:rPr>
          <w:szCs w:val="22"/>
        </w:rPr>
        <w:t xml:space="preserve"> </w:t>
      </w:r>
      <w:r>
        <w:rPr>
          <w:szCs w:val="22"/>
        </w:rPr>
        <w:t>equipment serves the public interest.</w:t>
      </w:r>
    </w:p>
    <w:p w:rsidR="00164DDC" w:rsidP="00C73E9C" w14:paraId="76840AF0" w14:textId="77777777">
      <w:pPr>
        <w:pStyle w:val="ParaNum"/>
        <w:widowControl/>
        <w:numPr>
          <w:ilvl w:val="0"/>
          <w:numId w:val="0"/>
        </w:numPr>
        <w:spacing w:after="0"/>
        <w:rPr>
          <w:szCs w:val="22"/>
        </w:rPr>
      </w:pPr>
    </w:p>
    <w:p w:rsidR="00283DF0" w:rsidRPr="00801932" w:rsidP="00C73E9C" w14:paraId="64BE8221" w14:textId="5AD86059">
      <w:pPr>
        <w:pStyle w:val="ParaNum"/>
        <w:numPr>
          <w:ilvl w:val="0"/>
          <w:numId w:val="0"/>
        </w:numPr>
        <w:spacing w:after="0"/>
        <w:ind w:firstLine="720"/>
        <w:rPr>
          <w:szCs w:val="22"/>
        </w:rPr>
      </w:pPr>
      <w:r w:rsidRPr="00C55220">
        <w:rPr>
          <w:i/>
          <w:iCs/>
          <w:szCs w:val="22"/>
        </w:rPr>
        <w:t>National security</w:t>
      </w:r>
      <w:r w:rsidR="007B277B">
        <w:rPr>
          <w:i/>
          <w:iCs/>
          <w:szCs w:val="22"/>
        </w:rPr>
        <w:t xml:space="preserve"> impacts</w:t>
      </w:r>
      <w:r>
        <w:rPr>
          <w:szCs w:val="22"/>
        </w:rPr>
        <w:t xml:space="preserve">.  </w:t>
      </w:r>
      <w:r w:rsidR="00C475FD">
        <w:rPr>
          <w:szCs w:val="22"/>
        </w:rPr>
        <w:t>We start with national security concerns, because, as</w:t>
      </w:r>
      <w:r w:rsidR="00286A17">
        <w:rPr>
          <w:szCs w:val="22"/>
        </w:rPr>
        <w:t xml:space="preserve"> </w:t>
      </w:r>
      <w:r w:rsidR="00EB5E18">
        <w:rPr>
          <w:szCs w:val="22"/>
        </w:rPr>
        <w:t>the Commission noted</w:t>
      </w:r>
      <w:r w:rsidR="00286A17">
        <w:rPr>
          <w:szCs w:val="22"/>
        </w:rPr>
        <w:t xml:space="preserve"> in the </w:t>
      </w:r>
      <w:r w:rsidR="00286A17">
        <w:rPr>
          <w:i/>
          <w:iCs/>
          <w:szCs w:val="22"/>
        </w:rPr>
        <w:t>EA Security Second R&amp;O</w:t>
      </w:r>
      <w:r w:rsidR="00286A17">
        <w:rPr>
          <w:szCs w:val="22"/>
        </w:rPr>
        <w:t xml:space="preserve">, </w:t>
      </w:r>
      <w:r w:rsidRPr="00E77A6A" w:rsidR="00E77A6A">
        <w:rPr>
          <w:szCs w:val="22"/>
        </w:rPr>
        <w:t>“[i]t is obvious and unarguable that no</w:t>
      </w:r>
      <w:r w:rsidR="00E77A6A">
        <w:rPr>
          <w:szCs w:val="22"/>
        </w:rPr>
        <w:t xml:space="preserve"> </w:t>
      </w:r>
      <w:r w:rsidRPr="00E77A6A" w:rsidR="00E77A6A">
        <w:rPr>
          <w:szCs w:val="22"/>
        </w:rPr>
        <w:t>governmental interest is more compelling than the security of the Nation</w:t>
      </w:r>
      <w:r w:rsidR="00CB39AC">
        <w:rPr>
          <w:szCs w:val="22"/>
        </w:rPr>
        <w:t>.</w:t>
      </w:r>
      <w:r w:rsidRPr="00E77A6A" w:rsidR="00E77A6A">
        <w:rPr>
          <w:szCs w:val="22"/>
        </w:rPr>
        <w:t>”</w:t>
      </w:r>
      <w:r>
        <w:rPr>
          <w:rStyle w:val="FootnoteReference"/>
          <w:szCs w:val="22"/>
        </w:rPr>
        <w:footnoteReference w:id="16"/>
      </w:r>
      <w:r w:rsidR="000735C4">
        <w:rPr>
          <w:szCs w:val="22"/>
        </w:rPr>
        <w:t xml:space="preserve"> </w:t>
      </w:r>
      <w:r w:rsidR="00CB39AC">
        <w:rPr>
          <w:szCs w:val="22"/>
        </w:rPr>
        <w:t xml:space="preserve"> </w:t>
      </w:r>
      <w:r w:rsidRPr="00E77A6A">
        <w:rPr>
          <w:szCs w:val="22"/>
        </w:rPr>
        <w:t xml:space="preserve">In the </w:t>
      </w:r>
      <w:r w:rsidRPr="00E77A6A">
        <w:rPr>
          <w:i/>
          <w:iCs/>
          <w:szCs w:val="22"/>
        </w:rPr>
        <w:t>EA Security Second R&amp;O</w:t>
      </w:r>
      <w:r w:rsidRPr="00E77A6A">
        <w:rPr>
          <w:szCs w:val="22"/>
        </w:rPr>
        <w:t>, the Commission stated that older models of covered equipment, which are still widely sold in the U.S., pos</w:t>
      </w:r>
      <w:r w:rsidRPr="00E77A6A" w:rsidR="005A0256">
        <w:rPr>
          <w:szCs w:val="22"/>
        </w:rPr>
        <w:t>e</w:t>
      </w:r>
      <w:r w:rsidRPr="00E77A6A">
        <w:rPr>
          <w:szCs w:val="22"/>
        </w:rPr>
        <w:t xml:space="preserve"> an unacceptable risk to national security when imported or marketed in the United States, </w:t>
      </w:r>
      <w:r w:rsidRPr="00E77A6A" w:rsidR="005A0256">
        <w:rPr>
          <w:szCs w:val="22"/>
        </w:rPr>
        <w:t>“</w:t>
      </w:r>
      <w:r w:rsidRPr="00E77A6A">
        <w:rPr>
          <w:szCs w:val="22"/>
        </w:rPr>
        <w:t>not only when such equipment is new to the market.</w:t>
      </w:r>
      <w:r w:rsidRPr="00E77A6A" w:rsidR="005A0256">
        <w:rPr>
          <w:szCs w:val="22"/>
        </w:rPr>
        <w:t>”</w:t>
      </w:r>
      <w:r>
        <w:rPr>
          <w:rStyle w:val="FootnoteReference"/>
          <w:szCs w:val="22"/>
        </w:rPr>
        <w:footnoteReference w:id="17"/>
      </w:r>
      <w:r w:rsidRPr="00E77A6A" w:rsidR="00C859E3">
        <w:rPr>
          <w:szCs w:val="22"/>
        </w:rPr>
        <w:t xml:space="preserve">  </w:t>
      </w:r>
      <w:r w:rsidRPr="00E77A6A" w:rsidR="00C87122">
        <w:rPr>
          <w:szCs w:val="22"/>
        </w:rPr>
        <w:t xml:space="preserve">The Commission </w:t>
      </w:r>
      <w:r w:rsidRPr="00E77A6A" w:rsidR="00617784">
        <w:rPr>
          <w:szCs w:val="22"/>
        </w:rPr>
        <w:t xml:space="preserve">agreed with commenters who pointed out that </w:t>
      </w:r>
      <w:r w:rsidRPr="00E77A6A" w:rsidR="00A40742">
        <w:rPr>
          <w:szCs w:val="22"/>
        </w:rPr>
        <w:t>certain previously</w:t>
      </w:r>
      <w:r w:rsidRPr="00E77A6A" w:rsidR="009D1539">
        <w:rPr>
          <w:szCs w:val="22"/>
        </w:rPr>
        <w:t xml:space="preserve"> </w:t>
      </w:r>
      <w:r w:rsidRPr="00E77A6A" w:rsidR="00A40742">
        <w:rPr>
          <w:szCs w:val="22"/>
        </w:rPr>
        <w:t>authorized devices that are now considered covered equipment “likely remain</w:t>
      </w:r>
      <w:r w:rsidRPr="00E77A6A" w:rsidR="004A4C37">
        <w:rPr>
          <w:szCs w:val="22"/>
        </w:rPr>
        <w:t>[]</w:t>
      </w:r>
      <w:r w:rsidRPr="00E77A6A" w:rsidR="00A40742">
        <w:rPr>
          <w:szCs w:val="22"/>
        </w:rPr>
        <w:t xml:space="preserve"> marketable in the United States” and “may present continuing national security threats</w:t>
      </w:r>
      <w:r w:rsidRPr="00E77A6A" w:rsidR="006016F5">
        <w:rPr>
          <w:szCs w:val="22"/>
        </w:rPr>
        <w:t>.</w:t>
      </w:r>
      <w:r w:rsidRPr="00E77A6A" w:rsidR="003F5A3C">
        <w:rPr>
          <w:szCs w:val="22"/>
        </w:rPr>
        <w:t>”</w:t>
      </w:r>
      <w:r>
        <w:rPr>
          <w:rStyle w:val="FootnoteReference"/>
          <w:szCs w:val="22"/>
        </w:rPr>
        <w:footnoteReference w:id="18"/>
      </w:r>
      <w:r w:rsidRPr="00E77A6A" w:rsidR="003F5A3C">
        <w:rPr>
          <w:szCs w:val="22"/>
        </w:rPr>
        <w:t xml:space="preserve"> </w:t>
      </w:r>
      <w:r w:rsidRPr="00E77A6A" w:rsidR="006016F5">
        <w:rPr>
          <w:szCs w:val="22"/>
        </w:rPr>
        <w:t xml:space="preserve"> </w:t>
      </w:r>
    </w:p>
    <w:p w:rsidR="00283DF0" w:rsidP="00C73E9C" w14:paraId="528A053B" w14:textId="77777777">
      <w:pPr>
        <w:pStyle w:val="ParaNum"/>
        <w:widowControl/>
        <w:numPr>
          <w:ilvl w:val="0"/>
          <w:numId w:val="0"/>
        </w:numPr>
        <w:spacing w:after="0"/>
        <w:rPr>
          <w:szCs w:val="22"/>
        </w:rPr>
      </w:pPr>
    </w:p>
    <w:p w:rsidR="004952B9" w:rsidRPr="007748F9" w:rsidP="00C73E9C" w14:paraId="5B4D33CC" w14:textId="7FAE77C3">
      <w:pPr>
        <w:pStyle w:val="ParaNum"/>
        <w:widowControl/>
        <w:numPr>
          <w:ilvl w:val="0"/>
          <w:numId w:val="0"/>
        </w:numPr>
        <w:spacing w:after="0"/>
        <w:ind w:firstLine="720"/>
        <w:rPr>
          <w:szCs w:val="22"/>
        </w:rPr>
      </w:pPr>
      <w:r>
        <w:rPr>
          <w:szCs w:val="22"/>
        </w:rPr>
        <w:t>The Commission</w:t>
      </w:r>
      <w:r w:rsidR="002925FC">
        <w:rPr>
          <w:szCs w:val="22"/>
        </w:rPr>
        <w:t xml:space="preserve">’s </w:t>
      </w:r>
      <w:r w:rsidR="00FE3990">
        <w:rPr>
          <w:szCs w:val="22"/>
        </w:rPr>
        <w:t xml:space="preserve">initial, 2021 additions to the </w:t>
      </w:r>
      <w:r>
        <w:rPr>
          <w:szCs w:val="22"/>
        </w:rPr>
        <w:t>Covered List</w:t>
      </w:r>
      <w:r w:rsidR="00FE3990">
        <w:rPr>
          <w:szCs w:val="22"/>
        </w:rPr>
        <w:t xml:space="preserve"> were</w:t>
      </w:r>
      <w:r>
        <w:rPr>
          <w:szCs w:val="22"/>
        </w:rPr>
        <w:t xml:space="preserve"> pursuant to </w:t>
      </w:r>
      <w:r w:rsidR="00911650">
        <w:rPr>
          <w:szCs w:val="22"/>
        </w:rPr>
        <w:t xml:space="preserve">a </w:t>
      </w:r>
      <w:r w:rsidR="00FE70D9">
        <w:rPr>
          <w:szCs w:val="22"/>
        </w:rPr>
        <w:t xml:space="preserve">specific </w:t>
      </w:r>
      <w:r>
        <w:rPr>
          <w:szCs w:val="22"/>
        </w:rPr>
        <w:t>national security determination made by Congress.  S</w:t>
      </w:r>
      <w:r>
        <w:t xml:space="preserve">ection 2(c) of the Secure </w:t>
      </w:r>
      <w:r w:rsidR="001F7634">
        <w:t xml:space="preserve">and Trusted </w:t>
      </w:r>
      <w:r w:rsidR="001548DD">
        <w:t xml:space="preserve">Communications </w:t>
      </w:r>
      <w:r>
        <w:t xml:space="preserve">Networks Act of 2019 (Secure Networks Act) requires the Commission to place on the Covered List </w:t>
      </w:r>
      <w:r w:rsidR="00FA3A9F">
        <w:t xml:space="preserve">certain communications equipment and services </w:t>
      </w:r>
      <w:r w:rsidR="00FD67F8">
        <w:t>listed in statute</w:t>
      </w:r>
      <w:r w:rsidR="00E75907">
        <w:t>.</w:t>
      </w:r>
      <w:r>
        <w:rPr>
          <w:rStyle w:val="FootnoteReference"/>
        </w:rPr>
        <w:footnoteReference w:id="19"/>
      </w:r>
      <w:r>
        <w:t xml:space="preserve"> </w:t>
      </w:r>
      <w:r w:rsidR="00E75907">
        <w:t xml:space="preserve"> The</w:t>
      </w:r>
      <w:r w:rsidR="00FD3365">
        <w:t xml:space="preserve"> </w:t>
      </w:r>
      <w:r w:rsidR="00FF58EC">
        <w:t xml:space="preserve">Commission </w:t>
      </w:r>
      <w:r>
        <w:t>previous</w:t>
      </w:r>
      <w:r w:rsidR="00FF58EC">
        <w:t>ly</w:t>
      </w:r>
      <w:r>
        <w:t xml:space="preserve"> </w:t>
      </w:r>
      <w:r w:rsidR="00FF58EC">
        <w:t xml:space="preserve">found </w:t>
      </w:r>
      <w:r w:rsidR="00E75907">
        <w:t xml:space="preserve">that this directive </w:t>
      </w:r>
      <w:r>
        <w:t>constitute</w:t>
      </w:r>
      <w:r w:rsidR="00FD3365">
        <w:t>d</w:t>
      </w:r>
      <w:r>
        <w:t xml:space="preserve"> a </w:t>
      </w:r>
      <w:r w:rsidR="003B6A82">
        <w:t xml:space="preserve">specific </w:t>
      </w:r>
      <w:r>
        <w:t xml:space="preserve">determination </w:t>
      </w:r>
      <w:r>
        <w:rPr>
          <w:szCs w:val="22"/>
        </w:rPr>
        <w:t>that such equipment poses an “unacceptable risk to the national security of the United States or the security and safety of United States persons.”</w:t>
      </w:r>
      <w:r>
        <w:rPr>
          <w:rStyle w:val="FootnoteReference"/>
          <w:szCs w:val="22"/>
        </w:rPr>
        <w:footnoteReference w:id="20"/>
      </w:r>
      <w:r>
        <w:rPr>
          <w:szCs w:val="22"/>
        </w:rPr>
        <w:t xml:space="preserve">  </w:t>
      </w:r>
      <w:r w:rsidR="00E75907">
        <w:rPr>
          <w:szCs w:val="22"/>
        </w:rPr>
        <w:t>S</w:t>
      </w:r>
      <w:r w:rsidR="00911650">
        <w:rPr>
          <w:szCs w:val="22"/>
        </w:rPr>
        <w:t xml:space="preserve">uch </w:t>
      </w:r>
      <w:r w:rsidR="005925DF">
        <w:rPr>
          <w:szCs w:val="22"/>
        </w:rPr>
        <w:t>determination remain</w:t>
      </w:r>
      <w:r w:rsidR="00911650">
        <w:rPr>
          <w:szCs w:val="22"/>
        </w:rPr>
        <w:t>s</w:t>
      </w:r>
      <w:r w:rsidR="005925DF">
        <w:rPr>
          <w:szCs w:val="22"/>
        </w:rPr>
        <w:t xml:space="preserve"> </w:t>
      </w:r>
      <w:r w:rsidR="00D6789F">
        <w:rPr>
          <w:szCs w:val="22"/>
        </w:rPr>
        <w:t>applicable</w:t>
      </w:r>
      <w:r w:rsidR="007109C6">
        <w:rPr>
          <w:szCs w:val="22"/>
        </w:rPr>
        <w:t>.</w:t>
      </w:r>
      <w:r w:rsidR="00665E25">
        <w:rPr>
          <w:szCs w:val="22"/>
        </w:rPr>
        <w:t xml:space="preserve">  Separately, the addition of “equipment with integrated </w:t>
      </w:r>
      <w:r w:rsidR="0055574A">
        <w:rPr>
          <w:szCs w:val="22"/>
        </w:rPr>
        <w:t>Kaspersky</w:t>
      </w:r>
      <w:r w:rsidR="00665E25">
        <w:rPr>
          <w:szCs w:val="22"/>
        </w:rPr>
        <w:t xml:space="preserve"> Lab, (or any of its successors and </w:t>
      </w:r>
      <w:r w:rsidR="0055574A">
        <w:rPr>
          <w:szCs w:val="22"/>
        </w:rPr>
        <w:t>assignees</w:t>
      </w:r>
      <w:r w:rsidR="00665E25">
        <w:rPr>
          <w:szCs w:val="22"/>
        </w:rPr>
        <w:t>) cybersecurity or anti-vir</w:t>
      </w:r>
      <w:r w:rsidR="0055574A">
        <w:rPr>
          <w:szCs w:val="22"/>
        </w:rPr>
        <w:t xml:space="preserve">us software” was based on a specific determination </w:t>
      </w:r>
      <w:r w:rsidR="008B5A3A">
        <w:rPr>
          <w:szCs w:val="22"/>
        </w:rPr>
        <w:t>by the Department of Commerce that “</w:t>
      </w:r>
      <w:r w:rsidRPr="008B5A3A" w:rsidR="008B5A3A">
        <w:rPr>
          <w:szCs w:val="22"/>
        </w:rPr>
        <w:t xml:space="preserve">Kaspersky’s provision of cybersecurity and anti-virus software to U.S. persons, including through third-party entities that integrate Kaspersky cybersecurity or anti-virus software into commercial hardware or software, poses undue and unacceptable </w:t>
      </w:r>
      <w:r w:rsidRPr="008B5A3A" w:rsidR="008B5A3A">
        <w:rPr>
          <w:szCs w:val="22"/>
        </w:rPr>
        <w:t>risks to U.S. national security and to the security and safety of U.S. persons.”</w:t>
      </w:r>
      <w:r>
        <w:rPr>
          <w:rStyle w:val="FootnoteReference"/>
          <w:szCs w:val="22"/>
        </w:rPr>
        <w:footnoteReference w:id="21"/>
      </w:r>
      <w:r w:rsidRPr="008B5A3A" w:rsidR="008B5A3A">
        <w:rPr>
          <w:szCs w:val="22"/>
        </w:rPr>
        <w:t xml:space="preserve"> </w:t>
      </w:r>
      <w:r w:rsidR="007109C6">
        <w:rPr>
          <w:szCs w:val="22"/>
        </w:rPr>
        <w:t xml:space="preserve"> </w:t>
      </w:r>
      <w:r w:rsidR="000C41DD">
        <w:t>Accordingly</w:t>
      </w:r>
      <w:r w:rsidR="001D57BA">
        <w:t>, w</w:t>
      </w:r>
      <w:r w:rsidR="001F5F7C">
        <w:rPr>
          <w:szCs w:val="22"/>
        </w:rPr>
        <w:t>e</w:t>
      </w:r>
      <w:r w:rsidR="001F5F7C">
        <w:t xml:space="preserve"> </w:t>
      </w:r>
      <w:r w:rsidR="009F07BE">
        <w:t xml:space="preserve">tentatively conclude </w:t>
      </w:r>
      <w:r w:rsidR="001F5F7C">
        <w:t xml:space="preserve">that </w:t>
      </w:r>
      <w:r w:rsidRPr="00773C59" w:rsidR="001F5F7C">
        <w:rPr>
          <w:szCs w:val="22"/>
        </w:rPr>
        <w:t>prohibit</w:t>
      </w:r>
      <w:r w:rsidR="001F5F7C">
        <w:rPr>
          <w:szCs w:val="22"/>
        </w:rPr>
        <w:t>ing</w:t>
      </w:r>
      <w:r w:rsidRPr="00773C59" w:rsidR="001F5F7C">
        <w:rPr>
          <w:szCs w:val="22"/>
        </w:rPr>
        <w:t xml:space="preserve"> the continued importation and marketing </w:t>
      </w:r>
      <w:r w:rsidR="000C41DD">
        <w:rPr>
          <w:szCs w:val="22"/>
        </w:rPr>
        <w:t>of</w:t>
      </w:r>
      <w:r w:rsidR="00222E20">
        <w:rPr>
          <w:szCs w:val="22"/>
        </w:rPr>
        <w:t xml:space="preserve"> previously authorized</w:t>
      </w:r>
      <w:r w:rsidR="000C41DD">
        <w:rPr>
          <w:szCs w:val="22"/>
        </w:rPr>
        <w:t xml:space="preserve"> </w:t>
      </w:r>
      <w:r w:rsidR="003930C6">
        <w:t>equipment added at that time</w:t>
      </w:r>
      <w:r w:rsidR="003E2923">
        <w:t xml:space="preserve"> </w:t>
      </w:r>
      <w:r w:rsidR="00E14D54">
        <w:t>is necessary to</w:t>
      </w:r>
      <w:r w:rsidR="001F5F7C">
        <w:t xml:space="preserve"> protect national security by mitigating risks to the U.S. communications sector.</w:t>
      </w:r>
      <w:r w:rsidR="001D57BA">
        <w:rPr>
          <w:szCs w:val="22"/>
        </w:rPr>
        <w:t xml:space="preserve"> </w:t>
      </w:r>
      <w:r w:rsidR="00122C05">
        <w:rPr>
          <w:szCs w:val="22"/>
        </w:rPr>
        <w:t xml:space="preserve"> </w:t>
      </w:r>
      <w:r>
        <w:t xml:space="preserve">We seek comment on </w:t>
      </w:r>
      <w:r w:rsidR="007A4DF7">
        <w:t>thi</w:t>
      </w:r>
      <w:r w:rsidR="00D511F7">
        <w:t xml:space="preserve">s </w:t>
      </w:r>
      <w:r w:rsidR="009F07BE">
        <w:t xml:space="preserve">proposed </w:t>
      </w:r>
      <w:r w:rsidR="00D511F7">
        <w:t>analysis.</w:t>
      </w:r>
      <w:r w:rsidR="0007777B">
        <w:t xml:space="preserve">  </w:t>
      </w:r>
    </w:p>
    <w:p w:rsidR="00015A2F" w:rsidRPr="00095B1C" w:rsidP="00C73E9C" w14:paraId="4AE7BD66" w14:textId="77777777">
      <w:pPr>
        <w:pStyle w:val="ParaNum"/>
        <w:widowControl/>
        <w:numPr>
          <w:ilvl w:val="0"/>
          <w:numId w:val="0"/>
        </w:numPr>
        <w:spacing w:after="0"/>
        <w:rPr>
          <w:color w:val="EE0000"/>
          <w:szCs w:val="22"/>
        </w:rPr>
      </w:pPr>
    </w:p>
    <w:p w:rsidR="00746A2D" w:rsidP="00C73E9C" w14:paraId="7083D3A8" w14:textId="598FC1D0">
      <w:pPr>
        <w:pStyle w:val="ParaNum"/>
        <w:widowControl/>
        <w:numPr>
          <w:ilvl w:val="0"/>
          <w:numId w:val="0"/>
        </w:numPr>
        <w:spacing w:after="0"/>
        <w:ind w:firstLine="720"/>
      </w:pPr>
      <w:r w:rsidRPr="00045CDD">
        <w:rPr>
          <w:i/>
          <w:szCs w:val="22"/>
        </w:rPr>
        <w:t>Economic and supply chain impacts</w:t>
      </w:r>
      <w:r w:rsidRPr="00045CDD" w:rsidR="00B602D9">
        <w:rPr>
          <w:szCs w:val="22"/>
        </w:rPr>
        <w:t>.</w:t>
      </w:r>
      <w:r w:rsidRPr="00045CDD" w:rsidR="00A61741">
        <w:rPr>
          <w:szCs w:val="22"/>
        </w:rPr>
        <w:t xml:space="preserve"> </w:t>
      </w:r>
      <w:r w:rsidRPr="00045CDD" w:rsidR="00FD1364">
        <w:rPr>
          <w:szCs w:val="22"/>
        </w:rPr>
        <w:t xml:space="preserve"> We seek comment on the potential economic and supply chain impacts of </w:t>
      </w:r>
      <w:r w:rsidRPr="00045CDD" w:rsidR="00045CDD">
        <w:rPr>
          <w:szCs w:val="22"/>
        </w:rPr>
        <w:t xml:space="preserve">prohibiting the continued importation and marketing </w:t>
      </w:r>
      <w:r w:rsidR="00253E03">
        <w:rPr>
          <w:szCs w:val="22"/>
        </w:rPr>
        <w:t xml:space="preserve">of </w:t>
      </w:r>
      <w:r w:rsidR="00AC29EF">
        <w:t xml:space="preserve">already-authorized covered equipment that was added to the Covered List </w:t>
      </w:r>
      <w:r w:rsidR="00665E25">
        <w:t>in 2024 or earlier</w:t>
      </w:r>
      <w:r w:rsidRPr="00045CDD" w:rsidR="00045CDD">
        <w:t xml:space="preserve">.  </w:t>
      </w:r>
      <w:r w:rsidR="00AF6499">
        <w:t>How w</w:t>
      </w:r>
      <w:r w:rsidR="009F6987">
        <w:t>ould</w:t>
      </w:r>
      <w:r w:rsidR="00AF6499">
        <w:t xml:space="preserve"> this proposed action affect </w:t>
      </w:r>
      <w:r w:rsidR="009E2CEF">
        <w:t xml:space="preserve">the financial </w:t>
      </w:r>
      <w:r w:rsidR="004B6D9E">
        <w:t xml:space="preserve">interests </w:t>
      </w:r>
      <w:r w:rsidR="009E2CEF">
        <w:t xml:space="preserve">of </w:t>
      </w:r>
      <w:r w:rsidR="00646639">
        <w:t xml:space="preserve">consumers, providers, </w:t>
      </w:r>
      <w:r w:rsidR="00511855">
        <w:t xml:space="preserve">and manufacturers in </w:t>
      </w:r>
      <w:r w:rsidR="00E843D6">
        <w:t xml:space="preserve">the communications sector?  </w:t>
      </w:r>
      <w:r w:rsidRPr="00030837" w:rsidR="00030837">
        <w:rPr>
          <w:szCs w:val="22"/>
        </w:rPr>
        <w:t xml:space="preserve">As </w:t>
      </w:r>
      <w:r w:rsidR="00EA284D">
        <w:rPr>
          <w:szCs w:val="22"/>
        </w:rPr>
        <w:t>the Commission</w:t>
      </w:r>
      <w:r w:rsidRPr="00030837" w:rsidR="00030837">
        <w:rPr>
          <w:szCs w:val="22"/>
        </w:rPr>
        <w:t xml:space="preserve"> noted in the </w:t>
      </w:r>
      <w:r w:rsidRPr="00030837" w:rsidR="00030837">
        <w:rPr>
          <w:i/>
          <w:iCs/>
          <w:szCs w:val="22"/>
        </w:rPr>
        <w:t>EA Security Second R&amp;O</w:t>
      </w:r>
      <w:r w:rsidRPr="00030837" w:rsidR="00030837">
        <w:rPr>
          <w:szCs w:val="22"/>
        </w:rPr>
        <w:t xml:space="preserve">, </w:t>
      </w:r>
      <w:r w:rsidR="00EA284D">
        <w:rPr>
          <w:szCs w:val="22"/>
        </w:rPr>
        <w:t>it</w:t>
      </w:r>
      <w:r w:rsidRPr="00030837" w:rsidR="00030837">
        <w:rPr>
          <w:szCs w:val="22"/>
        </w:rPr>
        <w:t xml:space="preserve"> may consider “countervailing economic concerns when implementing the prohibitions for already-authorized devices.”</w:t>
      </w:r>
      <w:r>
        <w:rPr>
          <w:rStyle w:val="FootnoteReference"/>
          <w:szCs w:val="22"/>
        </w:rPr>
        <w:footnoteReference w:id="22"/>
      </w:r>
      <w:r w:rsidRPr="00030837" w:rsidR="00030837">
        <w:rPr>
          <w:szCs w:val="22"/>
        </w:rPr>
        <w:t xml:space="preserve">  </w:t>
      </w:r>
      <w:r w:rsidR="00C37790">
        <w:rPr>
          <w:szCs w:val="22"/>
        </w:rPr>
        <w:t xml:space="preserve">What are </w:t>
      </w:r>
      <w:r w:rsidR="00F540B2">
        <w:rPr>
          <w:szCs w:val="22"/>
        </w:rPr>
        <w:t xml:space="preserve">the economic or supply chain </w:t>
      </w:r>
      <w:r w:rsidR="005E6F8C">
        <w:rPr>
          <w:szCs w:val="22"/>
        </w:rPr>
        <w:t xml:space="preserve">considerations that </w:t>
      </w:r>
      <w:r w:rsidR="00C37790">
        <w:rPr>
          <w:iCs/>
          <w:szCs w:val="22"/>
        </w:rPr>
        <w:t>weigh in favor or against taking this proposed action?</w:t>
      </w:r>
      <w:r w:rsidR="00C37790">
        <w:t xml:space="preserve">  </w:t>
      </w:r>
      <w:r w:rsidR="00EB255C">
        <w:t xml:space="preserve">We invite commenters to provide </w:t>
      </w:r>
      <w:r w:rsidR="008D1AD3">
        <w:t>data that we should consider in our analysis.</w:t>
      </w:r>
      <w:r w:rsidR="00E843D6">
        <w:t xml:space="preserve">  </w:t>
      </w:r>
    </w:p>
    <w:p w:rsidR="00746A2D" w:rsidP="00C73E9C" w14:paraId="13B17B6C" w14:textId="77777777">
      <w:pPr>
        <w:pStyle w:val="ParaNum"/>
        <w:widowControl/>
        <w:numPr>
          <w:ilvl w:val="0"/>
          <w:numId w:val="0"/>
        </w:numPr>
        <w:spacing w:after="0"/>
      </w:pPr>
    </w:p>
    <w:p w:rsidR="008D6B8E" w:rsidP="00C73E9C" w14:paraId="7DE3C1AF" w14:textId="63356D5F">
      <w:pPr>
        <w:pStyle w:val="ParaNum"/>
        <w:widowControl/>
        <w:numPr>
          <w:ilvl w:val="0"/>
          <w:numId w:val="0"/>
        </w:numPr>
        <w:spacing w:after="0"/>
        <w:ind w:firstLine="720"/>
        <w:rPr>
          <w:color w:val="EE0000"/>
          <w:szCs w:val="22"/>
        </w:rPr>
      </w:pPr>
      <w:r w:rsidRPr="00EE5A92">
        <w:rPr>
          <w:szCs w:val="22"/>
        </w:rPr>
        <w:t xml:space="preserve">We </w:t>
      </w:r>
      <w:r w:rsidR="00224E3C">
        <w:rPr>
          <w:szCs w:val="22"/>
        </w:rPr>
        <w:t>tentatively conclude</w:t>
      </w:r>
      <w:r w:rsidRPr="00EE5A92">
        <w:rPr>
          <w:szCs w:val="22"/>
        </w:rPr>
        <w:t xml:space="preserve"> that </w:t>
      </w:r>
      <w:r w:rsidRPr="00822F87" w:rsidR="009E0DF0">
        <w:rPr>
          <w:szCs w:val="22"/>
        </w:rPr>
        <w:t xml:space="preserve">our proposed action would </w:t>
      </w:r>
      <w:r w:rsidR="00224E3C">
        <w:rPr>
          <w:szCs w:val="22"/>
        </w:rPr>
        <w:t xml:space="preserve">not </w:t>
      </w:r>
      <w:r w:rsidRPr="00822F87" w:rsidR="009E0DF0">
        <w:rPr>
          <w:szCs w:val="22"/>
        </w:rPr>
        <w:t xml:space="preserve">have </w:t>
      </w:r>
      <w:r w:rsidR="00224E3C">
        <w:rPr>
          <w:szCs w:val="22"/>
        </w:rPr>
        <w:t xml:space="preserve">substantial </w:t>
      </w:r>
      <w:r w:rsidRPr="00EE5A92">
        <w:rPr>
          <w:szCs w:val="22"/>
        </w:rPr>
        <w:t>economic and supply chain impacts</w:t>
      </w:r>
      <w:r w:rsidR="00224E3C">
        <w:rPr>
          <w:szCs w:val="22"/>
        </w:rPr>
        <w:t>.</w:t>
      </w:r>
      <w:r w:rsidRPr="00EE5A92" w:rsidR="00B817AA">
        <w:rPr>
          <w:szCs w:val="22"/>
        </w:rPr>
        <w:t xml:space="preserve"> </w:t>
      </w:r>
      <w:r w:rsidR="00BA4B72">
        <w:rPr>
          <w:szCs w:val="22"/>
        </w:rPr>
        <w:t xml:space="preserve"> First, devices added to the Covered List as part of the Kaspersky listing in 2024</w:t>
      </w:r>
      <w:r w:rsidR="00C73BA8">
        <w:rPr>
          <w:szCs w:val="22"/>
        </w:rPr>
        <w:t xml:space="preserve"> are already prohibited from importation or marketing under Department of Commerce rules.</w:t>
      </w:r>
      <w:r>
        <w:rPr>
          <w:rStyle w:val="FootnoteReference"/>
          <w:szCs w:val="22"/>
        </w:rPr>
        <w:footnoteReference w:id="23"/>
      </w:r>
      <w:r w:rsidR="00C73BA8">
        <w:rPr>
          <w:szCs w:val="22"/>
        </w:rPr>
        <w:t xml:space="preserve"> </w:t>
      </w:r>
      <w:r w:rsidR="00BA4B72">
        <w:rPr>
          <w:szCs w:val="22"/>
        </w:rPr>
        <w:t xml:space="preserve"> </w:t>
      </w:r>
      <w:r w:rsidR="00963AFD">
        <w:rPr>
          <w:szCs w:val="22"/>
        </w:rPr>
        <w:t>Second, equipment added to the Covered List i</w:t>
      </w:r>
      <w:r w:rsidR="00B16647">
        <w:rPr>
          <w:szCs w:val="22"/>
        </w:rPr>
        <w:t xml:space="preserve">n the initial 2021 listing has not received authorization since November 11, 2022, over three years ago.  Moreover, </w:t>
      </w:r>
      <w:r w:rsidRPr="00822F87" w:rsidR="00D00BDA">
        <w:rPr>
          <w:szCs w:val="22"/>
        </w:rPr>
        <w:t xml:space="preserve">a significant amount of </w:t>
      </w:r>
      <w:r w:rsidR="00BA4B72">
        <w:rPr>
          <w:szCs w:val="22"/>
        </w:rPr>
        <w:t>th</w:t>
      </w:r>
      <w:r w:rsidR="00B16647">
        <w:rPr>
          <w:szCs w:val="22"/>
        </w:rPr>
        <w:t>is</w:t>
      </w:r>
      <w:r w:rsidRPr="00822F87" w:rsidR="00D00BDA">
        <w:rPr>
          <w:szCs w:val="22"/>
        </w:rPr>
        <w:t xml:space="preserve"> equipment has been removed from U.S. communications </w:t>
      </w:r>
      <w:r w:rsidRPr="00822F87" w:rsidR="00271DD3">
        <w:rPr>
          <w:szCs w:val="22"/>
        </w:rPr>
        <w:t>networks in recent years</w:t>
      </w:r>
      <w:r w:rsidRPr="00EE5A92" w:rsidR="00E73F04">
        <w:rPr>
          <w:szCs w:val="22"/>
        </w:rPr>
        <w:t>.</w:t>
      </w:r>
      <w:r>
        <w:rPr>
          <w:rStyle w:val="FootnoteReference"/>
          <w:szCs w:val="22"/>
        </w:rPr>
        <w:footnoteReference w:id="24"/>
      </w:r>
      <w:r w:rsidR="00E73F04">
        <w:rPr>
          <w:szCs w:val="22"/>
        </w:rPr>
        <w:t xml:space="preserve">  </w:t>
      </w:r>
      <w:r w:rsidR="008D4720">
        <w:rPr>
          <w:szCs w:val="22"/>
        </w:rPr>
        <w:t xml:space="preserve">Do commenters agree that </w:t>
      </w:r>
      <w:r w:rsidR="00FB0C62">
        <w:rPr>
          <w:szCs w:val="22"/>
        </w:rPr>
        <w:t>economic and supply chain impacts are relatively minor?</w:t>
      </w:r>
      <w:r w:rsidRPr="00BA7801" w:rsidR="00E843D6">
        <w:rPr>
          <w:szCs w:val="22"/>
        </w:rPr>
        <w:t xml:space="preserve"> </w:t>
      </w:r>
      <w:r w:rsidRPr="00BA7801" w:rsidR="001D4F47">
        <w:rPr>
          <w:szCs w:val="22"/>
        </w:rPr>
        <w:t xml:space="preserve"> </w:t>
      </w:r>
      <w:r w:rsidR="009B56B4">
        <w:rPr>
          <w:szCs w:val="22"/>
        </w:rPr>
        <w:t xml:space="preserve">Has </w:t>
      </w:r>
      <w:r w:rsidRPr="00BA7801" w:rsidR="004E041A">
        <w:rPr>
          <w:szCs w:val="22"/>
        </w:rPr>
        <w:t xml:space="preserve">industry </w:t>
      </w:r>
      <w:r w:rsidR="009B56B4">
        <w:rPr>
          <w:szCs w:val="22"/>
        </w:rPr>
        <w:t>sufficiently</w:t>
      </w:r>
      <w:r w:rsidRPr="00BA7801" w:rsidR="004E041A">
        <w:rPr>
          <w:szCs w:val="22"/>
        </w:rPr>
        <w:t xml:space="preserve"> fill</w:t>
      </w:r>
      <w:r w:rsidR="009B56B4">
        <w:rPr>
          <w:szCs w:val="22"/>
        </w:rPr>
        <w:t>ed</w:t>
      </w:r>
      <w:r w:rsidRPr="00BA7801" w:rsidR="004E041A">
        <w:rPr>
          <w:szCs w:val="22"/>
        </w:rPr>
        <w:t xml:space="preserve"> any void created by the </w:t>
      </w:r>
      <w:r w:rsidRPr="00BA7801" w:rsidR="008A49F3">
        <w:rPr>
          <w:szCs w:val="22"/>
        </w:rPr>
        <w:t>lack of new authorization</w:t>
      </w:r>
      <w:r w:rsidR="00E76CBF">
        <w:rPr>
          <w:szCs w:val="22"/>
        </w:rPr>
        <w:t xml:space="preserve">s for </w:t>
      </w:r>
      <w:r w:rsidR="00FB0C62">
        <w:rPr>
          <w:szCs w:val="22"/>
        </w:rPr>
        <w:t>covered equipment</w:t>
      </w:r>
      <w:r w:rsidR="009B56B4">
        <w:rPr>
          <w:szCs w:val="22"/>
        </w:rPr>
        <w:t xml:space="preserve"> the past three years?</w:t>
      </w:r>
      <w:r w:rsidRPr="00BA7801" w:rsidR="00613B93">
        <w:rPr>
          <w:szCs w:val="22"/>
        </w:rPr>
        <w:t xml:space="preserve"> </w:t>
      </w:r>
      <w:r w:rsidR="00E93CB6">
        <w:rPr>
          <w:szCs w:val="22"/>
        </w:rPr>
        <w:t xml:space="preserve"> </w:t>
      </w:r>
      <w:r w:rsidR="008D1576">
        <w:rPr>
          <w:szCs w:val="22"/>
        </w:rPr>
        <w:t xml:space="preserve">As lifecycle </w:t>
      </w:r>
      <w:r w:rsidR="00061892">
        <w:rPr>
          <w:szCs w:val="22"/>
        </w:rPr>
        <w:t>benchmarks are reached</w:t>
      </w:r>
      <w:r w:rsidR="00131FF3">
        <w:rPr>
          <w:szCs w:val="22"/>
        </w:rPr>
        <w:t xml:space="preserve"> and equipment becomes obsolete</w:t>
      </w:r>
      <w:r w:rsidR="00061892">
        <w:rPr>
          <w:szCs w:val="22"/>
        </w:rPr>
        <w:t xml:space="preserve">, have consumers </w:t>
      </w:r>
      <w:r w:rsidR="001E46A9">
        <w:rPr>
          <w:szCs w:val="22"/>
        </w:rPr>
        <w:t>take</w:t>
      </w:r>
      <w:r w:rsidR="00354FF3">
        <w:rPr>
          <w:szCs w:val="22"/>
        </w:rPr>
        <w:t>n</w:t>
      </w:r>
      <w:r w:rsidR="001E46A9">
        <w:rPr>
          <w:szCs w:val="22"/>
        </w:rPr>
        <w:t xml:space="preserve"> advantage of </w:t>
      </w:r>
      <w:r w:rsidR="00AE5D07">
        <w:rPr>
          <w:szCs w:val="22"/>
        </w:rPr>
        <w:t>the marketplace for trusted entities</w:t>
      </w:r>
      <w:r w:rsidR="00881961">
        <w:rPr>
          <w:szCs w:val="22"/>
        </w:rPr>
        <w:t xml:space="preserve"> that provide such equipment as </w:t>
      </w:r>
      <w:r w:rsidR="003C58E3">
        <w:rPr>
          <w:szCs w:val="22"/>
        </w:rPr>
        <w:t>bona fide alternatives</w:t>
      </w:r>
      <w:r w:rsidR="00BD0F5A">
        <w:rPr>
          <w:szCs w:val="22"/>
        </w:rPr>
        <w:t xml:space="preserve"> to </w:t>
      </w:r>
      <w:r w:rsidR="003E2479">
        <w:rPr>
          <w:szCs w:val="22"/>
        </w:rPr>
        <w:t>covered equipment</w:t>
      </w:r>
      <w:r w:rsidR="007936B1">
        <w:rPr>
          <w:szCs w:val="22"/>
        </w:rPr>
        <w:t>?</w:t>
      </w:r>
      <w:r w:rsidR="00A22035">
        <w:rPr>
          <w:szCs w:val="22"/>
        </w:rPr>
        <w:t xml:space="preserve">  </w:t>
      </w:r>
      <w:r w:rsidRPr="007936B1" w:rsidR="007936B1">
        <w:rPr>
          <w:szCs w:val="22"/>
        </w:rPr>
        <w:t>W</w:t>
      </w:r>
      <w:r w:rsidR="007936B1">
        <w:rPr>
          <w:szCs w:val="22"/>
        </w:rPr>
        <w:t>ould</w:t>
      </w:r>
      <w:r w:rsidRPr="007936B1" w:rsidR="007936B1">
        <w:rPr>
          <w:szCs w:val="22"/>
        </w:rPr>
        <w:t xml:space="preserve"> </w:t>
      </w:r>
      <w:r w:rsidRPr="007936B1" w:rsidR="00A41600">
        <w:rPr>
          <w:szCs w:val="22"/>
        </w:rPr>
        <w:t xml:space="preserve">this </w:t>
      </w:r>
      <w:r w:rsidR="007936B1">
        <w:rPr>
          <w:szCs w:val="22"/>
        </w:rPr>
        <w:t xml:space="preserve">proposed </w:t>
      </w:r>
      <w:r w:rsidRPr="007936B1" w:rsidR="00A41600">
        <w:rPr>
          <w:szCs w:val="22"/>
        </w:rPr>
        <w:t xml:space="preserve">change in policy be cost-effective for the public in terms of </w:t>
      </w:r>
      <w:r w:rsidR="007936B1">
        <w:rPr>
          <w:szCs w:val="22"/>
        </w:rPr>
        <w:t>obtaining</w:t>
      </w:r>
      <w:r w:rsidRPr="007936B1" w:rsidR="007936B1">
        <w:rPr>
          <w:szCs w:val="22"/>
        </w:rPr>
        <w:t xml:space="preserve"> </w:t>
      </w:r>
      <w:r w:rsidRPr="007936B1" w:rsidR="00A41600">
        <w:rPr>
          <w:szCs w:val="22"/>
        </w:rPr>
        <w:t>t</w:t>
      </w:r>
      <w:r w:rsidRPr="007936B1" w:rsidR="00D42F61">
        <w:rPr>
          <w:szCs w:val="22"/>
        </w:rPr>
        <w:t>rust</w:t>
      </w:r>
      <w:r w:rsidRPr="007936B1" w:rsidR="00A41600">
        <w:rPr>
          <w:szCs w:val="22"/>
        </w:rPr>
        <w:t>e</w:t>
      </w:r>
      <w:r w:rsidRPr="007936B1" w:rsidR="00D42F61">
        <w:rPr>
          <w:szCs w:val="22"/>
        </w:rPr>
        <w:t>d</w:t>
      </w:r>
      <w:r w:rsidRPr="007936B1" w:rsidR="00A41600">
        <w:rPr>
          <w:szCs w:val="22"/>
        </w:rPr>
        <w:t xml:space="preserve"> equipment?</w:t>
      </w:r>
      <w:r w:rsidRPr="007936B1" w:rsidR="00070B5A">
        <w:rPr>
          <w:szCs w:val="22"/>
        </w:rPr>
        <w:t xml:space="preserve">  </w:t>
      </w:r>
      <w:r w:rsidRPr="007936B1" w:rsidR="008E4171">
        <w:rPr>
          <w:szCs w:val="22"/>
        </w:rPr>
        <w:t>W</w:t>
      </w:r>
      <w:r w:rsidR="007936B1">
        <w:rPr>
          <w:szCs w:val="22"/>
        </w:rPr>
        <w:t>ould</w:t>
      </w:r>
      <w:r w:rsidRPr="007936B1" w:rsidR="008E4171">
        <w:rPr>
          <w:szCs w:val="22"/>
        </w:rPr>
        <w:t xml:space="preserve"> provider</w:t>
      </w:r>
      <w:r w:rsidR="007936B1">
        <w:rPr>
          <w:szCs w:val="22"/>
        </w:rPr>
        <w:t>s</w:t>
      </w:r>
      <w:r w:rsidRPr="007936B1" w:rsidR="008E4171">
        <w:rPr>
          <w:szCs w:val="22"/>
        </w:rPr>
        <w:t xml:space="preserve">’ compliance costs decrease as they </w:t>
      </w:r>
      <w:r w:rsidR="004B6519">
        <w:rPr>
          <w:szCs w:val="22"/>
        </w:rPr>
        <w:t>replace</w:t>
      </w:r>
      <w:r w:rsidRPr="007936B1" w:rsidR="008E4171">
        <w:rPr>
          <w:szCs w:val="22"/>
        </w:rPr>
        <w:t xml:space="preserve"> covered equipment</w:t>
      </w:r>
      <w:r w:rsidRPr="007936B1" w:rsidR="00B8331B">
        <w:rPr>
          <w:szCs w:val="22"/>
        </w:rPr>
        <w:t xml:space="preserve"> with trusted equipment</w:t>
      </w:r>
      <w:r w:rsidRPr="007936B1" w:rsidR="008E4171">
        <w:rPr>
          <w:szCs w:val="22"/>
        </w:rPr>
        <w:t>?</w:t>
      </w:r>
      <w:r w:rsidR="00BD7FE6">
        <w:rPr>
          <w:szCs w:val="22"/>
        </w:rPr>
        <w:t xml:space="preserve">  </w:t>
      </w:r>
    </w:p>
    <w:p w:rsidR="00015F4A" w:rsidP="00C73E9C" w14:paraId="2CDB7E69" w14:textId="77777777">
      <w:pPr>
        <w:pStyle w:val="ParaNum"/>
        <w:widowControl/>
        <w:numPr>
          <w:ilvl w:val="0"/>
          <w:numId w:val="0"/>
        </w:numPr>
        <w:spacing w:after="0"/>
        <w:rPr>
          <w:iCs/>
          <w:szCs w:val="22"/>
        </w:rPr>
      </w:pPr>
    </w:p>
    <w:p w:rsidR="00224E3C" w:rsidP="00C73E9C" w14:paraId="4507F756" w14:textId="53F8A5E5">
      <w:pPr>
        <w:pStyle w:val="ParaNum"/>
        <w:widowControl/>
        <w:numPr>
          <w:ilvl w:val="0"/>
          <w:numId w:val="0"/>
        </w:numPr>
        <w:spacing w:after="0"/>
        <w:ind w:firstLine="720"/>
      </w:pPr>
      <w:r>
        <w:rPr>
          <w:i/>
          <w:iCs/>
        </w:rPr>
        <w:t>Other Considerations</w:t>
      </w:r>
      <w:r>
        <w:t>.</w:t>
      </w:r>
      <w:r w:rsidR="00EB1B12">
        <w:t xml:space="preserve"> </w:t>
      </w:r>
      <w:r>
        <w:rPr>
          <w:i/>
          <w:iCs/>
        </w:rPr>
        <w:t xml:space="preserve"> </w:t>
      </w:r>
      <w:r w:rsidR="002915F2">
        <w:t>We also note that certain</w:t>
      </w:r>
      <w:r w:rsidR="00EB1B12">
        <w:t xml:space="preserve"> equipment is only on the Covered List</w:t>
      </w:r>
      <w:r w:rsidR="002915F2">
        <w:t xml:space="preserve"> “to</w:t>
      </w:r>
      <w:r w:rsidRPr="002915F2" w:rsidR="002915F2">
        <w:t> the extent it is used for the purpose of public safety, security of government facilities, physical security surveillance of critical infrastructure, and other national security purposes</w:t>
      </w:r>
      <w:r w:rsidR="002915F2">
        <w:t>.”</w:t>
      </w:r>
      <w:r>
        <w:rPr>
          <w:rStyle w:val="FootnoteReference"/>
        </w:rPr>
        <w:footnoteReference w:id="25"/>
      </w:r>
      <w:r w:rsidR="00EB1B12">
        <w:t xml:space="preserve">  How, if at all, should we consider this </w:t>
      </w:r>
      <w:r w:rsidR="00B949D4">
        <w:t>use-base</w:t>
      </w:r>
      <w:r w:rsidR="00C8166B">
        <w:t>d</w:t>
      </w:r>
      <w:r w:rsidR="00B949D4">
        <w:t xml:space="preserve"> </w:t>
      </w:r>
      <w:r w:rsidR="000E1078">
        <w:t>limitation on what qualifies as covered equipment</w:t>
      </w:r>
      <w:r w:rsidR="00EB1B12">
        <w:t xml:space="preserve">?  Should we </w:t>
      </w:r>
      <w:r w:rsidR="00B949D4">
        <w:t xml:space="preserve">exempt any equipment subject to this use-based </w:t>
      </w:r>
      <w:r w:rsidR="000E1078">
        <w:t xml:space="preserve">limitation from any prohibition on importation and marketing? </w:t>
      </w:r>
      <w:r w:rsidR="00951EFE">
        <w:t xml:space="preserve"> Or should</w:t>
      </w:r>
      <w:r w:rsidR="0056124C">
        <w:t xml:space="preserve"> we subject all</w:t>
      </w:r>
      <w:r w:rsidR="00F942C6">
        <w:t xml:space="preserve"> such equipment to </w:t>
      </w:r>
      <w:r w:rsidR="00C3700C">
        <w:t>any prohibition?</w:t>
      </w:r>
    </w:p>
    <w:p w:rsidR="002915F2" w:rsidRPr="002915F2" w:rsidP="00C73E9C" w14:paraId="3415E173" w14:textId="77777777">
      <w:pPr>
        <w:pStyle w:val="ParaNum"/>
        <w:widowControl/>
        <w:numPr>
          <w:ilvl w:val="0"/>
          <w:numId w:val="0"/>
        </w:numPr>
        <w:spacing w:after="0"/>
        <w:rPr>
          <w:b/>
          <w:bCs/>
          <w:iCs/>
          <w:szCs w:val="22"/>
        </w:rPr>
      </w:pPr>
    </w:p>
    <w:p w:rsidR="002B0DD8" w:rsidRPr="002A5B87" w:rsidP="00C73E9C" w14:paraId="3B9D70BD" w14:textId="63200A2C">
      <w:pPr>
        <w:pStyle w:val="ParaNum"/>
        <w:widowControl/>
        <w:numPr>
          <w:ilvl w:val="0"/>
          <w:numId w:val="0"/>
        </w:numPr>
        <w:spacing w:after="0"/>
        <w:ind w:firstLine="720"/>
        <w:rPr>
          <w:szCs w:val="22"/>
        </w:rPr>
      </w:pPr>
      <w:r w:rsidRPr="00095B1C">
        <w:rPr>
          <w:i/>
          <w:szCs w:val="22"/>
        </w:rPr>
        <w:t>Public interest analysis</w:t>
      </w:r>
      <w:r w:rsidRPr="00095B1C">
        <w:rPr>
          <w:iCs/>
          <w:szCs w:val="22"/>
        </w:rPr>
        <w:t xml:space="preserve">.  We </w:t>
      </w:r>
      <w:r w:rsidRPr="00095B1C">
        <w:rPr>
          <w:szCs w:val="22"/>
        </w:rPr>
        <w:t>t</w:t>
      </w:r>
      <w:r w:rsidRPr="00095B1C" w:rsidR="004812E5">
        <w:rPr>
          <w:szCs w:val="22"/>
        </w:rPr>
        <w:t xml:space="preserve">entatively conclude that </w:t>
      </w:r>
      <w:r w:rsidR="00314216">
        <w:rPr>
          <w:szCs w:val="22"/>
        </w:rPr>
        <w:t>prohibiting the import</w:t>
      </w:r>
      <w:r w:rsidR="0086623C">
        <w:rPr>
          <w:szCs w:val="22"/>
        </w:rPr>
        <w:t>ation</w:t>
      </w:r>
      <w:r w:rsidR="00314216">
        <w:rPr>
          <w:szCs w:val="22"/>
        </w:rPr>
        <w:t xml:space="preserve"> and marketing</w:t>
      </w:r>
      <w:r w:rsidRPr="008A19CB" w:rsidR="00F56D38">
        <w:rPr>
          <w:szCs w:val="22"/>
        </w:rPr>
        <w:t xml:space="preserve"> </w:t>
      </w:r>
      <w:r w:rsidR="00314216">
        <w:rPr>
          <w:szCs w:val="22"/>
        </w:rPr>
        <w:t>of</w:t>
      </w:r>
      <w:r w:rsidRPr="008A19CB" w:rsidR="00F56D38">
        <w:rPr>
          <w:szCs w:val="22"/>
        </w:rPr>
        <w:t xml:space="preserve"> previously</w:t>
      </w:r>
      <w:r w:rsidR="0086623C">
        <w:rPr>
          <w:szCs w:val="22"/>
        </w:rPr>
        <w:t xml:space="preserve"> </w:t>
      </w:r>
      <w:r w:rsidRPr="008A19CB" w:rsidR="00F56D38">
        <w:rPr>
          <w:szCs w:val="22"/>
        </w:rPr>
        <w:t xml:space="preserve">authorized covered equipment </w:t>
      </w:r>
      <w:r w:rsidR="000E1078">
        <w:rPr>
          <w:szCs w:val="22"/>
        </w:rPr>
        <w:t xml:space="preserve">that was added to the Covered List in 2024 or earlier </w:t>
      </w:r>
      <w:r w:rsidRPr="00095B1C" w:rsidR="004812E5">
        <w:rPr>
          <w:szCs w:val="22"/>
        </w:rPr>
        <w:t>is consistent with the public interest</w:t>
      </w:r>
      <w:r w:rsidR="00DD7412">
        <w:rPr>
          <w:szCs w:val="22"/>
        </w:rPr>
        <w:t>,</w:t>
      </w:r>
      <w:r w:rsidRPr="00095B1C" w:rsidR="004812E5">
        <w:rPr>
          <w:szCs w:val="22"/>
        </w:rPr>
        <w:t xml:space="preserve"> </w:t>
      </w:r>
      <w:r w:rsidR="00314216">
        <w:rPr>
          <w:szCs w:val="22"/>
        </w:rPr>
        <w:t>because</w:t>
      </w:r>
      <w:r w:rsidRPr="00095B1C" w:rsidR="004812E5">
        <w:rPr>
          <w:szCs w:val="22"/>
        </w:rPr>
        <w:t xml:space="preserve"> it protects American communications networks from devices specifically determined </w:t>
      </w:r>
      <w:r w:rsidR="00843FC2">
        <w:rPr>
          <w:szCs w:val="22"/>
        </w:rPr>
        <w:t>by Congress</w:t>
      </w:r>
      <w:r w:rsidR="000E1078">
        <w:rPr>
          <w:szCs w:val="22"/>
        </w:rPr>
        <w:t xml:space="preserve"> or a</w:t>
      </w:r>
      <w:r w:rsidR="007E5571">
        <w:rPr>
          <w:szCs w:val="22"/>
        </w:rPr>
        <w:t xml:space="preserve"> national security agency</w:t>
      </w:r>
      <w:r w:rsidR="00843FC2">
        <w:rPr>
          <w:szCs w:val="22"/>
        </w:rPr>
        <w:t xml:space="preserve"> </w:t>
      </w:r>
      <w:r w:rsidRPr="00095B1C" w:rsidR="004812E5">
        <w:rPr>
          <w:color w:val="000000"/>
          <w:szCs w:val="22"/>
        </w:rPr>
        <w:t xml:space="preserve">to “pose an unacceptable risk to the </w:t>
      </w:r>
      <w:r w:rsidRPr="00095B1C" w:rsidR="004812E5">
        <w:rPr>
          <w:color w:val="000000"/>
          <w:szCs w:val="22"/>
        </w:rPr>
        <w:t>national security of the United States or the security and safety of United States</w:t>
      </w:r>
      <w:r w:rsidR="00843FC2">
        <w:rPr>
          <w:color w:val="000000"/>
          <w:szCs w:val="22"/>
        </w:rPr>
        <w:t xml:space="preserve"> </w:t>
      </w:r>
      <w:r w:rsidRPr="00095B1C" w:rsidR="004812E5">
        <w:rPr>
          <w:szCs w:val="22"/>
        </w:rPr>
        <w:t>persons.</w:t>
      </w:r>
      <w:r w:rsidRPr="00095B1C" w:rsidR="004812E5">
        <w:rPr>
          <w:color w:val="000000"/>
          <w:szCs w:val="22"/>
        </w:rPr>
        <w:t>”</w:t>
      </w:r>
      <w:r>
        <w:rPr>
          <w:rStyle w:val="FootnoteReference"/>
          <w:szCs w:val="22"/>
        </w:rPr>
        <w:footnoteReference w:id="26"/>
      </w:r>
      <w:r w:rsidRPr="00095B1C" w:rsidR="004812E5">
        <w:rPr>
          <w:szCs w:val="22"/>
        </w:rPr>
        <w:t xml:space="preserve"> </w:t>
      </w:r>
      <w:r w:rsidRPr="00095B1C">
        <w:rPr>
          <w:szCs w:val="22"/>
        </w:rPr>
        <w:t xml:space="preserve"> </w:t>
      </w:r>
      <w:r w:rsidRPr="00A0043C" w:rsidR="00A0043C">
        <w:rPr>
          <w:szCs w:val="22"/>
        </w:rPr>
        <w:t>We also tentatively conclude that</w:t>
      </w:r>
      <w:r w:rsidR="00FE13DD">
        <w:rPr>
          <w:szCs w:val="22"/>
        </w:rPr>
        <w:t xml:space="preserve"> there are no public interest factors that outweigh</w:t>
      </w:r>
      <w:r w:rsidRPr="00A0043C" w:rsidR="00A0043C">
        <w:rPr>
          <w:szCs w:val="22"/>
        </w:rPr>
        <w:t xml:space="preserve"> </w:t>
      </w:r>
      <w:r w:rsidR="00CC7400">
        <w:rPr>
          <w:szCs w:val="22"/>
        </w:rPr>
        <w:t xml:space="preserve">our tentative conclusion </w:t>
      </w:r>
      <w:r w:rsidRPr="00A0043C" w:rsidR="00A0043C">
        <w:rPr>
          <w:szCs w:val="22"/>
        </w:rPr>
        <w:t xml:space="preserve">regarding the proposed ban on import and marketing of </w:t>
      </w:r>
      <w:r w:rsidR="007E5571">
        <w:rPr>
          <w:szCs w:val="22"/>
        </w:rPr>
        <w:t>this previously</w:t>
      </w:r>
      <w:r w:rsidRPr="00A0043C" w:rsidR="00A255FC">
        <w:rPr>
          <w:szCs w:val="22"/>
        </w:rPr>
        <w:t xml:space="preserve"> </w:t>
      </w:r>
      <w:r w:rsidRPr="00A0043C" w:rsidR="00A0043C">
        <w:rPr>
          <w:szCs w:val="22"/>
        </w:rPr>
        <w:t xml:space="preserve">equipment.  </w:t>
      </w:r>
      <w:r w:rsidR="000A78F8">
        <w:rPr>
          <w:szCs w:val="22"/>
        </w:rPr>
        <w:t>We seek comment on</w:t>
      </w:r>
      <w:r w:rsidR="00095B1C">
        <w:rPr>
          <w:szCs w:val="22"/>
        </w:rPr>
        <w:t xml:space="preserve"> this public interest analysis</w:t>
      </w:r>
      <w:r w:rsidR="00DC3474">
        <w:rPr>
          <w:szCs w:val="22"/>
        </w:rPr>
        <w:t>.  Do commenters agree that the national security benefits outweigh any negative economic or supply chain factors?</w:t>
      </w:r>
      <w:r w:rsidR="000637E0">
        <w:rPr>
          <w:szCs w:val="22"/>
        </w:rPr>
        <w:t xml:space="preserve">  </w:t>
      </w:r>
      <w:r w:rsidR="00095B1C">
        <w:rPr>
          <w:iCs/>
          <w:szCs w:val="22"/>
        </w:rPr>
        <w:t>Are there any other public interest consid</w:t>
      </w:r>
      <w:r w:rsidR="00393ECD">
        <w:rPr>
          <w:iCs/>
          <w:szCs w:val="22"/>
        </w:rPr>
        <w:t>e</w:t>
      </w:r>
      <w:r w:rsidR="00095B1C">
        <w:rPr>
          <w:iCs/>
          <w:szCs w:val="22"/>
        </w:rPr>
        <w:t>rations that weigh in favor or against taking this proposed action?</w:t>
      </w:r>
      <w:r w:rsidR="00BE4FC4">
        <w:rPr>
          <w:iCs/>
          <w:szCs w:val="22"/>
        </w:rPr>
        <w:t xml:space="preserve">  </w:t>
      </w:r>
      <w:r w:rsidR="00536A88">
        <w:rPr>
          <w:iCs/>
          <w:szCs w:val="22"/>
        </w:rPr>
        <w:t xml:space="preserve">We invite commenters to provide </w:t>
      </w:r>
      <w:r w:rsidR="00D250B7">
        <w:rPr>
          <w:iCs/>
          <w:szCs w:val="22"/>
        </w:rPr>
        <w:t xml:space="preserve">any information that would assist the </w:t>
      </w:r>
      <w:r w:rsidRPr="00AE3FC0" w:rsidR="00D250B7">
        <w:rPr>
          <w:iCs/>
          <w:szCs w:val="22"/>
        </w:rPr>
        <w:t xml:space="preserve">Commission in </w:t>
      </w:r>
      <w:r w:rsidR="005C1BD9">
        <w:rPr>
          <w:iCs/>
          <w:szCs w:val="22"/>
        </w:rPr>
        <w:t>its</w:t>
      </w:r>
      <w:r w:rsidRPr="00AE3FC0" w:rsidR="00D250B7">
        <w:rPr>
          <w:iCs/>
          <w:szCs w:val="22"/>
        </w:rPr>
        <w:t xml:space="preserve"> </w:t>
      </w:r>
      <w:r w:rsidRPr="00AE3FC0" w:rsidR="001F0332">
        <w:rPr>
          <w:szCs w:val="22"/>
        </w:rPr>
        <w:t>balancing of the need to address th</w:t>
      </w:r>
      <w:r w:rsidRPr="00AE3FC0" w:rsidR="00D250B7">
        <w:rPr>
          <w:szCs w:val="22"/>
        </w:rPr>
        <w:t>e national security</w:t>
      </w:r>
      <w:r w:rsidRPr="00AE3FC0" w:rsidR="001F0332">
        <w:rPr>
          <w:szCs w:val="22"/>
        </w:rPr>
        <w:t xml:space="preserve"> risk</w:t>
      </w:r>
      <w:r w:rsidRPr="00AE3FC0" w:rsidR="00D250B7">
        <w:rPr>
          <w:szCs w:val="22"/>
        </w:rPr>
        <w:t>s</w:t>
      </w:r>
      <w:r w:rsidRPr="00AE3FC0" w:rsidR="001F0332">
        <w:rPr>
          <w:szCs w:val="22"/>
        </w:rPr>
        <w:t xml:space="preserve"> posed by </w:t>
      </w:r>
      <w:r w:rsidRPr="00AE3FC0" w:rsidR="00D250B7">
        <w:rPr>
          <w:szCs w:val="22"/>
        </w:rPr>
        <w:t xml:space="preserve">the continued use of covered equipment in </w:t>
      </w:r>
      <w:r w:rsidRPr="00AE3FC0" w:rsidR="006864EB">
        <w:rPr>
          <w:szCs w:val="22"/>
        </w:rPr>
        <w:t>communications networks with</w:t>
      </w:r>
      <w:r w:rsidRPr="00AE3FC0" w:rsidR="001F0332">
        <w:rPr>
          <w:szCs w:val="22"/>
        </w:rPr>
        <w:t xml:space="preserve"> the impact </w:t>
      </w:r>
      <w:r w:rsidRPr="00AE3FC0" w:rsidR="006864EB">
        <w:rPr>
          <w:szCs w:val="22"/>
        </w:rPr>
        <w:t xml:space="preserve">of the </w:t>
      </w:r>
      <w:r w:rsidR="00AE3FC0">
        <w:rPr>
          <w:szCs w:val="22"/>
        </w:rPr>
        <w:t xml:space="preserve">proposed </w:t>
      </w:r>
      <w:r w:rsidRPr="00AE3FC0" w:rsidR="006864EB">
        <w:rPr>
          <w:szCs w:val="22"/>
        </w:rPr>
        <w:t>prohibitions on</w:t>
      </w:r>
      <w:r w:rsidRPr="00AE3FC0" w:rsidR="001F0332">
        <w:rPr>
          <w:szCs w:val="22"/>
        </w:rPr>
        <w:t xml:space="preserve"> </w:t>
      </w:r>
      <w:r w:rsidR="0030114A">
        <w:rPr>
          <w:szCs w:val="22"/>
        </w:rPr>
        <w:t xml:space="preserve">government partners, </w:t>
      </w:r>
      <w:r w:rsidRPr="00AE3FC0" w:rsidR="006864EB">
        <w:rPr>
          <w:szCs w:val="22"/>
        </w:rPr>
        <w:t>consu</w:t>
      </w:r>
      <w:r w:rsidRPr="00AE3FC0" w:rsidR="0094786F">
        <w:rPr>
          <w:szCs w:val="22"/>
        </w:rPr>
        <w:t>mers</w:t>
      </w:r>
      <w:r w:rsidR="00AE3FC0">
        <w:rPr>
          <w:szCs w:val="22"/>
        </w:rPr>
        <w:t>, industry,</w:t>
      </w:r>
      <w:r w:rsidRPr="00AE3FC0" w:rsidR="0094786F">
        <w:rPr>
          <w:szCs w:val="22"/>
        </w:rPr>
        <w:t xml:space="preserve"> and the public at large.</w:t>
      </w:r>
      <w:r w:rsidR="00C42A9C">
        <w:rPr>
          <w:color w:val="EE0000"/>
          <w:szCs w:val="22"/>
        </w:rPr>
        <w:br/>
      </w:r>
    </w:p>
    <w:p w:rsidR="003F56AE" w:rsidRPr="0024709A" w:rsidP="00C73E9C" w14:paraId="673A17BF" w14:textId="77842D21">
      <w:pPr>
        <w:pStyle w:val="ParaNum"/>
        <w:widowControl/>
        <w:numPr>
          <w:ilvl w:val="0"/>
          <w:numId w:val="0"/>
        </w:numPr>
        <w:spacing w:after="0"/>
        <w:rPr>
          <w:szCs w:val="22"/>
          <w:u w:val="single"/>
        </w:rPr>
      </w:pPr>
      <w:r w:rsidRPr="007557CC">
        <w:rPr>
          <w:szCs w:val="22"/>
          <w:u w:val="single"/>
        </w:rPr>
        <w:t>Implementation</w:t>
      </w:r>
      <w:r w:rsidRPr="007557CC" w:rsidR="00263078">
        <w:rPr>
          <w:szCs w:val="22"/>
          <w:u w:val="single"/>
        </w:rPr>
        <w:br/>
      </w:r>
      <w:r w:rsidRPr="007557CC" w:rsidR="00263078">
        <w:rPr>
          <w:u w:val="single"/>
        </w:rPr>
        <w:t xml:space="preserve"> </w:t>
      </w:r>
    </w:p>
    <w:p w:rsidR="00EA477C" w:rsidRPr="003F56AE" w:rsidP="00C73E9C" w14:paraId="1F79474D" w14:textId="4A21228F">
      <w:pPr>
        <w:ind w:firstLine="720"/>
      </w:pPr>
      <w:r w:rsidRPr="003F56AE">
        <w:rPr>
          <w:i/>
          <w:iCs/>
        </w:rPr>
        <w:t>Existing authorizations</w:t>
      </w:r>
      <w:r w:rsidRPr="003F56AE">
        <w:t xml:space="preserve">.  We </w:t>
      </w:r>
      <w:r w:rsidR="00F948B7">
        <w:t>clarify that</w:t>
      </w:r>
      <w:r w:rsidR="004B4548">
        <w:t>, if this prohibition is adopted,</w:t>
      </w:r>
      <w:r w:rsidR="00F948B7">
        <w:t xml:space="preserve"> </w:t>
      </w:r>
      <w:r w:rsidRPr="003F56AE">
        <w:t xml:space="preserve">the continued </w:t>
      </w:r>
      <w:r w:rsidR="00EA59BA">
        <w:t xml:space="preserve">use or </w:t>
      </w:r>
      <w:r w:rsidR="00685A2F">
        <w:t xml:space="preserve">operation </w:t>
      </w:r>
      <w:r w:rsidRPr="003F56AE">
        <w:t xml:space="preserve">of </w:t>
      </w:r>
      <w:r w:rsidR="00C04116">
        <w:t xml:space="preserve">covered </w:t>
      </w:r>
      <w:r w:rsidR="007E5571">
        <w:t>equipment</w:t>
      </w:r>
      <w:r w:rsidRPr="003F56AE">
        <w:t xml:space="preserve"> that is already in the hands of users would remain authorized.  </w:t>
      </w:r>
      <w:r w:rsidR="00C04116">
        <w:t xml:space="preserve">This is consistent with the approach that the Commission adopted in the </w:t>
      </w:r>
      <w:r w:rsidRPr="00030837" w:rsidR="00C04116">
        <w:rPr>
          <w:i/>
          <w:iCs/>
          <w:szCs w:val="22"/>
        </w:rPr>
        <w:t>EA Security Second R&amp;O</w:t>
      </w:r>
      <w:r w:rsidR="00F948B7">
        <w:rPr>
          <w:szCs w:val="22"/>
        </w:rPr>
        <w:t xml:space="preserve">.  </w:t>
      </w:r>
      <w:r w:rsidR="00CB32BA">
        <w:rPr>
          <w:szCs w:val="22"/>
        </w:rPr>
        <w:t>The</w:t>
      </w:r>
      <w:r w:rsidRPr="003F56AE" w:rsidR="00F948B7">
        <w:t xml:space="preserve"> limitation on existing authorizations would not result in the revocation of an existing authorization of covered equipment</w:t>
      </w:r>
      <w:r w:rsidR="009A7021">
        <w:t xml:space="preserve"> and, </w:t>
      </w:r>
      <w:r w:rsidR="00B06403">
        <w:t>therefore</w:t>
      </w:r>
      <w:r w:rsidR="009A7021">
        <w:t>,</w:t>
      </w:r>
      <w:r w:rsidRPr="009A7021" w:rsidR="009A7021">
        <w:t xml:space="preserve"> would not affect </w:t>
      </w:r>
      <w:r w:rsidR="00B06403">
        <w:t>the</w:t>
      </w:r>
      <w:r w:rsidRPr="009A7021" w:rsidR="009A7021">
        <w:t xml:space="preserve"> continued use or operation of devices th</w:t>
      </w:r>
      <w:r w:rsidR="00B06403">
        <w:t>at consumers</w:t>
      </w:r>
      <w:r w:rsidRPr="009A7021" w:rsidR="009A7021">
        <w:t xml:space="preserve"> already possess</w:t>
      </w:r>
      <w:r w:rsidR="00B06403">
        <w:t xml:space="preserve">.  </w:t>
      </w:r>
    </w:p>
    <w:p w:rsidR="005B5AAE" w:rsidRPr="003F56AE" w:rsidP="00C73E9C" w14:paraId="3314A0AC" w14:textId="77777777">
      <w:pPr>
        <w:pStyle w:val="ParaNum"/>
        <w:widowControl/>
        <w:numPr>
          <w:ilvl w:val="0"/>
          <w:numId w:val="0"/>
        </w:numPr>
        <w:spacing w:after="0"/>
        <w:ind w:firstLine="720"/>
        <w:rPr>
          <w:i/>
          <w:iCs/>
          <w:szCs w:val="22"/>
        </w:rPr>
      </w:pPr>
    </w:p>
    <w:p w:rsidR="007D5614" w:rsidRPr="00E96340" w:rsidP="00C73E9C" w14:paraId="3177BE75" w14:textId="67F54044">
      <w:pPr>
        <w:pStyle w:val="ParaNum"/>
        <w:widowControl/>
        <w:numPr>
          <w:ilvl w:val="0"/>
          <w:numId w:val="0"/>
        </w:numPr>
        <w:spacing w:after="0"/>
        <w:ind w:firstLine="720"/>
        <w:rPr>
          <w:szCs w:val="22"/>
        </w:rPr>
      </w:pPr>
      <w:r>
        <w:rPr>
          <w:i/>
          <w:iCs/>
          <w:szCs w:val="22"/>
        </w:rPr>
        <w:t>Implementation t</w:t>
      </w:r>
      <w:r w:rsidRPr="003F56AE" w:rsidR="007F68ED">
        <w:rPr>
          <w:i/>
          <w:iCs/>
          <w:szCs w:val="22"/>
        </w:rPr>
        <w:t>imeline</w:t>
      </w:r>
      <w:r>
        <w:rPr>
          <w:szCs w:val="22"/>
        </w:rPr>
        <w:t>.</w:t>
      </w:r>
      <w:r w:rsidRPr="003F56AE" w:rsidR="007F68ED">
        <w:rPr>
          <w:szCs w:val="22"/>
        </w:rPr>
        <w:t xml:space="preserve">  We propose </w:t>
      </w:r>
      <w:r w:rsidRPr="003F56AE" w:rsidR="005B5AAE">
        <w:rPr>
          <w:szCs w:val="22"/>
        </w:rPr>
        <w:t>that</w:t>
      </w:r>
      <w:r w:rsidRPr="003F56AE" w:rsidR="007F68ED">
        <w:rPr>
          <w:szCs w:val="22"/>
        </w:rPr>
        <w:t xml:space="preserve"> </w:t>
      </w:r>
      <w:r w:rsidR="00B175E8">
        <w:rPr>
          <w:szCs w:val="22"/>
        </w:rPr>
        <w:t>all</w:t>
      </w:r>
      <w:r w:rsidRPr="003F56AE" w:rsidR="0088246B">
        <w:rPr>
          <w:szCs w:val="22"/>
        </w:rPr>
        <w:t xml:space="preserve"> parties must cease all importation and marketing activities</w:t>
      </w:r>
      <w:r w:rsidRPr="003F56AE" w:rsidR="001674BB">
        <w:rPr>
          <w:szCs w:val="22"/>
        </w:rPr>
        <w:t xml:space="preserve"> within 30 days of t</w:t>
      </w:r>
      <w:r w:rsidRPr="003F56AE" w:rsidR="009818C7">
        <w:rPr>
          <w:szCs w:val="22"/>
        </w:rPr>
        <w:t xml:space="preserve">he effective date of </w:t>
      </w:r>
      <w:r w:rsidRPr="003F56AE" w:rsidR="000C6C30">
        <w:rPr>
          <w:szCs w:val="22"/>
        </w:rPr>
        <w:t xml:space="preserve">the prohibition.  </w:t>
      </w:r>
      <w:r w:rsidRPr="003F56AE" w:rsidR="0026114F">
        <w:rPr>
          <w:szCs w:val="22"/>
        </w:rPr>
        <w:t xml:space="preserve">We believe that </w:t>
      </w:r>
      <w:r w:rsidRPr="003F56AE" w:rsidR="0082316A">
        <w:rPr>
          <w:szCs w:val="22"/>
        </w:rPr>
        <w:t xml:space="preserve">this timeline </w:t>
      </w:r>
      <w:r w:rsidRPr="003F56AE" w:rsidR="00FD52BD">
        <w:rPr>
          <w:szCs w:val="22"/>
        </w:rPr>
        <w:t xml:space="preserve">is </w:t>
      </w:r>
      <w:r w:rsidR="000B6682">
        <w:rPr>
          <w:szCs w:val="22"/>
        </w:rPr>
        <w:t xml:space="preserve">reasonable and </w:t>
      </w:r>
      <w:r w:rsidR="000409E4">
        <w:rPr>
          <w:szCs w:val="22"/>
        </w:rPr>
        <w:t xml:space="preserve">strikes the </w:t>
      </w:r>
      <w:r w:rsidRPr="003F56AE" w:rsidR="00FD52BD">
        <w:rPr>
          <w:szCs w:val="22"/>
        </w:rPr>
        <w:t>appropriate</w:t>
      </w:r>
      <w:r w:rsidRPr="003F56AE" w:rsidR="00D42C2D">
        <w:rPr>
          <w:szCs w:val="22"/>
        </w:rPr>
        <w:t xml:space="preserve"> </w:t>
      </w:r>
      <w:r w:rsidR="000409E4">
        <w:rPr>
          <w:szCs w:val="22"/>
        </w:rPr>
        <w:t>balance between</w:t>
      </w:r>
      <w:r w:rsidRPr="003F56AE" w:rsidR="00D42C2D">
        <w:rPr>
          <w:szCs w:val="22"/>
        </w:rPr>
        <w:t xml:space="preserve"> address</w:t>
      </w:r>
      <w:r w:rsidR="000409E4">
        <w:rPr>
          <w:szCs w:val="22"/>
        </w:rPr>
        <w:t>ing</w:t>
      </w:r>
      <w:r w:rsidRPr="003F56AE" w:rsidR="00D42C2D">
        <w:rPr>
          <w:szCs w:val="22"/>
        </w:rPr>
        <w:t xml:space="preserve"> </w:t>
      </w:r>
      <w:r w:rsidRPr="003F56AE" w:rsidR="00803F39">
        <w:rPr>
          <w:szCs w:val="22"/>
        </w:rPr>
        <w:t>the</w:t>
      </w:r>
      <w:r w:rsidR="000409E4">
        <w:rPr>
          <w:szCs w:val="22"/>
        </w:rPr>
        <w:t xml:space="preserve"> </w:t>
      </w:r>
      <w:r w:rsidRPr="003F56AE" w:rsidR="00803F39">
        <w:rPr>
          <w:szCs w:val="22"/>
        </w:rPr>
        <w:t xml:space="preserve">national security </w:t>
      </w:r>
      <w:r w:rsidRPr="003F56AE" w:rsidR="00FD52BD">
        <w:rPr>
          <w:szCs w:val="22"/>
        </w:rPr>
        <w:t xml:space="preserve">concerns </w:t>
      </w:r>
      <w:r w:rsidR="007F76B3">
        <w:rPr>
          <w:szCs w:val="22"/>
        </w:rPr>
        <w:t>and</w:t>
      </w:r>
      <w:r w:rsidR="000409E4">
        <w:rPr>
          <w:szCs w:val="22"/>
        </w:rPr>
        <w:t xml:space="preserve"> </w:t>
      </w:r>
      <w:r w:rsidRPr="003F56AE" w:rsidR="00D42C2D">
        <w:rPr>
          <w:szCs w:val="22"/>
        </w:rPr>
        <w:t>minimiz</w:t>
      </w:r>
      <w:r w:rsidR="000409E4">
        <w:rPr>
          <w:szCs w:val="22"/>
        </w:rPr>
        <w:t>ing</w:t>
      </w:r>
      <w:r w:rsidRPr="003F56AE" w:rsidR="00D42C2D">
        <w:rPr>
          <w:szCs w:val="22"/>
        </w:rPr>
        <w:t xml:space="preserve"> any</w:t>
      </w:r>
      <w:r w:rsidRPr="003F56AE" w:rsidR="00B95ECD">
        <w:rPr>
          <w:szCs w:val="22"/>
        </w:rPr>
        <w:t xml:space="preserve"> potential </w:t>
      </w:r>
      <w:r w:rsidRPr="003F56AE" w:rsidR="00D42C2D">
        <w:rPr>
          <w:szCs w:val="22"/>
        </w:rPr>
        <w:t xml:space="preserve">adverse </w:t>
      </w:r>
      <w:r w:rsidRPr="003F56AE" w:rsidR="00B95ECD">
        <w:rPr>
          <w:szCs w:val="22"/>
        </w:rPr>
        <w:t xml:space="preserve">economic </w:t>
      </w:r>
      <w:r w:rsidRPr="003F56AE" w:rsidR="00D42C2D">
        <w:rPr>
          <w:szCs w:val="22"/>
        </w:rPr>
        <w:t>or</w:t>
      </w:r>
      <w:r w:rsidRPr="003F56AE" w:rsidR="00B95ECD">
        <w:rPr>
          <w:szCs w:val="22"/>
        </w:rPr>
        <w:t xml:space="preserve"> supply chain impacts. </w:t>
      </w:r>
      <w:r w:rsidRPr="003F56AE" w:rsidR="00D42C2D">
        <w:rPr>
          <w:szCs w:val="22"/>
        </w:rPr>
        <w:t xml:space="preserve"> </w:t>
      </w:r>
      <w:r w:rsidRPr="003F56AE" w:rsidR="000C6C30">
        <w:rPr>
          <w:szCs w:val="22"/>
        </w:rPr>
        <w:t xml:space="preserve">We </w:t>
      </w:r>
      <w:r w:rsidRPr="003F56AE" w:rsidR="008A010B">
        <w:rPr>
          <w:szCs w:val="22"/>
        </w:rPr>
        <w:t xml:space="preserve">seek comment on </w:t>
      </w:r>
      <w:r w:rsidRPr="003F56AE" w:rsidR="000E04C2">
        <w:rPr>
          <w:szCs w:val="22"/>
        </w:rPr>
        <w:t xml:space="preserve">the proposed timeline and </w:t>
      </w:r>
      <w:r w:rsidRPr="003F56AE" w:rsidR="00A7038C">
        <w:rPr>
          <w:szCs w:val="22"/>
        </w:rPr>
        <w:t>invite</w:t>
      </w:r>
      <w:r w:rsidRPr="003F56AE" w:rsidR="000E04C2">
        <w:rPr>
          <w:szCs w:val="22"/>
        </w:rPr>
        <w:t xml:space="preserve"> input from </w:t>
      </w:r>
      <w:r w:rsidRPr="003F56AE" w:rsidR="008A010B">
        <w:rPr>
          <w:szCs w:val="22"/>
        </w:rPr>
        <w:t xml:space="preserve">the responsible parties </w:t>
      </w:r>
      <w:r w:rsidRPr="003F56AE" w:rsidR="009E44E7">
        <w:rPr>
          <w:szCs w:val="22"/>
        </w:rPr>
        <w:t>and</w:t>
      </w:r>
      <w:r w:rsidRPr="003F56AE" w:rsidR="008A010B">
        <w:rPr>
          <w:szCs w:val="22"/>
        </w:rPr>
        <w:t xml:space="preserve"> relevant manufacturers, importers, distributors, retailers, and other interested entities. </w:t>
      </w:r>
      <w:r w:rsidRPr="003F56AE" w:rsidR="000E04C2">
        <w:rPr>
          <w:szCs w:val="22"/>
        </w:rPr>
        <w:t xml:space="preserve"> </w:t>
      </w:r>
      <w:r w:rsidRPr="00340CCE">
        <w:rPr>
          <w:szCs w:val="22"/>
        </w:rPr>
        <w:t xml:space="preserve">Specifically, we request that commenters address </w:t>
      </w:r>
      <w:r w:rsidRPr="00340CCE" w:rsidR="00E96340">
        <w:rPr>
          <w:szCs w:val="22"/>
        </w:rPr>
        <w:t>implementation</w:t>
      </w:r>
      <w:r w:rsidRPr="00340CCE">
        <w:rPr>
          <w:szCs w:val="22"/>
        </w:rPr>
        <w:t xml:space="preserve"> considerations including the quantity of devices that have already been imported into the U.S. and are available for or being held for marketing or sale, new or recently updated device models that are </w:t>
      </w:r>
      <w:r w:rsidRPr="00340CCE">
        <w:rPr>
          <w:szCs w:val="22"/>
        </w:rPr>
        <w:t>en</w:t>
      </w:r>
      <w:r w:rsidRPr="00340CCE">
        <w:rPr>
          <w:szCs w:val="22"/>
        </w:rPr>
        <w:t xml:space="preserve"> route to the U.S. or pending shipment, and devices that are subject to executed distribution, marketing, or sales agreements</w:t>
      </w:r>
      <w:r w:rsidR="00442E18">
        <w:rPr>
          <w:szCs w:val="22"/>
        </w:rPr>
        <w:t>,</w:t>
      </w:r>
      <w:r w:rsidRPr="00340CCE">
        <w:rPr>
          <w:szCs w:val="22"/>
        </w:rPr>
        <w:t xml:space="preserve"> but have not yet entered the supply chain. </w:t>
      </w:r>
      <w:r w:rsidR="008830AC">
        <w:rPr>
          <w:szCs w:val="22"/>
        </w:rPr>
        <w:t xml:space="preserve"> S</w:t>
      </w:r>
      <w:r w:rsidR="00EA55D2">
        <w:rPr>
          <w:szCs w:val="22"/>
        </w:rPr>
        <w:t>hould the Commission’s prohibition on importation take immediate effect</w:t>
      </w:r>
      <w:r w:rsidR="007E7E59">
        <w:rPr>
          <w:szCs w:val="22"/>
        </w:rPr>
        <w:t xml:space="preserve">, while the marketing prohibition </w:t>
      </w:r>
      <w:r w:rsidR="000F5DB8">
        <w:rPr>
          <w:szCs w:val="22"/>
        </w:rPr>
        <w:t xml:space="preserve">would </w:t>
      </w:r>
      <w:r w:rsidR="007E7E59">
        <w:rPr>
          <w:szCs w:val="22"/>
        </w:rPr>
        <w:t>take effect within 30 days,</w:t>
      </w:r>
      <w:r w:rsidR="00EA55D2">
        <w:rPr>
          <w:szCs w:val="22"/>
        </w:rPr>
        <w:t xml:space="preserve"> to avoid </w:t>
      </w:r>
      <w:r w:rsidR="007E7E59">
        <w:rPr>
          <w:szCs w:val="22"/>
        </w:rPr>
        <w:t xml:space="preserve">a rush to import new devices? </w:t>
      </w:r>
    </w:p>
    <w:bookmarkEnd w:id="0"/>
    <w:p w:rsidR="005223BD" w:rsidRPr="005223BD" w:rsidP="00C73E9C" w14:paraId="42724CC3" w14:textId="77777777">
      <w:pPr>
        <w:rPr>
          <w:b/>
          <w:bCs/>
        </w:rPr>
      </w:pPr>
    </w:p>
    <w:p w:rsidR="005223BD" w:rsidRPr="007557CC" w:rsidP="00C73E9C" w14:paraId="5E95FB2C" w14:textId="67A92235">
      <w:pPr>
        <w:keepNext/>
        <w:keepLines/>
        <w:widowControl/>
        <w:autoSpaceDE w:val="0"/>
        <w:autoSpaceDN w:val="0"/>
        <w:adjustRightInd w:val="0"/>
        <w:outlineLvl w:val="0"/>
        <w:rPr>
          <w:bCs/>
          <w:color w:val="000000"/>
          <w:szCs w:val="22"/>
          <w:u w:val="single" w:color="000000"/>
        </w:rPr>
      </w:pPr>
      <w:r w:rsidRPr="007557CC">
        <w:rPr>
          <w:bCs/>
          <w:color w:val="000000"/>
          <w:szCs w:val="22"/>
          <w:u w:val="single" w:color="000000"/>
        </w:rPr>
        <w:t>Procedural Matters</w:t>
      </w:r>
      <w:r w:rsidRPr="007557CC">
        <w:rPr>
          <w:bCs/>
          <w:color w:val="000000"/>
          <w:szCs w:val="22"/>
          <w:u w:val="single" w:color="000000"/>
        </w:rPr>
        <w:br/>
      </w:r>
    </w:p>
    <w:p w:rsidR="00A3216B" w:rsidRPr="00A3216B" w:rsidP="00C73E9C" w14:paraId="335C5DDE" w14:textId="77777777">
      <w:pPr>
        <w:ind w:firstLine="720"/>
        <w:rPr>
          <w:szCs w:val="22"/>
        </w:rPr>
      </w:pPr>
      <w:r w:rsidRPr="00A3216B">
        <w:rPr>
          <w:szCs w:val="22"/>
        </w:rPr>
        <w:t xml:space="preserve">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p>
    <w:p w:rsidR="00A3216B" w:rsidRPr="00A3216B" w:rsidP="00C73E9C" w14:paraId="7989DA4C" w14:textId="77777777">
      <w:pPr>
        <w:rPr>
          <w:szCs w:val="22"/>
        </w:rPr>
      </w:pPr>
    </w:p>
    <w:p w:rsidR="00A3216B" w:rsidRPr="00A3216B" w:rsidP="00C73E9C" w14:paraId="38888ED8" w14:textId="0B567FC2">
      <w:pPr>
        <w:pStyle w:val="ListParagraph"/>
        <w:numPr>
          <w:ilvl w:val="0"/>
          <w:numId w:val="14"/>
        </w:numPr>
        <w:spacing w:after="0" w:line="240" w:lineRule="auto"/>
        <w:rPr>
          <w:rFonts w:eastAsia="Times New Roman"/>
        </w:rPr>
      </w:pPr>
      <w:r w:rsidRPr="00A3216B">
        <w:rPr>
          <w:rFonts w:eastAsia="Times New Roman"/>
          <w:i/>
          <w:iCs/>
        </w:rPr>
        <w:t>Electronic Filers</w:t>
      </w:r>
      <w:r w:rsidRPr="00A3216B">
        <w:rPr>
          <w:rFonts w:eastAsia="Times New Roman"/>
        </w:rPr>
        <w:t xml:space="preserve">:  Comments may be filed electronically using the Internet by accessing the ECFS:  </w:t>
      </w:r>
      <w:hyperlink r:id="rId6" w:history="1">
        <w:r w:rsidRPr="00A3216B">
          <w:rPr>
            <w:rStyle w:val="Hyperlink"/>
            <w:rFonts w:eastAsia="Times New Roman"/>
          </w:rPr>
          <w:t>https://www.fcc.gov/ecfs</w:t>
        </w:r>
      </w:hyperlink>
      <w:r w:rsidRPr="00A3216B">
        <w:rPr>
          <w:rFonts w:eastAsia="Times New Roman"/>
        </w:rPr>
        <w:t xml:space="preserve">.  </w:t>
      </w:r>
      <w:r w:rsidR="00F51F73">
        <w:rPr>
          <w:rFonts w:eastAsia="Times New Roman"/>
        </w:rPr>
        <w:br/>
      </w:r>
    </w:p>
    <w:p w:rsidR="00A3216B" w:rsidRPr="00A3216B" w:rsidP="00C73E9C" w14:paraId="69DCCA69" w14:textId="77777777">
      <w:pPr>
        <w:pStyle w:val="ListParagraph"/>
        <w:numPr>
          <w:ilvl w:val="0"/>
          <w:numId w:val="14"/>
        </w:numPr>
        <w:spacing w:after="0" w:line="240" w:lineRule="auto"/>
        <w:rPr>
          <w:rFonts w:eastAsia="Times New Roman"/>
        </w:rPr>
      </w:pPr>
      <w:r w:rsidRPr="00A3216B">
        <w:rPr>
          <w:rFonts w:eastAsia="Times New Roman"/>
          <w:i/>
          <w:iCs/>
        </w:rPr>
        <w:t>Paper Filers</w:t>
      </w:r>
      <w:r w:rsidRPr="00A3216B">
        <w:rPr>
          <w:rFonts w:eastAsia="Times New Roman"/>
        </w:rPr>
        <w:t xml:space="preserve">:  Parties who choose to file by paper must file an original and one copy of each filing.  </w:t>
      </w:r>
    </w:p>
    <w:p w:rsidR="00A3216B" w:rsidRPr="00A3216B" w:rsidP="00C73E9C" w14:paraId="564E0518" w14:textId="77777777">
      <w:pPr>
        <w:pStyle w:val="ListParagraph"/>
        <w:numPr>
          <w:ilvl w:val="0"/>
          <w:numId w:val="14"/>
        </w:numPr>
        <w:spacing w:after="0" w:line="240" w:lineRule="auto"/>
        <w:ind w:left="1440"/>
        <w:rPr>
          <w:rFonts w:eastAsia="Times New Roman"/>
          <w:b/>
          <w:bCs/>
        </w:rPr>
      </w:pPr>
      <w:r w:rsidRPr="00A3216B">
        <w:rPr>
          <w:rFonts w:eastAsia="Times New Roman"/>
        </w:rPr>
        <w:t xml:space="preserve">Filings can be sent by hand or messenger delivery, by commercial courier, or by the U.S. Postal Service.  </w:t>
      </w:r>
      <w:r w:rsidRPr="00A3216B">
        <w:rPr>
          <w:rFonts w:eastAsia="Times New Roman"/>
          <w:b/>
          <w:bCs/>
        </w:rPr>
        <w:t>All filings must be addressed to the Secretary, Federal Communications Commission.</w:t>
      </w:r>
    </w:p>
    <w:p w:rsidR="00A3216B" w:rsidRPr="00A3216B" w:rsidP="00C73E9C" w14:paraId="0A265997" w14:textId="77777777">
      <w:pPr>
        <w:pStyle w:val="ListParagraph"/>
        <w:numPr>
          <w:ilvl w:val="0"/>
          <w:numId w:val="14"/>
        </w:numPr>
        <w:spacing w:after="0" w:line="240" w:lineRule="auto"/>
        <w:ind w:left="1440"/>
      </w:pPr>
      <w:r w:rsidRPr="00A3216B">
        <w:t xml:space="preserve">Hand-delivered or messenger-delivered paper filings for the Commission’s Secretary are accepted between 8:00 a.m. and 4:00 p.m. by the FCC’s mailing contractor at 9050 Junction Drive, Annapolis Junction, MD 20701.  All hand deliveries must be held </w:t>
      </w:r>
      <w:r w:rsidRPr="00A3216B">
        <w:t xml:space="preserve">together with rubber bands or fasteners.  Any envelopes and boxes must be disposed of before entering the building.  </w:t>
      </w:r>
    </w:p>
    <w:p w:rsidR="00A3216B" w:rsidRPr="00A3216B" w:rsidP="00C73E9C" w14:paraId="7C47B099" w14:textId="77777777">
      <w:pPr>
        <w:pStyle w:val="ListParagraph"/>
        <w:numPr>
          <w:ilvl w:val="0"/>
          <w:numId w:val="14"/>
        </w:numPr>
        <w:spacing w:after="0" w:line="240" w:lineRule="auto"/>
        <w:ind w:left="1440"/>
      </w:pPr>
      <w:r w:rsidRPr="00A3216B">
        <w:t>Commercial courier deliveries (any deliveries not by the U.S. Postal Service) must be sent to 9050 Junction Drive, Annapolis Junction, MD 20701.</w:t>
      </w:r>
    </w:p>
    <w:p w:rsidR="00A3216B" w:rsidRPr="00A3216B" w:rsidP="00C73E9C" w14:paraId="654EC701" w14:textId="106FDED7">
      <w:pPr>
        <w:pStyle w:val="ListParagraph"/>
        <w:numPr>
          <w:ilvl w:val="0"/>
          <w:numId w:val="14"/>
        </w:numPr>
        <w:spacing w:after="0" w:line="240" w:lineRule="auto"/>
        <w:ind w:left="1440"/>
        <w:rPr>
          <w:rFonts w:eastAsia="Times New Roman"/>
        </w:rPr>
      </w:pPr>
      <w:r w:rsidRPr="00A3216B">
        <w:t xml:space="preserve">Filings sent by U.S. Postal Service First-Class Mail, Priority Mail, and Priority Mail Express must be sent to 45 L Street NE, </w:t>
      </w:r>
      <w:r w:rsidRPr="00A3216B">
        <w:rPr>
          <w:rFonts w:eastAsia="Times New Roman"/>
        </w:rPr>
        <w:t>Washington, DC 20554.</w:t>
      </w:r>
      <w:r w:rsidR="00F51F73">
        <w:rPr>
          <w:rFonts w:eastAsia="Times New Roman"/>
        </w:rPr>
        <w:br/>
      </w:r>
    </w:p>
    <w:p w:rsidR="005223BD" w:rsidP="00C73E9C" w14:paraId="2AC9A2F8" w14:textId="7B85C5D7">
      <w:pPr>
        <w:pStyle w:val="ListParagraph"/>
        <w:numPr>
          <w:ilvl w:val="0"/>
          <w:numId w:val="14"/>
        </w:numPr>
        <w:spacing w:after="0" w:line="240" w:lineRule="auto"/>
        <w:rPr>
          <w:rFonts w:eastAsia="Times New Roman"/>
        </w:rPr>
      </w:pPr>
      <w:r w:rsidRPr="00A3216B">
        <w:rPr>
          <w:rFonts w:eastAsia="Times New Roman"/>
          <w:i/>
          <w:iCs/>
        </w:rPr>
        <w:t>People with Disabilities</w:t>
      </w:r>
      <w:r w:rsidRPr="00A3216B">
        <w:rPr>
          <w:rFonts w:eastAsia="Times New Roman"/>
        </w:rPr>
        <w:t xml:space="preserve">:  To request materials in accessible formats for people with disabilities (braille, large print, electronic files, audio format), send an e-mail to </w:t>
      </w:r>
      <w:hyperlink r:id="rId7" w:history="1">
        <w:r w:rsidRPr="00A3216B">
          <w:rPr>
            <w:rFonts w:eastAsia="Times New Roman"/>
            <w:color w:val="0000FF"/>
            <w:u w:val="single"/>
          </w:rPr>
          <w:t>fcc504@fcc.gov</w:t>
        </w:r>
      </w:hyperlink>
      <w:r w:rsidRPr="00A3216B">
        <w:rPr>
          <w:rFonts w:eastAsia="Times New Roman"/>
        </w:rPr>
        <w:t xml:space="preserve"> or call the Consumer &amp; Governmental Affairs Bureau at 202-418-0530. </w:t>
      </w:r>
    </w:p>
    <w:p w:rsidR="00A3216B" w:rsidP="00C73E9C" w14:paraId="6B777812" w14:textId="77777777"/>
    <w:p w:rsidR="00A3216B" w:rsidRPr="00C13677" w:rsidP="00C73E9C" w14:paraId="669078C3" w14:textId="5A9B5C74">
      <w:pPr>
        <w:pStyle w:val="ParaNum"/>
        <w:widowControl/>
        <w:numPr>
          <w:ilvl w:val="0"/>
          <w:numId w:val="0"/>
        </w:numPr>
        <w:spacing w:after="0"/>
        <w:ind w:firstLine="720"/>
        <w:rPr>
          <w:szCs w:val="22"/>
        </w:rPr>
      </w:pPr>
      <w:r w:rsidRPr="00C13677">
        <w:rPr>
          <w:szCs w:val="22"/>
        </w:rPr>
        <w:t>The proceeding this Public Notice initiates shall be treated as a “permit-but-disclose” proceeding in accordance with the Commission’s ex parte rules.</w:t>
      </w:r>
      <w:r>
        <w:rPr>
          <w:rStyle w:val="FootnoteReference"/>
        </w:rPr>
        <w:footnoteReference w:id="27"/>
      </w:r>
      <w:r w:rsidRPr="00C13677">
        <w:rPr>
          <w:szCs w:val="22"/>
        </w:rPr>
        <w:t xml:space="preserve">  Persons making ex parte presentations must file a copy of any written presentation or a memorandum summarizing any oral presentation within two business days after the presentation (unless a different deadline applicable to the Sunshine period applies).  Persons making oral ex parte presentations are reminded that memoranda summarizing the presentation must (1) list all persons attending or otherwise participating in the meeting at which the ex parte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ex parte meetings are deemed to be written ex parte presentations and must be filed consistent with rule 1.1206(b).  In proceedings governed by rule 1.49(f) or for which the Commission has made available a method of electronic filing, written ex parte presentations and memoranda summarizing oral ex parte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ex parte rules.</w:t>
      </w:r>
    </w:p>
    <w:p w:rsidR="005223BD" w:rsidRPr="00C13677" w:rsidP="00C73E9C" w14:paraId="23FCAECD" w14:textId="77777777">
      <w:pPr>
        <w:pStyle w:val="ParaNum"/>
        <w:widowControl/>
        <w:numPr>
          <w:ilvl w:val="0"/>
          <w:numId w:val="0"/>
        </w:numPr>
        <w:spacing w:after="0"/>
        <w:ind w:firstLine="720"/>
        <w:rPr>
          <w:szCs w:val="22"/>
        </w:rPr>
      </w:pPr>
    </w:p>
    <w:p w:rsidR="005223BD" w:rsidRPr="00A3216B" w:rsidP="00C73E9C" w14:paraId="2E886AB4" w14:textId="41A4E3FA">
      <w:pPr>
        <w:pStyle w:val="ParaNum"/>
        <w:widowControl/>
        <w:numPr>
          <w:ilvl w:val="0"/>
          <w:numId w:val="0"/>
        </w:numPr>
        <w:spacing w:after="0"/>
        <w:ind w:firstLine="720"/>
        <w:rPr>
          <w:szCs w:val="22"/>
        </w:rPr>
      </w:pPr>
      <w:r w:rsidRPr="00A3216B">
        <w:rPr>
          <w:szCs w:val="22"/>
        </w:rPr>
        <w:t xml:space="preserve">For further information, </w:t>
      </w:r>
      <w:r w:rsidR="00487D79">
        <w:rPr>
          <w:szCs w:val="22"/>
        </w:rPr>
        <w:t xml:space="preserve">please </w:t>
      </w:r>
      <w:r w:rsidRPr="00A3216B">
        <w:rPr>
          <w:szCs w:val="22"/>
        </w:rPr>
        <w:t xml:space="preserve">contact </w:t>
      </w:r>
      <w:r w:rsidRPr="00A3216B" w:rsidR="00340CCE">
        <w:rPr>
          <w:szCs w:val="22"/>
        </w:rPr>
        <w:t>Chris Smeenk</w:t>
      </w:r>
      <w:r w:rsidR="00487D79">
        <w:rPr>
          <w:szCs w:val="22"/>
        </w:rPr>
        <w:t xml:space="preserve"> at 202-418-1630 or </w:t>
      </w:r>
      <w:hyperlink r:id="rId8" w:history="1">
        <w:r w:rsidRPr="003C7D10" w:rsidR="00FC7DB7">
          <w:rPr>
            <w:rStyle w:val="Hyperlink"/>
            <w:szCs w:val="22"/>
          </w:rPr>
          <w:t>Chris.Smeenk@fcc.gov</w:t>
        </w:r>
      </w:hyperlink>
      <w:r w:rsidR="00C73E9C">
        <w:rPr>
          <w:szCs w:val="22"/>
        </w:rPr>
        <w:t>,</w:t>
      </w:r>
      <w:r w:rsidR="00FC7DB7">
        <w:rPr>
          <w:szCs w:val="22"/>
        </w:rPr>
        <w:t xml:space="preserve"> or Rebecca Clinton at </w:t>
      </w:r>
      <w:r w:rsidR="001D7C9C">
        <w:rPr>
          <w:szCs w:val="22"/>
        </w:rPr>
        <w:t xml:space="preserve">202-418-7815 or </w:t>
      </w:r>
      <w:hyperlink r:id="rId9" w:history="1">
        <w:r w:rsidRPr="003C7D10" w:rsidR="00FB6696">
          <w:rPr>
            <w:rStyle w:val="Hyperlink"/>
            <w:szCs w:val="22"/>
          </w:rPr>
          <w:t>Rebecca.Clinton@fcc.gov</w:t>
        </w:r>
      </w:hyperlink>
      <w:r w:rsidR="00FB6696">
        <w:rPr>
          <w:szCs w:val="22"/>
        </w:rPr>
        <w:t xml:space="preserve">, </w:t>
      </w:r>
      <w:r w:rsidRPr="00A3216B">
        <w:rPr>
          <w:szCs w:val="22"/>
        </w:rPr>
        <w:t>Attorney Advisor</w:t>
      </w:r>
      <w:r w:rsidR="00E54DCA">
        <w:rPr>
          <w:szCs w:val="22"/>
        </w:rPr>
        <w:t>s</w:t>
      </w:r>
      <w:r w:rsidRPr="00A3216B">
        <w:rPr>
          <w:szCs w:val="22"/>
        </w:rPr>
        <w:t>, Operations and Emergency Management Division, Public Safety and Homeland Security Bureau</w:t>
      </w:r>
      <w:r w:rsidR="00E54DCA">
        <w:rPr>
          <w:szCs w:val="22"/>
        </w:rPr>
        <w:t xml:space="preserve">. </w:t>
      </w:r>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0F9E" w14:paraId="760E0FF7" w14:textId="77777777">
      <w:pPr>
        <w:spacing w:line="20" w:lineRule="exact"/>
      </w:pPr>
    </w:p>
  </w:endnote>
  <w:endnote w:type="continuationSeparator" w:id="1">
    <w:p w:rsidR="00F60F9E" w14:paraId="2D0FB362" w14:textId="77777777">
      <w:r>
        <w:t xml:space="preserve"> </w:t>
      </w:r>
    </w:p>
  </w:endnote>
  <w:endnote w:type="continuationNotice" w:id="2">
    <w:p w:rsidR="00F60F9E" w14:paraId="0B68A4D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A583BF2"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60069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8CA02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AE64F6D"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0F9E" w14:paraId="5D895486" w14:textId="77777777">
      <w:r>
        <w:separator/>
      </w:r>
    </w:p>
  </w:footnote>
  <w:footnote w:type="continuationSeparator" w:id="1">
    <w:p w:rsidR="00F60F9E" w14:paraId="5B952F37" w14:textId="77777777">
      <w:pPr>
        <w:rPr>
          <w:sz w:val="20"/>
        </w:rPr>
      </w:pPr>
      <w:r>
        <w:rPr>
          <w:sz w:val="20"/>
        </w:rPr>
        <w:t xml:space="preserve">(Continued from previous page)  </w:t>
      </w:r>
      <w:r>
        <w:rPr>
          <w:sz w:val="20"/>
        </w:rPr>
        <w:separator/>
      </w:r>
    </w:p>
  </w:footnote>
  <w:footnote w:type="continuationNotice" w:id="2">
    <w:p w:rsidR="00F60F9E" w14:paraId="346A1A0B" w14:textId="77777777">
      <w:pPr>
        <w:jc w:val="right"/>
        <w:rPr>
          <w:sz w:val="20"/>
        </w:rPr>
      </w:pPr>
      <w:r>
        <w:rPr>
          <w:sz w:val="20"/>
        </w:rPr>
        <w:t>(continued….)</w:t>
      </w:r>
    </w:p>
  </w:footnote>
  <w:footnote w:id="3">
    <w:p w:rsidR="00854FCC" w:rsidRPr="0000283B" w:rsidP="00854FCC" w14:paraId="2A61F9CA" w14:textId="146DFF26">
      <w:pPr>
        <w:pStyle w:val="FootnoteText"/>
        <w:rPr>
          <w:color w:val="FF0000"/>
        </w:rPr>
      </w:pPr>
      <w:r>
        <w:rPr>
          <w:rStyle w:val="FootnoteReference"/>
        </w:rPr>
        <w:footnoteRef/>
      </w:r>
      <w:r>
        <w:t xml:space="preserve"> P</w:t>
      </w:r>
      <w:r w:rsidRPr="007E2B9A">
        <w:t xml:space="preserve">ursuant to </w:t>
      </w:r>
      <w:r>
        <w:t>sections 2(a) and (d) of the</w:t>
      </w:r>
      <w:r w:rsidRPr="007E2B9A">
        <w:t xml:space="preserve"> Secure</w:t>
      </w:r>
      <w:r>
        <w:t xml:space="preserve"> and Trusted Communications</w:t>
      </w:r>
      <w:r w:rsidRPr="007E2B9A">
        <w:t xml:space="preserve"> Networks Act</w:t>
      </w:r>
      <w:r>
        <w:t xml:space="preserve"> of 2019,</w:t>
      </w:r>
      <w:r w:rsidRPr="007E2B9A">
        <w:t xml:space="preserve"> and section</w:t>
      </w:r>
      <w:r>
        <w:t>s</w:t>
      </w:r>
      <w:r w:rsidRPr="007E2B9A">
        <w:t xml:space="preserve"> 1.50002</w:t>
      </w:r>
      <w:r>
        <w:t xml:space="preserve"> and 1.50003</w:t>
      </w:r>
      <w:r w:rsidRPr="007E2B9A">
        <w:t xml:space="preserve"> of the Commission’s rules, </w:t>
      </w:r>
      <w:r>
        <w:t>the Federal Communications Commission’s Public Safety and Homeland Security Bureau (</w:t>
      </w:r>
      <w:r w:rsidRPr="007E2B9A">
        <w:t>PSHSB</w:t>
      </w:r>
      <w:r>
        <w:t>)</w:t>
      </w:r>
      <w:r w:rsidRPr="007E2B9A">
        <w:t xml:space="preserve"> publish</w:t>
      </w:r>
      <w:r>
        <w:t>es a list of communications</w:t>
      </w:r>
      <w:r w:rsidRPr="007E2B9A">
        <w:t xml:space="preserve"> equipment and services that have been determined</w:t>
      </w:r>
      <w:r>
        <w:t xml:space="preserve"> by one of the sources specified in that statute to pose</w:t>
      </w:r>
      <w:r w:rsidRPr="007E2B9A">
        <w:t xml:space="preserve"> an unacceptable risk to the national security of the United States or the security and safety of United States persons</w:t>
      </w:r>
      <w:r>
        <w:t xml:space="preserve"> (covered equipment).  Secure and Trusted Communications Networks Act of 2019, Pub. L. No. 116-124, 133 Stat. 158 (2020) (codified as amended at 47 U.S.C. §§ 1601-1609</w:t>
      </w:r>
      <w:r w:rsidR="00A56EBD">
        <w:t>)</w:t>
      </w:r>
      <w:r>
        <w:t xml:space="preserve"> (Secure Networks Act); 47 CFR §§ 1.50002, 1.50003.  For the current version of the Covered List, </w:t>
      </w:r>
      <w:r>
        <w:rPr>
          <w:i/>
          <w:iCs/>
        </w:rPr>
        <w:t>see</w:t>
      </w:r>
      <w: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w:t>
      </w:r>
      <w:r w:rsidR="001C4600">
        <w:t>January 7, 2026)</w:t>
      </w:r>
      <w:r w:rsidR="002A721A">
        <w:t xml:space="preserve"> (FCC Covered List)</w:t>
      </w:r>
      <w:r w:rsidR="001C4600">
        <w:t>.</w:t>
      </w:r>
      <w:r w:rsidR="0000283B">
        <w:t xml:space="preserve">  The process by which the Commission would exercise this authority was </w:t>
      </w:r>
      <w:r w:rsidRPr="00773C59" w:rsidR="0000283B">
        <w:rPr>
          <w:szCs w:val="22"/>
        </w:rPr>
        <w:t xml:space="preserve">established in the </w:t>
      </w:r>
      <w:r w:rsidRPr="00773C59" w:rsidR="0000283B">
        <w:rPr>
          <w:i/>
          <w:iCs/>
          <w:szCs w:val="22"/>
        </w:rPr>
        <w:t>Equipment Authorization Security Second Report and Order (EA Security Second R&amp;O</w:t>
      </w:r>
      <w:r w:rsidR="0000283B">
        <w:rPr>
          <w:i/>
          <w:iCs/>
          <w:szCs w:val="22"/>
        </w:rPr>
        <w:t>)</w:t>
      </w:r>
      <w:r w:rsidR="0000283B">
        <w:rPr>
          <w:szCs w:val="22"/>
        </w:rPr>
        <w:t xml:space="preserve">. </w:t>
      </w:r>
      <w:r w:rsidR="00F07525">
        <w:rPr>
          <w:szCs w:val="22"/>
        </w:rPr>
        <w:t xml:space="preserve"> </w:t>
      </w:r>
      <w:r w:rsidRPr="003F6EB4" w:rsidR="0000283B">
        <w:rPr>
          <w:i/>
          <w:iCs/>
        </w:rPr>
        <w:t>Protecting Against National Security Threats to the Communications Supply Chain through the Equipment Authorization Program</w:t>
      </w:r>
      <w:r w:rsidRPr="003F6EB4" w:rsidR="0000283B">
        <w:t xml:space="preserve">, Second Report </w:t>
      </w:r>
      <w:r w:rsidR="0000283B">
        <w:t xml:space="preserve">and Order </w:t>
      </w:r>
      <w:r w:rsidRPr="003F6EB4" w:rsidR="0000283B">
        <w:t>and Second Further Notice of Proposed Rulemaking, ET Docket No. 232, FCC 25-71, paras. 40-50 (2025)</w:t>
      </w:r>
      <w:r w:rsidR="0000283B">
        <w:t xml:space="preserve"> (</w:t>
      </w:r>
      <w:r w:rsidR="0000283B">
        <w:rPr>
          <w:i/>
          <w:iCs/>
        </w:rPr>
        <w:t>EA Security 2d R&amp;O</w:t>
      </w:r>
      <w:r w:rsidR="0000283B">
        <w:t>); 47 CFR § 2.939(e)</w:t>
      </w:r>
      <w:r w:rsidRPr="003F6EB4" w:rsidR="0000283B">
        <w:t xml:space="preserve">.  </w:t>
      </w:r>
    </w:p>
  </w:footnote>
  <w:footnote w:id="4">
    <w:p w:rsidR="006743E1" w14:paraId="6B1EC05F" w14:textId="2FE0C164">
      <w:pPr>
        <w:pStyle w:val="FootnoteText"/>
      </w:pPr>
      <w:r>
        <w:rPr>
          <w:rStyle w:val="FootnoteReference"/>
        </w:rPr>
        <w:footnoteRef/>
      </w:r>
      <w:r>
        <w:t xml:space="preserve"> </w:t>
      </w:r>
      <w:r w:rsidR="002A721A">
        <w:t>FCC Covered List.</w:t>
      </w:r>
    </w:p>
  </w:footnote>
  <w:footnote w:id="5">
    <w:p w:rsidR="00FE78FE" w:rsidRPr="00B61F75" w:rsidP="00FE78FE" w14:paraId="566F640E" w14:textId="25DCDB1A">
      <w:pPr>
        <w:pStyle w:val="FootnoteText"/>
      </w:pPr>
      <w:r>
        <w:rPr>
          <w:rStyle w:val="FootnoteReference"/>
        </w:rPr>
        <w:footnoteRef/>
      </w:r>
      <w:r>
        <w:t xml:space="preserve"> </w:t>
      </w:r>
      <w:r>
        <w:rPr>
          <w:i/>
          <w:iCs/>
        </w:rPr>
        <w:t xml:space="preserve">See generally </w:t>
      </w:r>
      <w:r w:rsidRPr="003F6EB4" w:rsidR="00D32A1A">
        <w:rPr>
          <w:i/>
          <w:iCs/>
        </w:rPr>
        <w:t>Protecting Against National Security Threats to the Communications Supply Chain through the Equipment Authorization Program; Protecting Against National Security Threats to the Communications Supply Chain through the Competitive Bidding Program</w:t>
      </w:r>
      <w:r w:rsidRPr="003F6EB4" w:rsidR="00D32A1A">
        <w:t>,</w:t>
      </w:r>
      <w:r>
        <w:t xml:space="preserve"> </w:t>
      </w:r>
      <w:r w:rsidR="00DE7FF2">
        <w:t>Report and Order</w:t>
      </w:r>
      <w:r w:rsidR="00015A37">
        <w:t>, Order,</w:t>
      </w:r>
      <w:r w:rsidR="00DE7FF2">
        <w:t xml:space="preserve"> and FNPRM, </w:t>
      </w:r>
      <w:r>
        <w:t xml:space="preserve">37 FCC </w:t>
      </w:r>
      <w:r>
        <w:t>Rcd</w:t>
      </w:r>
      <w:r w:rsidR="00D32A1A">
        <w:t xml:space="preserve"> 13493,</w:t>
      </w:r>
      <w:r>
        <w:t xml:space="preserve"> </w:t>
      </w:r>
      <w:r w:rsidRPr="00200AD7">
        <w:t>13509-98</w:t>
      </w:r>
      <w:r>
        <w:t>, paras. 32-263</w:t>
      </w:r>
      <w:r w:rsidR="00D32A1A">
        <w:t xml:space="preserve"> (2022) (</w:t>
      </w:r>
      <w:r w:rsidR="00D32A1A">
        <w:rPr>
          <w:i/>
          <w:iCs/>
        </w:rPr>
        <w:t>EA Security R&amp;O and FNPRM</w:t>
      </w:r>
      <w:r w:rsidR="00D32A1A">
        <w:t>)</w:t>
      </w:r>
      <w:r>
        <w:t>.  The Commission explained that this proceeding builds upon the important ongoing efforts by the Commission, Congress, and the Executive Branch to take further action to protect the security of America’s critical communications networks and equipment supply chain</w:t>
      </w:r>
      <w:r w:rsidR="00A23620">
        <w:t>s</w:t>
      </w:r>
      <w:r>
        <w:t xml:space="preserve">.  </w:t>
      </w:r>
      <w:r>
        <w:rPr>
          <w:i/>
          <w:iCs/>
        </w:rPr>
        <w:t xml:space="preserve">Id. </w:t>
      </w:r>
      <w:r>
        <w:t xml:space="preserve">at 13494-95, para. 1; </w:t>
      </w:r>
      <w:r>
        <w:rPr>
          <w:i/>
          <w:iCs/>
        </w:rPr>
        <w:t xml:space="preserve">see also id. </w:t>
      </w:r>
      <w:r>
        <w:t>at 13497-505, 13507-08, paras. 5-23, 31.</w:t>
      </w:r>
      <w:r w:rsidRPr="00AA7629">
        <w:rPr>
          <w:snapToGrid w:val="0"/>
          <w:kern w:val="28"/>
        </w:rPr>
        <w:t xml:space="preserve">  </w:t>
      </w:r>
    </w:p>
  </w:footnote>
  <w:footnote w:id="6">
    <w:p w:rsidR="00FE78FE" w:rsidRPr="00C13677" w:rsidP="00FE78FE" w14:paraId="5D246BA8" w14:textId="77777777">
      <w:pPr>
        <w:pStyle w:val="FootnoteText"/>
        <w:rPr>
          <w:lang w:val="pt-BR"/>
        </w:rPr>
      </w:pPr>
      <w:r>
        <w:rPr>
          <w:rStyle w:val="FootnoteReference"/>
        </w:rPr>
        <w:footnoteRef/>
      </w:r>
      <w:r>
        <w:t xml:space="preserve"> </w:t>
      </w:r>
      <w:r>
        <w:rPr>
          <w:i/>
          <w:iCs/>
        </w:rPr>
        <w:t>Id.</w:t>
      </w:r>
      <w:r>
        <w:t xml:space="preserve"> at 13535, para. </w:t>
      </w:r>
      <w:r w:rsidRPr="00C13677">
        <w:rPr>
          <w:lang w:val="pt-BR"/>
        </w:rPr>
        <w:t xml:space="preserve">107.  </w:t>
      </w:r>
    </w:p>
  </w:footnote>
  <w:footnote w:id="7">
    <w:p w:rsidR="00FE78FE" w:rsidP="00FE78FE" w14:paraId="50B36955" w14:textId="1EA05347">
      <w:pPr>
        <w:pStyle w:val="FootnoteText"/>
      </w:pPr>
      <w:r>
        <w:rPr>
          <w:rStyle w:val="FootnoteReference"/>
        </w:rPr>
        <w:footnoteRef/>
      </w:r>
      <w:r w:rsidRPr="00C13677">
        <w:rPr>
          <w:lang w:val="pt-BR"/>
        </w:rPr>
        <w:t xml:space="preserve"> </w:t>
      </w:r>
      <w:r w:rsidRPr="00C13677" w:rsidR="00582D86">
        <w:rPr>
          <w:i/>
          <w:lang w:val="pt-BR"/>
        </w:rPr>
        <w:t>EA Security 2d R&amp;O</w:t>
      </w:r>
      <w:r w:rsidRPr="00C13677" w:rsidR="00582D86">
        <w:rPr>
          <w:lang w:val="pt-BR"/>
        </w:rPr>
        <w:t xml:space="preserve">, FCC 25-71, paras. </w:t>
      </w:r>
      <w:r w:rsidR="00582D86">
        <w:t xml:space="preserve">40-50; 47 CFR 2.939(e), 2.803, 2.1204.  </w:t>
      </w:r>
      <w:r>
        <w:t xml:space="preserve"> </w:t>
      </w:r>
    </w:p>
  </w:footnote>
  <w:footnote w:id="8">
    <w:p w:rsidR="006834BA" w:rsidRPr="00A742FE" w:rsidP="006834BA" w14:paraId="38B8E196" w14:textId="77777777">
      <w:pPr>
        <w:pStyle w:val="FootnoteText"/>
      </w:pPr>
      <w:r>
        <w:rPr>
          <w:rStyle w:val="FootnoteReference"/>
        </w:rPr>
        <w:footnoteRef/>
      </w:r>
      <w:r>
        <w:t xml:space="preserve"> </w:t>
      </w:r>
      <w:r>
        <w:rPr>
          <w:i/>
          <w:iCs/>
        </w:rPr>
        <w:t>Id.</w:t>
      </w:r>
      <w:r>
        <w:t xml:space="preserve"> at paras. 32, 40. </w:t>
      </w:r>
    </w:p>
  </w:footnote>
  <w:footnote w:id="9">
    <w:p w:rsidR="00FE78FE" w:rsidRPr="00EB22D8" w:rsidP="00FE78FE" w14:paraId="0DDCB760" w14:textId="68F6211C">
      <w:pPr>
        <w:pStyle w:val="FootnoteText"/>
      </w:pPr>
      <w:r w:rsidRPr="00EB22D8">
        <w:rPr>
          <w:rStyle w:val="FootnoteReference"/>
          <w:sz w:val="20"/>
        </w:rPr>
        <w:footnoteRef/>
      </w:r>
      <w:r w:rsidRPr="00EB22D8">
        <w:t xml:space="preserve"> </w:t>
      </w:r>
      <w:r w:rsidR="00360973">
        <w:rPr>
          <w:i/>
          <w:iCs/>
        </w:rPr>
        <w:t>Id.</w:t>
      </w:r>
      <w:r w:rsidR="00360973">
        <w:t xml:space="preserve"> at paras. 45, 48.  </w:t>
      </w:r>
    </w:p>
  </w:footnote>
  <w:footnote w:id="10">
    <w:p w:rsidR="00B8421F" w14:paraId="12D35BDC" w14:textId="6C4B6B03">
      <w:pPr>
        <w:pStyle w:val="FootnoteText"/>
      </w:pPr>
      <w:r>
        <w:rPr>
          <w:rStyle w:val="FootnoteReference"/>
        </w:rPr>
        <w:footnoteRef/>
      </w:r>
      <w:r>
        <w:t xml:space="preserve"> </w:t>
      </w:r>
      <w:r w:rsidRPr="007B548A" w:rsidR="003D4030">
        <w:rPr>
          <w:i/>
          <w:iCs/>
        </w:rPr>
        <w:t>Id</w:t>
      </w:r>
      <w:r w:rsidR="003D4030">
        <w:t xml:space="preserve">. at paras. </w:t>
      </w:r>
      <w:r w:rsidR="002C4BBA">
        <w:t>42-</w:t>
      </w:r>
      <w:r w:rsidR="00AA7FA0">
        <w:t xml:space="preserve">50. </w:t>
      </w:r>
    </w:p>
  </w:footnote>
  <w:footnote w:id="11">
    <w:p w:rsidR="00A65057" w:rsidRPr="002163B4" w:rsidP="00A65057" w14:paraId="630E7647" w14:textId="38430042">
      <w:pPr>
        <w:pStyle w:val="FootnoteText"/>
      </w:pPr>
      <w:r>
        <w:rPr>
          <w:rStyle w:val="FootnoteReference"/>
        </w:rPr>
        <w:footnoteRef/>
      </w:r>
      <w:r>
        <w:t xml:space="preserve"> </w:t>
      </w:r>
      <w:r w:rsidRPr="0035644A">
        <w:rPr>
          <w:i/>
          <w:iCs/>
          <w:szCs w:val="22"/>
        </w:rPr>
        <w:t>See</w:t>
      </w:r>
      <w:r>
        <w:rPr>
          <w:szCs w:val="22"/>
        </w:rP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w:t>
      </w:r>
      <w:r w:rsidR="00071EDE">
        <w:t>January 7, 2026</w:t>
      </w:r>
      <w:r w:rsidRPr="007E048F">
        <w:t>).</w:t>
      </w:r>
      <w:r w:rsidR="00DB1B43">
        <w:t xml:space="preserve">  </w:t>
      </w:r>
    </w:p>
  </w:footnote>
  <w:footnote w:id="12">
    <w:p w:rsidR="002A5B87" w:rsidP="002A5B87" w14:paraId="3F3580D5" w14:textId="5B12812F">
      <w:pPr>
        <w:pStyle w:val="FootnoteText"/>
      </w:pPr>
      <w:r>
        <w:rPr>
          <w:rStyle w:val="FootnoteReference"/>
        </w:rPr>
        <w:footnoteRef/>
      </w:r>
      <w:r>
        <w:t xml:space="preserve"> </w:t>
      </w:r>
      <w:r>
        <w:rPr>
          <w:i/>
          <w:iCs/>
        </w:rPr>
        <w:t>EA Security R&amp;O and FNPRM</w:t>
      </w:r>
      <w:r>
        <w:t xml:space="preserve">, 37 FCC </w:t>
      </w:r>
      <w:r>
        <w:t>Rcd</w:t>
      </w:r>
      <w:r>
        <w:t xml:space="preserve"> at</w:t>
      </w:r>
      <w:r>
        <w:t xml:space="preserve"> </w:t>
      </w:r>
      <w:r>
        <w:t xml:space="preserve">13537, para. 114. </w:t>
      </w:r>
    </w:p>
  </w:footnote>
  <w:footnote w:id="13">
    <w:p w:rsidR="002A5B87" w:rsidRPr="00F50391" w:rsidP="002A5B87" w14:paraId="029C3723" w14:textId="77777777">
      <w:pPr>
        <w:pStyle w:val="FootnoteText"/>
      </w:pPr>
      <w:r>
        <w:rPr>
          <w:rStyle w:val="FootnoteReference"/>
        </w:rPr>
        <w:footnoteRef/>
      </w:r>
      <w:r>
        <w:t xml:space="preserve"> </w:t>
      </w:r>
      <w:r w:rsidRPr="00EC1B75">
        <w:t>47 CFR § 2.939(a)</w:t>
      </w:r>
      <w:r>
        <w:t>.</w:t>
      </w:r>
    </w:p>
  </w:footnote>
  <w:footnote w:id="14">
    <w:p w:rsidR="002A5B87" w:rsidP="002A5B87" w14:paraId="3DFBDF54" w14:textId="77777777">
      <w:pPr>
        <w:pStyle w:val="FootnoteText"/>
      </w:pPr>
      <w:r>
        <w:rPr>
          <w:rStyle w:val="FootnoteReference"/>
        </w:rPr>
        <w:footnoteRef/>
      </w:r>
      <w:r>
        <w:t xml:space="preserve"> </w:t>
      </w:r>
      <w:r w:rsidRPr="00EC1B75">
        <w:t>47 CFR § 2.939(</w:t>
      </w:r>
      <w:r>
        <w:t>e</w:t>
      </w:r>
      <w:r w:rsidRPr="00EC1B75">
        <w:t>)</w:t>
      </w:r>
      <w:r>
        <w:t>.  “</w:t>
      </w:r>
      <w:r w:rsidRPr="00EC1B75">
        <w:t>OET and PSHSB will issue a public notice announcing the intent to limit the scope of equipment authorizations to prohibit the further importation or marketing of specified devices identified by class, type, or other description sufficient to identify the devices.</w:t>
      </w:r>
      <w:r>
        <w:t xml:space="preserve">”  </w:t>
      </w:r>
      <w:r w:rsidRPr="00EC1B75">
        <w:t>47 CFR § 2.939(</w:t>
      </w:r>
      <w:r>
        <w:t>e</w:t>
      </w:r>
      <w:r w:rsidRPr="00EC1B75">
        <w:t>)(</w:t>
      </w:r>
      <w:r>
        <w:t>1</w:t>
      </w:r>
      <w:r w:rsidRPr="00EC1B75">
        <w:t xml:space="preserve">). </w:t>
      </w:r>
      <w:r>
        <w:t xml:space="preserve"> “</w:t>
      </w:r>
      <w:r w:rsidRPr="00F50391">
        <w:t>The public notice will include an assessment of the impact of the proposed prohibition with consideration of public interest factors, including: the unacceptable risks the equipment was found to pose, the economic and supply chain impacts, and any other criteria as specified by the Commission. The public notice should give particular weight to the specific determination(s), and any accompanying rules or analyses, through which the relevant equipment was added to the Covered List.</w:t>
      </w:r>
      <w:r>
        <w:t xml:space="preserve">  </w:t>
      </w:r>
      <w:r w:rsidRPr="00EC1B75">
        <w:t>47 CFR § 2.939(</w:t>
      </w:r>
      <w:r>
        <w:t>e</w:t>
      </w:r>
      <w:r w:rsidRPr="00EC1B75">
        <w:t>)</w:t>
      </w:r>
      <w:r>
        <w:t xml:space="preserve">(2). </w:t>
      </w:r>
    </w:p>
  </w:footnote>
  <w:footnote w:id="15">
    <w:p w:rsidR="001A43AF" w:rsidP="001A43AF" w14:paraId="74E19410" w14:textId="77777777">
      <w:pPr>
        <w:pStyle w:val="FootnoteText"/>
      </w:pPr>
      <w:r>
        <w:rPr>
          <w:rStyle w:val="FootnoteReference"/>
        </w:rPr>
        <w:footnoteRef/>
      </w:r>
      <w:r>
        <w:t xml:space="preserve"> </w:t>
      </w:r>
      <w:r w:rsidRPr="003F7D0E">
        <w:t xml:space="preserve">Certain of the Commission’s rules apply to each “entity identified on the Covered List.” </w:t>
      </w:r>
      <w:r>
        <w:t xml:space="preserve"> </w:t>
      </w:r>
      <w:r w:rsidRPr="003F7D0E">
        <w:t>For instance, section 2.906(d) of the Commission’s rules prohibits entities “identified on the Covered List” from obtaining equipment authorization through the Commission’s Supplier’s Declaration of Conformity (</w:t>
      </w:r>
      <w:r w:rsidRPr="003F7D0E">
        <w:t>SDoC</w:t>
      </w:r>
      <w:r w:rsidRPr="003F7D0E">
        <w:t xml:space="preserve">) process. </w:t>
      </w:r>
      <w:r>
        <w:t xml:space="preserve"> </w:t>
      </w:r>
      <w:r w:rsidRPr="00817043">
        <w:rPr>
          <w:i/>
          <w:iCs/>
        </w:rPr>
        <w:t>See</w:t>
      </w:r>
      <w:r>
        <w:t xml:space="preserve"> </w:t>
      </w:r>
      <w:r w:rsidRPr="00817043">
        <w:t>47 CFR §§ 2.906(d), 2.907(c).</w:t>
      </w:r>
      <w:r>
        <w:t xml:space="preserve">  </w:t>
      </w:r>
      <w:r w:rsidRPr="003F7D0E">
        <w:t>In addition, the rules governing certification apply to any equipment produced by entities “identified on the Covered List,” even if the equipment otherwise qualifies as an “exempted device” under section 15.103 of our rules.</w:t>
      </w:r>
      <w:r>
        <w:t xml:space="preserve">  </w:t>
      </w:r>
      <w:r w:rsidRPr="00033DD1">
        <w:rPr>
          <w:i/>
          <w:iCs/>
        </w:rPr>
        <w:t>See</w:t>
      </w:r>
      <w:r>
        <w:t xml:space="preserve"> </w:t>
      </w:r>
      <w:r w:rsidRPr="00043FF8">
        <w:t>47 CFR § 15.103.</w:t>
      </w:r>
      <w:r>
        <w:t xml:space="preserve">  </w:t>
      </w:r>
    </w:p>
  </w:footnote>
  <w:footnote w:id="16">
    <w:p w:rsidR="000735C4" w14:paraId="72973A0A" w14:textId="037976E1">
      <w:pPr>
        <w:pStyle w:val="FootnoteText"/>
      </w:pPr>
      <w:r>
        <w:rPr>
          <w:rStyle w:val="FootnoteReference"/>
        </w:rPr>
        <w:footnoteRef/>
      </w:r>
      <w:r>
        <w:t xml:space="preserve"> </w:t>
      </w:r>
      <w:r>
        <w:rPr>
          <w:i/>
          <w:iCs/>
        </w:rPr>
        <w:t>EA Security 2d R</w:t>
      </w:r>
      <w:r w:rsidRPr="006F3E46">
        <w:rPr>
          <w:i/>
          <w:iCs/>
        </w:rPr>
        <w:t>&amp;O</w:t>
      </w:r>
      <w:r>
        <w:t xml:space="preserve">, FCC 25-71, para. 45 (quoting </w:t>
      </w:r>
      <w:r w:rsidRPr="00C475FD" w:rsidR="00C475FD">
        <w:rPr>
          <w:i/>
          <w:iCs/>
        </w:rPr>
        <w:t xml:space="preserve">Haig v. Agee, </w:t>
      </w:r>
      <w:r w:rsidRPr="00C475FD" w:rsidR="00C475FD">
        <w:t>453 U.S. 280, 307 (1981)</w:t>
      </w:r>
      <w:r w:rsidR="00C475FD">
        <w:t xml:space="preserve">). </w:t>
      </w:r>
    </w:p>
  </w:footnote>
  <w:footnote w:id="17">
    <w:p w:rsidR="00C859E3" w:rsidP="00D91E79" w14:paraId="3F9A5FB3" w14:textId="43DFA195">
      <w:pPr>
        <w:pStyle w:val="FootnoteText"/>
        <w:tabs>
          <w:tab w:val="center" w:pos="4680"/>
        </w:tabs>
      </w:pPr>
      <w:r>
        <w:rPr>
          <w:rStyle w:val="FootnoteReference"/>
        </w:rPr>
        <w:footnoteRef/>
      </w:r>
      <w:r w:rsidRPr="00C13677">
        <w:rPr>
          <w:lang w:val="pt-BR"/>
        </w:rPr>
        <w:t xml:space="preserve"> </w:t>
      </w:r>
      <w:r w:rsidRPr="00C13677" w:rsidR="00522807">
        <w:rPr>
          <w:i/>
          <w:lang w:val="pt-BR"/>
        </w:rPr>
        <w:t>EA Security 2d R&amp;O</w:t>
      </w:r>
      <w:r w:rsidRPr="00C13677" w:rsidR="00522807">
        <w:rPr>
          <w:lang w:val="pt-BR"/>
        </w:rPr>
        <w:t>, FCC 25-71, para</w:t>
      </w:r>
      <w:r w:rsidRPr="00C13677" w:rsidR="00D91E79">
        <w:rPr>
          <w:lang w:val="pt-BR"/>
        </w:rPr>
        <w:t xml:space="preserve">. </w:t>
      </w:r>
      <w:r w:rsidR="00D91E79">
        <w:t xml:space="preserve">40. </w:t>
      </w:r>
    </w:p>
  </w:footnote>
  <w:footnote w:id="18">
    <w:p w:rsidR="001E5608" w14:paraId="544D08F2" w14:textId="7EA2BD5A">
      <w:pPr>
        <w:pStyle w:val="FootnoteText"/>
      </w:pPr>
      <w:r>
        <w:rPr>
          <w:rStyle w:val="FootnoteReference"/>
        </w:rPr>
        <w:footnoteRef/>
      </w:r>
      <w:r>
        <w:t xml:space="preserve"> </w:t>
      </w:r>
      <w:r w:rsidRPr="009A4F77" w:rsidR="009A4F77">
        <w:rPr>
          <w:i/>
          <w:iCs/>
        </w:rPr>
        <w:t>Id</w:t>
      </w:r>
      <w:r w:rsidR="009A4F77">
        <w:t xml:space="preserve">. </w:t>
      </w:r>
    </w:p>
  </w:footnote>
  <w:footnote w:id="19">
    <w:p w:rsidR="000617C5" w:rsidP="000617C5" w14:paraId="64620D3C" w14:textId="4C6EBF35">
      <w:pPr>
        <w:pStyle w:val="FootnoteText"/>
      </w:pPr>
      <w:r>
        <w:rPr>
          <w:rStyle w:val="FootnoteReference"/>
        </w:rPr>
        <w:footnoteRef/>
      </w:r>
      <w:r>
        <w:t xml:space="preserve"> </w:t>
      </w:r>
      <w:r w:rsidRPr="00800436" w:rsidR="00800436">
        <w:t>47 U.S.C. § 1601</w:t>
      </w:r>
      <w:r w:rsidR="00FD67F8">
        <w:t>(c)(3)</w:t>
      </w:r>
      <w:r w:rsidR="00FD3365">
        <w:t xml:space="preserve">. </w:t>
      </w:r>
    </w:p>
  </w:footnote>
  <w:footnote w:id="20">
    <w:p w:rsidR="000617C5" w:rsidRPr="005D79FB" w:rsidP="000617C5" w14:paraId="72039B31" w14:textId="14C3B196">
      <w:pPr>
        <w:pStyle w:val="FootnoteText"/>
      </w:pPr>
      <w:r>
        <w:rPr>
          <w:rStyle w:val="FootnoteReference"/>
        </w:rPr>
        <w:footnoteRef/>
      </w:r>
      <w:r>
        <w:t xml:space="preserve"> </w:t>
      </w:r>
      <w:r w:rsidRPr="00822F87" w:rsidR="00AE7493">
        <w:rPr>
          <w:i/>
          <w:iCs/>
        </w:rPr>
        <w:t xml:space="preserve">See </w:t>
      </w:r>
      <w:r w:rsidRPr="00DB2DD9" w:rsidR="00DB2DD9">
        <w:rPr>
          <w:i/>
          <w:iCs/>
        </w:rPr>
        <w:t xml:space="preserve">Protecting Against National Security Threats to the Communications Supply Chain Through FCC Programs, </w:t>
      </w:r>
      <w:r w:rsidRPr="00D5722F" w:rsidR="00DB2DD9">
        <w:t xml:space="preserve">WC Docket No. 18-89, Second Report and Order, 35 FCC </w:t>
      </w:r>
      <w:r w:rsidRPr="00D5722F" w:rsidR="00DB2DD9">
        <w:t>Rcd</w:t>
      </w:r>
      <w:r w:rsidRPr="00D5722F" w:rsidR="00DB2DD9">
        <w:t xml:space="preserve"> 14284</w:t>
      </w:r>
      <w:r w:rsidRPr="00D5722F" w:rsidR="005D79FB">
        <w:t>, 14315</w:t>
      </w:r>
      <w:r w:rsidRPr="00D5722F" w:rsidR="00EB5A40">
        <w:t>-14316</w:t>
      </w:r>
      <w:r w:rsidRPr="00D5722F" w:rsidR="00DB2DD9">
        <w:t xml:space="preserve"> (2020)</w:t>
      </w:r>
      <w:r w:rsidRPr="00DE7FF2" w:rsidR="00F67C0A">
        <w:t>.</w:t>
      </w:r>
      <w:r w:rsidRPr="00F67C0A" w:rsidR="005D79FB">
        <w:t xml:space="preserve"> </w:t>
      </w:r>
    </w:p>
  </w:footnote>
  <w:footnote w:id="21">
    <w:p w:rsidR="008B5A3A" w14:paraId="46E79F42" w14:textId="4AEACB21">
      <w:pPr>
        <w:pStyle w:val="FootnoteText"/>
      </w:pPr>
      <w:r>
        <w:rPr>
          <w:rStyle w:val="FootnoteReference"/>
        </w:rPr>
        <w:footnoteRef/>
      </w:r>
      <w:r>
        <w:t xml:space="preserve"> </w:t>
      </w:r>
      <w:r w:rsidRPr="00AF6CCE" w:rsidR="00AF6CCE">
        <w:t>Department of Commerce, Final Determination, Case No. ICTS-2021-002, Kaspersky Lab, Inc., 89 Fed. Reg. 52434 (June 24, 2024) (Final Determination), https://www.federalregister.gov/documents/2024/06/24/2024- 13532/final-determination-case-no-icts-2021-002-kaspersky-lab-inc</w:t>
      </w:r>
      <w:r w:rsidR="00AF6CCE">
        <w:t>.</w:t>
      </w:r>
    </w:p>
  </w:footnote>
  <w:footnote w:id="22">
    <w:p w:rsidR="00030837" w14:paraId="39EE352F" w14:textId="5495D746">
      <w:pPr>
        <w:pStyle w:val="FootnoteText"/>
      </w:pPr>
      <w:r>
        <w:rPr>
          <w:rStyle w:val="FootnoteReference"/>
        </w:rPr>
        <w:footnoteRef/>
      </w:r>
      <w:r w:rsidRPr="00C13677">
        <w:rPr>
          <w:lang w:val="pt-BR"/>
        </w:rPr>
        <w:t xml:space="preserve"> </w:t>
      </w:r>
      <w:r w:rsidRPr="00C13677" w:rsidR="007F52C6">
        <w:rPr>
          <w:i/>
          <w:lang w:val="pt-BR"/>
        </w:rPr>
        <w:t>EA Security 2d R&amp;O</w:t>
      </w:r>
      <w:r w:rsidRPr="00C13677" w:rsidR="007F52C6">
        <w:rPr>
          <w:lang w:val="pt-BR"/>
        </w:rPr>
        <w:t xml:space="preserve">, FCC 25-71, para. </w:t>
      </w:r>
      <w:r w:rsidR="000D2DDF">
        <w:t xml:space="preserve">46. </w:t>
      </w:r>
    </w:p>
  </w:footnote>
  <w:footnote w:id="23">
    <w:p w:rsidR="00C73BA8" w14:paraId="24DC9E1D" w14:textId="14E3A446">
      <w:pPr>
        <w:pStyle w:val="FootnoteText"/>
      </w:pPr>
      <w:r>
        <w:rPr>
          <w:rStyle w:val="FootnoteReference"/>
        </w:rPr>
        <w:footnoteRef/>
      </w:r>
      <w:r>
        <w:t xml:space="preserve"> </w:t>
      </w:r>
      <w:r w:rsidR="00963AFD">
        <w:t>Final Determination at 52437.</w:t>
      </w:r>
    </w:p>
  </w:footnote>
  <w:footnote w:id="24">
    <w:p w:rsidR="003E1B78" w14:paraId="6CBA3D0F" w14:textId="349D6B97">
      <w:pPr>
        <w:pStyle w:val="FootnoteText"/>
      </w:pPr>
      <w:r>
        <w:rPr>
          <w:rStyle w:val="FootnoteReference"/>
        </w:rPr>
        <w:footnoteRef/>
      </w:r>
      <w:r>
        <w:t xml:space="preserve"> </w:t>
      </w:r>
      <w:r w:rsidRPr="00822F87" w:rsidR="007C4876">
        <w:rPr>
          <w:i/>
          <w:iCs/>
        </w:rPr>
        <w:t>See</w:t>
      </w:r>
      <w:r w:rsidR="007C4876">
        <w:t xml:space="preserve"> </w:t>
      </w:r>
      <w:r w:rsidRPr="00CE7558" w:rsidR="00CE7558">
        <w:t xml:space="preserve">Wireline Competition Bureau, Secure and Trusted Communications Networks Reimbursement Program </w:t>
      </w:r>
      <w:r w:rsidR="00946726">
        <w:t>Sixth</w:t>
      </w:r>
      <w:r w:rsidRPr="00CE7558" w:rsidR="00CE7558">
        <w:t xml:space="preserve"> Report (</w:t>
      </w:r>
      <w:r w:rsidR="00946726">
        <w:t>June 30</w:t>
      </w:r>
      <w:r w:rsidRPr="00CE7558" w:rsidR="00CE7558">
        <w:t>, 202</w:t>
      </w:r>
      <w:r w:rsidR="00946726">
        <w:t>5</w:t>
      </w:r>
      <w:r w:rsidRPr="00CE7558" w:rsidR="00CE7558">
        <w:t xml:space="preserve">), </w:t>
      </w:r>
      <w:hyperlink r:id="rId2" w:history="1">
        <w:r w:rsidRPr="0086379D" w:rsidR="000E7B35">
          <w:rPr>
            <w:rStyle w:val="Hyperlink"/>
          </w:rPr>
          <w:t>https://www.fcc.gov/document/supply-chain-reimbursement-program-sixth-report</w:t>
        </w:r>
      </w:hyperlink>
      <w:r w:rsidR="000E7B35">
        <w:t xml:space="preserve">. </w:t>
      </w:r>
      <w:r w:rsidR="001C0AE5">
        <w:t xml:space="preserve"> </w:t>
      </w:r>
      <w:r w:rsidR="00FC2A50">
        <w:t>“</w:t>
      </w:r>
      <w:r w:rsidRPr="00FC2A50" w:rsidR="00FC2A50">
        <w:t>The Bureau is pleased to report that Reimbursement Program recipients continue to progress with their plans to permanently remove, replace, and dispose of covered communications equipment and services</w:t>
      </w:r>
      <w:r w:rsidR="003B6E0B">
        <w:t xml:space="preserve">.” </w:t>
      </w:r>
      <w:r w:rsidR="001C0AE5">
        <w:t xml:space="preserve"> </w:t>
      </w:r>
      <w:r w:rsidRPr="00822F87" w:rsidR="00FC2A50">
        <w:rPr>
          <w:i/>
          <w:iCs/>
        </w:rPr>
        <w:t>Id</w:t>
      </w:r>
      <w:r w:rsidR="00FC2A50">
        <w:t xml:space="preserve">. at 2. </w:t>
      </w:r>
    </w:p>
  </w:footnote>
  <w:footnote w:id="25">
    <w:p w:rsidR="00EB1B12" w14:paraId="443FD486" w14:textId="4787FE9F">
      <w:pPr>
        <w:pStyle w:val="FootnoteText"/>
      </w:pPr>
      <w:r>
        <w:rPr>
          <w:rStyle w:val="FootnoteReference"/>
        </w:rPr>
        <w:footnoteRef/>
      </w:r>
      <w:r>
        <w:t xml:space="preserve"> See Covered List;  2019 NDAA. </w:t>
      </w:r>
    </w:p>
  </w:footnote>
  <w:footnote w:id="26">
    <w:p w:rsidR="004812E5" w:rsidRPr="00DF52BD" w:rsidP="004812E5" w14:paraId="190BA5C3" w14:textId="6F1B18A9">
      <w:pPr>
        <w:pStyle w:val="FootnoteText"/>
      </w:pPr>
      <w:r>
        <w:rPr>
          <w:rStyle w:val="FootnoteReference"/>
        </w:rPr>
        <w:footnoteRef/>
      </w:r>
      <w:r>
        <w:t xml:space="preserve"> 47 U.S.C. § 1601(b); </w:t>
      </w:r>
      <w:r>
        <w:rPr>
          <w:i/>
          <w:iCs/>
        </w:rPr>
        <w:t>see also</w:t>
      </w:r>
      <w:r>
        <w:t xml:space="preserve"> </w:t>
      </w:r>
      <w:r>
        <w:rPr>
          <w:i/>
          <w:iCs/>
        </w:rPr>
        <w:t>EA Security R&amp;O and FNPRM</w:t>
      </w:r>
      <w:r w:rsidRPr="00263820">
        <w:t xml:space="preserve">, 37 FCC </w:t>
      </w:r>
      <w:r w:rsidRPr="00263820">
        <w:t>Rcd</w:t>
      </w:r>
      <w:r>
        <w:rPr>
          <w:i/>
          <w:iCs/>
        </w:rPr>
        <w:t xml:space="preserve"> </w:t>
      </w:r>
      <w:r>
        <w:t>at 13511-13513, paras. 40-43</w:t>
      </w:r>
      <w:r w:rsidR="009B2A60">
        <w:t xml:space="preserve">. </w:t>
      </w:r>
    </w:p>
  </w:footnote>
  <w:footnote w:id="27">
    <w:p w:rsidR="00A3216B" w:rsidP="00A3216B" w14:paraId="4F75C98C" w14:textId="77777777">
      <w:pPr>
        <w:pStyle w:val="FootnoteText"/>
        <w:rPr>
          <w:i/>
          <w:iCs/>
        </w:rPr>
      </w:pPr>
      <w:r>
        <w:rPr>
          <w:rStyle w:val="FootnoteReference"/>
        </w:rPr>
        <w:footnoteRef/>
      </w:r>
      <w:r>
        <w:t xml:space="preserve"> 47 C.F.R. §§ 1.1200 </w:t>
      </w:r>
      <w:r>
        <w:rPr>
          <w:i/>
          <w:iCs/>
        </w:rPr>
        <w:t>et seq.</w:t>
      </w:r>
    </w:p>
    <w:p w:rsidR="00A3216B" w:rsidRPr="00E169D5" w:rsidP="00A3216B" w14:paraId="74C1F199" w14:textId="77777777">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4351ABA" w14:textId="417D2371">
    <w:pPr>
      <w:tabs>
        <w:tab w:val="center" w:pos="4680"/>
        <w:tab w:val="right" w:pos="9360"/>
      </w:tabs>
    </w:pPr>
    <w:r>
      <w:rPr>
        <w:b/>
      </w:rPr>
      <w:tab/>
      <w:t>Federal Communications Commission</w:t>
    </w:r>
    <w:r>
      <w:rPr>
        <w:b/>
      </w:rPr>
      <w:tab/>
    </w:r>
    <w:r w:rsidR="00F35108">
      <w:rPr>
        <w:b/>
      </w:rPr>
      <w:t xml:space="preserve">DA </w:t>
    </w:r>
    <w:r w:rsidRPr="009849A4" w:rsidR="00F21125">
      <w:rPr>
        <w:b/>
        <w:szCs w:val="22"/>
      </w:rPr>
      <w:t>26-294</w:t>
    </w:r>
  </w:p>
  <w:p w:rsidR="00BA3BA8" w14:paraId="444F3261" w14:textId="314640B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D4C97CB"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C82840C" w14:textId="1A25C504">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22151"/>
    <w:multiLevelType w:val="hybridMultilevel"/>
    <w:tmpl w:val="B8228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586CB9"/>
    <w:multiLevelType w:val="hybridMultilevel"/>
    <w:tmpl w:val="D7B2764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FA1377B"/>
    <w:multiLevelType w:val="hybridMultilevel"/>
    <w:tmpl w:val="9516D70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4E2538BD"/>
    <w:multiLevelType w:val="hybridMultilevel"/>
    <w:tmpl w:val="A1C8185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D4183A"/>
    <w:multiLevelType w:val="hybridMultilevel"/>
    <w:tmpl w:val="52AAB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BA7C23"/>
    <w:multiLevelType w:val="hybridMultilevel"/>
    <w:tmpl w:val="220A3BE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71F93CA2"/>
    <w:multiLevelType w:val="hybridMultilevel"/>
    <w:tmpl w:val="895AD62A"/>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07521034">
    <w:abstractNumId w:val="4"/>
  </w:num>
  <w:num w:numId="2" w16cid:durableId="1815220673">
    <w:abstractNumId w:val="12"/>
  </w:num>
  <w:num w:numId="3" w16cid:durableId="1445999858">
    <w:abstractNumId w:val="6"/>
  </w:num>
  <w:num w:numId="4" w16cid:durableId="1949385756">
    <w:abstractNumId w:val="8"/>
  </w:num>
  <w:num w:numId="5" w16cid:durableId="878711800">
    <w:abstractNumId w:val="5"/>
  </w:num>
  <w:num w:numId="6" w16cid:durableId="1353652504">
    <w:abstractNumId w:val="0"/>
  </w:num>
  <w:num w:numId="7" w16cid:durableId="1147284245">
    <w:abstractNumId w:val="7"/>
  </w:num>
  <w:num w:numId="8" w16cid:durableId="1752004366">
    <w:abstractNumId w:val="2"/>
  </w:num>
  <w:num w:numId="9" w16cid:durableId="323972065">
    <w:abstractNumId w:val="13"/>
  </w:num>
  <w:num w:numId="10" w16cid:durableId="2140175691">
    <w:abstractNumId w:val="11"/>
  </w:num>
  <w:num w:numId="11" w16cid:durableId="273099262">
    <w:abstractNumId w:val="3"/>
  </w:num>
  <w:num w:numId="12" w16cid:durableId="1064066929">
    <w:abstractNumId w:val="9"/>
  </w:num>
  <w:num w:numId="13" w16cid:durableId="2050296538">
    <w:abstractNumId w:val="10"/>
  </w:num>
  <w:num w:numId="14" w16cid:durableId="1660229359">
    <w:abstractNumId w:val="1"/>
  </w:num>
  <w:num w:numId="15" w16cid:durableId="1882277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08"/>
    <w:rsid w:val="0000283B"/>
    <w:rsid w:val="00003017"/>
    <w:rsid w:val="00003614"/>
    <w:rsid w:val="00004B19"/>
    <w:rsid w:val="0000621C"/>
    <w:rsid w:val="000063A4"/>
    <w:rsid w:val="00006F57"/>
    <w:rsid w:val="00007296"/>
    <w:rsid w:val="000079C3"/>
    <w:rsid w:val="0001369F"/>
    <w:rsid w:val="00013744"/>
    <w:rsid w:val="00013E95"/>
    <w:rsid w:val="0001499D"/>
    <w:rsid w:val="000150F3"/>
    <w:rsid w:val="00015A2F"/>
    <w:rsid w:val="00015A37"/>
    <w:rsid w:val="00015F4A"/>
    <w:rsid w:val="00016C1F"/>
    <w:rsid w:val="00016FEA"/>
    <w:rsid w:val="00017232"/>
    <w:rsid w:val="000207BA"/>
    <w:rsid w:val="00020D68"/>
    <w:rsid w:val="00023209"/>
    <w:rsid w:val="00023B30"/>
    <w:rsid w:val="00025587"/>
    <w:rsid w:val="000265EC"/>
    <w:rsid w:val="00026A00"/>
    <w:rsid w:val="00030837"/>
    <w:rsid w:val="00033DD1"/>
    <w:rsid w:val="00035771"/>
    <w:rsid w:val="00035DF2"/>
    <w:rsid w:val="00036941"/>
    <w:rsid w:val="00036FC0"/>
    <w:rsid w:val="00037B90"/>
    <w:rsid w:val="0004010D"/>
    <w:rsid w:val="00040197"/>
    <w:rsid w:val="000409E4"/>
    <w:rsid w:val="00040B00"/>
    <w:rsid w:val="0004333B"/>
    <w:rsid w:val="00043FF8"/>
    <w:rsid w:val="000440F7"/>
    <w:rsid w:val="00044ADB"/>
    <w:rsid w:val="00045CDD"/>
    <w:rsid w:val="00046661"/>
    <w:rsid w:val="00047B9B"/>
    <w:rsid w:val="00051953"/>
    <w:rsid w:val="000539EA"/>
    <w:rsid w:val="00054149"/>
    <w:rsid w:val="00054C9D"/>
    <w:rsid w:val="00054CEC"/>
    <w:rsid w:val="00056FF5"/>
    <w:rsid w:val="00057652"/>
    <w:rsid w:val="00060937"/>
    <w:rsid w:val="000617C5"/>
    <w:rsid w:val="00061892"/>
    <w:rsid w:val="000637E0"/>
    <w:rsid w:val="00064121"/>
    <w:rsid w:val="0006493A"/>
    <w:rsid w:val="0006563E"/>
    <w:rsid w:val="00067C46"/>
    <w:rsid w:val="00070919"/>
    <w:rsid w:val="00070B5A"/>
    <w:rsid w:val="000716DA"/>
    <w:rsid w:val="000719D2"/>
    <w:rsid w:val="000719E3"/>
    <w:rsid w:val="00071EDE"/>
    <w:rsid w:val="0007222C"/>
    <w:rsid w:val="00072D31"/>
    <w:rsid w:val="00072D53"/>
    <w:rsid w:val="00073458"/>
    <w:rsid w:val="000735C4"/>
    <w:rsid w:val="00075F96"/>
    <w:rsid w:val="00076A85"/>
    <w:rsid w:val="0007725E"/>
    <w:rsid w:val="0007777B"/>
    <w:rsid w:val="000779BC"/>
    <w:rsid w:val="00080512"/>
    <w:rsid w:val="00080797"/>
    <w:rsid w:val="00081931"/>
    <w:rsid w:val="00082C09"/>
    <w:rsid w:val="00083423"/>
    <w:rsid w:val="00083F73"/>
    <w:rsid w:val="00087518"/>
    <w:rsid w:val="0009031E"/>
    <w:rsid w:val="00090735"/>
    <w:rsid w:val="00091791"/>
    <w:rsid w:val="00093377"/>
    <w:rsid w:val="00094B67"/>
    <w:rsid w:val="00095645"/>
    <w:rsid w:val="00095657"/>
    <w:rsid w:val="00095B1C"/>
    <w:rsid w:val="00096B54"/>
    <w:rsid w:val="00096F81"/>
    <w:rsid w:val="000A163C"/>
    <w:rsid w:val="000A1CBB"/>
    <w:rsid w:val="000A32AB"/>
    <w:rsid w:val="000A3B01"/>
    <w:rsid w:val="000A4A7B"/>
    <w:rsid w:val="000A566D"/>
    <w:rsid w:val="000A6151"/>
    <w:rsid w:val="000A6D83"/>
    <w:rsid w:val="000A76A9"/>
    <w:rsid w:val="000A78F8"/>
    <w:rsid w:val="000B04A7"/>
    <w:rsid w:val="000B273F"/>
    <w:rsid w:val="000B3E72"/>
    <w:rsid w:val="000B408D"/>
    <w:rsid w:val="000B478B"/>
    <w:rsid w:val="000B4866"/>
    <w:rsid w:val="000B6682"/>
    <w:rsid w:val="000B6AE0"/>
    <w:rsid w:val="000B6BA9"/>
    <w:rsid w:val="000B70AD"/>
    <w:rsid w:val="000C16AC"/>
    <w:rsid w:val="000C1E13"/>
    <w:rsid w:val="000C2C2A"/>
    <w:rsid w:val="000C3486"/>
    <w:rsid w:val="000C41DD"/>
    <w:rsid w:val="000C4F46"/>
    <w:rsid w:val="000C558C"/>
    <w:rsid w:val="000C64A3"/>
    <w:rsid w:val="000C6C30"/>
    <w:rsid w:val="000C718A"/>
    <w:rsid w:val="000C73CB"/>
    <w:rsid w:val="000C74A4"/>
    <w:rsid w:val="000C796E"/>
    <w:rsid w:val="000C7F3D"/>
    <w:rsid w:val="000D1F9F"/>
    <w:rsid w:val="000D277A"/>
    <w:rsid w:val="000D2DDF"/>
    <w:rsid w:val="000D40B7"/>
    <w:rsid w:val="000D79F3"/>
    <w:rsid w:val="000E009B"/>
    <w:rsid w:val="000E04C2"/>
    <w:rsid w:val="000E1078"/>
    <w:rsid w:val="000E1757"/>
    <w:rsid w:val="000E2943"/>
    <w:rsid w:val="000E2EC8"/>
    <w:rsid w:val="000E4342"/>
    <w:rsid w:val="000E5BCA"/>
    <w:rsid w:val="000E7580"/>
    <w:rsid w:val="000E790C"/>
    <w:rsid w:val="000E7B35"/>
    <w:rsid w:val="000E7D22"/>
    <w:rsid w:val="000F03F8"/>
    <w:rsid w:val="000F0DFC"/>
    <w:rsid w:val="000F20F4"/>
    <w:rsid w:val="000F22FA"/>
    <w:rsid w:val="000F348A"/>
    <w:rsid w:val="000F5DB8"/>
    <w:rsid w:val="000F5F12"/>
    <w:rsid w:val="000F5F13"/>
    <w:rsid w:val="000F698A"/>
    <w:rsid w:val="000F6B34"/>
    <w:rsid w:val="000F6BE1"/>
    <w:rsid w:val="00100079"/>
    <w:rsid w:val="00100F05"/>
    <w:rsid w:val="00101189"/>
    <w:rsid w:val="00101968"/>
    <w:rsid w:val="00103800"/>
    <w:rsid w:val="001057BA"/>
    <w:rsid w:val="00105C51"/>
    <w:rsid w:val="00106AEF"/>
    <w:rsid w:val="00107140"/>
    <w:rsid w:val="001136E7"/>
    <w:rsid w:val="001138B2"/>
    <w:rsid w:val="0011613F"/>
    <w:rsid w:val="0011621A"/>
    <w:rsid w:val="00116921"/>
    <w:rsid w:val="00117AC3"/>
    <w:rsid w:val="001218E8"/>
    <w:rsid w:val="00122469"/>
    <w:rsid w:val="00122C05"/>
    <w:rsid w:val="00123387"/>
    <w:rsid w:val="00123B15"/>
    <w:rsid w:val="00123ECB"/>
    <w:rsid w:val="001247B3"/>
    <w:rsid w:val="00124B69"/>
    <w:rsid w:val="0012586F"/>
    <w:rsid w:val="00125AE3"/>
    <w:rsid w:val="001261B4"/>
    <w:rsid w:val="00131FF3"/>
    <w:rsid w:val="00133687"/>
    <w:rsid w:val="00141037"/>
    <w:rsid w:val="0014146A"/>
    <w:rsid w:val="001428EE"/>
    <w:rsid w:val="00142D2C"/>
    <w:rsid w:val="00142E7E"/>
    <w:rsid w:val="0014319A"/>
    <w:rsid w:val="00143DE3"/>
    <w:rsid w:val="001442AB"/>
    <w:rsid w:val="00144399"/>
    <w:rsid w:val="001455B6"/>
    <w:rsid w:val="001456AF"/>
    <w:rsid w:val="00145BC8"/>
    <w:rsid w:val="00152BFA"/>
    <w:rsid w:val="00152E81"/>
    <w:rsid w:val="0015384A"/>
    <w:rsid w:val="001548DD"/>
    <w:rsid w:val="00154FAB"/>
    <w:rsid w:val="001559FA"/>
    <w:rsid w:val="00155C3A"/>
    <w:rsid w:val="0016091F"/>
    <w:rsid w:val="00160AE0"/>
    <w:rsid w:val="00160CBC"/>
    <w:rsid w:val="001611A6"/>
    <w:rsid w:val="001623FB"/>
    <w:rsid w:val="0016429D"/>
    <w:rsid w:val="001645DB"/>
    <w:rsid w:val="0016479B"/>
    <w:rsid w:val="001648F4"/>
    <w:rsid w:val="00164DDC"/>
    <w:rsid w:val="00164F30"/>
    <w:rsid w:val="001659AA"/>
    <w:rsid w:val="00165BCB"/>
    <w:rsid w:val="001674BB"/>
    <w:rsid w:val="0017058F"/>
    <w:rsid w:val="00170EEE"/>
    <w:rsid w:val="0017404A"/>
    <w:rsid w:val="00174D6C"/>
    <w:rsid w:val="001764A6"/>
    <w:rsid w:val="00176C24"/>
    <w:rsid w:val="00176E9E"/>
    <w:rsid w:val="00176EE6"/>
    <w:rsid w:val="0017740A"/>
    <w:rsid w:val="00180125"/>
    <w:rsid w:val="0018078F"/>
    <w:rsid w:val="0018390C"/>
    <w:rsid w:val="00183AAD"/>
    <w:rsid w:val="001844BE"/>
    <w:rsid w:val="0018468D"/>
    <w:rsid w:val="00184A38"/>
    <w:rsid w:val="0018570C"/>
    <w:rsid w:val="00186974"/>
    <w:rsid w:val="00187144"/>
    <w:rsid w:val="00187965"/>
    <w:rsid w:val="00187BF8"/>
    <w:rsid w:val="00193103"/>
    <w:rsid w:val="00194C15"/>
    <w:rsid w:val="00195300"/>
    <w:rsid w:val="0019550D"/>
    <w:rsid w:val="00195740"/>
    <w:rsid w:val="0019776E"/>
    <w:rsid w:val="001A03B8"/>
    <w:rsid w:val="001A0E45"/>
    <w:rsid w:val="001A125B"/>
    <w:rsid w:val="001A20F4"/>
    <w:rsid w:val="001A26B4"/>
    <w:rsid w:val="001A34D5"/>
    <w:rsid w:val="001A43AF"/>
    <w:rsid w:val="001A45BE"/>
    <w:rsid w:val="001A5675"/>
    <w:rsid w:val="001A5C3A"/>
    <w:rsid w:val="001A5E6E"/>
    <w:rsid w:val="001A74A1"/>
    <w:rsid w:val="001A7C77"/>
    <w:rsid w:val="001B05EF"/>
    <w:rsid w:val="001B0CA2"/>
    <w:rsid w:val="001B1CFE"/>
    <w:rsid w:val="001B2ED9"/>
    <w:rsid w:val="001B5075"/>
    <w:rsid w:val="001B52F1"/>
    <w:rsid w:val="001B578F"/>
    <w:rsid w:val="001B5B74"/>
    <w:rsid w:val="001B63F4"/>
    <w:rsid w:val="001B6651"/>
    <w:rsid w:val="001B68D8"/>
    <w:rsid w:val="001B6B55"/>
    <w:rsid w:val="001B6D56"/>
    <w:rsid w:val="001B785C"/>
    <w:rsid w:val="001B7E8D"/>
    <w:rsid w:val="001C0AE5"/>
    <w:rsid w:val="001C3188"/>
    <w:rsid w:val="001C372F"/>
    <w:rsid w:val="001C454E"/>
    <w:rsid w:val="001C4600"/>
    <w:rsid w:val="001C49F4"/>
    <w:rsid w:val="001C75A1"/>
    <w:rsid w:val="001D040C"/>
    <w:rsid w:val="001D0A67"/>
    <w:rsid w:val="001D1A96"/>
    <w:rsid w:val="001D22B4"/>
    <w:rsid w:val="001D2C68"/>
    <w:rsid w:val="001D3D6F"/>
    <w:rsid w:val="001D4BAA"/>
    <w:rsid w:val="001D4F47"/>
    <w:rsid w:val="001D57BA"/>
    <w:rsid w:val="001D5B01"/>
    <w:rsid w:val="001D7C9C"/>
    <w:rsid w:val="001E1A49"/>
    <w:rsid w:val="001E2B10"/>
    <w:rsid w:val="001E377F"/>
    <w:rsid w:val="001E46A9"/>
    <w:rsid w:val="001E5608"/>
    <w:rsid w:val="001E5E49"/>
    <w:rsid w:val="001E5F9C"/>
    <w:rsid w:val="001E6D3E"/>
    <w:rsid w:val="001E7371"/>
    <w:rsid w:val="001F0332"/>
    <w:rsid w:val="001F0486"/>
    <w:rsid w:val="001F10E7"/>
    <w:rsid w:val="001F1B2E"/>
    <w:rsid w:val="001F2103"/>
    <w:rsid w:val="001F2D6C"/>
    <w:rsid w:val="001F2FA4"/>
    <w:rsid w:val="001F3A51"/>
    <w:rsid w:val="001F5572"/>
    <w:rsid w:val="001F5668"/>
    <w:rsid w:val="001F5F7C"/>
    <w:rsid w:val="001F604F"/>
    <w:rsid w:val="001F6681"/>
    <w:rsid w:val="001F7634"/>
    <w:rsid w:val="001F78B1"/>
    <w:rsid w:val="001F7CE8"/>
    <w:rsid w:val="00200193"/>
    <w:rsid w:val="00200AD7"/>
    <w:rsid w:val="002032E8"/>
    <w:rsid w:val="002033E0"/>
    <w:rsid w:val="002038BE"/>
    <w:rsid w:val="00203CD4"/>
    <w:rsid w:val="002052F6"/>
    <w:rsid w:val="00211247"/>
    <w:rsid w:val="00211615"/>
    <w:rsid w:val="00211FFB"/>
    <w:rsid w:val="00212537"/>
    <w:rsid w:val="00212B77"/>
    <w:rsid w:val="002139D5"/>
    <w:rsid w:val="00214A90"/>
    <w:rsid w:val="002163B4"/>
    <w:rsid w:val="002166C2"/>
    <w:rsid w:val="00220262"/>
    <w:rsid w:val="0022033D"/>
    <w:rsid w:val="00222A5F"/>
    <w:rsid w:val="00222E20"/>
    <w:rsid w:val="002245DB"/>
    <w:rsid w:val="002246EC"/>
    <w:rsid w:val="00224E3C"/>
    <w:rsid w:val="00224F41"/>
    <w:rsid w:val="00225480"/>
    <w:rsid w:val="00225A8F"/>
    <w:rsid w:val="00227B63"/>
    <w:rsid w:val="00231BB9"/>
    <w:rsid w:val="00231C46"/>
    <w:rsid w:val="0023276D"/>
    <w:rsid w:val="00233095"/>
    <w:rsid w:val="00234264"/>
    <w:rsid w:val="00234F6D"/>
    <w:rsid w:val="00234F7B"/>
    <w:rsid w:val="002363E0"/>
    <w:rsid w:val="00236EB4"/>
    <w:rsid w:val="00240DB8"/>
    <w:rsid w:val="00243511"/>
    <w:rsid w:val="00243686"/>
    <w:rsid w:val="00243AA7"/>
    <w:rsid w:val="00245B68"/>
    <w:rsid w:val="00245E0E"/>
    <w:rsid w:val="0024709A"/>
    <w:rsid w:val="002472CA"/>
    <w:rsid w:val="002478B3"/>
    <w:rsid w:val="002500FC"/>
    <w:rsid w:val="00250F61"/>
    <w:rsid w:val="002521D7"/>
    <w:rsid w:val="00252452"/>
    <w:rsid w:val="00253E03"/>
    <w:rsid w:val="00254A1F"/>
    <w:rsid w:val="00255241"/>
    <w:rsid w:val="00255CEB"/>
    <w:rsid w:val="00256964"/>
    <w:rsid w:val="00256AFE"/>
    <w:rsid w:val="00257EE2"/>
    <w:rsid w:val="002605C7"/>
    <w:rsid w:val="00260615"/>
    <w:rsid w:val="002606DE"/>
    <w:rsid w:val="00260FD4"/>
    <w:rsid w:val="0026114F"/>
    <w:rsid w:val="00262109"/>
    <w:rsid w:val="002626F8"/>
    <w:rsid w:val="002629CB"/>
    <w:rsid w:val="00263078"/>
    <w:rsid w:val="00263589"/>
    <w:rsid w:val="00263820"/>
    <w:rsid w:val="0026437B"/>
    <w:rsid w:val="002647C5"/>
    <w:rsid w:val="00266C6E"/>
    <w:rsid w:val="00266D66"/>
    <w:rsid w:val="00267622"/>
    <w:rsid w:val="00270C4C"/>
    <w:rsid w:val="00271194"/>
    <w:rsid w:val="002717DA"/>
    <w:rsid w:val="00271DD3"/>
    <w:rsid w:val="00271F99"/>
    <w:rsid w:val="00272EC3"/>
    <w:rsid w:val="00273294"/>
    <w:rsid w:val="00273605"/>
    <w:rsid w:val="0027763B"/>
    <w:rsid w:val="00281AC3"/>
    <w:rsid w:val="00282213"/>
    <w:rsid w:val="002828CC"/>
    <w:rsid w:val="0028296C"/>
    <w:rsid w:val="00283705"/>
    <w:rsid w:val="00283DF0"/>
    <w:rsid w:val="00286A17"/>
    <w:rsid w:val="00286D19"/>
    <w:rsid w:val="002873F4"/>
    <w:rsid w:val="002875AA"/>
    <w:rsid w:val="0028779F"/>
    <w:rsid w:val="002915F2"/>
    <w:rsid w:val="002925FC"/>
    <w:rsid w:val="002928D9"/>
    <w:rsid w:val="00292EDC"/>
    <w:rsid w:val="0029356C"/>
    <w:rsid w:val="002936DE"/>
    <w:rsid w:val="00293B56"/>
    <w:rsid w:val="00295CAD"/>
    <w:rsid w:val="00296824"/>
    <w:rsid w:val="00297B66"/>
    <w:rsid w:val="002A0F17"/>
    <w:rsid w:val="002A13FD"/>
    <w:rsid w:val="002A144F"/>
    <w:rsid w:val="002A4775"/>
    <w:rsid w:val="002A50AE"/>
    <w:rsid w:val="002A5769"/>
    <w:rsid w:val="002A5B87"/>
    <w:rsid w:val="002A721A"/>
    <w:rsid w:val="002A75A7"/>
    <w:rsid w:val="002A7888"/>
    <w:rsid w:val="002B0DD8"/>
    <w:rsid w:val="002B1C3C"/>
    <w:rsid w:val="002B2028"/>
    <w:rsid w:val="002B2211"/>
    <w:rsid w:val="002B6826"/>
    <w:rsid w:val="002C1891"/>
    <w:rsid w:val="002C2C83"/>
    <w:rsid w:val="002C4BBA"/>
    <w:rsid w:val="002C60A2"/>
    <w:rsid w:val="002C6DEE"/>
    <w:rsid w:val="002C6E89"/>
    <w:rsid w:val="002C705D"/>
    <w:rsid w:val="002C7072"/>
    <w:rsid w:val="002C7CE6"/>
    <w:rsid w:val="002D0059"/>
    <w:rsid w:val="002D1179"/>
    <w:rsid w:val="002D14B1"/>
    <w:rsid w:val="002D195F"/>
    <w:rsid w:val="002D40F5"/>
    <w:rsid w:val="002D456E"/>
    <w:rsid w:val="002D6CBA"/>
    <w:rsid w:val="002D75FA"/>
    <w:rsid w:val="002D78C4"/>
    <w:rsid w:val="002E1334"/>
    <w:rsid w:val="002E47A2"/>
    <w:rsid w:val="002E532B"/>
    <w:rsid w:val="002E6993"/>
    <w:rsid w:val="002E7AC7"/>
    <w:rsid w:val="002F02D3"/>
    <w:rsid w:val="002F0548"/>
    <w:rsid w:val="002F0D82"/>
    <w:rsid w:val="002F47E3"/>
    <w:rsid w:val="002F49ED"/>
    <w:rsid w:val="002F4A70"/>
    <w:rsid w:val="002F54CA"/>
    <w:rsid w:val="002F5ABF"/>
    <w:rsid w:val="002F6D9B"/>
    <w:rsid w:val="002F7A17"/>
    <w:rsid w:val="0030114A"/>
    <w:rsid w:val="00302286"/>
    <w:rsid w:val="003041B9"/>
    <w:rsid w:val="00304645"/>
    <w:rsid w:val="00304C15"/>
    <w:rsid w:val="00305C46"/>
    <w:rsid w:val="00313AA6"/>
    <w:rsid w:val="003140BC"/>
    <w:rsid w:val="00314216"/>
    <w:rsid w:val="003147F9"/>
    <w:rsid w:val="0031491C"/>
    <w:rsid w:val="003151EC"/>
    <w:rsid w:val="003152C4"/>
    <w:rsid w:val="00315373"/>
    <w:rsid w:val="003160BC"/>
    <w:rsid w:val="00316A61"/>
    <w:rsid w:val="00320D87"/>
    <w:rsid w:val="003224F8"/>
    <w:rsid w:val="003227B7"/>
    <w:rsid w:val="00324B29"/>
    <w:rsid w:val="00330B70"/>
    <w:rsid w:val="0033103F"/>
    <w:rsid w:val="003315E8"/>
    <w:rsid w:val="00331C9E"/>
    <w:rsid w:val="00333215"/>
    <w:rsid w:val="0033442E"/>
    <w:rsid w:val="00335F27"/>
    <w:rsid w:val="00336FC1"/>
    <w:rsid w:val="00337113"/>
    <w:rsid w:val="00340298"/>
    <w:rsid w:val="00340CCE"/>
    <w:rsid w:val="0034169A"/>
    <w:rsid w:val="00342736"/>
    <w:rsid w:val="0034327F"/>
    <w:rsid w:val="00343BD3"/>
    <w:rsid w:val="00343C52"/>
    <w:rsid w:val="00344A74"/>
    <w:rsid w:val="003451FE"/>
    <w:rsid w:val="00345695"/>
    <w:rsid w:val="00345B26"/>
    <w:rsid w:val="00347BC4"/>
    <w:rsid w:val="00347FF5"/>
    <w:rsid w:val="003509F4"/>
    <w:rsid w:val="00350BD7"/>
    <w:rsid w:val="00351FC4"/>
    <w:rsid w:val="003531AC"/>
    <w:rsid w:val="003534C6"/>
    <w:rsid w:val="00353CA8"/>
    <w:rsid w:val="00353ECE"/>
    <w:rsid w:val="00354419"/>
    <w:rsid w:val="00354FF3"/>
    <w:rsid w:val="00355225"/>
    <w:rsid w:val="0035644A"/>
    <w:rsid w:val="00357D9A"/>
    <w:rsid w:val="00360973"/>
    <w:rsid w:val="00360D4B"/>
    <w:rsid w:val="003613A4"/>
    <w:rsid w:val="00361405"/>
    <w:rsid w:val="003624C0"/>
    <w:rsid w:val="00362691"/>
    <w:rsid w:val="003648A8"/>
    <w:rsid w:val="00366980"/>
    <w:rsid w:val="00366ADC"/>
    <w:rsid w:val="00367C0A"/>
    <w:rsid w:val="00371233"/>
    <w:rsid w:val="003715FE"/>
    <w:rsid w:val="00373EBA"/>
    <w:rsid w:val="00374013"/>
    <w:rsid w:val="003741FE"/>
    <w:rsid w:val="00375412"/>
    <w:rsid w:val="0037683F"/>
    <w:rsid w:val="003802B8"/>
    <w:rsid w:val="0038224A"/>
    <w:rsid w:val="00382B69"/>
    <w:rsid w:val="00384B60"/>
    <w:rsid w:val="00384CF0"/>
    <w:rsid w:val="00386B34"/>
    <w:rsid w:val="003876B6"/>
    <w:rsid w:val="003909B9"/>
    <w:rsid w:val="00390D58"/>
    <w:rsid w:val="003912F7"/>
    <w:rsid w:val="00391D38"/>
    <w:rsid w:val="00391DFE"/>
    <w:rsid w:val="00392741"/>
    <w:rsid w:val="003930C6"/>
    <w:rsid w:val="003937BB"/>
    <w:rsid w:val="00393ECD"/>
    <w:rsid w:val="003955EE"/>
    <w:rsid w:val="003A025C"/>
    <w:rsid w:val="003A052B"/>
    <w:rsid w:val="003A4F04"/>
    <w:rsid w:val="003A5121"/>
    <w:rsid w:val="003A595F"/>
    <w:rsid w:val="003A5A50"/>
    <w:rsid w:val="003A5E42"/>
    <w:rsid w:val="003A6B87"/>
    <w:rsid w:val="003B004E"/>
    <w:rsid w:val="003B1F4D"/>
    <w:rsid w:val="003B350C"/>
    <w:rsid w:val="003B392A"/>
    <w:rsid w:val="003B4C2E"/>
    <w:rsid w:val="003B69C1"/>
    <w:rsid w:val="003B6A82"/>
    <w:rsid w:val="003B6E0B"/>
    <w:rsid w:val="003B6F4C"/>
    <w:rsid w:val="003B6FAC"/>
    <w:rsid w:val="003B7BF2"/>
    <w:rsid w:val="003C12EE"/>
    <w:rsid w:val="003C39E7"/>
    <w:rsid w:val="003C58E3"/>
    <w:rsid w:val="003C74C3"/>
    <w:rsid w:val="003C7A40"/>
    <w:rsid w:val="003C7D10"/>
    <w:rsid w:val="003C7D1B"/>
    <w:rsid w:val="003D2F30"/>
    <w:rsid w:val="003D374D"/>
    <w:rsid w:val="003D4030"/>
    <w:rsid w:val="003D4DA6"/>
    <w:rsid w:val="003D7AE2"/>
    <w:rsid w:val="003E098B"/>
    <w:rsid w:val="003E15EB"/>
    <w:rsid w:val="003E1B78"/>
    <w:rsid w:val="003E2479"/>
    <w:rsid w:val="003E2923"/>
    <w:rsid w:val="003E35CD"/>
    <w:rsid w:val="003E3E59"/>
    <w:rsid w:val="003E4AF9"/>
    <w:rsid w:val="003E5E80"/>
    <w:rsid w:val="003E647C"/>
    <w:rsid w:val="003E68CB"/>
    <w:rsid w:val="003F01AA"/>
    <w:rsid w:val="003F25E6"/>
    <w:rsid w:val="003F2B7A"/>
    <w:rsid w:val="003F4E74"/>
    <w:rsid w:val="003F505F"/>
    <w:rsid w:val="003F56AE"/>
    <w:rsid w:val="003F5A3C"/>
    <w:rsid w:val="003F5CF5"/>
    <w:rsid w:val="003F6EB4"/>
    <w:rsid w:val="003F7453"/>
    <w:rsid w:val="003F7B04"/>
    <w:rsid w:val="003F7D0E"/>
    <w:rsid w:val="00402647"/>
    <w:rsid w:val="004028ED"/>
    <w:rsid w:val="0040452A"/>
    <w:rsid w:val="00405126"/>
    <w:rsid w:val="00405846"/>
    <w:rsid w:val="0040708B"/>
    <w:rsid w:val="004110D6"/>
    <w:rsid w:val="00411652"/>
    <w:rsid w:val="00411FE2"/>
    <w:rsid w:val="0041210C"/>
    <w:rsid w:val="0041424B"/>
    <w:rsid w:val="004143C2"/>
    <w:rsid w:val="00414DA1"/>
    <w:rsid w:val="00415ED9"/>
    <w:rsid w:val="0041643F"/>
    <w:rsid w:val="004168B3"/>
    <w:rsid w:val="00416B1F"/>
    <w:rsid w:val="00421C30"/>
    <w:rsid w:val="00422C47"/>
    <w:rsid w:val="00424D5C"/>
    <w:rsid w:val="00426C52"/>
    <w:rsid w:val="004273D3"/>
    <w:rsid w:val="00430183"/>
    <w:rsid w:val="00430966"/>
    <w:rsid w:val="00430B34"/>
    <w:rsid w:val="00430D39"/>
    <w:rsid w:val="00431DB9"/>
    <w:rsid w:val="00433168"/>
    <w:rsid w:val="00434071"/>
    <w:rsid w:val="0043443E"/>
    <w:rsid w:val="00434D26"/>
    <w:rsid w:val="0044028C"/>
    <w:rsid w:val="00440C8F"/>
    <w:rsid w:val="0044171A"/>
    <w:rsid w:val="00442949"/>
    <w:rsid w:val="00442E18"/>
    <w:rsid w:val="00443D2A"/>
    <w:rsid w:val="00445609"/>
    <w:rsid w:val="004456CF"/>
    <w:rsid w:val="00446BC4"/>
    <w:rsid w:val="0045270E"/>
    <w:rsid w:val="004545EA"/>
    <w:rsid w:val="00454AD6"/>
    <w:rsid w:val="00454DBF"/>
    <w:rsid w:val="0045505C"/>
    <w:rsid w:val="00455526"/>
    <w:rsid w:val="0045643A"/>
    <w:rsid w:val="004566F9"/>
    <w:rsid w:val="00456791"/>
    <w:rsid w:val="00456EB7"/>
    <w:rsid w:val="004611FF"/>
    <w:rsid w:val="004631C4"/>
    <w:rsid w:val="00464833"/>
    <w:rsid w:val="00466C47"/>
    <w:rsid w:val="004677F6"/>
    <w:rsid w:val="00471F41"/>
    <w:rsid w:val="00472548"/>
    <w:rsid w:val="00474210"/>
    <w:rsid w:val="00475B8B"/>
    <w:rsid w:val="0047630A"/>
    <w:rsid w:val="00476781"/>
    <w:rsid w:val="00476D61"/>
    <w:rsid w:val="0048007B"/>
    <w:rsid w:val="00480871"/>
    <w:rsid w:val="00480970"/>
    <w:rsid w:val="004812E5"/>
    <w:rsid w:val="0048140B"/>
    <w:rsid w:val="0048283A"/>
    <w:rsid w:val="0048385E"/>
    <w:rsid w:val="00484B75"/>
    <w:rsid w:val="00485BE9"/>
    <w:rsid w:val="00487A12"/>
    <w:rsid w:val="00487D79"/>
    <w:rsid w:val="00490112"/>
    <w:rsid w:val="00490E3E"/>
    <w:rsid w:val="00491170"/>
    <w:rsid w:val="00491686"/>
    <w:rsid w:val="00491ACC"/>
    <w:rsid w:val="00491E06"/>
    <w:rsid w:val="00491F59"/>
    <w:rsid w:val="00492063"/>
    <w:rsid w:val="00492F06"/>
    <w:rsid w:val="004952B9"/>
    <w:rsid w:val="00495D2D"/>
    <w:rsid w:val="00496BD8"/>
    <w:rsid w:val="004A0832"/>
    <w:rsid w:val="004A09F9"/>
    <w:rsid w:val="004A19F1"/>
    <w:rsid w:val="004A3863"/>
    <w:rsid w:val="004A3BE5"/>
    <w:rsid w:val="004A47D0"/>
    <w:rsid w:val="004A4C37"/>
    <w:rsid w:val="004A54AC"/>
    <w:rsid w:val="004A5E84"/>
    <w:rsid w:val="004A68DC"/>
    <w:rsid w:val="004A7079"/>
    <w:rsid w:val="004B0C0E"/>
    <w:rsid w:val="004B1AA9"/>
    <w:rsid w:val="004B204E"/>
    <w:rsid w:val="004B20DB"/>
    <w:rsid w:val="004B26B6"/>
    <w:rsid w:val="004B3072"/>
    <w:rsid w:val="004B31AF"/>
    <w:rsid w:val="004B4548"/>
    <w:rsid w:val="004B510B"/>
    <w:rsid w:val="004B5762"/>
    <w:rsid w:val="004B59C6"/>
    <w:rsid w:val="004B6519"/>
    <w:rsid w:val="004B6D9E"/>
    <w:rsid w:val="004C0ED4"/>
    <w:rsid w:val="004C710F"/>
    <w:rsid w:val="004C7E63"/>
    <w:rsid w:val="004D06BF"/>
    <w:rsid w:val="004D32B5"/>
    <w:rsid w:val="004D3F55"/>
    <w:rsid w:val="004D4743"/>
    <w:rsid w:val="004D537E"/>
    <w:rsid w:val="004D642A"/>
    <w:rsid w:val="004D77D0"/>
    <w:rsid w:val="004E041A"/>
    <w:rsid w:val="004E232C"/>
    <w:rsid w:val="004E252E"/>
    <w:rsid w:val="004E458F"/>
    <w:rsid w:val="004E5D39"/>
    <w:rsid w:val="004E6AB4"/>
    <w:rsid w:val="004E7BDA"/>
    <w:rsid w:val="004F104D"/>
    <w:rsid w:val="004F50EA"/>
    <w:rsid w:val="004F5360"/>
    <w:rsid w:val="004F57A5"/>
    <w:rsid w:val="004F58E1"/>
    <w:rsid w:val="004F6A67"/>
    <w:rsid w:val="004F6F03"/>
    <w:rsid w:val="004F7AD4"/>
    <w:rsid w:val="0050048F"/>
    <w:rsid w:val="00501633"/>
    <w:rsid w:val="00503038"/>
    <w:rsid w:val="005048E7"/>
    <w:rsid w:val="00506FA4"/>
    <w:rsid w:val="00507BD2"/>
    <w:rsid w:val="00507F56"/>
    <w:rsid w:val="0051176D"/>
    <w:rsid w:val="00511855"/>
    <w:rsid w:val="00511A2B"/>
    <w:rsid w:val="0051288B"/>
    <w:rsid w:val="00512ABE"/>
    <w:rsid w:val="00514EA7"/>
    <w:rsid w:val="005158A7"/>
    <w:rsid w:val="005158CA"/>
    <w:rsid w:val="00516392"/>
    <w:rsid w:val="005165C1"/>
    <w:rsid w:val="00516FA3"/>
    <w:rsid w:val="00517332"/>
    <w:rsid w:val="005223BD"/>
    <w:rsid w:val="0052248A"/>
    <w:rsid w:val="005227D0"/>
    <w:rsid w:val="00522807"/>
    <w:rsid w:val="005229EB"/>
    <w:rsid w:val="005232A7"/>
    <w:rsid w:val="0052463D"/>
    <w:rsid w:val="00524E7D"/>
    <w:rsid w:val="00532556"/>
    <w:rsid w:val="00536A88"/>
    <w:rsid w:val="00540D79"/>
    <w:rsid w:val="005441AD"/>
    <w:rsid w:val="00544944"/>
    <w:rsid w:val="00544C31"/>
    <w:rsid w:val="0054567F"/>
    <w:rsid w:val="00550124"/>
    <w:rsid w:val="005512E6"/>
    <w:rsid w:val="00551638"/>
    <w:rsid w:val="00551ABB"/>
    <w:rsid w:val="00553820"/>
    <w:rsid w:val="005554FD"/>
    <w:rsid w:val="0055562D"/>
    <w:rsid w:val="0055574A"/>
    <w:rsid w:val="00555A82"/>
    <w:rsid w:val="00555D3C"/>
    <w:rsid w:val="00556E54"/>
    <w:rsid w:val="0055712A"/>
    <w:rsid w:val="00560078"/>
    <w:rsid w:val="0056124C"/>
    <w:rsid w:val="0056149C"/>
    <w:rsid w:val="00561EFD"/>
    <w:rsid w:val="00562E42"/>
    <w:rsid w:val="00566216"/>
    <w:rsid w:val="00566F08"/>
    <w:rsid w:val="00570D42"/>
    <w:rsid w:val="00571131"/>
    <w:rsid w:val="00576580"/>
    <w:rsid w:val="00577C86"/>
    <w:rsid w:val="00577E55"/>
    <w:rsid w:val="00582D86"/>
    <w:rsid w:val="00585F1F"/>
    <w:rsid w:val="005873D7"/>
    <w:rsid w:val="0058747B"/>
    <w:rsid w:val="005876F7"/>
    <w:rsid w:val="00590A6A"/>
    <w:rsid w:val="00591076"/>
    <w:rsid w:val="005925DF"/>
    <w:rsid w:val="00592650"/>
    <w:rsid w:val="00594BB7"/>
    <w:rsid w:val="00596060"/>
    <w:rsid w:val="00596A84"/>
    <w:rsid w:val="00596CB1"/>
    <w:rsid w:val="00597618"/>
    <w:rsid w:val="005A0256"/>
    <w:rsid w:val="005A2B45"/>
    <w:rsid w:val="005A33C2"/>
    <w:rsid w:val="005A3C61"/>
    <w:rsid w:val="005A438C"/>
    <w:rsid w:val="005A4D32"/>
    <w:rsid w:val="005A50D4"/>
    <w:rsid w:val="005A53E1"/>
    <w:rsid w:val="005A5975"/>
    <w:rsid w:val="005A72FA"/>
    <w:rsid w:val="005B0B74"/>
    <w:rsid w:val="005B30A8"/>
    <w:rsid w:val="005B32DB"/>
    <w:rsid w:val="005B36D3"/>
    <w:rsid w:val="005B5400"/>
    <w:rsid w:val="005B5622"/>
    <w:rsid w:val="005B58DB"/>
    <w:rsid w:val="005B5AAE"/>
    <w:rsid w:val="005B64C0"/>
    <w:rsid w:val="005C052F"/>
    <w:rsid w:val="005C1BD9"/>
    <w:rsid w:val="005C4064"/>
    <w:rsid w:val="005C42EA"/>
    <w:rsid w:val="005C67E7"/>
    <w:rsid w:val="005C7DAE"/>
    <w:rsid w:val="005D0E8D"/>
    <w:rsid w:val="005D21CA"/>
    <w:rsid w:val="005D43D2"/>
    <w:rsid w:val="005D4EA5"/>
    <w:rsid w:val="005D4EE4"/>
    <w:rsid w:val="005D552D"/>
    <w:rsid w:val="005D6457"/>
    <w:rsid w:val="005D79FB"/>
    <w:rsid w:val="005E08A1"/>
    <w:rsid w:val="005E1FD3"/>
    <w:rsid w:val="005E2B12"/>
    <w:rsid w:val="005E2BB2"/>
    <w:rsid w:val="005E2E61"/>
    <w:rsid w:val="005E2EE6"/>
    <w:rsid w:val="005E3318"/>
    <w:rsid w:val="005E420A"/>
    <w:rsid w:val="005E5F09"/>
    <w:rsid w:val="005E6E44"/>
    <w:rsid w:val="005E6F1A"/>
    <w:rsid w:val="005E6F8C"/>
    <w:rsid w:val="005F086D"/>
    <w:rsid w:val="005F13A2"/>
    <w:rsid w:val="005F19A7"/>
    <w:rsid w:val="005F2176"/>
    <w:rsid w:val="005F3463"/>
    <w:rsid w:val="005F72F9"/>
    <w:rsid w:val="005F7314"/>
    <w:rsid w:val="00600D06"/>
    <w:rsid w:val="00601544"/>
    <w:rsid w:val="006016F5"/>
    <w:rsid w:val="0060414E"/>
    <w:rsid w:val="00605E02"/>
    <w:rsid w:val="00606214"/>
    <w:rsid w:val="00606EB7"/>
    <w:rsid w:val="006071BF"/>
    <w:rsid w:val="0060765F"/>
    <w:rsid w:val="00610757"/>
    <w:rsid w:val="006108C6"/>
    <w:rsid w:val="00610A5E"/>
    <w:rsid w:val="0061100E"/>
    <w:rsid w:val="00611537"/>
    <w:rsid w:val="006131AB"/>
    <w:rsid w:val="00613367"/>
    <w:rsid w:val="00613B48"/>
    <w:rsid w:val="00613B93"/>
    <w:rsid w:val="00614AD0"/>
    <w:rsid w:val="00615ADF"/>
    <w:rsid w:val="00617784"/>
    <w:rsid w:val="006202C3"/>
    <w:rsid w:val="00620450"/>
    <w:rsid w:val="006206A7"/>
    <w:rsid w:val="006217C0"/>
    <w:rsid w:val="00622B61"/>
    <w:rsid w:val="00622D17"/>
    <w:rsid w:val="00622EFF"/>
    <w:rsid w:val="00623A74"/>
    <w:rsid w:val="00624050"/>
    <w:rsid w:val="00624B30"/>
    <w:rsid w:val="00625D99"/>
    <w:rsid w:val="00625E77"/>
    <w:rsid w:val="00626371"/>
    <w:rsid w:val="00626AE6"/>
    <w:rsid w:val="00627ABD"/>
    <w:rsid w:val="006302C1"/>
    <w:rsid w:val="006320A2"/>
    <w:rsid w:val="00632B5A"/>
    <w:rsid w:val="00632E9B"/>
    <w:rsid w:val="00635190"/>
    <w:rsid w:val="006353BF"/>
    <w:rsid w:val="006360AD"/>
    <w:rsid w:val="006379DC"/>
    <w:rsid w:val="00640688"/>
    <w:rsid w:val="00641AB2"/>
    <w:rsid w:val="006426E8"/>
    <w:rsid w:val="00643C50"/>
    <w:rsid w:val="00644B44"/>
    <w:rsid w:val="00644D18"/>
    <w:rsid w:val="00646639"/>
    <w:rsid w:val="00646BD4"/>
    <w:rsid w:val="00646D6E"/>
    <w:rsid w:val="00647506"/>
    <w:rsid w:val="006475A9"/>
    <w:rsid w:val="006476B3"/>
    <w:rsid w:val="0065125A"/>
    <w:rsid w:val="00652164"/>
    <w:rsid w:val="00652785"/>
    <w:rsid w:val="0065396E"/>
    <w:rsid w:val="006539AA"/>
    <w:rsid w:val="00654752"/>
    <w:rsid w:val="00654D04"/>
    <w:rsid w:val="00654E33"/>
    <w:rsid w:val="006551D0"/>
    <w:rsid w:val="0065533E"/>
    <w:rsid w:val="006557DC"/>
    <w:rsid w:val="00661792"/>
    <w:rsid w:val="006637F2"/>
    <w:rsid w:val="0066485F"/>
    <w:rsid w:val="00665E25"/>
    <w:rsid w:val="0066649D"/>
    <w:rsid w:val="006677FE"/>
    <w:rsid w:val="00670131"/>
    <w:rsid w:val="00671544"/>
    <w:rsid w:val="00671B2E"/>
    <w:rsid w:val="00672B1C"/>
    <w:rsid w:val="00673CF2"/>
    <w:rsid w:val="006743E1"/>
    <w:rsid w:val="00675AEA"/>
    <w:rsid w:val="00676C72"/>
    <w:rsid w:val="006809D7"/>
    <w:rsid w:val="00680A05"/>
    <w:rsid w:val="006834BA"/>
    <w:rsid w:val="00683817"/>
    <w:rsid w:val="006838CF"/>
    <w:rsid w:val="00683989"/>
    <w:rsid w:val="00683F68"/>
    <w:rsid w:val="00684642"/>
    <w:rsid w:val="006849D1"/>
    <w:rsid w:val="00685A2F"/>
    <w:rsid w:val="0068648B"/>
    <w:rsid w:val="006864EB"/>
    <w:rsid w:val="00686AB5"/>
    <w:rsid w:val="0068790C"/>
    <w:rsid w:val="00687A21"/>
    <w:rsid w:val="00687C74"/>
    <w:rsid w:val="006912D1"/>
    <w:rsid w:val="00691CFB"/>
    <w:rsid w:val="00692B04"/>
    <w:rsid w:val="0069380B"/>
    <w:rsid w:val="0069535F"/>
    <w:rsid w:val="0069679E"/>
    <w:rsid w:val="006967F2"/>
    <w:rsid w:val="0069729F"/>
    <w:rsid w:val="006A09D7"/>
    <w:rsid w:val="006A2EDB"/>
    <w:rsid w:val="006A5506"/>
    <w:rsid w:val="006A70A2"/>
    <w:rsid w:val="006A761E"/>
    <w:rsid w:val="006A7AC7"/>
    <w:rsid w:val="006B0C4A"/>
    <w:rsid w:val="006B1DF0"/>
    <w:rsid w:val="006B3270"/>
    <w:rsid w:val="006B3AAC"/>
    <w:rsid w:val="006B4130"/>
    <w:rsid w:val="006B4551"/>
    <w:rsid w:val="006B4D51"/>
    <w:rsid w:val="006B62B3"/>
    <w:rsid w:val="006B766A"/>
    <w:rsid w:val="006C4499"/>
    <w:rsid w:val="006C46D9"/>
    <w:rsid w:val="006C5201"/>
    <w:rsid w:val="006C5728"/>
    <w:rsid w:val="006D0899"/>
    <w:rsid w:val="006D299D"/>
    <w:rsid w:val="006D4DA5"/>
    <w:rsid w:val="006D5302"/>
    <w:rsid w:val="006D53DF"/>
    <w:rsid w:val="006D5CEC"/>
    <w:rsid w:val="006D7AA8"/>
    <w:rsid w:val="006D7C71"/>
    <w:rsid w:val="006E24F7"/>
    <w:rsid w:val="006E5DC5"/>
    <w:rsid w:val="006F050B"/>
    <w:rsid w:val="006F0899"/>
    <w:rsid w:val="006F102D"/>
    <w:rsid w:val="006F1B79"/>
    <w:rsid w:val="006F1FBD"/>
    <w:rsid w:val="006F2AE0"/>
    <w:rsid w:val="006F2D7B"/>
    <w:rsid w:val="006F35D6"/>
    <w:rsid w:val="006F3E46"/>
    <w:rsid w:val="006F488D"/>
    <w:rsid w:val="006F64FA"/>
    <w:rsid w:val="006F6B58"/>
    <w:rsid w:val="006F710F"/>
    <w:rsid w:val="00700C35"/>
    <w:rsid w:val="00700F56"/>
    <w:rsid w:val="00700FC9"/>
    <w:rsid w:val="00701144"/>
    <w:rsid w:val="00701348"/>
    <w:rsid w:val="00703B92"/>
    <w:rsid w:val="00704B3B"/>
    <w:rsid w:val="00705608"/>
    <w:rsid w:val="0070584D"/>
    <w:rsid w:val="00705BF6"/>
    <w:rsid w:val="00706266"/>
    <w:rsid w:val="00707728"/>
    <w:rsid w:val="0071030B"/>
    <w:rsid w:val="007103FB"/>
    <w:rsid w:val="007109C6"/>
    <w:rsid w:val="00710E3A"/>
    <w:rsid w:val="00711B9D"/>
    <w:rsid w:val="00712626"/>
    <w:rsid w:val="007130B7"/>
    <w:rsid w:val="0071358E"/>
    <w:rsid w:val="0071361E"/>
    <w:rsid w:val="00714131"/>
    <w:rsid w:val="00714DC8"/>
    <w:rsid w:val="00714F0E"/>
    <w:rsid w:val="00715152"/>
    <w:rsid w:val="00715CE6"/>
    <w:rsid w:val="00716645"/>
    <w:rsid w:val="00717565"/>
    <w:rsid w:val="007222F0"/>
    <w:rsid w:val="0072270C"/>
    <w:rsid w:val="00722FE2"/>
    <w:rsid w:val="0072378A"/>
    <w:rsid w:val="00724706"/>
    <w:rsid w:val="007278D1"/>
    <w:rsid w:val="00730F9B"/>
    <w:rsid w:val="007315AE"/>
    <w:rsid w:val="007339A9"/>
    <w:rsid w:val="00734F6F"/>
    <w:rsid w:val="00735556"/>
    <w:rsid w:val="007363F4"/>
    <w:rsid w:val="00737119"/>
    <w:rsid w:val="00737D21"/>
    <w:rsid w:val="0074019B"/>
    <w:rsid w:val="0074049E"/>
    <w:rsid w:val="00740850"/>
    <w:rsid w:val="00740B1F"/>
    <w:rsid w:val="00743F16"/>
    <w:rsid w:val="00744039"/>
    <w:rsid w:val="00744952"/>
    <w:rsid w:val="00744A91"/>
    <w:rsid w:val="00745213"/>
    <w:rsid w:val="0074612C"/>
    <w:rsid w:val="00746A2D"/>
    <w:rsid w:val="0074704F"/>
    <w:rsid w:val="00747713"/>
    <w:rsid w:val="00750377"/>
    <w:rsid w:val="00751D99"/>
    <w:rsid w:val="007526F6"/>
    <w:rsid w:val="007533D6"/>
    <w:rsid w:val="00753698"/>
    <w:rsid w:val="0075410E"/>
    <w:rsid w:val="007557CC"/>
    <w:rsid w:val="0075697C"/>
    <w:rsid w:val="007569D3"/>
    <w:rsid w:val="00756ADD"/>
    <w:rsid w:val="00757E1D"/>
    <w:rsid w:val="00760188"/>
    <w:rsid w:val="0076018A"/>
    <w:rsid w:val="0076046A"/>
    <w:rsid w:val="00761219"/>
    <w:rsid w:val="00761798"/>
    <w:rsid w:val="007626FD"/>
    <w:rsid w:val="00762B6A"/>
    <w:rsid w:val="00763ABB"/>
    <w:rsid w:val="00767AB3"/>
    <w:rsid w:val="00767E9D"/>
    <w:rsid w:val="0077126F"/>
    <w:rsid w:val="00771F4A"/>
    <w:rsid w:val="00773C59"/>
    <w:rsid w:val="00773E21"/>
    <w:rsid w:val="007748F9"/>
    <w:rsid w:val="00775563"/>
    <w:rsid w:val="007761A5"/>
    <w:rsid w:val="00777F5E"/>
    <w:rsid w:val="0078258F"/>
    <w:rsid w:val="00782B51"/>
    <w:rsid w:val="00782FBE"/>
    <w:rsid w:val="00783BAE"/>
    <w:rsid w:val="007842BD"/>
    <w:rsid w:val="0078476F"/>
    <w:rsid w:val="007850FC"/>
    <w:rsid w:val="00787A93"/>
    <w:rsid w:val="00787DC2"/>
    <w:rsid w:val="007901AE"/>
    <w:rsid w:val="00790CAF"/>
    <w:rsid w:val="00790E16"/>
    <w:rsid w:val="00791734"/>
    <w:rsid w:val="00791BC4"/>
    <w:rsid w:val="00792193"/>
    <w:rsid w:val="007936B1"/>
    <w:rsid w:val="00796604"/>
    <w:rsid w:val="00797D8F"/>
    <w:rsid w:val="007A212F"/>
    <w:rsid w:val="007A2287"/>
    <w:rsid w:val="007A230F"/>
    <w:rsid w:val="007A2948"/>
    <w:rsid w:val="007A3F30"/>
    <w:rsid w:val="007A4DF7"/>
    <w:rsid w:val="007A593A"/>
    <w:rsid w:val="007A6CA6"/>
    <w:rsid w:val="007A7818"/>
    <w:rsid w:val="007B0491"/>
    <w:rsid w:val="007B059A"/>
    <w:rsid w:val="007B0724"/>
    <w:rsid w:val="007B0976"/>
    <w:rsid w:val="007B277B"/>
    <w:rsid w:val="007B548A"/>
    <w:rsid w:val="007B6098"/>
    <w:rsid w:val="007B6CA0"/>
    <w:rsid w:val="007B7A88"/>
    <w:rsid w:val="007B7C0B"/>
    <w:rsid w:val="007C0C4C"/>
    <w:rsid w:val="007C2EDF"/>
    <w:rsid w:val="007C4876"/>
    <w:rsid w:val="007C6153"/>
    <w:rsid w:val="007D17DC"/>
    <w:rsid w:val="007D4C4C"/>
    <w:rsid w:val="007D5614"/>
    <w:rsid w:val="007D5A75"/>
    <w:rsid w:val="007D7A7C"/>
    <w:rsid w:val="007D7B8D"/>
    <w:rsid w:val="007E00D4"/>
    <w:rsid w:val="007E026A"/>
    <w:rsid w:val="007E048F"/>
    <w:rsid w:val="007E08B0"/>
    <w:rsid w:val="007E101A"/>
    <w:rsid w:val="007E10D0"/>
    <w:rsid w:val="007E1AFE"/>
    <w:rsid w:val="007E2B9A"/>
    <w:rsid w:val="007E34A9"/>
    <w:rsid w:val="007E34BC"/>
    <w:rsid w:val="007E35F3"/>
    <w:rsid w:val="007E369F"/>
    <w:rsid w:val="007E3954"/>
    <w:rsid w:val="007E45DE"/>
    <w:rsid w:val="007E4A21"/>
    <w:rsid w:val="007E4C00"/>
    <w:rsid w:val="007E5125"/>
    <w:rsid w:val="007E5571"/>
    <w:rsid w:val="007E6995"/>
    <w:rsid w:val="007E745B"/>
    <w:rsid w:val="007E74E3"/>
    <w:rsid w:val="007E7E59"/>
    <w:rsid w:val="007F129E"/>
    <w:rsid w:val="007F2856"/>
    <w:rsid w:val="007F2954"/>
    <w:rsid w:val="007F2A95"/>
    <w:rsid w:val="007F52C6"/>
    <w:rsid w:val="007F68ED"/>
    <w:rsid w:val="007F6D3E"/>
    <w:rsid w:val="007F76B3"/>
    <w:rsid w:val="00800436"/>
    <w:rsid w:val="008007B4"/>
    <w:rsid w:val="00801932"/>
    <w:rsid w:val="00801C2E"/>
    <w:rsid w:val="0080211A"/>
    <w:rsid w:val="00802141"/>
    <w:rsid w:val="00802368"/>
    <w:rsid w:val="00802E6F"/>
    <w:rsid w:val="008038D0"/>
    <w:rsid w:val="00803F39"/>
    <w:rsid w:val="00804671"/>
    <w:rsid w:val="00805044"/>
    <w:rsid w:val="00805937"/>
    <w:rsid w:val="0080607F"/>
    <w:rsid w:val="00806153"/>
    <w:rsid w:val="00806D56"/>
    <w:rsid w:val="00806F7F"/>
    <w:rsid w:val="00810B98"/>
    <w:rsid w:val="00810D05"/>
    <w:rsid w:val="00811670"/>
    <w:rsid w:val="00811E8B"/>
    <w:rsid w:val="00813897"/>
    <w:rsid w:val="008162BF"/>
    <w:rsid w:val="00816AA7"/>
    <w:rsid w:val="00817043"/>
    <w:rsid w:val="0081797B"/>
    <w:rsid w:val="00817D8D"/>
    <w:rsid w:val="0082003A"/>
    <w:rsid w:val="008200D3"/>
    <w:rsid w:val="008201D1"/>
    <w:rsid w:val="00822F87"/>
    <w:rsid w:val="0082316A"/>
    <w:rsid w:val="00825249"/>
    <w:rsid w:val="0082658B"/>
    <w:rsid w:val="00826D3E"/>
    <w:rsid w:val="00830E9B"/>
    <w:rsid w:val="00830F8A"/>
    <w:rsid w:val="0083249C"/>
    <w:rsid w:val="008325AA"/>
    <w:rsid w:val="008331E1"/>
    <w:rsid w:val="00833AC0"/>
    <w:rsid w:val="00833B13"/>
    <w:rsid w:val="00833B57"/>
    <w:rsid w:val="00833B96"/>
    <w:rsid w:val="008353EA"/>
    <w:rsid w:val="00835C01"/>
    <w:rsid w:val="00835E64"/>
    <w:rsid w:val="00836EF8"/>
    <w:rsid w:val="00837EE7"/>
    <w:rsid w:val="00840087"/>
    <w:rsid w:val="00840BF5"/>
    <w:rsid w:val="00843FC2"/>
    <w:rsid w:val="00844B5B"/>
    <w:rsid w:val="008457D2"/>
    <w:rsid w:val="00846651"/>
    <w:rsid w:val="00846691"/>
    <w:rsid w:val="00846972"/>
    <w:rsid w:val="0084697F"/>
    <w:rsid w:val="00846FC4"/>
    <w:rsid w:val="008509BD"/>
    <w:rsid w:val="0085152C"/>
    <w:rsid w:val="008527AF"/>
    <w:rsid w:val="00852997"/>
    <w:rsid w:val="00853D04"/>
    <w:rsid w:val="00854FCC"/>
    <w:rsid w:val="00855B28"/>
    <w:rsid w:val="0085666F"/>
    <w:rsid w:val="00857254"/>
    <w:rsid w:val="00857498"/>
    <w:rsid w:val="00857A8F"/>
    <w:rsid w:val="00857BA4"/>
    <w:rsid w:val="00857BB0"/>
    <w:rsid w:val="008601B6"/>
    <w:rsid w:val="00860271"/>
    <w:rsid w:val="00861F94"/>
    <w:rsid w:val="00862681"/>
    <w:rsid w:val="00862FB2"/>
    <w:rsid w:val="0086305C"/>
    <w:rsid w:val="0086325A"/>
    <w:rsid w:val="0086379D"/>
    <w:rsid w:val="00863FCB"/>
    <w:rsid w:val="00864266"/>
    <w:rsid w:val="008643CE"/>
    <w:rsid w:val="00864C1F"/>
    <w:rsid w:val="008659C1"/>
    <w:rsid w:val="0086623C"/>
    <w:rsid w:val="00870E01"/>
    <w:rsid w:val="00871E9C"/>
    <w:rsid w:val="0087294A"/>
    <w:rsid w:val="008730FE"/>
    <w:rsid w:val="00873E3B"/>
    <w:rsid w:val="008758A4"/>
    <w:rsid w:val="00876235"/>
    <w:rsid w:val="00877B6C"/>
    <w:rsid w:val="00880515"/>
    <w:rsid w:val="00881961"/>
    <w:rsid w:val="0088246B"/>
    <w:rsid w:val="00882A25"/>
    <w:rsid w:val="00882EC7"/>
    <w:rsid w:val="008830AC"/>
    <w:rsid w:val="00883100"/>
    <w:rsid w:val="008833EB"/>
    <w:rsid w:val="00883DC5"/>
    <w:rsid w:val="008857A5"/>
    <w:rsid w:val="00885DC9"/>
    <w:rsid w:val="00885DDD"/>
    <w:rsid w:val="008863DE"/>
    <w:rsid w:val="008875CD"/>
    <w:rsid w:val="00890737"/>
    <w:rsid w:val="00891AE5"/>
    <w:rsid w:val="0089305B"/>
    <w:rsid w:val="00893609"/>
    <w:rsid w:val="00893772"/>
    <w:rsid w:val="00893BF2"/>
    <w:rsid w:val="0089458F"/>
    <w:rsid w:val="0089511F"/>
    <w:rsid w:val="008952E2"/>
    <w:rsid w:val="008964AD"/>
    <w:rsid w:val="008A010B"/>
    <w:rsid w:val="008A0D95"/>
    <w:rsid w:val="008A19CB"/>
    <w:rsid w:val="008A1FE5"/>
    <w:rsid w:val="008A20DA"/>
    <w:rsid w:val="008A3975"/>
    <w:rsid w:val="008A48DA"/>
    <w:rsid w:val="008A49F3"/>
    <w:rsid w:val="008A4B51"/>
    <w:rsid w:val="008A4C89"/>
    <w:rsid w:val="008A58B3"/>
    <w:rsid w:val="008A654F"/>
    <w:rsid w:val="008A6592"/>
    <w:rsid w:val="008A78C7"/>
    <w:rsid w:val="008B2124"/>
    <w:rsid w:val="008B2762"/>
    <w:rsid w:val="008B3053"/>
    <w:rsid w:val="008B32A3"/>
    <w:rsid w:val="008B45FD"/>
    <w:rsid w:val="008B5A3A"/>
    <w:rsid w:val="008B5C32"/>
    <w:rsid w:val="008B75D5"/>
    <w:rsid w:val="008B78CC"/>
    <w:rsid w:val="008B7A53"/>
    <w:rsid w:val="008C04D2"/>
    <w:rsid w:val="008C28B5"/>
    <w:rsid w:val="008C35FC"/>
    <w:rsid w:val="008C57F6"/>
    <w:rsid w:val="008C5939"/>
    <w:rsid w:val="008C61AF"/>
    <w:rsid w:val="008C61EE"/>
    <w:rsid w:val="008C7E0B"/>
    <w:rsid w:val="008D1414"/>
    <w:rsid w:val="008D1576"/>
    <w:rsid w:val="008D1AD3"/>
    <w:rsid w:val="008D4720"/>
    <w:rsid w:val="008D5089"/>
    <w:rsid w:val="008D5ADD"/>
    <w:rsid w:val="008D624C"/>
    <w:rsid w:val="008D6B8E"/>
    <w:rsid w:val="008E17AD"/>
    <w:rsid w:val="008E1E4D"/>
    <w:rsid w:val="008E386C"/>
    <w:rsid w:val="008E4171"/>
    <w:rsid w:val="008E5A8A"/>
    <w:rsid w:val="008E6F0E"/>
    <w:rsid w:val="008F18C9"/>
    <w:rsid w:val="008F5268"/>
    <w:rsid w:val="008F5AEA"/>
    <w:rsid w:val="008F5BB5"/>
    <w:rsid w:val="008F76B9"/>
    <w:rsid w:val="009004C8"/>
    <w:rsid w:val="00901146"/>
    <w:rsid w:val="00904204"/>
    <w:rsid w:val="00905864"/>
    <w:rsid w:val="00906ADD"/>
    <w:rsid w:val="00906AF2"/>
    <w:rsid w:val="00906B15"/>
    <w:rsid w:val="00907832"/>
    <w:rsid w:val="00910B1A"/>
    <w:rsid w:val="00910B6C"/>
    <w:rsid w:val="00911650"/>
    <w:rsid w:val="0091191B"/>
    <w:rsid w:val="00913DB9"/>
    <w:rsid w:val="00914BD1"/>
    <w:rsid w:val="00914D0B"/>
    <w:rsid w:val="00915874"/>
    <w:rsid w:val="00915DD0"/>
    <w:rsid w:val="00916757"/>
    <w:rsid w:val="00917112"/>
    <w:rsid w:val="009175C5"/>
    <w:rsid w:val="00922846"/>
    <w:rsid w:val="009229D1"/>
    <w:rsid w:val="0092415B"/>
    <w:rsid w:val="0092416C"/>
    <w:rsid w:val="009241BA"/>
    <w:rsid w:val="00924C8A"/>
    <w:rsid w:val="009251B3"/>
    <w:rsid w:val="009277BB"/>
    <w:rsid w:val="00927E8E"/>
    <w:rsid w:val="0093016A"/>
    <w:rsid w:val="00930BEE"/>
    <w:rsid w:val="009311A0"/>
    <w:rsid w:val="00931309"/>
    <w:rsid w:val="009316B6"/>
    <w:rsid w:val="00932382"/>
    <w:rsid w:val="00934430"/>
    <w:rsid w:val="0093567E"/>
    <w:rsid w:val="0093569F"/>
    <w:rsid w:val="00936774"/>
    <w:rsid w:val="00936942"/>
    <w:rsid w:val="00937351"/>
    <w:rsid w:val="0094030F"/>
    <w:rsid w:val="00940370"/>
    <w:rsid w:val="00940841"/>
    <w:rsid w:val="00944087"/>
    <w:rsid w:val="0094416C"/>
    <w:rsid w:val="00944176"/>
    <w:rsid w:val="00944D25"/>
    <w:rsid w:val="009451B4"/>
    <w:rsid w:val="009452EA"/>
    <w:rsid w:val="00945896"/>
    <w:rsid w:val="00945FFE"/>
    <w:rsid w:val="00946726"/>
    <w:rsid w:val="00947014"/>
    <w:rsid w:val="0094786F"/>
    <w:rsid w:val="009478A7"/>
    <w:rsid w:val="00950B6C"/>
    <w:rsid w:val="0095176C"/>
    <w:rsid w:val="00951EFE"/>
    <w:rsid w:val="0095297C"/>
    <w:rsid w:val="009539E8"/>
    <w:rsid w:val="0095523A"/>
    <w:rsid w:val="00955773"/>
    <w:rsid w:val="00960E2A"/>
    <w:rsid w:val="00961A63"/>
    <w:rsid w:val="00961B6E"/>
    <w:rsid w:val="00962421"/>
    <w:rsid w:val="00962867"/>
    <w:rsid w:val="00963833"/>
    <w:rsid w:val="00963AFD"/>
    <w:rsid w:val="00963B09"/>
    <w:rsid w:val="00964364"/>
    <w:rsid w:val="0096486D"/>
    <w:rsid w:val="009670F3"/>
    <w:rsid w:val="00967342"/>
    <w:rsid w:val="0096734E"/>
    <w:rsid w:val="009676FD"/>
    <w:rsid w:val="00970C69"/>
    <w:rsid w:val="009722AF"/>
    <w:rsid w:val="009724A3"/>
    <w:rsid w:val="00972A3B"/>
    <w:rsid w:val="0097360C"/>
    <w:rsid w:val="00973660"/>
    <w:rsid w:val="00973B6C"/>
    <w:rsid w:val="00973D2B"/>
    <w:rsid w:val="00974179"/>
    <w:rsid w:val="00976523"/>
    <w:rsid w:val="00976D5A"/>
    <w:rsid w:val="00976E8F"/>
    <w:rsid w:val="00977185"/>
    <w:rsid w:val="00977ED7"/>
    <w:rsid w:val="009818C7"/>
    <w:rsid w:val="00983C9F"/>
    <w:rsid w:val="00983D3D"/>
    <w:rsid w:val="009849A4"/>
    <w:rsid w:val="00984BA4"/>
    <w:rsid w:val="009865E8"/>
    <w:rsid w:val="00986FFE"/>
    <w:rsid w:val="00987465"/>
    <w:rsid w:val="00987730"/>
    <w:rsid w:val="00990472"/>
    <w:rsid w:val="00990561"/>
    <w:rsid w:val="009909A1"/>
    <w:rsid w:val="00990AE8"/>
    <w:rsid w:val="00991DDC"/>
    <w:rsid w:val="00991F10"/>
    <w:rsid w:val="00992E39"/>
    <w:rsid w:val="0099365F"/>
    <w:rsid w:val="0099397B"/>
    <w:rsid w:val="00993ECF"/>
    <w:rsid w:val="0099521B"/>
    <w:rsid w:val="00995241"/>
    <w:rsid w:val="0099569B"/>
    <w:rsid w:val="009961AA"/>
    <w:rsid w:val="0099638B"/>
    <w:rsid w:val="00997418"/>
    <w:rsid w:val="009A0070"/>
    <w:rsid w:val="009A1E89"/>
    <w:rsid w:val="009A2B5D"/>
    <w:rsid w:val="009A2B79"/>
    <w:rsid w:val="009A4F77"/>
    <w:rsid w:val="009A5AA5"/>
    <w:rsid w:val="009A5B09"/>
    <w:rsid w:val="009A7021"/>
    <w:rsid w:val="009A7371"/>
    <w:rsid w:val="009A7389"/>
    <w:rsid w:val="009B0307"/>
    <w:rsid w:val="009B200D"/>
    <w:rsid w:val="009B2109"/>
    <w:rsid w:val="009B2A60"/>
    <w:rsid w:val="009B3F85"/>
    <w:rsid w:val="009B4C7A"/>
    <w:rsid w:val="009B56B4"/>
    <w:rsid w:val="009B5B88"/>
    <w:rsid w:val="009B79F9"/>
    <w:rsid w:val="009C1D64"/>
    <w:rsid w:val="009C2794"/>
    <w:rsid w:val="009C2A10"/>
    <w:rsid w:val="009C34A9"/>
    <w:rsid w:val="009C42D4"/>
    <w:rsid w:val="009C463C"/>
    <w:rsid w:val="009C4BAB"/>
    <w:rsid w:val="009C5A29"/>
    <w:rsid w:val="009D005C"/>
    <w:rsid w:val="009D1539"/>
    <w:rsid w:val="009D1FAE"/>
    <w:rsid w:val="009D32FA"/>
    <w:rsid w:val="009D4942"/>
    <w:rsid w:val="009D5B35"/>
    <w:rsid w:val="009D66C7"/>
    <w:rsid w:val="009E0728"/>
    <w:rsid w:val="009E0DF0"/>
    <w:rsid w:val="009E16E8"/>
    <w:rsid w:val="009E1782"/>
    <w:rsid w:val="009E2CEF"/>
    <w:rsid w:val="009E3264"/>
    <w:rsid w:val="009E44E7"/>
    <w:rsid w:val="009E5119"/>
    <w:rsid w:val="009F07BE"/>
    <w:rsid w:val="009F0C7D"/>
    <w:rsid w:val="009F2A18"/>
    <w:rsid w:val="009F49C2"/>
    <w:rsid w:val="009F6987"/>
    <w:rsid w:val="009F6A79"/>
    <w:rsid w:val="009F76CB"/>
    <w:rsid w:val="009F77EE"/>
    <w:rsid w:val="00A00341"/>
    <w:rsid w:val="00A0038E"/>
    <w:rsid w:val="00A0043C"/>
    <w:rsid w:val="00A00E53"/>
    <w:rsid w:val="00A02CC1"/>
    <w:rsid w:val="00A03247"/>
    <w:rsid w:val="00A03ABE"/>
    <w:rsid w:val="00A04A4C"/>
    <w:rsid w:val="00A05536"/>
    <w:rsid w:val="00A057AB"/>
    <w:rsid w:val="00A05DA5"/>
    <w:rsid w:val="00A06AEC"/>
    <w:rsid w:val="00A1244D"/>
    <w:rsid w:val="00A13FB9"/>
    <w:rsid w:val="00A145B0"/>
    <w:rsid w:val="00A15043"/>
    <w:rsid w:val="00A15C54"/>
    <w:rsid w:val="00A16350"/>
    <w:rsid w:val="00A16CA1"/>
    <w:rsid w:val="00A16E0F"/>
    <w:rsid w:val="00A17BE7"/>
    <w:rsid w:val="00A20679"/>
    <w:rsid w:val="00A22035"/>
    <w:rsid w:val="00A2343F"/>
    <w:rsid w:val="00A23620"/>
    <w:rsid w:val="00A236DC"/>
    <w:rsid w:val="00A2408A"/>
    <w:rsid w:val="00A25478"/>
    <w:rsid w:val="00A255FC"/>
    <w:rsid w:val="00A26C38"/>
    <w:rsid w:val="00A2726E"/>
    <w:rsid w:val="00A27C0A"/>
    <w:rsid w:val="00A30822"/>
    <w:rsid w:val="00A3216B"/>
    <w:rsid w:val="00A32541"/>
    <w:rsid w:val="00A3301E"/>
    <w:rsid w:val="00A36793"/>
    <w:rsid w:val="00A3703E"/>
    <w:rsid w:val="00A3760E"/>
    <w:rsid w:val="00A40742"/>
    <w:rsid w:val="00A41600"/>
    <w:rsid w:val="00A41F58"/>
    <w:rsid w:val="00A42103"/>
    <w:rsid w:val="00A43C0A"/>
    <w:rsid w:val="00A44A9A"/>
    <w:rsid w:val="00A45A58"/>
    <w:rsid w:val="00A45EFD"/>
    <w:rsid w:val="00A50132"/>
    <w:rsid w:val="00A504C4"/>
    <w:rsid w:val="00A508E3"/>
    <w:rsid w:val="00A5129F"/>
    <w:rsid w:val="00A5338C"/>
    <w:rsid w:val="00A53A94"/>
    <w:rsid w:val="00A547A9"/>
    <w:rsid w:val="00A55B1B"/>
    <w:rsid w:val="00A56B06"/>
    <w:rsid w:val="00A56EBD"/>
    <w:rsid w:val="00A57FBD"/>
    <w:rsid w:val="00A6140C"/>
    <w:rsid w:val="00A61741"/>
    <w:rsid w:val="00A63EF9"/>
    <w:rsid w:val="00A642D0"/>
    <w:rsid w:val="00A6431C"/>
    <w:rsid w:val="00A643E0"/>
    <w:rsid w:val="00A65057"/>
    <w:rsid w:val="00A659E2"/>
    <w:rsid w:val="00A66672"/>
    <w:rsid w:val="00A66C9F"/>
    <w:rsid w:val="00A6703E"/>
    <w:rsid w:val="00A7038C"/>
    <w:rsid w:val="00A70818"/>
    <w:rsid w:val="00A72692"/>
    <w:rsid w:val="00A741B1"/>
    <w:rsid w:val="00A742FE"/>
    <w:rsid w:val="00A74790"/>
    <w:rsid w:val="00A74FE7"/>
    <w:rsid w:val="00A761B9"/>
    <w:rsid w:val="00A76D51"/>
    <w:rsid w:val="00A771BC"/>
    <w:rsid w:val="00A8080F"/>
    <w:rsid w:val="00A80C0D"/>
    <w:rsid w:val="00A81CD9"/>
    <w:rsid w:val="00A82938"/>
    <w:rsid w:val="00A83C0C"/>
    <w:rsid w:val="00A83E50"/>
    <w:rsid w:val="00A83FA8"/>
    <w:rsid w:val="00A83FAA"/>
    <w:rsid w:val="00A859C4"/>
    <w:rsid w:val="00A8724A"/>
    <w:rsid w:val="00A93553"/>
    <w:rsid w:val="00A9589C"/>
    <w:rsid w:val="00A961F4"/>
    <w:rsid w:val="00A9656E"/>
    <w:rsid w:val="00AA052B"/>
    <w:rsid w:val="00AA059B"/>
    <w:rsid w:val="00AA061C"/>
    <w:rsid w:val="00AA24A0"/>
    <w:rsid w:val="00AA25B3"/>
    <w:rsid w:val="00AA39EC"/>
    <w:rsid w:val="00AA52A6"/>
    <w:rsid w:val="00AA7168"/>
    <w:rsid w:val="00AA7601"/>
    <w:rsid w:val="00AA7629"/>
    <w:rsid w:val="00AA7FA0"/>
    <w:rsid w:val="00AB0293"/>
    <w:rsid w:val="00AB095C"/>
    <w:rsid w:val="00AB0ED4"/>
    <w:rsid w:val="00AB2462"/>
    <w:rsid w:val="00AB30DE"/>
    <w:rsid w:val="00AB3918"/>
    <w:rsid w:val="00AB3A93"/>
    <w:rsid w:val="00AB59E9"/>
    <w:rsid w:val="00AB6447"/>
    <w:rsid w:val="00AB7055"/>
    <w:rsid w:val="00AB7AEA"/>
    <w:rsid w:val="00AC185D"/>
    <w:rsid w:val="00AC18AE"/>
    <w:rsid w:val="00AC29EF"/>
    <w:rsid w:val="00AC69E7"/>
    <w:rsid w:val="00AC7130"/>
    <w:rsid w:val="00AD1365"/>
    <w:rsid w:val="00AD1C10"/>
    <w:rsid w:val="00AD2E1B"/>
    <w:rsid w:val="00AD3878"/>
    <w:rsid w:val="00AD3EEB"/>
    <w:rsid w:val="00AD4475"/>
    <w:rsid w:val="00AD487B"/>
    <w:rsid w:val="00AD4BE2"/>
    <w:rsid w:val="00AD51FA"/>
    <w:rsid w:val="00AD5EB9"/>
    <w:rsid w:val="00AD6468"/>
    <w:rsid w:val="00AD77CE"/>
    <w:rsid w:val="00AE1468"/>
    <w:rsid w:val="00AE1C42"/>
    <w:rsid w:val="00AE2582"/>
    <w:rsid w:val="00AE2B19"/>
    <w:rsid w:val="00AE3DB4"/>
    <w:rsid w:val="00AE3F07"/>
    <w:rsid w:val="00AE3FC0"/>
    <w:rsid w:val="00AE4361"/>
    <w:rsid w:val="00AE472A"/>
    <w:rsid w:val="00AE4E43"/>
    <w:rsid w:val="00AE5361"/>
    <w:rsid w:val="00AE5CA3"/>
    <w:rsid w:val="00AE5D07"/>
    <w:rsid w:val="00AE6A11"/>
    <w:rsid w:val="00AE7493"/>
    <w:rsid w:val="00AE7513"/>
    <w:rsid w:val="00AE7A57"/>
    <w:rsid w:val="00AF0D65"/>
    <w:rsid w:val="00AF1FFC"/>
    <w:rsid w:val="00AF2B76"/>
    <w:rsid w:val="00AF2B89"/>
    <w:rsid w:val="00AF3571"/>
    <w:rsid w:val="00AF4781"/>
    <w:rsid w:val="00AF6499"/>
    <w:rsid w:val="00AF6538"/>
    <w:rsid w:val="00AF6CCE"/>
    <w:rsid w:val="00B0053C"/>
    <w:rsid w:val="00B00CCD"/>
    <w:rsid w:val="00B0116C"/>
    <w:rsid w:val="00B01480"/>
    <w:rsid w:val="00B01A42"/>
    <w:rsid w:val="00B02520"/>
    <w:rsid w:val="00B0532A"/>
    <w:rsid w:val="00B055B8"/>
    <w:rsid w:val="00B060FD"/>
    <w:rsid w:val="00B06403"/>
    <w:rsid w:val="00B06926"/>
    <w:rsid w:val="00B0696D"/>
    <w:rsid w:val="00B12C3D"/>
    <w:rsid w:val="00B1387B"/>
    <w:rsid w:val="00B14120"/>
    <w:rsid w:val="00B151C6"/>
    <w:rsid w:val="00B16647"/>
    <w:rsid w:val="00B16AFB"/>
    <w:rsid w:val="00B16CA1"/>
    <w:rsid w:val="00B16EDC"/>
    <w:rsid w:val="00B1701F"/>
    <w:rsid w:val="00B175E8"/>
    <w:rsid w:val="00B214E7"/>
    <w:rsid w:val="00B226EF"/>
    <w:rsid w:val="00B25755"/>
    <w:rsid w:val="00B260B3"/>
    <w:rsid w:val="00B262EF"/>
    <w:rsid w:val="00B2696B"/>
    <w:rsid w:val="00B276AA"/>
    <w:rsid w:val="00B27CF6"/>
    <w:rsid w:val="00B322E1"/>
    <w:rsid w:val="00B328B1"/>
    <w:rsid w:val="00B33675"/>
    <w:rsid w:val="00B3445D"/>
    <w:rsid w:val="00B34750"/>
    <w:rsid w:val="00B34EA7"/>
    <w:rsid w:val="00B34F91"/>
    <w:rsid w:val="00B356CF"/>
    <w:rsid w:val="00B3696E"/>
    <w:rsid w:val="00B3703B"/>
    <w:rsid w:val="00B3767A"/>
    <w:rsid w:val="00B379F6"/>
    <w:rsid w:val="00B40BE7"/>
    <w:rsid w:val="00B41749"/>
    <w:rsid w:val="00B42A47"/>
    <w:rsid w:val="00B4468F"/>
    <w:rsid w:val="00B4607F"/>
    <w:rsid w:val="00B46FB8"/>
    <w:rsid w:val="00B475B0"/>
    <w:rsid w:val="00B505C4"/>
    <w:rsid w:val="00B50F87"/>
    <w:rsid w:val="00B5158A"/>
    <w:rsid w:val="00B515C9"/>
    <w:rsid w:val="00B528D6"/>
    <w:rsid w:val="00B52BC0"/>
    <w:rsid w:val="00B52D13"/>
    <w:rsid w:val="00B54A3E"/>
    <w:rsid w:val="00B56607"/>
    <w:rsid w:val="00B56927"/>
    <w:rsid w:val="00B57630"/>
    <w:rsid w:val="00B60011"/>
    <w:rsid w:val="00B602D9"/>
    <w:rsid w:val="00B60BA7"/>
    <w:rsid w:val="00B60DBC"/>
    <w:rsid w:val="00B61F75"/>
    <w:rsid w:val="00B6313E"/>
    <w:rsid w:val="00B6356D"/>
    <w:rsid w:val="00B63F4F"/>
    <w:rsid w:val="00B648A3"/>
    <w:rsid w:val="00B65465"/>
    <w:rsid w:val="00B656AC"/>
    <w:rsid w:val="00B66414"/>
    <w:rsid w:val="00B6676F"/>
    <w:rsid w:val="00B70B54"/>
    <w:rsid w:val="00B7240F"/>
    <w:rsid w:val="00B73350"/>
    <w:rsid w:val="00B74732"/>
    <w:rsid w:val="00B75C7E"/>
    <w:rsid w:val="00B765A3"/>
    <w:rsid w:val="00B76748"/>
    <w:rsid w:val="00B775D3"/>
    <w:rsid w:val="00B8029C"/>
    <w:rsid w:val="00B803BD"/>
    <w:rsid w:val="00B808A9"/>
    <w:rsid w:val="00B80955"/>
    <w:rsid w:val="00B817AA"/>
    <w:rsid w:val="00B8331B"/>
    <w:rsid w:val="00B8335F"/>
    <w:rsid w:val="00B8421F"/>
    <w:rsid w:val="00B859D7"/>
    <w:rsid w:val="00B86113"/>
    <w:rsid w:val="00B872C8"/>
    <w:rsid w:val="00B93883"/>
    <w:rsid w:val="00B93E32"/>
    <w:rsid w:val="00B949D3"/>
    <w:rsid w:val="00B949D4"/>
    <w:rsid w:val="00B94FCA"/>
    <w:rsid w:val="00B95DB8"/>
    <w:rsid w:val="00B95ECD"/>
    <w:rsid w:val="00B96AEE"/>
    <w:rsid w:val="00B96D18"/>
    <w:rsid w:val="00B96F31"/>
    <w:rsid w:val="00B96FD5"/>
    <w:rsid w:val="00B970F8"/>
    <w:rsid w:val="00B9761A"/>
    <w:rsid w:val="00B97D5A"/>
    <w:rsid w:val="00BA0D40"/>
    <w:rsid w:val="00BA199B"/>
    <w:rsid w:val="00BA22BF"/>
    <w:rsid w:val="00BA2D0B"/>
    <w:rsid w:val="00BA362A"/>
    <w:rsid w:val="00BA3BA8"/>
    <w:rsid w:val="00BA4A15"/>
    <w:rsid w:val="00BA4B72"/>
    <w:rsid w:val="00BA506B"/>
    <w:rsid w:val="00BA6500"/>
    <w:rsid w:val="00BA6C57"/>
    <w:rsid w:val="00BA707D"/>
    <w:rsid w:val="00BA75A7"/>
    <w:rsid w:val="00BA75F8"/>
    <w:rsid w:val="00BA7801"/>
    <w:rsid w:val="00BA7996"/>
    <w:rsid w:val="00BB1145"/>
    <w:rsid w:val="00BB2370"/>
    <w:rsid w:val="00BB2676"/>
    <w:rsid w:val="00BB2D31"/>
    <w:rsid w:val="00BB3425"/>
    <w:rsid w:val="00BB3966"/>
    <w:rsid w:val="00BB4F6E"/>
    <w:rsid w:val="00BB5612"/>
    <w:rsid w:val="00BB56BD"/>
    <w:rsid w:val="00BB5E02"/>
    <w:rsid w:val="00BB6262"/>
    <w:rsid w:val="00BC08D9"/>
    <w:rsid w:val="00BC0F41"/>
    <w:rsid w:val="00BC10E9"/>
    <w:rsid w:val="00BC1185"/>
    <w:rsid w:val="00BC16C6"/>
    <w:rsid w:val="00BC1B8A"/>
    <w:rsid w:val="00BC1F7A"/>
    <w:rsid w:val="00BC2766"/>
    <w:rsid w:val="00BC3F64"/>
    <w:rsid w:val="00BC5731"/>
    <w:rsid w:val="00BC677D"/>
    <w:rsid w:val="00BD0E93"/>
    <w:rsid w:val="00BD0F5A"/>
    <w:rsid w:val="00BD11C2"/>
    <w:rsid w:val="00BD16AC"/>
    <w:rsid w:val="00BD1C10"/>
    <w:rsid w:val="00BD1DA0"/>
    <w:rsid w:val="00BD2F32"/>
    <w:rsid w:val="00BD3BA6"/>
    <w:rsid w:val="00BD62BB"/>
    <w:rsid w:val="00BD7FE6"/>
    <w:rsid w:val="00BE0826"/>
    <w:rsid w:val="00BE3674"/>
    <w:rsid w:val="00BE3D74"/>
    <w:rsid w:val="00BE4A02"/>
    <w:rsid w:val="00BE4FC4"/>
    <w:rsid w:val="00BE5040"/>
    <w:rsid w:val="00BE52A8"/>
    <w:rsid w:val="00BE601F"/>
    <w:rsid w:val="00BE65B4"/>
    <w:rsid w:val="00BE6908"/>
    <w:rsid w:val="00BE6DD2"/>
    <w:rsid w:val="00BE7380"/>
    <w:rsid w:val="00BF1343"/>
    <w:rsid w:val="00BF2D33"/>
    <w:rsid w:val="00BF3807"/>
    <w:rsid w:val="00BF45AC"/>
    <w:rsid w:val="00BF66DB"/>
    <w:rsid w:val="00BF6A14"/>
    <w:rsid w:val="00BF6B4D"/>
    <w:rsid w:val="00BF76F7"/>
    <w:rsid w:val="00C0077C"/>
    <w:rsid w:val="00C008A9"/>
    <w:rsid w:val="00C02777"/>
    <w:rsid w:val="00C03243"/>
    <w:rsid w:val="00C03722"/>
    <w:rsid w:val="00C03DEC"/>
    <w:rsid w:val="00C04116"/>
    <w:rsid w:val="00C04644"/>
    <w:rsid w:val="00C04BAD"/>
    <w:rsid w:val="00C06494"/>
    <w:rsid w:val="00C07DCE"/>
    <w:rsid w:val="00C07DD3"/>
    <w:rsid w:val="00C07E73"/>
    <w:rsid w:val="00C10B64"/>
    <w:rsid w:val="00C1147E"/>
    <w:rsid w:val="00C11555"/>
    <w:rsid w:val="00C12190"/>
    <w:rsid w:val="00C12575"/>
    <w:rsid w:val="00C12A93"/>
    <w:rsid w:val="00C13677"/>
    <w:rsid w:val="00C138D2"/>
    <w:rsid w:val="00C1448B"/>
    <w:rsid w:val="00C14AAD"/>
    <w:rsid w:val="00C15496"/>
    <w:rsid w:val="00C15589"/>
    <w:rsid w:val="00C15BB8"/>
    <w:rsid w:val="00C1668A"/>
    <w:rsid w:val="00C20F32"/>
    <w:rsid w:val="00C21175"/>
    <w:rsid w:val="00C218C8"/>
    <w:rsid w:val="00C243A8"/>
    <w:rsid w:val="00C249DB"/>
    <w:rsid w:val="00C25906"/>
    <w:rsid w:val="00C26491"/>
    <w:rsid w:val="00C26DAB"/>
    <w:rsid w:val="00C27158"/>
    <w:rsid w:val="00C27B05"/>
    <w:rsid w:val="00C3092B"/>
    <w:rsid w:val="00C32009"/>
    <w:rsid w:val="00C32AF5"/>
    <w:rsid w:val="00C35E57"/>
    <w:rsid w:val="00C36B30"/>
    <w:rsid w:val="00C36D3B"/>
    <w:rsid w:val="00C3700C"/>
    <w:rsid w:val="00C37790"/>
    <w:rsid w:val="00C40D8D"/>
    <w:rsid w:val="00C42A9C"/>
    <w:rsid w:val="00C42CD6"/>
    <w:rsid w:val="00C42E5A"/>
    <w:rsid w:val="00C42FDD"/>
    <w:rsid w:val="00C45C00"/>
    <w:rsid w:val="00C4658A"/>
    <w:rsid w:val="00C4678F"/>
    <w:rsid w:val="00C475FD"/>
    <w:rsid w:val="00C518C8"/>
    <w:rsid w:val="00C51C5E"/>
    <w:rsid w:val="00C52F2E"/>
    <w:rsid w:val="00C54827"/>
    <w:rsid w:val="00C54A04"/>
    <w:rsid w:val="00C54B9D"/>
    <w:rsid w:val="00C55220"/>
    <w:rsid w:val="00C55292"/>
    <w:rsid w:val="00C56A0E"/>
    <w:rsid w:val="00C5737F"/>
    <w:rsid w:val="00C61037"/>
    <w:rsid w:val="00C61218"/>
    <w:rsid w:val="00C6360E"/>
    <w:rsid w:val="00C646E8"/>
    <w:rsid w:val="00C64B79"/>
    <w:rsid w:val="00C6500E"/>
    <w:rsid w:val="00C655ED"/>
    <w:rsid w:val="00C6592F"/>
    <w:rsid w:val="00C660A2"/>
    <w:rsid w:val="00C66AEE"/>
    <w:rsid w:val="00C67499"/>
    <w:rsid w:val="00C67745"/>
    <w:rsid w:val="00C70DCB"/>
    <w:rsid w:val="00C7184B"/>
    <w:rsid w:val="00C7194F"/>
    <w:rsid w:val="00C7353C"/>
    <w:rsid w:val="00C73607"/>
    <w:rsid w:val="00C73BA8"/>
    <w:rsid w:val="00C73E9C"/>
    <w:rsid w:val="00C743B2"/>
    <w:rsid w:val="00C7465C"/>
    <w:rsid w:val="00C74FE2"/>
    <w:rsid w:val="00C756F8"/>
    <w:rsid w:val="00C767AB"/>
    <w:rsid w:val="00C775AB"/>
    <w:rsid w:val="00C77775"/>
    <w:rsid w:val="00C806C1"/>
    <w:rsid w:val="00C81201"/>
    <w:rsid w:val="00C81496"/>
    <w:rsid w:val="00C8166B"/>
    <w:rsid w:val="00C81D2E"/>
    <w:rsid w:val="00C82607"/>
    <w:rsid w:val="00C82CC6"/>
    <w:rsid w:val="00C82E8C"/>
    <w:rsid w:val="00C855E2"/>
    <w:rsid w:val="00C859E3"/>
    <w:rsid w:val="00C87122"/>
    <w:rsid w:val="00C872C3"/>
    <w:rsid w:val="00C902ED"/>
    <w:rsid w:val="00C9125B"/>
    <w:rsid w:val="00C91864"/>
    <w:rsid w:val="00C924B1"/>
    <w:rsid w:val="00C9260B"/>
    <w:rsid w:val="00C92736"/>
    <w:rsid w:val="00C927A0"/>
    <w:rsid w:val="00C94A7B"/>
    <w:rsid w:val="00C94BA5"/>
    <w:rsid w:val="00C94D66"/>
    <w:rsid w:val="00C95520"/>
    <w:rsid w:val="00C95E77"/>
    <w:rsid w:val="00C96C0F"/>
    <w:rsid w:val="00CA037F"/>
    <w:rsid w:val="00CA1C03"/>
    <w:rsid w:val="00CA2EA4"/>
    <w:rsid w:val="00CA38C3"/>
    <w:rsid w:val="00CA3E9A"/>
    <w:rsid w:val="00CA4CC4"/>
    <w:rsid w:val="00CA565D"/>
    <w:rsid w:val="00CA569A"/>
    <w:rsid w:val="00CA575B"/>
    <w:rsid w:val="00CA719F"/>
    <w:rsid w:val="00CA7425"/>
    <w:rsid w:val="00CA7F23"/>
    <w:rsid w:val="00CB05D3"/>
    <w:rsid w:val="00CB1341"/>
    <w:rsid w:val="00CB1DBB"/>
    <w:rsid w:val="00CB2B86"/>
    <w:rsid w:val="00CB32BA"/>
    <w:rsid w:val="00CB39AC"/>
    <w:rsid w:val="00CB5E1C"/>
    <w:rsid w:val="00CB781E"/>
    <w:rsid w:val="00CC1EDC"/>
    <w:rsid w:val="00CC2156"/>
    <w:rsid w:val="00CC24A6"/>
    <w:rsid w:val="00CC36B2"/>
    <w:rsid w:val="00CC427A"/>
    <w:rsid w:val="00CC59DF"/>
    <w:rsid w:val="00CC5D7C"/>
    <w:rsid w:val="00CC72B2"/>
    <w:rsid w:val="00CC7400"/>
    <w:rsid w:val="00CC7515"/>
    <w:rsid w:val="00CC77F5"/>
    <w:rsid w:val="00CC78B1"/>
    <w:rsid w:val="00CD0722"/>
    <w:rsid w:val="00CD0E39"/>
    <w:rsid w:val="00CD12B1"/>
    <w:rsid w:val="00CD15FF"/>
    <w:rsid w:val="00CD26B8"/>
    <w:rsid w:val="00CD46E0"/>
    <w:rsid w:val="00CD60EB"/>
    <w:rsid w:val="00CD76F2"/>
    <w:rsid w:val="00CE01D4"/>
    <w:rsid w:val="00CE223A"/>
    <w:rsid w:val="00CE2A1A"/>
    <w:rsid w:val="00CE479F"/>
    <w:rsid w:val="00CE4B99"/>
    <w:rsid w:val="00CE4F25"/>
    <w:rsid w:val="00CE5ED0"/>
    <w:rsid w:val="00CE5FE0"/>
    <w:rsid w:val="00CE7558"/>
    <w:rsid w:val="00CE7FEB"/>
    <w:rsid w:val="00CF1B0B"/>
    <w:rsid w:val="00CF1B95"/>
    <w:rsid w:val="00CF1DC2"/>
    <w:rsid w:val="00CF2B07"/>
    <w:rsid w:val="00CF2D8A"/>
    <w:rsid w:val="00CF3B5B"/>
    <w:rsid w:val="00CF4726"/>
    <w:rsid w:val="00CF4A91"/>
    <w:rsid w:val="00CF4D58"/>
    <w:rsid w:val="00CF501E"/>
    <w:rsid w:val="00CF51C7"/>
    <w:rsid w:val="00CF6797"/>
    <w:rsid w:val="00CF7123"/>
    <w:rsid w:val="00D00BDA"/>
    <w:rsid w:val="00D02658"/>
    <w:rsid w:val="00D05737"/>
    <w:rsid w:val="00D064A0"/>
    <w:rsid w:val="00D07BA6"/>
    <w:rsid w:val="00D1052D"/>
    <w:rsid w:val="00D11E06"/>
    <w:rsid w:val="00D13642"/>
    <w:rsid w:val="00D176D2"/>
    <w:rsid w:val="00D17B18"/>
    <w:rsid w:val="00D202D8"/>
    <w:rsid w:val="00D20E50"/>
    <w:rsid w:val="00D20F31"/>
    <w:rsid w:val="00D243FD"/>
    <w:rsid w:val="00D250B7"/>
    <w:rsid w:val="00D2626B"/>
    <w:rsid w:val="00D267BD"/>
    <w:rsid w:val="00D30DC9"/>
    <w:rsid w:val="00D32A1A"/>
    <w:rsid w:val="00D32C72"/>
    <w:rsid w:val="00D330E7"/>
    <w:rsid w:val="00D33280"/>
    <w:rsid w:val="00D33427"/>
    <w:rsid w:val="00D34031"/>
    <w:rsid w:val="00D356EF"/>
    <w:rsid w:val="00D35DF0"/>
    <w:rsid w:val="00D3665A"/>
    <w:rsid w:val="00D36C52"/>
    <w:rsid w:val="00D37387"/>
    <w:rsid w:val="00D373F3"/>
    <w:rsid w:val="00D37C7D"/>
    <w:rsid w:val="00D4125B"/>
    <w:rsid w:val="00D41BA6"/>
    <w:rsid w:val="00D42C2D"/>
    <w:rsid w:val="00D42F61"/>
    <w:rsid w:val="00D47216"/>
    <w:rsid w:val="00D50BE7"/>
    <w:rsid w:val="00D50DDF"/>
    <w:rsid w:val="00D511F7"/>
    <w:rsid w:val="00D5346D"/>
    <w:rsid w:val="00D5366B"/>
    <w:rsid w:val="00D53C2C"/>
    <w:rsid w:val="00D5501B"/>
    <w:rsid w:val="00D55B59"/>
    <w:rsid w:val="00D5647A"/>
    <w:rsid w:val="00D56534"/>
    <w:rsid w:val="00D570D2"/>
    <w:rsid w:val="00D5722F"/>
    <w:rsid w:val="00D57A3D"/>
    <w:rsid w:val="00D57E2B"/>
    <w:rsid w:val="00D600C7"/>
    <w:rsid w:val="00D61026"/>
    <w:rsid w:val="00D627A7"/>
    <w:rsid w:val="00D62865"/>
    <w:rsid w:val="00D63875"/>
    <w:rsid w:val="00D64EAD"/>
    <w:rsid w:val="00D6557C"/>
    <w:rsid w:val="00D66547"/>
    <w:rsid w:val="00D6789F"/>
    <w:rsid w:val="00D70429"/>
    <w:rsid w:val="00D71553"/>
    <w:rsid w:val="00D73BDA"/>
    <w:rsid w:val="00D7409B"/>
    <w:rsid w:val="00D74477"/>
    <w:rsid w:val="00D754FA"/>
    <w:rsid w:val="00D75C3E"/>
    <w:rsid w:val="00D76449"/>
    <w:rsid w:val="00D80495"/>
    <w:rsid w:val="00D80F6C"/>
    <w:rsid w:val="00D84711"/>
    <w:rsid w:val="00D84ACC"/>
    <w:rsid w:val="00D85069"/>
    <w:rsid w:val="00D8586E"/>
    <w:rsid w:val="00D85BB7"/>
    <w:rsid w:val="00D86399"/>
    <w:rsid w:val="00D86AB6"/>
    <w:rsid w:val="00D86F08"/>
    <w:rsid w:val="00D86F5E"/>
    <w:rsid w:val="00D873A9"/>
    <w:rsid w:val="00D906CE"/>
    <w:rsid w:val="00D906EA"/>
    <w:rsid w:val="00D91E79"/>
    <w:rsid w:val="00D920FE"/>
    <w:rsid w:val="00D925C9"/>
    <w:rsid w:val="00D92ABF"/>
    <w:rsid w:val="00D92CA6"/>
    <w:rsid w:val="00D944A8"/>
    <w:rsid w:val="00D94A5E"/>
    <w:rsid w:val="00D9755F"/>
    <w:rsid w:val="00D97EB3"/>
    <w:rsid w:val="00DA125F"/>
    <w:rsid w:val="00DA1489"/>
    <w:rsid w:val="00DA1BD0"/>
    <w:rsid w:val="00DA2A1A"/>
    <w:rsid w:val="00DA4780"/>
    <w:rsid w:val="00DA679E"/>
    <w:rsid w:val="00DB0A0C"/>
    <w:rsid w:val="00DB1150"/>
    <w:rsid w:val="00DB126D"/>
    <w:rsid w:val="00DB1B43"/>
    <w:rsid w:val="00DB2DD9"/>
    <w:rsid w:val="00DB3958"/>
    <w:rsid w:val="00DB4296"/>
    <w:rsid w:val="00DB5E07"/>
    <w:rsid w:val="00DB6637"/>
    <w:rsid w:val="00DB68E9"/>
    <w:rsid w:val="00DB6F11"/>
    <w:rsid w:val="00DB79BB"/>
    <w:rsid w:val="00DC04F2"/>
    <w:rsid w:val="00DC248C"/>
    <w:rsid w:val="00DC3474"/>
    <w:rsid w:val="00DC3C87"/>
    <w:rsid w:val="00DC462B"/>
    <w:rsid w:val="00DC49F7"/>
    <w:rsid w:val="00DC68D5"/>
    <w:rsid w:val="00DC71DD"/>
    <w:rsid w:val="00DC7F8A"/>
    <w:rsid w:val="00DD08C5"/>
    <w:rsid w:val="00DD09FC"/>
    <w:rsid w:val="00DD0C54"/>
    <w:rsid w:val="00DD274F"/>
    <w:rsid w:val="00DD333F"/>
    <w:rsid w:val="00DD43C8"/>
    <w:rsid w:val="00DD48C4"/>
    <w:rsid w:val="00DD7412"/>
    <w:rsid w:val="00DD7BFC"/>
    <w:rsid w:val="00DE079F"/>
    <w:rsid w:val="00DE0B37"/>
    <w:rsid w:val="00DE0C84"/>
    <w:rsid w:val="00DE35FB"/>
    <w:rsid w:val="00DE3604"/>
    <w:rsid w:val="00DE4E69"/>
    <w:rsid w:val="00DE4ECE"/>
    <w:rsid w:val="00DE6747"/>
    <w:rsid w:val="00DE6AD9"/>
    <w:rsid w:val="00DE7048"/>
    <w:rsid w:val="00DE70A5"/>
    <w:rsid w:val="00DE7FF2"/>
    <w:rsid w:val="00DF24FC"/>
    <w:rsid w:val="00DF2908"/>
    <w:rsid w:val="00DF2DE6"/>
    <w:rsid w:val="00DF3669"/>
    <w:rsid w:val="00DF40F4"/>
    <w:rsid w:val="00DF4829"/>
    <w:rsid w:val="00DF51AB"/>
    <w:rsid w:val="00DF52BD"/>
    <w:rsid w:val="00DF6212"/>
    <w:rsid w:val="00DF709C"/>
    <w:rsid w:val="00E025E7"/>
    <w:rsid w:val="00E02A03"/>
    <w:rsid w:val="00E02E88"/>
    <w:rsid w:val="00E03804"/>
    <w:rsid w:val="00E03CDF"/>
    <w:rsid w:val="00E04017"/>
    <w:rsid w:val="00E0615D"/>
    <w:rsid w:val="00E06DF5"/>
    <w:rsid w:val="00E07063"/>
    <w:rsid w:val="00E1007E"/>
    <w:rsid w:val="00E10583"/>
    <w:rsid w:val="00E105A5"/>
    <w:rsid w:val="00E10D54"/>
    <w:rsid w:val="00E1141D"/>
    <w:rsid w:val="00E135F1"/>
    <w:rsid w:val="00E13D9A"/>
    <w:rsid w:val="00E14D54"/>
    <w:rsid w:val="00E169D5"/>
    <w:rsid w:val="00E2007F"/>
    <w:rsid w:val="00E20B8D"/>
    <w:rsid w:val="00E20EE0"/>
    <w:rsid w:val="00E23318"/>
    <w:rsid w:val="00E24444"/>
    <w:rsid w:val="00E24627"/>
    <w:rsid w:val="00E262ED"/>
    <w:rsid w:val="00E269DF"/>
    <w:rsid w:val="00E278B5"/>
    <w:rsid w:val="00E27A42"/>
    <w:rsid w:val="00E305D5"/>
    <w:rsid w:val="00E3186C"/>
    <w:rsid w:val="00E31E34"/>
    <w:rsid w:val="00E32F91"/>
    <w:rsid w:val="00E33836"/>
    <w:rsid w:val="00E33AAE"/>
    <w:rsid w:val="00E34530"/>
    <w:rsid w:val="00E34A4B"/>
    <w:rsid w:val="00E3593F"/>
    <w:rsid w:val="00E36D1B"/>
    <w:rsid w:val="00E37A39"/>
    <w:rsid w:val="00E41ADE"/>
    <w:rsid w:val="00E42242"/>
    <w:rsid w:val="00E42F70"/>
    <w:rsid w:val="00E441D1"/>
    <w:rsid w:val="00E46114"/>
    <w:rsid w:val="00E47112"/>
    <w:rsid w:val="00E47D56"/>
    <w:rsid w:val="00E47EBB"/>
    <w:rsid w:val="00E50498"/>
    <w:rsid w:val="00E5091D"/>
    <w:rsid w:val="00E511A3"/>
    <w:rsid w:val="00E51929"/>
    <w:rsid w:val="00E521DE"/>
    <w:rsid w:val="00E52905"/>
    <w:rsid w:val="00E53919"/>
    <w:rsid w:val="00E54DCA"/>
    <w:rsid w:val="00E54DFF"/>
    <w:rsid w:val="00E550FF"/>
    <w:rsid w:val="00E556D5"/>
    <w:rsid w:val="00E56383"/>
    <w:rsid w:val="00E613A6"/>
    <w:rsid w:val="00E628C4"/>
    <w:rsid w:val="00E62935"/>
    <w:rsid w:val="00E62A5C"/>
    <w:rsid w:val="00E62F66"/>
    <w:rsid w:val="00E65A02"/>
    <w:rsid w:val="00E65FBB"/>
    <w:rsid w:val="00E66123"/>
    <w:rsid w:val="00E667CB"/>
    <w:rsid w:val="00E66B00"/>
    <w:rsid w:val="00E66F6D"/>
    <w:rsid w:val="00E705F4"/>
    <w:rsid w:val="00E7081F"/>
    <w:rsid w:val="00E71460"/>
    <w:rsid w:val="00E715AA"/>
    <w:rsid w:val="00E7329A"/>
    <w:rsid w:val="00E73C7D"/>
    <w:rsid w:val="00E73F04"/>
    <w:rsid w:val="00E74945"/>
    <w:rsid w:val="00E75907"/>
    <w:rsid w:val="00E76681"/>
    <w:rsid w:val="00E766F0"/>
    <w:rsid w:val="00E76CBF"/>
    <w:rsid w:val="00E77A6A"/>
    <w:rsid w:val="00E803E3"/>
    <w:rsid w:val="00E80A6E"/>
    <w:rsid w:val="00E82614"/>
    <w:rsid w:val="00E82688"/>
    <w:rsid w:val="00E843D6"/>
    <w:rsid w:val="00E84748"/>
    <w:rsid w:val="00E847D1"/>
    <w:rsid w:val="00E84C2D"/>
    <w:rsid w:val="00E863ED"/>
    <w:rsid w:val="00E869F7"/>
    <w:rsid w:val="00E87869"/>
    <w:rsid w:val="00E87BB0"/>
    <w:rsid w:val="00E90C36"/>
    <w:rsid w:val="00E91323"/>
    <w:rsid w:val="00E9214B"/>
    <w:rsid w:val="00E92DBA"/>
    <w:rsid w:val="00E93CB6"/>
    <w:rsid w:val="00E942FE"/>
    <w:rsid w:val="00E96096"/>
    <w:rsid w:val="00E96340"/>
    <w:rsid w:val="00E96553"/>
    <w:rsid w:val="00E97027"/>
    <w:rsid w:val="00E97F62"/>
    <w:rsid w:val="00EA0026"/>
    <w:rsid w:val="00EA1772"/>
    <w:rsid w:val="00EA17E8"/>
    <w:rsid w:val="00EA284D"/>
    <w:rsid w:val="00EA3C3C"/>
    <w:rsid w:val="00EA477C"/>
    <w:rsid w:val="00EA55D2"/>
    <w:rsid w:val="00EA59BA"/>
    <w:rsid w:val="00EA6077"/>
    <w:rsid w:val="00EA6625"/>
    <w:rsid w:val="00EA6A13"/>
    <w:rsid w:val="00EA75D2"/>
    <w:rsid w:val="00EB117E"/>
    <w:rsid w:val="00EB118B"/>
    <w:rsid w:val="00EB1B12"/>
    <w:rsid w:val="00EB22D8"/>
    <w:rsid w:val="00EB255C"/>
    <w:rsid w:val="00EB2CE1"/>
    <w:rsid w:val="00EB322A"/>
    <w:rsid w:val="00EB4B0A"/>
    <w:rsid w:val="00EB4B29"/>
    <w:rsid w:val="00EB550B"/>
    <w:rsid w:val="00EB5A40"/>
    <w:rsid w:val="00EB5E18"/>
    <w:rsid w:val="00EB6405"/>
    <w:rsid w:val="00EB6CD4"/>
    <w:rsid w:val="00EB73DB"/>
    <w:rsid w:val="00EB75E9"/>
    <w:rsid w:val="00EB79A8"/>
    <w:rsid w:val="00EB7A73"/>
    <w:rsid w:val="00EC04D4"/>
    <w:rsid w:val="00EC07C8"/>
    <w:rsid w:val="00EC0AD5"/>
    <w:rsid w:val="00EC1B75"/>
    <w:rsid w:val="00EC1E71"/>
    <w:rsid w:val="00EC23BE"/>
    <w:rsid w:val="00EC2EF6"/>
    <w:rsid w:val="00EC391C"/>
    <w:rsid w:val="00EC4837"/>
    <w:rsid w:val="00EC70C7"/>
    <w:rsid w:val="00EC7655"/>
    <w:rsid w:val="00EC76E2"/>
    <w:rsid w:val="00ED0100"/>
    <w:rsid w:val="00ED0CF8"/>
    <w:rsid w:val="00ED0D2B"/>
    <w:rsid w:val="00ED3613"/>
    <w:rsid w:val="00ED3817"/>
    <w:rsid w:val="00ED39D7"/>
    <w:rsid w:val="00ED434D"/>
    <w:rsid w:val="00ED464B"/>
    <w:rsid w:val="00ED50E3"/>
    <w:rsid w:val="00ED69BF"/>
    <w:rsid w:val="00ED7D6E"/>
    <w:rsid w:val="00EE0B94"/>
    <w:rsid w:val="00EE3810"/>
    <w:rsid w:val="00EE5A92"/>
    <w:rsid w:val="00EF03AF"/>
    <w:rsid w:val="00EF227C"/>
    <w:rsid w:val="00EF2C48"/>
    <w:rsid w:val="00EF37A4"/>
    <w:rsid w:val="00EF3BC3"/>
    <w:rsid w:val="00EF466B"/>
    <w:rsid w:val="00EF4800"/>
    <w:rsid w:val="00EF51D3"/>
    <w:rsid w:val="00EF57A1"/>
    <w:rsid w:val="00EF58D3"/>
    <w:rsid w:val="00EF7AA4"/>
    <w:rsid w:val="00F00E43"/>
    <w:rsid w:val="00F0300F"/>
    <w:rsid w:val="00F034C0"/>
    <w:rsid w:val="00F03761"/>
    <w:rsid w:val="00F03EA1"/>
    <w:rsid w:val="00F0542D"/>
    <w:rsid w:val="00F0627F"/>
    <w:rsid w:val="00F0726B"/>
    <w:rsid w:val="00F07525"/>
    <w:rsid w:val="00F11223"/>
    <w:rsid w:val="00F127B0"/>
    <w:rsid w:val="00F13F80"/>
    <w:rsid w:val="00F13FE3"/>
    <w:rsid w:val="00F1455C"/>
    <w:rsid w:val="00F14AD2"/>
    <w:rsid w:val="00F15350"/>
    <w:rsid w:val="00F15600"/>
    <w:rsid w:val="00F1681A"/>
    <w:rsid w:val="00F16F1F"/>
    <w:rsid w:val="00F17DAC"/>
    <w:rsid w:val="00F20BBF"/>
    <w:rsid w:val="00F20F85"/>
    <w:rsid w:val="00F21125"/>
    <w:rsid w:val="00F22E95"/>
    <w:rsid w:val="00F23282"/>
    <w:rsid w:val="00F3173C"/>
    <w:rsid w:val="00F322DF"/>
    <w:rsid w:val="00F33639"/>
    <w:rsid w:val="00F33A96"/>
    <w:rsid w:val="00F33BE3"/>
    <w:rsid w:val="00F3464F"/>
    <w:rsid w:val="00F34668"/>
    <w:rsid w:val="00F35108"/>
    <w:rsid w:val="00F35384"/>
    <w:rsid w:val="00F37336"/>
    <w:rsid w:val="00F40508"/>
    <w:rsid w:val="00F41248"/>
    <w:rsid w:val="00F41F91"/>
    <w:rsid w:val="00F43EE2"/>
    <w:rsid w:val="00F44730"/>
    <w:rsid w:val="00F463B5"/>
    <w:rsid w:val="00F46CC2"/>
    <w:rsid w:val="00F46DC1"/>
    <w:rsid w:val="00F47366"/>
    <w:rsid w:val="00F50391"/>
    <w:rsid w:val="00F51F73"/>
    <w:rsid w:val="00F52269"/>
    <w:rsid w:val="00F540B2"/>
    <w:rsid w:val="00F555E8"/>
    <w:rsid w:val="00F5660C"/>
    <w:rsid w:val="00F56854"/>
    <w:rsid w:val="00F568D7"/>
    <w:rsid w:val="00F56D38"/>
    <w:rsid w:val="00F57F06"/>
    <w:rsid w:val="00F60F9E"/>
    <w:rsid w:val="00F63D0A"/>
    <w:rsid w:val="00F6636D"/>
    <w:rsid w:val="00F66EDF"/>
    <w:rsid w:val="00F672B5"/>
    <w:rsid w:val="00F674DF"/>
    <w:rsid w:val="00F67815"/>
    <w:rsid w:val="00F67C0A"/>
    <w:rsid w:val="00F70726"/>
    <w:rsid w:val="00F73678"/>
    <w:rsid w:val="00F73865"/>
    <w:rsid w:val="00F73E3A"/>
    <w:rsid w:val="00F7423F"/>
    <w:rsid w:val="00F749E4"/>
    <w:rsid w:val="00F74A7A"/>
    <w:rsid w:val="00F74EEF"/>
    <w:rsid w:val="00F758CF"/>
    <w:rsid w:val="00F771F1"/>
    <w:rsid w:val="00F7780D"/>
    <w:rsid w:val="00F80509"/>
    <w:rsid w:val="00F80D10"/>
    <w:rsid w:val="00F80FD3"/>
    <w:rsid w:val="00F811F2"/>
    <w:rsid w:val="00F8172F"/>
    <w:rsid w:val="00F81EED"/>
    <w:rsid w:val="00F86078"/>
    <w:rsid w:val="00F8627E"/>
    <w:rsid w:val="00F86817"/>
    <w:rsid w:val="00F86AC2"/>
    <w:rsid w:val="00F873CE"/>
    <w:rsid w:val="00F87DC8"/>
    <w:rsid w:val="00F92FF1"/>
    <w:rsid w:val="00F942C6"/>
    <w:rsid w:val="00F94809"/>
    <w:rsid w:val="00F948B7"/>
    <w:rsid w:val="00F94E9E"/>
    <w:rsid w:val="00F96BC1"/>
    <w:rsid w:val="00F97672"/>
    <w:rsid w:val="00F97C21"/>
    <w:rsid w:val="00FA01BF"/>
    <w:rsid w:val="00FA04F9"/>
    <w:rsid w:val="00FA08A2"/>
    <w:rsid w:val="00FA0D33"/>
    <w:rsid w:val="00FA0EDF"/>
    <w:rsid w:val="00FA163A"/>
    <w:rsid w:val="00FA2A46"/>
    <w:rsid w:val="00FA2CBD"/>
    <w:rsid w:val="00FA2EF1"/>
    <w:rsid w:val="00FA3A9F"/>
    <w:rsid w:val="00FA4137"/>
    <w:rsid w:val="00FA46AC"/>
    <w:rsid w:val="00FA554F"/>
    <w:rsid w:val="00FA5B0A"/>
    <w:rsid w:val="00FA5B38"/>
    <w:rsid w:val="00FA65F5"/>
    <w:rsid w:val="00FA6C1C"/>
    <w:rsid w:val="00FA6CDA"/>
    <w:rsid w:val="00FA7B40"/>
    <w:rsid w:val="00FB0C62"/>
    <w:rsid w:val="00FB2D1F"/>
    <w:rsid w:val="00FB3BE0"/>
    <w:rsid w:val="00FB43B8"/>
    <w:rsid w:val="00FB4C27"/>
    <w:rsid w:val="00FB6529"/>
    <w:rsid w:val="00FB6696"/>
    <w:rsid w:val="00FC16A6"/>
    <w:rsid w:val="00FC2A50"/>
    <w:rsid w:val="00FC320E"/>
    <w:rsid w:val="00FC5FCB"/>
    <w:rsid w:val="00FC717C"/>
    <w:rsid w:val="00FC7DB7"/>
    <w:rsid w:val="00FD1364"/>
    <w:rsid w:val="00FD2400"/>
    <w:rsid w:val="00FD3365"/>
    <w:rsid w:val="00FD52BD"/>
    <w:rsid w:val="00FD67F8"/>
    <w:rsid w:val="00FE012B"/>
    <w:rsid w:val="00FE0798"/>
    <w:rsid w:val="00FE13DD"/>
    <w:rsid w:val="00FE1719"/>
    <w:rsid w:val="00FE1DCA"/>
    <w:rsid w:val="00FE279C"/>
    <w:rsid w:val="00FE2C82"/>
    <w:rsid w:val="00FE3990"/>
    <w:rsid w:val="00FE41ED"/>
    <w:rsid w:val="00FE4C77"/>
    <w:rsid w:val="00FE500F"/>
    <w:rsid w:val="00FE53CC"/>
    <w:rsid w:val="00FE65DB"/>
    <w:rsid w:val="00FE6D8E"/>
    <w:rsid w:val="00FE70D9"/>
    <w:rsid w:val="00FE7660"/>
    <w:rsid w:val="00FE78FE"/>
    <w:rsid w:val="00FE7C26"/>
    <w:rsid w:val="00FF209F"/>
    <w:rsid w:val="00FF2D14"/>
    <w:rsid w:val="00FF4C08"/>
    <w:rsid w:val="00FF4D1F"/>
    <w:rsid w:val="00FF4D8B"/>
    <w:rsid w:val="00FF58EC"/>
    <w:rsid w:val="00FF6953"/>
    <w:rsid w:val="27164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4419D5"/>
  <w15:chartTrackingRefBased/>
  <w15:docId w15:val="{15A1599E-A7E9-428E-9555-4F776C67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qFormat/>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f "/>
    <w:link w:val="FootnoteTextChar"/>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f  Char"/>
    <w:basedOn w:val="DefaultParagraphFont"/>
    <w:link w:val="FootnoteText"/>
    <w:locked/>
    <w:rsid w:val="00F35108"/>
  </w:style>
  <w:style w:type="character" w:customStyle="1" w:styleId="ParaNumChar">
    <w:name w:val="ParaNum Char"/>
    <w:link w:val="ParaNum"/>
    <w:locked/>
    <w:rsid w:val="00F35108"/>
    <w:rPr>
      <w:snapToGrid w:val="0"/>
      <w:kern w:val="28"/>
      <w:sz w:val="22"/>
    </w:rPr>
  </w:style>
  <w:style w:type="character" w:styleId="CommentReference">
    <w:name w:val="annotation reference"/>
    <w:basedOn w:val="DefaultParagraphFont"/>
    <w:uiPriority w:val="99"/>
    <w:semiHidden/>
    <w:unhideWhenUsed/>
    <w:rsid w:val="00F35108"/>
    <w:rPr>
      <w:sz w:val="16"/>
      <w:szCs w:val="16"/>
    </w:rPr>
  </w:style>
  <w:style w:type="paragraph" w:styleId="CommentText">
    <w:name w:val="annotation text"/>
    <w:basedOn w:val="Normal"/>
    <w:link w:val="CommentTextChar"/>
    <w:uiPriority w:val="99"/>
    <w:unhideWhenUsed/>
    <w:rsid w:val="00F35108"/>
    <w:rPr>
      <w:sz w:val="20"/>
    </w:rPr>
  </w:style>
  <w:style w:type="character" w:customStyle="1" w:styleId="CommentTextChar">
    <w:name w:val="Comment Text Char"/>
    <w:basedOn w:val="DefaultParagraphFont"/>
    <w:link w:val="CommentText"/>
    <w:uiPriority w:val="99"/>
    <w:rsid w:val="00F35108"/>
    <w:rPr>
      <w:snapToGrid w:val="0"/>
      <w:kern w:val="28"/>
    </w:rPr>
  </w:style>
  <w:style w:type="paragraph" w:styleId="CommentSubject">
    <w:name w:val="annotation subject"/>
    <w:basedOn w:val="CommentText"/>
    <w:next w:val="CommentText"/>
    <w:link w:val="CommentSubjectChar"/>
    <w:uiPriority w:val="99"/>
    <w:semiHidden/>
    <w:unhideWhenUsed/>
    <w:rsid w:val="00F35108"/>
    <w:rPr>
      <w:b/>
      <w:bCs/>
    </w:rPr>
  </w:style>
  <w:style w:type="character" w:customStyle="1" w:styleId="CommentSubjectChar">
    <w:name w:val="Comment Subject Char"/>
    <w:basedOn w:val="CommentTextChar"/>
    <w:link w:val="CommentSubject"/>
    <w:uiPriority w:val="99"/>
    <w:semiHidden/>
    <w:rsid w:val="00F35108"/>
    <w:rPr>
      <w:b/>
      <w:bCs/>
      <w:snapToGrid w:val="0"/>
      <w:kern w:val="28"/>
    </w:rPr>
  </w:style>
  <w:style w:type="paragraph" w:styleId="Revision">
    <w:name w:val="Revision"/>
    <w:hidden/>
    <w:uiPriority w:val="99"/>
    <w:semiHidden/>
    <w:rsid w:val="00391DFE"/>
    <w:rPr>
      <w:snapToGrid w:val="0"/>
      <w:kern w:val="28"/>
      <w:sz w:val="22"/>
    </w:rPr>
  </w:style>
  <w:style w:type="character" w:styleId="FollowedHyperlink">
    <w:name w:val="FollowedHyperlink"/>
    <w:basedOn w:val="DefaultParagraphFont"/>
    <w:uiPriority w:val="99"/>
    <w:semiHidden/>
    <w:unhideWhenUsed/>
    <w:rsid w:val="00846972"/>
    <w:rPr>
      <w:color w:val="96607D" w:themeColor="followedHyperlink"/>
      <w:u w:val="single"/>
    </w:rPr>
  </w:style>
  <w:style w:type="paragraph" w:styleId="ListParagraph">
    <w:name w:val="List Paragraph"/>
    <w:basedOn w:val="Normal"/>
    <w:link w:val="ListParagraphChar"/>
    <w:uiPriority w:val="34"/>
    <w:qFormat/>
    <w:rsid w:val="00962421"/>
    <w:pPr>
      <w:widowControl/>
      <w:numPr>
        <w:numId w:val="9"/>
      </w:numPr>
      <w:spacing w:after="160" w:line="259" w:lineRule="auto"/>
      <w:contextualSpacing/>
    </w:pPr>
    <w:rPr>
      <w:rFonts w:eastAsia="Calibri"/>
      <w:snapToGrid/>
      <w:kern w:val="0"/>
      <w:szCs w:val="22"/>
    </w:rPr>
  </w:style>
  <w:style w:type="character" w:customStyle="1" w:styleId="ListParagraphChar">
    <w:name w:val="List Paragraph Char"/>
    <w:link w:val="ListParagraph"/>
    <w:uiPriority w:val="34"/>
    <w:rsid w:val="00962421"/>
    <w:rPr>
      <w:rFonts w:eastAsia="Calibri"/>
      <w:sz w:val="22"/>
      <w:szCs w:val="22"/>
    </w:rPr>
  </w:style>
  <w:style w:type="character" w:customStyle="1" w:styleId="normaltextrun">
    <w:name w:val="normaltextrun"/>
    <w:basedOn w:val="DefaultParagraphFont"/>
    <w:rsid w:val="00BA362A"/>
  </w:style>
  <w:style w:type="paragraph" w:customStyle="1" w:styleId="pf0">
    <w:name w:val="pf0"/>
    <w:basedOn w:val="Normal"/>
    <w:rsid w:val="00B0532A"/>
    <w:pPr>
      <w:widowControl/>
      <w:spacing w:before="100" w:beforeAutospacing="1" w:after="100" w:afterAutospacing="1"/>
    </w:pPr>
    <w:rPr>
      <w:snapToGrid/>
      <w:kern w:val="0"/>
      <w:sz w:val="24"/>
      <w:szCs w:val="24"/>
    </w:rPr>
  </w:style>
  <w:style w:type="character" w:customStyle="1" w:styleId="cf01">
    <w:name w:val="cf01"/>
    <w:basedOn w:val="DefaultParagraphFont"/>
    <w:rsid w:val="00B0532A"/>
    <w:rPr>
      <w:rFonts w:ascii="Segoe UI" w:hAnsi="Segoe UI" w:cs="Segoe UI" w:hint="default"/>
      <w:sz w:val="18"/>
      <w:szCs w:val="18"/>
    </w:rPr>
  </w:style>
  <w:style w:type="character" w:customStyle="1" w:styleId="ParaNumChar2">
    <w:name w:val="ParaNum Char2"/>
    <w:rsid w:val="00D3665A"/>
    <w:rPr>
      <w:snapToGrid w:val="0"/>
      <w:kern w:val="28"/>
      <w:sz w:val="22"/>
    </w:rPr>
  </w:style>
  <w:style w:type="paragraph" w:customStyle="1" w:styleId="footnotedescription">
    <w:name w:val="footnote description"/>
    <w:next w:val="Normal"/>
    <w:link w:val="footnotedescriptionChar"/>
    <w:hidden/>
    <w:rsid w:val="005223BD"/>
    <w:pPr>
      <w:spacing w:after="51" w:line="254" w:lineRule="auto"/>
      <w:ind w:right="37"/>
    </w:pPr>
    <w:rPr>
      <w:color w:val="000000"/>
      <w:szCs w:val="22"/>
    </w:rPr>
  </w:style>
  <w:style w:type="character" w:customStyle="1" w:styleId="footnotedescriptionChar">
    <w:name w:val="footnote description Char"/>
    <w:link w:val="footnotedescription"/>
    <w:rsid w:val="005223BD"/>
    <w:rPr>
      <w:color w:val="000000"/>
      <w:szCs w:val="22"/>
    </w:rPr>
  </w:style>
  <w:style w:type="character" w:customStyle="1" w:styleId="footnotemark">
    <w:name w:val="footnote mark"/>
    <w:hidden/>
    <w:rsid w:val="005223BD"/>
    <w:rPr>
      <w:rFonts w:ascii="Times New Roman" w:eastAsia="Times New Roman" w:hAnsi="Times New Roman" w:cs="Times New Roman"/>
      <w:color w:val="000000"/>
      <w:sz w:val="20"/>
      <w:vertAlign w:val="superscript"/>
    </w:rPr>
  </w:style>
  <w:style w:type="character" w:styleId="Mention">
    <w:name w:val="Mention"/>
    <w:basedOn w:val="DefaultParagraphFont"/>
    <w:uiPriority w:val="99"/>
    <w:unhideWhenUsed/>
    <w:rsid w:val="00142E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Chris.Smeenk@fcc.gov" TargetMode="External" /><Relationship Id="rId9" Type="http://schemas.openxmlformats.org/officeDocument/2006/relationships/hyperlink" Target="mailto:Rebecca.Clinto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 Id="rId2" Type="http://schemas.openxmlformats.org/officeDocument/2006/relationships/hyperlink" Target="https://www.fcc.gov/document/supply-chain-reimbursement-program-sixth-repor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