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rsidRPr="001B0F0A" w14:paraId="03017B97" w14:textId="29F34FE5">
      <w:pPr>
        <w:jc w:val="right"/>
        <w:rPr>
          <w:b/>
          <w:szCs w:val="22"/>
        </w:rPr>
      </w:pPr>
      <w:r>
        <w:rPr>
          <w:b/>
          <w:szCs w:val="22"/>
        </w:rPr>
        <w:t>DA 26-297</w:t>
      </w:r>
    </w:p>
    <w:p w:rsidR="00BA3BA8" w:rsidRPr="001B0F0A" w14:paraId="6AEF01C1" w14:textId="0C59A156">
      <w:pPr>
        <w:spacing w:before="60"/>
        <w:jc w:val="right"/>
        <w:rPr>
          <w:b/>
          <w:szCs w:val="22"/>
        </w:rPr>
      </w:pPr>
      <w:r w:rsidRPr="001B0F0A">
        <w:rPr>
          <w:b/>
          <w:szCs w:val="22"/>
        </w:rPr>
        <w:t xml:space="preserve">Released: </w:t>
      </w:r>
      <w:r w:rsidR="0007588A">
        <w:rPr>
          <w:b/>
          <w:szCs w:val="22"/>
        </w:rPr>
        <w:t>March 27, 2026</w:t>
      </w:r>
    </w:p>
    <w:p w:rsidR="00BA3BA8" w:rsidRPr="001B0F0A" w14:paraId="6E234844" w14:textId="77777777">
      <w:pPr>
        <w:jc w:val="right"/>
        <w:rPr>
          <w:szCs w:val="22"/>
        </w:rPr>
      </w:pPr>
    </w:p>
    <w:p w:rsidR="00DB51DF" w:rsidRPr="001B0F0A" w:rsidP="00DB51DF" w14:paraId="4ED680AC" w14:textId="0093ABF2">
      <w:pPr>
        <w:spacing w:after="240"/>
        <w:jc w:val="center"/>
        <w:rPr>
          <w:b/>
          <w:caps/>
          <w:szCs w:val="22"/>
        </w:rPr>
      </w:pPr>
      <w:r w:rsidRPr="001B0F0A">
        <w:rPr>
          <w:b/>
          <w:szCs w:val="22"/>
        </w:rPr>
        <w:t xml:space="preserve">INTERCONNECTED VOIP NUMBERING AUTHORIZATION APPLICATION FILED BY </w:t>
      </w:r>
      <w:r w:rsidRPr="001633BB" w:rsidR="001633BB">
        <w:rPr>
          <w:b/>
          <w:szCs w:val="22"/>
        </w:rPr>
        <w:t>COMCAST PHONE OF CALIFORNIA, LLC</w:t>
      </w:r>
      <w:r w:rsidR="001633BB">
        <w:rPr>
          <w:b/>
          <w:szCs w:val="22"/>
        </w:rPr>
        <w:t xml:space="preserve"> </w:t>
      </w:r>
      <w:r w:rsidRPr="001B0F0A">
        <w:rPr>
          <w:b/>
          <w:szCs w:val="22"/>
        </w:rPr>
        <w:t>PURSUANT TO SECTION 52.15</w:t>
      </w:r>
      <w:r>
        <w:rPr>
          <w:b/>
          <w:szCs w:val="22"/>
        </w:rPr>
        <w:t>(g</w:t>
      </w:r>
      <w:r w:rsidRPr="001B0F0A">
        <w:rPr>
          <w:b/>
          <w:szCs w:val="22"/>
        </w:rPr>
        <w:t>)(3)</w:t>
      </w:r>
      <w:r>
        <w:rPr>
          <w:b/>
          <w:szCs w:val="22"/>
        </w:rPr>
        <w:t xml:space="preserve"> </w:t>
      </w:r>
      <w:r w:rsidRPr="001B0F0A">
        <w:rPr>
          <w:b/>
          <w:szCs w:val="22"/>
        </w:rPr>
        <w:t xml:space="preserve">OF THE COMMISSION’S RULES </w:t>
      </w:r>
    </w:p>
    <w:p w:rsidR="00BA3BA8" w:rsidRPr="001B0F0A" w:rsidP="00DB51DF" w14:paraId="20B19860" w14:textId="7EEB9434">
      <w:pPr>
        <w:spacing w:after="240"/>
        <w:jc w:val="center"/>
        <w:rPr>
          <w:b/>
          <w:szCs w:val="22"/>
        </w:rPr>
      </w:pPr>
      <w:r w:rsidRPr="001B0F0A">
        <w:rPr>
          <w:b/>
          <w:szCs w:val="22"/>
        </w:rPr>
        <w:t>Streamlined Pleading Cycle Established</w:t>
      </w:r>
    </w:p>
    <w:p w:rsidR="00BA3BA8" w:rsidRPr="001B0F0A" w14:paraId="582F6BA6" w14:textId="09059D59">
      <w:pPr>
        <w:jc w:val="center"/>
        <w:rPr>
          <w:b/>
          <w:szCs w:val="22"/>
        </w:rPr>
      </w:pPr>
      <w:r w:rsidRPr="001B0F0A">
        <w:rPr>
          <w:b/>
          <w:szCs w:val="22"/>
        </w:rPr>
        <w:t xml:space="preserve">WC Docket </w:t>
      </w:r>
      <w:r w:rsidRPr="001B0F0A" w:rsidR="00227FE3">
        <w:rPr>
          <w:b/>
          <w:szCs w:val="22"/>
        </w:rPr>
        <w:t>25-2</w:t>
      </w:r>
      <w:r w:rsidR="0044325E">
        <w:rPr>
          <w:b/>
          <w:szCs w:val="22"/>
        </w:rPr>
        <w:t>97</w:t>
      </w:r>
      <w:r>
        <w:rPr>
          <w:rStyle w:val="FootnoteReference"/>
          <w:b/>
          <w:szCs w:val="22"/>
        </w:rPr>
        <w:footnoteReference w:id="3"/>
      </w:r>
    </w:p>
    <w:p w:rsidR="00BA3BA8" w:rsidRPr="001B0F0A" w14:paraId="2E4191CD" w14:textId="77777777">
      <w:pPr>
        <w:rPr>
          <w:szCs w:val="22"/>
        </w:rPr>
      </w:pPr>
      <w:bookmarkStart w:id="0" w:name="TOChere"/>
    </w:p>
    <w:p w:rsidR="00BA3BA8" w:rsidRPr="001B0F0A" w14:paraId="24833ECA" w14:textId="5C679205">
      <w:pPr>
        <w:rPr>
          <w:b/>
          <w:bCs/>
          <w:szCs w:val="22"/>
        </w:rPr>
      </w:pPr>
      <w:r w:rsidRPr="001B0F0A">
        <w:rPr>
          <w:b/>
          <w:bCs/>
          <w:szCs w:val="22"/>
        </w:rPr>
        <w:t>Comments Due:</w:t>
      </w:r>
      <w:r w:rsidR="0007588A">
        <w:rPr>
          <w:b/>
          <w:bCs/>
          <w:szCs w:val="22"/>
        </w:rPr>
        <w:t xml:space="preserve"> April 11, 2026</w:t>
      </w:r>
    </w:p>
    <w:p w:rsidR="00951CF7" w:rsidRPr="001B0F0A" w14:paraId="5A0C92A3" w14:textId="77777777">
      <w:pPr>
        <w:rPr>
          <w:b/>
          <w:bCs/>
          <w:szCs w:val="22"/>
        </w:rPr>
      </w:pPr>
    </w:p>
    <w:p w:rsidR="00951CF7" w:rsidRPr="001B0F0A" w14:paraId="2F626D74" w14:textId="0E0040D9">
      <w:pPr>
        <w:rPr>
          <w:szCs w:val="22"/>
        </w:rPr>
      </w:pPr>
      <w:r w:rsidRPr="001B0F0A">
        <w:rPr>
          <w:b/>
          <w:bCs/>
          <w:szCs w:val="22"/>
        </w:rPr>
        <w:tab/>
      </w:r>
      <w:r w:rsidRPr="00B031FE" w:rsidR="00B031FE">
        <w:rPr>
          <w:szCs w:val="22"/>
        </w:rPr>
        <w:t>Comcast Phone of California, LLC</w:t>
      </w:r>
      <w:r w:rsidRPr="001B0F0A">
        <w:rPr>
          <w:szCs w:val="22"/>
        </w:rPr>
        <w:t xml:space="preserve"> (</w:t>
      </w:r>
      <w:r w:rsidR="00B031FE">
        <w:rPr>
          <w:szCs w:val="22"/>
        </w:rPr>
        <w:t>Comcast</w:t>
      </w:r>
      <w:r w:rsidRPr="001B0F0A">
        <w:rPr>
          <w:szCs w:val="22"/>
        </w:rPr>
        <w:t xml:space="preserve"> or Applicant), an interconnected Voice over Internet Protocol (VoIP) provider, filed a Numbering Authorization Application (Application) pursuant to section 52.15(g)(3) of the Federal Communications Commission’s rules, seeking authorization to obtain North American Numbering Plan telephone numbers directly from the Numbering Administrator.</w:t>
      </w:r>
      <w:r>
        <w:rPr>
          <w:rStyle w:val="FootnoteReference"/>
          <w:szCs w:val="22"/>
        </w:rPr>
        <w:footnoteReference w:id="4"/>
      </w:r>
      <w:r w:rsidRPr="001B0F0A">
        <w:rPr>
          <w:szCs w:val="22"/>
        </w:rPr>
        <w:t xml:space="preserve">  In its Application, </w:t>
      </w:r>
      <w:r w:rsidR="00606A4D">
        <w:rPr>
          <w:szCs w:val="22"/>
        </w:rPr>
        <w:t>Comcast</w:t>
      </w:r>
      <w:r w:rsidRPr="001B0F0A" w:rsidR="00B52617">
        <w:rPr>
          <w:szCs w:val="22"/>
        </w:rPr>
        <w:t xml:space="preserve"> </w:t>
      </w:r>
      <w:r w:rsidRPr="001B0F0A" w:rsidR="005E0F91">
        <w:rPr>
          <w:szCs w:val="22"/>
        </w:rPr>
        <w:t xml:space="preserve">seeks authority to access numbering resources throughout the United States and </w:t>
      </w:r>
      <w:r w:rsidRPr="001B0F0A">
        <w:rPr>
          <w:szCs w:val="22"/>
        </w:rPr>
        <w:t xml:space="preserve">intends to initially request numbers in </w:t>
      </w:r>
      <w:r w:rsidRPr="001B0F0A" w:rsidR="00B52617">
        <w:rPr>
          <w:szCs w:val="22"/>
        </w:rPr>
        <w:t>C</w:t>
      </w:r>
      <w:r w:rsidR="00105714">
        <w:rPr>
          <w:szCs w:val="22"/>
        </w:rPr>
        <w:t>alifornia</w:t>
      </w:r>
      <w:r w:rsidRPr="001B0F0A" w:rsidR="00B52617">
        <w:rPr>
          <w:szCs w:val="22"/>
        </w:rPr>
        <w:t>.</w:t>
      </w:r>
      <w:r>
        <w:rPr>
          <w:rStyle w:val="FootnoteReference"/>
          <w:szCs w:val="22"/>
        </w:rPr>
        <w:footnoteReference w:id="5"/>
      </w:r>
    </w:p>
    <w:p w:rsidR="00951CF7" w14:paraId="6E0DC6BE" w14:textId="77777777"/>
    <w:p w:rsidR="00951CF7" w14:paraId="218E4B6E" w14:textId="16E86141">
      <w:r>
        <w:tab/>
        <w:t>In its Application</w:t>
      </w:r>
      <w:r w:rsidR="00105714">
        <w:t>,</w:t>
      </w:r>
      <w:r>
        <w:t xml:space="preserve"> </w:t>
      </w:r>
      <w:r w:rsidR="00606A4D">
        <w:t>Comca</w:t>
      </w:r>
      <w:r w:rsidR="00DB4614">
        <w:t>st</w:t>
      </w:r>
      <w:r w:rsidR="00CB0825">
        <w:t xml:space="preserve"> includes the contact information and acknowledgements required by section 52.15(g)(3)(ii) of the Commission’s rules.</w:t>
      </w:r>
      <w:r w:rsidR="00805FDB">
        <w:t xml:space="preserve">  </w:t>
      </w:r>
      <w:r w:rsidR="00DB4614">
        <w:t>Comcast</w:t>
      </w:r>
      <w:r w:rsidR="00D67F68">
        <w:t xml:space="preserve"> </w:t>
      </w:r>
      <w:r w:rsidR="00CB0825">
        <w:t xml:space="preserve">provides evidence that it will be capable of providing service within 60 days of the numbering resources activation date.  </w:t>
      </w:r>
      <w:r w:rsidRPr="00DB4614" w:rsidR="00DB4614">
        <w:t>Comcast</w:t>
      </w:r>
      <w:r w:rsidR="00D67F68">
        <w:t xml:space="preserve"> </w:t>
      </w:r>
      <w:r w:rsidR="00CB0825">
        <w:t xml:space="preserve">also certifies that it complies with contribution, regulatory fee, and 911 obligations.  In addition, </w:t>
      </w:r>
      <w:r w:rsidRPr="00DB4614" w:rsidR="00DB4614">
        <w:t>Comcast</w:t>
      </w:r>
      <w:r w:rsidR="00D67F68">
        <w:t xml:space="preserve"> </w:t>
      </w:r>
      <w:r w:rsidR="00CB0825">
        <w:t xml:space="preserve">certifies that </w:t>
      </w:r>
      <w:r w:rsidR="00CE0566">
        <w:t>it</w:t>
      </w:r>
      <w:r w:rsidR="00CB0825">
        <w:t xml:space="preserve"> has </w:t>
      </w:r>
      <w:r w:rsidR="00661599">
        <w:t>financial</w:t>
      </w:r>
      <w:r w:rsidR="00CB0825">
        <w:t xml:space="preserve">, managerial, and technical expertise to provide reliable service.  </w:t>
      </w:r>
      <w:r w:rsidRPr="003E042C" w:rsidR="003E042C">
        <w:t>Comcast</w:t>
      </w:r>
      <w:r w:rsidR="00CA6A51">
        <w:t xml:space="preserve"> </w:t>
      </w:r>
      <w:r w:rsidR="00CB0825">
        <w:t>further certifies that none of its key management and technical personnel are being or have been investigated by the Commission, or any law enforcement or regulatory agency, for failure to comply with any law, rule, or order.</w:t>
      </w:r>
    </w:p>
    <w:p w:rsidR="00CB0825" w14:paraId="6AF07DB8" w14:textId="77777777"/>
    <w:p w:rsidR="00CB0825" w14:paraId="2713F5FB" w14:textId="6367DCC2">
      <w:r>
        <w:tab/>
      </w:r>
      <w:r w:rsidRPr="003E042C" w:rsidR="003E042C">
        <w:t>Comcast</w:t>
      </w:r>
      <w:r w:rsidR="00D67F68">
        <w:t xml:space="preserve"> </w:t>
      </w:r>
      <w:r>
        <w:t xml:space="preserve">also certifies that it will not use the numbers obtained pursuant to the authorization for illegal robocalling, illegal spoofing, or otherwise fraudulent purposes.  </w:t>
      </w:r>
      <w:r w:rsidRPr="003E042C" w:rsidR="003E042C">
        <w:t>Comcast</w:t>
      </w:r>
      <w:r w:rsidR="00D67F68">
        <w:t xml:space="preserve"> </w:t>
      </w:r>
      <w:r w:rsidR="00325298">
        <w:t xml:space="preserve">certifies that it has fully complied with all applicable STIR/SHAKEN caller ID authentication and robocall mitigation program requirements.  </w:t>
      </w:r>
      <w:r w:rsidRPr="003E042C" w:rsidR="003E042C">
        <w:t>Comcast</w:t>
      </w:r>
      <w:r w:rsidR="00D67F68">
        <w:t xml:space="preserve"> </w:t>
      </w:r>
      <w:r w:rsidR="00325298">
        <w:t xml:space="preserve">certifies </w:t>
      </w:r>
      <w:r w:rsidR="005E121A">
        <w:t>that it complies with the Commission’s Access Stimulation</w:t>
      </w:r>
      <w:r w:rsidR="004F49CC">
        <w:t xml:space="preserve"> rules and </w:t>
      </w:r>
      <w:r w:rsidRPr="009E07B1" w:rsidR="004F49CC">
        <w:t xml:space="preserve">asserts it is compliant with </w:t>
      </w:r>
      <w:r w:rsidRPr="009E07B1" w:rsidR="00325298">
        <w:t>FCC Form</w:t>
      </w:r>
      <w:r w:rsidR="00401503">
        <w:t>s</w:t>
      </w:r>
      <w:r w:rsidRPr="009E07B1" w:rsidR="00325298">
        <w:t xml:space="preserve"> 499</w:t>
      </w:r>
      <w:r w:rsidR="00401503">
        <w:t xml:space="preserve"> and 477</w:t>
      </w:r>
      <w:r w:rsidRPr="009E07B1" w:rsidR="004F49CC">
        <w:t xml:space="preserve"> </w:t>
      </w:r>
      <w:r w:rsidRPr="009E07B1" w:rsidR="00125824">
        <w:t>requirements</w:t>
      </w:r>
      <w:r w:rsidRPr="009E07B1" w:rsidR="004B2EF4">
        <w:t>.</w:t>
      </w:r>
      <w:r w:rsidR="00325298">
        <w:t xml:space="preserve">  </w:t>
      </w:r>
      <w:r w:rsidRPr="009E07B1" w:rsidR="009E07B1">
        <w:t xml:space="preserve">Comcast </w:t>
      </w:r>
      <w:r w:rsidR="00325298">
        <w:t xml:space="preserve">makes the necessary </w:t>
      </w:r>
      <w:r w:rsidR="00325298">
        <w:t>ownership disclosures and certifications as required under 47 CFR §§ 63.18(h) and (</w:t>
      </w:r>
      <w:r w:rsidR="00325298">
        <w:t>i</w:t>
      </w:r>
      <w:r w:rsidR="00325298">
        <w:t xml:space="preserve">).  Finally, </w:t>
      </w:r>
      <w:r w:rsidR="009E07B1">
        <w:t>Comcast</w:t>
      </w:r>
      <w:r w:rsidR="00325298">
        <w:t xml:space="preserve"> makes a declaration under penalty of perjury that all statements in the application and any appendices are true and accurate.</w:t>
      </w:r>
    </w:p>
    <w:p w:rsidR="00325298" w14:paraId="43D054A8" w14:textId="77777777"/>
    <w:p w:rsidR="00325298" w14:paraId="2A4C8CE5" w14:textId="77777777">
      <w:r>
        <w:rPr>
          <w:b/>
          <w:bCs/>
          <w:u w:val="single"/>
        </w:rPr>
        <w:t>GENERAL INFORMATION</w:t>
      </w:r>
    </w:p>
    <w:p w:rsidR="00325298" w14:paraId="55C5FB31" w14:textId="77777777"/>
    <w:p w:rsidR="00325298" w14:paraId="27426403" w14:textId="77777777">
      <w:r>
        <w:tab/>
        <w:t>The Application identified herein has been found, upon initial review, to be acceptable for filing as a streamlined application.  The Commission reserves the right to return any application, if upon further exam</w:t>
      </w:r>
      <w:r w:rsidR="0037579E">
        <w:t>ination, it is determined to be defective and not in conformance with the Commission’s rules and policies.</w:t>
      </w:r>
    </w:p>
    <w:p w:rsidR="0037579E" w14:paraId="39039F6E" w14:textId="77777777"/>
    <w:p w:rsidR="0037579E" w14:paraId="5B081EB8" w14:textId="05A2BFC4">
      <w:r>
        <w:tab/>
      </w:r>
      <w:r>
        <w:rPr>
          <w:u w:val="single"/>
        </w:rPr>
        <w:t>Filing Requirements.</w:t>
      </w:r>
      <w:r>
        <w:t xml:space="preserve">  Interested parties may file comments </w:t>
      </w:r>
      <w:r>
        <w:rPr>
          <w:b/>
          <w:bCs/>
        </w:rPr>
        <w:t>on or before the date indicated on the first page of this document.</w:t>
      </w:r>
      <w:r>
        <w:t xml:space="preserve">  Comments may be filed using the Commission’s Electronic Comment Filing System (ECFS).</w:t>
      </w:r>
    </w:p>
    <w:p w:rsidR="0037579E" w14:paraId="618F57ED" w14:textId="77777777"/>
    <w:p w:rsidR="0037579E" w:rsidRPr="0037579E" w:rsidP="00A86AD2" w14:paraId="532D0C31" w14:textId="77777777">
      <w:pPr>
        <w:numPr>
          <w:ilvl w:val="0"/>
          <w:numId w:val="7"/>
        </w:numPr>
        <w:spacing w:after="120"/>
        <w:rPr>
          <w:i/>
          <w:iCs/>
        </w:rPr>
      </w:pPr>
      <w:r>
        <w:rPr>
          <w:i/>
          <w:iCs/>
        </w:rPr>
        <w:t>Electronic Filers</w:t>
      </w:r>
      <w:r>
        <w:t xml:space="preserve">:  Comments may be filed electronically by accessing ECFS at </w:t>
      </w:r>
      <w:hyperlink r:id="rId6" w:history="1">
        <w:r w:rsidRPr="00BE364B">
          <w:rPr>
            <w:rStyle w:val="Hyperlink"/>
          </w:rPr>
          <w:t>https://www.fcc.gov/ecfs/</w:t>
        </w:r>
      </w:hyperlink>
      <w:r>
        <w:t xml:space="preserve">. </w:t>
      </w:r>
    </w:p>
    <w:p w:rsidR="0037579E" w:rsidRPr="0037579E" w:rsidP="00A86AD2" w14:paraId="02399FA0" w14:textId="1697A400">
      <w:pPr>
        <w:numPr>
          <w:ilvl w:val="0"/>
          <w:numId w:val="7"/>
        </w:numPr>
        <w:spacing w:after="120"/>
        <w:rPr>
          <w:i/>
          <w:iCs/>
        </w:rPr>
      </w:pPr>
      <w:r>
        <w:rPr>
          <w:i/>
          <w:iCs/>
        </w:rPr>
        <w:t>Paper Filers</w:t>
      </w:r>
      <w:r w:rsidR="00CE0566">
        <w:t>: Parties</w:t>
      </w:r>
      <w:r>
        <w:t xml:space="preserve"> who choose to file by paper must file an original and one copy of each filing.</w:t>
      </w:r>
    </w:p>
    <w:p w:rsidR="0037579E" w:rsidRPr="0037579E" w:rsidP="00A86AD2" w14:paraId="77AD7F35" w14:textId="77777777">
      <w:pPr>
        <w:numPr>
          <w:ilvl w:val="1"/>
          <w:numId w:val="7"/>
        </w:numPr>
        <w:spacing w:after="120"/>
        <w:rPr>
          <w:i/>
          <w:iCs/>
        </w:rPr>
      </w:pPr>
      <w:r>
        <w:t xml:space="preserve">Filings can be sent by commercial overnight courier or by first-class or overnight U.S. Postal Service mail.  </w:t>
      </w:r>
      <w:r>
        <w:rPr>
          <w:b/>
          <w:bCs/>
        </w:rPr>
        <w:t xml:space="preserve">All filings must be addressed to the Commission’s Secretary, Office of the Secretary, </w:t>
      </w:r>
      <w:r>
        <w:rPr>
          <w:b/>
          <w:bCs/>
        </w:rPr>
        <w:t>Federal</w:t>
      </w:r>
      <w:r>
        <w:rPr>
          <w:b/>
          <w:bCs/>
        </w:rPr>
        <w:t xml:space="preserve"> Communications Commission.</w:t>
      </w:r>
    </w:p>
    <w:p w:rsidR="0037579E" w:rsidRPr="0037579E" w:rsidP="00A86AD2" w14:paraId="55F61C66" w14:textId="77777777">
      <w:pPr>
        <w:numPr>
          <w:ilvl w:val="1"/>
          <w:numId w:val="7"/>
        </w:numPr>
        <w:spacing w:after="120"/>
        <w:rPr>
          <w:i/>
          <w:iCs/>
        </w:rPr>
      </w:pPr>
      <w:r>
        <w:t xml:space="preserve">Hand-delivered or messenger-delivered paper filings for the Commission’s Secretary are accepted between 8:00 a.m. and 4:00 p.m. by the FCC’s mailing contractor at 9050 Junction Drive, Annapolis Junction, MD 20701.  All hand deliveries must be </w:t>
      </w:r>
      <w:r>
        <w:t>held</w:t>
      </w:r>
      <w:r>
        <w:t xml:space="preserve"> together with rubber bands or fasteners.  Any envelopes and boxes must be disposed of before entering the building.</w:t>
      </w:r>
    </w:p>
    <w:p w:rsidR="0037579E" w:rsidRPr="0037579E" w:rsidP="00A86AD2" w14:paraId="5DAC6778" w14:textId="77777777">
      <w:pPr>
        <w:numPr>
          <w:ilvl w:val="1"/>
          <w:numId w:val="7"/>
        </w:numPr>
        <w:spacing w:after="120"/>
        <w:rPr>
          <w:i/>
          <w:iCs/>
        </w:rPr>
      </w:pPr>
      <w:r>
        <w:t>Commercial courier deliveries (any not sent by the U.S. Postal Service) must be sent to 9050 Junction Drive, Annapolis Junction, MD 20701.</w:t>
      </w:r>
    </w:p>
    <w:p w:rsidR="0037579E" w:rsidRPr="0037579E" w:rsidP="00A86AD2" w14:paraId="3A0A4E72" w14:textId="6DA4E6FA">
      <w:pPr>
        <w:numPr>
          <w:ilvl w:val="1"/>
          <w:numId w:val="7"/>
        </w:numPr>
        <w:spacing w:after="120"/>
        <w:rPr>
          <w:i/>
          <w:iCs/>
        </w:rPr>
      </w:pPr>
      <w:r>
        <w:t>Filings sent by U.S. Postal Service First-Class Mail, Priority Mai</w:t>
      </w:r>
      <w:r w:rsidR="0053028B">
        <w:t>l</w:t>
      </w:r>
      <w:r>
        <w:t>, and Priority Mail Express must be sent to 45 L Street NE, Washington, DC 20554.</w:t>
      </w:r>
    </w:p>
    <w:p w:rsidR="0037579E" w:rsidRPr="0037579E" w:rsidP="00A86AD2" w14:paraId="38703BD0" w14:textId="77777777">
      <w:pPr>
        <w:numPr>
          <w:ilvl w:val="0"/>
          <w:numId w:val="7"/>
        </w:numPr>
        <w:spacing w:after="120"/>
        <w:rPr>
          <w:i/>
          <w:iCs/>
        </w:rPr>
      </w:pPr>
      <w:r>
        <w:rPr>
          <w:i/>
          <w:iCs/>
        </w:rPr>
        <w:t>People with Disabilities</w:t>
      </w:r>
      <w:r>
        <w:t xml:space="preserve">:  To request materials in accessible formats for people with disabilities (braille, large print, electronic files, audio format), send an email to </w:t>
      </w:r>
      <w:hyperlink r:id="rId7" w:history="1">
        <w:r w:rsidRPr="00BE364B">
          <w:rPr>
            <w:rStyle w:val="Hyperlink"/>
          </w:rPr>
          <w:t>fcc504@fcc.gov</w:t>
        </w:r>
      </w:hyperlink>
      <w:r>
        <w:t xml:space="preserve"> or call the Consumer and Governmental Affairs Bureau at 202-418-0530.</w:t>
      </w:r>
    </w:p>
    <w:p w:rsidR="0037579E" w:rsidP="0037579E" w14:paraId="44B37095" w14:textId="77777777"/>
    <w:p w:rsidR="0037579E" w:rsidP="0037579E" w14:paraId="32F2CBB0" w14:textId="77777777">
      <w:pPr>
        <w:rPr>
          <w:b/>
          <w:bCs/>
        </w:rPr>
      </w:pPr>
      <w:r>
        <w:rPr>
          <w:b/>
          <w:bCs/>
        </w:rPr>
        <w:t>In addition, e-mail one copy of each pleading to each of the following:</w:t>
      </w:r>
    </w:p>
    <w:p w:rsidR="0037579E" w:rsidP="0037579E" w14:paraId="277CE453" w14:textId="77777777">
      <w:pPr>
        <w:rPr>
          <w:b/>
          <w:bCs/>
        </w:rPr>
      </w:pPr>
    </w:p>
    <w:p w:rsidR="0037579E" w:rsidP="00127D32" w14:paraId="7D4FFF44" w14:textId="77777777">
      <w:pPr>
        <w:numPr>
          <w:ilvl w:val="0"/>
          <w:numId w:val="8"/>
        </w:numPr>
        <w:spacing w:after="120"/>
        <w:contextualSpacing/>
      </w:pPr>
      <w:hyperlink r:id="rId8" w:history="1">
        <w:r w:rsidRPr="0037579E">
          <w:rPr>
            <w:rStyle w:val="Hyperlink"/>
          </w:rPr>
          <w:t>DAA@fcc.gov</w:t>
        </w:r>
      </w:hyperlink>
      <w:r w:rsidRPr="0037579E">
        <w:t>;</w:t>
      </w:r>
    </w:p>
    <w:p w:rsidR="00127D32" w:rsidRPr="0037579E" w:rsidP="00127D32" w14:paraId="55C30769" w14:textId="77777777">
      <w:pPr>
        <w:spacing w:after="120"/>
        <w:ind w:left="720"/>
        <w:contextualSpacing/>
      </w:pPr>
    </w:p>
    <w:p w:rsidR="0037579E" w:rsidRPr="0037579E" w:rsidP="00127D32" w14:paraId="0100DFF9" w14:textId="77777777">
      <w:pPr>
        <w:numPr>
          <w:ilvl w:val="0"/>
          <w:numId w:val="8"/>
        </w:numPr>
        <w:spacing w:after="120"/>
        <w:contextualSpacing/>
      </w:pPr>
      <w:r w:rsidRPr="0037579E">
        <w:t xml:space="preserve">Margoux Newman, Competition Policy Division, Wireline Competition Bureau, </w:t>
      </w:r>
      <w:hyperlink r:id="rId9" w:history="1">
        <w:r w:rsidRPr="0037579E">
          <w:rPr>
            <w:rStyle w:val="Hyperlink"/>
          </w:rPr>
          <w:t>Margoux.Newman@fcc.gov</w:t>
        </w:r>
      </w:hyperlink>
      <w:r w:rsidRPr="0037579E">
        <w:t xml:space="preserve">; </w:t>
      </w:r>
    </w:p>
    <w:p w:rsidR="00127D32" w:rsidP="00127D32" w14:paraId="414E2F11" w14:textId="77777777">
      <w:pPr>
        <w:spacing w:after="120"/>
        <w:ind w:left="720"/>
        <w:contextualSpacing/>
      </w:pPr>
    </w:p>
    <w:p w:rsidR="00A86AD2" w:rsidP="00127D32" w14:paraId="199D0822" w14:textId="36003717">
      <w:pPr>
        <w:numPr>
          <w:ilvl w:val="0"/>
          <w:numId w:val="8"/>
        </w:numPr>
        <w:spacing w:after="120"/>
        <w:contextualSpacing/>
      </w:pPr>
      <w:r w:rsidRPr="0037579E">
        <w:t xml:space="preserve">Jordan Reth, Competition Policy Division, Wireline Competition Bureau, </w:t>
      </w:r>
    </w:p>
    <w:p w:rsidR="00A86AD2" w:rsidP="00127D32" w14:paraId="384DCE6E" w14:textId="77777777">
      <w:pPr>
        <w:spacing w:after="120"/>
        <w:ind w:left="720"/>
        <w:contextualSpacing/>
      </w:pPr>
      <w:hyperlink r:id="rId10" w:history="1">
        <w:r w:rsidRPr="00BE364B">
          <w:rPr>
            <w:rStyle w:val="Hyperlink"/>
          </w:rPr>
          <w:t>Jordan.Reth@fcc.gov</w:t>
        </w:r>
      </w:hyperlink>
      <w:r w:rsidRPr="0037579E" w:rsidR="0037579E">
        <w:t>;</w:t>
      </w:r>
    </w:p>
    <w:p w:rsidR="00127D32" w:rsidP="00127D32" w14:paraId="5E6C4E18" w14:textId="77777777">
      <w:pPr>
        <w:spacing w:after="120"/>
        <w:ind w:left="720"/>
        <w:contextualSpacing/>
      </w:pPr>
    </w:p>
    <w:p w:rsidR="00A86AD2" w:rsidP="3FAA6B0E" w14:paraId="1BF51B48" w14:textId="76507AE5">
      <w:pPr>
        <w:numPr>
          <w:ilvl w:val="0"/>
          <w:numId w:val="8"/>
        </w:numPr>
        <w:spacing w:after="120"/>
        <w:contextualSpacing/>
      </w:pPr>
      <w:r>
        <w:t>Zachary Ross</w:t>
      </w:r>
      <w:r>
        <w:t xml:space="preserve">, Competition Policy Division, Wireline Competition Bureau, </w:t>
      </w:r>
      <w:hyperlink r:id="rId11">
        <w:r w:rsidRPr="3FAA6B0E" w:rsidR="142EA712">
          <w:rPr>
            <w:rStyle w:val="Hyperlink"/>
          </w:rPr>
          <w:t>zachary.ross@fcc.gov</w:t>
        </w:r>
      </w:hyperlink>
      <w:r>
        <w:t xml:space="preserve">. </w:t>
      </w:r>
    </w:p>
    <w:p w:rsidR="00A86AD2" w:rsidP="00A86AD2" w14:paraId="252455B3" w14:textId="77777777"/>
    <w:p w:rsidR="00127D32" w:rsidP="00A86AD2" w14:paraId="4A972C56" w14:textId="77777777">
      <w:pPr>
        <w:ind w:firstLine="360"/>
        <w:rPr>
          <w:i/>
          <w:iCs/>
          <w:u w:val="single"/>
        </w:rPr>
      </w:pPr>
    </w:p>
    <w:p w:rsidR="00127D32" w:rsidP="00A86AD2" w14:paraId="48D58792" w14:textId="77777777">
      <w:pPr>
        <w:ind w:firstLine="360"/>
        <w:rPr>
          <w:i/>
          <w:iCs/>
          <w:u w:val="single"/>
        </w:rPr>
      </w:pPr>
    </w:p>
    <w:p w:rsidR="00A86AD2" w:rsidP="00A86AD2" w14:paraId="7DF884DF" w14:textId="29124C94">
      <w:pPr>
        <w:ind w:firstLine="360"/>
      </w:pPr>
      <w:r>
        <w:rPr>
          <w:i/>
          <w:iCs/>
          <w:u w:val="single"/>
        </w:rPr>
        <w:t xml:space="preserve">Ex </w:t>
      </w:r>
      <w:r>
        <w:rPr>
          <w:i/>
          <w:iCs/>
          <w:u w:val="single"/>
        </w:rPr>
        <w:t>Parte</w:t>
      </w:r>
      <w:r>
        <w:rPr>
          <w:i/>
          <w:iCs/>
          <w:u w:val="single"/>
        </w:rPr>
        <w:t xml:space="preserve"> </w:t>
      </w:r>
      <w:r>
        <w:rPr>
          <w:u w:val="single"/>
        </w:rPr>
        <w:t>Rules.</w:t>
      </w:r>
      <w:r>
        <w:t xml:space="preserve">  The proceeding this Notice initiates shall be treated as a “permit-but-disclose” proceeding in accordance with the Commission’s </w:t>
      </w:r>
      <w:r>
        <w:rPr>
          <w:i/>
          <w:iCs/>
        </w:rPr>
        <w:t xml:space="preserve">ex </w:t>
      </w:r>
      <w:r>
        <w:rPr>
          <w:i/>
          <w:iCs/>
        </w:rPr>
        <w:t>parte</w:t>
      </w:r>
      <w:r>
        <w:rPr>
          <w:i/>
          <w:iCs/>
        </w:rPr>
        <w:t xml:space="preserve"> </w:t>
      </w:r>
      <w:r>
        <w:t>rules.</w:t>
      </w:r>
      <w:r>
        <w:rPr>
          <w:rStyle w:val="FootnoteReference"/>
        </w:rPr>
        <w:footnoteReference w:id="6"/>
      </w:r>
      <w:r>
        <w:t xml:space="preserve">  Persons making </w:t>
      </w:r>
      <w:r>
        <w:rPr>
          <w:i/>
          <w:iCs/>
        </w:rPr>
        <w:t xml:space="preserve">ex </w:t>
      </w:r>
      <w:r>
        <w:rPr>
          <w:i/>
          <w:iCs/>
        </w:rPr>
        <w:t>parte</w:t>
      </w:r>
      <w:r>
        <w:t xml:space="preserve"> presentations must file a copy of any written presentation or a memorandum summarizing any oral presentation within two business days after the presentation (unless a different deadline applicable to the Sunshine period applies).  </w:t>
      </w:r>
      <w:r>
        <w:t>Persons</w:t>
      </w:r>
      <w:r>
        <w:t xml:space="preserve"> making oral </w:t>
      </w:r>
      <w:r>
        <w:rPr>
          <w:i/>
          <w:iCs/>
        </w:rPr>
        <w:t xml:space="preserve">ex </w:t>
      </w:r>
      <w:r>
        <w:rPr>
          <w:i/>
          <w:iCs/>
        </w:rPr>
        <w:t>parte</w:t>
      </w:r>
      <w:r>
        <w:rPr>
          <w:i/>
          <w:iCs/>
        </w:rPr>
        <w:t xml:space="preserve"> </w:t>
      </w:r>
      <w:r>
        <w:t xml:space="preserve">presentations are reminded </w:t>
      </w:r>
      <w:r>
        <w:t xml:space="preserve">that </w:t>
      </w:r>
      <w:r w:rsidR="00C97401">
        <w:t>memoranda</w:t>
      </w:r>
      <w:r>
        <w:t xml:space="preserve"> </w:t>
      </w:r>
      <w:r w:rsidR="00C97401">
        <w:t>summarizing</w:t>
      </w:r>
      <w:r>
        <w:t xml:space="preserve"> the presentation must (1) list all </w:t>
      </w:r>
      <w:r>
        <w:t>persons</w:t>
      </w:r>
      <w:r>
        <w:t xml:space="preserve"> attending or otherwise participating in the meeting at which the </w:t>
      </w:r>
      <w:r>
        <w:rPr>
          <w:i/>
          <w:iCs/>
        </w:rPr>
        <w:t xml:space="preserve">ex </w:t>
      </w:r>
      <w:r>
        <w:rPr>
          <w:i/>
          <w:iCs/>
        </w:rPr>
        <w:t>parte</w:t>
      </w:r>
      <w:r>
        <w:rPr>
          <w:i/>
          <w:iCs/>
        </w:rPr>
        <w:t xml:space="preserve"> </w:t>
      </w:r>
      <w:r>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Pr>
          <w:i/>
          <w:iCs/>
        </w:rPr>
        <w:t xml:space="preserve">ex </w:t>
      </w:r>
      <w:r>
        <w:rPr>
          <w:i/>
          <w:iCs/>
        </w:rPr>
        <w:t>parte</w:t>
      </w:r>
      <w:r>
        <w:t xml:space="preserve"> meetings are deemed to be written </w:t>
      </w:r>
      <w:r>
        <w:rPr>
          <w:i/>
          <w:iCs/>
        </w:rPr>
        <w:t xml:space="preserve">ex </w:t>
      </w:r>
      <w:r>
        <w:rPr>
          <w:i/>
          <w:iCs/>
        </w:rPr>
        <w:t>parte</w:t>
      </w:r>
      <w:r>
        <w:t xml:space="preserve"> presentations and must be filed </w:t>
      </w:r>
      <w:r w:rsidR="00CE0566">
        <w:t>consistent with</w:t>
      </w:r>
      <w:r>
        <w:t xml:space="preserve"> rule 1.1206(b).  In proceedings governed by rule 1.49(f) or for which the Commission has made available a method of electronic filing, written </w:t>
      </w:r>
      <w:r>
        <w:rPr>
          <w:i/>
          <w:iCs/>
        </w:rPr>
        <w:t xml:space="preserve">ex </w:t>
      </w:r>
      <w:r>
        <w:rPr>
          <w:i/>
          <w:iCs/>
        </w:rPr>
        <w:t>parte</w:t>
      </w:r>
      <w:r>
        <w:t xml:space="preserve"> presentations and memoranda summarizing oral </w:t>
      </w:r>
      <w:r>
        <w:rPr>
          <w:i/>
          <w:iCs/>
        </w:rPr>
        <w:t xml:space="preserve">ex </w:t>
      </w:r>
      <w:r>
        <w:rPr>
          <w:i/>
          <w:iCs/>
        </w:rPr>
        <w:t>parte</w:t>
      </w:r>
      <w:r>
        <w:rPr>
          <w:i/>
          <w:iCs/>
        </w:rPr>
        <w:t xml:space="preserve"> </w:t>
      </w:r>
      <w:r>
        <w:t xml:space="preserve">presentations, and all attachments thereto, must be filed through the electronic comment filing system available for that proceeding, and must be filed in their native format (e.g., .doc, .xml, .ppt, searchable .pdf).  Participants in this proceeding should familiarize themselves with the Commission’s </w:t>
      </w:r>
      <w:r>
        <w:rPr>
          <w:i/>
          <w:iCs/>
        </w:rPr>
        <w:t xml:space="preserve">ex </w:t>
      </w:r>
      <w:r>
        <w:rPr>
          <w:i/>
          <w:iCs/>
        </w:rPr>
        <w:t>parte</w:t>
      </w:r>
      <w:r>
        <w:rPr>
          <w:i/>
          <w:iCs/>
        </w:rPr>
        <w:t xml:space="preserve"> </w:t>
      </w:r>
      <w:r>
        <w:t>rules.</w:t>
      </w:r>
    </w:p>
    <w:p w:rsidR="00A86AD2" w:rsidP="00A86AD2" w14:paraId="420E5ED7" w14:textId="77777777">
      <w:pPr>
        <w:ind w:firstLine="360"/>
      </w:pPr>
    </w:p>
    <w:p w:rsidR="00A86AD2" w:rsidP="00A86AD2" w14:paraId="3C593373" w14:textId="77777777">
      <w:pPr>
        <w:ind w:firstLine="360"/>
      </w:pPr>
      <w:r>
        <w:t>To allow the Commission to consider fully all substantive issues regarding the application in as timely and efficient a manner as possible, petitioners and commenters should raise all issues in their initial filings.  New issues may not be raised in responses or replies.</w:t>
      </w:r>
      <w:r>
        <w:rPr>
          <w:rStyle w:val="FootnoteReference"/>
        </w:rPr>
        <w:footnoteReference w:id="7"/>
      </w:r>
      <w:r>
        <w:t xml:space="preserve">  A party or interested person seeking to raise a new issue after the pleading cycle has closed must show good cause why it was not possible for </w:t>
      </w:r>
      <w:r>
        <w:t>it</w:t>
      </w:r>
      <w:r>
        <w:t xml:space="preserve"> to have raised the issue previously.  Submissions after the pleading cycle </w:t>
      </w:r>
      <w:r>
        <w:t>has</w:t>
      </w:r>
      <w:r>
        <w:t xml:space="preserve"> closed that seek to raise new issues based on new facts or newly discovered facts should be filed within 15 days after such facts are discovered.  Absent such a showing of good cause, any issues not timely raised may be disregarded by the Commission.</w:t>
      </w:r>
    </w:p>
    <w:p w:rsidR="00A86AD2" w:rsidP="00A86AD2" w14:paraId="45179858" w14:textId="77777777">
      <w:pPr>
        <w:ind w:firstLine="360"/>
      </w:pPr>
    </w:p>
    <w:p w:rsidR="00A86AD2" w:rsidP="00A86AD2" w14:paraId="353C5271" w14:textId="0C7C3F91">
      <w:pPr>
        <w:ind w:firstLine="360"/>
      </w:pPr>
      <w:r>
        <w:t xml:space="preserve">Please contact </w:t>
      </w:r>
      <w:hyperlink r:id="rId8">
        <w:r w:rsidRPr="45793C8A">
          <w:rPr>
            <w:rStyle w:val="Hyperlink"/>
          </w:rPr>
          <w:t>DAA@fcc.gov</w:t>
        </w:r>
      </w:hyperlink>
      <w:r>
        <w:t xml:space="preserve">, Margoux Newman at </w:t>
      </w:r>
      <w:hyperlink r:id="rId9">
        <w:r w:rsidRPr="45793C8A">
          <w:rPr>
            <w:rStyle w:val="Hyperlink"/>
          </w:rPr>
          <w:t>Margoux.Newman@fcc.gov</w:t>
        </w:r>
      </w:hyperlink>
      <w:r>
        <w:t xml:space="preserve">, Jordan </w:t>
      </w:r>
      <w:r w:rsidR="00B2450B">
        <w:t xml:space="preserve">Marie </w:t>
      </w:r>
      <w:r>
        <w:t xml:space="preserve">Reth </w:t>
      </w:r>
      <w:r w:rsidR="00803829">
        <w:t>at</w:t>
      </w:r>
      <w:r>
        <w:t xml:space="preserve"> </w:t>
      </w:r>
      <w:hyperlink r:id="rId10">
        <w:r w:rsidRPr="45793C8A">
          <w:rPr>
            <w:rStyle w:val="Hyperlink"/>
          </w:rPr>
          <w:t>Jordan.Reth@fcc.gov</w:t>
        </w:r>
      </w:hyperlink>
      <w:r>
        <w:t xml:space="preserve">, or </w:t>
      </w:r>
      <w:r w:rsidR="0113EEAF">
        <w:t>Zachary Ross</w:t>
      </w:r>
      <w:r>
        <w:t xml:space="preserve"> at </w:t>
      </w:r>
      <w:hyperlink r:id="rId11">
        <w:r w:rsidRPr="45793C8A" w:rsidR="4812A9DB">
          <w:rPr>
            <w:rStyle w:val="Hyperlink"/>
          </w:rPr>
          <w:t>Zachary.Ross@fcc.gov</w:t>
        </w:r>
      </w:hyperlink>
      <w:r w:rsidR="4812A9DB">
        <w:t xml:space="preserve"> f</w:t>
      </w:r>
      <w:r>
        <w:t>or further information.</w:t>
      </w:r>
    </w:p>
    <w:p w:rsidR="00A86AD2" w:rsidP="00A86AD2" w14:paraId="66339729" w14:textId="77777777"/>
    <w:p w:rsidR="00A86AD2" w:rsidP="00A86AD2" w14:paraId="643ADF20" w14:textId="77777777"/>
    <w:p w:rsidR="00BA3BA8" w:rsidRPr="00401503" w:rsidP="00401503" w14:paraId="34B747C0" w14:textId="77435336">
      <w:pPr>
        <w:jc w:val="center"/>
        <w:rPr>
          <w:b/>
          <w:bCs/>
        </w:rPr>
      </w:pPr>
      <w:r w:rsidRPr="00A86AD2">
        <w:rPr>
          <w:b/>
          <w:bCs/>
        </w:rPr>
        <w:t>- FCC -</w:t>
      </w:r>
      <w:bookmarkEnd w:id="0"/>
    </w:p>
    <w:sectPr>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56799" w14:paraId="31E73BBF" w14:textId="77777777">
      <w:pPr>
        <w:spacing w:line="20" w:lineRule="exact"/>
      </w:pPr>
    </w:p>
  </w:endnote>
  <w:endnote w:type="continuationSeparator" w:id="1">
    <w:p w:rsidR="00D56799" w14:paraId="0B136C6D" w14:textId="77777777">
      <w:r>
        <w:t xml:space="preserve"> </w:t>
      </w:r>
    </w:p>
  </w:endnote>
  <w:endnote w:type="continuationNotice" w:id="2">
    <w:p w:rsidR="00D56799" w14:paraId="6324021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DC94DDC"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5EBCF1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BD581C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D0658E5"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6799" w14:paraId="1D62F508" w14:textId="77777777">
      <w:r>
        <w:separator/>
      </w:r>
    </w:p>
  </w:footnote>
  <w:footnote w:type="continuationSeparator" w:id="1">
    <w:p w:rsidR="00D56799" w14:paraId="707157A3" w14:textId="77777777">
      <w:pPr>
        <w:rPr>
          <w:sz w:val="20"/>
        </w:rPr>
      </w:pPr>
      <w:r>
        <w:rPr>
          <w:sz w:val="20"/>
        </w:rPr>
        <w:t xml:space="preserve">(Continued from previous page)  </w:t>
      </w:r>
      <w:r>
        <w:rPr>
          <w:sz w:val="20"/>
        </w:rPr>
        <w:separator/>
      </w:r>
    </w:p>
  </w:footnote>
  <w:footnote w:type="continuationNotice" w:id="2">
    <w:p w:rsidR="00D56799" w14:paraId="60E8B2FC" w14:textId="77777777">
      <w:pPr>
        <w:jc w:val="right"/>
        <w:rPr>
          <w:sz w:val="20"/>
        </w:rPr>
      </w:pPr>
      <w:r>
        <w:rPr>
          <w:sz w:val="20"/>
        </w:rPr>
        <w:t>(</w:t>
      </w:r>
      <w:r>
        <w:rPr>
          <w:sz w:val="20"/>
        </w:rPr>
        <w:t>continued</w:t>
      </w:r>
      <w:r>
        <w:rPr>
          <w:sz w:val="20"/>
        </w:rPr>
        <w:t>….)</w:t>
      </w:r>
    </w:p>
  </w:footnote>
  <w:footnote w:id="3">
    <w:p w:rsidR="00951CF7" w:rsidRPr="001C1CF4" w14:paraId="601E5622" w14:textId="5BF02439">
      <w:pPr>
        <w:pStyle w:val="FootnoteText"/>
      </w:pPr>
      <w:r w:rsidRPr="001C1CF4">
        <w:rPr>
          <w:rStyle w:val="FootnoteReference"/>
          <w:sz w:val="20"/>
        </w:rPr>
        <w:footnoteRef/>
      </w:r>
      <w:r w:rsidRPr="001C1CF4">
        <w:t xml:space="preserve"> </w:t>
      </w:r>
      <w:r w:rsidRPr="001C1CF4" w:rsidR="008A0602">
        <w:t xml:space="preserve">We assign WC Docket No. </w:t>
      </w:r>
      <w:r w:rsidR="00D67F68">
        <w:t>25-2</w:t>
      </w:r>
      <w:r w:rsidR="0044325E">
        <w:t>97</w:t>
      </w:r>
      <w:r w:rsidRPr="001C1CF4" w:rsidR="008A0602">
        <w:t xml:space="preserve"> for this Application and all related filings by the applicant and interested parties.  </w:t>
      </w:r>
      <w:r w:rsidRPr="001C1CF4" w:rsidR="008A0602">
        <w:rPr>
          <w:i/>
          <w:iCs/>
        </w:rPr>
        <w:t>See Wireline Competition Bureau Announces Commencement Date and Process for Interconnected VoIP Providers to File Applications for Authorization to Obtain Telephone Numbers</w:t>
      </w:r>
      <w:r w:rsidRPr="001C1CF4" w:rsidR="008A0602">
        <w:t xml:space="preserve">, Public Notice, 31 FCC </w:t>
      </w:r>
      <w:r w:rsidRPr="001C1CF4" w:rsidR="008A0602">
        <w:t>Rcd</w:t>
      </w:r>
      <w:r w:rsidRPr="001C1CF4" w:rsidR="008A0602">
        <w:t xml:space="preserve"> 949, 950 (WCB 2016)</w:t>
      </w:r>
      <w:r w:rsidRPr="001C1CF4" w:rsidR="00A33FC5">
        <w:t xml:space="preserve">; </w:t>
      </w:r>
      <w:r w:rsidRPr="001C1CF4" w:rsidR="00A33FC5">
        <w:rPr>
          <w:i/>
          <w:iCs/>
        </w:rPr>
        <w:t>see Numbering Policies for Modern Communications et al</w:t>
      </w:r>
      <w:r w:rsidRPr="001C1CF4" w:rsidR="00A33FC5">
        <w:t xml:space="preserve">., WC Docket No. 13-97 et al., Second Report and Order and Second Further Notice of Proposed Rulemaking, </w:t>
      </w:r>
      <w:r w:rsidRPr="001C1CF4" w:rsidR="00524A69">
        <w:t>38 F</w:t>
      </w:r>
      <w:r w:rsidRPr="001C1CF4" w:rsidR="00A33FC5">
        <w:t xml:space="preserve">CC </w:t>
      </w:r>
      <w:r w:rsidRPr="001C1CF4" w:rsidR="00A240E6">
        <w:t>Rcd</w:t>
      </w:r>
      <w:r w:rsidRPr="001C1CF4" w:rsidR="00A240E6">
        <w:t xml:space="preserve"> 8951</w:t>
      </w:r>
      <w:r w:rsidRPr="001C1CF4" w:rsidR="00D75484">
        <w:t xml:space="preserve"> </w:t>
      </w:r>
      <w:r w:rsidRPr="001C1CF4" w:rsidR="00A33FC5">
        <w:t>(</w:t>
      </w:r>
      <w:r w:rsidRPr="001C1CF4" w:rsidR="00B430A9">
        <w:t>2023)</w:t>
      </w:r>
      <w:r w:rsidRPr="001C1CF4" w:rsidR="00693018">
        <w:t xml:space="preserve"> </w:t>
      </w:r>
      <w:r w:rsidRPr="001C1CF4" w:rsidR="009C44EB">
        <w:t xml:space="preserve">(updating the </w:t>
      </w:r>
      <w:r w:rsidRPr="001C1CF4" w:rsidR="00F07F5E">
        <w:t>authorization process)</w:t>
      </w:r>
      <w:r w:rsidRPr="001C1CF4" w:rsidR="00B430A9">
        <w:t>.</w:t>
      </w:r>
    </w:p>
  </w:footnote>
  <w:footnote w:id="4">
    <w:p w:rsidR="00951CF7" w:rsidRPr="001C1CF4" w14:paraId="06DB4E3E" w14:textId="162F7401">
      <w:pPr>
        <w:pStyle w:val="FootnoteText"/>
      </w:pPr>
      <w:r w:rsidRPr="001C1CF4">
        <w:rPr>
          <w:rStyle w:val="FootnoteReference"/>
          <w:sz w:val="20"/>
        </w:rPr>
        <w:footnoteRef/>
      </w:r>
      <w:r w:rsidRPr="001C1CF4">
        <w:t xml:space="preserve"> </w:t>
      </w:r>
      <w:r w:rsidRPr="001C1CF4" w:rsidR="008A0602">
        <w:rPr>
          <w:i/>
          <w:iCs/>
        </w:rPr>
        <w:t xml:space="preserve">See </w:t>
      </w:r>
      <w:r w:rsidRPr="001C1CF4" w:rsidR="008A0602">
        <w:t xml:space="preserve">Application of </w:t>
      </w:r>
      <w:r w:rsidRPr="009E07B1" w:rsidR="009E07B1">
        <w:t xml:space="preserve">Comcast Phone of California, LLC </w:t>
      </w:r>
      <w:r w:rsidRPr="001C1CF4" w:rsidR="008A0602">
        <w:t xml:space="preserve">for Authorization to Obtain Numbering Resources, WC Docket No. </w:t>
      </w:r>
      <w:r w:rsidR="00D67F68">
        <w:t>25-2</w:t>
      </w:r>
      <w:r w:rsidR="0044325E">
        <w:t>97</w:t>
      </w:r>
      <w:r w:rsidRPr="001C1CF4" w:rsidR="008A0602">
        <w:t xml:space="preserve"> (filed </w:t>
      </w:r>
      <w:r w:rsidR="0044325E">
        <w:t>Sept</w:t>
      </w:r>
      <w:r w:rsidR="004F5EB5">
        <w:t>.</w:t>
      </w:r>
      <w:r w:rsidR="00421D49">
        <w:t xml:space="preserve"> </w:t>
      </w:r>
      <w:r w:rsidR="004F5EB5">
        <w:t>19</w:t>
      </w:r>
      <w:r w:rsidR="00421D49">
        <w:t>, 2025</w:t>
      </w:r>
      <w:r w:rsidRPr="001C1CF4" w:rsidR="008A0602">
        <w:t xml:space="preserve">), </w:t>
      </w:r>
      <w:hyperlink r:id="rId1" w:history="1">
        <w:r w:rsidRPr="0012050F" w:rsidR="00E70EB7">
          <w:rPr>
            <w:rStyle w:val="Hyperlink"/>
          </w:rPr>
          <w:t>https://www.fcc.gov/ecfs/document/109191737824550/1</w:t>
        </w:r>
      </w:hyperlink>
      <w:r w:rsidR="00E70EB7">
        <w:t xml:space="preserve"> (</w:t>
      </w:r>
      <w:r w:rsidRPr="001C1CF4" w:rsidR="008A0602">
        <w:t xml:space="preserve">Application); </w:t>
      </w:r>
      <w:r w:rsidRPr="001C1CF4" w:rsidR="008A0602">
        <w:rPr>
          <w:i/>
          <w:iCs/>
        </w:rPr>
        <w:t xml:space="preserve">see also </w:t>
      </w:r>
      <w:r w:rsidRPr="001C1CF4" w:rsidR="008A0602">
        <w:t>47 CFR § 52.15(g)(3).</w:t>
      </w:r>
    </w:p>
  </w:footnote>
  <w:footnote w:id="5">
    <w:p w:rsidR="00951CF7" w:rsidRPr="008A0602" w14:paraId="2655459D" w14:textId="59B78385">
      <w:pPr>
        <w:pStyle w:val="FootnoteText"/>
        <w:rPr>
          <w:i/>
          <w:iCs/>
        </w:rPr>
      </w:pPr>
      <w:r w:rsidRPr="001C1CF4">
        <w:rPr>
          <w:rStyle w:val="FootnoteReference"/>
          <w:sz w:val="20"/>
        </w:rPr>
        <w:footnoteRef/>
      </w:r>
      <w:r w:rsidRPr="001C1CF4">
        <w:t xml:space="preserve"> </w:t>
      </w:r>
      <w:r w:rsidRPr="001C1CF4" w:rsidR="008A0602">
        <w:rPr>
          <w:i/>
          <w:iCs/>
        </w:rPr>
        <w:t>See</w:t>
      </w:r>
      <w:r w:rsidR="00170ED6">
        <w:rPr>
          <w:i/>
          <w:iCs/>
        </w:rPr>
        <w:t xml:space="preserve"> </w:t>
      </w:r>
      <w:r w:rsidR="00170ED6">
        <w:t xml:space="preserve">Application at </w:t>
      </w:r>
      <w:r w:rsidR="00031598">
        <w:t>3</w:t>
      </w:r>
      <w:r w:rsidRPr="001C1CF4" w:rsidR="008A0602">
        <w:t xml:space="preserve">; </w:t>
      </w:r>
      <w:r w:rsidRPr="001C1CF4" w:rsidR="008A0602">
        <w:rPr>
          <w:i/>
          <w:iCs/>
        </w:rPr>
        <w:t xml:space="preserve">see also </w:t>
      </w:r>
      <w:r w:rsidRPr="001C1CF4" w:rsidR="00E9208B">
        <w:rPr>
          <w:i/>
          <w:iCs/>
        </w:rPr>
        <w:t>Numbering Policies for Modern Communications et al</w:t>
      </w:r>
      <w:r w:rsidRPr="001C1CF4" w:rsidR="00E9208B">
        <w:t>., Report and Order, 30 FCC</w:t>
      </w:r>
      <w:r w:rsidRPr="001C1CF4" w:rsidR="008A0602">
        <w:t xml:space="preserve"> </w:t>
      </w:r>
      <w:r w:rsidRPr="001C1CF4" w:rsidR="008A0602">
        <w:t>Rcd</w:t>
      </w:r>
      <w:r w:rsidRPr="001C1CF4" w:rsidR="008A0602">
        <w:t xml:space="preserve"> </w:t>
      </w:r>
      <w:r w:rsidRPr="001C1CF4" w:rsidR="004F0455">
        <w:t xml:space="preserve">6839, </w:t>
      </w:r>
      <w:r w:rsidRPr="001C1CF4" w:rsidR="008A0602">
        <w:t>6850, para. 24 &amp; n.74</w:t>
      </w:r>
      <w:r w:rsidRPr="001C1CF4" w:rsidR="004F0455">
        <w:t xml:space="preserve"> (2015)</w:t>
      </w:r>
      <w:r w:rsidRPr="001C1CF4" w:rsidR="003E471C">
        <w:t>.</w:t>
      </w:r>
      <w:r w:rsidR="008A0602">
        <w:t xml:space="preserve"> </w:t>
      </w:r>
    </w:p>
  </w:footnote>
  <w:footnote w:id="6">
    <w:p w:rsidR="00A86AD2" w:rsidRPr="001C1CF4" w14:paraId="305C6E81" w14:textId="77777777">
      <w:pPr>
        <w:pStyle w:val="FootnoteText"/>
      </w:pPr>
      <w:r w:rsidRPr="001C1CF4">
        <w:rPr>
          <w:rStyle w:val="FootnoteReference"/>
          <w:sz w:val="20"/>
        </w:rPr>
        <w:footnoteRef/>
      </w:r>
      <w:r w:rsidRPr="001C1CF4">
        <w:t xml:space="preserve"> 47 CFR §§ 1.1200 </w:t>
      </w:r>
      <w:r w:rsidRPr="001C1CF4">
        <w:rPr>
          <w:i/>
          <w:iCs/>
        </w:rPr>
        <w:t>et seq</w:t>
      </w:r>
      <w:r w:rsidRPr="001C1CF4">
        <w:t>.</w:t>
      </w:r>
    </w:p>
  </w:footnote>
  <w:footnote w:id="7">
    <w:p w:rsidR="00A86AD2" w:rsidRPr="00A86AD2" w14:paraId="650815DD" w14:textId="77777777">
      <w:pPr>
        <w:pStyle w:val="FootnoteText"/>
      </w:pPr>
      <w:r w:rsidRPr="001C1CF4">
        <w:rPr>
          <w:rStyle w:val="FootnoteReference"/>
          <w:sz w:val="20"/>
        </w:rPr>
        <w:footnoteRef/>
      </w:r>
      <w:r w:rsidRPr="001C1CF4">
        <w:t xml:space="preserve"> </w:t>
      </w:r>
      <w:r w:rsidRPr="001C1CF4">
        <w:rPr>
          <w:i/>
          <w:iCs/>
        </w:rPr>
        <w:t xml:space="preserve">See </w:t>
      </w:r>
      <w:r w:rsidRPr="001C1CF4">
        <w:t>47 CFR § 1.45(c).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90162CE" w14:textId="3421E8A8">
    <w:pPr>
      <w:tabs>
        <w:tab w:val="center" w:pos="4680"/>
        <w:tab w:val="right" w:pos="9360"/>
      </w:tabs>
    </w:pPr>
    <w:r>
      <w:rPr>
        <w:b/>
      </w:rPr>
      <w:tab/>
      <w:t>Federal Communications Commission</w:t>
    </w:r>
    <w:r>
      <w:rPr>
        <w:b/>
      </w:rPr>
      <w:tab/>
    </w:r>
    <w:r w:rsidR="0007588A">
      <w:rPr>
        <w:b/>
      </w:rPr>
      <w:t>DA 26-297</w:t>
    </w:r>
  </w:p>
  <w:p w:rsidR="00BA3BA8" w14:paraId="053839E1" w14:textId="0BF74C12">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59111353"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772DC3B6" w14:textId="15CFEE01">
    <w:pPr>
      <w:pStyle w:val="Header"/>
    </w:pPr>
    <w:r>
      <w:rPr>
        <w:noProof/>
      </w:rPr>
      <w:drawing>
        <wp:inline distT="0" distB="0" distL="0" distR="0">
          <wp:extent cx="5947410" cy="1426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7410" cy="1426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B74173E"/>
    <w:multiLevelType w:val="hybridMultilevel"/>
    <w:tmpl w:val="1BE0A79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A64F83"/>
    <w:multiLevelType w:val="hybridMultilevel"/>
    <w:tmpl w:val="5A804E1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432A5998"/>
    <w:multiLevelType w:val="hybridMultilevel"/>
    <w:tmpl w:val="2A1AA7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9">
    <w:nsid w:val="76002C66"/>
    <w:multiLevelType w:val="hybridMultilevel"/>
    <w:tmpl w:val="301623E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9462911">
    <w:abstractNumId w:val="2"/>
  </w:num>
  <w:num w:numId="2" w16cid:durableId="1384139999">
    <w:abstractNumId w:val="8"/>
  </w:num>
  <w:num w:numId="3" w16cid:durableId="1300110663">
    <w:abstractNumId w:val="5"/>
  </w:num>
  <w:num w:numId="4" w16cid:durableId="1830712930">
    <w:abstractNumId w:val="7"/>
  </w:num>
  <w:num w:numId="5" w16cid:durableId="1731996857">
    <w:abstractNumId w:val="3"/>
  </w:num>
  <w:num w:numId="6" w16cid:durableId="1734619800">
    <w:abstractNumId w:val="0"/>
  </w:num>
  <w:num w:numId="7" w16cid:durableId="993755079">
    <w:abstractNumId w:val="1"/>
  </w:num>
  <w:num w:numId="8" w16cid:durableId="1052315956">
    <w:abstractNumId w:val="6"/>
  </w:num>
  <w:num w:numId="9" w16cid:durableId="976757863">
    <w:abstractNumId w:val="9"/>
  </w:num>
  <w:num w:numId="10" w16cid:durableId="1154494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60"/>
    <w:rsid w:val="00031598"/>
    <w:rsid w:val="0007588A"/>
    <w:rsid w:val="000C0F4A"/>
    <w:rsid w:val="000E2364"/>
    <w:rsid w:val="00102DAF"/>
    <w:rsid w:val="00105714"/>
    <w:rsid w:val="00106E52"/>
    <w:rsid w:val="0012050F"/>
    <w:rsid w:val="00125824"/>
    <w:rsid w:val="00127D32"/>
    <w:rsid w:val="001633BB"/>
    <w:rsid w:val="00170ED6"/>
    <w:rsid w:val="00182E09"/>
    <w:rsid w:val="001B0F0A"/>
    <w:rsid w:val="001B28D5"/>
    <w:rsid w:val="001C1CF4"/>
    <w:rsid w:val="00227FE3"/>
    <w:rsid w:val="00262B7E"/>
    <w:rsid w:val="0026541C"/>
    <w:rsid w:val="002672FF"/>
    <w:rsid w:val="00325298"/>
    <w:rsid w:val="003271C1"/>
    <w:rsid w:val="00333088"/>
    <w:rsid w:val="00344520"/>
    <w:rsid w:val="0037579E"/>
    <w:rsid w:val="00394068"/>
    <w:rsid w:val="003962BF"/>
    <w:rsid w:val="003D5D07"/>
    <w:rsid w:val="003E042C"/>
    <w:rsid w:val="003E471C"/>
    <w:rsid w:val="00401503"/>
    <w:rsid w:val="00421D49"/>
    <w:rsid w:val="00430183"/>
    <w:rsid w:val="0044325E"/>
    <w:rsid w:val="004B2EF4"/>
    <w:rsid w:val="004F0455"/>
    <w:rsid w:val="004F49CC"/>
    <w:rsid w:val="004F5EB5"/>
    <w:rsid w:val="00524A69"/>
    <w:rsid w:val="0053028B"/>
    <w:rsid w:val="005A09F2"/>
    <w:rsid w:val="005B75FD"/>
    <w:rsid w:val="005E0F91"/>
    <w:rsid w:val="005E121A"/>
    <w:rsid w:val="00606A4D"/>
    <w:rsid w:val="00634CE0"/>
    <w:rsid w:val="00644A7D"/>
    <w:rsid w:val="00661599"/>
    <w:rsid w:val="00693018"/>
    <w:rsid w:val="006B0D3D"/>
    <w:rsid w:val="006C0196"/>
    <w:rsid w:val="006D4E02"/>
    <w:rsid w:val="006F3839"/>
    <w:rsid w:val="006F7397"/>
    <w:rsid w:val="007612A0"/>
    <w:rsid w:val="007759FF"/>
    <w:rsid w:val="00781A21"/>
    <w:rsid w:val="007C6B0A"/>
    <w:rsid w:val="00803829"/>
    <w:rsid w:val="00805FDB"/>
    <w:rsid w:val="00882721"/>
    <w:rsid w:val="008A0602"/>
    <w:rsid w:val="008B5EAC"/>
    <w:rsid w:val="008B6A4D"/>
    <w:rsid w:val="00951CF7"/>
    <w:rsid w:val="009A516F"/>
    <w:rsid w:val="009C44EB"/>
    <w:rsid w:val="009E07B1"/>
    <w:rsid w:val="00A20679"/>
    <w:rsid w:val="00A240E6"/>
    <w:rsid w:val="00A33FC5"/>
    <w:rsid w:val="00A86AD2"/>
    <w:rsid w:val="00A91C9A"/>
    <w:rsid w:val="00AB6D60"/>
    <w:rsid w:val="00B031FE"/>
    <w:rsid w:val="00B134F7"/>
    <w:rsid w:val="00B242B6"/>
    <w:rsid w:val="00B2450B"/>
    <w:rsid w:val="00B430A9"/>
    <w:rsid w:val="00B52617"/>
    <w:rsid w:val="00B61472"/>
    <w:rsid w:val="00BA3BA8"/>
    <w:rsid w:val="00BB30EB"/>
    <w:rsid w:val="00BC5E76"/>
    <w:rsid w:val="00BE364B"/>
    <w:rsid w:val="00C0399B"/>
    <w:rsid w:val="00C05F32"/>
    <w:rsid w:val="00C10E38"/>
    <w:rsid w:val="00C17003"/>
    <w:rsid w:val="00C97401"/>
    <w:rsid w:val="00CA6A51"/>
    <w:rsid w:val="00CB0825"/>
    <w:rsid w:val="00CE0566"/>
    <w:rsid w:val="00D32B3F"/>
    <w:rsid w:val="00D56799"/>
    <w:rsid w:val="00D67F68"/>
    <w:rsid w:val="00D75484"/>
    <w:rsid w:val="00D97779"/>
    <w:rsid w:val="00DA7674"/>
    <w:rsid w:val="00DB4614"/>
    <w:rsid w:val="00DB51DF"/>
    <w:rsid w:val="00E70EB7"/>
    <w:rsid w:val="00E9208B"/>
    <w:rsid w:val="00EA2448"/>
    <w:rsid w:val="00EF466B"/>
    <w:rsid w:val="00F03EA1"/>
    <w:rsid w:val="00F07F5E"/>
    <w:rsid w:val="00F2000D"/>
    <w:rsid w:val="00F3674B"/>
    <w:rsid w:val="00F55759"/>
    <w:rsid w:val="0113EEAF"/>
    <w:rsid w:val="142EA712"/>
    <w:rsid w:val="34BBCA23"/>
    <w:rsid w:val="3FAA6B0E"/>
    <w:rsid w:val="45793C8A"/>
    <w:rsid w:val="4812A9DB"/>
    <w:rsid w:val="5999BBBE"/>
    <w:rsid w:val="72A5D9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588AF8"/>
  <w15:chartTrackingRefBased/>
  <w15:docId w15:val="{921C236E-977F-46ED-99A4-EAB847C8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semiHidden/>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F557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ordan.Reth@fcc.gov" TargetMode="External" /><Relationship Id="rId11" Type="http://schemas.openxmlformats.org/officeDocument/2006/relationships/hyperlink" Target="mailto:zachary.ross@fc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mailto:DAA@fcc.gov" TargetMode="External" /><Relationship Id="rId9" Type="http://schemas.openxmlformats.org/officeDocument/2006/relationships/hyperlink" Target="mailto:Margoux.Newman@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cc.gov/ecfs/document/109191737824550/1"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