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E94DF0" w:rsidRPr="00E94DF0" w:rsidP="001D3E02" w14:paraId="49802315" w14:textId="5CADF442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90"/>
        <w:jc w:val="right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bookmarkStart w:id="0" w:name="_Hlk130200163"/>
      <w:r w:rsidRPr="00E94DF0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DA </w:t>
      </w:r>
      <w:r w:rsidRPr="00E3194E" w:rsidR="00632358">
        <w:rPr>
          <w:rFonts w:ascii="Times New Roman" w:hAnsi="Times New Roman" w:cs="Times New Roman"/>
          <w:b/>
          <w:bCs/>
          <w:color w:val="242021"/>
          <w:sz w:val="24"/>
          <w:szCs w:val="24"/>
        </w:rPr>
        <w:t>2</w:t>
      </w:r>
      <w:r w:rsidR="008242A8">
        <w:rPr>
          <w:rFonts w:ascii="Times New Roman" w:hAnsi="Times New Roman" w:cs="Times New Roman"/>
          <w:b/>
          <w:bCs/>
          <w:color w:val="242021"/>
          <w:sz w:val="24"/>
          <w:szCs w:val="24"/>
        </w:rPr>
        <w:t>6-300</w:t>
      </w:r>
    </w:p>
    <w:p w:rsidR="00632358" w:rsidRPr="00E3194E" w:rsidP="001D3E02" w14:paraId="6F9A0EB3" w14:textId="6B13455E">
      <w:pPr>
        <w:kinsoku w:val="0"/>
        <w:overflowPunct w:val="0"/>
        <w:autoSpaceDE w:val="0"/>
        <w:autoSpaceDN w:val="0"/>
        <w:adjustRightInd w:val="0"/>
        <w:spacing w:after="0"/>
        <w:ind w:right="90" w:firstLine="626"/>
        <w:jc w:val="right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E94DF0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Released: </w:t>
      </w:r>
      <w:r w:rsidR="00A86B0F">
        <w:rPr>
          <w:rFonts w:ascii="Times New Roman" w:hAnsi="Times New Roman" w:cs="Times New Roman"/>
          <w:b/>
          <w:bCs/>
          <w:color w:val="242021"/>
          <w:sz w:val="24"/>
          <w:szCs w:val="24"/>
        </w:rPr>
        <w:t>March</w:t>
      </w:r>
      <w:r w:rsidR="00417E0A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</w:t>
      </w:r>
      <w:r w:rsidR="00AD55F9">
        <w:rPr>
          <w:rFonts w:ascii="Times New Roman" w:hAnsi="Times New Roman" w:cs="Times New Roman"/>
          <w:b/>
          <w:bCs/>
          <w:color w:val="242021"/>
          <w:sz w:val="24"/>
          <w:szCs w:val="24"/>
        </w:rPr>
        <w:t>30</w:t>
      </w:r>
      <w:r w:rsidRPr="00E3194E" w:rsidR="0011548F">
        <w:rPr>
          <w:rFonts w:ascii="Times New Roman" w:hAnsi="Times New Roman" w:cs="Times New Roman"/>
          <w:b/>
          <w:bCs/>
          <w:color w:val="242021"/>
          <w:sz w:val="24"/>
          <w:szCs w:val="24"/>
        </w:rPr>
        <w:t>, 202</w:t>
      </w:r>
      <w:r w:rsidR="00A86B0F">
        <w:rPr>
          <w:rFonts w:ascii="Times New Roman" w:hAnsi="Times New Roman" w:cs="Times New Roman"/>
          <w:b/>
          <w:bCs/>
          <w:color w:val="242021"/>
          <w:sz w:val="24"/>
          <w:szCs w:val="24"/>
        </w:rPr>
        <w:t>6</w:t>
      </w:r>
    </w:p>
    <w:p w:rsidR="00632358" w:rsidP="001D3E02" w14:paraId="2F61173C" w14:textId="77777777">
      <w:pPr>
        <w:kinsoku w:val="0"/>
        <w:overflowPunct w:val="0"/>
        <w:autoSpaceDE w:val="0"/>
        <w:autoSpaceDN w:val="0"/>
        <w:adjustRightInd w:val="0"/>
        <w:spacing w:after="0" w:line="244" w:lineRule="exact"/>
        <w:ind w:right="831"/>
        <w:jc w:val="center"/>
        <w:rPr>
          <w:rFonts w:ascii="Times New Roman" w:hAnsi="Times New Roman" w:cs="Times New Roman"/>
          <w:b/>
          <w:bCs/>
          <w:color w:val="242021"/>
        </w:rPr>
      </w:pPr>
    </w:p>
    <w:p w:rsidR="00E94DF0" w:rsidRPr="00E94DF0" w:rsidP="001D3E02" w14:paraId="15C81E99" w14:textId="77777777">
      <w:pPr>
        <w:kinsoku w:val="0"/>
        <w:overflowPunct w:val="0"/>
        <w:autoSpaceDE w:val="0"/>
        <w:autoSpaceDN w:val="0"/>
        <w:adjustRightInd w:val="0"/>
        <w:spacing w:before="11"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3194E" w:rsidP="009109BE" w14:paraId="4DD820DD" w14:textId="690E48DC">
      <w:pPr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42021"/>
        </w:rPr>
      </w:pPr>
      <w:r>
        <w:rPr>
          <w:rFonts w:ascii="Times New Roman" w:hAnsi="Times New Roman" w:cs="Times New Roman"/>
          <w:b/>
          <w:bCs/>
          <w:color w:val="242021"/>
        </w:rPr>
        <w:t xml:space="preserve">FCC </w:t>
      </w:r>
      <w:r w:rsidRPr="00E94DF0" w:rsidR="00E94DF0">
        <w:rPr>
          <w:rFonts w:ascii="Times New Roman" w:hAnsi="Times New Roman" w:cs="Times New Roman"/>
          <w:b/>
          <w:bCs/>
          <w:color w:val="242021"/>
        </w:rPr>
        <w:t xml:space="preserve">MEDIA BUREAU </w:t>
      </w:r>
      <w:r w:rsidR="009109BE">
        <w:rPr>
          <w:rFonts w:ascii="Times New Roman" w:hAnsi="Times New Roman" w:cs="Times New Roman"/>
          <w:b/>
          <w:bCs/>
          <w:color w:val="242021"/>
        </w:rPr>
        <w:t>PROVIDES GUIDANCE ON ENTITL</w:t>
      </w:r>
      <w:r w:rsidR="00D623A0">
        <w:rPr>
          <w:rFonts w:ascii="Times New Roman" w:hAnsi="Times New Roman" w:cs="Times New Roman"/>
          <w:b/>
          <w:bCs/>
          <w:color w:val="242021"/>
        </w:rPr>
        <w:t>E</w:t>
      </w:r>
      <w:r w:rsidR="009109BE">
        <w:rPr>
          <w:rFonts w:ascii="Times New Roman" w:hAnsi="Times New Roman" w:cs="Times New Roman"/>
          <w:b/>
          <w:bCs/>
          <w:color w:val="242021"/>
        </w:rPr>
        <w:t>MENT TO LOWEST UNIT CHARGE FOR</w:t>
      </w:r>
      <w:r w:rsidR="00417E0A">
        <w:rPr>
          <w:rFonts w:ascii="Times New Roman" w:hAnsi="Times New Roman" w:cs="Times New Roman"/>
          <w:b/>
          <w:bCs/>
          <w:color w:val="242021"/>
        </w:rPr>
        <w:t xml:space="preserve"> </w:t>
      </w:r>
      <w:r w:rsidR="008567C5">
        <w:rPr>
          <w:rFonts w:ascii="Times New Roman" w:hAnsi="Times New Roman" w:cs="Times New Roman"/>
          <w:b/>
          <w:bCs/>
          <w:color w:val="242021"/>
        </w:rPr>
        <w:t>LEGALLY QUALIFIED CANDIDATES FOR FEDERAL OFFICE</w:t>
      </w:r>
      <w:r w:rsidR="008567C5">
        <w:rPr>
          <w:rFonts w:ascii="Times New Roman" w:hAnsi="Times New Roman" w:cs="Times New Roman"/>
          <w:b/>
          <w:bCs/>
          <w:color w:val="242021"/>
        </w:rPr>
        <w:t xml:space="preserve"> </w:t>
      </w:r>
      <w:r w:rsidR="008567C5">
        <w:rPr>
          <w:rFonts w:ascii="Times New Roman" w:hAnsi="Times New Roman" w:cs="Times New Roman"/>
          <w:b/>
          <w:bCs/>
          <w:color w:val="242021"/>
        </w:rPr>
        <w:t>AND</w:t>
      </w:r>
      <w:r w:rsidR="002C529D">
        <w:rPr>
          <w:rFonts w:ascii="Times New Roman" w:hAnsi="Times New Roman" w:cs="Times New Roman"/>
          <w:b/>
          <w:bCs/>
          <w:color w:val="242021"/>
        </w:rPr>
        <w:t xml:space="preserve"> ALL</w:t>
      </w:r>
      <w:r w:rsidR="008567C5">
        <w:rPr>
          <w:rFonts w:ascii="Times New Roman" w:hAnsi="Times New Roman" w:cs="Times New Roman"/>
          <w:b/>
          <w:bCs/>
          <w:color w:val="242021"/>
        </w:rPr>
        <w:t xml:space="preserve"> </w:t>
      </w:r>
      <w:r w:rsidR="00131EBB">
        <w:rPr>
          <w:rFonts w:ascii="Times New Roman" w:hAnsi="Times New Roman" w:cs="Times New Roman"/>
          <w:b/>
          <w:bCs/>
          <w:color w:val="242021"/>
        </w:rPr>
        <w:t xml:space="preserve">AUTHORIZED </w:t>
      </w:r>
      <w:r w:rsidR="004C2CCC">
        <w:rPr>
          <w:rFonts w:ascii="Times New Roman" w:hAnsi="Times New Roman" w:cs="Times New Roman"/>
          <w:b/>
          <w:bCs/>
          <w:color w:val="242021"/>
        </w:rPr>
        <w:t>COMMITTEES</w:t>
      </w:r>
    </w:p>
    <w:p w:rsidR="00632358" w:rsidP="001D3E02" w14:paraId="22EF003D" w14:textId="77777777">
      <w:pPr>
        <w:kinsoku w:val="0"/>
        <w:overflowPunct w:val="0"/>
        <w:autoSpaceDE w:val="0"/>
        <w:autoSpaceDN w:val="0"/>
        <w:adjustRightInd w:val="0"/>
        <w:spacing w:after="0"/>
        <w:ind w:right="850"/>
        <w:rPr>
          <w:rFonts w:ascii="Times New Roman" w:hAnsi="Times New Roman" w:cs="Times New Roman"/>
          <w:b/>
          <w:bCs/>
          <w:color w:val="242021"/>
        </w:rPr>
      </w:pPr>
    </w:p>
    <w:p w:rsidR="003545F6" w:rsidP="003545F6" w14:paraId="050B2B31" w14:textId="0E6D77E0">
      <w:pPr>
        <w:widowControl w:val="0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42021"/>
        </w:rPr>
        <w:t>With another election season upon us</w:t>
      </w:r>
      <w:r w:rsidRPr="005C39A4" w:rsidR="005C39A4">
        <w:rPr>
          <w:rFonts w:ascii="Times New Roman" w:hAnsi="Times New Roman" w:cs="Times New Roman"/>
          <w:color w:val="242021"/>
        </w:rPr>
        <w:t xml:space="preserve">, the </w:t>
      </w:r>
      <w:r>
        <w:rPr>
          <w:rFonts w:ascii="Times New Roman" w:hAnsi="Times New Roman" w:cs="Times New Roman"/>
          <w:color w:val="242021"/>
        </w:rPr>
        <w:t xml:space="preserve">FCC’s </w:t>
      </w:r>
      <w:r w:rsidRPr="005C39A4" w:rsidR="005C39A4">
        <w:rPr>
          <w:rFonts w:ascii="Times New Roman" w:hAnsi="Times New Roman" w:cs="Times New Roman"/>
          <w:color w:val="242021"/>
        </w:rPr>
        <w:t xml:space="preserve">Media Bureau </w:t>
      </w:r>
      <w:r w:rsidR="00C72B10">
        <w:rPr>
          <w:rFonts w:ascii="Times New Roman" w:hAnsi="Times New Roman" w:cs="Times New Roman"/>
          <w:color w:val="242021"/>
        </w:rPr>
        <w:t xml:space="preserve">takes this opportunity to remind broadcasters and the public about the FCC’s </w:t>
      </w:r>
      <w:r w:rsidR="003C0F4B">
        <w:rPr>
          <w:rFonts w:ascii="Times New Roman" w:hAnsi="Times New Roman" w:cs="Times New Roman"/>
          <w:color w:val="242021"/>
        </w:rPr>
        <w:t xml:space="preserve">lowest unit charge </w:t>
      </w:r>
      <w:r w:rsidR="000A770A">
        <w:rPr>
          <w:rFonts w:ascii="Times New Roman" w:hAnsi="Times New Roman" w:cs="Times New Roman"/>
          <w:color w:val="242021"/>
        </w:rPr>
        <w:t>(LUC</w:t>
      </w:r>
      <w:r w:rsidR="00B507D1">
        <w:rPr>
          <w:rFonts w:ascii="Times New Roman" w:hAnsi="Times New Roman" w:cs="Times New Roman"/>
          <w:color w:val="242021"/>
        </w:rPr>
        <w:t>) requirements</w:t>
      </w:r>
      <w:r w:rsidR="00C72B10">
        <w:rPr>
          <w:rFonts w:ascii="Times New Roman" w:hAnsi="Times New Roman" w:cs="Times New Roman"/>
          <w:color w:val="242021"/>
        </w:rPr>
        <w:t>.  As discussed below, the LUC requirements</w:t>
      </w:r>
      <w:r w:rsidR="00C40C34">
        <w:rPr>
          <w:rFonts w:ascii="Times New Roman" w:hAnsi="Times New Roman" w:cs="Times New Roman"/>
          <w:color w:val="242021"/>
        </w:rPr>
        <w:t xml:space="preserve"> </w:t>
      </w:r>
      <w:r w:rsidR="00AB5834">
        <w:rPr>
          <w:rFonts w:ascii="Times New Roman" w:hAnsi="Times New Roman" w:cs="Times New Roman"/>
          <w:color w:val="242021"/>
        </w:rPr>
        <w:t>are applicable</w:t>
      </w:r>
      <w:r w:rsidR="000A770A">
        <w:rPr>
          <w:rFonts w:ascii="Times New Roman" w:hAnsi="Times New Roman" w:cs="Times New Roman"/>
          <w:color w:val="242021"/>
        </w:rPr>
        <w:t xml:space="preserve"> </w:t>
      </w:r>
      <w:r w:rsidR="00E73492">
        <w:rPr>
          <w:rFonts w:ascii="Times New Roman" w:hAnsi="Times New Roman" w:cs="Times New Roman"/>
          <w:color w:val="242021"/>
        </w:rPr>
        <w:t xml:space="preserve">to </w:t>
      </w:r>
      <w:r w:rsidR="00C72B10">
        <w:rPr>
          <w:rFonts w:ascii="Times New Roman" w:hAnsi="Times New Roman" w:cs="Times New Roman"/>
          <w:color w:val="242021"/>
        </w:rPr>
        <w:t xml:space="preserve">(1) </w:t>
      </w:r>
      <w:r w:rsidR="00131EBB">
        <w:rPr>
          <w:rFonts w:ascii="Times New Roman" w:hAnsi="Times New Roman" w:cs="Times New Roman"/>
          <w:color w:val="242021"/>
        </w:rPr>
        <w:t xml:space="preserve">authorized </w:t>
      </w:r>
      <w:r w:rsidR="00E73492">
        <w:rPr>
          <w:rFonts w:ascii="Times New Roman" w:hAnsi="Times New Roman" w:cs="Times New Roman"/>
          <w:color w:val="242021"/>
        </w:rPr>
        <w:t>committees</w:t>
      </w:r>
      <w:r w:rsidR="00DB2CDA">
        <w:rPr>
          <w:rFonts w:ascii="Times New Roman" w:hAnsi="Times New Roman" w:cs="Times New Roman"/>
          <w:color w:val="242021"/>
        </w:rPr>
        <w:t xml:space="preserve">, including </w:t>
      </w:r>
      <w:r w:rsidR="00380F7C">
        <w:rPr>
          <w:rFonts w:ascii="Times New Roman" w:hAnsi="Times New Roman" w:cs="Times New Roman"/>
          <w:color w:val="242021"/>
        </w:rPr>
        <w:t>authorized committees</w:t>
      </w:r>
      <w:r w:rsidR="00E73492">
        <w:rPr>
          <w:rFonts w:ascii="Times New Roman" w:hAnsi="Times New Roman" w:cs="Times New Roman"/>
          <w:color w:val="242021"/>
        </w:rPr>
        <w:t xml:space="preserve"> that engage in joint fundraising with legally qualified candidates for </w:t>
      </w:r>
      <w:r w:rsidR="009F0A96">
        <w:rPr>
          <w:rFonts w:ascii="Times New Roman" w:hAnsi="Times New Roman" w:cs="Times New Roman"/>
          <w:color w:val="242021"/>
        </w:rPr>
        <w:t>federal office</w:t>
      </w:r>
      <w:r w:rsidR="00C72B10">
        <w:rPr>
          <w:rFonts w:ascii="Times New Roman" w:hAnsi="Times New Roman" w:cs="Times New Roman"/>
          <w:color w:val="242021"/>
        </w:rPr>
        <w:t xml:space="preserve">, and (2) </w:t>
      </w:r>
      <w:r w:rsidRPr="00C72B10" w:rsidR="00C72B10">
        <w:rPr>
          <w:rFonts w:ascii="Times New Roman" w:hAnsi="Times New Roman" w:cs="Times New Roman"/>
          <w:color w:val="242021"/>
        </w:rPr>
        <w:t xml:space="preserve">advertisements that qualify as coordinated expenditures </w:t>
      </w:r>
      <w:r w:rsidR="00365DAE">
        <w:rPr>
          <w:rFonts w:ascii="Times New Roman" w:hAnsi="Times New Roman" w:cs="Times New Roman"/>
          <w:color w:val="242021"/>
        </w:rPr>
        <w:t>of political parties and</w:t>
      </w:r>
      <w:r w:rsidRPr="00C72B10" w:rsidR="00C72B10">
        <w:rPr>
          <w:rFonts w:ascii="Times New Roman" w:hAnsi="Times New Roman" w:cs="Times New Roman"/>
          <w:color w:val="242021"/>
        </w:rPr>
        <w:t xml:space="preserve"> legally qualified candidates for federal office</w:t>
      </w:r>
      <w:r w:rsidR="009F0A96">
        <w:rPr>
          <w:rFonts w:ascii="Times New Roman" w:hAnsi="Times New Roman" w:cs="Times New Roman"/>
          <w:color w:val="242021"/>
        </w:rPr>
        <w:t>.</w:t>
      </w:r>
    </w:p>
    <w:p w:rsidR="003545F6" w:rsidP="007F41C7" w14:paraId="57FE76A4" w14:textId="77777777">
      <w:pPr>
        <w:widowControl w:val="0"/>
        <w:ind w:firstLine="720"/>
        <w:contextualSpacing/>
        <w:rPr>
          <w:rFonts w:ascii="Times New Roman" w:hAnsi="Times New Roman" w:cs="Times New Roman"/>
          <w:color w:val="242021"/>
        </w:rPr>
      </w:pPr>
    </w:p>
    <w:p w:rsidR="00862053" w:rsidP="00C72B10" w14:paraId="66485162" w14:textId="43AFB661">
      <w:pPr>
        <w:spacing w:after="0"/>
        <w:rPr>
          <w:rFonts w:ascii="Times New Roman" w:hAnsi="Times New Roman" w:cs="Times New Roman"/>
          <w:color w:val="242021"/>
        </w:rPr>
      </w:pPr>
      <w:r>
        <w:rPr>
          <w:rFonts w:ascii="Times New Roman" w:hAnsi="Times New Roman" w:cs="Times New Roman"/>
        </w:rPr>
        <w:t xml:space="preserve"> </w:t>
      </w:r>
      <w:r w:rsidR="003C5595">
        <w:rPr>
          <w:rFonts w:ascii="Times New Roman" w:hAnsi="Times New Roman" w:cs="Times New Roman"/>
        </w:rPr>
        <w:tab/>
      </w:r>
      <w:r w:rsidR="000F596B">
        <w:rPr>
          <w:rFonts w:ascii="Times New Roman" w:hAnsi="Times New Roman" w:cs="Times New Roman"/>
          <w:color w:val="242021"/>
        </w:rPr>
        <w:t xml:space="preserve">Section 73.1942 of the Commission’s </w:t>
      </w:r>
      <w:r w:rsidR="00483B36">
        <w:rPr>
          <w:rFonts w:ascii="Times New Roman" w:hAnsi="Times New Roman" w:cs="Times New Roman"/>
          <w:color w:val="242021"/>
        </w:rPr>
        <w:t xml:space="preserve">rules </w:t>
      </w:r>
      <w:r w:rsidR="00F35AD1">
        <w:rPr>
          <w:rFonts w:ascii="Times New Roman" w:hAnsi="Times New Roman" w:cs="Times New Roman"/>
          <w:color w:val="242021"/>
        </w:rPr>
        <w:t xml:space="preserve">specifies that the charges made for the use of any broadcast station by a </w:t>
      </w:r>
      <w:r w:rsidRPr="003C7194" w:rsidR="003C7194">
        <w:rPr>
          <w:rFonts w:ascii="Times New Roman" w:hAnsi="Times New Roman" w:cs="Times New Roman"/>
          <w:color w:val="242021"/>
        </w:rPr>
        <w:t xml:space="preserve">legally qualified candidate </w:t>
      </w:r>
      <w:r w:rsidR="009B766B">
        <w:rPr>
          <w:rFonts w:ascii="Times New Roman" w:hAnsi="Times New Roman" w:cs="Times New Roman"/>
          <w:color w:val="242021"/>
        </w:rPr>
        <w:t xml:space="preserve">in connection with their campaign for nomination or election </w:t>
      </w:r>
      <w:r w:rsidR="00F35AD1">
        <w:rPr>
          <w:rFonts w:ascii="Times New Roman" w:hAnsi="Times New Roman" w:cs="Times New Roman"/>
          <w:color w:val="242021"/>
        </w:rPr>
        <w:t xml:space="preserve">shall not exceed </w:t>
      </w:r>
      <w:r w:rsidRPr="003C7194" w:rsidR="003C7194">
        <w:rPr>
          <w:rFonts w:ascii="Times New Roman" w:hAnsi="Times New Roman" w:cs="Times New Roman"/>
          <w:color w:val="242021"/>
        </w:rPr>
        <w:t xml:space="preserve">the </w:t>
      </w:r>
      <w:r w:rsidR="008567C5">
        <w:rPr>
          <w:rFonts w:ascii="Times New Roman" w:hAnsi="Times New Roman" w:cs="Times New Roman"/>
          <w:color w:val="242021"/>
        </w:rPr>
        <w:t>LUC</w:t>
      </w:r>
      <w:r w:rsidRPr="003C7194" w:rsidR="003C7194">
        <w:rPr>
          <w:rFonts w:ascii="Times New Roman" w:hAnsi="Times New Roman" w:cs="Times New Roman"/>
          <w:color w:val="242021"/>
        </w:rPr>
        <w:t xml:space="preserve"> of the station for the same class and amount of time for the same period during 45 days preceding the date of a primary election and 60 days preceding the date of a general election</w:t>
      </w:r>
      <w:r w:rsidR="003C7194">
        <w:rPr>
          <w:rFonts w:ascii="Times New Roman" w:hAnsi="Times New Roman" w:cs="Times New Roman"/>
          <w:color w:val="242021"/>
        </w:rPr>
        <w:t>.</w:t>
      </w:r>
      <w:r>
        <w:rPr>
          <w:rStyle w:val="FootnoteReference"/>
          <w:rFonts w:ascii="Times New Roman" w:hAnsi="Times New Roman" w:cs="Times New Roman"/>
          <w:color w:val="242021"/>
        </w:rPr>
        <w:footnoteReference w:id="2"/>
      </w:r>
      <w:r w:rsidR="00152077">
        <w:rPr>
          <w:rFonts w:ascii="Times New Roman" w:hAnsi="Times New Roman" w:cs="Times New Roman"/>
          <w:color w:val="242021"/>
        </w:rPr>
        <w:t xml:space="preserve">  </w:t>
      </w:r>
      <w:r w:rsidR="000F596B">
        <w:rPr>
          <w:rFonts w:ascii="Times New Roman" w:hAnsi="Times New Roman" w:cs="Times New Roman"/>
          <w:color w:val="242021"/>
        </w:rPr>
        <w:t xml:space="preserve">Although </w:t>
      </w:r>
      <w:r w:rsidR="005C2671">
        <w:rPr>
          <w:rFonts w:ascii="Times New Roman" w:hAnsi="Times New Roman" w:cs="Times New Roman"/>
          <w:color w:val="242021"/>
        </w:rPr>
        <w:t>s</w:t>
      </w:r>
      <w:r w:rsidR="000F596B">
        <w:rPr>
          <w:rFonts w:ascii="Times New Roman" w:hAnsi="Times New Roman" w:cs="Times New Roman"/>
          <w:color w:val="242021"/>
        </w:rPr>
        <w:t xml:space="preserve">ection 73.1942 </w:t>
      </w:r>
      <w:r w:rsidR="002D6CDC">
        <w:rPr>
          <w:rFonts w:ascii="Times New Roman" w:hAnsi="Times New Roman" w:cs="Times New Roman"/>
          <w:color w:val="242021"/>
        </w:rPr>
        <w:t xml:space="preserve">makes no reference to </w:t>
      </w:r>
      <w:r w:rsidR="001A7BE2">
        <w:rPr>
          <w:rFonts w:ascii="Times New Roman" w:hAnsi="Times New Roman" w:cs="Times New Roman"/>
          <w:color w:val="242021"/>
        </w:rPr>
        <w:t xml:space="preserve">a </w:t>
      </w:r>
      <w:r w:rsidR="003C7194">
        <w:rPr>
          <w:rFonts w:ascii="Times New Roman" w:hAnsi="Times New Roman" w:cs="Times New Roman"/>
          <w:color w:val="242021"/>
        </w:rPr>
        <w:t xml:space="preserve">legally qualified </w:t>
      </w:r>
      <w:r w:rsidR="001A7BE2">
        <w:rPr>
          <w:rFonts w:ascii="Times New Roman" w:hAnsi="Times New Roman" w:cs="Times New Roman"/>
          <w:color w:val="242021"/>
        </w:rPr>
        <w:t>candidate’s “</w:t>
      </w:r>
      <w:r w:rsidR="000F596B">
        <w:rPr>
          <w:rFonts w:ascii="Times New Roman" w:hAnsi="Times New Roman" w:cs="Times New Roman"/>
          <w:color w:val="242021"/>
        </w:rPr>
        <w:t>authorized committee</w:t>
      </w:r>
      <w:r w:rsidR="00152077">
        <w:rPr>
          <w:rFonts w:ascii="Times New Roman" w:hAnsi="Times New Roman" w:cs="Times New Roman"/>
          <w:color w:val="242021"/>
        </w:rPr>
        <w:t>,</w:t>
      </w:r>
      <w:r w:rsidR="000F596B">
        <w:rPr>
          <w:rFonts w:ascii="Times New Roman" w:hAnsi="Times New Roman" w:cs="Times New Roman"/>
          <w:color w:val="242021"/>
        </w:rPr>
        <w:t xml:space="preserve">” </w:t>
      </w:r>
      <w:r w:rsidR="005C2671">
        <w:rPr>
          <w:rFonts w:ascii="Times New Roman" w:hAnsi="Times New Roman" w:cs="Times New Roman"/>
          <w:color w:val="242021"/>
        </w:rPr>
        <w:t>s</w:t>
      </w:r>
      <w:r w:rsidRPr="00F25493" w:rsidR="00F25493">
        <w:rPr>
          <w:rFonts w:ascii="Times New Roman" w:hAnsi="Times New Roman" w:cs="Times New Roman"/>
          <w:color w:val="242021"/>
        </w:rPr>
        <w:t xml:space="preserve">ection 315(b) of the </w:t>
      </w:r>
      <w:r w:rsidR="00131EBB">
        <w:rPr>
          <w:rFonts w:ascii="Times New Roman" w:hAnsi="Times New Roman" w:cs="Times New Roman"/>
          <w:color w:val="242021"/>
        </w:rPr>
        <w:t xml:space="preserve">Communications </w:t>
      </w:r>
      <w:r w:rsidR="00786D2F">
        <w:rPr>
          <w:rFonts w:ascii="Times New Roman" w:hAnsi="Times New Roman" w:cs="Times New Roman"/>
          <w:color w:val="242021"/>
        </w:rPr>
        <w:t>Act</w:t>
      </w:r>
      <w:r w:rsidR="00131EBB">
        <w:rPr>
          <w:rFonts w:ascii="Times New Roman" w:hAnsi="Times New Roman" w:cs="Times New Roman"/>
          <w:color w:val="242021"/>
        </w:rPr>
        <w:t xml:space="preserve"> of 1934, as amended (Act)</w:t>
      </w:r>
      <w:r w:rsidR="003C0F4B">
        <w:rPr>
          <w:rFonts w:ascii="Times New Roman" w:hAnsi="Times New Roman" w:cs="Times New Roman"/>
          <w:color w:val="242021"/>
        </w:rPr>
        <w:t xml:space="preserve">, </w:t>
      </w:r>
      <w:r w:rsidR="001A7BE2">
        <w:rPr>
          <w:rFonts w:ascii="Times New Roman" w:hAnsi="Times New Roman" w:cs="Times New Roman"/>
          <w:color w:val="242021"/>
        </w:rPr>
        <w:t xml:space="preserve">which </w:t>
      </w:r>
      <w:r w:rsidR="005C2671">
        <w:rPr>
          <w:rFonts w:ascii="Times New Roman" w:hAnsi="Times New Roman" w:cs="Times New Roman"/>
          <w:color w:val="242021"/>
        </w:rPr>
        <w:t>s</w:t>
      </w:r>
      <w:r w:rsidR="001A7BE2">
        <w:rPr>
          <w:rFonts w:ascii="Times New Roman" w:hAnsi="Times New Roman" w:cs="Times New Roman"/>
          <w:color w:val="242021"/>
        </w:rPr>
        <w:t xml:space="preserve">ection 73.1942 is intended to implement, </w:t>
      </w:r>
      <w:r w:rsidR="002177A0">
        <w:rPr>
          <w:rFonts w:ascii="Times New Roman" w:hAnsi="Times New Roman" w:cs="Times New Roman"/>
          <w:color w:val="242021"/>
        </w:rPr>
        <w:t>repeatedly refers to candidates and their authorized committees as sharing the rights it confers.</w:t>
      </w:r>
      <w:r>
        <w:rPr>
          <w:rStyle w:val="FootnoteReference"/>
          <w:rFonts w:ascii="Times New Roman" w:hAnsi="Times New Roman" w:cs="Times New Roman"/>
          <w:color w:val="242021"/>
        </w:rPr>
        <w:footnoteReference w:id="3"/>
      </w:r>
      <w:r w:rsidR="001A7BE2">
        <w:rPr>
          <w:rFonts w:ascii="Times New Roman" w:hAnsi="Times New Roman" w:cs="Times New Roman"/>
          <w:color w:val="242021"/>
        </w:rPr>
        <w:t xml:space="preserve">  </w:t>
      </w:r>
      <w:r w:rsidR="002177A0">
        <w:rPr>
          <w:rFonts w:ascii="Times New Roman" w:hAnsi="Times New Roman" w:cs="Times New Roman"/>
          <w:color w:val="242021"/>
        </w:rPr>
        <w:t xml:space="preserve">Accordingly, </w:t>
      </w:r>
      <w:r w:rsidR="00131EBB">
        <w:rPr>
          <w:rFonts w:ascii="Times New Roman" w:hAnsi="Times New Roman" w:cs="Times New Roman"/>
          <w:color w:val="242021"/>
        </w:rPr>
        <w:t xml:space="preserve">the FCC has long held that </w:t>
      </w:r>
      <w:r w:rsidR="008567C5">
        <w:rPr>
          <w:rFonts w:ascii="Times New Roman" w:hAnsi="Times New Roman" w:cs="Times New Roman"/>
          <w:color w:val="242021"/>
        </w:rPr>
        <w:t xml:space="preserve">LUC provisions of </w:t>
      </w:r>
      <w:r w:rsidR="00131EBB">
        <w:rPr>
          <w:rFonts w:ascii="Times New Roman" w:hAnsi="Times New Roman" w:cs="Times New Roman"/>
          <w:color w:val="242021"/>
        </w:rPr>
        <w:t>section 315(b)</w:t>
      </w:r>
      <w:r w:rsidR="008567C5">
        <w:rPr>
          <w:rFonts w:ascii="Times New Roman" w:hAnsi="Times New Roman" w:cs="Times New Roman"/>
          <w:color w:val="242021"/>
        </w:rPr>
        <w:t xml:space="preserve"> apply to both </w:t>
      </w:r>
      <w:r w:rsidRPr="008567C5" w:rsidR="008567C5">
        <w:rPr>
          <w:rFonts w:ascii="Times New Roman" w:hAnsi="Times New Roman" w:cs="Times New Roman"/>
          <w:color w:val="242021"/>
        </w:rPr>
        <w:t xml:space="preserve">candidates </w:t>
      </w:r>
      <w:r w:rsidR="00F51E88">
        <w:rPr>
          <w:rFonts w:ascii="Times New Roman" w:hAnsi="Times New Roman" w:cs="Times New Roman"/>
          <w:color w:val="242021"/>
        </w:rPr>
        <w:t>and</w:t>
      </w:r>
      <w:r w:rsidRPr="008567C5" w:rsidR="008567C5">
        <w:rPr>
          <w:rFonts w:ascii="Times New Roman" w:hAnsi="Times New Roman" w:cs="Times New Roman"/>
          <w:color w:val="242021"/>
        </w:rPr>
        <w:t xml:space="preserve"> their authorized campaign committees</w:t>
      </w:r>
      <w:r w:rsidR="008567C5">
        <w:rPr>
          <w:rFonts w:ascii="Times New Roman" w:hAnsi="Times New Roman" w:cs="Times New Roman"/>
          <w:color w:val="242021"/>
        </w:rPr>
        <w:t>.</w:t>
      </w:r>
      <w:r>
        <w:rPr>
          <w:rStyle w:val="FootnoteReference"/>
          <w:rFonts w:ascii="Times New Roman" w:hAnsi="Times New Roman" w:cs="Times New Roman"/>
          <w:color w:val="242021"/>
        </w:rPr>
        <w:footnoteReference w:id="4"/>
      </w:r>
    </w:p>
    <w:p w:rsidR="00C72B10" w:rsidP="0004482F" w14:paraId="2C5CAB8F" w14:textId="77777777">
      <w:pPr>
        <w:spacing w:after="0"/>
        <w:rPr>
          <w:rFonts w:ascii="Times New Roman" w:hAnsi="Times New Roman" w:cs="Times New Roman"/>
          <w:color w:val="242021"/>
        </w:rPr>
      </w:pPr>
    </w:p>
    <w:p w:rsidR="00152077" w:rsidP="00C72B10" w14:paraId="7B7E6565" w14:textId="57289959">
      <w:pPr>
        <w:spacing w:after="0"/>
        <w:ind w:firstLine="720"/>
        <w:rPr>
          <w:rFonts w:ascii="Times New Roman" w:hAnsi="Times New Roman" w:cs="Times New Roman"/>
          <w:color w:val="242021"/>
        </w:rPr>
      </w:pPr>
      <w:r>
        <w:rPr>
          <w:rFonts w:ascii="Times New Roman" w:hAnsi="Times New Roman" w:cs="Times New Roman"/>
          <w:color w:val="242021"/>
        </w:rPr>
        <w:t>To determine what qualifies as an authorized committee, the Commission relies on subsection</w:t>
      </w:r>
      <w:r w:rsidR="005C2671">
        <w:rPr>
          <w:rFonts w:ascii="Times New Roman" w:hAnsi="Times New Roman" w:cs="Times New Roman"/>
          <w:color w:val="242021"/>
        </w:rPr>
        <w:t xml:space="preserve"> 315(b)(2)(F) of </w:t>
      </w:r>
      <w:r w:rsidR="003C7194">
        <w:rPr>
          <w:rFonts w:ascii="Times New Roman" w:hAnsi="Times New Roman" w:cs="Times New Roman"/>
          <w:color w:val="242021"/>
        </w:rPr>
        <w:t>t</w:t>
      </w:r>
      <w:r w:rsidRPr="00406482" w:rsidR="00406482">
        <w:rPr>
          <w:rFonts w:ascii="Times New Roman" w:hAnsi="Times New Roman" w:cs="Times New Roman"/>
          <w:color w:val="242021"/>
        </w:rPr>
        <w:t xml:space="preserve">he </w:t>
      </w:r>
      <w:r w:rsidR="005C2671">
        <w:rPr>
          <w:rFonts w:ascii="Times New Roman" w:hAnsi="Times New Roman" w:cs="Times New Roman"/>
          <w:color w:val="242021"/>
        </w:rPr>
        <w:t>Act</w:t>
      </w:r>
      <w:r>
        <w:rPr>
          <w:rFonts w:ascii="Times New Roman" w:hAnsi="Times New Roman" w:cs="Times New Roman"/>
          <w:color w:val="242021"/>
        </w:rPr>
        <w:t>, which</w:t>
      </w:r>
      <w:r w:rsidRPr="00406482" w:rsidR="00406482">
        <w:rPr>
          <w:rFonts w:ascii="Times New Roman" w:hAnsi="Times New Roman" w:cs="Times New Roman"/>
          <w:color w:val="242021"/>
        </w:rPr>
        <w:t xml:space="preserve"> </w:t>
      </w:r>
      <w:r w:rsidR="006E6EA5">
        <w:rPr>
          <w:rFonts w:ascii="Times New Roman" w:hAnsi="Times New Roman" w:cs="Times New Roman"/>
          <w:color w:val="242021"/>
        </w:rPr>
        <w:t xml:space="preserve">explicitly </w:t>
      </w:r>
      <w:r w:rsidRPr="00406482" w:rsidR="00406482">
        <w:rPr>
          <w:rFonts w:ascii="Times New Roman" w:hAnsi="Times New Roman" w:cs="Times New Roman"/>
          <w:color w:val="242021"/>
        </w:rPr>
        <w:t xml:space="preserve">defines </w:t>
      </w:r>
      <w:r w:rsidR="009229E6">
        <w:rPr>
          <w:rFonts w:ascii="Times New Roman" w:hAnsi="Times New Roman" w:cs="Times New Roman"/>
          <w:color w:val="242021"/>
        </w:rPr>
        <w:t xml:space="preserve">the term </w:t>
      </w:r>
      <w:r w:rsidRPr="00406482" w:rsidR="00406482">
        <w:rPr>
          <w:rFonts w:ascii="Times New Roman" w:hAnsi="Times New Roman" w:cs="Times New Roman"/>
          <w:color w:val="242021"/>
        </w:rPr>
        <w:t xml:space="preserve">“authorized committee” </w:t>
      </w:r>
      <w:r w:rsidR="003C7194">
        <w:rPr>
          <w:rFonts w:ascii="Times New Roman" w:hAnsi="Times New Roman" w:cs="Times New Roman"/>
          <w:color w:val="242021"/>
        </w:rPr>
        <w:t xml:space="preserve">as having </w:t>
      </w:r>
      <w:r w:rsidRPr="00406482" w:rsidR="00406482">
        <w:rPr>
          <w:rFonts w:ascii="Times New Roman" w:hAnsi="Times New Roman" w:cs="Times New Roman"/>
          <w:color w:val="242021"/>
        </w:rPr>
        <w:t xml:space="preserve">the same meaning </w:t>
      </w:r>
      <w:r w:rsidR="002C1DAC">
        <w:rPr>
          <w:rFonts w:ascii="Times New Roman" w:hAnsi="Times New Roman" w:cs="Times New Roman"/>
          <w:color w:val="242021"/>
        </w:rPr>
        <w:t xml:space="preserve">given to it by </w:t>
      </w:r>
      <w:r w:rsidRPr="00406482" w:rsidR="00406482">
        <w:rPr>
          <w:rFonts w:ascii="Times New Roman" w:hAnsi="Times New Roman" w:cs="Times New Roman"/>
          <w:color w:val="242021"/>
        </w:rPr>
        <w:t>the Federal Election Campaign Act</w:t>
      </w:r>
      <w:r w:rsidR="00FA6AC1">
        <w:rPr>
          <w:rFonts w:ascii="Times New Roman" w:hAnsi="Times New Roman" w:cs="Times New Roman"/>
          <w:color w:val="242021"/>
        </w:rPr>
        <w:t xml:space="preserve"> (FECA)</w:t>
      </w:r>
      <w:r w:rsidR="002C1DAC">
        <w:rPr>
          <w:rFonts w:ascii="Times New Roman" w:hAnsi="Times New Roman" w:cs="Times New Roman"/>
          <w:color w:val="242021"/>
        </w:rPr>
        <w:t xml:space="preserve">, </w:t>
      </w:r>
      <w:r w:rsidRPr="008873E0" w:rsidR="00406482">
        <w:rPr>
          <w:rFonts w:ascii="Times New Roman" w:hAnsi="Times New Roman" w:cs="Times New Roman"/>
          <w:i/>
          <w:iCs/>
          <w:color w:val="242021"/>
        </w:rPr>
        <w:t>i.e.</w:t>
      </w:r>
      <w:r w:rsidRPr="00406482" w:rsidR="00406482">
        <w:rPr>
          <w:rFonts w:ascii="Times New Roman" w:hAnsi="Times New Roman" w:cs="Times New Roman"/>
          <w:color w:val="242021"/>
        </w:rPr>
        <w:t>, the principal campaign committee or any other political committee authorized and designated by a candidate to receive contributions or make expenditures on behalf of such candidate.</w:t>
      </w:r>
      <w:r>
        <w:rPr>
          <w:rFonts w:ascii="Times New Roman" w:hAnsi="Times New Roman" w:cs="Times New Roman"/>
          <w:color w:val="242021"/>
          <w:vertAlign w:val="superscript"/>
        </w:rPr>
        <w:footnoteReference w:id="5"/>
      </w:r>
      <w:r w:rsidR="00AB42FF">
        <w:rPr>
          <w:rFonts w:ascii="Times New Roman" w:hAnsi="Times New Roman" w:cs="Times New Roman"/>
          <w:color w:val="242021"/>
        </w:rPr>
        <w:t xml:space="preserve">  </w:t>
      </w:r>
      <w:r w:rsidR="00C84E1B">
        <w:rPr>
          <w:rFonts w:ascii="Times New Roman" w:hAnsi="Times New Roman" w:cs="Times New Roman"/>
          <w:color w:val="242021"/>
        </w:rPr>
        <w:t xml:space="preserve">Additionally, although </w:t>
      </w:r>
      <w:r w:rsidR="00F9684E">
        <w:rPr>
          <w:rFonts w:ascii="Times New Roman" w:hAnsi="Times New Roman" w:cs="Times New Roman"/>
          <w:color w:val="242021"/>
        </w:rPr>
        <w:t xml:space="preserve">the </w:t>
      </w:r>
      <w:r w:rsidR="00C84E1B">
        <w:rPr>
          <w:rFonts w:ascii="Times New Roman" w:hAnsi="Times New Roman" w:cs="Times New Roman"/>
          <w:color w:val="242021"/>
        </w:rPr>
        <w:t xml:space="preserve">FECA generally prohibits the designation as an authorized committee a political committee that supports more </w:t>
      </w:r>
      <w:r w:rsidR="00C84E1B">
        <w:rPr>
          <w:rFonts w:ascii="Times New Roman" w:hAnsi="Times New Roman" w:cs="Times New Roman"/>
          <w:color w:val="242021"/>
        </w:rPr>
        <w:t>than one candidate,</w:t>
      </w:r>
      <w:r>
        <w:rPr>
          <w:rStyle w:val="FootnoteReference"/>
          <w:rFonts w:ascii="Times New Roman" w:hAnsi="Times New Roman" w:cs="Times New Roman"/>
          <w:color w:val="242021"/>
        </w:rPr>
        <w:footnoteReference w:id="6"/>
      </w:r>
      <w:r w:rsidR="00C84E1B">
        <w:rPr>
          <w:rFonts w:ascii="Times New Roman" w:hAnsi="Times New Roman" w:cs="Times New Roman"/>
          <w:color w:val="242021"/>
        </w:rPr>
        <w:t xml:space="preserve"> it provides an exception to allow candidates to designate as an authorized committee a political committee “established solely for the purpose of joint fundraising.”</w:t>
      </w:r>
      <w:r>
        <w:rPr>
          <w:rStyle w:val="FootnoteReference"/>
          <w:rFonts w:ascii="Times New Roman" w:hAnsi="Times New Roman" w:cs="Times New Roman"/>
          <w:color w:val="242021"/>
        </w:rPr>
        <w:footnoteReference w:id="7"/>
      </w:r>
      <w:r w:rsidR="00C84E1B">
        <w:rPr>
          <w:rFonts w:ascii="Times New Roman" w:hAnsi="Times New Roman" w:cs="Times New Roman"/>
          <w:color w:val="242021"/>
        </w:rPr>
        <w:t xml:space="preserve">  </w:t>
      </w:r>
      <w:r w:rsidR="00AB42FF">
        <w:rPr>
          <w:rFonts w:ascii="Times New Roman" w:hAnsi="Times New Roman" w:cs="Times New Roman"/>
          <w:color w:val="242021"/>
        </w:rPr>
        <w:t xml:space="preserve">The FCC’s rules do not </w:t>
      </w:r>
      <w:r w:rsidR="002571BF">
        <w:rPr>
          <w:rFonts w:ascii="Times New Roman" w:hAnsi="Times New Roman" w:cs="Times New Roman"/>
          <w:color w:val="242021"/>
        </w:rPr>
        <w:t>recognize distinction</w:t>
      </w:r>
      <w:r w:rsidR="00F263BB">
        <w:rPr>
          <w:rFonts w:ascii="Times New Roman" w:hAnsi="Times New Roman" w:cs="Times New Roman"/>
          <w:color w:val="242021"/>
        </w:rPr>
        <w:t>s</w:t>
      </w:r>
      <w:r w:rsidR="002571BF">
        <w:rPr>
          <w:rFonts w:ascii="Times New Roman" w:hAnsi="Times New Roman" w:cs="Times New Roman"/>
          <w:color w:val="242021"/>
        </w:rPr>
        <w:t xml:space="preserve"> between types of committees for LUC purposes</w:t>
      </w:r>
      <w:r w:rsidR="002534F8">
        <w:rPr>
          <w:rFonts w:ascii="Times New Roman" w:hAnsi="Times New Roman" w:cs="Times New Roman"/>
          <w:color w:val="242021"/>
        </w:rPr>
        <w:t xml:space="preserve"> (</w:t>
      </w:r>
      <w:r w:rsidRPr="009E0673" w:rsidR="002534F8">
        <w:rPr>
          <w:rFonts w:ascii="Times New Roman" w:hAnsi="Times New Roman" w:cs="Times New Roman"/>
          <w:i/>
          <w:iCs/>
          <w:color w:val="242021"/>
        </w:rPr>
        <w:t>e.g.</w:t>
      </w:r>
      <w:r w:rsidR="002534F8">
        <w:rPr>
          <w:rFonts w:ascii="Times New Roman" w:hAnsi="Times New Roman" w:cs="Times New Roman"/>
          <w:color w:val="242021"/>
        </w:rPr>
        <w:t xml:space="preserve">, </w:t>
      </w:r>
      <w:r w:rsidR="008F5D14">
        <w:rPr>
          <w:rFonts w:ascii="Times New Roman" w:hAnsi="Times New Roman" w:cs="Times New Roman"/>
          <w:color w:val="242021"/>
        </w:rPr>
        <w:t>principal campaign committee, join</w:t>
      </w:r>
      <w:r w:rsidR="00693DBA">
        <w:rPr>
          <w:rFonts w:ascii="Times New Roman" w:hAnsi="Times New Roman" w:cs="Times New Roman"/>
          <w:color w:val="242021"/>
        </w:rPr>
        <w:t>t fundraising committee</w:t>
      </w:r>
      <w:r w:rsidR="00455B5D">
        <w:rPr>
          <w:rFonts w:ascii="Times New Roman" w:hAnsi="Times New Roman" w:cs="Times New Roman"/>
          <w:color w:val="242021"/>
        </w:rPr>
        <w:t>)</w:t>
      </w:r>
      <w:r w:rsidR="00693DBA">
        <w:rPr>
          <w:rFonts w:ascii="Times New Roman" w:hAnsi="Times New Roman" w:cs="Times New Roman"/>
          <w:color w:val="242021"/>
        </w:rPr>
        <w:t xml:space="preserve"> </w:t>
      </w:r>
      <w:r w:rsidR="002571BF">
        <w:rPr>
          <w:rFonts w:ascii="Times New Roman" w:hAnsi="Times New Roman" w:cs="Times New Roman"/>
          <w:color w:val="242021"/>
        </w:rPr>
        <w:t>provided that the committee</w:t>
      </w:r>
      <w:r w:rsidR="009C0F88">
        <w:rPr>
          <w:rFonts w:ascii="Times New Roman" w:hAnsi="Times New Roman" w:cs="Times New Roman"/>
          <w:color w:val="242021"/>
        </w:rPr>
        <w:t xml:space="preserve"> is an authorized committee</w:t>
      </w:r>
      <w:r w:rsidR="00C056C4">
        <w:rPr>
          <w:rFonts w:ascii="Times New Roman" w:hAnsi="Times New Roman" w:cs="Times New Roman"/>
          <w:color w:val="242021"/>
        </w:rPr>
        <w:t xml:space="preserve"> of the candidate</w:t>
      </w:r>
      <w:r w:rsidR="00FA6AC1">
        <w:rPr>
          <w:rFonts w:ascii="Times New Roman" w:hAnsi="Times New Roman" w:cs="Times New Roman"/>
          <w:color w:val="242021"/>
        </w:rPr>
        <w:t xml:space="preserve"> under the FECA</w:t>
      </w:r>
      <w:r w:rsidR="009C0F88">
        <w:rPr>
          <w:rFonts w:ascii="Times New Roman" w:hAnsi="Times New Roman" w:cs="Times New Roman"/>
          <w:color w:val="242021"/>
        </w:rPr>
        <w:t>.</w:t>
      </w:r>
    </w:p>
    <w:p w:rsidR="0004482F" w:rsidP="00C72B10" w14:paraId="62DC8C19" w14:textId="77777777">
      <w:pPr>
        <w:spacing w:after="0"/>
        <w:ind w:firstLine="720"/>
        <w:rPr>
          <w:rFonts w:ascii="Times New Roman" w:hAnsi="Times New Roman" w:cs="Times New Roman"/>
          <w:color w:val="242021"/>
        </w:rPr>
      </w:pPr>
    </w:p>
    <w:p w:rsidR="00C72B10" w:rsidRPr="0004482F" w:rsidP="00734A1A" w14:paraId="2EDBE84D" w14:textId="4720EAB7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also take this opportunity to restate previous Media Bureau guidance regarding LUC eligibility for candidate-party coordinated ads.  Advertising time purchased by political parties as an independent expenditure is not entitled to LUC.  These expenditures involve no coordination between the party and a candidate.  By contrast, however, </w:t>
      </w:r>
      <w:r w:rsidRPr="00C72B10">
        <w:rPr>
          <w:rFonts w:ascii="Times New Roman" w:hAnsi="Times New Roman" w:cs="Times New Roman"/>
          <w:color w:val="242021"/>
        </w:rPr>
        <w:t>candidate-party coordinated advertisements are subject to the LUC provisions</w:t>
      </w:r>
      <w:r>
        <w:rPr>
          <w:rFonts w:ascii="Times New Roman" w:hAnsi="Times New Roman" w:cs="Times New Roman"/>
        </w:rPr>
        <w:t xml:space="preserve">, provided that the ad otherwise complies with </w:t>
      </w:r>
      <w:r w:rsidR="00B02E6E">
        <w:rPr>
          <w:rFonts w:ascii="Times New Roman" w:hAnsi="Times New Roman" w:cs="Times New Roman"/>
        </w:rPr>
        <w:t>other applicable</w:t>
      </w:r>
      <w:r>
        <w:rPr>
          <w:rFonts w:ascii="Times New Roman" w:hAnsi="Times New Roman" w:cs="Times New Roman"/>
        </w:rPr>
        <w:t xml:space="preserve"> requirements in section 73.1942 of the Commission’s rules and section 315(b) of the Act.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C72B10" w:rsidP="00734A1A" w14:paraId="4052D763" w14:textId="77777777">
      <w:pPr>
        <w:spacing w:after="0"/>
        <w:ind w:firstLine="720"/>
        <w:rPr>
          <w:rFonts w:ascii="Times New Roman" w:hAnsi="Times New Roman" w:cs="Times New Roman"/>
          <w:color w:val="242021"/>
        </w:rPr>
      </w:pPr>
    </w:p>
    <w:p w:rsidR="00996312" w:rsidP="00734A1A" w14:paraId="1D14B529" w14:textId="442639F9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2C1708">
        <w:rPr>
          <w:rFonts w:ascii="Times New Roman" w:hAnsi="Times New Roman" w:cs="Times New Roman"/>
        </w:rPr>
        <w:t xml:space="preserve">tations are always free to request documentation from </w:t>
      </w:r>
      <w:r w:rsidR="00A601AA">
        <w:rPr>
          <w:rFonts w:ascii="Times New Roman" w:hAnsi="Times New Roman" w:cs="Times New Roman"/>
        </w:rPr>
        <w:t>parties</w:t>
      </w:r>
      <w:r w:rsidRPr="002C1708">
        <w:rPr>
          <w:rFonts w:ascii="Times New Roman" w:hAnsi="Times New Roman" w:cs="Times New Roman"/>
        </w:rPr>
        <w:t xml:space="preserve"> to confirm that an entity purchasing time is eligible to receive LUC</w:t>
      </w:r>
      <w:r>
        <w:rPr>
          <w:rFonts w:ascii="Times New Roman" w:hAnsi="Times New Roman" w:cs="Times New Roman"/>
        </w:rPr>
        <w:t>.</w:t>
      </w:r>
      <w:r w:rsidR="00DD6D75">
        <w:rPr>
          <w:rFonts w:ascii="Times New Roman" w:hAnsi="Times New Roman" w:cs="Times New Roman"/>
        </w:rPr>
        <w:t xml:space="preserve"> </w:t>
      </w:r>
    </w:p>
    <w:p w:rsidR="002102F1" w:rsidP="000A3092" w14:paraId="126FE5A9" w14:textId="77777777">
      <w:pPr>
        <w:rPr>
          <w:rFonts w:ascii="Times New Roman" w:hAnsi="Times New Roman" w:cs="Times New Roman"/>
        </w:rPr>
      </w:pPr>
    </w:p>
    <w:p w:rsidR="00BB0BD2" w:rsidP="005F625E" w14:paraId="35972674" w14:textId="77777777">
      <w:pPr>
        <w:widowControl w:val="0"/>
        <w:contextualSpacing/>
        <w:rPr>
          <w:rFonts w:ascii="Times New Roman" w:hAnsi="Times New Roman" w:cs="Times New Roman"/>
          <w:color w:val="010101"/>
        </w:rPr>
      </w:pPr>
    </w:p>
    <w:p w:rsidR="00D03297" w:rsidRPr="00D03297" w:rsidP="001D3E02" w14:paraId="12BBE312" w14:textId="77777777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kern w:val="28"/>
          <w:szCs w:val="20"/>
        </w:rPr>
      </w:pPr>
      <w:r w:rsidRPr="00D03297">
        <w:rPr>
          <w:rFonts w:ascii="Times New Roman" w:eastAsia="Times New Roman" w:hAnsi="Times New Roman" w:cs="Times New Roman"/>
          <w:b/>
          <w:snapToGrid w:val="0"/>
          <w:kern w:val="28"/>
        </w:rPr>
        <w:t>-FCC-</w:t>
      </w:r>
    </w:p>
    <w:bookmarkEnd w:id="0"/>
    <w:p w:rsidR="00E94DF0" w:rsidRPr="0004482F" w:rsidP="001D3E02" w14:paraId="76711A86" w14:textId="4F110E2A">
      <w:pPr>
        <w:kinsoku w:val="0"/>
        <w:overflowPunct w:val="0"/>
        <w:autoSpaceDE w:val="0"/>
        <w:autoSpaceDN w:val="0"/>
        <w:adjustRightInd w:val="0"/>
        <w:spacing w:before="1" w:after="0"/>
        <w:rPr>
          <w:i/>
          <w:iCs/>
        </w:rPr>
      </w:pPr>
    </w:p>
    <w:sectPr w:rsidSect="001D3E02">
      <w:footerReference w:type="default" r:id="rId5"/>
      <w:headerReference w:type="first" r:id="rId6"/>
      <w:footerReference w:type="first" r:id="rId7"/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F9E" w14:paraId="0C30C2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F9E" w:rsidP="00C03F9E" w14:paraId="5A4B519C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B5746" w:rsidP="0011548F" w14:paraId="589E2D1F" w14:textId="77777777">
      <w:pPr>
        <w:spacing w:after="0"/>
      </w:pPr>
      <w:r>
        <w:separator/>
      </w:r>
    </w:p>
  </w:footnote>
  <w:footnote w:type="continuationSeparator" w:id="1">
    <w:p w:rsidR="00EB5746" w:rsidP="0011548F" w14:paraId="79AFD818" w14:textId="77777777">
      <w:pPr>
        <w:spacing w:after="0"/>
      </w:pPr>
      <w:r>
        <w:continuationSeparator/>
      </w:r>
    </w:p>
  </w:footnote>
  <w:footnote w:id="2">
    <w:p w:rsidR="000F596B" w:rsidP="00C72B10" w14:paraId="5D3346B3" w14:textId="03E91C1B">
      <w:pPr>
        <w:pStyle w:val="FootnoteText"/>
        <w:spacing w:after="120"/>
      </w:pPr>
      <w:r w:rsidRPr="000F596B">
        <w:rPr>
          <w:rFonts w:ascii="Times New Roman" w:hAnsi="Times New Roman" w:cs="Times New Roman"/>
          <w:vertAlign w:val="superscript"/>
        </w:rPr>
        <w:footnoteRef/>
      </w:r>
      <w:r w:rsidRPr="000F596B">
        <w:rPr>
          <w:rFonts w:ascii="Times New Roman" w:hAnsi="Times New Roman" w:cs="Times New Roman"/>
        </w:rPr>
        <w:t xml:space="preserve"> 47 CFR </w:t>
      </w:r>
      <w:r w:rsidRPr="000F596B">
        <w:rPr>
          <w:rFonts w:ascii="Times New Roman" w:hAnsi="Times New Roman" w:cs="Times New Roman" w:hint="cs"/>
        </w:rPr>
        <w:t>§</w:t>
      </w:r>
      <w:r w:rsidR="00B1759B">
        <w:rPr>
          <w:rFonts w:ascii="Times New Roman" w:hAnsi="Times New Roman" w:cs="Times New Roman"/>
        </w:rPr>
        <w:t xml:space="preserve"> </w:t>
      </w:r>
      <w:r w:rsidRPr="000F596B">
        <w:rPr>
          <w:rFonts w:ascii="Times New Roman" w:hAnsi="Times New Roman" w:cs="Times New Roman"/>
        </w:rPr>
        <w:t>73.1942</w:t>
      </w:r>
      <w:r>
        <w:rPr>
          <w:rFonts w:ascii="Times New Roman" w:hAnsi="Times New Roman" w:cs="Times New Roman"/>
        </w:rPr>
        <w:t>(a)</w:t>
      </w:r>
      <w:r w:rsidRPr="000F596B">
        <w:rPr>
          <w:rFonts w:ascii="Times New Roman" w:hAnsi="Times New Roman" w:cs="Times New Roman"/>
        </w:rPr>
        <w:t>.</w:t>
      </w:r>
    </w:p>
  </w:footnote>
  <w:footnote w:id="3">
    <w:p w:rsidR="005C2671" w:rsidP="00C72B10" w14:paraId="26DD2356" w14:textId="4955F959">
      <w:pPr>
        <w:pStyle w:val="FootnoteText"/>
        <w:spacing w:after="120"/>
      </w:pPr>
      <w:r w:rsidRPr="002D6CDC">
        <w:rPr>
          <w:rFonts w:ascii="Times New Roman" w:hAnsi="Times New Roman" w:cs="Times New Roman"/>
          <w:vertAlign w:val="superscript"/>
        </w:rPr>
        <w:footnoteRef/>
      </w:r>
      <w:r w:rsidRPr="002D6CDC">
        <w:rPr>
          <w:rFonts w:ascii="Times New Roman" w:hAnsi="Times New Roman" w:cs="Times New Roman"/>
        </w:rPr>
        <w:t xml:space="preserve"> </w:t>
      </w:r>
      <w:r w:rsidR="00131EBB">
        <w:rPr>
          <w:rFonts w:ascii="Times New Roman" w:hAnsi="Times New Roman" w:cs="Times New Roman"/>
          <w:i/>
          <w:iCs/>
        </w:rPr>
        <w:t xml:space="preserve">See </w:t>
      </w:r>
      <w:r w:rsidR="00131EBB">
        <w:rPr>
          <w:rFonts w:ascii="Times New Roman" w:hAnsi="Times New Roman" w:cs="Times New Roman"/>
        </w:rPr>
        <w:t xml:space="preserve">47 U.S.C. </w:t>
      </w:r>
      <w:r w:rsidRPr="000F596B" w:rsidR="00131EBB">
        <w:rPr>
          <w:rFonts w:ascii="Times New Roman" w:hAnsi="Times New Roman" w:cs="Times New Roman" w:hint="cs"/>
        </w:rPr>
        <w:t>§</w:t>
      </w:r>
      <w:r w:rsidRPr="002D6CDC">
        <w:rPr>
          <w:rFonts w:ascii="Times New Roman" w:hAnsi="Times New Roman" w:cs="Times New Roman"/>
        </w:rPr>
        <w:t xml:space="preserve"> 315(b)</w:t>
      </w:r>
      <w:r w:rsidR="00131EBB">
        <w:rPr>
          <w:rFonts w:ascii="Times New Roman" w:hAnsi="Times New Roman" w:cs="Times New Roman"/>
        </w:rPr>
        <w:t>.</w:t>
      </w:r>
      <w:bookmarkStart w:id="1" w:name="b_1"/>
      <w:bookmarkStart w:id="2" w:name="b_1_A"/>
      <w:bookmarkStart w:id="3" w:name="b_1_B"/>
      <w:bookmarkStart w:id="4" w:name="b_2"/>
      <w:bookmarkStart w:id="5" w:name="b_2_A"/>
      <w:bookmarkStart w:id="6" w:name="b_2_B"/>
      <w:bookmarkStart w:id="7" w:name="b_2_C"/>
      <w:bookmarkStart w:id="8" w:name="b_2_C_i"/>
      <w:bookmarkStart w:id="9" w:name="b_2_C_ii"/>
      <w:bookmarkStart w:id="10" w:name="b_2_D"/>
      <w:bookmarkStart w:id="11" w:name="b_2_E"/>
      <w:bookmarkStart w:id="12" w:name="b_2_F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2177A0">
        <w:rPr>
          <w:rFonts w:ascii="Times New Roman" w:hAnsi="Times New Roman" w:cs="Times New Roman"/>
        </w:rPr>
        <w:t xml:space="preserve"> </w:t>
      </w:r>
    </w:p>
  </w:footnote>
  <w:footnote w:id="4">
    <w:p w:rsidR="008567C5" w:rsidRPr="005F625E" w:rsidP="00C72B10" w14:paraId="6C5CEDCE" w14:textId="0CB8A2A4">
      <w:pPr>
        <w:pStyle w:val="FootnoteText"/>
        <w:spacing w:after="120"/>
        <w:rPr>
          <w:rFonts w:ascii="Times New Roman" w:hAnsi="Times New Roman" w:cs="Times New Roman"/>
        </w:rPr>
      </w:pPr>
      <w:r w:rsidRPr="005F625E">
        <w:rPr>
          <w:rStyle w:val="FootnoteReference"/>
          <w:rFonts w:ascii="Times New Roman" w:hAnsi="Times New Roman" w:cs="Times New Roman"/>
        </w:rPr>
        <w:footnoteRef/>
      </w:r>
      <w:r w:rsidRPr="005F625E">
        <w:rPr>
          <w:rFonts w:ascii="Times New Roman" w:hAnsi="Times New Roman" w:cs="Times New Roman"/>
        </w:rPr>
        <w:t xml:space="preserve"> </w:t>
      </w:r>
      <w:r w:rsidRPr="00C84E1B" w:rsidR="00C84E1B">
        <w:rPr>
          <w:rFonts w:ascii="Times New Roman" w:hAnsi="Times New Roman" w:cs="Times New Roman"/>
          <w:i/>
          <w:iCs/>
        </w:rPr>
        <w:t>See</w:t>
      </w:r>
      <w:r w:rsidR="00C84E1B">
        <w:rPr>
          <w:rFonts w:ascii="Times New Roman" w:hAnsi="Times New Roman" w:cs="Times New Roman"/>
        </w:rPr>
        <w:t xml:space="preserve"> </w:t>
      </w:r>
      <w:r w:rsidRPr="00C84E1B" w:rsidR="00C84E1B">
        <w:rPr>
          <w:rFonts w:ascii="Times New Roman" w:hAnsi="Times New Roman" w:cs="Times New Roman"/>
          <w:i/>
          <w:iCs/>
        </w:rPr>
        <w:t>In the Matter of Codification of the Commission’s Political Programming Policies</w:t>
      </w:r>
      <w:r w:rsidR="00C84E1B">
        <w:rPr>
          <w:rFonts w:ascii="Times New Roman" w:hAnsi="Times New Roman" w:cs="Times New Roman"/>
        </w:rPr>
        <w:t xml:space="preserve">, </w:t>
      </w:r>
      <w:r w:rsidRPr="002F7E2F" w:rsidR="00C84E1B">
        <w:rPr>
          <w:rFonts w:ascii="Times New Roman" w:hAnsi="Times New Roman" w:cs="Times New Roman"/>
        </w:rPr>
        <w:t>Memorandum Opinion and Order,</w:t>
      </w:r>
      <w:r w:rsidRPr="00A0146E" w:rsidR="00C84E1B">
        <w:rPr>
          <w:rFonts w:ascii="Times New Roman" w:hAnsi="Times New Roman" w:cs="Times New Roman"/>
          <w:i/>
          <w:iCs/>
        </w:rPr>
        <w:t xml:space="preserve"> </w:t>
      </w:r>
      <w:r w:rsidR="00C84E1B">
        <w:rPr>
          <w:rFonts w:ascii="Times New Roman" w:hAnsi="Times New Roman" w:cs="Times New Roman"/>
        </w:rPr>
        <w:t xml:space="preserve">7 FCC </w:t>
      </w:r>
      <w:r w:rsidR="00C84E1B">
        <w:rPr>
          <w:rFonts w:ascii="Times New Roman" w:hAnsi="Times New Roman" w:cs="Times New Roman"/>
        </w:rPr>
        <w:t>Rcd</w:t>
      </w:r>
      <w:r w:rsidR="00C84E1B">
        <w:rPr>
          <w:rFonts w:ascii="Times New Roman" w:hAnsi="Times New Roman" w:cs="Times New Roman"/>
        </w:rPr>
        <w:t xml:space="preserve"> 4611</w:t>
      </w:r>
      <w:r w:rsidR="004839C4">
        <w:rPr>
          <w:rFonts w:ascii="Times New Roman" w:hAnsi="Times New Roman" w:cs="Times New Roman"/>
        </w:rPr>
        <w:t xml:space="preserve">, 4614, </w:t>
      </w:r>
      <w:r w:rsidR="00B1759B">
        <w:rPr>
          <w:rFonts w:ascii="Times New Roman" w:hAnsi="Times New Roman" w:cs="Times New Roman"/>
        </w:rPr>
        <w:t>para.</w:t>
      </w:r>
      <w:r w:rsidR="00C84E1B">
        <w:rPr>
          <w:rFonts w:ascii="Times New Roman" w:hAnsi="Times New Roman" w:cs="Times New Roman"/>
        </w:rPr>
        <w:t xml:space="preserve"> 23 (1992)</w:t>
      </w:r>
      <w:r w:rsidR="003F5CA3">
        <w:rPr>
          <w:rFonts w:ascii="Times New Roman" w:hAnsi="Times New Roman" w:cs="Times New Roman"/>
        </w:rPr>
        <w:t>.</w:t>
      </w:r>
    </w:p>
  </w:footnote>
  <w:footnote w:id="5">
    <w:p w:rsidR="003C7194" w:rsidRPr="00DF221C" w:rsidP="00C72B10" w14:paraId="6FFE1171" w14:textId="32113842">
      <w:pPr>
        <w:pStyle w:val="FootnoteText"/>
        <w:spacing w:after="120"/>
        <w:rPr>
          <w:i/>
          <w:iCs/>
        </w:rPr>
      </w:pPr>
      <w:r w:rsidRPr="003C7194">
        <w:rPr>
          <w:rFonts w:ascii="Times New Roman" w:hAnsi="Times New Roman" w:cs="Times New Roman"/>
          <w:vertAlign w:val="superscript"/>
        </w:rPr>
        <w:footnoteRef/>
      </w:r>
      <w:r w:rsidRPr="003C7194">
        <w:rPr>
          <w:rFonts w:ascii="Times New Roman" w:hAnsi="Times New Roman" w:cs="Times New Roman"/>
          <w:vertAlign w:val="superscript"/>
        </w:rPr>
        <w:t xml:space="preserve"> </w:t>
      </w:r>
      <w:r w:rsidRPr="003C7194">
        <w:rPr>
          <w:rFonts w:ascii="Times New Roman" w:hAnsi="Times New Roman" w:cs="Times New Roman"/>
        </w:rPr>
        <w:t xml:space="preserve">47 U.S.C. § 315(b)(2)(F) (“authorized committee” has the meaning given such term by section 30101 of title 52”).  </w:t>
      </w:r>
      <w:r w:rsidRPr="002F7E2F">
        <w:rPr>
          <w:rFonts w:ascii="Times New Roman" w:hAnsi="Times New Roman" w:cs="Times New Roman"/>
          <w:i/>
          <w:iCs/>
        </w:rPr>
        <w:t>See</w:t>
      </w:r>
      <w:r w:rsidRPr="003C7194">
        <w:rPr>
          <w:rFonts w:ascii="Times New Roman" w:hAnsi="Times New Roman" w:cs="Times New Roman"/>
        </w:rPr>
        <w:t xml:space="preserve"> 52 U.S.C. § 30101(6) (defining the term “authorized committee” to mean “the principal campaign committee or any other political committee authorized by a candidate under section 30102(e)(1) of this title to receive contributions or make expenditures on behalf of such candidate”); 52 U.S.C. § 30102(e)(1) (“Each candidate for Federal office </w:t>
      </w:r>
      <w:r w:rsidR="00521DB6">
        <w:rPr>
          <w:rFonts w:ascii="Times New Roman" w:hAnsi="Times New Roman" w:cs="Times New Roman"/>
        </w:rPr>
        <w:t xml:space="preserve">. . . </w:t>
      </w:r>
      <w:r w:rsidRPr="003C7194">
        <w:rPr>
          <w:rFonts w:ascii="Times New Roman" w:hAnsi="Times New Roman" w:cs="Times New Roman"/>
        </w:rPr>
        <w:t>shall designate in writing a political committee in accordance with paragraph (3) to serve as the principal campaign committee of such candidate</w:t>
      </w:r>
      <w:r w:rsidR="00521DB6">
        <w:rPr>
          <w:rFonts w:ascii="Times New Roman" w:hAnsi="Times New Roman" w:cs="Times New Roman"/>
        </w:rPr>
        <w:t xml:space="preserve">. . . . </w:t>
      </w:r>
      <w:r w:rsidRPr="003C7194">
        <w:rPr>
          <w:rFonts w:ascii="Times New Roman" w:hAnsi="Times New Roman" w:cs="Times New Roman"/>
        </w:rPr>
        <w:t>A candidate may designate additional political committees in accordance with paragraph (3) to serve as authorized committees of such candidate.”)</w:t>
      </w:r>
      <w:r>
        <w:rPr>
          <w:rFonts w:ascii="Times New Roman" w:hAnsi="Times New Roman" w:cs="Times New Roman"/>
        </w:rPr>
        <w:t>.</w:t>
      </w:r>
    </w:p>
  </w:footnote>
  <w:footnote w:id="6">
    <w:p w:rsidR="00C84E1B" w:rsidRPr="00D0096B" w:rsidP="00C72B10" w14:paraId="2F4E6A8B" w14:textId="2C976709">
      <w:pPr>
        <w:pStyle w:val="FootnoteText"/>
        <w:spacing w:after="120"/>
        <w:rPr>
          <w:rFonts w:ascii="Times New Roman" w:hAnsi="Times New Roman" w:cs="Times New Roman"/>
          <w:lang w:val="pt-BR"/>
        </w:rPr>
      </w:pPr>
      <w:r>
        <w:rPr>
          <w:rStyle w:val="FootnoteReference"/>
        </w:rPr>
        <w:footnoteRef/>
      </w:r>
      <w:r w:rsidRPr="00D0096B">
        <w:rPr>
          <w:lang w:val="pt-BR"/>
        </w:rPr>
        <w:t xml:space="preserve"> </w:t>
      </w:r>
      <w:r w:rsidRPr="00D0096B">
        <w:rPr>
          <w:rFonts w:ascii="Times New Roman" w:hAnsi="Times New Roman" w:cs="Times New Roman"/>
          <w:lang w:val="pt-BR"/>
        </w:rPr>
        <w:t>52 U.S.C. § 30102(e)(3)(A).</w:t>
      </w:r>
    </w:p>
  </w:footnote>
  <w:footnote w:id="7">
    <w:p w:rsidR="00C84E1B" w:rsidRPr="00D0096B" w:rsidP="00C72B10" w14:paraId="1F9F2445" w14:textId="73F2D9B5">
      <w:pPr>
        <w:pStyle w:val="FootnoteText"/>
        <w:spacing w:after="120"/>
        <w:rPr>
          <w:rFonts w:ascii="Times New Roman" w:hAnsi="Times New Roman" w:cs="Times New Roman"/>
          <w:lang w:val="pt-BR"/>
        </w:rPr>
      </w:pPr>
      <w:r w:rsidRPr="00C84E1B">
        <w:rPr>
          <w:rStyle w:val="FootnoteReference"/>
          <w:rFonts w:ascii="Times New Roman" w:hAnsi="Times New Roman" w:cs="Times New Roman"/>
        </w:rPr>
        <w:footnoteRef/>
      </w:r>
      <w:r w:rsidRPr="00D0096B">
        <w:rPr>
          <w:rFonts w:ascii="Times New Roman" w:hAnsi="Times New Roman" w:cs="Times New Roman"/>
          <w:lang w:val="pt-BR"/>
        </w:rPr>
        <w:t xml:space="preserve"> 52 U.S.C. § 30102(e)(3)(A)(ii).</w:t>
      </w:r>
    </w:p>
  </w:footnote>
  <w:footnote w:id="8">
    <w:p w:rsidR="0004482F" w:rsidRPr="00411DB5" w:rsidP="0004482F" w14:paraId="3BFEEC10" w14:textId="77777777">
      <w:pPr>
        <w:pStyle w:val="FootnoteText"/>
        <w:spacing w:after="120"/>
        <w:rPr>
          <w:rFonts w:ascii="Times New Roman" w:hAnsi="Times New Roman" w:cs="Times New Roman"/>
        </w:rPr>
      </w:pPr>
      <w:r w:rsidRPr="00411DB5">
        <w:rPr>
          <w:rStyle w:val="FootnoteReference"/>
          <w:rFonts w:ascii="Times New Roman" w:hAnsi="Times New Roman" w:cs="Times New Roman"/>
        </w:rPr>
        <w:footnoteRef/>
      </w:r>
      <w:r w:rsidRPr="00411DB5">
        <w:rPr>
          <w:rFonts w:ascii="Times New Roman" w:hAnsi="Times New Roman" w:cs="Times New Roman"/>
        </w:rPr>
        <w:t xml:space="preserve"> </w:t>
      </w:r>
      <w:r w:rsidRPr="00411DB5">
        <w:rPr>
          <w:rFonts w:ascii="Times New Roman" w:hAnsi="Times New Roman" w:cs="Times New Roman"/>
          <w:i/>
          <w:iCs/>
        </w:rPr>
        <w:t>See, e.g.</w:t>
      </w:r>
      <w:r w:rsidRPr="00411DB5">
        <w:rPr>
          <w:rFonts w:ascii="Times New Roman" w:hAnsi="Times New Roman" w:cs="Times New Roman"/>
        </w:rPr>
        <w:t xml:space="preserve">, Colorado II at 1210 (“For example, independent expenditures do not qualify for the lowest rates on the purchase of broadcasting time, as coordinated expenditures would.”).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5875" w14:paraId="25835DA2" w14:textId="2AB07E08">
    <w:pPr>
      <w:pStyle w:val="Header"/>
    </w:pPr>
    <w:r>
      <w:rPr>
        <w:noProof/>
      </w:rPr>
      <w:drawing>
        <wp:inline distT="0" distB="0" distL="0" distR="0">
          <wp:extent cx="5943600" cy="1424305"/>
          <wp:effectExtent l="0" t="0" r="0" b="4445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2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128FC"/>
    <w:multiLevelType w:val="hybridMultilevel"/>
    <w:tmpl w:val="FF0ACD44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57658"/>
    <w:multiLevelType w:val="hybridMultilevel"/>
    <w:tmpl w:val="16BEB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F915A1"/>
    <w:multiLevelType w:val="hybridMultilevel"/>
    <w:tmpl w:val="FEB87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06B83"/>
    <w:multiLevelType w:val="hybridMultilevel"/>
    <w:tmpl w:val="7008812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166782"/>
    <w:multiLevelType w:val="hybridMultilevel"/>
    <w:tmpl w:val="70BA27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FE4A72"/>
    <w:multiLevelType w:val="hybridMultilevel"/>
    <w:tmpl w:val="980A1C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333CB5"/>
    <w:multiLevelType w:val="hybridMultilevel"/>
    <w:tmpl w:val="7B9A5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43A16"/>
    <w:multiLevelType w:val="hybridMultilevel"/>
    <w:tmpl w:val="CEA08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F7504"/>
    <w:multiLevelType w:val="hybridMultilevel"/>
    <w:tmpl w:val="80B4E13E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9B5584"/>
    <w:multiLevelType w:val="hybridMultilevel"/>
    <w:tmpl w:val="CAF219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A145D2"/>
    <w:multiLevelType w:val="hybridMultilevel"/>
    <w:tmpl w:val="9C5025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C7015A"/>
    <w:multiLevelType w:val="hybridMultilevel"/>
    <w:tmpl w:val="31F04B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330E3A"/>
    <w:multiLevelType w:val="hybridMultilevel"/>
    <w:tmpl w:val="D96696E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899560366">
    <w:abstractNumId w:val="11"/>
  </w:num>
  <w:num w:numId="2" w16cid:durableId="681279474">
    <w:abstractNumId w:val="7"/>
  </w:num>
  <w:num w:numId="3" w16cid:durableId="1359620548">
    <w:abstractNumId w:val="2"/>
  </w:num>
  <w:num w:numId="4" w16cid:durableId="1008289910">
    <w:abstractNumId w:val="4"/>
  </w:num>
  <w:num w:numId="5" w16cid:durableId="1043944652">
    <w:abstractNumId w:val="9"/>
  </w:num>
  <w:num w:numId="6" w16cid:durableId="1110782010">
    <w:abstractNumId w:val="10"/>
  </w:num>
  <w:num w:numId="7" w16cid:durableId="151408454">
    <w:abstractNumId w:val="0"/>
  </w:num>
  <w:num w:numId="8" w16cid:durableId="1606380522">
    <w:abstractNumId w:val="5"/>
  </w:num>
  <w:num w:numId="9" w16cid:durableId="1710495034">
    <w:abstractNumId w:val="3"/>
  </w:num>
  <w:num w:numId="10" w16cid:durableId="417993056">
    <w:abstractNumId w:val="13"/>
  </w:num>
  <w:num w:numId="11" w16cid:durableId="967666192">
    <w:abstractNumId w:val="1"/>
  </w:num>
  <w:num w:numId="12" w16cid:durableId="915239040">
    <w:abstractNumId w:val="6"/>
  </w:num>
  <w:num w:numId="13" w16cid:durableId="833376158">
    <w:abstractNumId w:val="12"/>
  </w:num>
  <w:num w:numId="14" w16cid:durableId="148522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F0"/>
    <w:rsid w:val="000373CB"/>
    <w:rsid w:val="00043EC9"/>
    <w:rsid w:val="0004482F"/>
    <w:rsid w:val="00070CFF"/>
    <w:rsid w:val="000729CF"/>
    <w:rsid w:val="00077905"/>
    <w:rsid w:val="00092AD5"/>
    <w:rsid w:val="000956BC"/>
    <w:rsid w:val="000A1208"/>
    <w:rsid w:val="000A3092"/>
    <w:rsid w:val="000A770A"/>
    <w:rsid w:val="000C618B"/>
    <w:rsid w:val="000D1D0C"/>
    <w:rsid w:val="000D2801"/>
    <w:rsid w:val="000D7340"/>
    <w:rsid w:val="000E2B13"/>
    <w:rsid w:val="000F16CE"/>
    <w:rsid w:val="000F596B"/>
    <w:rsid w:val="00113E84"/>
    <w:rsid w:val="0011548F"/>
    <w:rsid w:val="00131EBB"/>
    <w:rsid w:val="00146E28"/>
    <w:rsid w:val="00152077"/>
    <w:rsid w:val="001632A8"/>
    <w:rsid w:val="001737B7"/>
    <w:rsid w:val="00195DC4"/>
    <w:rsid w:val="001A7BE2"/>
    <w:rsid w:val="001C4502"/>
    <w:rsid w:val="001D2FCB"/>
    <w:rsid w:val="001D3E02"/>
    <w:rsid w:val="001F69F7"/>
    <w:rsid w:val="002102F1"/>
    <w:rsid w:val="0021106B"/>
    <w:rsid w:val="0021556B"/>
    <w:rsid w:val="002177A0"/>
    <w:rsid w:val="00227DCA"/>
    <w:rsid w:val="00236C10"/>
    <w:rsid w:val="00245DEB"/>
    <w:rsid w:val="00247548"/>
    <w:rsid w:val="002534F8"/>
    <w:rsid w:val="002571BF"/>
    <w:rsid w:val="0025722F"/>
    <w:rsid w:val="00271911"/>
    <w:rsid w:val="00280F57"/>
    <w:rsid w:val="002855DB"/>
    <w:rsid w:val="00285952"/>
    <w:rsid w:val="002A35E5"/>
    <w:rsid w:val="002A3B14"/>
    <w:rsid w:val="002A4317"/>
    <w:rsid w:val="002A458A"/>
    <w:rsid w:val="002C1708"/>
    <w:rsid w:val="002C1DAC"/>
    <w:rsid w:val="002C529D"/>
    <w:rsid w:val="002C5E22"/>
    <w:rsid w:val="002D320A"/>
    <w:rsid w:val="002D6CDC"/>
    <w:rsid w:val="002D6FDB"/>
    <w:rsid w:val="002F7E2F"/>
    <w:rsid w:val="00310411"/>
    <w:rsid w:val="00311B3C"/>
    <w:rsid w:val="00314A34"/>
    <w:rsid w:val="003249E9"/>
    <w:rsid w:val="00330C2B"/>
    <w:rsid w:val="003323FD"/>
    <w:rsid w:val="0033334A"/>
    <w:rsid w:val="003545F6"/>
    <w:rsid w:val="00360996"/>
    <w:rsid w:val="003638CB"/>
    <w:rsid w:val="00365DAE"/>
    <w:rsid w:val="00365E88"/>
    <w:rsid w:val="003717C6"/>
    <w:rsid w:val="00380F7C"/>
    <w:rsid w:val="00392986"/>
    <w:rsid w:val="003946B5"/>
    <w:rsid w:val="003B3302"/>
    <w:rsid w:val="003B39C5"/>
    <w:rsid w:val="003C0F4B"/>
    <w:rsid w:val="003C5595"/>
    <w:rsid w:val="003C7194"/>
    <w:rsid w:val="003E340F"/>
    <w:rsid w:val="003F5CA3"/>
    <w:rsid w:val="00406482"/>
    <w:rsid w:val="00411DB5"/>
    <w:rsid w:val="00417E0A"/>
    <w:rsid w:val="0043036B"/>
    <w:rsid w:val="00431BA3"/>
    <w:rsid w:val="00435B9C"/>
    <w:rsid w:val="00455B5D"/>
    <w:rsid w:val="00462BC8"/>
    <w:rsid w:val="00472EF4"/>
    <w:rsid w:val="004839C4"/>
    <w:rsid w:val="00483B2E"/>
    <w:rsid w:val="00483B36"/>
    <w:rsid w:val="004875B3"/>
    <w:rsid w:val="004C2CCC"/>
    <w:rsid w:val="004C4D5D"/>
    <w:rsid w:val="004E4521"/>
    <w:rsid w:val="004E7E1F"/>
    <w:rsid w:val="00521DB6"/>
    <w:rsid w:val="00565328"/>
    <w:rsid w:val="005938E5"/>
    <w:rsid w:val="00596E2B"/>
    <w:rsid w:val="005C2671"/>
    <w:rsid w:val="005C39A4"/>
    <w:rsid w:val="005D3C25"/>
    <w:rsid w:val="005E1355"/>
    <w:rsid w:val="005F227A"/>
    <w:rsid w:val="005F5E01"/>
    <w:rsid w:val="005F625E"/>
    <w:rsid w:val="00614AB6"/>
    <w:rsid w:val="00630611"/>
    <w:rsid w:val="00632358"/>
    <w:rsid w:val="0064515D"/>
    <w:rsid w:val="00650B2C"/>
    <w:rsid w:val="00652A42"/>
    <w:rsid w:val="006635CE"/>
    <w:rsid w:val="00664F6B"/>
    <w:rsid w:val="00665F16"/>
    <w:rsid w:val="006742EF"/>
    <w:rsid w:val="00691E32"/>
    <w:rsid w:val="00693DBA"/>
    <w:rsid w:val="006958BA"/>
    <w:rsid w:val="0069604E"/>
    <w:rsid w:val="006C04B5"/>
    <w:rsid w:val="006C2E07"/>
    <w:rsid w:val="006D2C76"/>
    <w:rsid w:val="006E6EA5"/>
    <w:rsid w:val="0070037E"/>
    <w:rsid w:val="00712387"/>
    <w:rsid w:val="00720EEB"/>
    <w:rsid w:val="00734A1A"/>
    <w:rsid w:val="007436EE"/>
    <w:rsid w:val="0075167D"/>
    <w:rsid w:val="00765EB6"/>
    <w:rsid w:val="007729B8"/>
    <w:rsid w:val="00773C22"/>
    <w:rsid w:val="00776182"/>
    <w:rsid w:val="00781546"/>
    <w:rsid w:val="00783514"/>
    <w:rsid w:val="00786D2F"/>
    <w:rsid w:val="007D007C"/>
    <w:rsid w:val="007D5BE5"/>
    <w:rsid w:val="007D6C92"/>
    <w:rsid w:val="007E155B"/>
    <w:rsid w:val="007F24B3"/>
    <w:rsid w:val="007F2FC8"/>
    <w:rsid w:val="007F41C7"/>
    <w:rsid w:val="00801E2E"/>
    <w:rsid w:val="008242A8"/>
    <w:rsid w:val="00827D04"/>
    <w:rsid w:val="00833D8F"/>
    <w:rsid w:val="0084712A"/>
    <w:rsid w:val="008567C5"/>
    <w:rsid w:val="00857CEB"/>
    <w:rsid w:val="00862053"/>
    <w:rsid w:val="0087170F"/>
    <w:rsid w:val="008873E0"/>
    <w:rsid w:val="00893A5F"/>
    <w:rsid w:val="008974EC"/>
    <w:rsid w:val="008A4DB0"/>
    <w:rsid w:val="008A6269"/>
    <w:rsid w:val="008C4346"/>
    <w:rsid w:val="008D2AD0"/>
    <w:rsid w:val="008F2E22"/>
    <w:rsid w:val="008F5D14"/>
    <w:rsid w:val="009064C7"/>
    <w:rsid w:val="00907214"/>
    <w:rsid w:val="009109BE"/>
    <w:rsid w:val="009229E6"/>
    <w:rsid w:val="00923A0C"/>
    <w:rsid w:val="00925F24"/>
    <w:rsid w:val="00930053"/>
    <w:rsid w:val="00931B99"/>
    <w:rsid w:val="00932748"/>
    <w:rsid w:val="0094608A"/>
    <w:rsid w:val="0094682C"/>
    <w:rsid w:val="00956A70"/>
    <w:rsid w:val="00996312"/>
    <w:rsid w:val="009B6080"/>
    <w:rsid w:val="009B766B"/>
    <w:rsid w:val="009C0F88"/>
    <w:rsid w:val="009C7655"/>
    <w:rsid w:val="009E0673"/>
    <w:rsid w:val="009F0A96"/>
    <w:rsid w:val="00A0146E"/>
    <w:rsid w:val="00A10E99"/>
    <w:rsid w:val="00A17C2A"/>
    <w:rsid w:val="00A235F5"/>
    <w:rsid w:val="00A324AA"/>
    <w:rsid w:val="00A453B0"/>
    <w:rsid w:val="00A5235C"/>
    <w:rsid w:val="00A601AA"/>
    <w:rsid w:val="00A67537"/>
    <w:rsid w:val="00A735CF"/>
    <w:rsid w:val="00A85910"/>
    <w:rsid w:val="00A86B0F"/>
    <w:rsid w:val="00AA7008"/>
    <w:rsid w:val="00AB0ECE"/>
    <w:rsid w:val="00AB42FF"/>
    <w:rsid w:val="00AB5834"/>
    <w:rsid w:val="00AD1588"/>
    <w:rsid w:val="00AD55F9"/>
    <w:rsid w:val="00AE324F"/>
    <w:rsid w:val="00B02E6E"/>
    <w:rsid w:val="00B1759B"/>
    <w:rsid w:val="00B2682B"/>
    <w:rsid w:val="00B507D1"/>
    <w:rsid w:val="00B74847"/>
    <w:rsid w:val="00B85C16"/>
    <w:rsid w:val="00B85D7F"/>
    <w:rsid w:val="00B90215"/>
    <w:rsid w:val="00BA1917"/>
    <w:rsid w:val="00BB0BD2"/>
    <w:rsid w:val="00BB4424"/>
    <w:rsid w:val="00BD058F"/>
    <w:rsid w:val="00BF50D1"/>
    <w:rsid w:val="00C014ED"/>
    <w:rsid w:val="00C030BF"/>
    <w:rsid w:val="00C03F9E"/>
    <w:rsid w:val="00C056C4"/>
    <w:rsid w:val="00C17D4E"/>
    <w:rsid w:val="00C208FD"/>
    <w:rsid w:val="00C21883"/>
    <w:rsid w:val="00C31270"/>
    <w:rsid w:val="00C3235F"/>
    <w:rsid w:val="00C362C7"/>
    <w:rsid w:val="00C40C34"/>
    <w:rsid w:val="00C72B10"/>
    <w:rsid w:val="00C84E1B"/>
    <w:rsid w:val="00C91C71"/>
    <w:rsid w:val="00CC723D"/>
    <w:rsid w:val="00CD336F"/>
    <w:rsid w:val="00CD5838"/>
    <w:rsid w:val="00CE6692"/>
    <w:rsid w:val="00CF1375"/>
    <w:rsid w:val="00CF5AE0"/>
    <w:rsid w:val="00D0096B"/>
    <w:rsid w:val="00D02FAD"/>
    <w:rsid w:val="00D03297"/>
    <w:rsid w:val="00D20FB4"/>
    <w:rsid w:val="00D27CC9"/>
    <w:rsid w:val="00D37FEA"/>
    <w:rsid w:val="00D5460A"/>
    <w:rsid w:val="00D55878"/>
    <w:rsid w:val="00D623A0"/>
    <w:rsid w:val="00D66815"/>
    <w:rsid w:val="00D831BC"/>
    <w:rsid w:val="00D943EC"/>
    <w:rsid w:val="00D94426"/>
    <w:rsid w:val="00DB2CDA"/>
    <w:rsid w:val="00DB52CA"/>
    <w:rsid w:val="00DC5F6D"/>
    <w:rsid w:val="00DD6D75"/>
    <w:rsid w:val="00DD6DF6"/>
    <w:rsid w:val="00DD7924"/>
    <w:rsid w:val="00DE2286"/>
    <w:rsid w:val="00DF221C"/>
    <w:rsid w:val="00DF7C46"/>
    <w:rsid w:val="00DF7F61"/>
    <w:rsid w:val="00E118A9"/>
    <w:rsid w:val="00E21246"/>
    <w:rsid w:val="00E3194E"/>
    <w:rsid w:val="00E31FE8"/>
    <w:rsid w:val="00E35197"/>
    <w:rsid w:val="00E3530E"/>
    <w:rsid w:val="00E406F1"/>
    <w:rsid w:val="00E42ED4"/>
    <w:rsid w:val="00E556BD"/>
    <w:rsid w:val="00E578F3"/>
    <w:rsid w:val="00E66064"/>
    <w:rsid w:val="00E71A8B"/>
    <w:rsid w:val="00E73492"/>
    <w:rsid w:val="00E743E3"/>
    <w:rsid w:val="00E94DF0"/>
    <w:rsid w:val="00EA6E05"/>
    <w:rsid w:val="00EB5746"/>
    <w:rsid w:val="00EC115E"/>
    <w:rsid w:val="00EE1461"/>
    <w:rsid w:val="00EE7701"/>
    <w:rsid w:val="00EF264C"/>
    <w:rsid w:val="00F01FB3"/>
    <w:rsid w:val="00F10D77"/>
    <w:rsid w:val="00F25493"/>
    <w:rsid w:val="00F25875"/>
    <w:rsid w:val="00F263BB"/>
    <w:rsid w:val="00F30982"/>
    <w:rsid w:val="00F35AD1"/>
    <w:rsid w:val="00F41613"/>
    <w:rsid w:val="00F43452"/>
    <w:rsid w:val="00F46B3E"/>
    <w:rsid w:val="00F47221"/>
    <w:rsid w:val="00F51E88"/>
    <w:rsid w:val="00F66506"/>
    <w:rsid w:val="00F6764F"/>
    <w:rsid w:val="00F87689"/>
    <w:rsid w:val="00F9684E"/>
    <w:rsid w:val="00FA6AC1"/>
    <w:rsid w:val="00FC48B3"/>
    <w:rsid w:val="00FE4FD6"/>
    <w:rsid w:val="00FF34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67123A"/>
  <w15:chartTrackingRefBased/>
  <w15:docId w15:val="{302FD623-E499-40D1-8268-517F7CF4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4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548F"/>
  </w:style>
  <w:style w:type="paragraph" w:styleId="Footer">
    <w:name w:val="footer"/>
    <w:basedOn w:val="Normal"/>
    <w:link w:val="FooterChar"/>
    <w:uiPriority w:val="99"/>
    <w:unhideWhenUsed/>
    <w:rsid w:val="001154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548F"/>
  </w:style>
  <w:style w:type="paragraph" w:styleId="FootnoteText">
    <w:name w:val="footnote text"/>
    <w:aliases w:val="ALTS FOOTNOTE,Footnote Text Char Char Char,Footnote Text Char Char1 Char Char Char,Footnote Text Char1 Char Char1 Char,Footnote Text Char2 Char,Footnote Text Char3,Footnote Text Char3 Char Char Char Char Char"/>
    <w:basedOn w:val="Normal"/>
    <w:link w:val="FootnoteTextChar"/>
    <w:uiPriority w:val="99"/>
    <w:unhideWhenUsed/>
    <w:rsid w:val="00B9021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ALTS FOOTNOTE Char,Footnote Text Char Char Char Char,Footnote Text Char Char1 Char Char Char Char,Footnote Text Char1 Char Char1 Char Char,Footnote Text Char2 Char Char,Footnote Text Char3 Char"/>
    <w:basedOn w:val="DefaultParagraphFont"/>
    <w:link w:val="FootnoteText"/>
    <w:uiPriority w:val="99"/>
    <w:rsid w:val="00B90215"/>
    <w:rPr>
      <w:sz w:val="20"/>
      <w:szCs w:val="20"/>
    </w:rPr>
  </w:style>
  <w:style w:type="character" w:styleId="FootnoteReference">
    <w:name w:val="footnote reference"/>
    <w:aliases w:val="(NECG) Footnote Reference,Appel note de bas de p,FR,Footnote Reference/,Style 12,Style 124,Style 13,Style 17,Style 6,fr,o"/>
    <w:basedOn w:val="DefaultParagraphFont"/>
    <w:uiPriority w:val="99"/>
    <w:unhideWhenUsed/>
    <w:rsid w:val="00B90215"/>
    <w:rPr>
      <w:vertAlign w:val="superscript"/>
    </w:rPr>
  </w:style>
  <w:style w:type="character" w:styleId="Emphasis">
    <w:name w:val="Emphasis"/>
    <w:uiPriority w:val="20"/>
    <w:qFormat/>
    <w:rsid w:val="00D03297"/>
    <w:rPr>
      <w:i/>
      <w:iCs/>
    </w:rPr>
  </w:style>
  <w:style w:type="character" w:styleId="Hyperlink">
    <w:name w:val="Hyperlink"/>
    <w:basedOn w:val="DefaultParagraphFont"/>
    <w:uiPriority w:val="99"/>
    <w:unhideWhenUsed/>
    <w:rsid w:val="00D03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2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04B5"/>
    <w:pPr>
      <w:ind w:left="720"/>
      <w:contextualSpacing/>
    </w:pPr>
  </w:style>
  <w:style w:type="paragraph" w:styleId="Revision">
    <w:name w:val="Revision"/>
    <w:hidden/>
    <w:uiPriority w:val="99"/>
    <w:semiHidden/>
    <w:rsid w:val="009B6080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9B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080"/>
    <w:rPr>
      <w:b/>
      <w:bCs/>
      <w:sz w:val="20"/>
      <w:szCs w:val="20"/>
    </w:rPr>
  </w:style>
  <w:style w:type="paragraph" w:customStyle="1" w:styleId="ParaNum">
    <w:name w:val="ParaNum"/>
    <w:basedOn w:val="Normal"/>
    <w:link w:val="ParaNumChar1"/>
    <w:rsid w:val="00DB52CA"/>
    <w:pPr>
      <w:widowControl w:val="0"/>
      <w:numPr>
        <w:numId w:val="10"/>
      </w:numPr>
      <w:tabs>
        <w:tab w:val="clear" w:pos="1080"/>
        <w:tab w:val="num" w:pos="1440"/>
      </w:tabs>
    </w:pPr>
    <w:rPr>
      <w:rFonts w:ascii="Times New Roman" w:eastAsia="Times New Roman" w:hAnsi="Times New Roman" w:cs="Times New Roman"/>
      <w:snapToGrid w:val="0"/>
      <w:kern w:val="28"/>
      <w:szCs w:val="20"/>
    </w:rPr>
  </w:style>
  <w:style w:type="character" w:customStyle="1" w:styleId="ParaNumChar1">
    <w:name w:val="ParaNum Char1"/>
    <w:link w:val="ParaNum"/>
    <w:locked/>
    <w:rsid w:val="00DB52CA"/>
    <w:rPr>
      <w:rFonts w:ascii="Times New Roman" w:eastAsia="Times New Roman" w:hAnsi="Times New Roman" w:cs="Times New Roman"/>
      <w:snapToGrid w:val="0"/>
      <w:kern w:val="2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09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