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E2C94" w:rsidP="003D2D12" w14:paraId="1B1861A2" w14:textId="77777777">
      <w:pPr>
        <w:spacing w:after="120"/>
        <w:contextualSpacing/>
        <w:rPr>
          <w:sz w:val="22"/>
          <w:szCs w:val="22"/>
        </w:rPr>
      </w:pPr>
    </w:p>
    <w:p w:rsidR="00AE2C94" w:rsidRPr="00024BB5" w:rsidP="003D2D12" w14:paraId="1166530E" w14:textId="3E6E5C80">
      <w:pPr>
        <w:spacing w:after="120"/>
        <w:contextualSpacing/>
        <w:jc w:val="center"/>
        <w:rPr>
          <w:sz w:val="20"/>
        </w:rPr>
      </w:pPr>
      <w:r>
        <w:rPr>
          <w:sz w:val="22"/>
          <w:szCs w:val="18"/>
        </w:rPr>
        <w:t xml:space="preserve">April </w:t>
      </w:r>
      <w:r w:rsidR="00EA0450">
        <w:rPr>
          <w:sz w:val="22"/>
          <w:szCs w:val="18"/>
        </w:rPr>
        <w:t>7</w:t>
      </w:r>
      <w:r>
        <w:rPr>
          <w:sz w:val="22"/>
          <w:szCs w:val="18"/>
        </w:rPr>
        <w:t>, 2026</w:t>
      </w:r>
    </w:p>
    <w:p w:rsidR="00AE2C94" w:rsidRPr="00CE3129" w:rsidP="003D2D12" w14:paraId="1D8CF357" w14:textId="0E422619">
      <w:pPr>
        <w:spacing w:after="120"/>
        <w:contextualSpacing/>
        <w:jc w:val="right"/>
        <w:rPr>
          <w:b/>
          <w:sz w:val="22"/>
          <w:szCs w:val="22"/>
        </w:rPr>
      </w:pPr>
      <w:r w:rsidRPr="002933DE">
        <w:rPr>
          <w:b/>
          <w:bCs/>
          <w:sz w:val="22"/>
          <w:szCs w:val="22"/>
        </w:rPr>
        <w:t xml:space="preserve">DA </w:t>
      </w:r>
      <w:r w:rsidRPr="002933DE" w:rsidR="002933DE">
        <w:rPr>
          <w:b/>
          <w:bCs/>
          <w:sz w:val="22"/>
          <w:szCs w:val="22"/>
        </w:rPr>
        <w:t>26-308</w:t>
      </w:r>
    </w:p>
    <w:p w:rsidR="00AE2C94" w:rsidRPr="00CE3129" w:rsidP="003D2D12" w14:paraId="43600D5F" w14:textId="77777777">
      <w:pPr>
        <w:spacing w:after="120"/>
        <w:contextualSpacing/>
        <w:rPr>
          <w:sz w:val="22"/>
          <w:szCs w:val="22"/>
        </w:rPr>
      </w:pPr>
    </w:p>
    <w:p w:rsidR="00AE2C94" w:rsidRPr="00CE3129" w:rsidP="003D2D12" w14:paraId="56EDDB43" w14:textId="77777777">
      <w:pPr>
        <w:pStyle w:val="Heading1"/>
        <w:spacing w:after="120"/>
        <w:contextualSpacing/>
        <w:rPr>
          <w:b/>
          <w:sz w:val="22"/>
          <w:szCs w:val="22"/>
        </w:rPr>
      </w:pPr>
      <w:r w:rsidRPr="00CE3129">
        <w:rPr>
          <w:b/>
          <w:sz w:val="22"/>
          <w:szCs w:val="22"/>
          <w:u w:val="single"/>
        </w:rPr>
        <w:t>VIA CERTIFIED MAIL, RETURN RECEIPT REQUESTED</w:t>
      </w:r>
    </w:p>
    <w:p w:rsidR="00AE2C94" w:rsidRPr="00CE3129" w:rsidP="003D2D12" w14:paraId="7E018CCD" w14:textId="77777777">
      <w:pPr>
        <w:spacing w:after="120"/>
        <w:contextualSpacing/>
        <w:rPr>
          <w:sz w:val="22"/>
          <w:szCs w:val="22"/>
        </w:rPr>
      </w:pPr>
    </w:p>
    <w:p w:rsidR="00AE2C94" w:rsidRPr="00477313" w:rsidP="003D2D12" w14:paraId="1C839128" w14:textId="2EE8059F">
      <w:pPr>
        <w:spacing w:after="120"/>
        <w:contextualSpacing/>
        <w:rPr>
          <w:sz w:val="22"/>
          <w:szCs w:val="22"/>
        </w:rPr>
      </w:pPr>
      <w:r w:rsidRPr="00477313">
        <w:rPr>
          <w:sz w:val="22"/>
          <w:szCs w:val="22"/>
        </w:rPr>
        <w:t xml:space="preserve">Mr. </w:t>
      </w:r>
      <w:r w:rsidR="009523A2">
        <w:rPr>
          <w:sz w:val="22"/>
          <w:szCs w:val="22"/>
        </w:rPr>
        <w:t>Donatus Anyanwu</w:t>
      </w:r>
    </w:p>
    <w:p w:rsidR="003E4908" w:rsidRPr="00C002D8" w:rsidP="003D2D12" w14:paraId="12FEB3E4" w14:textId="54414D30">
      <w:pPr>
        <w:spacing w:after="120"/>
        <w:contextualSpacing/>
        <w:rPr>
          <w:rFonts w:eastAsia="Times New Roman"/>
          <w:color w:val="000000"/>
          <w:sz w:val="22"/>
          <w:szCs w:val="22"/>
        </w:rPr>
      </w:pPr>
      <w:r w:rsidRPr="00C002D8">
        <w:rPr>
          <w:rFonts w:eastAsia="Times New Roman"/>
          <w:color w:val="000000"/>
          <w:sz w:val="22"/>
          <w:szCs w:val="22"/>
        </w:rPr>
        <w:t xml:space="preserve">c/o </w:t>
      </w:r>
      <w:r w:rsidRPr="00C002D8" w:rsidR="00755D14">
        <w:rPr>
          <w:rFonts w:eastAsia="Times New Roman"/>
          <w:color w:val="000000"/>
          <w:sz w:val="22"/>
          <w:szCs w:val="22"/>
        </w:rPr>
        <w:t>Vincent Eugene Wisely</w:t>
      </w:r>
      <w:r w:rsidRPr="00C002D8">
        <w:rPr>
          <w:rFonts w:eastAsia="Times New Roman"/>
          <w:color w:val="000000"/>
          <w:sz w:val="22"/>
          <w:szCs w:val="22"/>
        </w:rPr>
        <w:t>, Esq.</w:t>
      </w:r>
    </w:p>
    <w:p w:rsidR="00AE2C94" w:rsidRPr="00C002D8" w:rsidP="003D2D12" w14:paraId="7E646898" w14:textId="191AD9D9">
      <w:pPr>
        <w:spacing w:after="120"/>
        <w:contextualSpacing/>
        <w:rPr>
          <w:rFonts w:eastAsia="Times New Roman"/>
          <w:color w:val="000000"/>
          <w:sz w:val="22"/>
          <w:szCs w:val="22"/>
        </w:rPr>
      </w:pPr>
      <w:r w:rsidRPr="00C002D8">
        <w:rPr>
          <w:rFonts w:eastAsia="Times New Roman"/>
          <w:color w:val="000000"/>
          <w:sz w:val="22"/>
          <w:szCs w:val="22"/>
        </w:rPr>
        <w:t>The Wiseley Law Firm PLLC</w:t>
      </w:r>
    </w:p>
    <w:p w:rsidR="00AE2C94" w:rsidRPr="00C002D8" w:rsidP="003D2D12" w14:paraId="6D0D90D8" w14:textId="40B958C5">
      <w:pPr>
        <w:spacing w:after="120"/>
        <w:contextualSpacing/>
        <w:rPr>
          <w:rFonts w:eastAsia="Times New Roman"/>
          <w:color w:val="000000"/>
          <w:sz w:val="22"/>
          <w:szCs w:val="22"/>
        </w:rPr>
      </w:pPr>
      <w:r w:rsidRPr="00C002D8">
        <w:rPr>
          <w:rFonts w:eastAsia="Times New Roman"/>
          <w:color w:val="000000"/>
          <w:sz w:val="22"/>
          <w:szCs w:val="22"/>
        </w:rPr>
        <w:t>325 N. St. Paul, Ste</w:t>
      </w:r>
      <w:r w:rsidR="0041565B">
        <w:rPr>
          <w:rFonts w:eastAsia="Times New Roman"/>
          <w:color w:val="000000"/>
          <w:sz w:val="22"/>
          <w:szCs w:val="22"/>
        </w:rPr>
        <w:t>.</w:t>
      </w:r>
      <w:r w:rsidRPr="00C002D8">
        <w:rPr>
          <w:rFonts w:eastAsia="Times New Roman"/>
          <w:color w:val="000000"/>
          <w:sz w:val="22"/>
          <w:szCs w:val="22"/>
        </w:rPr>
        <w:t xml:space="preserve"> 3135</w:t>
      </w:r>
    </w:p>
    <w:p w:rsidR="00AE2C94" w:rsidRPr="00477313" w:rsidP="003D2D12" w14:paraId="3C7A9199" w14:textId="1660C7B0">
      <w:pPr>
        <w:spacing w:after="120"/>
        <w:contextualSpacing/>
        <w:rPr>
          <w:rFonts w:eastAsia="Times New Roman"/>
          <w:color w:val="000000"/>
          <w:sz w:val="22"/>
          <w:szCs w:val="22"/>
        </w:rPr>
      </w:pPr>
      <w:r>
        <w:rPr>
          <w:rFonts w:eastAsia="Times New Roman"/>
          <w:color w:val="000000"/>
          <w:sz w:val="22"/>
          <w:szCs w:val="22"/>
        </w:rPr>
        <w:t>Dallas, TX 75201</w:t>
      </w:r>
    </w:p>
    <w:p w:rsidR="00AE2C94" w:rsidRPr="00477313" w:rsidP="003D2D12" w14:paraId="45308069" w14:textId="77777777">
      <w:pPr>
        <w:spacing w:after="120"/>
        <w:contextualSpacing/>
        <w:rPr>
          <w:sz w:val="22"/>
          <w:szCs w:val="22"/>
        </w:rPr>
      </w:pPr>
    </w:p>
    <w:p w:rsidR="00AE2C94" w:rsidRPr="00D86748" w:rsidP="003D2D12" w14:paraId="70BB1036" w14:textId="77777777">
      <w:pPr>
        <w:spacing w:after="120"/>
        <w:ind w:right="720" w:firstLine="720"/>
        <w:contextualSpacing/>
        <w:rPr>
          <w:b/>
          <w:bCs/>
          <w:sz w:val="22"/>
          <w:szCs w:val="22"/>
        </w:rPr>
      </w:pPr>
      <w:r w:rsidRPr="00D86748">
        <w:rPr>
          <w:b/>
          <w:bCs/>
          <w:sz w:val="22"/>
          <w:szCs w:val="22"/>
        </w:rPr>
        <w:t>Re:  Notice of Suspension and Initiation of Debarment Proceeding</w:t>
      </w:r>
    </w:p>
    <w:p w:rsidR="00AE2C94" w:rsidRPr="00D86748" w:rsidP="003D2D12" w14:paraId="5369E02D" w14:textId="52AAC543">
      <w:pPr>
        <w:spacing w:after="120"/>
        <w:ind w:left="720" w:right="720" w:firstLine="450"/>
        <w:contextualSpacing/>
        <w:rPr>
          <w:b/>
          <w:bCs/>
          <w:sz w:val="22"/>
          <w:szCs w:val="22"/>
        </w:rPr>
      </w:pPr>
      <w:r w:rsidRPr="7B079B11">
        <w:rPr>
          <w:b/>
          <w:bCs/>
          <w:sz w:val="22"/>
          <w:szCs w:val="22"/>
        </w:rPr>
        <w:t xml:space="preserve">File No. </w:t>
      </w:r>
      <w:r w:rsidRPr="7B079B11" w:rsidR="00D86748">
        <w:rPr>
          <w:b/>
          <w:bCs/>
          <w:sz w:val="22"/>
          <w:szCs w:val="22"/>
        </w:rPr>
        <w:t>EB-IHD-2</w:t>
      </w:r>
      <w:r w:rsidR="0041565B">
        <w:rPr>
          <w:b/>
          <w:bCs/>
          <w:sz w:val="22"/>
          <w:szCs w:val="22"/>
        </w:rPr>
        <w:t>5-</w:t>
      </w:r>
      <w:r w:rsidR="007754E2">
        <w:rPr>
          <w:b/>
          <w:bCs/>
          <w:sz w:val="22"/>
          <w:szCs w:val="22"/>
        </w:rPr>
        <w:t>00038523</w:t>
      </w:r>
    </w:p>
    <w:p w:rsidR="00AE2C94" w:rsidRPr="00477313" w:rsidP="003D2D12" w14:paraId="1FCA023B" w14:textId="77777777">
      <w:pPr>
        <w:spacing w:after="120"/>
        <w:contextualSpacing/>
        <w:rPr>
          <w:sz w:val="22"/>
          <w:szCs w:val="22"/>
        </w:rPr>
      </w:pPr>
    </w:p>
    <w:p w:rsidR="00AE2C94" w:rsidRPr="00477313" w:rsidP="003D2D12" w14:paraId="23C449C8" w14:textId="696F8555">
      <w:pPr>
        <w:spacing w:after="120"/>
        <w:contextualSpacing/>
        <w:rPr>
          <w:sz w:val="22"/>
          <w:szCs w:val="22"/>
        </w:rPr>
      </w:pPr>
      <w:r w:rsidRPr="00477313">
        <w:rPr>
          <w:sz w:val="22"/>
          <w:szCs w:val="22"/>
        </w:rPr>
        <w:t xml:space="preserve">Dear Mr. </w:t>
      </w:r>
      <w:r w:rsidR="009523A2">
        <w:rPr>
          <w:sz w:val="22"/>
          <w:szCs w:val="22"/>
        </w:rPr>
        <w:t>Anyanwu</w:t>
      </w:r>
      <w:r w:rsidRPr="00477313">
        <w:rPr>
          <w:sz w:val="22"/>
          <w:szCs w:val="22"/>
        </w:rPr>
        <w:t>:</w:t>
      </w:r>
    </w:p>
    <w:p w:rsidR="00DC2BD9" w:rsidRPr="00477313" w:rsidP="003D2D12" w14:paraId="5144D106" w14:textId="77777777">
      <w:pPr>
        <w:spacing w:after="120"/>
        <w:contextualSpacing/>
        <w:rPr>
          <w:sz w:val="22"/>
          <w:szCs w:val="22"/>
        </w:rPr>
      </w:pPr>
    </w:p>
    <w:p w:rsidR="00AE2C94" w:rsidP="003D2D12" w14:paraId="48868FB5" w14:textId="0055AF45">
      <w:pPr>
        <w:spacing w:after="120"/>
        <w:ind w:firstLine="720"/>
        <w:contextualSpacing/>
        <w:rPr>
          <w:sz w:val="22"/>
          <w:szCs w:val="22"/>
        </w:rPr>
      </w:pPr>
      <w:r w:rsidRPr="00477313">
        <w:rPr>
          <w:sz w:val="22"/>
          <w:szCs w:val="22"/>
        </w:rPr>
        <w:t>The Enforcement Bureau (Bureau) of the Federal Communications Commission (Commission</w:t>
      </w:r>
      <w:r w:rsidR="00265DC9">
        <w:rPr>
          <w:sz w:val="22"/>
          <w:szCs w:val="22"/>
        </w:rPr>
        <w:t xml:space="preserve"> or FCC</w:t>
      </w:r>
      <w:r w:rsidRPr="00477313">
        <w:rPr>
          <w:sz w:val="22"/>
          <w:szCs w:val="22"/>
        </w:rPr>
        <w:t xml:space="preserve">) received notice of your </w:t>
      </w:r>
      <w:r w:rsidR="00E569C1">
        <w:rPr>
          <w:sz w:val="22"/>
          <w:szCs w:val="22"/>
        </w:rPr>
        <w:t xml:space="preserve">conviction </w:t>
      </w:r>
      <w:r w:rsidR="00270375">
        <w:rPr>
          <w:sz w:val="22"/>
          <w:szCs w:val="22"/>
        </w:rPr>
        <w:t>for</w:t>
      </w:r>
      <w:r w:rsidR="00E569C1">
        <w:rPr>
          <w:sz w:val="22"/>
          <w:szCs w:val="22"/>
        </w:rPr>
        <w:t xml:space="preserve"> </w:t>
      </w:r>
      <w:r w:rsidR="009523A2">
        <w:rPr>
          <w:sz w:val="22"/>
          <w:szCs w:val="22"/>
        </w:rPr>
        <w:t xml:space="preserve">conspiracy to commit mail and </w:t>
      </w:r>
      <w:r w:rsidR="00AF6480">
        <w:rPr>
          <w:sz w:val="22"/>
          <w:szCs w:val="22"/>
        </w:rPr>
        <w:t>wire fraud</w:t>
      </w:r>
      <w:r w:rsidRPr="00477313">
        <w:rPr>
          <w:sz w:val="22"/>
          <w:szCs w:val="22"/>
        </w:rPr>
        <w:t xml:space="preserve">, in violation of </w:t>
      </w:r>
      <w:r w:rsidR="00E569C1">
        <w:rPr>
          <w:sz w:val="22"/>
          <w:szCs w:val="22"/>
        </w:rPr>
        <w:t>18</w:t>
      </w:r>
      <w:r w:rsidRPr="00477313">
        <w:rPr>
          <w:sz w:val="22"/>
          <w:szCs w:val="22"/>
        </w:rPr>
        <w:t xml:space="preserve"> U</w:t>
      </w:r>
      <w:r w:rsidR="00794C68">
        <w:rPr>
          <w:sz w:val="22"/>
          <w:szCs w:val="22"/>
        </w:rPr>
        <w:t>.</w:t>
      </w:r>
      <w:r w:rsidRPr="00477313">
        <w:rPr>
          <w:sz w:val="22"/>
          <w:szCs w:val="22"/>
        </w:rPr>
        <w:t>S</w:t>
      </w:r>
      <w:r w:rsidR="00794C68">
        <w:rPr>
          <w:sz w:val="22"/>
          <w:szCs w:val="22"/>
        </w:rPr>
        <w:t>.</w:t>
      </w:r>
      <w:r w:rsidRPr="00477313">
        <w:rPr>
          <w:sz w:val="22"/>
          <w:szCs w:val="22"/>
        </w:rPr>
        <w:t>C</w:t>
      </w:r>
      <w:r w:rsidR="00794C68">
        <w:rPr>
          <w:sz w:val="22"/>
          <w:szCs w:val="22"/>
        </w:rPr>
        <w:t>.</w:t>
      </w:r>
      <w:r w:rsidRPr="00477313">
        <w:rPr>
          <w:sz w:val="22"/>
          <w:szCs w:val="22"/>
        </w:rPr>
        <w:t xml:space="preserve"> §</w:t>
      </w:r>
      <w:r w:rsidR="009523A2">
        <w:rPr>
          <w:sz w:val="22"/>
          <w:szCs w:val="22"/>
        </w:rPr>
        <w:t>§</w:t>
      </w:r>
      <w:r w:rsidRPr="00477313">
        <w:rPr>
          <w:sz w:val="22"/>
          <w:szCs w:val="22"/>
        </w:rPr>
        <w:t> </w:t>
      </w:r>
      <w:r w:rsidR="00FF1228">
        <w:rPr>
          <w:sz w:val="22"/>
          <w:szCs w:val="22"/>
        </w:rPr>
        <w:t xml:space="preserve">371, </w:t>
      </w:r>
      <w:r w:rsidR="009523A2">
        <w:rPr>
          <w:sz w:val="22"/>
          <w:szCs w:val="22"/>
        </w:rPr>
        <w:t>1341</w:t>
      </w:r>
      <w:r w:rsidR="00FF1228">
        <w:rPr>
          <w:sz w:val="22"/>
          <w:szCs w:val="22"/>
        </w:rPr>
        <w:t>,</w:t>
      </w:r>
      <w:r w:rsidR="009523A2">
        <w:rPr>
          <w:sz w:val="22"/>
          <w:szCs w:val="22"/>
        </w:rPr>
        <w:t xml:space="preserve"> and </w:t>
      </w:r>
      <w:r w:rsidR="00AF6480">
        <w:rPr>
          <w:sz w:val="22"/>
          <w:szCs w:val="22"/>
        </w:rPr>
        <w:t>1343</w:t>
      </w:r>
      <w:r w:rsidRPr="00477313">
        <w:rPr>
          <w:sz w:val="22"/>
          <w:szCs w:val="22"/>
        </w:rPr>
        <w:t xml:space="preserve">, arising out of activities associated with the </w:t>
      </w:r>
      <w:r w:rsidR="00AA2781">
        <w:rPr>
          <w:sz w:val="22"/>
          <w:szCs w:val="22"/>
        </w:rPr>
        <w:t xml:space="preserve">federal </w:t>
      </w:r>
      <w:r w:rsidRPr="00477313">
        <w:rPr>
          <w:sz w:val="22"/>
          <w:szCs w:val="22"/>
        </w:rPr>
        <w:t>schools and libraries universal service support mechanism (E-Rate program).</w:t>
      </w:r>
      <w:r>
        <w:rPr>
          <w:sz w:val="22"/>
          <w:szCs w:val="22"/>
          <w:vertAlign w:val="superscript"/>
        </w:rPr>
        <w:footnoteReference w:id="2"/>
      </w:r>
      <w:r w:rsidRPr="00477313">
        <w:rPr>
          <w:sz w:val="22"/>
          <w:szCs w:val="22"/>
        </w:rPr>
        <w:t xml:space="preserve">  The </w:t>
      </w:r>
      <w:r w:rsidR="00270375">
        <w:rPr>
          <w:sz w:val="22"/>
          <w:szCs w:val="22"/>
        </w:rPr>
        <w:t>crime</w:t>
      </w:r>
      <w:r w:rsidR="00E569C1">
        <w:rPr>
          <w:sz w:val="22"/>
          <w:szCs w:val="22"/>
        </w:rPr>
        <w:t xml:space="preserve"> </w:t>
      </w:r>
      <w:r w:rsidRPr="00477313">
        <w:rPr>
          <w:sz w:val="22"/>
          <w:szCs w:val="22"/>
        </w:rPr>
        <w:t xml:space="preserve">involved </w:t>
      </w:r>
      <w:r w:rsidR="00270375">
        <w:rPr>
          <w:sz w:val="22"/>
          <w:szCs w:val="22"/>
        </w:rPr>
        <w:t xml:space="preserve">knowingly </w:t>
      </w:r>
      <w:r w:rsidR="00FF1228">
        <w:rPr>
          <w:sz w:val="22"/>
          <w:szCs w:val="22"/>
        </w:rPr>
        <w:t>conspiring with another</w:t>
      </w:r>
      <w:r w:rsidR="00270375">
        <w:rPr>
          <w:sz w:val="22"/>
          <w:szCs w:val="22"/>
        </w:rPr>
        <w:t xml:space="preserve"> to defraud the </w:t>
      </w:r>
      <w:r w:rsidR="00FF1228">
        <w:rPr>
          <w:sz w:val="22"/>
          <w:szCs w:val="22"/>
        </w:rPr>
        <w:t>E-Rate program by using your co-conspirator’s position as CEO of a Texas school</w:t>
      </w:r>
      <w:r w:rsidR="00FC2130">
        <w:rPr>
          <w:sz w:val="22"/>
          <w:szCs w:val="22"/>
        </w:rPr>
        <w:t>, Nova Charter School</w:t>
      </w:r>
      <w:r w:rsidR="004A77CB">
        <w:rPr>
          <w:sz w:val="22"/>
          <w:szCs w:val="22"/>
        </w:rPr>
        <w:t xml:space="preserve"> (Nova)</w:t>
      </w:r>
      <w:r w:rsidR="00FC2130">
        <w:rPr>
          <w:sz w:val="22"/>
          <w:szCs w:val="22"/>
        </w:rPr>
        <w:t>,</w:t>
      </w:r>
      <w:r w:rsidR="00FF1228">
        <w:rPr>
          <w:sz w:val="22"/>
          <w:szCs w:val="22"/>
        </w:rPr>
        <w:t xml:space="preserve"> to select your company, ADI Engineering, Inc.</w:t>
      </w:r>
      <w:r w:rsidR="00FC2130">
        <w:rPr>
          <w:sz w:val="22"/>
          <w:szCs w:val="22"/>
        </w:rPr>
        <w:t xml:space="preserve"> (ADI)</w:t>
      </w:r>
      <w:r w:rsidR="00FF1228">
        <w:rPr>
          <w:sz w:val="22"/>
          <w:szCs w:val="22"/>
        </w:rPr>
        <w:t>, as the school’s E-Rate provider.</w:t>
      </w:r>
      <w:r>
        <w:rPr>
          <w:rStyle w:val="FootnoteReference"/>
          <w:sz w:val="22"/>
          <w:szCs w:val="22"/>
        </w:rPr>
        <w:footnoteReference w:id="3"/>
      </w:r>
      <w:r w:rsidRPr="00477313">
        <w:rPr>
          <w:sz w:val="22"/>
          <w:szCs w:val="22"/>
        </w:rPr>
        <w:t xml:space="preserve">  Consequently, pursuant to 47 CFR §</w:t>
      </w:r>
      <w:r w:rsidR="00F5020A">
        <w:rPr>
          <w:sz w:val="22"/>
          <w:szCs w:val="22"/>
        </w:rPr>
        <w:t> </w:t>
      </w:r>
      <w:r w:rsidRPr="00477313">
        <w:rPr>
          <w:sz w:val="22"/>
          <w:szCs w:val="22"/>
        </w:rPr>
        <w:t>54.8, this letter constitutes official notice of your suspension from the E-Rate program</w:t>
      </w:r>
      <w:r w:rsidR="00015E2D">
        <w:rPr>
          <w:sz w:val="22"/>
          <w:szCs w:val="22"/>
        </w:rPr>
        <w:t xml:space="preserve"> </w:t>
      </w:r>
      <w:r w:rsidRPr="00015E2D" w:rsidR="00015E2D">
        <w:rPr>
          <w:sz w:val="22"/>
          <w:szCs w:val="22"/>
        </w:rPr>
        <w:t>and all federal universal service support mechanisms</w:t>
      </w:r>
      <w:r w:rsidRPr="00477313">
        <w:rPr>
          <w:sz w:val="22"/>
          <w:szCs w:val="22"/>
        </w:rPr>
        <w:t>.</w:t>
      </w:r>
      <w:r>
        <w:rPr>
          <w:rStyle w:val="FootnoteReference"/>
          <w:sz w:val="22"/>
          <w:szCs w:val="22"/>
        </w:rPr>
        <w:footnoteReference w:id="4"/>
      </w:r>
      <w:r w:rsidRPr="00477313">
        <w:rPr>
          <w:sz w:val="22"/>
          <w:szCs w:val="22"/>
        </w:rPr>
        <w:t xml:space="preserve">  </w:t>
      </w:r>
      <w:r w:rsidR="00750CB2">
        <w:rPr>
          <w:sz w:val="22"/>
          <w:szCs w:val="22"/>
        </w:rPr>
        <w:t>While suspended</w:t>
      </w:r>
      <w:r w:rsidRPr="00477313">
        <w:rPr>
          <w:sz w:val="22"/>
          <w:szCs w:val="22"/>
        </w:rPr>
        <w:t xml:space="preserve">, you are prohibited from participating in or receiving any benefit associated with </w:t>
      </w:r>
      <w:r w:rsidRPr="00015E2D" w:rsidR="00015E2D">
        <w:rPr>
          <w:sz w:val="22"/>
          <w:szCs w:val="22"/>
        </w:rPr>
        <w:t xml:space="preserve">all federal universal service support mechanisms, including </w:t>
      </w:r>
      <w:r w:rsidR="005F50FF">
        <w:rPr>
          <w:sz w:val="22"/>
          <w:szCs w:val="22"/>
        </w:rPr>
        <w:t xml:space="preserve">the </w:t>
      </w:r>
      <w:r w:rsidRPr="00477313">
        <w:rPr>
          <w:sz w:val="22"/>
          <w:szCs w:val="22"/>
        </w:rPr>
        <w:t>E-Rate</w:t>
      </w:r>
      <w:r w:rsidR="005F50FF">
        <w:rPr>
          <w:sz w:val="22"/>
          <w:szCs w:val="22"/>
        </w:rPr>
        <w:t xml:space="preserve"> program</w:t>
      </w:r>
      <w:r w:rsidRPr="00477313">
        <w:rPr>
          <w:sz w:val="22"/>
          <w:szCs w:val="22"/>
        </w:rPr>
        <w:t xml:space="preserve">.  Additionally, in accordance with </w:t>
      </w:r>
      <w:r w:rsidR="006E1B38">
        <w:rPr>
          <w:sz w:val="22"/>
          <w:szCs w:val="22"/>
        </w:rPr>
        <w:t>the Commission’s</w:t>
      </w:r>
      <w:r w:rsidRPr="00477313" w:rsidR="006E1B38">
        <w:rPr>
          <w:sz w:val="22"/>
          <w:szCs w:val="22"/>
        </w:rPr>
        <w:t xml:space="preserve"> </w:t>
      </w:r>
      <w:r w:rsidRPr="00477313">
        <w:rPr>
          <w:sz w:val="22"/>
          <w:szCs w:val="22"/>
        </w:rPr>
        <w:t xml:space="preserve">rules, the Bureau is commencing a proceeding to debar you from future participation in </w:t>
      </w:r>
      <w:r w:rsidRPr="00025386" w:rsidR="00025386">
        <w:rPr>
          <w:sz w:val="22"/>
          <w:szCs w:val="22"/>
        </w:rPr>
        <w:t>all federal universal service support mechanisms for three years</w:t>
      </w:r>
      <w:r w:rsidRPr="00477313">
        <w:rPr>
          <w:sz w:val="22"/>
          <w:szCs w:val="22"/>
        </w:rPr>
        <w:t>.</w:t>
      </w:r>
      <w:r>
        <w:rPr>
          <w:rStyle w:val="FootnoteReference"/>
          <w:sz w:val="22"/>
          <w:szCs w:val="22"/>
        </w:rPr>
        <w:footnoteReference w:id="5"/>
      </w:r>
    </w:p>
    <w:p w:rsidR="00FF1228" w:rsidRPr="00CE3129" w:rsidP="003D2D12" w14:paraId="6E629C16" w14:textId="77777777">
      <w:pPr>
        <w:spacing w:after="120"/>
        <w:ind w:firstLine="720"/>
        <w:contextualSpacing/>
        <w:rPr>
          <w:sz w:val="22"/>
          <w:szCs w:val="22"/>
        </w:rPr>
      </w:pPr>
    </w:p>
    <w:p w:rsidR="00AE2C94" w:rsidRPr="00CE3129" w:rsidP="003D2D12" w14:paraId="63C0FEE7" w14:textId="77777777">
      <w:pPr>
        <w:keepNext/>
        <w:numPr>
          <w:ilvl w:val="0"/>
          <w:numId w:val="1"/>
        </w:numPr>
        <w:spacing w:after="120"/>
        <w:contextualSpacing/>
        <w:rPr>
          <w:sz w:val="22"/>
          <w:szCs w:val="22"/>
        </w:rPr>
      </w:pPr>
      <w:r w:rsidRPr="00CE3129">
        <w:rPr>
          <w:b/>
          <w:sz w:val="22"/>
          <w:szCs w:val="22"/>
        </w:rPr>
        <w:t>Notice of Suspension</w:t>
      </w:r>
    </w:p>
    <w:p w:rsidR="00AE2C94" w:rsidRPr="00CE3129" w:rsidP="003D2D12" w14:paraId="7DFFD9A0" w14:textId="77777777">
      <w:pPr>
        <w:keepNext/>
        <w:spacing w:after="120"/>
        <w:ind w:left="720"/>
        <w:contextualSpacing/>
        <w:rPr>
          <w:sz w:val="22"/>
          <w:szCs w:val="22"/>
        </w:rPr>
      </w:pPr>
    </w:p>
    <w:p w:rsidR="00AE2C94" w:rsidP="003D2D12" w14:paraId="5B4CDD0A" w14:textId="5BD5A3BD">
      <w:pPr>
        <w:spacing w:after="120"/>
        <w:ind w:firstLine="720"/>
        <w:contextualSpacing/>
        <w:rPr>
          <w:sz w:val="22"/>
          <w:szCs w:val="22"/>
        </w:rPr>
      </w:pPr>
      <w:r w:rsidRPr="00CE3129">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CE3129">
        <w:rPr>
          <w:sz w:val="22"/>
          <w:szCs w:val="22"/>
        </w:rPr>
        <w:t xml:space="preserve">  T</w:t>
      </w:r>
      <w:r w:rsidRPr="00CE3129">
        <w:rPr>
          <w:rFonts w:eastAsia="Times New Roman"/>
          <w:sz w:val="22"/>
          <w:szCs w:val="22"/>
        </w:rPr>
        <w:t xml:space="preserve">he statutory provisions and Commission </w:t>
      </w:r>
      <w:r w:rsidRPr="005068E6">
        <w:rPr>
          <w:rFonts w:eastAsia="Times New Roman"/>
          <w:sz w:val="22"/>
          <w:szCs w:val="22"/>
        </w:rPr>
        <w:t>rules relating to the E-Rate program are designed to ensure E-Rate funds are used for their intended purpose</w:t>
      </w:r>
      <w:r w:rsidRPr="005068E6">
        <w:rPr>
          <w:sz w:val="22"/>
          <w:szCs w:val="22"/>
        </w:rPr>
        <w:t>.</w:t>
      </w:r>
      <w:r>
        <w:rPr>
          <w:rStyle w:val="FootnoteReference"/>
          <w:sz w:val="22"/>
          <w:szCs w:val="22"/>
        </w:rPr>
        <w:footnoteReference w:id="7"/>
      </w:r>
      <w:r w:rsidRPr="005068E6">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5068E6">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0" w:name="FN[FN14]"/>
      <w:bookmarkEnd w:id="0"/>
      <w:r>
        <w:rPr>
          <w:sz w:val="22"/>
          <w:szCs w:val="22"/>
        </w:rPr>
        <w:t xml:space="preserve">  Solicitations for E-Rate services must be based on fair and open competitive bidding</w:t>
      </w:r>
      <w:r w:rsidR="00FC211D">
        <w:rPr>
          <w:sz w:val="22"/>
          <w:szCs w:val="22"/>
        </w:rPr>
        <w:t>,</w:t>
      </w:r>
      <w:r>
        <w:rPr>
          <w:sz w:val="22"/>
          <w:szCs w:val="22"/>
        </w:rPr>
        <w:t xml:space="preserve"> free from any conflict</w:t>
      </w:r>
      <w:r w:rsidR="00BA0BAE">
        <w:rPr>
          <w:sz w:val="22"/>
          <w:szCs w:val="22"/>
        </w:rPr>
        <w:t>s</w:t>
      </w:r>
      <w:r>
        <w:rPr>
          <w:sz w:val="22"/>
          <w:szCs w:val="22"/>
        </w:rPr>
        <w:t xml:space="preserve"> of interest.</w:t>
      </w:r>
      <w:r>
        <w:rPr>
          <w:rStyle w:val="FootnoteReference"/>
          <w:sz w:val="22"/>
          <w:szCs w:val="22"/>
        </w:rPr>
        <w:footnoteReference w:id="10"/>
      </w:r>
    </w:p>
    <w:p w:rsidR="003D2D12" w:rsidRPr="005068E6" w:rsidP="003D2D12" w14:paraId="04452BD0" w14:textId="77777777">
      <w:pPr>
        <w:spacing w:after="120"/>
        <w:ind w:firstLine="720"/>
        <w:contextualSpacing/>
        <w:rPr>
          <w:sz w:val="22"/>
          <w:szCs w:val="22"/>
        </w:rPr>
      </w:pPr>
    </w:p>
    <w:p w:rsidR="002C570E" w:rsidP="7B079B11" w14:paraId="6562EAE4" w14:textId="7DA3225C">
      <w:pPr>
        <w:spacing w:before="100" w:beforeAutospacing="1" w:after="120"/>
        <w:ind w:firstLine="720"/>
        <w:contextualSpacing/>
        <w:rPr>
          <w:sz w:val="22"/>
          <w:szCs w:val="22"/>
        </w:rPr>
      </w:pPr>
      <w:r w:rsidRPr="00251C8E">
        <w:rPr>
          <w:sz w:val="22"/>
          <w:szCs w:val="22"/>
        </w:rPr>
        <w:t xml:space="preserve">You pleaded guilty to </w:t>
      </w:r>
      <w:r w:rsidR="00B60464">
        <w:rPr>
          <w:sz w:val="22"/>
          <w:szCs w:val="22"/>
        </w:rPr>
        <w:t xml:space="preserve">a </w:t>
      </w:r>
      <w:r w:rsidR="00A53BEE">
        <w:rPr>
          <w:sz w:val="22"/>
          <w:szCs w:val="22"/>
        </w:rPr>
        <w:t xml:space="preserve">mail and wire fraud </w:t>
      </w:r>
      <w:r w:rsidR="00FF1228">
        <w:rPr>
          <w:sz w:val="22"/>
          <w:szCs w:val="22"/>
        </w:rPr>
        <w:t xml:space="preserve">conspiracy </w:t>
      </w:r>
      <w:r w:rsidR="00A53BEE">
        <w:rPr>
          <w:sz w:val="22"/>
          <w:szCs w:val="22"/>
        </w:rPr>
        <w:t xml:space="preserve">that involved knowingly and willingly </w:t>
      </w:r>
      <w:r w:rsidR="00B60464">
        <w:rPr>
          <w:sz w:val="22"/>
          <w:szCs w:val="22"/>
        </w:rPr>
        <w:t>devising a scheme to obtain money from the E-Rate program fraudulently</w:t>
      </w:r>
      <w:r w:rsidRPr="00251C8E">
        <w:rPr>
          <w:sz w:val="22"/>
          <w:szCs w:val="22"/>
        </w:rPr>
        <w:t>.</w:t>
      </w:r>
      <w:r>
        <w:rPr>
          <w:rStyle w:val="FootnoteReference"/>
          <w:sz w:val="22"/>
          <w:szCs w:val="22"/>
        </w:rPr>
        <w:footnoteReference w:id="11"/>
      </w:r>
      <w:r w:rsidRPr="00251C8E">
        <w:rPr>
          <w:sz w:val="22"/>
          <w:szCs w:val="22"/>
        </w:rPr>
        <w:t xml:space="preserve">  </w:t>
      </w:r>
      <w:r w:rsidR="00B60464">
        <w:rPr>
          <w:sz w:val="22"/>
          <w:szCs w:val="22"/>
        </w:rPr>
        <w:t xml:space="preserve">You and your </w:t>
      </w:r>
      <w:r w:rsidR="009357EE">
        <w:rPr>
          <w:sz w:val="22"/>
          <w:szCs w:val="22"/>
        </w:rPr>
        <w:t>co-conspirator caused Nova to choose ADI as its E-Rate service provider, even though ADI was not chosen through a fair and open competitive bidding process as required by E-Rate rules</w:t>
      </w:r>
      <w:r w:rsidR="00B60464">
        <w:rPr>
          <w:sz w:val="22"/>
          <w:szCs w:val="22"/>
        </w:rPr>
        <w:t>.</w:t>
      </w:r>
      <w:r>
        <w:rPr>
          <w:rStyle w:val="FootnoteReference"/>
          <w:sz w:val="22"/>
          <w:szCs w:val="22"/>
        </w:rPr>
        <w:footnoteReference w:id="12"/>
      </w:r>
      <w:r w:rsidR="00B60464">
        <w:rPr>
          <w:sz w:val="22"/>
          <w:szCs w:val="22"/>
        </w:rPr>
        <w:t xml:space="preserve">  </w:t>
      </w:r>
      <w:r w:rsidR="003A4526">
        <w:rPr>
          <w:sz w:val="22"/>
          <w:szCs w:val="22"/>
        </w:rPr>
        <w:t xml:space="preserve">You and your co-conspirator made false representations to the Universal Service Administrative Company (USAC) to convince USAC’s agents that Nova’s selection of ADI complied with the E-Rate program rules, </w:t>
      </w:r>
      <w:r w:rsidR="00057EA2">
        <w:rPr>
          <w:sz w:val="22"/>
          <w:szCs w:val="22"/>
        </w:rPr>
        <w:t xml:space="preserve">that </w:t>
      </w:r>
      <w:r w:rsidR="003A4526">
        <w:rPr>
          <w:sz w:val="22"/>
          <w:szCs w:val="22"/>
        </w:rPr>
        <w:t>ADI completed the E-Rate discount work for which it had been selected, and that Nova paid ADI the required 10% co-pay for its 90% E-Rate discount.</w:t>
      </w:r>
      <w:r>
        <w:rPr>
          <w:rStyle w:val="FootnoteReference"/>
          <w:sz w:val="22"/>
          <w:szCs w:val="22"/>
        </w:rPr>
        <w:footnoteReference w:id="13"/>
      </w:r>
      <w:r w:rsidR="003A4526">
        <w:rPr>
          <w:sz w:val="22"/>
          <w:szCs w:val="22"/>
        </w:rPr>
        <w:t xml:space="preserve">  </w:t>
      </w:r>
      <w:r w:rsidR="00776C28">
        <w:rPr>
          <w:sz w:val="22"/>
          <w:szCs w:val="22"/>
        </w:rPr>
        <w:t>You and your co-conspirator produced fraudulent invoices used to induce USAC to pay ADI approximately $337,951.06 in E-Rate discount funds for work that ADI was not entitled to perform and did not perform.</w:t>
      </w:r>
      <w:r>
        <w:rPr>
          <w:rStyle w:val="FootnoteReference"/>
          <w:sz w:val="22"/>
          <w:szCs w:val="22"/>
        </w:rPr>
        <w:footnoteReference w:id="14"/>
      </w:r>
    </w:p>
    <w:p w:rsidR="00F0019F" w:rsidP="7B079B11" w14:paraId="49F0C908" w14:textId="7FCFE3CB">
      <w:pPr>
        <w:spacing w:before="100" w:beforeAutospacing="1" w:after="120"/>
        <w:ind w:firstLine="720"/>
        <w:contextualSpacing/>
        <w:rPr>
          <w:sz w:val="22"/>
          <w:szCs w:val="22"/>
        </w:rPr>
      </w:pPr>
      <w:r>
        <w:rPr>
          <w:sz w:val="22"/>
          <w:szCs w:val="22"/>
        </w:rPr>
        <w:t xml:space="preserve"> </w:t>
      </w:r>
    </w:p>
    <w:p w:rsidR="00AE2C94" w:rsidP="003D2D12" w14:paraId="623BCB8F" w14:textId="64BC398B">
      <w:pPr>
        <w:spacing w:before="100" w:beforeAutospacing="1" w:after="120"/>
        <w:ind w:firstLine="720"/>
        <w:contextualSpacing/>
        <w:rPr>
          <w:sz w:val="22"/>
          <w:szCs w:val="22"/>
        </w:rPr>
      </w:pPr>
      <w:r w:rsidRPr="00B60971">
        <w:rPr>
          <w:sz w:val="22"/>
          <w:szCs w:val="22"/>
        </w:rPr>
        <w:t xml:space="preserve">In </w:t>
      </w:r>
      <w:r w:rsidR="00776C28">
        <w:rPr>
          <w:sz w:val="22"/>
          <w:szCs w:val="22"/>
        </w:rPr>
        <w:t>January 2020</w:t>
      </w:r>
      <w:r w:rsidRPr="00B60971">
        <w:rPr>
          <w:sz w:val="22"/>
          <w:szCs w:val="22"/>
        </w:rPr>
        <w:t xml:space="preserve">, the United States District Court for the </w:t>
      </w:r>
      <w:r w:rsidR="00776C28">
        <w:rPr>
          <w:sz w:val="22"/>
          <w:szCs w:val="22"/>
        </w:rPr>
        <w:t>Northern</w:t>
      </w:r>
      <w:r w:rsidR="00D43665">
        <w:rPr>
          <w:sz w:val="22"/>
          <w:szCs w:val="22"/>
        </w:rPr>
        <w:t xml:space="preserve"> </w:t>
      </w:r>
      <w:r w:rsidRPr="00B60971">
        <w:rPr>
          <w:sz w:val="22"/>
          <w:szCs w:val="22"/>
        </w:rPr>
        <w:t xml:space="preserve">District of </w:t>
      </w:r>
      <w:r w:rsidR="00776C28">
        <w:rPr>
          <w:sz w:val="22"/>
          <w:szCs w:val="22"/>
        </w:rPr>
        <w:t>Texas</w:t>
      </w:r>
      <w:r w:rsidRPr="00B60971">
        <w:rPr>
          <w:sz w:val="22"/>
          <w:szCs w:val="22"/>
        </w:rPr>
        <w:t xml:space="preserve"> sentenced you to</w:t>
      </w:r>
      <w:r w:rsidR="003D2D12">
        <w:rPr>
          <w:sz w:val="22"/>
          <w:szCs w:val="22"/>
        </w:rPr>
        <w:t xml:space="preserve"> </w:t>
      </w:r>
      <w:r w:rsidR="00776C28">
        <w:rPr>
          <w:sz w:val="22"/>
          <w:szCs w:val="22"/>
        </w:rPr>
        <w:t xml:space="preserve">thirty months in prison followed by two </w:t>
      </w:r>
      <w:r w:rsidR="00D43665">
        <w:rPr>
          <w:sz w:val="22"/>
          <w:szCs w:val="22"/>
        </w:rPr>
        <w:t xml:space="preserve">years of </w:t>
      </w:r>
      <w:r w:rsidR="00776C28">
        <w:rPr>
          <w:sz w:val="22"/>
          <w:szCs w:val="22"/>
        </w:rPr>
        <w:t>supervised release</w:t>
      </w:r>
      <w:r w:rsidRPr="00B60971">
        <w:rPr>
          <w:sz w:val="22"/>
          <w:szCs w:val="22"/>
        </w:rPr>
        <w:t>.</w:t>
      </w:r>
      <w:r>
        <w:rPr>
          <w:rStyle w:val="FootnoteReference"/>
          <w:sz w:val="22"/>
          <w:szCs w:val="22"/>
        </w:rPr>
        <w:footnoteReference w:id="15"/>
      </w:r>
      <w:r w:rsidRPr="00B60971">
        <w:rPr>
          <w:sz w:val="22"/>
          <w:szCs w:val="22"/>
        </w:rPr>
        <w:t xml:space="preserve">  The court also ordered you to pay</w:t>
      </w:r>
      <w:r w:rsidR="00D43665">
        <w:rPr>
          <w:sz w:val="22"/>
          <w:szCs w:val="22"/>
        </w:rPr>
        <w:t xml:space="preserve"> $</w:t>
      </w:r>
      <w:r w:rsidR="00776C28">
        <w:rPr>
          <w:sz w:val="22"/>
          <w:szCs w:val="22"/>
        </w:rPr>
        <w:t>337,951.06</w:t>
      </w:r>
      <w:r w:rsidR="00D43665">
        <w:rPr>
          <w:sz w:val="22"/>
          <w:szCs w:val="22"/>
        </w:rPr>
        <w:t xml:space="preserve"> in restitution and</w:t>
      </w:r>
      <w:r w:rsidRPr="00B60971">
        <w:rPr>
          <w:sz w:val="22"/>
          <w:szCs w:val="22"/>
        </w:rPr>
        <w:t xml:space="preserve"> a $100 special assessment</w:t>
      </w:r>
      <w:r w:rsidR="00BA0BAE">
        <w:rPr>
          <w:sz w:val="22"/>
          <w:szCs w:val="22"/>
        </w:rPr>
        <w:t xml:space="preserve"> fee</w:t>
      </w:r>
      <w:r w:rsidRPr="00B60971">
        <w:rPr>
          <w:sz w:val="22"/>
          <w:szCs w:val="22"/>
        </w:rPr>
        <w:t>.</w:t>
      </w:r>
      <w:r>
        <w:rPr>
          <w:rStyle w:val="FootnoteReference"/>
          <w:sz w:val="22"/>
          <w:szCs w:val="22"/>
        </w:rPr>
        <w:footnoteReference w:id="16"/>
      </w:r>
    </w:p>
    <w:p w:rsidR="003D2D12" w:rsidRPr="005068E6" w:rsidP="003D2D12" w14:paraId="7F0EC151" w14:textId="77777777">
      <w:pPr>
        <w:spacing w:before="100" w:beforeAutospacing="1" w:after="120"/>
        <w:ind w:firstLine="720"/>
        <w:contextualSpacing/>
        <w:rPr>
          <w:sz w:val="22"/>
          <w:szCs w:val="22"/>
        </w:rPr>
      </w:pPr>
    </w:p>
    <w:p w:rsidR="00D661CB" w:rsidRPr="005068E6" w:rsidP="003D2D12" w14:paraId="7F9B2E49" w14:textId="649440CF">
      <w:pPr>
        <w:spacing w:after="120"/>
        <w:ind w:firstLine="720"/>
        <w:contextualSpacing/>
        <w:rPr>
          <w:sz w:val="22"/>
          <w:szCs w:val="22"/>
        </w:rPr>
      </w:pPr>
      <w:r w:rsidRPr="005068E6">
        <w:rPr>
          <w:sz w:val="22"/>
          <w:szCs w:val="22"/>
        </w:rPr>
        <w:t xml:space="preserve">Pursuant to </w:t>
      </w:r>
      <w:r w:rsidR="00794C68">
        <w:rPr>
          <w:sz w:val="22"/>
          <w:szCs w:val="22"/>
        </w:rPr>
        <w:t>s</w:t>
      </w:r>
      <w:r w:rsidRPr="005068E6">
        <w:rPr>
          <w:sz w:val="22"/>
          <w:szCs w:val="22"/>
        </w:rPr>
        <w:t>ection 54.8(</w:t>
      </w:r>
      <w:r w:rsidR="00582D6D">
        <w:rPr>
          <w:sz w:val="22"/>
          <w:szCs w:val="22"/>
        </w:rPr>
        <w:t>d</w:t>
      </w:r>
      <w:r w:rsidRPr="005068E6">
        <w:rPr>
          <w:sz w:val="22"/>
          <w:szCs w:val="22"/>
        </w:rPr>
        <w:t>) of the Commission’s rules,</w:t>
      </w:r>
      <w:r>
        <w:rPr>
          <w:rStyle w:val="FootnoteReference"/>
          <w:sz w:val="22"/>
          <w:szCs w:val="22"/>
        </w:rPr>
        <w:footnoteReference w:id="17"/>
      </w:r>
      <w:r w:rsidRPr="005068E6">
        <w:rPr>
          <w:sz w:val="22"/>
          <w:szCs w:val="22"/>
        </w:rPr>
        <w:t xml:space="preserve"> your conviction requires the Bureau to suspend you from</w:t>
      </w:r>
      <w:r w:rsidR="002D3818">
        <w:rPr>
          <w:sz w:val="22"/>
          <w:szCs w:val="22"/>
        </w:rPr>
        <w:t>:</w:t>
      </w:r>
      <w:r w:rsidR="00015E2D">
        <w:rPr>
          <w:sz w:val="22"/>
          <w:szCs w:val="22"/>
        </w:rPr>
        <w:t xml:space="preserve"> (a)</w:t>
      </w:r>
      <w:r w:rsidRPr="005068E6">
        <w:rPr>
          <w:sz w:val="22"/>
          <w:szCs w:val="22"/>
        </w:rPr>
        <w:t xml:space="preserve"> participating in any activities associated with or related to the E-Rate program, including the receipt of funds or discounted services through the E-Rate program, or consulting with, assisting, or advising applicants or service providers regarding the E-Rate program</w:t>
      </w:r>
      <w:r w:rsidRPr="00015E2D" w:rsidR="00015E2D">
        <w:rPr>
          <w:sz w:val="22"/>
          <w:szCs w:val="22"/>
        </w:rPr>
        <w:t>; and (b) participating in any activities associated with or related to all federal universal service support mechanisms</w:t>
      </w:r>
      <w:r w:rsidRPr="005068E6">
        <w:rPr>
          <w:sz w:val="22"/>
          <w:szCs w:val="22"/>
        </w:rPr>
        <w:t>.</w:t>
      </w:r>
      <w:r>
        <w:rPr>
          <w:rStyle w:val="FootnoteReference"/>
          <w:sz w:val="22"/>
          <w:szCs w:val="22"/>
        </w:rPr>
        <w:footnoteReference w:id="18"/>
      </w:r>
      <w:r w:rsidRPr="005068E6">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19"/>
      </w:r>
    </w:p>
    <w:p w:rsidR="00D661CB" w:rsidRPr="00CE3129" w:rsidP="003D2D12" w14:paraId="7F4BB627" w14:textId="77777777">
      <w:pPr>
        <w:spacing w:after="120"/>
        <w:contextualSpacing/>
        <w:rPr>
          <w:sz w:val="22"/>
          <w:szCs w:val="22"/>
        </w:rPr>
      </w:pPr>
    </w:p>
    <w:p w:rsidR="00D661CB" w:rsidRPr="00CE3129" w:rsidP="003D2D12" w14:paraId="1697FE51" w14:textId="766A1FF3">
      <w:pPr>
        <w:spacing w:after="120"/>
        <w:ind w:firstLine="720"/>
        <w:contextualSpacing/>
        <w:rPr>
          <w:sz w:val="22"/>
          <w:szCs w:val="22"/>
        </w:rPr>
      </w:pPr>
      <w:r w:rsidRPr="00CE3129">
        <w:rPr>
          <w:sz w:val="22"/>
          <w:szCs w:val="22"/>
        </w:rPr>
        <w:t xml:space="preserve">In accordance with the Commission’s suspension and debarment rules, you may contest this suspension or the scope of this suspension by filing arguments, with any relevant documents, within thirty calendar days of your receipt of this letter or </w:t>
      </w:r>
      <w:r w:rsidRPr="00DA0D3E" w:rsidR="00585516">
        <w:rPr>
          <w:sz w:val="22"/>
          <w:szCs w:val="22"/>
        </w:rPr>
        <w:t>publication</w:t>
      </w:r>
      <w:r w:rsidR="00585516">
        <w:rPr>
          <w:sz w:val="22"/>
          <w:szCs w:val="22"/>
        </w:rPr>
        <w:t xml:space="preserve"> of notice of the suspension</w:t>
      </w:r>
      <w:r w:rsidRPr="00DA0D3E" w:rsidR="00585516">
        <w:rPr>
          <w:sz w:val="22"/>
          <w:szCs w:val="22"/>
        </w:rPr>
        <w:t xml:space="preserve"> </w:t>
      </w:r>
      <w:r w:rsidRPr="00CE3129">
        <w:rPr>
          <w:sz w:val="22"/>
          <w:szCs w:val="22"/>
        </w:rPr>
        <w:t>in the Federal Register, whichever comes first.</w:t>
      </w:r>
      <w:r>
        <w:rPr>
          <w:rStyle w:val="FootnoteReference"/>
          <w:sz w:val="22"/>
          <w:szCs w:val="22"/>
        </w:rPr>
        <w:footnoteReference w:id="20"/>
      </w:r>
      <w:r w:rsidRPr="00CE3129">
        <w:rPr>
          <w:sz w:val="22"/>
          <w:szCs w:val="22"/>
        </w:rPr>
        <w:t xml:space="preserve">  Such requests, however, will not ordinarily be granted.</w:t>
      </w:r>
      <w:r>
        <w:rPr>
          <w:rStyle w:val="FootnoteReference"/>
          <w:sz w:val="22"/>
          <w:szCs w:val="22"/>
        </w:rPr>
        <w:footnoteReference w:id="21"/>
      </w:r>
      <w:r w:rsidRPr="00CE3129">
        <w:rPr>
          <w:sz w:val="22"/>
          <w:szCs w:val="22"/>
        </w:rPr>
        <w:t xml:space="preserve">  The Bureau may reverse or limit the scope of a suspension only upon a finding of extraordinary circumstances.</w:t>
      </w:r>
      <w:r>
        <w:rPr>
          <w:rStyle w:val="FootnoteReference"/>
          <w:sz w:val="22"/>
          <w:szCs w:val="22"/>
        </w:rPr>
        <w:footnoteReference w:id="22"/>
      </w:r>
      <w:r w:rsidRPr="00CE3129">
        <w:rPr>
          <w:sz w:val="22"/>
          <w:szCs w:val="22"/>
        </w:rPr>
        <w:t xml:space="preserve">  The Bureau will decide any request to reverse or modify a suspension within ninety</w:t>
      </w:r>
      <w:r w:rsidR="00302F84">
        <w:rPr>
          <w:sz w:val="22"/>
          <w:szCs w:val="22"/>
        </w:rPr>
        <w:t xml:space="preserve"> </w:t>
      </w:r>
      <w:r w:rsidRPr="00CE3129">
        <w:rPr>
          <w:sz w:val="22"/>
          <w:szCs w:val="22"/>
        </w:rPr>
        <w:t>calendar days of its receipt of such request.</w:t>
      </w:r>
      <w:r>
        <w:rPr>
          <w:rStyle w:val="FootnoteReference"/>
          <w:sz w:val="22"/>
          <w:szCs w:val="22"/>
        </w:rPr>
        <w:footnoteReference w:id="23"/>
      </w:r>
    </w:p>
    <w:p w:rsidR="00D661CB" w:rsidRPr="00CE3129" w:rsidP="003D2D12" w14:paraId="60041E8C" w14:textId="77777777">
      <w:pPr>
        <w:spacing w:after="120"/>
        <w:contextualSpacing/>
        <w:rPr>
          <w:sz w:val="22"/>
          <w:szCs w:val="22"/>
        </w:rPr>
      </w:pPr>
    </w:p>
    <w:p w:rsidR="00D661CB" w:rsidRPr="00CE3129" w:rsidP="003D2D12" w14:paraId="1914D8BF" w14:textId="77777777">
      <w:pPr>
        <w:numPr>
          <w:ilvl w:val="0"/>
          <w:numId w:val="1"/>
        </w:numPr>
        <w:spacing w:after="120"/>
        <w:contextualSpacing/>
        <w:rPr>
          <w:sz w:val="22"/>
          <w:szCs w:val="22"/>
        </w:rPr>
      </w:pPr>
      <w:r w:rsidRPr="00CE3129">
        <w:rPr>
          <w:b/>
          <w:sz w:val="22"/>
          <w:szCs w:val="22"/>
        </w:rPr>
        <w:t>Initiation of Debarment Proceedings</w:t>
      </w:r>
    </w:p>
    <w:p w:rsidR="00D661CB" w:rsidRPr="00CE3129" w:rsidP="003D2D12" w14:paraId="4FCBE2D7" w14:textId="77777777">
      <w:pPr>
        <w:tabs>
          <w:tab w:val="left" w:pos="540"/>
        </w:tabs>
        <w:spacing w:after="120"/>
        <w:contextualSpacing/>
        <w:rPr>
          <w:sz w:val="22"/>
          <w:szCs w:val="22"/>
        </w:rPr>
      </w:pPr>
    </w:p>
    <w:p w:rsidR="00D661CB" w:rsidRPr="00CE3129" w:rsidP="003D2D12" w14:paraId="5BCA2892" w14:textId="22FB15BA">
      <w:pPr>
        <w:spacing w:after="120"/>
        <w:ind w:firstLine="720"/>
        <w:contextualSpacing/>
        <w:rPr>
          <w:sz w:val="22"/>
          <w:szCs w:val="22"/>
        </w:rPr>
      </w:pPr>
      <w:r w:rsidRPr="00CE3129">
        <w:rPr>
          <w:sz w:val="22"/>
          <w:szCs w:val="22"/>
        </w:rPr>
        <w:t xml:space="preserve">In addition to requiring your immediate suspension from </w:t>
      </w:r>
      <w:r w:rsidRPr="00015E2D" w:rsidR="00015E2D">
        <w:rPr>
          <w:sz w:val="22"/>
          <w:szCs w:val="22"/>
        </w:rPr>
        <w:t>all federal universal service support mechanisms, including</w:t>
      </w:r>
      <w:r w:rsidR="007D2F46">
        <w:rPr>
          <w:sz w:val="22"/>
          <w:szCs w:val="22"/>
        </w:rPr>
        <w:t xml:space="preserve"> the E-Rate program</w:t>
      </w:r>
      <w:r w:rsidRPr="00CE3129">
        <w:rPr>
          <w:sz w:val="22"/>
          <w:szCs w:val="22"/>
        </w:rPr>
        <w:t xml:space="preserve">, your conviction is cause for debarment as defined in </w:t>
      </w:r>
      <w:r>
        <w:rPr>
          <w:sz w:val="22"/>
          <w:szCs w:val="22"/>
        </w:rPr>
        <w:t>s</w:t>
      </w:r>
      <w:r w:rsidRPr="00CE3129">
        <w:rPr>
          <w:sz w:val="22"/>
          <w:szCs w:val="22"/>
        </w:rPr>
        <w:t>ection 54.8(c) of the Commission’s rules.</w:t>
      </w:r>
      <w:r>
        <w:rPr>
          <w:rStyle w:val="FootnoteReference"/>
          <w:sz w:val="22"/>
          <w:szCs w:val="22"/>
        </w:rPr>
        <w:footnoteReference w:id="24"/>
      </w:r>
      <w:r w:rsidRPr="00CE3129">
        <w:rPr>
          <w:sz w:val="22"/>
          <w:szCs w:val="22"/>
        </w:rPr>
        <w:t xml:space="preserve">  Therefore, pursuant to </w:t>
      </w:r>
      <w:r>
        <w:rPr>
          <w:sz w:val="22"/>
          <w:szCs w:val="22"/>
        </w:rPr>
        <w:t>s</w:t>
      </w:r>
      <w:r w:rsidRPr="00CE3129">
        <w:rPr>
          <w:sz w:val="22"/>
          <w:szCs w:val="22"/>
        </w:rPr>
        <w:t>ection 54.8(b) of the Commission’s rules, your conviction requires the Bureau to commence debarment proceedings against you.</w:t>
      </w:r>
      <w:r>
        <w:rPr>
          <w:rStyle w:val="FootnoteReference"/>
          <w:sz w:val="22"/>
          <w:szCs w:val="22"/>
        </w:rPr>
        <w:footnoteReference w:id="25"/>
      </w:r>
    </w:p>
    <w:p w:rsidR="00D661CB" w:rsidRPr="00CE3129" w:rsidP="003D2D12" w14:paraId="75835A67" w14:textId="77777777">
      <w:pPr>
        <w:tabs>
          <w:tab w:val="left" w:pos="540"/>
        </w:tabs>
        <w:spacing w:after="120"/>
        <w:contextualSpacing/>
        <w:rPr>
          <w:sz w:val="22"/>
          <w:szCs w:val="22"/>
        </w:rPr>
      </w:pPr>
    </w:p>
    <w:p w:rsidR="00D661CB" w:rsidRPr="00CE3129" w:rsidP="003D2D12" w14:paraId="4B301ACD" w14:textId="37A63E2B">
      <w:pPr>
        <w:spacing w:after="120"/>
        <w:ind w:firstLine="720"/>
        <w:contextualSpacing/>
        <w:rPr>
          <w:sz w:val="22"/>
          <w:szCs w:val="22"/>
        </w:rPr>
      </w:pPr>
      <w:r w:rsidRPr="00CE3129">
        <w:rPr>
          <w:sz w:val="22"/>
          <w:szCs w:val="22"/>
        </w:rPr>
        <w:t>As with the suspension process, you may contest the proposed debarment or the scope of the proposed debarment by filing arguments and any relevant documentation within thirty calendar days of receipt of this letter or its publication in the Federal Register, whichever comes first.</w:t>
      </w:r>
      <w:r>
        <w:rPr>
          <w:rStyle w:val="FootnoteReference"/>
          <w:sz w:val="22"/>
          <w:szCs w:val="22"/>
        </w:rPr>
        <w:footnoteReference w:id="26"/>
      </w:r>
      <w:r w:rsidRPr="00CE3129">
        <w:rPr>
          <w:sz w:val="22"/>
          <w:szCs w:val="22"/>
        </w:rPr>
        <w:t xml:space="preserve">  The Bureau, in the absence of extraordinary circumstances, will notify you of its decision to debar within ninety calendar days of receiving any information you may have filed.</w:t>
      </w:r>
      <w:r>
        <w:rPr>
          <w:rStyle w:val="FootnoteReference"/>
          <w:sz w:val="22"/>
          <w:szCs w:val="22"/>
        </w:rPr>
        <w:footnoteReference w:id="27"/>
      </w:r>
      <w:r>
        <w:rPr>
          <w:sz w:val="22"/>
          <w:szCs w:val="22"/>
        </w:rPr>
        <w:t xml:space="preserve"> </w:t>
      </w:r>
      <w:r w:rsidRPr="00CE3129">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28"/>
      </w:r>
    </w:p>
    <w:p w:rsidR="00D661CB" w:rsidRPr="00CE3129" w:rsidP="003D2D12" w14:paraId="0F810E35" w14:textId="77777777">
      <w:pPr>
        <w:tabs>
          <w:tab w:val="left" w:pos="540"/>
        </w:tabs>
        <w:spacing w:after="120"/>
        <w:contextualSpacing/>
        <w:rPr>
          <w:sz w:val="22"/>
          <w:szCs w:val="22"/>
        </w:rPr>
      </w:pPr>
    </w:p>
    <w:p w:rsidR="00D661CB" w:rsidRPr="00CE3129" w:rsidP="003D2D12" w14:paraId="650AB1A9" w14:textId="64A52794">
      <w:pPr>
        <w:spacing w:after="120"/>
        <w:ind w:firstLine="720"/>
        <w:contextualSpacing/>
        <w:rPr>
          <w:sz w:val="22"/>
          <w:szCs w:val="22"/>
        </w:rPr>
      </w:pPr>
      <w:r w:rsidRPr="00CE3129">
        <w:rPr>
          <w:sz w:val="22"/>
          <w:szCs w:val="22"/>
        </w:rPr>
        <w:t>If and when your debarment becomes effective, you will be prohibited from participating in activities associated with or related</w:t>
      </w:r>
      <w:r w:rsidR="00BA0BAE">
        <w:rPr>
          <w:sz w:val="22"/>
          <w:szCs w:val="22"/>
        </w:rPr>
        <w:t xml:space="preserve"> </w:t>
      </w:r>
      <w:r w:rsidR="002049FC">
        <w:rPr>
          <w:sz w:val="22"/>
          <w:szCs w:val="22"/>
        </w:rPr>
        <w:t xml:space="preserve">to </w:t>
      </w:r>
      <w:r w:rsidRPr="00015E2D" w:rsidR="00BA0BAE">
        <w:rPr>
          <w:sz w:val="22"/>
          <w:szCs w:val="22"/>
        </w:rPr>
        <w:t>all federal universal service support mechanisms</w:t>
      </w:r>
      <w:r w:rsidR="00BA0BAE">
        <w:rPr>
          <w:sz w:val="22"/>
          <w:szCs w:val="22"/>
        </w:rPr>
        <w:t>, including</w:t>
      </w:r>
      <w:r w:rsidRPr="00CE3129">
        <w:rPr>
          <w:sz w:val="22"/>
          <w:szCs w:val="22"/>
        </w:rPr>
        <w:t xml:space="preserve"> the E-Rate program</w:t>
      </w:r>
      <w:r w:rsidR="00BA0BAE">
        <w:rPr>
          <w:sz w:val="22"/>
          <w:szCs w:val="22"/>
        </w:rPr>
        <w:t>,</w:t>
      </w:r>
      <w:r w:rsidRPr="00CE3129">
        <w:rPr>
          <w:sz w:val="22"/>
          <w:szCs w:val="22"/>
        </w:rPr>
        <w:t xml:space="preserve"> for three</w:t>
      </w:r>
      <w:r w:rsidR="00DE737D">
        <w:rPr>
          <w:sz w:val="22"/>
          <w:szCs w:val="22"/>
        </w:rPr>
        <w:t xml:space="preserve"> </w:t>
      </w:r>
      <w:r w:rsidRPr="00CE3129">
        <w:rPr>
          <w:sz w:val="22"/>
          <w:szCs w:val="22"/>
        </w:rPr>
        <w:t>years from the date of debarment.</w:t>
      </w:r>
      <w:r>
        <w:rPr>
          <w:rStyle w:val="FootnoteReference"/>
          <w:sz w:val="22"/>
          <w:szCs w:val="22"/>
        </w:rPr>
        <w:footnoteReference w:id="29"/>
      </w:r>
      <w:r w:rsidRPr="00CE3129">
        <w:rPr>
          <w:sz w:val="22"/>
          <w:szCs w:val="22"/>
        </w:rPr>
        <w:t xml:space="preserve">  The Bureau may set a longer debarment period or extend an existing debarment period if necessary to protect the public interest.</w:t>
      </w:r>
      <w:r>
        <w:rPr>
          <w:rStyle w:val="FootnoteReference"/>
          <w:sz w:val="22"/>
          <w:szCs w:val="22"/>
        </w:rPr>
        <w:footnoteReference w:id="30"/>
      </w:r>
      <w:r w:rsidR="00AC1A39">
        <w:rPr>
          <w:sz w:val="22"/>
          <w:szCs w:val="22"/>
        </w:rPr>
        <w:t xml:space="preserve">  Pursuant to the Commission’s rules, should you choose to contest the scope or length of any such debarment, you must file arguments and any relevant documentation within thirty calendar days of receipt of </w:t>
      </w:r>
      <w:r w:rsidR="00193908">
        <w:rPr>
          <w:sz w:val="22"/>
          <w:szCs w:val="22"/>
        </w:rPr>
        <w:t xml:space="preserve">this letter </w:t>
      </w:r>
      <w:r w:rsidR="00AC1A39">
        <w:rPr>
          <w:sz w:val="22"/>
          <w:szCs w:val="22"/>
        </w:rPr>
        <w:t xml:space="preserve">or </w:t>
      </w:r>
      <w:r w:rsidR="00193908">
        <w:rPr>
          <w:sz w:val="22"/>
          <w:szCs w:val="22"/>
        </w:rPr>
        <w:t xml:space="preserve">the </w:t>
      </w:r>
      <w:r w:rsidR="00AC1A39">
        <w:rPr>
          <w:sz w:val="22"/>
          <w:szCs w:val="22"/>
        </w:rPr>
        <w:t xml:space="preserve">publication in the Federal Register of such </w:t>
      </w:r>
      <w:r w:rsidR="00193908">
        <w:rPr>
          <w:sz w:val="22"/>
          <w:szCs w:val="22"/>
        </w:rPr>
        <w:t xml:space="preserve">proposed </w:t>
      </w:r>
      <w:r w:rsidR="00AC1A39">
        <w:rPr>
          <w:sz w:val="22"/>
          <w:szCs w:val="22"/>
        </w:rPr>
        <w:t>debarment, whichever is earlier.</w:t>
      </w:r>
      <w:r>
        <w:rPr>
          <w:rStyle w:val="FootnoteReference"/>
          <w:sz w:val="22"/>
          <w:szCs w:val="22"/>
        </w:rPr>
        <w:footnoteReference w:id="31"/>
      </w:r>
    </w:p>
    <w:p w:rsidR="00D661CB" w:rsidRPr="00CE3129" w:rsidP="003D2D12" w14:paraId="664E9940" w14:textId="77777777">
      <w:pPr>
        <w:tabs>
          <w:tab w:val="left" w:pos="540"/>
        </w:tabs>
        <w:spacing w:after="120"/>
        <w:contextualSpacing/>
        <w:rPr>
          <w:sz w:val="22"/>
          <w:szCs w:val="22"/>
        </w:rPr>
      </w:pPr>
    </w:p>
    <w:p w:rsidR="00D661CB" w:rsidRPr="00CD4BC1" w:rsidP="003D2D12" w14:paraId="705A2BED" w14:textId="77777777">
      <w:pPr>
        <w:spacing w:after="120"/>
        <w:ind w:firstLine="720"/>
        <w:contextualSpacing/>
        <w:rPr>
          <w:sz w:val="22"/>
          <w:szCs w:val="22"/>
        </w:rPr>
      </w:pPr>
      <w:r w:rsidRPr="00CD4BC1">
        <w:rPr>
          <w:sz w:val="22"/>
          <w:szCs w:val="22"/>
        </w:rPr>
        <w:t>Please direct any response as follows:</w:t>
      </w:r>
    </w:p>
    <w:p w:rsidR="00D661CB" w:rsidRPr="00CE3129" w:rsidP="003D2D12" w14:paraId="4E5410B8" w14:textId="77777777">
      <w:pPr>
        <w:spacing w:after="120"/>
        <w:ind w:firstLine="720"/>
        <w:contextualSpacing/>
        <w:rPr>
          <w:sz w:val="22"/>
          <w:szCs w:val="22"/>
        </w:rPr>
      </w:pPr>
    </w:p>
    <w:p w:rsidR="00D661CB" w:rsidRPr="00CE3129" w:rsidP="003D2D12" w14:paraId="0A1232CC" w14:textId="21361AE7">
      <w:pPr>
        <w:spacing w:after="120"/>
        <w:ind w:firstLine="720"/>
        <w:contextualSpacing/>
        <w:rPr>
          <w:rFonts w:eastAsia="ヒラギノ角ゴ Pro W3"/>
          <w:sz w:val="22"/>
          <w:szCs w:val="22"/>
        </w:rPr>
      </w:pPr>
      <w:r w:rsidRPr="00CE3129">
        <w:rPr>
          <w:rFonts w:eastAsia="ヒラギノ角ゴ Pro W3"/>
          <w:i/>
          <w:sz w:val="22"/>
          <w:szCs w:val="22"/>
        </w:rPr>
        <w:t>If sent by messenger or hand delivery</w:t>
      </w:r>
      <w:r w:rsidRPr="00CE3129">
        <w:rPr>
          <w:rFonts w:eastAsia="ヒラギノ角ゴ Pro W3"/>
          <w:sz w:val="22"/>
          <w:szCs w:val="22"/>
        </w:rPr>
        <w:t xml:space="preserve">, </w:t>
      </w:r>
      <w:r w:rsidRPr="00CE3129">
        <w:rPr>
          <w:rFonts w:eastAsia="ヒラギノ角ゴ Pro W3"/>
          <w:i/>
          <w:iCs/>
          <w:sz w:val="22"/>
          <w:szCs w:val="22"/>
        </w:rPr>
        <w:t>or</w:t>
      </w:r>
      <w:r w:rsidRPr="00CE3129">
        <w:rPr>
          <w:rFonts w:eastAsia="ヒラギノ角ゴ Pro W3"/>
          <w:i/>
          <w:sz w:val="22"/>
          <w:szCs w:val="22"/>
        </w:rPr>
        <w:t xml:space="preserve"> by commercial overnight mail</w:t>
      </w:r>
      <w:r w:rsidRPr="00CE3129">
        <w:rPr>
          <w:rFonts w:eastAsia="ヒラギノ角ゴ Pro W3"/>
          <w:sz w:val="22"/>
          <w:szCs w:val="22"/>
        </w:rPr>
        <w:t xml:space="preserve"> (other than U.S. Postal Service Priority</w:t>
      </w:r>
      <w:r>
        <w:rPr>
          <w:rFonts w:eastAsia="ヒラギノ角ゴ Pro W3"/>
          <w:sz w:val="22"/>
          <w:szCs w:val="22"/>
        </w:rPr>
        <w:t xml:space="preserve"> Mail, Priority</w:t>
      </w:r>
      <w:r w:rsidRPr="00CE3129">
        <w:rPr>
          <w:rFonts w:eastAsia="ヒラギノ角ゴ Pro W3"/>
          <w:sz w:val="22"/>
          <w:szCs w:val="22"/>
        </w:rPr>
        <w:t xml:space="preserve"> Mail Express</w:t>
      </w:r>
      <w:r>
        <w:rPr>
          <w:rFonts w:eastAsia="ヒラギノ角ゴ Pro W3"/>
          <w:sz w:val="22"/>
          <w:szCs w:val="22"/>
        </w:rPr>
        <w:t>,</w:t>
      </w:r>
      <w:r w:rsidRPr="00CE3129">
        <w:rPr>
          <w:rFonts w:eastAsia="ヒラギノ角ゴ Pro W3"/>
          <w:sz w:val="22"/>
          <w:szCs w:val="22"/>
        </w:rPr>
        <w:t xml:space="preserve"> and Priority Mail), the response </w:t>
      </w:r>
      <w:r w:rsidR="007D2047">
        <w:rPr>
          <w:rFonts w:eastAsia="ヒラギノ角ゴ Pro W3"/>
          <w:sz w:val="22"/>
          <w:szCs w:val="22"/>
        </w:rPr>
        <w:t>must</w:t>
      </w:r>
      <w:r w:rsidRPr="00CE3129" w:rsidR="007D2047">
        <w:rPr>
          <w:rFonts w:eastAsia="ヒラギノ角ゴ Pro W3"/>
          <w:sz w:val="22"/>
          <w:szCs w:val="22"/>
        </w:rPr>
        <w:t xml:space="preserve"> </w:t>
      </w:r>
      <w:r w:rsidRPr="00CE3129">
        <w:rPr>
          <w:rFonts w:eastAsia="ヒラギノ角ゴ Pro W3"/>
          <w:sz w:val="22"/>
          <w:szCs w:val="22"/>
        </w:rPr>
        <w:t xml:space="preserve">be sent to </w:t>
      </w:r>
      <w:r w:rsidRPr="00CE3129">
        <w:rPr>
          <w:sz w:val="22"/>
          <w:szCs w:val="22"/>
        </w:rPr>
        <w:t xml:space="preserve">Marlene H. Dortch, Secretary, Federal Communications Commission, </w:t>
      </w:r>
      <w:r w:rsidRPr="00CE3129">
        <w:rPr>
          <w:rFonts w:eastAsia="ヒラギノ角ゴ Pro W3"/>
          <w:sz w:val="22"/>
          <w:szCs w:val="22"/>
        </w:rPr>
        <w:t xml:space="preserve">to the attention of </w:t>
      </w:r>
      <w:r w:rsidR="003205E0">
        <w:rPr>
          <w:rFonts w:eastAsia="ヒラギノ角ゴ Pro W3"/>
          <w:sz w:val="22"/>
          <w:szCs w:val="18"/>
        </w:rPr>
        <w:t>Christopher J. Sova</w:t>
      </w:r>
      <w:r w:rsidRPr="00CE3129">
        <w:rPr>
          <w:rFonts w:eastAsia="ヒラギノ角ゴ Pro W3"/>
          <w:sz w:val="22"/>
          <w:szCs w:val="22"/>
        </w:rPr>
        <w:t xml:space="preserve">, </w:t>
      </w:r>
      <w:r>
        <w:rPr>
          <w:rFonts w:eastAsia="ヒラギノ角ゴ Pro W3"/>
          <w:sz w:val="22"/>
          <w:szCs w:val="22"/>
        </w:rPr>
        <w:t xml:space="preserve">Chief, </w:t>
      </w:r>
      <w:r w:rsidRPr="00CE3129">
        <w:rPr>
          <w:rFonts w:eastAsia="ヒラギノ角ゴ Pro W3"/>
          <w:sz w:val="22"/>
          <w:szCs w:val="22"/>
        </w:rPr>
        <w:t>Investigations and Hearings Division, Enforcement Bureau, Federal Communications Commission, 9050 Junction Drive, Annapolis Junction, MD, 20701</w:t>
      </w:r>
      <w:r w:rsidR="005F52C0">
        <w:rPr>
          <w:rFonts w:eastAsia="ヒラギノ角ゴ Pro W3"/>
          <w:sz w:val="22"/>
          <w:szCs w:val="22"/>
        </w:rPr>
        <w:t>.</w:t>
      </w:r>
      <w:r w:rsidR="00E7313F">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D661CB" w:rsidRPr="00CE3129" w:rsidP="003D2D12" w14:paraId="77336850" w14:textId="77777777">
      <w:pPr>
        <w:spacing w:after="120"/>
        <w:ind w:firstLine="720"/>
        <w:contextualSpacing/>
        <w:rPr>
          <w:rFonts w:eastAsia="ヒラギノ角ゴ Pro W3"/>
          <w:sz w:val="22"/>
          <w:szCs w:val="22"/>
        </w:rPr>
      </w:pPr>
    </w:p>
    <w:p w:rsidR="00D661CB" w:rsidRPr="00CE3129" w:rsidP="003D2D12" w14:paraId="0A35CBB6" w14:textId="70CA3423">
      <w:pPr>
        <w:spacing w:after="120"/>
        <w:ind w:firstLine="720"/>
        <w:contextualSpacing/>
        <w:rPr>
          <w:rFonts w:eastAsia="ヒラギノ角ゴ Pro W3"/>
          <w:sz w:val="22"/>
          <w:szCs w:val="22"/>
        </w:rPr>
      </w:pPr>
      <w:r w:rsidRPr="00CE3129">
        <w:rPr>
          <w:rFonts w:eastAsia="ヒラギノ角ゴ Pro W3"/>
          <w:i/>
          <w:sz w:val="22"/>
          <w:szCs w:val="22"/>
        </w:rPr>
        <w:t>If sent by First-Class Mail, Priority Mail Express, or Priority Mail</w:t>
      </w:r>
      <w:r w:rsidRPr="00CE3129">
        <w:rPr>
          <w:rFonts w:eastAsia="ヒラギノ角ゴ Pro W3"/>
          <w:sz w:val="22"/>
          <w:szCs w:val="22"/>
        </w:rPr>
        <w:t xml:space="preserve">, the response </w:t>
      </w:r>
      <w:r w:rsidR="007D2047">
        <w:rPr>
          <w:rFonts w:eastAsia="ヒラギノ角ゴ Pro W3"/>
          <w:sz w:val="22"/>
          <w:szCs w:val="22"/>
        </w:rPr>
        <w:t xml:space="preserve">must </w:t>
      </w:r>
      <w:r w:rsidRPr="00CE3129">
        <w:rPr>
          <w:rFonts w:eastAsia="ヒラギノ角ゴ Pro W3"/>
          <w:sz w:val="22"/>
          <w:szCs w:val="22"/>
        </w:rPr>
        <w:t>be sent to</w:t>
      </w:r>
      <w:r w:rsidRPr="00CE3129">
        <w:rPr>
          <w:rStyle w:val="Hyperlink"/>
          <w:sz w:val="22"/>
          <w:szCs w:val="22"/>
        </w:rPr>
        <w:t xml:space="preserve"> </w:t>
      </w:r>
      <w:r w:rsidR="003205E0">
        <w:rPr>
          <w:rFonts w:eastAsia="ヒラギノ角ゴ Pro W3"/>
          <w:sz w:val="22"/>
          <w:szCs w:val="18"/>
        </w:rPr>
        <w:t>Christopher J. Sova</w:t>
      </w:r>
      <w:r w:rsidRPr="00267C4B">
        <w:rPr>
          <w:rFonts w:eastAsia="ヒラギノ角ゴ Pro W3"/>
        </w:rPr>
        <w:t>,</w:t>
      </w:r>
      <w:r w:rsidRPr="00CE3129">
        <w:rPr>
          <w:rFonts w:eastAsia="ヒラギノ角ゴ Pro W3"/>
          <w:sz w:val="22"/>
          <w:szCs w:val="22"/>
        </w:rPr>
        <w:t xml:space="preserve"> Chief, Investigations and Hearings Division, Enforcement Bureau, Federal Communications Commission, 45 L Street, NE, Washington, DC 20554.</w:t>
      </w:r>
    </w:p>
    <w:p w:rsidR="00D661CB" w:rsidRPr="00CE3129" w:rsidP="003D2D12" w14:paraId="4CD4C854" w14:textId="77777777">
      <w:pPr>
        <w:spacing w:after="120"/>
        <w:ind w:firstLine="720"/>
        <w:contextualSpacing/>
        <w:rPr>
          <w:rFonts w:eastAsia="ヒラギノ角ゴ Pro W3"/>
          <w:sz w:val="22"/>
          <w:szCs w:val="22"/>
        </w:rPr>
      </w:pPr>
    </w:p>
    <w:p w:rsidR="00146B9E" w14:paraId="2CEB6A46" w14:textId="77777777">
      <w:pPr>
        <w:spacing w:after="160" w:line="259" w:lineRule="auto"/>
        <w:rPr>
          <w:rFonts w:eastAsia="ヒラギノ角ゴ Pro W3"/>
          <w:sz w:val="22"/>
          <w:szCs w:val="22"/>
        </w:rPr>
      </w:pPr>
      <w:r>
        <w:rPr>
          <w:rFonts w:eastAsia="ヒラギノ角ゴ Pro W3"/>
          <w:sz w:val="22"/>
          <w:szCs w:val="22"/>
        </w:rPr>
        <w:br w:type="page"/>
      </w:r>
    </w:p>
    <w:p w:rsidR="00D661CB" w:rsidRPr="00BA0BAE" w:rsidP="00BA0BAE" w14:paraId="4DCC4171" w14:textId="29CCB293">
      <w:pPr>
        <w:spacing w:after="120"/>
        <w:ind w:firstLine="720"/>
        <w:contextualSpacing/>
        <w:rPr>
          <w:bCs/>
          <w:sz w:val="22"/>
          <w:szCs w:val="22"/>
        </w:rPr>
      </w:pPr>
      <w:r w:rsidRPr="00CE3129">
        <w:rPr>
          <w:rFonts w:eastAsia="ヒラギノ角ゴ Pro W3"/>
          <w:sz w:val="22"/>
          <w:szCs w:val="22"/>
        </w:rPr>
        <w:t xml:space="preserve">You </w:t>
      </w:r>
      <w:r w:rsidRPr="00CE3129">
        <w:rPr>
          <w:sz w:val="22"/>
          <w:szCs w:val="22"/>
        </w:rPr>
        <w:t xml:space="preserve">must also transmit an electronic copy of the response and all Documents produced with the response via e-mail to </w:t>
      </w:r>
      <w:hyperlink r:id="rId5" w:history="1">
        <w:r w:rsidRPr="007849AE" w:rsidR="002D3818">
          <w:rPr>
            <w:rStyle w:val="Hyperlink"/>
            <w:sz w:val="22"/>
            <w:szCs w:val="22"/>
          </w:rPr>
          <w:t>IHDTelecom@fcc.gov</w:t>
        </w:r>
      </w:hyperlink>
      <w:r w:rsidR="002D3818">
        <w:rPr>
          <w:sz w:val="22"/>
          <w:szCs w:val="22"/>
        </w:rPr>
        <w:t xml:space="preserve">.  </w:t>
      </w:r>
      <w:r w:rsidR="00BA0BAE">
        <w:rPr>
          <w:bCs/>
          <w:sz w:val="22"/>
          <w:szCs w:val="22"/>
        </w:rPr>
        <w:t>T</w:t>
      </w:r>
      <w:r w:rsidRPr="00CE3129">
        <w:rPr>
          <w:bCs/>
          <w:sz w:val="22"/>
          <w:szCs w:val="22"/>
        </w:rPr>
        <w:t xml:space="preserve">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CE3129">
        <w:rPr>
          <w:sz w:val="22"/>
          <w:szCs w:val="22"/>
        </w:rPr>
        <w:t>If you have any questions, please contact</w:t>
      </w:r>
      <w:r w:rsidR="00EA36E5">
        <w:rPr>
          <w:sz w:val="22"/>
          <w:szCs w:val="22"/>
        </w:rPr>
        <w:t xml:space="preserve"> </w:t>
      </w:r>
      <w:r w:rsidR="00790A91">
        <w:rPr>
          <w:sz w:val="22"/>
          <w:szCs w:val="22"/>
        </w:rPr>
        <w:t>Jeffrey Brown</w:t>
      </w:r>
      <w:r w:rsidRPr="00697A05" w:rsidR="00790A91">
        <w:rPr>
          <w:sz w:val="22"/>
          <w:szCs w:val="22"/>
        </w:rPr>
        <w:t xml:space="preserve"> at</w:t>
      </w:r>
      <w:r w:rsidR="00790A91">
        <w:rPr>
          <w:sz w:val="22"/>
          <w:szCs w:val="22"/>
        </w:rPr>
        <w:t xml:space="preserve"> </w:t>
      </w:r>
      <w:hyperlink r:id="rId6" w:history="1">
        <w:r w:rsidRPr="00E12886" w:rsidR="00790A91">
          <w:rPr>
            <w:rStyle w:val="Hyperlink"/>
            <w:sz w:val="22"/>
            <w:szCs w:val="22"/>
          </w:rPr>
          <w:t>Jeffrey.Brown@fcc.gov</w:t>
        </w:r>
      </w:hyperlink>
      <w:r w:rsidR="00790A91">
        <w:rPr>
          <w:sz w:val="22"/>
          <w:szCs w:val="22"/>
        </w:rPr>
        <w:t xml:space="preserve"> </w:t>
      </w:r>
      <w:r w:rsidRPr="00697A05" w:rsidR="00790A91">
        <w:rPr>
          <w:sz w:val="22"/>
          <w:szCs w:val="22"/>
        </w:rPr>
        <w:t>or (202) 418-</w:t>
      </w:r>
      <w:r w:rsidR="00790A91">
        <w:rPr>
          <w:sz w:val="22"/>
          <w:szCs w:val="22"/>
        </w:rPr>
        <w:t>2527</w:t>
      </w:r>
      <w:r w:rsidRPr="00EA36E5">
        <w:rPr>
          <w:sz w:val="22"/>
          <w:szCs w:val="22"/>
        </w:rPr>
        <w:t>.</w:t>
      </w:r>
    </w:p>
    <w:p w:rsidR="00D661CB" w:rsidRPr="00CE3129" w:rsidP="003D2D12" w14:paraId="42A7BB02" w14:textId="77777777">
      <w:pPr>
        <w:spacing w:after="120"/>
        <w:contextualSpacing/>
        <w:jc w:val="both"/>
        <w:rPr>
          <w:sz w:val="22"/>
          <w:szCs w:val="22"/>
        </w:rPr>
      </w:pPr>
    </w:p>
    <w:p w:rsidR="00D661CB" w:rsidRPr="00CE3129" w:rsidP="003D2D12" w14:paraId="37BE0741" w14:textId="77777777">
      <w:pPr>
        <w:spacing w:after="120"/>
        <w:ind w:left="3600" w:firstLine="720"/>
        <w:contextualSpacing/>
        <w:rPr>
          <w:sz w:val="22"/>
          <w:szCs w:val="22"/>
        </w:rPr>
      </w:pPr>
      <w:r w:rsidRPr="00CE3129">
        <w:rPr>
          <w:sz w:val="22"/>
          <w:szCs w:val="22"/>
        </w:rPr>
        <w:t>Sincerely,</w:t>
      </w:r>
    </w:p>
    <w:p w:rsidR="00D661CB" w:rsidP="003A43F0" w14:paraId="15A5879C" w14:textId="7C722C6B">
      <w:pPr>
        <w:spacing w:after="120"/>
        <w:ind w:left="3600" w:firstLine="720"/>
        <w:contextualSpacing/>
        <w:rPr>
          <w:noProof/>
          <w:sz w:val="22"/>
          <w:szCs w:val="22"/>
          <w14:ligatures w14:val="standardContextual"/>
        </w:rPr>
      </w:pPr>
    </w:p>
    <w:p w:rsidR="00AF1E2C" w:rsidP="003A43F0" w14:paraId="1574B9DC" w14:textId="77777777">
      <w:pPr>
        <w:spacing w:after="120"/>
        <w:ind w:left="3600" w:firstLine="720"/>
        <w:contextualSpacing/>
        <w:rPr>
          <w:noProof/>
          <w:sz w:val="22"/>
          <w:szCs w:val="22"/>
          <w14:ligatures w14:val="standardContextual"/>
        </w:rPr>
      </w:pPr>
    </w:p>
    <w:p w:rsidR="00AF1E2C" w:rsidP="003A43F0" w14:paraId="3FC298ED" w14:textId="77777777">
      <w:pPr>
        <w:spacing w:after="120"/>
        <w:ind w:left="3600" w:firstLine="720"/>
        <w:contextualSpacing/>
        <w:rPr>
          <w:noProof/>
          <w:sz w:val="22"/>
          <w:szCs w:val="22"/>
          <w14:ligatures w14:val="standardContextual"/>
        </w:rPr>
      </w:pPr>
    </w:p>
    <w:p w:rsidR="00AF1E2C" w:rsidRPr="00CE3129" w:rsidP="003A43F0" w14:paraId="4B023053" w14:textId="77777777">
      <w:pPr>
        <w:spacing w:after="120"/>
        <w:ind w:left="3600" w:firstLine="720"/>
        <w:contextualSpacing/>
        <w:rPr>
          <w:sz w:val="22"/>
          <w:szCs w:val="22"/>
        </w:rPr>
      </w:pPr>
    </w:p>
    <w:p w:rsidR="00D661CB" w:rsidRPr="00CE3129" w:rsidP="003D2D12" w14:paraId="3DD09199" w14:textId="7DD5EFE4">
      <w:pPr>
        <w:keepNext/>
        <w:spacing w:after="120"/>
        <w:ind w:left="3600" w:firstLine="720"/>
        <w:contextualSpacing/>
        <w:rPr>
          <w:sz w:val="22"/>
          <w:szCs w:val="22"/>
        </w:rPr>
      </w:pPr>
      <w:r>
        <w:rPr>
          <w:sz w:val="22"/>
          <w:szCs w:val="22"/>
        </w:rPr>
        <w:t>Christopher J. Sova</w:t>
      </w:r>
    </w:p>
    <w:p w:rsidR="00D661CB" w:rsidRPr="00CE3129" w:rsidP="003D2D12" w14:paraId="056E7D1E" w14:textId="77777777">
      <w:pPr>
        <w:keepNext/>
        <w:spacing w:after="120"/>
        <w:contextualSpacing/>
        <w:rPr>
          <w:sz w:val="22"/>
          <w:szCs w:val="22"/>
        </w:rPr>
      </w:pP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t>Chief</w:t>
      </w:r>
    </w:p>
    <w:p w:rsidR="00D661CB" w:rsidRPr="00CE3129" w:rsidP="003D2D12" w14:paraId="7AC295E7" w14:textId="77777777">
      <w:pPr>
        <w:keepNext/>
        <w:spacing w:after="120"/>
        <w:ind w:left="3600" w:firstLine="720"/>
        <w:contextualSpacing/>
        <w:rPr>
          <w:sz w:val="22"/>
          <w:szCs w:val="22"/>
        </w:rPr>
      </w:pPr>
      <w:r w:rsidRPr="00CE3129">
        <w:rPr>
          <w:sz w:val="22"/>
          <w:szCs w:val="22"/>
        </w:rPr>
        <w:t>Investigations and Hearings Division</w:t>
      </w:r>
    </w:p>
    <w:p w:rsidR="009666A3" w:rsidRPr="005F52C0" w:rsidP="005F52C0" w14:paraId="1D97B686" w14:textId="4E98B97C">
      <w:pPr>
        <w:keepNext/>
        <w:spacing w:after="120"/>
        <w:ind w:left="3600" w:firstLine="720"/>
        <w:contextualSpacing/>
        <w:rPr>
          <w:sz w:val="22"/>
          <w:szCs w:val="22"/>
        </w:rPr>
      </w:pPr>
      <w:r w:rsidRPr="00CE3129">
        <w:rPr>
          <w:sz w:val="22"/>
          <w:szCs w:val="22"/>
        </w:rPr>
        <w:t>Enforcement Bureau</w:t>
      </w:r>
    </w:p>
    <w:sectPr>
      <w:headerReference w:type="default" r:id="rId7"/>
      <w:head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3BE7" w:rsidP="00AE2C94" w14:paraId="3D85170C" w14:textId="77777777">
      <w:r>
        <w:separator/>
      </w:r>
    </w:p>
  </w:footnote>
  <w:footnote w:type="continuationSeparator" w:id="1">
    <w:p w:rsidR="001E3BE7" w:rsidP="00AE2C94" w14:paraId="54F7CE06" w14:textId="77777777">
      <w:r>
        <w:continuationSeparator/>
      </w:r>
    </w:p>
  </w:footnote>
  <w:footnote w:id="2">
    <w:p w:rsidR="00AE2C94" w:rsidRPr="00CD4BC1" w:rsidP="0095148D" w14:paraId="2CE1E3D0" w14:textId="6AF94215">
      <w:pPr>
        <w:pStyle w:val="footnotedescription"/>
        <w:spacing w:before="120" w:after="0" w:line="240" w:lineRule="auto"/>
        <w:ind w:left="0" w:right="0" w:firstLine="0"/>
        <w:contextualSpacing/>
        <w:rPr>
          <w:color w:val="000000" w:themeColor="text1"/>
        </w:rPr>
      </w:pPr>
      <w:r w:rsidRPr="00CD4BC1">
        <w:rPr>
          <w:rStyle w:val="footnotemark"/>
          <w:color w:val="000000" w:themeColor="text1"/>
        </w:rPr>
        <w:footnoteRef/>
      </w:r>
      <w:r w:rsidRPr="00CD4BC1">
        <w:rPr>
          <w:color w:val="000000" w:themeColor="text1"/>
        </w:rPr>
        <w:t xml:space="preserve"> Any further reference in this letter to “your </w:t>
      </w:r>
      <w:r w:rsidR="00E569C1">
        <w:rPr>
          <w:color w:val="000000" w:themeColor="text1"/>
        </w:rPr>
        <w:t>conviction</w:t>
      </w:r>
      <w:r w:rsidRPr="00CD4BC1">
        <w:rPr>
          <w:color w:val="000000" w:themeColor="text1"/>
        </w:rPr>
        <w:t>” refers to your guilty plea and subsequent sentencing in</w:t>
      </w:r>
      <w:r w:rsidR="00EE4EF2">
        <w:rPr>
          <w:i/>
          <w:iCs/>
          <w:color w:val="000000" w:themeColor="text1"/>
        </w:rPr>
        <w:t xml:space="preserve"> </w:t>
      </w:r>
      <w:r w:rsidRPr="7B079B11" w:rsidR="7B079B11">
        <w:rPr>
          <w:i/>
          <w:iCs/>
          <w:color w:val="000000" w:themeColor="text1"/>
        </w:rPr>
        <w:t>United States v. Donatus Anyanwu</w:t>
      </w:r>
      <w:r w:rsidRPr="7B079B11" w:rsidR="7B079B11">
        <w:rPr>
          <w:color w:val="000000" w:themeColor="text1"/>
        </w:rPr>
        <w:t>, Case No. 3:17-cr-00655-D, Judgment and Sentencing Order (N.D. Tex.,</w:t>
      </w:r>
      <w:r w:rsidR="00EE4EF2">
        <w:rPr>
          <w:color w:val="000000" w:themeColor="text1"/>
        </w:rPr>
        <w:t xml:space="preserve"> </w:t>
      </w:r>
      <w:r w:rsidRPr="7B079B11" w:rsidR="7B079B11">
        <w:rPr>
          <w:color w:val="000000" w:themeColor="text1"/>
        </w:rPr>
        <w:t>issued Jan. 30. 2020) (</w:t>
      </w:r>
      <w:r w:rsidRPr="7B079B11" w:rsidR="7B079B11">
        <w:rPr>
          <w:i/>
          <w:iCs/>
          <w:color w:val="000000" w:themeColor="text1"/>
        </w:rPr>
        <w:t>Sentencing Order</w:t>
      </w:r>
      <w:r w:rsidRPr="7B079B11" w:rsidR="7B079B11">
        <w:rPr>
          <w:color w:val="000000" w:themeColor="text1"/>
        </w:rPr>
        <w:t>)</w:t>
      </w:r>
      <w:r w:rsidRPr="7B079B11" w:rsidR="7B079B11">
        <w:rPr>
          <w:i/>
          <w:iCs/>
          <w:color w:val="000000" w:themeColor="text1"/>
        </w:rPr>
        <w:t>.</w:t>
      </w:r>
    </w:p>
  </w:footnote>
  <w:footnote w:id="3">
    <w:p w:rsidR="00AE2C94" w:rsidRPr="00CD4BC1" w:rsidP="002C570E" w14:paraId="70ED60E6" w14:textId="77690B99">
      <w:pPr>
        <w:pStyle w:val="FootnoteText"/>
      </w:pPr>
      <w:r w:rsidRPr="00CD4BC1">
        <w:rPr>
          <w:rStyle w:val="FootnoteReference"/>
          <w:color w:val="000000" w:themeColor="text1"/>
        </w:rPr>
        <w:footnoteRef/>
      </w:r>
      <w:r w:rsidRPr="00CD4BC1">
        <w:t xml:space="preserve"> </w:t>
      </w:r>
      <w:r w:rsidRPr="00CD4BC1" w:rsidR="00FF1228">
        <w:rPr>
          <w:i/>
        </w:rPr>
        <w:t xml:space="preserve">United States v. </w:t>
      </w:r>
      <w:r w:rsidR="00FF1228">
        <w:rPr>
          <w:i/>
        </w:rPr>
        <w:t>Donatus Anyanwu</w:t>
      </w:r>
      <w:r w:rsidRPr="00E569C1" w:rsidR="00FF1228">
        <w:rPr>
          <w:iCs/>
        </w:rPr>
        <w:t xml:space="preserve">, </w:t>
      </w:r>
      <w:r w:rsidRPr="00CD4BC1" w:rsidR="00FF1228">
        <w:t xml:space="preserve">Case No. </w:t>
      </w:r>
      <w:r w:rsidR="00FF1228">
        <w:t>3:17-cr-00655-D</w:t>
      </w:r>
      <w:r w:rsidRPr="00CD4BC1" w:rsidR="00784A7B">
        <w:t xml:space="preserve">, </w:t>
      </w:r>
      <w:r w:rsidRPr="0095148D" w:rsidR="00FF1228">
        <w:t>Superseding Information</w:t>
      </w:r>
      <w:r w:rsidR="00D136F8">
        <w:t xml:space="preserve">, at </w:t>
      </w:r>
      <w:r w:rsidR="00FF1228">
        <w:t>4</w:t>
      </w:r>
      <w:r w:rsidRPr="00CD4BC1" w:rsidR="00784A7B">
        <w:t xml:space="preserve"> (</w:t>
      </w:r>
      <w:r w:rsidR="00FF1228">
        <w:t>N.D. Tex.</w:t>
      </w:r>
      <w:r w:rsidRPr="00CD4BC1" w:rsidR="00784A7B">
        <w:t xml:space="preserve">, </w:t>
      </w:r>
      <w:r w:rsidR="00FF1228">
        <w:t>Jul. 26,</w:t>
      </w:r>
      <w:r w:rsidR="00EE4EF2">
        <w:t xml:space="preserve"> </w:t>
      </w:r>
      <w:r w:rsidR="00FF1228">
        <w:t>2019</w:t>
      </w:r>
      <w:r w:rsidRPr="00CD4BC1" w:rsidR="00784A7B">
        <w:t>) (</w:t>
      </w:r>
      <w:r w:rsidRPr="00CD4BC1" w:rsidR="00784A7B">
        <w:rPr>
          <w:i/>
          <w:iCs/>
        </w:rPr>
        <w:t>I</w:t>
      </w:r>
      <w:r w:rsidR="00F5020A">
        <w:rPr>
          <w:i/>
          <w:iCs/>
        </w:rPr>
        <w:t>n</w:t>
      </w:r>
      <w:r w:rsidR="00FF1228">
        <w:rPr>
          <w:i/>
          <w:iCs/>
        </w:rPr>
        <w:t>formation</w:t>
      </w:r>
      <w:r w:rsidRPr="00CD4BC1" w:rsidR="00784A7B">
        <w:t>).</w:t>
      </w:r>
    </w:p>
  </w:footnote>
  <w:footnote w:id="4">
    <w:p w:rsidR="00AE2C94" w:rsidRPr="00CD4BC1" w:rsidP="002C570E" w14:paraId="5DAB5C8D" w14:textId="227801F1">
      <w:pPr>
        <w:pStyle w:val="FootnoteText"/>
      </w:pPr>
      <w:r w:rsidRPr="00CD4BC1">
        <w:rPr>
          <w:rStyle w:val="FootnoteReference"/>
          <w:color w:val="000000" w:themeColor="text1"/>
        </w:rPr>
        <w:footnoteRef/>
      </w:r>
      <w:r w:rsidRPr="00CD4BC1">
        <w:t xml:space="preserve"> 47 CFR § 54.8.</w:t>
      </w:r>
      <w:r w:rsidR="003C312D">
        <w:t xml:space="preserve">  </w:t>
      </w:r>
      <w:r w:rsidRPr="003C312D" w:rsidR="003C312D">
        <w:t xml:space="preserve">On March 26, 2026, new rules were adopted allowing the Commission to take quicker and more comprehensive action to exclude bad actors from participating in Congressionally-mandated funding programs, such as the E-Rate program.  </w:t>
      </w:r>
      <w:r w:rsidRPr="003C312D" w:rsidR="003C312D">
        <w:rPr>
          <w:i/>
          <w:iCs/>
        </w:rPr>
        <w:t>See</w:t>
      </w:r>
      <w:r w:rsidRPr="003C312D" w:rsidR="003C312D">
        <w:t xml:space="preserve"> </w:t>
      </w:r>
      <w:r w:rsidRPr="003C312D" w:rsidR="003C312D">
        <w:rPr>
          <w:i/>
          <w:iCs/>
        </w:rPr>
        <w:t>Modernizing Suspension &amp; Debarment Rules</w:t>
      </w:r>
      <w:r w:rsidRPr="003C312D" w:rsidR="003C312D">
        <w:t xml:space="preserve">, GN Docket No. 19-309, Report &amp; Order, Direct Final Rule, and Further Notice of Proposed Rulemaking, FCC 26-18 (Mar. 27, 2026).  </w:t>
      </w:r>
    </w:p>
  </w:footnote>
  <w:footnote w:id="5">
    <w:p w:rsidR="00AE2C94" w:rsidRPr="00DC2BD9" w:rsidP="002C570E" w14:paraId="120A76F3" w14:textId="08E472C0">
      <w:pPr>
        <w:pStyle w:val="FootnoteText"/>
      </w:pPr>
      <w:r w:rsidRPr="00CD4BC1">
        <w:rPr>
          <w:rStyle w:val="FootnoteReference"/>
          <w:color w:val="000000" w:themeColor="text1"/>
        </w:rPr>
        <w:footnoteRef/>
      </w:r>
      <w:r w:rsidRPr="00CD4BC1" w:rsidR="7B079B11">
        <w:t xml:space="preserve"> </w:t>
      </w:r>
      <w:r w:rsidRPr="00CD4BC1" w:rsidR="003C312D">
        <w:t>47 CFR § 54.8</w:t>
      </w:r>
      <w:r w:rsidRPr="00CD4BC1" w:rsidR="7B079B11">
        <w:t xml:space="preserve">; </w:t>
      </w:r>
      <w:r w:rsidRPr="003C312D" w:rsidR="003C312D">
        <w:rPr>
          <w:i/>
          <w:iCs/>
          <w:color w:val="000000" w:themeColor="text1"/>
        </w:rPr>
        <w:t>Id</w:t>
      </w:r>
      <w:r w:rsidR="003C312D">
        <w:rPr>
          <w:color w:val="000000" w:themeColor="text1"/>
        </w:rPr>
        <w:t>.</w:t>
      </w:r>
      <w:r w:rsidRPr="00780741" w:rsidR="00B2712C">
        <w:rPr>
          <w:color w:val="000000" w:themeColor="text1"/>
        </w:rPr>
        <w:t xml:space="preserve"> § 0.111</w:t>
      </w:r>
      <w:r w:rsidR="008179CA">
        <w:rPr>
          <w:color w:val="000000" w:themeColor="text1"/>
        </w:rPr>
        <w:t xml:space="preserve"> </w:t>
      </w:r>
      <w:r w:rsidRPr="00CD4BC1" w:rsidR="7B079B11">
        <w:t xml:space="preserve">(delegating to the Enforcement Bureau authority to resolve universal service suspension and debarment proceedings).  The Commission adopted debarment rules for the E-Rate program in 2003.  </w:t>
      </w:r>
      <w:r w:rsidRPr="7B079B11" w:rsidR="7B079B11">
        <w:rPr>
          <w:i/>
          <w:iCs/>
        </w:rPr>
        <w:t>See</w:t>
      </w:r>
      <w:r w:rsidRPr="00CD4BC1" w:rsidR="7B079B11">
        <w:t xml:space="preserve"> </w:t>
      </w:r>
      <w:r w:rsidRPr="7B079B11" w:rsidR="7B079B11">
        <w:rPr>
          <w:i/>
          <w:iCs/>
        </w:rPr>
        <w:t>Schools and Libraries Universal Service Support Mechanism</w:t>
      </w:r>
      <w:r w:rsidRPr="00CD4BC1" w:rsidR="7B079B11">
        <w:t>,</w:t>
      </w:r>
      <w:r w:rsidR="7B079B11">
        <w:t xml:space="preserve"> CC Docket No. 02-6,</w:t>
      </w:r>
      <w:r w:rsidRPr="00CD4BC1" w:rsidR="7B079B11">
        <w:t xml:space="preserve"> Second Report and Order and Further Notice of Proposed Rulemaking, 18 FCC </w:t>
      </w:r>
      <w:r w:rsidRPr="00CD4BC1" w:rsidR="7B079B11">
        <w:t>Rcd</w:t>
      </w:r>
      <w:r w:rsidRPr="00CD4BC1" w:rsidR="7B079B11">
        <w:t xml:space="preserve"> 9202 (2003) (</w:t>
      </w:r>
      <w:r w:rsidRPr="7B079B11" w:rsidR="7B079B11">
        <w:rPr>
          <w:i/>
          <w:iCs/>
        </w:rPr>
        <w:t>Second Report and Order</w:t>
      </w:r>
      <w:r w:rsidRPr="00CD4BC1" w:rsidR="7B079B11">
        <w:t>) (adopting section 54.521 to suspend and debar parties from the E-Rate program).  In 2007</w:t>
      </w:r>
      <w:r w:rsidR="7B079B11">
        <w:t>,</w:t>
      </w:r>
      <w:r w:rsidRPr="00CD4BC1" w:rsidR="7B079B11">
        <w:t xml:space="preserve"> the Commission extended the debarment rules to apply to all federal universal service support mechanisms. </w:t>
      </w:r>
      <w:r w:rsidRPr="7B079B11" w:rsidR="7B079B11">
        <w:rPr>
          <w:i/>
          <w:iCs/>
        </w:rPr>
        <w:t xml:space="preserve"> See Comprehensive Review of the Universal Service Fund Management, Administration, &amp; Oversight</w:t>
      </w:r>
      <w:r w:rsidRPr="00CD4BC1" w:rsidR="7B079B11">
        <w:t xml:space="preserve">, Report and Order, 22 FCC </w:t>
      </w:r>
      <w:r w:rsidRPr="00CD4BC1" w:rsidR="7B079B11">
        <w:t>Rcd</w:t>
      </w:r>
      <w:r w:rsidRPr="00CD4BC1" w:rsidR="7B079B11">
        <w:t xml:space="preserve"> 16372, 16410–12 (2007) (</w:t>
      </w:r>
      <w:r w:rsidRPr="7B079B11" w:rsidR="7B079B11">
        <w:rPr>
          <w:i/>
          <w:iCs/>
        </w:rPr>
        <w:t>Program Management Order</w:t>
      </w:r>
      <w:r w:rsidRPr="00CD4BC1" w:rsidR="7B079B11">
        <w:t>) (renumbering section 54.521 of the universal service debarment rules as section 54.8 and amending subsections (a)(1), (a)(5), (c), (d), (e)(2)(</w:t>
      </w:r>
      <w:r w:rsidRPr="00CD4BC1" w:rsidR="7B079B11">
        <w:t>i</w:t>
      </w:r>
      <w:r w:rsidRPr="00CD4BC1" w:rsidR="7B079B11">
        <w:t>), (e)(3), (e)(4), and (g)).</w:t>
      </w:r>
    </w:p>
  </w:footnote>
  <w:footnote w:id="6">
    <w:p w:rsidR="00AE2C94" w:rsidP="002C570E" w14:paraId="36820711" w14:textId="14C6CB2B">
      <w:pPr>
        <w:pStyle w:val="FootnoteText"/>
      </w:pPr>
      <w:r>
        <w:rPr>
          <w:rStyle w:val="FootnoteReference"/>
        </w:rPr>
        <w:footnoteRef/>
      </w:r>
      <w:r>
        <w:t xml:space="preserve"> </w:t>
      </w:r>
      <w:r>
        <w:rPr>
          <w:i/>
        </w:rPr>
        <w:t>Second Report and Order</w:t>
      </w:r>
      <w:r>
        <w:t xml:space="preserve">, 18 FCC </w:t>
      </w:r>
      <w:r>
        <w:t>Rcd</w:t>
      </w:r>
      <w:r>
        <w:t xml:space="preserve"> at 9225, para. 66; </w:t>
      </w:r>
      <w:r>
        <w:rPr>
          <w:i/>
        </w:rPr>
        <w:t>Program Management Order</w:t>
      </w:r>
      <w:r>
        <w:t xml:space="preserve">, 22 FCC </w:t>
      </w:r>
      <w:r>
        <w:t>Rcd</w:t>
      </w:r>
      <w:r>
        <w:t xml:space="preserve"> at 16387, para. 32.  The Commission’s debarment rules define a “person” as “[a]</w:t>
      </w:r>
      <w:r>
        <w:t>ny</w:t>
      </w:r>
      <w:r>
        <w:t xml:space="preserve"> individual, group of individuals, corporation, partnership, association, unit of government or legal entity, however organized.”  47 CFR § 54.8(a)(6).</w:t>
      </w:r>
    </w:p>
  </w:footnote>
  <w:footnote w:id="7">
    <w:p w:rsidR="00AE2C94" w:rsidP="002C570E" w14:paraId="3555F942" w14:textId="77777777">
      <w:pPr>
        <w:pStyle w:val="FootnoteText"/>
      </w:pPr>
      <w:r>
        <w:rPr>
          <w:rStyle w:val="FootnoteReference"/>
        </w:rPr>
        <w:footnoteRef/>
      </w:r>
      <w:r>
        <w:t xml:space="preserve"> </w:t>
      </w:r>
      <w:r>
        <w:rPr>
          <w:i/>
        </w:rPr>
        <w:t>NEC-Business Network Solutions, Inc</w:t>
      </w:r>
      <w:r>
        <w:t xml:space="preserve">., Notice of Debarment and Order Denying Waiver Petition, 21 FCC </w:t>
      </w:r>
      <w:r>
        <w:t>Rcd</w:t>
      </w:r>
      <w:r>
        <w:t xml:space="preserve"> 7491, 7493, para. 7 (2006).</w:t>
      </w:r>
    </w:p>
  </w:footnote>
  <w:footnote w:id="8">
    <w:p w:rsidR="00AE2C94" w:rsidP="002C570E" w14:paraId="3E4829E6" w14:textId="77777777">
      <w:pPr>
        <w:pStyle w:val="FootnoteText"/>
      </w:pPr>
      <w:r>
        <w:rPr>
          <w:rStyle w:val="FootnoteReference"/>
        </w:rPr>
        <w:footnoteRef/>
      </w:r>
      <w:r>
        <w:t xml:space="preserve"> 47 CFR §§ 54.503, 54.504(a), 54.511(a</w:t>
      </w:r>
      <w:r w:rsidRPr="00AE759B">
        <w:t>).</w:t>
      </w:r>
    </w:p>
  </w:footnote>
  <w:footnote w:id="9">
    <w:p w:rsidR="00AE2C94" w:rsidRPr="00686C6A" w:rsidP="002C570E" w14:paraId="717C3CFC" w14:textId="59CFF693">
      <w:pPr>
        <w:pStyle w:val="FootnoteText"/>
      </w:pPr>
      <w:r>
        <w:rPr>
          <w:rStyle w:val="FootnoteReference"/>
        </w:rPr>
        <w:footnoteRef/>
      </w:r>
      <w:r w:rsidR="7B079B11">
        <w:t xml:space="preserve"> </w:t>
      </w:r>
      <w:r w:rsidR="002D3350">
        <w:rPr>
          <w:i/>
          <w:iCs/>
        </w:rPr>
        <w:t>See i</w:t>
      </w:r>
      <w:r w:rsidRPr="7B079B11" w:rsidR="7B079B11">
        <w:rPr>
          <w:i/>
          <w:iCs/>
        </w:rPr>
        <w:t>d.</w:t>
      </w:r>
      <w:r w:rsidR="7B079B11">
        <w:t xml:space="preserve"> §§ 54.503, 54.511(a); </w:t>
      </w:r>
      <w:r w:rsidRPr="7B079B11" w:rsidR="7B079B11">
        <w:rPr>
          <w:i/>
          <w:iCs/>
        </w:rPr>
        <w:t>see also</w:t>
      </w:r>
      <w:r w:rsidRPr="00686C6A" w:rsidR="7B079B11">
        <w:t xml:space="preserve"> </w:t>
      </w:r>
      <w:r w:rsidR="7B079B11">
        <w:t>Universal Service Administrative Company,</w:t>
      </w:r>
      <w:r w:rsidRPr="00686C6A" w:rsidR="7B079B11">
        <w:t xml:space="preserve"> </w:t>
      </w:r>
      <w:r w:rsidRPr="7B079B11" w:rsidR="7B079B11">
        <w:rPr>
          <w:i/>
          <w:iCs/>
        </w:rPr>
        <w:t>Open &amp; Fair Process</w:t>
      </w:r>
      <w:r w:rsidR="7B079B11">
        <w:t xml:space="preserve">, </w:t>
      </w:r>
      <w:r w:rsidRPr="00DF4AB7" w:rsidR="7B079B11">
        <w:t xml:space="preserve">https://www.usac.org/e-rate/applicant-process/competitive-bidding/open-fair-process/ </w:t>
      </w:r>
      <w:r w:rsidR="7B079B11">
        <w:t xml:space="preserve">(last visited </w:t>
      </w:r>
      <w:r w:rsidR="0091115B">
        <w:t>March</w:t>
      </w:r>
      <w:r w:rsidR="003F1BE9">
        <w:t xml:space="preserve"> 11, 2026</w:t>
      </w:r>
      <w:r w:rsidR="7B079B11">
        <w:t>)</w:t>
      </w:r>
      <w:r w:rsidRPr="00686C6A" w:rsidR="7B079B11">
        <w:t>.</w:t>
      </w:r>
    </w:p>
  </w:footnote>
  <w:footnote w:id="10">
    <w:p w:rsidR="00AE2C94" w:rsidP="002C570E" w14:paraId="463C86FC" w14:textId="38972E78">
      <w:pPr>
        <w:pStyle w:val="FootnoteText"/>
      </w:pPr>
      <w:r>
        <w:rPr>
          <w:rStyle w:val="FootnoteReference"/>
        </w:rPr>
        <w:footnoteRef/>
      </w:r>
      <w:r>
        <w:t xml:space="preserve"> </w:t>
      </w:r>
      <w:r w:rsidRPr="00E07B3C" w:rsidR="00F47B2D">
        <w:t>47 CFR §§ 54.</w:t>
      </w:r>
      <w:r w:rsidR="00794F65">
        <w:t>5</w:t>
      </w:r>
      <w:r w:rsidRPr="00E07B3C" w:rsidR="00F47B2D">
        <w:t>03, 54.511(a)</w:t>
      </w:r>
      <w:r w:rsidR="00F47B2D">
        <w:t>.</w:t>
      </w:r>
    </w:p>
  </w:footnote>
  <w:footnote w:id="11">
    <w:p w:rsidR="00F0019F" w:rsidRPr="00B60464" w:rsidP="002C570E" w14:paraId="355D060F" w14:textId="6154D6A0">
      <w:pPr>
        <w:pStyle w:val="FootnoteText"/>
      </w:pPr>
      <w:r>
        <w:rPr>
          <w:rStyle w:val="FootnoteReference"/>
        </w:rPr>
        <w:footnoteRef/>
      </w:r>
      <w:r>
        <w:t xml:space="preserve"> </w:t>
      </w:r>
      <w:r w:rsidRPr="0095148D" w:rsidR="009357EE">
        <w:rPr>
          <w:i/>
          <w:iCs/>
        </w:rPr>
        <w:t>Information</w:t>
      </w:r>
      <w:r w:rsidRPr="00B60464" w:rsidR="00317BEC">
        <w:t xml:space="preserve">, </w:t>
      </w:r>
      <w:r w:rsidRPr="0095148D" w:rsidR="00317BEC">
        <w:rPr>
          <w:i/>
          <w:iCs/>
        </w:rPr>
        <w:t>supra</w:t>
      </w:r>
      <w:r w:rsidRPr="00B60464" w:rsidR="00317BEC">
        <w:t xml:space="preserve"> note </w:t>
      </w:r>
      <w:r w:rsidRPr="00B60464" w:rsidR="00B60464">
        <w:t>2</w:t>
      </w:r>
      <w:r w:rsidRPr="00B60464" w:rsidR="00317BEC">
        <w:t>,</w:t>
      </w:r>
      <w:r w:rsidRPr="00B60464" w:rsidR="003D595C">
        <w:t xml:space="preserve"> at </w:t>
      </w:r>
      <w:r w:rsidR="009357EE">
        <w:t>4</w:t>
      </w:r>
      <w:r w:rsidR="00B60464">
        <w:t xml:space="preserve">; </w:t>
      </w:r>
      <w:r w:rsidRPr="0095148D" w:rsidR="00B60464">
        <w:rPr>
          <w:i/>
          <w:iCs/>
        </w:rPr>
        <w:t>Sentencing Order</w:t>
      </w:r>
      <w:r w:rsidR="00B60464">
        <w:t xml:space="preserve">, </w:t>
      </w:r>
      <w:r w:rsidRPr="0095148D" w:rsidR="00B60464">
        <w:rPr>
          <w:i/>
          <w:iCs/>
        </w:rPr>
        <w:t>supra</w:t>
      </w:r>
      <w:r w:rsidR="00B60464">
        <w:t xml:space="preserve"> note 1, at 1.</w:t>
      </w:r>
    </w:p>
  </w:footnote>
  <w:footnote w:id="12">
    <w:p w:rsidR="00B60464" w:rsidRPr="00B60464" w:rsidP="002C570E" w14:paraId="2219D7B8" w14:textId="6F70545B">
      <w:pPr>
        <w:pStyle w:val="FootnoteText"/>
      </w:pPr>
      <w:r>
        <w:rPr>
          <w:rStyle w:val="FootnoteReference"/>
        </w:rPr>
        <w:footnoteRef/>
      </w:r>
      <w:r>
        <w:t xml:space="preserve"> </w:t>
      </w:r>
      <w:r w:rsidR="009357EE">
        <w:rPr>
          <w:i/>
          <w:iCs/>
        </w:rPr>
        <w:t>Information</w:t>
      </w:r>
      <w:r>
        <w:t xml:space="preserve">, </w:t>
      </w:r>
      <w:r>
        <w:rPr>
          <w:i/>
          <w:iCs/>
        </w:rPr>
        <w:t>supra</w:t>
      </w:r>
      <w:r>
        <w:t xml:space="preserve"> note 2, at 4</w:t>
      </w:r>
      <w:r w:rsidR="009357EE">
        <w:t>-5</w:t>
      </w:r>
      <w:r>
        <w:t>.</w:t>
      </w:r>
    </w:p>
  </w:footnote>
  <w:footnote w:id="13">
    <w:p w:rsidR="003A4526" w:rsidRPr="003A4526" w:rsidP="002C570E" w14:paraId="1FEB1094" w14:textId="721D8489">
      <w:pPr>
        <w:pStyle w:val="FootnoteText"/>
      </w:pPr>
      <w:r>
        <w:rPr>
          <w:rStyle w:val="FootnoteReference"/>
        </w:rPr>
        <w:footnoteRef/>
      </w:r>
      <w:r>
        <w:t xml:space="preserve"> </w:t>
      </w:r>
      <w:r>
        <w:rPr>
          <w:i/>
          <w:iCs/>
        </w:rPr>
        <w:t>Id</w:t>
      </w:r>
      <w:r>
        <w:t>. at 5.</w:t>
      </w:r>
    </w:p>
  </w:footnote>
  <w:footnote w:id="14">
    <w:p w:rsidR="00776C28" w:rsidRPr="00776C28" w:rsidP="002C570E" w14:paraId="6CEA7A61" w14:textId="6EAD5AA6">
      <w:pPr>
        <w:pStyle w:val="FootnoteText"/>
      </w:pPr>
      <w:r>
        <w:rPr>
          <w:rStyle w:val="FootnoteReference"/>
        </w:rPr>
        <w:footnoteRef/>
      </w:r>
      <w:r>
        <w:t xml:space="preserve"> </w:t>
      </w:r>
      <w:r>
        <w:rPr>
          <w:i/>
          <w:iCs/>
        </w:rPr>
        <w:t>Id</w:t>
      </w:r>
      <w:r>
        <w:t>. at 6.</w:t>
      </w:r>
    </w:p>
  </w:footnote>
  <w:footnote w:id="15">
    <w:p w:rsidR="00AE2C94" w:rsidRPr="00FA5298" w:rsidP="002C570E" w14:paraId="1543B077" w14:textId="6C0EB3CE">
      <w:pPr>
        <w:pStyle w:val="FootnoteText"/>
      </w:pPr>
      <w:r>
        <w:rPr>
          <w:rStyle w:val="FootnoteReference"/>
        </w:rPr>
        <w:footnoteRef/>
      </w:r>
      <w:r>
        <w:t xml:space="preserve"> </w:t>
      </w:r>
      <w:r w:rsidRPr="0095148D" w:rsidR="00D018CF">
        <w:rPr>
          <w:i/>
          <w:iCs/>
        </w:rPr>
        <w:t>Sentencing Order</w:t>
      </w:r>
      <w:r w:rsidR="00317BEC">
        <w:t xml:space="preserve">, </w:t>
      </w:r>
      <w:r w:rsidRPr="0095148D" w:rsidR="00317BEC">
        <w:rPr>
          <w:i/>
          <w:iCs/>
        </w:rPr>
        <w:t>supra</w:t>
      </w:r>
      <w:r w:rsidR="00317BEC">
        <w:t xml:space="preserve"> note 1,</w:t>
      </w:r>
      <w:r>
        <w:t xml:space="preserve"> </w:t>
      </w:r>
      <w:r w:rsidRPr="00567706">
        <w:t xml:space="preserve">at </w:t>
      </w:r>
      <w:r w:rsidR="00776C28">
        <w:t>2-</w:t>
      </w:r>
      <w:r w:rsidRPr="00567706" w:rsidR="00567706">
        <w:t>3</w:t>
      </w:r>
      <w:r>
        <w:t>.</w:t>
      </w:r>
    </w:p>
  </w:footnote>
  <w:footnote w:id="16">
    <w:p w:rsidR="00AE2C94" w:rsidP="002C570E" w14:paraId="60D57FAC" w14:textId="6D23C14C">
      <w:pPr>
        <w:pStyle w:val="FootnoteText"/>
      </w:pPr>
      <w:r>
        <w:rPr>
          <w:rStyle w:val="FootnoteReference"/>
        </w:rPr>
        <w:footnoteRef/>
      </w:r>
      <w:r>
        <w:t xml:space="preserve"> </w:t>
      </w:r>
      <w:r w:rsidRPr="00C47432">
        <w:rPr>
          <w:i/>
        </w:rPr>
        <w:t>Id</w:t>
      </w:r>
      <w:r w:rsidRPr="00C47432">
        <w:t>.</w:t>
      </w:r>
      <w:r>
        <w:t xml:space="preserve"> at </w:t>
      </w:r>
      <w:r w:rsidR="00D43665">
        <w:t>6</w:t>
      </w:r>
      <w:r>
        <w:t>.</w:t>
      </w:r>
    </w:p>
  </w:footnote>
  <w:footnote w:id="17">
    <w:p w:rsidR="00D661CB" w:rsidP="002C570E" w14:paraId="6AC77FCC" w14:textId="618D5C0E">
      <w:pPr>
        <w:pStyle w:val="FootnoteText"/>
      </w:pPr>
      <w:r>
        <w:rPr>
          <w:rStyle w:val="FootnoteReference"/>
        </w:rPr>
        <w:footnoteRef/>
      </w:r>
      <w:r>
        <w:t xml:space="preserve"> 47 CFR § 54.8(</w:t>
      </w:r>
      <w:r w:rsidR="00582D6D">
        <w:t>d)</w:t>
      </w:r>
      <w:r w:rsidR="00794F65">
        <w:t>;</w:t>
      </w:r>
      <w:r>
        <w:t xml:space="preserve"> </w:t>
      </w:r>
      <w:r>
        <w:rPr>
          <w:i/>
        </w:rPr>
        <w:t>see</w:t>
      </w:r>
      <w:r>
        <w:t xml:space="preserve"> </w:t>
      </w:r>
      <w:r w:rsidRPr="00606681">
        <w:rPr>
          <w:i/>
        </w:rPr>
        <w:t>Second Report and Order</w:t>
      </w:r>
      <w:r w:rsidRPr="006C4BA8">
        <w:t>,</w:t>
      </w:r>
      <w:r w:rsidRPr="00606681">
        <w:t xml:space="preserve"> </w:t>
      </w:r>
      <w:r w:rsidRPr="00F47B2D" w:rsidR="00317BEC">
        <w:rPr>
          <w:i/>
          <w:iCs/>
          <w:color w:val="000000" w:themeColor="text1"/>
        </w:rPr>
        <w:t>supra</w:t>
      </w:r>
      <w:r w:rsidR="00317BEC">
        <w:rPr>
          <w:color w:val="000000" w:themeColor="text1"/>
        </w:rPr>
        <w:t xml:space="preserve"> note 4,</w:t>
      </w:r>
      <w:r w:rsidRPr="00606681">
        <w:t xml:space="preserve"> at 9225–27,</w:t>
      </w:r>
      <w:r>
        <w:t xml:space="preserve"> paras. 67–74.</w:t>
      </w:r>
    </w:p>
  </w:footnote>
  <w:footnote w:id="18">
    <w:p w:rsidR="00D661CB" w:rsidP="002C570E" w14:paraId="027EB4B7" w14:textId="4EBEB93D">
      <w:pPr>
        <w:pStyle w:val="FootnoteText"/>
      </w:pPr>
      <w:r>
        <w:rPr>
          <w:rStyle w:val="FootnoteReference"/>
        </w:rPr>
        <w:footnoteRef/>
      </w:r>
      <w:r>
        <w:t xml:space="preserve"> 47 CFR § 54.8(a)(1), (d).</w:t>
      </w:r>
    </w:p>
  </w:footnote>
  <w:footnote w:id="19">
    <w:p w:rsidR="00D661CB" w:rsidP="002C570E" w14:paraId="51E790D8" w14:textId="0DACFA8F">
      <w:pPr>
        <w:pStyle w:val="FootnoteText"/>
      </w:pPr>
      <w:r>
        <w:rPr>
          <w:rStyle w:val="FootnoteReference"/>
        </w:rPr>
        <w:footnoteRef/>
      </w:r>
      <w:r>
        <w:t xml:space="preserve"> </w:t>
      </w:r>
      <w:r w:rsidRPr="00E07B3C" w:rsidR="00317BEC">
        <w:rPr>
          <w:i/>
          <w:iCs/>
        </w:rPr>
        <w:t>Id.</w:t>
      </w:r>
      <w:r w:rsidR="00265DC9">
        <w:t xml:space="preserve"> § 54.8(e)(1); </w:t>
      </w:r>
      <w:r>
        <w:rPr>
          <w:i/>
        </w:rPr>
        <w:t>Second Report and Order</w:t>
      </w:r>
      <w:r>
        <w:t>,</w:t>
      </w:r>
      <w:r w:rsidR="00317BEC">
        <w:t xml:space="preserve"> </w:t>
      </w:r>
      <w:r w:rsidRPr="00F47B2D" w:rsidR="00317BEC">
        <w:rPr>
          <w:i/>
          <w:iCs/>
        </w:rPr>
        <w:t>supra</w:t>
      </w:r>
      <w:r w:rsidR="00317BEC">
        <w:t xml:space="preserve"> note 4,</w:t>
      </w:r>
      <w:r w:rsidRPr="00CD4BC1" w:rsidR="00B37B87">
        <w:rPr>
          <w:color w:val="000000" w:themeColor="text1"/>
        </w:rPr>
        <w:t xml:space="preserve"> </w:t>
      </w:r>
      <w:r>
        <w:t>at 9226, para. 69</w:t>
      </w:r>
      <w:r w:rsidR="00265DC9">
        <w:t>.</w:t>
      </w:r>
      <w:r>
        <w:t xml:space="preserve"> </w:t>
      </w:r>
    </w:p>
  </w:footnote>
  <w:footnote w:id="20">
    <w:p w:rsidR="00D661CB" w:rsidP="002C570E" w14:paraId="3BAC896F" w14:textId="77777777">
      <w:pPr>
        <w:pStyle w:val="FootnoteText"/>
        <w:rPr>
          <w:lang w:val="es-ES"/>
        </w:rPr>
      </w:pPr>
      <w:r>
        <w:rPr>
          <w:rStyle w:val="FootnoteReference"/>
        </w:rPr>
        <w:footnoteRef/>
      </w:r>
      <w:r>
        <w:rPr>
          <w:lang w:val="es-ES"/>
        </w:rPr>
        <w:t xml:space="preserve"> 47 CFR § 54.8(e)(4).</w:t>
      </w:r>
    </w:p>
  </w:footnote>
  <w:footnote w:id="21">
    <w:p w:rsidR="00D661CB" w:rsidP="002C570E" w14:paraId="6521456F"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2">
    <w:p w:rsidR="00D661CB" w:rsidP="002C570E" w14:paraId="4871928F" w14:textId="77777777">
      <w:pPr>
        <w:pStyle w:val="FootnoteText"/>
      </w:pPr>
      <w:r>
        <w:rPr>
          <w:rStyle w:val="FootnoteReference"/>
        </w:rPr>
        <w:footnoteRef/>
      </w:r>
      <w:r>
        <w:t xml:space="preserve"> </w:t>
      </w:r>
      <w:r>
        <w:rPr>
          <w:i/>
          <w:iCs/>
        </w:rPr>
        <w:t>Id.</w:t>
      </w:r>
      <w:r>
        <w:t xml:space="preserve"> § 54.8(f).</w:t>
      </w:r>
    </w:p>
  </w:footnote>
  <w:footnote w:id="23">
    <w:p w:rsidR="00D661CB" w:rsidP="002C570E" w14:paraId="48104C9E" w14:textId="307302B9">
      <w:pPr>
        <w:pStyle w:val="FootnoteText"/>
      </w:pPr>
      <w:r>
        <w:rPr>
          <w:rStyle w:val="FootnoteReference"/>
        </w:rPr>
        <w:footnoteRef/>
      </w:r>
      <w:r>
        <w:t xml:space="preserve"> </w:t>
      </w:r>
      <w:r w:rsidRPr="00E07B3C" w:rsidR="00317BEC">
        <w:rPr>
          <w:i/>
          <w:iCs/>
        </w:rPr>
        <w:t>Id.</w:t>
      </w:r>
      <w:r w:rsidR="00265DC9">
        <w:t xml:space="preserve"> § 54.8(e)(5), (f); </w:t>
      </w:r>
      <w:r>
        <w:rPr>
          <w:i/>
        </w:rPr>
        <w:t>Second Report and Order</w:t>
      </w:r>
      <w:r>
        <w:t xml:space="preserve">, </w:t>
      </w:r>
      <w:r w:rsidRPr="00F47B2D" w:rsidR="00317BEC">
        <w:rPr>
          <w:i/>
          <w:iCs/>
        </w:rPr>
        <w:t>supra</w:t>
      </w:r>
      <w:r w:rsidR="00317BEC">
        <w:t xml:space="preserve"> note 4,</w:t>
      </w:r>
      <w:r w:rsidRPr="00655645">
        <w:t xml:space="preserve"> at</w:t>
      </w:r>
      <w:r>
        <w:t xml:space="preserve"> 9226, para. 70</w:t>
      </w:r>
      <w:r w:rsidR="00265DC9">
        <w:t>.</w:t>
      </w:r>
      <w:r>
        <w:t xml:space="preserve"> </w:t>
      </w:r>
    </w:p>
  </w:footnote>
  <w:footnote w:id="24">
    <w:p w:rsidR="00D661CB" w:rsidP="002C570E" w14:paraId="34582CFB" w14:textId="28EDE188">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5">
    <w:p w:rsidR="00D661CB" w:rsidP="002C570E" w14:paraId="35C25C05" w14:textId="77777777">
      <w:pPr>
        <w:pStyle w:val="FootnoteText"/>
      </w:pPr>
      <w:r>
        <w:rPr>
          <w:rStyle w:val="FootnoteReference"/>
        </w:rPr>
        <w:footnoteRef/>
      </w:r>
      <w:r>
        <w:t xml:space="preserve"> </w:t>
      </w:r>
      <w:r>
        <w:rPr>
          <w:i/>
        </w:rPr>
        <w:t>Id</w:t>
      </w:r>
      <w:r>
        <w:t>. § 54.8(b).</w:t>
      </w:r>
    </w:p>
  </w:footnote>
  <w:footnote w:id="26">
    <w:p w:rsidR="00D661CB" w:rsidRPr="009C5017" w:rsidP="002C570E" w14:paraId="7C51068D" w14:textId="08916756">
      <w:pPr>
        <w:pStyle w:val="FootnoteText"/>
      </w:pPr>
      <w:r w:rsidRPr="009C5017">
        <w:rPr>
          <w:rStyle w:val="FootnoteReference"/>
        </w:rPr>
        <w:footnoteRef/>
      </w:r>
      <w:r w:rsidRPr="009C5017">
        <w:t xml:space="preserve"> </w:t>
      </w:r>
      <w:r w:rsidRPr="00E07B3C" w:rsidR="001D3156">
        <w:rPr>
          <w:i/>
          <w:iCs/>
        </w:rPr>
        <w:t>Id.</w:t>
      </w:r>
      <w:r w:rsidRPr="009C5017" w:rsidR="00265DC9">
        <w:t xml:space="preserve"> § 54.8(e)(3)</w:t>
      </w:r>
      <w:r w:rsidR="00265DC9">
        <w:t xml:space="preserve">; </w:t>
      </w:r>
      <w:r w:rsidRPr="001A5634">
        <w:rPr>
          <w:i/>
        </w:rPr>
        <w:t>Second Report and Order</w:t>
      </w:r>
      <w:r w:rsidRPr="009C5017">
        <w:rPr>
          <w:i/>
        </w:rPr>
        <w:t>,</w:t>
      </w:r>
      <w:r w:rsidR="001D3156">
        <w:rPr>
          <w:i/>
        </w:rPr>
        <w:t xml:space="preserve"> </w:t>
      </w:r>
      <w:r w:rsidRPr="00F47B2D" w:rsidR="001D3156">
        <w:rPr>
          <w:i/>
          <w:iCs/>
        </w:rPr>
        <w:t>supra</w:t>
      </w:r>
      <w:r w:rsidR="001D3156">
        <w:t xml:space="preserve"> note 4,</w:t>
      </w:r>
      <w:r w:rsidR="00A964A1">
        <w:rPr>
          <w:i/>
          <w:iCs/>
        </w:rPr>
        <w:t xml:space="preserve"> </w:t>
      </w:r>
      <w:r w:rsidRPr="009C5017">
        <w:t>at 9226, para. 70</w:t>
      </w:r>
      <w:r w:rsidR="00265DC9">
        <w:t>.</w:t>
      </w:r>
    </w:p>
  </w:footnote>
  <w:footnote w:id="27">
    <w:p w:rsidR="00D661CB" w:rsidRPr="009C5017" w:rsidP="002C570E" w14:paraId="4B754E27" w14:textId="6187C5E4">
      <w:pPr>
        <w:pStyle w:val="FootnoteText"/>
      </w:pPr>
      <w:r w:rsidRPr="001A5634">
        <w:rPr>
          <w:rStyle w:val="FootnoteReference"/>
        </w:rPr>
        <w:footnoteRef/>
      </w:r>
      <w:r w:rsidRPr="001A5634">
        <w:t xml:space="preserve"> </w:t>
      </w:r>
      <w:r w:rsidRPr="009C5017">
        <w:t>47 CFR § 54.8(e)(5)</w:t>
      </w:r>
      <w:r w:rsidR="00AE0FE7">
        <w:t>;</w:t>
      </w:r>
      <w:r w:rsidRPr="00AE0FE7" w:rsidR="00AE0FE7">
        <w:rPr>
          <w:i/>
        </w:rPr>
        <w:t xml:space="preserve"> </w:t>
      </w:r>
      <w:bookmarkStart w:id="1" w:name="_Hlk171601682"/>
      <w:r w:rsidRPr="001A5634" w:rsidR="00AE0FE7">
        <w:rPr>
          <w:i/>
        </w:rPr>
        <w:t>Second Report and Order</w:t>
      </w:r>
      <w:r w:rsidRPr="009C5017" w:rsidR="00AE0FE7">
        <w:rPr>
          <w:i/>
        </w:rPr>
        <w:t>,</w:t>
      </w:r>
      <w:r w:rsidR="00AE0FE7">
        <w:rPr>
          <w:i/>
        </w:rPr>
        <w:t xml:space="preserve"> </w:t>
      </w:r>
      <w:r w:rsidRPr="00F47B2D" w:rsidR="00AE0FE7">
        <w:rPr>
          <w:i/>
          <w:iCs/>
        </w:rPr>
        <w:t>supra</w:t>
      </w:r>
      <w:r w:rsidR="00AE0FE7">
        <w:t xml:space="preserve"> note 4,</w:t>
      </w:r>
      <w:r w:rsidR="00AE0FE7">
        <w:rPr>
          <w:i/>
          <w:iCs/>
        </w:rPr>
        <w:t xml:space="preserve"> </w:t>
      </w:r>
      <w:r w:rsidRPr="009C5017" w:rsidR="00AE0FE7">
        <w:t>at 9226, para. 70</w:t>
      </w:r>
      <w:r w:rsidRPr="009C5017">
        <w:t>.</w:t>
      </w:r>
      <w:bookmarkEnd w:id="1"/>
    </w:p>
  </w:footnote>
  <w:footnote w:id="28">
    <w:p w:rsidR="00D661CB" w:rsidRPr="009C5017" w:rsidP="002C570E" w14:paraId="6E43FC9E" w14:textId="061A736C">
      <w:pPr>
        <w:pStyle w:val="FootnoteText"/>
      </w:pPr>
      <w:r w:rsidRPr="009C5017">
        <w:rPr>
          <w:rStyle w:val="FootnoteReference"/>
        </w:rPr>
        <w:footnoteRef/>
      </w:r>
      <w:r w:rsidRPr="009C5017">
        <w:t xml:space="preserve"> </w:t>
      </w:r>
      <w:bookmarkStart w:id="2" w:name="_Hlk171601703"/>
      <w:r w:rsidRPr="009C5017" w:rsidR="00AE0FE7">
        <w:t xml:space="preserve">47 CFR § 54.8(e)(5).  </w:t>
      </w:r>
      <w:bookmarkEnd w:id="2"/>
      <w:r w:rsidRPr="009C5017">
        <w:t xml:space="preserve">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29">
    <w:p w:rsidR="00D661CB" w:rsidP="002C570E" w14:paraId="413F1A0E" w14:textId="0DC4FDF7">
      <w:pPr>
        <w:pStyle w:val="FootnoteText"/>
      </w:pPr>
      <w:r w:rsidRPr="009C5017">
        <w:rPr>
          <w:rStyle w:val="FootnoteReference"/>
        </w:rPr>
        <w:footnoteRef/>
      </w:r>
      <w:r w:rsidRPr="009C5017">
        <w:t xml:space="preserve"> </w:t>
      </w:r>
      <w:r w:rsidR="00265DC9">
        <w:t xml:space="preserve">47 CFR § 54.8(d), (g); </w:t>
      </w:r>
      <w:r w:rsidRPr="001A5634">
        <w:rPr>
          <w:i/>
        </w:rPr>
        <w:t>Second Report and Order</w:t>
      </w:r>
      <w:r w:rsidRPr="001A5634">
        <w:t>,</w:t>
      </w:r>
      <w:r>
        <w:t xml:space="preserve"> </w:t>
      </w:r>
      <w:r w:rsidRPr="00F47B2D" w:rsidR="005C21CF">
        <w:rPr>
          <w:i/>
          <w:iCs/>
        </w:rPr>
        <w:t>supra</w:t>
      </w:r>
      <w:r w:rsidR="005C21CF">
        <w:t xml:space="preserve"> note 4, </w:t>
      </w:r>
      <w:r>
        <w:t>at 9225, para. 67</w:t>
      </w:r>
      <w:r w:rsidR="00265DC9">
        <w:t>.</w:t>
      </w:r>
      <w:r>
        <w:t xml:space="preserve"> </w:t>
      </w:r>
    </w:p>
  </w:footnote>
  <w:footnote w:id="30">
    <w:p w:rsidR="00D661CB" w:rsidP="002C570E" w14:paraId="2CD77137" w14:textId="77777777">
      <w:pPr>
        <w:pStyle w:val="FootnoteText"/>
      </w:pPr>
      <w:r>
        <w:rPr>
          <w:rStyle w:val="FootnoteReference"/>
        </w:rPr>
        <w:footnoteRef/>
      </w:r>
      <w:r>
        <w:t xml:space="preserve"> 47 CFR § 54.8(g).</w:t>
      </w:r>
    </w:p>
  </w:footnote>
  <w:footnote w:id="31">
    <w:p w:rsidR="00AC1A39" w:rsidP="002C570E" w14:paraId="208002CC" w14:textId="0FA7DAB8">
      <w:pPr>
        <w:pStyle w:val="FootnoteText"/>
      </w:pPr>
      <w:r>
        <w:rPr>
          <w:rStyle w:val="FootnoteReference"/>
        </w:rPr>
        <w:footnoteRef/>
      </w:r>
      <w:r>
        <w:t xml:space="preserve"> </w:t>
      </w:r>
      <w:r w:rsidRPr="00E07B3C" w:rsidR="005C21CF">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174359" w:rsidP="00617ECF" w14:paraId="3D72E7A8" w14:textId="36C31B36">
    <w:pPr>
      <w:rPr>
        <w:sz w:val="22"/>
        <w:szCs w:val="22"/>
      </w:rPr>
    </w:pPr>
    <w:r>
      <w:rPr>
        <w:sz w:val="22"/>
        <w:szCs w:val="22"/>
      </w:rPr>
      <w:t>Donatus</w:t>
    </w:r>
    <w:r>
      <w:rPr>
        <w:sz w:val="22"/>
        <w:szCs w:val="22"/>
      </w:rPr>
      <w:t xml:space="preserve"> </w:t>
    </w:r>
    <w:r w:rsidR="009523A2">
      <w:rPr>
        <w:sz w:val="22"/>
        <w:szCs w:val="22"/>
      </w:rPr>
      <w:t>Anyanwu</w:t>
    </w:r>
  </w:p>
  <w:p w:rsidR="000D204E" w:rsidP="00617ECF" w14:paraId="2603F59D" w14:textId="2A960B42">
    <w:pPr>
      <w:rPr>
        <w:rStyle w:val="PageNumber"/>
        <w:sz w:val="22"/>
        <w:szCs w:val="22"/>
      </w:rPr>
    </w:pPr>
    <w:r>
      <w:rPr>
        <w:rStyle w:val="PageNumber"/>
        <w:sz w:val="22"/>
        <w:szCs w:val="22"/>
      </w:rPr>
      <w:t xml:space="preserve">April </w:t>
    </w:r>
    <w:r w:rsidR="00EA0450">
      <w:rPr>
        <w:rStyle w:val="PageNumber"/>
        <w:sz w:val="22"/>
        <w:szCs w:val="22"/>
      </w:rPr>
      <w:t>7</w:t>
    </w:r>
    <w:r w:rsidRPr="004235C8" w:rsidR="005B49D3">
      <w:rPr>
        <w:rStyle w:val="PageNumber"/>
        <w:sz w:val="22"/>
        <w:szCs w:val="22"/>
      </w:rPr>
      <w:t>, 2026</w:t>
    </w:r>
  </w:p>
  <w:p w:rsidR="00AE2C94" w:rsidRPr="00174359" w:rsidP="00617ECF" w14:paraId="07ADC052" w14:textId="51EA5677">
    <w:pPr>
      <w:rPr>
        <w:rStyle w:val="PageNumber"/>
        <w:sz w:val="22"/>
        <w:szCs w:val="22"/>
      </w:rPr>
    </w:pPr>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p w:rsidR="00AE2C94" w:rsidP="00617ECF" w14:paraId="2FB7B52D" w14:textId="77777777">
    <w:pPr>
      <w:pStyle w:val="Header"/>
    </w:pPr>
  </w:p>
  <w:p w:rsidR="00AE2C94" w14:paraId="35AE3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7016BC" w:rsidP="005623BF" w14:paraId="1B7B3808" w14:textId="77777777">
    <w:pPr>
      <w:pStyle w:val="Header"/>
      <w:tabs>
        <w:tab w:val="clear" w:pos="4320"/>
        <w:tab w:val="clear" w:pos="8640"/>
      </w:tabs>
      <w:spacing w:before="360" w:line="480" w:lineRule="auto"/>
      <w:jc w:val="center"/>
      <w:rPr>
        <w:b/>
        <w:bCs/>
        <w:sz w:val="22"/>
        <w:szCs w:val="22"/>
      </w:rPr>
    </w:pPr>
    <w:r w:rsidRPr="007016B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BC">
      <w:rPr>
        <w:b/>
        <w:bCs/>
        <w:sz w:val="22"/>
        <w:szCs w:val="22"/>
      </w:rPr>
      <w:t>Federal Communications Commission</w:t>
    </w:r>
  </w:p>
  <w:p w:rsidR="00AE2C94" w:rsidRPr="007016BC" w:rsidP="005623BF" w14:paraId="6121535C" w14:textId="77777777">
    <w:pPr>
      <w:ind w:left="2880" w:firstLine="720"/>
      <w:rPr>
        <w:sz w:val="22"/>
        <w:szCs w:val="22"/>
      </w:rPr>
    </w:pPr>
    <w:r w:rsidRPr="007016BC">
      <w:rPr>
        <w:sz w:val="22"/>
        <w:szCs w:val="22"/>
      </w:rPr>
      <w:t>Enforcement Bureau</w:t>
    </w:r>
  </w:p>
  <w:p w:rsidR="00AE2C94" w:rsidRPr="007016BC" w:rsidP="005623BF" w14:paraId="5687E310" w14:textId="77777777">
    <w:pPr>
      <w:pStyle w:val="Title"/>
      <w:spacing w:after="0" w:line="240" w:lineRule="auto"/>
      <w:rPr>
        <w:rFonts w:ascii="Times New Roman" w:hAnsi="Times New Roman" w:cs="Times New Roman"/>
        <w:b w:val="0"/>
        <w:caps/>
      </w:rPr>
    </w:pPr>
    <w:r w:rsidRPr="007016BC">
      <w:rPr>
        <w:rFonts w:ascii="Times New Roman" w:hAnsi="Times New Roman" w:cs="Times New Roman"/>
        <w:b w:val="0"/>
      </w:rPr>
      <w:t>Investigations and Hearings Division</w:t>
    </w:r>
  </w:p>
  <w:p w:rsidR="00AE2C94" w:rsidRPr="007016BC" w:rsidP="005623BF" w14:paraId="361EB335" w14:textId="77777777">
    <w:pPr>
      <w:jc w:val="center"/>
      <w:outlineLvl w:val="0"/>
      <w:rPr>
        <w:sz w:val="22"/>
        <w:szCs w:val="22"/>
      </w:rPr>
    </w:pPr>
    <w:r w:rsidRPr="007016BC">
      <w:rPr>
        <w:sz w:val="22"/>
        <w:szCs w:val="22"/>
      </w:rPr>
      <w:t>45 L Street, NE</w:t>
    </w:r>
  </w:p>
  <w:p w:rsidR="00AE2C94" w:rsidRPr="007016BC" w:rsidP="005623BF" w14:paraId="52CDBC4A" w14:textId="6C29A96A">
    <w:pPr>
      <w:jc w:val="center"/>
      <w:outlineLvl w:val="0"/>
      <w:rPr>
        <w:sz w:val="22"/>
        <w:szCs w:val="22"/>
      </w:rPr>
    </w:pPr>
    <w:r w:rsidRPr="007016B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4"/>
    <w:rsid w:val="00015E2D"/>
    <w:rsid w:val="00023B68"/>
    <w:rsid w:val="00024BB5"/>
    <w:rsid w:val="00025386"/>
    <w:rsid w:val="00030EE3"/>
    <w:rsid w:val="0004505C"/>
    <w:rsid w:val="00052C59"/>
    <w:rsid w:val="00057EA2"/>
    <w:rsid w:val="00073F1E"/>
    <w:rsid w:val="0008569E"/>
    <w:rsid w:val="000C09EE"/>
    <w:rsid w:val="000D1D8F"/>
    <w:rsid w:val="000D204E"/>
    <w:rsid w:val="000E73D1"/>
    <w:rsid w:val="000F4635"/>
    <w:rsid w:val="000F5676"/>
    <w:rsid w:val="0010734A"/>
    <w:rsid w:val="00107F67"/>
    <w:rsid w:val="001205CF"/>
    <w:rsid w:val="00120A23"/>
    <w:rsid w:val="001314F3"/>
    <w:rsid w:val="001378E4"/>
    <w:rsid w:val="00140532"/>
    <w:rsid w:val="00146B9E"/>
    <w:rsid w:val="00146FF1"/>
    <w:rsid w:val="0015146E"/>
    <w:rsid w:val="00174359"/>
    <w:rsid w:val="00176E7C"/>
    <w:rsid w:val="00180B33"/>
    <w:rsid w:val="00183381"/>
    <w:rsid w:val="00193908"/>
    <w:rsid w:val="001A0EC6"/>
    <w:rsid w:val="001A4943"/>
    <w:rsid w:val="001A5634"/>
    <w:rsid w:val="001B4C2B"/>
    <w:rsid w:val="001B5DDA"/>
    <w:rsid w:val="001B6DC7"/>
    <w:rsid w:val="001C0C4A"/>
    <w:rsid w:val="001C7DF5"/>
    <w:rsid w:val="001D3156"/>
    <w:rsid w:val="001D4E24"/>
    <w:rsid w:val="001D6EBE"/>
    <w:rsid w:val="001E3BE7"/>
    <w:rsid w:val="002049FC"/>
    <w:rsid w:val="00240D5C"/>
    <w:rsid w:val="00241555"/>
    <w:rsid w:val="0024210F"/>
    <w:rsid w:val="00251C8E"/>
    <w:rsid w:val="00265DC9"/>
    <w:rsid w:val="00267C4B"/>
    <w:rsid w:val="00270375"/>
    <w:rsid w:val="00285013"/>
    <w:rsid w:val="002917C2"/>
    <w:rsid w:val="002933DE"/>
    <w:rsid w:val="00297D0E"/>
    <w:rsid w:val="002A0AF3"/>
    <w:rsid w:val="002A1481"/>
    <w:rsid w:val="002B63A3"/>
    <w:rsid w:val="002C570E"/>
    <w:rsid w:val="002C70BA"/>
    <w:rsid w:val="002D3350"/>
    <w:rsid w:val="002D3818"/>
    <w:rsid w:val="002E353F"/>
    <w:rsid w:val="002E6F05"/>
    <w:rsid w:val="002F3FB8"/>
    <w:rsid w:val="00301FA6"/>
    <w:rsid w:val="00302F84"/>
    <w:rsid w:val="00307CF9"/>
    <w:rsid w:val="00317BEC"/>
    <w:rsid w:val="003205E0"/>
    <w:rsid w:val="00334ADE"/>
    <w:rsid w:val="003572D6"/>
    <w:rsid w:val="00360961"/>
    <w:rsid w:val="00372405"/>
    <w:rsid w:val="00391F76"/>
    <w:rsid w:val="003A43F0"/>
    <w:rsid w:val="003A4526"/>
    <w:rsid w:val="003A53A5"/>
    <w:rsid w:val="003C312D"/>
    <w:rsid w:val="003D2D12"/>
    <w:rsid w:val="003D595C"/>
    <w:rsid w:val="003E2F79"/>
    <w:rsid w:val="003E4908"/>
    <w:rsid w:val="003F1BE9"/>
    <w:rsid w:val="003F50AB"/>
    <w:rsid w:val="003F7202"/>
    <w:rsid w:val="0040368B"/>
    <w:rsid w:val="00407823"/>
    <w:rsid w:val="0041565B"/>
    <w:rsid w:val="004235C8"/>
    <w:rsid w:val="00427782"/>
    <w:rsid w:val="00433661"/>
    <w:rsid w:val="0043756D"/>
    <w:rsid w:val="00451F35"/>
    <w:rsid w:val="00456059"/>
    <w:rsid w:val="0047166A"/>
    <w:rsid w:val="004718F3"/>
    <w:rsid w:val="00477313"/>
    <w:rsid w:val="00482857"/>
    <w:rsid w:val="0048451C"/>
    <w:rsid w:val="00486959"/>
    <w:rsid w:val="004949A8"/>
    <w:rsid w:val="004A7495"/>
    <w:rsid w:val="004A77CB"/>
    <w:rsid w:val="004B0A70"/>
    <w:rsid w:val="004B178B"/>
    <w:rsid w:val="004C0116"/>
    <w:rsid w:val="004C4E74"/>
    <w:rsid w:val="004C51A9"/>
    <w:rsid w:val="004D0B65"/>
    <w:rsid w:val="004E7EC0"/>
    <w:rsid w:val="00505223"/>
    <w:rsid w:val="005059C0"/>
    <w:rsid w:val="005068E6"/>
    <w:rsid w:val="00522381"/>
    <w:rsid w:val="00527658"/>
    <w:rsid w:val="00531881"/>
    <w:rsid w:val="005401B0"/>
    <w:rsid w:val="00550FAA"/>
    <w:rsid w:val="00551563"/>
    <w:rsid w:val="00553619"/>
    <w:rsid w:val="00556DF6"/>
    <w:rsid w:val="0056014C"/>
    <w:rsid w:val="005623BF"/>
    <w:rsid w:val="005637D6"/>
    <w:rsid w:val="00567706"/>
    <w:rsid w:val="00567BDA"/>
    <w:rsid w:val="00570138"/>
    <w:rsid w:val="00582D6D"/>
    <w:rsid w:val="00585516"/>
    <w:rsid w:val="00586A82"/>
    <w:rsid w:val="005940AC"/>
    <w:rsid w:val="005B0B56"/>
    <w:rsid w:val="005B2B06"/>
    <w:rsid w:val="005B49D3"/>
    <w:rsid w:val="005B7A14"/>
    <w:rsid w:val="005C21CF"/>
    <w:rsid w:val="005D1901"/>
    <w:rsid w:val="005E2BDD"/>
    <w:rsid w:val="005F0C0D"/>
    <w:rsid w:val="005F50FF"/>
    <w:rsid w:val="005F52C0"/>
    <w:rsid w:val="005F56AF"/>
    <w:rsid w:val="00606681"/>
    <w:rsid w:val="00610BC2"/>
    <w:rsid w:val="006171CB"/>
    <w:rsid w:val="00617ECF"/>
    <w:rsid w:val="00633121"/>
    <w:rsid w:val="00652E1A"/>
    <w:rsid w:val="00655645"/>
    <w:rsid w:val="00670233"/>
    <w:rsid w:val="00686C6A"/>
    <w:rsid w:val="00697A05"/>
    <w:rsid w:val="006A7237"/>
    <w:rsid w:val="006B1BC6"/>
    <w:rsid w:val="006B398A"/>
    <w:rsid w:val="006B73D8"/>
    <w:rsid w:val="006C0612"/>
    <w:rsid w:val="006C4BA8"/>
    <w:rsid w:val="006D2459"/>
    <w:rsid w:val="006E1B38"/>
    <w:rsid w:val="006E3DAB"/>
    <w:rsid w:val="006F3BC3"/>
    <w:rsid w:val="007016BC"/>
    <w:rsid w:val="0070287E"/>
    <w:rsid w:val="00711CA6"/>
    <w:rsid w:val="00720DA7"/>
    <w:rsid w:val="00721507"/>
    <w:rsid w:val="007412CD"/>
    <w:rsid w:val="0074237E"/>
    <w:rsid w:val="00750CB2"/>
    <w:rsid w:val="00755D14"/>
    <w:rsid w:val="007668D6"/>
    <w:rsid w:val="007754E2"/>
    <w:rsid w:val="00776C28"/>
    <w:rsid w:val="00777BD0"/>
    <w:rsid w:val="00780741"/>
    <w:rsid w:val="007849AE"/>
    <w:rsid w:val="00784A7B"/>
    <w:rsid w:val="00787A01"/>
    <w:rsid w:val="00790A91"/>
    <w:rsid w:val="00794C68"/>
    <w:rsid w:val="00794F65"/>
    <w:rsid w:val="007A1234"/>
    <w:rsid w:val="007A4032"/>
    <w:rsid w:val="007C03CC"/>
    <w:rsid w:val="007D1D69"/>
    <w:rsid w:val="007D2047"/>
    <w:rsid w:val="007D2F46"/>
    <w:rsid w:val="007F3575"/>
    <w:rsid w:val="008039DC"/>
    <w:rsid w:val="00810127"/>
    <w:rsid w:val="008111F2"/>
    <w:rsid w:val="00811D48"/>
    <w:rsid w:val="008179CA"/>
    <w:rsid w:val="00832D4E"/>
    <w:rsid w:val="00843D8B"/>
    <w:rsid w:val="00866F49"/>
    <w:rsid w:val="00872626"/>
    <w:rsid w:val="008817C2"/>
    <w:rsid w:val="008B3C79"/>
    <w:rsid w:val="008B738C"/>
    <w:rsid w:val="008C594D"/>
    <w:rsid w:val="008C6DFC"/>
    <w:rsid w:val="008F23A0"/>
    <w:rsid w:val="00903E6E"/>
    <w:rsid w:val="0091115B"/>
    <w:rsid w:val="009357EE"/>
    <w:rsid w:val="00935AB3"/>
    <w:rsid w:val="00935BAA"/>
    <w:rsid w:val="0094142B"/>
    <w:rsid w:val="0094203F"/>
    <w:rsid w:val="0095148D"/>
    <w:rsid w:val="009523A2"/>
    <w:rsid w:val="009612A4"/>
    <w:rsid w:val="009666A3"/>
    <w:rsid w:val="00994B59"/>
    <w:rsid w:val="009B4CA7"/>
    <w:rsid w:val="009B74EB"/>
    <w:rsid w:val="009C5017"/>
    <w:rsid w:val="009C527C"/>
    <w:rsid w:val="009D7342"/>
    <w:rsid w:val="009E6E97"/>
    <w:rsid w:val="009E6F65"/>
    <w:rsid w:val="009F364F"/>
    <w:rsid w:val="00A1417D"/>
    <w:rsid w:val="00A14EB0"/>
    <w:rsid w:val="00A46927"/>
    <w:rsid w:val="00A53BEE"/>
    <w:rsid w:val="00A61254"/>
    <w:rsid w:val="00A62F4A"/>
    <w:rsid w:val="00A964A1"/>
    <w:rsid w:val="00AA2781"/>
    <w:rsid w:val="00AA3B45"/>
    <w:rsid w:val="00AA534D"/>
    <w:rsid w:val="00AA5D05"/>
    <w:rsid w:val="00AB7E5D"/>
    <w:rsid w:val="00AC1A39"/>
    <w:rsid w:val="00AD2840"/>
    <w:rsid w:val="00AD6A00"/>
    <w:rsid w:val="00AE0FE7"/>
    <w:rsid w:val="00AE2C94"/>
    <w:rsid w:val="00AE4926"/>
    <w:rsid w:val="00AE6AA9"/>
    <w:rsid w:val="00AE759B"/>
    <w:rsid w:val="00AF1E2C"/>
    <w:rsid w:val="00AF6480"/>
    <w:rsid w:val="00B00FF0"/>
    <w:rsid w:val="00B04612"/>
    <w:rsid w:val="00B16F6C"/>
    <w:rsid w:val="00B2712C"/>
    <w:rsid w:val="00B31FA3"/>
    <w:rsid w:val="00B33FFE"/>
    <w:rsid w:val="00B37B87"/>
    <w:rsid w:val="00B41B81"/>
    <w:rsid w:val="00B60464"/>
    <w:rsid w:val="00B60971"/>
    <w:rsid w:val="00B70DDF"/>
    <w:rsid w:val="00B772A7"/>
    <w:rsid w:val="00B82990"/>
    <w:rsid w:val="00B83364"/>
    <w:rsid w:val="00B93ABC"/>
    <w:rsid w:val="00B9526D"/>
    <w:rsid w:val="00BA0BAE"/>
    <w:rsid w:val="00BA1E31"/>
    <w:rsid w:val="00BA54B1"/>
    <w:rsid w:val="00BC467A"/>
    <w:rsid w:val="00BD5843"/>
    <w:rsid w:val="00BE0D96"/>
    <w:rsid w:val="00C002D8"/>
    <w:rsid w:val="00C438E2"/>
    <w:rsid w:val="00C47432"/>
    <w:rsid w:val="00C51D2A"/>
    <w:rsid w:val="00C66B5F"/>
    <w:rsid w:val="00C74887"/>
    <w:rsid w:val="00C81319"/>
    <w:rsid w:val="00C852B0"/>
    <w:rsid w:val="00C95485"/>
    <w:rsid w:val="00CB25E6"/>
    <w:rsid w:val="00CB558A"/>
    <w:rsid w:val="00CB778B"/>
    <w:rsid w:val="00CC3E49"/>
    <w:rsid w:val="00CD4BC1"/>
    <w:rsid w:val="00CE3129"/>
    <w:rsid w:val="00D018CF"/>
    <w:rsid w:val="00D11B46"/>
    <w:rsid w:val="00D136F8"/>
    <w:rsid w:val="00D13F64"/>
    <w:rsid w:val="00D33B8D"/>
    <w:rsid w:val="00D43665"/>
    <w:rsid w:val="00D47E40"/>
    <w:rsid w:val="00D512EA"/>
    <w:rsid w:val="00D5252B"/>
    <w:rsid w:val="00D52FD7"/>
    <w:rsid w:val="00D6267D"/>
    <w:rsid w:val="00D64FF7"/>
    <w:rsid w:val="00D661CB"/>
    <w:rsid w:val="00D86748"/>
    <w:rsid w:val="00D87AC2"/>
    <w:rsid w:val="00D95F89"/>
    <w:rsid w:val="00D971A1"/>
    <w:rsid w:val="00DA0D3E"/>
    <w:rsid w:val="00DA3ECA"/>
    <w:rsid w:val="00DC2B2C"/>
    <w:rsid w:val="00DC2BD9"/>
    <w:rsid w:val="00DC393C"/>
    <w:rsid w:val="00DD13D2"/>
    <w:rsid w:val="00DE3A93"/>
    <w:rsid w:val="00DE737D"/>
    <w:rsid w:val="00DF4AB7"/>
    <w:rsid w:val="00DF61E2"/>
    <w:rsid w:val="00E00A1F"/>
    <w:rsid w:val="00E01F36"/>
    <w:rsid w:val="00E07B3C"/>
    <w:rsid w:val="00E07BAF"/>
    <w:rsid w:val="00E12886"/>
    <w:rsid w:val="00E1566E"/>
    <w:rsid w:val="00E21632"/>
    <w:rsid w:val="00E35D06"/>
    <w:rsid w:val="00E362B6"/>
    <w:rsid w:val="00E569C1"/>
    <w:rsid w:val="00E66163"/>
    <w:rsid w:val="00E70911"/>
    <w:rsid w:val="00E70D00"/>
    <w:rsid w:val="00E72675"/>
    <w:rsid w:val="00E7313F"/>
    <w:rsid w:val="00E83935"/>
    <w:rsid w:val="00E9547C"/>
    <w:rsid w:val="00EA0450"/>
    <w:rsid w:val="00EA3248"/>
    <w:rsid w:val="00EA36E5"/>
    <w:rsid w:val="00EA7423"/>
    <w:rsid w:val="00EC1AF5"/>
    <w:rsid w:val="00EC5F0C"/>
    <w:rsid w:val="00ED6B91"/>
    <w:rsid w:val="00EE47D8"/>
    <w:rsid w:val="00EE4EF2"/>
    <w:rsid w:val="00EF239B"/>
    <w:rsid w:val="00EF5E22"/>
    <w:rsid w:val="00F0019F"/>
    <w:rsid w:val="00F25769"/>
    <w:rsid w:val="00F47B2D"/>
    <w:rsid w:val="00F5020A"/>
    <w:rsid w:val="00F8006E"/>
    <w:rsid w:val="00F824A8"/>
    <w:rsid w:val="00F85868"/>
    <w:rsid w:val="00F86234"/>
    <w:rsid w:val="00FA05A3"/>
    <w:rsid w:val="00FA5298"/>
    <w:rsid w:val="00FC211D"/>
    <w:rsid w:val="00FC2130"/>
    <w:rsid w:val="00FC7AB1"/>
    <w:rsid w:val="00FE4545"/>
    <w:rsid w:val="00FF1228"/>
    <w:rsid w:val="7B079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C26BB5"/>
  <w15:chartTrackingRefBased/>
  <w15:docId w15:val="{84F63D69-0500-4C2D-97D0-A8BEAEF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C94"/>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AE2C94"/>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C94"/>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AE2C94"/>
    <w:pPr>
      <w:tabs>
        <w:tab w:val="center" w:pos="4320"/>
        <w:tab w:val="right" w:pos="8640"/>
      </w:tabs>
    </w:pPr>
  </w:style>
  <w:style w:type="character" w:customStyle="1" w:styleId="HeaderChar">
    <w:name w:val="Header Char"/>
    <w:basedOn w:val="DefaultParagraphFont"/>
    <w:link w:val="Header"/>
    <w:semiHidden/>
    <w:rsid w:val="00AE2C94"/>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2C570E"/>
    <w:pPr>
      <w:tabs>
        <w:tab w:val="left" w:pos="360"/>
      </w:tabs>
      <w:spacing w:before="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2C570E"/>
    <w:rPr>
      <w:rFonts w:ascii="Times New Roman" w:eastAsia="PMingLiU" w:hAnsi="Times New Roman" w:cs="Times New Roman"/>
      <w:kern w:val="0"/>
      <w:sz w:val="20"/>
      <w:szCs w:val="20"/>
      <w14:ligatures w14:val="none"/>
    </w:rPr>
  </w:style>
  <w:style w:type="character" w:styleId="FootnoteReference">
    <w:name w:val="footnote reference"/>
    <w:semiHidden/>
    <w:rsid w:val="00AE2C94"/>
    <w:rPr>
      <w:vertAlign w:val="superscript"/>
    </w:rPr>
  </w:style>
  <w:style w:type="character" w:styleId="PageNumber">
    <w:name w:val="page number"/>
    <w:basedOn w:val="DefaultParagraphFont"/>
    <w:rsid w:val="00AE2C94"/>
  </w:style>
  <w:style w:type="character" w:styleId="Hyperlink">
    <w:name w:val="Hyperlink"/>
    <w:basedOn w:val="DefaultParagraphFont"/>
    <w:unhideWhenUsed/>
    <w:rsid w:val="00AE2C94"/>
    <w:rPr>
      <w:color w:val="0563C1" w:themeColor="hyperlink"/>
      <w:u w:val="single"/>
    </w:rPr>
  </w:style>
  <w:style w:type="paragraph" w:customStyle="1" w:styleId="footnotedescription">
    <w:name w:val="footnote description"/>
    <w:next w:val="Normal"/>
    <w:link w:val="footnotedescriptionChar"/>
    <w:hidden/>
    <w:rsid w:val="00AE2C94"/>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AE2C94"/>
    <w:rPr>
      <w:rFonts w:ascii="Times New Roman" w:eastAsia="Times New Roman" w:hAnsi="Times New Roman" w:cs="Times New Roman"/>
      <w:color w:val="0B150E"/>
      <w:sz w:val="20"/>
    </w:rPr>
  </w:style>
  <w:style w:type="character" w:customStyle="1" w:styleId="footnotemark">
    <w:name w:val="footnote mark"/>
    <w:hidden/>
    <w:rsid w:val="00AE2C94"/>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AE2C94"/>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AE2C94"/>
    <w:rPr>
      <w:b/>
    </w:rPr>
  </w:style>
  <w:style w:type="paragraph" w:styleId="Footer">
    <w:name w:val="footer"/>
    <w:basedOn w:val="Normal"/>
    <w:link w:val="FooterChar"/>
    <w:uiPriority w:val="99"/>
    <w:unhideWhenUsed/>
    <w:rsid w:val="00D6267D"/>
    <w:pPr>
      <w:tabs>
        <w:tab w:val="center" w:pos="4680"/>
        <w:tab w:val="right" w:pos="9360"/>
      </w:tabs>
    </w:pPr>
  </w:style>
  <w:style w:type="character" w:customStyle="1" w:styleId="FooterChar">
    <w:name w:val="Footer Char"/>
    <w:basedOn w:val="DefaultParagraphFont"/>
    <w:link w:val="Footer"/>
    <w:uiPriority w:val="99"/>
    <w:rsid w:val="00D6267D"/>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334ADE"/>
    <w:rPr>
      <w:color w:val="605E5C"/>
      <w:shd w:val="clear" w:color="auto" w:fill="E1DFDD"/>
    </w:rPr>
  </w:style>
  <w:style w:type="paragraph" w:styleId="Revision">
    <w:name w:val="Revision"/>
    <w:hidden/>
    <w:uiPriority w:val="99"/>
    <w:semiHidden/>
    <w:rsid w:val="00AA2781"/>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A2781"/>
    <w:rPr>
      <w:sz w:val="16"/>
      <w:szCs w:val="16"/>
    </w:rPr>
  </w:style>
  <w:style w:type="paragraph" w:styleId="CommentText">
    <w:name w:val="annotation text"/>
    <w:basedOn w:val="Normal"/>
    <w:link w:val="CommentTextChar"/>
    <w:uiPriority w:val="99"/>
    <w:unhideWhenUsed/>
    <w:rsid w:val="00AA2781"/>
    <w:rPr>
      <w:sz w:val="20"/>
    </w:rPr>
  </w:style>
  <w:style w:type="character" w:customStyle="1" w:styleId="CommentTextChar">
    <w:name w:val="Comment Text Char"/>
    <w:basedOn w:val="DefaultParagraphFont"/>
    <w:link w:val="CommentText"/>
    <w:uiPriority w:val="99"/>
    <w:rsid w:val="00AA27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781"/>
    <w:rPr>
      <w:b/>
      <w:bCs/>
    </w:rPr>
  </w:style>
  <w:style w:type="character" w:customStyle="1" w:styleId="CommentSubjectChar">
    <w:name w:val="Comment Subject Char"/>
    <w:basedOn w:val="CommentTextChar"/>
    <w:link w:val="CommentSubject"/>
    <w:uiPriority w:val="99"/>
    <w:semiHidden/>
    <w:rsid w:val="00AA2781"/>
    <w:rPr>
      <w:rFonts w:ascii="Times New Roman" w:eastAsia="MS Mincho"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yperlink" Target="mailto:Jeffrey.Brown@fc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