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55C4B" w:rsidRPr="00DF034A" w:rsidP="00DF034A" w14:paraId="38311CBB" w14:textId="77777777">
      <w:pPr>
        <w:jc w:val="right"/>
        <w:rPr>
          <w:b/>
          <w:szCs w:val="22"/>
        </w:rPr>
      </w:pPr>
    </w:p>
    <w:p w:rsidR="00BA3BA8" w:rsidRPr="00DF034A" w:rsidP="00DF034A" w14:paraId="3CA71376" w14:textId="6CCB8966">
      <w:pPr>
        <w:jc w:val="right"/>
        <w:rPr>
          <w:b/>
          <w:szCs w:val="22"/>
        </w:rPr>
      </w:pPr>
      <w:r w:rsidRPr="00DF034A">
        <w:rPr>
          <w:b/>
          <w:szCs w:val="22"/>
        </w:rPr>
        <w:t>DA 2</w:t>
      </w:r>
      <w:r w:rsidR="00576763">
        <w:rPr>
          <w:b/>
          <w:szCs w:val="22"/>
        </w:rPr>
        <w:t>6</w:t>
      </w:r>
      <w:r w:rsidRPr="00DF034A">
        <w:rPr>
          <w:b/>
          <w:szCs w:val="22"/>
        </w:rPr>
        <w:t>-</w:t>
      </w:r>
      <w:r w:rsidR="00C554BB">
        <w:rPr>
          <w:b/>
          <w:szCs w:val="22"/>
        </w:rPr>
        <w:t>314</w:t>
      </w:r>
    </w:p>
    <w:p w:rsidR="00BA3BA8" w:rsidRPr="00DF034A" w:rsidP="00DF034A" w14:paraId="70A2698F" w14:textId="0F7ECAFF">
      <w:pPr>
        <w:jc w:val="right"/>
        <w:rPr>
          <w:b/>
          <w:bCs/>
          <w:szCs w:val="22"/>
        </w:rPr>
      </w:pPr>
      <w:r w:rsidRPr="00DF034A">
        <w:rPr>
          <w:b/>
          <w:bCs/>
          <w:szCs w:val="22"/>
        </w:rPr>
        <w:t xml:space="preserve">Released:  </w:t>
      </w:r>
      <w:r w:rsidR="003C7EAB">
        <w:rPr>
          <w:b/>
          <w:bCs/>
          <w:szCs w:val="22"/>
        </w:rPr>
        <w:t>April 1</w:t>
      </w:r>
      <w:r w:rsidRPr="00DF034A" w:rsidR="00C23E3C">
        <w:rPr>
          <w:b/>
          <w:bCs/>
          <w:szCs w:val="22"/>
        </w:rPr>
        <w:t xml:space="preserve">, </w:t>
      </w:r>
      <w:r w:rsidRPr="00DF034A" w:rsidR="007D43F7">
        <w:rPr>
          <w:b/>
          <w:bCs/>
          <w:szCs w:val="22"/>
        </w:rPr>
        <w:t>2026</w:t>
      </w:r>
    </w:p>
    <w:p w:rsidR="00BA3BA8" w:rsidRPr="00DF034A" w:rsidP="00DF034A" w14:paraId="21B88F08" w14:textId="77777777">
      <w:pPr>
        <w:jc w:val="right"/>
        <w:rPr>
          <w:szCs w:val="22"/>
          <w:highlight w:val="yellow"/>
        </w:rPr>
      </w:pPr>
    </w:p>
    <w:p w:rsidR="005A67FF" w:rsidRPr="00DF034A" w:rsidP="00DF034A" w14:paraId="669A0F77" w14:textId="648717B3">
      <w:pPr>
        <w:jc w:val="center"/>
        <w:rPr>
          <w:b/>
          <w:caps/>
          <w:szCs w:val="22"/>
        </w:rPr>
      </w:pPr>
      <w:r w:rsidRPr="00DF034A">
        <w:rPr>
          <w:b/>
          <w:caps/>
          <w:szCs w:val="22"/>
        </w:rPr>
        <w:t>FCC SEEKS COMMENT ON UNLEASHING AMERICAN DRONE DOMINANCE</w:t>
      </w:r>
    </w:p>
    <w:p w:rsidR="0069375C" w:rsidRPr="00DF034A" w:rsidP="00DF034A" w14:paraId="66D97833" w14:textId="77777777">
      <w:pPr>
        <w:rPr>
          <w:b/>
          <w:caps/>
          <w:szCs w:val="22"/>
        </w:rPr>
      </w:pPr>
    </w:p>
    <w:p w:rsidR="00BA3BA8" w:rsidP="00DF034A" w14:paraId="197E5836" w14:textId="235C84F3">
      <w:pPr>
        <w:jc w:val="center"/>
        <w:rPr>
          <w:b/>
          <w:szCs w:val="22"/>
        </w:rPr>
      </w:pPr>
      <w:r w:rsidRPr="00DF034A">
        <w:rPr>
          <w:b/>
          <w:szCs w:val="22"/>
        </w:rPr>
        <w:t>GN Docket No. 2</w:t>
      </w:r>
      <w:r w:rsidRPr="00DF034A" w:rsidR="007D43F7">
        <w:rPr>
          <w:b/>
          <w:szCs w:val="22"/>
        </w:rPr>
        <w:t>6</w:t>
      </w:r>
      <w:r w:rsidRPr="00DF034A">
        <w:rPr>
          <w:b/>
          <w:szCs w:val="22"/>
        </w:rPr>
        <w:t>-</w:t>
      </w:r>
      <w:r w:rsidR="00A04253">
        <w:rPr>
          <w:b/>
          <w:szCs w:val="22"/>
        </w:rPr>
        <w:t>74</w:t>
      </w:r>
    </w:p>
    <w:p w:rsidR="008453DD" w:rsidP="008453DD" w14:paraId="3CED0942" w14:textId="77777777">
      <w:pPr>
        <w:jc w:val="center"/>
        <w:rPr>
          <w:b/>
          <w:szCs w:val="22"/>
        </w:rPr>
      </w:pPr>
      <w:r w:rsidRPr="000E4FCD">
        <w:rPr>
          <w:b/>
          <w:szCs w:val="22"/>
        </w:rPr>
        <w:t>WT Docket No. 22-323</w:t>
      </w:r>
    </w:p>
    <w:p w:rsidR="008453DD" w:rsidRPr="00611912" w:rsidP="008453DD" w14:paraId="6C88EBBC" w14:textId="77777777">
      <w:pPr>
        <w:tabs>
          <w:tab w:val="center" w:pos="4680"/>
        </w:tabs>
        <w:suppressAutoHyphens/>
        <w:rPr>
          <w:b/>
          <w:spacing w:val="-2"/>
          <w:szCs w:val="22"/>
        </w:rPr>
      </w:pPr>
      <w:r>
        <w:rPr>
          <w:spacing w:val="-2"/>
          <w:szCs w:val="22"/>
        </w:rPr>
        <w:tab/>
      </w:r>
      <w:r w:rsidRPr="00611912">
        <w:rPr>
          <w:b/>
          <w:spacing w:val="-2"/>
          <w:szCs w:val="22"/>
        </w:rPr>
        <w:t>WT Docket No. 24-629</w:t>
      </w:r>
    </w:p>
    <w:p w:rsidR="008453DD" w:rsidRPr="00DF034A" w:rsidP="00DF034A" w14:paraId="586A5319" w14:textId="77777777">
      <w:pPr>
        <w:jc w:val="center"/>
        <w:rPr>
          <w:b/>
          <w:szCs w:val="22"/>
        </w:rPr>
      </w:pPr>
    </w:p>
    <w:p w:rsidR="00BA3BA8" w:rsidRPr="00DF034A" w:rsidP="00DF034A" w14:paraId="7ED9541F" w14:textId="77777777">
      <w:pPr>
        <w:rPr>
          <w:szCs w:val="22"/>
          <w:highlight w:val="yellow"/>
        </w:rPr>
      </w:pPr>
      <w:bookmarkStart w:id="0" w:name="TOChere"/>
    </w:p>
    <w:p w:rsidR="00155C4B" w:rsidRPr="00DF034A" w:rsidP="00DF034A" w14:paraId="31EAB9B1" w14:textId="172FF7B9">
      <w:pPr>
        <w:rPr>
          <w:b/>
          <w:szCs w:val="22"/>
        </w:rPr>
      </w:pPr>
      <w:bookmarkStart w:id="1" w:name="_Hlk201061647"/>
      <w:bookmarkStart w:id="2" w:name="_Hlk201061634"/>
      <w:r w:rsidRPr="00DF034A">
        <w:rPr>
          <w:b/>
          <w:szCs w:val="22"/>
        </w:rPr>
        <w:t xml:space="preserve">Comment Date:  </w:t>
      </w:r>
      <w:r w:rsidR="003C7EAB">
        <w:rPr>
          <w:b/>
          <w:bCs/>
          <w:szCs w:val="22"/>
        </w:rPr>
        <w:t>May 1</w:t>
      </w:r>
      <w:r w:rsidR="00886AE2">
        <w:rPr>
          <w:b/>
          <w:bCs/>
          <w:szCs w:val="22"/>
        </w:rPr>
        <w:t>, 2026</w:t>
      </w:r>
    </w:p>
    <w:p w:rsidR="00155C4B" w:rsidRPr="00DF034A" w:rsidP="00DF034A" w14:paraId="14E298AA" w14:textId="070FB0D3">
      <w:pPr>
        <w:rPr>
          <w:szCs w:val="22"/>
        </w:rPr>
      </w:pPr>
      <w:r w:rsidRPr="00DF034A">
        <w:rPr>
          <w:b/>
          <w:szCs w:val="22"/>
        </w:rPr>
        <w:t>Reply Comment Date:</w:t>
      </w:r>
      <w:r w:rsidR="00CF0416">
        <w:rPr>
          <w:b/>
          <w:szCs w:val="22"/>
        </w:rPr>
        <w:t xml:space="preserve">  May 18</w:t>
      </w:r>
      <w:r w:rsidR="00886AE2">
        <w:rPr>
          <w:b/>
          <w:szCs w:val="22"/>
        </w:rPr>
        <w:t>, 2026</w:t>
      </w:r>
    </w:p>
    <w:p w:rsidR="005A67FF" w:rsidRPr="00DF034A" w:rsidP="00DF034A" w14:paraId="1FF240A2" w14:textId="77777777">
      <w:pPr>
        <w:rPr>
          <w:szCs w:val="22"/>
        </w:rPr>
      </w:pPr>
      <w:bookmarkStart w:id="3" w:name="_Hlk201061652"/>
      <w:bookmarkEnd w:id="1"/>
    </w:p>
    <w:p w:rsidR="008A0836" w:rsidRPr="00DF034A" w:rsidP="00DF034A" w14:paraId="03445435" w14:textId="102F1BFE">
      <w:pPr>
        <w:ind w:firstLine="720"/>
        <w:rPr>
          <w:szCs w:val="22"/>
        </w:rPr>
      </w:pPr>
      <w:r>
        <w:rPr>
          <w:szCs w:val="22"/>
        </w:rPr>
        <w:t xml:space="preserve">President Trump is unleashing American drone dominance.  In furtherance of this Administration priority, </w:t>
      </w:r>
      <w:r w:rsidRPr="00DF034A" w:rsidR="00535F34">
        <w:rPr>
          <w:szCs w:val="22"/>
        </w:rPr>
        <w:t>President</w:t>
      </w:r>
      <w:r w:rsidRPr="00DF034A" w:rsidR="00C9469F">
        <w:rPr>
          <w:szCs w:val="22"/>
        </w:rPr>
        <w:t xml:space="preserve"> Trump</w:t>
      </w:r>
      <w:r w:rsidRPr="00DF034A" w:rsidR="005A67FF">
        <w:rPr>
          <w:szCs w:val="22"/>
        </w:rPr>
        <w:t xml:space="preserve"> </w:t>
      </w:r>
      <w:r w:rsidRPr="00DF034A">
        <w:rPr>
          <w:szCs w:val="22"/>
        </w:rPr>
        <w:t xml:space="preserve">has </w:t>
      </w:r>
      <w:r w:rsidRPr="00DF034A" w:rsidR="00DA6412">
        <w:rPr>
          <w:szCs w:val="22"/>
        </w:rPr>
        <w:t>directed</w:t>
      </w:r>
      <w:r w:rsidRPr="00DF034A" w:rsidR="009E2F28">
        <w:rPr>
          <w:szCs w:val="22"/>
        </w:rPr>
        <w:t xml:space="preserve"> </w:t>
      </w:r>
      <w:r w:rsidR="0060191C">
        <w:rPr>
          <w:szCs w:val="22"/>
        </w:rPr>
        <w:t xml:space="preserve">all </w:t>
      </w:r>
      <w:r w:rsidRPr="00DF034A" w:rsidR="009E2F28">
        <w:rPr>
          <w:szCs w:val="22"/>
        </w:rPr>
        <w:t>relevant</w:t>
      </w:r>
      <w:r w:rsidRPr="00DF034A" w:rsidR="00D4445D">
        <w:rPr>
          <w:szCs w:val="22"/>
        </w:rPr>
        <w:t xml:space="preserve"> </w:t>
      </w:r>
      <w:r w:rsidR="00D3474F">
        <w:rPr>
          <w:szCs w:val="22"/>
        </w:rPr>
        <w:t>federal</w:t>
      </w:r>
      <w:r w:rsidRPr="00DF034A" w:rsidR="00D4445D">
        <w:rPr>
          <w:szCs w:val="22"/>
        </w:rPr>
        <w:t xml:space="preserve"> </w:t>
      </w:r>
      <w:r w:rsidRPr="00DF034A" w:rsidR="00066259">
        <w:rPr>
          <w:szCs w:val="22"/>
        </w:rPr>
        <w:t>agencies</w:t>
      </w:r>
      <w:r w:rsidRPr="00DF034A" w:rsidR="005A67FF">
        <w:rPr>
          <w:szCs w:val="22"/>
        </w:rPr>
        <w:t xml:space="preserve"> to</w:t>
      </w:r>
      <w:r w:rsidRPr="00DF034A" w:rsidR="00DF034A">
        <w:rPr>
          <w:szCs w:val="22"/>
        </w:rPr>
        <w:t xml:space="preserve"> </w:t>
      </w:r>
      <w:r>
        <w:rPr>
          <w:szCs w:val="22"/>
        </w:rPr>
        <w:t>support this initiative</w:t>
      </w:r>
      <w:r w:rsidR="00D3474F">
        <w:rPr>
          <w:szCs w:val="22"/>
        </w:rPr>
        <w:t xml:space="preserve"> by cutting red tape</w:t>
      </w:r>
      <w:r w:rsidR="00ED6833">
        <w:rPr>
          <w:szCs w:val="22"/>
        </w:rPr>
        <w:t xml:space="preserve">, </w:t>
      </w:r>
      <w:r w:rsidR="00D3474F">
        <w:rPr>
          <w:szCs w:val="22"/>
        </w:rPr>
        <w:t xml:space="preserve">modernizing </w:t>
      </w:r>
      <w:r w:rsidR="006F1D2E">
        <w:rPr>
          <w:szCs w:val="22"/>
        </w:rPr>
        <w:t>obsolete</w:t>
      </w:r>
      <w:r w:rsidR="00D3474F">
        <w:rPr>
          <w:szCs w:val="22"/>
        </w:rPr>
        <w:t xml:space="preserve"> regulations</w:t>
      </w:r>
      <w:r w:rsidR="00ED6833">
        <w:rPr>
          <w:szCs w:val="22"/>
        </w:rPr>
        <w:t xml:space="preserve">, and securing </w:t>
      </w:r>
      <w:r w:rsidR="003B0B53">
        <w:rPr>
          <w:szCs w:val="22"/>
        </w:rPr>
        <w:t>our</w:t>
      </w:r>
      <w:r w:rsidR="00ED6833">
        <w:rPr>
          <w:szCs w:val="22"/>
        </w:rPr>
        <w:t xml:space="preserve"> supply chain from foreign adversaries</w:t>
      </w:r>
      <w:r w:rsidRPr="00DF034A" w:rsidR="005A67FF">
        <w:rPr>
          <w:szCs w:val="22"/>
        </w:rPr>
        <w:t xml:space="preserve">.  </w:t>
      </w:r>
      <w:r>
        <w:rPr>
          <w:szCs w:val="22"/>
        </w:rPr>
        <w:t>T</w:t>
      </w:r>
      <w:r w:rsidRPr="00DF034A" w:rsidR="009E2F28">
        <w:rPr>
          <w:szCs w:val="22"/>
        </w:rPr>
        <w:t xml:space="preserve">he </w:t>
      </w:r>
      <w:r w:rsidR="007F0A8B">
        <w:rPr>
          <w:szCs w:val="22"/>
        </w:rPr>
        <w:t>production</w:t>
      </w:r>
      <w:r w:rsidRPr="00DF034A" w:rsidR="009E2F28">
        <w:rPr>
          <w:szCs w:val="22"/>
        </w:rPr>
        <w:t>, deployment, and export of</w:t>
      </w:r>
      <w:r w:rsidR="002D4239">
        <w:rPr>
          <w:szCs w:val="22"/>
        </w:rPr>
        <w:t xml:space="preserve"> </w:t>
      </w:r>
      <w:r w:rsidRPr="00954884" w:rsidR="002D4239">
        <w:rPr>
          <w:i/>
          <w:iCs/>
          <w:szCs w:val="22"/>
        </w:rPr>
        <w:t>American</w:t>
      </w:r>
      <w:r w:rsidRPr="00DF034A" w:rsidR="009E2F28">
        <w:rPr>
          <w:szCs w:val="22"/>
        </w:rPr>
        <w:t xml:space="preserve"> unmanned </w:t>
      </w:r>
      <w:r w:rsidR="00ED51DA">
        <w:rPr>
          <w:szCs w:val="22"/>
        </w:rPr>
        <w:t>aircraft</w:t>
      </w:r>
      <w:r w:rsidRPr="00DF034A" w:rsidR="00ED51DA">
        <w:rPr>
          <w:szCs w:val="22"/>
        </w:rPr>
        <w:t xml:space="preserve"> </w:t>
      </w:r>
      <w:r w:rsidRPr="00DF034A" w:rsidR="009E2F28">
        <w:rPr>
          <w:szCs w:val="22"/>
        </w:rPr>
        <w:t>systems (UAS or drones)</w:t>
      </w:r>
      <w:r w:rsidR="00E416E2">
        <w:rPr>
          <w:szCs w:val="22"/>
        </w:rPr>
        <w:t xml:space="preserve"> and </w:t>
      </w:r>
      <w:r w:rsidRPr="00DF034A" w:rsidR="009E2F28">
        <w:rPr>
          <w:szCs w:val="22"/>
        </w:rPr>
        <w:t>anti-drone defense systems (Counter-UAS)</w:t>
      </w:r>
      <w:r w:rsidR="00E416E2">
        <w:rPr>
          <w:szCs w:val="22"/>
        </w:rPr>
        <w:t xml:space="preserve"> </w:t>
      </w:r>
      <w:r w:rsidR="00FB59EC">
        <w:rPr>
          <w:szCs w:val="22"/>
        </w:rPr>
        <w:t>have become</w:t>
      </w:r>
      <w:r w:rsidR="00A91EED">
        <w:rPr>
          <w:szCs w:val="22"/>
        </w:rPr>
        <w:t xml:space="preserve"> </w:t>
      </w:r>
      <w:r w:rsidR="004C4EAE">
        <w:rPr>
          <w:szCs w:val="22"/>
        </w:rPr>
        <w:t>core elements of</w:t>
      </w:r>
      <w:r w:rsidR="00895F95">
        <w:rPr>
          <w:szCs w:val="22"/>
        </w:rPr>
        <w:t xml:space="preserve"> </w:t>
      </w:r>
      <w:r w:rsidR="009E097C">
        <w:rPr>
          <w:szCs w:val="22"/>
        </w:rPr>
        <w:t xml:space="preserve">our </w:t>
      </w:r>
      <w:r w:rsidR="002F3B64">
        <w:rPr>
          <w:szCs w:val="22"/>
        </w:rPr>
        <w:t xml:space="preserve">economic and military </w:t>
      </w:r>
      <w:r w:rsidR="00DB0A11">
        <w:rPr>
          <w:szCs w:val="22"/>
        </w:rPr>
        <w:t>superiority</w:t>
      </w:r>
      <w:r w:rsidRPr="00DF034A" w:rsidR="002D1A9A">
        <w:rPr>
          <w:szCs w:val="22"/>
        </w:rPr>
        <w:t xml:space="preserve">.  </w:t>
      </w:r>
      <w:r w:rsidR="00640B29">
        <w:rPr>
          <w:szCs w:val="22"/>
        </w:rPr>
        <w:t xml:space="preserve">In addition, emerging technologies like electric Vertical Takeoff and Landing (eVTOL) aircraft are expected to enable new capabilities for transporting cargo and people, including in hard to reach areas and in emergencies.  </w:t>
      </w:r>
      <w:r w:rsidRPr="00DF034A">
        <w:rPr>
          <w:szCs w:val="22"/>
        </w:rPr>
        <w:t xml:space="preserve">By this Public Notice, </w:t>
      </w:r>
      <w:r w:rsidR="004C587E">
        <w:rPr>
          <w:szCs w:val="22"/>
        </w:rPr>
        <w:t>the FCC’s Wireless Telecommunications Bureau (</w:t>
      </w:r>
      <w:r w:rsidR="00583EDC">
        <w:rPr>
          <w:szCs w:val="22"/>
        </w:rPr>
        <w:t>WTB</w:t>
      </w:r>
      <w:r w:rsidR="004C587E">
        <w:rPr>
          <w:szCs w:val="22"/>
        </w:rPr>
        <w:t>)</w:t>
      </w:r>
      <w:r w:rsidR="00583EDC">
        <w:rPr>
          <w:szCs w:val="22"/>
        </w:rPr>
        <w:t xml:space="preserve"> </w:t>
      </w:r>
      <w:r w:rsidR="00DA798C">
        <w:rPr>
          <w:szCs w:val="22"/>
        </w:rPr>
        <w:t xml:space="preserve">and Office of Engineering and Technology (OET) </w:t>
      </w:r>
      <w:r w:rsidRPr="00DF034A">
        <w:rPr>
          <w:szCs w:val="22"/>
        </w:rPr>
        <w:t xml:space="preserve">seek comment on </w:t>
      </w:r>
      <w:r w:rsidR="002F3B64">
        <w:rPr>
          <w:szCs w:val="22"/>
        </w:rPr>
        <w:t xml:space="preserve">a range of </w:t>
      </w:r>
      <w:r w:rsidRPr="00DF034A">
        <w:rPr>
          <w:szCs w:val="22"/>
        </w:rPr>
        <w:t xml:space="preserve">actions </w:t>
      </w:r>
      <w:r>
        <w:rPr>
          <w:szCs w:val="22"/>
        </w:rPr>
        <w:t xml:space="preserve">that the agency can take </w:t>
      </w:r>
      <w:r w:rsidRPr="00DF034A">
        <w:rPr>
          <w:szCs w:val="22"/>
        </w:rPr>
        <w:t>to</w:t>
      </w:r>
      <w:r>
        <w:rPr>
          <w:szCs w:val="22"/>
        </w:rPr>
        <w:t xml:space="preserve"> further advance</w:t>
      </w:r>
      <w:r w:rsidRPr="00DF034A">
        <w:rPr>
          <w:szCs w:val="22"/>
        </w:rPr>
        <w:t xml:space="preserve"> </w:t>
      </w:r>
      <w:r w:rsidR="00CA6CFD">
        <w:rPr>
          <w:szCs w:val="22"/>
        </w:rPr>
        <w:t>American</w:t>
      </w:r>
      <w:r w:rsidRPr="00DF034A">
        <w:rPr>
          <w:szCs w:val="22"/>
        </w:rPr>
        <w:t xml:space="preserve"> drone dominance.  </w:t>
      </w:r>
    </w:p>
    <w:p w:rsidR="008A0836" w:rsidRPr="00DF034A" w:rsidP="00DF034A" w14:paraId="1413AD6F" w14:textId="77777777">
      <w:pPr>
        <w:ind w:firstLine="720"/>
        <w:rPr>
          <w:szCs w:val="22"/>
        </w:rPr>
      </w:pPr>
    </w:p>
    <w:p w:rsidR="00630726" w:rsidRPr="00DF034A" w:rsidP="00DF034A" w14:paraId="7F651C0D" w14:textId="7A51AB8C">
      <w:pPr>
        <w:ind w:firstLine="720"/>
        <w:rPr>
          <w:szCs w:val="22"/>
        </w:rPr>
      </w:pPr>
      <w:r w:rsidRPr="00DF034A">
        <w:rPr>
          <w:szCs w:val="22"/>
        </w:rPr>
        <w:t>President</w:t>
      </w:r>
      <w:r w:rsidR="00954884">
        <w:rPr>
          <w:szCs w:val="22"/>
        </w:rPr>
        <w:t xml:space="preserve"> Trump</w:t>
      </w:r>
      <w:r w:rsidRPr="00DF034A">
        <w:rPr>
          <w:szCs w:val="22"/>
        </w:rPr>
        <w:t>’s</w:t>
      </w:r>
      <w:r w:rsidRPr="00DF034A" w:rsidR="005A67FF">
        <w:rPr>
          <w:szCs w:val="22"/>
        </w:rPr>
        <w:t xml:space="preserve"> coordinated national strategy to </w:t>
      </w:r>
      <w:r w:rsidR="009635D1">
        <w:rPr>
          <w:szCs w:val="22"/>
        </w:rPr>
        <w:t>achieve</w:t>
      </w:r>
      <w:r w:rsidRPr="00DF034A" w:rsidR="005A67FF">
        <w:rPr>
          <w:szCs w:val="22"/>
        </w:rPr>
        <w:t xml:space="preserve"> U.S. </w:t>
      </w:r>
      <w:r w:rsidR="009635D1">
        <w:rPr>
          <w:szCs w:val="22"/>
        </w:rPr>
        <w:t>supremacy</w:t>
      </w:r>
      <w:r w:rsidRPr="00DF034A" w:rsidR="005A67FF">
        <w:rPr>
          <w:szCs w:val="22"/>
        </w:rPr>
        <w:t xml:space="preserve"> in </w:t>
      </w:r>
      <w:r w:rsidR="00583EDC">
        <w:rPr>
          <w:szCs w:val="22"/>
        </w:rPr>
        <w:t>drone</w:t>
      </w:r>
      <w:r w:rsidRPr="00DF034A" w:rsidR="00583EDC">
        <w:rPr>
          <w:szCs w:val="22"/>
        </w:rPr>
        <w:t xml:space="preserve"> </w:t>
      </w:r>
      <w:r w:rsidRPr="00DF034A" w:rsidR="005A67FF">
        <w:rPr>
          <w:szCs w:val="22"/>
        </w:rPr>
        <w:t>technology, manufacturing, and operations is anchored by two Executive Orders</w:t>
      </w:r>
      <w:r w:rsidRPr="00DF034A" w:rsidR="00384FF8">
        <w:rPr>
          <w:szCs w:val="22"/>
        </w:rPr>
        <w:t xml:space="preserve"> (EOs)</w:t>
      </w:r>
      <w:r w:rsidRPr="00DF034A" w:rsidR="00CF6674">
        <w:rPr>
          <w:szCs w:val="22"/>
        </w:rPr>
        <w:t xml:space="preserve">:  </w:t>
      </w:r>
      <w:r w:rsidRPr="00DF034A" w:rsidR="00CD5984">
        <w:rPr>
          <w:i/>
          <w:iCs/>
          <w:szCs w:val="22"/>
        </w:rPr>
        <w:t>Unleashing American Drone Dominance</w:t>
      </w:r>
      <w:r w:rsidRPr="00DF034A" w:rsidR="00CD5984">
        <w:rPr>
          <w:szCs w:val="22"/>
        </w:rPr>
        <w:t xml:space="preserve"> and </w:t>
      </w:r>
      <w:r w:rsidRPr="00DF034A" w:rsidR="00CD5984">
        <w:rPr>
          <w:i/>
          <w:iCs/>
          <w:szCs w:val="22"/>
        </w:rPr>
        <w:t>Restoring American Airspace Sovereignty</w:t>
      </w:r>
      <w:r w:rsidRPr="00DF034A" w:rsidR="005A67FF">
        <w:rPr>
          <w:szCs w:val="22"/>
        </w:rPr>
        <w:t>.</w:t>
      </w:r>
      <w:r>
        <w:rPr>
          <w:rStyle w:val="FootnoteReference"/>
          <w:szCs w:val="22"/>
        </w:rPr>
        <w:footnoteReference w:id="3"/>
      </w:r>
      <w:r w:rsidRPr="00DF034A" w:rsidR="005A67FF">
        <w:rPr>
          <w:szCs w:val="22"/>
        </w:rPr>
        <w:t xml:space="preserve">  </w:t>
      </w:r>
      <w:r w:rsidRPr="00DF034A" w:rsidR="00384FF8">
        <w:rPr>
          <w:szCs w:val="22"/>
        </w:rPr>
        <w:t xml:space="preserve">Together, these EOs reflect a sweeping policy shift: </w:t>
      </w:r>
      <w:r w:rsidR="00B050F1">
        <w:rPr>
          <w:szCs w:val="22"/>
        </w:rPr>
        <w:t xml:space="preserve"> </w:t>
      </w:r>
      <w:r w:rsidRPr="00DF034A" w:rsidR="00384FF8">
        <w:rPr>
          <w:szCs w:val="22"/>
        </w:rPr>
        <w:t xml:space="preserve">one that frames </w:t>
      </w:r>
      <w:r w:rsidR="00873E6B">
        <w:rPr>
          <w:szCs w:val="22"/>
        </w:rPr>
        <w:t xml:space="preserve">U.S. </w:t>
      </w:r>
      <w:r w:rsidRPr="00DF034A" w:rsidR="00384FF8">
        <w:rPr>
          <w:szCs w:val="22"/>
        </w:rPr>
        <w:t>drone leadership not only as an economic imperative but as a cornerstone of</w:t>
      </w:r>
      <w:r w:rsidR="00873E6B">
        <w:rPr>
          <w:szCs w:val="22"/>
        </w:rPr>
        <w:t xml:space="preserve"> our</w:t>
      </w:r>
      <w:r w:rsidRPr="00DF034A" w:rsidR="00384FF8">
        <w:rPr>
          <w:szCs w:val="22"/>
        </w:rPr>
        <w:t xml:space="preserve"> national security, technological sovereignty, and global competitiveness.</w:t>
      </w:r>
      <w:r w:rsidRPr="00DF034A" w:rsidR="00FA6143">
        <w:rPr>
          <w:szCs w:val="22"/>
        </w:rPr>
        <w:t xml:space="preserve">  </w:t>
      </w:r>
    </w:p>
    <w:p w:rsidR="00630726" w:rsidRPr="00DF034A" w:rsidP="00DF034A" w14:paraId="21FBD8EC" w14:textId="77777777">
      <w:pPr>
        <w:ind w:firstLine="720"/>
        <w:rPr>
          <w:szCs w:val="22"/>
        </w:rPr>
      </w:pPr>
    </w:p>
    <w:p w:rsidR="004C587E" w:rsidP="00CE6DDE" w14:paraId="6B77DF66" w14:textId="20AAA2FE">
      <w:pPr>
        <w:widowControl/>
        <w:ind w:firstLine="720"/>
        <w:rPr>
          <w:szCs w:val="22"/>
        </w:rPr>
      </w:pPr>
      <w:r w:rsidRPr="00DF034A">
        <w:rPr>
          <w:szCs w:val="22"/>
        </w:rPr>
        <w:t>The</w:t>
      </w:r>
      <w:r w:rsidRPr="00DF034A" w:rsidR="00535F34">
        <w:rPr>
          <w:szCs w:val="22"/>
        </w:rPr>
        <w:t xml:space="preserve"> </w:t>
      </w:r>
      <w:r w:rsidR="00873E6B">
        <w:rPr>
          <w:szCs w:val="22"/>
        </w:rPr>
        <w:t>FCC</w:t>
      </w:r>
      <w:r w:rsidRPr="00DF034A" w:rsidR="0074392E">
        <w:rPr>
          <w:szCs w:val="22"/>
        </w:rPr>
        <w:t xml:space="preserve"> </w:t>
      </w:r>
      <w:r w:rsidR="009635D1">
        <w:rPr>
          <w:szCs w:val="22"/>
        </w:rPr>
        <w:t>is taking</w:t>
      </w:r>
      <w:r w:rsidRPr="00DF034A" w:rsidR="00C9469F">
        <w:rPr>
          <w:szCs w:val="22"/>
        </w:rPr>
        <w:t xml:space="preserve"> aggressive action</w:t>
      </w:r>
      <w:r w:rsidRPr="00DF034A">
        <w:rPr>
          <w:szCs w:val="22"/>
        </w:rPr>
        <w:t xml:space="preserve"> </w:t>
      </w:r>
      <w:r w:rsidRPr="00DF034A" w:rsidR="00C9469F">
        <w:rPr>
          <w:szCs w:val="22"/>
        </w:rPr>
        <w:t xml:space="preserve">to </w:t>
      </w:r>
      <w:r w:rsidR="004521BC">
        <w:rPr>
          <w:szCs w:val="22"/>
        </w:rPr>
        <w:t>implement</w:t>
      </w:r>
      <w:r w:rsidRPr="00DF034A" w:rsidR="00C9469F">
        <w:rPr>
          <w:szCs w:val="22"/>
        </w:rPr>
        <w:t xml:space="preserve"> President</w:t>
      </w:r>
      <w:r w:rsidRPr="00DF034A" w:rsidR="00DB1515">
        <w:rPr>
          <w:szCs w:val="22"/>
        </w:rPr>
        <w:t xml:space="preserve"> Trump</w:t>
      </w:r>
      <w:r w:rsidRPr="00DF034A" w:rsidR="00C9469F">
        <w:rPr>
          <w:szCs w:val="22"/>
        </w:rPr>
        <w:t xml:space="preserve">’s </w:t>
      </w:r>
      <w:r w:rsidR="002348FD">
        <w:rPr>
          <w:szCs w:val="22"/>
        </w:rPr>
        <w:t>policy</w:t>
      </w:r>
      <w:r w:rsidRPr="00DF034A" w:rsidR="00C9469F">
        <w:rPr>
          <w:szCs w:val="22"/>
        </w:rPr>
        <w:t xml:space="preserve"> of American drone dominance.</w:t>
      </w:r>
      <w:r w:rsidRPr="00DF034A" w:rsidR="0074392E">
        <w:rPr>
          <w:szCs w:val="22"/>
        </w:rPr>
        <w:t xml:space="preserve"> </w:t>
      </w:r>
      <w:r w:rsidRPr="00DF034A" w:rsidR="00C9469F">
        <w:rPr>
          <w:szCs w:val="22"/>
        </w:rPr>
        <w:t xml:space="preserve"> </w:t>
      </w:r>
      <w:r>
        <w:rPr>
          <w:szCs w:val="22"/>
        </w:rPr>
        <w:t>Late last year</w:t>
      </w:r>
      <w:r w:rsidRPr="00DF034A" w:rsidR="00FA6143">
        <w:rPr>
          <w:szCs w:val="22"/>
        </w:rPr>
        <w:t>, following an Executive Branch national security determination, the FCC added foreign-produced UAS and UAS critical components to its Covered List</w:t>
      </w:r>
      <w:r w:rsidRPr="00DF034A" w:rsidR="007F270E">
        <w:rPr>
          <w:szCs w:val="22"/>
        </w:rPr>
        <w:t>.</w:t>
      </w:r>
      <w:r>
        <w:rPr>
          <w:rStyle w:val="FootnoteReference"/>
          <w:szCs w:val="22"/>
        </w:rPr>
        <w:footnoteReference w:id="4"/>
      </w:r>
      <w:r w:rsidRPr="00DF034A" w:rsidR="007F270E">
        <w:rPr>
          <w:szCs w:val="22"/>
        </w:rPr>
        <w:t xml:space="preserve"> </w:t>
      </w:r>
      <w:r w:rsidRPr="00DF034A" w:rsidR="00630726">
        <w:rPr>
          <w:szCs w:val="22"/>
        </w:rPr>
        <w:t xml:space="preserve"> </w:t>
      </w:r>
      <w:r w:rsidR="005A06CB">
        <w:rPr>
          <w:szCs w:val="22"/>
        </w:rPr>
        <w:t>Because such</w:t>
      </w:r>
      <w:r w:rsidRPr="00DF034A" w:rsidR="00630726">
        <w:rPr>
          <w:szCs w:val="22"/>
        </w:rPr>
        <w:t xml:space="preserve"> devices are now prohibited from receiving FCC equipment authorization for importation, marketing, or sale in the </w:t>
      </w:r>
      <w:r w:rsidR="0010195E">
        <w:rPr>
          <w:szCs w:val="22"/>
        </w:rPr>
        <w:t>United States</w:t>
      </w:r>
      <w:r w:rsidR="005A06CB">
        <w:rPr>
          <w:szCs w:val="22"/>
        </w:rPr>
        <w:t xml:space="preserve">, </w:t>
      </w:r>
      <w:r w:rsidRPr="00DF034A" w:rsidR="00FF4D38">
        <w:rPr>
          <w:szCs w:val="22"/>
        </w:rPr>
        <w:t xml:space="preserve">the FCC </w:t>
      </w:r>
      <w:r w:rsidR="004521BC">
        <w:rPr>
          <w:szCs w:val="22"/>
        </w:rPr>
        <w:t>will continue to advance consumer and business access to trusted drone technology</w:t>
      </w:r>
      <w:r w:rsidRPr="00DF034A" w:rsidR="0093261E">
        <w:rPr>
          <w:szCs w:val="22"/>
        </w:rPr>
        <w:t>.</w:t>
      </w:r>
      <w:r>
        <w:rPr>
          <w:szCs w:val="22"/>
        </w:rPr>
        <w:t xml:space="preserve">  Then</w:t>
      </w:r>
      <w:r w:rsidRPr="00DF034A">
        <w:rPr>
          <w:szCs w:val="22"/>
        </w:rPr>
        <w:t xml:space="preserve">, following a further specific determination from </w:t>
      </w:r>
      <w:r>
        <w:rPr>
          <w:szCs w:val="22"/>
        </w:rPr>
        <w:t>the Department of War (</w:t>
      </w:r>
      <w:r>
        <w:rPr>
          <w:szCs w:val="22"/>
        </w:rPr>
        <w:t>DoW</w:t>
      </w:r>
      <w:r>
        <w:rPr>
          <w:szCs w:val="22"/>
        </w:rPr>
        <w:t>)</w:t>
      </w:r>
      <w:r w:rsidRPr="00DF034A">
        <w:rPr>
          <w:szCs w:val="22"/>
        </w:rPr>
        <w:t xml:space="preserve"> that </w:t>
      </w:r>
      <w:r w:rsidRPr="00DF034A">
        <w:rPr>
          <w:szCs w:val="22"/>
        </w:rPr>
        <w:t xml:space="preserve">certain UAS and UAS critical components </w:t>
      </w:r>
      <w:r w:rsidRPr="00DF034A">
        <w:rPr>
          <w:i/>
          <w:iCs/>
          <w:szCs w:val="22"/>
        </w:rPr>
        <w:t>did not</w:t>
      </w:r>
      <w:r w:rsidRPr="00DF034A">
        <w:rPr>
          <w:szCs w:val="22"/>
        </w:rPr>
        <w:t xml:space="preserve"> pose “unacceptable risks</w:t>
      </w:r>
      <w:r>
        <w:rPr>
          <w:szCs w:val="22"/>
        </w:rPr>
        <w:t>,</w:t>
      </w:r>
      <w:r w:rsidRPr="00DF034A">
        <w:rPr>
          <w:szCs w:val="22"/>
        </w:rPr>
        <w:t>” the FCC updated its Covered List</w:t>
      </w:r>
      <w:r>
        <w:rPr>
          <w:szCs w:val="22"/>
        </w:rPr>
        <w:t xml:space="preserve"> to reflect that determination.</w:t>
      </w:r>
    </w:p>
    <w:p w:rsidR="004C587E" w:rsidRPr="00DF034A" w:rsidP="00DF034A" w14:paraId="056479C6" w14:textId="77777777">
      <w:pPr>
        <w:ind w:firstLine="720"/>
        <w:rPr>
          <w:szCs w:val="22"/>
        </w:rPr>
      </w:pPr>
    </w:p>
    <w:p w:rsidR="00DF61F6" w:rsidRPr="00DF034A" w:rsidP="008F7AF0" w14:paraId="3F99522F" w14:textId="4D3BA77D">
      <w:pPr>
        <w:keepNext/>
        <w:keepLines/>
        <w:ind w:firstLine="720"/>
        <w:rPr>
          <w:szCs w:val="22"/>
        </w:rPr>
      </w:pPr>
      <w:r w:rsidRPr="00DF034A">
        <w:rPr>
          <w:szCs w:val="22"/>
        </w:rPr>
        <w:t>In this Public Notice</w:t>
      </w:r>
      <w:r w:rsidRPr="00DF034A" w:rsidR="00384FF8">
        <w:rPr>
          <w:szCs w:val="22"/>
        </w:rPr>
        <w:t xml:space="preserve">, </w:t>
      </w:r>
      <w:r w:rsidR="00D074A9">
        <w:rPr>
          <w:szCs w:val="22"/>
        </w:rPr>
        <w:t>WTB</w:t>
      </w:r>
      <w:r w:rsidRPr="00DF034A" w:rsidR="00384FF8">
        <w:rPr>
          <w:szCs w:val="22"/>
        </w:rPr>
        <w:t xml:space="preserve"> </w:t>
      </w:r>
      <w:r w:rsidR="00DA798C">
        <w:rPr>
          <w:szCs w:val="22"/>
        </w:rPr>
        <w:t xml:space="preserve">and OET </w:t>
      </w:r>
      <w:r w:rsidRPr="00DF034A">
        <w:rPr>
          <w:szCs w:val="22"/>
        </w:rPr>
        <w:t>seek</w:t>
      </w:r>
      <w:r w:rsidRPr="00DF034A" w:rsidR="00384FF8">
        <w:rPr>
          <w:szCs w:val="22"/>
        </w:rPr>
        <w:t xml:space="preserve"> input on</w:t>
      </w:r>
      <w:r w:rsidRPr="00DF034A">
        <w:rPr>
          <w:szCs w:val="22"/>
        </w:rPr>
        <w:t xml:space="preserve"> </w:t>
      </w:r>
      <w:r w:rsidR="00B84DC9">
        <w:rPr>
          <w:szCs w:val="22"/>
        </w:rPr>
        <w:t xml:space="preserve">an array of reforms </w:t>
      </w:r>
      <w:r w:rsidRPr="00DF034A">
        <w:rPr>
          <w:szCs w:val="22"/>
        </w:rPr>
        <w:t xml:space="preserve">the Commission </w:t>
      </w:r>
      <w:r w:rsidR="00B84DC9">
        <w:rPr>
          <w:szCs w:val="22"/>
        </w:rPr>
        <w:t>might</w:t>
      </w:r>
      <w:r w:rsidRPr="00DF034A">
        <w:rPr>
          <w:szCs w:val="22"/>
        </w:rPr>
        <w:t xml:space="preserve"> take to unleash American drone dominance, including:</w:t>
      </w:r>
      <w:r w:rsidRPr="00DF034A" w:rsidR="00384FF8">
        <w:rPr>
          <w:szCs w:val="22"/>
        </w:rPr>
        <w:t xml:space="preserve"> </w:t>
      </w:r>
    </w:p>
    <w:p w:rsidR="00DF61F6" w:rsidRPr="00DF034A" w:rsidP="008F7AF0" w14:paraId="32DE37C9" w14:textId="77777777">
      <w:pPr>
        <w:keepNext/>
        <w:keepLines/>
        <w:ind w:firstLine="720"/>
        <w:rPr>
          <w:szCs w:val="22"/>
        </w:rPr>
      </w:pPr>
    </w:p>
    <w:p w:rsidR="00DF61F6" w:rsidRPr="00DF034A" w:rsidP="008F7AF0" w14:paraId="30138FC8" w14:textId="71D5975F">
      <w:pPr>
        <w:pStyle w:val="ListParagraph"/>
        <w:keepNext/>
        <w:keepLines/>
        <w:numPr>
          <w:ilvl w:val="0"/>
          <w:numId w:val="8"/>
        </w:numPr>
        <w:ind w:left="720"/>
        <w:rPr>
          <w:szCs w:val="22"/>
        </w:rPr>
      </w:pPr>
      <w:r w:rsidRPr="00DF034A">
        <w:rPr>
          <w:szCs w:val="22"/>
        </w:rPr>
        <w:t>Alleviating</w:t>
      </w:r>
      <w:r w:rsidRPr="00DF034A" w:rsidR="00384FF8">
        <w:rPr>
          <w:szCs w:val="22"/>
        </w:rPr>
        <w:t xml:space="preserve"> unnecessary regulatory burdens that frustrate drone deployment</w:t>
      </w:r>
      <w:r w:rsidRPr="00DF034A">
        <w:rPr>
          <w:szCs w:val="22"/>
        </w:rPr>
        <w:t>, including Commission rules or policies—such as siting</w:t>
      </w:r>
      <w:r w:rsidRPr="00DF034A" w:rsidR="00B54F3B">
        <w:rPr>
          <w:szCs w:val="22"/>
        </w:rPr>
        <w:t xml:space="preserve"> </w:t>
      </w:r>
      <w:r w:rsidRPr="00DF034A">
        <w:rPr>
          <w:szCs w:val="22"/>
        </w:rPr>
        <w:t>or device certification—that may create friction for the growth of a competitive, secure, and innovative domestic drone ecosystem.</w:t>
      </w:r>
    </w:p>
    <w:p w:rsidR="00DF61F6" w:rsidRPr="00DF034A" w:rsidP="008F7AF0" w14:paraId="03858C45" w14:textId="32253DDC">
      <w:pPr>
        <w:pStyle w:val="ListParagraph"/>
        <w:keepNext/>
        <w:keepLines/>
        <w:rPr>
          <w:szCs w:val="22"/>
        </w:rPr>
      </w:pPr>
      <w:r w:rsidRPr="00DF034A">
        <w:rPr>
          <w:szCs w:val="22"/>
        </w:rPr>
        <w:t xml:space="preserve">  </w:t>
      </w:r>
    </w:p>
    <w:p w:rsidR="004F52CA" w:rsidRPr="00DF034A" w:rsidP="008F7AF0" w14:paraId="4FDD08D9" w14:textId="3DCCDE3B">
      <w:pPr>
        <w:pStyle w:val="ListParagraph"/>
        <w:keepNext/>
        <w:keepLines/>
        <w:numPr>
          <w:ilvl w:val="0"/>
          <w:numId w:val="8"/>
        </w:numPr>
        <w:ind w:left="720"/>
        <w:rPr>
          <w:szCs w:val="22"/>
        </w:rPr>
      </w:pPr>
      <w:r w:rsidRPr="00DF034A">
        <w:rPr>
          <w:szCs w:val="22"/>
        </w:rPr>
        <w:t>Ensuring that American drone manufacturers and users have</w:t>
      </w:r>
      <w:r w:rsidR="001C7821">
        <w:rPr>
          <w:szCs w:val="22"/>
        </w:rPr>
        <w:t xml:space="preserve"> access to</w:t>
      </w:r>
      <w:r w:rsidRPr="00DF034A">
        <w:rPr>
          <w:szCs w:val="22"/>
        </w:rPr>
        <w:t xml:space="preserve"> sufficient spectrum </w:t>
      </w:r>
      <w:r w:rsidR="006854A0">
        <w:rPr>
          <w:szCs w:val="22"/>
        </w:rPr>
        <w:t>for drone testing and</w:t>
      </w:r>
      <w:r w:rsidRPr="00DF034A">
        <w:rPr>
          <w:szCs w:val="22"/>
        </w:rPr>
        <w:t xml:space="preserve"> operations</w:t>
      </w:r>
      <w:r w:rsidR="006854A0">
        <w:rPr>
          <w:szCs w:val="22"/>
        </w:rPr>
        <w:t>,</w:t>
      </w:r>
      <w:r w:rsidRPr="00DF034A">
        <w:rPr>
          <w:szCs w:val="22"/>
        </w:rPr>
        <w:t xml:space="preserve"> </w:t>
      </w:r>
      <w:r w:rsidR="006854A0">
        <w:rPr>
          <w:szCs w:val="22"/>
        </w:rPr>
        <w:t>including</w:t>
      </w:r>
      <w:r w:rsidRPr="00DF034A">
        <w:rPr>
          <w:szCs w:val="22"/>
        </w:rPr>
        <w:t xml:space="preserve"> services to the public. </w:t>
      </w:r>
    </w:p>
    <w:p w:rsidR="004F52CA" w:rsidRPr="00DF034A" w:rsidP="008F7AF0" w14:paraId="10797823" w14:textId="77777777">
      <w:pPr>
        <w:pStyle w:val="ListParagraph"/>
        <w:keepNext/>
        <w:keepLines/>
        <w:rPr>
          <w:szCs w:val="22"/>
        </w:rPr>
      </w:pPr>
    </w:p>
    <w:p w:rsidR="00DF61F6" w:rsidRPr="00DF034A" w:rsidP="008F7AF0" w14:paraId="03047B51" w14:textId="6DA93C41">
      <w:pPr>
        <w:pStyle w:val="ListParagraph"/>
        <w:keepNext/>
        <w:keepLines/>
        <w:numPr>
          <w:ilvl w:val="0"/>
          <w:numId w:val="8"/>
        </w:numPr>
        <w:ind w:left="720"/>
        <w:rPr>
          <w:szCs w:val="22"/>
        </w:rPr>
      </w:pPr>
      <w:r w:rsidRPr="00DF034A">
        <w:rPr>
          <w:szCs w:val="22"/>
        </w:rPr>
        <w:t>Facilitating</w:t>
      </w:r>
      <w:r w:rsidRPr="00DF034A" w:rsidR="00384FF8">
        <w:rPr>
          <w:szCs w:val="22"/>
        </w:rPr>
        <w:t xml:space="preserve"> and encourag</w:t>
      </w:r>
      <w:r w:rsidRPr="00DF034A">
        <w:rPr>
          <w:szCs w:val="22"/>
        </w:rPr>
        <w:t>ing</w:t>
      </w:r>
      <w:r w:rsidRPr="00DF034A" w:rsidR="00384FF8">
        <w:rPr>
          <w:szCs w:val="22"/>
        </w:rPr>
        <w:t xml:space="preserve"> American firms’ investment in drone capabilities, developing infrastructure, and offering innovative and advanced capabilities.  </w:t>
      </w:r>
    </w:p>
    <w:p w:rsidR="00DF61F6" w:rsidRPr="00DF034A" w:rsidP="008F7AF0" w14:paraId="367D0719" w14:textId="77777777">
      <w:pPr>
        <w:pStyle w:val="ListParagraph"/>
        <w:keepNext/>
        <w:keepLines/>
        <w:rPr>
          <w:szCs w:val="22"/>
        </w:rPr>
      </w:pPr>
    </w:p>
    <w:p w:rsidR="00DF61F6" w:rsidRPr="00DF034A" w:rsidP="008F7AF0" w14:paraId="5EB80DA0" w14:textId="7586298A">
      <w:pPr>
        <w:pStyle w:val="ListParagraph"/>
        <w:keepNext/>
        <w:keepLines/>
        <w:numPr>
          <w:ilvl w:val="0"/>
          <w:numId w:val="8"/>
        </w:numPr>
        <w:ind w:left="720"/>
        <w:rPr>
          <w:szCs w:val="22"/>
        </w:rPr>
      </w:pPr>
      <w:r w:rsidRPr="00DF034A">
        <w:rPr>
          <w:szCs w:val="22"/>
        </w:rPr>
        <w:t xml:space="preserve">Ensuring that U.S.-based manufacturers and trusted suppliers have the regulatory clarity and technical access needed to scale production and secure investment. </w:t>
      </w:r>
    </w:p>
    <w:p w:rsidR="00DF61F6" w:rsidRPr="00DF034A" w:rsidP="008F7AF0" w14:paraId="10BEAE4A" w14:textId="77777777">
      <w:pPr>
        <w:pStyle w:val="ListParagraph"/>
        <w:keepNext/>
        <w:keepLines/>
        <w:rPr>
          <w:szCs w:val="22"/>
        </w:rPr>
      </w:pPr>
    </w:p>
    <w:p w:rsidR="00DF61F6" w:rsidRPr="00DF034A" w:rsidP="008F7AF0" w14:paraId="4DADB0ED" w14:textId="7635E834">
      <w:pPr>
        <w:pStyle w:val="ListParagraph"/>
        <w:keepNext/>
        <w:keepLines/>
        <w:numPr>
          <w:ilvl w:val="0"/>
          <w:numId w:val="8"/>
        </w:numPr>
        <w:ind w:left="720"/>
        <w:rPr>
          <w:szCs w:val="22"/>
        </w:rPr>
      </w:pPr>
      <w:r w:rsidRPr="00DF034A">
        <w:rPr>
          <w:szCs w:val="22"/>
        </w:rPr>
        <w:t>Coordinating more effectively with other federal agencies to align spectrum policies with national security imperatives and reduce the risk posed by untrusted foreign-origin UAS operating in U.S. airspace.</w:t>
      </w:r>
    </w:p>
    <w:p w:rsidR="00DF61F6" w:rsidRPr="00DF034A" w:rsidP="00DF034A" w14:paraId="1B6965C4" w14:textId="77777777">
      <w:pPr>
        <w:ind w:firstLine="720"/>
        <w:rPr>
          <w:szCs w:val="22"/>
        </w:rPr>
      </w:pPr>
    </w:p>
    <w:p w:rsidR="00DF61F6" w:rsidRPr="00DF034A" w:rsidP="00DF034A" w14:paraId="604CB1BC" w14:textId="777662A9">
      <w:pPr>
        <w:pStyle w:val="ListParagraph"/>
        <w:numPr>
          <w:ilvl w:val="0"/>
          <w:numId w:val="8"/>
        </w:numPr>
        <w:ind w:left="720"/>
        <w:rPr>
          <w:szCs w:val="22"/>
        </w:rPr>
      </w:pPr>
      <w:r>
        <w:rPr>
          <w:szCs w:val="22"/>
        </w:rPr>
        <w:t>Streamlining</w:t>
      </w:r>
      <w:r w:rsidRPr="00DF034A">
        <w:rPr>
          <w:szCs w:val="22"/>
        </w:rPr>
        <w:t xml:space="preserve"> </w:t>
      </w:r>
      <w:r w:rsidRPr="00DF034A">
        <w:rPr>
          <w:szCs w:val="22"/>
        </w:rPr>
        <w:t xml:space="preserve">the FCC’s experimental licensing rules to facilitate more agile testing of UAS communications systems—including beyond visual line of sight (BVLOS) links, command and control (C2) systems, detect-and-avoid (DAA) technologies, and secure navigation tools—across a broader range of spectrum bands. </w:t>
      </w:r>
    </w:p>
    <w:p w:rsidR="00DF61F6" w:rsidRPr="00DF034A" w:rsidP="00DF034A" w14:paraId="5CF192A8" w14:textId="77777777">
      <w:pPr>
        <w:ind w:firstLine="720"/>
        <w:rPr>
          <w:szCs w:val="22"/>
        </w:rPr>
      </w:pPr>
    </w:p>
    <w:p w:rsidR="00DF61F6" w:rsidRPr="00DF034A" w:rsidP="00DF034A" w14:paraId="3571D8BC" w14:textId="428829FF">
      <w:pPr>
        <w:pStyle w:val="ListParagraph"/>
        <w:numPr>
          <w:ilvl w:val="0"/>
          <w:numId w:val="8"/>
        </w:numPr>
        <w:ind w:left="720"/>
        <w:rPr>
          <w:szCs w:val="22"/>
        </w:rPr>
      </w:pPr>
      <w:r w:rsidRPr="00DF034A">
        <w:rPr>
          <w:szCs w:val="22"/>
        </w:rPr>
        <w:t xml:space="preserve">Establishing </w:t>
      </w:r>
      <w:r w:rsidR="006854A0">
        <w:rPr>
          <w:szCs w:val="22"/>
        </w:rPr>
        <w:t xml:space="preserve">additional </w:t>
      </w:r>
      <w:r w:rsidRPr="00DF034A">
        <w:rPr>
          <w:szCs w:val="22"/>
        </w:rPr>
        <w:t>dedicated drone innovation zones or testbeds, in partnership with federal, state, academic, or private entities, and streamlin</w:t>
      </w:r>
      <w:r w:rsidR="007F63AA">
        <w:rPr>
          <w:szCs w:val="22"/>
        </w:rPr>
        <w:t>ing</w:t>
      </w:r>
      <w:r w:rsidRPr="00DF034A">
        <w:rPr>
          <w:szCs w:val="22"/>
        </w:rPr>
        <w:t xml:space="preserve"> authorizations </w:t>
      </w:r>
      <w:r w:rsidR="007F63AA">
        <w:rPr>
          <w:szCs w:val="22"/>
        </w:rPr>
        <w:t xml:space="preserve">to </w:t>
      </w:r>
      <w:r w:rsidRPr="00DF034A">
        <w:rPr>
          <w:szCs w:val="22"/>
        </w:rPr>
        <w:t>help spur early-stage experimentation and commercialization.</w:t>
      </w:r>
      <w:r>
        <w:rPr>
          <w:rStyle w:val="FootnoteReference"/>
          <w:szCs w:val="22"/>
        </w:rPr>
        <w:footnoteReference w:id="5"/>
      </w:r>
    </w:p>
    <w:p w:rsidR="00384FF8" w:rsidRPr="00DF034A" w:rsidP="00DF034A" w14:paraId="05602478" w14:textId="77777777">
      <w:pPr>
        <w:rPr>
          <w:szCs w:val="22"/>
        </w:rPr>
      </w:pPr>
    </w:p>
    <w:p w:rsidR="00384FF8" w:rsidRPr="00DF034A" w:rsidP="00D667D4" w14:paraId="102B9324" w14:textId="66189386">
      <w:pPr>
        <w:jc w:val="center"/>
        <w:rPr>
          <w:b/>
          <w:bCs/>
          <w:szCs w:val="22"/>
          <w:u w:val="single"/>
        </w:rPr>
      </w:pPr>
      <w:r w:rsidRPr="00DF034A">
        <w:rPr>
          <w:b/>
          <w:bCs/>
          <w:szCs w:val="22"/>
          <w:u w:val="single"/>
        </w:rPr>
        <w:t>BACKGROUND</w:t>
      </w:r>
    </w:p>
    <w:p w:rsidR="00384FF8" w:rsidRPr="00DF034A" w:rsidP="00DF034A" w14:paraId="58E58FDD" w14:textId="77777777">
      <w:pPr>
        <w:rPr>
          <w:szCs w:val="22"/>
        </w:rPr>
      </w:pPr>
    </w:p>
    <w:p w:rsidR="00B475C7" w:rsidRPr="00B475C7" w:rsidP="00B475C7" w14:paraId="60B8B120" w14:textId="745C741A">
      <w:pPr>
        <w:ind w:firstLine="720"/>
        <w:rPr>
          <w:szCs w:val="22"/>
        </w:rPr>
      </w:pPr>
      <w:r w:rsidRPr="00DF034A">
        <w:rPr>
          <w:b/>
          <w:bCs/>
          <w:i/>
          <w:iCs/>
          <w:szCs w:val="22"/>
        </w:rPr>
        <w:t xml:space="preserve">U.S. </w:t>
      </w:r>
      <w:r w:rsidRPr="00DF034A" w:rsidR="00C05609">
        <w:rPr>
          <w:b/>
          <w:bCs/>
          <w:i/>
          <w:iCs/>
          <w:szCs w:val="22"/>
        </w:rPr>
        <w:t>Government Efforts</w:t>
      </w:r>
      <w:r w:rsidRPr="00DF034A">
        <w:rPr>
          <w:b/>
          <w:bCs/>
          <w:i/>
          <w:iCs/>
          <w:szCs w:val="22"/>
        </w:rPr>
        <w:t xml:space="preserve"> </w:t>
      </w:r>
      <w:r w:rsidRPr="00DF034A" w:rsidR="005C0320">
        <w:rPr>
          <w:b/>
          <w:bCs/>
          <w:i/>
          <w:iCs/>
          <w:szCs w:val="22"/>
        </w:rPr>
        <w:t xml:space="preserve">on UAS </w:t>
      </w:r>
      <w:r w:rsidRPr="00DF034A" w:rsidR="00C05609">
        <w:rPr>
          <w:b/>
          <w:bCs/>
          <w:i/>
          <w:iCs/>
          <w:szCs w:val="22"/>
        </w:rPr>
        <w:t>Leadership</w:t>
      </w:r>
      <w:r w:rsidRPr="00DF034A">
        <w:rPr>
          <w:b/>
          <w:bCs/>
          <w:i/>
          <w:iCs/>
          <w:szCs w:val="22"/>
        </w:rPr>
        <w:t xml:space="preserve">.  </w:t>
      </w:r>
      <w:r w:rsidRPr="00DF034A">
        <w:rPr>
          <w:szCs w:val="22"/>
        </w:rPr>
        <w:t xml:space="preserve">Two EOs </w:t>
      </w:r>
      <w:r w:rsidR="007D7441">
        <w:rPr>
          <w:szCs w:val="22"/>
        </w:rPr>
        <w:t xml:space="preserve">underpin </w:t>
      </w:r>
      <w:r w:rsidRPr="00DF034A">
        <w:rPr>
          <w:szCs w:val="22"/>
        </w:rPr>
        <w:t xml:space="preserve">the Administration’s coordinated national strategy to </w:t>
      </w:r>
      <w:r w:rsidR="0061667B">
        <w:rPr>
          <w:szCs w:val="22"/>
        </w:rPr>
        <w:t>achieve</w:t>
      </w:r>
      <w:r w:rsidRPr="00DF034A">
        <w:rPr>
          <w:szCs w:val="22"/>
        </w:rPr>
        <w:t xml:space="preserve"> </w:t>
      </w:r>
      <w:r w:rsidR="0061667B">
        <w:rPr>
          <w:szCs w:val="22"/>
        </w:rPr>
        <w:t>American</w:t>
      </w:r>
      <w:r w:rsidRPr="00DF034A">
        <w:rPr>
          <w:szCs w:val="22"/>
        </w:rPr>
        <w:t xml:space="preserve"> dominance in drone technology, manufacturing, and operations.  </w:t>
      </w:r>
      <w:r>
        <w:rPr>
          <w:szCs w:val="22"/>
        </w:rPr>
        <w:t>These EOs</w:t>
      </w:r>
      <w:r w:rsidRPr="00B475C7">
        <w:rPr>
          <w:szCs w:val="22"/>
        </w:rPr>
        <w:t xml:space="preserve"> signal a profound policy transformation</w:t>
      </w:r>
      <w:r w:rsidR="0043352D">
        <w:rPr>
          <w:szCs w:val="22"/>
        </w:rPr>
        <w:t xml:space="preserve">.  </w:t>
      </w:r>
      <w:r w:rsidR="00780DB1">
        <w:rPr>
          <w:szCs w:val="22"/>
        </w:rPr>
        <w:t>UAS</w:t>
      </w:r>
      <w:r w:rsidRPr="00B475C7">
        <w:rPr>
          <w:szCs w:val="22"/>
        </w:rPr>
        <w:t xml:space="preserve"> leadership </w:t>
      </w:r>
      <w:r w:rsidR="0061667B">
        <w:rPr>
          <w:szCs w:val="22"/>
        </w:rPr>
        <w:t>now represents</w:t>
      </w:r>
      <w:r w:rsidRPr="00B475C7">
        <w:rPr>
          <w:szCs w:val="22"/>
        </w:rPr>
        <w:t xml:space="preserve"> more than an economic priority</w:t>
      </w:r>
      <w:r w:rsidR="0043352D">
        <w:rPr>
          <w:szCs w:val="22"/>
        </w:rPr>
        <w:t xml:space="preserve">; it </w:t>
      </w:r>
      <w:r w:rsidR="0061667B">
        <w:rPr>
          <w:szCs w:val="22"/>
        </w:rPr>
        <w:t>has become</w:t>
      </w:r>
      <w:r w:rsidRPr="00B475C7">
        <w:rPr>
          <w:szCs w:val="22"/>
        </w:rPr>
        <w:t xml:space="preserve"> a critical pillar of U.S. national security, technological independence, and global competitiveness.</w:t>
      </w:r>
    </w:p>
    <w:p w:rsidR="00384FF8" w:rsidRPr="00DF034A" w:rsidP="00DF034A" w14:paraId="1DE16958" w14:textId="77777777">
      <w:pPr>
        <w:ind w:firstLine="720"/>
        <w:rPr>
          <w:b/>
          <w:bCs/>
          <w:i/>
          <w:iCs/>
          <w:szCs w:val="22"/>
        </w:rPr>
      </w:pPr>
    </w:p>
    <w:p w:rsidR="005A67FF" w:rsidRPr="00DF034A" w:rsidP="00CE6DDE" w14:paraId="057F9680" w14:textId="78EC42BB">
      <w:pPr>
        <w:widowControl/>
        <w:ind w:firstLine="720"/>
        <w:rPr>
          <w:szCs w:val="22"/>
        </w:rPr>
      </w:pPr>
      <w:r w:rsidRPr="00DF034A">
        <w:rPr>
          <w:szCs w:val="22"/>
        </w:rPr>
        <w:t>The first</w:t>
      </w:r>
      <w:r w:rsidRPr="00DF034A" w:rsidR="005C0320">
        <w:rPr>
          <w:szCs w:val="22"/>
        </w:rPr>
        <w:t xml:space="preserve"> EO</w:t>
      </w:r>
      <w:r w:rsidRPr="00DF034A">
        <w:rPr>
          <w:szCs w:val="22"/>
        </w:rPr>
        <w:t xml:space="preserve">, </w:t>
      </w:r>
      <w:r w:rsidRPr="00DF034A">
        <w:rPr>
          <w:i/>
          <w:iCs/>
          <w:szCs w:val="22"/>
        </w:rPr>
        <w:t>Unleashing American Drone Dominance</w:t>
      </w:r>
      <w:r w:rsidRPr="00DF034A">
        <w:rPr>
          <w:szCs w:val="22"/>
        </w:rPr>
        <w:t xml:space="preserve">, sets a whole-of-government mandate to accelerate </w:t>
      </w:r>
      <w:r w:rsidRPr="00DF034A" w:rsidR="00E62AF9">
        <w:rPr>
          <w:szCs w:val="22"/>
        </w:rPr>
        <w:t>the commercialization of drone technologies, scale up domestic production, and expand the export of trusted, American-manufactured UAS</w:t>
      </w:r>
      <w:r w:rsidRPr="00DF034A">
        <w:rPr>
          <w:szCs w:val="22"/>
        </w:rPr>
        <w:t xml:space="preserve">. </w:t>
      </w:r>
      <w:r w:rsidR="004521BC">
        <w:rPr>
          <w:szCs w:val="22"/>
        </w:rPr>
        <w:t xml:space="preserve"> </w:t>
      </w:r>
      <w:r w:rsidRPr="00DF034A">
        <w:rPr>
          <w:szCs w:val="22"/>
        </w:rPr>
        <w:t>This EO directs federal agencies—including the FCC and</w:t>
      </w:r>
      <w:r w:rsidR="00A952BE">
        <w:rPr>
          <w:szCs w:val="22"/>
        </w:rPr>
        <w:t xml:space="preserve"> the National Telecommunications and Information Administration</w:t>
      </w:r>
      <w:r w:rsidRPr="00DF034A">
        <w:rPr>
          <w:szCs w:val="22"/>
        </w:rPr>
        <w:t xml:space="preserve"> </w:t>
      </w:r>
      <w:r w:rsidR="00A952BE">
        <w:rPr>
          <w:szCs w:val="22"/>
        </w:rPr>
        <w:t>(</w:t>
      </w:r>
      <w:r w:rsidRPr="00DF034A">
        <w:rPr>
          <w:szCs w:val="22"/>
        </w:rPr>
        <w:t>NTIA</w:t>
      </w:r>
      <w:r w:rsidR="00A952BE">
        <w:rPr>
          <w:szCs w:val="22"/>
        </w:rPr>
        <w:t>)</w:t>
      </w:r>
      <w:r w:rsidRPr="00DF034A">
        <w:rPr>
          <w:szCs w:val="22"/>
        </w:rPr>
        <w:t xml:space="preserve">—to prioritize spectrum access and modernization efforts critical for the safe and scalable deployment of autonomous and remotely piloted drones, particularly those operating BVLOS. </w:t>
      </w:r>
      <w:r w:rsidRPr="00DF034A" w:rsidR="00FD227E">
        <w:rPr>
          <w:szCs w:val="22"/>
        </w:rPr>
        <w:t xml:space="preserve"> </w:t>
      </w:r>
      <w:r w:rsidRPr="00DF034A">
        <w:rPr>
          <w:szCs w:val="22"/>
        </w:rPr>
        <w:t>It also calls for the development of a national drone corridor network and establishes interagency coordination mechanisms to streamline certification, export approvals, and integration into the national airspace</w:t>
      </w:r>
      <w:r w:rsidR="002D609E">
        <w:rPr>
          <w:szCs w:val="22"/>
        </w:rPr>
        <w:t xml:space="preserve"> system</w:t>
      </w:r>
      <w:r w:rsidRPr="00DF034A">
        <w:rPr>
          <w:szCs w:val="22"/>
        </w:rPr>
        <w:t>.</w:t>
      </w:r>
      <w:r w:rsidRPr="00DF034A" w:rsidR="00F74E57">
        <w:rPr>
          <w:szCs w:val="22"/>
        </w:rPr>
        <w:t xml:space="preserve"> </w:t>
      </w:r>
      <w:r w:rsidRPr="00DF034A" w:rsidR="00E62AF9">
        <w:rPr>
          <w:szCs w:val="22"/>
        </w:rPr>
        <w:t xml:space="preserve"> </w:t>
      </w:r>
      <w:r w:rsidRPr="00DF034A" w:rsidR="00B4449E">
        <w:rPr>
          <w:szCs w:val="22"/>
        </w:rPr>
        <w:t>The EO directed</w:t>
      </w:r>
      <w:r w:rsidRPr="00DF034A" w:rsidR="00E62AF9">
        <w:rPr>
          <w:szCs w:val="22"/>
        </w:rPr>
        <w:t xml:space="preserve"> “[a]</w:t>
      </w:r>
      <w:r w:rsidRPr="00DF034A" w:rsidR="00E62AF9">
        <w:rPr>
          <w:szCs w:val="22"/>
        </w:rPr>
        <w:t>ll</w:t>
      </w:r>
      <w:r w:rsidRPr="00DF034A" w:rsidR="00E62AF9">
        <w:rPr>
          <w:szCs w:val="22"/>
        </w:rPr>
        <w:t xml:space="preserve"> </w:t>
      </w:r>
      <w:r w:rsidRPr="00DF034A" w:rsidR="00E62AF9">
        <w:rPr>
          <w:szCs w:val="22"/>
        </w:rPr>
        <w:t>agencies,” including</w:t>
      </w:r>
      <w:r w:rsidRPr="00DF034A" w:rsidR="00B4449E">
        <w:rPr>
          <w:szCs w:val="22"/>
        </w:rPr>
        <w:t xml:space="preserve"> the Commission, to </w:t>
      </w:r>
      <w:r w:rsidRPr="00DF034A" w:rsidR="00B11B4E">
        <w:rPr>
          <w:szCs w:val="22"/>
        </w:rPr>
        <w:t>“prioritize the integration of UAS manufactured in the United States over those made abroad to the maximum extent permitted by law.”</w:t>
      </w:r>
      <w:r>
        <w:rPr>
          <w:rStyle w:val="FootnoteReference"/>
          <w:szCs w:val="22"/>
        </w:rPr>
        <w:footnoteReference w:id="6"/>
      </w:r>
    </w:p>
    <w:p w:rsidR="005A67FF" w:rsidRPr="00DF034A" w:rsidP="00DF034A" w14:paraId="6E22BCB9" w14:textId="77777777">
      <w:pPr>
        <w:ind w:firstLine="720"/>
        <w:rPr>
          <w:szCs w:val="22"/>
        </w:rPr>
      </w:pPr>
    </w:p>
    <w:p w:rsidR="005A67FF" w:rsidRPr="00DF034A" w:rsidP="00DF034A" w14:paraId="0EB3BED0" w14:textId="1AC90815">
      <w:pPr>
        <w:ind w:firstLine="720"/>
        <w:rPr>
          <w:szCs w:val="22"/>
        </w:rPr>
      </w:pPr>
      <w:r w:rsidRPr="00DF034A">
        <w:rPr>
          <w:szCs w:val="22"/>
        </w:rPr>
        <w:t>The second</w:t>
      </w:r>
      <w:r w:rsidRPr="00DF034A" w:rsidR="005C0320">
        <w:rPr>
          <w:szCs w:val="22"/>
        </w:rPr>
        <w:t xml:space="preserve"> EO</w:t>
      </w:r>
      <w:r w:rsidRPr="00DF034A">
        <w:rPr>
          <w:szCs w:val="22"/>
        </w:rPr>
        <w:t xml:space="preserve">, </w:t>
      </w:r>
      <w:r w:rsidRPr="00DF034A">
        <w:rPr>
          <w:i/>
          <w:iCs/>
          <w:szCs w:val="22"/>
        </w:rPr>
        <w:t>Restoring American Airspace Sovereignty</w:t>
      </w:r>
      <w:r w:rsidRPr="00DF034A">
        <w:rPr>
          <w:szCs w:val="22"/>
        </w:rPr>
        <w:t>, tightens restrictions on foreign-manufactured drones operating in sensitive or regulated environments and mandates a phased transition to domestically produced or allied-nation UAS across federal and critical infrastructure sectors.</w:t>
      </w:r>
      <w:r w:rsidR="004521BC">
        <w:rPr>
          <w:szCs w:val="22"/>
        </w:rPr>
        <w:t xml:space="preserve"> </w:t>
      </w:r>
      <w:r w:rsidRPr="00DF034A">
        <w:rPr>
          <w:szCs w:val="22"/>
        </w:rPr>
        <w:t xml:space="preserve"> It builds on earlier security-oriented directives</w:t>
      </w:r>
      <w:r w:rsidR="004521BC">
        <w:rPr>
          <w:szCs w:val="22"/>
        </w:rPr>
        <w:t>,</w:t>
      </w:r>
      <w:r w:rsidRPr="00DF034A">
        <w:rPr>
          <w:szCs w:val="22"/>
        </w:rPr>
        <w:t xml:space="preserve"> like EO 13981, but goes further by authorizing NTIA to update federal procurement guidelines to reflect new security benchmarks, and by </w:t>
      </w:r>
      <w:r w:rsidR="00CE4E22">
        <w:rPr>
          <w:szCs w:val="22"/>
        </w:rPr>
        <w:t>directing</w:t>
      </w:r>
      <w:r w:rsidRPr="00DF034A" w:rsidR="00CE4E22">
        <w:rPr>
          <w:szCs w:val="22"/>
        </w:rPr>
        <w:t xml:space="preserve"> </w:t>
      </w:r>
      <w:r w:rsidR="00CE4E22">
        <w:rPr>
          <w:kern w:val="0"/>
          <w:szCs w:val="22"/>
        </w:rPr>
        <w:t>several agencies, including the</w:t>
      </w:r>
      <w:r w:rsidRPr="002E1686" w:rsidR="00CE4E22">
        <w:rPr>
          <w:kern w:val="0"/>
          <w:szCs w:val="22"/>
        </w:rPr>
        <w:t xml:space="preserve"> </w:t>
      </w:r>
      <w:r w:rsidRPr="00DF034A" w:rsidR="00CE4E22">
        <w:rPr>
          <w:szCs w:val="22"/>
        </w:rPr>
        <w:t>FCC</w:t>
      </w:r>
      <w:r w:rsidR="00CE4E22">
        <w:rPr>
          <w:szCs w:val="22"/>
        </w:rPr>
        <w:t>,</w:t>
      </w:r>
      <w:r w:rsidRPr="00DF034A" w:rsidR="00CE4E22">
        <w:rPr>
          <w:szCs w:val="22"/>
        </w:rPr>
        <w:t xml:space="preserve"> to </w:t>
      </w:r>
      <w:r w:rsidRPr="002E1686" w:rsidR="00CE4E22">
        <w:rPr>
          <w:kern w:val="0"/>
          <w:szCs w:val="22"/>
        </w:rPr>
        <w:t xml:space="preserve">take all appropriate steps to implement the recommendations of the March 2022 Feasibility Report to Congress </w:t>
      </w:r>
      <w:r w:rsidR="00CE4E22">
        <w:rPr>
          <w:kern w:val="0"/>
          <w:szCs w:val="22"/>
        </w:rPr>
        <w:t>regarding</w:t>
      </w:r>
      <w:r w:rsidRPr="002E1686" w:rsidR="00CE4E22">
        <w:rPr>
          <w:kern w:val="0"/>
          <w:szCs w:val="22"/>
        </w:rPr>
        <w:t xml:space="preserve"> the creation of </w:t>
      </w:r>
      <w:r w:rsidR="00CE4E22">
        <w:rPr>
          <w:kern w:val="0"/>
          <w:szCs w:val="22"/>
        </w:rPr>
        <w:t xml:space="preserve">the </w:t>
      </w:r>
      <w:r w:rsidRPr="002E1686" w:rsidR="00CE4E22">
        <w:rPr>
          <w:kern w:val="0"/>
          <w:szCs w:val="22"/>
        </w:rPr>
        <w:t>National Training Center for Counter-Unmanned Aircraft Systems</w:t>
      </w:r>
      <w:r w:rsidRPr="00DF034A" w:rsidR="00CE4E22">
        <w:rPr>
          <w:szCs w:val="22"/>
        </w:rPr>
        <w:t>.</w:t>
      </w:r>
    </w:p>
    <w:p w:rsidR="009A5B26" w:rsidRPr="00DF034A" w:rsidP="00DF034A" w14:paraId="77ED23E8" w14:textId="77777777">
      <w:pPr>
        <w:rPr>
          <w:szCs w:val="22"/>
        </w:rPr>
      </w:pPr>
    </w:p>
    <w:p w:rsidR="00C53A3E" w:rsidRPr="00DF034A" w:rsidP="00DF034A" w14:paraId="5C8082D3" w14:textId="678EB70A">
      <w:pPr>
        <w:ind w:firstLine="720"/>
        <w:rPr>
          <w:szCs w:val="22"/>
        </w:rPr>
      </w:pPr>
      <w:r w:rsidRPr="00DF034A">
        <w:rPr>
          <w:b/>
          <w:bCs/>
          <w:i/>
          <w:iCs/>
          <w:szCs w:val="22"/>
        </w:rPr>
        <w:t>Recent FCC Covered List Action</w:t>
      </w:r>
      <w:r w:rsidR="00D667D4">
        <w:rPr>
          <w:b/>
          <w:bCs/>
          <w:i/>
          <w:iCs/>
          <w:szCs w:val="22"/>
        </w:rPr>
        <w:t>s.</w:t>
      </w:r>
      <w:r w:rsidRPr="00DF034A" w:rsidR="009A5B26">
        <w:rPr>
          <w:b/>
          <w:bCs/>
          <w:i/>
          <w:iCs/>
          <w:szCs w:val="22"/>
        </w:rPr>
        <w:t xml:space="preserve"> </w:t>
      </w:r>
      <w:r w:rsidRPr="00DF034A" w:rsidR="009A5B26">
        <w:rPr>
          <w:szCs w:val="22"/>
        </w:rPr>
        <w:t xml:space="preserve"> </w:t>
      </w:r>
      <w:r w:rsidR="004C587E">
        <w:rPr>
          <w:szCs w:val="22"/>
        </w:rPr>
        <w:t>Late last year</w:t>
      </w:r>
      <w:r w:rsidRPr="00DF034A" w:rsidR="00B43771">
        <w:rPr>
          <w:szCs w:val="22"/>
        </w:rPr>
        <w:t xml:space="preserve">, the FCC received a specific determination from an interagency body with appropriate national security expertise that found, among other things, that UAS and UAS critical components produced in a foreign country pose an unacceptable risk to the national security of the United States and to the safety and security of U.S. persons and should be included on the FCC’s Covered List, unless the </w:t>
      </w:r>
      <w:r w:rsidR="00CE4E22">
        <w:rPr>
          <w:szCs w:val="22"/>
        </w:rPr>
        <w:t>DoW</w:t>
      </w:r>
      <w:r w:rsidRPr="00DF034A" w:rsidR="00B43771">
        <w:rPr>
          <w:szCs w:val="22"/>
        </w:rPr>
        <w:t xml:space="preserve"> or the Department of Homeland Security</w:t>
      </w:r>
      <w:r w:rsidR="00CE4E22">
        <w:rPr>
          <w:szCs w:val="22"/>
        </w:rPr>
        <w:t xml:space="preserve"> (DHS)</w:t>
      </w:r>
      <w:r w:rsidRPr="00DF034A" w:rsidR="00B43771">
        <w:rPr>
          <w:szCs w:val="22"/>
        </w:rPr>
        <w:t xml:space="preserve"> makes a specific determination that certain such UAS and UAS critical components do not pose such risks.</w:t>
      </w:r>
      <w:r>
        <w:rPr>
          <w:rStyle w:val="FootnoteReference"/>
          <w:szCs w:val="22"/>
        </w:rPr>
        <w:footnoteReference w:id="7"/>
      </w:r>
      <w:r w:rsidRPr="00DF034A" w:rsidR="00F81DAA">
        <w:rPr>
          <w:szCs w:val="22"/>
        </w:rPr>
        <w:t xml:space="preserve"> </w:t>
      </w:r>
      <w:r w:rsidRPr="00DF034A" w:rsidR="00043093">
        <w:rPr>
          <w:szCs w:val="22"/>
        </w:rPr>
        <w:t xml:space="preserve"> </w:t>
      </w:r>
      <w:r w:rsidRPr="00DF034A" w:rsidR="00F81DAA">
        <w:rPr>
          <w:szCs w:val="22"/>
        </w:rPr>
        <w:t xml:space="preserve">The Determination </w:t>
      </w:r>
      <w:r w:rsidRPr="00DF034A" w:rsidR="00043093">
        <w:rPr>
          <w:szCs w:val="22"/>
        </w:rPr>
        <w:t xml:space="preserve">found that: </w:t>
      </w:r>
    </w:p>
    <w:p w:rsidR="00C53A3E" w:rsidRPr="00DF034A" w:rsidP="00DF034A" w14:paraId="5D01041D" w14:textId="77777777">
      <w:pPr>
        <w:ind w:firstLine="720"/>
        <w:rPr>
          <w:szCs w:val="22"/>
        </w:rPr>
      </w:pPr>
    </w:p>
    <w:p w:rsidR="00B43771" w:rsidRPr="00DF034A" w:rsidP="00D667D4" w14:paraId="6BE14146" w14:textId="2D47C2C1">
      <w:pPr>
        <w:ind w:left="720"/>
        <w:rPr>
          <w:szCs w:val="22"/>
        </w:rPr>
      </w:pPr>
      <w:r w:rsidRPr="00DF034A">
        <w:rPr>
          <w:szCs w:val="22"/>
        </w:rPr>
        <w:t>UAS and UAS critical components must be produced in the United States. This will reduce the risk of direct UAS attacks and disruptions, unauthorized surveillance, sensitive data exfiltration, and other UAS threats to the homeland. Furthermore, it will ensure our domestic UAS and UAS critical component manufacturing is resilient and independent, a critical national security imperative. UAS are inherently dual-use: they are both commercial platforms and potentially military or paramilitary sensors and weapons. UAS and UAS critical components, including data transmission devices, communications systems, flight controllers, ground control stations, controllers, navigation systems, batteries, smart batteries, and motors produced in a foreign country could enable persistent surveillance, data exfiltration, and destructive operations over U.S. territory, including over World Cup and Olympic venues and other mass gathering events. U.S. cybersecurity and critical</w:t>
      </w:r>
      <w:r w:rsidR="00CE4E22">
        <w:rPr>
          <w:szCs w:val="22"/>
        </w:rPr>
        <w:t xml:space="preserve"> </w:t>
      </w:r>
      <w:r w:rsidRPr="00DF034A">
        <w:rPr>
          <w:szCs w:val="22"/>
        </w:rPr>
        <w:t>infrastructure guidance has repeatedly highlighted how foreign</w:t>
      </w:r>
      <w:r w:rsidRPr="00DF034A">
        <w:rPr>
          <w:szCs w:val="22"/>
        </w:rPr>
        <w:noBreakHyphen/>
        <w:t>manufactured UAS can be used to harvest sensitive data, used to enable remote unauthorized access, or disabled at will via software updates.</w:t>
      </w:r>
      <w:r>
        <w:rPr>
          <w:rStyle w:val="FootnoteReference"/>
          <w:szCs w:val="22"/>
        </w:rPr>
        <w:footnoteReference w:id="8"/>
      </w:r>
      <w:r w:rsidRPr="00DF034A" w:rsidR="00043093">
        <w:rPr>
          <w:szCs w:val="22"/>
        </w:rPr>
        <w:t xml:space="preserve"> </w:t>
      </w:r>
    </w:p>
    <w:p w:rsidR="007B50C5" w:rsidRPr="00DF034A" w:rsidP="00DF034A" w14:paraId="06BF8CE1" w14:textId="77777777">
      <w:pPr>
        <w:ind w:firstLine="720"/>
        <w:rPr>
          <w:szCs w:val="22"/>
        </w:rPr>
      </w:pPr>
    </w:p>
    <w:p w:rsidR="007B50C5" w:rsidRPr="00DF034A" w:rsidP="00DF034A" w14:paraId="0B92C13C" w14:textId="6B7915B6">
      <w:pPr>
        <w:ind w:firstLine="720"/>
        <w:rPr>
          <w:szCs w:val="22"/>
        </w:rPr>
      </w:pPr>
      <w:r w:rsidRPr="00DF034A">
        <w:rPr>
          <w:szCs w:val="22"/>
        </w:rPr>
        <w:t xml:space="preserve">As a result of this </w:t>
      </w:r>
      <w:r w:rsidR="00CE4E22">
        <w:rPr>
          <w:szCs w:val="22"/>
        </w:rPr>
        <w:t>specific</w:t>
      </w:r>
      <w:r w:rsidR="00926984">
        <w:rPr>
          <w:szCs w:val="22"/>
        </w:rPr>
        <w:t xml:space="preserve"> </w:t>
      </w:r>
      <w:r w:rsidRPr="00DF034A">
        <w:rPr>
          <w:szCs w:val="22"/>
        </w:rPr>
        <w:t>determination</w:t>
      </w:r>
      <w:r w:rsidRPr="00DF034A" w:rsidR="00C04966">
        <w:rPr>
          <w:szCs w:val="22"/>
        </w:rPr>
        <w:t xml:space="preserve">, </w:t>
      </w:r>
      <w:r w:rsidRPr="00DF034A" w:rsidR="000265B1">
        <w:rPr>
          <w:szCs w:val="22"/>
        </w:rPr>
        <w:t>the FCC updated its Covered List to includ</w:t>
      </w:r>
      <w:r w:rsidRPr="00DF034A" w:rsidR="003064CF">
        <w:rPr>
          <w:szCs w:val="22"/>
        </w:rPr>
        <w:t>e</w:t>
      </w:r>
      <w:r w:rsidRPr="00DF034A" w:rsidR="000265B1">
        <w:rPr>
          <w:szCs w:val="22"/>
        </w:rPr>
        <w:t xml:space="preserve"> </w:t>
      </w:r>
      <w:r w:rsidRPr="00DF034A" w:rsidR="009F285E">
        <w:rPr>
          <w:szCs w:val="22"/>
        </w:rPr>
        <w:t>“UAS and UAS critical components produced in a foreign country.”</w:t>
      </w:r>
      <w:r>
        <w:rPr>
          <w:rStyle w:val="FootnoteReference"/>
          <w:szCs w:val="22"/>
        </w:rPr>
        <w:footnoteReference w:id="9"/>
      </w:r>
      <w:r w:rsidRPr="00DF034A" w:rsidR="009F285E">
        <w:rPr>
          <w:szCs w:val="22"/>
        </w:rPr>
        <w:t xml:space="preserve">  </w:t>
      </w:r>
      <w:r w:rsidR="00D667D4">
        <w:rPr>
          <w:szCs w:val="22"/>
        </w:rPr>
        <w:t>Going forward</w:t>
      </w:r>
      <w:r w:rsidRPr="00DF034A" w:rsidR="00B82D8E">
        <w:rPr>
          <w:szCs w:val="22"/>
        </w:rPr>
        <w:t xml:space="preserve">, foreign-produced UAS and UAS critical components </w:t>
      </w:r>
      <w:r w:rsidR="00D667D4">
        <w:rPr>
          <w:szCs w:val="22"/>
        </w:rPr>
        <w:t>may</w:t>
      </w:r>
      <w:r w:rsidRPr="00DF034A" w:rsidR="00B82D8E">
        <w:rPr>
          <w:szCs w:val="22"/>
        </w:rPr>
        <w:t xml:space="preserve"> no longer receive authorization for importation, marketing, or sale in the United States, although already-authorized devices can continue to be used. </w:t>
      </w:r>
      <w:r w:rsidRPr="00DF034A" w:rsidR="000E23B1">
        <w:rPr>
          <w:szCs w:val="22"/>
        </w:rPr>
        <w:t xml:space="preserve"> </w:t>
      </w:r>
    </w:p>
    <w:p w:rsidR="003804FC" w:rsidRPr="00DF034A" w:rsidP="00DF034A" w14:paraId="1365B76F" w14:textId="77777777">
      <w:pPr>
        <w:ind w:firstLine="720"/>
        <w:rPr>
          <w:szCs w:val="22"/>
        </w:rPr>
      </w:pPr>
    </w:p>
    <w:p w:rsidR="003804FC" w:rsidRPr="00DF034A" w:rsidP="00CE6DDE" w14:paraId="2B41F6CD" w14:textId="2375063D">
      <w:pPr>
        <w:widowControl/>
        <w:ind w:firstLine="720"/>
        <w:rPr>
          <w:szCs w:val="22"/>
        </w:rPr>
      </w:pPr>
      <w:r>
        <w:rPr>
          <w:szCs w:val="22"/>
        </w:rPr>
        <w:t>Then</w:t>
      </w:r>
      <w:r w:rsidRPr="00DF034A">
        <w:rPr>
          <w:szCs w:val="22"/>
        </w:rPr>
        <w:t xml:space="preserve">, following a further specific determination from </w:t>
      </w:r>
      <w:r w:rsidRPr="00DF034A">
        <w:rPr>
          <w:szCs w:val="22"/>
        </w:rPr>
        <w:t>DoW</w:t>
      </w:r>
      <w:r w:rsidRPr="00DF034A" w:rsidR="008A168C">
        <w:rPr>
          <w:szCs w:val="22"/>
        </w:rPr>
        <w:t xml:space="preserve"> that certain UAS and UAS critical components </w:t>
      </w:r>
      <w:r w:rsidRPr="00DF034A" w:rsidR="008A168C">
        <w:rPr>
          <w:i/>
          <w:iCs/>
          <w:szCs w:val="22"/>
        </w:rPr>
        <w:t>did not</w:t>
      </w:r>
      <w:r w:rsidRPr="00DF034A" w:rsidR="008A168C">
        <w:rPr>
          <w:szCs w:val="22"/>
        </w:rPr>
        <w:t xml:space="preserve"> pose “unacceptable risks</w:t>
      </w:r>
      <w:r w:rsidR="004521BC">
        <w:rPr>
          <w:szCs w:val="22"/>
        </w:rPr>
        <w:t>,</w:t>
      </w:r>
      <w:r w:rsidRPr="00DF034A" w:rsidR="008A168C">
        <w:rPr>
          <w:szCs w:val="22"/>
        </w:rPr>
        <w:t xml:space="preserve">” the FCC again updated its Covered List to remove </w:t>
      </w:r>
      <w:r w:rsidRPr="00DF034A" w:rsidR="007F3FD3">
        <w:rPr>
          <w:szCs w:val="22"/>
        </w:rPr>
        <w:t>“until January 1, 2027, (a) </w:t>
      </w:r>
      <w:hyperlink r:id="rId6" w:history="1">
        <w:r w:rsidRPr="00DF034A" w:rsidR="007F3FD3">
          <w:rPr>
            <w:rStyle w:val="Hyperlink"/>
            <w:szCs w:val="22"/>
          </w:rPr>
          <w:t>UAS</w:t>
        </w:r>
      </w:hyperlink>
      <w:r w:rsidRPr="00DF034A" w:rsidR="007F3FD3">
        <w:rPr>
          <w:szCs w:val="22"/>
        </w:rPr>
        <w:t> and </w:t>
      </w:r>
      <w:hyperlink r:id="rId7" w:history="1">
        <w:r w:rsidRPr="00DF034A" w:rsidR="007F3FD3">
          <w:rPr>
            <w:rStyle w:val="Hyperlink"/>
            <w:szCs w:val="22"/>
          </w:rPr>
          <w:t>UAS critical components</w:t>
        </w:r>
      </w:hyperlink>
      <w:r w:rsidRPr="00DF034A" w:rsidR="007F3FD3">
        <w:rPr>
          <w:szCs w:val="22"/>
        </w:rPr>
        <w:t> included on the Defense Contract Management Agency’s (DCMA’s) Blue UAS list,</w:t>
      </w:r>
      <w:r w:rsidRPr="00DF034A" w:rsidR="007F3FD3">
        <w:rPr>
          <w:szCs w:val="22"/>
          <w:vertAlign w:val="superscript"/>
        </w:rPr>
        <w:t>#</w:t>
      </w:r>
      <w:r w:rsidRPr="00DF034A" w:rsidR="007F3FD3">
        <w:rPr>
          <w:szCs w:val="22"/>
        </w:rPr>
        <w:t xml:space="preserve"> and (b) UAS and UAS critical components that qualify as </w:t>
      </w:r>
      <w:r w:rsidR="00056954">
        <w:rPr>
          <w:szCs w:val="22"/>
        </w:rPr>
        <w:t>‘</w:t>
      </w:r>
      <w:r w:rsidRPr="00DF034A" w:rsidR="007F3FD3">
        <w:rPr>
          <w:szCs w:val="22"/>
        </w:rPr>
        <w:t>domestic end products</w:t>
      </w:r>
      <w:r w:rsidR="00056954">
        <w:rPr>
          <w:szCs w:val="22"/>
        </w:rPr>
        <w:t>’</w:t>
      </w:r>
      <w:r w:rsidRPr="00DF034A" w:rsidR="007F3FD3">
        <w:rPr>
          <w:szCs w:val="22"/>
        </w:rPr>
        <w:t xml:space="preserve"> under the Buy American Standard, </w:t>
      </w:r>
      <w:hyperlink r:id="rId8" w:history="1">
        <w:r w:rsidRPr="00DF034A" w:rsidR="007F3FD3">
          <w:rPr>
            <w:rStyle w:val="Hyperlink"/>
            <w:szCs w:val="22"/>
          </w:rPr>
          <w:t>48 CFR 25.101(a)</w:t>
        </w:r>
      </w:hyperlink>
      <w:r w:rsidRPr="00DF034A" w:rsidR="007F3FD3">
        <w:rPr>
          <w:szCs w:val="22"/>
        </w:rPr>
        <w:t>.”</w:t>
      </w:r>
      <w:r>
        <w:rPr>
          <w:rStyle w:val="FootnoteReference"/>
          <w:szCs w:val="22"/>
        </w:rPr>
        <w:footnoteReference w:id="10"/>
      </w:r>
      <w:r w:rsidRPr="00DF034A" w:rsidR="00C41122">
        <w:rPr>
          <w:szCs w:val="22"/>
        </w:rPr>
        <w:t xml:space="preserve">  </w:t>
      </w:r>
      <w:r w:rsidRPr="00DF034A" w:rsidR="00C41122">
        <w:rPr>
          <w:szCs w:val="22"/>
        </w:rPr>
        <w:t>DoW</w:t>
      </w:r>
      <w:r w:rsidRPr="00DF034A" w:rsidR="00C41122">
        <w:rPr>
          <w:szCs w:val="22"/>
        </w:rPr>
        <w:t xml:space="preserve"> also established a process for individual entities to </w:t>
      </w:r>
      <w:r w:rsidRPr="00DF034A" w:rsidR="00721215">
        <w:rPr>
          <w:szCs w:val="22"/>
        </w:rPr>
        <w:t xml:space="preserve">apply for </w:t>
      </w:r>
      <w:r w:rsidRPr="00DF034A" w:rsidR="00721215">
        <w:rPr>
          <w:szCs w:val="22"/>
        </w:rPr>
        <w:t>DoW</w:t>
      </w:r>
      <w:r w:rsidRPr="00DF034A" w:rsidR="00721215">
        <w:rPr>
          <w:szCs w:val="22"/>
        </w:rPr>
        <w:t xml:space="preserve"> and DHS </w:t>
      </w:r>
      <w:r w:rsidRPr="00DF034A" w:rsidR="00250505">
        <w:rPr>
          <w:szCs w:val="22"/>
        </w:rPr>
        <w:t>to make</w:t>
      </w:r>
      <w:r w:rsidRPr="00DF034A" w:rsidR="00C41122">
        <w:rPr>
          <w:szCs w:val="22"/>
        </w:rPr>
        <w:t xml:space="preserve"> further determinations </w:t>
      </w:r>
      <w:r w:rsidRPr="00DF034A" w:rsidR="00250505">
        <w:rPr>
          <w:szCs w:val="22"/>
        </w:rPr>
        <w:t>as exempting these entities’</w:t>
      </w:r>
      <w:r w:rsidRPr="00DF034A" w:rsidR="00C41122">
        <w:rPr>
          <w:szCs w:val="22"/>
        </w:rPr>
        <w:t xml:space="preserve"> otherwise-covered UAS and UAS critical components </w:t>
      </w:r>
      <w:r w:rsidRPr="00DF034A" w:rsidR="00250505">
        <w:rPr>
          <w:szCs w:val="22"/>
        </w:rPr>
        <w:t>from</w:t>
      </w:r>
      <w:r w:rsidRPr="00DF034A" w:rsidR="00C41122">
        <w:rPr>
          <w:szCs w:val="22"/>
        </w:rPr>
        <w:t xml:space="preserve"> the </w:t>
      </w:r>
      <w:r w:rsidRPr="00DF034A" w:rsidR="00721215">
        <w:rPr>
          <w:szCs w:val="22"/>
        </w:rPr>
        <w:t>Covered List.</w:t>
      </w:r>
      <w:r>
        <w:rPr>
          <w:rStyle w:val="FootnoteReference"/>
          <w:szCs w:val="22"/>
        </w:rPr>
        <w:footnoteReference w:id="11"/>
      </w:r>
      <w:r w:rsidRPr="00DF034A" w:rsidR="00DA48D9">
        <w:rPr>
          <w:szCs w:val="22"/>
        </w:rPr>
        <w:t xml:space="preserve">  Such entities would have to provide information about their corporate structure, manufacturing and supply chain, and their U.S. manufacturing and onshoring plan.</w:t>
      </w:r>
      <w:r>
        <w:rPr>
          <w:rStyle w:val="FootnoteReference"/>
          <w:szCs w:val="22"/>
        </w:rPr>
        <w:footnoteReference w:id="12"/>
      </w:r>
      <w:r w:rsidRPr="00DF034A" w:rsidR="00DA48D9">
        <w:rPr>
          <w:szCs w:val="22"/>
        </w:rPr>
        <w:t xml:space="preserve"> </w:t>
      </w:r>
      <w:r w:rsidR="00417A42">
        <w:rPr>
          <w:szCs w:val="22"/>
        </w:rPr>
        <w:t xml:space="preserve"> </w:t>
      </w:r>
      <w:r w:rsidR="004B7973">
        <w:rPr>
          <w:szCs w:val="22"/>
        </w:rPr>
        <w:t>Following a third National Security Determination</w:t>
      </w:r>
      <w:r w:rsidR="00C12EBC">
        <w:rPr>
          <w:szCs w:val="22"/>
        </w:rPr>
        <w:t xml:space="preserve"> </w:t>
      </w:r>
      <w:r w:rsidR="00F55324">
        <w:rPr>
          <w:szCs w:val="22"/>
        </w:rPr>
        <w:t>that</w:t>
      </w:r>
      <w:r w:rsidR="00C12EBC">
        <w:rPr>
          <w:szCs w:val="22"/>
        </w:rPr>
        <w:t xml:space="preserve"> 4 </w:t>
      </w:r>
      <w:r w:rsidR="00F55324">
        <w:rPr>
          <w:szCs w:val="22"/>
        </w:rPr>
        <w:t>UAS devices do not pose “unacceptable risks</w:t>
      </w:r>
      <w:r w:rsidR="004B7973">
        <w:rPr>
          <w:szCs w:val="22"/>
        </w:rPr>
        <w:t>,</w:t>
      </w:r>
      <w:r w:rsidR="00F55324">
        <w:rPr>
          <w:szCs w:val="22"/>
        </w:rPr>
        <w:t>”</w:t>
      </w:r>
      <w:r w:rsidR="004B7973">
        <w:rPr>
          <w:szCs w:val="22"/>
        </w:rPr>
        <w:t xml:space="preserve"> the FCC updated its Covered List once again on March 18, 2026, to </w:t>
      </w:r>
      <w:r w:rsidR="00C12EBC">
        <w:rPr>
          <w:szCs w:val="22"/>
        </w:rPr>
        <w:t>exempt “</w:t>
      </w:r>
      <w:hyperlink r:id="rId9" w:anchor="conditional-approvals" w:history="1">
        <w:r w:rsidRPr="00C12EBC" w:rsidR="00C12EBC">
          <w:rPr>
            <w:rStyle w:val="Hyperlink"/>
            <w:szCs w:val="22"/>
          </w:rPr>
          <w:t xml:space="preserve">devices which have been granted a Conditional Approval by </w:t>
        </w:r>
        <w:r w:rsidRPr="00C12EBC" w:rsidR="00C12EBC">
          <w:rPr>
            <w:rStyle w:val="Hyperlink"/>
            <w:szCs w:val="22"/>
          </w:rPr>
          <w:t>DoW</w:t>
        </w:r>
        <w:r w:rsidRPr="00C12EBC" w:rsidR="00C12EBC">
          <w:rPr>
            <w:rStyle w:val="Hyperlink"/>
            <w:szCs w:val="22"/>
          </w:rPr>
          <w:t xml:space="preserve"> or DHS</w:t>
        </w:r>
      </w:hyperlink>
      <w:r w:rsidR="00FF1195">
        <w:rPr>
          <w:szCs w:val="22"/>
        </w:rPr>
        <w:t>.</w:t>
      </w:r>
      <w:r w:rsidR="00C12EBC">
        <w:rPr>
          <w:szCs w:val="22"/>
        </w:rPr>
        <w:t>”</w:t>
      </w:r>
      <w:r>
        <w:rPr>
          <w:rStyle w:val="FootnoteReference"/>
          <w:szCs w:val="22"/>
        </w:rPr>
        <w:footnoteReference w:id="13"/>
      </w:r>
    </w:p>
    <w:p w:rsidR="00A13792" w:rsidRPr="00DF034A" w:rsidP="00DF034A" w14:paraId="57789E6D" w14:textId="77777777">
      <w:pPr>
        <w:ind w:firstLine="720"/>
        <w:rPr>
          <w:szCs w:val="22"/>
        </w:rPr>
      </w:pPr>
    </w:p>
    <w:p w:rsidR="00C05609" w:rsidRPr="00DF034A" w:rsidP="00DF034A" w14:paraId="36B3A433" w14:textId="46C52311">
      <w:pPr>
        <w:ind w:firstLine="720"/>
        <w:rPr>
          <w:b/>
          <w:bCs/>
          <w:i/>
          <w:iCs/>
          <w:szCs w:val="22"/>
        </w:rPr>
      </w:pPr>
      <w:r w:rsidRPr="00DF034A">
        <w:rPr>
          <w:b/>
          <w:bCs/>
          <w:i/>
          <w:iCs/>
          <w:szCs w:val="22"/>
        </w:rPr>
        <w:t xml:space="preserve">Non-Federal </w:t>
      </w:r>
      <w:r w:rsidRPr="00DF034A">
        <w:rPr>
          <w:b/>
          <w:bCs/>
          <w:i/>
          <w:iCs/>
          <w:szCs w:val="22"/>
        </w:rPr>
        <w:t>Spectrum for</w:t>
      </w:r>
      <w:r w:rsidRPr="00DF034A" w:rsidR="00A13792">
        <w:rPr>
          <w:b/>
          <w:bCs/>
          <w:i/>
          <w:iCs/>
          <w:szCs w:val="22"/>
        </w:rPr>
        <w:t xml:space="preserve"> </w:t>
      </w:r>
      <w:r w:rsidRPr="00DF034A">
        <w:rPr>
          <w:b/>
          <w:bCs/>
          <w:i/>
          <w:iCs/>
          <w:szCs w:val="22"/>
        </w:rPr>
        <w:t>Drones</w:t>
      </w:r>
      <w:r w:rsidRPr="00DF034A" w:rsidR="00A13792">
        <w:rPr>
          <w:b/>
          <w:bCs/>
          <w:i/>
          <w:iCs/>
          <w:szCs w:val="22"/>
        </w:rPr>
        <w:t xml:space="preserve">.  </w:t>
      </w:r>
      <w:r w:rsidRPr="00DF034A" w:rsidR="003E6D68">
        <w:rPr>
          <w:b/>
          <w:bCs/>
          <w:i/>
          <w:iCs/>
          <w:szCs w:val="22"/>
        </w:rPr>
        <w:t xml:space="preserve"> </w:t>
      </w:r>
      <w:r w:rsidRPr="00DF034A">
        <w:rPr>
          <w:szCs w:val="22"/>
        </w:rPr>
        <w:t xml:space="preserve">Most drones in the U.S. have relied on unlicensed spectrum, or the same frequencies used by Wi-Fi routers and other consumer devices, for their </w:t>
      </w:r>
      <w:r w:rsidRPr="00DF034A" w:rsidR="00DF034A">
        <w:rPr>
          <w:szCs w:val="22"/>
        </w:rPr>
        <w:t>command-and-control</w:t>
      </w:r>
      <w:r w:rsidRPr="00DF034A">
        <w:rPr>
          <w:szCs w:val="22"/>
        </w:rPr>
        <w:t xml:space="preserve"> communication</w:t>
      </w:r>
      <w:r w:rsidRPr="00DF034A" w:rsidR="00DF034A">
        <w:rPr>
          <w:szCs w:val="22"/>
        </w:rPr>
        <w:t>s</w:t>
      </w:r>
      <w:r w:rsidRPr="00DF034A">
        <w:rPr>
          <w:szCs w:val="22"/>
        </w:rPr>
        <w:t xml:space="preserve">, including the 2.4 GHz and 5.8 GHz ISM (Industrial, Scientific, and Medical) bands.  These frequencies include: 900 MHz band (902-928 MHz); 2.4 GHz band (2400-2500 MHz); 5.2 GHz band (5000-5725 MHz); and 5.8 GHz band (5725-5875 MHz). </w:t>
      </w:r>
      <w:r w:rsidRPr="00DF034A" w:rsidR="004B3F4F">
        <w:rPr>
          <w:szCs w:val="22"/>
        </w:rPr>
        <w:t xml:space="preserve"> </w:t>
      </w:r>
      <w:r w:rsidRPr="00DF034A">
        <w:rPr>
          <w:szCs w:val="22"/>
        </w:rPr>
        <w:t xml:space="preserve">Although these bands are popular due to their relatively high power output capability and wide bandwidth for high definition broadband transmission, these unlicensed bands </w:t>
      </w:r>
      <w:r w:rsidRPr="00DF034A" w:rsidR="00DF034A">
        <w:rPr>
          <w:szCs w:val="22"/>
        </w:rPr>
        <w:t>may be</w:t>
      </w:r>
      <w:r w:rsidRPr="00DF034A">
        <w:rPr>
          <w:szCs w:val="22"/>
        </w:rPr>
        <w:t xml:space="preserve"> susceptible to interference from other users.</w:t>
      </w:r>
      <w:r w:rsidRPr="00DF034A" w:rsidR="00DF034A">
        <w:rPr>
          <w:szCs w:val="22"/>
        </w:rPr>
        <w:t xml:space="preserve">  We seek comment on the ongoing viability of the unlicensed bands for UAS operations.  </w:t>
      </w:r>
    </w:p>
    <w:p w:rsidR="00C05609" w:rsidRPr="00DF034A" w:rsidP="00DF034A" w14:paraId="24AEF991" w14:textId="77777777">
      <w:pPr>
        <w:rPr>
          <w:b/>
          <w:bCs/>
          <w:i/>
          <w:iCs/>
          <w:szCs w:val="22"/>
        </w:rPr>
      </w:pPr>
    </w:p>
    <w:p w:rsidR="00C05609" w:rsidRPr="00DF034A" w:rsidP="00DF034A" w14:paraId="67A8FCA0" w14:textId="5B7D190A">
      <w:pPr>
        <w:ind w:firstLine="720"/>
        <w:rPr>
          <w:szCs w:val="22"/>
        </w:rPr>
      </w:pPr>
      <w:r w:rsidRPr="00DF034A">
        <w:rPr>
          <w:szCs w:val="22"/>
        </w:rPr>
        <w:t>With respect to licensed spectrum, the 2012 World Radiocommunication Conference allocated the 5030-5091 MHz band for aeronautical mobile route service to support UAS control links.  The FCC mirrored the international allocation of that band, and in August 2024, it adopted service rules under a new Part 88 to allow operators to obtain direct frequency assignments in a portion of the band for non-networked operations.  The 2024 decision adopted an interim access mechanism providing temporary access to 20 megahertz (5040-5060 MHz) through F</w:t>
      </w:r>
      <w:r w:rsidR="004E1958">
        <w:rPr>
          <w:szCs w:val="22"/>
        </w:rPr>
        <w:t>ederal Aviation Administration (</w:t>
      </w:r>
      <w:r w:rsidRPr="00DF034A">
        <w:rPr>
          <w:szCs w:val="22"/>
        </w:rPr>
        <w:t>FAA</w:t>
      </w:r>
      <w:r w:rsidR="004E1958">
        <w:rPr>
          <w:szCs w:val="22"/>
        </w:rPr>
        <w:t>)</w:t>
      </w:r>
      <w:r w:rsidRPr="00DF034A">
        <w:rPr>
          <w:szCs w:val="22"/>
        </w:rPr>
        <w:t xml:space="preserve"> coordination and FCC registration.  As a medium-term solution, the FCC specified use of a dynamic frequency management systems that would provide requesting operators with temporary frequency assignments to support UAS control link communications with a level of reliability suitable for operations in controlled airspace and other safety-critical circumstances.  Longer term, the FCC anticipated a final band plan including both networked and non-networked services. </w:t>
      </w:r>
    </w:p>
    <w:p w:rsidR="006D017B" w:rsidP="00DF034A" w14:paraId="27CA25F9" w14:textId="77777777">
      <w:pPr>
        <w:ind w:firstLine="720"/>
        <w:rPr>
          <w:szCs w:val="22"/>
        </w:rPr>
      </w:pPr>
    </w:p>
    <w:p w:rsidR="00AF0BFB" w:rsidP="00DF034A" w14:paraId="5AA8EE09" w14:textId="1DC0A3A4">
      <w:pPr>
        <w:ind w:firstLine="720"/>
        <w:rPr>
          <w:szCs w:val="22"/>
        </w:rPr>
      </w:pPr>
      <w:r>
        <w:rPr>
          <w:szCs w:val="22"/>
        </w:rPr>
        <w:t>In addition, the Commission is participating in a multi-agency effort to accelerate the development and deployment of Advanced Air Mobility (AAM) technologies, including eVTOL aircraft in the United States.</w:t>
      </w:r>
      <w:r>
        <w:rPr>
          <w:rStyle w:val="FootnoteReference"/>
          <w:szCs w:val="22"/>
        </w:rPr>
        <w:footnoteReference w:id="14"/>
      </w:r>
      <w:r>
        <w:rPr>
          <w:szCs w:val="22"/>
        </w:rPr>
        <w:t xml:space="preserve">  Through that effort, in December, 2025, the Advanced Air Mobility Interagency </w:t>
      </w:r>
      <w:r>
        <w:rPr>
          <w:szCs w:val="22"/>
        </w:rPr>
        <w:t>Working Group released the Advanced Air Mobility National Strategy,</w:t>
      </w:r>
      <w:r>
        <w:rPr>
          <w:rStyle w:val="FootnoteReference"/>
          <w:szCs w:val="22"/>
        </w:rPr>
        <w:footnoteReference w:id="15"/>
      </w:r>
      <w:r>
        <w:rPr>
          <w:szCs w:val="22"/>
        </w:rPr>
        <w:t xml:space="preserve"> which recommends a number of actions the Federal government can take to develop U.S. AAM technologies and facilitate their rapid integration into the national airspace system.  Among other efforts, the strategy recognizes the need for modernization of communications, navigation and surveillance technology to enable future aviation operations, and recommends that the FCC, NTIA, FAA, and law enforcement and security agencies </w:t>
      </w:r>
      <w:r w:rsidRPr="00570932">
        <w:rPr>
          <w:szCs w:val="22"/>
        </w:rPr>
        <w:t>should collaborate with standards bodies and industry to evaluate the equipage and spectrum needs of the aviation industry</w:t>
      </w:r>
      <w:r>
        <w:rPr>
          <w:szCs w:val="22"/>
        </w:rPr>
        <w:t>.</w:t>
      </w:r>
      <w:r>
        <w:rPr>
          <w:rStyle w:val="FootnoteReference"/>
          <w:szCs w:val="22"/>
        </w:rPr>
        <w:footnoteReference w:id="16"/>
      </w:r>
      <w:r>
        <w:rPr>
          <w:szCs w:val="22"/>
        </w:rPr>
        <w:t xml:space="preserve">   </w:t>
      </w:r>
    </w:p>
    <w:p w:rsidR="00AF0BFB" w:rsidRPr="00DF034A" w:rsidP="00DF034A" w14:paraId="1F010841" w14:textId="77777777">
      <w:pPr>
        <w:ind w:firstLine="720"/>
        <w:rPr>
          <w:szCs w:val="22"/>
        </w:rPr>
      </w:pPr>
    </w:p>
    <w:p w:rsidR="006D017B" w:rsidRPr="00DF034A" w:rsidP="00DF034A" w14:paraId="19B9A508" w14:textId="69368E64">
      <w:pPr>
        <w:ind w:firstLine="720"/>
        <w:rPr>
          <w:szCs w:val="22"/>
        </w:rPr>
      </w:pPr>
      <w:r>
        <w:rPr>
          <w:szCs w:val="22"/>
        </w:rPr>
        <w:t>Relatedly</w:t>
      </w:r>
      <w:r w:rsidRPr="00DF034A">
        <w:rPr>
          <w:szCs w:val="22"/>
        </w:rPr>
        <w:t xml:space="preserve">, the Commission is currently considering </w:t>
      </w:r>
      <w:r w:rsidR="007111CA">
        <w:rPr>
          <w:szCs w:val="22"/>
        </w:rPr>
        <w:t>proposals to update</w:t>
      </w:r>
      <w:r w:rsidRPr="00DF034A">
        <w:rPr>
          <w:szCs w:val="22"/>
        </w:rPr>
        <w:t xml:space="preserve"> its rules to permit UAS</w:t>
      </w:r>
      <w:r w:rsidR="007D79E6">
        <w:rPr>
          <w:szCs w:val="22"/>
        </w:rPr>
        <w:t>, including AAM,</w:t>
      </w:r>
      <w:r w:rsidRPr="00DF034A">
        <w:rPr>
          <w:szCs w:val="22"/>
        </w:rPr>
        <w:t xml:space="preserve"> in specific frequency ranges.  One option under review is the 450 MHz band, pursuant to a rulemaking petition by AURA Networks to support long-range links and flexible use.  The 24 GHz band is also under consideration for radar and detection operations, enhancing situational awareness and public safety, as are millimeter-wave bands for payload data and non-critical communications over short ranges.</w:t>
      </w:r>
    </w:p>
    <w:p w:rsidR="005A67FF" w:rsidRPr="00DF034A" w:rsidP="00DF034A" w14:paraId="1315CB22" w14:textId="58F074DE">
      <w:pPr>
        <w:rPr>
          <w:szCs w:val="22"/>
        </w:rPr>
      </w:pPr>
    </w:p>
    <w:p w:rsidR="005A67FF" w:rsidRPr="00DF034A" w:rsidP="00D667D4" w14:paraId="1F86B8BF" w14:textId="723B648C">
      <w:pPr>
        <w:jc w:val="center"/>
        <w:rPr>
          <w:b/>
          <w:bCs/>
          <w:szCs w:val="22"/>
          <w:u w:val="single"/>
        </w:rPr>
      </w:pPr>
      <w:r w:rsidRPr="00DF034A">
        <w:rPr>
          <w:b/>
          <w:bCs/>
          <w:szCs w:val="22"/>
          <w:u w:val="single"/>
        </w:rPr>
        <w:t>DISCUSSION</w:t>
      </w:r>
    </w:p>
    <w:p w:rsidR="00DF61F6" w:rsidRPr="00DF034A" w:rsidP="00DF034A" w14:paraId="2412FE9B" w14:textId="77777777">
      <w:pPr>
        <w:rPr>
          <w:szCs w:val="22"/>
        </w:rPr>
      </w:pPr>
    </w:p>
    <w:p w:rsidR="00F90265" w:rsidRPr="00DF034A" w:rsidP="00DF034A" w14:paraId="2162014A" w14:textId="2C430EC8">
      <w:pPr>
        <w:ind w:firstLine="720"/>
        <w:rPr>
          <w:szCs w:val="22"/>
        </w:rPr>
      </w:pPr>
      <w:r>
        <w:rPr>
          <w:szCs w:val="22"/>
        </w:rPr>
        <w:t xml:space="preserve">The Commission </w:t>
      </w:r>
      <w:r w:rsidR="00CA2737">
        <w:rPr>
          <w:szCs w:val="22"/>
        </w:rPr>
        <w:t xml:space="preserve">intends to </w:t>
      </w:r>
      <w:r w:rsidR="0099146C">
        <w:rPr>
          <w:szCs w:val="22"/>
        </w:rPr>
        <w:t>give</w:t>
      </w:r>
      <w:r w:rsidR="00BF6BAA">
        <w:rPr>
          <w:szCs w:val="22"/>
        </w:rPr>
        <w:t xml:space="preserve"> </w:t>
      </w:r>
      <w:r>
        <w:rPr>
          <w:szCs w:val="22"/>
        </w:rPr>
        <w:t>U.S.</w:t>
      </w:r>
      <w:r w:rsidR="0049092E">
        <w:rPr>
          <w:szCs w:val="22"/>
        </w:rPr>
        <w:t xml:space="preserve"> </w:t>
      </w:r>
      <w:r w:rsidR="00BF6BAA">
        <w:rPr>
          <w:szCs w:val="22"/>
        </w:rPr>
        <w:t xml:space="preserve">innovators the resources and regulatory clarity </w:t>
      </w:r>
      <w:r w:rsidR="00CC11BD">
        <w:rPr>
          <w:szCs w:val="22"/>
        </w:rPr>
        <w:t xml:space="preserve">they need </w:t>
      </w:r>
      <w:r w:rsidR="00C70F3B">
        <w:rPr>
          <w:szCs w:val="22"/>
        </w:rPr>
        <w:t>to develop</w:t>
      </w:r>
      <w:r w:rsidR="00BF6BAA">
        <w:rPr>
          <w:szCs w:val="22"/>
        </w:rPr>
        <w:t xml:space="preserve"> a domestic </w:t>
      </w:r>
      <w:r w:rsidR="00C70F3B">
        <w:rPr>
          <w:szCs w:val="22"/>
        </w:rPr>
        <w:t xml:space="preserve">UAS </w:t>
      </w:r>
      <w:r w:rsidR="00BF6BAA">
        <w:rPr>
          <w:szCs w:val="22"/>
        </w:rPr>
        <w:t xml:space="preserve">ecosystem </w:t>
      </w:r>
      <w:r w:rsidR="00C70F3B">
        <w:rPr>
          <w:szCs w:val="22"/>
        </w:rPr>
        <w:t>for commercial and military applications</w:t>
      </w:r>
      <w:r w:rsidR="00BF6BAA">
        <w:rPr>
          <w:szCs w:val="22"/>
        </w:rPr>
        <w:t xml:space="preserve">.  </w:t>
      </w:r>
      <w:r w:rsidR="0049092E">
        <w:rPr>
          <w:szCs w:val="22"/>
        </w:rPr>
        <w:t>The</w:t>
      </w:r>
      <w:r w:rsidRPr="00DF034A">
        <w:rPr>
          <w:szCs w:val="22"/>
        </w:rPr>
        <w:t xml:space="preserve"> FCC’s recent update to the Covered List, prohibiting the authorization of almost all foreign-produced UAS and UAS critical components</w:t>
      </w:r>
      <w:r w:rsidR="00CC11BD">
        <w:rPr>
          <w:szCs w:val="22"/>
        </w:rPr>
        <w:t xml:space="preserve">, </w:t>
      </w:r>
      <w:r w:rsidR="00C70F3B">
        <w:rPr>
          <w:szCs w:val="22"/>
        </w:rPr>
        <w:t xml:space="preserve">reflects that national imperative.  </w:t>
      </w:r>
      <w:r w:rsidRPr="00DF034A" w:rsidR="004B5348">
        <w:rPr>
          <w:szCs w:val="22"/>
        </w:rPr>
        <w:t>We</w:t>
      </w:r>
      <w:r w:rsidR="002348FD">
        <w:rPr>
          <w:szCs w:val="22"/>
        </w:rPr>
        <w:t xml:space="preserve"> now</w:t>
      </w:r>
      <w:r w:rsidRPr="00DF034A" w:rsidR="004B5348">
        <w:rPr>
          <w:szCs w:val="22"/>
        </w:rPr>
        <w:t xml:space="preserve"> seek comment on </w:t>
      </w:r>
      <w:r w:rsidR="002348FD">
        <w:rPr>
          <w:szCs w:val="22"/>
        </w:rPr>
        <w:t>additional</w:t>
      </w:r>
      <w:r w:rsidRPr="00DF034A" w:rsidR="004B5348">
        <w:rPr>
          <w:szCs w:val="22"/>
        </w:rPr>
        <w:t xml:space="preserve"> means by which we </w:t>
      </w:r>
      <w:r w:rsidRPr="00DF034A" w:rsidR="003E4526">
        <w:rPr>
          <w:szCs w:val="22"/>
        </w:rPr>
        <w:t>can fulfill our public</w:t>
      </w:r>
      <w:r w:rsidR="00CC11BD">
        <w:rPr>
          <w:szCs w:val="22"/>
        </w:rPr>
        <w:t>-</w:t>
      </w:r>
      <w:r w:rsidRPr="00DF034A" w:rsidR="003E4526">
        <w:rPr>
          <w:szCs w:val="22"/>
        </w:rPr>
        <w:t xml:space="preserve">interest mandate and </w:t>
      </w:r>
      <w:r w:rsidR="00CD2C69">
        <w:rPr>
          <w:szCs w:val="22"/>
        </w:rPr>
        <w:t>achieve American drone dominance consistent with the</w:t>
      </w:r>
      <w:r w:rsidR="00CC11BD">
        <w:rPr>
          <w:szCs w:val="22"/>
        </w:rPr>
        <w:t xml:space="preserve"> </w:t>
      </w:r>
      <w:r w:rsidRPr="00DF034A" w:rsidR="003E4526">
        <w:rPr>
          <w:szCs w:val="22"/>
        </w:rPr>
        <w:t>directive</w:t>
      </w:r>
      <w:r w:rsidR="00CC11BD">
        <w:rPr>
          <w:szCs w:val="22"/>
        </w:rPr>
        <w:t>s set forth</w:t>
      </w:r>
      <w:r w:rsidRPr="00DF034A" w:rsidR="003E4526">
        <w:rPr>
          <w:szCs w:val="22"/>
        </w:rPr>
        <w:t xml:space="preserve"> in </w:t>
      </w:r>
      <w:r w:rsidR="00CC11BD">
        <w:rPr>
          <w:szCs w:val="22"/>
        </w:rPr>
        <w:t>President Trump’s recent EOs</w:t>
      </w:r>
      <w:r w:rsidRPr="00DF034A" w:rsidR="006D4532">
        <w:rPr>
          <w:szCs w:val="22"/>
        </w:rPr>
        <w:t xml:space="preserve">. </w:t>
      </w:r>
    </w:p>
    <w:p w:rsidR="00F90265" w:rsidRPr="002348FD" w:rsidP="00DF034A" w14:paraId="7FE36298" w14:textId="77777777">
      <w:pPr>
        <w:ind w:firstLine="720"/>
        <w:rPr>
          <w:szCs w:val="22"/>
        </w:rPr>
      </w:pPr>
    </w:p>
    <w:p w:rsidR="009A5B26" w:rsidRPr="00DF034A" w:rsidP="00DF034A" w14:paraId="50384813" w14:textId="2144626B">
      <w:pPr>
        <w:ind w:firstLine="720"/>
        <w:rPr>
          <w:szCs w:val="22"/>
        </w:rPr>
      </w:pPr>
      <w:r w:rsidRPr="00DF034A">
        <w:rPr>
          <w:b/>
          <w:bCs/>
          <w:i/>
          <w:iCs/>
          <w:szCs w:val="22"/>
        </w:rPr>
        <w:t xml:space="preserve">Modernizing UAS </w:t>
      </w:r>
      <w:r w:rsidRPr="00DF034A" w:rsidR="003C15D1">
        <w:rPr>
          <w:b/>
          <w:bCs/>
          <w:i/>
          <w:iCs/>
          <w:szCs w:val="22"/>
        </w:rPr>
        <w:t>Licensing</w:t>
      </w:r>
      <w:r w:rsidRPr="00DF034A">
        <w:rPr>
          <w:b/>
          <w:bCs/>
          <w:i/>
          <w:iCs/>
          <w:szCs w:val="22"/>
        </w:rPr>
        <w:t xml:space="preserve">.  </w:t>
      </w:r>
      <w:r w:rsidRPr="00DF034A">
        <w:rPr>
          <w:szCs w:val="22"/>
        </w:rPr>
        <w:t xml:space="preserve">Today, the FCC’s experimental licensing framework—while foundational to U.S. technological leadership—was not designed with the scale, pace, and complexity of modern </w:t>
      </w:r>
      <w:r w:rsidR="009A222E">
        <w:rPr>
          <w:szCs w:val="22"/>
        </w:rPr>
        <w:t>UAS</w:t>
      </w:r>
      <w:r w:rsidRPr="00DF034A">
        <w:rPr>
          <w:szCs w:val="22"/>
        </w:rPr>
        <w:t xml:space="preserve"> in mind. </w:t>
      </w:r>
      <w:r w:rsidRPr="00DF034A" w:rsidR="008666B5">
        <w:rPr>
          <w:szCs w:val="22"/>
        </w:rPr>
        <w:t xml:space="preserve"> </w:t>
      </w:r>
      <w:r w:rsidRPr="00DF034A">
        <w:rPr>
          <w:szCs w:val="22"/>
        </w:rPr>
        <w:t xml:space="preserve">Experimental licenses are currently available through OET to facilitate research, development, and testing of new radio technologies. </w:t>
      </w:r>
      <w:r w:rsidRPr="00DF034A" w:rsidR="008666B5">
        <w:rPr>
          <w:szCs w:val="22"/>
        </w:rPr>
        <w:t xml:space="preserve"> </w:t>
      </w:r>
      <w:r w:rsidRPr="00DF034A">
        <w:rPr>
          <w:szCs w:val="22"/>
        </w:rPr>
        <w:t>However, the current process can be time-consuming, geographically limited, and administratively burdensome for developers seeking to test emerging UAS capabilities, particularly those that rely on multiple frequency bands, mobile operations, or beyond visual line of sight (BVLOS) communications. These constraints can slow innovation and disadvantage U.S. firms attempting to compete globally in the fast-evolving drone sector.</w:t>
      </w:r>
    </w:p>
    <w:p w:rsidR="009A5B26" w:rsidRPr="00DF034A" w:rsidP="00DF034A" w14:paraId="1A31F14C" w14:textId="77777777">
      <w:pPr>
        <w:ind w:firstLine="720"/>
        <w:rPr>
          <w:szCs w:val="22"/>
        </w:rPr>
      </w:pPr>
    </w:p>
    <w:p w:rsidR="009A5B26" w:rsidRPr="00DF034A" w:rsidP="00DF034A" w14:paraId="0902B5C6" w14:textId="08822D20">
      <w:pPr>
        <w:ind w:firstLine="720"/>
        <w:rPr>
          <w:szCs w:val="22"/>
        </w:rPr>
      </w:pPr>
      <w:r w:rsidRPr="00DF034A">
        <w:rPr>
          <w:szCs w:val="22"/>
        </w:rPr>
        <w:t xml:space="preserve">We seek comment on ways to modernize and streamline the experimental licensing process specifically for UAS-related testing. </w:t>
      </w:r>
      <w:r w:rsidR="009A222E">
        <w:rPr>
          <w:szCs w:val="22"/>
        </w:rPr>
        <w:t xml:space="preserve"> </w:t>
      </w:r>
      <w:r w:rsidRPr="00DF034A">
        <w:rPr>
          <w:szCs w:val="22"/>
        </w:rPr>
        <w:t xml:space="preserve">Should the Commission consider establishing a dedicated UAS experimental license category with flexible terms tailored to drone developers, including longer durations, broader geographic coverage, or expedited renewals? </w:t>
      </w:r>
      <w:r w:rsidR="009A222E">
        <w:rPr>
          <w:szCs w:val="22"/>
        </w:rPr>
        <w:t xml:space="preserve"> </w:t>
      </w:r>
      <w:r w:rsidRPr="00DF034A">
        <w:rPr>
          <w:szCs w:val="22"/>
        </w:rPr>
        <w:t>Would a tiered licensing structure—</w:t>
      </w:r>
      <w:r w:rsidR="00921B76">
        <w:rPr>
          <w:szCs w:val="22"/>
        </w:rPr>
        <w:t xml:space="preserve">e.g., </w:t>
      </w:r>
      <w:r w:rsidRPr="00DF034A">
        <w:rPr>
          <w:szCs w:val="22"/>
        </w:rPr>
        <w:t xml:space="preserve">differentiating between academic, commercial prototype, and production-scale testing—improve regulatory predictability and reduce administrative burdens? </w:t>
      </w:r>
      <w:r w:rsidR="009A222E">
        <w:rPr>
          <w:szCs w:val="22"/>
        </w:rPr>
        <w:t xml:space="preserve"> </w:t>
      </w:r>
      <w:r w:rsidRPr="00DF034A">
        <w:rPr>
          <w:szCs w:val="22"/>
        </w:rPr>
        <w:t>We also seek comment on whether the Commission should implement pre-cleared test ranges or corridors (in coordination with FAA and NTIA) where licensees could conduct UAS experiments with reduced paperwork and faster approvals.</w:t>
      </w:r>
    </w:p>
    <w:p w:rsidR="009A5B26" w:rsidRPr="00DF034A" w:rsidP="00DF034A" w14:paraId="48041325" w14:textId="77777777">
      <w:pPr>
        <w:ind w:firstLine="720"/>
        <w:rPr>
          <w:szCs w:val="22"/>
        </w:rPr>
      </w:pPr>
    </w:p>
    <w:p w:rsidR="009A5B26" w:rsidRPr="00DF034A" w:rsidP="00DF034A" w14:paraId="5F5F3E58" w14:textId="66C70BFB">
      <w:pPr>
        <w:ind w:firstLine="720"/>
        <w:rPr>
          <w:szCs w:val="22"/>
        </w:rPr>
      </w:pPr>
      <w:r w:rsidRPr="00DF034A">
        <w:rPr>
          <w:szCs w:val="22"/>
        </w:rPr>
        <w:t xml:space="preserve">We further seek comment on whether the Commission should explore a blanket experimental authorization for qualified drone developers operating within specified frequency bands and safety parameters. Would a modular “plug-and-play” approach—where applicants can select from a set of pre-approved use cases, frequency bands, and technical standards—streamline approvals while preserving necessary safeguards against </w:t>
      </w:r>
      <w:r w:rsidR="00A67B6C">
        <w:rPr>
          <w:szCs w:val="22"/>
        </w:rPr>
        <w:t xml:space="preserve">harmful </w:t>
      </w:r>
      <w:r w:rsidRPr="00DF034A">
        <w:rPr>
          <w:szCs w:val="22"/>
        </w:rPr>
        <w:t>interference? Should the Commission also allow more flexible use of temporary and special temporary authority (STA) grants for UAS innovation, particularly in support of public-private testbeds and emerging drone corridors?</w:t>
      </w:r>
    </w:p>
    <w:p w:rsidR="002150EC" w:rsidRPr="00DF034A" w:rsidP="00DF034A" w14:paraId="75AFA25D" w14:textId="77777777">
      <w:pPr>
        <w:ind w:firstLine="720"/>
        <w:rPr>
          <w:szCs w:val="22"/>
        </w:rPr>
      </w:pPr>
    </w:p>
    <w:p w:rsidR="005A7F86" w:rsidRPr="00DF034A" w:rsidP="00DF034A" w14:paraId="3989F4FF" w14:textId="3BE97826">
      <w:pPr>
        <w:ind w:firstLine="720"/>
        <w:rPr>
          <w:szCs w:val="22"/>
        </w:rPr>
      </w:pPr>
      <w:r w:rsidRPr="00DF034A">
        <w:rPr>
          <w:szCs w:val="22"/>
        </w:rPr>
        <w:t xml:space="preserve">Finally, we seek comment on the utility of our Part 5 experimental licensing rules for the testing of certain Counter-UAS technologies under controlled conditions.  Our current rules limit Counter-UAS to research and development purposes—not for operational mitigation or enforcement.  Do these restrictions unduly inhibit commercial development of Counter-UAS?  Commenters are invited to propose reforms that might address such limitations, to the extent they exist.  </w:t>
      </w:r>
    </w:p>
    <w:p w:rsidR="00DF61F6" w:rsidRPr="00DF034A" w:rsidP="00DF034A" w14:paraId="7555C326" w14:textId="77777777">
      <w:pPr>
        <w:rPr>
          <w:szCs w:val="22"/>
        </w:rPr>
      </w:pPr>
    </w:p>
    <w:p w:rsidR="00BB30B9" w:rsidRPr="00DF034A" w:rsidP="00DF034A" w14:paraId="531B90C7" w14:textId="101D451D">
      <w:pPr>
        <w:ind w:firstLine="720"/>
        <w:rPr>
          <w:szCs w:val="22"/>
        </w:rPr>
      </w:pPr>
      <w:r>
        <w:rPr>
          <w:b/>
          <w:bCs/>
          <w:i/>
          <w:iCs/>
          <w:szCs w:val="22"/>
        </w:rPr>
        <w:t xml:space="preserve">Releasing </w:t>
      </w:r>
      <w:r w:rsidRPr="00DF034A" w:rsidR="00486687">
        <w:rPr>
          <w:b/>
          <w:bCs/>
          <w:i/>
          <w:iCs/>
          <w:szCs w:val="22"/>
        </w:rPr>
        <w:t>More</w:t>
      </w:r>
      <w:r w:rsidRPr="00DF034A" w:rsidR="00DF61F6">
        <w:rPr>
          <w:b/>
          <w:bCs/>
          <w:i/>
          <w:iCs/>
          <w:szCs w:val="22"/>
        </w:rPr>
        <w:t xml:space="preserve"> </w:t>
      </w:r>
      <w:r w:rsidRPr="00DF034A" w:rsidR="00C96A63">
        <w:rPr>
          <w:b/>
          <w:bCs/>
          <w:i/>
          <w:iCs/>
          <w:szCs w:val="22"/>
        </w:rPr>
        <w:t>Spectrum for UAS</w:t>
      </w:r>
      <w:r w:rsidRPr="00DF034A" w:rsidR="00DF61F6">
        <w:rPr>
          <w:b/>
          <w:bCs/>
          <w:i/>
          <w:iCs/>
          <w:szCs w:val="22"/>
        </w:rPr>
        <w:t xml:space="preserve">.  </w:t>
      </w:r>
      <w:r w:rsidRPr="00DF034A">
        <w:rPr>
          <w:szCs w:val="22"/>
        </w:rPr>
        <w:t>We seek comment on any and all</w:t>
      </w:r>
      <w:r w:rsidRPr="00DF034A" w:rsidR="00AE728B">
        <w:rPr>
          <w:szCs w:val="22"/>
        </w:rPr>
        <w:t xml:space="preserve"> non-Federal</w:t>
      </w:r>
      <w:r w:rsidRPr="00DF034A">
        <w:rPr>
          <w:szCs w:val="22"/>
        </w:rPr>
        <w:t xml:space="preserve"> spectrum resources </w:t>
      </w:r>
      <w:r w:rsidRPr="00DF034A" w:rsidR="00AE728B">
        <w:rPr>
          <w:szCs w:val="22"/>
        </w:rPr>
        <w:t xml:space="preserve">commenters believe are </w:t>
      </w:r>
      <w:r w:rsidRPr="00DF034A">
        <w:rPr>
          <w:szCs w:val="22"/>
        </w:rPr>
        <w:t xml:space="preserve">necessary to achieve </w:t>
      </w:r>
      <w:r w:rsidR="009A222E">
        <w:rPr>
          <w:szCs w:val="22"/>
        </w:rPr>
        <w:t xml:space="preserve">American </w:t>
      </w:r>
      <w:r w:rsidRPr="00DF034A">
        <w:rPr>
          <w:szCs w:val="22"/>
        </w:rPr>
        <w:t xml:space="preserve">drone dominance.  </w:t>
      </w:r>
    </w:p>
    <w:p w:rsidR="00BB30B9" w:rsidRPr="00DF034A" w:rsidP="00DF034A" w14:paraId="445C4209" w14:textId="77777777">
      <w:pPr>
        <w:ind w:firstLine="720"/>
        <w:rPr>
          <w:b/>
          <w:bCs/>
          <w:szCs w:val="22"/>
        </w:rPr>
      </w:pPr>
    </w:p>
    <w:p w:rsidR="00866EA0" w:rsidP="00DF034A" w14:paraId="6F410E73" w14:textId="3BD35117">
      <w:pPr>
        <w:ind w:firstLine="720"/>
        <w:rPr>
          <w:szCs w:val="22"/>
        </w:rPr>
      </w:pPr>
      <w:r w:rsidRPr="00DF034A">
        <w:rPr>
          <w:szCs w:val="22"/>
        </w:rPr>
        <w:t>As an initial matter, we seek comment on permitting more intensive UAS operations in flexible-use terrestrial bands</w:t>
      </w:r>
      <w:r w:rsidRPr="00DF034A" w:rsidR="004D2AFE">
        <w:rPr>
          <w:szCs w:val="22"/>
        </w:rPr>
        <w:t xml:space="preserve"> typically </w:t>
      </w:r>
      <w:r w:rsidR="00AD7A3A">
        <w:rPr>
          <w:szCs w:val="22"/>
        </w:rPr>
        <w:t>relied upon</w:t>
      </w:r>
      <w:r w:rsidRPr="00DF034A" w:rsidR="004D2AFE">
        <w:rPr>
          <w:szCs w:val="22"/>
        </w:rPr>
        <w:t xml:space="preserve"> for mobile broadband</w:t>
      </w:r>
      <w:r w:rsidRPr="00DF034A">
        <w:rPr>
          <w:szCs w:val="22"/>
        </w:rPr>
        <w:t xml:space="preserve">.  </w:t>
      </w:r>
      <w:r w:rsidRPr="00DF034A" w:rsidR="003A4E5F">
        <w:rPr>
          <w:szCs w:val="22"/>
        </w:rPr>
        <w:t>Some commercial drones and advanced operators have used licensed commercial wireless networks (such as LTE/4G/5G) where permitted, especially for non-safety-critical payload data or in areas where FCC rules do not restrict airborne use of those bands.</w:t>
      </w:r>
      <w:r w:rsidR="00AD7A3A">
        <w:rPr>
          <w:szCs w:val="22"/>
        </w:rPr>
        <w:t xml:space="preserve">  We seek comment on the scope and scale of UAS deployment over licensed flexible-use bands </w:t>
      </w:r>
      <w:r w:rsidR="000B5417">
        <w:rPr>
          <w:szCs w:val="22"/>
        </w:rPr>
        <w:t xml:space="preserve">today </w:t>
      </w:r>
      <w:r w:rsidR="00AD7A3A">
        <w:rPr>
          <w:szCs w:val="22"/>
        </w:rPr>
        <w:t>and the extent to which these bands can support more intensive a</w:t>
      </w:r>
      <w:r w:rsidR="00F04FF5">
        <w:rPr>
          <w:szCs w:val="22"/>
        </w:rPr>
        <w:t>e</w:t>
      </w:r>
      <w:r w:rsidR="00AD7A3A">
        <w:rPr>
          <w:szCs w:val="22"/>
        </w:rPr>
        <w:t xml:space="preserve">rial operations.  </w:t>
      </w:r>
      <w:r w:rsidRPr="00DF034A" w:rsidR="003A4E5F">
        <w:rPr>
          <w:szCs w:val="22"/>
        </w:rPr>
        <w:t xml:space="preserve">  </w:t>
      </w:r>
    </w:p>
    <w:p w:rsidR="00866EA0" w:rsidP="00DF034A" w14:paraId="408B9348" w14:textId="77777777">
      <w:pPr>
        <w:ind w:firstLine="720"/>
        <w:rPr>
          <w:szCs w:val="22"/>
        </w:rPr>
      </w:pPr>
    </w:p>
    <w:p w:rsidR="004D2AFE" w:rsidRPr="00DF034A" w:rsidP="00DF034A" w14:paraId="6F7149FB" w14:textId="2EE12F3E">
      <w:pPr>
        <w:ind w:firstLine="720"/>
        <w:rPr>
          <w:szCs w:val="22"/>
        </w:rPr>
      </w:pPr>
      <w:r>
        <w:rPr>
          <w:szCs w:val="22"/>
        </w:rPr>
        <w:t xml:space="preserve">At the same time, </w:t>
      </w:r>
      <w:r w:rsidR="000D0AFA">
        <w:rPr>
          <w:szCs w:val="22"/>
        </w:rPr>
        <w:t xml:space="preserve">the operation of </w:t>
      </w:r>
      <w:r w:rsidR="00866EA0">
        <w:rPr>
          <w:szCs w:val="22"/>
        </w:rPr>
        <w:t xml:space="preserve">UAS </w:t>
      </w:r>
      <w:r>
        <w:rPr>
          <w:szCs w:val="22"/>
        </w:rPr>
        <w:t xml:space="preserve">remains </w:t>
      </w:r>
      <w:r w:rsidR="00E87A20">
        <w:rPr>
          <w:szCs w:val="22"/>
        </w:rPr>
        <w:t>prohibited</w:t>
      </w:r>
      <w:r>
        <w:rPr>
          <w:szCs w:val="22"/>
        </w:rPr>
        <w:t xml:space="preserve"> </w:t>
      </w:r>
      <w:r w:rsidR="00866EA0">
        <w:rPr>
          <w:szCs w:val="22"/>
        </w:rPr>
        <w:t xml:space="preserve">in </w:t>
      </w:r>
      <w:r w:rsidR="00AD7A3A">
        <w:rPr>
          <w:szCs w:val="22"/>
        </w:rPr>
        <w:t xml:space="preserve">many </w:t>
      </w:r>
      <w:r w:rsidR="00866EA0">
        <w:rPr>
          <w:szCs w:val="22"/>
        </w:rPr>
        <w:t>flexible-use bands</w:t>
      </w:r>
      <w:r w:rsidRPr="00DF034A" w:rsidR="00531A36">
        <w:rPr>
          <w:szCs w:val="22"/>
        </w:rPr>
        <w:t xml:space="preserve">.  For example, </w:t>
      </w:r>
      <w:r w:rsidRPr="00DF034A" w:rsidR="003A4E5F">
        <w:rPr>
          <w:szCs w:val="22"/>
        </w:rPr>
        <w:t xml:space="preserve">Parts 22 and 96 explicitly </w:t>
      </w:r>
      <w:r w:rsidR="00E87A20">
        <w:rPr>
          <w:szCs w:val="22"/>
        </w:rPr>
        <w:t>bar</w:t>
      </w:r>
      <w:r w:rsidRPr="00DF034A" w:rsidR="003A4E5F">
        <w:rPr>
          <w:szCs w:val="22"/>
        </w:rPr>
        <w:t xml:space="preserve"> airborne use of Cellular Radiotelephone Service and CBRS spectrum</w:t>
      </w:r>
      <w:r w:rsidR="005027F6">
        <w:rPr>
          <w:szCs w:val="22"/>
        </w:rPr>
        <w:t xml:space="preserve">, </w:t>
      </w:r>
      <w:r w:rsidR="00386ED9">
        <w:rPr>
          <w:szCs w:val="22"/>
        </w:rPr>
        <w:t xml:space="preserve">respectively, </w:t>
      </w:r>
      <w:r w:rsidR="005027F6">
        <w:rPr>
          <w:szCs w:val="22"/>
        </w:rPr>
        <w:t>whereas</w:t>
      </w:r>
      <w:r w:rsidRPr="00DF034A" w:rsidR="003A4E5F">
        <w:rPr>
          <w:szCs w:val="22"/>
        </w:rPr>
        <w:t xml:space="preserve"> the Table of Frequency Allocations prohibits aeronautical mobile use for several other spectrum bands, including all or portions of the 1670-1675 MHz, 1.4 GHz, 2.3 GHz, and 3.7 GHz bands</w:t>
      </w:r>
      <w:r w:rsidRPr="00DF034A" w:rsidR="00531A36">
        <w:rPr>
          <w:szCs w:val="22"/>
        </w:rPr>
        <w:t xml:space="preserve">.  </w:t>
      </w:r>
      <w:r w:rsidR="00866EA0">
        <w:rPr>
          <w:szCs w:val="22"/>
        </w:rPr>
        <w:t>As one specific example, while</w:t>
      </w:r>
      <w:r w:rsidRPr="00DF034A" w:rsidR="003A4E5F">
        <w:rPr>
          <w:szCs w:val="22"/>
        </w:rPr>
        <w:t xml:space="preserve"> CBRS can technically support private LTE/5G networks for drones, airborne use is currently prohibited under Part 96 rules. </w:t>
      </w:r>
      <w:r w:rsidRPr="00DF034A" w:rsidR="00531A36">
        <w:rPr>
          <w:szCs w:val="22"/>
        </w:rPr>
        <w:t xml:space="preserve"> </w:t>
      </w:r>
      <w:r w:rsidRPr="00DF034A" w:rsidR="003A4E5F">
        <w:rPr>
          <w:szCs w:val="22"/>
        </w:rPr>
        <w:t>Despite this, some operators use CBRS for ground-based infrastructure supporting drone operations.</w:t>
      </w:r>
      <w:r w:rsidRPr="00DF034A" w:rsidR="00531A36">
        <w:rPr>
          <w:szCs w:val="22"/>
        </w:rPr>
        <w:t xml:space="preserve"> </w:t>
      </w:r>
      <w:r w:rsidR="004521BC">
        <w:rPr>
          <w:szCs w:val="22"/>
        </w:rPr>
        <w:t xml:space="preserve"> </w:t>
      </w:r>
      <w:r w:rsidRPr="00DF034A">
        <w:rPr>
          <w:szCs w:val="22"/>
        </w:rPr>
        <w:t xml:space="preserve">We seek comment on the viability of these bands for UAS, including interference and coordination </w:t>
      </w:r>
      <w:r w:rsidR="005027F6">
        <w:rPr>
          <w:szCs w:val="22"/>
        </w:rPr>
        <w:t>challenges to greater a</w:t>
      </w:r>
      <w:r w:rsidR="0040667E">
        <w:rPr>
          <w:szCs w:val="22"/>
        </w:rPr>
        <w:t>e</w:t>
      </w:r>
      <w:r w:rsidR="005027F6">
        <w:rPr>
          <w:szCs w:val="22"/>
        </w:rPr>
        <w:t>rial flexibility</w:t>
      </w:r>
      <w:r w:rsidRPr="00DF034A">
        <w:rPr>
          <w:szCs w:val="22"/>
        </w:rPr>
        <w:t xml:space="preserve">.  </w:t>
      </w:r>
    </w:p>
    <w:p w:rsidR="004D2AFE" w:rsidRPr="00DF034A" w:rsidP="00DF034A" w14:paraId="5ED8EA29" w14:textId="77777777">
      <w:pPr>
        <w:ind w:firstLine="720"/>
        <w:rPr>
          <w:szCs w:val="22"/>
        </w:rPr>
      </w:pPr>
    </w:p>
    <w:p w:rsidR="00EB784B" w:rsidRPr="00DF034A" w:rsidP="00DF034A" w14:paraId="2B07E059" w14:textId="0A611530">
      <w:pPr>
        <w:ind w:firstLine="720"/>
        <w:rPr>
          <w:szCs w:val="22"/>
        </w:rPr>
      </w:pPr>
      <w:r w:rsidRPr="00DF034A">
        <w:rPr>
          <w:szCs w:val="22"/>
        </w:rPr>
        <w:t xml:space="preserve">We note that the Commission </w:t>
      </w:r>
      <w:r w:rsidR="00ED6833">
        <w:rPr>
          <w:szCs w:val="22"/>
        </w:rPr>
        <w:t xml:space="preserve">has </w:t>
      </w:r>
      <w:r w:rsidRPr="00DF034A" w:rsidR="005F42E4">
        <w:rPr>
          <w:szCs w:val="22"/>
        </w:rPr>
        <w:t>previously</w:t>
      </w:r>
      <w:r w:rsidRPr="00DF034A" w:rsidR="006D017B">
        <w:rPr>
          <w:szCs w:val="22"/>
        </w:rPr>
        <w:t xml:space="preserve"> considered</w:t>
      </w:r>
      <w:r w:rsidR="00866EA0">
        <w:rPr>
          <w:szCs w:val="22"/>
        </w:rPr>
        <w:t xml:space="preserve"> </w:t>
      </w:r>
      <w:r w:rsidR="00ED6833">
        <w:rPr>
          <w:szCs w:val="22"/>
        </w:rPr>
        <w:t>some of these bands for UAS</w:t>
      </w:r>
      <w:r w:rsidRPr="00DF034A" w:rsidR="005F42E4">
        <w:rPr>
          <w:szCs w:val="22"/>
        </w:rPr>
        <w:t xml:space="preserve">.  </w:t>
      </w:r>
      <w:r w:rsidRPr="00DF034A">
        <w:rPr>
          <w:szCs w:val="22"/>
        </w:rPr>
        <w:t>In 2023</w:t>
      </w:r>
      <w:r w:rsidR="00866EA0">
        <w:rPr>
          <w:szCs w:val="22"/>
        </w:rPr>
        <w:t xml:space="preserve">, </w:t>
      </w:r>
      <w:r w:rsidR="00332D18">
        <w:rPr>
          <w:szCs w:val="22"/>
        </w:rPr>
        <w:t>the Commission</w:t>
      </w:r>
      <w:r w:rsidR="00866EA0">
        <w:rPr>
          <w:szCs w:val="22"/>
        </w:rPr>
        <w:t xml:space="preserve"> </w:t>
      </w:r>
      <w:r w:rsidRPr="00DF034A">
        <w:rPr>
          <w:szCs w:val="22"/>
        </w:rPr>
        <w:t>sought comment on a range of issues related to UAS operation</w:t>
      </w:r>
      <w:r w:rsidRPr="00DF034A" w:rsidR="000E5C67">
        <w:rPr>
          <w:szCs w:val="22"/>
        </w:rPr>
        <w:t>s</w:t>
      </w:r>
      <w:r w:rsidRPr="00DF034A">
        <w:rPr>
          <w:szCs w:val="22"/>
        </w:rPr>
        <w:t xml:space="preserve"> in flexible</w:t>
      </w:r>
      <w:r w:rsidRPr="00DF034A" w:rsidR="00AE728B">
        <w:rPr>
          <w:szCs w:val="22"/>
        </w:rPr>
        <w:t>-</w:t>
      </w:r>
      <w:r w:rsidRPr="00DF034A">
        <w:rPr>
          <w:szCs w:val="22"/>
        </w:rPr>
        <w:t>use bands.</w:t>
      </w:r>
      <w:r>
        <w:rPr>
          <w:rStyle w:val="FootnoteReference"/>
          <w:szCs w:val="22"/>
        </w:rPr>
        <w:footnoteReference w:id="17"/>
      </w:r>
      <w:r w:rsidRPr="00DF034A">
        <w:rPr>
          <w:szCs w:val="22"/>
        </w:rPr>
        <w:t xml:space="preserve">  </w:t>
      </w:r>
      <w:r w:rsidR="00761142">
        <w:rPr>
          <w:szCs w:val="22"/>
        </w:rPr>
        <w:t>Its</w:t>
      </w:r>
      <w:r w:rsidRPr="00DF034A">
        <w:rPr>
          <w:szCs w:val="22"/>
        </w:rPr>
        <w:t xml:space="preserve"> subsequent </w:t>
      </w:r>
      <w:r w:rsidRPr="00DF034A" w:rsidR="00352A44">
        <w:rPr>
          <w:szCs w:val="22"/>
        </w:rPr>
        <w:t>2024 decision</w:t>
      </w:r>
      <w:r w:rsidRPr="00DF034A">
        <w:rPr>
          <w:szCs w:val="22"/>
        </w:rPr>
        <w:t xml:space="preserve"> in that proceeding did not </w:t>
      </w:r>
      <w:r w:rsidR="00866EA0">
        <w:rPr>
          <w:szCs w:val="22"/>
        </w:rPr>
        <w:t>resolve</w:t>
      </w:r>
      <w:r w:rsidRPr="00DF034A">
        <w:rPr>
          <w:szCs w:val="22"/>
        </w:rPr>
        <w:t xml:space="preserve"> those issues.  </w:t>
      </w:r>
      <w:r w:rsidRPr="00DF034A" w:rsidR="00352A44">
        <w:rPr>
          <w:szCs w:val="22"/>
        </w:rPr>
        <w:t xml:space="preserve">We therefore seek comment and refresh the record on issues </w:t>
      </w:r>
      <w:r w:rsidR="0090597F">
        <w:rPr>
          <w:szCs w:val="22"/>
        </w:rPr>
        <w:t xml:space="preserve">that were </w:t>
      </w:r>
      <w:r w:rsidRPr="00DF034A" w:rsidR="00352A44">
        <w:rPr>
          <w:szCs w:val="22"/>
        </w:rPr>
        <w:t>raised initially in 2023</w:t>
      </w:r>
      <w:r w:rsidRPr="00DF034A" w:rsidR="00C96A63">
        <w:rPr>
          <w:szCs w:val="22"/>
        </w:rPr>
        <w:t xml:space="preserve"> but were not subsequently resolved</w:t>
      </w:r>
      <w:r w:rsidRPr="00DF034A" w:rsidR="00112089">
        <w:rPr>
          <w:szCs w:val="22"/>
        </w:rPr>
        <w:t xml:space="preserve">.  </w:t>
      </w:r>
      <w:r w:rsidRPr="00DF034A">
        <w:rPr>
          <w:szCs w:val="22"/>
        </w:rPr>
        <w:t>Should we r</w:t>
      </w:r>
      <w:r w:rsidRPr="00DF034A">
        <w:rPr>
          <w:szCs w:val="22"/>
        </w:rPr>
        <w:t>emov</w:t>
      </w:r>
      <w:r w:rsidR="00AB42C3">
        <w:rPr>
          <w:szCs w:val="22"/>
        </w:rPr>
        <w:t>e</w:t>
      </w:r>
      <w:r w:rsidRPr="00DF034A">
        <w:rPr>
          <w:szCs w:val="22"/>
        </w:rPr>
        <w:t xml:space="preserve"> or relax</w:t>
      </w:r>
      <w:r w:rsidRPr="00DF034A">
        <w:rPr>
          <w:szCs w:val="22"/>
        </w:rPr>
        <w:t xml:space="preserve"> remaining airborne restrictions in bands like 800 MHz Cellular</w:t>
      </w:r>
      <w:r w:rsidRPr="00DF034A">
        <w:rPr>
          <w:szCs w:val="22"/>
        </w:rPr>
        <w:t xml:space="preserve">?  To that end, should we make </w:t>
      </w:r>
      <w:r w:rsidRPr="00DF034A">
        <w:rPr>
          <w:szCs w:val="22"/>
        </w:rPr>
        <w:t xml:space="preserve">a finding </w:t>
      </w:r>
      <w:r w:rsidRPr="00DF034A" w:rsidR="00352A44">
        <w:rPr>
          <w:szCs w:val="22"/>
        </w:rPr>
        <w:t>about</w:t>
      </w:r>
      <w:r w:rsidRPr="00DF034A">
        <w:rPr>
          <w:szCs w:val="22"/>
        </w:rPr>
        <w:t xml:space="preserve"> the need for rules or best practices to avoid in-band interference</w:t>
      </w:r>
      <w:r w:rsidRPr="00DF034A" w:rsidR="005F42E4">
        <w:rPr>
          <w:szCs w:val="22"/>
        </w:rPr>
        <w:t>?</w:t>
      </w:r>
      <w:r w:rsidRPr="00DF034A">
        <w:rPr>
          <w:szCs w:val="22"/>
        </w:rPr>
        <w:t xml:space="preserve"> </w:t>
      </w:r>
      <w:r w:rsidRPr="00DF034A" w:rsidR="005F42E4">
        <w:rPr>
          <w:szCs w:val="22"/>
        </w:rPr>
        <w:t xml:space="preserve"> Are</w:t>
      </w:r>
      <w:r w:rsidRPr="00DF034A">
        <w:rPr>
          <w:szCs w:val="22"/>
        </w:rPr>
        <w:t xml:space="preserve"> existing rules </w:t>
      </w:r>
      <w:r w:rsidRPr="00DF034A" w:rsidR="005F42E4">
        <w:rPr>
          <w:szCs w:val="22"/>
        </w:rPr>
        <w:t>appropriate</w:t>
      </w:r>
      <w:r w:rsidRPr="00DF034A">
        <w:rPr>
          <w:szCs w:val="22"/>
        </w:rPr>
        <w:t xml:space="preserve"> to protect terrestrial operations </w:t>
      </w:r>
      <w:r w:rsidR="005027F6">
        <w:rPr>
          <w:szCs w:val="22"/>
        </w:rPr>
        <w:t xml:space="preserve">from </w:t>
      </w:r>
      <w:r w:rsidRPr="00DF034A">
        <w:rPr>
          <w:szCs w:val="22"/>
        </w:rPr>
        <w:t>a large number of potentially high</w:t>
      </w:r>
      <w:r w:rsidR="005027F6">
        <w:rPr>
          <w:szCs w:val="22"/>
        </w:rPr>
        <w:t>-</w:t>
      </w:r>
      <w:r w:rsidRPr="00DF034A">
        <w:rPr>
          <w:szCs w:val="22"/>
        </w:rPr>
        <w:t>speed airborne transmitters</w:t>
      </w:r>
      <w:r w:rsidRPr="00DF034A">
        <w:rPr>
          <w:szCs w:val="22"/>
        </w:rPr>
        <w:t>?</w:t>
      </w:r>
      <w:r w:rsidRPr="00DF034A" w:rsidR="005F42E4">
        <w:rPr>
          <w:szCs w:val="22"/>
        </w:rPr>
        <w:t xml:space="preserve">  If not, what </w:t>
      </w:r>
      <w:r w:rsidR="005027F6">
        <w:rPr>
          <w:szCs w:val="22"/>
        </w:rPr>
        <w:t>protections</w:t>
      </w:r>
      <w:r w:rsidRPr="00DF034A" w:rsidR="005F42E4">
        <w:rPr>
          <w:szCs w:val="22"/>
        </w:rPr>
        <w:t xml:space="preserve"> </w:t>
      </w:r>
      <w:r w:rsidR="005027F6">
        <w:rPr>
          <w:szCs w:val="22"/>
        </w:rPr>
        <w:t>might</w:t>
      </w:r>
      <w:r w:rsidRPr="00DF034A" w:rsidR="005F42E4">
        <w:rPr>
          <w:szCs w:val="22"/>
        </w:rPr>
        <w:t xml:space="preserve"> we consider?  </w:t>
      </w:r>
      <w:r w:rsidRPr="00DF034A">
        <w:rPr>
          <w:szCs w:val="22"/>
        </w:rPr>
        <w:t xml:space="preserve">Alternatively, would it be advisable for the Commission to provide more certainty about the limits (or lack thereof) of carriers’ spectrum rights in vertical space?  Finally, </w:t>
      </w:r>
      <w:r w:rsidRPr="00DF034A" w:rsidR="00FF38B2">
        <w:rPr>
          <w:szCs w:val="22"/>
        </w:rPr>
        <w:t xml:space="preserve">should the Commission </w:t>
      </w:r>
      <w:r w:rsidR="00FF38B2">
        <w:rPr>
          <w:szCs w:val="22"/>
        </w:rPr>
        <w:t xml:space="preserve">permit </w:t>
      </w:r>
      <w:r w:rsidRPr="00DF034A" w:rsidR="00FF38B2">
        <w:rPr>
          <w:szCs w:val="22"/>
        </w:rPr>
        <w:t xml:space="preserve">UAS </w:t>
      </w:r>
      <w:r w:rsidR="00FF38B2">
        <w:rPr>
          <w:szCs w:val="22"/>
        </w:rPr>
        <w:t xml:space="preserve">pilots on the ground to obtain licenses </w:t>
      </w:r>
      <w:r w:rsidRPr="00DF034A" w:rsidR="00FF38B2">
        <w:rPr>
          <w:szCs w:val="22"/>
        </w:rPr>
        <w:t>in the aeronautical VHF band (117.975-137 MHz)</w:t>
      </w:r>
      <w:r w:rsidR="00FF38B2">
        <w:rPr>
          <w:szCs w:val="22"/>
        </w:rPr>
        <w:t xml:space="preserve"> for communications with Air Traffic Control</w:t>
      </w:r>
      <w:r w:rsidRPr="00DF034A">
        <w:rPr>
          <w:szCs w:val="22"/>
        </w:rPr>
        <w:t>?</w:t>
      </w:r>
      <w:r>
        <w:rPr>
          <w:rStyle w:val="FootnoteReference"/>
          <w:szCs w:val="22"/>
        </w:rPr>
        <w:footnoteReference w:id="18"/>
      </w:r>
    </w:p>
    <w:p w:rsidR="004D2AFE" w:rsidRPr="00DF034A" w:rsidP="00DF034A" w14:paraId="211ED12C" w14:textId="77777777">
      <w:pPr>
        <w:ind w:firstLine="720"/>
        <w:rPr>
          <w:szCs w:val="22"/>
        </w:rPr>
      </w:pPr>
    </w:p>
    <w:p w:rsidR="00DD6CF6" w:rsidRPr="00DF034A" w:rsidP="00CE6DDE" w14:paraId="7213C306" w14:textId="7A1F8697">
      <w:pPr>
        <w:widowControl/>
        <w:ind w:firstLine="720"/>
        <w:rPr>
          <w:szCs w:val="22"/>
        </w:rPr>
      </w:pPr>
      <w:r w:rsidRPr="00DF034A">
        <w:rPr>
          <w:szCs w:val="22"/>
        </w:rPr>
        <w:t xml:space="preserve">Next, we seek comment on </w:t>
      </w:r>
      <w:r w:rsidRPr="00DF034A" w:rsidR="009E2F28">
        <w:rPr>
          <w:szCs w:val="22"/>
        </w:rPr>
        <w:t>all options to accelerate further</w:t>
      </w:r>
      <w:r w:rsidRPr="00DF034A">
        <w:rPr>
          <w:szCs w:val="22"/>
        </w:rPr>
        <w:t xml:space="preserve"> UAS deployment in the 5030-5091 MHz band.  </w:t>
      </w:r>
      <w:r w:rsidRPr="00DF034A">
        <w:rPr>
          <w:szCs w:val="22"/>
        </w:rPr>
        <w:t>Although the FCC</w:t>
      </w:r>
      <w:r w:rsidRPr="00DF034A">
        <w:rPr>
          <w:szCs w:val="22"/>
        </w:rPr>
        <w:t xml:space="preserve"> </w:t>
      </w:r>
      <w:r w:rsidRPr="00DF034A">
        <w:rPr>
          <w:szCs w:val="22"/>
        </w:rPr>
        <w:t xml:space="preserve">adopted initial rules </w:t>
      </w:r>
      <w:r w:rsidRPr="00DF034A">
        <w:rPr>
          <w:szCs w:val="22"/>
        </w:rPr>
        <w:t>for the band in 2024</w:t>
      </w:r>
      <w:r w:rsidRPr="00DF034A">
        <w:rPr>
          <w:szCs w:val="22"/>
        </w:rPr>
        <w:t xml:space="preserve">, implementation work </w:t>
      </w:r>
      <w:r w:rsidRPr="00DF034A" w:rsidR="00535F34">
        <w:rPr>
          <w:szCs w:val="22"/>
        </w:rPr>
        <w:t>remains ongoing</w:t>
      </w:r>
      <w:r w:rsidRPr="00DF034A">
        <w:rPr>
          <w:szCs w:val="22"/>
        </w:rPr>
        <w:t xml:space="preserve">.  We seek comment on </w:t>
      </w:r>
      <w:r w:rsidRPr="00DF034A" w:rsidR="00535F34">
        <w:rPr>
          <w:szCs w:val="22"/>
        </w:rPr>
        <w:t>ways</w:t>
      </w:r>
      <w:r w:rsidRPr="00DF034A" w:rsidR="00112089">
        <w:rPr>
          <w:szCs w:val="22"/>
        </w:rPr>
        <w:t xml:space="preserve"> </w:t>
      </w:r>
      <w:r w:rsidRPr="00DF034A">
        <w:rPr>
          <w:szCs w:val="22"/>
        </w:rPr>
        <w:t>to expedite implementation</w:t>
      </w:r>
      <w:r w:rsidRPr="00DF034A" w:rsidR="00112089">
        <w:rPr>
          <w:szCs w:val="22"/>
        </w:rPr>
        <w:t xml:space="preserve"> </w:t>
      </w:r>
      <w:r w:rsidRPr="00DF034A" w:rsidR="00535F34">
        <w:rPr>
          <w:szCs w:val="22"/>
        </w:rPr>
        <w:t xml:space="preserve">so as to permit more robust UAS operations </w:t>
      </w:r>
      <w:r w:rsidRPr="00DF034A" w:rsidR="00112089">
        <w:rPr>
          <w:szCs w:val="22"/>
        </w:rPr>
        <w:t>in the band</w:t>
      </w:r>
      <w:r w:rsidRPr="00DF034A" w:rsidR="009E2F28">
        <w:rPr>
          <w:szCs w:val="22"/>
        </w:rPr>
        <w:t xml:space="preserve">.  For example, </w:t>
      </w:r>
      <w:r w:rsidR="00116C55">
        <w:rPr>
          <w:szCs w:val="22"/>
        </w:rPr>
        <w:t>s</w:t>
      </w:r>
      <w:r w:rsidRPr="00DF034A" w:rsidR="009E2F28">
        <w:rPr>
          <w:szCs w:val="22"/>
        </w:rPr>
        <w:t>hould the FCC establish a m</w:t>
      </w:r>
      <w:r w:rsidRPr="00DF034A">
        <w:rPr>
          <w:szCs w:val="22"/>
        </w:rPr>
        <w:t>ulti-stakeholder group, setting the stage for proposals in a future Further Notice proposing rules for accessing the entire band</w:t>
      </w:r>
      <w:r w:rsidRPr="00DF034A" w:rsidR="009E2F28">
        <w:rPr>
          <w:szCs w:val="22"/>
        </w:rPr>
        <w:t>?</w:t>
      </w:r>
      <w:r w:rsidRPr="00DF034A">
        <w:rPr>
          <w:szCs w:val="22"/>
        </w:rPr>
        <w:t xml:space="preserve">  </w:t>
      </w:r>
      <w:r w:rsidRPr="00DF034A" w:rsidR="009E2F28">
        <w:rPr>
          <w:szCs w:val="22"/>
        </w:rPr>
        <w:t xml:space="preserve">We note and seek comment on the relevance of </w:t>
      </w:r>
      <w:r w:rsidRPr="00DF034A">
        <w:rPr>
          <w:szCs w:val="22"/>
        </w:rPr>
        <w:t>RTCA</w:t>
      </w:r>
      <w:r w:rsidRPr="00DF034A" w:rsidR="009E2F28">
        <w:rPr>
          <w:szCs w:val="22"/>
        </w:rPr>
        <w:t xml:space="preserve">’s ongoing work on these issues.  Alternatively, should </w:t>
      </w:r>
      <w:r w:rsidR="001474CA">
        <w:rPr>
          <w:szCs w:val="22"/>
        </w:rPr>
        <w:t>the FCC</w:t>
      </w:r>
      <w:r w:rsidRPr="00DF034A" w:rsidR="009E2F28">
        <w:rPr>
          <w:szCs w:val="22"/>
        </w:rPr>
        <w:t xml:space="preserve"> convene </w:t>
      </w:r>
      <w:r w:rsidRPr="00DF034A">
        <w:rPr>
          <w:szCs w:val="22"/>
        </w:rPr>
        <w:t>a Federal Advisory Committee or other similar group to develop consensus on key policy, technical, and operational issues</w:t>
      </w:r>
      <w:r w:rsidRPr="00DF034A" w:rsidR="009E2F28">
        <w:rPr>
          <w:szCs w:val="22"/>
        </w:rPr>
        <w:t xml:space="preserve"> in the band?  </w:t>
      </w:r>
      <w:r w:rsidR="00385D2D">
        <w:rPr>
          <w:szCs w:val="22"/>
        </w:rPr>
        <w:t>Finally, a</w:t>
      </w:r>
      <w:r w:rsidRPr="002E022A" w:rsidR="002E022A">
        <w:rPr>
          <w:szCs w:val="22"/>
        </w:rPr>
        <w:t>re there steps that the FCC could take beyond the adoption of the Interim Access Mechanism to facilitate more imminent access to a portion of the band?</w:t>
      </w:r>
      <w:r w:rsidR="0003123E">
        <w:rPr>
          <w:szCs w:val="22"/>
        </w:rPr>
        <w:t xml:space="preserve">  </w:t>
      </w:r>
    </w:p>
    <w:p w:rsidR="000439AC" w:rsidRPr="00DF034A" w:rsidP="00DF034A" w14:paraId="14555B9F" w14:textId="77777777">
      <w:pPr>
        <w:rPr>
          <w:szCs w:val="22"/>
        </w:rPr>
      </w:pPr>
    </w:p>
    <w:p w:rsidR="00DA6412" w:rsidRPr="00DF034A" w:rsidP="00DF034A" w14:paraId="62ADF780" w14:textId="77777777">
      <w:pPr>
        <w:ind w:firstLine="720"/>
        <w:rPr>
          <w:szCs w:val="22"/>
        </w:rPr>
      </w:pPr>
      <w:r w:rsidRPr="00DF034A">
        <w:rPr>
          <w:szCs w:val="22"/>
        </w:rPr>
        <w:t xml:space="preserve">We also refresh the record on the possibility of </w:t>
      </w:r>
      <w:r w:rsidRPr="00DF034A" w:rsidR="004D2AFE">
        <w:rPr>
          <w:szCs w:val="22"/>
        </w:rPr>
        <w:t>allowing</w:t>
      </w:r>
      <w:r w:rsidRPr="00DF034A">
        <w:rPr>
          <w:szCs w:val="22"/>
        </w:rPr>
        <w:t xml:space="preserve"> UAS in the 960-1164 MHz band.  </w:t>
      </w:r>
      <w:r w:rsidRPr="00DF034A" w:rsidR="00827B53">
        <w:rPr>
          <w:szCs w:val="22"/>
        </w:rPr>
        <w:t xml:space="preserve">Section 374 of the FAA Reauthorization Act of 2018 directed the FAA, NTIA, and the Commission, after consultation with relevant stakeholders, to submit a report on, among other things, whether UAS operations should be permitted in 960-1164 MHz and 5030-5091 </w:t>
      </w:r>
      <w:r w:rsidRPr="00DF034A" w:rsidR="00827B53">
        <w:rPr>
          <w:szCs w:val="22"/>
        </w:rPr>
        <w:t>MHz.</w:t>
      </w:r>
      <w:r w:rsidRPr="00DF034A" w:rsidR="00827B53">
        <w:rPr>
          <w:szCs w:val="22"/>
        </w:rPr>
        <w:t xml:space="preserve">  </w:t>
      </w:r>
      <w:r w:rsidRPr="00DF034A" w:rsidR="002D10FB">
        <w:rPr>
          <w:szCs w:val="22"/>
        </w:rPr>
        <w:t xml:space="preserve">In a </w:t>
      </w:r>
      <w:r w:rsidRPr="00DF034A" w:rsidR="00827B53">
        <w:rPr>
          <w:szCs w:val="22"/>
        </w:rPr>
        <w:t xml:space="preserve">subsequent </w:t>
      </w:r>
      <w:r w:rsidRPr="00DF034A" w:rsidR="002D10FB">
        <w:rPr>
          <w:szCs w:val="22"/>
        </w:rPr>
        <w:t>2020 report, the Commission declined to recommend moving forward with a proceeding to make the 960-1164 MHz band available for UAS operations.</w:t>
      </w:r>
      <w:r>
        <w:rPr>
          <w:rStyle w:val="FootnoteReference"/>
          <w:szCs w:val="22"/>
        </w:rPr>
        <w:footnoteReference w:id="19"/>
      </w:r>
      <w:r w:rsidRPr="00DF034A" w:rsidR="002D10FB">
        <w:rPr>
          <w:szCs w:val="22"/>
        </w:rPr>
        <w:t xml:space="preserve">  </w:t>
      </w:r>
      <w:r w:rsidRPr="00DF034A" w:rsidR="00827B53">
        <w:rPr>
          <w:szCs w:val="22"/>
        </w:rPr>
        <w:t>The report instead</w:t>
      </w:r>
      <w:r w:rsidRPr="00DF034A" w:rsidR="002D10FB">
        <w:rPr>
          <w:szCs w:val="22"/>
        </w:rPr>
        <w:t xml:space="preserve"> recommended that the Commission continue to study the use of this band for UAS purposes, and to work with the FAA, NTIA, and other stakeholders regarding appropriate UAS rules and policies in the event that circumstances warrant initiating a rulemaking for this band.</w:t>
      </w:r>
      <w:r w:rsidRPr="00DF034A" w:rsidR="00827B53">
        <w:rPr>
          <w:szCs w:val="22"/>
        </w:rPr>
        <w:t xml:space="preserve">  We seek comment on whether new facts or circumstances exist to revisit the Commission’s 2020 determination</w:t>
      </w:r>
      <w:r w:rsidRPr="00DF034A" w:rsidR="008A0836">
        <w:rPr>
          <w:szCs w:val="22"/>
        </w:rPr>
        <w:t xml:space="preserve"> regarding the 960-1164 MHz band</w:t>
      </w:r>
      <w:r w:rsidRPr="00DF034A" w:rsidR="00827B53">
        <w:rPr>
          <w:szCs w:val="22"/>
        </w:rPr>
        <w:t xml:space="preserve">.  </w:t>
      </w:r>
    </w:p>
    <w:p w:rsidR="00DA6412" w:rsidP="00DF034A" w14:paraId="0864485C" w14:textId="77777777">
      <w:pPr>
        <w:ind w:firstLine="720"/>
        <w:rPr>
          <w:szCs w:val="22"/>
        </w:rPr>
      </w:pPr>
    </w:p>
    <w:p w:rsidR="00ED3023" w:rsidP="00ED3023" w14:paraId="427EAA0F" w14:textId="77777777">
      <w:pPr>
        <w:ind w:firstLine="720"/>
        <w:rPr>
          <w:szCs w:val="22"/>
        </w:rPr>
      </w:pPr>
      <w:r>
        <w:rPr>
          <w:szCs w:val="22"/>
        </w:rPr>
        <w:t xml:space="preserve">We also seek comment on steps the FCC can take to facilitate UAS or Counter-UAS spectrum access in the context of any pending inter-agency proceedings or efforts in which the FCC is involved.  For example, as mentioned above, Section 9 of the </w:t>
      </w:r>
      <w:r w:rsidRPr="00DF034A">
        <w:rPr>
          <w:i/>
          <w:iCs/>
          <w:szCs w:val="22"/>
        </w:rPr>
        <w:t>Restoring American Airspace Sovereignty</w:t>
      </w:r>
      <w:r>
        <w:rPr>
          <w:i/>
          <w:iCs/>
          <w:szCs w:val="22"/>
        </w:rPr>
        <w:t xml:space="preserve"> </w:t>
      </w:r>
      <w:r>
        <w:rPr>
          <w:szCs w:val="22"/>
        </w:rPr>
        <w:t xml:space="preserve">EO directs the Attorney General in coordination with </w:t>
      </w:r>
      <w:r>
        <w:rPr>
          <w:kern w:val="0"/>
          <w:szCs w:val="22"/>
        </w:rPr>
        <w:t>several agencies, including the</w:t>
      </w:r>
      <w:r w:rsidRPr="002E1686">
        <w:rPr>
          <w:kern w:val="0"/>
          <w:szCs w:val="22"/>
        </w:rPr>
        <w:t xml:space="preserve"> </w:t>
      </w:r>
      <w:r w:rsidRPr="00DF034A">
        <w:rPr>
          <w:szCs w:val="22"/>
        </w:rPr>
        <w:t>FCC</w:t>
      </w:r>
      <w:r>
        <w:rPr>
          <w:szCs w:val="22"/>
        </w:rPr>
        <w:t>,</w:t>
      </w:r>
      <w:r w:rsidRPr="00DF034A">
        <w:rPr>
          <w:szCs w:val="22"/>
        </w:rPr>
        <w:t xml:space="preserve"> to </w:t>
      </w:r>
      <w:r w:rsidRPr="002E1686">
        <w:rPr>
          <w:kern w:val="0"/>
          <w:szCs w:val="22"/>
        </w:rPr>
        <w:t xml:space="preserve">take all appropriate steps to implement the recommendations of the March 2022 Feasibility Report to Congress </w:t>
      </w:r>
      <w:r>
        <w:rPr>
          <w:kern w:val="0"/>
          <w:szCs w:val="22"/>
        </w:rPr>
        <w:t>regarding</w:t>
      </w:r>
      <w:r w:rsidRPr="002E1686">
        <w:rPr>
          <w:kern w:val="0"/>
          <w:szCs w:val="22"/>
        </w:rPr>
        <w:t xml:space="preserve"> the creation of </w:t>
      </w:r>
      <w:r>
        <w:rPr>
          <w:kern w:val="0"/>
          <w:szCs w:val="22"/>
        </w:rPr>
        <w:t xml:space="preserve">the </w:t>
      </w:r>
      <w:r w:rsidRPr="002E1686">
        <w:rPr>
          <w:kern w:val="0"/>
          <w:szCs w:val="22"/>
        </w:rPr>
        <w:t>National Training Center for Counter-Unmanned Aircraft Systems</w:t>
      </w:r>
      <w:r>
        <w:rPr>
          <w:kern w:val="0"/>
          <w:szCs w:val="22"/>
        </w:rPr>
        <w:t>.</w:t>
      </w:r>
      <w:r>
        <w:rPr>
          <w:rStyle w:val="FootnoteReference"/>
          <w:kern w:val="0"/>
          <w:szCs w:val="22"/>
        </w:rPr>
        <w:footnoteReference w:id="20"/>
      </w:r>
      <w:r>
        <w:rPr>
          <w:kern w:val="0"/>
          <w:szCs w:val="22"/>
        </w:rPr>
        <w:t xml:space="preserve">  We seek comment on steps the FCC can take to help support the operations of this facility.  In addition, the AAM National Strategy recommended that </w:t>
      </w:r>
      <w:r>
        <w:rPr>
          <w:szCs w:val="22"/>
        </w:rPr>
        <w:t xml:space="preserve">the FCC and other agencies, including NTIA and the FAA, </w:t>
      </w:r>
      <w:r w:rsidRPr="00570932">
        <w:rPr>
          <w:szCs w:val="22"/>
        </w:rPr>
        <w:t>should collaborate with standards bodies and industry to evaluate the equipage and spectrum needs of the aviation industry</w:t>
      </w:r>
      <w:r>
        <w:rPr>
          <w:szCs w:val="22"/>
        </w:rPr>
        <w:t>, to transition and enable communications, navigation, and surveillance efficiency for future aviation operations, including AAM.</w:t>
      </w:r>
      <w:r>
        <w:rPr>
          <w:rStyle w:val="FootnoteReference"/>
          <w:szCs w:val="22"/>
        </w:rPr>
        <w:footnoteReference w:id="21"/>
      </w:r>
      <w:r>
        <w:rPr>
          <w:szCs w:val="22"/>
        </w:rPr>
        <w:t xml:space="preserve">  We seek comment on steps the FCC should take to engage with Federal partners, standards bodies, and industry to assess the spectrum needs of drones and AAM, to help enable their integration into the national airspace system.  </w:t>
      </w:r>
    </w:p>
    <w:p w:rsidR="00ED3023" w:rsidP="00ED3023" w14:paraId="104EDA05" w14:textId="77777777">
      <w:pPr>
        <w:ind w:firstLine="720"/>
        <w:rPr>
          <w:szCs w:val="22"/>
        </w:rPr>
      </w:pPr>
    </w:p>
    <w:p w:rsidR="00ED3023" w:rsidP="00ED3023" w14:paraId="3C0E99C1" w14:textId="77777777">
      <w:pPr>
        <w:ind w:firstLine="720"/>
        <w:rPr>
          <w:szCs w:val="22"/>
        </w:rPr>
      </w:pPr>
      <w:r>
        <w:rPr>
          <w:szCs w:val="22"/>
        </w:rPr>
        <w:t>We also note that the recently-passed National Defense Authorization Act for Fiscal Year 2026 (FY2026 NDAA) includes provisions related to spectrum access for UAS and Counter-UAS operations.</w:t>
      </w:r>
      <w:r>
        <w:rPr>
          <w:rStyle w:val="FootnoteReference"/>
          <w:szCs w:val="22"/>
        </w:rPr>
        <w:footnoteReference w:id="22"/>
      </w:r>
      <w:r>
        <w:rPr>
          <w:szCs w:val="22"/>
        </w:rPr>
        <w:t xml:space="preserve">  In particular, Section 227 of the FY2026 NDAA directs the Secretary of Defense to establish, as a demonstration project, a Western Regional Range Complex capable of facilitating testing and training in electromagnetic spectrum operations and electromagnetic warfare, among other purposes.</w:t>
      </w:r>
      <w:r>
        <w:rPr>
          <w:rStyle w:val="FootnoteReference"/>
          <w:szCs w:val="22"/>
        </w:rPr>
        <w:footnoteReference w:id="23"/>
      </w:r>
      <w:r>
        <w:rPr>
          <w:szCs w:val="22"/>
        </w:rPr>
        <w:t xml:space="preserve">  In addition, Section 1048 authorizes the Secretary of Defense to develop an Eastern Regional Range Complex to serve as a joint training, testing, and experimentation hub for various operations including both UAS and </w:t>
      </w:r>
      <w:r>
        <w:rPr>
          <w:szCs w:val="22"/>
        </w:rPr>
        <w:t>Counter UAS operations.</w:t>
      </w:r>
      <w:r>
        <w:rPr>
          <w:rStyle w:val="FootnoteReference"/>
          <w:szCs w:val="22"/>
        </w:rPr>
        <w:footnoteReference w:id="24"/>
      </w:r>
      <w:r>
        <w:rPr>
          <w:szCs w:val="22"/>
        </w:rPr>
        <w:t xml:space="preserve">  For both of these ranges, Section 1048 further provides that the Secretary of Defense may consult with the FCC and NTIA to recommend spectrum access requirements in support of joint and service training, testing, and experimentation.</w:t>
      </w:r>
      <w:r>
        <w:rPr>
          <w:rStyle w:val="FootnoteReference"/>
          <w:szCs w:val="22"/>
        </w:rPr>
        <w:footnoteReference w:id="25"/>
      </w:r>
      <w:r>
        <w:rPr>
          <w:szCs w:val="22"/>
        </w:rPr>
        <w:t xml:space="preserve">  We seek comment on how the FCC can help facilitate spectrum access in support of these purposes consistent with our jurisdiction over non-federal spectrum access, and what actions or requirements in connection with spectrum access the FCC should recommend, if any, in this context.</w:t>
      </w:r>
    </w:p>
    <w:p w:rsidR="00ED3023" w:rsidRPr="00DF034A" w:rsidP="00DF034A" w14:paraId="792E72C1" w14:textId="77777777">
      <w:pPr>
        <w:ind w:firstLine="720"/>
        <w:rPr>
          <w:szCs w:val="22"/>
        </w:rPr>
      </w:pPr>
    </w:p>
    <w:p w:rsidR="002D10FB" w:rsidRPr="00DF034A" w:rsidP="00DF034A" w14:paraId="51C6FC6A" w14:textId="126174FB">
      <w:pPr>
        <w:ind w:firstLine="720"/>
        <w:rPr>
          <w:szCs w:val="22"/>
        </w:rPr>
      </w:pPr>
      <w:r w:rsidRPr="00DF034A">
        <w:rPr>
          <w:szCs w:val="22"/>
        </w:rPr>
        <w:t xml:space="preserve">Finally, we </w:t>
      </w:r>
      <w:r w:rsidRPr="00DF034A" w:rsidR="009E2F28">
        <w:rPr>
          <w:szCs w:val="22"/>
        </w:rPr>
        <w:t xml:space="preserve">invite commenters to </w:t>
      </w:r>
      <w:r w:rsidR="00B94D6D">
        <w:rPr>
          <w:szCs w:val="22"/>
        </w:rPr>
        <w:t>discuss</w:t>
      </w:r>
      <w:r w:rsidRPr="00DF034A">
        <w:rPr>
          <w:szCs w:val="22"/>
        </w:rPr>
        <w:t xml:space="preserve"> proposals</w:t>
      </w:r>
      <w:r w:rsidRPr="00DF034A" w:rsidR="0007361C">
        <w:rPr>
          <w:szCs w:val="22"/>
        </w:rPr>
        <w:t xml:space="preserve"> currently before the Commission</w:t>
      </w:r>
      <w:r w:rsidRPr="00DF034A">
        <w:rPr>
          <w:szCs w:val="22"/>
        </w:rPr>
        <w:t xml:space="preserve"> to </w:t>
      </w:r>
      <w:r w:rsidR="00B94D6D">
        <w:rPr>
          <w:szCs w:val="22"/>
        </w:rPr>
        <w:t>open</w:t>
      </w:r>
      <w:r w:rsidRPr="00DF034A">
        <w:rPr>
          <w:szCs w:val="22"/>
        </w:rPr>
        <w:t xml:space="preserve"> specific frequencies for UAS</w:t>
      </w:r>
      <w:r w:rsidRPr="00DF034A" w:rsidR="000F7975">
        <w:rPr>
          <w:szCs w:val="22"/>
        </w:rPr>
        <w:t>-related activities</w:t>
      </w:r>
      <w:r w:rsidRPr="00DF034A">
        <w:rPr>
          <w:szCs w:val="22"/>
        </w:rPr>
        <w:t xml:space="preserve">, </w:t>
      </w:r>
      <w:r w:rsidRPr="00DF034A" w:rsidR="000F7975">
        <w:rPr>
          <w:szCs w:val="22"/>
        </w:rPr>
        <w:t>including</w:t>
      </w:r>
      <w:r w:rsidRPr="00DF034A">
        <w:rPr>
          <w:szCs w:val="22"/>
        </w:rPr>
        <w:t xml:space="preserve"> Aura’s petition </w:t>
      </w:r>
      <w:r w:rsidRPr="00DF034A" w:rsidR="0007361C">
        <w:rPr>
          <w:szCs w:val="22"/>
        </w:rPr>
        <w:t>to modify technical rules in the</w:t>
      </w:r>
      <w:r w:rsidRPr="00DF034A">
        <w:rPr>
          <w:szCs w:val="22"/>
        </w:rPr>
        <w:t xml:space="preserve"> 450 MHz band</w:t>
      </w:r>
      <w:r w:rsidRPr="00DF034A" w:rsidR="004474AA">
        <w:rPr>
          <w:szCs w:val="22"/>
        </w:rPr>
        <w:t xml:space="preserve"> and </w:t>
      </w:r>
      <w:r w:rsidRPr="00DF034A" w:rsidR="000F7975">
        <w:rPr>
          <w:szCs w:val="22"/>
        </w:rPr>
        <w:t>Echodyne’s</w:t>
      </w:r>
      <w:r w:rsidRPr="00DF034A" w:rsidR="000F7975">
        <w:rPr>
          <w:szCs w:val="22"/>
        </w:rPr>
        <w:t xml:space="preserve"> </w:t>
      </w:r>
      <w:r w:rsidRPr="00DF034A" w:rsidR="009E2F28">
        <w:rPr>
          <w:szCs w:val="22"/>
        </w:rPr>
        <w:t>petition</w:t>
      </w:r>
      <w:r w:rsidRPr="00DF034A" w:rsidR="000F7975">
        <w:rPr>
          <w:szCs w:val="22"/>
        </w:rPr>
        <w:t xml:space="preserve"> to use the 24.45–24.65 GHz band </w:t>
      </w:r>
      <w:r w:rsidRPr="00DF034A" w:rsidR="0007361C">
        <w:rPr>
          <w:szCs w:val="22"/>
        </w:rPr>
        <w:t>for</w:t>
      </w:r>
      <w:r w:rsidRPr="00DF034A" w:rsidR="000F7975">
        <w:rPr>
          <w:szCs w:val="22"/>
        </w:rPr>
        <w:t xml:space="preserve"> federal and non-federal radiolocation operations that would better facilitate the detection of UAS</w:t>
      </w:r>
      <w:r w:rsidRPr="00DF034A">
        <w:rPr>
          <w:szCs w:val="22"/>
        </w:rPr>
        <w:t>.</w:t>
      </w:r>
      <w:r>
        <w:rPr>
          <w:rStyle w:val="FootnoteReference"/>
          <w:szCs w:val="22"/>
        </w:rPr>
        <w:footnoteReference w:id="26"/>
      </w:r>
      <w:r w:rsidRPr="00DF034A" w:rsidR="009E2F28">
        <w:rPr>
          <w:szCs w:val="22"/>
        </w:rPr>
        <w:t xml:space="preserve">  To what extent would </w:t>
      </w:r>
      <w:r w:rsidR="00F42CC2">
        <w:rPr>
          <w:szCs w:val="22"/>
        </w:rPr>
        <w:t>adopting</w:t>
      </w:r>
      <w:r w:rsidRPr="00DF034A" w:rsidR="009E2F28">
        <w:rPr>
          <w:szCs w:val="22"/>
        </w:rPr>
        <w:t xml:space="preserve"> these </w:t>
      </w:r>
      <w:r w:rsidR="00C95912">
        <w:rPr>
          <w:szCs w:val="22"/>
        </w:rPr>
        <w:t>proposals</w:t>
      </w:r>
      <w:r w:rsidRPr="00DF034A" w:rsidR="00C95912">
        <w:rPr>
          <w:szCs w:val="22"/>
        </w:rPr>
        <w:t xml:space="preserve"> </w:t>
      </w:r>
      <w:r w:rsidRPr="00DF034A" w:rsidR="009E2F28">
        <w:rPr>
          <w:szCs w:val="22"/>
        </w:rPr>
        <w:t xml:space="preserve">ease the spectrum crunch, if any, that currently faces UAS operators?   </w:t>
      </w:r>
    </w:p>
    <w:p w:rsidR="002D10FB" w:rsidRPr="00DF034A" w:rsidP="00DF034A" w14:paraId="0D9E0828" w14:textId="77777777">
      <w:pPr>
        <w:ind w:firstLine="720"/>
        <w:rPr>
          <w:szCs w:val="22"/>
        </w:rPr>
      </w:pPr>
    </w:p>
    <w:p w:rsidR="00221645" w:rsidRPr="00DF034A" w:rsidP="00DF034A" w14:paraId="4154587D" w14:textId="65347BD7">
      <w:pPr>
        <w:ind w:firstLine="720"/>
        <w:rPr>
          <w:szCs w:val="22"/>
        </w:rPr>
      </w:pPr>
      <w:r w:rsidRPr="00DF034A">
        <w:rPr>
          <w:b/>
          <w:bCs/>
          <w:i/>
          <w:iCs/>
          <w:szCs w:val="22"/>
        </w:rPr>
        <w:t xml:space="preserve">Creating </w:t>
      </w:r>
      <w:r w:rsidRPr="00DF034A" w:rsidR="00395F13">
        <w:rPr>
          <w:b/>
          <w:bCs/>
          <w:i/>
          <w:iCs/>
          <w:szCs w:val="22"/>
        </w:rPr>
        <w:t xml:space="preserve">New Testbeds and Innovation </w:t>
      </w:r>
      <w:r w:rsidRPr="00DF034A">
        <w:rPr>
          <w:b/>
          <w:bCs/>
          <w:i/>
          <w:iCs/>
          <w:szCs w:val="22"/>
        </w:rPr>
        <w:t>Zones</w:t>
      </w:r>
      <w:r w:rsidRPr="00DF034A" w:rsidR="00395F13">
        <w:rPr>
          <w:b/>
          <w:bCs/>
          <w:i/>
          <w:iCs/>
          <w:szCs w:val="22"/>
        </w:rPr>
        <w:t xml:space="preserve">.  </w:t>
      </w:r>
      <w:r w:rsidRPr="00DF034A">
        <w:rPr>
          <w:szCs w:val="22"/>
        </w:rPr>
        <w:t xml:space="preserve">The FCC </w:t>
      </w:r>
      <w:r w:rsidRPr="00DF034A" w:rsidR="006D017B">
        <w:rPr>
          <w:szCs w:val="22"/>
        </w:rPr>
        <w:t xml:space="preserve">has </w:t>
      </w:r>
      <w:r w:rsidRPr="00DF034A">
        <w:rPr>
          <w:szCs w:val="22"/>
        </w:rPr>
        <w:t xml:space="preserve">established Innovation Zones to provide opportunities for qualified licensees to test </w:t>
      </w:r>
      <w:r w:rsidR="00DF034A">
        <w:rPr>
          <w:szCs w:val="22"/>
        </w:rPr>
        <w:t>new</w:t>
      </w:r>
      <w:r w:rsidRPr="00DF034A" w:rsidR="006D017B">
        <w:rPr>
          <w:szCs w:val="22"/>
        </w:rPr>
        <w:t xml:space="preserve"> and</w:t>
      </w:r>
      <w:r w:rsidRPr="00DF034A">
        <w:rPr>
          <w:szCs w:val="22"/>
        </w:rPr>
        <w:t xml:space="preserve"> advanced technologies and prototype networks</w:t>
      </w:r>
      <w:r w:rsidR="00DF034A">
        <w:rPr>
          <w:szCs w:val="22"/>
        </w:rPr>
        <w:t xml:space="preserve"> </w:t>
      </w:r>
      <w:r w:rsidRPr="00DF034A" w:rsidR="00DF034A">
        <w:rPr>
          <w:szCs w:val="22"/>
        </w:rPr>
        <w:t>outside a traditional small campus or laboratory setting</w:t>
      </w:r>
      <w:r w:rsidR="00244FC5">
        <w:rPr>
          <w:szCs w:val="22"/>
        </w:rPr>
        <w:t xml:space="preserve">.  Emerging technologies ideal for Innovation Zones may include </w:t>
      </w:r>
      <w:r w:rsidRPr="00DF034A">
        <w:rPr>
          <w:szCs w:val="22"/>
        </w:rPr>
        <w:t>UAS</w:t>
      </w:r>
      <w:r w:rsidR="00DF034A">
        <w:rPr>
          <w:szCs w:val="22"/>
        </w:rPr>
        <w:t xml:space="preserve">, </w:t>
      </w:r>
      <w:r w:rsidRPr="00DF034A">
        <w:rPr>
          <w:szCs w:val="22"/>
        </w:rPr>
        <w:t>Open RAN</w:t>
      </w:r>
      <w:r w:rsidR="00DF034A">
        <w:rPr>
          <w:szCs w:val="22"/>
        </w:rPr>
        <w:t xml:space="preserve">, and </w:t>
      </w:r>
      <w:r w:rsidR="00903B72">
        <w:rPr>
          <w:szCs w:val="22"/>
        </w:rPr>
        <w:t xml:space="preserve">other </w:t>
      </w:r>
      <w:r w:rsidR="00ED6833">
        <w:rPr>
          <w:szCs w:val="22"/>
        </w:rPr>
        <w:t>experiments</w:t>
      </w:r>
      <w:r w:rsidR="00244FC5">
        <w:rPr>
          <w:szCs w:val="22"/>
        </w:rPr>
        <w:t xml:space="preserve"> that </w:t>
      </w:r>
      <w:r w:rsidR="00903B72">
        <w:rPr>
          <w:szCs w:val="22"/>
        </w:rPr>
        <w:t>maximize</w:t>
      </w:r>
      <w:r w:rsidR="00244FC5">
        <w:rPr>
          <w:szCs w:val="22"/>
        </w:rPr>
        <w:t xml:space="preserve"> the</w:t>
      </w:r>
      <w:r w:rsidR="00903B72">
        <w:rPr>
          <w:szCs w:val="22"/>
        </w:rPr>
        <w:t xml:space="preserve"> still-untapped</w:t>
      </w:r>
      <w:r w:rsidR="00244FC5">
        <w:rPr>
          <w:szCs w:val="22"/>
        </w:rPr>
        <w:t xml:space="preserve"> potential of</w:t>
      </w:r>
      <w:r w:rsidR="00DF034A">
        <w:rPr>
          <w:szCs w:val="22"/>
        </w:rPr>
        <w:t xml:space="preserve"> </w:t>
      </w:r>
      <w:r w:rsidRPr="00DF034A">
        <w:rPr>
          <w:szCs w:val="22"/>
        </w:rPr>
        <w:t xml:space="preserve">5G </w:t>
      </w:r>
      <w:r w:rsidR="00244FC5">
        <w:rPr>
          <w:szCs w:val="22"/>
        </w:rPr>
        <w:t>networks</w:t>
      </w:r>
      <w:r w:rsidR="00DF034A">
        <w:rPr>
          <w:szCs w:val="22"/>
        </w:rPr>
        <w:t xml:space="preserve">.  </w:t>
      </w:r>
    </w:p>
    <w:p w:rsidR="00221645" w:rsidRPr="00DF034A" w:rsidP="00DF034A" w14:paraId="3E5EACD1" w14:textId="77777777">
      <w:pPr>
        <w:ind w:firstLine="720"/>
        <w:rPr>
          <w:b/>
          <w:bCs/>
          <w:i/>
          <w:iCs/>
          <w:szCs w:val="22"/>
        </w:rPr>
      </w:pPr>
    </w:p>
    <w:p w:rsidR="00157685" w:rsidRPr="00DF034A" w:rsidP="00DF034A" w14:paraId="6BADDE5D" w14:textId="0B3E6142">
      <w:pPr>
        <w:ind w:firstLine="720"/>
        <w:rPr>
          <w:szCs w:val="22"/>
        </w:rPr>
      </w:pPr>
      <w:r w:rsidRPr="00DF034A">
        <w:rPr>
          <w:szCs w:val="22"/>
        </w:rPr>
        <w:t xml:space="preserve">In 2021, the FCC announced </w:t>
      </w:r>
      <w:r w:rsidR="00ED6833">
        <w:rPr>
          <w:szCs w:val="22"/>
        </w:rPr>
        <w:t>the</w:t>
      </w:r>
      <w:r w:rsidRPr="00DF034A" w:rsidR="009307C1">
        <w:rPr>
          <w:szCs w:val="22"/>
        </w:rPr>
        <w:t xml:space="preserve"> expansion of its</w:t>
      </w:r>
      <w:r w:rsidRPr="00DF034A">
        <w:rPr>
          <w:szCs w:val="22"/>
        </w:rPr>
        <w:t xml:space="preserve"> Innovation Zone</w:t>
      </w:r>
      <w:r w:rsidR="00861EE1">
        <w:rPr>
          <w:szCs w:val="22"/>
        </w:rPr>
        <w:t xml:space="preserve"> program</w:t>
      </w:r>
      <w:r w:rsidR="00ED6833">
        <w:rPr>
          <w:szCs w:val="22"/>
        </w:rPr>
        <w:t xml:space="preserve"> when it </w:t>
      </w:r>
      <w:r w:rsidR="00861EE1">
        <w:rPr>
          <w:szCs w:val="22"/>
        </w:rPr>
        <w:t>establish</w:t>
      </w:r>
      <w:r w:rsidR="00ED6833">
        <w:rPr>
          <w:szCs w:val="22"/>
        </w:rPr>
        <w:t>ed</w:t>
      </w:r>
      <w:r w:rsidR="00861EE1">
        <w:rPr>
          <w:szCs w:val="22"/>
        </w:rPr>
        <w:t xml:space="preserve"> a new testbed</w:t>
      </w:r>
      <w:r w:rsidRPr="00DF034A">
        <w:rPr>
          <w:szCs w:val="22"/>
        </w:rPr>
        <w:t xml:space="preserve"> at North Carolina State University</w:t>
      </w:r>
      <w:r w:rsidR="00ED6833">
        <w:rPr>
          <w:szCs w:val="22"/>
        </w:rPr>
        <w:t>,</w:t>
      </w:r>
      <w:r w:rsidRPr="00DF034A">
        <w:rPr>
          <w:szCs w:val="22"/>
        </w:rPr>
        <w:t xml:space="preserve"> </w:t>
      </w:r>
      <w:r w:rsidR="00861EE1">
        <w:rPr>
          <w:szCs w:val="22"/>
        </w:rPr>
        <w:t>known as</w:t>
      </w:r>
      <w:r w:rsidRPr="00DF034A">
        <w:rPr>
          <w:szCs w:val="22"/>
        </w:rPr>
        <w:t xml:space="preserve"> the Aerial Experimentation and Research Platform for Advanced Wireless (AERPAW).</w:t>
      </w:r>
      <w:r>
        <w:rPr>
          <w:rStyle w:val="FootnoteReference"/>
          <w:szCs w:val="22"/>
        </w:rPr>
        <w:footnoteReference w:id="27"/>
      </w:r>
      <w:r w:rsidRPr="00DF034A" w:rsidR="00867BFF">
        <w:rPr>
          <w:szCs w:val="22"/>
        </w:rPr>
        <w:t xml:space="preserve">  </w:t>
      </w:r>
      <w:r w:rsidRPr="00DF034A" w:rsidR="00895546">
        <w:rPr>
          <w:szCs w:val="22"/>
        </w:rPr>
        <w:t>The AERPAW testbed was “the first platform to allow testing at scale of open 5G-and-beyond solutions in unmanned aerial system verticals.”</w:t>
      </w:r>
      <w:r>
        <w:rPr>
          <w:rStyle w:val="FootnoteReference"/>
          <w:szCs w:val="22"/>
        </w:rPr>
        <w:footnoteReference w:id="28"/>
      </w:r>
      <w:r w:rsidRPr="00DF034A" w:rsidR="00895546">
        <w:rPr>
          <w:szCs w:val="22"/>
        </w:rPr>
        <w:t xml:space="preserve">  </w:t>
      </w:r>
      <w:r w:rsidRPr="00DF034A" w:rsidR="00867BFF">
        <w:rPr>
          <w:szCs w:val="22"/>
        </w:rPr>
        <w:t>As the Commission noted, “AERPAW will focus on how cellular networks and advanced wireless technologies can enable beyond visual line-of-sight unmanned aerial systems to accelerate development, verification, and testing of transformative advances and breakthroughs in telecommunications, transportation, infrastructure monitoring, agriculture, and public safety.”</w:t>
      </w:r>
      <w:r>
        <w:rPr>
          <w:rStyle w:val="FootnoteReference"/>
          <w:szCs w:val="22"/>
        </w:rPr>
        <w:footnoteReference w:id="29"/>
      </w:r>
      <w:r w:rsidRPr="00DF034A" w:rsidR="008360D2">
        <w:rPr>
          <w:szCs w:val="22"/>
        </w:rPr>
        <w:t xml:space="preserve"> </w:t>
      </w:r>
      <w:r w:rsidRPr="00DF034A" w:rsidR="00867BFF">
        <w:rPr>
          <w:szCs w:val="22"/>
        </w:rPr>
        <w:t xml:space="preserve">  </w:t>
      </w:r>
    </w:p>
    <w:p w:rsidR="000874D3" w:rsidRPr="00DF034A" w:rsidP="00DF034A" w14:paraId="664265F9" w14:textId="77777777">
      <w:pPr>
        <w:ind w:firstLine="720"/>
        <w:rPr>
          <w:szCs w:val="22"/>
        </w:rPr>
      </w:pPr>
    </w:p>
    <w:p w:rsidR="000632CB" w:rsidRPr="00DF034A" w:rsidP="00DF034A" w14:paraId="648A306A" w14:textId="2DB01771">
      <w:pPr>
        <w:ind w:firstLine="720"/>
        <w:rPr>
          <w:szCs w:val="22"/>
        </w:rPr>
      </w:pPr>
      <w:r w:rsidRPr="00DF034A">
        <w:rPr>
          <w:szCs w:val="22"/>
        </w:rPr>
        <w:t>We seek comment on the success of AERPAW to date</w:t>
      </w:r>
      <w:r w:rsidRPr="00DF034A" w:rsidR="00895546">
        <w:rPr>
          <w:szCs w:val="22"/>
        </w:rPr>
        <w:t xml:space="preserve"> with respect to UAS deployment and testing</w:t>
      </w:r>
      <w:r w:rsidRPr="00DF034A">
        <w:rPr>
          <w:szCs w:val="22"/>
        </w:rPr>
        <w:t xml:space="preserve">.  </w:t>
      </w:r>
      <w:r w:rsidRPr="00DF034A" w:rsidR="00895546">
        <w:rPr>
          <w:szCs w:val="22"/>
        </w:rPr>
        <w:t xml:space="preserve">Does this site provide sufficient flexibility or capacity to </w:t>
      </w:r>
      <w:r w:rsidRPr="00DF034A" w:rsidR="0034167A">
        <w:rPr>
          <w:szCs w:val="22"/>
        </w:rPr>
        <w:t>develop</w:t>
      </w:r>
      <w:r w:rsidRPr="00DF034A" w:rsidR="00895546">
        <w:rPr>
          <w:szCs w:val="22"/>
        </w:rPr>
        <w:t xml:space="preserve"> UAS technologies</w:t>
      </w:r>
      <w:r w:rsidR="00AF5B30">
        <w:rPr>
          <w:szCs w:val="22"/>
        </w:rPr>
        <w:t xml:space="preserve"> at meaningful scale</w:t>
      </w:r>
      <w:r w:rsidRPr="00DF034A" w:rsidR="00895546">
        <w:rPr>
          <w:szCs w:val="22"/>
        </w:rPr>
        <w:t xml:space="preserve">?  </w:t>
      </w:r>
      <w:r w:rsidRPr="00DF034A">
        <w:rPr>
          <w:szCs w:val="22"/>
        </w:rPr>
        <w:t xml:space="preserve">We invite commenters to describe whether </w:t>
      </w:r>
      <w:r w:rsidRPr="00DF034A">
        <w:rPr>
          <w:szCs w:val="22"/>
        </w:rPr>
        <w:t xml:space="preserve">interagency coordination has proven </w:t>
      </w:r>
      <w:r w:rsidRPr="00DF034A" w:rsidR="0034167A">
        <w:rPr>
          <w:szCs w:val="22"/>
        </w:rPr>
        <w:t>manageable</w:t>
      </w:r>
      <w:r w:rsidRPr="00DF034A">
        <w:rPr>
          <w:szCs w:val="22"/>
        </w:rPr>
        <w:t xml:space="preserve"> given the</w:t>
      </w:r>
      <w:r w:rsidR="00AF5B30">
        <w:rPr>
          <w:szCs w:val="22"/>
        </w:rPr>
        <w:t xml:space="preserve"> urban</w:t>
      </w:r>
      <w:r w:rsidRPr="00DF034A">
        <w:rPr>
          <w:szCs w:val="22"/>
        </w:rPr>
        <w:t xml:space="preserve"> location of </w:t>
      </w:r>
      <w:r w:rsidR="00AF5B30">
        <w:rPr>
          <w:szCs w:val="22"/>
        </w:rPr>
        <w:t>this</w:t>
      </w:r>
      <w:r w:rsidRPr="00DF034A">
        <w:rPr>
          <w:szCs w:val="22"/>
        </w:rPr>
        <w:t xml:space="preserve"> Innovation Zone and the nature of </w:t>
      </w:r>
      <w:r w:rsidRPr="00DF034A">
        <w:rPr>
          <w:szCs w:val="22"/>
        </w:rPr>
        <w:t xml:space="preserve">the relevant </w:t>
      </w:r>
      <w:r w:rsidRPr="00DF034A">
        <w:rPr>
          <w:szCs w:val="22"/>
        </w:rPr>
        <w:t xml:space="preserve">federal equities.  In addition, </w:t>
      </w:r>
      <w:r w:rsidRPr="00DF034A">
        <w:rPr>
          <w:szCs w:val="22"/>
        </w:rPr>
        <w:t xml:space="preserve">we solicit feedback on the value of AERPAW for the defense industry given that </w:t>
      </w:r>
      <w:r w:rsidRPr="00DF034A" w:rsidR="00395F13">
        <w:rPr>
          <w:szCs w:val="22"/>
        </w:rPr>
        <w:t>current I</w:t>
      </w:r>
      <w:r w:rsidRPr="00DF034A">
        <w:rPr>
          <w:szCs w:val="22"/>
        </w:rPr>
        <w:t>nnovation Zones</w:t>
      </w:r>
      <w:r w:rsidRPr="00DF034A" w:rsidR="00395F13">
        <w:rPr>
          <w:szCs w:val="22"/>
        </w:rPr>
        <w:t xml:space="preserve"> applicants are universities </w:t>
      </w:r>
      <w:r w:rsidRPr="00DF034A" w:rsidR="0034167A">
        <w:rPr>
          <w:szCs w:val="22"/>
        </w:rPr>
        <w:t>that tend to be</w:t>
      </w:r>
      <w:r w:rsidRPr="00DF034A" w:rsidR="00395F13">
        <w:rPr>
          <w:szCs w:val="22"/>
        </w:rPr>
        <w:t xml:space="preserve"> </w:t>
      </w:r>
      <w:r w:rsidRPr="00DF034A">
        <w:rPr>
          <w:szCs w:val="22"/>
        </w:rPr>
        <w:t>more</w:t>
      </w:r>
      <w:r w:rsidRPr="00DF034A" w:rsidR="00395F13">
        <w:rPr>
          <w:szCs w:val="22"/>
        </w:rPr>
        <w:t xml:space="preserve"> focus</w:t>
      </w:r>
      <w:r w:rsidRPr="00DF034A">
        <w:rPr>
          <w:szCs w:val="22"/>
        </w:rPr>
        <w:t>ed</w:t>
      </w:r>
      <w:r w:rsidRPr="00DF034A" w:rsidR="00395F13">
        <w:rPr>
          <w:szCs w:val="22"/>
        </w:rPr>
        <w:t xml:space="preserve"> on</w:t>
      </w:r>
      <w:r w:rsidRPr="00DF034A" w:rsidR="0034167A">
        <w:rPr>
          <w:szCs w:val="22"/>
        </w:rPr>
        <w:t xml:space="preserve"> academic</w:t>
      </w:r>
      <w:r w:rsidRPr="00DF034A" w:rsidR="00395F13">
        <w:rPr>
          <w:szCs w:val="22"/>
        </w:rPr>
        <w:t xml:space="preserve"> research.</w:t>
      </w:r>
    </w:p>
    <w:p w:rsidR="000632CB" w:rsidRPr="00DF034A" w:rsidP="00DF034A" w14:paraId="3E8AB131" w14:textId="77777777">
      <w:pPr>
        <w:ind w:firstLine="720"/>
        <w:rPr>
          <w:szCs w:val="22"/>
        </w:rPr>
      </w:pPr>
    </w:p>
    <w:p w:rsidR="00395F13" w:rsidRPr="00DF034A" w:rsidP="00DF034A" w14:paraId="067E6154" w14:textId="1BCB2955">
      <w:pPr>
        <w:ind w:firstLine="720"/>
        <w:rPr>
          <w:szCs w:val="22"/>
        </w:rPr>
      </w:pPr>
      <w:r w:rsidRPr="00DF034A">
        <w:rPr>
          <w:szCs w:val="22"/>
        </w:rPr>
        <w:t>To the extent commenters find gaps in the utility of AERPAW, we</w:t>
      </w:r>
      <w:r w:rsidRPr="00DF034A" w:rsidR="00486687">
        <w:rPr>
          <w:szCs w:val="22"/>
        </w:rPr>
        <w:t xml:space="preserve"> seek comment on the value of creating another type of Innovation Zone license </w:t>
      </w:r>
      <w:r w:rsidR="005B220E">
        <w:rPr>
          <w:szCs w:val="22"/>
        </w:rPr>
        <w:t xml:space="preserve">that is </w:t>
      </w:r>
      <w:r w:rsidRPr="00DF034A" w:rsidR="00486687">
        <w:rPr>
          <w:szCs w:val="22"/>
        </w:rPr>
        <w:t xml:space="preserve">exclusively </w:t>
      </w:r>
      <w:r w:rsidR="005B220E">
        <w:rPr>
          <w:szCs w:val="22"/>
        </w:rPr>
        <w:t xml:space="preserve">designed </w:t>
      </w:r>
      <w:r w:rsidRPr="00DF034A" w:rsidR="00486687">
        <w:rPr>
          <w:szCs w:val="22"/>
        </w:rPr>
        <w:t xml:space="preserve">for </w:t>
      </w:r>
      <w:r w:rsidRPr="00DF034A">
        <w:rPr>
          <w:szCs w:val="22"/>
        </w:rPr>
        <w:t xml:space="preserve">defense </w:t>
      </w:r>
      <w:r w:rsidRPr="00DF034A" w:rsidR="00486687">
        <w:rPr>
          <w:szCs w:val="22"/>
        </w:rPr>
        <w:t xml:space="preserve">companies </w:t>
      </w:r>
      <w:r w:rsidRPr="00DF034A" w:rsidR="008A0836">
        <w:rPr>
          <w:szCs w:val="22"/>
        </w:rPr>
        <w:t>or non-academics who</w:t>
      </w:r>
      <w:r w:rsidRPr="00DF034A" w:rsidR="00486687">
        <w:rPr>
          <w:szCs w:val="22"/>
        </w:rPr>
        <w:t xml:space="preserve"> work</w:t>
      </w:r>
      <w:r w:rsidRPr="00DF034A">
        <w:rPr>
          <w:szCs w:val="22"/>
        </w:rPr>
        <w:t xml:space="preserve"> on </w:t>
      </w:r>
      <w:r w:rsidRPr="00DF034A" w:rsidR="008A0836">
        <w:rPr>
          <w:szCs w:val="22"/>
        </w:rPr>
        <w:t xml:space="preserve">commercial or military </w:t>
      </w:r>
      <w:r w:rsidR="00376DFB">
        <w:rPr>
          <w:szCs w:val="22"/>
        </w:rPr>
        <w:t>UAS</w:t>
      </w:r>
      <w:r w:rsidRPr="00DF034A">
        <w:rPr>
          <w:szCs w:val="22"/>
        </w:rPr>
        <w:t xml:space="preserve"> development.  </w:t>
      </w:r>
      <w:r w:rsidRPr="00DF034A" w:rsidR="00486687">
        <w:rPr>
          <w:szCs w:val="22"/>
        </w:rPr>
        <w:t xml:space="preserve">As one example, would it be advisable to create an Innovation Zone over waterways, in part to facilitate the interaction of UAS and ships and submarines per </w:t>
      </w:r>
      <w:r w:rsidRPr="00DF034A" w:rsidR="008A0836">
        <w:rPr>
          <w:szCs w:val="22"/>
        </w:rPr>
        <w:t>Section</w:t>
      </w:r>
      <w:r w:rsidRPr="00DF034A" w:rsidR="00486687">
        <w:rPr>
          <w:szCs w:val="22"/>
        </w:rPr>
        <w:t xml:space="preserve"> 20002</w:t>
      </w:r>
      <w:r w:rsidRPr="00DF034A" w:rsidR="008A0836">
        <w:rPr>
          <w:szCs w:val="22"/>
        </w:rPr>
        <w:t xml:space="preserve"> of the One Big Beautiful Bill Act</w:t>
      </w:r>
      <w:r w:rsidRPr="00DF034A" w:rsidR="00486687">
        <w:rPr>
          <w:szCs w:val="22"/>
        </w:rPr>
        <w:t xml:space="preserve">?  </w:t>
      </w:r>
      <w:r w:rsidR="005B220E">
        <w:rPr>
          <w:szCs w:val="22"/>
        </w:rPr>
        <w:t xml:space="preserve">Should we consider creating new testbeds in sparsely populated regions with uninhabitable terrain, such as deserts or mountains, where </w:t>
      </w:r>
      <w:r w:rsidR="005B220E">
        <w:rPr>
          <w:szCs w:val="22"/>
        </w:rPr>
        <w:t xml:space="preserve">the risk of harmful interference is expected to be minimal?  </w:t>
      </w:r>
      <w:r w:rsidRPr="00DF034A" w:rsidR="00486687">
        <w:rPr>
          <w:szCs w:val="22"/>
        </w:rPr>
        <w:t xml:space="preserve">What eligibility restrictions, if any, should govern use of </w:t>
      </w:r>
      <w:r w:rsidR="005B220E">
        <w:rPr>
          <w:szCs w:val="22"/>
        </w:rPr>
        <w:t>any</w:t>
      </w:r>
      <w:r w:rsidRPr="00DF034A" w:rsidR="00486687">
        <w:rPr>
          <w:szCs w:val="22"/>
        </w:rPr>
        <w:t xml:space="preserve"> </w:t>
      </w:r>
      <w:r w:rsidR="00AF5B30">
        <w:rPr>
          <w:szCs w:val="22"/>
        </w:rPr>
        <w:t>a</w:t>
      </w:r>
      <w:r w:rsidRPr="00DF034A" w:rsidR="00486687">
        <w:rPr>
          <w:szCs w:val="22"/>
        </w:rPr>
        <w:t xml:space="preserve"> Innovation Zone</w:t>
      </w:r>
      <w:r w:rsidR="00AF5B30">
        <w:rPr>
          <w:szCs w:val="22"/>
        </w:rPr>
        <w:t xml:space="preserve"> for a</w:t>
      </w:r>
      <w:r w:rsidR="00835157">
        <w:rPr>
          <w:szCs w:val="22"/>
        </w:rPr>
        <w:t>e</w:t>
      </w:r>
      <w:r w:rsidR="00AF5B30">
        <w:rPr>
          <w:szCs w:val="22"/>
        </w:rPr>
        <w:t>rial operations</w:t>
      </w:r>
      <w:r w:rsidRPr="00DF034A" w:rsidR="00486687">
        <w:rPr>
          <w:szCs w:val="22"/>
        </w:rPr>
        <w:t xml:space="preserve">?  To what extent would new Innovation Zones ease or replicate challenges with respect to federal coordination </w:t>
      </w:r>
      <w:r w:rsidRPr="00DF034A" w:rsidR="008A0836">
        <w:rPr>
          <w:szCs w:val="22"/>
        </w:rPr>
        <w:t>at</w:t>
      </w:r>
      <w:r w:rsidRPr="00DF034A" w:rsidR="00486687">
        <w:rPr>
          <w:szCs w:val="22"/>
        </w:rPr>
        <w:t xml:space="preserve"> existing testbeds</w:t>
      </w:r>
      <w:r w:rsidRPr="00DF034A" w:rsidR="008A0836">
        <w:rPr>
          <w:szCs w:val="22"/>
        </w:rPr>
        <w:t>, such as AERPAW</w:t>
      </w:r>
      <w:r w:rsidRPr="00DF034A" w:rsidR="00486687">
        <w:rPr>
          <w:szCs w:val="22"/>
        </w:rPr>
        <w:t>?</w:t>
      </w:r>
    </w:p>
    <w:p w:rsidR="00395F13" w:rsidRPr="00DF034A" w:rsidP="00DF034A" w14:paraId="402B2C3D" w14:textId="77777777">
      <w:pPr>
        <w:rPr>
          <w:szCs w:val="22"/>
        </w:rPr>
      </w:pPr>
    </w:p>
    <w:p w:rsidR="00A0039A" w:rsidRPr="00DF034A" w:rsidP="00CB1CCC" w14:paraId="352859EB" w14:textId="654C5CD6">
      <w:pPr>
        <w:ind w:firstLine="720"/>
        <w:rPr>
          <w:szCs w:val="22"/>
        </w:rPr>
      </w:pPr>
      <w:r w:rsidRPr="00DF034A">
        <w:rPr>
          <w:b/>
          <w:bCs/>
          <w:i/>
          <w:iCs/>
          <w:szCs w:val="22"/>
        </w:rPr>
        <w:t xml:space="preserve">Clarifying the </w:t>
      </w:r>
      <w:r w:rsidRPr="00DF034A" w:rsidR="00647747">
        <w:rPr>
          <w:b/>
          <w:bCs/>
          <w:i/>
          <w:iCs/>
          <w:szCs w:val="22"/>
        </w:rPr>
        <w:t>Permissible Use</w:t>
      </w:r>
      <w:r w:rsidRPr="00DF034A">
        <w:rPr>
          <w:b/>
          <w:bCs/>
          <w:i/>
          <w:iCs/>
          <w:szCs w:val="22"/>
        </w:rPr>
        <w:t xml:space="preserve"> of </w:t>
      </w:r>
      <w:r w:rsidRPr="00DF034A" w:rsidR="00072C2F">
        <w:rPr>
          <w:b/>
          <w:bCs/>
          <w:i/>
          <w:iCs/>
          <w:szCs w:val="22"/>
        </w:rPr>
        <w:t>C</w:t>
      </w:r>
      <w:r w:rsidRPr="00DF034A">
        <w:rPr>
          <w:b/>
          <w:bCs/>
          <w:i/>
          <w:iCs/>
          <w:szCs w:val="22"/>
        </w:rPr>
        <w:t>ounter</w:t>
      </w:r>
      <w:r w:rsidRPr="00DF034A" w:rsidR="001504F8">
        <w:rPr>
          <w:b/>
          <w:bCs/>
          <w:i/>
          <w:iCs/>
          <w:szCs w:val="22"/>
        </w:rPr>
        <w:t>-</w:t>
      </w:r>
      <w:r w:rsidRPr="00DF034A">
        <w:rPr>
          <w:b/>
          <w:bCs/>
          <w:i/>
          <w:iCs/>
          <w:szCs w:val="22"/>
        </w:rPr>
        <w:t xml:space="preserve">UAS.  </w:t>
      </w:r>
      <w:r w:rsidRPr="00DF034A" w:rsidR="0089499F">
        <w:rPr>
          <w:szCs w:val="22"/>
        </w:rPr>
        <w:t xml:space="preserve">Counter-UAS refers to technologies, systems, or operations designed to detect, track, identify, and, where authorized, mitigate or disable </w:t>
      </w:r>
      <w:r w:rsidRPr="00DF034A" w:rsidR="00EE03AB">
        <w:rPr>
          <w:szCs w:val="22"/>
        </w:rPr>
        <w:t>UAS</w:t>
      </w:r>
      <w:r w:rsidRPr="00DF034A" w:rsidR="0089499F">
        <w:rPr>
          <w:szCs w:val="22"/>
        </w:rPr>
        <w:t xml:space="preserve"> that pose a threat to safety, security, or regulatory compliance</w:t>
      </w:r>
      <w:r w:rsidR="00CB1CCC">
        <w:rPr>
          <w:szCs w:val="22"/>
        </w:rPr>
        <w:t xml:space="preserve">.  </w:t>
      </w:r>
      <w:r w:rsidRPr="00DF034A" w:rsidR="00EE03AB">
        <w:rPr>
          <w:szCs w:val="22"/>
        </w:rPr>
        <w:t>Although the Commission’s rules do not specifically regulate</w:t>
      </w:r>
      <w:r w:rsidRPr="00DF034A" w:rsidR="0089499F">
        <w:rPr>
          <w:szCs w:val="22"/>
        </w:rPr>
        <w:t xml:space="preserve"> C</w:t>
      </w:r>
      <w:r w:rsidRPr="00DF034A" w:rsidR="008175FA">
        <w:rPr>
          <w:szCs w:val="22"/>
        </w:rPr>
        <w:t>ounter</w:t>
      </w:r>
      <w:r w:rsidRPr="00DF034A" w:rsidR="0089499F">
        <w:rPr>
          <w:szCs w:val="22"/>
        </w:rPr>
        <w:t xml:space="preserve">-UAS </w:t>
      </w:r>
      <w:r w:rsidRPr="00DF034A" w:rsidR="00EE03AB">
        <w:rPr>
          <w:szCs w:val="22"/>
        </w:rPr>
        <w:t>as a discrete category</w:t>
      </w:r>
      <w:r w:rsidRPr="00DF034A" w:rsidR="0089499F">
        <w:rPr>
          <w:szCs w:val="22"/>
        </w:rPr>
        <w:t>,</w:t>
      </w:r>
      <w:r w:rsidRPr="00DF034A" w:rsidR="00EF5EF5">
        <w:rPr>
          <w:szCs w:val="22"/>
        </w:rPr>
        <w:t xml:space="preserve"> </w:t>
      </w:r>
      <w:r w:rsidRPr="00DF034A" w:rsidR="008175FA">
        <w:rPr>
          <w:szCs w:val="22"/>
        </w:rPr>
        <w:t>the Communications Act and</w:t>
      </w:r>
      <w:r w:rsidRPr="00DF034A" w:rsidR="0089499F">
        <w:rPr>
          <w:szCs w:val="22"/>
        </w:rPr>
        <w:t xml:space="preserve"> FCC regulations</w:t>
      </w:r>
      <w:r w:rsidRPr="00DF034A" w:rsidR="008175FA">
        <w:rPr>
          <w:szCs w:val="22"/>
        </w:rPr>
        <w:t xml:space="preserve"> may nonetheless pose barriers to Counter-UAS deployment.  We seek comment on any such barriers and reforms </w:t>
      </w:r>
      <w:r w:rsidR="00AB159A">
        <w:rPr>
          <w:szCs w:val="22"/>
        </w:rPr>
        <w:t>to address them</w:t>
      </w:r>
      <w:r w:rsidR="00CB1CCC">
        <w:rPr>
          <w:szCs w:val="22"/>
        </w:rPr>
        <w:t>, including Section 333</w:t>
      </w:r>
      <w:r w:rsidRPr="00DF034A" w:rsidR="008175FA">
        <w:rPr>
          <w:szCs w:val="22"/>
        </w:rPr>
        <w:t xml:space="preserve"> </w:t>
      </w:r>
      <w:r w:rsidRPr="00DF034A" w:rsidR="0089499F">
        <w:rPr>
          <w:szCs w:val="22"/>
        </w:rPr>
        <w:t>of the Communications Act of 1934</w:t>
      </w:r>
      <w:r w:rsidR="00CB1CCC">
        <w:rPr>
          <w:szCs w:val="22"/>
        </w:rPr>
        <w:t>, which</w:t>
      </w:r>
      <w:r w:rsidRPr="00DF034A" w:rsidR="00E90A01">
        <w:rPr>
          <w:szCs w:val="22"/>
        </w:rPr>
        <w:t xml:space="preserve"> </w:t>
      </w:r>
      <w:r w:rsidR="00AB159A">
        <w:rPr>
          <w:szCs w:val="22"/>
        </w:rPr>
        <w:t>provides</w:t>
      </w:r>
      <w:r w:rsidRPr="00DF034A" w:rsidR="00E90A01">
        <w:rPr>
          <w:szCs w:val="22"/>
        </w:rPr>
        <w:t>:</w:t>
      </w:r>
      <w:r w:rsidRPr="00DF034A" w:rsidR="0089499F">
        <w:rPr>
          <w:szCs w:val="22"/>
        </w:rPr>
        <w:t xml:space="preserve"> </w:t>
      </w:r>
      <w:r w:rsidR="00720950">
        <w:rPr>
          <w:szCs w:val="22"/>
        </w:rPr>
        <w:t xml:space="preserve"> </w:t>
      </w:r>
      <w:r w:rsidRPr="00DF034A" w:rsidR="0089499F">
        <w:rPr>
          <w:szCs w:val="22"/>
        </w:rPr>
        <w:t xml:space="preserve">“No person shall willfully or maliciously interfere with or cause interference to any radio communications of any station licensed or authorized </w:t>
      </w:r>
      <w:r w:rsidR="00D012A4">
        <w:rPr>
          <w:szCs w:val="22"/>
        </w:rPr>
        <w:t xml:space="preserve">by or </w:t>
      </w:r>
      <w:r w:rsidRPr="00DF034A" w:rsidR="0089499F">
        <w:rPr>
          <w:szCs w:val="22"/>
        </w:rPr>
        <w:t xml:space="preserve">under this </w:t>
      </w:r>
      <w:r w:rsidR="00D012A4">
        <w:rPr>
          <w:szCs w:val="22"/>
        </w:rPr>
        <w:t>chapter</w:t>
      </w:r>
      <w:r w:rsidRPr="00DF034A" w:rsidR="0089499F">
        <w:rPr>
          <w:szCs w:val="22"/>
        </w:rPr>
        <w:t>.”</w:t>
      </w:r>
      <w:r w:rsidRPr="00DF034A">
        <w:rPr>
          <w:szCs w:val="22"/>
        </w:rPr>
        <w:t xml:space="preserve">  </w:t>
      </w:r>
    </w:p>
    <w:p w:rsidR="00DF61F6" w:rsidRPr="00DF034A" w:rsidP="00DF034A" w14:paraId="096796D6" w14:textId="2B23A988">
      <w:pPr>
        <w:rPr>
          <w:szCs w:val="22"/>
        </w:rPr>
      </w:pPr>
    </w:p>
    <w:p w:rsidR="00F57974" w:rsidP="00DF034A" w14:paraId="2EF7B99D" w14:textId="4F6BF52F">
      <w:pPr>
        <w:ind w:firstLine="720"/>
        <w:rPr>
          <w:szCs w:val="22"/>
        </w:rPr>
      </w:pPr>
      <w:r>
        <w:rPr>
          <w:b/>
          <w:bCs/>
          <w:i/>
          <w:iCs/>
          <w:szCs w:val="22"/>
        </w:rPr>
        <w:t>Modernizing</w:t>
      </w:r>
      <w:r w:rsidRPr="00DF034A" w:rsidR="00DF61F6">
        <w:rPr>
          <w:b/>
          <w:bCs/>
          <w:i/>
          <w:iCs/>
          <w:szCs w:val="22"/>
        </w:rPr>
        <w:t xml:space="preserve"> </w:t>
      </w:r>
      <w:r>
        <w:rPr>
          <w:b/>
          <w:bCs/>
          <w:i/>
          <w:iCs/>
          <w:szCs w:val="22"/>
        </w:rPr>
        <w:t>Coordination</w:t>
      </w:r>
      <w:r w:rsidRPr="00DF034A" w:rsidR="00DF61F6">
        <w:rPr>
          <w:b/>
          <w:bCs/>
          <w:i/>
          <w:iCs/>
          <w:szCs w:val="22"/>
        </w:rPr>
        <w:t xml:space="preserve">.  </w:t>
      </w:r>
      <w:bookmarkEnd w:id="3"/>
      <w:r w:rsidRPr="00F64502">
        <w:rPr>
          <w:szCs w:val="22"/>
        </w:rPr>
        <w:t>Existing coordination</w:t>
      </w:r>
      <w:r w:rsidR="00376DFB">
        <w:rPr>
          <w:szCs w:val="22"/>
        </w:rPr>
        <w:t xml:space="preserve"> or notification</w:t>
      </w:r>
      <w:r w:rsidRPr="00F64502">
        <w:rPr>
          <w:szCs w:val="22"/>
        </w:rPr>
        <w:t xml:space="preserve"> procedures</w:t>
      </w:r>
      <w:r w:rsidR="00376DFB">
        <w:rPr>
          <w:szCs w:val="22"/>
        </w:rPr>
        <w:t xml:space="preserve">, which were </w:t>
      </w:r>
      <w:r w:rsidRPr="00F64502" w:rsidR="00F64502">
        <w:rPr>
          <w:szCs w:val="22"/>
        </w:rPr>
        <w:t xml:space="preserve">designed to protect non-Federal </w:t>
      </w:r>
      <w:r w:rsidR="004C2003">
        <w:rPr>
          <w:szCs w:val="22"/>
        </w:rPr>
        <w:t>or</w:t>
      </w:r>
      <w:r w:rsidRPr="00F64502" w:rsidR="00F64502">
        <w:rPr>
          <w:szCs w:val="22"/>
        </w:rPr>
        <w:t xml:space="preserve"> Federal spectrum users</w:t>
      </w:r>
      <w:r w:rsidRPr="00F64502">
        <w:rPr>
          <w:szCs w:val="22"/>
        </w:rPr>
        <w:t xml:space="preserve"> </w:t>
      </w:r>
      <w:r w:rsidR="004C2003">
        <w:rPr>
          <w:szCs w:val="22"/>
        </w:rPr>
        <w:t>from harmful interference</w:t>
      </w:r>
      <w:r w:rsidR="00376DFB">
        <w:rPr>
          <w:szCs w:val="22"/>
        </w:rPr>
        <w:t>,</w:t>
      </w:r>
      <w:r w:rsidR="004C2003">
        <w:rPr>
          <w:szCs w:val="22"/>
        </w:rPr>
        <w:t xml:space="preserve"> </w:t>
      </w:r>
      <w:r w:rsidRPr="00F64502">
        <w:rPr>
          <w:szCs w:val="22"/>
        </w:rPr>
        <w:t xml:space="preserve">may </w:t>
      </w:r>
      <w:r>
        <w:rPr>
          <w:szCs w:val="22"/>
        </w:rPr>
        <w:t xml:space="preserve">nonetheless </w:t>
      </w:r>
      <w:r w:rsidRPr="00F64502">
        <w:rPr>
          <w:szCs w:val="22"/>
        </w:rPr>
        <w:t>restrict the use of UAS or Counter-UAS</w:t>
      </w:r>
      <w:r w:rsidRPr="00F64502" w:rsidR="00F64502">
        <w:rPr>
          <w:szCs w:val="22"/>
        </w:rPr>
        <w:t xml:space="preserve"> operations</w:t>
      </w:r>
      <w:r>
        <w:rPr>
          <w:szCs w:val="22"/>
        </w:rPr>
        <w:t xml:space="preserve"> more than</w:t>
      </w:r>
      <w:r w:rsidR="00376DFB">
        <w:rPr>
          <w:szCs w:val="22"/>
        </w:rPr>
        <w:t xml:space="preserve"> </w:t>
      </w:r>
      <w:r>
        <w:rPr>
          <w:szCs w:val="22"/>
        </w:rPr>
        <w:t>necessary</w:t>
      </w:r>
      <w:r w:rsidR="00376DFB">
        <w:rPr>
          <w:szCs w:val="22"/>
        </w:rPr>
        <w:t xml:space="preserve"> today</w:t>
      </w:r>
      <w:r w:rsidRPr="00F64502" w:rsidR="00F64502">
        <w:rPr>
          <w:szCs w:val="22"/>
        </w:rPr>
        <w:t xml:space="preserve">.  We seek comment on </w:t>
      </w:r>
      <w:r w:rsidR="00376DFB">
        <w:rPr>
          <w:szCs w:val="22"/>
        </w:rPr>
        <w:t xml:space="preserve">whether, and </w:t>
      </w:r>
      <w:r w:rsidRPr="00F64502" w:rsidR="00F64502">
        <w:rPr>
          <w:szCs w:val="22"/>
        </w:rPr>
        <w:t>the extent to which</w:t>
      </w:r>
      <w:r w:rsidR="00376DFB">
        <w:rPr>
          <w:szCs w:val="22"/>
        </w:rPr>
        <w:t xml:space="preserve">, </w:t>
      </w:r>
      <w:r w:rsidR="004C2003">
        <w:rPr>
          <w:szCs w:val="22"/>
        </w:rPr>
        <w:t>the Commission’s rules</w:t>
      </w:r>
      <w:r w:rsidR="00376DFB">
        <w:rPr>
          <w:szCs w:val="22"/>
        </w:rPr>
        <w:t xml:space="preserve"> are overprotective in that regard</w:t>
      </w:r>
      <w:r w:rsidRPr="00F64502" w:rsidR="00F64502">
        <w:rPr>
          <w:szCs w:val="22"/>
        </w:rPr>
        <w:t>.</w:t>
      </w:r>
      <w:r w:rsidR="004C2003">
        <w:rPr>
          <w:szCs w:val="22"/>
        </w:rPr>
        <w:t xml:space="preserve">  </w:t>
      </w:r>
      <w:r>
        <w:rPr>
          <w:szCs w:val="22"/>
        </w:rPr>
        <w:t>Would</w:t>
      </w:r>
      <w:r w:rsidR="004C2003">
        <w:rPr>
          <w:szCs w:val="22"/>
        </w:rPr>
        <w:t xml:space="preserve"> it </w:t>
      </w:r>
      <w:r>
        <w:rPr>
          <w:szCs w:val="22"/>
        </w:rPr>
        <w:t xml:space="preserve">be </w:t>
      </w:r>
      <w:r w:rsidR="004C2003">
        <w:rPr>
          <w:szCs w:val="22"/>
        </w:rPr>
        <w:t>feasible for the FCC streamline its coordination or notification requirements to enable more intensive use of a</w:t>
      </w:r>
      <w:r w:rsidR="003064B9">
        <w:rPr>
          <w:szCs w:val="22"/>
        </w:rPr>
        <w:t>e</w:t>
      </w:r>
      <w:r w:rsidR="004C2003">
        <w:rPr>
          <w:szCs w:val="22"/>
        </w:rPr>
        <w:t>rial technologies while avoiding disruption to spectrum</w:t>
      </w:r>
      <w:r w:rsidR="00376DFB">
        <w:rPr>
          <w:szCs w:val="22"/>
        </w:rPr>
        <w:t>-based operations that have greater priority</w:t>
      </w:r>
      <w:r w:rsidR="004C2003">
        <w:rPr>
          <w:szCs w:val="22"/>
        </w:rPr>
        <w:t xml:space="preserve">?  Commenters </w:t>
      </w:r>
      <w:r w:rsidR="00376DFB">
        <w:rPr>
          <w:szCs w:val="22"/>
        </w:rPr>
        <w:t>should</w:t>
      </w:r>
      <w:r w:rsidR="004C2003">
        <w:rPr>
          <w:szCs w:val="22"/>
        </w:rPr>
        <w:t xml:space="preserve"> provide specific </w:t>
      </w:r>
      <w:r>
        <w:rPr>
          <w:szCs w:val="22"/>
        </w:rPr>
        <w:t>comment</w:t>
      </w:r>
      <w:r w:rsidR="004C2003">
        <w:rPr>
          <w:szCs w:val="22"/>
        </w:rPr>
        <w:t xml:space="preserve"> as to the nature of any existing burdens </w:t>
      </w:r>
      <w:r w:rsidR="008D49D3">
        <w:rPr>
          <w:szCs w:val="22"/>
        </w:rPr>
        <w:t xml:space="preserve">created by coordination requirements </w:t>
      </w:r>
      <w:r w:rsidR="004C2003">
        <w:rPr>
          <w:szCs w:val="22"/>
        </w:rPr>
        <w:t xml:space="preserve">and </w:t>
      </w:r>
      <w:r w:rsidR="008D49D3">
        <w:rPr>
          <w:szCs w:val="22"/>
        </w:rPr>
        <w:t>offer</w:t>
      </w:r>
      <w:r w:rsidR="004C2003">
        <w:rPr>
          <w:szCs w:val="22"/>
        </w:rPr>
        <w:t xml:space="preserve"> concrete proposals to reduce those burdens without creating a significant risk of harmful interference</w:t>
      </w:r>
      <w:r w:rsidR="008D49D3">
        <w:rPr>
          <w:szCs w:val="22"/>
        </w:rPr>
        <w:t xml:space="preserve"> to protected services</w:t>
      </w:r>
      <w:r w:rsidR="004C2003">
        <w:rPr>
          <w:szCs w:val="22"/>
        </w:rPr>
        <w:t xml:space="preserve">.  </w:t>
      </w:r>
      <w:r w:rsidRPr="00F64502" w:rsidR="00F64502">
        <w:rPr>
          <w:szCs w:val="22"/>
        </w:rPr>
        <w:t xml:space="preserve"> </w:t>
      </w:r>
    </w:p>
    <w:p w:rsidR="00F57974" w:rsidP="00DF034A" w14:paraId="25D2058B" w14:textId="77777777">
      <w:pPr>
        <w:ind w:firstLine="720"/>
        <w:rPr>
          <w:szCs w:val="22"/>
        </w:rPr>
      </w:pPr>
    </w:p>
    <w:p w:rsidR="00D763CE" w:rsidRPr="00177923" w:rsidP="00DF034A" w14:paraId="2B51D6B8" w14:textId="3D17EB48">
      <w:pPr>
        <w:ind w:firstLine="720"/>
        <w:rPr>
          <w:b/>
          <w:bCs/>
          <w:szCs w:val="22"/>
        </w:rPr>
      </w:pPr>
      <w:r>
        <w:rPr>
          <w:b/>
          <w:bCs/>
          <w:i/>
          <w:iCs/>
          <w:szCs w:val="22"/>
        </w:rPr>
        <w:t>Creating Market-Based Incentives</w:t>
      </w:r>
      <w:r w:rsidRPr="00F57974" w:rsidR="00F57974">
        <w:rPr>
          <w:b/>
          <w:bCs/>
          <w:i/>
          <w:iCs/>
          <w:szCs w:val="22"/>
        </w:rPr>
        <w:t>.</w:t>
      </w:r>
      <w:r w:rsidR="00F57974">
        <w:rPr>
          <w:szCs w:val="22"/>
        </w:rPr>
        <w:t xml:space="preserve">  The Commission has long recognized that secondary markets </w:t>
      </w:r>
      <w:r>
        <w:rPr>
          <w:szCs w:val="22"/>
        </w:rPr>
        <w:t xml:space="preserve">can </w:t>
      </w:r>
      <w:r w:rsidR="00F57974">
        <w:rPr>
          <w:szCs w:val="22"/>
        </w:rPr>
        <w:t xml:space="preserve">offer a win-win mechanism to bring underused spectrum to more productive use.  In special situations, the Commission has affirmatively incentivized such private transactions.  For example, the </w:t>
      </w:r>
      <w:r w:rsidRPr="00F57974" w:rsidR="00F57974">
        <w:rPr>
          <w:szCs w:val="22"/>
        </w:rPr>
        <w:t>Enhanced Competition Incentive Program</w:t>
      </w:r>
      <w:r w:rsidR="00F57974">
        <w:rPr>
          <w:szCs w:val="22"/>
        </w:rPr>
        <w:t xml:space="preserve"> (ECIP</w:t>
      </w:r>
      <w:r w:rsidRPr="00F57974" w:rsidR="00F57974">
        <w:rPr>
          <w:szCs w:val="22"/>
        </w:rPr>
        <w:t xml:space="preserve">) </w:t>
      </w:r>
      <w:r w:rsidR="00F57974">
        <w:rPr>
          <w:szCs w:val="22"/>
        </w:rPr>
        <w:t>was designed to</w:t>
      </w:r>
      <w:r w:rsidRPr="00F57974" w:rsidR="00F57974">
        <w:rPr>
          <w:szCs w:val="22"/>
        </w:rPr>
        <w:t xml:space="preserve"> boost wireless competition and rural broadband by incentivizing license holders to share spectrum with small carriers and Tribal Nations, offering benefits like longer licenses and flexible build-out rules for beneficial transactions like partitioning, disaggregation, or leasing underutilized airwaves. </w:t>
      </w:r>
      <w:r w:rsidR="0001362F">
        <w:rPr>
          <w:szCs w:val="22"/>
        </w:rPr>
        <w:t xml:space="preserve"> </w:t>
      </w:r>
      <w:r w:rsidR="00F57974">
        <w:rPr>
          <w:szCs w:val="22"/>
        </w:rPr>
        <w:t xml:space="preserve">Could we consider similar inducements to promote UAS operations or other </w:t>
      </w:r>
      <w:r>
        <w:rPr>
          <w:szCs w:val="22"/>
        </w:rPr>
        <w:t>kinds</w:t>
      </w:r>
      <w:r w:rsidR="00F57974">
        <w:rPr>
          <w:szCs w:val="22"/>
        </w:rPr>
        <w:t xml:space="preserve"> of a</w:t>
      </w:r>
      <w:r w:rsidR="00527F3D">
        <w:rPr>
          <w:szCs w:val="22"/>
        </w:rPr>
        <w:t>e</w:t>
      </w:r>
      <w:r w:rsidR="00F57974">
        <w:rPr>
          <w:szCs w:val="22"/>
        </w:rPr>
        <w:t xml:space="preserve">rial testing?  Commenters are encouraged to provide specific proposals </w:t>
      </w:r>
      <w:r>
        <w:rPr>
          <w:szCs w:val="22"/>
        </w:rPr>
        <w:t>about how to structure such market-based incentives</w:t>
      </w:r>
      <w:r w:rsidR="00F57974">
        <w:rPr>
          <w:szCs w:val="22"/>
        </w:rPr>
        <w:t xml:space="preserve">.  </w:t>
      </w:r>
    </w:p>
    <w:p w:rsidR="003D5608" w:rsidRPr="00DF034A" w:rsidP="00DF034A" w14:paraId="3AAA2706" w14:textId="77777777">
      <w:pPr>
        <w:rPr>
          <w:szCs w:val="22"/>
        </w:rPr>
      </w:pPr>
    </w:p>
    <w:p w:rsidR="00A8286C" w:rsidRPr="00DF034A" w:rsidP="00DF034A" w14:paraId="62AAD7C2" w14:textId="49C7493C">
      <w:pPr>
        <w:ind w:firstLine="720"/>
        <w:rPr>
          <w:szCs w:val="22"/>
        </w:rPr>
      </w:pPr>
      <w:r w:rsidRPr="00DF034A">
        <w:rPr>
          <w:b/>
          <w:bCs/>
          <w:i/>
          <w:iCs/>
          <w:szCs w:val="22"/>
        </w:rPr>
        <w:t xml:space="preserve">Law </w:t>
      </w:r>
      <w:r w:rsidR="001A34B1">
        <w:rPr>
          <w:b/>
          <w:bCs/>
          <w:i/>
          <w:iCs/>
          <w:szCs w:val="22"/>
        </w:rPr>
        <w:t>Enforcement Use of</w:t>
      </w:r>
      <w:r w:rsidRPr="00DF034A">
        <w:rPr>
          <w:b/>
          <w:bCs/>
          <w:i/>
          <w:iCs/>
          <w:szCs w:val="22"/>
        </w:rPr>
        <w:t xml:space="preserve"> UAS.</w:t>
      </w:r>
      <w:r w:rsidRPr="00DF034A">
        <w:rPr>
          <w:szCs w:val="22"/>
        </w:rPr>
        <w:t xml:space="preserve"> </w:t>
      </w:r>
      <w:r w:rsidR="0001362F">
        <w:rPr>
          <w:szCs w:val="22"/>
        </w:rPr>
        <w:t xml:space="preserve"> </w:t>
      </w:r>
      <w:r w:rsidRPr="00DF034A">
        <w:rPr>
          <w:szCs w:val="22"/>
        </w:rPr>
        <w:t xml:space="preserve">While the Commission does not directly </w:t>
      </w:r>
      <w:r w:rsidRPr="00DF034A" w:rsidR="00F92ABF">
        <w:rPr>
          <w:szCs w:val="22"/>
        </w:rPr>
        <w:t xml:space="preserve">procure UAS, </w:t>
      </w:r>
      <w:r w:rsidRPr="00DF034A" w:rsidR="00000B16">
        <w:rPr>
          <w:szCs w:val="22"/>
        </w:rPr>
        <w:t>the Commission does often coordinate with State, Lo</w:t>
      </w:r>
      <w:r w:rsidRPr="00DF034A" w:rsidR="005E7B9D">
        <w:rPr>
          <w:szCs w:val="22"/>
        </w:rPr>
        <w:t xml:space="preserve">cal, Tribal, and Territorial (SLTT) </w:t>
      </w:r>
      <w:r w:rsidRPr="00DF034A" w:rsidR="007018FD">
        <w:rPr>
          <w:szCs w:val="22"/>
        </w:rPr>
        <w:t xml:space="preserve">law enforcement </w:t>
      </w:r>
      <w:r w:rsidRPr="00DF034A" w:rsidR="009D3D55">
        <w:rPr>
          <w:szCs w:val="22"/>
        </w:rPr>
        <w:t xml:space="preserve">agencies </w:t>
      </w:r>
      <w:r w:rsidRPr="00DF034A" w:rsidR="007018FD">
        <w:rPr>
          <w:szCs w:val="22"/>
        </w:rPr>
        <w:t xml:space="preserve">that frequently procure UAS.  SLTT law enforcement </w:t>
      </w:r>
      <w:r w:rsidRPr="00DF034A" w:rsidR="00844524">
        <w:rPr>
          <w:szCs w:val="22"/>
        </w:rPr>
        <w:t>agencies often procure UAS produced by foreign adversary entities.</w:t>
      </w:r>
      <w:r>
        <w:rPr>
          <w:rStyle w:val="FootnoteReference"/>
          <w:szCs w:val="22"/>
        </w:rPr>
        <w:footnoteReference w:id="30"/>
      </w:r>
      <w:r w:rsidRPr="00DF034A" w:rsidR="00844524">
        <w:rPr>
          <w:szCs w:val="22"/>
        </w:rPr>
        <w:t xml:space="preserve"> </w:t>
      </w:r>
      <w:r w:rsidRPr="00DF034A" w:rsidR="009D3D55">
        <w:rPr>
          <w:szCs w:val="22"/>
        </w:rPr>
        <w:t xml:space="preserve"> This seems especially problematic, given the sensitivity of the law enforcement missions.  We seek comment on whether this correct.  If so, how can the </w:t>
      </w:r>
      <w:r w:rsidRPr="00DF034A" w:rsidR="00375068">
        <w:rPr>
          <w:szCs w:val="22"/>
        </w:rPr>
        <w:t>Commission</w:t>
      </w:r>
      <w:r w:rsidRPr="00DF034A" w:rsidR="009D3D55">
        <w:rPr>
          <w:szCs w:val="22"/>
        </w:rPr>
        <w:t xml:space="preserve"> work with SLTT law enforcement to encourage the use of U.S.-made UAS</w:t>
      </w:r>
      <w:r w:rsidRPr="00DF034A" w:rsidR="006B1758">
        <w:rPr>
          <w:szCs w:val="22"/>
        </w:rPr>
        <w:t xml:space="preserve">? </w:t>
      </w:r>
      <w:r w:rsidRPr="00DF034A" w:rsidR="00375068">
        <w:rPr>
          <w:szCs w:val="22"/>
        </w:rPr>
        <w:t xml:space="preserve"> For example, should the Commission publish a trusted UAS list </w:t>
      </w:r>
      <w:r w:rsidRPr="00DF034A" w:rsidR="003356C5">
        <w:rPr>
          <w:szCs w:val="22"/>
        </w:rPr>
        <w:t>or issue public safety guidance recommending our SLTT partners prioritize U.S.-made drones?</w:t>
      </w:r>
      <w:r w:rsidRPr="00DF034A" w:rsidR="002430C5">
        <w:rPr>
          <w:szCs w:val="22"/>
        </w:rPr>
        <w:t xml:space="preserve"> </w:t>
      </w:r>
      <w:r w:rsidRPr="00DF034A" w:rsidR="2AEDE056">
        <w:rPr>
          <w:szCs w:val="22"/>
        </w:rPr>
        <w:t xml:space="preserve"> Should the Commission leverage its private sector relationships to promote the use of U.S.-made drones?  </w:t>
      </w:r>
    </w:p>
    <w:p w:rsidR="000561A9" w:rsidRPr="00DF034A" w:rsidP="00DF034A" w14:paraId="66A804AB" w14:textId="56C804F6">
      <w:pPr>
        <w:rPr>
          <w:szCs w:val="22"/>
        </w:rPr>
      </w:pPr>
      <w:r w:rsidRPr="00DF034A">
        <w:rPr>
          <w:szCs w:val="22"/>
        </w:rPr>
        <w:tab/>
      </w:r>
    </w:p>
    <w:p w:rsidR="00166E9E" w:rsidP="00166E9E" w14:paraId="1E88FFCC" w14:textId="77777777">
      <w:pPr>
        <w:rPr>
          <w:szCs w:val="22"/>
        </w:rPr>
      </w:pPr>
      <w:r w:rsidRPr="00DF034A">
        <w:rPr>
          <w:szCs w:val="22"/>
        </w:rPr>
        <w:tab/>
      </w:r>
      <w:r w:rsidRPr="00DF034A" w:rsidR="00084E41">
        <w:rPr>
          <w:szCs w:val="22"/>
        </w:rPr>
        <w:t xml:space="preserve">We also broadly seek comment on any other way that the Commission could—through rule-makings, </w:t>
      </w:r>
      <w:r w:rsidRPr="00DF034A" w:rsidR="00E84EBB">
        <w:rPr>
          <w:szCs w:val="22"/>
        </w:rPr>
        <w:t xml:space="preserve">enforcement, and </w:t>
      </w:r>
      <w:r w:rsidR="0001362F">
        <w:rPr>
          <w:szCs w:val="22"/>
        </w:rPr>
        <w:t>public statements</w:t>
      </w:r>
      <w:r w:rsidRPr="00DF034A" w:rsidR="00E84EBB">
        <w:rPr>
          <w:szCs w:val="22"/>
        </w:rPr>
        <w:t>—</w:t>
      </w:r>
      <w:r w:rsidRPr="00DF034A" w:rsidR="006D4532">
        <w:rPr>
          <w:szCs w:val="22"/>
        </w:rPr>
        <w:t xml:space="preserve">promote and accelerate the deployment of UAS and UAS critical components. </w:t>
      </w:r>
      <w:r w:rsidRPr="00DF034A" w:rsidR="00D32F64">
        <w:rPr>
          <w:szCs w:val="22"/>
        </w:rPr>
        <w:t xml:space="preserve"> </w:t>
      </w:r>
    </w:p>
    <w:p w:rsidR="00166E9E" w:rsidP="00166E9E" w14:paraId="5D6A1BDC" w14:textId="77777777">
      <w:pPr>
        <w:rPr>
          <w:szCs w:val="22"/>
        </w:rPr>
      </w:pPr>
    </w:p>
    <w:p w:rsidR="00166E9E" w:rsidP="00166E9E" w14:paraId="56FE2B62" w14:textId="4C43BB02">
      <w:pPr>
        <w:ind w:firstLine="720"/>
        <w:rPr>
          <w:szCs w:val="22"/>
        </w:rPr>
      </w:pPr>
      <w:r w:rsidRPr="00D05B49">
        <w:rPr>
          <w:b/>
          <w:i/>
          <w:szCs w:val="22"/>
        </w:rPr>
        <w:t xml:space="preserve">Central UAS/C-UAS </w:t>
      </w:r>
      <w:r>
        <w:rPr>
          <w:b/>
          <w:i/>
          <w:szCs w:val="22"/>
        </w:rPr>
        <w:t xml:space="preserve">Information </w:t>
      </w:r>
      <w:r w:rsidRPr="00D05B49">
        <w:rPr>
          <w:b/>
          <w:i/>
          <w:szCs w:val="22"/>
        </w:rPr>
        <w:t>Resource</w:t>
      </w:r>
      <w:r w:rsidRPr="00D05B49">
        <w:rPr>
          <w:b/>
          <w:bCs/>
          <w:szCs w:val="22"/>
        </w:rPr>
        <w:t>.</w:t>
      </w:r>
      <w:r w:rsidRPr="00D05B49">
        <w:rPr>
          <w:b/>
          <w:szCs w:val="22"/>
        </w:rPr>
        <w:t xml:space="preserve">  </w:t>
      </w:r>
      <w:r>
        <w:rPr>
          <w:b/>
          <w:bCs/>
          <w:szCs w:val="22"/>
        </w:rPr>
        <w:t xml:space="preserve"> </w:t>
      </w:r>
      <w:r w:rsidRPr="00D05B49">
        <w:rPr>
          <w:szCs w:val="22"/>
        </w:rPr>
        <w:t xml:space="preserve">To foster investment and expedite the deployment of </w:t>
      </w:r>
      <w:r>
        <w:rPr>
          <w:szCs w:val="22"/>
        </w:rPr>
        <w:t>UAS and Counter-UAS</w:t>
      </w:r>
      <w:r w:rsidRPr="00D05B49">
        <w:rPr>
          <w:szCs w:val="22"/>
        </w:rPr>
        <w:t xml:space="preserve"> technology, </w:t>
      </w:r>
      <w:r>
        <w:rPr>
          <w:szCs w:val="22"/>
        </w:rPr>
        <w:t>we seek comment on whether</w:t>
      </w:r>
      <w:r w:rsidRPr="00D05B49">
        <w:rPr>
          <w:szCs w:val="22"/>
        </w:rPr>
        <w:t xml:space="preserve"> to </w:t>
      </w:r>
      <w:r>
        <w:rPr>
          <w:szCs w:val="22"/>
        </w:rPr>
        <w:t xml:space="preserve">establish </w:t>
      </w:r>
      <w:r w:rsidRPr="003A1FCC">
        <w:rPr>
          <w:szCs w:val="22"/>
        </w:rPr>
        <w:t>a centralized</w:t>
      </w:r>
      <w:r>
        <w:rPr>
          <w:szCs w:val="22"/>
        </w:rPr>
        <w:t xml:space="preserve"> “</w:t>
      </w:r>
      <w:r w:rsidRPr="003A1FCC">
        <w:rPr>
          <w:szCs w:val="22"/>
        </w:rPr>
        <w:t>one-stop-</w:t>
      </w:r>
      <w:r w:rsidRPr="003A1FCC">
        <w:rPr>
          <w:szCs w:val="22"/>
        </w:rPr>
        <w:t>shopping</w:t>
      </w:r>
      <w:r>
        <w:rPr>
          <w:szCs w:val="22"/>
        </w:rPr>
        <w:t>”</w:t>
      </w:r>
      <w:r w:rsidRPr="003A1FCC">
        <w:rPr>
          <w:szCs w:val="22"/>
        </w:rPr>
        <w:t xml:space="preserve"> </w:t>
      </w:r>
      <w:r>
        <w:rPr>
          <w:szCs w:val="22"/>
        </w:rPr>
        <w:t>Commission web-page for UAS and Counter-UAS operators</w:t>
      </w:r>
      <w:r w:rsidRPr="00D05B49">
        <w:rPr>
          <w:szCs w:val="22"/>
        </w:rPr>
        <w:t xml:space="preserve">. </w:t>
      </w:r>
      <w:r>
        <w:rPr>
          <w:szCs w:val="22"/>
        </w:rPr>
        <w:t xml:space="preserve"> </w:t>
      </w:r>
      <w:r w:rsidRPr="00D05B49">
        <w:rPr>
          <w:szCs w:val="22"/>
        </w:rPr>
        <w:t xml:space="preserve">As the </w:t>
      </w:r>
      <w:r>
        <w:rPr>
          <w:szCs w:val="22"/>
        </w:rPr>
        <w:t xml:space="preserve">UAS and Counter-UAS environment develops, providing </w:t>
      </w:r>
      <w:r w:rsidRPr="00D05B49">
        <w:rPr>
          <w:szCs w:val="22"/>
        </w:rPr>
        <w:t xml:space="preserve">a </w:t>
      </w:r>
      <w:r>
        <w:rPr>
          <w:szCs w:val="22"/>
        </w:rPr>
        <w:t xml:space="preserve">centralized information resource to assist UAS and Counter-UAS operators with </w:t>
      </w:r>
      <w:r w:rsidRPr="003A1FCC">
        <w:rPr>
          <w:szCs w:val="22"/>
        </w:rPr>
        <w:t xml:space="preserve">equipment authorizations, </w:t>
      </w:r>
      <w:r>
        <w:rPr>
          <w:szCs w:val="22"/>
        </w:rPr>
        <w:t>spectrum</w:t>
      </w:r>
      <w:r w:rsidRPr="00D05B49">
        <w:rPr>
          <w:szCs w:val="22"/>
        </w:rPr>
        <w:t xml:space="preserve"> licensing, and waiver processes</w:t>
      </w:r>
      <w:r>
        <w:rPr>
          <w:szCs w:val="22"/>
        </w:rPr>
        <w:t xml:space="preserve"> could expedite innovation</w:t>
      </w:r>
      <w:r w:rsidRPr="00D05B49">
        <w:rPr>
          <w:szCs w:val="22"/>
        </w:rPr>
        <w:t xml:space="preserve">. </w:t>
      </w:r>
      <w:r>
        <w:rPr>
          <w:szCs w:val="22"/>
        </w:rPr>
        <w:t xml:space="preserve"> </w:t>
      </w:r>
      <w:r w:rsidRPr="00D05B49">
        <w:rPr>
          <w:szCs w:val="22"/>
        </w:rPr>
        <w:t xml:space="preserve">This </w:t>
      </w:r>
      <w:r>
        <w:rPr>
          <w:szCs w:val="22"/>
        </w:rPr>
        <w:t>resource could</w:t>
      </w:r>
      <w:r w:rsidRPr="00D05B49">
        <w:rPr>
          <w:szCs w:val="22"/>
        </w:rPr>
        <w:t xml:space="preserve"> </w:t>
      </w:r>
      <w:r>
        <w:rPr>
          <w:szCs w:val="22"/>
        </w:rPr>
        <w:t xml:space="preserve">assist </w:t>
      </w:r>
      <w:r w:rsidRPr="003A1FCC">
        <w:rPr>
          <w:szCs w:val="22"/>
        </w:rPr>
        <w:t xml:space="preserve">both commercial operators and public safety entities </w:t>
      </w:r>
      <w:r>
        <w:rPr>
          <w:szCs w:val="22"/>
        </w:rPr>
        <w:t xml:space="preserve">by </w:t>
      </w:r>
      <w:r w:rsidRPr="00D05B49">
        <w:rPr>
          <w:szCs w:val="22"/>
        </w:rPr>
        <w:t>consolidat</w:t>
      </w:r>
      <w:r>
        <w:rPr>
          <w:szCs w:val="22"/>
        </w:rPr>
        <w:t>ing</w:t>
      </w:r>
      <w:r w:rsidRPr="00D05B49">
        <w:rPr>
          <w:szCs w:val="22"/>
        </w:rPr>
        <w:t xml:space="preserve"> </w:t>
      </w:r>
      <w:r>
        <w:rPr>
          <w:szCs w:val="22"/>
        </w:rPr>
        <w:t xml:space="preserve">relevant information, links, precedents, and Commission contacts related to the Commission’s </w:t>
      </w:r>
      <w:r w:rsidRPr="00D05B49">
        <w:rPr>
          <w:szCs w:val="22"/>
        </w:rPr>
        <w:t xml:space="preserve">national security, supply chain, </w:t>
      </w:r>
      <w:r>
        <w:rPr>
          <w:szCs w:val="22"/>
        </w:rPr>
        <w:t xml:space="preserve">equipment, </w:t>
      </w:r>
      <w:r w:rsidRPr="00D05B49">
        <w:rPr>
          <w:szCs w:val="22"/>
        </w:rPr>
        <w:t xml:space="preserve">and spectrum </w:t>
      </w:r>
      <w:r>
        <w:rPr>
          <w:szCs w:val="22"/>
        </w:rPr>
        <w:t>regulations</w:t>
      </w:r>
      <w:r w:rsidRPr="00D05B49">
        <w:rPr>
          <w:szCs w:val="22"/>
        </w:rPr>
        <w:t>.</w:t>
      </w:r>
      <w:r>
        <w:rPr>
          <w:szCs w:val="22"/>
        </w:rPr>
        <w:t xml:space="preserve">  We seek comment on whether, and if so how, the formation of a centralized information resource can facilitate the rapid deployment of UAS and Counter-UAS?</w:t>
      </w:r>
    </w:p>
    <w:p w:rsidR="00166E9E" w:rsidP="00166E9E" w14:paraId="6FD32DFC" w14:textId="77777777">
      <w:pPr>
        <w:rPr>
          <w:szCs w:val="22"/>
        </w:rPr>
      </w:pPr>
    </w:p>
    <w:p w:rsidR="00166E9E" w:rsidRPr="00EA455F" w:rsidP="00166E9E" w14:paraId="1397FF28" w14:textId="77777777">
      <w:pPr>
        <w:rPr>
          <w:szCs w:val="22"/>
        </w:rPr>
      </w:pPr>
      <w:r>
        <w:rPr>
          <w:szCs w:val="22"/>
        </w:rPr>
        <w:tab/>
      </w:r>
      <w:r w:rsidRPr="003A1FCC">
        <w:rPr>
          <w:b/>
          <w:bCs/>
          <w:i/>
          <w:iCs/>
          <w:szCs w:val="22"/>
        </w:rPr>
        <w:t xml:space="preserve">Supporting a Skilled U.S. Drone Workforce.  </w:t>
      </w:r>
      <w:r>
        <w:rPr>
          <w:szCs w:val="22"/>
        </w:rPr>
        <w:t>We seek comment on actions the Commission could take to support</w:t>
      </w:r>
      <w:r w:rsidRPr="00DF034A">
        <w:rPr>
          <w:szCs w:val="22"/>
        </w:rPr>
        <w:t xml:space="preserve"> </w:t>
      </w:r>
      <w:r>
        <w:rPr>
          <w:szCs w:val="22"/>
        </w:rPr>
        <w:t>workforce development needed for American drone dominance.  Strengthening the American drone industrial base will require a highly-skilled workforce to support development, manufacturing, and operation of drones, including in the fields of telecommunications and electrical engineering.</w:t>
      </w:r>
      <w:r>
        <w:rPr>
          <w:rStyle w:val="FootnoteReference"/>
          <w:szCs w:val="22"/>
        </w:rPr>
        <w:footnoteReference w:id="31"/>
      </w:r>
      <w:r>
        <w:rPr>
          <w:szCs w:val="22"/>
        </w:rPr>
        <w:t xml:space="preserve">  How can the Commission partner with industry and other Federal agencies to foster a robust U.S. drone workforce?  </w:t>
      </w:r>
    </w:p>
    <w:p w:rsidR="00DF61F6" w:rsidRPr="00DF034A" w:rsidP="00DF034A" w14:paraId="5BF30228" w14:textId="77777777">
      <w:pPr>
        <w:rPr>
          <w:szCs w:val="22"/>
        </w:rPr>
      </w:pPr>
    </w:p>
    <w:p w:rsidR="00DF61F6" w:rsidRPr="00DF034A" w:rsidP="00DF034A" w14:paraId="580498C2" w14:textId="48FD23BE">
      <w:pPr>
        <w:jc w:val="center"/>
        <w:rPr>
          <w:szCs w:val="22"/>
        </w:rPr>
      </w:pPr>
      <w:r w:rsidRPr="00DF034A">
        <w:rPr>
          <w:szCs w:val="22"/>
        </w:rPr>
        <w:t>*</w:t>
      </w:r>
      <w:r w:rsidRPr="00DF034A">
        <w:rPr>
          <w:szCs w:val="22"/>
        </w:rPr>
        <w:tab/>
        <w:t>*</w:t>
      </w:r>
      <w:r w:rsidRPr="00DF034A">
        <w:rPr>
          <w:szCs w:val="22"/>
        </w:rPr>
        <w:tab/>
        <w:t>*</w:t>
      </w:r>
    </w:p>
    <w:p w:rsidR="00DF61F6" w:rsidRPr="00DF034A" w:rsidP="00DF034A" w14:paraId="695EBBAE" w14:textId="77777777">
      <w:pPr>
        <w:rPr>
          <w:szCs w:val="22"/>
        </w:rPr>
      </w:pPr>
    </w:p>
    <w:p w:rsidR="00155C4B" w:rsidRPr="00DF034A" w:rsidP="00DF034A" w14:paraId="2559176F" w14:textId="68188B5C">
      <w:pPr>
        <w:ind w:firstLine="720"/>
        <w:rPr>
          <w:szCs w:val="22"/>
        </w:rPr>
      </w:pPr>
      <w:r w:rsidRPr="00DF034A">
        <w:rPr>
          <w:szCs w:val="22"/>
        </w:rPr>
        <w:t>We</w:t>
      </w:r>
      <w:r w:rsidRPr="00DF034A" w:rsidR="00F530CD">
        <w:rPr>
          <w:szCs w:val="22"/>
        </w:rPr>
        <w:t xml:space="preserve"> set deadlines for filing comments and reply comments at 30 and </w:t>
      </w:r>
      <w:r w:rsidR="001A34B1">
        <w:rPr>
          <w:szCs w:val="22"/>
        </w:rPr>
        <w:t>45</w:t>
      </w:r>
      <w:r w:rsidRPr="00DF034A" w:rsidR="00F530CD">
        <w:rPr>
          <w:szCs w:val="22"/>
        </w:rPr>
        <w:t xml:space="preserve"> days, respectively, </w:t>
      </w:r>
      <w:r w:rsidRPr="00DF034A">
        <w:rPr>
          <w:szCs w:val="22"/>
        </w:rPr>
        <w:t>from the date of this Public Notice’s release</w:t>
      </w:r>
      <w:r w:rsidRPr="00DF034A" w:rsidR="00F530CD">
        <w:rPr>
          <w:szCs w:val="22"/>
        </w:rPr>
        <w:t>.</w:t>
      </w:r>
      <w:r w:rsidRPr="00DF034A">
        <w:rPr>
          <w:rStyle w:val="FootnoteReference"/>
          <w:szCs w:val="22"/>
        </w:rPr>
        <w:t xml:space="preserve">  </w:t>
      </w:r>
      <w:r w:rsidRPr="00DF034A">
        <w:rPr>
          <w:szCs w:val="22"/>
        </w:rPr>
        <w:t>Accordingly</w:t>
      </w:r>
      <w:r w:rsidRPr="00DF034A" w:rsidR="00671CE5">
        <w:rPr>
          <w:szCs w:val="22"/>
        </w:rPr>
        <w:t xml:space="preserve">, comments </w:t>
      </w:r>
      <w:r w:rsidRPr="00DF034A" w:rsidR="009D0465">
        <w:rPr>
          <w:szCs w:val="22"/>
        </w:rPr>
        <w:t>must be filed</w:t>
      </w:r>
      <w:r w:rsidRPr="00DF034A" w:rsidR="00671CE5">
        <w:rPr>
          <w:szCs w:val="22"/>
        </w:rPr>
        <w:t xml:space="preserve"> on or before </w:t>
      </w:r>
      <w:r w:rsidR="004B397E">
        <w:rPr>
          <w:szCs w:val="22"/>
        </w:rPr>
        <w:t>May 1</w:t>
      </w:r>
      <w:r w:rsidR="00886AE2">
        <w:rPr>
          <w:szCs w:val="22"/>
        </w:rPr>
        <w:t>, 2026</w:t>
      </w:r>
      <w:r w:rsidRPr="00DF034A" w:rsidR="00671CE5">
        <w:rPr>
          <w:szCs w:val="22"/>
        </w:rPr>
        <w:t xml:space="preserve">, </w:t>
      </w:r>
      <w:r w:rsidRPr="00DF034A">
        <w:rPr>
          <w:szCs w:val="22"/>
        </w:rPr>
        <w:t>and reply comments</w:t>
      </w:r>
      <w:r w:rsidRPr="00DF034A" w:rsidR="009D0465">
        <w:rPr>
          <w:szCs w:val="22"/>
        </w:rPr>
        <w:t xml:space="preserve"> must be filed</w:t>
      </w:r>
      <w:r w:rsidRPr="00DF034A">
        <w:rPr>
          <w:szCs w:val="22"/>
        </w:rPr>
        <w:t xml:space="preserve"> on or before </w:t>
      </w:r>
      <w:r w:rsidR="008C3438">
        <w:rPr>
          <w:szCs w:val="22"/>
        </w:rPr>
        <w:t>May 1</w:t>
      </w:r>
      <w:r w:rsidR="004B397E">
        <w:rPr>
          <w:szCs w:val="22"/>
        </w:rPr>
        <w:t>8</w:t>
      </w:r>
      <w:r w:rsidR="00886AE2">
        <w:rPr>
          <w:szCs w:val="22"/>
        </w:rPr>
        <w:t>, 2026</w:t>
      </w:r>
      <w:r w:rsidRPr="00DF034A">
        <w:rPr>
          <w:szCs w:val="22"/>
        </w:rPr>
        <w:t xml:space="preserve">.  </w:t>
      </w:r>
    </w:p>
    <w:p w:rsidR="00155C4B" w:rsidRPr="00DF034A" w:rsidP="00DF034A" w14:paraId="65E4C015" w14:textId="77777777">
      <w:pPr>
        <w:ind w:firstLine="720"/>
        <w:rPr>
          <w:szCs w:val="22"/>
        </w:rPr>
      </w:pPr>
    </w:p>
    <w:p w:rsidR="00155C4B" w:rsidRPr="00DF034A" w:rsidP="00DF034A" w14:paraId="13A9DFC4" w14:textId="3F4ECDC9">
      <w:pPr>
        <w:pStyle w:val="ParaNum"/>
        <w:numPr>
          <w:ilvl w:val="0"/>
          <w:numId w:val="0"/>
        </w:numPr>
        <w:spacing w:after="0"/>
        <w:ind w:firstLine="720"/>
        <w:rPr>
          <w:szCs w:val="22"/>
        </w:rPr>
      </w:pPr>
      <w:r w:rsidRPr="005933A5">
        <w:rPr>
          <w:szCs w:val="22"/>
        </w:rPr>
        <w:t xml:space="preserve">For </w:t>
      </w:r>
      <w:r w:rsidRPr="005933A5" w:rsidR="005415DE">
        <w:rPr>
          <w:szCs w:val="22"/>
        </w:rPr>
        <w:t>further</w:t>
      </w:r>
      <w:r w:rsidRPr="005933A5">
        <w:rPr>
          <w:szCs w:val="22"/>
        </w:rPr>
        <w:t xml:space="preserve"> information, contact </w:t>
      </w:r>
      <w:r w:rsidR="005933A5">
        <w:rPr>
          <w:szCs w:val="22"/>
        </w:rPr>
        <w:t>Thomas Struble</w:t>
      </w:r>
      <w:r w:rsidRPr="005933A5">
        <w:rPr>
          <w:szCs w:val="22"/>
        </w:rPr>
        <w:t>,</w:t>
      </w:r>
      <w:r w:rsidRPr="005933A5" w:rsidR="009A6C4B">
        <w:rPr>
          <w:szCs w:val="22"/>
        </w:rPr>
        <w:t xml:space="preserve"> (202) </w:t>
      </w:r>
      <w:r w:rsidRPr="005933A5" w:rsidR="005D39EE">
        <w:rPr>
          <w:szCs w:val="22"/>
        </w:rPr>
        <w:t>418-</w:t>
      </w:r>
      <w:r w:rsidR="00E958E1">
        <w:rPr>
          <w:szCs w:val="22"/>
        </w:rPr>
        <w:t>7581</w:t>
      </w:r>
      <w:r w:rsidR="002A2E48">
        <w:rPr>
          <w:szCs w:val="22"/>
        </w:rPr>
        <w:t>,</w:t>
      </w:r>
      <w:r w:rsidRPr="005933A5">
        <w:rPr>
          <w:szCs w:val="22"/>
        </w:rPr>
        <w:t xml:space="preserve"> </w:t>
      </w:r>
      <w:hyperlink r:id="rId10" w:history="1"/>
      <w:hyperlink r:id="rId11" w:history="1">
        <w:r w:rsidRPr="004678C4" w:rsidR="002A2E48">
          <w:rPr>
            <w:rStyle w:val="Hyperlink"/>
          </w:rPr>
          <w:t>Thomas.Struble@fcc.gov</w:t>
        </w:r>
      </w:hyperlink>
      <w:r w:rsidR="002A2E48">
        <w:t xml:space="preserve"> or John Lockwood, (202) 418-0558, </w:t>
      </w:r>
      <w:hyperlink r:id="rId12" w:history="1">
        <w:r w:rsidRPr="004678C4" w:rsidR="002A2E48">
          <w:rPr>
            <w:rStyle w:val="Hyperlink"/>
          </w:rPr>
          <w:t>John.Lockwood@fcc.gov</w:t>
        </w:r>
      </w:hyperlink>
      <w:r w:rsidR="002A2E48">
        <w:t>.</w:t>
      </w:r>
      <w:r w:rsidRPr="00DF034A">
        <w:rPr>
          <w:szCs w:val="22"/>
        </w:rPr>
        <w:t xml:space="preserve"> </w:t>
      </w:r>
    </w:p>
    <w:bookmarkEnd w:id="2"/>
    <w:p w:rsidR="00BA3BA8" w:rsidRPr="00DF034A" w:rsidP="00DF034A" w14:paraId="727D3872" w14:textId="77777777">
      <w:pPr>
        <w:rPr>
          <w:szCs w:val="22"/>
        </w:rPr>
      </w:pPr>
    </w:p>
    <w:bookmarkEnd w:id="0"/>
    <w:p w:rsidR="00ED0E9E" w:rsidP="00ED0E9E" w14:paraId="0B24B503" w14:textId="77777777">
      <w:pPr>
        <w:widowControl/>
        <w:suppressAutoHyphens/>
        <w:jc w:val="center"/>
      </w:pPr>
      <w:r>
        <w:rPr>
          <w:b/>
        </w:rPr>
        <w:t>–</w:t>
      </w:r>
      <w:r w:rsidR="005603D5">
        <w:rPr>
          <w:b/>
        </w:rPr>
        <w:t>FCC</w:t>
      </w:r>
      <w:r>
        <w:rPr>
          <w:b/>
        </w:rPr>
        <w:t>–</w:t>
      </w:r>
    </w:p>
    <w:p w:rsidR="00BA3BA8" w:rsidRPr="00DF034A" w:rsidP="00DF034A" w14:paraId="48EB721D" w14:textId="088255DD">
      <w:pPr>
        <w:jc w:val="center"/>
        <w:rPr>
          <w:szCs w:val="22"/>
        </w:rPr>
      </w:pPr>
    </w:p>
    <w:sectPr>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D1B48" w14:paraId="477FAAEE" w14:textId="77777777">
      <w:pPr>
        <w:spacing w:line="20" w:lineRule="exact"/>
      </w:pPr>
    </w:p>
  </w:endnote>
  <w:endnote w:type="continuationSeparator" w:id="1">
    <w:p w:rsidR="000D1B48" w14:paraId="6B3990AF" w14:textId="77777777">
      <w:r>
        <w:t xml:space="preserve"> </w:t>
      </w:r>
    </w:p>
  </w:endnote>
  <w:endnote w:type="continuationNotice" w:id="2">
    <w:p w:rsidR="000D1B48" w14:paraId="661B3A6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CC7487E"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434D8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547208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C581B4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1B48" w14:paraId="584D5887" w14:textId="77777777">
      <w:r>
        <w:separator/>
      </w:r>
    </w:p>
  </w:footnote>
  <w:footnote w:type="continuationSeparator" w:id="1">
    <w:p w:rsidR="000D1B48" w14:paraId="7697E35D" w14:textId="77777777">
      <w:pPr>
        <w:rPr>
          <w:sz w:val="20"/>
        </w:rPr>
      </w:pPr>
      <w:r>
        <w:rPr>
          <w:sz w:val="20"/>
        </w:rPr>
        <w:t xml:space="preserve">(Continued from previous page)  </w:t>
      </w:r>
      <w:r>
        <w:rPr>
          <w:sz w:val="20"/>
        </w:rPr>
        <w:separator/>
      </w:r>
    </w:p>
  </w:footnote>
  <w:footnote w:type="continuationNotice" w:id="2">
    <w:p w:rsidR="000D1B48" w14:paraId="10566959" w14:textId="77777777">
      <w:pPr>
        <w:jc w:val="right"/>
        <w:rPr>
          <w:sz w:val="20"/>
        </w:rPr>
      </w:pPr>
      <w:r>
        <w:rPr>
          <w:sz w:val="20"/>
        </w:rPr>
        <w:t>(continued….)</w:t>
      </w:r>
    </w:p>
  </w:footnote>
  <w:footnote w:id="3">
    <w:p w:rsidR="00B57224" w:rsidRPr="001B6153" w:rsidP="00B57224" w14:paraId="5CBE7328" w14:textId="77777777">
      <w:pPr>
        <w:pStyle w:val="FootnoteText"/>
      </w:pPr>
      <w:r>
        <w:rPr>
          <w:rStyle w:val="FootnoteReference"/>
        </w:rPr>
        <w:footnoteRef/>
      </w:r>
      <w:r>
        <w:t xml:space="preserve"> </w:t>
      </w:r>
      <w:r w:rsidRPr="00074CCD">
        <w:rPr>
          <w:i/>
          <w:iCs/>
        </w:rPr>
        <w:t>Unleashing American Drone Dominance</w:t>
      </w:r>
      <w:r>
        <w:t>,</w:t>
      </w:r>
      <w:r w:rsidRPr="005C10B6">
        <w:t xml:space="preserve"> Exec</w:t>
      </w:r>
      <w:r>
        <w:t>.</w:t>
      </w:r>
      <w:r w:rsidRPr="005C10B6">
        <w:t xml:space="preserve"> Order 14307</w:t>
      </w:r>
      <w:r>
        <w:t>, 90 Fed. Reg. 24727 (</w:t>
      </w:r>
      <w:r w:rsidRPr="005C10B6">
        <w:t xml:space="preserve">June </w:t>
      </w:r>
      <w:r>
        <w:t>6,</w:t>
      </w:r>
      <w:r w:rsidRPr="005C10B6">
        <w:t xml:space="preserve"> 2025</w:t>
      </w:r>
      <w:r>
        <w:t xml:space="preserve">), </w:t>
      </w:r>
      <w:hyperlink r:id="rId1" w:history="1">
        <w:r w:rsidRPr="00F82540">
          <w:rPr>
            <w:rStyle w:val="Hyperlink"/>
          </w:rPr>
          <w:t>https://www.whitehouse.gov/presidentialactions/2025/06/unleashing-american-drone-dominance/</w:t>
        </w:r>
      </w:hyperlink>
      <w:r>
        <w:t>;</w:t>
      </w:r>
      <w:r w:rsidRPr="005C10B6">
        <w:t xml:space="preserve"> </w:t>
      </w:r>
      <w:r w:rsidRPr="00F82540">
        <w:rPr>
          <w:i/>
          <w:iCs/>
          <w:szCs w:val="22"/>
        </w:rPr>
        <w:t>Restoring American Airspace Sovereignty</w:t>
      </w:r>
      <w:r w:rsidRPr="00074CCD">
        <w:rPr>
          <w:szCs w:val="22"/>
        </w:rPr>
        <w:t xml:space="preserve">, </w:t>
      </w:r>
      <w:r w:rsidRPr="00C41EA3">
        <w:rPr>
          <w:szCs w:val="22"/>
        </w:rPr>
        <w:t>Exec</w:t>
      </w:r>
      <w:r>
        <w:rPr>
          <w:szCs w:val="22"/>
        </w:rPr>
        <w:t xml:space="preserve">. </w:t>
      </w:r>
      <w:r w:rsidRPr="00C41EA3">
        <w:rPr>
          <w:szCs w:val="22"/>
        </w:rPr>
        <w:t>Order 14305,</w:t>
      </w:r>
      <w:r>
        <w:rPr>
          <w:szCs w:val="22"/>
        </w:rPr>
        <w:t xml:space="preserve"> 90 Fed. Reg. 24719</w:t>
      </w:r>
      <w:r w:rsidRPr="00C41EA3">
        <w:rPr>
          <w:szCs w:val="22"/>
        </w:rPr>
        <w:t xml:space="preserve"> </w:t>
      </w:r>
      <w:r>
        <w:rPr>
          <w:szCs w:val="22"/>
        </w:rPr>
        <w:t>(</w:t>
      </w:r>
      <w:r w:rsidRPr="00074CCD">
        <w:rPr>
          <w:szCs w:val="22"/>
        </w:rPr>
        <w:t>June</w:t>
      </w:r>
      <w:r>
        <w:rPr>
          <w:szCs w:val="22"/>
        </w:rPr>
        <w:t xml:space="preserve"> 6,</w:t>
      </w:r>
      <w:r w:rsidRPr="00074CCD">
        <w:rPr>
          <w:szCs w:val="22"/>
        </w:rPr>
        <w:t xml:space="preserve"> 2025</w:t>
      </w:r>
      <w:r>
        <w:rPr>
          <w:szCs w:val="22"/>
        </w:rPr>
        <w:t>)</w:t>
      </w:r>
      <w:r w:rsidRPr="00074CCD">
        <w:rPr>
          <w:szCs w:val="22"/>
        </w:rPr>
        <w:t xml:space="preserve">, </w:t>
      </w:r>
      <w:hyperlink r:id="rId2" w:history="1">
        <w:r w:rsidRPr="00074CCD">
          <w:rPr>
            <w:rStyle w:val="Hyperlink"/>
            <w:szCs w:val="22"/>
          </w:rPr>
          <w:t>https://www.whitehouse.gov/presidentialactions/2025/06/restoring-american-airspace-sovereignty/</w:t>
        </w:r>
      </w:hyperlink>
      <w:r w:rsidRPr="00074CCD">
        <w:rPr>
          <w:szCs w:val="22"/>
        </w:rPr>
        <w:t>.</w:t>
      </w:r>
      <w:r w:rsidRPr="007E0C81">
        <w:rPr>
          <w:i/>
          <w:iCs/>
          <w:szCs w:val="22"/>
        </w:rPr>
        <w:t xml:space="preserve">  </w:t>
      </w:r>
    </w:p>
  </w:footnote>
  <w:footnote w:id="4">
    <w:p w:rsidR="001D7BE0" w:rsidP="001D7BE0" w14:paraId="28399FC4" w14:textId="77777777">
      <w:pPr>
        <w:pStyle w:val="FootnoteText"/>
      </w:pPr>
      <w:r>
        <w:rPr>
          <w:rStyle w:val="FootnoteReference"/>
        </w:rPr>
        <w:footnoteRef/>
      </w:r>
      <w:r>
        <w:t xml:space="preserve"> </w:t>
      </w:r>
      <w:r w:rsidRPr="00074CCD">
        <w:rPr>
          <w:i/>
          <w:iCs/>
        </w:rPr>
        <w:t xml:space="preserve">Public Safety and Homeland Security Bureau Announces </w:t>
      </w:r>
      <w:r w:rsidRPr="00D51A37">
        <w:rPr>
          <w:i/>
          <w:iCs/>
        </w:rPr>
        <w:t>Addition</w:t>
      </w:r>
      <w:r w:rsidRPr="00074CCD">
        <w:rPr>
          <w:i/>
          <w:iCs/>
        </w:rPr>
        <w:t xml:space="preserve"> of Uncrewed Aircraft Systems (UAS) and UAS Critical Components Produced Abroad, and Equipment and Services Listed in Section 1709 of the FY2025 NDAA, to FCC Covered List</w:t>
      </w:r>
      <w:r>
        <w:t xml:space="preserve">, WC Docket No. 18-89, et al., DA 25-1086 (Dec. 22, 2025), </w:t>
      </w:r>
      <w:hyperlink r:id="rId3" w:history="1">
        <w:r w:rsidRPr="008819C6">
          <w:rPr>
            <w:rStyle w:val="Hyperlink"/>
          </w:rPr>
          <w:t>https://docs.fcc.gov/public/attachments/DA-25-1086A1.pdf</w:t>
        </w:r>
      </w:hyperlink>
      <w:r>
        <w:t>, (</w:t>
      </w:r>
      <w:r w:rsidRPr="00074CCD">
        <w:rPr>
          <w:i/>
          <w:iCs/>
        </w:rPr>
        <w:t>December</w:t>
      </w:r>
      <w:r>
        <w:rPr>
          <w:i/>
          <w:iCs/>
        </w:rPr>
        <w:t xml:space="preserve"> 2025</w:t>
      </w:r>
      <w:r w:rsidRPr="00074CCD">
        <w:rPr>
          <w:i/>
          <w:iCs/>
        </w:rPr>
        <w:t xml:space="preserve"> Covered List PN</w:t>
      </w:r>
      <w:r>
        <w:t>).</w:t>
      </w:r>
    </w:p>
  </w:footnote>
  <w:footnote w:id="5">
    <w:p w:rsidR="00156796" w:rsidP="00156796" w14:paraId="6EA6DB57" w14:textId="77777777">
      <w:pPr>
        <w:pStyle w:val="FootnoteText"/>
      </w:pPr>
      <w:r>
        <w:rPr>
          <w:rStyle w:val="FootnoteReference"/>
        </w:rPr>
        <w:footnoteRef/>
      </w:r>
      <w:r>
        <w:t xml:space="preserve"> </w:t>
      </w:r>
      <w:r>
        <w:rPr>
          <w:i/>
        </w:rPr>
        <w:t xml:space="preserve">See </w:t>
      </w:r>
      <w:r w:rsidRPr="00DE4430">
        <w:rPr>
          <w:i/>
        </w:rPr>
        <w:t>FCC Announces Two New Innovation Zones and Amends One Existing Innovation Zone for Program Experimental Licenses</w:t>
      </w:r>
      <w:r>
        <w:t>, ET Docket No. 19-257, Public Notice, 36 FCC Rcd 12866 (OET 2021).</w:t>
      </w:r>
    </w:p>
  </w:footnote>
  <w:footnote w:id="6">
    <w:p w:rsidR="00B11B4E" w:rsidRPr="00B11B4E" w14:paraId="5803BA0B" w14:textId="1FF0681B">
      <w:pPr>
        <w:pStyle w:val="FootnoteText"/>
      </w:pPr>
      <w:r>
        <w:rPr>
          <w:rStyle w:val="FootnoteReference"/>
        </w:rPr>
        <w:footnoteRef/>
      </w:r>
      <w:r>
        <w:t xml:space="preserve"> </w:t>
      </w:r>
      <w:r w:rsidR="005C31F1">
        <w:rPr>
          <w:i/>
          <w:iCs/>
        </w:rPr>
        <w:t xml:space="preserve">Unleashing American Drone Dominance </w:t>
      </w:r>
      <w:r w:rsidRPr="00074CCD" w:rsidR="005C31F1">
        <w:t>EO</w:t>
      </w:r>
      <w:r w:rsidR="005C31F1">
        <w:t xml:space="preserve"> at </w:t>
      </w:r>
      <w:r>
        <w:t xml:space="preserve">Section 7(a);  </w:t>
      </w:r>
      <w:r>
        <w:rPr>
          <w:i/>
          <w:iCs/>
        </w:rPr>
        <w:t>see also</w:t>
      </w:r>
      <w:r w:rsidR="005C31F1">
        <w:rPr>
          <w:i/>
          <w:iCs/>
        </w:rPr>
        <w:t xml:space="preserve"> id.</w:t>
      </w:r>
      <w:r w:rsidR="005C31F1">
        <w:t xml:space="preserve"> at</w:t>
      </w:r>
      <w:r>
        <w:t xml:space="preserve"> </w:t>
      </w:r>
      <w:r w:rsidR="00713AB2">
        <w:t xml:space="preserve">Section 2(a) (defining “agency” with a reference to a definition that includes “any independent regulatory agency”). </w:t>
      </w:r>
    </w:p>
  </w:footnote>
  <w:footnote w:id="7">
    <w:p w:rsidR="00B43771" w:rsidP="00B43771" w14:paraId="3B9216F6" w14:textId="7BA2AD80">
      <w:pPr>
        <w:pStyle w:val="FootnoteText"/>
      </w:pPr>
      <w:r>
        <w:rPr>
          <w:rStyle w:val="FootnoteReference"/>
        </w:rPr>
        <w:footnoteRef/>
      </w:r>
      <w:r>
        <w:t xml:space="preserve"> </w:t>
      </w:r>
      <w:r w:rsidR="00336FEB">
        <w:rPr>
          <w:i/>
          <w:iCs/>
        </w:rPr>
        <w:t xml:space="preserve">See December 2025 Covered List PN </w:t>
      </w:r>
      <w:r w:rsidR="00336FEB">
        <w:t xml:space="preserve">at 2; </w:t>
      </w:r>
      <w:r w:rsidR="00336FEB">
        <w:rPr>
          <w:i/>
          <w:iCs/>
        </w:rPr>
        <w:t>see also id.</w:t>
      </w:r>
      <w:r w:rsidR="00336FEB">
        <w:t xml:space="preserve"> at Appx. B (containing a copy of the National Security Determination).  </w:t>
      </w:r>
      <w:r w:rsidR="003064CF">
        <w:rPr>
          <w:szCs w:val="22"/>
        </w:rPr>
        <w:t>This National Security Determination additionally found “unacceptable risks” from “</w:t>
      </w:r>
      <w:r w:rsidRPr="00EA1E23" w:rsidR="003064CF">
        <w:rPr>
          <w:szCs w:val="22"/>
        </w:rPr>
        <w:t xml:space="preserve">all communications and video surveillance </w:t>
      </w:r>
      <w:r w:rsidRPr="00F81DAA" w:rsidR="003064CF">
        <w:rPr>
          <w:szCs w:val="22"/>
        </w:rPr>
        <w:t>equipment and services listed in Section 1709(a)(1) of the FY25 National Defense Authorization Act (Pub. L. 118-159).”</w:t>
      </w:r>
    </w:p>
  </w:footnote>
  <w:footnote w:id="8">
    <w:p w:rsidR="00C53A3E" w14:paraId="65B9FEEC" w14:textId="121EB781">
      <w:pPr>
        <w:pStyle w:val="FootnoteText"/>
      </w:pPr>
      <w:r>
        <w:rPr>
          <w:rStyle w:val="FootnoteReference"/>
        </w:rPr>
        <w:footnoteRef/>
      </w:r>
      <w:r>
        <w:t xml:space="preserve"> </w:t>
      </w:r>
      <w:r w:rsidRPr="00E07B2D" w:rsidR="00E07B2D">
        <w:t>National Security Determination at 2.</w:t>
      </w:r>
    </w:p>
  </w:footnote>
  <w:footnote w:id="9">
    <w:p w:rsidR="009F285E" w14:paraId="55683E73" w14:textId="4D397741">
      <w:pPr>
        <w:pStyle w:val="FootnoteText"/>
      </w:pPr>
      <w:r>
        <w:rPr>
          <w:rStyle w:val="FootnoteReference"/>
        </w:rPr>
        <w:footnoteRef/>
      </w:r>
      <w:r>
        <w:t xml:space="preserve"> </w:t>
      </w:r>
      <w:r w:rsidR="00926984">
        <w:rPr>
          <w:i/>
          <w:iCs/>
        </w:rPr>
        <w:t>December 2025</w:t>
      </w:r>
      <w:r w:rsidR="00926984">
        <w:rPr>
          <w:i/>
        </w:rPr>
        <w:t xml:space="preserve"> Covered List</w:t>
      </w:r>
      <w:r w:rsidR="00926984">
        <w:rPr>
          <w:i/>
          <w:iCs/>
        </w:rPr>
        <w:t xml:space="preserve"> PN</w:t>
      </w:r>
      <w:r w:rsidR="00926984">
        <w:t xml:space="preserve"> at 2.  </w:t>
      </w:r>
      <w:r w:rsidR="003064CF">
        <w:t>The Commission’s full update referred to “</w:t>
      </w:r>
      <w:r w:rsidR="003064CF">
        <w:rPr>
          <w:szCs w:val="22"/>
        </w:rPr>
        <w:t xml:space="preserve">UAS and UAS critical components produced in a foreign country and </w:t>
      </w:r>
      <w:r w:rsidRPr="00EA1E23" w:rsidR="003064CF">
        <w:rPr>
          <w:szCs w:val="22"/>
        </w:rPr>
        <w:t xml:space="preserve">all communications and video surveillance </w:t>
      </w:r>
      <w:r w:rsidRPr="00F81DAA" w:rsidR="003064CF">
        <w:rPr>
          <w:szCs w:val="22"/>
        </w:rPr>
        <w:t>equipment and services listed in Section 1709(a)(1) of the FY25 National Defense Authorization Act (Pub. L. 118-159).”</w:t>
      </w:r>
      <w:r w:rsidR="003064CF">
        <w:t xml:space="preserve"> </w:t>
      </w:r>
    </w:p>
  </w:footnote>
  <w:footnote w:id="10">
    <w:p w:rsidR="007F3FD3" w14:paraId="16BF738B" w14:textId="30A0CD49">
      <w:pPr>
        <w:pStyle w:val="FootnoteText"/>
      </w:pPr>
      <w:r>
        <w:rPr>
          <w:rStyle w:val="FootnoteReference"/>
        </w:rPr>
        <w:footnoteRef/>
      </w:r>
      <w:r>
        <w:t xml:space="preserve"> FCC Covered List</w:t>
      </w:r>
      <w:r w:rsidR="00035519">
        <w:t>,</w:t>
      </w:r>
      <w:r>
        <w:t xml:space="preserve"> </w:t>
      </w:r>
      <w:hyperlink r:id="rId4" w:history="1">
        <w:r w:rsidRPr="008A52F0" w:rsidR="00035519">
          <w:rPr>
            <w:rStyle w:val="Hyperlink"/>
          </w:rPr>
          <w:t>https://docs.fcc.gov/public/attachments/DA-26-22A1.pdf</w:t>
        </w:r>
      </w:hyperlink>
      <w:r w:rsidR="00C41122">
        <w:t>.</w:t>
      </w:r>
    </w:p>
  </w:footnote>
  <w:footnote w:id="11">
    <w:p w:rsidR="00250505" w14:paraId="625999DC" w14:textId="659A9E4F">
      <w:pPr>
        <w:pStyle w:val="FootnoteText"/>
      </w:pPr>
      <w:r>
        <w:rPr>
          <w:rStyle w:val="FootnoteReference"/>
        </w:rPr>
        <w:footnoteRef/>
      </w:r>
      <w:r>
        <w:t xml:space="preserve"> </w:t>
      </w:r>
      <w:r w:rsidRPr="008F7AF0" w:rsidR="00CB1CCC">
        <w:rPr>
          <w:i/>
          <w:iCs/>
        </w:rPr>
        <w:t xml:space="preserve">Guidance on Submissions for Conditional Approval for Uncrewed Aircraft Systems (UAS) and UAS Critical Components Produced in Foreign Countries Subject to the FCC’s Covered List </w:t>
      </w:r>
      <w:r w:rsidR="00CB1CCC">
        <w:t>(</w:t>
      </w:r>
      <w:r w:rsidRPr="00CB1CCC" w:rsidR="00CB1CCC">
        <w:t>Jan</w:t>
      </w:r>
      <w:r w:rsidR="00CB1CCC">
        <w:t>.</w:t>
      </w:r>
      <w:r w:rsidRPr="00CB1CCC" w:rsidR="00CB1CCC">
        <w:t xml:space="preserve"> 7, 2026</w:t>
      </w:r>
      <w:r w:rsidR="00CB1CCC">
        <w:t xml:space="preserve">), </w:t>
      </w:r>
      <w:hyperlink r:id="rId5" w:history="1">
        <w:r w:rsidRPr="00523D69" w:rsidR="00CB1CCC">
          <w:rPr>
            <w:rStyle w:val="Hyperlink"/>
          </w:rPr>
          <w:t>https://www.fcc.gov/sites/default/files/UAS-Guidance-Submissions-Conditional-Approvals.pdf</w:t>
        </w:r>
      </w:hyperlink>
      <w:r w:rsidR="00CB1CCC">
        <w:t xml:space="preserve">. </w:t>
      </w:r>
    </w:p>
  </w:footnote>
  <w:footnote w:id="12">
    <w:p w:rsidR="00243385" w14:paraId="6D88A8F7" w14:textId="6FDD546B">
      <w:pPr>
        <w:pStyle w:val="FootnoteText"/>
      </w:pPr>
      <w:r>
        <w:rPr>
          <w:rStyle w:val="FootnoteReference"/>
        </w:rPr>
        <w:footnoteRef/>
      </w:r>
      <w:r>
        <w:t xml:space="preserve"> </w:t>
      </w:r>
      <w:r w:rsidRPr="008F7AF0" w:rsidR="00CB1CCC">
        <w:rPr>
          <w:i/>
          <w:iCs/>
        </w:rPr>
        <w:t>Id.</w:t>
      </w:r>
    </w:p>
  </w:footnote>
  <w:footnote w:id="13">
    <w:p w:rsidR="0022079C" w14:paraId="31EE873F" w14:textId="490C482E">
      <w:pPr>
        <w:pStyle w:val="FootnoteText"/>
      </w:pPr>
      <w:r>
        <w:rPr>
          <w:rStyle w:val="FootnoteReference"/>
        </w:rPr>
        <w:footnoteRef/>
      </w:r>
      <w:r>
        <w:t xml:space="preserve"> </w:t>
      </w:r>
      <w:r w:rsidR="006064D3">
        <w:rPr>
          <w:i/>
          <w:iCs/>
        </w:rPr>
        <w:t>Public Safety and Homeland Security Bureau Announces Conditional Approval of Certain Uncrewed Aircraft Systems (UAS) and UAS Critical Components and Exemption From Covered List</w:t>
      </w:r>
      <w:r>
        <w:t>, WC Docket No. 18-89, Public Notice, DA 2</w:t>
      </w:r>
      <w:r w:rsidR="006064D3">
        <w:t>6</w:t>
      </w:r>
      <w:r>
        <w:t>-</w:t>
      </w:r>
      <w:r w:rsidR="004B7973">
        <w:t>253</w:t>
      </w:r>
      <w:r>
        <w:t xml:space="preserve"> (</w:t>
      </w:r>
      <w:r w:rsidR="004B7973">
        <w:t>Mar</w:t>
      </w:r>
      <w:r>
        <w:t xml:space="preserve">. </w:t>
      </w:r>
      <w:r w:rsidR="004B7973">
        <w:t>18</w:t>
      </w:r>
      <w:r>
        <w:t>, 202</w:t>
      </w:r>
      <w:r w:rsidR="004B7973">
        <w:t>6</w:t>
      </w:r>
      <w:r>
        <w:t xml:space="preserve">).  </w:t>
      </w:r>
    </w:p>
  </w:footnote>
  <w:footnote w:id="14">
    <w:p w:rsidR="00AF0BFB" w:rsidP="00AF0BFB" w14:paraId="0252924A" w14:textId="77777777">
      <w:pPr>
        <w:pStyle w:val="FootnoteText"/>
      </w:pPr>
      <w:r>
        <w:rPr>
          <w:rStyle w:val="FootnoteReference"/>
        </w:rPr>
        <w:footnoteRef/>
      </w:r>
      <w:r>
        <w:t xml:space="preserve"> The Advanced Air Mobility Coordination and Leadership Act required the establishment of an AAM interagency working group to include participation of several departments and agencies, including the Commission.  That Act charged the interagency working group with developing an AAM National Strategy.  Advanced Air Mobility Coordination and Leadership Act, Pub. L. No. 117-203, 136 Stat. 2227. </w:t>
      </w:r>
    </w:p>
  </w:footnote>
  <w:footnote w:id="15">
    <w:p w:rsidR="00AF0BFB" w:rsidRPr="00BD33EE" w:rsidP="00AF0BFB" w14:paraId="34C2CDD7" w14:textId="77777777">
      <w:pPr>
        <w:pStyle w:val="FootnoteText"/>
      </w:pPr>
      <w:r>
        <w:rPr>
          <w:rStyle w:val="FootnoteReference"/>
        </w:rPr>
        <w:footnoteRef/>
      </w:r>
      <w:r>
        <w:t xml:space="preserve"> The Advanced Air Mobility National Strategy: A Bold Policy Vision for 2026–2036 (Dec. 17, 2025), available at </w:t>
      </w:r>
      <w:hyperlink r:id="rId6" w:history="1">
        <w:r w:rsidRPr="00EF17BA">
          <w:rPr>
            <w:rStyle w:val="Hyperlink"/>
          </w:rPr>
          <w:t>https://www.transportation.gov/sites/dot.gov/files/2025-12/AAM%20National%20Strategy%202025_508c_251201.pdf</w:t>
        </w:r>
      </w:hyperlink>
      <w:r>
        <w:t xml:space="preserve"> (AAM National Strategy).  </w:t>
      </w:r>
      <w:r>
        <w:rPr>
          <w:i/>
          <w:iCs/>
        </w:rPr>
        <w:t xml:space="preserve">See also </w:t>
      </w:r>
      <w:r>
        <w:t xml:space="preserve">The Advanced Air Mobility Comprehensive Plan: </w:t>
      </w:r>
      <w:r>
        <w:t>LIFTing</w:t>
      </w:r>
      <w:r>
        <w:t xml:space="preserve"> AAM to Maturity in the United States (Dec. 17, 2025), available at </w:t>
      </w:r>
      <w:hyperlink r:id="rId7" w:history="1">
        <w:r w:rsidRPr="00EF17BA">
          <w:rPr>
            <w:rStyle w:val="Hyperlink"/>
          </w:rPr>
          <w:t>https://www.transportation.gov/sites/dot.gov/files/2025-12/AAM%20Comprehensive%20Plan%202025_508c_251202.pdf</w:t>
        </w:r>
      </w:hyperlink>
      <w:r>
        <w:t xml:space="preserve">.  </w:t>
      </w:r>
    </w:p>
  </w:footnote>
  <w:footnote w:id="16">
    <w:p w:rsidR="00AF0BFB" w:rsidRPr="003F16E9" w:rsidP="00AF0BFB" w14:paraId="305F8A59" w14:textId="77777777">
      <w:pPr>
        <w:pStyle w:val="FootnoteText"/>
      </w:pPr>
      <w:r>
        <w:rPr>
          <w:rStyle w:val="FootnoteReference"/>
        </w:rPr>
        <w:footnoteRef/>
      </w:r>
      <w:r>
        <w:t xml:space="preserve"> </w:t>
      </w:r>
      <w:r w:rsidRPr="00183F01">
        <w:t>AAM National Strategy</w:t>
      </w:r>
      <w:r>
        <w:rPr>
          <w:i/>
          <w:iCs/>
        </w:rPr>
        <w:t xml:space="preserve"> </w:t>
      </w:r>
      <w:r>
        <w:t xml:space="preserve">at 17, Recommendation 2.6.  </w:t>
      </w:r>
      <w:r>
        <w:rPr>
          <w:i/>
          <w:iCs/>
        </w:rPr>
        <w:t xml:space="preserve">See also id. </w:t>
      </w:r>
      <w:r>
        <w:t>at 9, Recommendation 1.5 (recommending that agencies explore the roles of third parties in providing complementary air traffic management and surveillance operations, and noting that “accommodating increased capacity and third-party managers on shared Federal and non-Federal spectrum used for ATC communications and surveillance will require action by the FCC and NTIA.”)</w:t>
      </w:r>
    </w:p>
  </w:footnote>
  <w:footnote w:id="17">
    <w:p w:rsidR="00912C86" w:rsidRPr="00912C86" w14:paraId="1EC2219F" w14:textId="20152A7F">
      <w:pPr>
        <w:pStyle w:val="FootnoteText"/>
      </w:pPr>
      <w:r>
        <w:rPr>
          <w:rStyle w:val="FootnoteReference"/>
        </w:rPr>
        <w:footnoteRef/>
      </w:r>
      <w:r>
        <w:t xml:space="preserve"> </w:t>
      </w:r>
      <w:r>
        <w:rPr>
          <w:i/>
          <w:iCs/>
        </w:rPr>
        <w:t xml:space="preserve">See </w:t>
      </w:r>
      <w:r w:rsidRPr="005D4DF7" w:rsidR="005D4DF7">
        <w:rPr>
          <w:i/>
          <w:iCs/>
        </w:rPr>
        <w:t>Spectrum Rules and Policies for the Operation of</w:t>
      </w:r>
      <w:r w:rsidR="005D4DF7">
        <w:rPr>
          <w:i/>
          <w:iCs/>
        </w:rPr>
        <w:t xml:space="preserve"> </w:t>
      </w:r>
      <w:r w:rsidRPr="005D4DF7" w:rsidR="005D4DF7">
        <w:rPr>
          <w:i/>
          <w:iCs/>
        </w:rPr>
        <w:t>Unmanned Aircraft Systems</w:t>
      </w:r>
      <w:r w:rsidR="005D4DF7">
        <w:t xml:space="preserve">, WT Docket No. </w:t>
      </w:r>
      <w:r w:rsidR="009C45A7">
        <w:t>22-323</w:t>
      </w:r>
      <w:r w:rsidR="00E23CD4">
        <w:t xml:space="preserve">, Notice of Proposed Rulemaking, </w:t>
      </w:r>
      <w:r w:rsidR="00915C32">
        <w:t>38 FCC Rcd 474 (2023).</w:t>
      </w:r>
    </w:p>
  </w:footnote>
  <w:footnote w:id="18">
    <w:p w:rsidR="00181957" w14:paraId="1A5E8EF6" w14:textId="5E465D73">
      <w:pPr>
        <w:pStyle w:val="FootnoteText"/>
      </w:pPr>
      <w:r>
        <w:rPr>
          <w:rStyle w:val="FootnoteReference"/>
        </w:rPr>
        <w:footnoteRef/>
      </w:r>
      <w:r>
        <w:t xml:space="preserve"> </w:t>
      </w:r>
      <w:r w:rsidR="00B7311A">
        <w:rPr>
          <w:i/>
          <w:iCs/>
        </w:rPr>
        <w:t>See UAS NPRM</w:t>
      </w:r>
      <w:r w:rsidR="00B7311A">
        <w:t xml:space="preserve"> at 535-39, paras. 151-63.</w:t>
      </w:r>
    </w:p>
  </w:footnote>
  <w:footnote w:id="19">
    <w:p w:rsidR="003A3790" w14:paraId="24F70D95" w14:textId="28AFF1C4">
      <w:pPr>
        <w:pStyle w:val="FootnoteText"/>
      </w:pPr>
      <w:r>
        <w:rPr>
          <w:rStyle w:val="FootnoteReference"/>
        </w:rPr>
        <w:footnoteRef/>
      </w:r>
      <w:r>
        <w:t xml:space="preserve"> </w:t>
      </w:r>
      <w:r w:rsidRPr="008F7AF0" w:rsidR="00CB1CCC">
        <w:rPr>
          <w:i/>
          <w:iCs/>
        </w:rPr>
        <w:t>Report on Section 374 of the FAA Reauthorization Act of 2018</w:t>
      </w:r>
      <w:r w:rsidRPr="00CB1CCC" w:rsidR="00CB1CCC">
        <w:t xml:space="preserve"> </w:t>
      </w:r>
      <w:r w:rsidR="00CB1CCC">
        <w:t>(WTB 2020)</w:t>
      </w:r>
      <w:r w:rsidR="005C3E2E">
        <w:t>,</w:t>
      </w:r>
      <w:r w:rsidR="00CB1CCC">
        <w:t xml:space="preserve"> </w:t>
      </w:r>
      <w:hyperlink r:id="rId8" w:history="1">
        <w:r w:rsidRPr="00523D69" w:rsidR="00CB1CCC">
          <w:rPr>
            <w:rStyle w:val="Hyperlink"/>
          </w:rPr>
          <w:t>https://docs.fcc.gov/public/attachments/DOC-366460A1.pdf</w:t>
        </w:r>
      </w:hyperlink>
      <w:r w:rsidR="00CB1CCC">
        <w:t xml:space="preserve">. </w:t>
      </w:r>
    </w:p>
  </w:footnote>
  <w:footnote w:id="20">
    <w:p w:rsidR="00ED3023" w:rsidRPr="00B959F9" w:rsidP="00ED3023" w14:paraId="172D53D6" w14:textId="77777777">
      <w:pPr>
        <w:pStyle w:val="FootnoteText"/>
      </w:pPr>
      <w:r>
        <w:rPr>
          <w:rStyle w:val="FootnoteReference"/>
        </w:rPr>
        <w:footnoteRef/>
      </w:r>
      <w:r>
        <w:t xml:space="preserve"> </w:t>
      </w:r>
      <w:r>
        <w:rPr>
          <w:i/>
          <w:iCs/>
        </w:rPr>
        <w:t xml:space="preserve">See </w:t>
      </w:r>
      <w:r w:rsidRPr="00DF034A">
        <w:rPr>
          <w:i/>
          <w:iCs/>
          <w:szCs w:val="22"/>
        </w:rPr>
        <w:t>Restoring American Airspace Sovereignty</w:t>
      </w:r>
      <w:r>
        <w:rPr>
          <w:i/>
          <w:iCs/>
          <w:szCs w:val="22"/>
        </w:rPr>
        <w:t xml:space="preserve"> </w:t>
      </w:r>
      <w:r>
        <w:rPr>
          <w:szCs w:val="22"/>
        </w:rPr>
        <w:t>EO at Section 9(b).</w:t>
      </w:r>
    </w:p>
  </w:footnote>
  <w:footnote w:id="21">
    <w:p w:rsidR="00ED3023" w:rsidRPr="006E5F5F" w:rsidP="00ED3023" w14:paraId="40F60099" w14:textId="77777777">
      <w:pPr>
        <w:pStyle w:val="FootnoteText"/>
      </w:pPr>
      <w:r>
        <w:rPr>
          <w:rStyle w:val="FootnoteReference"/>
        </w:rPr>
        <w:footnoteRef/>
      </w:r>
      <w:r>
        <w:t xml:space="preserve"> </w:t>
      </w:r>
      <w:r w:rsidRPr="00183F01">
        <w:t>AAM National Strategy</w:t>
      </w:r>
      <w:r>
        <w:rPr>
          <w:i/>
          <w:iCs/>
        </w:rPr>
        <w:t xml:space="preserve"> </w:t>
      </w:r>
      <w:r>
        <w:t xml:space="preserve">at 17, Recommendation 2.6.  </w:t>
      </w:r>
    </w:p>
  </w:footnote>
  <w:footnote w:id="22">
    <w:p w:rsidR="00ED3023" w:rsidRPr="008869BC" w:rsidP="00ED3023" w14:paraId="3881CED7" w14:textId="77777777">
      <w:pPr>
        <w:pStyle w:val="FootnoteText"/>
      </w:pPr>
      <w:r>
        <w:rPr>
          <w:rStyle w:val="FootnoteReference"/>
        </w:rPr>
        <w:footnoteRef/>
      </w:r>
      <w:r>
        <w:t xml:space="preserve"> </w:t>
      </w:r>
      <w:r>
        <w:rPr>
          <w:i/>
          <w:iCs/>
        </w:rPr>
        <w:t xml:space="preserve">See </w:t>
      </w:r>
      <w:r>
        <w:t>National Defense Authorization Act for Fiscal Year 2026, S.1071 (2025) (FY2026 NDAA).</w:t>
      </w:r>
    </w:p>
  </w:footnote>
  <w:footnote w:id="23">
    <w:p w:rsidR="00ED3023" w:rsidRPr="0046418E" w:rsidP="00ED3023" w14:paraId="66E8DF1A" w14:textId="77777777">
      <w:pPr>
        <w:pStyle w:val="FootnoteText"/>
      </w:pPr>
      <w:r>
        <w:rPr>
          <w:rStyle w:val="FootnoteReference"/>
        </w:rPr>
        <w:footnoteRef/>
      </w:r>
      <w:r>
        <w:t xml:space="preserve"> </w:t>
      </w:r>
      <w:r>
        <w:rPr>
          <w:i/>
          <w:iCs/>
        </w:rPr>
        <w:t xml:space="preserve">See </w:t>
      </w:r>
      <w:r>
        <w:t>FY2026 NDAA, § 227(a), (c).</w:t>
      </w:r>
    </w:p>
  </w:footnote>
  <w:footnote w:id="24">
    <w:p w:rsidR="00ED3023" w:rsidRPr="00262FDA" w:rsidP="00ED3023" w14:paraId="0EC3CFDA" w14:textId="77777777">
      <w:pPr>
        <w:pStyle w:val="FootnoteText"/>
      </w:pPr>
      <w:r>
        <w:rPr>
          <w:rStyle w:val="FootnoteReference"/>
        </w:rPr>
        <w:footnoteRef/>
      </w:r>
      <w:r>
        <w:t xml:space="preserve"> </w:t>
      </w:r>
      <w:r>
        <w:rPr>
          <w:i/>
          <w:iCs/>
        </w:rPr>
        <w:t>See id.</w:t>
      </w:r>
      <w:r>
        <w:t>, § 1048(a)</w:t>
      </w:r>
    </w:p>
  </w:footnote>
  <w:footnote w:id="25">
    <w:p w:rsidR="00ED3023" w:rsidRPr="007A72D8" w:rsidP="00ED3023" w14:paraId="090984C9" w14:textId="77777777">
      <w:pPr>
        <w:pStyle w:val="FootnoteText"/>
      </w:pPr>
      <w:r>
        <w:rPr>
          <w:rStyle w:val="FootnoteReference"/>
        </w:rPr>
        <w:footnoteRef/>
      </w:r>
      <w:r>
        <w:t xml:space="preserve"> </w:t>
      </w:r>
      <w:r>
        <w:rPr>
          <w:i/>
          <w:iCs/>
        </w:rPr>
        <w:t>See id.</w:t>
      </w:r>
      <w:r>
        <w:t>, § 1048(e).</w:t>
      </w:r>
    </w:p>
  </w:footnote>
  <w:footnote w:id="26">
    <w:p w:rsidR="00774852" w:rsidRPr="0014660D" w14:paraId="7DF1CC82" w14:textId="11CB6B4C">
      <w:pPr>
        <w:pStyle w:val="FootnoteText"/>
      </w:pPr>
      <w:r>
        <w:rPr>
          <w:rStyle w:val="FootnoteReference"/>
        </w:rPr>
        <w:footnoteRef/>
      </w:r>
      <w:r>
        <w:t xml:space="preserve"> </w:t>
      </w:r>
      <w:r>
        <w:rPr>
          <w:i/>
          <w:iCs/>
        </w:rPr>
        <w:t xml:space="preserve">See </w:t>
      </w:r>
      <w:r w:rsidR="0014660D">
        <w:rPr>
          <w:i/>
          <w:iCs/>
        </w:rPr>
        <w:t>Facilitating Opportunities for Advanced Air Mobility</w:t>
      </w:r>
      <w:r w:rsidR="0014660D">
        <w:t xml:space="preserve">, WT Docket No. 24-629, Notice of Proposed Rulemaking, </w:t>
      </w:r>
      <w:r w:rsidR="005539F3">
        <w:t xml:space="preserve">40 </w:t>
      </w:r>
      <w:r w:rsidR="00762F63">
        <w:t xml:space="preserve">FCC </w:t>
      </w:r>
      <w:r w:rsidR="005539F3">
        <w:t>Rcd 745</w:t>
      </w:r>
      <w:r w:rsidR="00762F63">
        <w:t xml:space="preserve"> </w:t>
      </w:r>
      <w:r w:rsidR="004C06A1">
        <w:t>(2025)</w:t>
      </w:r>
      <w:r w:rsidR="005539F3">
        <w:t>.</w:t>
      </w:r>
    </w:p>
  </w:footnote>
  <w:footnote w:id="27">
    <w:p w:rsidR="00B106BA" w14:paraId="5A9627AE" w14:textId="18A889B2">
      <w:pPr>
        <w:pStyle w:val="FootnoteText"/>
      </w:pPr>
      <w:r>
        <w:rPr>
          <w:rStyle w:val="FootnoteReference"/>
        </w:rPr>
        <w:footnoteRef/>
      </w:r>
      <w:r>
        <w:t xml:space="preserve"> </w:t>
      </w:r>
      <w:r w:rsidRPr="004F24A6">
        <w:rPr>
          <w:i/>
        </w:rPr>
        <w:t>FCC Announces Two New Innovation Zones and Amends One Existing Innovation Zone for Program Experimental Licenses</w:t>
      </w:r>
      <w:r>
        <w:t>, ET Docket No. 19-257, Public Notice, 36 FCC Rcd 12866 (OET 2021).</w:t>
      </w:r>
    </w:p>
  </w:footnote>
  <w:footnote w:id="28">
    <w:p w:rsidR="009F78A0" w:rsidRPr="004F24A6" w:rsidP="009F78A0" w14:paraId="697EBAE4" w14:textId="77777777">
      <w:pPr>
        <w:pStyle w:val="FootnoteText"/>
        <w:rPr>
          <w:i/>
        </w:rPr>
      </w:pPr>
      <w:r>
        <w:rPr>
          <w:rStyle w:val="FootnoteReference"/>
        </w:rPr>
        <w:footnoteRef/>
      </w:r>
      <w:r>
        <w:t xml:space="preserve"> </w:t>
      </w:r>
      <w:r>
        <w:rPr>
          <w:i/>
          <w:iCs/>
        </w:rPr>
        <w:t xml:space="preserve">Id. </w:t>
      </w:r>
      <w:r w:rsidRPr="004F24A6">
        <w:t>at 12867.</w:t>
      </w:r>
      <w:r>
        <w:rPr>
          <w:i/>
          <w:iCs/>
        </w:rPr>
        <w:t xml:space="preserve"> </w:t>
      </w:r>
    </w:p>
  </w:footnote>
  <w:footnote w:id="29">
    <w:p w:rsidR="008360D2" w:rsidRPr="008A3559" w:rsidP="008360D2" w14:paraId="4E268285" w14:textId="77777777">
      <w:pPr>
        <w:pStyle w:val="FootnoteText"/>
      </w:pPr>
      <w:r>
        <w:rPr>
          <w:rStyle w:val="FootnoteReference"/>
        </w:rPr>
        <w:footnoteRef/>
      </w:r>
      <w:r>
        <w:t xml:space="preserve"> </w:t>
      </w:r>
      <w:r>
        <w:rPr>
          <w:i/>
          <w:iCs/>
        </w:rPr>
        <w:t>Id.</w:t>
      </w:r>
    </w:p>
  </w:footnote>
  <w:footnote w:id="30">
    <w:p w:rsidR="00F41B0C" w:rsidRPr="00F41B0C" w14:paraId="578791EA" w14:textId="6E2F261A">
      <w:pPr>
        <w:pStyle w:val="FootnoteText"/>
      </w:pPr>
      <w:r>
        <w:rPr>
          <w:rStyle w:val="FootnoteReference"/>
        </w:rPr>
        <w:footnoteRef/>
      </w:r>
      <w:r>
        <w:t xml:space="preserve"> </w:t>
      </w:r>
      <w:r>
        <w:rPr>
          <w:i/>
          <w:iCs/>
        </w:rPr>
        <w:t>See, e.g.</w:t>
      </w:r>
      <w:r>
        <w:t xml:space="preserve">, </w:t>
      </w:r>
      <w:hyperlink r:id="rId9" w:anchor=":~:text=DJI%20Still%20Dominates%20Public%20Safety,Products" w:history="1">
        <w:r w:rsidRPr="00937B11" w:rsidR="00CB1CCC">
          <w:rPr>
            <w:rStyle w:val="Hyperlink"/>
          </w:rPr>
          <w:t>https://dronelife.com/2021/08/09/dji-still-dominates-public-safety-sector-survey-finds/#:~:text=DJI%20Still%20Dominates%20Public%20Safety,Products</w:t>
        </w:r>
      </w:hyperlink>
      <w:r w:rsidR="00CB1CCC">
        <w:t xml:space="preserve"> </w:t>
      </w:r>
    </w:p>
  </w:footnote>
  <w:footnote w:id="31">
    <w:p w:rsidR="00166E9E" w:rsidRPr="003A1FCC" w:rsidP="00166E9E" w14:paraId="12177CD1" w14:textId="77777777">
      <w:pPr>
        <w:pStyle w:val="FootnoteText"/>
        <w:rPr>
          <w:i/>
          <w:iCs/>
        </w:rPr>
      </w:pPr>
      <w:r>
        <w:rPr>
          <w:rStyle w:val="FootnoteReference"/>
        </w:rPr>
        <w:footnoteRef/>
      </w:r>
      <w:r>
        <w:t xml:space="preserve"> We note that the Telecommunications Interagency Working Group Report to Congress includes as an example the “Warriors 4 Wireless” charitable organization, which, in partnership with WIA, helps Veterans find careers in the growing 5G wireless workforce, including as drone pilots.  </w:t>
      </w:r>
      <w:r>
        <w:rPr>
          <w:i/>
          <w:iCs/>
        </w:rPr>
        <w:t xml:space="preserve">See </w:t>
      </w:r>
      <w:r>
        <w:t xml:space="preserve">Telecommunications Interagency Working Group Recommendations to Address Workforce Needs (Jan. 13, 2023), available at </w:t>
      </w:r>
      <w:hyperlink r:id="rId10" w:history="1">
        <w:r w:rsidRPr="00AD524C">
          <w:rPr>
            <w:rStyle w:val="Hyperlink"/>
          </w:rPr>
          <w:t>https://docs.fcc.gov/public/attachments/DOC-390665A1.pdf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0FDC4E7" w14:textId="11167344">
    <w:pPr>
      <w:tabs>
        <w:tab w:val="center" w:pos="4680"/>
        <w:tab w:val="right" w:pos="9360"/>
      </w:tabs>
    </w:pPr>
    <w:r>
      <w:rPr>
        <w:b/>
      </w:rPr>
      <w:tab/>
      <w:t>Federal Communications Commission</w:t>
    </w:r>
    <w:r>
      <w:rPr>
        <w:b/>
      </w:rPr>
      <w:tab/>
    </w:r>
    <w:r w:rsidR="00CC43EC">
      <w:rPr>
        <w:b/>
      </w:rPr>
      <w:t>DA 26-314</w:t>
    </w:r>
  </w:p>
  <w:p w:rsidR="00BA3BA8" w14:paraId="3277C42F" w14:textId="5965F83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7AE18FD"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EF81B86" w14:textId="1951732C">
    <w:pPr>
      <w:pStyle w:val="Header"/>
    </w:pPr>
    <w:r>
      <w:rPr>
        <w:noProof/>
      </w:rPr>
      <w:drawing>
        <wp:inline distT="0" distB="0" distL="0" distR="0">
          <wp:extent cx="5954395" cy="142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4395" cy="1424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07EC9"/>
    <w:multiLevelType w:val="hybridMultilevel"/>
    <w:tmpl w:val="67AA7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7476E"/>
    <w:multiLevelType w:val="multilevel"/>
    <w:tmpl w:val="1A7C6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80D4C33"/>
    <w:multiLevelType w:val="multilevel"/>
    <w:tmpl w:val="FC1C7A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6ACD1A6B"/>
    <w:multiLevelType w:val="hybridMultilevel"/>
    <w:tmpl w:val="33221DAC"/>
    <w:lvl w:ilvl="0">
      <w:start w:val="0"/>
      <w:numFmt w:val="bullet"/>
      <w:lvlText w:val="-"/>
      <w:lvlJc w:val="left"/>
      <w:pPr>
        <w:ind w:left="4680" w:hanging="360"/>
      </w:pPr>
      <w:rPr>
        <w:rFonts w:ascii="Times New Roman" w:eastAsia="Times New Roman" w:hAnsi="Times New Roman" w:cs="Times New Roman"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10">
    <w:nsid w:val="736E2568"/>
    <w:multiLevelType w:val="hybridMultilevel"/>
    <w:tmpl w:val="951604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E351567"/>
    <w:multiLevelType w:val="hybridMultilevel"/>
    <w:tmpl w:val="77BAAD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57556008">
    <w:abstractNumId w:val="3"/>
  </w:num>
  <w:num w:numId="2" w16cid:durableId="277298619">
    <w:abstractNumId w:val="8"/>
  </w:num>
  <w:num w:numId="3" w16cid:durableId="1848902080">
    <w:abstractNumId w:val="5"/>
  </w:num>
  <w:num w:numId="4" w16cid:durableId="1106465525">
    <w:abstractNumId w:val="7"/>
  </w:num>
  <w:num w:numId="5" w16cid:durableId="900553838">
    <w:abstractNumId w:val="4"/>
  </w:num>
  <w:num w:numId="6" w16cid:durableId="1051728868">
    <w:abstractNumId w:val="2"/>
  </w:num>
  <w:num w:numId="7" w16cid:durableId="113908766">
    <w:abstractNumId w:val="9"/>
  </w:num>
  <w:num w:numId="8" w16cid:durableId="115410903">
    <w:abstractNumId w:val="11"/>
  </w:num>
  <w:num w:numId="9" w16cid:durableId="245572679">
    <w:abstractNumId w:val="10"/>
  </w:num>
  <w:num w:numId="10" w16cid:durableId="845092374">
    <w:abstractNumId w:val="0"/>
  </w:num>
  <w:num w:numId="11" w16cid:durableId="1917856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21013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4B"/>
    <w:rsid w:val="00000B16"/>
    <w:rsid w:val="00003E93"/>
    <w:rsid w:val="000109F8"/>
    <w:rsid w:val="00010BDA"/>
    <w:rsid w:val="00010E95"/>
    <w:rsid w:val="000127A8"/>
    <w:rsid w:val="00012F0C"/>
    <w:rsid w:val="0001362F"/>
    <w:rsid w:val="00014AAD"/>
    <w:rsid w:val="000155A2"/>
    <w:rsid w:val="00023902"/>
    <w:rsid w:val="00024340"/>
    <w:rsid w:val="000251A6"/>
    <w:rsid w:val="00025381"/>
    <w:rsid w:val="000253F9"/>
    <w:rsid w:val="000265B1"/>
    <w:rsid w:val="00027883"/>
    <w:rsid w:val="00027F92"/>
    <w:rsid w:val="0003123E"/>
    <w:rsid w:val="00032524"/>
    <w:rsid w:val="00033BA4"/>
    <w:rsid w:val="00034231"/>
    <w:rsid w:val="00035519"/>
    <w:rsid w:val="00037281"/>
    <w:rsid w:val="0004170B"/>
    <w:rsid w:val="00043093"/>
    <w:rsid w:val="000439AC"/>
    <w:rsid w:val="000457EE"/>
    <w:rsid w:val="00047D06"/>
    <w:rsid w:val="000532CA"/>
    <w:rsid w:val="000549E4"/>
    <w:rsid w:val="00055DBD"/>
    <w:rsid w:val="000561A9"/>
    <w:rsid w:val="00056954"/>
    <w:rsid w:val="00061194"/>
    <w:rsid w:val="0006279B"/>
    <w:rsid w:val="000632CB"/>
    <w:rsid w:val="00063B62"/>
    <w:rsid w:val="000645A8"/>
    <w:rsid w:val="00065345"/>
    <w:rsid w:val="00066259"/>
    <w:rsid w:val="00072C2F"/>
    <w:rsid w:val="0007361C"/>
    <w:rsid w:val="00074CCD"/>
    <w:rsid w:val="00077EAD"/>
    <w:rsid w:val="00082397"/>
    <w:rsid w:val="00084E41"/>
    <w:rsid w:val="000874D3"/>
    <w:rsid w:val="0009503B"/>
    <w:rsid w:val="0009624C"/>
    <w:rsid w:val="00096F68"/>
    <w:rsid w:val="000A5558"/>
    <w:rsid w:val="000A63F2"/>
    <w:rsid w:val="000A6611"/>
    <w:rsid w:val="000B5417"/>
    <w:rsid w:val="000C069F"/>
    <w:rsid w:val="000C2745"/>
    <w:rsid w:val="000C2A92"/>
    <w:rsid w:val="000C5945"/>
    <w:rsid w:val="000C75B3"/>
    <w:rsid w:val="000C782B"/>
    <w:rsid w:val="000D01C3"/>
    <w:rsid w:val="000D06D2"/>
    <w:rsid w:val="000D0AFA"/>
    <w:rsid w:val="000D1B48"/>
    <w:rsid w:val="000E1B04"/>
    <w:rsid w:val="000E23B1"/>
    <w:rsid w:val="000E3A22"/>
    <w:rsid w:val="000E4FCD"/>
    <w:rsid w:val="000E5C67"/>
    <w:rsid w:val="000E6EB3"/>
    <w:rsid w:val="000E74CE"/>
    <w:rsid w:val="000F0088"/>
    <w:rsid w:val="000F07BA"/>
    <w:rsid w:val="000F7975"/>
    <w:rsid w:val="0010074F"/>
    <w:rsid w:val="00101878"/>
    <w:rsid w:val="0010195E"/>
    <w:rsid w:val="001064A2"/>
    <w:rsid w:val="00112089"/>
    <w:rsid w:val="00116C55"/>
    <w:rsid w:val="00121DBE"/>
    <w:rsid w:val="001232A9"/>
    <w:rsid w:val="0012658B"/>
    <w:rsid w:val="0012659F"/>
    <w:rsid w:val="00127DFC"/>
    <w:rsid w:val="00127FD7"/>
    <w:rsid w:val="0014208B"/>
    <w:rsid w:val="001454CD"/>
    <w:rsid w:val="00145956"/>
    <w:rsid w:val="00145EA6"/>
    <w:rsid w:val="001460BD"/>
    <w:rsid w:val="0014660D"/>
    <w:rsid w:val="00146B98"/>
    <w:rsid w:val="001474CA"/>
    <w:rsid w:val="001504F8"/>
    <w:rsid w:val="00155C4B"/>
    <w:rsid w:val="00156796"/>
    <w:rsid w:val="00157685"/>
    <w:rsid w:val="00160F74"/>
    <w:rsid w:val="00164B24"/>
    <w:rsid w:val="00166E9E"/>
    <w:rsid w:val="00167333"/>
    <w:rsid w:val="00167DB5"/>
    <w:rsid w:val="00174A0A"/>
    <w:rsid w:val="001767AD"/>
    <w:rsid w:val="001778BD"/>
    <w:rsid w:val="00177923"/>
    <w:rsid w:val="00181957"/>
    <w:rsid w:val="00182AC8"/>
    <w:rsid w:val="00183F01"/>
    <w:rsid w:val="00186735"/>
    <w:rsid w:val="00191460"/>
    <w:rsid w:val="00194DD0"/>
    <w:rsid w:val="00196CD1"/>
    <w:rsid w:val="00197305"/>
    <w:rsid w:val="001A076F"/>
    <w:rsid w:val="001A34B1"/>
    <w:rsid w:val="001A6E36"/>
    <w:rsid w:val="001B1297"/>
    <w:rsid w:val="001B2105"/>
    <w:rsid w:val="001B2756"/>
    <w:rsid w:val="001B6153"/>
    <w:rsid w:val="001B7A56"/>
    <w:rsid w:val="001C08DD"/>
    <w:rsid w:val="001C0C3C"/>
    <w:rsid w:val="001C492A"/>
    <w:rsid w:val="001C5D42"/>
    <w:rsid w:val="001C7821"/>
    <w:rsid w:val="001D160A"/>
    <w:rsid w:val="001D3F17"/>
    <w:rsid w:val="001D48F7"/>
    <w:rsid w:val="001D515E"/>
    <w:rsid w:val="001D7278"/>
    <w:rsid w:val="001D7BE0"/>
    <w:rsid w:val="001E09D7"/>
    <w:rsid w:val="001E24FB"/>
    <w:rsid w:val="001F5ABC"/>
    <w:rsid w:val="001F60BE"/>
    <w:rsid w:val="00200DDA"/>
    <w:rsid w:val="002050D3"/>
    <w:rsid w:val="002143FD"/>
    <w:rsid w:val="002150EC"/>
    <w:rsid w:val="0022079C"/>
    <w:rsid w:val="00221645"/>
    <w:rsid w:val="002243E8"/>
    <w:rsid w:val="00226798"/>
    <w:rsid w:val="00232920"/>
    <w:rsid w:val="002348FD"/>
    <w:rsid w:val="002409D4"/>
    <w:rsid w:val="00240D22"/>
    <w:rsid w:val="00242E21"/>
    <w:rsid w:val="002430C5"/>
    <w:rsid w:val="00243385"/>
    <w:rsid w:val="00244FC5"/>
    <w:rsid w:val="00250505"/>
    <w:rsid w:val="00253ED3"/>
    <w:rsid w:val="00256210"/>
    <w:rsid w:val="00256240"/>
    <w:rsid w:val="00257CEB"/>
    <w:rsid w:val="00262FDA"/>
    <w:rsid w:val="00266DCA"/>
    <w:rsid w:val="00273018"/>
    <w:rsid w:val="00274F23"/>
    <w:rsid w:val="00284150"/>
    <w:rsid w:val="00284640"/>
    <w:rsid w:val="0028593A"/>
    <w:rsid w:val="00292F27"/>
    <w:rsid w:val="00293020"/>
    <w:rsid w:val="002938E2"/>
    <w:rsid w:val="00294DAF"/>
    <w:rsid w:val="00297226"/>
    <w:rsid w:val="002A2E48"/>
    <w:rsid w:val="002A3A5C"/>
    <w:rsid w:val="002A77DC"/>
    <w:rsid w:val="002B0A77"/>
    <w:rsid w:val="002B3560"/>
    <w:rsid w:val="002B617C"/>
    <w:rsid w:val="002C30D8"/>
    <w:rsid w:val="002C52D6"/>
    <w:rsid w:val="002D0488"/>
    <w:rsid w:val="002D10FB"/>
    <w:rsid w:val="002D1A9A"/>
    <w:rsid w:val="002D4239"/>
    <w:rsid w:val="002D609E"/>
    <w:rsid w:val="002D72D8"/>
    <w:rsid w:val="002E022A"/>
    <w:rsid w:val="002E1686"/>
    <w:rsid w:val="002E2AE9"/>
    <w:rsid w:val="002F276C"/>
    <w:rsid w:val="002F285B"/>
    <w:rsid w:val="002F3B64"/>
    <w:rsid w:val="002F6832"/>
    <w:rsid w:val="002F6F22"/>
    <w:rsid w:val="0030042C"/>
    <w:rsid w:val="00301070"/>
    <w:rsid w:val="0030445D"/>
    <w:rsid w:val="00304B7E"/>
    <w:rsid w:val="00306371"/>
    <w:rsid w:val="003064B9"/>
    <w:rsid w:val="003064CF"/>
    <w:rsid w:val="00310445"/>
    <w:rsid w:val="003106C4"/>
    <w:rsid w:val="00311042"/>
    <w:rsid w:val="00311B61"/>
    <w:rsid w:val="00311DC6"/>
    <w:rsid w:val="0031335B"/>
    <w:rsid w:val="00314E89"/>
    <w:rsid w:val="003172F9"/>
    <w:rsid w:val="00317BCB"/>
    <w:rsid w:val="00320882"/>
    <w:rsid w:val="00323179"/>
    <w:rsid w:val="003271D0"/>
    <w:rsid w:val="0032744D"/>
    <w:rsid w:val="00332D18"/>
    <w:rsid w:val="003331FB"/>
    <w:rsid w:val="003356C5"/>
    <w:rsid w:val="00335EE9"/>
    <w:rsid w:val="00336FEB"/>
    <w:rsid w:val="003413DF"/>
    <w:rsid w:val="0034167A"/>
    <w:rsid w:val="00342CD9"/>
    <w:rsid w:val="003504D5"/>
    <w:rsid w:val="00352A44"/>
    <w:rsid w:val="003569C6"/>
    <w:rsid w:val="00361E26"/>
    <w:rsid w:val="00365A17"/>
    <w:rsid w:val="00370A8D"/>
    <w:rsid w:val="003721CA"/>
    <w:rsid w:val="00375068"/>
    <w:rsid w:val="00376576"/>
    <w:rsid w:val="00376DFB"/>
    <w:rsid w:val="00377880"/>
    <w:rsid w:val="003804FC"/>
    <w:rsid w:val="00381536"/>
    <w:rsid w:val="00384FF8"/>
    <w:rsid w:val="003852BB"/>
    <w:rsid w:val="00385324"/>
    <w:rsid w:val="00385D2D"/>
    <w:rsid w:val="00386CC9"/>
    <w:rsid w:val="00386ED9"/>
    <w:rsid w:val="00387B13"/>
    <w:rsid w:val="003920E4"/>
    <w:rsid w:val="003937E5"/>
    <w:rsid w:val="00395F13"/>
    <w:rsid w:val="003A1FCC"/>
    <w:rsid w:val="003A226A"/>
    <w:rsid w:val="003A23C9"/>
    <w:rsid w:val="003A3790"/>
    <w:rsid w:val="003A42F1"/>
    <w:rsid w:val="003A4E5F"/>
    <w:rsid w:val="003A7294"/>
    <w:rsid w:val="003B0B1C"/>
    <w:rsid w:val="003B0B53"/>
    <w:rsid w:val="003B0F09"/>
    <w:rsid w:val="003B1FC3"/>
    <w:rsid w:val="003B6D16"/>
    <w:rsid w:val="003C0BD8"/>
    <w:rsid w:val="003C15D1"/>
    <w:rsid w:val="003C20C0"/>
    <w:rsid w:val="003C34BC"/>
    <w:rsid w:val="003C5A7B"/>
    <w:rsid w:val="003C7EAB"/>
    <w:rsid w:val="003D0C09"/>
    <w:rsid w:val="003D0E1E"/>
    <w:rsid w:val="003D1C5E"/>
    <w:rsid w:val="003D1EDC"/>
    <w:rsid w:val="003D4320"/>
    <w:rsid w:val="003D5608"/>
    <w:rsid w:val="003D675B"/>
    <w:rsid w:val="003D6B2F"/>
    <w:rsid w:val="003E14F5"/>
    <w:rsid w:val="003E4526"/>
    <w:rsid w:val="003E4859"/>
    <w:rsid w:val="003E6D68"/>
    <w:rsid w:val="003E7B28"/>
    <w:rsid w:val="003F153F"/>
    <w:rsid w:val="003F16E9"/>
    <w:rsid w:val="003F21EA"/>
    <w:rsid w:val="003F3C4C"/>
    <w:rsid w:val="003F4858"/>
    <w:rsid w:val="003F7DE7"/>
    <w:rsid w:val="00402F85"/>
    <w:rsid w:val="00405842"/>
    <w:rsid w:val="0040667E"/>
    <w:rsid w:val="00412946"/>
    <w:rsid w:val="00417A42"/>
    <w:rsid w:val="00417DD7"/>
    <w:rsid w:val="00423CA6"/>
    <w:rsid w:val="004241A7"/>
    <w:rsid w:val="00430183"/>
    <w:rsid w:val="00430B30"/>
    <w:rsid w:val="00430DDB"/>
    <w:rsid w:val="0043352D"/>
    <w:rsid w:val="004372D8"/>
    <w:rsid w:val="0043793E"/>
    <w:rsid w:val="00437B10"/>
    <w:rsid w:val="00444A92"/>
    <w:rsid w:val="004472FE"/>
    <w:rsid w:val="004474AA"/>
    <w:rsid w:val="00447E37"/>
    <w:rsid w:val="004516F0"/>
    <w:rsid w:val="004521BC"/>
    <w:rsid w:val="00455F72"/>
    <w:rsid w:val="00456120"/>
    <w:rsid w:val="004617E8"/>
    <w:rsid w:val="00461AA7"/>
    <w:rsid w:val="0046418E"/>
    <w:rsid w:val="004678C4"/>
    <w:rsid w:val="00475FA7"/>
    <w:rsid w:val="004776F8"/>
    <w:rsid w:val="00482291"/>
    <w:rsid w:val="00485124"/>
    <w:rsid w:val="00486687"/>
    <w:rsid w:val="00487C4E"/>
    <w:rsid w:val="0049092E"/>
    <w:rsid w:val="0049303C"/>
    <w:rsid w:val="004975AC"/>
    <w:rsid w:val="004A0018"/>
    <w:rsid w:val="004A2E22"/>
    <w:rsid w:val="004A43F8"/>
    <w:rsid w:val="004B3139"/>
    <w:rsid w:val="004B397E"/>
    <w:rsid w:val="004B3F4F"/>
    <w:rsid w:val="004B4BDB"/>
    <w:rsid w:val="004B5348"/>
    <w:rsid w:val="004B7973"/>
    <w:rsid w:val="004C0317"/>
    <w:rsid w:val="004C05A8"/>
    <w:rsid w:val="004C06A1"/>
    <w:rsid w:val="004C2003"/>
    <w:rsid w:val="004C4EAE"/>
    <w:rsid w:val="004C587E"/>
    <w:rsid w:val="004D1AD7"/>
    <w:rsid w:val="004D2AFE"/>
    <w:rsid w:val="004D55FF"/>
    <w:rsid w:val="004E1958"/>
    <w:rsid w:val="004E4E76"/>
    <w:rsid w:val="004F1E1D"/>
    <w:rsid w:val="004F24A6"/>
    <w:rsid w:val="004F52CA"/>
    <w:rsid w:val="004F5F99"/>
    <w:rsid w:val="004F64AF"/>
    <w:rsid w:val="005007EE"/>
    <w:rsid w:val="00501665"/>
    <w:rsid w:val="005016BD"/>
    <w:rsid w:val="005027F6"/>
    <w:rsid w:val="005037B7"/>
    <w:rsid w:val="00504581"/>
    <w:rsid w:val="0050472A"/>
    <w:rsid w:val="005123C0"/>
    <w:rsid w:val="005153CD"/>
    <w:rsid w:val="00515455"/>
    <w:rsid w:val="005166DF"/>
    <w:rsid w:val="00516DDE"/>
    <w:rsid w:val="00522CE0"/>
    <w:rsid w:val="00523D69"/>
    <w:rsid w:val="00527C43"/>
    <w:rsid w:val="00527E62"/>
    <w:rsid w:val="00527F3D"/>
    <w:rsid w:val="00531A36"/>
    <w:rsid w:val="005324A4"/>
    <w:rsid w:val="00535F34"/>
    <w:rsid w:val="005415DE"/>
    <w:rsid w:val="00547AC4"/>
    <w:rsid w:val="0055261D"/>
    <w:rsid w:val="005539F3"/>
    <w:rsid w:val="00555FBC"/>
    <w:rsid w:val="005603D5"/>
    <w:rsid w:val="00562498"/>
    <w:rsid w:val="005638E7"/>
    <w:rsid w:val="0056458F"/>
    <w:rsid w:val="005660E2"/>
    <w:rsid w:val="00570932"/>
    <w:rsid w:val="00576763"/>
    <w:rsid w:val="00581F9F"/>
    <w:rsid w:val="00583EDC"/>
    <w:rsid w:val="00590FF9"/>
    <w:rsid w:val="005933A5"/>
    <w:rsid w:val="005972D4"/>
    <w:rsid w:val="005A06CB"/>
    <w:rsid w:val="005A5BB2"/>
    <w:rsid w:val="005A67FF"/>
    <w:rsid w:val="005A6E6F"/>
    <w:rsid w:val="005A7617"/>
    <w:rsid w:val="005A7F86"/>
    <w:rsid w:val="005B220E"/>
    <w:rsid w:val="005B3DD1"/>
    <w:rsid w:val="005B416B"/>
    <w:rsid w:val="005B6390"/>
    <w:rsid w:val="005C0320"/>
    <w:rsid w:val="005C10B6"/>
    <w:rsid w:val="005C31F1"/>
    <w:rsid w:val="005C3E2E"/>
    <w:rsid w:val="005C64DB"/>
    <w:rsid w:val="005C657C"/>
    <w:rsid w:val="005D39EE"/>
    <w:rsid w:val="005D3E7B"/>
    <w:rsid w:val="005D4DF7"/>
    <w:rsid w:val="005D6530"/>
    <w:rsid w:val="005E3C7A"/>
    <w:rsid w:val="005E4225"/>
    <w:rsid w:val="005E44BE"/>
    <w:rsid w:val="005E7A70"/>
    <w:rsid w:val="005E7B9D"/>
    <w:rsid w:val="005F0BDC"/>
    <w:rsid w:val="005F2446"/>
    <w:rsid w:val="005F42E4"/>
    <w:rsid w:val="005F59CF"/>
    <w:rsid w:val="005F6A47"/>
    <w:rsid w:val="005F7936"/>
    <w:rsid w:val="0060191C"/>
    <w:rsid w:val="00601EA3"/>
    <w:rsid w:val="0060247C"/>
    <w:rsid w:val="006064D3"/>
    <w:rsid w:val="00611912"/>
    <w:rsid w:val="006129FB"/>
    <w:rsid w:val="00614B67"/>
    <w:rsid w:val="0061667B"/>
    <w:rsid w:val="0062432B"/>
    <w:rsid w:val="0062515C"/>
    <w:rsid w:val="00625373"/>
    <w:rsid w:val="006260FE"/>
    <w:rsid w:val="00627F3F"/>
    <w:rsid w:val="00630726"/>
    <w:rsid w:val="0063152C"/>
    <w:rsid w:val="00631C51"/>
    <w:rsid w:val="00634816"/>
    <w:rsid w:val="00634CE8"/>
    <w:rsid w:val="006355DB"/>
    <w:rsid w:val="00635B00"/>
    <w:rsid w:val="00637CCF"/>
    <w:rsid w:val="00640B29"/>
    <w:rsid w:val="00641921"/>
    <w:rsid w:val="00642447"/>
    <w:rsid w:val="00644467"/>
    <w:rsid w:val="00646F79"/>
    <w:rsid w:val="006470B0"/>
    <w:rsid w:val="00647747"/>
    <w:rsid w:val="00651710"/>
    <w:rsid w:val="006526A8"/>
    <w:rsid w:val="006613C4"/>
    <w:rsid w:val="0066278C"/>
    <w:rsid w:val="00665E84"/>
    <w:rsid w:val="00671CE5"/>
    <w:rsid w:val="006750BE"/>
    <w:rsid w:val="00681E48"/>
    <w:rsid w:val="00681E85"/>
    <w:rsid w:val="00684DF7"/>
    <w:rsid w:val="006854A0"/>
    <w:rsid w:val="006879C5"/>
    <w:rsid w:val="00687E16"/>
    <w:rsid w:val="0069197F"/>
    <w:rsid w:val="006932F9"/>
    <w:rsid w:val="0069375C"/>
    <w:rsid w:val="006A2563"/>
    <w:rsid w:val="006B1751"/>
    <w:rsid w:val="006B1758"/>
    <w:rsid w:val="006B1A9C"/>
    <w:rsid w:val="006B2BAD"/>
    <w:rsid w:val="006B5D99"/>
    <w:rsid w:val="006B7E2F"/>
    <w:rsid w:val="006C43C0"/>
    <w:rsid w:val="006C4E72"/>
    <w:rsid w:val="006C6A29"/>
    <w:rsid w:val="006D017B"/>
    <w:rsid w:val="006D1959"/>
    <w:rsid w:val="006D393A"/>
    <w:rsid w:val="006D4532"/>
    <w:rsid w:val="006D47D5"/>
    <w:rsid w:val="006D638F"/>
    <w:rsid w:val="006E0D2C"/>
    <w:rsid w:val="006E0D5E"/>
    <w:rsid w:val="006E2B4D"/>
    <w:rsid w:val="006E5F5F"/>
    <w:rsid w:val="006E7898"/>
    <w:rsid w:val="006F0788"/>
    <w:rsid w:val="006F1D2E"/>
    <w:rsid w:val="006F2ED6"/>
    <w:rsid w:val="006F538A"/>
    <w:rsid w:val="006F6FCE"/>
    <w:rsid w:val="007002D6"/>
    <w:rsid w:val="007006E1"/>
    <w:rsid w:val="007014D1"/>
    <w:rsid w:val="007018FD"/>
    <w:rsid w:val="00703448"/>
    <w:rsid w:val="007111CA"/>
    <w:rsid w:val="00713AB2"/>
    <w:rsid w:val="007157C4"/>
    <w:rsid w:val="00715F0B"/>
    <w:rsid w:val="00716062"/>
    <w:rsid w:val="0072007B"/>
    <w:rsid w:val="00720950"/>
    <w:rsid w:val="00721215"/>
    <w:rsid w:val="00722CE3"/>
    <w:rsid w:val="0073179D"/>
    <w:rsid w:val="00735477"/>
    <w:rsid w:val="007360D2"/>
    <w:rsid w:val="00741D28"/>
    <w:rsid w:val="0074392E"/>
    <w:rsid w:val="00744688"/>
    <w:rsid w:val="00750DE6"/>
    <w:rsid w:val="0075258B"/>
    <w:rsid w:val="00752635"/>
    <w:rsid w:val="0075372D"/>
    <w:rsid w:val="00754BCA"/>
    <w:rsid w:val="00755039"/>
    <w:rsid w:val="00756691"/>
    <w:rsid w:val="00761142"/>
    <w:rsid w:val="00762F63"/>
    <w:rsid w:val="00766429"/>
    <w:rsid w:val="00767DD3"/>
    <w:rsid w:val="00770DB8"/>
    <w:rsid w:val="00772A54"/>
    <w:rsid w:val="00772B35"/>
    <w:rsid w:val="00772C35"/>
    <w:rsid w:val="00773657"/>
    <w:rsid w:val="00774852"/>
    <w:rsid w:val="00775792"/>
    <w:rsid w:val="007758F9"/>
    <w:rsid w:val="0077702E"/>
    <w:rsid w:val="00780DB1"/>
    <w:rsid w:val="0078195D"/>
    <w:rsid w:val="00782E4C"/>
    <w:rsid w:val="007830F0"/>
    <w:rsid w:val="007844B0"/>
    <w:rsid w:val="00790740"/>
    <w:rsid w:val="007962B4"/>
    <w:rsid w:val="007A42FB"/>
    <w:rsid w:val="007A6059"/>
    <w:rsid w:val="007A72D8"/>
    <w:rsid w:val="007B50C5"/>
    <w:rsid w:val="007B65BD"/>
    <w:rsid w:val="007C0C84"/>
    <w:rsid w:val="007C392B"/>
    <w:rsid w:val="007C6766"/>
    <w:rsid w:val="007C7583"/>
    <w:rsid w:val="007D0069"/>
    <w:rsid w:val="007D09A9"/>
    <w:rsid w:val="007D2B76"/>
    <w:rsid w:val="007D43F7"/>
    <w:rsid w:val="007D7441"/>
    <w:rsid w:val="007D79E6"/>
    <w:rsid w:val="007D7E95"/>
    <w:rsid w:val="007E0050"/>
    <w:rsid w:val="007E0C81"/>
    <w:rsid w:val="007E1314"/>
    <w:rsid w:val="007F0A8B"/>
    <w:rsid w:val="007F144A"/>
    <w:rsid w:val="007F224C"/>
    <w:rsid w:val="007F270E"/>
    <w:rsid w:val="007F35D2"/>
    <w:rsid w:val="007F3FD3"/>
    <w:rsid w:val="007F4FC7"/>
    <w:rsid w:val="007F63AA"/>
    <w:rsid w:val="007F7B38"/>
    <w:rsid w:val="00800E4C"/>
    <w:rsid w:val="00802327"/>
    <w:rsid w:val="00803464"/>
    <w:rsid w:val="008038B7"/>
    <w:rsid w:val="008064A3"/>
    <w:rsid w:val="00807138"/>
    <w:rsid w:val="00811525"/>
    <w:rsid w:val="008123F5"/>
    <w:rsid w:val="00812E6E"/>
    <w:rsid w:val="0081319C"/>
    <w:rsid w:val="008138F3"/>
    <w:rsid w:val="00815BE1"/>
    <w:rsid w:val="0081610A"/>
    <w:rsid w:val="008162EE"/>
    <w:rsid w:val="008175FA"/>
    <w:rsid w:val="00821C5C"/>
    <w:rsid w:val="0082391A"/>
    <w:rsid w:val="00824346"/>
    <w:rsid w:val="008244BA"/>
    <w:rsid w:val="008254CD"/>
    <w:rsid w:val="00827B53"/>
    <w:rsid w:val="008309A9"/>
    <w:rsid w:val="00832F9B"/>
    <w:rsid w:val="00835157"/>
    <w:rsid w:val="00835358"/>
    <w:rsid w:val="008360D2"/>
    <w:rsid w:val="008414D8"/>
    <w:rsid w:val="008426CD"/>
    <w:rsid w:val="00842D3C"/>
    <w:rsid w:val="00843DAC"/>
    <w:rsid w:val="00844524"/>
    <w:rsid w:val="008453DD"/>
    <w:rsid w:val="008454DE"/>
    <w:rsid w:val="008470EC"/>
    <w:rsid w:val="008479CF"/>
    <w:rsid w:val="008546D3"/>
    <w:rsid w:val="00861EE1"/>
    <w:rsid w:val="00863EA5"/>
    <w:rsid w:val="008666B5"/>
    <w:rsid w:val="00866EA0"/>
    <w:rsid w:val="00867412"/>
    <w:rsid w:val="00867BFF"/>
    <w:rsid w:val="00873E6B"/>
    <w:rsid w:val="008749D0"/>
    <w:rsid w:val="00875D15"/>
    <w:rsid w:val="0087629D"/>
    <w:rsid w:val="00876A41"/>
    <w:rsid w:val="00880493"/>
    <w:rsid w:val="00881003"/>
    <w:rsid w:val="008819C6"/>
    <w:rsid w:val="008869BC"/>
    <w:rsid w:val="00886AE2"/>
    <w:rsid w:val="00890CAA"/>
    <w:rsid w:val="008929B8"/>
    <w:rsid w:val="00893C51"/>
    <w:rsid w:val="0089499F"/>
    <w:rsid w:val="00895546"/>
    <w:rsid w:val="00895F95"/>
    <w:rsid w:val="008A0836"/>
    <w:rsid w:val="008A168C"/>
    <w:rsid w:val="008A3559"/>
    <w:rsid w:val="008A52F0"/>
    <w:rsid w:val="008A68E8"/>
    <w:rsid w:val="008A727E"/>
    <w:rsid w:val="008A74E9"/>
    <w:rsid w:val="008B126F"/>
    <w:rsid w:val="008B2690"/>
    <w:rsid w:val="008B2F3D"/>
    <w:rsid w:val="008B3508"/>
    <w:rsid w:val="008B65E1"/>
    <w:rsid w:val="008C0955"/>
    <w:rsid w:val="008C3438"/>
    <w:rsid w:val="008C7C31"/>
    <w:rsid w:val="008C7E00"/>
    <w:rsid w:val="008D2EAA"/>
    <w:rsid w:val="008D35E5"/>
    <w:rsid w:val="008D49D3"/>
    <w:rsid w:val="008D6969"/>
    <w:rsid w:val="008E2AC3"/>
    <w:rsid w:val="008E44EA"/>
    <w:rsid w:val="008E6E2A"/>
    <w:rsid w:val="008E6F0C"/>
    <w:rsid w:val="008F39B9"/>
    <w:rsid w:val="008F478E"/>
    <w:rsid w:val="008F7AF0"/>
    <w:rsid w:val="009015E3"/>
    <w:rsid w:val="00903B72"/>
    <w:rsid w:val="00904271"/>
    <w:rsid w:val="009048D2"/>
    <w:rsid w:val="0090597F"/>
    <w:rsid w:val="0090608E"/>
    <w:rsid w:val="009062B4"/>
    <w:rsid w:val="00906674"/>
    <w:rsid w:val="0090750B"/>
    <w:rsid w:val="00912909"/>
    <w:rsid w:val="00912C86"/>
    <w:rsid w:val="00912F2D"/>
    <w:rsid w:val="00914572"/>
    <w:rsid w:val="00914B32"/>
    <w:rsid w:val="0091503A"/>
    <w:rsid w:val="00915C32"/>
    <w:rsid w:val="009179A0"/>
    <w:rsid w:val="00921A05"/>
    <w:rsid w:val="00921B76"/>
    <w:rsid w:val="0092380F"/>
    <w:rsid w:val="009245D7"/>
    <w:rsid w:val="0092469E"/>
    <w:rsid w:val="00924A49"/>
    <w:rsid w:val="00926296"/>
    <w:rsid w:val="00926984"/>
    <w:rsid w:val="0092786D"/>
    <w:rsid w:val="009303F9"/>
    <w:rsid w:val="009307C1"/>
    <w:rsid w:val="00932151"/>
    <w:rsid w:val="0093261E"/>
    <w:rsid w:val="00934886"/>
    <w:rsid w:val="009376A9"/>
    <w:rsid w:val="00937B11"/>
    <w:rsid w:val="009410BF"/>
    <w:rsid w:val="009452A7"/>
    <w:rsid w:val="00945965"/>
    <w:rsid w:val="00945DFF"/>
    <w:rsid w:val="00946044"/>
    <w:rsid w:val="00951193"/>
    <w:rsid w:val="00952C60"/>
    <w:rsid w:val="00953296"/>
    <w:rsid w:val="00954884"/>
    <w:rsid w:val="009564DE"/>
    <w:rsid w:val="009607EC"/>
    <w:rsid w:val="00960A02"/>
    <w:rsid w:val="0096268A"/>
    <w:rsid w:val="00962DC9"/>
    <w:rsid w:val="009635D1"/>
    <w:rsid w:val="0096606B"/>
    <w:rsid w:val="00970732"/>
    <w:rsid w:val="009752B1"/>
    <w:rsid w:val="00975F08"/>
    <w:rsid w:val="00980428"/>
    <w:rsid w:val="009820AC"/>
    <w:rsid w:val="009836B8"/>
    <w:rsid w:val="0099146C"/>
    <w:rsid w:val="0099190D"/>
    <w:rsid w:val="0099312E"/>
    <w:rsid w:val="00996B8F"/>
    <w:rsid w:val="009A222E"/>
    <w:rsid w:val="009A2DD1"/>
    <w:rsid w:val="009A3407"/>
    <w:rsid w:val="009A46A4"/>
    <w:rsid w:val="009A5B26"/>
    <w:rsid w:val="009A6C4B"/>
    <w:rsid w:val="009C10B4"/>
    <w:rsid w:val="009C45A7"/>
    <w:rsid w:val="009C5CD0"/>
    <w:rsid w:val="009C7B03"/>
    <w:rsid w:val="009D0465"/>
    <w:rsid w:val="009D0B63"/>
    <w:rsid w:val="009D19E4"/>
    <w:rsid w:val="009D3D55"/>
    <w:rsid w:val="009D7A68"/>
    <w:rsid w:val="009E097C"/>
    <w:rsid w:val="009E1744"/>
    <w:rsid w:val="009E2F28"/>
    <w:rsid w:val="009E45F9"/>
    <w:rsid w:val="009F285E"/>
    <w:rsid w:val="009F607A"/>
    <w:rsid w:val="009F61F1"/>
    <w:rsid w:val="009F78A0"/>
    <w:rsid w:val="00A0039A"/>
    <w:rsid w:val="00A0079F"/>
    <w:rsid w:val="00A00CC8"/>
    <w:rsid w:val="00A02F08"/>
    <w:rsid w:val="00A04253"/>
    <w:rsid w:val="00A0714E"/>
    <w:rsid w:val="00A12C07"/>
    <w:rsid w:val="00A135FB"/>
    <w:rsid w:val="00A13792"/>
    <w:rsid w:val="00A15D2E"/>
    <w:rsid w:val="00A20679"/>
    <w:rsid w:val="00A2233F"/>
    <w:rsid w:val="00A241A8"/>
    <w:rsid w:val="00A2461A"/>
    <w:rsid w:val="00A24D28"/>
    <w:rsid w:val="00A269C9"/>
    <w:rsid w:val="00A30993"/>
    <w:rsid w:val="00A3514A"/>
    <w:rsid w:val="00A45758"/>
    <w:rsid w:val="00A51F79"/>
    <w:rsid w:val="00A53B65"/>
    <w:rsid w:val="00A56222"/>
    <w:rsid w:val="00A57303"/>
    <w:rsid w:val="00A57918"/>
    <w:rsid w:val="00A62A6E"/>
    <w:rsid w:val="00A67B6C"/>
    <w:rsid w:val="00A7045B"/>
    <w:rsid w:val="00A740A3"/>
    <w:rsid w:val="00A812B0"/>
    <w:rsid w:val="00A8286C"/>
    <w:rsid w:val="00A87477"/>
    <w:rsid w:val="00A903FF"/>
    <w:rsid w:val="00A91D1F"/>
    <w:rsid w:val="00A91EED"/>
    <w:rsid w:val="00A92A57"/>
    <w:rsid w:val="00A952BE"/>
    <w:rsid w:val="00AA1524"/>
    <w:rsid w:val="00AA2907"/>
    <w:rsid w:val="00AA47F7"/>
    <w:rsid w:val="00AA48C1"/>
    <w:rsid w:val="00AA6574"/>
    <w:rsid w:val="00AA6DA1"/>
    <w:rsid w:val="00AA7587"/>
    <w:rsid w:val="00AA770E"/>
    <w:rsid w:val="00AB159A"/>
    <w:rsid w:val="00AB33A8"/>
    <w:rsid w:val="00AB3A5F"/>
    <w:rsid w:val="00AB42C3"/>
    <w:rsid w:val="00AD1115"/>
    <w:rsid w:val="00AD4020"/>
    <w:rsid w:val="00AD524C"/>
    <w:rsid w:val="00AD5A22"/>
    <w:rsid w:val="00AD7A3A"/>
    <w:rsid w:val="00AE04E0"/>
    <w:rsid w:val="00AE1F9E"/>
    <w:rsid w:val="00AE484D"/>
    <w:rsid w:val="00AE6912"/>
    <w:rsid w:val="00AE727B"/>
    <w:rsid w:val="00AE728B"/>
    <w:rsid w:val="00AF0B7B"/>
    <w:rsid w:val="00AF0BFB"/>
    <w:rsid w:val="00AF1EA1"/>
    <w:rsid w:val="00AF5B30"/>
    <w:rsid w:val="00AF789C"/>
    <w:rsid w:val="00B0296C"/>
    <w:rsid w:val="00B034C7"/>
    <w:rsid w:val="00B050F1"/>
    <w:rsid w:val="00B101F3"/>
    <w:rsid w:val="00B106BA"/>
    <w:rsid w:val="00B11B4E"/>
    <w:rsid w:val="00B11D66"/>
    <w:rsid w:val="00B12C52"/>
    <w:rsid w:val="00B26830"/>
    <w:rsid w:val="00B32106"/>
    <w:rsid w:val="00B32838"/>
    <w:rsid w:val="00B35C48"/>
    <w:rsid w:val="00B40D8F"/>
    <w:rsid w:val="00B4156F"/>
    <w:rsid w:val="00B42146"/>
    <w:rsid w:val="00B43771"/>
    <w:rsid w:val="00B44002"/>
    <w:rsid w:val="00B4449E"/>
    <w:rsid w:val="00B4756B"/>
    <w:rsid w:val="00B475C7"/>
    <w:rsid w:val="00B50C34"/>
    <w:rsid w:val="00B53550"/>
    <w:rsid w:val="00B54820"/>
    <w:rsid w:val="00B54D30"/>
    <w:rsid w:val="00B54F3B"/>
    <w:rsid w:val="00B57224"/>
    <w:rsid w:val="00B60A4C"/>
    <w:rsid w:val="00B61D20"/>
    <w:rsid w:val="00B61F5E"/>
    <w:rsid w:val="00B62F29"/>
    <w:rsid w:val="00B653A0"/>
    <w:rsid w:val="00B7311A"/>
    <w:rsid w:val="00B735E9"/>
    <w:rsid w:val="00B75A8B"/>
    <w:rsid w:val="00B80C0A"/>
    <w:rsid w:val="00B80DE1"/>
    <w:rsid w:val="00B81F64"/>
    <w:rsid w:val="00B82D8E"/>
    <w:rsid w:val="00B84DC9"/>
    <w:rsid w:val="00B851DE"/>
    <w:rsid w:val="00B8618F"/>
    <w:rsid w:val="00B86F8F"/>
    <w:rsid w:val="00B90587"/>
    <w:rsid w:val="00B90C50"/>
    <w:rsid w:val="00B94D6D"/>
    <w:rsid w:val="00B959F9"/>
    <w:rsid w:val="00B966B6"/>
    <w:rsid w:val="00B97757"/>
    <w:rsid w:val="00BA186A"/>
    <w:rsid w:val="00BA3BA8"/>
    <w:rsid w:val="00BA5050"/>
    <w:rsid w:val="00BB1FC0"/>
    <w:rsid w:val="00BB30B9"/>
    <w:rsid w:val="00BB5226"/>
    <w:rsid w:val="00BC4B85"/>
    <w:rsid w:val="00BC7B96"/>
    <w:rsid w:val="00BD33EE"/>
    <w:rsid w:val="00BD5680"/>
    <w:rsid w:val="00BD6921"/>
    <w:rsid w:val="00BE0FBD"/>
    <w:rsid w:val="00BE36BB"/>
    <w:rsid w:val="00BE5F12"/>
    <w:rsid w:val="00BE6B6A"/>
    <w:rsid w:val="00BF6BAA"/>
    <w:rsid w:val="00BF7B31"/>
    <w:rsid w:val="00C00F2B"/>
    <w:rsid w:val="00C01323"/>
    <w:rsid w:val="00C0251D"/>
    <w:rsid w:val="00C03A7A"/>
    <w:rsid w:val="00C04966"/>
    <w:rsid w:val="00C05609"/>
    <w:rsid w:val="00C10B2F"/>
    <w:rsid w:val="00C12EBC"/>
    <w:rsid w:val="00C172BF"/>
    <w:rsid w:val="00C2002B"/>
    <w:rsid w:val="00C20461"/>
    <w:rsid w:val="00C22192"/>
    <w:rsid w:val="00C23E3C"/>
    <w:rsid w:val="00C27E5A"/>
    <w:rsid w:val="00C33DD6"/>
    <w:rsid w:val="00C36D2F"/>
    <w:rsid w:val="00C41122"/>
    <w:rsid w:val="00C41EA3"/>
    <w:rsid w:val="00C469BD"/>
    <w:rsid w:val="00C4711D"/>
    <w:rsid w:val="00C47DAC"/>
    <w:rsid w:val="00C50C5F"/>
    <w:rsid w:val="00C53237"/>
    <w:rsid w:val="00C53A3E"/>
    <w:rsid w:val="00C53FD4"/>
    <w:rsid w:val="00C548E1"/>
    <w:rsid w:val="00C554BB"/>
    <w:rsid w:val="00C5716E"/>
    <w:rsid w:val="00C64BC9"/>
    <w:rsid w:val="00C64F08"/>
    <w:rsid w:val="00C6699C"/>
    <w:rsid w:val="00C70F3B"/>
    <w:rsid w:val="00C72915"/>
    <w:rsid w:val="00C74027"/>
    <w:rsid w:val="00C839A8"/>
    <w:rsid w:val="00C87C7E"/>
    <w:rsid w:val="00C90C80"/>
    <w:rsid w:val="00C9245C"/>
    <w:rsid w:val="00C933C8"/>
    <w:rsid w:val="00C93D81"/>
    <w:rsid w:val="00C9469F"/>
    <w:rsid w:val="00C94CD0"/>
    <w:rsid w:val="00C94DAD"/>
    <w:rsid w:val="00C95912"/>
    <w:rsid w:val="00C968CA"/>
    <w:rsid w:val="00C96A63"/>
    <w:rsid w:val="00CA1589"/>
    <w:rsid w:val="00CA2737"/>
    <w:rsid w:val="00CA56A4"/>
    <w:rsid w:val="00CA6A70"/>
    <w:rsid w:val="00CA6CFD"/>
    <w:rsid w:val="00CB11E1"/>
    <w:rsid w:val="00CB1CCC"/>
    <w:rsid w:val="00CB214D"/>
    <w:rsid w:val="00CB2DDE"/>
    <w:rsid w:val="00CB3FBE"/>
    <w:rsid w:val="00CB4A43"/>
    <w:rsid w:val="00CB53CB"/>
    <w:rsid w:val="00CB7642"/>
    <w:rsid w:val="00CB7BD4"/>
    <w:rsid w:val="00CC11BD"/>
    <w:rsid w:val="00CC43EC"/>
    <w:rsid w:val="00CC4F10"/>
    <w:rsid w:val="00CC700F"/>
    <w:rsid w:val="00CD0DF8"/>
    <w:rsid w:val="00CD2C69"/>
    <w:rsid w:val="00CD4065"/>
    <w:rsid w:val="00CD5984"/>
    <w:rsid w:val="00CE1274"/>
    <w:rsid w:val="00CE3CFF"/>
    <w:rsid w:val="00CE4E22"/>
    <w:rsid w:val="00CE6DDE"/>
    <w:rsid w:val="00CF0416"/>
    <w:rsid w:val="00CF117E"/>
    <w:rsid w:val="00CF1CF2"/>
    <w:rsid w:val="00CF6674"/>
    <w:rsid w:val="00D00BA1"/>
    <w:rsid w:val="00D012A4"/>
    <w:rsid w:val="00D05B49"/>
    <w:rsid w:val="00D060B8"/>
    <w:rsid w:val="00D072DD"/>
    <w:rsid w:val="00D074A9"/>
    <w:rsid w:val="00D079F7"/>
    <w:rsid w:val="00D2057B"/>
    <w:rsid w:val="00D25C16"/>
    <w:rsid w:val="00D326B1"/>
    <w:rsid w:val="00D328B6"/>
    <w:rsid w:val="00D32F64"/>
    <w:rsid w:val="00D3474F"/>
    <w:rsid w:val="00D36C0B"/>
    <w:rsid w:val="00D37768"/>
    <w:rsid w:val="00D37C20"/>
    <w:rsid w:val="00D4445D"/>
    <w:rsid w:val="00D501D8"/>
    <w:rsid w:val="00D51A37"/>
    <w:rsid w:val="00D54481"/>
    <w:rsid w:val="00D56A8F"/>
    <w:rsid w:val="00D571FF"/>
    <w:rsid w:val="00D601B6"/>
    <w:rsid w:val="00D61DD3"/>
    <w:rsid w:val="00D6528B"/>
    <w:rsid w:val="00D66173"/>
    <w:rsid w:val="00D667D4"/>
    <w:rsid w:val="00D6685E"/>
    <w:rsid w:val="00D70632"/>
    <w:rsid w:val="00D70B4B"/>
    <w:rsid w:val="00D721C7"/>
    <w:rsid w:val="00D763CE"/>
    <w:rsid w:val="00D80637"/>
    <w:rsid w:val="00D82639"/>
    <w:rsid w:val="00D83B9A"/>
    <w:rsid w:val="00D8443B"/>
    <w:rsid w:val="00D85BD0"/>
    <w:rsid w:val="00D86172"/>
    <w:rsid w:val="00D875C4"/>
    <w:rsid w:val="00D928FA"/>
    <w:rsid w:val="00D93304"/>
    <w:rsid w:val="00D93EED"/>
    <w:rsid w:val="00DA1428"/>
    <w:rsid w:val="00DA48D9"/>
    <w:rsid w:val="00DA6187"/>
    <w:rsid w:val="00DA6412"/>
    <w:rsid w:val="00DA798C"/>
    <w:rsid w:val="00DB0A11"/>
    <w:rsid w:val="00DB10A7"/>
    <w:rsid w:val="00DB1515"/>
    <w:rsid w:val="00DB17A1"/>
    <w:rsid w:val="00DB5AFE"/>
    <w:rsid w:val="00DB5F71"/>
    <w:rsid w:val="00DB6C4F"/>
    <w:rsid w:val="00DC2BB3"/>
    <w:rsid w:val="00DC4937"/>
    <w:rsid w:val="00DC5C05"/>
    <w:rsid w:val="00DD1008"/>
    <w:rsid w:val="00DD1133"/>
    <w:rsid w:val="00DD229F"/>
    <w:rsid w:val="00DD51FC"/>
    <w:rsid w:val="00DD55BD"/>
    <w:rsid w:val="00DD6CF6"/>
    <w:rsid w:val="00DE1D70"/>
    <w:rsid w:val="00DE2366"/>
    <w:rsid w:val="00DE24B9"/>
    <w:rsid w:val="00DE4430"/>
    <w:rsid w:val="00DE44C6"/>
    <w:rsid w:val="00DE71AC"/>
    <w:rsid w:val="00DF034A"/>
    <w:rsid w:val="00DF260D"/>
    <w:rsid w:val="00DF4FD4"/>
    <w:rsid w:val="00DF5D06"/>
    <w:rsid w:val="00DF61F6"/>
    <w:rsid w:val="00DF773F"/>
    <w:rsid w:val="00DF7C51"/>
    <w:rsid w:val="00E00A8A"/>
    <w:rsid w:val="00E00C63"/>
    <w:rsid w:val="00E01B0E"/>
    <w:rsid w:val="00E02E8E"/>
    <w:rsid w:val="00E0339C"/>
    <w:rsid w:val="00E04796"/>
    <w:rsid w:val="00E07B2D"/>
    <w:rsid w:val="00E14BCD"/>
    <w:rsid w:val="00E204F0"/>
    <w:rsid w:val="00E23CD4"/>
    <w:rsid w:val="00E26057"/>
    <w:rsid w:val="00E2668E"/>
    <w:rsid w:val="00E33981"/>
    <w:rsid w:val="00E33C70"/>
    <w:rsid w:val="00E348B6"/>
    <w:rsid w:val="00E34D79"/>
    <w:rsid w:val="00E37673"/>
    <w:rsid w:val="00E416E2"/>
    <w:rsid w:val="00E43E99"/>
    <w:rsid w:val="00E441AD"/>
    <w:rsid w:val="00E44D1C"/>
    <w:rsid w:val="00E44FA3"/>
    <w:rsid w:val="00E50B19"/>
    <w:rsid w:val="00E557C8"/>
    <w:rsid w:val="00E573E5"/>
    <w:rsid w:val="00E62AF9"/>
    <w:rsid w:val="00E62BC5"/>
    <w:rsid w:val="00E6389A"/>
    <w:rsid w:val="00E65EB5"/>
    <w:rsid w:val="00E71FD0"/>
    <w:rsid w:val="00E73B50"/>
    <w:rsid w:val="00E75F11"/>
    <w:rsid w:val="00E821B6"/>
    <w:rsid w:val="00E84EBB"/>
    <w:rsid w:val="00E86EDC"/>
    <w:rsid w:val="00E87A20"/>
    <w:rsid w:val="00E90A01"/>
    <w:rsid w:val="00E91240"/>
    <w:rsid w:val="00E91B71"/>
    <w:rsid w:val="00E93C0F"/>
    <w:rsid w:val="00E95166"/>
    <w:rsid w:val="00E958E1"/>
    <w:rsid w:val="00E979A7"/>
    <w:rsid w:val="00EA1E23"/>
    <w:rsid w:val="00EA3FA8"/>
    <w:rsid w:val="00EA455F"/>
    <w:rsid w:val="00EA4EE9"/>
    <w:rsid w:val="00EB12BF"/>
    <w:rsid w:val="00EB1A38"/>
    <w:rsid w:val="00EB5D09"/>
    <w:rsid w:val="00EB784B"/>
    <w:rsid w:val="00EC1F51"/>
    <w:rsid w:val="00EC2A3C"/>
    <w:rsid w:val="00EC333A"/>
    <w:rsid w:val="00EC5BA5"/>
    <w:rsid w:val="00EC7110"/>
    <w:rsid w:val="00ED0E9E"/>
    <w:rsid w:val="00ED3023"/>
    <w:rsid w:val="00ED51DA"/>
    <w:rsid w:val="00ED5A34"/>
    <w:rsid w:val="00ED5EB3"/>
    <w:rsid w:val="00ED6226"/>
    <w:rsid w:val="00ED6833"/>
    <w:rsid w:val="00ED7AC3"/>
    <w:rsid w:val="00EE03AB"/>
    <w:rsid w:val="00EE1DA2"/>
    <w:rsid w:val="00EE1E68"/>
    <w:rsid w:val="00EE3FEE"/>
    <w:rsid w:val="00EE4768"/>
    <w:rsid w:val="00EE75AC"/>
    <w:rsid w:val="00EF1713"/>
    <w:rsid w:val="00EF17BA"/>
    <w:rsid w:val="00EF466B"/>
    <w:rsid w:val="00EF5EF5"/>
    <w:rsid w:val="00EF752E"/>
    <w:rsid w:val="00F01375"/>
    <w:rsid w:val="00F03EA1"/>
    <w:rsid w:val="00F040D0"/>
    <w:rsid w:val="00F04FF5"/>
    <w:rsid w:val="00F05AFC"/>
    <w:rsid w:val="00F106B4"/>
    <w:rsid w:val="00F1107F"/>
    <w:rsid w:val="00F13A4E"/>
    <w:rsid w:val="00F15DEB"/>
    <w:rsid w:val="00F15E9F"/>
    <w:rsid w:val="00F24CC0"/>
    <w:rsid w:val="00F253A0"/>
    <w:rsid w:val="00F256B9"/>
    <w:rsid w:val="00F4088F"/>
    <w:rsid w:val="00F41973"/>
    <w:rsid w:val="00F41B0C"/>
    <w:rsid w:val="00F42CC2"/>
    <w:rsid w:val="00F44165"/>
    <w:rsid w:val="00F51E68"/>
    <w:rsid w:val="00F530CD"/>
    <w:rsid w:val="00F55324"/>
    <w:rsid w:val="00F56260"/>
    <w:rsid w:val="00F56DCB"/>
    <w:rsid w:val="00F57974"/>
    <w:rsid w:val="00F6291A"/>
    <w:rsid w:val="00F64502"/>
    <w:rsid w:val="00F64A68"/>
    <w:rsid w:val="00F70A23"/>
    <w:rsid w:val="00F7130B"/>
    <w:rsid w:val="00F74333"/>
    <w:rsid w:val="00F749D2"/>
    <w:rsid w:val="00F74E57"/>
    <w:rsid w:val="00F80A13"/>
    <w:rsid w:val="00F80A9A"/>
    <w:rsid w:val="00F81D0B"/>
    <w:rsid w:val="00F81DAA"/>
    <w:rsid w:val="00F82540"/>
    <w:rsid w:val="00F90265"/>
    <w:rsid w:val="00F9034C"/>
    <w:rsid w:val="00F92ABF"/>
    <w:rsid w:val="00F948B6"/>
    <w:rsid w:val="00F9513D"/>
    <w:rsid w:val="00F97728"/>
    <w:rsid w:val="00F97908"/>
    <w:rsid w:val="00FA0672"/>
    <w:rsid w:val="00FA6143"/>
    <w:rsid w:val="00FB135B"/>
    <w:rsid w:val="00FB2516"/>
    <w:rsid w:val="00FB59EC"/>
    <w:rsid w:val="00FC02C3"/>
    <w:rsid w:val="00FC0390"/>
    <w:rsid w:val="00FC1977"/>
    <w:rsid w:val="00FC35BD"/>
    <w:rsid w:val="00FC51B5"/>
    <w:rsid w:val="00FC729B"/>
    <w:rsid w:val="00FD227E"/>
    <w:rsid w:val="00FD2478"/>
    <w:rsid w:val="00FD4544"/>
    <w:rsid w:val="00FD723C"/>
    <w:rsid w:val="00FE0461"/>
    <w:rsid w:val="00FE2518"/>
    <w:rsid w:val="00FE6C34"/>
    <w:rsid w:val="00FF1195"/>
    <w:rsid w:val="00FF29E1"/>
    <w:rsid w:val="00FF38B2"/>
    <w:rsid w:val="00FF4C82"/>
    <w:rsid w:val="00FF4D38"/>
    <w:rsid w:val="0E935B1D"/>
    <w:rsid w:val="1EA0FA4E"/>
    <w:rsid w:val="25A027CE"/>
    <w:rsid w:val="2AEDE056"/>
    <w:rsid w:val="3414DB23"/>
    <w:rsid w:val="3C4D839E"/>
    <w:rsid w:val="70FA4AEA"/>
    <w:rsid w:val="710B300E"/>
    <w:rsid w:val="7DDF21E8"/>
    <w:rsid w:val="7E71DB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0D5E3D"/>
  <w15:chartTrackingRefBased/>
  <w15:docId w15:val="{0AD5ABA8-3F34-4ED5-A37E-17EE0B33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unhideWhenUsed/>
    <w:rPr>
      <w:color w:val="605E5C"/>
      <w:shd w:val="clear" w:color="auto" w:fill="E1DFDD"/>
    </w:rPr>
  </w:style>
  <w:style w:type="character" w:customStyle="1" w:styleId="ParaNumChar1">
    <w:name w:val="ParaNum Char1"/>
    <w:link w:val="ParaNum"/>
    <w:locked/>
    <w:rsid w:val="00155C4B"/>
    <w:rPr>
      <w:snapToGrid w:val="0"/>
      <w:kern w:val="28"/>
      <w:sz w:val="22"/>
    </w:rPr>
  </w:style>
  <w:style w:type="character" w:styleId="CommentReference">
    <w:name w:val="annotation reference"/>
    <w:basedOn w:val="DefaultParagraphFont"/>
    <w:uiPriority w:val="99"/>
    <w:semiHidden/>
    <w:unhideWhenUsed/>
    <w:rsid w:val="00DE1D70"/>
    <w:rPr>
      <w:sz w:val="16"/>
      <w:szCs w:val="16"/>
    </w:rPr>
  </w:style>
  <w:style w:type="paragraph" w:styleId="CommentText">
    <w:name w:val="annotation text"/>
    <w:basedOn w:val="Normal"/>
    <w:link w:val="CommentTextChar"/>
    <w:uiPriority w:val="99"/>
    <w:unhideWhenUsed/>
    <w:rsid w:val="00DE1D70"/>
    <w:rPr>
      <w:sz w:val="20"/>
    </w:rPr>
  </w:style>
  <w:style w:type="character" w:customStyle="1" w:styleId="CommentTextChar">
    <w:name w:val="Comment Text Char"/>
    <w:basedOn w:val="DefaultParagraphFont"/>
    <w:link w:val="CommentText"/>
    <w:uiPriority w:val="99"/>
    <w:rsid w:val="00DE1D70"/>
    <w:rPr>
      <w:snapToGrid w:val="0"/>
      <w:kern w:val="28"/>
    </w:rPr>
  </w:style>
  <w:style w:type="paragraph" w:styleId="CommentSubject">
    <w:name w:val="annotation subject"/>
    <w:basedOn w:val="CommentText"/>
    <w:next w:val="CommentText"/>
    <w:link w:val="CommentSubjectChar"/>
    <w:uiPriority w:val="99"/>
    <w:semiHidden/>
    <w:unhideWhenUsed/>
    <w:rsid w:val="00DE1D70"/>
    <w:rPr>
      <w:b/>
      <w:bCs/>
    </w:rPr>
  </w:style>
  <w:style w:type="character" w:customStyle="1" w:styleId="CommentSubjectChar">
    <w:name w:val="Comment Subject Char"/>
    <w:basedOn w:val="CommentTextChar"/>
    <w:link w:val="CommentSubject"/>
    <w:uiPriority w:val="99"/>
    <w:semiHidden/>
    <w:rsid w:val="00DE1D70"/>
    <w:rPr>
      <w:b/>
      <w:bCs/>
      <w:snapToGrid w:val="0"/>
      <w:kern w:val="28"/>
    </w:rPr>
  </w:style>
  <w:style w:type="paragraph" w:styleId="Revision">
    <w:name w:val="Revision"/>
    <w:hidden/>
    <w:uiPriority w:val="99"/>
    <w:semiHidden/>
    <w:rsid w:val="00FE2518"/>
    <w:rPr>
      <w:snapToGrid w:val="0"/>
      <w:kern w:val="28"/>
      <w:sz w:val="22"/>
    </w:rPr>
  </w:style>
  <w:style w:type="character" w:styleId="Mention">
    <w:name w:val="Mention"/>
    <w:basedOn w:val="DefaultParagraphFont"/>
    <w:uiPriority w:val="99"/>
    <w:unhideWhenUsed/>
    <w:rsid w:val="009062B4"/>
    <w:rPr>
      <w:color w:val="2B579A"/>
      <w:shd w:val="clear" w:color="auto" w:fill="E1DFDD"/>
    </w:rPr>
  </w:style>
  <w:style w:type="paragraph" w:styleId="ListParagraph">
    <w:name w:val="List Paragraph"/>
    <w:basedOn w:val="Normal"/>
    <w:uiPriority w:val="34"/>
    <w:qFormat/>
    <w:rsid w:val="00DF61F6"/>
    <w:pPr>
      <w:ind w:left="720"/>
      <w:contextualSpacing/>
    </w:pPr>
  </w:style>
  <w:style w:type="paragraph" w:styleId="NormalWeb">
    <w:name w:val="Normal (Web)"/>
    <w:basedOn w:val="Normal"/>
    <w:uiPriority w:val="99"/>
    <w:semiHidden/>
    <w:unhideWhenUsed/>
    <w:rsid w:val="009A5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 TargetMode="External" /><Relationship Id="rId11" Type="http://schemas.openxmlformats.org/officeDocument/2006/relationships/hyperlink" Target="mailto:Thomas.Struble@fcc.gov" TargetMode="External" /><Relationship Id="rId12" Type="http://schemas.openxmlformats.org/officeDocument/2006/relationships/hyperlink" Target="mailto:John.Lockwood@fc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luelist.appsplatformportals.us/Cleared-List/" TargetMode="External" /><Relationship Id="rId7" Type="http://schemas.openxmlformats.org/officeDocument/2006/relationships/hyperlink" Target="https://bluelist.appsplatformportals.us/Framework/" TargetMode="External" /><Relationship Id="rId8" Type="http://schemas.openxmlformats.org/officeDocument/2006/relationships/hyperlink" Target="https://www.ecfr.gov/current/title-48/chapter-1/subchapter-D/part-25/subpart-25.1/section-25.101" TargetMode="External" /><Relationship Id="rId9" Type="http://schemas.openxmlformats.org/officeDocument/2006/relationships/hyperlink" Target="https://www.fcc.gov/supplychain/coveredlis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6/unleashing-american-drone-dominance/" TargetMode="External" /><Relationship Id="rId10" Type="http://schemas.openxmlformats.org/officeDocument/2006/relationships/hyperlink" Target="https://docs.fcc.gov/public/attachments/DOC-390665A1.pdf" TargetMode="External" /><Relationship Id="rId2" Type="http://schemas.openxmlformats.org/officeDocument/2006/relationships/hyperlink" Target="https://www.whitehouse.gov/presidentialactions/2025/06/restoring-american-airspace-sovereignty/" TargetMode="External" /><Relationship Id="rId3" Type="http://schemas.openxmlformats.org/officeDocument/2006/relationships/hyperlink" Target="https://docs.fcc.gov/public/attachments/DA-25-1086A1.pdf" TargetMode="External" /><Relationship Id="rId4" Type="http://schemas.openxmlformats.org/officeDocument/2006/relationships/hyperlink" Target="https://docs.fcc.gov/public/attachments/DA-26-22A1.pdf" TargetMode="External" /><Relationship Id="rId5" Type="http://schemas.openxmlformats.org/officeDocument/2006/relationships/hyperlink" Target="https://www.fcc.gov/sites/default/files/UAS-Guidance-Submissions-Conditional-Approvals.pdf" TargetMode="External" /><Relationship Id="rId6" Type="http://schemas.openxmlformats.org/officeDocument/2006/relationships/hyperlink" Target="https://www.transportation.gov/sites/dot.gov/files/2025-12/AAM%20National%20Strategy%202025_508c_251201.pdf" TargetMode="External" /><Relationship Id="rId7" Type="http://schemas.openxmlformats.org/officeDocument/2006/relationships/hyperlink" Target="https://www.transportation.gov/sites/dot.gov/files/2025-12/AAM%20Comprehensive%20Plan%202025_508c_251202.pdf" TargetMode="External" /><Relationship Id="rId8" Type="http://schemas.openxmlformats.org/officeDocument/2006/relationships/hyperlink" Target="https://docs.fcc.gov/public/attachments/DOC-366460A1.pdf" TargetMode="External" /><Relationship Id="rId9" Type="http://schemas.openxmlformats.org/officeDocument/2006/relationships/hyperlink" Target="https://dronelife.com/2021/08/09/dji-still-dominates-public-safety-sector-survey-find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mily.Harrison\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