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4C2EE3" w14:paraId="50C70983" w14:textId="77777777">
      <w:pPr>
        <w:jc w:val="center"/>
        <w:rPr>
          <w:b/>
        </w:rPr>
      </w:pPr>
      <w:r w:rsidRPr="0070224F">
        <w:rPr>
          <w:rFonts w:ascii="Times New Roman Bold" w:hAnsi="Times New Roman Bold"/>
          <w:b/>
          <w:kern w:val="0"/>
          <w:szCs w:val="22"/>
        </w:rPr>
        <w:t>Before</w:t>
      </w:r>
      <w:r>
        <w:rPr>
          <w:b/>
        </w:rPr>
        <w:t xml:space="preserve"> the</w:t>
      </w:r>
    </w:p>
    <w:p w:rsidR="00921803" w:rsidP="00921803" w14:paraId="7EC4B9C2" w14:textId="77777777">
      <w:pPr>
        <w:pStyle w:val="StyleBoldCentered"/>
      </w:pPr>
      <w:r>
        <w:t>F</w:t>
      </w:r>
      <w:r>
        <w:rPr>
          <w:caps w:val="0"/>
        </w:rPr>
        <w:t>ederal Communications Commission</w:t>
      </w:r>
    </w:p>
    <w:p w:rsidR="004C2EE3" w:rsidP="00096D8C" w14:paraId="5C173924" w14:textId="77777777">
      <w:pPr>
        <w:pStyle w:val="StyleBoldCentered"/>
      </w:pPr>
      <w:r>
        <w:rPr>
          <w:caps w:val="0"/>
        </w:rPr>
        <w:t>Washington, D.C. 20554</w:t>
      </w:r>
    </w:p>
    <w:p w:rsidR="004C2EE3" w:rsidP="0070224F" w14:paraId="01F8090D" w14:textId="77777777"/>
    <w:p w:rsidR="004C2EE3" w:rsidP="0070224F" w14:paraId="237FEB93" w14:textId="77777777"/>
    <w:tbl>
      <w:tblPr>
        <w:tblW w:w="0" w:type="auto"/>
        <w:tblLayout w:type="fixed"/>
        <w:tblLook w:val="0000"/>
      </w:tblPr>
      <w:tblGrid>
        <w:gridCol w:w="4698"/>
        <w:gridCol w:w="630"/>
        <w:gridCol w:w="4248"/>
      </w:tblGrid>
      <w:tr w14:paraId="03F4B2F0" w14:textId="77777777">
        <w:tblPrEx>
          <w:tblW w:w="0" w:type="auto"/>
          <w:tblLayout w:type="fixed"/>
          <w:tblLook w:val="0000"/>
        </w:tblPrEx>
        <w:tc>
          <w:tcPr>
            <w:tcW w:w="4698" w:type="dxa"/>
          </w:tcPr>
          <w:p w:rsidR="004C2EE3" w14:paraId="7D7D348D" w14:textId="77777777">
            <w:pPr>
              <w:tabs>
                <w:tab w:val="center" w:pos="4680"/>
              </w:tabs>
              <w:suppressAutoHyphens/>
              <w:rPr>
                <w:spacing w:val="-2"/>
              </w:rPr>
            </w:pPr>
            <w:r>
              <w:rPr>
                <w:spacing w:val="-2"/>
              </w:rPr>
              <w:t>In the Matter of</w:t>
            </w:r>
          </w:p>
          <w:p w:rsidR="004C2EE3" w14:paraId="4756075F" w14:textId="77777777">
            <w:pPr>
              <w:tabs>
                <w:tab w:val="center" w:pos="4680"/>
              </w:tabs>
              <w:suppressAutoHyphens/>
              <w:rPr>
                <w:spacing w:val="-2"/>
              </w:rPr>
            </w:pPr>
          </w:p>
          <w:p w:rsidR="004C2EE3" w:rsidP="007115F7" w14:paraId="11E62569" w14:textId="77777777">
            <w:pPr>
              <w:tabs>
                <w:tab w:val="center" w:pos="4680"/>
              </w:tabs>
              <w:suppressAutoHyphens/>
              <w:rPr>
                <w:spacing w:val="-2"/>
              </w:rPr>
            </w:pPr>
            <w:r>
              <w:rPr>
                <w:spacing w:val="-2"/>
              </w:rPr>
              <w:t>Incarcerated People’s Communications Services;</w:t>
            </w:r>
          </w:p>
          <w:p w:rsidR="002F0FCB" w:rsidP="007115F7" w14:paraId="3F8FB6AC" w14:textId="77777777">
            <w:pPr>
              <w:tabs>
                <w:tab w:val="center" w:pos="4680"/>
              </w:tabs>
              <w:suppressAutoHyphens/>
              <w:rPr>
                <w:spacing w:val="-2"/>
              </w:rPr>
            </w:pPr>
            <w:r>
              <w:rPr>
                <w:spacing w:val="-2"/>
              </w:rPr>
              <w:t>Implementation of the Martha Wright-Reed Act</w:t>
            </w:r>
          </w:p>
          <w:p w:rsidR="002F0FCB" w:rsidP="007115F7" w14:paraId="011D906C" w14:textId="77777777">
            <w:pPr>
              <w:tabs>
                <w:tab w:val="center" w:pos="4680"/>
              </w:tabs>
              <w:suppressAutoHyphens/>
              <w:rPr>
                <w:spacing w:val="-2"/>
              </w:rPr>
            </w:pPr>
          </w:p>
          <w:p w:rsidR="002F0FCB" w:rsidRPr="007115F7" w:rsidP="007115F7" w14:paraId="4A65B4FB" w14:textId="0C93286E">
            <w:pPr>
              <w:tabs>
                <w:tab w:val="center" w:pos="4680"/>
              </w:tabs>
              <w:suppressAutoHyphens/>
              <w:rPr>
                <w:spacing w:val="-2"/>
              </w:rPr>
            </w:pPr>
            <w:r>
              <w:rPr>
                <w:spacing w:val="-2"/>
              </w:rPr>
              <w:t>Rates for Interstate Inmate Calling Services</w:t>
            </w:r>
          </w:p>
        </w:tc>
        <w:tc>
          <w:tcPr>
            <w:tcW w:w="630" w:type="dxa"/>
          </w:tcPr>
          <w:p w:rsidR="004C2EE3" w14:paraId="3ADCE97C" w14:textId="77777777">
            <w:pPr>
              <w:tabs>
                <w:tab w:val="center" w:pos="4680"/>
              </w:tabs>
              <w:suppressAutoHyphens/>
              <w:rPr>
                <w:b/>
                <w:spacing w:val="-2"/>
              </w:rPr>
            </w:pPr>
            <w:r>
              <w:rPr>
                <w:b/>
                <w:spacing w:val="-2"/>
              </w:rPr>
              <w:t>)</w:t>
            </w:r>
          </w:p>
          <w:p w:rsidR="004C2EE3" w14:paraId="47F60DE4" w14:textId="77777777">
            <w:pPr>
              <w:tabs>
                <w:tab w:val="center" w:pos="4680"/>
              </w:tabs>
              <w:suppressAutoHyphens/>
              <w:rPr>
                <w:b/>
                <w:spacing w:val="-2"/>
              </w:rPr>
            </w:pPr>
            <w:r>
              <w:rPr>
                <w:b/>
                <w:spacing w:val="-2"/>
              </w:rPr>
              <w:t>)</w:t>
            </w:r>
          </w:p>
          <w:p w:rsidR="004C2EE3" w14:paraId="457FC77C" w14:textId="77777777">
            <w:pPr>
              <w:tabs>
                <w:tab w:val="center" w:pos="4680"/>
              </w:tabs>
              <w:suppressAutoHyphens/>
              <w:rPr>
                <w:b/>
                <w:spacing w:val="-2"/>
              </w:rPr>
            </w:pPr>
            <w:r>
              <w:rPr>
                <w:b/>
                <w:spacing w:val="-2"/>
              </w:rPr>
              <w:t>)</w:t>
            </w:r>
          </w:p>
          <w:p w:rsidR="004C2EE3" w14:paraId="5214A9DA" w14:textId="77777777">
            <w:pPr>
              <w:tabs>
                <w:tab w:val="center" w:pos="4680"/>
              </w:tabs>
              <w:suppressAutoHyphens/>
              <w:rPr>
                <w:b/>
                <w:spacing w:val="-2"/>
              </w:rPr>
            </w:pPr>
            <w:r>
              <w:rPr>
                <w:b/>
                <w:spacing w:val="-2"/>
              </w:rPr>
              <w:t>)</w:t>
            </w:r>
          </w:p>
          <w:p w:rsidR="004C2EE3" w14:paraId="7DC4E6CF" w14:textId="77777777">
            <w:pPr>
              <w:tabs>
                <w:tab w:val="center" w:pos="4680"/>
              </w:tabs>
              <w:suppressAutoHyphens/>
              <w:rPr>
                <w:b/>
                <w:spacing w:val="-2"/>
              </w:rPr>
            </w:pPr>
            <w:r>
              <w:rPr>
                <w:b/>
                <w:spacing w:val="-2"/>
              </w:rPr>
              <w:t>)</w:t>
            </w:r>
          </w:p>
          <w:p w:rsidR="004C2EE3" w:rsidRPr="002F0FCB" w14:paraId="77233C11" w14:textId="03F7B043">
            <w:pPr>
              <w:tabs>
                <w:tab w:val="center" w:pos="4680"/>
              </w:tabs>
              <w:suppressAutoHyphens/>
              <w:rPr>
                <w:b/>
                <w:spacing w:val="-2"/>
              </w:rPr>
            </w:pPr>
            <w:r>
              <w:rPr>
                <w:b/>
                <w:spacing w:val="-2"/>
              </w:rPr>
              <w:t>)</w:t>
            </w:r>
          </w:p>
        </w:tc>
        <w:tc>
          <w:tcPr>
            <w:tcW w:w="4248" w:type="dxa"/>
          </w:tcPr>
          <w:p w:rsidR="004C2EE3" w14:paraId="1DC44E91" w14:textId="77777777">
            <w:pPr>
              <w:tabs>
                <w:tab w:val="center" w:pos="4680"/>
              </w:tabs>
              <w:suppressAutoHyphens/>
              <w:rPr>
                <w:spacing w:val="-2"/>
              </w:rPr>
            </w:pPr>
          </w:p>
          <w:p w:rsidR="004C2EE3" w14:paraId="0F06C3DB" w14:textId="77777777">
            <w:pPr>
              <w:pStyle w:val="TOAHeading"/>
              <w:tabs>
                <w:tab w:val="center" w:pos="4680"/>
                <w:tab w:val="clear" w:pos="9360"/>
              </w:tabs>
              <w:rPr>
                <w:spacing w:val="-2"/>
              </w:rPr>
            </w:pPr>
          </w:p>
          <w:p w:rsidR="004C2EE3" w14:paraId="09F670E4" w14:textId="77777777">
            <w:pPr>
              <w:tabs>
                <w:tab w:val="center" w:pos="4680"/>
              </w:tabs>
              <w:suppressAutoHyphens/>
              <w:rPr>
                <w:spacing w:val="-2"/>
              </w:rPr>
            </w:pPr>
            <w:r>
              <w:rPr>
                <w:spacing w:val="-2"/>
              </w:rPr>
              <w:t>WC Docket No. 23-62</w:t>
            </w:r>
          </w:p>
          <w:p w:rsidR="002F0FCB" w14:paraId="41B189FC" w14:textId="77777777">
            <w:pPr>
              <w:tabs>
                <w:tab w:val="center" w:pos="4680"/>
              </w:tabs>
              <w:suppressAutoHyphens/>
              <w:rPr>
                <w:spacing w:val="-2"/>
              </w:rPr>
            </w:pPr>
          </w:p>
          <w:p w:rsidR="002F0FCB" w14:paraId="5CE066F0" w14:textId="77777777">
            <w:pPr>
              <w:tabs>
                <w:tab w:val="center" w:pos="4680"/>
              </w:tabs>
              <w:suppressAutoHyphens/>
              <w:rPr>
                <w:spacing w:val="-2"/>
              </w:rPr>
            </w:pPr>
          </w:p>
          <w:p w:rsidR="002F0FCB" w14:paraId="11945E5C" w14:textId="695F36A9">
            <w:pPr>
              <w:tabs>
                <w:tab w:val="center" w:pos="4680"/>
              </w:tabs>
              <w:suppressAutoHyphens/>
              <w:rPr>
                <w:spacing w:val="-2"/>
              </w:rPr>
            </w:pPr>
            <w:r>
              <w:rPr>
                <w:spacing w:val="-2"/>
              </w:rPr>
              <w:t>WC Docket No. 12-375</w:t>
            </w:r>
          </w:p>
        </w:tc>
      </w:tr>
    </w:tbl>
    <w:p w:rsidR="004C2EE3" w:rsidP="0070224F" w14:paraId="5D81478D" w14:textId="77777777"/>
    <w:p w:rsidR="00841AB1" w:rsidP="00F021FA" w14:paraId="43A2C610" w14:textId="20DB3B70">
      <w:pPr>
        <w:pStyle w:val="StyleBoldCentered"/>
      </w:pPr>
      <w:r>
        <w:t>order</w:t>
      </w:r>
    </w:p>
    <w:p w:rsidR="004C2EE3" w14:paraId="5695257C" w14:textId="77777777">
      <w:pPr>
        <w:tabs>
          <w:tab w:val="left" w:pos="-720"/>
        </w:tabs>
        <w:suppressAutoHyphens/>
        <w:spacing w:line="227" w:lineRule="auto"/>
        <w:rPr>
          <w:spacing w:val="-2"/>
        </w:rPr>
      </w:pPr>
    </w:p>
    <w:p w:rsidR="004C2EE3" w:rsidP="00133F79" w14:paraId="32CBDF70" w14:textId="56FF729D">
      <w:pPr>
        <w:tabs>
          <w:tab w:val="left" w:pos="720"/>
          <w:tab w:val="right" w:pos="9360"/>
        </w:tabs>
        <w:suppressAutoHyphens/>
        <w:spacing w:line="227" w:lineRule="auto"/>
        <w:rPr>
          <w:spacing w:val="-2"/>
        </w:rPr>
      </w:pPr>
      <w:r>
        <w:rPr>
          <w:b/>
          <w:spacing w:val="-2"/>
        </w:rPr>
        <w:t xml:space="preserve">Adopted:  </w:t>
      </w:r>
      <w:r w:rsidR="004407BF">
        <w:rPr>
          <w:b/>
          <w:spacing w:val="-2"/>
        </w:rPr>
        <w:t>April 3, 2026</w:t>
      </w:r>
      <w:r>
        <w:rPr>
          <w:b/>
          <w:spacing w:val="-2"/>
        </w:rPr>
        <w:tab/>
      </w:r>
      <w:r w:rsidR="00822CE0">
        <w:rPr>
          <w:b/>
          <w:spacing w:val="-2"/>
        </w:rPr>
        <w:t>Released</w:t>
      </w:r>
      <w:r>
        <w:rPr>
          <w:b/>
          <w:spacing w:val="-2"/>
        </w:rPr>
        <w:t>:</w:t>
      </w:r>
      <w:r w:rsidR="00822CE0">
        <w:rPr>
          <w:b/>
          <w:spacing w:val="-2"/>
        </w:rPr>
        <w:t xml:space="preserve"> </w:t>
      </w:r>
      <w:r>
        <w:rPr>
          <w:b/>
          <w:spacing w:val="-2"/>
        </w:rPr>
        <w:t xml:space="preserve"> </w:t>
      </w:r>
      <w:r w:rsidR="004407BF">
        <w:rPr>
          <w:b/>
          <w:spacing w:val="-2"/>
        </w:rPr>
        <w:t>April 3, 2026</w:t>
      </w:r>
    </w:p>
    <w:p w:rsidR="00822CE0" w14:paraId="524799E9" w14:textId="77777777"/>
    <w:p w:rsidR="004C2EE3" w14:paraId="1FE871C3" w14:textId="0C71EB9F">
      <w:pPr>
        <w:rPr>
          <w:spacing w:val="-2"/>
        </w:rPr>
      </w:pPr>
      <w:r>
        <w:t xml:space="preserve">By </w:t>
      </w:r>
      <w:r w:rsidR="004E4A22">
        <w:t>the</w:t>
      </w:r>
      <w:r w:rsidR="002A2D2E">
        <w:t xml:space="preserve"> </w:t>
      </w:r>
      <w:r w:rsidR="002F0FCB">
        <w:rPr>
          <w:spacing w:val="-2"/>
        </w:rPr>
        <w:t>Chief, Wireline Competition Bureau</w:t>
      </w:r>
      <w:r>
        <w:rPr>
          <w:spacing w:val="-2"/>
        </w:rPr>
        <w:t>:</w:t>
      </w:r>
    </w:p>
    <w:p w:rsidR="00822CE0" w14:paraId="336111D1" w14:textId="77777777">
      <w:pPr>
        <w:rPr>
          <w:spacing w:val="-2"/>
        </w:rPr>
      </w:pPr>
    </w:p>
    <w:p w:rsidR="00412FC5" w:rsidP="00C36B4C" w14:paraId="2DF55FCF" w14:textId="3E1F137B">
      <w:pPr>
        <w:pStyle w:val="Heading1"/>
      </w:pPr>
      <w:r>
        <w:t>introduction</w:t>
      </w:r>
    </w:p>
    <w:p w:rsidR="002F0FCB" w:rsidP="002F0FCB" w14:paraId="7E8F79DE" w14:textId="0C2505CC">
      <w:pPr>
        <w:pStyle w:val="ParaNum"/>
      </w:pPr>
      <w:r>
        <w:t xml:space="preserve">By this Order, we grant Securus Technologies, LLC’s request to waive the Commission’s per-minute pricing rules as applied to video </w:t>
      </w:r>
      <w:r w:rsidR="00513CB9">
        <w:t>incarcerated people’s communications services (</w:t>
      </w:r>
      <w:r>
        <w:t>IPCS</w:t>
      </w:r>
      <w:r w:rsidR="00513CB9">
        <w:t>)</w:t>
      </w:r>
      <w:r>
        <w:t xml:space="preserve"> to enable Securus to continue offering video </w:t>
      </w:r>
      <w:r w:rsidR="00513CB9">
        <w:t>IPCS</w:t>
      </w:r>
      <w:r>
        <w:t xml:space="preserve"> while it</w:t>
      </w:r>
      <w:r w:rsidR="00402F1E">
        <w:t xml:space="preserve"> completes implementation of</w:t>
      </w:r>
      <w:r>
        <w:t xml:space="preserve"> </w:t>
      </w:r>
      <w:r w:rsidR="00884680">
        <w:t xml:space="preserve">its new video IPCS platform that </w:t>
      </w:r>
      <w:r>
        <w:t>is able to bill on a per-minute basis.</w:t>
      </w:r>
      <w:r>
        <w:rPr>
          <w:rStyle w:val="FootnoteReference"/>
        </w:rPr>
        <w:footnoteReference w:id="3"/>
      </w:r>
      <w:r>
        <w:t xml:space="preserve">  </w:t>
      </w:r>
      <w:r w:rsidR="00C45881">
        <w:t xml:space="preserve">We find </w:t>
      </w:r>
      <w:r>
        <w:t>there is good cause to grant Securus’s waiver request u</w:t>
      </w:r>
      <w:r w:rsidR="0006731E">
        <w:t xml:space="preserve">p to and including </w:t>
      </w:r>
      <w:r w:rsidR="00992EA0">
        <w:t>July 6, 2026</w:t>
      </w:r>
      <w:r w:rsidR="00F05C94">
        <w:t xml:space="preserve">, subject </w:t>
      </w:r>
      <w:r w:rsidR="00F054D0">
        <w:t xml:space="preserve">to </w:t>
      </w:r>
      <w:r w:rsidR="00A32879">
        <w:t xml:space="preserve">the </w:t>
      </w:r>
      <w:r w:rsidR="00A37C3D">
        <w:t>conditions</w:t>
      </w:r>
      <w:r w:rsidR="00A32879">
        <w:t xml:space="preserve"> discussed below. </w:t>
      </w:r>
    </w:p>
    <w:p w:rsidR="002F0FCB" w:rsidP="002F0FCB" w14:paraId="12E5637E" w14:textId="2C3401FF">
      <w:pPr>
        <w:pStyle w:val="Heading1"/>
      </w:pPr>
      <w:r>
        <w:t>background</w:t>
      </w:r>
    </w:p>
    <w:p w:rsidR="00513CB9" w:rsidP="00945512" w14:paraId="5EF9C595" w14:textId="72B7C4BD">
      <w:pPr>
        <w:pStyle w:val="ParaNum"/>
      </w:pPr>
      <w:r>
        <w:t xml:space="preserve">In the </w:t>
      </w:r>
      <w:r>
        <w:rPr>
          <w:i/>
          <w:iCs/>
        </w:rPr>
        <w:t>2024 IPCS Order</w:t>
      </w:r>
      <w:r>
        <w:t>, the Commission</w:t>
      </w:r>
      <w:r w:rsidR="00E27992">
        <w:t xml:space="preserve"> promulgated rules implementing</w:t>
      </w:r>
      <w:r>
        <w:t xml:space="preserve"> </w:t>
      </w:r>
      <w:r w:rsidRPr="00085E11">
        <w:t>the Martha Wright-Reed Just and Reasonable Communications Act of 2022 (Martha Wright-Reed Act),</w:t>
      </w:r>
      <w:r>
        <w:rPr>
          <w:rStyle w:val="FootnoteReference"/>
        </w:rPr>
        <w:footnoteReference w:id="4"/>
      </w:r>
      <w:r>
        <w:t xml:space="preserve"> which</w:t>
      </w:r>
      <w:r w:rsidR="00756B67">
        <w:t xml:space="preserve"> </w:t>
      </w:r>
      <w:r w:rsidR="00A30D83">
        <w:t xml:space="preserve">amended the Communications Act of 1934, as amended, (Communications Act) </w:t>
      </w:r>
      <w:r w:rsidR="00756B67">
        <w:t>to require that the Commission “establish a compensation plan to ensure that all [IPCS] providers are fairly compensated and all rates and charges are just and reasonable for completed” IPCS communications</w:t>
      </w:r>
      <w:r w:rsidR="0083104F">
        <w:t>.</w:t>
      </w:r>
      <w:r>
        <w:rPr>
          <w:rStyle w:val="FootnoteReference"/>
        </w:rPr>
        <w:footnoteReference w:id="5"/>
      </w:r>
      <w:r w:rsidR="0083104F">
        <w:t xml:space="preserve">  The Martha Wright-Reed Act also expanded the Commission’s jurisdiction to</w:t>
      </w:r>
      <w:r w:rsidR="00945512">
        <w:t xml:space="preserve"> regulate IPCS to include video IPCS</w:t>
      </w:r>
      <w:r w:rsidR="009A5CF6">
        <w:t>.</w:t>
      </w:r>
      <w:r>
        <w:rPr>
          <w:rStyle w:val="FootnoteReference"/>
        </w:rPr>
        <w:footnoteReference w:id="6"/>
      </w:r>
      <w:r w:rsidR="00815A94">
        <w:t xml:space="preserve">  </w:t>
      </w:r>
      <w:r w:rsidR="00945512">
        <w:t xml:space="preserve">Consistent with this Congressional mandate, in the </w:t>
      </w:r>
      <w:r w:rsidR="00945512">
        <w:rPr>
          <w:i/>
          <w:iCs/>
        </w:rPr>
        <w:t xml:space="preserve">2024 IPCS </w:t>
      </w:r>
      <w:r w:rsidRPr="007E7F54" w:rsidR="00945512">
        <w:rPr>
          <w:i/>
          <w:iCs/>
        </w:rPr>
        <w:t>Order</w:t>
      </w:r>
      <w:r w:rsidR="00945512">
        <w:t>, t</w:t>
      </w:r>
      <w:r w:rsidRPr="00085E11" w:rsidR="00945512">
        <w:t xml:space="preserve">he Commission </w:t>
      </w:r>
      <w:r w:rsidRPr="00FB34A3" w:rsidR="00945512">
        <w:t>reduce</w:t>
      </w:r>
      <w:r w:rsidRPr="00085E11" w:rsidR="00945512">
        <w:t>d</w:t>
      </w:r>
      <w:r w:rsidRPr="00FB34A3" w:rsidR="00945512">
        <w:t xml:space="preserve"> existing </w:t>
      </w:r>
      <w:r w:rsidR="00945512">
        <w:t xml:space="preserve">per-minute </w:t>
      </w:r>
      <w:r w:rsidRPr="00FB34A3" w:rsidR="00945512">
        <w:t>rate caps for all incarcerated people’s audio</w:t>
      </w:r>
      <w:r w:rsidRPr="00085E11" w:rsidR="00945512">
        <w:t xml:space="preserve"> </w:t>
      </w:r>
      <w:r w:rsidRPr="00FB34A3" w:rsidR="00945512">
        <w:t>communication services, and establish</w:t>
      </w:r>
      <w:r w:rsidRPr="00085E11" w:rsidR="00945512">
        <w:t>ed</w:t>
      </w:r>
      <w:r w:rsidRPr="00FB34A3" w:rsidR="00945512">
        <w:t xml:space="preserve">, for the first time, interim </w:t>
      </w:r>
      <w:r w:rsidR="00945512">
        <w:t xml:space="preserve">per-minute </w:t>
      </w:r>
      <w:r w:rsidRPr="00FB34A3" w:rsidR="00945512">
        <w:t>rate caps for incarcerated people’s video communications</w:t>
      </w:r>
      <w:r w:rsidRPr="00085E11" w:rsidR="00945512">
        <w:t xml:space="preserve"> </w:t>
      </w:r>
      <w:r w:rsidRPr="00FB34A3" w:rsidR="00945512">
        <w:t>services</w:t>
      </w:r>
      <w:r w:rsidR="00945512">
        <w:t>.</w:t>
      </w:r>
      <w:r>
        <w:rPr>
          <w:rStyle w:val="FootnoteReference"/>
        </w:rPr>
        <w:footnoteReference w:id="7"/>
      </w:r>
      <w:r w:rsidR="00945512">
        <w:t xml:space="preserve">  </w:t>
      </w:r>
      <w:r w:rsidR="00404C17">
        <w:t>Providers were o</w:t>
      </w:r>
      <w:r w:rsidR="00555386">
        <w:t xml:space="preserve">riginally </w:t>
      </w:r>
      <w:r w:rsidR="00404C17">
        <w:t xml:space="preserve">required to comply with the per-minute </w:t>
      </w:r>
      <w:r w:rsidR="00A90FB5">
        <w:t xml:space="preserve">pricing rules </w:t>
      </w:r>
      <w:r w:rsidR="00404C17">
        <w:t xml:space="preserve">for video IPCS by </w:t>
      </w:r>
      <w:r w:rsidR="00404C17">
        <w:t>November 19, 2024</w:t>
      </w:r>
      <w:r w:rsidR="00945512">
        <w:t>.</w:t>
      </w:r>
      <w:r>
        <w:rPr>
          <w:rStyle w:val="FootnoteReference"/>
        </w:rPr>
        <w:footnoteReference w:id="8"/>
      </w:r>
      <w:r w:rsidR="00945512">
        <w:t xml:space="preserve">  As of that date, providers </w:t>
      </w:r>
      <w:r w:rsidR="008D3383">
        <w:t>were also required to refrain</w:t>
      </w:r>
      <w:r w:rsidR="00945512">
        <w:t xml:space="preserve"> from imposing per-call, per-connection, or per-communication charges on consumers for any IPCS communication, including video IPCS.</w:t>
      </w:r>
      <w:r>
        <w:rPr>
          <w:rStyle w:val="FootnoteReference"/>
        </w:rPr>
        <w:footnoteReference w:id="9"/>
      </w:r>
      <w:r w:rsidR="00945512">
        <w:t xml:space="preserve">  </w:t>
      </w:r>
    </w:p>
    <w:p w:rsidR="008B5A1F" w:rsidP="005D70AF" w14:paraId="07FCB552" w14:textId="7CAA939D">
      <w:pPr>
        <w:pStyle w:val="ParaNum"/>
      </w:pPr>
      <w:r>
        <w:t>On December 6, 2024, Securus filed a petition seeking a time limited waiver of the per</w:t>
      </w:r>
      <w:r w:rsidR="00660467">
        <w:t>-</w:t>
      </w:r>
      <w:r>
        <w:t xml:space="preserve">minute pricing rules as applied to video IPCS up to and including </w:t>
      </w:r>
      <w:r w:rsidR="00A30EBC">
        <w:t>November</w:t>
      </w:r>
      <w:r>
        <w:t xml:space="preserve"> 1</w:t>
      </w:r>
      <w:r w:rsidR="00E62A43">
        <w:t>9</w:t>
      </w:r>
      <w:r>
        <w:t>, 2025.</w:t>
      </w:r>
      <w:r>
        <w:rPr>
          <w:rStyle w:val="FootnoteReference"/>
        </w:rPr>
        <w:footnoteReference w:id="10"/>
      </w:r>
      <w:r w:rsidR="00655ECF">
        <w:t xml:space="preserve">  Securus explained that it offers video IPCS in</w:t>
      </w:r>
      <w:r w:rsidR="00147547">
        <w:t xml:space="preserve"> hundreds of facilities using “one of three different platforms—its legacy video platform, its NextGen platform that is being deployed, and the video platform used by its affiliate JPay.”</w:t>
      </w:r>
      <w:r>
        <w:rPr>
          <w:rStyle w:val="FootnoteReference"/>
        </w:rPr>
        <w:footnoteReference w:id="11"/>
      </w:r>
      <w:r w:rsidR="00147547">
        <w:t xml:space="preserve">  According to Securus, “[e]ach of these platforms has its own separate billing system, and each of these platforms is capable of billing users of video IPCS only on a per-session basis.”</w:t>
      </w:r>
      <w:r>
        <w:rPr>
          <w:rStyle w:val="FootnoteReference"/>
        </w:rPr>
        <w:footnoteReference w:id="12"/>
      </w:r>
      <w:r w:rsidR="002D2DA0">
        <w:t xml:space="preserve">  </w:t>
      </w:r>
      <w:r w:rsidR="004D290E">
        <w:t xml:space="preserve">While Securus initially began </w:t>
      </w:r>
      <w:r w:rsidR="00072A85">
        <w:t>migrating its video calling services to platforms capable of per-minute billing, it ultimately determined that</w:t>
      </w:r>
      <w:r w:rsidR="00A72727">
        <w:t xml:space="preserve"> “the most efficient method of migration involves developing a new IPCS video platform which can bill on a per-minute basis.”</w:t>
      </w:r>
      <w:r>
        <w:rPr>
          <w:rStyle w:val="FootnoteReference"/>
        </w:rPr>
        <w:footnoteReference w:id="13"/>
      </w:r>
      <w:r w:rsidR="00ED7B91">
        <w:t xml:space="preserve">  Securus </w:t>
      </w:r>
      <w:r w:rsidR="00CD5851">
        <w:t>estimated that this migration would not be completed until late 2025.</w:t>
      </w:r>
      <w:r>
        <w:rPr>
          <w:rStyle w:val="FootnoteReference"/>
        </w:rPr>
        <w:footnoteReference w:id="14"/>
      </w:r>
    </w:p>
    <w:p w:rsidR="001608E3" w:rsidP="005D70AF" w14:paraId="2A489DB7" w14:textId="6CCF3480">
      <w:pPr>
        <w:pStyle w:val="ParaNum"/>
      </w:pPr>
      <w:r>
        <w:t>The Wireline Competition Bureau</w:t>
      </w:r>
      <w:r w:rsidR="000E52F3">
        <w:t xml:space="preserve"> (Bureau)</w:t>
      </w:r>
      <w:r>
        <w:t xml:space="preserve"> </w:t>
      </w:r>
      <w:r w:rsidR="00782ACC">
        <w:t>granted</w:t>
      </w:r>
      <w:r w:rsidR="004D3FCA">
        <w:t xml:space="preserve"> in part</w:t>
      </w:r>
      <w:r w:rsidR="00782ACC">
        <w:t xml:space="preserve"> Securus’s waiver petition </w:t>
      </w:r>
      <w:r w:rsidR="004421C7">
        <w:t>up to and including September 1, 2025</w:t>
      </w:r>
      <w:r w:rsidR="00380801">
        <w:t>.</w:t>
      </w:r>
      <w:r>
        <w:rPr>
          <w:rStyle w:val="FootnoteReference"/>
        </w:rPr>
        <w:footnoteReference w:id="15"/>
      </w:r>
      <w:r w:rsidR="000E52F3">
        <w:t xml:space="preserve">  The Bureau found good cause t</w:t>
      </w:r>
      <w:r w:rsidR="008020B7">
        <w:t>o waive the Commission’s per-minute pricing rules for Securus for video IPCS bu</w:t>
      </w:r>
      <w:r w:rsidR="00B304AF">
        <w:t xml:space="preserve">t required, as a condition of the grant of the waiver request, that “the rates Securus charges for its per session video IPCS during the time the waiver is in </w:t>
      </w:r>
      <w:r w:rsidR="00C80F6B">
        <w:t>effect</w:t>
      </w:r>
      <w:r w:rsidR="00B304AF">
        <w:t xml:space="preserve">, do not </w:t>
      </w:r>
      <w:r w:rsidR="00C80F6B">
        <w:t>exceed</w:t>
      </w:r>
      <w:r w:rsidR="00B304AF">
        <w:t xml:space="preserve"> Securus’s rates in effect as of the date of [the] </w:t>
      </w:r>
      <w:r w:rsidR="00C80F6B">
        <w:t>Order.”</w:t>
      </w:r>
      <w:r>
        <w:rPr>
          <w:rStyle w:val="FootnoteReference"/>
        </w:rPr>
        <w:footnoteReference w:id="16"/>
      </w:r>
      <w:r w:rsidR="000E52F3">
        <w:t xml:space="preserve"> </w:t>
      </w:r>
      <w:r w:rsidR="00F743F4">
        <w:t xml:space="preserve">  </w:t>
      </w:r>
      <w:r w:rsidR="00513CB9">
        <w:t xml:space="preserve">  </w:t>
      </w:r>
    </w:p>
    <w:p w:rsidR="005F37BC" w:rsidP="00732D95" w14:paraId="541C4AA6" w14:textId="1CC6694E">
      <w:pPr>
        <w:pStyle w:val="ParaNum"/>
        <w:widowControl/>
      </w:pPr>
      <w:r>
        <w:t>Securus</w:t>
      </w:r>
      <w:r w:rsidR="005C16E5">
        <w:t xml:space="preserve"> </w:t>
      </w:r>
      <w:r>
        <w:t xml:space="preserve">met with Bureau staff to provide an update on its progress developing and </w:t>
      </w:r>
      <w:r w:rsidR="005072D3">
        <w:t>deploying</w:t>
      </w:r>
      <w:r w:rsidR="0053031C">
        <w:t xml:space="preserve"> its new per-minute video IPCS platform</w:t>
      </w:r>
      <w:r w:rsidR="005C16E5">
        <w:t xml:space="preserve"> on June 18, 2025</w:t>
      </w:r>
      <w:r w:rsidR="0053031C">
        <w:t>.</w:t>
      </w:r>
      <w:r>
        <w:rPr>
          <w:rStyle w:val="FootnoteReference"/>
        </w:rPr>
        <w:footnoteReference w:id="17"/>
      </w:r>
      <w:r w:rsidR="009F398A">
        <w:t xml:space="preserve">  Securus </w:t>
      </w:r>
      <w:r w:rsidR="00CC2675">
        <w:t>explained that it would “not be able to f</w:t>
      </w:r>
      <w:r w:rsidR="00D31E4D">
        <w:t>u</w:t>
      </w:r>
      <w:r w:rsidR="00CC2675">
        <w:t>lly deploy the new video calling platform” by September 1, 2025</w:t>
      </w:r>
      <w:r w:rsidR="00372071">
        <w:t xml:space="preserve"> and would </w:t>
      </w:r>
      <w:r w:rsidR="009F398A">
        <w:t>“be seeking an extension of the current waiver through April 1, 2026</w:t>
      </w:r>
      <w:r w:rsidR="003E0AF4">
        <w:t>.</w:t>
      </w:r>
      <w:r w:rsidR="009F398A">
        <w:t>”</w:t>
      </w:r>
      <w:r>
        <w:rPr>
          <w:rStyle w:val="FootnoteReference"/>
        </w:rPr>
        <w:footnoteReference w:id="18"/>
      </w:r>
      <w:r w:rsidR="00FE6598">
        <w:t xml:space="preserve">  </w:t>
      </w:r>
    </w:p>
    <w:p w:rsidR="005F37BC" w:rsidP="0080366D" w14:paraId="382BFBB8" w14:textId="0B217432">
      <w:pPr>
        <w:pStyle w:val="ParaNum"/>
      </w:pPr>
      <w:r>
        <w:t xml:space="preserve">On June 30, 2025, </w:t>
      </w:r>
      <w:r w:rsidR="0047482F">
        <w:t>the Bureau</w:t>
      </w:r>
      <w:r w:rsidR="007903ED">
        <w:t xml:space="preserve"> </w:t>
      </w:r>
      <w:r w:rsidR="00B1509C">
        <w:t xml:space="preserve">adopted </w:t>
      </w:r>
      <w:r w:rsidR="008654D2">
        <w:t xml:space="preserve">the </w:t>
      </w:r>
      <w:r w:rsidR="008654D2">
        <w:rPr>
          <w:i/>
          <w:iCs/>
        </w:rPr>
        <w:t>2025 IPCS Waiver Order</w:t>
      </w:r>
      <w:r w:rsidR="00B1509C">
        <w:t xml:space="preserve"> </w:t>
      </w:r>
      <w:r w:rsidR="007F5541">
        <w:t xml:space="preserve">extending the </w:t>
      </w:r>
      <w:r w:rsidR="00D4681C">
        <w:t>deadlines</w:t>
      </w:r>
      <w:r w:rsidR="007F5541">
        <w:t xml:space="preserve"> by which</w:t>
      </w:r>
      <w:r w:rsidR="000637D9">
        <w:t xml:space="preserve"> all</w:t>
      </w:r>
      <w:r w:rsidR="007F5541">
        <w:t xml:space="preserve"> IPCS providers must comply with certain rules adopted in the </w:t>
      </w:r>
      <w:r w:rsidRPr="00FE6598" w:rsidR="007F5541">
        <w:rPr>
          <w:i/>
          <w:iCs/>
        </w:rPr>
        <w:t>2024 IPCS Order</w:t>
      </w:r>
      <w:r w:rsidR="007F5541">
        <w:t xml:space="preserve"> until April 1, 2027 or any alternative dat</w:t>
      </w:r>
      <w:r w:rsidR="00D4681C">
        <w:t>e</w:t>
      </w:r>
      <w:r w:rsidR="007F5541">
        <w:t xml:space="preserve"> the Commission sets as part of further action </w:t>
      </w:r>
      <w:r w:rsidR="00D4681C">
        <w:t>in its IPCS proceedings.</w:t>
      </w:r>
      <w:r>
        <w:rPr>
          <w:rStyle w:val="FootnoteReference"/>
        </w:rPr>
        <w:footnoteReference w:id="19"/>
      </w:r>
      <w:r w:rsidR="002C23FE">
        <w:t xml:space="preserve">  Specifically, the Bureau temporarily waived “the deadlines for complying with the rate cap, site commission, </w:t>
      </w:r>
      <w:r w:rsidR="00D2253A">
        <w:t xml:space="preserve">and per-minute pricing rules adopted in the </w:t>
      </w:r>
      <w:r w:rsidRPr="00FE6598" w:rsidR="00D2253A">
        <w:rPr>
          <w:i/>
          <w:iCs/>
        </w:rPr>
        <w:t>2024 IPCS Order</w:t>
      </w:r>
      <w:r w:rsidR="00D2253A">
        <w:t>.”</w:t>
      </w:r>
      <w:r>
        <w:rPr>
          <w:rStyle w:val="FootnoteReference"/>
        </w:rPr>
        <w:footnoteReference w:id="20"/>
      </w:r>
    </w:p>
    <w:p w:rsidR="006054BD" w:rsidP="0080366D" w14:paraId="59772E86" w14:textId="6B489B7D">
      <w:pPr>
        <w:pStyle w:val="ParaNum"/>
      </w:pPr>
      <w:r>
        <w:t>On</w:t>
      </w:r>
      <w:r w:rsidR="0080366D">
        <w:t xml:space="preserve"> October 2</w:t>
      </w:r>
      <w:r w:rsidR="00AA5C53">
        <w:t>8, 2025, t</w:t>
      </w:r>
      <w:r w:rsidR="003E7D9B">
        <w:t xml:space="preserve">he Commission </w:t>
      </w:r>
      <w:r w:rsidR="00A11FDA">
        <w:t xml:space="preserve">adopted the </w:t>
      </w:r>
      <w:r w:rsidRPr="0080366D" w:rsidR="00A11FDA">
        <w:rPr>
          <w:i/>
          <w:iCs/>
        </w:rPr>
        <w:t>2025 IPCS Order</w:t>
      </w:r>
      <w:r w:rsidR="005C16E5">
        <w:t>, which again amended</w:t>
      </w:r>
      <w:r w:rsidR="003A1DD4">
        <w:t xml:space="preserve"> certain</w:t>
      </w:r>
      <w:r w:rsidR="005C16E5">
        <w:t xml:space="preserve"> compliance dates</w:t>
      </w:r>
      <w:r w:rsidR="00A11FDA">
        <w:t>.</w:t>
      </w:r>
      <w:r>
        <w:rPr>
          <w:rStyle w:val="FootnoteReference"/>
        </w:rPr>
        <w:footnoteReference w:id="21"/>
      </w:r>
      <w:r w:rsidR="00FF508D">
        <w:t xml:space="preserve">  In that Order, the Commission </w:t>
      </w:r>
      <w:r w:rsidR="00D22D69">
        <w:t>established interim audio and video IPCS rate caps</w:t>
      </w:r>
      <w:r w:rsidR="004A0996">
        <w:t>, among other reforms,</w:t>
      </w:r>
      <w:r w:rsidR="00AA5C53">
        <w:t xml:space="preserve"> and</w:t>
      </w:r>
      <w:r w:rsidR="003A1DD4">
        <w:t xml:space="preserve"> required compliance with the reforms adopted in that Order 120 days</w:t>
      </w:r>
      <w:r w:rsidR="00433156">
        <w:t xml:space="preserve"> </w:t>
      </w:r>
      <w:r w:rsidR="00092253">
        <w:t>after publication in the Federal Register.</w:t>
      </w:r>
      <w:r>
        <w:rPr>
          <w:rStyle w:val="FootnoteReference"/>
        </w:rPr>
        <w:footnoteReference w:id="22"/>
      </w:r>
      <w:r w:rsidR="00FD2E2D">
        <w:t xml:space="preserve">  The Commission explained that the new compliance date</w:t>
      </w:r>
      <w:r w:rsidR="006658E8">
        <w:t xml:space="preserve"> “supersedes the April 1, 2027 compliance deadline previously established” in the </w:t>
      </w:r>
      <w:r w:rsidR="006658E8">
        <w:rPr>
          <w:i/>
          <w:iCs/>
        </w:rPr>
        <w:t>2025 IPCS Wavier Order</w:t>
      </w:r>
      <w:r w:rsidR="006658E8">
        <w:t>.</w:t>
      </w:r>
      <w:r>
        <w:rPr>
          <w:rStyle w:val="FootnoteReference"/>
        </w:rPr>
        <w:footnoteReference w:id="23"/>
      </w:r>
      <w:r w:rsidR="004A0996">
        <w:t xml:space="preserve">  Thus, the compliance date of the </w:t>
      </w:r>
      <w:r w:rsidR="004A0996">
        <w:rPr>
          <w:i/>
          <w:iCs/>
        </w:rPr>
        <w:t>2025 IPCS Order</w:t>
      </w:r>
      <w:r w:rsidR="00251EB3">
        <w:t xml:space="preserve"> became the </w:t>
      </w:r>
      <w:r w:rsidR="00ED2018">
        <w:t xml:space="preserve">date on which compliance will be required with the three rules </w:t>
      </w:r>
      <w:r w:rsidR="009B13EE">
        <w:t>temporarily</w:t>
      </w:r>
      <w:r w:rsidR="00ED2018">
        <w:t xml:space="preserve"> </w:t>
      </w:r>
      <w:r w:rsidR="009B13EE">
        <w:t>suspended</w:t>
      </w:r>
      <w:r w:rsidR="00ED2018">
        <w:t xml:space="preserve"> </w:t>
      </w:r>
      <w:r w:rsidR="009B13EE">
        <w:t>i</w:t>
      </w:r>
      <w:r w:rsidR="00ED2018">
        <w:t xml:space="preserve">n the </w:t>
      </w:r>
      <w:r w:rsidR="00ED2018">
        <w:rPr>
          <w:i/>
          <w:iCs/>
        </w:rPr>
        <w:t>2024 IPCS Waiver Order</w:t>
      </w:r>
      <w:r w:rsidR="00ED2018">
        <w:t>, including, as relevant here, the per-minute rate requirement for IPCS offerings.</w:t>
      </w:r>
      <w:r>
        <w:rPr>
          <w:rStyle w:val="FootnoteReference"/>
        </w:rPr>
        <w:footnoteReference w:id="24"/>
      </w:r>
      <w:r w:rsidR="009B13EE">
        <w:t xml:space="preserve">  The </w:t>
      </w:r>
      <w:r w:rsidR="009B13EE">
        <w:rPr>
          <w:i/>
          <w:iCs/>
        </w:rPr>
        <w:t>2025 IPCS Order</w:t>
      </w:r>
      <w:r w:rsidR="009B13EE">
        <w:t xml:space="preserve"> was published in the Federal </w:t>
      </w:r>
      <w:r w:rsidR="00276922">
        <w:t>Register on December 5, 2025</w:t>
      </w:r>
      <w:r w:rsidR="0078059D">
        <w:t>,</w:t>
      </w:r>
      <w:r w:rsidR="00276922">
        <w:t xml:space="preserve"> and established a compliance date of April 6, 2026.</w:t>
      </w:r>
      <w:r>
        <w:rPr>
          <w:rStyle w:val="FootnoteReference"/>
        </w:rPr>
        <w:footnoteReference w:id="25"/>
      </w:r>
    </w:p>
    <w:p w:rsidR="008A5C77" w:rsidP="0080366D" w14:paraId="2FDFB317" w14:textId="52585566">
      <w:pPr>
        <w:pStyle w:val="ParaNum"/>
      </w:pPr>
      <w:r>
        <w:t>Securus</w:t>
      </w:r>
      <w:r w:rsidR="002B7F26">
        <w:t xml:space="preserve"> then</w:t>
      </w:r>
      <w:r w:rsidR="00B7250C">
        <w:t xml:space="preserve"> filed a petition seek</w:t>
      </w:r>
      <w:r w:rsidR="00A77F14">
        <w:t xml:space="preserve">ing a further waiver </w:t>
      </w:r>
      <w:r w:rsidR="00975B1E">
        <w:t>of the Commission’s per-minute pricing rules as applied to video IPCS</w:t>
      </w:r>
      <w:r>
        <w:t xml:space="preserve"> on December 8, 2025</w:t>
      </w:r>
      <w:r w:rsidR="00DE637D">
        <w:t>.</w:t>
      </w:r>
      <w:r>
        <w:rPr>
          <w:rStyle w:val="FootnoteReference"/>
        </w:rPr>
        <w:footnoteReference w:id="26"/>
      </w:r>
      <w:r w:rsidR="00187FE2">
        <w:t xml:space="preserve">  </w:t>
      </w:r>
      <w:r w:rsidR="006C6588">
        <w:t xml:space="preserve">Citing “ongoing technical and operational challenges,” Securus </w:t>
      </w:r>
      <w:r w:rsidR="00BA04A9">
        <w:t>sought</w:t>
      </w:r>
      <w:r w:rsidR="00BF285D">
        <w:t xml:space="preserve"> a waiver until</w:t>
      </w:r>
      <w:r w:rsidR="00BA04A9">
        <w:t xml:space="preserve"> April 30, 2027.</w:t>
      </w:r>
      <w:r>
        <w:rPr>
          <w:rStyle w:val="FootnoteReference"/>
        </w:rPr>
        <w:footnoteReference w:id="27"/>
      </w:r>
      <w:r w:rsidR="00A25BA1">
        <w:t xml:space="preserve"> </w:t>
      </w:r>
      <w:r w:rsidR="00865627">
        <w:t xml:space="preserve"> </w:t>
      </w:r>
      <w:r w:rsidR="00A25BA1">
        <w:t>Securus argue</w:t>
      </w:r>
      <w:r w:rsidR="00E12BCC">
        <w:t>s</w:t>
      </w:r>
      <w:r w:rsidR="00A25BA1">
        <w:t xml:space="preserve"> there </w:t>
      </w:r>
      <w:r w:rsidR="009537CA">
        <w:t>is</w:t>
      </w:r>
      <w:r w:rsidR="00A25BA1">
        <w:t xml:space="preserve"> good cause to support its waiver request </w:t>
      </w:r>
      <w:r w:rsidR="006E5B24">
        <w:t>because it ha</w:t>
      </w:r>
      <w:r w:rsidR="009537CA">
        <w:t>s</w:t>
      </w:r>
      <w:r w:rsidR="006E5B24">
        <w:t xml:space="preserve"> “repeatedly communicated” </w:t>
      </w:r>
      <w:r w:rsidR="009846F7">
        <w:t xml:space="preserve">with the Commission regarding its progress </w:t>
      </w:r>
      <w:r w:rsidR="00EC4223">
        <w:t>implementing per-minute pricing for its video IPCS</w:t>
      </w:r>
      <w:r w:rsidR="00EB4B2D">
        <w:t xml:space="preserve"> and </w:t>
      </w:r>
      <w:r w:rsidR="009537CA">
        <w:t>has</w:t>
      </w:r>
      <w:r w:rsidR="00EB4B2D">
        <w:t xml:space="preserve"> worked “diligently” to do so “as soon as practicable.”</w:t>
      </w:r>
      <w:r>
        <w:rPr>
          <w:rStyle w:val="FootnoteReference"/>
        </w:rPr>
        <w:footnoteReference w:id="28"/>
      </w:r>
      <w:r w:rsidR="007470E9">
        <w:t xml:space="preserve">  Securus also </w:t>
      </w:r>
      <w:r w:rsidR="009537CA">
        <w:t>contends</w:t>
      </w:r>
      <w:r w:rsidR="007470E9">
        <w:t xml:space="preserve"> that the waiver </w:t>
      </w:r>
      <w:r w:rsidR="009537CA">
        <w:t>is in the public interest</w:t>
      </w:r>
      <w:r w:rsidR="00A8379E">
        <w:t xml:space="preserve"> because without a video IPCS system that can bill on a per-minute basis, “Securus will either have to stop offering this service to incarcerated persons altogether, or it must offer the service without charge (and, therefore, at a </w:t>
      </w:r>
      <w:r w:rsidR="00A8379E">
        <w:t>loss).”</w:t>
      </w:r>
      <w:r>
        <w:rPr>
          <w:rStyle w:val="FootnoteReference"/>
        </w:rPr>
        <w:footnoteReference w:id="29"/>
      </w:r>
      <w:r>
        <w:t xml:space="preserve">  Securus contends that “[e]ither alternative would likely expose Securus to claims that it is in breach of contract.”</w:t>
      </w:r>
      <w:r>
        <w:rPr>
          <w:rStyle w:val="FootnoteReference"/>
        </w:rPr>
        <w:footnoteReference w:id="30"/>
      </w:r>
      <w:r w:rsidR="00E12BCC">
        <w:t xml:space="preserve">  Securus further submits that the “loss of video calling services would harm incarcerated people and their family </w:t>
      </w:r>
      <w:r w:rsidR="002825DD">
        <w:t>and friends.”</w:t>
      </w:r>
      <w:r>
        <w:rPr>
          <w:rStyle w:val="FootnoteReference"/>
        </w:rPr>
        <w:footnoteReference w:id="31"/>
      </w:r>
    </w:p>
    <w:p w:rsidR="00BC1C93" w:rsidP="00BC1C93" w14:paraId="768DDDF8" w14:textId="4532098E">
      <w:pPr>
        <w:pStyle w:val="ParaNum"/>
      </w:pPr>
      <w:r>
        <w:t xml:space="preserve">Global Tel*Link Corporation d/b/a ViaPath Technologies (ViaPath) filed comments on </w:t>
      </w:r>
      <w:r w:rsidR="00350286">
        <w:t xml:space="preserve">the </w:t>
      </w:r>
      <w:r>
        <w:t>2025 Waiver Petition.</w:t>
      </w:r>
      <w:r>
        <w:rPr>
          <w:rStyle w:val="FootnoteReference"/>
        </w:rPr>
        <w:footnoteReference w:id="32"/>
      </w:r>
      <w:r>
        <w:t xml:space="preserve">  ViaPath argue</w:t>
      </w:r>
      <w:r w:rsidR="001807AA">
        <w:t>s</w:t>
      </w:r>
      <w:r>
        <w:t xml:space="preserve"> that further extensio</w:t>
      </w:r>
      <w:r w:rsidR="001807AA">
        <w:t>n</w:t>
      </w:r>
      <w:r>
        <w:t xml:space="preserve"> of the compliance date will not serve the public interest because doing so would subject incarcerated people in correctional facilities served by Securus “to per-session billing for video IPCS while every other provider in the industry will have implemented per-minute billing consistent with the requirements of the </w:t>
      </w:r>
      <w:r>
        <w:rPr>
          <w:i/>
          <w:iCs/>
        </w:rPr>
        <w:t>2025 IPCS Order</w:t>
      </w:r>
      <w:r>
        <w:t>.”</w:t>
      </w:r>
      <w:r>
        <w:rPr>
          <w:rStyle w:val="FootnoteReference"/>
        </w:rPr>
        <w:footnoteReference w:id="33"/>
      </w:r>
      <w:r>
        <w:t xml:space="preserve">  ViaPath alleges that “Securus has been actively promoting its video IPCS offerings in response to various Requests for Proposals . . . which could result in even more end users being subject to per-session billing for video IPCS.”</w:t>
      </w:r>
      <w:r>
        <w:rPr>
          <w:rStyle w:val="FootnoteReference"/>
        </w:rPr>
        <w:footnoteReference w:id="34"/>
      </w:r>
      <w:r>
        <w:t xml:space="preserve">  ViaPath contends that this runs counter to the importance the Commission has placed on per-minute rates in establishing just and reasonable IPCS rate</w:t>
      </w:r>
      <w:r w:rsidR="006624CB">
        <w:t>s</w:t>
      </w:r>
      <w:r>
        <w:t xml:space="preserve"> and charges and in curbing abusive practices associated with other existing video IPCS rate structures.</w:t>
      </w:r>
      <w:r>
        <w:rPr>
          <w:rStyle w:val="FootnoteReference"/>
        </w:rPr>
        <w:footnoteReference w:id="35"/>
      </w:r>
      <w:r>
        <w:t xml:space="preserve">  </w:t>
      </w:r>
    </w:p>
    <w:p w:rsidR="008F397E" w:rsidP="0080366D" w14:paraId="71012889" w14:textId="469B178D">
      <w:pPr>
        <w:pStyle w:val="ParaNum"/>
      </w:pPr>
      <w:r>
        <w:t xml:space="preserve">Securus met with Bureau staff on </w:t>
      </w:r>
      <w:r w:rsidR="00D95C14">
        <w:t>January 21, 2026 to provide an</w:t>
      </w:r>
      <w:r w:rsidR="00932687">
        <w:t>other</w:t>
      </w:r>
      <w:r w:rsidR="00D95C14">
        <w:t xml:space="preserve"> update on its progress developing and deploying a video IPCS platform capable of per-minute billing.</w:t>
      </w:r>
      <w:r>
        <w:rPr>
          <w:rStyle w:val="FootnoteReference"/>
        </w:rPr>
        <w:footnoteReference w:id="36"/>
      </w:r>
      <w:r w:rsidR="007975F1">
        <w:t xml:space="preserve">  Securus</w:t>
      </w:r>
      <w:r w:rsidR="00B94A1D">
        <w:t xml:space="preserve"> explained that it</w:t>
      </w:r>
      <w:r w:rsidR="007975F1">
        <w:t xml:space="preserve"> anticipated “completing the full transition </w:t>
      </w:r>
      <w:r w:rsidR="008D29CC">
        <w:t>of all systems to the new per-minute video IPCS platform by March 31, 2027.”</w:t>
      </w:r>
      <w:r>
        <w:rPr>
          <w:rStyle w:val="FootnoteReference"/>
        </w:rPr>
        <w:footnoteReference w:id="37"/>
      </w:r>
      <w:r w:rsidR="00BE1144">
        <w:t xml:space="preserve">  Securus </w:t>
      </w:r>
      <w:r w:rsidR="00B94A1D">
        <w:t>also noted</w:t>
      </w:r>
      <w:r w:rsidR="00BE1144">
        <w:t xml:space="preserve"> that </w:t>
      </w:r>
      <w:r w:rsidR="003B207A">
        <w:t>“development and testing of the new per-minute video IPCS platform was complete, and [its] transition to that platform has already begun.”</w:t>
      </w:r>
      <w:r>
        <w:rPr>
          <w:rStyle w:val="FootnoteReference"/>
        </w:rPr>
        <w:footnoteReference w:id="38"/>
      </w:r>
      <w:r w:rsidR="001721A8">
        <w:t xml:space="preserve">  Securus outlined two “remaining challenges.”</w:t>
      </w:r>
      <w:r>
        <w:rPr>
          <w:rStyle w:val="FootnoteReference"/>
        </w:rPr>
        <w:footnoteReference w:id="39"/>
      </w:r>
      <w:r w:rsidR="009B18AB">
        <w:t xml:space="preserve">  First, Securus explained “the need to complete the contracting and deployment process at individual customers</w:t>
      </w:r>
      <w:r w:rsidR="00B3650A">
        <w:t>.”</w:t>
      </w:r>
      <w:r>
        <w:rPr>
          <w:rStyle w:val="FootnoteReference"/>
        </w:rPr>
        <w:footnoteReference w:id="40"/>
      </w:r>
      <w:r w:rsidR="00B3650A">
        <w:t xml:space="preserve">  This involves</w:t>
      </w:r>
      <w:r w:rsidR="00550B96">
        <w:t xml:space="preserve"> both</w:t>
      </w:r>
      <w:r w:rsidR="00B3650A">
        <w:t xml:space="preserve"> “concluding the contract negotiation and approval process</w:t>
      </w:r>
      <w:r>
        <w:t xml:space="preserve">” and </w:t>
      </w:r>
      <w:r w:rsidR="00B8002A">
        <w:t>“actual deployment in each facility</w:t>
      </w:r>
      <w:r w:rsidR="005D75AE">
        <w:t>.”</w:t>
      </w:r>
      <w:r>
        <w:rPr>
          <w:rStyle w:val="FootnoteReference"/>
        </w:rPr>
        <w:footnoteReference w:id="41"/>
      </w:r>
      <w:r w:rsidR="005D75AE">
        <w:t xml:space="preserve">  Second, </w:t>
      </w:r>
      <w:r w:rsidR="00251775">
        <w:t xml:space="preserve">Securus explained that it must complete “the transition of the JPay video platform,” which </w:t>
      </w:r>
      <w:r w:rsidR="00CD11A2">
        <w:t xml:space="preserve">will require additional hours of </w:t>
      </w:r>
      <w:r w:rsidR="008A4221">
        <w:t>“IT development . . . to upgrade to the new video IPCS platform.”</w:t>
      </w:r>
      <w:r>
        <w:rPr>
          <w:rStyle w:val="FootnoteReference"/>
        </w:rPr>
        <w:footnoteReference w:id="42"/>
      </w:r>
      <w:r w:rsidR="0022555B">
        <w:t xml:space="preserve">  Securus estimated </w:t>
      </w:r>
      <w:r w:rsidR="00090BE5">
        <w:t xml:space="preserve">it would </w:t>
      </w:r>
      <w:r w:rsidR="0022555B">
        <w:t>complete the conversion of its JPay customers “by the end of March 2027.”</w:t>
      </w:r>
      <w:r>
        <w:rPr>
          <w:rStyle w:val="FootnoteReference"/>
        </w:rPr>
        <w:footnoteReference w:id="43"/>
      </w:r>
    </w:p>
    <w:p w:rsidR="00B70052" w:rsidP="0080366D" w14:paraId="12991632" w14:textId="40F520E7">
      <w:pPr>
        <w:pStyle w:val="ParaNum"/>
      </w:pPr>
      <w:r>
        <w:t xml:space="preserve">Securus </w:t>
      </w:r>
      <w:r w:rsidR="00B34FBA">
        <w:t>amended its waiver petition</w:t>
      </w:r>
      <w:r w:rsidR="00514B00">
        <w:t xml:space="preserve"> on March 25, 2026.</w:t>
      </w:r>
      <w:r>
        <w:rPr>
          <w:rStyle w:val="FootnoteReference"/>
        </w:rPr>
        <w:footnoteReference w:id="44"/>
      </w:r>
      <w:r w:rsidR="00C12DC1">
        <w:t xml:space="preserve">  Securus explains that it has made “tremendous </w:t>
      </w:r>
      <w:r w:rsidR="00CD12B5">
        <w:t>strides in converting its various per-session video billing platforms to a single per-minute billing system and now anticipates that by April 6, 2026, it will have converted a substantial majority of its facilities to per-minute billing.”</w:t>
      </w:r>
      <w:r>
        <w:rPr>
          <w:rStyle w:val="FootnoteReference"/>
        </w:rPr>
        <w:footnoteReference w:id="45"/>
      </w:r>
      <w:r w:rsidR="008B57EA">
        <w:t xml:space="preserve">  Securus note</w:t>
      </w:r>
      <w:r w:rsidR="00E259AE">
        <w:t xml:space="preserve">s that it has “streamlined the process to obtain necessary modifications to its contracts and approvals from </w:t>
      </w:r>
      <w:r w:rsidR="009726AD">
        <w:t>correctional</w:t>
      </w:r>
      <w:r w:rsidR="00E259AE">
        <w:t xml:space="preserve"> authorities to deploy the per-minute billing platform</w:t>
      </w:r>
      <w:r w:rsidR="009726AD">
        <w:t>” that reduces the need for lengthy negotiations.</w:t>
      </w:r>
      <w:r>
        <w:rPr>
          <w:rStyle w:val="FootnoteReference"/>
        </w:rPr>
        <w:footnoteReference w:id="46"/>
      </w:r>
      <w:r w:rsidR="00927788">
        <w:t xml:space="preserve">  At the same time, Securus is “mindful . . . that all of its video consumers should be charged no more than the Commission’s interim</w:t>
      </w:r>
      <w:r w:rsidR="00C90521">
        <w:t>” rate caps.</w:t>
      </w:r>
      <w:r>
        <w:rPr>
          <w:rStyle w:val="FootnoteReference"/>
        </w:rPr>
        <w:footnoteReference w:id="47"/>
      </w:r>
      <w:r w:rsidR="007D0282">
        <w:t xml:space="preserve">  With these considerations in mind</w:t>
      </w:r>
      <w:r w:rsidR="001C259B">
        <w:t>, Securus “substantially reduces the requested extension of the deadline for per-minute video IPCS from March 2027 to July 6, 2026.”</w:t>
      </w:r>
      <w:r>
        <w:rPr>
          <w:rStyle w:val="FootnoteReference"/>
        </w:rPr>
        <w:footnoteReference w:id="48"/>
      </w:r>
    </w:p>
    <w:p w:rsidR="00150F3C" w:rsidP="0080366D" w14:paraId="13A090BE" w14:textId="111B0EEC">
      <w:pPr>
        <w:pStyle w:val="ParaNum"/>
      </w:pPr>
      <w:r>
        <w:t>While Securus intends to have a “substantial majority”</w:t>
      </w:r>
      <w:r>
        <w:rPr>
          <w:rStyle w:val="FootnoteReference"/>
        </w:rPr>
        <w:footnoteReference w:id="49"/>
      </w:r>
      <w:r>
        <w:t xml:space="preserve"> of its facilities converted to per-minute billing by April 6, 2026</w:t>
      </w:r>
      <w:r w:rsidR="00C763CA">
        <w:t>, it indicates that “circum</w:t>
      </w:r>
      <w:r w:rsidR="00037778">
        <w:t>stances</w:t>
      </w:r>
      <w:r w:rsidR="00C763CA">
        <w:t xml:space="preserve"> may prevent every facility from being converted by then, in addition to those state prison systems utilizing the JPay tablet </w:t>
      </w:r>
      <w:r w:rsidR="00037778">
        <w:t>platform</w:t>
      </w:r>
      <w:r w:rsidR="00C763CA">
        <w:t>.”</w:t>
      </w:r>
      <w:r>
        <w:rPr>
          <w:rStyle w:val="FootnoteReference"/>
        </w:rPr>
        <w:footnoteReference w:id="50"/>
      </w:r>
      <w:r w:rsidR="00E34700">
        <w:t xml:space="preserve">  To “provide consumers with the benefit of the Commission’s video rate cap </w:t>
      </w:r>
      <w:r w:rsidR="009D387E">
        <w:t xml:space="preserve">protections” Securus </w:t>
      </w:r>
      <w:r w:rsidR="000B517D">
        <w:t xml:space="preserve">offers </w:t>
      </w:r>
      <w:r w:rsidR="009D387E">
        <w:t>that “on April 6, 2026, all video rates offered by Securus and JPay will comply with the Commission’s video rate caps”</w:t>
      </w:r>
      <w:r w:rsidR="005769B5">
        <w:t xml:space="preserve"> in the following manner:</w:t>
      </w:r>
      <w:r w:rsidR="00532DCF">
        <w:t xml:space="preserve"> </w:t>
      </w:r>
    </w:p>
    <w:p w:rsidR="00532DCF" w:rsidP="00B8024A" w14:paraId="6F9CAD2B" w14:textId="7E6B6ECC">
      <w:pPr>
        <w:pStyle w:val="ParaNum"/>
        <w:numPr>
          <w:ilvl w:val="0"/>
          <w:numId w:val="0"/>
        </w:numPr>
        <w:ind w:left="1440"/>
        <w:jc w:val="both"/>
      </w:pPr>
      <w:r>
        <w:t>(a) Where per-minute billing has already been implemented by April 6, 2026, Securus will</w:t>
      </w:r>
      <w:r w:rsidR="005F611D">
        <w:t xml:space="preserve"> . . . </w:t>
      </w:r>
      <w:r>
        <w:t>comply with the Commission’s relevant video rate caps</w:t>
      </w:r>
      <w:r w:rsidR="006A2377">
        <w:t xml:space="preserve"> [from the </w:t>
      </w:r>
      <w:r w:rsidR="006A2377">
        <w:rPr>
          <w:i/>
          <w:iCs/>
        </w:rPr>
        <w:t>2025 IPCS Order</w:t>
      </w:r>
      <w:r w:rsidR="006A2377">
        <w:t>]</w:t>
      </w:r>
      <w:r>
        <w:t xml:space="preserve"> that become effective as of that date.</w:t>
      </w:r>
    </w:p>
    <w:p w:rsidR="00532DCF" w:rsidP="00B8024A" w14:paraId="0EB7C315" w14:textId="63AF83A1">
      <w:pPr>
        <w:pStyle w:val="ParaNum"/>
        <w:numPr>
          <w:ilvl w:val="0"/>
          <w:numId w:val="0"/>
        </w:numPr>
        <w:ind w:left="1440"/>
        <w:jc w:val="both"/>
      </w:pPr>
      <w:r>
        <w:t xml:space="preserve">(b) As facilities convert to per-minute billing during the extension period, the video rates at those facilities will comply with the rate caps set forth in the </w:t>
      </w:r>
      <w:r w:rsidR="00DE5C85">
        <w:t>[</w:t>
      </w:r>
      <w:r w:rsidR="00DE5C85">
        <w:rPr>
          <w:i/>
          <w:iCs/>
        </w:rPr>
        <w:t>2025 IPCS Order</w:t>
      </w:r>
      <w:r w:rsidR="00DE5C85">
        <w:t xml:space="preserve">]. </w:t>
      </w:r>
    </w:p>
    <w:p w:rsidR="002E44F2" w:rsidP="00B8024A" w14:paraId="5629CE1F" w14:textId="06B74AFE">
      <w:pPr>
        <w:pStyle w:val="ParaNum"/>
        <w:numPr>
          <w:ilvl w:val="0"/>
          <w:numId w:val="0"/>
        </w:numPr>
        <w:ind w:left="1440"/>
        <w:jc w:val="both"/>
      </w:pPr>
      <w:r>
        <w:t>(c) For unconverted facilities with the per-session video IPCS platforms, their per-session rates will be reduced</w:t>
      </w:r>
      <w:r w:rsidR="005A7188">
        <w:t xml:space="preserve"> (as applicable) on April 6, 2026, to the equivalent per-minute rate (e.g., for a large jail presently with a per-session video </w:t>
      </w:r>
      <w:r w:rsidR="00F627F4">
        <w:t>IPCS rate of $5.00 for a 20-minute session (effective rate of $0.25/minute), the rate would be reduced on April 6, 2026, to $3.80 for the 20-minute session (for an effective rate of $0.19/minute)</w:t>
      </w:r>
      <w:r w:rsidR="00B34FA1">
        <w:t>.</w:t>
      </w:r>
      <w:r>
        <w:rPr>
          <w:rStyle w:val="FootnoteReference"/>
        </w:rPr>
        <w:footnoteReference w:id="51"/>
      </w:r>
    </w:p>
    <w:p w:rsidR="00532DCF" w:rsidP="00732D95" w14:paraId="273D1AAF" w14:textId="791E6FBB">
      <w:pPr>
        <w:pStyle w:val="ParaNum"/>
        <w:widowControl/>
      </w:pPr>
      <w:r>
        <w:t xml:space="preserve">For correctional facilities that are not converted to Securus’s new per-minute video IPCS platform by July 6, 2026, </w:t>
      </w:r>
      <w:r w:rsidR="00A82E55">
        <w:t>“Securus will implement a program to refund consumers a pro-rata amount for any unused session time.”</w:t>
      </w:r>
      <w:r>
        <w:rPr>
          <w:rStyle w:val="FootnoteReference"/>
        </w:rPr>
        <w:footnoteReference w:id="52"/>
      </w:r>
      <w:r w:rsidR="00E71BB7">
        <w:t xml:space="preserve">  Securus explains that during the 91-day waiver period, “Securus will complete development of the business process to periodically review per-session video usage, identify the amount of unused minutes, and initiate a refund to the consumer for the charges related to the unused minutes.”</w:t>
      </w:r>
      <w:r>
        <w:rPr>
          <w:rStyle w:val="FootnoteReference"/>
        </w:rPr>
        <w:footnoteReference w:id="53"/>
      </w:r>
      <w:r w:rsidR="00F13463">
        <w:t xml:space="preserve">  Securus </w:t>
      </w:r>
      <w:r w:rsidR="00D96BFA">
        <w:t>“anticipates period</w:t>
      </w:r>
      <w:r w:rsidR="00D51E2C">
        <w:t>ic</w:t>
      </w:r>
      <w:r w:rsidR="00D96BFA">
        <w:t xml:space="preserve"> reviews of per-session video IPCS usage to identify, calculate, </w:t>
      </w:r>
      <w:r w:rsidR="00D96BFA">
        <w:t>and process refunds within 48 hours of call completion.”</w:t>
      </w:r>
      <w:r>
        <w:rPr>
          <w:rStyle w:val="FootnoteReference"/>
        </w:rPr>
        <w:footnoteReference w:id="54"/>
      </w:r>
      <w:r w:rsidR="00F10D51">
        <w:t xml:space="preserve">  Securus </w:t>
      </w:r>
      <w:r w:rsidR="0085549B">
        <w:t xml:space="preserve">offers to provide </w:t>
      </w:r>
      <w:r w:rsidR="00484072">
        <w:t>the Bureau</w:t>
      </w:r>
      <w:r w:rsidR="0085549B">
        <w:t xml:space="preserve"> with periodic updates on its progress.</w:t>
      </w:r>
      <w:r>
        <w:rPr>
          <w:rStyle w:val="FootnoteReference"/>
        </w:rPr>
        <w:footnoteReference w:id="55"/>
      </w:r>
    </w:p>
    <w:p w:rsidR="002F0FCB" w:rsidP="002F0FCB" w14:paraId="5FF748D3" w14:textId="0A8FE29D">
      <w:pPr>
        <w:pStyle w:val="Heading1"/>
      </w:pPr>
      <w:r>
        <w:t>discussion</w:t>
      </w:r>
    </w:p>
    <w:p w:rsidR="008F1535" w:rsidP="00440ED2" w14:paraId="465914C9" w14:textId="77777777">
      <w:pPr>
        <w:pStyle w:val="ParaNum"/>
      </w:pPr>
      <w:r>
        <w:t>We find good cause to</w:t>
      </w:r>
      <w:r w:rsidR="00A4600C">
        <w:t xml:space="preserve"> </w:t>
      </w:r>
      <w:r>
        <w:t>waive the Commission’s per-minute pricing rules for Securus as they appl</w:t>
      </w:r>
      <w:r w:rsidR="003D1BCF">
        <w:t>y</w:t>
      </w:r>
      <w:r>
        <w:t xml:space="preserve"> to video IPCS up to</w:t>
      </w:r>
      <w:r w:rsidR="00C96BD0">
        <w:t xml:space="preserve"> and including</w:t>
      </w:r>
      <w:r>
        <w:t xml:space="preserve"> </w:t>
      </w:r>
      <w:r w:rsidR="00AF1F54">
        <w:t>July 6, 2026</w:t>
      </w:r>
      <w:r w:rsidR="003263C0">
        <w:t>,</w:t>
      </w:r>
      <w:r w:rsidR="00331730">
        <w:t xml:space="preserve"> contingent upon </w:t>
      </w:r>
      <w:r w:rsidR="00D51E13">
        <w:t>the co</w:t>
      </w:r>
      <w:r w:rsidR="00AF1F54">
        <w:t>nditions set forth below</w:t>
      </w:r>
      <w:r w:rsidR="00D51E13">
        <w:t>.</w:t>
      </w:r>
      <w:r>
        <w:rPr>
          <w:rStyle w:val="FootnoteReference"/>
        </w:rPr>
        <w:footnoteReference w:id="56"/>
      </w:r>
      <w:r w:rsidR="00440ED2">
        <w:t xml:space="preserve">  </w:t>
      </w:r>
    </w:p>
    <w:p w:rsidR="00440ED2" w:rsidP="00440ED2" w14:paraId="3B5F7955" w14:textId="3D1E16AF">
      <w:pPr>
        <w:pStyle w:val="ParaNum"/>
      </w:pPr>
      <w:r w:rsidRPr="00440ED2">
        <w:t>The Commission may waive its rules “on its own motion or on petition” for good cause shown.</w:t>
      </w:r>
      <w:r>
        <w:rPr>
          <w:vertAlign w:val="superscript"/>
        </w:rPr>
        <w:footnoteReference w:id="57"/>
      </w:r>
      <w:r w:rsidRPr="00440ED2">
        <w:t xml:space="preserve">  The Commission may exercise its discretion to waive a rule where the particular facts make strict compliance inconsistent with the public interest.</w:t>
      </w:r>
      <w:r>
        <w:rPr>
          <w:vertAlign w:val="superscript"/>
        </w:rPr>
        <w:footnoteReference w:id="58"/>
      </w:r>
      <w:r w:rsidRPr="00440ED2">
        <w:t xml:space="preserve">  In addition, the Commission may take into account considerations of hardship, equity, or more effective implementation of overall policy on an individual basis.</w:t>
      </w:r>
      <w:r>
        <w:rPr>
          <w:vertAlign w:val="superscript"/>
        </w:rPr>
        <w:footnoteReference w:id="59"/>
      </w:r>
      <w:r w:rsidRPr="00440ED2">
        <w:t xml:space="preserve">  Waiver of the Commission’s rules is appropriate if both (i) special circumstances warrant a deviation from the general rule and (ii) such deviation will serve the public interest.</w:t>
      </w:r>
      <w:r>
        <w:rPr>
          <w:vertAlign w:val="superscript"/>
        </w:rPr>
        <w:footnoteReference w:id="60"/>
      </w:r>
    </w:p>
    <w:p w:rsidR="00334439" w:rsidP="005805B4" w14:paraId="24C3F78F" w14:textId="5CF63C67">
      <w:pPr>
        <w:pStyle w:val="ParaNum"/>
      </w:pPr>
      <w:r>
        <w:t xml:space="preserve">We find that Securus has demonstrated that its waiver request presents special circumstances that warrant a deviation from the Commission’s per-minute </w:t>
      </w:r>
      <w:r w:rsidR="005679CD">
        <w:t>pricing rules as applied to video IPCS.</w:t>
      </w:r>
      <w:r w:rsidR="004B37E0">
        <w:t xml:space="preserve">  </w:t>
      </w:r>
      <w:r w:rsidR="00495BE0">
        <w:t>While Securus</w:t>
      </w:r>
      <w:r w:rsidR="00DF167A">
        <w:t xml:space="preserve"> “now anticipates that by April 6, 2026, it will have </w:t>
      </w:r>
      <w:r w:rsidR="00EE64B6">
        <w:t>converted</w:t>
      </w:r>
      <w:r w:rsidR="00DF167A">
        <w:t xml:space="preserve"> a substantial majority of its facilities to per-minute billing</w:t>
      </w:r>
      <w:r w:rsidR="00495BE0">
        <w:t>,</w:t>
      </w:r>
      <w:r w:rsidR="00821536">
        <w:t>”</w:t>
      </w:r>
      <w:r w:rsidR="00495BE0">
        <w:t xml:space="preserve"> it “does </w:t>
      </w:r>
      <w:r w:rsidR="00E303D7">
        <w:t xml:space="preserve">not anticipate </w:t>
      </w:r>
      <w:r w:rsidR="00294D9D">
        <w:t>being</w:t>
      </w:r>
      <w:r w:rsidR="00E303D7">
        <w:t xml:space="preserve"> able t</w:t>
      </w:r>
      <w:r w:rsidR="00E65937">
        <w:t>o</w:t>
      </w:r>
      <w:r w:rsidR="00E303D7">
        <w:t xml:space="preserve"> convert every facility to</w:t>
      </w:r>
      <w:r w:rsidR="00294D9D">
        <w:t xml:space="preserve"> per-minute billing” by that date.</w:t>
      </w:r>
      <w:r>
        <w:rPr>
          <w:rStyle w:val="FootnoteReference"/>
        </w:rPr>
        <w:footnoteReference w:id="61"/>
      </w:r>
      <w:r w:rsidR="00E65937">
        <w:t xml:space="preserve">  </w:t>
      </w:r>
      <w:r w:rsidR="00495BE0">
        <w:t>Based on Securus’s repre</w:t>
      </w:r>
      <w:r w:rsidR="00341F0A">
        <w:t xml:space="preserve">sentations, for those facilities that Securus cannot convert to per-minute pricing by April 6, 2026 deadline, </w:t>
      </w:r>
      <w:r w:rsidR="0090743D">
        <w:t>“Securus will either have to stop offering this service to incarcerated persons altogether, or it must offer the service without charge (and, therefore, at a loss)” absent a waiver.</w:t>
      </w:r>
      <w:r>
        <w:rPr>
          <w:rStyle w:val="FootnoteReference"/>
        </w:rPr>
        <w:footnoteReference w:id="62"/>
      </w:r>
      <w:r w:rsidR="00F826BF">
        <w:t xml:space="preserve">  </w:t>
      </w:r>
      <w:r w:rsidR="00DD5AD4">
        <w:t>“Either alternative would likely expose Securus to clams that it is in breach of contract.”</w:t>
      </w:r>
      <w:r>
        <w:rPr>
          <w:rStyle w:val="FootnoteReference"/>
        </w:rPr>
        <w:footnoteReference w:id="63"/>
      </w:r>
      <w:r w:rsidR="00E645B3">
        <w:t xml:space="preserve">  </w:t>
      </w:r>
      <w:r w:rsidR="00D61654">
        <w:t xml:space="preserve">Additionally, </w:t>
      </w:r>
      <w:r w:rsidR="00E27B6A">
        <w:t>we find that Securus has made diligent effo</w:t>
      </w:r>
      <w:r w:rsidR="00EB5B09">
        <w:t xml:space="preserve">rts to communicate its compliance issues and update the Commission on the status of its transition to </w:t>
      </w:r>
      <w:r w:rsidR="00671F68">
        <w:t>the</w:t>
      </w:r>
      <w:r w:rsidR="00EB5B09">
        <w:t xml:space="preserve"> new video IPCS platform.</w:t>
      </w:r>
      <w:r>
        <w:rPr>
          <w:rStyle w:val="FootnoteReference"/>
        </w:rPr>
        <w:footnoteReference w:id="64"/>
      </w:r>
      <w:r w:rsidR="00EB5B09">
        <w:t xml:space="preserve">  It is clear that while Securus has made </w:t>
      </w:r>
      <w:r w:rsidR="00A63F65">
        <w:t xml:space="preserve">considerable </w:t>
      </w:r>
      <w:r w:rsidR="00EB5B09">
        <w:t xml:space="preserve">progress in achieving compliance with the Commission’s </w:t>
      </w:r>
      <w:r w:rsidR="00821536">
        <w:t xml:space="preserve">per-minute </w:t>
      </w:r>
      <w:r w:rsidR="003C29F2">
        <w:t xml:space="preserve">pricing </w:t>
      </w:r>
      <w:r w:rsidR="00EB5B09">
        <w:t>rules</w:t>
      </w:r>
      <w:r w:rsidR="003C29F2">
        <w:t xml:space="preserve"> for video IPCS</w:t>
      </w:r>
      <w:r w:rsidR="00EB5B09">
        <w:t xml:space="preserve">, there is </w:t>
      </w:r>
      <w:r w:rsidR="005805B4">
        <w:t xml:space="preserve">some </w:t>
      </w:r>
      <w:r w:rsidR="00EB5B09">
        <w:t>work yet to do</w:t>
      </w:r>
      <w:r w:rsidR="005805B4">
        <w:t xml:space="preserve">.  </w:t>
      </w:r>
      <w:r w:rsidR="00DD0044">
        <w:t>Together, w</w:t>
      </w:r>
      <w:r w:rsidR="00E645B3">
        <w:t xml:space="preserve">e find that these circumstances constitute special </w:t>
      </w:r>
      <w:r w:rsidR="0098253A">
        <w:t>circumstances</w:t>
      </w:r>
      <w:r w:rsidR="00E645B3">
        <w:t xml:space="preserve"> meeting the first prong of our waiver standard.  </w:t>
      </w:r>
      <w:r w:rsidR="004C4E45">
        <w:t xml:space="preserve">Securus’s representations to date demonstrate that Securus has continued to make progress in the development and deployment of its new video IPCS platform capable of billing on a per-minute basis </w:t>
      </w:r>
      <w:r w:rsidR="004C4E45">
        <w:t xml:space="preserve">since the Bureau granted Securus’s first request for waiver in 2024.  </w:t>
      </w:r>
      <w:r w:rsidR="0098253A">
        <w:t xml:space="preserve">We </w:t>
      </w:r>
      <w:r w:rsidR="004C4E45">
        <w:t xml:space="preserve">therefore </w:t>
      </w:r>
      <w:r w:rsidR="0098253A">
        <w:t xml:space="preserve">grant this waiver </w:t>
      </w:r>
      <w:r w:rsidR="008E1725">
        <w:t>up to and including</w:t>
      </w:r>
      <w:r w:rsidR="0098253A">
        <w:t xml:space="preserve"> July 6, 2026</w:t>
      </w:r>
      <w:r w:rsidR="004E607F">
        <w:t xml:space="preserve"> subject to the conditions below</w:t>
      </w:r>
      <w:r w:rsidR="004C4E45">
        <w:t>.</w:t>
      </w:r>
    </w:p>
    <w:p w:rsidR="00F06497" w:rsidP="00F20FAE" w14:paraId="6C0B0A8A" w14:textId="59AFE077">
      <w:pPr>
        <w:pStyle w:val="ParaNum"/>
      </w:pPr>
      <w:r>
        <w:t xml:space="preserve">We are also persuaded that Securus’s </w:t>
      </w:r>
      <w:r w:rsidR="003D2246">
        <w:t>Pricing and Refund Commitments</w:t>
      </w:r>
      <w:r>
        <w:t xml:space="preserve"> </w:t>
      </w:r>
      <w:r w:rsidR="008D4402">
        <w:t xml:space="preserve">offered in the Amended Waiver Petition </w:t>
      </w:r>
      <w:r w:rsidR="00FB5775">
        <w:t>also</w:t>
      </w:r>
      <w:r w:rsidR="008D4402">
        <w:t xml:space="preserve"> constitute special circumstances justifying a waiver.</w:t>
      </w:r>
      <w:r>
        <w:rPr>
          <w:rStyle w:val="FootnoteReference"/>
        </w:rPr>
        <w:footnoteReference w:id="65"/>
      </w:r>
      <w:r w:rsidR="00A15299">
        <w:t xml:space="preserve">  In addition to </w:t>
      </w:r>
      <w:r w:rsidR="006E1B71">
        <w:t xml:space="preserve">substantially </w:t>
      </w:r>
      <w:r w:rsidR="00A15299">
        <w:t xml:space="preserve">shortening </w:t>
      </w:r>
      <w:r w:rsidR="006E1B71">
        <w:t>the requested waiver period</w:t>
      </w:r>
      <w:r w:rsidR="00A15299">
        <w:t xml:space="preserve"> from March 2027 to July 6, 2026, Securus </w:t>
      </w:r>
      <w:r w:rsidR="00BF3ABC">
        <w:t xml:space="preserve">makes certain commitments </w:t>
      </w:r>
      <w:r w:rsidR="00C72BE7">
        <w:t>“to ensure that all consumers of its video services have the benefit of the Commission’s video IPCS rate cap protections.”</w:t>
      </w:r>
      <w:r>
        <w:rPr>
          <w:rStyle w:val="FootnoteReference"/>
        </w:rPr>
        <w:footnoteReference w:id="66"/>
      </w:r>
      <w:r w:rsidR="001B0FC4">
        <w:t xml:space="preserve">  In particular</w:t>
      </w:r>
      <w:r w:rsidR="00113116">
        <w:t xml:space="preserve">, Securus commits </w:t>
      </w:r>
      <w:r w:rsidR="00F27FE5">
        <w:t xml:space="preserve">to reduce per-session rates at those facilities that cannot be converted to per-minute billing for video IPCS by April 6, 2026 to </w:t>
      </w:r>
      <w:r w:rsidR="007F234C">
        <w:t xml:space="preserve">equivalent </w:t>
      </w:r>
      <w:r w:rsidR="0063203F">
        <w:t xml:space="preserve">applicable </w:t>
      </w:r>
      <w:r w:rsidR="007F234C">
        <w:t xml:space="preserve">per-minute rates according to facility </w:t>
      </w:r>
      <w:r w:rsidR="0063203F">
        <w:t>tier</w:t>
      </w:r>
      <w:r w:rsidR="007F234C">
        <w:t>.</w:t>
      </w:r>
      <w:r>
        <w:rPr>
          <w:rStyle w:val="FootnoteReference"/>
        </w:rPr>
        <w:footnoteReference w:id="67"/>
      </w:r>
      <w:r w:rsidR="0063203F">
        <w:t xml:space="preserve">  </w:t>
      </w:r>
      <w:r w:rsidR="00D27BE1">
        <w:t>And Securus further</w:t>
      </w:r>
      <w:r w:rsidR="006D6E32">
        <w:t xml:space="preserve"> commits to providing </w:t>
      </w:r>
      <w:r w:rsidR="00F8377C">
        <w:t>refunds to consumers who, after the end of the waiver period, are in correctional facilities that Securus has not yet converted to per-minute pricing.</w:t>
      </w:r>
      <w:r>
        <w:rPr>
          <w:rStyle w:val="FootnoteReference"/>
        </w:rPr>
        <w:footnoteReference w:id="68"/>
      </w:r>
      <w:r w:rsidR="00557B33">
        <w:t xml:space="preserve">  </w:t>
      </w:r>
      <w:r w:rsidR="00C836F7">
        <w:t>We believe t</w:t>
      </w:r>
      <w:r w:rsidR="00065D5D">
        <w:t>hese commitments, which have not been offered by Securus</w:t>
      </w:r>
      <w:r w:rsidR="00A54047">
        <w:t xml:space="preserve"> before</w:t>
      </w:r>
      <w:r w:rsidR="00065D5D">
        <w:t xml:space="preserve">, </w:t>
      </w:r>
      <w:r w:rsidR="00C861E2">
        <w:t>provide important consumer benefits during and after the expiration of the waiver period</w:t>
      </w:r>
      <w:r w:rsidR="003E58CD">
        <w:t xml:space="preserve"> </w:t>
      </w:r>
      <w:r w:rsidR="00A54047">
        <w:t xml:space="preserve">and constitute special circumstances justifying the waiver.  As discussed below, we expressly </w:t>
      </w:r>
      <w:r w:rsidR="003E58CD">
        <w:t xml:space="preserve">condition </w:t>
      </w:r>
      <w:r w:rsidR="00432C0C">
        <w:t xml:space="preserve">our </w:t>
      </w:r>
      <w:r w:rsidR="003E58CD">
        <w:t>grant of the requested waiver on compliance with these and other commitments.</w:t>
      </w:r>
    </w:p>
    <w:p w:rsidR="009F7ED6" w:rsidP="00440ED2" w14:paraId="6C1DCB46" w14:textId="574FFC55">
      <w:pPr>
        <w:pStyle w:val="ParaNum"/>
      </w:pPr>
      <w:r>
        <w:t>We also find that grant of the requested waiver is in the public interest.</w:t>
      </w:r>
      <w:r w:rsidR="00601DFC">
        <w:t xml:space="preserve">  </w:t>
      </w:r>
      <w:r w:rsidR="007B5C25">
        <w:t>The availability of IPCS—including video IPCS—brings many “wide-</w:t>
      </w:r>
      <w:r w:rsidR="00E620C7">
        <w:t>ranging</w:t>
      </w:r>
      <w:r w:rsidR="007B5C25">
        <w:t xml:space="preserve"> and well-documented” benefits to incarcerated people and their loved ones.</w:t>
      </w:r>
      <w:r>
        <w:rPr>
          <w:rStyle w:val="FootnoteReference"/>
        </w:rPr>
        <w:footnoteReference w:id="69"/>
      </w:r>
      <w:r w:rsidR="00F46ADF">
        <w:t xml:space="preserve">  Reduction or elimination of service thus deprives incarcerated people and their loved ones of those benefits.  As Securus argues</w:t>
      </w:r>
      <w:r w:rsidR="004E77E7">
        <w:t xml:space="preserve">, </w:t>
      </w:r>
      <w:r w:rsidR="009F50E5">
        <w:t>the possib</w:t>
      </w:r>
      <w:r w:rsidR="00CE6F27">
        <w:t>le</w:t>
      </w:r>
      <w:r w:rsidR="009F50E5">
        <w:t xml:space="preserve"> </w:t>
      </w:r>
      <w:r w:rsidR="004E77E7">
        <w:t>“loss of video calling service”</w:t>
      </w:r>
      <w:r w:rsidR="00094A0B">
        <w:t xml:space="preserve"> </w:t>
      </w:r>
      <w:r w:rsidR="00567B16">
        <w:t>that could result from the lack of a video calling system that can bill on a per-minute</w:t>
      </w:r>
      <w:r w:rsidR="0067616E">
        <w:t xml:space="preserve"> basis</w:t>
      </w:r>
      <w:r w:rsidR="00567B16">
        <w:t xml:space="preserve"> “</w:t>
      </w:r>
      <w:r w:rsidR="004E77E7">
        <w:t>would harm incarcerated people and their family and friends.</w:t>
      </w:r>
      <w:r w:rsidR="00567B16">
        <w:t>”</w:t>
      </w:r>
      <w:r>
        <w:rPr>
          <w:rStyle w:val="FootnoteReference"/>
        </w:rPr>
        <w:footnoteReference w:id="70"/>
      </w:r>
      <w:r w:rsidR="008F0606">
        <w:t xml:space="preserve">  We agree.</w:t>
      </w:r>
      <w:r w:rsidR="00D868F6">
        <w:t xml:space="preserve">  In</w:t>
      </w:r>
      <w:r w:rsidR="00797B6B">
        <w:t xml:space="preserve"> contrast, </w:t>
      </w:r>
      <w:r w:rsidR="008F0606">
        <w:t xml:space="preserve">we find that </w:t>
      </w:r>
      <w:r w:rsidR="00797B6B">
        <w:t xml:space="preserve">allowing Securus a “modest, 91-day extension” of the April 6, 2026 compliance date </w:t>
      </w:r>
      <w:r w:rsidR="00D5736F">
        <w:t xml:space="preserve">would </w:t>
      </w:r>
      <w:r w:rsidR="00D14363">
        <w:t xml:space="preserve">not cause </w:t>
      </w:r>
      <w:r w:rsidR="00A254BA">
        <w:t xml:space="preserve">unreasonable </w:t>
      </w:r>
      <w:r w:rsidR="00D14363">
        <w:t xml:space="preserve">harm based on </w:t>
      </w:r>
      <w:r w:rsidR="008F0606">
        <w:t>Securus’s</w:t>
      </w:r>
      <w:r w:rsidR="00D14363">
        <w:t xml:space="preserve"> particular showing here that it has</w:t>
      </w:r>
      <w:r w:rsidR="00A254BA">
        <w:t xml:space="preserve"> made diligent efforts to comply with the Commission’s per-minute pricing requirements for video IPCS and will continue those efforts</w:t>
      </w:r>
      <w:r w:rsidR="00544E6F">
        <w:t xml:space="preserve"> coupled with the</w:t>
      </w:r>
      <w:r w:rsidR="00CC1406">
        <w:t xml:space="preserve"> </w:t>
      </w:r>
      <w:r w:rsidR="00216E02">
        <w:t>Pricing and Refund Commitments</w:t>
      </w:r>
      <w:r w:rsidR="00544E6F">
        <w:t>, designed to ensure that consumers receive the benefit of the Commission’s rate caps.</w:t>
      </w:r>
      <w:r>
        <w:rPr>
          <w:rStyle w:val="FootnoteReference"/>
        </w:rPr>
        <w:footnoteReference w:id="71"/>
      </w:r>
      <w:r w:rsidR="00D64789">
        <w:t xml:space="preserve">  We also find that grant of the waiver</w:t>
      </w:r>
      <w:r w:rsidR="00C70921">
        <w:t xml:space="preserve"> to allow Securus to </w:t>
      </w:r>
      <w:r w:rsidR="00E56BEF">
        <w:t>continue to offer video IPCS on a per-session basis</w:t>
      </w:r>
      <w:r w:rsidR="00F46189">
        <w:t xml:space="preserve"> during the conversion to Securus’s new per-minute video IPCS system</w:t>
      </w:r>
      <w:r>
        <w:t xml:space="preserve"> will serve the public interest because “consumers benefit from having the ability to maintain access to video service on a per session basis should problems arise in their ability to register and adapt to the new billing platform.”</w:t>
      </w:r>
      <w:r>
        <w:rPr>
          <w:rStyle w:val="FootnoteReference"/>
        </w:rPr>
        <w:footnoteReference w:id="72"/>
      </w:r>
      <w:r w:rsidR="00B32692">
        <w:t xml:space="preserve">  We therefore conclude that the second prong of our waiver standard has been satisfied and that </w:t>
      </w:r>
      <w:r w:rsidR="00946987">
        <w:t xml:space="preserve">a waiver of the Commission’s per-minute pricing rules as applied to video IPCS is appropriate under the circumstances presented here. </w:t>
      </w:r>
    </w:p>
    <w:p w:rsidR="00E872A6" w:rsidP="00564E43" w14:paraId="2B22C2EA" w14:textId="6789F8F1">
      <w:pPr>
        <w:pStyle w:val="ParaNum"/>
      </w:pPr>
      <w:r>
        <w:t xml:space="preserve">We </w:t>
      </w:r>
      <w:r w:rsidR="00FF7F09">
        <w:t>find</w:t>
      </w:r>
      <w:r w:rsidR="00A0040B">
        <w:t xml:space="preserve"> th</w:t>
      </w:r>
      <w:r w:rsidR="00622C8F">
        <w:t xml:space="preserve">at Securus’s Amended Waiver Petition </w:t>
      </w:r>
      <w:r w:rsidR="0032476E">
        <w:t>substantially resolves</w:t>
      </w:r>
      <w:r w:rsidR="00E956D1">
        <w:t xml:space="preserve"> </w:t>
      </w:r>
      <w:r w:rsidR="00FF7F09">
        <w:t xml:space="preserve">ViaPath’s </w:t>
      </w:r>
      <w:r w:rsidR="004F5BCB">
        <w:t xml:space="preserve">concerns regarding </w:t>
      </w:r>
      <w:r w:rsidR="008E2F4B">
        <w:t>potential public interest harms</w:t>
      </w:r>
      <w:r w:rsidR="004F5BCB">
        <w:t xml:space="preserve"> </w:t>
      </w:r>
      <w:r w:rsidR="00FF7F09">
        <w:t xml:space="preserve">that </w:t>
      </w:r>
      <w:r w:rsidR="008E2F4B">
        <w:t xml:space="preserve">could result from a prolonged </w:t>
      </w:r>
      <w:r w:rsidR="00FF7F09">
        <w:t>waiver</w:t>
      </w:r>
      <w:r w:rsidR="00622C8F">
        <w:t>.  ViaPath</w:t>
      </w:r>
      <w:r w:rsidR="00EB21AE">
        <w:t xml:space="preserve"> comment</w:t>
      </w:r>
      <w:r w:rsidR="001C7DB6">
        <w:t>ed</w:t>
      </w:r>
      <w:r w:rsidR="00EB21AE">
        <w:t xml:space="preserve"> in response to the 2025 Waiver Petition, which sought </w:t>
      </w:r>
      <w:r w:rsidR="00741323">
        <w:t>waiver of the Commission’s per-minute pricing rules for video IPCS until April 30, 2027</w:t>
      </w:r>
      <w:r w:rsidR="007727E9">
        <w:t>.</w:t>
      </w:r>
      <w:r w:rsidR="00383679">
        <w:t xml:space="preserve">  As ViaPath </w:t>
      </w:r>
      <w:r w:rsidR="00C94812">
        <w:t xml:space="preserve">explains, Securus’s </w:t>
      </w:r>
      <w:r w:rsidR="00ED4261">
        <w:t xml:space="preserve">initial </w:t>
      </w:r>
      <w:r w:rsidR="00C94812">
        <w:t xml:space="preserve">waiver request </w:t>
      </w:r>
      <w:r w:rsidR="00E76CC2">
        <w:t>sought “more than an additional year of time to transition</w:t>
      </w:r>
      <w:r w:rsidR="00C26EA9">
        <w:t>”</w:t>
      </w:r>
      <w:r w:rsidR="00E76CC2">
        <w:t xml:space="preserve"> to per-minute billing for video IPCS.</w:t>
      </w:r>
      <w:r>
        <w:rPr>
          <w:rStyle w:val="FootnoteReference"/>
        </w:rPr>
        <w:footnoteReference w:id="73"/>
      </w:r>
      <w:r w:rsidR="00E51436">
        <w:t xml:space="preserve">  </w:t>
      </w:r>
      <w:r w:rsidR="00616DF2">
        <w:t>Securus’</w:t>
      </w:r>
      <w:r w:rsidR="00995D82">
        <w:t xml:space="preserve">s </w:t>
      </w:r>
      <w:r w:rsidR="00E51436">
        <w:t>Amended Waiver Petition</w:t>
      </w:r>
      <w:r w:rsidR="00995D82">
        <w:t xml:space="preserve"> </w:t>
      </w:r>
      <w:r w:rsidR="00E51436">
        <w:t xml:space="preserve">substantially </w:t>
      </w:r>
      <w:r w:rsidR="00EE255A">
        <w:t>reduced the requested extension</w:t>
      </w:r>
      <w:r w:rsidR="00995D82">
        <w:t xml:space="preserve"> period</w:t>
      </w:r>
      <w:r w:rsidR="0076393C">
        <w:t xml:space="preserve">.  Securus now requests </w:t>
      </w:r>
      <w:r w:rsidR="00E63B06">
        <w:t>a</w:t>
      </w:r>
      <w:r w:rsidR="007352DE">
        <w:t>n additional</w:t>
      </w:r>
      <w:r w:rsidR="00E63B06">
        <w:t xml:space="preserve"> 91-day</w:t>
      </w:r>
      <w:r w:rsidR="007352DE">
        <w:t xml:space="preserve">s, </w:t>
      </w:r>
      <w:r w:rsidR="00F158D5">
        <w:t xml:space="preserve">rather than an additional year.  </w:t>
      </w:r>
      <w:r w:rsidR="0079389E">
        <w:t>We believe this more</w:t>
      </w:r>
      <w:r w:rsidR="00F158D5">
        <w:t xml:space="preserve"> modest extension will ensure that</w:t>
      </w:r>
      <w:r w:rsidR="001F73E3">
        <w:t xml:space="preserve"> affected</w:t>
      </w:r>
      <w:r w:rsidR="00F158D5">
        <w:t xml:space="preserve"> </w:t>
      </w:r>
      <w:r w:rsidR="001F6E64">
        <w:t>incarcerated</w:t>
      </w:r>
      <w:r w:rsidR="0000566F">
        <w:t xml:space="preserve"> </w:t>
      </w:r>
      <w:r w:rsidR="004F347C">
        <w:t xml:space="preserve">persons </w:t>
      </w:r>
      <w:r w:rsidR="008A5C05">
        <w:t xml:space="preserve">and their families and friends </w:t>
      </w:r>
      <w:r w:rsidR="009F4947">
        <w:t xml:space="preserve">are </w:t>
      </w:r>
      <w:r w:rsidR="0079389E">
        <w:t>a</w:t>
      </w:r>
      <w:r w:rsidR="00FC5E09">
        <w:t xml:space="preserve">fforded the benefits of per-minute pricing </w:t>
      </w:r>
      <w:r w:rsidR="0013294A">
        <w:t xml:space="preserve">with far less delay than Securus had first </w:t>
      </w:r>
      <w:r w:rsidR="007B6E8D">
        <w:t>sought in the 2025 Waiver Petition.</w:t>
      </w:r>
      <w:r w:rsidR="00BA1590">
        <w:t xml:space="preserve">  As</w:t>
      </w:r>
      <w:r w:rsidR="007B6E8D">
        <w:t xml:space="preserve"> ViaPath notes, per-minute pricing</w:t>
      </w:r>
      <w:r w:rsidR="0079389E">
        <w:t xml:space="preserve"> is the foundation of the Commission’s </w:t>
      </w:r>
      <w:r w:rsidR="006D7103">
        <w:t>efforts to ensure just and reasonable ICPS rates and charges.</w:t>
      </w:r>
      <w:r>
        <w:rPr>
          <w:rStyle w:val="FootnoteReference"/>
        </w:rPr>
        <w:footnoteReference w:id="74"/>
      </w:r>
      <w:r w:rsidR="00BA1590">
        <w:t xml:space="preserve">  </w:t>
      </w:r>
      <w:r w:rsidR="00822D0C">
        <w:t>We find that the shortened waiver period reflected in the Amended Waiver Petition</w:t>
      </w:r>
      <w:r w:rsidR="002615B1">
        <w:t>,</w:t>
      </w:r>
      <w:r w:rsidR="00822D0C">
        <w:t xml:space="preserve"> </w:t>
      </w:r>
      <w:r w:rsidR="00B35AF0">
        <w:t xml:space="preserve">coupled with </w:t>
      </w:r>
      <w:r w:rsidR="0028197E">
        <w:t>Securus’s progress</w:t>
      </w:r>
      <w:r w:rsidR="00B35AF0">
        <w:t xml:space="preserve"> to date</w:t>
      </w:r>
      <w:r w:rsidR="0028197E">
        <w:t xml:space="preserve"> in deploying its new video IPCS platform</w:t>
      </w:r>
      <w:r w:rsidR="002615B1">
        <w:t>,</w:t>
      </w:r>
      <w:r w:rsidR="009012A3">
        <w:t xml:space="preserve"> will ensure that per-minute</w:t>
      </w:r>
      <w:r w:rsidR="00BA4BE1">
        <w:t xml:space="preserve"> pricing is implemented </w:t>
      </w:r>
      <w:r w:rsidR="001439D3">
        <w:t>as expeditiously as possible and is thus in the public interest.</w:t>
      </w:r>
      <w:r>
        <w:rPr>
          <w:rStyle w:val="FootnoteReference"/>
        </w:rPr>
        <w:footnoteReference w:id="75"/>
      </w:r>
      <w:r w:rsidR="001439D3">
        <w:t xml:space="preserve">  </w:t>
      </w:r>
    </w:p>
    <w:p w:rsidR="005806F5" w:rsidP="00E815E2" w14:paraId="3634F425" w14:textId="7879A17E">
      <w:pPr>
        <w:pStyle w:val="ParaNum"/>
      </w:pPr>
      <w:r>
        <w:t xml:space="preserve">As the Bureau did in </w:t>
      </w:r>
      <w:r w:rsidR="00906421">
        <w:t xml:space="preserve">the </w:t>
      </w:r>
      <w:r w:rsidR="00906421">
        <w:rPr>
          <w:i/>
          <w:iCs/>
        </w:rPr>
        <w:t>2024 Securus Waiver Order</w:t>
      </w:r>
      <w:r w:rsidR="00906421">
        <w:t xml:space="preserve">, we </w:t>
      </w:r>
      <w:r w:rsidR="00BA24DD">
        <w:t>condition our grant of Securus’s waiver request here.</w:t>
      </w:r>
      <w:r>
        <w:rPr>
          <w:rStyle w:val="FootnoteReference"/>
        </w:rPr>
        <w:footnoteReference w:id="76"/>
      </w:r>
      <w:r w:rsidR="00BA24DD">
        <w:t xml:space="preserve">  As a condition of the grant of this waiver, we </w:t>
      </w:r>
      <w:r w:rsidR="00FA33D4">
        <w:t xml:space="preserve">require that Securus implement </w:t>
      </w:r>
      <w:r w:rsidR="005D69ED">
        <w:t xml:space="preserve">and abide by </w:t>
      </w:r>
      <w:r w:rsidR="00FA33D4">
        <w:t xml:space="preserve">all of the Pricing and Refund Commitments </w:t>
      </w:r>
      <w:r w:rsidR="006529F4">
        <w:t>as discussed here and in the Amended Waiver Petition.</w:t>
      </w:r>
      <w:r w:rsidR="003E4091">
        <w:t xml:space="preserve">  </w:t>
      </w:r>
      <w:r w:rsidR="008D67CA">
        <w:t>First</w:t>
      </w:r>
      <w:r w:rsidR="005D69ED">
        <w:t xml:space="preserve">, we require </w:t>
      </w:r>
      <w:r w:rsidR="00E67C96">
        <w:t>that as of April 6, 2026</w:t>
      </w:r>
      <w:r w:rsidR="00A13977">
        <w:t>,</w:t>
      </w:r>
      <w:r w:rsidR="00E67C96">
        <w:t xml:space="preserve"> all video IPCS rates offered by Securus and JPay comply with the </w:t>
      </w:r>
      <w:r>
        <w:t>Commission’s</w:t>
      </w:r>
      <w:r w:rsidR="00E67C96">
        <w:t xml:space="preserve"> video IPCS rate caps.</w:t>
      </w:r>
      <w:r>
        <w:rPr>
          <w:rStyle w:val="FootnoteReference"/>
        </w:rPr>
        <w:footnoteReference w:id="77"/>
      </w:r>
      <w:r>
        <w:t xml:space="preserve">  This includes the following:</w:t>
      </w:r>
    </w:p>
    <w:p w:rsidR="00E82A26" w:rsidP="004D1628" w14:paraId="59223EFD" w14:textId="7FC29DFB">
      <w:pPr>
        <w:pStyle w:val="ParaNum"/>
        <w:numPr>
          <w:ilvl w:val="0"/>
          <w:numId w:val="0"/>
        </w:numPr>
        <w:ind w:left="1440"/>
        <w:jc w:val="both"/>
      </w:pPr>
      <w:r>
        <w:t xml:space="preserve">(a) Where per-minute billing has been implemented </w:t>
      </w:r>
      <w:r w:rsidR="003A21DE">
        <w:t>as of</w:t>
      </w:r>
      <w:r>
        <w:t xml:space="preserve"> April 6, 2026, Securus shall comply with the relevant video IPCS rate caps that become effective as of that date. </w:t>
      </w:r>
    </w:p>
    <w:p w:rsidR="00E82A26" w:rsidP="004D1628" w14:paraId="494D009A" w14:textId="787161C6">
      <w:pPr>
        <w:pStyle w:val="ParaNum"/>
        <w:numPr>
          <w:ilvl w:val="0"/>
          <w:numId w:val="0"/>
        </w:numPr>
        <w:ind w:left="1440"/>
        <w:jc w:val="both"/>
      </w:pPr>
      <w:r>
        <w:t xml:space="preserve">(b) As correctional facilities convert to per-minute billing during the 91-day waiver period, the video IPCS rates at those facilities </w:t>
      </w:r>
      <w:r w:rsidR="007607EE">
        <w:t>s</w:t>
      </w:r>
      <w:r>
        <w:t xml:space="preserve">hall comply with the applicable video IPCS rate caps. </w:t>
      </w:r>
    </w:p>
    <w:p w:rsidR="00136EEC" w:rsidP="00A717C3" w14:paraId="02E21D25" w14:textId="7B45DC9C">
      <w:pPr>
        <w:pStyle w:val="ParaNum"/>
        <w:numPr>
          <w:ilvl w:val="0"/>
          <w:numId w:val="0"/>
        </w:numPr>
        <w:ind w:left="1440"/>
        <w:jc w:val="both"/>
      </w:pPr>
      <w:r>
        <w:t xml:space="preserve">(c) For correctional facilities that are not converted </w:t>
      </w:r>
      <w:r w:rsidR="002B429C">
        <w:t xml:space="preserve">to per-minute billing </w:t>
      </w:r>
      <w:r w:rsidR="007607EE">
        <w:t>as of</w:t>
      </w:r>
      <w:r w:rsidR="002B429C">
        <w:t xml:space="preserve"> April 6, 2026, </w:t>
      </w:r>
      <w:r w:rsidR="00F757E9">
        <w:t>Securus</w:t>
      </w:r>
      <w:r w:rsidR="002B429C">
        <w:t xml:space="preserve"> shall reduce per-session video IPCS rates to the equivalent per-minute rate </w:t>
      </w:r>
      <w:r w:rsidR="00F757E9">
        <w:t xml:space="preserve">according to facility tier.  </w:t>
      </w:r>
      <w:r w:rsidR="008D67CA">
        <w:t xml:space="preserve"> </w:t>
      </w:r>
    </w:p>
    <w:p w:rsidR="005D69ED" w:rsidP="00E815E2" w14:paraId="1344BDE5" w14:textId="202403EF">
      <w:pPr>
        <w:pStyle w:val="ParaNum"/>
      </w:pPr>
      <w:r>
        <w:t xml:space="preserve">While we expect Securus to </w:t>
      </w:r>
      <w:r w:rsidR="008F5861">
        <w:t>abide by its representation that “it will have converted a substantial majority of its facilities to per-minute billing” by April 6, 2026,</w:t>
      </w:r>
      <w:r>
        <w:rPr>
          <w:rStyle w:val="FootnoteReference"/>
        </w:rPr>
        <w:footnoteReference w:id="78"/>
      </w:r>
      <w:r w:rsidR="008F5861">
        <w:t xml:space="preserve"> for </w:t>
      </w:r>
      <w:r w:rsidR="00356EC6">
        <w:t xml:space="preserve">any and all </w:t>
      </w:r>
      <w:r w:rsidR="00415FD9">
        <w:t xml:space="preserve">correctional facilities that are not converted at the </w:t>
      </w:r>
      <w:r w:rsidR="00E03B84">
        <w:t xml:space="preserve">end </w:t>
      </w:r>
      <w:r w:rsidR="00415FD9">
        <w:t xml:space="preserve">of the waiver period on July 6, 2026, </w:t>
      </w:r>
      <w:r w:rsidR="008D67CA">
        <w:t xml:space="preserve">we require </w:t>
      </w:r>
      <w:r w:rsidR="008A5576">
        <w:t xml:space="preserve">Securus to </w:t>
      </w:r>
      <w:r w:rsidR="00B66903">
        <w:t>“implement a program to refund consumers a pro-rata amount for any unused session time.”</w:t>
      </w:r>
      <w:r>
        <w:rPr>
          <w:rStyle w:val="FootnoteReference"/>
        </w:rPr>
        <w:footnoteReference w:id="79"/>
      </w:r>
      <w:r w:rsidR="006C6242">
        <w:t xml:space="preserve">  Specifically, during the 91-day waiver period, Securus shall “complete development of the business process to periodically review per-session video IPCS usage, identify the amount of unused minutes, and initiate a refund to the consumer for the charges related to the unused minutes.”</w:t>
      </w:r>
      <w:r>
        <w:rPr>
          <w:rStyle w:val="FootnoteReference"/>
        </w:rPr>
        <w:footnoteReference w:id="80"/>
      </w:r>
      <w:r w:rsidR="00F67EF5">
        <w:t xml:space="preserve">  We </w:t>
      </w:r>
      <w:r w:rsidR="00C73592">
        <w:t>further</w:t>
      </w:r>
      <w:r w:rsidR="00F67EF5">
        <w:t xml:space="preserve"> require </w:t>
      </w:r>
      <w:r w:rsidR="00F67EF5">
        <w:t xml:space="preserve">Securus to issue </w:t>
      </w:r>
      <w:r w:rsidR="00213A27">
        <w:t>refunds to consumers within 48 hours of call completion.</w:t>
      </w:r>
      <w:r>
        <w:rPr>
          <w:rStyle w:val="FootnoteReference"/>
        </w:rPr>
        <w:footnoteReference w:id="81"/>
      </w:r>
      <w:r w:rsidR="006F53AB">
        <w:t xml:space="preserve">  Doing so ensures that </w:t>
      </w:r>
      <w:r w:rsidR="00F74B22">
        <w:t xml:space="preserve">consumers are not unreasonably delayed in receiving </w:t>
      </w:r>
      <w:r w:rsidR="00B4612F">
        <w:t>re</w:t>
      </w:r>
      <w:r w:rsidR="00F74B22">
        <w:t>funds</w:t>
      </w:r>
      <w:r w:rsidR="00B4612F">
        <w:t xml:space="preserve"> for </w:t>
      </w:r>
      <w:r w:rsidR="003F6119">
        <w:t xml:space="preserve">sums that are </w:t>
      </w:r>
      <w:r w:rsidR="00B4612F">
        <w:t>rightfully theirs.</w:t>
      </w:r>
      <w:r w:rsidR="00515AEB">
        <w:t xml:space="preserve"> </w:t>
      </w:r>
      <w:r w:rsidR="001139F6">
        <w:t xml:space="preserve"> We find</w:t>
      </w:r>
      <w:r w:rsidR="00515AEB">
        <w:t xml:space="preserve"> that th</w:t>
      </w:r>
      <w:r w:rsidR="00ED0BB4">
        <w:t>e</w:t>
      </w:r>
      <w:r w:rsidR="00515AEB">
        <w:t>s</w:t>
      </w:r>
      <w:r w:rsidR="00ED0BB4">
        <w:t>e</w:t>
      </w:r>
      <w:r w:rsidR="00515AEB">
        <w:t xml:space="preserve"> condition</w:t>
      </w:r>
      <w:r w:rsidR="00ED0BB4">
        <w:t>s</w:t>
      </w:r>
      <w:r w:rsidR="00515AEB">
        <w:t xml:space="preserve"> help </w:t>
      </w:r>
      <w:r w:rsidR="00FC09B8">
        <w:t xml:space="preserve">ensure that grant of </w:t>
      </w:r>
      <w:r w:rsidR="00515AEB">
        <w:t xml:space="preserve">the waiver </w:t>
      </w:r>
      <w:r w:rsidR="00FC09B8">
        <w:t xml:space="preserve">is in </w:t>
      </w:r>
      <w:r w:rsidR="00515AEB">
        <w:t>the public interest</w:t>
      </w:r>
      <w:r w:rsidR="00FC09B8">
        <w:t>.</w:t>
      </w:r>
      <w:r w:rsidR="002B4A55">
        <w:t xml:space="preserve"> </w:t>
      </w:r>
    </w:p>
    <w:p w:rsidR="005D69ED" w:rsidP="00E815E2" w14:paraId="3488D5D2" w14:textId="3DC03E4D">
      <w:pPr>
        <w:pStyle w:val="ParaNum"/>
      </w:pPr>
      <w:r>
        <w:t xml:space="preserve">Finally, we require Securus to </w:t>
      </w:r>
      <w:r w:rsidR="009409A6">
        <w:t xml:space="preserve">provide </w:t>
      </w:r>
      <w:r w:rsidR="007B05AF">
        <w:t>the Bureau</w:t>
      </w:r>
      <w:r w:rsidR="009409A6">
        <w:t xml:space="preserve"> with monthly</w:t>
      </w:r>
      <w:r w:rsidR="00FB626B">
        <w:t xml:space="preserve"> written</w:t>
      </w:r>
      <w:r w:rsidR="009409A6">
        <w:t xml:space="preserve"> updates on its progress in deploying its new video IPCS platform beginning </w:t>
      </w:r>
      <w:r w:rsidR="00FB626B">
        <w:t>May 1, 2026</w:t>
      </w:r>
      <w:r w:rsidR="00C04C56">
        <w:t xml:space="preserve"> until such time as all correctional facilities</w:t>
      </w:r>
      <w:r w:rsidR="00C97BCA">
        <w:t xml:space="preserve"> served by</w:t>
      </w:r>
      <w:r w:rsidR="00C04C56">
        <w:t xml:space="preserve"> </w:t>
      </w:r>
      <w:r w:rsidR="00B028D4">
        <w:t>Securus</w:t>
      </w:r>
      <w:r w:rsidR="00C97BCA">
        <w:t xml:space="preserve"> </w:t>
      </w:r>
      <w:r w:rsidR="00B028D4">
        <w:t>have been converted to the new per-minute video IPCS platform.</w:t>
      </w:r>
      <w:r>
        <w:rPr>
          <w:rStyle w:val="FootnoteReference"/>
        </w:rPr>
        <w:footnoteReference w:id="82"/>
      </w:r>
      <w:r w:rsidR="00C97BCA">
        <w:t xml:space="preserve">  Beginning</w:t>
      </w:r>
      <w:r w:rsidR="00B028D4">
        <w:t xml:space="preserve"> with the first monthly update, Securus shall specify </w:t>
      </w:r>
      <w:r w:rsidR="00D87AC8">
        <w:t xml:space="preserve">the number of correctional facilities that, as of that date, have been converted to the new video IPCS platform and the remaining facilities to be converted.  Each subsequent update shall </w:t>
      </w:r>
      <w:r w:rsidR="0037537C">
        <w:t xml:space="preserve">provide the number of correctional facilities that have been converted since the last month’s update and the remaining facilities to be converted to the new video IPCS billing system.  </w:t>
      </w:r>
      <w:r w:rsidR="00212675">
        <w:t xml:space="preserve">The monthly updates shall also provide any other pertinent information related to the deployment of Securus’s new </w:t>
      </w:r>
      <w:r w:rsidR="009F722A">
        <w:t>per-minute video IPCS platform, including, but not limited to, the status of contract negotiations</w:t>
      </w:r>
      <w:r w:rsidR="00F419D4">
        <w:t>,</w:t>
      </w:r>
      <w:r w:rsidR="00A87F55">
        <w:t xml:space="preserve"> </w:t>
      </w:r>
      <w:r w:rsidR="00E878B8">
        <w:t>any</w:t>
      </w:r>
      <w:r w:rsidR="00A87F55">
        <w:t xml:space="preserve"> technical and operational difficulties</w:t>
      </w:r>
      <w:r w:rsidR="00E878B8">
        <w:t>, and consumer issues or complaints</w:t>
      </w:r>
      <w:r w:rsidR="00A87F55">
        <w:t>.</w:t>
      </w:r>
      <w:r w:rsidR="00552468">
        <w:t xml:space="preserve">  The monthly updates shall be filed </w:t>
      </w:r>
      <w:r w:rsidR="00C31154">
        <w:t>electronically in the Commission’s Electronic Comment Filing System (ECFS)</w:t>
      </w:r>
      <w:r w:rsidR="00B9642F">
        <w:t xml:space="preserve"> in WC Docket No</w:t>
      </w:r>
      <w:r w:rsidR="00402ABA">
        <w:t>s</w:t>
      </w:r>
      <w:r w:rsidR="00B9642F">
        <w:t xml:space="preserve">. </w:t>
      </w:r>
      <w:r w:rsidR="00402ABA">
        <w:t>23-62 and 12-375</w:t>
      </w:r>
      <w:r w:rsidR="00C31154">
        <w:t>.</w:t>
      </w:r>
      <w:r w:rsidR="009C7D83">
        <w:t xml:space="preserve">  Securus may file any information it believes should be afforded confidential treatment in accordance with the terms of the Protective Order in these proceedings.</w:t>
      </w:r>
      <w:r>
        <w:rPr>
          <w:rStyle w:val="FootnoteReference"/>
        </w:rPr>
        <w:footnoteReference w:id="83"/>
      </w:r>
      <w:r w:rsidR="009C7D83">
        <w:t xml:space="preserve">  </w:t>
      </w:r>
      <w:r w:rsidR="00C31154">
        <w:t xml:space="preserve"> </w:t>
      </w:r>
      <w:r w:rsidR="00F419D4">
        <w:t xml:space="preserve"> </w:t>
      </w:r>
    </w:p>
    <w:p w:rsidR="002F0FCB" w:rsidP="002F0FCB" w14:paraId="2EE6FA66" w14:textId="62FAE3ED">
      <w:pPr>
        <w:pStyle w:val="Heading1"/>
      </w:pPr>
      <w:r>
        <w:t>ordering clauses</w:t>
      </w:r>
    </w:p>
    <w:p w:rsidR="002F0FCB" w:rsidP="002F0FCB" w14:paraId="3E38BD8E" w14:textId="7237E2FD">
      <w:pPr>
        <w:pStyle w:val="ParaNum"/>
      </w:pPr>
      <w:r w:rsidRPr="00FB3B99">
        <w:t xml:space="preserve">Accordingly, IT IS ORDERED, pursuant to the authority contained in </w:t>
      </w:r>
      <w:r w:rsidRPr="006F04E9">
        <w:t xml:space="preserve">sections 1, 2, 4(i)-(j), 201(b), 218, 220, 276, 403, and 716 of the Communications Act of 1934, as amended, 47 U.S.C. §§ 151, 152, 154(i)-(j), 201(b), 218, 220, 276, 403, and 617, </w:t>
      </w:r>
      <w:r>
        <w:t xml:space="preserve">sections 0.91, 0.291, and 1.3 of the Commission’s rules, 47 CFR §§ 0.91, 0.291, and 1.3, </w:t>
      </w:r>
      <w:r w:rsidRPr="006F04E9">
        <w:t>and the Martha Wright-Reed Just and Reasonable Communications Act of 2022, Pub. L. No. 117-338, 136 Stat 6156 (2022),</w:t>
      </w:r>
      <w:r w:rsidRPr="00FB3B99">
        <w:t xml:space="preserve"> </w:t>
      </w:r>
      <w:r>
        <w:t xml:space="preserve">that this Order in WC Docket Nos. 23-62 and 12-375 IS ADOPTED and that sections </w:t>
      </w:r>
      <w:r w:rsidR="00F603AA">
        <w:t>64.6030(a),</w:t>
      </w:r>
      <w:r>
        <w:t xml:space="preserve"> </w:t>
      </w:r>
      <w:r w:rsidR="00CE1EBE">
        <w:t>64.</w:t>
      </w:r>
      <w:r w:rsidR="00817AC5">
        <w:t>6030(c),</w:t>
      </w:r>
      <w:r>
        <w:t xml:space="preserve"> and 64.6080 of the Commission’s rules, 47 CFR §§ </w:t>
      </w:r>
      <w:r w:rsidR="00F603AA">
        <w:t xml:space="preserve">64.6030(a), </w:t>
      </w:r>
      <w:r w:rsidR="003965E2">
        <w:t>64.6030</w:t>
      </w:r>
      <w:r w:rsidR="00817AC5">
        <w:t>(c),</w:t>
      </w:r>
      <w:r w:rsidR="00F603AA">
        <w:t xml:space="preserve"> and</w:t>
      </w:r>
      <w:r>
        <w:t xml:space="preserve"> 64.6080, </w:t>
      </w:r>
      <w:r w:rsidRPr="00F603AA">
        <w:t>ARE WAIVED subject to the condition</w:t>
      </w:r>
      <w:r w:rsidRPr="00F603AA" w:rsidR="00FB1509">
        <w:t>s</w:t>
      </w:r>
      <w:r w:rsidRPr="00F603AA">
        <w:t xml:space="preserve"> imposed and to the extent specified herein until </w:t>
      </w:r>
      <w:r w:rsidRPr="00F603AA" w:rsidR="0038675D">
        <w:t>July</w:t>
      </w:r>
      <w:r w:rsidRPr="00F603AA">
        <w:t xml:space="preserve"> </w:t>
      </w:r>
      <w:r w:rsidRPr="00F603AA" w:rsidR="00FB1509">
        <w:t>6</w:t>
      </w:r>
      <w:r w:rsidRPr="00F603AA">
        <w:t>, 202</w:t>
      </w:r>
      <w:r w:rsidRPr="00F603AA" w:rsidR="00FB1509">
        <w:t>6</w:t>
      </w:r>
      <w:r w:rsidRPr="00F603AA">
        <w:t>.</w:t>
      </w:r>
      <w:r>
        <w:t xml:space="preserve"> </w:t>
      </w:r>
    </w:p>
    <w:p w:rsidR="002F0FCB" w:rsidP="002F0FCB" w14:paraId="21CCD883" w14:textId="29F7B9C8">
      <w:pPr>
        <w:pStyle w:val="ParaNum"/>
      </w:pPr>
      <w:r>
        <w:t>IT IS FURTHER ORDERED, that the</w:t>
      </w:r>
      <w:r w:rsidR="00A213EA">
        <w:t xml:space="preserve"> Amended Petition of Securus Technologies, LLC For a Further Extension of the </w:t>
      </w:r>
      <w:r w:rsidRPr="00CC49BD" w:rsidR="00A213EA">
        <w:t xml:space="preserve">Compliance Date for 47 CFR § 64.6080 as Applied to Video Calling Services </w:t>
      </w:r>
      <w:r w:rsidRPr="00CC49BD" w:rsidR="00CB25A0">
        <w:t>filed by Securus on March 25, 2026</w:t>
      </w:r>
      <w:r w:rsidRPr="00CC49BD">
        <w:t xml:space="preserve"> IS GRANTED as described</w:t>
      </w:r>
      <w:r>
        <w:t xml:space="preserve"> herein.  </w:t>
      </w:r>
    </w:p>
    <w:p w:rsidR="002F0FCB" w:rsidP="002F0FCB" w14:paraId="4A9AF0F5" w14:textId="77777777">
      <w:pPr>
        <w:pStyle w:val="ParaNum"/>
      </w:pPr>
      <w:r>
        <w:t xml:space="preserve">IT IS FURTHER ORDERED, that pursuant to section 1.102(b)(1) of the Commission’s rules, 47 CFR § 1.102(b)(1), this Order SHALL BE EFFECTIVE upon release. </w:t>
      </w:r>
    </w:p>
    <w:p w:rsidR="002F0FCB" w:rsidP="002F0FCB" w14:paraId="351AB8E7" w14:textId="77777777">
      <w:pPr>
        <w:pStyle w:val="ParaNum"/>
        <w:numPr>
          <w:ilvl w:val="0"/>
          <w:numId w:val="0"/>
        </w:numPr>
        <w:tabs>
          <w:tab w:val="num" w:pos="1440"/>
        </w:tabs>
        <w:ind w:left="720"/>
      </w:pPr>
    </w:p>
    <w:p w:rsidR="002F0FCB" w:rsidP="002F0FCB" w14:paraId="5D343DD9" w14:textId="77777777">
      <w:pPr>
        <w:pStyle w:val="ParaNum"/>
        <w:numPr>
          <w:ilvl w:val="0"/>
          <w:numId w:val="0"/>
        </w:numPr>
        <w:ind w:left="3600" w:firstLine="720"/>
      </w:pPr>
      <w:r>
        <w:t>FEDERAL COMMUNICATIONS COMMISSION</w:t>
      </w:r>
    </w:p>
    <w:p w:rsidR="002F0FCB" w:rsidP="002F0FCB" w14:paraId="3835960F" w14:textId="77777777">
      <w:pPr>
        <w:pStyle w:val="ParaNum"/>
        <w:numPr>
          <w:ilvl w:val="0"/>
          <w:numId w:val="0"/>
        </w:numPr>
        <w:ind w:left="3600" w:firstLine="720"/>
      </w:pPr>
    </w:p>
    <w:p w:rsidR="002F0FCB" w:rsidP="002F0FCB" w14:paraId="7ACA8A53" w14:textId="77777777">
      <w:pPr>
        <w:pStyle w:val="ParaNum"/>
        <w:numPr>
          <w:ilvl w:val="0"/>
          <w:numId w:val="0"/>
        </w:numPr>
      </w:pPr>
    </w:p>
    <w:p w:rsidR="002F0FCB" w:rsidP="002F0FCB" w14:paraId="472979EE" w14:textId="5E3BD5DF">
      <w:pPr>
        <w:pStyle w:val="ParaNum"/>
        <w:numPr>
          <w:ilvl w:val="0"/>
          <w:numId w:val="0"/>
        </w:numPr>
        <w:spacing w:after="0"/>
      </w:pPr>
      <w:r>
        <w:tab/>
      </w:r>
      <w:r>
        <w:tab/>
      </w:r>
      <w:r>
        <w:tab/>
      </w:r>
      <w:r>
        <w:tab/>
      </w:r>
      <w:r>
        <w:tab/>
      </w:r>
      <w:r>
        <w:tab/>
      </w:r>
      <w:r w:rsidR="007C182A">
        <w:t>Joseph S. Calascione</w:t>
      </w:r>
    </w:p>
    <w:p w:rsidR="002F0FCB" w:rsidP="002F0FCB" w14:paraId="1D3768F8" w14:textId="77777777">
      <w:pPr>
        <w:pStyle w:val="ParaNum"/>
        <w:numPr>
          <w:ilvl w:val="0"/>
          <w:numId w:val="0"/>
        </w:numPr>
        <w:spacing w:after="0"/>
        <w:ind w:firstLine="720"/>
      </w:pPr>
      <w:r>
        <w:tab/>
      </w:r>
      <w:r>
        <w:tab/>
      </w:r>
      <w:r>
        <w:tab/>
      </w:r>
      <w:r>
        <w:tab/>
      </w:r>
      <w:r>
        <w:tab/>
        <w:t>Chief</w:t>
      </w:r>
    </w:p>
    <w:p w:rsidR="002F0FCB" w:rsidRPr="00594B14" w:rsidP="002F0FCB" w14:paraId="71C2ACD6" w14:textId="77777777">
      <w:pPr>
        <w:pStyle w:val="ParaNum"/>
        <w:numPr>
          <w:ilvl w:val="0"/>
          <w:numId w:val="0"/>
        </w:numPr>
        <w:spacing w:after="0"/>
        <w:ind w:left="3600" w:firstLine="720"/>
      </w:pPr>
      <w:r>
        <w:t>Wireline Competition Bureau</w:t>
      </w:r>
    </w:p>
    <w:p w:rsidR="002F0FCB" w:rsidRPr="002F0FCB" w:rsidP="002F0FCB" w14:paraId="7C1D3391" w14:textId="77777777">
      <w:pPr>
        <w:pStyle w:val="ParaNum"/>
        <w:numPr>
          <w:ilvl w:val="0"/>
          <w:numId w:val="0"/>
        </w:numPr>
        <w:ind w:left="720"/>
      </w:pPr>
    </w:p>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262BE" w14:paraId="44C9E978" w14:textId="77777777">
      <w:pPr>
        <w:spacing w:line="20" w:lineRule="exact"/>
      </w:pPr>
    </w:p>
  </w:endnote>
  <w:endnote w:type="continuationSeparator" w:id="1">
    <w:p w:rsidR="008262BE" w14:paraId="743C5D54" w14:textId="77777777">
      <w:r>
        <w:t xml:space="preserve"> </w:t>
      </w:r>
    </w:p>
  </w:endnote>
  <w:endnote w:type="continuationNotice" w:id="2">
    <w:p w:rsidR="008262BE" w14:paraId="7592555A"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72AA62B4"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0D9980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08" w14:paraId="3951682F"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D25FB5" w14:paraId="0316AEDE"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7771F7A0"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62BE" w14:paraId="4F2F57E8" w14:textId="77777777">
      <w:r>
        <w:separator/>
      </w:r>
    </w:p>
  </w:footnote>
  <w:footnote w:type="continuationSeparator" w:id="1">
    <w:p w:rsidR="008262BE" w:rsidP="00C721AC" w14:paraId="144996AC" w14:textId="77777777">
      <w:pPr>
        <w:spacing w:before="120"/>
        <w:rPr>
          <w:sz w:val="20"/>
        </w:rPr>
      </w:pPr>
      <w:r>
        <w:rPr>
          <w:sz w:val="20"/>
        </w:rPr>
        <w:t xml:space="preserve">(Continued from previous page)  </w:t>
      </w:r>
      <w:r>
        <w:rPr>
          <w:sz w:val="20"/>
        </w:rPr>
        <w:separator/>
      </w:r>
    </w:p>
  </w:footnote>
  <w:footnote w:type="continuationNotice" w:id="2">
    <w:p w:rsidR="008262BE" w:rsidP="00C721AC" w14:paraId="59199060" w14:textId="77777777">
      <w:pPr>
        <w:jc w:val="right"/>
        <w:rPr>
          <w:sz w:val="20"/>
        </w:rPr>
      </w:pPr>
      <w:r>
        <w:rPr>
          <w:sz w:val="20"/>
        </w:rPr>
        <w:t>(continued….)</w:t>
      </w:r>
    </w:p>
  </w:footnote>
  <w:footnote w:id="3">
    <w:p w:rsidR="0078460C" w14:paraId="0FD1DAB2" w14:textId="765CC9B9">
      <w:pPr>
        <w:pStyle w:val="FootnoteText"/>
      </w:pPr>
      <w:r>
        <w:rPr>
          <w:rStyle w:val="FootnoteReference"/>
        </w:rPr>
        <w:footnoteRef/>
      </w:r>
      <w:r>
        <w:t xml:space="preserve"> </w:t>
      </w:r>
      <w:r w:rsidR="00476A2D">
        <w:t>Amended Petition of Securus Technologies, LLC for a Further Extension of the Compliance Date for 47 C.F.R. § 64.6080 as Applied to Video Calling Services, WC Docket Nos. 23-62 and 12-375</w:t>
      </w:r>
      <w:r w:rsidR="00ED4E8C">
        <w:t xml:space="preserve"> (filed Mar. 25, 2026) (Amended Waiver Petition).</w:t>
      </w:r>
      <w:r w:rsidR="00D470E2">
        <w:t xml:space="preserve">  Because Securus seeks relief from the Commission’s per-minute pricing rules as applied to video IPCS, the waiver we grant today encompasses all of the Commission’s rules applicable to the video IPCS per-minute pricing requirement—sections </w:t>
      </w:r>
      <w:r w:rsidR="00694D53">
        <w:t>64.6</w:t>
      </w:r>
      <w:r w:rsidR="001A2457">
        <w:t>030(a)</w:t>
      </w:r>
      <w:r w:rsidR="00CE1EBE">
        <w:t>, (c</w:t>
      </w:r>
      <w:r w:rsidR="001A2457">
        <w:t xml:space="preserve">) and </w:t>
      </w:r>
      <w:r w:rsidR="000D4C13">
        <w:t>64.6080</w:t>
      </w:r>
      <w:r w:rsidR="003444A5">
        <w:t xml:space="preserve">.  47 CFR §§ 64.6030(a), </w:t>
      </w:r>
      <w:r w:rsidR="00CE1EBE">
        <w:t>(c)</w:t>
      </w:r>
      <w:r w:rsidR="003444A5">
        <w:t xml:space="preserve">, 64.6080.  </w:t>
      </w:r>
      <w:r w:rsidR="008F397E">
        <w:t xml:space="preserve">  </w:t>
      </w:r>
      <w:r w:rsidR="00ED4E8C">
        <w:t xml:space="preserve">  </w:t>
      </w:r>
    </w:p>
  </w:footnote>
  <w:footnote w:id="4">
    <w:p w:rsidR="00513CB9" w:rsidP="00513CB9" w14:paraId="23F4B01B" w14:textId="77777777">
      <w:pPr>
        <w:pStyle w:val="FootnoteText"/>
      </w:pPr>
      <w:r>
        <w:rPr>
          <w:rStyle w:val="FootnoteReference"/>
        </w:rPr>
        <w:footnoteRef/>
      </w:r>
      <w:r>
        <w:t xml:space="preserve"> </w:t>
      </w:r>
      <w:r w:rsidRPr="00E12A79">
        <w:t>Martha Wright-Reed Just and Reasonable Communications Act of 2022, Pub. L. No. 117-338, 136 Stat. 6156</w:t>
      </w:r>
      <w:r>
        <w:t xml:space="preserve"> (2022).</w:t>
      </w:r>
    </w:p>
  </w:footnote>
  <w:footnote w:id="5">
    <w:p w:rsidR="00756B67" w:rsidRPr="008476BA" w:rsidP="00756B67" w14:paraId="6258BF61" w14:textId="009C1594">
      <w:pPr>
        <w:pStyle w:val="FootnoteText"/>
      </w:pPr>
      <w:r>
        <w:rPr>
          <w:rStyle w:val="FootnoteReference"/>
        </w:rPr>
        <w:footnoteRef/>
      </w:r>
      <w:r>
        <w:t xml:space="preserve"> 47 U.S.C. </w:t>
      </w:r>
      <w:r w:rsidRPr="00E12A79">
        <w:t>§</w:t>
      </w:r>
      <w:r>
        <w:t> 276(b)(1)(A).</w:t>
      </w:r>
    </w:p>
  </w:footnote>
  <w:footnote w:id="6">
    <w:p w:rsidR="00D52C9D" w14:paraId="2AECD1B5" w14:textId="3EC92B9E">
      <w:pPr>
        <w:pStyle w:val="FootnoteText"/>
      </w:pPr>
      <w:r>
        <w:rPr>
          <w:rStyle w:val="FootnoteReference"/>
        </w:rPr>
        <w:footnoteRef/>
      </w:r>
      <w:r>
        <w:t xml:space="preserve"> Martha Wright-Reed Act §§ 2(a)(2), (b); 47 U.S.C. §§ 153(1)(E); 276(d)</w:t>
      </w:r>
      <w:r w:rsidR="00C270B2">
        <w:t xml:space="preserve">; </w:t>
      </w:r>
      <w:r w:rsidRPr="00C90AE6" w:rsidR="00C270B2">
        <w:rPr>
          <w:i/>
          <w:iCs/>
        </w:rPr>
        <w:t>Incarcerated People’s Communications Services; Implementation of the Martha Wright-Reed Act; Rates for Interstate Inmate Calling Services</w:t>
      </w:r>
      <w:r w:rsidRPr="006C5E9D" w:rsidR="00C270B2">
        <w:t>, WC Docket Nos. 23-62</w:t>
      </w:r>
      <w:r w:rsidR="00C270B2">
        <w:t xml:space="preserve"> and </w:t>
      </w:r>
      <w:r w:rsidRPr="006C5E9D" w:rsidR="00C270B2">
        <w:t>12-</w:t>
      </w:r>
      <w:r w:rsidRPr="005236D8" w:rsidR="00C270B2">
        <w:t>375,</w:t>
      </w:r>
      <w:r w:rsidR="00C270B2">
        <w:t xml:space="preserve"> Report and Order, Order on Reconsideration, Clarification and Waiver, and Further Notice of Proposed Rulemaking</w:t>
      </w:r>
      <w:r w:rsidR="00815A94">
        <w:t>, 39 FCC Rcd 76</w:t>
      </w:r>
      <w:r w:rsidR="003E0AF4">
        <w:t>47</w:t>
      </w:r>
      <w:r w:rsidR="00815A94">
        <w:t xml:space="preserve"> (2024) (</w:t>
      </w:r>
      <w:r w:rsidR="00815A94">
        <w:rPr>
          <w:i/>
          <w:iCs/>
        </w:rPr>
        <w:t>2024 IPCS Order</w:t>
      </w:r>
      <w:r w:rsidR="00815A94">
        <w:t>)</w:t>
      </w:r>
      <w:r>
        <w:t>.</w:t>
      </w:r>
    </w:p>
  </w:footnote>
  <w:footnote w:id="7">
    <w:p w:rsidR="00945512" w:rsidP="00945512" w14:paraId="1ACB480C" w14:textId="61F79B83">
      <w:pPr>
        <w:pStyle w:val="FootnoteText"/>
      </w:pPr>
      <w:r>
        <w:rPr>
          <w:rStyle w:val="FootnoteReference"/>
        </w:rPr>
        <w:footnoteRef/>
      </w:r>
      <w:r>
        <w:t xml:space="preserve"> </w:t>
      </w:r>
      <w:r>
        <w:rPr>
          <w:i/>
          <w:iCs/>
        </w:rPr>
        <w:t>See, e.g.</w:t>
      </w:r>
      <w:r>
        <w:t xml:space="preserve">, </w:t>
      </w:r>
      <w:r w:rsidRPr="0028508A">
        <w:rPr>
          <w:i/>
          <w:iCs/>
        </w:rPr>
        <w:t>2024 IPCS Order</w:t>
      </w:r>
      <w:r w:rsidRPr="0028508A" w:rsidR="00E670C4">
        <w:t xml:space="preserve">, </w:t>
      </w:r>
      <w:r w:rsidRPr="0028508A" w:rsidR="0028508A">
        <w:t xml:space="preserve">39 FCC Rcd at 7706, para. 119. </w:t>
      </w:r>
    </w:p>
  </w:footnote>
  <w:footnote w:id="8">
    <w:p w:rsidR="00945512" w:rsidRPr="00F8014B" w:rsidP="00945512" w14:paraId="0397A178" w14:textId="2D291990">
      <w:pPr>
        <w:pStyle w:val="FootnoteText"/>
      </w:pPr>
      <w:r>
        <w:rPr>
          <w:rStyle w:val="FootnoteReference"/>
        </w:rPr>
        <w:footnoteRef/>
      </w:r>
      <w:r>
        <w:t xml:space="preserve"> </w:t>
      </w:r>
      <w:r>
        <w:rPr>
          <w:i/>
          <w:iCs/>
        </w:rPr>
        <w:t>See</w:t>
      </w:r>
      <w:r w:rsidR="008D3383">
        <w:rPr>
          <w:i/>
          <w:iCs/>
        </w:rPr>
        <w:t>, e.g.</w:t>
      </w:r>
      <w:r w:rsidR="008D3383">
        <w:t>,</w:t>
      </w:r>
      <w:r>
        <w:t xml:space="preserve"> </w:t>
      </w:r>
      <w:r>
        <w:rPr>
          <w:i/>
          <w:iCs/>
        </w:rPr>
        <w:t>Wireline Competition Bureau Announces Effective Dates of 2024 Incarcerated People’s Communications Services Order and Comment Dates for 2024 Incarcerated People’s Communications Services Further Notice of Proposed Rulemaking</w:t>
      </w:r>
      <w:r>
        <w:t xml:space="preserve">, Public Notice, </w:t>
      </w:r>
      <w:r w:rsidR="00C92BFF">
        <w:t xml:space="preserve">39 FCC Rcd 10681, </w:t>
      </w:r>
      <w:r w:rsidR="00404C17">
        <w:t>1068</w:t>
      </w:r>
      <w:r>
        <w:t>1 (WCB</w:t>
      </w:r>
      <w:r w:rsidR="00404C17">
        <w:t xml:space="preserve"> </w:t>
      </w:r>
      <w:r>
        <w:t xml:space="preserve">2024).  Providers are also permitted to offer video IPCS under </w:t>
      </w:r>
      <w:r w:rsidR="00C84465">
        <w:t>a</w:t>
      </w:r>
      <w:r>
        <w:t xml:space="preserve">lternate </w:t>
      </w:r>
      <w:r w:rsidR="00C84465">
        <w:t>p</w:t>
      </w:r>
      <w:r>
        <w:t xml:space="preserve">ricing plans but must first offer a per minute pricing plan before an </w:t>
      </w:r>
      <w:r w:rsidR="00C84465">
        <w:t>a</w:t>
      </w:r>
      <w:r>
        <w:t xml:space="preserve">lternate </w:t>
      </w:r>
      <w:r w:rsidR="00C84465">
        <w:t>p</w:t>
      </w:r>
      <w:r>
        <w:t xml:space="preserve">ricing </w:t>
      </w:r>
      <w:r w:rsidR="00C84465">
        <w:t>p</w:t>
      </w:r>
      <w:r>
        <w:t xml:space="preserve">lan is permitted. </w:t>
      </w:r>
      <w:r w:rsidR="00C94896">
        <w:t xml:space="preserve"> </w:t>
      </w:r>
      <w:r w:rsidRPr="00EA22FC">
        <w:rPr>
          <w:i/>
          <w:iCs/>
        </w:rPr>
        <w:t>2024 IPCS Order</w:t>
      </w:r>
      <w:r w:rsidRPr="00EA22FC" w:rsidR="00EA22FC">
        <w:t>, 39 FCC Rcd at 7875-92</w:t>
      </w:r>
      <w:r w:rsidRPr="00EA22FC">
        <w:t>, paras. 427-64.</w:t>
      </w:r>
      <w:r>
        <w:t xml:space="preserve">  </w:t>
      </w:r>
    </w:p>
  </w:footnote>
  <w:footnote w:id="9">
    <w:p w:rsidR="00945512" w:rsidP="00945512" w14:paraId="6B1A3968" w14:textId="77777777">
      <w:pPr>
        <w:pStyle w:val="FootnoteText"/>
      </w:pPr>
      <w:r>
        <w:rPr>
          <w:rStyle w:val="FootnoteReference"/>
        </w:rPr>
        <w:footnoteRef/>
      </w:r>
      <w:r>
        <w:t xml:space="preserve"> 47 CFR § 64.6080.</w:t>
      </w:r>
      <w:r w:rsidRPr="00982153">
        <w:t xml:space="preserve"> </w:t>
      </w:r>
      <w:r>
        <w:t xml:space="preserve"> “Per-call, per-connection, or per-communication charge” is defined as “a one-time fee charged to a Consumer of IPCS at call or communication initiation.” </w:t>
      </w:r>
      <w:r w:rsidRPr="00982153">
        <w:t xml:space="preserve"> </w:t>
      </w:r>
      <w:r>
        <w:t>47 CFR § 64.6000.</w:t>
      </w:r>
    </w:p>
  </w:footnote>
  <w:footnote w:id="10">
    <w:p w:rsidR="00513CB9" w:rsidRPr="00F51694" w:rsidP="00513CB9" w14:paraId="5EE4B17F" w14:textId="2558E222">
      <w:pPr>
        <w:pStyle w:val="FootnoteText"/>
      </w:pPr>
      <w:r>
        <w:rPr>
          <w:rStyle w:val="FootnoteReference"/>
        </w:rPr>
        <w:footnoteRef/>
      </w:r>
      <w:r>
        <w:t xml:space="preserve"> </w:t>
      </w:r>
      <w:r w:rsidR="00F743F4">
        <w:rPr>
          <w:i/>
          <w:iCs/>
        </w:rPr>
        <w:t xml:space="preserve">See </w:t>
      </w:r>
      <w:r w:rsidR="00F743F4">
        <w:t>Petition of Securus Technologies, LLC for Waiver to Extend the Compliance Date for 47 C.F.R. § 64.6080 as Applied to Video Calling Services, WC Docket No. 23-62</w:t>
      </w:r>
      <w:r w:rsidR="00E62A43">
        <w:t>, at 2</w:t>
      </w:r>
      <w:r w:rsidR="00F743F4">
        <w:t xml:space="preserve"> (filed Dec. 6, 2024) (</w:t>
      </w:r>
      <w:r w:rsidR="00147547">
        <w:t xml:space="preserve">2024 </w:t>
      </w:r>
      <w:r w:rsidR="00F743F4">
        <w:t>Securus Waiver Petition); Declaration of Jessica Lust in Support of Securus Technologies, LLC’s Petition for Waiver, WC Docket No. 23-62 (filed Dec. 6, 2024) (2024 Lust Declaration).</w:t>
      </w:r>
    </w:p>
  </w:footnote>
  <w:footnote w:id="11">
    <w:p w:rsidR="00147547" w:rsidP="00147547" w14:paraId="0F687170" w14:textId="0A35EE7E">
      <w:pPr>
        <w:pStyle w:val="FootnoteText"/>
      </w:pPr>
      <w:r>
        <w:rPr>
          <w:rStyle w:val="FootnoteReference"/>
        </w:rPr>
        <w:footnoteRef/>
      </w:r>
      <w:r>
        <w:t xml:space="preserve"> 2024 Lust Declaration at 1, para. 3; 2024 Securus Waiver Petition at 2-3.  </w:t>
      </w:r>
    </w:p>
  </w:footnote>
  <w:footnote w:id="12">
    <w:p w:rsidR="00147547" w:rsidP="00147547" w14:paraId="34D48FE8" w14:textId="1318F6BC">
      <w:pPr>
        <w:pStyle w:val="FootnoteText"/>
      </w:pPr>
      <w:r>
        <w:rPr>
          <w:rStyle w:val="FootnoteReference"/>
        </w:rPr>
        <w:footnoteRef/>
      </w:r>
      <w:r>
        <w:t xml:space="preserve"> </w:t>
      </w:r>
      <w:r w:rsidR="00D47723">
        <w:t xml:space="preserve">2024 </w:t>
      </w:r>
      <w:r>
        <w:t xml:space="preserve">Lust Declaration at 1, para. 3; </w:t>
      </w:r>
      <w:r w:rsidR="00D47723">
        <w:t xml:space="preserve">2024 </w:t>
      </w:r>
      <w:r>
        <w:t xml:space="preserve">Securus Waiver Petition at 1.  </w:t>
      </w:r>
    </w:p>
  </w:footnote>
  <w:footnote w:id="13">
    <w:p w:rsidR="00A72727" w:rsidP="00A72727" w14:paraId="6E88A517" w14:textId="17DCCB78">
      <w:pPr>
        <w:pStyle w:val="FootnoteText"/>
      </w:pPr>
      <w:r>
        <w:rPr>
          <w:rStyle w:val="FootnoteReference"/>
        </w:rPr>
        <w:footnoteRef/>
      </w:r>
      <w:r>
        <w:t xml:space="preserve"> </w:t>
      </w:r>
      <w:r w:rsidR="008D763C">
        <w:t xml:space="preserve">2024 </w:t>
      </w:r>
      <w:r>
        <w:t>Securus Waiver Petition at 4;</w:t>
      </w:r>
      <w:r w:rsidR="008D763C">
        <w:t xml:space="preserve"> 2024</w:t>
      </w:r>
      <w:r>
        <w:t xml:space="preserve"> Lust Declaration at 2, para. 7.  </w:t>
      </w:r>
    </w:p>
  </w:footnote>
  <w:footnote w:id="14">
    <w:p w:rsidR="00CD5851" w14:paraId="20E935BA" w14:textId="73268B4A">
      <w:pPr>
        <w:pStyle w:val="FootnoteText"/>
      </w:pPr>
      <w:r>
        <w:rPr>
          <w:rStyle w:val="FootnoteReference"/>
        </w:rPr>
        <w:footnoteRef/>
      </w:r>
      <w:r>
        <w:t xml:space="preserve"> </w:t>
      </w:r>
      <w:r w:rsidR="005A29E1">
        <w:t xml:space="preserve">2024 Securus Waiver Petition at </w:t>
      </w:r>
      <w:r w:rsidR="00DE637D">
        <w:t xml:space="preserve">6; 2024 Lust Declaration at 2, para. 6.  </w:t>
      </w:r>
    </w:p>
  </w:footnote>
  <w:footnote w:id="15">
    <w:p w:rsidR="00380801" w:rsidRPr="00F55787" w14:paraId="211BF9BD" w14:textId="7910D0D9">
      <w:pPr>
        <w:pStyle w:val="FootnoteText"/>
      </w:pPr>
      <w:r>
        <w:rPr>
          <w:rStyle w:val="FootnoteReference"/>
        </w:rPr>
        <w:footnoteRef/>
      </w:r>
      <w:r>
        <w:t xml:space="preserve"> </w:t>
      </w:r>
      <w:r>
        <w:rPr>
          <w:i/>
          <w:iCs/>
        </w:rPr>
        <w:t>Incarcerated People’s Communications Services; Implementation of the Martha Wright-Reed Act; Rates for Interstate Inmate Calling Services</w:t>
      </w:r>
      <w:r>
        <w:t xml:space="preserve">, WC Docket Nos. 23-62 and 12-375, Order, 39 FCC Rcd </w:t>
      </w:r>
      <w:r w:rsidR="00F55787">
        <w:t>13726, 13726, para. 1 (WCB 2024) (</w:t>
      </w:r>
      <w:r w:rsidR="00F55787">
        <w:rPr>
          <w:i/>
          <w:iCs/>
        </w:rPr>
        <w:t>2024 Securus Waiver Order</w:t>
      </w:r>
      <w:r w:rsidR="00F55787">
        <w:t xml:space="preserve">).  </w:t>
      </w:r>
    </w:p>
  </w:footnote>
  <w:footnote w:id="16">
    <w:p w:rsidR="00C80F6B" w:rsidRPr="003653E9" w14:paraId="4741B18E" w14:textId="1E376864">
      <w:pPr>
        <w:pStyle w:val="FootnoteText"/>
      </w:pPr>
      <w:r>
        <w:rPr>
          <w:rStyle w:val="FootnoteReference"/>
        </w:rPr>
        <w:footnoteRef/>
      </w:r>
      <w:r>
        <w:t xml:space="preserve"> </w:t>
      </w:r>
      <w:r w:rsidR="00363654">
        <w:t xml:space="preserve">The Bureau </w:t>
      </w:r>
      <w:r w:rsidR="009D2577">
        <w:t>acknowledged</w:t>
      </w:r>
      <w:r w:rsidR="00363654">
        <w:t xml:space="preserve"> that Securus filed its waiver petition after the Commission’s rules adopted in the </w:t>
      </w:r>
      <w:r w:rsidR="00363654">
        <w:rPr>
          <w:i/>
          <w:iCs/>
        </w:rPr>
        <w:t>2024 IPCS Order</w:t>
      </w:r>
      <w:r w:rsidR="00363654">
        <w:t xml:space="preserve"> went into effect on November 19, 2024.  The Bureau </w:t>
      </w:r>
      <w:r w:rsidR="003653E9">
        <w:t xml:space="preserve">found it to be in the public interest to grant the waiver </w:t>
      </w:r>
      <w:r w:rsidR="009D2577">
        <w:t>request</w:t>
      </w:r>
      <w:r w:rsidR="003653E9">
        <w:t xml:space="preserve"> retroactive to November 19, 2024.  </w:t>
      </w:r>
      <w:r w:rsidR="003653E9">
        <w:rPr>
          <w:i/>
          <w:iCs/>
        </w:rPr>
        <w:t>2024 Securus Waiver Order</w:t>
      </w:r>
      <w:r w:rsidR="003653E9">
        <w:t xml:space="preserve">, 39 FCC Rcd at </w:t>
      </w:r>
      <w:r w:rsidR="009D2577">
        <w:t xml:space="preserve">13727 n.8.  </w:t>
      </w:r>
    </w:p>
  </w:footnote>
  <w:footnote w:id="17">
    <w:p w:rsidR="0053031C" w14:paraId="60A4CBB6" w14:textId="1C6FBDFC">
      <w:pPr>
        <w:pStyle w:val="FootnoteText"/>
      </w:pPr>
      <w:r>
        <w:rPr>
          <w:rStyle w:val="FootnoteReference"/>
        </w:rPr>
        <w:footnoteRef/>
      </w:r>
      <w:r>
        <w:t xml:space="preserve"> Letter from </w:t>
      </w:r>
      <w:r w:rsidR="00706D2C">
        <w:t xml:space="preserve">Michael H. Pryor, Counsel to Securus Technologies, LLC, to Marlene H. Dortch, Secretary, FCC, WC Docket Nos. 23-62 and 12-375, </w:t>
      </w:r>
      <w:r w:rsidR="004C579A">
        <w:t>at 1 (filed June 23, 2025)</w:t>
      </w:r>
      <w:r w:rsidR="006C4B9E">
        <w:t xml:space="preserve"> (</w:t>
      </w:r>
      <w:r w:rsidRPr="00DA7B93" w:rsidR="006C4B9E">
        <w:t>Securus June 23, 2025</w:t>
      </w:r>
      <w:r w:rsidR="006C4B9E">
        <w:rPr>
          <w:i/>
          <w:iCs/>
        </w:rPr>
        <w:t xml:space="preserve"> Ex Parte</w:t>
      </w:r>
      <w:r w:rsidR="006C4B9E">
        <w:t>)</w:t>
      </w:r>
      <w:r w:rsidR="004C579A">
        <w:t xml:space="preserve">. </w:t>
      </w:r>
    </w:p>
  </w:footnote>
  <w:footnote w:id="18">
    <w:p w:rsidR="00372071" w:rsidRPr="00372071" w14:paraId="36CAC4EB" w14:textId="02262F17">
      <w:pPr>
        <w:pStyle w:val="FootnoteText"/>
      </w:pPr>
      <w:r>
        <w:rPr>
          <w:rStyle w:val="FootnoteReference"/>
        </w:rPr>
        <w:footnoteRef/>
      </w:r>
      <w:r>
        <w:t xml:space="preserve"> Securus June 23, 2025 </w:t>
      </w:r>
      <w:r>
        <w:rPr>
          <w:i/>
          <w:iCs/>
        </w:rPr>
        <w:t>Ex Parte</w:t>
      </w:r>
      <w:r>
        <w:t xml:space="preserve"> at 1.  </w:t>
      </w:r>
    </w:p>
  </w:footnote>
  <w:footnote w:id="19">
    <w:p w:rsidR="00D4681C" w:rsidRPr="00003B9D" w14:paraId="2654C968" w14:textId="07EC10CF">
      <w:pPr>
        <w:pStyle w:val="FootnoteText"/>
      </w:pPr>
      <w:r>
        <w:rPr>
          <w:rStyle w:val="FootnoteReference"/>
        </w:rPr>
        <w:footnoteRef/>
      </w:r>
      <w:r>
        <w:t xml:space="preserve"> </w:t>
      </w:r>
      <w:r>
        <w:rPr>
          <w:i/>
          <w:iCs/>
        </w:rPr>
        <w:t>Incarcerated People’s Communications Services; Implementation of the Martha Wright-Reed Act; Rates for Interstate Inmate Calling Services</w:t>
      </w:r>
      <w:r>
        <w:t>, WC Docket Nos. 23-62 and 12-375, Order, 40 FCC Rcd 4309, 4309, para. 1 (WCB 2025) (</w:t>
      </w:r>
      <w:r>
        <w:rPr>
          <w:i/>
          <w:iCs/>
        </w:rPr>
        <w:t xml:space="preserve">2025 </w:t>
      </w:r>
      <w:r w:rsidR="00003B9D">
        <w:rPr>
          <w:i/>
          <w:iCs/>
        </w:rPr>
        <w:t>IPCS</w:t>
      </w:r>
      <w:r w:rsidR="009106F6">
        <w:rPr>
          <w:i/>
          <w:iCs/>
        </w:rPr>
        <w:t xml:space="preserve"> Waiver</w:t>
      </w:r>
      <w:r w:rsidR="00003B9D">
        <w:rPr>
          <w:i/>
          <w:iCs/>
        </w:rPr>
        <w:t xml:space="preserve"> Order</w:t>
      </w:r>
      <w:r w:rsidR="00003B9D">
        <w:t xml:space="preserve">).  </w:t>
      </w:r>
    </w:p>
  </w:footnote>
  <w:footnote w:id="20">
    <w:p w:rsidR="00D2253A" w:rsidRPr="00D2253A" w14:paraId="0E35DCDF" w14:textId="563F5677">
      <w:pPr>
        <w:pStyle w:val="FootnoteText"/>
      </w:pPr>
      <w:r>
        <w:rPr>
          <w:rStyle w:val="FootnoteReference"/>
        </w:rPr>
        <w:footnoteRef/>
      </w:r>
      <w:r>
        <w:t xml:space="preserve"> </w:t>
      </w:r>
      <w:r w:rsidRPr="00075C7F">
        <w:rPr>
          <w:i/>
          <w:iCs/>
        </w:rPr>
        <w:t>202</w:t>
      </w:r>
      <w:r w:rsidRPr="00075C7F" w:rsidR="00113B39">
        <w:rPr>
          <w:i/>
          <w:iCs/>
        </w:rPr>
        <w:t>5 IPCS Waiver Order</w:t>
      </w:r>
      <w:r w:rsidRPr="00075C7F">
        <w:t>, 40 FCC Rcd at 4309, para. 1.</w:t>
      </w:r>
      <w:r>
        <w:t xml:space="preserve">  </w:t>
      </w:r>
    </w:p>
  </w:footnote>
  <w:footnote w:id="21">
    <w:p w:rsidR="003E7D9B" w:rsidRPr="004A519F" w14:paraId="28E86313" w14:textId="7317096C">
      <w:pPr>
        <w:pStyle w:val="FootnoteText"/>
      </w:pPr>
      <w:r>
        <w:rPr>
          <w:rStyle w:val="FootnoteReference"/>
        </w:rPr>
        <w:footnoteRef/>
      </w:r>
      <w:r>
        <w:t xml:space="preserve"> </w:t>
      </w:r>
      <w:r w:rsidR="00B50068">
        <w:rPr>
          <w:i/>
          <w:iCs/>
        </w:rPr>
        <w:t xml:space="preserve">See generally </w:t>
      </w:r>
      <w:r w:rsidR="004A519F">
        <w:rPr>
          <w:i/>
          <w:iCs/>
        </w:rPr>
        <w:t>Incarcerated People’s Communications Services; Implementation of the Martha Wright-Reed Act; Rates for Interstate Inmate Calling Services</w:t>
      </w:r>
      <w:r w:rsidR="004A519F">
        <w:t xml:space="preserve">, WC Docket Nos. 23-62 and 12-375, Report and Order, Order on Reconsideration, and Further Notice of Proposed Rulemaking, </w:t>
      </w:r>
      <w:r w:rsidR="00B50068">
        <w:t>FCC 25-75</w:t>
      </w:r>
      <w:r w:rsidR="00F46590">
        <w:t xml:space="preserve"> (adopted Oct. 28, 2025)</w:t>
      </w:r>
      <w:r w:rsidR="00FF508D">
        <w:t xml:space="preserve"> (</w:t>
      </w:r>
      <w:r w:rsidR="00FF508D">
        <w:rPr>
          <w:i/>
          <w:iCs/>
        </w:rPr>
        <w:t>2025 IPCS Order</w:t>
      </w:r>
      <w:r w:rsidR="00FF508D">
        <w:t>)</w:t>
      </w:r>
      <w:r w:rsidR="00F46590">
        <w:t>.</w:t>
      </w:r>
    </w:p>
  </w:footnote>
  <w:footnote w:id="22">
    <w:p w:rsidR="00092253" w:rsidRPr="00FD2E2D" w14:paraId="27567963" w14:textId="6BFA0922">
      <w:pPr>
        <w:pStyle w:val="FootnoteText"/>
      </w:pPr>
      <w:r>
        <w:rPr>
          <w:rStyle w:val="FootnoteReference"/>
        </w:rPr>
        <w:footnoteRef/>
      </w:r>
      <w:r>
        <w:t xml:space="preserve"> </w:t>
      </w:r>
      <w:r w:rsidR="00FD2E2D">
        <w:rPr>
          <w:i/>
          <w:iCs/>
        </w:rPr>
        <w:t>2025 IPCS Order</w:t>
      </w:r>
      <w:r w:rsidR="00FD2E2D">
        <w:t xml:space="preserve"> at 42, para. 88.  </w:t>
      </w:r>
    </w:p>
  </w:footnote>
  <w:footnote w:id="23">
    <w:p w:rsidR="004C31A0" w:rsidRPr="004C31A0" w14:paraId="577D014D" w14:textId="0583AAD6">
      <w:pPr>
        <w:pStyle w:val="FootnoteText"/>
      </w:pPr>
      <w:r>
        <w:rPr>
          <w:rStyle w:val="FootnoteReference"/>
        </w:rPr>
        <w:footnoteRef/>
      </w:r>
      <w:r>
        <w:t xml:space="preserve"> </w:t>
      </w:r>
      <w:r w:rsidR="00050E66">
        <w:rPr>
          <w:i/>
          <w:iCs/>
        </w:rPr>
        <w:t>Id</w:t>
      </w:r>
      <w:r>
        <w:t xml:space="preserve">.  </w:t>
      </w:r>
    </w:p>
  </w:footnote>
  <w:footnote w:id="24">
    <w:p w:rsidR="00ED2018" w:rsidRPr="00ED2018" w14:paraId="4B8CE6F4" w14:textId="78D078EF">
      <w:pPr>
        <w:pStyle w:val="FootnoteText"/>
      </w:pPr>
      <w:r>
        <w:rPr>
          <w:rStyle w:val="FootnoteReference"/>
        </w:rPr>
        <w:footnoteRef/>
      </w:r>
      <w:r>
        <w:t xml:space="preserve"> </w:t>
      </w:r>
      <w:r w:rsidR="00050E66">
        <w:rPr>
          <w:i/>
          <w:iCs/>
        </w:rPr>
        <w:t>Id</w:t>
      </w:r>
      <w:r>
        <w:t xml:space="preserve">.  </w:t>
      </w:r>
    </w:p>
  </w:footnote>
  <w:footnote w:id="25">
    <w:p w:rsidR="00276922" w:rsidRPr="00FD2C4A" w14:paraId="67B35630" w14:textId="3F0CE281">
      <w:pPr>
        <w:pStyle w:val="FootnoteText"/>
      </w:pPr>
      <w:r>
        <w:rPr>
          <w:rStyle w:val="FootnoteReference"/>
        </w:rPr>
        <w:footnoteRef/>
      </w:r>
      <w:r>
        <w:t xml:space="preserve"> </w:t>
      </w:r>
      <w:r w:rsidR="00AB70C5">
        <w:t>FCC</w:t>
      </w:r>
      <w:r>
        <w:t xml:space="preserve">, Incarcerated People’s Communication Services; Implementation of the Martha Wright-Reed Act; Rates for Interstate Inmate Calling Services, </w:t>
      </w:r>
      <w:r w:rsidR="00467C73">
        <w:t>90 Fed. Reg. 56013 (</w:t>
      </w:r>
      <w:r w:rsidR="00DC31F1">
        <w:t xml:space="preserve">Dec. 5, 2025); </w:t>
      </w:r>
      <w:r w:rsidR="00FD2C4A">
        <w:rPr>
          <w:i/>
          <w:iCs/>
        </w:rPr>
        <w:t xml:space="preserve">Wireline Competition Bureau Announces Effective Dates of 2025 Incarcerated People’s Communications </w:t>
      </w:r>
      <w:r w:rsidR="00385166">
        <w:rPr>
          <w:i/>
          <w:iCs/>
        </w:rPr>
        <w:t>Services</w:t>
      </w:r>
      <w:r w:rsidR="00FD2C4A">
        <w:rPr>
          <w:i/>
          <w:iCs/>
        </w:rPr>
        <w:t xml:space="preserve"> Rules and Comment Dates for 2025 Incarcerated People’s Communications </w:t>
      </w:r>
      <w:r w:rsidR="00385166">
        <w:rPr>
          <w:i/>
          <w:iCs/>
        </w:rPr>
        <w:t>Services</w:t>
      </w:r>
      <w:r w:rsidR="00FD2C4A">
        <w:rPr>
          <w:i/>
          <w:iCs/>
        </w:rPr>
        <w:t xml:space="preserve"> Further Notice of Proposed Rulemaking</w:t>
      </w:r>
      <w:r w:rsidR="00FD2C4A">
        <w:t xml:space="preserve">, WC Docket Nos. 23-62 and 12-375, Public Notice, </w:t>
      </w:r>
      <w:r w:rsidR="00385166">
        <w:t>DA 25-1040</w:t>
      </w:r>
      <w:r w:rsidR="00723658">
        <w:t xml:space="preserve"> at 1 (WCB </w:t>
      </w:r>
      <w:r w:rsidR="002D6DB3">
        <w:t xml:space="preserve">rel. </w:t>
      </w:r>
      <w:r w:rsidR="00723658">
        <w:t xml:space="preserve">Dec. 9, 2025).  </w:t>
      </w:r>
    </w:p>
  </w:footnote>
  <w:footnote w:id="26">
    <w:p w:rsidR="00DE637D" w14:paraId="47AC6FA5" w14:textId="6E1E6F88">
      <w:pPr>
        <w:pStyle w:val="FootnoteText"/>
      </w:pPr>
      <w:r>
        <w:rPr>
          <w:rStyle w:val="FootnoteReference"/>
        </w:rPr>
        <w:footnoteRef/>
      </w:r>
      <w:r>
        <w:t xml:space="preserve"> </w:t>
      </w:r>
      <w:r w:rsidRPr="00DB5DF3" w:rsidR="00DB5DF3">
        <w:t>Petition of Securus Technologies, LLC For a Further Extension of the Compliance Date for 47 C.F.R. § 64.6080 as Applied to Video IPCS, WC Docket Nos. 23-62 and 12-375 (filed Dec. 8, 2025) (2025 Waiver Petition)</w:t>
      </w:r>
      <w:r w:rsidR="00DB5DF3">
        <w:t xml:space="preserve">; </w:t>
      </w:r>
      <w:r w:rsidRPr="00DB5DF3" w:rsidR="00DB5DF3">
        <w:t>Declaration of Jessica Lust in Support of Securus Technologies, LLC’s Petition for a Further Extension of the Compliance Date of 47 C.F.R. § 64.6080 as Applied to Video Calling Services (filed Dec. 8, 2025) (2025 Lust Declaration).</w:t>
      </w:r>
      <w:r w:rsidR="00DB5DF3">
        <w:t xml:space="preserve">  </w:t>
      </w:r>
    </w:p>
  </w:footnote>
  <w:footnote w:id="27">
    <w:p w:rsidR="00BA04A9" w14:paraId="3C543BC1" w14:textId="776BDC70">
      <w:pPr>
        <w:pStyle w:val="FootnoteText"/>
      </w:pPr>
      <w:r>
        <w:rPr>
          <w:rStyle w:val="FootnoteReference"/>
        </w:rPr>
        <w:footnoteRef/>
      </w:r>
      <w:r>
        <w:t xml:space="preserve"> 2025 Waiver Petition at </w:t>
      </w:r>
      <w:r w:rsidR="0000729B">
        <w:t>ii</w:t>
      </w:r>
      <w:r w:rsidR="003A4AD0">
        <w:t>;</w:t>
      </w:r>
      <w:r w:rsidR="009D008B">
        <w:t xml:space="preserve"> 2025</w:t>
      </w:r>
      <w:r w:rsidR="003A4AD0">
        <w:t xml:space="preserve"> Lust Declaration </w:t>
      </w:r>
      <w:r w:rsidR="00031CDB">
        <w:t xml:space="preserve">at </w:t>
      </w:r>
      <w:r w:rsidR="003A4AD0">
        <w:t>paras. 12-</w:t>
      </w:r>
      <w:r w:rsidR="0013148A">
        <w:t>14 (</w:t>
      </w:r>
      <w:r w:rsidR="00CF0D9B">
        <w:t>discussing the testing and deployment work that rem</w:t>
      </w:r>
      <w:r w:rsidR="006C1B57">
        <w:t xml:space="preserve">ains, the need to amend existing contracts, and the need to educate consumers about the transition to the new platform).  </w:t>
      </w:r>
      <w:r w:rsidR="0000729B">
        <w:t xml:space="preserve"> </w:t>
      </w:r>
    </w:p>
  </w:footnote>
  <w:footnote w:id="28">
    <w:p w:rsidR="00EB4B2D" w14:paraId="087A47E2" w14:textId="258064AA">
      <w:pPr>
        <w:pStyle w:val="FootnoteText"/>
      </w:pPr>
      <w:r>
        <w:rPr>
          <w:rStyle w:val="FootnoteReference"/>
        </w:rPr>
        <w:footnoteRef/>
      </w:r>
      <w:r>
        <w:t xml:space="preserve"> 2025 Waiver Petition at </w:t>
      </w:r>
      <w:r w:rsidR="007470E9">
        <w:t xml:space="preserve">7-8.  </w:t>
      </w:r>
    </w:p>
  </w:footnote>
  <w:footnote w:id="29">
    <w:p w:rsidR="008A5C77" w14:paraId="24C7E5B6" w14:textId="63C681DD">
      <w:pPr>
        <w:pStyle w:val="FootnoteText"/>
      </w:pPr>
      <w:r>
        <w:rPr>
          <w:rStyle w:val="FootnoteReference"/>
        </w:rPr>
        <w:footnoteRef/>
      </w:r>
      <w:r>
        <w:t xml:space="preserve"> </w:t>
      </w:r>
      <w:r w:rsidRPr="00732D95" w:rsidR="00C82094">
        <w:rPr>
          <w:i/>
          <w:iCs/>
        </w:rPr>
        <w:t>Id</w:t>
      </w:r>
      <w:r w:rsidR="00C82094">
        <w:t>.</w:t>
      </w:r>
      <w:r>
        <w:t xml:space="preserve"> at 13.  </w:t>
      </w:r>
    </w:p>
  </w:footnote>
  <w:footnote w:id="30">
    <w:p w:rsidR="00E732E6" w14:paraId="6EEA7BB3" w14:textId="78E7F861">
      <w:pPr>
        <w:pStyle w:val="FootnoteText"/>
      </w:pPr>
      <w:r>
        <w:rPr>
          <w:rStyle w:val="FootnoteReference"/>
        </w:rPr>
        <w:footnoteRef/>
      </w:r>
      <w:r>
        <w:t xml:space="preserve"> </w:t>
      </w:r>
      <w:r w:rsidRPr="00732D95" w:rsidR="00C82094">
        <w:rPr>
          <w:i/>
          <w:iCs/>
        </w:rPr>
        <w:t>Id</w:t>
      </w:r>
      <w:r w:rsidR="00C82094">
        <w:t>.</w:t>
      </w:r>
    </w:p>
  </w:footnote>
  <w:footnote w:id="31">
    <w:p w:rsidR="002825DD" w14:paraId="4AC612E4" w14:textId="132675FD">
      <w:pPr>
        <w:pStyle w:val="FootnoteText"/>
      </w:pPr>
      <w:r>
        <w:rPr>
          <w:rStyle w:val="FootnoteReference"/>
        </w:rPr>
        <w:footnoteRef/>
      </w:r>
      <w:r>
        <w:t xml:space="preserve"> </w:t>
      </w:r>
      <w:r w:rsidRPr="00732D95" w:rsidR="00C82094">
        <w:rPr>
          <w:i/>
          <w:iCs/>
        </w:rPr>
        <w:t>Id</w:t>
      </w:r>
      <w:r w:rsidR="00C82094">
        <w:t>.</w:t>
      </w:r>
      <w:r>
        <w:t xml:space="preserve">  </w:t>
      </w:r>
    </w:p>
  </w:footnote>
  <w:footnote w:id="32">
    <w:p w:rsidR="00BC1C93" w:rsidRPr="00A03FA9" w:rsidP="00BC1C93" w14:paraId="3B897612" w14:textId="77777777">
      <w:pPr>
        <w:pStyle w:val="FootnoteText"/>
      </w:pPr>
      <w:r>
        <w:rPr>
          <w:rStyle w:val="FootnoteReference"/>
        </w:rPr>
        <w:footnoteRef/>
      </w:r>
      <w:r>
        <w:t xml:space="preserve"> Letter from Angela F. Collins, Counsel to Global Tel*Link Corporation d/b/a ViaPath Technologies, to Marlene H. Dortch, Secretary, FCC, WC Docket Nos. 23-62 and 12-375 (filed Dec. 18, 2025) (ViaPath Dec. 18, 2025 Comments).</w:t>
      </w:r>
    </w:p>
  </w:footnote>
  <w:footnote w:id="33">
    <w:p w:rsidR="00BC1C93" w:rsidP="00BC1C93" w14:paraId="23835780" w14:textId="77777777">
      <w:pPr>
        <w:pStyle w:val="FootnoteText"/>
      </w:pPr>
      <w:r>
        <w:rPr>
          <w:rStyle w:val="FootnoteReference"/>
        </w:rPr>
        <w:footnoteRef/>
      </w:r>
      <w:r>
        <w:t xml:space="preserve"> ViaPath Dec. 18, 2025 Comments at 2.  </w:t>
      </w:r>
    </w:p>
  </w:footnote>
  <w:footnote w:id="34">
    <w:p w:rsidR="00BC1C93" w:rsidP="00BC1C93" w14:paraId="00C07D81" w14:textId="2E13AA29">
      <w:pPr>
        <w:pStyle w:val="FootnoteText"/>
      </w:pPr>
      <w:r>
        <w:rPr>
          <w:rStyle w:val="FootnoteReference"/>
        </w:rPr>
        <w:footnoteRef/>
      </w:r>
      <w:r>
        <w:t xml:space="preserve"> </w:t>
      </w:r>
      <w:r w:rsidRPr="00732D95" w:rsidR="002E110C">
        <w:rPr>
          <w:i/>
          <w:iCs/>
        </w:rPr>
        <w:t>Id</w:t>
      </w:r>
      <w:r w:rsidR="002E110C">
        <w:t>.</w:t>
      </w:r>
      <w:r>
        <w:t xml:space="preserve">  </w:t>
      </w:r>
    </w:p>
  </w:footnote>
  <w:footnote w:id="35">
    <w:p w:rsidR="00BC1C93" w:rsidRPr="00F44231" w:rsidP="00BC1C93" w14:paraId="739B7396" w14:textId="58F1B7E7">
      <w:pPr>
        <w:pStyle w:val="FootnoteText"/>
      </w:pPr>
      <w:r>
        <w:rPr>
          <w:rStyle w:val="FootnoteReference"/>
        </w:rPr>
        <w:footnoteRef/>
      </w:r>
      <w:r>
        <w:t xml:space="preserve"> </w:t>
      </w:r>
      <w:r w:rsidRPr="00732D95" w:rsidR="002E110C">
        <w:rPr>
          <w:i/>
          <w:iCs/>
        </w:rPr>
        <w:t>Id</w:t>
      </w:r>
      <w:r w:rsidR="002E110C">
        <w:t>.</w:t>
      </w:r>
      <w:r>
        <w:t xml:space="preserve"> at 2-3 (quoting </w:t>
      </w:r>
      <w:r>
        <w:rPr>
          <w:i/>
          <w:iCs/>
        </w:rPr>
        <w:t>2024 IPCS Order</w:t>
      </w:r>
      <w:r>
        <w:t xml:space="preserve">, 39 FCC Rcd at 7709-10, paras. 124-25).  </w:t>
      </w:r>
    </w:p>
  </w:footnote>
  <w:footnote w:id="36">
    <w:p w:rsidR="00D95C14" w:rsidRPr="008D29CC" w14:paraId="1989ED07" w14:textId="29D1E8CA">
      <w:pPr>
        <w:pStyle w:val="FootnoteText"/>
      </w:pPr>
      <w:r>
        <w:rPr>
          <w:rStyle w:val="FootnoteReference"/>
        </w:rPr>
        <w:footnoteRef/>
      </w:r>
      <w:r>
        <w:t xml:space="preserve"> </w:t>
      </w:r>
      <w:r>
        <w:rPr>
          <w:i/>
          <w:iCs/>
        </w:rPr>
        <w:t>See generally</w:t>
      </w:r>
      <w:r>
        <w:t xml:space="preserve"> Letter from Michael</w:t>
      </w:r>
      <w:r w:rsidR="000D3F95">
        <w:t xml:space="preserve"> S.J. Lozich, Associate General Counsel, Regulatory Affairs, Securus Technologies, LLC, to Marlene H. Dortch, Secretary, FCC, </w:t>
      </w:r>
      <w:r w:rsidR="008D29CC">
        <w:t xml:space="preserve">WC Docket Nos. 23-62 and 12-375 (filed Jan. 23, 2026) (Securus Jan. 23, 2026 </w:t>
      </w:r>
      <w:r w:rsidR="008D29CC">
        <w:rPr>
          <w:i/>
          <w:iCs/>
        </w:rPr>
        <w:t>Ex Parte</w:t>
      </w:r>
      <w:r w:rsidR="008D29CC">
        <w:t xml:space="preserve">).  </w:t>
      </w:r>
    </w:p>
  </w:footnote>
  <w:footnote w:id="37">
    <w:p w:rsidR="008D29CC" w:rsidRPr="008D29CC" w14:paraId="02725A1F" w14:textId="7A11105B">
      <w:pPr>
        <w:pStyle w:val="FootnoteText"/>
      </w:pPr>
      <w:r>
        <w:rPr>
          <w:rStyle w:val="FootnoteReference"/>
        </w:rPr>
        <w:footnoteRef/>
      </w:r>
      <w:r>
        <w:t xml:space="preserve"> </w:t>
      </w:r>
      <w:r w:rsidRPr="00732D95" w:rsidR="00FA46F0">
        <w:rPr>
          <w:i/>
          <w:iCs/>
        </w:rPr>
        <w:t>Id</w:t>
      </w:r>
      <w:r w:rsidR="00FA46F0">
        <w:t>.</w:t>
      </w:r>
      <w:r>
        <w:t xml:space="preserve"> at </w:t>
      </w:r>
      <w:r w:rsidR="00932687">
        <w:t xml:space="preserve">2.  </w:t>
      </w:r>
    </w:p>
  </w:footnote>
  <w:footnote w:id="38">
    <w:p w:rsidR="003B207A" w:rsidRPr="003B207A" w14:paraId="3736E28A" w14:textId="6DF848F9">
      <w:pPr>
        <w:pStyle w:val="FootnoteText"/>
      </w:pPr>
      <w:r>
        <w:rPr>
          <w:rStyle w:val="FootnoteReference"/>
        </w:rPr>
        <w:footnoteRef/>
      </w:r>
      <w:r>
        <w:t xml:space="preserve"> </w:t>
      </w:r>
      <w:r w:rsidRPr="00732D95" w:rsidR="002E110C">
        <w:rPr>
          <w:i/>
          <w:iCs/>
        </w:rPr>
        <w:t>Id</w:t>
      </w:r>
      <w:r w:rsidR="002E110C">
        <w:t>.</w:t>
      </w:r>
      <w:r>
        <w:t xml:space="preserve"> at 3.  </w:t>
      </w:r>
    </w:p>
  </w:footnote>
  <w:footnote w:id="39">
    <w:p w:rsidR="001721A8" w:rsidRPr="001721A8" w14:paraId="78EA2122" w14:textId="7B61F878">
      <w:pPr>
        <w:pStyle w:val="FootnoteText"/>
      </w:pPr>
      <w:r>
        <w:rPr>
          <w:rStyle w:val="FootnoteReference"/>
        </w:rPr>
        <w:footnoteRef/>
      </w:r>
      <w:r>
        <w:t xml:space="preserve"> </w:t>
      </w:r>
      <w:r w:rsidRPr="00732D95" w:rsidR="002E110C">
        <w:rPr>
          <w:i/>
          <w:iCs/>
        </w:rPr>
        <w:t>Id</w:t>
      </w:r>
      <w:r w:rsidR="002E110C">
        <w:t>.</w:t>
      </w:r>
    </w:p>
  </w:footnote>
  <w:footnote w:id="40">
    <w:p w:rsidR="00B3650A" w:rsidRPr="00B3650A" w14:paraId="11BEEDCC" w14:textId="22281DD8">
      <w:pPr>
        <w:pStyle w:val="FootnoteText"/>
      </w:pPr>
      <w:r>
        <w:rPr>
          <w:rStyle w:val="FootnoteReference"/>
        </w:rPr>
        <w:footnoteRef/>
      </w:r>
      <w:r>
        <w:t xml:space="preserve"> </w:t>
      </w:r>
      <w:r w:rsidRPr="00732D95" w:rsidR="002E110C">
        <w:rPr>
          <w:i/>
          <w:iCs/>
        </w:rPr>
        <w:t>Id</w:t>
      </w:r>
      <w:r w:rsidR="002E110C">
        <w:t>.</w:t>
      </w:r>
    </w:p>
  </w:footnote>
  <w:footnote w:id="41">
    <w:p w:rsidR="005D75AE" w:rsidRPr="00FE0414" w14:paraId="6A6E5790" w14:textId="3CAB95AC">
      <w:pPr>
        <w:pStyle w:val="FootnoteText"/>
      </w:pPr>
      <w:r>
        <w:rPr>
          <w:rStyle w:val="FootnoteReference"/>
        </w:rPr>
        <w:footnoteRef/>
      </w:r>
      <w:r>
        <w:t xml:space="preserve"> </w:t>
      </w:r>
      <w:r w:rsidRPr="00732D95" w:rsidR="002E110C">
        <w:rPr>
          <w:i/>
          <w:iCs/>
        </w:rPr>
        <w:t>Id</w:t>
      </w:r>
      <w:r>
        <w:t>.</w:t>
      </w:r>
      <w:r w:rsidR="002132EA">
        <w:t xml:space="preserve">  According to Securus</w:t>
      </w:r>
      <w:r w:rsidR="00CF3D2A">
        <w:t>, this</w:t>
      </w:r>
      <w:r w:rsidR="00647397">
        <w:t xml:space="preserve"> also</w:t>
      </w:r>
      <w:r w:rsidR="00CF3D2A">
        <w:t xml:space="preserve"> includes tasks such as </w:t>
      </w:r>
      <w:r w:rsidR="008F0D28">
        <w:t>“</w:t>
      </w:r>
      <w:r w:rsidR="00CF3D2A">
        <w:t xml:space="preserve">educating and notifying customers of the new product; training correctional employees on its use, </w:t>
      </w:r>
      <w:r w:rsidR="008F0D28">
        <w:t>internal training for account management</w:t>
      </w:r>
      <w:r w:rsidR="00830593">
        <w:t xml:space="preserve">, field operations, customer support and establishing on-line support mechanisms and other user guides; updating and modifying rate sheets; updating terms and conditions” </w:t>
      </w:r>
      <w:r w:rsidR="00221AEE">
        <w:t xml:space="preserve">as well as “site audits, network, assessments, performance </w:t>
      </w:r>
      <w:r w:rsidR="00FE0414">
        <w:t>monitoring</w:t>
      </w:r>
      <w:r w:rsidR="00221AEE">
        <w:t xml:space="preserve">, and </w:t>
      </w:r>
      <w:r w:rsidR="00FE0414">
        <w:t>infrastructure</w:t>
      </w:r>
      <w:r w:rsidR="00221AEE">
        <w:t xml:space="preserve"> </w:t>
      </w:r>
      <w:r w:rsidR="00FE0414">
        <w:t>upgrades</w:t>
      </w:r>
      <w:r w:rsidR="00221AEE">
        <w:t xml:space="preserve"> to support higher bandwidth and data loads.”  </w:t>
      </w:r>
      <w:r w:rsidR="00FE0414">
        <w:t xml:space="preserve">Securus Jan. 23, 2026 </w:t>
      </w:r>
      <w:r w:rsidR="00FE0414">
        <w:rPr>
          <w:i/>
          <w:iCs/>
        </w:rPr>
        <w:t>Ex Parte</w:t>
      </w:r>
      <w:r w:rsidR="00FE0414">
        <w:t xml:space="preserve"> at 3-4.  </w:t>
      </w:r>
    </w:p>
  </w:footnote>
  <w:footnote w:id="42">
    <w:p w:rsidR="008A4221" w:rsidRPr="008A4221" w14:paraId="5366384E" w14:textId="676DB179">
      <w:pPr>
        <w:pStyle w:val="FootnoteText"/>
      </w:pPr>
      <w:r>
        <w:rPr>
          <w:rStyle w:val="FootnoteReference"/>
        </w:rPr>
        <w:footnoteRef/>
      </w:r>
      <w:r>
        <w:t xml:space="preserve"> Securus Jan. 23, 2026 </w:t>
      </w:r>
      <w:r>
        <w:rPr>
          <w:i/>
          <w:iCs/>
        </w:rPr>
        <w:t>Ex Parte</w:t>
      </w:r>
      <w:r>
        <w:t xml:space="preserve"> at 4.</w:t>
      </w:r>
    </w:p>
  </w:footnote>
  <w:footnote w:id="43">
    <w:p w:rsidR="0022555B" w:rsidRPr="0022555B" w14:paraId="40103477" w14:textId="4CBCF366">
      <w:pPr>
        <w:pStyle w:val="FootnoteText"/>
      </w:pPr>
      <w:r>
        <w:rPr>
          <w:rStyle w:val="FootnoteReference"/>
        </w:rPr>
        <w:footnoteRef/>
      </w:r>
      <w:r>
        <w:t xml:space="preserve"> </w:t>
      </w:r>
      <w:r w:rsidRPr="00732D95" w:rsidR="006F2C7B">
        <w:rPr>
          <w:i/>
          <w:iCs/>
        </w:rPr>
        <w:t>Id</w:t>
      </w:r>
      <w:r w:rsidR="006F2C7B">
        <w:t>.</w:t>
      </w:r>
      <w:r>
        <w:t xml:space="preserve"> </w:t>
      </w:r>
    </w:p>
  </w:footnote>
  <w:footnote w:id="44">
    <w:p w:rsidR="00514B00" w:rsidRPr="00514B00" w14:paraId="763BDC0F" w14:textId="0C684F34">
      <w:pPr>
        <w:pStyle w:val="FootnoteText"/>
      </w:pPr>
      <w:r>
        <w:rPr>
          <w:rStyle w:val="FootnoteReference"/>
        </w:rPr>
        <w:footnoteRef/>
      </w:r>
      <w:r>
        <w:t xml:space="preserve"> </w:t>
      </w:r>
      <w:r>
        <w:rPr>
          <w:i/>
          <w:iCs/>
        </w:rPr>
        <w:t xml:space="preserve">See generally </w:t>
      </w:r>
      <w:r>
        <w:t xml:space="preserve">Amended Waiver Petition.  </w:t>
      </w:r>
    </w:p>
  </w:footnote>
  <w:footnote w:id="45">
    <w:p w:rsidR="00CD12B5" w14:paraId="2A315D48" w14:textId="51158C71">
      <w:pPr>
        <w:pStyle w:val="FootnoteText"/>
      </w:pPr>
      <w:r>
        <w:rPr>
          <w:rStyle w:val="FootnoteReference"/>
        </w:rPr>
        <w:footnoteRef/>
      </w:r>
      <w:r>
        <w:t xml:space="preserve"> </w:t>
      </w:r>
      <w:r w:rsidRPr="00732D95" w:rsidR="006F2C7B">
        <w:rPr>
          <w:i/>
          <w:iCs/>
        </w:rPr>
        <w:t>Id</w:t>
      </w:r>
      <w:r w:rsidR="006F2C7B">
        <w:t>.</w:t>
      </w:r>
      <w:r>
        <w:t xml:space="preserve"> at 1.  </w:t>
      </w:r>
    </w:p>
  </w:footnote>
  <w:footnote w:id="46">
    <w:p w:rsidR="00927788" w14:paraId="1C1B97D1" w14:textId="4581A497">
      <w:pPr>
        <w:pStyle w:val="FootnoteText"/>
      </w:pPr>
      <w:r>
        <w:rPr>
          <w:rStyle w:val="FootnoteReference"/>
        </w:rPr>
        <w:footnoteRef/>
      </w:r>
      <w:r>
        <w:t xml:space="preserve"> </w:t>
      </w:r>
      <w:r w:rsidRPr="00974F36" w:rsidR="006F2C7B">
        <w:rPr>
          <w:i/>
          <w:iCs/>
        </w:rPr>
        <w:t>Id</w:t>
      </w:r>
      <w:r w:rsidR="006F2C7B">
        <w:t>.</w:t>
      </w:r>
      <w:r>
        <w:t xml:space="preserve"> at 3.  </w:t>
      </w:r>
    </w:p>
  </w:footnote>
  <w:footnote w:id="47">
    <w:p w:rsidR="00C90521" w14:paraId="075B849B" w14:textId="67F22F75">
      <w:pPr>
        <w:pStyle w:val="FootnoteText"/>
      </w:pPr>
      <w:r>
        <w:rPr>
          <w:rStyle w:val="FootnoteReference"/>
        </w:rPr>
        <w:footnoteRef/>
      </w:r>
      <w:r>
        <w:t xml:space="preserve"> </w:t>
      </w:r>
      <w:r w:rsidRPr="00732D95" w:rsidR="006F2C7B">
        <w:rPr>
          <w:i/>
          <w:iCs/>
        </w:rPr>
        <w:t>Id</w:t>
      </w:r>
      <w:r w:rsidRPr="006F2C7B" w:rsidR="006F2C7B">
        <w:t>.</w:t>
      </w:r>
      <w:r>
        <w:t xml:space="preserve"> </w:t>
      </w:r>
    </w:p>
  </w:footnote>
  <w:footnote w:id="48">
    <w:p w:rsidR="001C259B" w14:paraId="3AAAFAC5" w14:textId="02397CD0">
      <w:pPr>
        <w:pStyle w:val="FootnoteText"/>
      </w:pPr>
      <w:r>
        <w:rPr>
          <w:rStyle w:val="FootnoteReference"/>
        </w:rPr>
        <w:footnoteRef/>
      </w:r>
      <w:r>
        <w:t xml:space="preserve"> </w:t>
      </w:r>
      <w:r w:rsidRPr="00974F36" w:rsidR="006F2C7B">
        <w:rPr>
          <w:i/>
          <w:iCs/>
        </w:rPr>
        <w:t>Id</w:t>
      </w:r>
      <w:r w:rsidR="006F2C7B">
        <w:t>.</w:t>
      </w:r>
      <w:r>
        <w:t xml:space="preserve"> at 4. </w:t>
      </w:r>
    </w:p>
  </w:footnote>
  <w:footnote w:id="49">
    <w:p w:rsidR="00DE5BB9" w14:paraId="5CB3ABEC" w14:textId="396EDB73">
      <w:pPr>
        <w:pStyle w:val="FootnoteText"/>
      </w:pPr>
      <w:r>
        <w:rPr>
          <w:rStyle w:val="FootnoteReference"/>
        </w:rPr>
        <w:footnoteRef/>
      </w:r>
      <w:r>
        <w:t xml:space="preserve"> </w:t>
      </w:r>
      <w:r w:rsidRPr="00974F36" w:rsidR="006F2C7B">
        <w:rPr>
          <w:i/>
          <w:iCs/>
        </w:rPr>
        <w:t>Id</w:t>
      </w:r>
      <w:r w:rsidR="006F2C7B">
        <w:t>.</w:t>
      </w:r>
      <w:r>
        <w:t xml:space="preserve"> at 1.  </w:t>
      </w:r>
    </w:p>
  </w:footnote>
  <w:footnote w:id="50">
    <w:p w:rsidR="00C763CA" w14:paraId="568C0A81" w14:textId="42CA9114">
      <w:pPr>
        <w:pStyle w:val="FootnoteText"/>
      </w:pPr>
      <w:r>
        <w:rPr>
          <w:rStyle w:val="FootnoteReference"/>
        </w:rPr>
        <w:footnoteRef/>
      </w:r>
      <w:r>
        <w:t xml:space="preserve"> </w:t>
      </w:r>
      <w:r w:rsidRPr="00974F36" w:rsidR="006F2C7B">
        <w:rPr>
          <w:i/>
          <w:iCs/>
        </w:rPr>
        <w:t>Id</w:t>
      </w:r>
      <w:r w:rsidR="006F2C7B">
        <w:t>.</w:t>
      </w:r>
      <w:r>
        <w:t xml:space="preserve"> at </w:t>
      </w:r>
      <w:r w:rsidR="00037778">
        <w:t xml:space="preserve">1, 4.  </w:t>
      </w:r>
    </w:p>
  </w:footnote>
  <w:footnote w:id="51">
    <w:p w:rsidR="00B34FA1" w14:paraId="78EB3F04" w14:textId="1CFEF474">
      <w:pPr>
        <w:pStyle w:val="FootnoteText"/>
      </w:pPr>
      <w:r>
        <w:rPr>
          <w:rStyle w:val="FootnoteReference"/>
        </w:rPr>
        <w:footnoteRef/>
      </w:r>
      <w:r>
        <w:t xml:space="preserve"> </w:t>
      </w:r>
      <w:r w:rsidRPr="00974F36" w:rsidR="006F2C7B">
        <w:rPr>
          <w:i/>
          <w:iCs/>
        </w:rPr>
        <w:t>Id</w:t>
      </w:r>
      <w:r w:rsidR="006F2C7B">
        <w:t>.</w:t>
      </w:r>
      <w:r>
        <w:t xml:space="preserve"> </w:t>
      </w:r>
      <w:r w:rsidR="00E1372F">
        <w:t>at 4</w:t>
      </w:r>
      <w:r w:rsidR="00430B1C">
        <w:t>.</w:t>
      </w:r>
    </w:p>
  </w:footnote>
  <w:footnote w:id="52">
    <w:p w:rsidR="00A82E55" w14:paraId="6F68EAAD" w14:textId="702B8631">
      <w:pPr>
        <w:pStyle w:val="FootnoteText"/>
      </w:pPr>
      <w:r>
        <w:rPr>
          <w:rStyle w:val="FootnoteReference"/>
        </w:rPr>
        <w:footnoteRef/>
      </w:r>
      <w:r>
        <w:t xml:space="preserve"> Amended Waiver Petition at 4.  </w:t>
      </w:r>
    </w:p>
  </w:footnote>
  <w:footnote w:id="53">
    <w:p w:rsidR="00E71BB7" w14:paraId="55AC3635" w14:textId="45058C22">
      <w:pPr>
        <w:pStyle w:val="FootnoteText"/>
      </w:pPr>
      <w:r>
        <w:rPr>
          <w:rStyle w:val="FootnoteReference"/>
        </w:rPr>
        <w:footnoteRef/>
      </w:r>
      <w:r>
        <w:t xml:space="preserve"> </w:t>
      </w:r>
      <w:r w:rsidRPr="00974F36" w:rsidR="00076212">
        <w:rPr>
          <w:i/>
          <w:iCs/>
        </w:rPr>
        <w:t>Id</w:t>
      </w:r>
      <w:r w:rsidR="00076212">
        <w:t>.</w:t>
      </w:r>
      <w:r>
        <w:t xml:space="preserve">  </w:t>
      </w:r>
    </w:p>
  </w:footnote>
  <w:footnote w:id="54">
    <w:p w:rsidR="00D96BFA" w14:paraId="39BAF8F3" w14:textId="1C2CAE22">
      <w:pPr>
        <w:pStyle w:val="FootnoteText"/>
      </w:pPr>
      <w:r>
        <w:rPr>
          <w:rStyle w:val="FootnoteReference"/>
        </w:rPr>
        <w:footnoteRef/>
      </w:r>
      <w:r>
        <w:t xml:space="preserve"> </w:t>
      </w:r>
      <w:r w:rsidRPr="00974F36" w:rsidR="00076212">
        <w:rPr>
          <w:i/>
          <w:iCs/>
        </w:rPr>
        <w:t>Id</w:t>
      </w:r>
      <w:r w:rsidR="00076212">
        <w:t>.</w:t>
      </w:r>
      <w:r>
        <w:t xml:space="preserve"> at 4-5.</w:t>
      </w:r>
      <w:r w:rsidR="00430B1C">
        <w:t xml:space="preserve">  We refer to Securus’s commitment</w:t>
      </w:r>
      <w:r w:rsidR="00A0040B">
        <w:t>s</w:t>
      </w:r>
      <w:r w:rsidR="00430B1C">
        <w:t xml:space="preserve"> with regard to refunds and the pricing commitments discussed above as the Pricing and Refund Commitments.  </w:t>
      </w:r>
      <w:r w:rsidR="00A86735">
        <w:t xml:space="preserve"> </w:t>
      </w:r>
      <w:r>
        <w:t xml:space="preserve">  </w:t>
      </w:r>
    </w:p>
  </w:footnote>
  <w:footnote w:id="55">
    <w:p w:rsidR="0085549B" w14:paraId="52DEFC46" w14:textId="0470AD97">
      <w:pPr>
        <w:pStyle w:val="FootnoteText"/>
      </w:pPr>
      <w:r>
        <w:rPr>
          <w:rStyle w:val="FootnoteReference"/>
        </w:rPr>
        <w:footnoteRef/>
      </w:r>
      <w:r>
        <w:t xml:space="preserve"> </w:t>
      </w:r>
      <w:r w:rsidRPr="00974F36" w:rsidR="00076212">
        <w:rPr>
          <w:i/>
          <w:iCs/>
        </w:rPr>
        <w:t>Id</w:t>
      </w:r>
      <w:r w:rsidR="00076212">
        <w:t>.</w:t>
      </w:r>
      <w:r>
        <w:t xml:space="preserve"> at 5.  </w:t>
      </w:r>
    </w:p>
  </w:footnote>
  <w:footnote w:id="56">
    <w:p w:rsidR="00A8052A" w14:paraId="08B1EC58" w14:textId="232BC7C1">
      <w:pPr>
        <w:pStyle w:val="FootnoteText"/>
      </w:pPr>
      <w:r>
        <w:rPr>
          <w:rStyle w:val="FootnoteReference"/>
        </w:rPr>
        <w:footnoteRef/>
      </w:r>
      <w:r>
        <w:t xml:space="preserve"> Th</w:t>
      </w:r>
      <w:r w:rsidR="00790870">
        <w:t>is</w:t>
      </w:r>
      <w:r>
        <w:t xml:space="preserve"> waiver applies only to Securus.  It does not apply to any other IPCS provider or any IPCS provider that may be served by Securus or its affiliates.  Additionally</w:t>
      </w:r>
      <w:r w:rsidR="002E1246">
        <w:t xml:space="preserve">, we do not interpret Securus’s waiver petition as a request to offer an alternate pricing plan for video IPCS and therefore expressly do not consider the per-session </w:t>
      </w:r>
      <w:r w:rsidR="00745D99">
        <w:t xml:space="preserve">pricing arrangements Securus will offer under this waiver as subject to section 64.6140 of the Commission’s rules applicable to alternate pricing plans.  47 CFR § 64.6140.  </w:t>
      </w:r>
    </w:p>
  </w:footnote>
  <w:footnote w:id="57">
    <w:p w:rsidR="00440ED2" w:rsidP="00440ED2" w14:paraId="1DAA4A0F" w14:textId="77777777">
      <w:pPr>
        <w:pStyle w:val="FootnoteText"/>
      </w:pPr>
      <w:r>
        <w:rPr>
          <w:rStyle w:val="FootnoteReference"/>
        </w:rPr>
        <w:footnoteRef/>
      </w:r>
      <w:r>
        <w:t xml:space="preserve"> 47 CFR § 1.3.  </w:t>
      </w:r>
    </w:p>
  </w:footnote>
  <w:footnote w:id="58">
    <w:p w:rsidR="00440ED2" w:rsidRPr="00946939" w:rsidP="00440ED2" w14:paraId="28E7D4ED" w14:textId="77777777">
      <w:pPr>
        <w:pStyle w:val="FootnoteText"/>
      </w:pPr>
      <w:r>
        <w:rPr>
          <w:rStyle w:val="FootnoteReference"/>
        </w:rPr>
        <w:footnoteRef/>
      </w:r>
      <w:r>
        <w:t xml:space="preserve"> </w:t>
      </w:r>
      <w:r>
        <w:rPr>
          <w:i/>
          <w:iCs/>
        </w:rPr>
        <w:t>Northeast Cellular Tel. Co. v. FCC</w:t>
      </w:r>
      <w:r>
        <w:t>, 894 F.2d 1164, 1166 (D.C. Cir. 1990) (</w:t>
      </w:r>
      <w:r>
        <w:rPr>
          <w:i/>
          <w:iCs/>
        </w:rPr>
        <w:t>Northeast Cellular</w:t>
      </w:r>
      <w:r>
        <w:t xml:space="preserve">). </w:t>
      </w:r>
    </w:p>
  </w:footnote>
  <w:footnote w:id="59">
    <w:p w:rsidR="00440ED2" w:rsidRPr="000E10C3" w:rsidP="00440ED2" w14:paraId="60E059C5" w14:textId="77777777">
      <w:pPr>
        <w:pStyle w:val="FootnoteText"/>
      </w:pPr>
      <w:r>
        <w:rPr>
          <w:rStyle w:val="FootnoteReference"/>
        </w:rPr>
        <w:footnoteRef/>
      </w:r>
      <w:r>
        <w:t xml:space="preserve"> </w:t>
      </w:r>
      <w:r>
        <w:rPr>
          <w:i/>
          <w:iCs/>
        </w:rPr>
        <w:t>WAIT Radio v. FCC</w:t>
      </w:r>
      <w:r>
        <w:t xml:space="preserve">, 418 F.2d 1154, 1159 (D.C. Cir. 1969); </w:t>
      </w:r>
      <w:r>
        <w:rPr>
          <w:i/>
          <w:iCs/>
        </w:rPr>
        <w:t>Northeast Cellular</w:t>
      </w:r>
      <w:r>
        <w:t xml:space="preserve">, 897 F.2d at 1166.  </w:t>
      </w:r>
    </w:p>
  </w:footnote>
  <w:footnote w:id="60">
    <w:p w:rsidR="00440ED2" w:rsidP="00440ED2" w14:paraId="19E0B3F5" w14:textId="77777777">
      <w:pPr>
        <w:pStyle w:val="FootnoteText"/>
      </w:pPr>
      <w:r>
        <w:rPr>
          <w:rStyle w:val="FootnoteReference"/>
        </w:rPr>
        <w:footnoteRef/>
      </w:r>
      <w:r>
        <w:t xml:space="preserve"> </w:t>
      </w:r>
      <w:r>
        <w:rPr>
          <w:i/>
          <w:iCs/>
        </w:rPr>
        <w:t>Northeast Cellular</w:t>
      </w:r>
      <w:r>
        <w:t xml:space="preserve">, 897 F.2d at 1166.  </w:t>
      </w:r>
    </w:p>
  </w:footnote>
  <w:footnote w:id="61">
    <w:p w:rsidR="00294D9D" w14:paraId="01FBA263" w14:textId="31D87C46">
      <w:pPr>
        <w:pStyle w:val="FootnoteText"/>
      </w:pPr>
      <w:r>
        <w:rPr>
          <w:rStyle w:val="FootnoteReference"/>
        </w:rPr>
        <w:footnoteRef/>
      </w:r>
      <w:r>
        <w:t xml:space="preserve"> Amended Waiver Petition at 1.  </w:t>
      </w:r>
    </w:p>
  </w:footnote>
  <w:footnote w:id="62">
    <w:p w:rsidR="0090743D" w14:paraId="596FC9D1" w14:textId="6949A213">
      <w:pPr>
        <w:pStyle w:val="FootnoteText"/>
      </w:pPr>
      <w:r>
        <w:rPr>
          <w:rStyle w:val="FootnoteReference"/>
        </w:rPr>
        <w:footnoteRef/>
      </w:r>
      <w:r>
        <w:t xml:space="preserve"> 2025 Waiver Petition at 13.  </w:t>
      </w:r>
    </w:p>
  </w:footnote>
  <w:footnote w:id="63">
    <w:p w:rsidR="00DD5AD4" w14:paraId="68E92CD9" w14:textId="2478B6F5">
      <w:pPr>
        <w:pStyle w:val="FootnoteText"/>
      </w:pPr>
      <w:r>
        <w:rPr>
          <w:rStyle w:val="FootnoteReference"/>
        </w:rPr>
        <w:footnoteRef/>
      </w:r>
      <w:r>
        <w:t xml:space="preserve"> </w:t>
      </w:r>
      <w:r w:rsidRPr="00974F36" w:rsidR="00A8105E">
        <w:rPr>
          <w:i/>
          <w:iCs/>
        </w:rPr>
        <w:t>Id</w:t>
      </w:r>
      <w:r>
        <w:t xml:space="preserve">.  </w:t>
      </w:r>
    </w:p>
  </w:footnote>
  <w:footnote w:id="64">
    <w:p w:rsidR="00EB5B09" w14:paraId="6B6E0CAA" w14:textId="1B7A29B4">
      <w:pPr>
        <w:pStyle w:val="FootnoteText"/>
      </w:pPr>
      <w:r>
        <w:rPr>
          <w:rStyle w:val="FootnoteReference"/>
        </w:rPr>
        <w:footnoteRef/>
      </w:r>
      <w:r>
        <w:t xml:space="preserve"> </w:t>
      </w:r>
      <w:r>
        <w:rPr>
          <w:i/>
          <w:iCs/>
        </w:rPr>
        <w:t xml:space="preserve">See generally </w:t>
      </w:r>
      <w:r>
        <w:t xml:space="preserve">2024 Waiver Petition; </w:t>
      </w:r>
      <w:r w:rsidRPr="00DA7B93">
        <w:t>Securus June 23, 2025</w:t>
      </w:r>
      <w:r>
        <w:rPr>
          <w:i/>
          <w:iCs/>
        </w:rPr>
        <w:t xml:space="preserve"> Ex Parte</w:t>
      </w:r>
      <w:r>
        <w:t xml:space="preserve">; 2025 Waiver Petition; Securus Jan. 23, 2026 </w:t>
      </w:r>
      <w:r>
        <w:rPr>
          <w:i/>
          <w:iCs/>
        </w:rPr>
        <w:t>Ex Parte</w:t>
      </w:r>
      <w:r w:rsidR="00C33325">
        <w:t>; Letter from Michael H. Pryor, Counsel to Securus Technologies, LLC, to Marlene H. Dortch, Secretary, FCC WC Docket Nos. 23-62 and 12-375 (filed Mar. 26, 2026)</w:t>
      </w:r>
      <w:r w:rsidR="00EB5E31">
        <w:t>; Amended Waiver Petition</w:t>
      </w:r>
      <w:r>
        <w:t xml:space="preserve">.  </w:t>
      </w:r>
    </w:p>
  </w:footnote>
  <w:footnote w:id="65">
    <w:p w:rsidR="00AB217B" w14:paraId="153CCCE2" w14:textId="74851F5F">
      <w:pPr>
        <w:pStyle w:val="FootnoteText"/>
      </w:pPr>
      <w:r>
        <w:rPr>
          <w:rStyle w:val="FootnoteReference"/>
        </w:rPr>
        <w:footnoteRef/>
      </w:r>
      <w:r>
        <w:t xml:space="preserve"> Amended Waiver Petition at 4-5 (discussing </w:t>
      </w:r>
      <w:r w:rsidR="00DD7C12">
        <w:t>the Pricing and Refund Commitments</w:t>
      </w:r>
      <w:r>
        <w:t xml:space="preserve">).  </w:t>
      </w:r>
    </w:p>
  </w:footnote>
  <w:footnote w:id="66">
    <w:p w:rsidR="00C72BE7" w14:paraId="4EC5F461" w14:textId="3AA1C518">
      <w:pPr>
        <w:pStyle w:val="FootnoteText"/>
      </w:pPr>
      <w:r>
        <w:rPr>
          <w:rStyle w:val="FootnoteReference"/>
        </w:rPr>
        <w:footnoteRef/>
      </w:r>
      <w:r>
        <w:t xml:space="preserve"> </w:t>
      </w:r>
      <w:r w:rsidRPr="00974F36" w:rsidR="00CD2E8A">
        <w:rPr>
          <w:i/>
          <w:iCs/>
        </w:rPr>
        <w:t>Id</w:t>
      </w:r>
      <w:r w:rsidR="00CD2E8A">
        <w:t>.</w:t>
      </w:r>
      <w:r>
        <w:t xml:space="preserve"> at 3.  </w:t>
      </w:r>
    </w:p>
  </w:footnote>
  <w:footnote w:id="67">
    <w:p w:rsidR="007F234C" w:rsidRPr="00704E03" w14:paraId="78E2F60F" w14:textId="30559240">
      <w:pPr>
        <w:pStyle w:val="FootnoteText"/>
      </w:pPr>
      <w:r>
        <w:rPr>
          <w:rStyle w:val="FootnoteReference"/>
        </w:rPr>
        <w:footnoteRef/>
      </w:r>
      <w:r>
        <w:t xml:space="preserve"> </w:t>
      </w:r>
      <w:r w:rsidR="00704E03">
        <w:rPr>
          <w:i/>
          <w:iCs/>
        </w:rPr>
        <w:t>See 2025 IPCS Order</w:t>
      </w:r>
      <w:r w:rsidR="00704E03">
        <w:t xml:space="preserve"> at </w:t>
      </w:r>
      <w:r w:rsidR="002F03AB">
        <w:t>4</w:t>
      </w:r>
      <w:r w:rsidR="00290169">
        <w:t xml:space="preserve">, tbl. 1 (showing the revised interim audio and video ICPS rate caps).  </w:t>
      </w:r>
    </w:p>
  </w:footnote>
  <w:footnote w:id="68">
    <w:p w:rsidR="00CC4C56" w14:paraId="29D76DA3" w14:textId="4D26261E">
      <w:pPr>
        <w:pStyle w:val="FootnoteText"/>
      </w:pPr>
      <w:r>
        <w:rPr>
          <w:rStyle w:val="FootnoteReference"/>
        </w:rPr>
        <w:footnoteRef/>
      </w:r>
      <w:r>
        <w:t xml:space="preserve"> Amended Waiver Petition at </w:t>
      </w:r>
      <w:r w:rsidR="00BC2E9A">
        <w:t xml:space="preserve">4-5.  </w:t>
      </w:r>
    </w:p>
  </w:footnote>
  <w:footnote w:id="69">
    <w:p w:rsidR="007B5C25" w:rsidRPr="00E620C7" w14:paraId="58C6E5F4" w14:textId="73043D3A">
      <w:pPr>
        <w:pStyle w:val="FootnoteText"/>
      </w:pPr>
      <w:r>
        <w:rPr>
          <w:rStyle w:val="FootnoteReference"/>
        </w:rPr>
        <w:footnoteRef/>
      </w:r>
      <w:r>
        <w:t xml:space="preserve"> </w:t>
      </w:r>
      <w:r w:rsidR="00E620C7">
        <w:rPr>
          <w:i/>
          <w:iCs/>
        </w:rPr>
        <w:t>See, e.g.</w:t>
      </w:r>
      <w:r w:rsidR="00E620C7">
        <w:t xml:space="preserve">, </w:t>
      </w:r>
      <w:r w:rsidR="00E620C7">
        <w:rPr>
          <w:i/>
          <w:iCs/>
        </w:rPr>
        <w:t>2024 IPCS Order</w:t>
      </w:r>
      <w:r w:rsidR="00E620C7">
        <w:t xml:space="preserve">, 39 FCC Rcd at 7664-65, para. 29; </w:t>
      </w:r>
      <w:r w:rsidR="00370BE1">
        <w:rPr>
          <w:i/>
          <w:iCs/>
        </w:rPr>
        <w:t>2024 Securus Waiver Order</w:t>
      </w:r>
      <w:r w:rsidR="00370BE1">
        <w:t xml:space="preserve">, 39 </w:t>
      </w:r>
      <w:r w:rsidR="00D27125">
        <w:t>FCC Rcd at 13729, para. 10</w:t>
      </w:r>
      <w:r w:rsidR="00E620C7">
        <w:t xml:space="preserve">.  </w:t>
      </w:r>
    </w:p>
  </w:footnote>
  <w:footnote w:id="70">
    <w:p w:rsidR="00567B16" w14:paraId="7B08B571" w14:textId="27A525F4">
      <w:pPr>
        <w:pStyle w:val="FootnoteText"/>
      </w:pPr>
      <w:r>
        <w:rPr>
          <w:rStyle w:val="FootnoteReference"/>
        </w:rPr>
        <w:footnoteRef/>
      </w:r>
      <w:r>
        <w:t xml:space="preserve"> </w:t>
      </w:r>
      <w:r w:rsidR="00655F4D">
        <w:t xml:space="preserve">2025 Waiver Petition at 13.  </w:t>
      </w:r>
    </w:p>
  </w:footnote>
  <w:footnote w:id="71">
    <w:p w:rsidR="00322AE2" w14:paraId="6FAAD1B5" w14:textId="60D49B20">
      <w:pPr>
        <w:pStyle w:val="FootnoteText"/>
      </w:pPr>
      <w:r>
        <w:rPr>
          <w:rStyle w:val="FootnoteReference"/>
        </w:rPr>
        <w:footnoteRef/>
      </w:r>
      <w:r>
        <w:t xml:space="preserve"> Amended Waiver Petition at </w:t>
      </w:r>
      <w:r w:rsidR="00BB37C4">
        <w:t>3</w:t>
      </w:r>
      <w:r>
        <w:t xml:space="preserve">.  </w:t>
      </w:r>
    </w:p>
  </w:footnote>
  <w:footnote w:id="72">
    <w:p w:rsidR="009F7ED6" w14:paraId="77B16E4F" w14:textId="53D735F8">
      <w:pPr>
        <w:pStyle w:val="FootnoteText"/>
      </w:pPr>
      <w:r>
        <w:rPr>
          <w:rStyle w:val="FootnoteReference"/>
        </w:rPr>
        <w:footnoteRef/>
      </w:r>
      <w:r>
        <w:t xml:space="preserve"> </w:t>
      </w:r>
      <w:r w:rsidRPr="00732D95" w:rsidR="008325C9">
        <w:rPr>
          <w:i/>
        </w:rPr>
        <w:t>Id</w:t>
      </w:r>
      <w:r w:rsidR="008325C9">
        <w:t>.</w:t>
      </w:r>
      <w:r>
        <w:t xml:space="preserve"> at 1.  </w:t>
      </w:r>
    </w:p>
  </w:footnote>
  <w:footnote w:id="73">
    <w:p w:rsidR="00E76CC2" w14:paraId="285E640E" w14:textId="1E55A9D8">
      <w:pPr>
        <w:pStyle w:val="FootnoteText"/>
      </w:pPr>
      <w:r>
        <w:rPr>
          <w:rStyle w:val="FootnoteReference"/>
        </w:rPr>
        <w:footnoteRef/>
      </w:r>
      <w:r>
        <w:t xml:space="preserve"> ViaPath Dec. 18 2025 Comments at 1.  </w:t>
      </w:r>
    </w:p>
  </w:footnote>
  <w:footnote w:id="74">
    <w:p w:rsidR="006D7103" w:rsidRPr="00CF774E" w14:paraId="09F0D68E" w14:textId="6C8C783B">
      <w:pPr>
        <w:pStyle w:val="FootnoteText"/>
      </w:pPr>
      <w:r>
        <w:rPr>
          <w:rStyle w:val="FootnoteReference"/>
        </w:rPr>
        <w:footnoteRef/>
      </w:r>
      <w:r>
        <w:t xml:space="preserve"> </w:t>
      </w:r>
      <w:r w:rsidRPr="00974F36" w:rsidR="00CD2E8A">
        <w:rPr>
          <w:i/>
          <w:iCs/>
        </w:rPr>
        <w:t>Id</w:t>
      </w:r>
      <w:r w:rsidR="00CD2E8A">
        <w:t>.</w:t>
      </w:r>
      <w:r>
        <w:t xml:space="preserve"> </w:t>
      </w:r>
      <w:r w:rsidR="00C86415">
        <w:t xml:space="preserve">at </w:t>
      </w:r>
      <w:r w:rsidR="00CF774E">
        <w:t xml:space="preserve">2-3 (quoting </w:t>
      </w:r>
      <w:r w:rsidR="00CF774E">
        <w:rPr>
          <w:i/>
          <w:iCs/>
        </w:rPr>
        <w:t>2024 IPCS Order</w:t>
      </w:r>
      <w:r w:rsidR="00CF774E">
        <w:t xml:space="preserve">, 39 FCC Rcd at </w:t>
      </w:r>
      <w:r w:rsidR="00FC5E09">
        <w:t xml:space="preserve">7709, para. 124).  </w:t>
      </w:r>
    </w:p>
  </w:footnote>
  <w:footnote w:id="75">
    <w:p w:rsidR="00BE6E86" w14:paraId="55069613" w14:textId="77B634E1">
      <w:pPr>
        <w:pStyle w:val="FootnoteText"/>
      </w:pPr>
      <w:r>
        <w:rPr>
          <w:rStyle w:val="FootnoteReference"/>
        </w:rPr>
        <w:footnoteRef/>
      </w:r>
      <w:r>
        <w:t xml:space="preserve"> </w:t>
      </w:r>
      <w:r w:rsidR="00B76FB7">
        <w:t>We</w:t>
      </w:r>
      <w:r>
        <w:t xml:space="preserve"> are cognizant that Securus is an outlier in coming into compliance with the per-minute billing requirement for video IPCS.  ViaPath argues that granting Securus’s waiver is not in the public interest as “every other provider will have implemented per-minute billing consistent with the requirements of the </w:t>
      </w:r>
      <w:r>
        <w:rPr>
          <w:i/>
          <w:iCs/>
        </w:rPr>
        <w:t>2025 IPCS Order</w:t>
      </w:r>
      <w:r>
        <w:t xml:space="preserve">” with the exception of Securus.  ViaPath Dec. 18, 2025 Comments at 2.  </w:t>
      </w:r>
      <w:r w:rsidR="00B76FB7">
        <w:t>ViaPath argues that “[a]s one of the largest providers in the industry, Securus should have the wherewithal to complete implementation of the per-minute billing requirement within the allotted time for compliance just as all other providers are required to do.”  ViaPath Dec. 18, 2025 Comments at 3.</w:t>
      </w:r>
      <w:r w:rsidR="000227CD">
        <w:t xml:space="preserve">  We are not persuaded that </w:t>
      </w:r>
      <w:r w:rsidR="004A0D32">
        <w:t xml:space="preserve">granting the more limited waiver that Securus now requests is not in the public interest </w:t>
      </w:r>
      <w:r w:rsidR="004E4F7E">
        <w:t>simply because the rest of the industry will have implemented per-minute billing for video IPCS by the April 6, 2026 compliance deadline</w:t>
      </w:r>
      <w:r w:rsidR="00AB42D6">
        <w:t xml:space="preserve">.  All providers </w:t>
      </w:r>
      <w:r w:rsidR="00D84E57">
        <w:t>were in a position to seek a waiver of the Commission’s rules but Securus is the only provider that did so.</w:t>
      </w:r>
    </w:p>
  </w:footnote>
  <w:footnote w:id="76">
    <w:p w:rsidR="008C7CFB" w:rsidRPr="008C7CFB" w14:paraId="2A60D825" w14:textId="7663E795">
      <w:pPr>
        <w:pStyle w:val="FootnoteText"/>
      </w:pPr>
      <w:r>
        <w:rPr>
          <w:rStyle w:val="FootnoteReference"/>
        </w:rPr>
        <w:footnoteRef/>
      </w:r>
      <w:r>
        <w:t xml:space="preserve"> </w:t>
      </w:r>
      <w:r>
        <w:rPr>
          <w:i/>
          <w:iCs/>
        </w:rPr>
        <w:t>See 2024 Securus Waiver Order</w:t>
      </w:r>
      <w:r>
        <w:t xml:space="preserve">, </w:t>
      </w:r>
      <w:r w:rsidR="00B20A52">
        <w:t>39 FCC Rcd at 13730</w:t>
      </w:r>
      <w:r w:rsidR="00397C58">
        <w:t xml:space="preserve">.  </w:t>
      </w:r>
    </w:p>
  </w:footnote>
  <w:footnote w:id="77">
    <w:p w:rsidR="005806F5" w14:paraId="1296A121" w14:textId="77847383">
      <w:pPr>
        <w:pStyle w:val="FootnoteText"/>
      </w:pPr>
      <w:r>
        <w:rPr>
          <w:rStyle w:val="FootnoteReference"/>
        </w:rPr>
        <w:footnoteRef/>
      </w:r>
      <w:r>
        <w:t xml:space="preserve"> Amended Waiver Petition at 4.  </w:t>
      </w:r>
    </w:p>
  </w:footnote>
  <w:footnote w:id="78">
    <w:p w:rsidR="00415FD9" w14:paraId="7B415B02" w14:textId="7623E1D1">
      <w:pPr>
        <w:pStyle w:val="FootnoteText"/>
      </w:pPr>
      <w:r>
        <w:rPr>
          <w:rStyle w:val="FootnoteReference"/>
        </w:rPr>
        <w:footnoteRef/>
      </w:r>
      <w:r>
        <w:t xml:space="preserve"> </w:t>
      </w:r>
      <w:r w:rsidRPr="00732D95" w:rsidR="00A21454">
        <w:rPr>
          <w:i/>
          <w:iCs/>
        </w:rPr>
        <w:t>Id</w:t>
      </w:r>
      <w:r w:rsidR="00A21454">
        <w:t>.</w:t>
      </w:r>
      <w:r>
        <w:t xml:space="preserve"> at </w:t>
      </w:r>
      <w:r w:rsidR="00E03B84">
        <w:t xml:space="preserve">1.  </w:t>
      </w:r>
    </w:p>
  </w:footnote>
  <w:footnote w:id="79">
    <w:p w:rsidR="00E03B84" w14:paraId="2B4267DA" w14:textId="2D6D3EF2">
      <w:pPr>
        <w:pStyle w:val="FootnoteText"/>
      </w:pPr>
      <w:r>
        <w:rPr>
          <w:rStyle w:val="FootnoteReference"/>
        </w:rPr>
        <w:footnoteRef/>
      </w:r>
      <w:r>
        <w:t xml:space="preserve"> </w:t>
      </w:r>
      <w:r w:rsidRPr="00732D95" w:rsidR="00A21454">
        <w:t>Amended Waiver Petition</w:t>
      </w:r>
      <w:r>
        <w:t xml:space="preserve"> at 4.  </w:t>
      </w:r>
    </w:p>
  </w:footnote>
  <w:footnote w:id="80">
    <w:p w:rsidR="006C6242" w14:paraId="7570C30A" w14:textId="38ED54E5">
      <w:pPr>
        <w:pStyle w:val="FootnoteText"/>
      </w:pPr>
      <w:r>
        <w:rPr>
          <w:rStyle w:val="FootnoteReference"/>
        </w:rPr>
        <w:footnoteRef/>
      </w:r>
      <w:r>
        <w:t xml:space="preserve"> </w:t>
      </w:r>
      <w:r w:rsidRPr="00974F36" w:rsidR="00B76357">
        <w:rPr>
          <w:i/>
          <w:iCs/>
        </w:rPr>
        <w:t>Id</w:t>
      </w:r>
      <w:r w:rsidR="00B76357">
        <w:t>.</w:t>
      </w:r>
      <w:r>
        <w:t xml:space="preserve"> </w:t>
      </w:r>
    </w:p>
  </w:footnote>
  <w:footnote w:id="81">
    <w:p w:rsidR="00213A27" w14:paraId="1C977DC1" w14:textId="62ECD578">
      <w:pPr>
        <w:pStyle w:val="FootnoteText"/>
      </w:pPr>
      <w:r>
        <w:rPr>
          <w:rStyle w:val="FootnoteReference"/>
        </w:rPr>
        <w:footnoteRef/>
      </w:r>
      <w:r>
        <w:t xml:space="preserve"> </w:t>
      </w:r>
      <w:r w:rsidRPr="00974F36" w:rsidR="00B76357">
        <w:rPr>
          <w:i/>
          <w:iCs/>
        </w:rPr>
        <w:t>Id</w:t>
      </w:r>
      <w:r w:rsidR="00B76357">
        <w:t>.</w:t>
      </w:r>
      <w:r>
        <w:t xml:space="preserve"> at 4-5.  </w:t>
      </w:r>
    </w:p>
  </w:footnote>
  <w:footnote w:id="82">
    <w:p w:rsidR="0050154B" w14:paraId="13FFDAEE" w14:textId="1F1549EF">
      <w:pPr>
        <w:pStyle w:val="FootnoteText"/>
      </w:pPr>
      <w:r>
        <w:rPr>
          <w:rStyle w:val="FootnoteReference"/>
        </w:rPr>
        <w:footnoteRef/>
      </w:r>
      <w:r>
        <w:t xml:space="preserve"> </w:t>
      </w:r>
      <w:r w:rsidRPr="00974F36" w:rsidR="00B76357">
        <w:rPr>
          <w:i/>
          <w:iCs/>
        </w:rPr>
        <w:t>Id</w:t>
      </w:r>
      <w:r w:rsidR="00B76357">
        <w:t>.</w:t>
      </w:r>
      <w:r>
        <w:t xml:space="preserve"> at 5.  </w:t>
      </w:r>
    </w:p>
  </w:footnote>
  <w:footnote w:id="83">
    <w:p w:rsidR="00830D20" w14:paraId="2F01CD44" w14:textId="298B0231">
      <w:pPr>
        <w:pStyle w:val="FootnoteText"/>
      </w:pPr>
      <w:r>
        <w:rPr>
          <w:rStyle w:val="FootnoteReference"/>
        </w:rPr>
        <w:footnoteRef/>
      </w:r>
      <w:r>
        <w:t xml:space="preserve"> </w:t>
      </w:r>
      <w:r w:rsidRPr="00F07F42" w:rsidR="005406B2">
        <w:rPr>
          <w:i/>
          <w:iCs/>
        </w:rPr>
        <w:t>Incarcerated People’s Communications Services; Implementation of the Martha Wright-Reed Act; Rates for Interstate Inmate Calling Services</w:t>
      </w:r>
      <w:r w:rsidRPr="00F07F42" w:rsidR="005406B2">
        <w:t>, WC Docket Nos. 23-62</w:t>
      </w:r>
      <w:r w:rsidR="005406B2">
        <w:t xml:space="preserve"> and </w:t>
      </w:r>
      <w:r w:rsidRPr="00F07F42" w:rsidR="005406B2">
        <w:t xml:space="preserve">12-375, Protective Order, </w:t>
      </w:r>
      <w:r w:rsidR="005406B2">
        <w:t xml:space="preserve">38 FCC Rcd </w:t>
      </w:r>
      <w:r w:rsidR="005C0395">
        <w:t>2498</w:t>
      </w:r>
      <w:r w:rsidRPr="00F07F42" w:rsidR="005406B2">
        <w:t xml:space="preserve"> (WC</w:t>
      </w:r>
      <w:r w:rsidR="005C0395">
        <w:t>B 2</w:t>
      </w:r>
      <w:r w:rsidRPr="00F07F42" w:rsidR="005406B2">
        <w:t>023)</w:t>
      </w:r>
      <w:r w:rsidR="005C039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18229CBB" w14:textId="650BFC05">
    <w:pPr>
      <w:pStyle w:val="Header"/>
      <w:rPr>
        <w:b w:val="0"/>
      </w:rPr>
    </w:pPr>
    <w:r>
      <w:tab/>
      <w:t>Federal Communications Commission</w:t>
    </w:r>
    <w:r>
      <w:tab/>
    </w:r>
    <w:r w:rsidR="00E13867">
      <w:t>DA 26-</w:t>
    </w:r>
    <w:r w:rsidR="00733FEB">
      <w:t>319</w:t>
    </w:r>
  </w:p>
  <w:p w:rsidR="00D25FB5" w14:paraId="02E381E3" w14:textId="11E10A9A">
    <w:pPr>
      <w:tabs>
        <w:tab w:val="left" w:pos="-720"/>
      </w:tabs>
      <w:suppressAutoHyphens/>
      <w:spacing w:line="19" w:lineRule="exact"/>
      <w:rPr>
        <w:spacing w:val="-2"/>
      </w:rPr>
    </w:pPr>
    <w:r>
      <w:rPr>
        <w:noProof/>
      </w:rPr>
      <mc:AlternateContent>
        <mc:Choice Requires="wps">
          <w:drawing>
            <wp:anchor distT="0" distB="0" distL="114300" distR="114300" simplePos="0" relativeHeight="251660288" behindDoc="1" locked="0" layoutInCell="0" allowOverlap="1">
              <wp:simplePos x="0" y="0"/>
              <wp:positionH relativeFrom="margin">
                <wp:posOffset>0</wp:posOffset>
              </wp:positionH>
              <wp:positionV relativeFrom="paragraph">
                <wp:posOffset>0</wp:posOffset>
              </wp:positionV>
              <wp:extent cx="5943600" cy="12065"/>
              <wp:effectExtent l="0" t="0" r="0" b="0"/>
              <wp:wrapNone/>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p>
  <w:p w:rsidR="00D25FB5" w14:paraId="6CFA8DAC"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4807D3C3" w14:textId="283E6453">
    <w:pPr>
      <w:pStyle w:val="Header"/>
      <w:rPr>
        <w:b w:val="0"/>
      </w:rPr>
    </w:pPr>
    <w:r>
      <w:rPr>
        <w:noProof/>
        <w:color w:val="FF0000"/>
      </w:rPr>
      <mc:AlternateContent>
        <mc:Choice Requires="wps">
          <w:drawing>
            <wp:anchor distT="0" distB="0" distL="114300" distR="114300" simplePos="0" relativeHeight="251658240"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r>
      <w:tab/>
      <w:t>Federal Communications Commission</w:t>
    </w:r>
    <w:r>
      <w:tab/>
    </w:r>
    <w:r w:rsidR="00957DCD">
      <w:rPr>
        <w:spacing w:val="-2"/>
      </w:rPr>
      <w:t>DA 26-</w:t>
    </w:r>
    <w:r w:rsidR="00733FEB">
      <w:rPr>
        <w:spacing w:val="-2"/>
      </w:rPr>
      <w:t>319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1792936192">
    <w:abstractNumId w:val="1"/>
  </w:num>
  <w:num w:numId="2" w16cid:durableId="1846048902">
    <w:abstractNumId w:val="5"/>
  </w:num>
  <w:num w:numId="3" w16cid:durableId="2111122493">
    <w:abstractNumId w:val="3"/>
  </w:num>
  <w:num w:numId="4" w16cid:durableId="1535341946">
    <w:abstractNumId w:val="4"/>
  </w:num>
  <w:num w:numId="5" w16cid:durableId="485895996">
    <w:abstractNumId w:val="2"/>
  </w:num>
  <w:num w:numId="6" w16cid:durableId="981692929">
    <w:abstractNumId w:val="0"/>
  </w:num>
  <w:num w:numId="7" w16cid:durableId="342827710">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FCB"/>
    <w:rsid w:val="00003B9D"/>
    <w:rsid w:val="00003EFA"/>
    <w:rsid w:val="0000566F"/>
    <w:rsid w:val="0000729B"/>
    <w:rsid w:val="00010AF9"/>
    <w:rsid w:val="000129F8"/>
    <w:rsid w:val="00015973"/>
    <w:rsid w:val="00021F81"/>
    <w:rsid w:val="000227CD"/>
    <w:rsid w:val="00031B42"/>
    <w:rsid w:val="00031C81"/>
    <w:rsid w:val="00031CDB"/>
    <w:rsid w:val="00031DF9"/>
    <w:rsid w:val="00035EC1"/>
    <w:rsid w:val="00036039"/>
    <w:rsid w:val="00037778"/>
    <w:rsid w:val="00037F90"/>
    <w:rsid w:val="000409B6"/>
    <w:rsid w:val="000506E0"/>
    <w:rsid w:val="00050E66"/>
    <w:rsid w:val="00053074"/>
    <w:rsid w:val="000637D9"/>
    <w:rsid w:val="00065D5D"/>
    <w:rsid w:val="0006731E"/>
    <w:rsid w:val="000710FF"/>
    <w:rsid w:val="00072A85"/>
    <w:rsid w:val="00072AAE"/>
    <w:rsid w:val="00075C7F"/>
    <w:rsid w:val="00076212"/>
    <w:rsid w:val="00085E11"/>
    <w:rsid w:val="000875BF"/>
    <w:rsid w:val="0009086F"/>
    <w:rsid w:val="00090BE5"/>
    <w:rsid w:val="00092253"/>
    <w:rsid w:val="00092BE3"/>
    <w:rsid w:val="00094A0B"/>
    <w:rsid w:val="0009551E"/>
    <w:rsid w:val="00096D8C"/>
    <w:rsid w:val="00097F6A"/>
    <w:rsid w:val="000A0ED4"/>
    <w:rsid w:val="000A0FDD"/>
    <w:rsid w:val="000A1F2D"/>
    <w:rsid w:val="000A7880"/>
    <w:rsid w:val="000B22DE"/>
    <w:rsid w:val="000B517D"/>
    <w:rsid w:val="000B73B0"/>
    <w:rsid w:val="000B7A52"/>
    <w:rsid w:val="000C0B65"/>
    <w:rsid w:val="000C4276"/>
    <w:rsid w:val="000D19CE"/>
    <w:rsid w:val="000D227F"/>
    <w:rsid w:val="000D3F95"/>
    <w:rsid w:val="000D418C"/>
    <w:rsid w:val="000D4C13"/>
    <w:rsid w:val="000D4F07"/>
    <w:rsid w:val="000E05FE"/>
    <w:rsid w:val="000E10C3"/>
    <w:rsid w:val="000E2F4C"/>
    <w:rsid w:val="000E3D42"/>
    <w:rsid w:val="000E4A7C"/>
    <w:rsid w:val="000E52F3"/>
    <w:rsid w:val="000F1B21"/>
    <w:rsid w:val="000F61C3"/>
    <w:rsid w:val="00102A1C"/>
    <w:rsid w:val="00105C67"/>
    <w:rsid w:val="00106DC1"/>
    <w:rsid w:val="001074A2"/>
    <w:rsid w:val="00113116"/>
    <w:rsid w:val="001139F6"/>
    <w:rsid w:val="00113B39"/>
    <w:rsid w:val="001144BB"/>
    <w:rsid w:val="00117271"/>
    <w:rsid w:val="00122187"/>
    <w:rsid w:val="00122BD5"/>
    <w:rsid w:val="001233F1"/>
    <w:rsid w:val="001236F3"/>
    <w:rsid w:val="00124116"/>
    <w:rsid w:val="00130603"/>
    <w:rsid w:val="0013148A"/>
    <w:rsid w:val="0013294A"/>
    <w:rsid w:val="001330DE"/>
    <w:rsid w:val="00133F79"/>
    <w:rsid w:val="00134FC3"/>
    <w:rsid w:val="00136EEC"/>
    <w:rsid w:val="00141431"/>
    <w:rsid w:val="001439D3"/>
    <w:rsid w:val="00144B81"/>
    <w:rsid w:val="00147387"/>
    <w:rsid w:val="00147547"/>
    <w:rsid w:val="00150F3C"/>
    <w:rsid w:val="00152E0A"/>
    <w:rsid w:val="00155FC9"/>
    <w:rsid w:val="001608E3"/>
    <w:rsid w:val="0016544F"/>
    <w:rsid w:val="001721A8"/>
    <w:rsid w:val="00173D5E"/>
    <w:rsid w:val="00174D1A"/>
    <w:rsid w:val="00177249"/>
    <w:rsid w:val="001802FB"/>
    <w:rsid w:val="001807AA"/>
    <w:rsid w:val="00186875"/>
    <w:rsid w:val="00186BD8"/>
    <w:rsid w:val="00187FE2"/>
    <w:rsid w:val="001902E0"/>
    <w:rsid w:val="00193FEE"/>
    <w:rsid w:val="00194A66"/>
    <w:rsid w:val="001A2457"/>
    <w:rsid w:val="001B0FC4"/>
    <w:rsid w:val="001B1D79"/>
    <w:rsid w:val="001B66FD"/>
    <w:rsid w:val="001C259B"/>
    <w:rsid w:val="001C744D"/>
    <w:rsid w:val="001C7DB6"/>
    <w:rsid w:val="001D2505"/>
    <w:rsid w:val="001D3FBE"/>
    <w:rsid w:val="001D6BCF"/>
    <w:rsid w:val="001E01CA"/>
    <w:rsid w:val="001E070D"/>
    <w:rsid w:val="001E1BB6"/>
    <w:rsid w:val="001E1BC6"/>
    <w:rsid w:val="001E29EA"/>
    <w:rsid w:val="001E2EF9"/>
    <w:rsid w:val="001E727A"/>
    <w:rsid w:val="001E74AD"/>
    <w:rsid w:val="001F214B"/>
    <w:rsid w:val="001F3265"/>
    <w:rsid w:val="001F6E64"/>
    <w:rsid w:val="001F6EB2"/>
    <w:rsid w:val="001F73E3"/>
    <w:rsid w:val="00201976"/>
    <w:rsid w:val="002113DB"/>
    <w:rsid w:val="00212675"/>
    <w:rsid w:val="00212E2B"/>
    <w:rsid w:val="002132EA"/>
    <w:rsid w:val="00213A27"/>
    <w:rsid w:val="00216E02"/>
    <w:rsid w:val="00221AEE"/>
    <w:rsid w:val="0022531B"/>
    <w:rsid w:val="0022555B"/>
    <w:rsid w:val="00226A0A"/>
    <w:rsid w:val="00241D05"/>
    <w:rsid w:val="00251775"/>
    <w:rsid w:val="00251EB3"/>
    <w:rsid w:val="002533EF"/>
    <w:rsid w:val="002544BA"/>
    <w:rsid w:val="002615B1"/>
    <w:rsid w:val="002637E0"/>
    <w:rsid w:val="002649C4"/>
    <w:rsid w:val="00265D55"/>
    <w:rsid w:val="0027284F"/>
    <w:rsid w:val="00273850"/>
    <w:rsid w:val="00275BCF"/>
    <w:rsid w:val="00275CF5"/>
    <w:rsid w:val="00276922"/>
    <w:rsid w:val="002809A9"/>
    <w:rsid w:val="002818D6"/>
    <w:rsid w:val="0028197E"/>
    <w:rsid w:val="002825DD"/>
    <w:rsid w:val="0028301F"/>
    <w:rsid w:val="0028365E"/>
    <w:rsid w:val="00284498"/>
    <w:rsid w:val="00285017"/>
    <w:rsid w:val="0028508A"/>
    <w:rsid w:val="00286EBE"/>
    <w:rsid w:val="0028740E"/>
    <w:rsid w:val="00287656"/>
    <w:rsid w:val="00287809"/>
    <w:rsid w:val="00290169"/>
    <w:rsid w:val="00294D9D"/>
    <w:rsid w:val="0029538A"/>
    <w:rsid w:val="002A2D2E"/>
    <w:rsid w:val="002A3142"/>
    <w:rsid w:val="002B2522"/>
    <w:rsid w:val="002B3B8E"/>
    <w:rsid w:val="002B429C"/>
    <w:rsid w:val="002B4A55"/>
    <w:rsid w:val="002B5046"/>
    <w:rsid w:val="002B5D3B"/>
    <w:rsid w:val="002B705A"/>
    <w:rsid w:val="002B7F26"/>
    <w:rsid w:val="002C00E8"/>
    <w:rsid w:val="002C2252"/>
    <w:rsid w:val="002C23FE"/>
    <w:rsid w:val="002C67F5"/>
    <w:rsid w:val="002C758A"/>
    <w:rsid w:val="002D2DA0"/>
    <w:rsid w:val="002D6AC8"/>
    <w:rsid w:val="002D6DB3"/>
    <w:rsid w:val="002E110C"/>
    <w:rsid w:val="002E1246"/>
    <w:rsid w:val="002E44F2"/>
    <w:rsid w:val="002E6273"/>
    <w:rsid w:val="002F03AB"/>
    <w:rsid w:val="002F07DC"/>
    <w:rsid w:val="002F0FCB"/>
    <w:rsid w:val="00300015"/>
    <w:rsid w:val="00301865"/>
    <w:rsid w:val="00303B4D"/>
    <w:rsid w:val="003175E8"/>
    <w:rsid w:val="00321835"/>
    <w:rsid w:val="00322AE2"/>
    <w:rsid w:val="0032476E"/>
    <w:rsid w:val="00324B21"/>
    <w:rsid w:val="00325B2A"/>
    <w:rsid w:val="003263C0"/>
    <w:rsid w:val="00326BC0"/>
    <w:rsid w:val="00331730"/>
    <w:rsid w:val="00334439"/>
    <w:rsid w:val="00335316"/>
    <w:rsid w:val="00335FF7"/>
    <w:rsid w:val="00336B44"/>
    <w:rsid w:val="00337AE6"/>
    <w:rsid w:val="00340A9D"/>
    <w:rsid w:val="00341F0A"/>
    <w:rsid w:val="00343749"/>
    <w:rsid w:val="003444A5"/>
    <w:rsid w:val="0034558F"/>
    <w:rsid w:val="00350286"/>
    <w:rsid w:val="00351342"/>
    <w:rsid w:val="003531F2"/>
    <w:rsid w:val="00356EC6"/>
    <w:rsid w:val="00363654"/>
    <w:rsid w:val="003653E9"/>
    <w:rsid w:val="003660ED"/>
    <w:rsid w:val="00370BE1"/>
    <w:rsid w:val="00372071"/>
    <w:rsid w:val="003738C4"/>
    <w:rsid w:val="0037537C"/>
    <w:rsid w:val="00380801"/>
    <w:rsid w:val="00382B87"/>
    <w:rsid w:val="00383679"/>
    <w:rsid w:val="00384E61"/>
    <w:rsid w:val="00385166"/>
    <w:rsid w:val="0038675D"/>
    <w:rsid w:val="00386996"/>
    <w:rsid w:val="003965E2"/>
    <w:rsid w:val="00397C58"/>
    <w:rsid w:val="003A1A97"/>
    <w:rsid w:val="003A1DD4"/>
    <w:rsid w:val="003A21DE"/>
    <w:rsid w:val="003A4AD0"/>
    <w:rsid w:val="003B0550"/>
    <w:rsid w:val="003B207A"/>
    <w:rsid w:val="003B694F"/>
    <w:rsid w:val="003C1F81"/>
    <w:rsid w:val="003C29F2"/>
    <w:rsid w:val="003C7783"/>
    <w:rsid w:val="003D0A1E"/>
    <w:rsid w:val="003D0EBF"/>
    <w:rsid w:val="003D1BCF"/>
    <w:rsid w:val="003D2246"/>
    <w:rsid w:val="003D27E7"/>
    <w:rsid w:val="003D3EFD"/>
    <w:rsid w:val="003D4BF0"/>
    <w:rsid w:val="003D727B"/>
    <w:rsid w:val="003E0AF4"/>
    <w:rsid w:val="003E2364"/>
    <w:rsid w:val="003E4091"/>
    <w:rsid w:val="003E58CD"/>
    <w:rsid w:val="003E7D9B"/>
    <w:rsid w:val="003F171C"/>
    <w:rsid w:val="003F6119"/>
    <w:rsid w:val="003F6427"/>
    <w:rsid w:val="003F7EBF"/>
    <w:rsid w:val="00402A22"/>
    <w:rsid w:val="00402ABA"/>
    <w:rsid w:val="00402F1E"/>
    <w:rsid w:val="00403C2C"/>
    <w:rsid w:val="00404AE6"/>
    <w:rsid w:val="00404C17"/>
    <w:rsid w:val="00405FBB"/>
    <w:rsid w:val="00410275"/>
    <w:rsid w:val="004109BC"/>
    <w:rsid w:val="00412FC5"/>
    <w:rsid w:val="00415297"/>
    <w:rsid w:val="00415FD9"/>
    <w:rsid w:val="00422276"/>
    <w:rsid w:val="004242F1"/>
    <w:rsid w:val="00426BC9"/>
    <w:rsid w:val="00427681"/>
    <w:rsid w:val="00430B1C"/>
    <w:rsid w:val="00432C0C"/>
    <w:rsid w:val="00433156"/>
    <w:rsid w:val="00440725"/>
    <w:rsid w:val="004407BF"/>
    <w:rsid w:val="00440ED2"/>
    <w:rsid w:val="004421C7"/>
    <w:rsid w:val="004444AB"/>
    <w:rsid w:val="00445A00"/>
    <w:rsid w:val="00451B0F"/>
    <w:rsid w:val="00453EE7"/>
    <w:rsid w:val="00457661"/>
    <w:rsid w:val="00457BC9"/>
    <w:rsid w:val="00457E73"/>
    <w:rsid w:val="00467C73"/>
    <w:rsid w:val="0047482F"/>
    <w:rsid w:val="00476A2D"/>
    <w:rsid w:val="004823E0"/>
    <w:rsid w:val="00482FDD"/>
    <w:rsid w:val="0048355D"/>
    <w:rsid w:val="00484072"/>
    <w:rsid w:val="00486138"/>
    <w:rsid w:val="004906AD"/>
    <w:rsid w:val="004931E8"/>
    <w:rsid w:val="00495BE0"/>
    <w:rsid w:val="004A0167"/>
    <w:rsid w:val="004A0996"/>
    <w:rsid w:val="004A0D32"/>
    <w:rsid w:val="004A519F"/>
    <w:rsid w:val="004A56B9"/>
    <w:rsid w:val="004A5839"/>
    <w:rsid w:val="004B0543"/>
    <w:rsid w:val="004B0FDF"/>
    <w:rsid w:val="004B1168"/>
    <w:rsid w:val="004B37E0"/>
    <w:rsid w:val="004B5850"/>
    <w:rsid w:val="004B72A0"/>
    <w:rsid w:val="004B7BD8"/>
    <w:rsid w:val="004C08DE"/>
    <w:rsid w:val="004C2EE3"/>
    <w:rsid w:val="004C31A0"/>
    <w:rsid w:val="004C4E45"/>
    <w:rsid w:val="004C579A"/>
    <w:rsid w:val="004C6482"/>
    <w:rsid w:val="004D1628"/>
    <w:rsid w:val="004D1E00"/>
    <w:rsid w:val="004D290E"/>
    <w:rsid w:val="004D3FCA"/>
    <w:rsid w:val="004D57D0"/>
    <w:rsid w:val="004E4A22"/>
    <w:rsid w:val="004E4F7E"/>
    <w:rsid w:val="004E607F"/>
    <w:rsid w:val="004E77E7"/>
    <w:rsid w:val="004F0E13"/>
    <w:rsid w:val="004F0EF7"/>
    <w:rsid w:val="004F347C"/>
    <w:rsid w:val="004F5BCB"/>
    <w:rsid w:val="00500DA2"/>
    <w:rsid w:val="0050154B"/>
    <w:rsid w:val="0050294A"/>
    <w:rsid w:val="00505528"/>
    <w:rsid w:val="00506E66"/>
    <w:rsid w:val="005072D3"/>
    <w:rsid w:val="00511968"/>
    <w:rsid w:val="00512394"/>
    <w:rsid w:val="00512B4A"/>
    <w:rsid w:val="00513CB9"/>
    <w:rsid w:val="00514B00"/>
    <w:rsid w:val="00515AEB"/>
    <w:rsid w:val="005236D8"/>
    <w:rsid w:val="00525151"/>
    <w:rsid w:val="00527E97"/>
    <w:rsid w:val="0053031C"/>
    <w:rsid w:val="0053223A"/>
    <w:rsid w:val="00532DCF"/>
    <w:rsid w:val="005406B2"/>
    <w:rsid w:val="00542574"/>
    <w:rsid w:val="00542A39"/>
    <w:rsid w:val="00544E6F"/>
    <w:rsid w:val="00550B96"/>
    <w:rsid w:val="0055111C"/>
    <w:rsid w:val="00552468"/>
    <w:rsid w:val="00555386"/>
    <w:rsid w:val="0055614C"/>
    <w:rsid w:val="00557B33"/>
    <w:rsid w:val="00561F2B"/>
    <w:rsid w:val="00564E43"/>
    <w:rsid w:val="00566D06"/>
    <w:rsid w:val="005679CD"/>
    <w:rsid w:val="00567B16"/>
    <w:rsid w:val="0057120E"/>
    <w:rsid w:val="005769B5"/>
    <w:rsid w:val="00577C12"/>
    <w:rsid w:val="005805B4"/>
    <w:rsid w:val="005806F5"/>
    <w:rsid w:val="00581E47"/>
    <w:rsid w:val="00582633"/>
    <w:rsid w:val="00594B14"/>
    <w:rsid w:val="005A29E1"/>
    <w:rsid w:val="005A32D8"/>
    <w:rsid w:val="005A3E6F"/>
    <w:rsid w:val="005A6C57"/>
    <w:rsid w:val="005A7188"/>
    <w:rsid w:val="005A77A4"/>
    <w:rsid w:val="005B0B58"/>
    <w:rsid w:val="005B12D3"/>
    <w:rsid w:val="005B3FD5"/>
    <w:rsid w:val="005B4217"/>
    <w:rsid w:val="005B4513"/>
    <w:rsid w:val="005C0395"/>
    <w:rsid w:val="005C15B2"/>
    <w:rsid w:val="005C16E5"/>
    <w:rsid w:val="005C3E99"/>
    <w:rsid w:val="005C473D"/>
    <w:rsid w:val="005C7B0E"/>
    <w:rsid w:val="005D2558"/>
    <w:rsid w:val="005D69ED"/>
    <w:rsid w:val="005D70AF"/>
    <w:rsid w:val="005D75AE"/>
    <w:rsid w:val="005E05BB"/>
    <w:rsid w:val="005E14C2"/>
    <w:rsid w:val="005E1CBD"/>
    <w:rsid w:val="005E30BF"/>
    <w:rsid w:val="005E74BF"/>
    <w:rsid w:val="005F37BC"/>
    <w:rsid w:val="005F611D"/>
    <w:rsid w:val="00601DFC"/>
    <w:rsid w:val="00601EE3"/>
    <w:rsid w:val="006054BD"/>
    <w:rsid w:val="00605795"/>
    <w:rsid w:val="00607BA5"/>
    <w:rsid w:val="006109A0"/>
    <w:rsid w:val="0061180A"/>
    <w:rsid w:val="00612C3D"/>
    <w:rsid w:val="00616610"/>
    <w:rsid w:val="00616DF2"/>
    <w:rsid w:val="006202DE"/>
    <w:rsid w:val="00622C8F"/>
    <w:rsid w:val="00626EB6"/>
    <w:rsid w:val="00630E37"/>
    <w:rsid w:val="0063203F"/>
    <w:rsid w:val="00632A42"/>
    <w:rsid w:val="006350D1"/>
    <w:rsid w:val="00636AE2"/>
    <w:rsid w:val="00637255"/>
    <w:rsid w:val="006374E5"/>
    <w:rsid w:val="00643819"/>
    <w:rsid w:val="00643C6D"/>
    <w:rsid w:val="00647397"/>
    <w:rsid w:val="006526D3"/>
    <w:rsid w:val="006529F4"/>
    <w:rsid w:val="006531AD"/>
    <w:rsid w:val="00655D03"/>
    <w:rsid w:val="00655ECF"/>
    <w:rsid w:val="00655F4D"/>
    <w:rsid w:val="006600A0"/>
    <w:rsid w:val="00660467"/>
    <w:rsid w:val="00660F40"/>
    <w:rsid w:val="00662490"/>
    <w:rsid w:val="006624CB"/>
    <w:rsid w:val="006642EE"/>
    <w:rsid w:val="006658E8"/>
    <w:rsid w:val="00671F68"/>
    <w:rsid w:val="0067616E"/>
    <w:rsid w:val="00682C01"/>
    <w:rsid w:val="00683388"/>
    <w:rsid w:val="00683F84"/>
    <w:rsid w:val="00685D1F"/>
    <w:rsid w:val="0069036C"/>
    <w:rsid w:val="00693BEE"/>
    <w:rsid w:val="00694D53"/>
    <w:rsid w:val="006A21C2"/>
    <w:rsid w:val="006A2377"/>
    <w:rsid w:val="006A4BA4"/>
    <w:rsid w:val="006A6A81"/>
    <w:rsid w:val="006B2E53"/>
    <w:rsid w:val="006B36C0"/>
    <w:rsid w:val="006C1B57"/>
    <w:rsid w:val="006C218C"/>
    <w:rsid w:val="006C2384"/>
    <w:rsid w:val="006C4B9E"/>
    <w:rsid w:val="006C5E9D"/>
    <w:rsid w:val="006C6242"/>
    <w:rsid w:val="006C6588"/>
    <w:rsid w:val="006C7CDD"/>
    <w:rsid w:val="006D4A9A"/>
    <w:rsid w:val="006D58C7"/>
    <w:rsid w:val="006D5C6E"/>
    <w:rsid w:val="006D6D53"/>
    <w:rsid w:val="006D6E32"/>
    <w:rsid w:val="006D70EF"/>
    <w:rsid w:val="006D7103"/>
    <w:rsid w:val="006D72A5"/>
    <w:rsid w:val="006D7E75"/>
    <w:rsid w:val="006E1B71"/>
    <w:rsid w:val="006E32DD"/>
    <w:rsid w:val="006E3F62"/>
    <w:rsid w:val="006E4C5E"/>
    <w:rsid w:val="006E5B24"/>
    <w:rsid w:val="006F04E9"/>
    <w:rsid w:val="006F2C7B"/>
    <w:rsid w:val="006F53AB"/>
    <w:rsid w:val="006F6861"/>
    <w:rsid w:val="006F7393"/>
    <w:rsid w:val="006F78E5"/>
    <w:rsid w:val="0070224F"/>
    <w:rsid w:val="007035F1"/>
    <w:rsid w:val="00704E03"/>
    <w:rsid w:val="00706D2C"/>
    <w:rsid w:val="007100A9"/>
    <w:rsid w:val="007115F7"/>
    <w:rsid w:val="00711CCD"/>
    <w:rsid w:val="0071404A"/>
    <w:rsid w:val="00722627"/>
    <w:rsid w:val="00723658"/>
    <w:rsid w:val="00726890"/>
    <w:rsid w:val="00726A2D"/>
    <w:rsid w:val="00731B9B"/>
    <w:rsid w:val="00732D95"/>
    <w:rsid w:val="007334E9"/>
    <w:rsid w:val="00733FEB"/>
    <w:rsid w:val="007352DE"/>
    <w:rsid w:val="00735E6D"/>
    <w:rsid w:val="00740E5F"/>
    <w:rsid w:val="00741323"/>
    <w:rsid w:val="00742958"/>
    <w:rsid w:val="00745D99"/>
    <w:rsid w:val="00747057"/>
    <w:rsid w:val="007470E9"/>
    <w:rsid w:val="0075010C"/>
    <w:rsid w:val="00752804"/>
    <w:rsid w:val="00753D80"/>
    <w:rsid w:val="00756B67"/>
    <w:rsid w:val="007607EE"/>
    <w:rsid w:val="0076393C"/>
    <w:rsid w:val="00764E84"/>
    <w:rsid w:val="00765036"/>
    <w:rsid w:val="007727E9"/>
    <w:rsid w:val="0077539C"/>
    <w:rsid w:val="00776152"/>
    <w:rsid w:val="0078059D"/>
    <w:rsid w:val="00780FBB"/>
    <w:rsid w:val="00780FDE"/>
    <w:rsid w:val="00782ACC"/>
    <w:rsid w:val="0078460C"/>
    <w:rsid w:val="00784F9E"/>
    <w:rsid w:val="00785689"/>
    <w:rsid w:val="00785DA0"/>
    <w:rsid w:val="007903ED"/>
    <w:rsid w:val="0079082B"/>
    <w:rsid w:val="00790870"/>
    <w:rsid w:val="0079389E"/>
    <w:rsid w:val="0079754B"/>
    <w:rsid w:val="007975F1"/>
    <w:rsid w:val="00797B6B"/>
    <w:rsid w:val="007A1E6D"/>
    <w:rsid w:val="007A2483"/>
    <w:rsid w:val="007A549D"/>
    <w:rsid w:val="007B05AF"/>
    <w:rsid w:val="007B0EB2"/>
    <w:rsid w:val="007B208D"/>
    <w:rsid w:val="007B4C01"/>
    <w:rsid w:val="007B5C25"/>
    <w:rsid w:val="007B6B21"/>
    <w:rsid w:val="007B6E8D"/>
    <w:rsid w:val="007C182A"/>
    <w:rsid w:val="007C193D"/>
    <w:rsid w:val="007C1D46"/>
    <w:rsid w:val="007C5FFA"/>
    <w:rsid w:val="007C6EDE"/>
    <w:rsid w:val="007D0282"/>
    <w:rsid w:val="007D0ADB"/>
    <w:rsid w:val="007E4767"/>
    <w:rsid w:val="007E4CED"/>
    <w:rsid w:val="007E7F54"/>
    <w:rsid w:val="007F234C"/>
    <w:rsid w:val="007F4226"/>
    <w:rsid w:val="007F5541"/>
    <w:rsid w:val="00801C12"/>
    <w:rsid w:val="008020B7"/>
    <w:rsid w:val="0080366D"/>
    <w:rsid w:val="00804556"/>
    <w:rsid w:val="008071DA"/>
    <w:rsid w:val="00810B6F"/>
    <w:rsid w:val="0081197F"/>
    <w:rsid w:val="0081245B"/>
    <w:rsid w:val="00814FE8"/>
    <w:rsid w:val="00815A94"/>
    <w:rsid w:val="00817AC5"/>
    <w:rsid w:val="00821536"/>
    <w:rsid w:val="00822BED"/>
    <w:rsid w:val="00822CE0"/>
    <w:rsid w:val="00822D0C"/>
    <w:rsid w:val="008262BE"/>
    <w:rsid w:val="00830385"/>
    <w:rsid w:val="00830593"/>
    <w:rsid w:val="008308B2"/>
    <w:rsid w:val="00830D20"/>
    <w:rsid w:val="0083104F"/>
    <w:rsid w:val="008325C9"/>
    <w:rsid w:val="00833EE2"/>
    <w:rsid w:val="008406FD"/>
    <w:rsid w:val="00841A6E"/>
    <w:rsid w:val="00841AB1"/>
    <w:rsid w:val="00845143"/>
    <w:rsid w:val="008464E9"/>
    <w:rsid w:val="008476BA"/>
    <w:rsid w:val="00850E3C"/>
    <w:rsid w:val="008514BC"/>
    <w:rsid w:val="00854FD1"/>
    <w:rsid w:val="0085549B"/>
    <w:rsid w:val="0085740C"/>
    <w:rsid w:val="008602BE"/>
    <w:rsid w:val="0086071A"/>
    <w:rsid w:val="00861A54"/>
    <w:rsid w:val="00864191"/>
    <w:rsid w:val="00864790"/>
    <w:rsid w:val="008654D2"/>
    <w:rsid w:val="00865627"/>
    <w:rsid w:val="00867DF9"/>
    <w:rsid w:val="008710B9"/>
    <w:rsid w:val="00871471"/>
    <w:rsid w:val="008750ED"/>
    <w:rsid w:val="008758D7"/>
    <w:rsid w:val="0088152C"/>
    <w:rsid w:val="00881CC2"/>
    <w:rsid w:val="00884680"/>
    <w:rsid w:val="00884937"/>
    <w:rsid w:val="00890079"/>
    <w:rsid w:val="008A01A4"/>
    <w:rsid w:val="008A032A"/>
    <w:rsid w:val="008A4221"/>
    <w:rsid w:val="008A47E8"/>
    <w:rsid w:val="008A5576"/>
    <w:rsid w:val="008A5C05"/>
    <w:rsid w:val="008A5C77"/>
    <w:rsid w:val="008B03C6"/>
    <w:rsid w:val="008B57EA"/>
    <w:rsid w:val="008B5A1F"/>
    <w:rsid w:val="008C1E91"/>
    <w:rsid w:val="008C23BD"/>
    <w:rsid w:val="008C2884"/>
    <w:rsid w:val="008C3A1C"/>
    <w:rsid w:val="008C6820"/>
    <w:rsid w:val="008C68F1"/>
    <w:rsid w:val="008C7CFB"/>
    <w:rsid w:val="008D29CC"/>
    <w:rsid w:val="008D3383"/>
    <w:rsid w:val="008D4402"/>
    <w:rsid w:val="008D5C55"/>
    <w:rsid w:val="008D67CA"/>
    <w:rsid w:val="008D70B1"/>
    <w:rsid w:val="008D763C"/>
    <w:rsid w:val="008E058A"/>
    <w:rsid w:val="008E1725"/>
    <w:rsid w:val="008E2F4B"/>
    <w:rsid w:val="008F0606"/>
    <w:rsid w:val="008F0D28"/>
    <w:rsid w:val="008F1535"/>
    <w:rsid w:val="008F1C2A"/>
    <w:rsid w:val="008F3447"/>
    <w:rsid w:val="008F397E"/>
    <w:rsid w:val="008F41BC"/>
    <w:rsid w:val="008F5861"/>
    <w:rsid w:val="008F79A8"/>
    <w:rsid w:val="009012A3"/>
    <w:rsid w:val="00906421"/>
    <w:rsid w:val="0090743D"/>
    <w:rsid w:val="009106F6"/>
    <w:rsid w:val="009135EA"/>
    <w:rsid w:val="0091492B"/>
    <w:rsid w:val="00916890"/>
    <w:rsid w:val="00917721"/>
    <w:rsid w:val="00921803"/>
    <w:rsid w:val="00926503"/>
    <w:rsid w:val="009269AE"/>
    <w:rsid w:val="00927788"/>
    <w:rsid w:val="009307B6"/>
    <w:rsid w:val="00932687"/>
    <w:rsid w:val="009373AE"/>
    <w:rsid w:val="009409A6"/>
    <w:rsid w:val="00941647"/>
    <w:rsid w:val="00942A73"/>
    <w:rsid w:val="00944777"/>
    <w:rsid w:val="00945512"/>
    <w:rsid w:val="00946939"/>
    <w:rsid w:val="00946987"/>
    <w:rsid w:val="009532DB"/>
    <w:rsid w:val="00953733"/>
    <w:rsid w:val="009537CA"/>
    <w:rsid w:val="009548A1"/>
    <w:rsid w:val="00957DCD"/>
    <w:rsid w:val="00960520"/>
    <w:rsid w:val="009608DA"/>
    <w:rsid w:val="00962004"/>
    <w:rsid w:val="0097010F"/>
    <w:rsid w:val="00971F85"/>
    <w:rsid w:val="009726AD"/>
    <w:rsid w:val="009726D8"/>
    <w:rsid w:val="00972918"/>
    <w:rsid w:val="00974F36"/>
    <w:rsid w:val="00975B1E"/>
    <w:rsid w:val="00982153"/>
    <w:rsid w:val="0098253A"/>
    <w:rsid w:val="009846F7"/>
    <w:rsid w:val="00991E2F"/>
    <w:rsid w:val="00992D02"/>
    <w:rsid w:val="00992EA0"/>
    <w:rsid w:val="00995D82"/>
    <w:rsid w:val="00996B0E"/>
    <w:rsid w:val="009A20F4"/>
    <w:rsid w:val="009A5CF6"/>
    <w:rsid w:val="009B132B"/>
    <w:rsid w:val="009B13EE"/>
    <w:rsid w:val="009B18AB"/>
    <w:rsid w:val="009B5BE6"/>
    <w:rsid w:val="009C39E1"/>
    <w:rsid w:val="009C4D41"/>
    <w:rsid w:val="009C73A0"/>
    <w:rsid w:val="009C7D83"/>
    <w:rsid w:val="009D008B"/>
    <w:rsid w:val="009D2577"/>
    <w:rsid w:val="009D387E"/>
    <w:rsid w:val="009D4BE1"/>
    <w:rsid w:val="009D7308"/>
    <w:rsid w:val="009E00C1"/>
    <w:rsid w:val="009E00CC"/>
    <w:rsid w:val="009E1F40"/>
    <w:rsid w:val="009F0358"/>
    <w:rsid w:val="009F398A"/>
    <w:rsid w:val="009F4947"/>
    <w:rsid w:val="009F50E5"/>
    <w:rsid w:val="009F722A"/>
    <w:rsid w:val="009F76DB"/>
    <w:rsid w:val="009F7ED6"/>
    <w:rsid w:val="00A0040B"/>
    <w:rsid w:val="00A03FA9"/>
    <w:rsid w:val="00A07488"/>
    <w:rsid w:val="00A0779D"/>
    <w:rsid w:val="00A11FDA"/>
    <w:rsid w:val="00A13977"/>
    <w:rsid w:val="00A15299"/>
    <w:rsid w:val="00A16226"/>
    <w:rsid w:val="00A169A4"/>
    <w:rsid w:val="00A213EA"/>
    <w:rsid w:val="00A21454"/>
    <w:rsid w:val="00A254BA"/>
    <w:rsid w:val="00A25BA1"/>
    <w:rsid w:val="00A27B85"/>
    <w:rsid w:val="00A30D83"/>
    <w:rsid w:val="00A30EBC"/>
    <w:rsid w:val="00A32879"/>
    <w:rsid w:val="00A32C3B"/>
    <w:rsid w:val="00A33B5F"/>
    <w:rsid w:val="00A37C3D"/>
    <w:rsid w:val="00A45F4F"/>
    <w:rsid w:val="00A4600C"/>
    <w:rsid w:val="00A54047"/>
    <w:rsid w:val="00A544C8"/>
    <w:rsid w:val="00A600A9"/>
    <w:rsid w:val="00A61443"/>
    <w:rsid w:val="00A63F65"/>
    <w:rsid w:val="00A710E8"/>
    <w:rsid w:val="00A717C3"/>
    <w:rsid w:val="00A72727"/>
    <w:rsid w:val="00A75455"/>
    <w:rsid w:val="00A76482"/>
    <w:rsid w:val="00A77F14"/>
    <w:rsid w:val="00A8052A"/>
    <w:rsid w:val="00A8105E"/>
    <w:rsid w:val="00A827F5"/>
    <w:rsid w:val="00A82E55"/>
    <w:rsid w:val="00A8379E"/>
    <w:rsid w:val="00A86735"/>
    <w:rsid w:val="00A87F55"/>
    <w:rsid w:val="00A90FB5"/>
    <w:rsid w:val="00A95F8E"/>
    <w:rsid w:val="00AA4848"/>
    <w:rsid w:val="00AA55B7"/>
    <w:rsid w:val="00AA5B9E"/>
    <w:rsid w:val="00AA5C53"/>
    <w:rsid w:val="00AA7AAF"/>
    <w:rsid w:val="00AB0822"/>
    <w:rsid w:val="00AB217B"/>
    <w:rsid w:val="00AB2407"/>
    <w:rsid w:val="00AB42D6"/>
    <w:rsid w:val="00AB436C"/>
    <w:rsid w:val="00AB53DF"/>
    <w:rsid w:val="00AB70C5"/>
    <w:rsid w:val="00AC088F"/>
    <w:rsid w:val="00AC427C"/>
    <w:rsid w:val="00AD2D25"/>
    <w:rsid w:val="00AD44AC"/>
    <w:rsid w:val="00AE188A"/>
    <w:rsid w:val="00AE6B84"/>
    <w:rsid w:val="00AF1F54"/>
    <w:rsid w:val="00AF4D27"/>
    <w:rsid w:val="00AF7F9B"/>
    <w:rsid w:val="00B0000C"/>
    <w:rsid w:val="00B028D4"/>
    <w:rsid w:val="00B07E5C"/>
    <w:rsid w:val="00B11815"/>
    <w:rsid w:val="00B1509C"/>
    <w:rsid w:val="00B20A52"/>
    <w:rsid w:val="00B2304F"/>
    <w:rsid w:val="00B26179"/>
    <w:rsid w:val="00B2680C"/>
    <w:rsid w:val="00B27BCD"/>
    <w:rsid w:val="00B304AF"/>
    <w:rsid w:val="00B30F49"/>
    <w:rsid w:val="00B32692"/>
    <w:rsid w:val="00B3312A"/>
    <w:rsid w:val="00B34FA1"/>
    <w:rsid w:val="00B34FBA"/>
    <w:rsid w:val="00B35AF0"/>
    <w:rsid w:val="00B3650A"/>
    <w:rsid w:val="00B4612F"/>
    <w:rsid w:val="00B47463"/>
    <w:rsid w:val="00B50068"/>
    <w:rsid w:val="00B54D1A"/>
    <w:rsid w:val="00B6134A"/>
    <w:rsid w:val="00B619EC"/>
    <w:rsid w:val="00B6493A"/>
    <w:rsid w:val="00B6641A"/>
    <w:rsid w:val="00B66903"/>
    <w:rsid w:val="00B67BC2"/>
    <w:rsid w:val="00B70052"/>
    <w:rsid w:val="00B7250C"/>
    <w:rsid w:val="00B76357"/>
    <w:rsid w:val="00B76FB7"/>
    <w:rsid w:val="00B8002A"/>
    <w:rsid w:val="00B80199"/>
    <w:rsid w:val="00B8024A"/>
    <w:rsid w:val="00B811F7"/>
    <w:rsid w:val="00B83421"/>
    <w:rsid w:val="00B8387C"/>
    <w:rsid w:val="00B864CB"/>
    <w:rsid w:val="00B90A7C"/>
    <w:rsid w:val="00B924D1"/>
    <w:rsid w:val="00B94A1D"/>
    <w:rsid w:val="00B9642F"/>
    <w:rsid w:val="00B96926"/>
    <w:rsid w:val="00BA038F"/>
    <w:rsid w:val="00BA04A9"/>
    <w:rsid w:val="00BA1590"/>
    <w:rsid w:val="00BA24DD"/>
    <w:rsid w:val="00BA4BE1"/>
    <w:rsid w:val="00BA5DC6"/>
    <w:rsid w:val="00BA6196"/>
    <w:rsid w:val="00BA7F98"/>
    <w:rsid w:val="00BB37C4"/>
    <w:rsid w:val="00BC06E0"/>
    <w:rsid w:val="00BC1C93"/>
    <w:rsid w:val="00BC2E9A"/>
    <w:rsid w:val="00BC4180"/>
    <w:rsid w:val="00BC6D8C"/>
    <w:rsid w:val="00BD749C"/>
    <w:rsid w:val="00BE1144"/>
    <w:rsid w:val="00BE6E86"/>
    <w:rsid w:val="00BE6F9C"/>
    <w:rsid w:val="00BF0BDA"/>
    <w:rsid w:val="00BF285D"/>
    <w:rsid w:val="00BF3ABC"/>
    <w:rsid w:val="00BF6B89"/>
    <w:rsid w:val="00C00FEE"/>
    <w:rsid w:val="00C04C56"/>
    <w:rsid w:val="00C12DC1"/>
    <w:rsid w:val="00C222F3"/>
    <w:rsid w:val="00C24FA1"/>
    <w:rsid w:val="00C26EA9"/>
    <w:rsid w:val="00C270B2"/>
    <w:rsid w:val="00C31154"/>
    <w:rsid w:val="00C33325"/>
    <w:rsid w:val="00C34006"/>
    <w:rsid w:val="00C35261"/>
    <w:rsid w:val="00C36B4C"/>
    <w:rsid w:val="00C41D15"/>
    <w:rsid w:val="00C426B1"/>
    <w:rsid w:val="00C42F52"/>
    <w:rsid w:val="00C45881"/>
    <w:rsid w:val="00C54805"/>
    <w:rsid w:val="00C60FA6"/>
    <w:rsid w:val="00C660D8"/>
    <w:rsid w:val="00C66160"/>
    <w:rsid w:val="00C70921"/>
    <w:rsid w:val="00C721AC"/>
    <w:rsid w:val="00C72BE7"/>
    <w:rsid w:val="00C731B6"/>
    <w:rsid w:val="00C73592"/>
    <w:rsid w:val="00C75F87"/>
    <w:rsid w:val="00C763CA"/>
    <w:rsid w:val="00C80F6B"/>
    <w:rsid w:val="00C82094"/>
    <w:rsid w:val="00C8304B"/>
    <w:rsid w:val="00C836F7"/>
    <w:rsid w:val="00C8387B"/>
    <w:rsid w:val="00C84465"/>
    <w:rsid w:val="00C860AA"/>
    <w:rsid w:val="00C861E2"/>
    <w:rsid w:val="00C86415"/>
    <w:rsid w:val="00C878B7"/>
    <w:rsid w:val="00C90521"/>
    <w:rsid w:val="00C90AE6"/>
    <w:rsid w:val="00C90D6A"/>
    <w:rsid w:val="00C92ADB"/>
    <w:rsid w:val="00C92BFF"/>
    <w:rsid w:val="00C94812"/>
    <w:rsid w:val="00C94896"/>
    <w:rsid w:val="00C954A0"/>
    <w:rsid w:val="00C96BD0"/>
    <w:rsid w:val="00C97BCA"/>
    <w:rsid w:val="00CA130F"/>
    <w:rsid w:val="00CA1ECB"/>
    <w:rsid w:val="00CA247E"/>
    <w:rsid w:val="00CA32D5"/>
    <w:rsid w:val="00CA3591"/>
    <w:rsid w:val="00CA3667"/>
    <w:rsid w:val="00CA6A6D"/>
    <w:rsid w:val="00CA6D21"/>
    <w:rsid w:val="00CB1455"/>
    <w:rsid w:val="00CB1BDB"/>
    <w:rsid w:val="00CB1FA5"/>
    <w:rsid w:val="00CB25A0"/>
    <w:rsid w:val="00CB573E"/>
    <w:rsid w:val="00CC1406"/>
    <w:rsid w:val="00CC2675"/>
    <w:rsid w:val="00CC3E6F"/>
    <w:rsid w:val="00CC49BD"/>
    <w:rsid w:val="00CC4C56"/>
    <w:rsid w:val="00CC72B6"/>
    <w:rsid w:val="00CD11A2"/>
    <w:rsid w:val="00CD12B5"/>
    <w:rsid w:val="00CD2122"/>
    <w:rsid w:val="00CD2E8A"/>
    <w:rsid w:val="00CD5851"/>
    <w:rsid w:val="00CE1EBE"/>
    <w:rsid w:val="00CE6F27"/>
    <w:rsid w:val="00CF0D9B"/>
    <w:rsid w:val="00CF17B0"/>
    <w:rsid w:val="00CF3D2A"/>
    <w:rsid w:val="00CF4F9F"/>
    <w:rsid w:val="00CF766E"/>
    <w:rsid w:val="00CF774E"/>
    <w:rsid w:val="00D018A1"/>
    <w:rsid w:val="00D0218D"/>
    <w:rsid w:val="00D039F4"/>
    <w:rsid w:val="00D04076"/>
    <w:rsid w:val="00D074C9"/>
    <w:rsid w:val="00D12D2B"/>
    <w:rsid w:val="00D14363"/>
    <w:rsid w:val="00D17796"/>
    <w:rsid w:val="00D207AA"/>
    <w:rsid w:val="00D2253A"/>
    <w:rsid w:val="00D22D69"/>
    <w:rsid w:val="00D25FB5"/>
    <w:rsid w:val="00D27125"/>
    <w:rsid w:val="00D2740D"/>
    <w:rsid w:val="00D27BE1"/>
    <w:rsid w:val="00D3143B"/>
    <w:rsid w:val="00D31E4D"/>
    <w:rsid w:val="00D3275D"/>
    <w:rsid w:val="00D33E38"/>
    <w:rsid w:val="00D33ED4"/>
    <w:rsid w:val="00D42F2B"/>
    <w:rsid w:val="00D44223"/>
    <w:rsid w:val="00D454EC"/>
    <w:rsid w:val="00D45D1C"/>
    <w:rsid w:val="00D45D2F"/>
    <w:rsid w:val="00D4681C"/>
    <w:rsid w:val="00D470E2"/>
    <w:rsid w:val="00D47723"/>
    <w:rsid w:val="00D51E13"/>
    <w:rsid w:val="00D51E2C"/>
    <w:rsid w:val="00D52C9D"/>
    <w:rsid w:val="00D541B4"/>
    <w:rsid w:val="00D5736F"/>
    <w:rsid w:val="00D60864"/>
    <w:rsid w:val="00D61654"/>
    <w:rsid w:val="00D6259F"/>
    <w:rsid w:val="00D64789"/>
    <w:rsid w:val="00D65937"/>
    <w:rsid w:val="00D80921"/>
    <w:rsid w:val="00D82CE1"/>
    <w:rsid w:val="00D84E57"/>
    <w:rsid w:val="00D865C3"/>
    <w:rsid w:val="00D868F6"/>
    <w:rsid w:val="00D87AC8"/>
    <w:rsid w:val="00D9038C"/>
    <w:rsid w:val="00D93A6B"/>
    <w:rsid w:val="00D95C14"/>
    <w:rsid w:val="00D96BFA"/>
    <w:rsid w:val="00DA2529"/>
    <w:rsid w:val="00DA2BC9"/>
    <w:rsid w:val="00DA4651"/>
    <w:rsid w:val="00DA7B93"/>
    <w:rsid w:val="00DB130A"/>
    <w:rsid w:val="00DB2EBB"/>
    <w:rsid w:val="00DB431B"/>
    <w:rsid w:val="00DB5DF3"/>
    <w:rsid w:val="00DC10A1"/>
    <w:rsid w:val="00DC31F1"/>
    <w:rsid w:val="00DC5C26"/>
    <w:rsid w:val="00DC655F"/>
    <w:rsid w:val="00DD0044"/>
    <w:rsid w:val="00DD0B59"/>
    <w:rsid w:val="00DD5AD4"/>
    <w:rsid w:val="00DD7C12"/>
    <w:rsid w:val="00DD7EBD"/>
    <w:rsid w:val="00DE3F02"/>
    <w:rsid w:val="00DE5BB9"/>
    <w:rsid w:val="00DE5C85"/>
    <w:rsid w:val="00DE637D"/>
    <w:rsid w:val="00DF167A"/>
    <w:rsid w:val="00DF1D8D"/>
    <w:rsid w:val="00DF2704"/>
    <w:rsid w:val="00DF519A"/>
    <w:rsid w:val="00DF62B6"/>
    <w:rsid w:val="00E032FF"/>
    <w:rsid w:val="00E03B84"/>
    <w:rsid w:val="00E07225"/>
    <w:rsid w:val="00E10A35"/>
    <w:rsid w:val="00E116F8"/>
    <w:rsid w:val="00E12744"/>
    <w:rsid w:val="00E12A79"/>
    <w:rsid w:val="00E12BCC"/>
    <w:rsid w:val="00E1372F"/>
    <w:rsid w:val="00E13867"/>
    <w:rsid w:val="00E17F0A"/>
    <w:rsid w:val="00E259AE"/>
    <w:rsid w:val="00E26B86"/>
    <w:rsid w:val="00E27992"/>
    <w:rsid w:val="00E27B6A"/>
    <w:rsid w:val="00E303D7"/>
    <w:rsid w:val="00E34700"/>
    <w:rsid w:val="00E35754"/>
    <w:rsid w:val="00E35C71"/>
    <w:rsid w:val="00E36591"/>
    <w:rsid w:val="00E456CB"/>
    <w:rsid w:val="00E45774"/>
    <w:rsid w:val="00E47625"/>
    <w:rsid w:val="00E51436"/>
    <w:rsid w:val="00E522A4"/>
    <w:rsid w:val="00E52318"/>
    <w:rsid w:val="00E5409F"/>
    <w:rsid w:val="00E56BEF"/>
    <w:rsid w:val="00E620C7"/>
    <w:rsid w:val="00E622A2"/>
    <w:rsid w:val="00E62A43"/>
    <w:rsid w:val="00E62B92"/>
    <w:rsid w:val="00E62C15"/>
    <w:rsid w:val="00E63B06"/>
    <w:rsid w:val="00E645B3"/>
    <w:rsid w:val="00E65937"/>
    <w:rsid w:val="00E66DAB"/>
    <w:rsid w:val="00E670C4"/>
    <w:rsid w:val="00E67C96"/>
    <w:rsid w:val="00E71BB7"/>
    <w:rsid w:val="00E732E6"/>
    <w:rsid w:val="00E76CC2"/>
    <w:rsid w:val="00E80C32"/>
    <w:rsid w:val="00E815E2"/>
    <w:rsid w:val="00E82A26"/>
    <w:rsid w:val="00E8461F"/>
    <w:rsid w:val="00E86088"/>
    <w:rsid w:val="00E871E6"/>
    <w:rsid w:val="00E872A6"/>
    <w:rsid w:val="00E878B8"/>
    <w:rsid w:val="00E91CEA"/>
    <w:rsid w:val="00E956D1"/>
    <w:rsid w:val="00E967B0"/>
    <w:rsid w:val="00EA22FC"/>
    <w:rsid w:val="00EA434E"/>
    <w:rsid w:val="00EA7092"/>
    <w:rsid w:val="00EA711E"/>
    <w:rsid w:val="00EB198E"/>
    <w:rsid w:val="00EB21AE"/>
    <w:rsid w:val="00EB3CC7"/>
    <w:rsid w:val="00EB4B2D"/>
    <w:rsid w:val="00EB5153"/>
    <w:rsid w:val="00EB5422"/>
    <w:rsid w:val="00EB5B09"/>
    <w:rsid w:val="00EB5E31"/>
    <w:rsid w:val="00EB6995"/>
    <w:rsid w:val="00EB70C3"/>
    <w:rsid w:val="00EC1053"/>
    <w:rsid w:val="00EC2840"/>
    <w:rsid w:val="00EC4223"/>
    <w:rsid w:val="00EC51D3"/>
    <w:rsid w:val="00ED0BB4"/>
    <w:rsid w:val="00ED11A3"/>
    <w:rsid w:val="00ED2018"/>
    <w:rsid w:val="00ED4261"/>
    <w:rsid w:val="00ED4E8C"/>
    <w:rsid w:val="00ED7B91"/>
    <w:rsid w:val="00EE255A"/>
    <w:rsid w:val="00EE43DE"/>
    <w:rsid w:val="00EE4EA2"/>
    <w:rsid w:val="00EE6488"/>
    <w:rsid w:val="00EE64B6"/>
    <w:rsid w:val="00EE65E6"/>
    <w:rsid w:val="00EF1FA7"/>
    <w:rsid w:val="00EF5E6E"/>
    <w:rsid w:val="00EF6232"/>
    <w:rsid w:val="00F021FA"/>
    <w:rsid w:val="00F054D0"/>
    <w:rsid w:val="00F05B39"/>
    <w:rsid w:val="00F05C94"/>
    <w:rsid w:val="00F06497"/>
    <w:rsid w:val="00F07F42"/>
    <w:rsid w:val="00F10D51"/>
    <w:rsid w:val="00F13463"/>
    <w:rsid w:val="00F158D5"/>
    <w:rsid w:val="00F20FAE"/>
    <w:rsid w:val="00F249F8"/>
    <w:rsid w:val="00F27FE5"/>
    <w:rsid w:val="00F30A6D"/>
    <w:rsid w:val="00F365CE"/>
    <w:rsid w:val="00F408BB"/>
    <w:rsid w:val="00F419D4"/>
    <w:rsid w:val="00F44231"/>
    <w:rsid w:val="00F46189"/>
    <w:rsid w:val="00F46590"/>
    <w:rsid w:val="00F46ADF"/>
    <w:rsid w:val="00F473CA"/>
    <w:rsid w:val="00F500F2"/>
    <w:rsid w:val="00F51694"/>
    <w:rsid w:val="00F53EAD"/>
    <w:rsid w:val="00F53F17"/>
    <w:rsid w:val="00F55787"/>
    <w:rsid w:val="00F57D54"/>
    <w:rsid w:val="00F603AA"/>
    <w:rsid w:val="00F627F4"/>
    <w:rsid w:val="00F62E97"/>
    <w:rsid w:val="00F62EEF"/>
    <w:rsid w:val="00F64209"/>
    <w:rsid w:val="00F662D0"/>
    <w:rsid w:val="00F67EF5"/>
    <w:rsid w:val="00F743F4"/>
    <w:rsid w:val="00F74B22"/>
    <w:rsid w:val="00F757E9"/>
    <w:rsid w:val="00F76C69"/>
    <w:rsid w:val="00F8014B"/>
    <w:rsid w:val="00F826BF"/>
    <w:rsid w:val="00F8377C"/>
    <w:rsid w:val="00F91BD3"/>
    <w:rsid w:val="00F93BF5"/>
    <w:rsid w:val="00FA33D4"/>
    <w:rsid w:val="00FA46F0"/>
    <w:rsid w:val="00FB1509"/>
    <w:rsid w:val="00FB34A3"/>
    <w:rsid w:val="00FB3B99"/>
    <w:rsid w:val="00FB5775"/>
    <w:rsid w:val="00FB626B"/>
    <w:rsid w:val="00FB70B6"/>
    <w:rsid w:val="00FC09B8"/>
    <w:rsid w:val="00FC2C18"/>
    <w:rsid w:val="00FC5E09"/>
    <w:rsid w:val="00FD1084"/>
    <w:rsid w:val="00FD2C4A"/>
    <w:rsid w:val="00FD2E2D"/>
    <w:rsid w:val="00FD6111"/>
    <w:rsid w:val="00FD798B"/>
    <w:rsid w:val="00FE0414"/>
    <w:rsid w:val="00FE1840"/>
    <w:rsid w:val="00FE3FC9"/>
    <w:rsid w:val="00FE636F"/>
    <w:rsid w:val="00FE6598"/>
    <w:rsid w:val="00FE73ED"/>
    <w:rsid w:val="00FF384D"/>
    <w:rsid w:val="00FF4E51"/>
    <w:rsid w:val="00FF508D"/>
    <w:rsid w:val="00FF7F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A695BD"/>
  <w15:chartTrackingRefBased/>
  <w15:docId w15:val="{62F5565F-7A19-403D-899E-D50A564A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5FB5"/>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 Char,Footnote Text Char1,Footnote Text Char2 Char Char,Footnote Text Char2 Char1 Char1 Char Char,Footnote Text Char3 Char1 Char Char,Footnote Text Char3 Char1 Char Char Char Char,Footnote Text Times New Roman,f,fn,fn Ch"/>
    <w:link w:val="FootnoteTextChar"/>
    <w:rsid w:val="000E3D42"/>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D7308"/>
    <w:rPr>
      <w:snapToGrid w:val="0"/>
      <w:kern w:val="28"/>
      <w:sz w:val="22"/>
    </w:rPr>
  </w:style>
  <w:style w:type="character" w:customStyle="1" w:styleId="FootnoteTextChar">
    <w:name w:val="Footnote Text Char"/>
    <w:aliases w:val="Footnote Text Char Char Char,Footnote Text Char1 Char,Footnote Text Char2 Char Char Char,Footnote Text Char2 Char1 Char1 Char Char Char,Footnote Text Char3 Char1 Char Char Char,Footnote Text Char3 Char1 Char Char Char Char Char,f Char"/>
    <w:link w:val="FootnoteText"/>
    <w:rsid w:val="00513CB9"/>
  </w:style>
  <w:style w:type="paragraph" w:styleId="Revision">
    <w:name w:val="Revision"/>
    <w:hidden/>
    <w:uiPriority w:val="99"/>
    <w:semiHidden/>
    <w:rsid w:val="004B0543"/>
    <w:rPr>
      <w:snapToGrid w:val="0"/>
      <w:kern w:val="28"/>
      <w:sz w:val="22"/>
    </w:rPr>
  </w:style>
  <w:style w:type="character" w:styleId="CommentReference">
    <w:name w:val="annotation reference"/>
    <w:rsid w:val="001C7DB6"/>
    <w:rPr>
      <w:sz w:val="16"/>
      <w:szCs w:val="16"/>
    </w:rPr>
  </w:style>
  <w:style w:type="paragraph" w:styleId="CommentText">
    <w:name w:val="annotation text"/>
    <w:basedOn w:val="Normal"/>
    <w:link w:val="CommentTextChar"/>
    <w:rsid w:val="001C7DB6"/>
    <w:rPr>
      <w:sz w:val="20"/>
    </w:rPr>
  </w:style>
  <w:style w:type="character" w:customStyle="1" w:styleId="CommentTextChar">
    <w:name w:val="Comment Text Char"/>
    <w:link w:val="CommentText"/>
    <w:rsid w:val="001C7DB6"/>
    <w:rPr>
      <w:snapToGrid w:val="0"/>
      <w:kern w:val="28"/>
    </w:rPr>
  </w:style>
  <w:style w:type="paragraph" w:styleId="CommentSubject">
    <w:name w:val="annotation subject"/>
    <w:basedOn w:val="CommentText"/>
    <w:next w:val="CommentText"/>
    <w:link w:val="CommentSubjectChar"/>
    <w:rsid w:val="001C7DB6"/>
    <w:rPr>
      <w:b/>
      <w:bCs/>
    </w:rPr>
  </w:style>
  <w:style w:type="character" w:customStyle="1" w:styleId="CommentSubjectChar">
    <w:name w:val="Comment Subject Char"/>
    <w:link w:val="CommentSubject"/>
    <w:rsid w:val="001C7DB6"/>
    <w:rPr>
      <w:b/>
      <w:bCs/>
      <w:snapToGrid w:val="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