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3F534F" w14:paraId="3CF9CC60" w14:textId="77777777">
      <w:pPr>
        <w:jc w:val="right"/>
        <w:rPr>
          <w:b/>
          <w:sz w:val="24"/>
        </w:rPr>
      </w:pPr>
    </w:p>
    <w:p w:rsidR="00BA3BA8" w14:paraId="3F171B6D" w14:textId="6113444B">
      <w:pPr>
        <w:jc w:val="right"/>
        <w:rPr>
          <w:b/>
          <w:sz w:val="24"/>
        </w:rPr>
      </w:pPr>
      <w:r>
        <w:rPr>
          <w:b/>
          <w:sz w:val="24"/>
        </w:rPr>
        <w:t>DA 2</w:t>
      </w:r>
      <w:r w:rsidR="0075283B">
        <w:rPr>
          <w:b/>
          <w:sz w:val="24"/>
        </w:rPr>
        <w:t>6</w:t>
      </w:r>
      <w:r>
        <w:rPr>
          <w:b/>
          <w:sz w:val="24"/>
        </w:rPr>
        <w:t>-</w:t>
      </w:r>
      <w:r w:rsidR="00D0441C">
        <w:rPr>
          <w:b/>
          <w:sz w:val="24"/>
        </w:rPr>
        <w:t>326</w:t>
      </w:r>
    </w:p>
    <w:p w:rsidR="00BA3BA8" w14:paraId="74840477" w14:textId="3E55FF50">
      <w:pPr>
        <w:spacing w:before="60"/>
        <w:jc w:val="right"/>
        <w:rPr>
          <w:b/>
          <w:sz w:val="24"/>
        </w:rPr>
      </w:pPr>
      <w:r>
        <w:rPr>
          <w:b/>
          <w:sz w:val="24"/>
        </w:rPr>
        <w:t xml:space="preserve">Released:  </w:t>
      </w:r>
      <w:r w:rsidR="00867449">
        <w:rPr>
          <w:b/>
          <w:sz w:val="24"/>
        </w:rPr>
        <w:t>April</w:t>
      </w:r>
      <w:r w:rsidR="00350610">
        <w:rPr>
          <w:b/>
          <w:sz w:val="24"/>
        </w:rPr>
        <w:t xml:space="preserve"> </w:t>
      </w:r>
      <w:r w:rsidR="00A971AE">
        <w:rPr>
          <w:b/>
          <w:sz w:val="24"/>
        </w:rPr>
        <w:t>2</w:t>
      </w:r>
      <w:r w:rsidR="00087ED8">
        <w:rPr>
          <w:b/>
          <w:sz w:val="24"/>
        </w:rPr>
        <w:t>, 202</w:t>
      </w:r>
      <w:r w:rsidR="00784FAE">
        <w:rPr>
          <w:b/>
          <w:sz w:val="24"/>
        </w:rPr>
        <w:t>6</w:t>
      </w:r>
    </w:p>
    <w:p w:rsidR="00BA3BA8" w14:paraId="07AC45EA" w14:textId="77777777">
      <w:pPr>
        <w:jc w:val="right"/>
        <w:rPr>
          <w:sz w:val="24"/>
        </w:rPr>
      </w:pPr>
    </w:p>
    <w:p w:rsidR="00F765B6" w:rsidP="00F765B6" w14:paraId="72D2665E" w14:textId="4BE0C466">
      <w:pPr>
        <w:jc w:val="center"/>
        <w:rPr>
          <w:b/>
          <w:bCs/>
          <w:szCs w:val="22"/>
        </w:rPr>
      </w:pPr>
      <w:r w:rsidRPr="00DB3CBC">
        <w:rPr>
          <w:b/>
          <w:bCs/>
          <w:szCs w:val="22"/>
        </w:rPr>
        <w:t xml:space="preserve">DOMESTIC </w:t>
      </w:r>
      <w:r w:rsidRPr="00DB3CBC">
        <w:rPr>
          <w:b/>
          <w:bCs/>
          <w:caps/>
          <w:szCs w:val="22"/>
        </w:rPr>
        <w:t>SECTION</w:t>
      </w:r>
      <w:r w:rsidRPr="00DB3CBC">
        <w:rPr>
          <w:b/>
          <w:bCs/>
          <w:szCs w:val="22"/>
        </w:rPr>
        <w:t xml:space="preserve"> 214 APPLICATION </w:t>
      </w:r>
      <w:r w:rsidR="00867449">
        <w:rPr>
          <w:b/>
          <w:bCs/>
          <w:szCs w:val="22"/>
        </w:rPr>
        <w:t>GRANTED</w:t>
      </w:r>
      <w:r w:rsidRPr="00DB3CBC">
        <w:rPr>
          <w:b/>
          <w:bCs/>
          <w:szCs w:val="22"/>
        </w:rPr>
        <w:t xml:space="preserve"> FOR THE TRANSFER OF CONTROL OF</w:t>
      </w:r>
      <w:r>
        <w:rPr>
          <w:b/>
          <w:bCs/>
          <w:szCs w:val="22"/>
        </w:rPr>
        <w:t xml:space="preserve"> </w:t>
      </w:r>
      <w:r w:rsidRPr="002903BF" w:rsidR="002903BF">
        <w:rPr>
          <w:rFonts w:ascii="Times New Roman Bold" w:hAnsi="Times New Roman Bold"/>
          <w:b/>
          <w:bCs/>
          <w:caps/>
          <w:szCs w:val="22"/>
        </w:rPr>
        <w:t>CCI Network Services,</w:t>
      </w:r>
      <w:r w:rsidRPr="002903BF" w:rsidR="002903BF">
        <w:rPr>
          <w:b/>
          <w:bCs/>
          <w:szCs w:val="22"/>
        </w:rPr>
        <w:t xml:space="preserve"> LLC </w:t>
      </w:r>
      <w:r w:rsidR="002903BF">
        <w:rPr>
          <w:b/>
          <w:bCs/>
          <w:szCs w:val="22"/>
        </w:rPr>
        <w:t xml:space="preserve">FROM NETWORK SERVICES HOLDINGS, LLC </w:t>
      </w:r>
      <w:r w:rsidR="00020F8F">
        <w:rPr>
          <w:b/>
          <w:bCs/>
          <w:szCs w:val="22"/>
        </w:rPr>
        <w:t xml:space="preserve">TO </w:t>
      </w:r>
      <w:r w:rsidRPr="00020F8F" w:rsidR="00020F8F">
        <w:rPr>
          <w:b/>
          <w:bCs/>
          <w:szCs w:val="22"/>
        </w:rPr>
        <w:t>APPSMART TGN, INC.</w:t>
      </w:r>
    </w:p>
    <w:p w:rsidR="00F765B6" w:rsidRPr="00F765B6" w:rsidP="00F765B6" w14:paraId="60BE1411" w14:textId="6E42C02A">
      <w:pPr>
        <w:jc w:val="center"/>
        <w:rPr>
          <w:b/>
          <w:bCs/>
          <w:szCs w:val="22"/>
        </w:rPr>
      </w:pPr>
    </w:p>
    <w:p w:rsidR="00BA3BA8" w14:paraId="3563A964" w14:textId="5C95AEDF">
      <w:pPr>
        <w:jc w:val="center"/>
        <w:rPr>
          <w:b/>
          <w:sz w:val="24"/>
        </w:rPr>
      </w:pPr>
      <w:r>
        <w:rPr>
          <w:b/>
          <w:sz w:val="24"/>
        </w:rPr>
        <w:t>WC Docket No. 25-</w:t>
      </w:r>
      <w:r w:rsidR="00350610">
        <w:rPr>
          <w:b/>
          <w:sz w:val="24"/>
        </w:rPr>
        <w:t>343</w:t>
      </w:r>
    </w:p>
    <w:p w:rsidR="00087ED8" w:rsidP="00087ED8" w14:paraId="56DDC2CF" w14:textId="77777777">
      <w:pPr>
        <w:rPr>
          <w:b/>
          <w:sz w:val="24"/>
        </w:rPr>
      </w:pPr>
    </w:p>
    <w:p w:rsidR="00867449" w:rsidP="00867449" w14:paraId="7D89C14E" w14:textId="593A8B24">
      <w:pPr>
        <w:autoSpaceDE w:val="0"/>
        <w:autoSpaceDN w:val="0"/>
        <w:adjustRightInd w:val="0"/>
        <w:spacing w:after="120"/>
        <w:ind w:firstLine="720"/>
      </w:pPr>
      <w:r w:rsidRPr="00FD7EE2">
        <w:rPr>
          <w:szCs w:val="22"/>
        </w:rPr>
        <w:t xml:space="preserve">By this Public Notice, the Wireline Competition Bureau </w:t>
      </w:r>
      <w:r>
        <w:rPr>
          <w:szCs w:val="22"/>
        </w:rPr>
        <w:t>(Bureau) grants</w:t>
      </w:r>
      <w:r w:rsidR="00B14AF7">
        <w:rPr>
          <w:szCs w:val="22"/>
        </w:rPr>
        <w:t xml:space="preserve">, as conditioned, </w:t>
      </w:r>
      <w:r w:rsidRPr="00FD7EE2">
        <w:rPr>
          <w:szCs w:val="22"/>
        </w:rPr>
        <w:t xml:space="preserve">an application filed by </w:t>
      </w:r>
      <w:bookmarkStart w:id="0" w:name="_Hlk73713070"/>
      <w:bookmarkStart w:id="1" w:name="_Hlk67917977"/>
      <w:r w:rsidRPr="00020F8F" w:rsidR="00020F8F">
        <w:rPr>
          <w:szCs w:val="22"/>
        </w:rPr>
        <w:t>Network Services Holdings, LLC (</w:t>
      </w:r>
      <w:r w:rsidR="002903BF">
        <w:rPr>
          <w:szCs w:val="22"/>
        </w:rPr>
        <w:t>Network Services</w:t>
      </w:r>
      <w:r w:rsidRPr="00020F8F" w:rsidR="00020F8F">
        <w:rPr>
          <w:szCs w:val="22"/>
        </w:rPr>
        <w:t>), CCI Network Services, LLC (CCI</w:t>
      </w:r>
      <w:r w:rsidR="004351E0">
        <w:rPr>
          <w:szCs w:val="22"/>
        </w:rPr>
        <w:t xml:space="preserve"> or Licensee</w:t>
      </w:r>
      <w:r w:rsidRPr="00020F8F" w:rsidR="00020F8F">
        <w:rPr>
          <w:szCs w:val="22"/>
        </w:rPr>
        <w:t>)</w:t>
      </w:r>
      <w:r w:rsidR="004351E0">
        <w:rPr>
          <w:szCs w:val="22"/>
        </w:rPr>
        <w:t>,</w:t>
      </w:r>
      <w:r w:rsidRPr="00020F8F" w:rsidR="00020F8F">
        <w:rPr>
          <w:szCs w:val="22"/>
        </w:rPr>
        <w:t xml:space="preserve"> and </w:t>
      </w:r>
      <w:r w:rsidRPr="00020F8F" w:rsidR="00020F8F">
        <w:rPr>
          <w:szCs w:val="22"/>
        </w:rPr>
        <w:t>AppSmart</w:t>
      </w:r>
      <w:r w:rsidRPr="00020F8F" w:rsidR="00020F8F">
        <w:rPr>
          <w:szCs w:val="22"/>
        </w:rPr>
        <w:t xml:space="preserve"> TGN, Inc. (</w:t>
      </w:r>
      <w:bookmarkStart w:id="2" w:name="_Hlk216104623"/>
      <w:r w:rsidRPr="00020F8F" w:rsidR="00020F8F">
        <w:rPr>
          <w:szCs w:val="22"/>
        </w:rPr>
        <w:t>AppSmart</w:t>
      </w:r>
      <w:r w:rsidRPr="00020F8F" w:rsidR="00020F8F">
        <w:rPr>
          <w:szCs w:val="22"/>
        </w:rPr>
        <w:t xml:space="preserve"> TGN</w:t>
      </w:r>
      <w:bookmarkEnd w:id="2"/>
      <w:r w:rsidR="002903BF">
        <w:rPr>
          <w:szCs w:val="22"/>
        </w:rPr>
        <w:t>) (collectively,</w:t>
      </w:r>
      <w:r w:rsidRPr="00020F8F" w:rsidR="00020F8F">
        <w:rPr>
          <w:szCs w:val="22"/>
        </w:rPr>
        <w:t xml:space="preserve"> Applicants</w:t>
      </w:r>
      <w:r w:rsidRPr="00FD7EE2">
        <w:rPr>
          <w:szCs w:val="22"/>
        </w:rPr>
        <w:t>), pursuant to section 214(a) of the</w:t>
      </w:r>
      <w:r w:rsidR="00002E74">
        <w:rPr>
          <w:szCs w:val="22"/>
        </w:rPr>
        <w:t xml:space="preserve"> </w:t>
      </w:r>
      <w:r w:rsidRPr="00FD7EE2">
        <w:rPr>
          <w:szCs w:val="22"/>
        </w:rPr>
        <w:t>Communications Act of 1934, as amended, and sectio</w:t>
      </w:r>
      <w:r w:rsidRPr="002E63E2">
        <w:rPr>
          <w:szCs w:val="22"/>
        </w:rPr>
        <w:t>n</w:t>
      </w:r>
      <w:r w:rsidRPr="00FD7EE2">
        <w:rPr>
          <w:szCs w:val="22"/>
        </w:rPr>
        <w:t xml:space="preserve"> 63.</w:t>
      </w:r>
      <w:r w:rsidR="00624C75">
        <w:rPr>
          <w:szCs w:val="22"/>
        </w:rPr>
        <w:t>04</w:t>
      </w:r>
      <w:r w:rsidRPr="00FD7EE2">
        <w:rPr>
          <w:szCs w:val="22"/>
        </w:rPr>
        <w:t xml:space="preserve"> of the </w:t>
      </w:r>
      <w:r w:rsidR="00624C75">
        <w:rPr>
          <w:szCs w:val="22"/>
        </w:rPr>
        <w:t xml:space="preserve">Federal Communication </w:t>
      </w:r>
      <w:r w:rsidRPr="00FD7EE2">
        <w:rPr>
          <w:szCs w:val="22"/>
        </w:rPr>
        <w:t xml:space="preserve">Commission’s </w:t>
      </w:r>
      <w:r w:rsidR="004D0CC1">
        <w:rPr>
          <w:szCs w:val="22"/>
        </w:rPr>
        <w:t xml:space="preserve">(Commission) </w:t>
      </w:r>
      <w:r w:rsidRPr="00FD7EE2">
        <w:rPr>
          <w:szCs w:val="22"/>
        </w:rPr>
        <w:t>rules,</w:t>
      </w:r>
      <w:r>
        <w:rPr>
          <w:rStyle w:val="FootnoteReference"/>
          <w:szCs w:val="22"/>
        </w:rPr>
        <w:footnoteReference w:id="3"/>
      </w:r>
      <w:r w:rsidRPr="00FD7EE2">
        <w:rPr>
          <w:szCs w:val="22"/>
        </w:rPr>
        <w:t xml:space="preserve"> </w:t>
      </w:r>
      <w:bookmarkEnd w:id="0"/>
      <w:bookmarkEnd w:id="1"/>
      <w:r w:rsidRPr="00020F8F" w:rsidR="00020F8F">
        <w:rPr>
          <w:szCs w:val="22"/>
        </w:rPr>
        <w:t xml:space="preserve">requesting approval </w:t>
      </w:r>
      <w:r w:rsidRPr="00D95721" w:rsidR="00D95721">
        <w:rPr>
          <w:szCs w:val="22"/>
        </w:rPr>
        <w:t xml:space="preserve">to transfer ownership and control of </w:t>
      </w:r>
      <w:r w:rsidR="00D95721">
        <w:rPr>
          <w:szCs w:val="22"/>
        </w:rPr>
        <w:t>CCI</w:t>
      </w:r>
      <w:r w:rsidRPr="00D95721" w:rsidR="00D95721">
        <w:rPr>
          <w:szCs w:val="22"/>
        </w:rPr>
        <w:t xml:space="preserve"> to </w:t>
      </w:r>
      <w:r w:rsidRPr="00D95721" w:rsidR="00D95721">
        <w:rPr>
          <w:szCs w:val="22"/>
        </w:rPr>
        <w:t>AppSmart</w:t>
      </w:r>
      <w:r w:rsidRPr="00D95721" w:rsidR="00D95721">
        <w:rPr>
          <w:szCs w:val="22"/>
        </w:rPr>
        <w:t xml:space="preserve"> TGN</w:t>
      </w:r>
      <w:r w:rsidRPr="004353B8" w:rsidR="0075199B">
        <w:rPr>
          <w:szCs w:val="22"/>
        </w:rPr>
        <w:t>.</w:t>
      </w:r>
      <w:r w:rsidRPr="00E62AC9" w:rsidR="00E62AC9">
        <w:rPr>
          <w:szCs w:val="22"/>
          <w:vertAlign w:val="superscript"/>
        </w:rPr>
        <w:t xml:space="preserve"> </w:t>
      </w:r>
      <w:r>
        <w:rPr>
          <w:szCs w:val="22"/>
          <w:vertAlign w:val="superscript"/>
        </w:rPr>
        <w:footnoteReference w:id="4"/>
      </w:r>
    </w:p>
    <w:p w:rsidR="00867449" w:rsidRPr="00867449" w:rsidP="00B14AF7" w14:paraId="37A80BE4" w14:textId="01B44DFA">
      <w:pPr>
        <w:autoSpaceDE w:val="0"/>
        <w:autoSpaceDN w:val="0"/>
        <w:adjustRightInd w:val="0"/>
        <w:spacing w:after="120"/>
        <w:ind w:firstLine="720"/>
      </w:pPr>
      <w:r w:rsidRPr="00B14AF7">
        <w:t xml:space="preserve">On </w:t>
      </w:r>
      <w:r>
        <w:t>February 27</w:t>
      </w:r>
      <w:r w:rsidRPr="00B14AF7">
        <w:t>, 202</w:t>
      </w:r>
      <w:r>
        <w:t>6</w:t>
      </w:r>
      <w:r w:rsidRPr="00B14AF7">
        <w:t>, the Bureau released a Public Notice seeking comment on the Application.</w:t>
      </w:r>
      <w:r>
        <w:rPr>
          <w:vertAlign w:val="superscript"/>
        </w:rPr>
        <w:footnoteReference w:id="5"/>
      </w:r>
      <w:r w:rsidRPr="00B14AF7">
        <w:t xml:space="preserve"> The Bureau did not receive comments or petitions in opposition to the Application.</w:t>
      </w:r>
    </w:p>
    <w:p w:rsidR="00D95721" w:rsidP="00D95721" w14:paraId="6F1118D0" w14:textId="433A7DA5">
      <w:pPr>
        <w:autoSpaceDE w:val="0"/>
        <w:autoSpaceDN w:val="0"/>
        <w:adjustRightInd w:val="0"/>
        <w:spacing w:before="120" w:after="120"/>
        <w:ind w:firstLine="720"/>
        <w:rPr>
          <w:szCs w:val="22"/>
        </w:rPr>
      </w:pPr>
      <w:r w:rsidRPr="00D95721">
        <w:rPr>
          <w:szCs w:val="22"/>
        </w:rPr>
        <w:t>CCI is a Utah limited liability company that provides voice, data, and information services</w:t>
      </w:r>
      <w:r>
        <w:rPr>
          <w:szCs w:val="22"/>
        </w:rPr>
        <w:t xml:space="preserve"> </w:t>
      </w:r>
      <w:r w:rsidRPr="00D95721">
        <w:rPr>
          <w:szCs w:val="22"/>
        </w:rPr>
        <w:t>to business customers across the United States.</w:t>
      </w:r>
      <w:r>
        <w:rPr>
          <w:rStyle w:val="FootnoteReference"/>
          <w:szCs w:val="22"/>
        </w:rPr>
        <w:footnoteReference w:id="6"/>
      </w:r>
      <w:r w:rsidRPr="00D95721" w:rsidR="00670A9E">
        <w:rPr>
          <w:szCs w:val="22"/>
        </w:rPr>
        <w:t xml:space="preserve"> </w:t>
      </w:r>
      <w:r w:rsidR="00670A9E">
        <w:rPr>
          <w:szCs w:val="22"/>
        </w:rPr>
        <w:t xml:space="preserve"> </w:t>
      </w:r>
      <w:r w:rsidRPr="00D95721">
        <w:rPr>
          <w:szCs w:val="22"/>
        </w:rPr>
        <w:t>CCI purchases services for resale from underlying</w:t>
      </w:r>
      <w:r>
        <w:rPr>
          <w:szCs w:val="22"/>
        </w:rPr>
        <w:t xml:space="preserve"> </w:t>
      </w:r>
      <w:r w:rsidRPr="00D95721">
        <w:rPr>
          <w:szCs w:val="22"/>
        </w:rPr>
        <w:t>service providers, and owns or leases and operates certain switches, circuits, and other</w:t>
      </w:r>
      <w:r>
        <w:rPr>
          <w:szCs w:val="22"/>
        </w:rPr>
        <w:t xml:space="preserve"> </w:t>
      </w:r>
      <w:r w:rsidRPr="00D95721">
        <w:rPr>
          <w:szCs w:val="22"/>
        </w:rPr>
        <w:t>facilities to provide its services</w:t>
      </w:r>
      <w:r w:rsidR="00670A9E">
        <w:rPr>
          <w:szCs w:val="22"/>
        </w:rPr>
        <w:t>.</w:t>
      </w:r>
      <w:r>
        <w:rPr>
          <w:rStyle w:val="FootnoteReference"/>
          <w:szCs w:val="22"/>
        </w:rPr>
        <w:footnoteReference w:id="7"/>
      </w:r>
      <w:r w:rsidR="00670A9E">
        <w:rPr>
          <w:szCs w:val="22"/>
        </w:rPr>
        <w:t xml:space="preserve">  </w:t>
      </w:r>
      <w:r w:rsidRPr="00D95721">
        <w:rPr>
          <w:szCs w:val="22"/>
        </w:rPr>
        <w:t>Network Services</w:t>
      </w:r>
      <w:r w:rsidR="00670A9E">
        <w:rPr>
          <w:szCs w:val="22"/>
        </w:rPr>
        <w:t xml:space="preserve"> is </w:t>
      </w:r>
      <w:r w:rsidRPr="00D95721">
        <w:rPr>
          <w:szCs w:val="22"/>
        </w:rPr>
        <w:t>a Delaware limited liability company and a holding company that does not</w:t>
      </w:r>
      <w:r>
        <w:rPr>
          <w:szCs w:val="22"/>
        </w:rPr>
        <w:t xml:space="preserve"> </w:t>
      </w:r>
      <w:r w:rsidRPr="00D95721">
        <w:rPr>
          <w:szCs w:val="22"/>
        </w:rPr>
        <w:t>have its own operations.</w:t>
      </w:r>
      <w:r>
        <w:rPr>
          <w:rStyle w:val="FootnoteReference"/>
          <w:szCs w:val="22"/>
        </w:rPr>
        <w:footnoteReference w:id="8"/>
      </w:r>
      <w:r w:rsidR="00E62AC9">
        <w:rPr>
          <w:szCs w:val="22"/>
        </w:rPr>
        <w:t xml:space="preserve">  </w:t>
      </w:r>
    </w:p>
    <w:p w:rsidR="00D95721" w:rsidRPr="00D95721" w:rsidP="008628B1" w14:paraId="401B4697" w14:textId="449EE2F7">
      <w:pPr>
        <w:autoSpaceDE w:val="0"/>
        <w:autoSpaceDN w:val="0"/>
        <w:adjustRightInd w:val="0"/>
        <w:spacing w:before="120" w:after="120"/>
        <w:ind w:firstLine="720"/>
      </w:pPr>
      <w:r w:rsidRPr="00D95721">
        <w:t>AppSmart</w:t>
      </w:r>
      <w:r w:rsidRPr="00D95721">
        <w:t xml:space="preserve"> TGN, a Delaware corporation, provides limited international and toll-free telecommunications services on a resale basis to business customers in Michigan, Florida, Illinois, Indiana, New York, and Wisconsin.</w:t>
      </w:r>
      <w:r>
        <w:rPr>
          <w:vertAlign w:val="superscript"/>
        </w:rPr>
        <w:footnoteReference w:id="9"/>
      </w:r>
      <w:r w:rsidRPr="00D95721">
        <w:t xml:space="preserve">  </w:t>
      </w:r>
      <w:r w:rsidR="005C04DA">
        <w:t>AppSmart</w:t>
      </w:r>
      <w:r w:rsidR="005C04DA">
        <w:t xml:space="preserve"> TGN’s</w:t>
      </w:r>
      <w:r w:rsidRPr="00D95721">
        <w:t xml:space="preserve"> parent company, </w:t>
      </w:r>
      <w:r w:rsidRPr="00D95721">
        <w:t>AppDirect</w:t>
      </w:r>
      <w:r w:rsidRPr="00D95721">
        <w:t>, Inc. (</w:t>
      </w:r>
      <w:r w:rsidRPr="00D95721">
        <w:t>AppDirect</w:t>
      </w:r>
      <w:r w:rsidRPr="00D95721">
        <w:t>), a Delaware corporation, provides business-to-business cloud marketplace and cloud management services across the United States.</w:t>
      </w:r>
      <w:r>
        <w:rPr>
          <w:vertAlign w:val="superscript"/>
        </w:rPr>
        <w:footnoteReference w:id="10"/>
      </w:r>
      <w:r w:rsidRPr="00D95721">
        <w:t xml:space="preserve">  </w:t>
      </w:r>
      <w:r w:rsidR="008628B1">
        <w:t>AppSmart</w:t>
      </w:r>
      <w:r w:rsidR="008628B1">
        <w:t xml:space="preserve"> TGN’s telecommunications provider affiliates are resale-only </w:t>
      </w:r>
      <w:r w:rsidR="008628B1">
        <w:t>providers.</w:t>
      </w:r>
      <w:r>
        <w:rPr>
          <w:rStyle w:val="FootnoteReference"/>
        </w:rPr>
        <w:footnoteReference w:id="11"/>
      </w:r>
      <w:r w:rsidR="008628B1">
        <w:t xml:space="preserve">  </w:t>
      </w:r>
      <w:r w:rsidRPr="005C04DA" w:rsidR="005C04DA">
        <w:t xml:space="preserve">Applicants state that the following Canadian citizens hold a 10% or greater interest in </w:t>
      </w:r>
      <w:r w:rsidRPr="005C04DA" w:rsidR="005C04DA">
        <w:t>AppDirect</w:t>
      </w:r>
      <w:r w:rsidRPr="005C04DA" w:rsidR="005C04DA">
        <w:t>:  Nicolas Desmarais (11.7% equity and 44.5% voting);</w:t>
      </w:r>
      <w:r w:rsidRPr="005C04DA" w:rsidR="00D85EAC">
        <w:t xml:space="preserve"> </w:t>
      </w:r>
      <w:r w:rsidRPr="005C04DA" w:rsidR="005C04DA">
        <w:t xml:space="preserve">Paul Desmarais Jr. (12.6% equity and 6% voting); and Danial Saks </w:t>
      </w:r>
      <w:r w:rsidR="005C04DA">
        <w:t>(</w:t>
      </w:r>
      <w:r w:rsidRPr="005C04DA" w:rsidR="005C04DA">
        <w:t>5% equity and 23.6% voting).</w:t>
      </w:r>
      <w:r>
        <w:rPr>
          <w:vertAlign w:val="superscript"/>
        </w:rPr>
        <w:footnoteReference w:id="12"/>
      </w:r>
      <w:r w:rsidRPr="005C04DA" w:rsidR="005C04DA">
        <w:t xml:space="preserve">  </w:t>
      </w:r>
    </w:p>
    <w:p w:rsidR="00D95721" w:rsidRPr="00D95721" w:rsidP="004E479C" w14:paraId="716FEA31" w14:textId="7FB868E0">
      <w:pPr>
        <w:autoSpaceDE w:val="0"/>
        <w:autoSpaceDN w:val="0"/>
        <w:adjustRightInd w:val="0"/>
        <w:spacing w:before="120" w:after="120"/>
        <w:ind w:firstLine="720"/>
      </w:pPr>
      <w:r w:rsidRPr="00D95721">
        <w:t xml:space="preserve">Pursuant to the terms of the proposed transaction, </w:t>
      </w:r>
      <w:r w:rsidRPr="00D95721">
        <w:t>AppSmart</w:t>
      </w:r>
      <w:r w:rsidRPr="00D95721">
        <w:t xml:space="preserve"> TGN will acquire one hundred percent (100%) of the issued and outstanding </w:t>
      </w:r>
      <w:r w:rsidRPr="003C5CEA" w:rsidR="003C5CEA">
        <w:t>membership interest of CC</w:t>
      </w:r>
      <w:r w:rsidR="005116F7">
        <w:t>I</w:t>
      </w:r>
      <w:r w:rsidR="003C5CEA">
        <w:t>.</w:t>
      </w:r>
      <w:r>
        <w:rPr>
          <w:rStyle w:val="FootnoteReference"/>
        </w:rPr>
        <w:footnoteReference w:id="13"/>
      </w:r>
      <w:r w:rsidR="003C5CEA">
        <w:t xml:space="preserve">  </w:t>
      </w:r>
      <w:r w:rsidRPr="00D95721">
        <w:t xml:space="preserve">Applicants state that after consummation of the transaction, </w:t>
      </w:r>
      <w:r w:rsidR="00591E8B">
        <w:t xml:space="preserve">CCI </w:t>
      </w:r>
      <w:r w:rsidRPr="00D95721">
        <w:t>will continue to exist and operate under the same name.</w:t>
      </w:r>
      <w:r>
        <w:rPr>
          <w:vertAlign w:val="superscript"/>
        </w:rPr>
        <w:footnoteReference w:id="14"/>
      </w:r>
      <w:r w:rsidRPr="00D95721">
        <w:t xml:space="preserve">  Applicants assert that transaction will entail a change in the equity ownership of</w:t>
      </w:r>
      <w:r w:rsidR="00591E8B">
        <w:t xml:space="preserve"> CCI</w:t>
      </w:r>
      <w:r w:rsidRPr="00D95721">
        <w:t xml:space="preserve">; there will be </w:t>
      </w:r>
      <w:r w:rsidR="004E479C">
        <w:t>no transfer of its assets or liabilities</w:t>
      </w:r>
      <w:r w:rsidRPr="00D95721">
        <w:t>.</w:t>
      </w:r>
      <w:r>
        <w:rPr>
          <w:vertAlign w:val="superscript"/>
        </w:rPr>
        <w:footnoteReference w:id="15"/>
      </w:r>
      <w:r w:rsidRPr="00D95721">
        <w:t xml:space="preserve">  </w:t>
      </w:r>
    </w:p>
    <w:p w:rsidR="00F05D08" w:rsidP="002317B7" w14:paraId="13CA9DCA" w14:textId="6E166B5B">
      <w:pPr>
        <w:autoSpaceDE w:val="0"/>
        <w:autoSpaceDN w:val="0"/>
        <w:adjustRightInd w:val="0"/>
        <w:spacing w:before="120" w:after="120"/>
        <w:ind w:firstLine="720"/>
      </w:pPr>
      <w:r w:rsidRPr="00D4250F">
        <w:t xml:space="preserve">Applicants state that </w:t>
      </w:r>
      <w:r w:rsidRPr="00D4250F">
        <w:t>AppSmart</w:t>
      </w:r>
      <w:r w:rsidRPr="00D4250F">
        <w:t xml:space="preserve"> TGN is subject to an </w:t>
      </w:r>
      <w:r w:rsidR="00FB1D12">
        <w:t xml:space="preserve">existing mitigation </w:t>
      </w:r>
      <w:r w:rsidRPr="00D4250F">
        <w:t>agreement with Executive Branch agenc</w:t>
      </w:r>
      <w:r w:rsidR="00584D67">
        <w:t>ies</w:t>
      </w:r>
      <w:r w:rsidRPr="00D4250F">
        <w:t xml:space="preserve"> concerning national security and/or law enforcement.</w:t>
      </w:r>
      <w:r>
        <w:rPr>
          <w:vertAlign w:val="superscript"/>
        </w:rPr>
        <w:footnoteReference w:id="16"/>
      </w:r>
      <w:r w:rsidRPr="00D4250F">
        <w:t xml:space="preserve">  Applicants </w:t>
      </w:r>
      <w:r w:rsidRPr="00D4250F" w:rsidR="00541554">
        <w:t>also</w:t>
      </w:r>
      <w:r w:rsidRPr="00D4250F">
        <w:t xml:space="preserve"> state that there are no new reportable foreign owners of </w:t>
      </w:r>
      <w:r w:rsidRPr="00D4250F">
        <w:t>AppSmart</w:t>
      </w:r>
      <w:r w:rsidRPr="00D4250F">
        <w:t xml:space="preserve"> TGN since the effective date of the agreement and that </w:t>
      </w:r>
      <w:r w:rsidRPr="00D4250F">
        <w:t>AppSmart</w:t>
      </w:r>
      <w:r w:rsidRPr="00D4250F">
        <w:t xml:space="preserve"> TGN agrees to continue to comply with the terms of the agreement</w:t>
      </w:r>
      <w:r w:rsidR="004351E0">
        <w:t>.</w:t>
      </w:r>
      <w:r>
        <w:rPr>
          <w:vertAlign w:val="superscript"/>
        </w:rPr>
        <w:footnoteReference w:id="17"/>
      </w:r>
      <w:r w:rsidRPr="00D4250F">
        <w:t xml:space="preserve">  Further, Applicants request that we condition grant of the Application on continued compliance with the existing mitigation agreement applicable to </w:t>
      </w:r>
      <w:r w:rsidRPr="00D4250F">
        <w:t>AppSmart</w:t>
      </w:r>
      <w:r w:rsidRPr="00D4250F">
        <w:t xml:space="preserve"> TGN.</w:t>
      </w:r>
      <w:r>
        <w:rPr>
          <w:vertAlign w:val="superscript"/>
        </w:rPr>
        <w:footnoteReference w:id="18"/>
      </w:r>
      <w:r w:rsidRPr="00D4250F">
        <w:t xml:space="preserve">  </w:t>
      </w:r>
      <w:r w:rsidRPr="00D4250F" w:rsidR="00DB4124">
        <w:t xml:space="preserve">We </w:t>
      </w:r>
      <w:r w:rsidRPr="00D4250F">
        <w:t>found</w:t>
      </w:r>
      <w:r w:rsidR="00AF531D">
        <w:t xml:space="preserve"> previously</w:t>
      </w:r>
      <w:r w:rsidRPr="00D4250F">
        <w:t xml:space="preserve"> </w:t>
      </w:r>
      <w:r w:rsidRPr="00D4250F" w:rsidR="00DB4124">
        <w:t>that Applicants made a showing that this Application comes within an exclusion from referral to the Executive Branch for national security, law enforcement, foreign policy, and trade policy review.</w:t>
      </w:r>
      <w:r>
        <w:rPr>
          <w:vertAlign w:val="superscript"/>
        </w:rPr>
        <w:footnoteReference w:id="19"/>
      </w:r>
      <w:r>
        <w:t xml:space="preserve">  </w:t>
      </w:r>
      <w:r w:rsidRPr="00F05D08">
        <w:t xml:space="preserve">Although we did not formally refer the </w:t>
      </w:r>
      <w:r w:rsidR="00D43139">
        <w:t>Applicatio</w:t>
      </w:r>
      <w:r w:rsidRPr="00F05D08">
        <w:t>n, we provided a courtesy copy of the Public Notice to the Executive Branch agencies.</w:t>
      </w:r>
      <w:r>
        <w:rPr>
          <w:rStyle w:val="FootnoteReference"/>
        </w:rPr>
        <w:footnoteReference w:id="20"/>
      </w:r>
      <w:r w:rsidRPr="00F05D08">
        <w:t xml:space="preserve"> </w:t>
      </w:r>
      <w:r w:rsidR="004351E0">
        <w:t xml:space="preserve"> </w:t>
      </w:r>
      <w:r w:rsidRPr="00213D39" w:rsidR="00213D39">
        <w:t>On April 2, 2026, the U.S. Department of Justice filed a letter stating that the Committee for the Assessment of Foreign Participation in the United States Telecommunications Services Sector “does not believe, based on available information, that a referral of this application to the Committee for review under Section 5 of Executive Order (“E.O.”) 13913 is necessary.”</w:t>
      </w:r>
      <w:r>
        <w:rPr>
          <w:vertAlign w:val="superscript"/>
        </w:rPr>
        <w:footnoteReference w:id="21"/>
      </w:r>
      <w:r w:rsidR="00213D39">
        <w:t xml:space="preserve">  </w:t>
      </w:r>
    </w:p>
    <w:p w:rsidR="00B7184B" w:rsidRPr="00777628" w:rsidP="00777628" w14:paraId="545F69A1" w14:textId="26BB7856">
      <w:pPr>
        <w:autoSpaceDE w:val="0"/>
        <w:autoSpaceDN w:val="0"/>
        <w:adjustRightInd w:val="0"/>
        <w:spacing w:before="120" w:after="120"/>
        <w:ind w:firstLine="720"/>
        <w:rPr>
          <w:snapToGrid/>
          <w:kern w:val="0"/>
        </w:rPr>
      </w:pPr>
      <w:r>
        <w:rPr>
          <w:snapToGrid/>
          <w:kern w:val="0"/>
        </w:rPr>
        <w:t>Applicants assert that a grant of the Application would serve the public interest, convenience and necessity.</w:t>
      </w:r>
      <w:r>
        <w:rPr>
          <w:rStyle w:val="FootnoteReference"/>
          <w:snapToGrid/>
          <w:kern w:val="0"/>
        </w:rPr>
        <w:footnoteReference w:id="22"/>
      </w:r>
      <w:r>
        <w:rPr>
          <w:snapToGrid/>
          <w:kern w:val="0"/>
        </w:rPr>
        <w:t xml:space="preserve"> </w:t>
      </w:r>
      <w:r w:rsidR="005732BA">
        <w:rPr>
          <w:snapToGrid/>
          <w:kern w:val="0"/>
        </w:rPr>
        <w:t xml:space="preserve"> </w:t>
      </w:r>
      <w:r w:rsidRPr="005732BA" w:rsidR="009B79D4">
        <w:rPr>
          <w:snapToGrid/>
          <w:kern w:val="0"/>
        </w:rPr>
        <w:t xml:space="preserve">Applicants claim that the public interest benefits associated with the transaction include </w:t>
      </w:r>
      <w:r w:rsidRPr="005732BA" w:rsidR="005732BA">
        <w:rPr>
          <w:snapToGrid/>
          <w:kern w:val="0"/>
        </w:rPr>
        <w:t xml:space="preserve">providing Licensee with access to </w:t>
      </w:r>
      <w:r w:rsidR="009F033D">
        <w:rPr>
          <w:snapToGrid/>
          <w:kern w:val="0"/>
        </w:rPr>
        <w:t>AppSmart</w:t>
      </w:r>
      <w:r w:rsidRPr="005732BA" w:rsidR="005732BA">
        <w:rPr>
          <w:snapToGrid/>
          <w:kern w:val="0"/>
        </w:rPr>
        <w:t xml:space="preserve"> and its affiliates’ financial and operational expertise</w:t>
      </w:r>
      <w:r w:rsidRPr="00777628" w:rsidR="005732BA">
        <w:rPr>
          <w:snapToGrid/>
          <w:kern w:val="0"/>
        </w:rPr>
        <w:t xml:space="preserve"> </w:t>
      </w:r>
      <w:r w:rsidRPr="005732BA" w:rsidR="005732BA">
        <w:rPr>
          <w:snapToGrid/>
          <w:kern w:val="0"/>
        </w:rPr>
        <w:t>and their larger client base, permitting Licensee to continue to provide robust communications</w:t>
      </w:r>
      <w:r w:rsidRPr="00777628" w:rsidR="005732BA">
        <w:rPr>
          <w:snapToGrid/>
          <w:kern w:val="0"/>
        </w:rPr>
        <w:t xml:space="preserve"> solutions to customers and to better compete in the U.S. communications marketplace.</w:t>
      </w:r>
      <w:r>
        <w:rPr>
          <w:snapToGrid/>
          <w:kern w:val="0"/>
          <w:vertAlign w:val="superscript"/>
        </w:rPr>
        <w:footnoteReference w:id="23"/>
      </w:r>
      <w:r w:rsidRPr="00777628" w:rsidR="009B79D4">
        <w:rPr>
          <w:snapToGrid/>
          <w:kern w:val="0"/>
        </w:rPr>
        <w:t xml:space="preserve">  Applicants further claim that the transaction will have no adverse impact on </w:t>
      </w:r>
      <w:r w:rsidR="00777628">
        <w:rPr>
          <w:snapToGrid/>
          <w:kern w:val="0"/>
        </w:rPr>
        <w:t xml:space="preserve">competition or </w:t>
      </w:r>
      <w:r w:rsidRPr="00777628" w:rsidR="009B79D4">
        <w:rPr>
          <w:snapToGrid/>
          <w:kern w:val="0"/>
        </w:rPr>
        <w:t>customer</w:t>
      </w:r>
      <w:r w:rsidR="00757325">
        <w:rPr>
          <w:snapToGrid/>
          <w:kern w:val="0"/>
        </w:rPr>
        <w:t xml:space="preserve">s as </w:t>
      </w:r>
      <w:r w:rsidR="009F033D">
        <w:rPr>
          <w:snapToGrid/>
          <w:kern w:val="0"/>
        </w:rPr>
        <w:t xml:space="preserve">the </w:t>
      </w:r>
      <w:r w:rsidR="00757325">
        <w:rPr>
          <w:snapToGrid/>
          <w:kern w:val="0"/>
        </w:rPr>
        <w:t xml:space="preserve">proposed </w:t>
      </w:r>
      <w:r w:rsidR="009F033D">
        <w:rPr>
          <w:snapToGrid/>
          <w:kern w:val="0"/>
        </w:rPr>
        <w:t xml:space="preserve">transaction </w:t>
      </w:r>
      <w:r w:rsidRPr="00777628" w:rsidR="009B79D4">
        <w:rPr>
          <w:snapToGrid/>
          <w:kern w:val="0"/>
        </w:rPr>
        <w:t>will not alter the planned manner of service delivery or billing</w:t>
      </w:r>
      <w:r w:rsidR="004351E0">
        <w:rPr>
          <w:snapToGrid/>
          <w:kern w:val="0"/>
        </w:rPr>
        <w:t>,</w:t>
      </w:r>
      <w:r w:rsidR="009F033D">
        <w:rPr>
          <w:snapToGrid/>
          <w:kern w:val="0"/>
        </w:rPr>
        <w:t xml:space="preserve"> </w:t>
      </w:r>
      <w:r w:rsidRPr="00777628" w:rsidR="00777628">
        <w:rPr>
          <w:snapToGrid/>
          <w:kern w:val="0"/>
        </w:rPr>
        <w:t>and Licensee will continue to comply with existing contracts in accordance with applicable law.</w:t>
      </w:r>
      <w:r>
        <w:rPr>
          <w:snapToGrid/>
          <w:kern w:val="0"/>
          <w:vertAlign w:val="superscript"/>
        </w:rPr>
        <w:footnoteReference w:id="24"/>
      </w:r>
      <w:r w:rsidRPr="00777628" w:rsidR="009B79D4">
        <w:rPr>
          <w:snapToGrid/>
          <w:kern w:val="0"/>
        </w:rPr>
        <w:t xml:space="preserve">  </w:t>
      </w:r>
    </w:p>
    <w:p w:rsidR="00EB0525" w:rsidP="00EB0525" w14:paraId="1AE52FB8" w14:textId="2A7B5999">
      <w:pPr>
        <w:autoSpaceDE w:val="0"/>
        <w:autoSpaceDN w:val="0"/>
        <w:adjustRightInd w:val="0"/>
        <w:spacing w:before="120" w:after="120"/>
        <w:ind w:firstLine="720"/>
        <w:rPr>
          <w:snapToGrid/>
          <w:kern w:val="0"/>
        </w:rPr>
      </w:pPr>
      <w:r w:rsidRPr="00B24685">
        <w:rPr>
          <w:snapToGrid/>
          <w:kern w:val="0"/>
        </w:rPr>
        <w:t>We find</w:t>
      </w:r>
      <w:r w:rsidR="00BE684A">
        <w:rPr>
          <w:snapToGrid/>
          <w:kern w:val="0"/>
        </w:rPr>
        <w:t xml:space="preserve"> </w:t>
      </w:r>
      <w:r w:rsidR="00BD49B6">
        <w:rPr>
          <w:snapToGrid/>
          <w:kern w:val="0"/>
        </w:rPr>
        <w:t>that the proposed transfer</w:t>
      </w:r>
      <w:r w:rsidRPr="00B24685">
        <w:rPr>
          <w:snapToGrid/>
          <w:kern w:val="0"/>
        </w:rPr>
        <w:t xml:space="preserve"> will serve the public interest, convenience, and necessity.</w:t>
      </w:r>
      <w:r>
        <w:rPr>
          <w:snapToGrid/>
          <w:kern w:val="0"/>
          <w:vertAlign w:val="superscript"/>
        </w:rPr>
        <w:footnoteReference w:id="25"/>
      </w:r>
      <w:r w:rsidRPr="00B24685">
        <w:rPr>
          <w:snapToGrid/>
          <w:kern w:val="0"/>
        </w:rPr>
        <w:t xml:space="preserve">  </w:t>
      </w:r>
      <w:r w:rsidRPr="00EB0525">
        <w:rPr>
          <w:snapToGrid/>
          <w:kern w:val="0"/>
        </w:rPr>
        <w:t>Therefore, pursuant to section 214 of the Act, 47 U.S.C. § 214, and sections 0.91, 0.291, 63.03, and 63.04 of the Commission’s rules, 47 CFR §§ 0.91, 0.291, 63.03, and 63.04, the Bureau hereby grants the Application discussed in this Public Notice</w:t>
      </w:r>
      <w:r w:rsidR="004F6A53">
        <w:rPr>
          <w:snapToGrid/>
          <w:kern w:val="0"/>
        </w:rPr>
        <w:t xml:space="preserve">, </w:t>
      </w:r>
      <w:r w:rsidRPr="004F6A53" w:rsidR="004F6A53">
        <w:rPr>
          <w:snapToGrid/>
          <w:kern w:val="0"/>
        </w:rPr>
        <w:t>subject to the</w:t>
      </w:r>
      <w:r w:rsidR="008C4892">
        <w:rPr>
          <w:snapToGrid/>
          <w:kern w:val="0"/>
        </w:rPr>
        <w:t xml:space="preserve"> </w:t>
      </w:r>
      <w:r w:rsidRPr="00D4250F" w:rsidR="00D35DE3">
        <w:t xml:space="preserve">continued compliance with the existing mitigation agreement applicable to </w:t>
      </w:r>
      <w:r w:rsidRPr="00D4250F" w:rsidR="00D35DE3">
        <w:t>AppSmart</w:t>
      </w:r>
      <w:r w:rsidRPr="00D4250F" w:rsidR="00D35DE3">
        <w:t xml:space="preserve"> TGN,</w:t>
      </w:r>
      <w:r w:rsidRPr="004F6A53" w:rsidR="00D35DE3">
        <w:rPr>
          <w:snapToGrid/>
          <w:kern w:val="0"/>
        </w:rPr>
        <w:t xml:space="preserve"> </w:t>
      </w:r>
      <w:r w:rsidR="00D35DE3">
        <w:rPr>
          <w:snapToGrid/>
          <w:kern w:val="0"/>
        </w:rPr>
        <w:t xml:space="preserve">as </w:t>
      </w:r>
      <w:r w:rsidRPr="004F6A53" w:rsidR="004F6A53">
        <w:rPr>
          <w:snapToGrid/>
          <w:kern w:val="0"/>
        </w:rPr>
        <w:t>described above</w:t>
      </w:r>
      <w:r w:rsidR="004F6A53">
        <w:rPr>
          <w:snapToGrid/>
          <w:kern w:val="0"/>
        </w:rPr>
        <w:t>.</w:t>
      </w:r>
    </w:p>
    <w:p w:rsidR="00B24685" w:rsidRPr="00B24685" w:rsidP="00701FC4" w14:paraId="2B974E14" w14:textId="5B4BD791">
      <w:pPr>
        <w:autoSpaceDE w:val="0"/>
        <w:autoSpaceDN w:val="0"/>
        <w:adjustRightInd w:val="0"/>
        <w:spacing w:before="120" w:after="120"/>
        <w:ind w:firstLine="720"/>
        <w:rPr>
          <w:snapToGrid/>
          <w:kern w:val="0"/>
        </w:rPr>
      </w:pPr>
      <w:r w:rsidRPr="00B24685">
        <w:rPr>
          <w:snapToGrid/>
          <w:kern w:val="0"/>
        </w:rPr>
        <w:t xml:space="preserve">Pursuant to section 1.103 of the Commission’s rules, 47 CFR § 1.103, the grant is effective upon release of this Public Notice.  Petitions for reconsideration under section 1.106 or applications for review under section 1.115 of the Commission's rules, 47 CFR §§ 1.106, 1.115, may be filed within 30 days of the date of this Public Notice.  </w:t>
      </w:r>
    </w:p>
    <w:p w:rsidR="00B24685" w:rsidRPr="00B24685" w:rsidP="00B24685" w14:paraId="669B1F38" w14:textId="77777777">
      <w:pPr>
        <w:autoSpaceDE w:val="0"/>
        <w:autoSpaceDN w:val="0"/>
        <w:adjustRightInd w:val="0"/>
        <w:spacing w:before="120" w:after="120"/>
        <w:ind w:firstLine="720"/>
        <w:rPr>
          <w:snapToGrid/>
          <w:kern w:val="0"/>
        </w:rPr>
      </w:pPr>
      <w:r w:rsidRPr="00B24685">
        <w:rPr>
          <w:snapToGrid/>
          <w:kern w:val="0"/>
        </w:rPr>
        <w:t xml:space="preserve">For further information, please contact Megan Danner, Wireline Competition Bureau, Competition Policy Division, (202) 418-1151.  </w:t>
      </w:r>
    </w:p>
    <w:p w:rsidR="00000008" w:rsidP="00B24685" w14:paraId="64F95D73" w14:textId="77777777">
      <w:pPr>
        <w:autoSpaceDE w:val="0"/>
        <w:autoSpaceDN w:val="0"/>
        <w:adjustRightInd w:val="0"/>
        <w:spacing w:before="120" w:after="120"/>
        <w:rPr>
          <w:bCs/>
          <w:color w:val="000000"/>
          <w:u w:val="single"/>
        </w:rPr>
      </w:pPr>
    </w:p>
    <w:p w:rsidR="009A6574" w:rsidRPr="00100CF5" w:rsidP="00100CF5" w14:paraId="0EF7F7CD" w14:textId="56E745C8">
      <w:pPr>
        <w:autoSpaceDE w:val="0"/>
        <w:autoSpaceDN w:val="0"/>
        <w:adjustRightInd w:val="0"/>
        <w:jc w:val="center"/>
        <w:rPr>
          <w:color w:val="000000"/>
          <w:szCs w:val="22"/>
        </w:rPr>
      </w:pPr>
      <w:r w:rsidRPr="009A6574">
        <w:rPr>
          <w:b/>
          <w:szCs w:val="22"/>
        </w:rPr>
        <w:t>-FCC-</w:t>
      </w:r>
    </w:p>
    <w:sectPr>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F0BBC" w14:paraId="32541DF0" w14:textId="77777777">
      <w:pPr>
        <w:spacing w:line="20" w:lineRule="exact"/>
      </w:pPr>
    </w:p>
  </w:endnote>
  <w:endnote w:type="continuationSeparator" w:id="1">
    <w:p w:rsidR="000F0BBC" w14:paraId="77893B26" w14:textId="77777777">
      <w:r>
        <w:t xml:space="preserve"> </w:t>
      </w:r>
    </w:p>
  </w:endnote>
  <w:endnote w:type="continuationNotice" w:id="2">
    <w:p w:rsidR="000F0BBC" w14:paraId="6592727E"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Heavy Heap"/>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73F7D93A"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06556F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44D5708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DB919B9"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0BBC" w14:paraId="6F5CD19F" w14:textId="77777777">
      <w:r>
        <w:separator/>
      </w:r>
    </w:p>
  </w:footnote>
  <w:footnote w:type="continuationSeparator" w:id="1">
    <w:p w:rsidR="000F0BBC" w14:paraId="52F50234" w14:textId="77777777">
      <w:pPr>
        <w:rPr>
          <w:sz w:val="20"/>
        </w:rPr>
      </w:pPr>
      <w:r>
        <w:rPr>
          <w:sz w:val="20"/>
        </w:rPr>
        <w:t xml:space="preserve">(Continued from previous page)  </w:t>
      </w:r>
      <w:r>
        <w:rPr>
          <w:sz w:val="20"/>
        </w:rPr>
        <w:separator/>
      </w:r>
    </w:p>
  </w:footnote>
  <w:footnote w:type="continuationNotice" w:id="2">
    <w:p w:rsidR="000F0BBC" w14:paraId="086DF45B" w14:textId="77777777">
      <w:pPr>
        <w:jc w:val="right"/>
        <w:rPr>
          <w:sz w:val="20"/>
        </w:rPr>
      </w:pPr>
      <w:r>
        <w:rPr>
          <w:sz w:val="20"/>
        </w:rPr>
        <w:t>(continued….)</w:t>
      </w:r>
    </w:p>
  </w:footnote>
  <w:footnote w:id="3">
    <w:p w:rsidR="00087ED8" w:rsidRPr="005240CD" w:rsidP="00087ED8" w14:paraId="6CA89F55" w14:textId="38556F75">
      <w:pPr>
        <w:pStyle w:val="FootnoteText"/>
      </w:pPr>
      <w:r w:rsidRPr="005240CD">
        <w:rPr>
          <w:rStyle w:val="FootnoteReference"/>
          <w:sz w:val="20"/>
        </w:rPr>
        <w:footnoteRef/>
      </w:r>
      <w:r w:rsidRPr="005240CD">
        <w:t xml:space="preserve"> </w:t>
      </w:r>
      <w:r w:rsidRPr="005240CD">
        <w:rPr>
          <w:i/>
        </w:rPr>
        <w:t>See</w:t>
      </w:r>
      <w:r w:rsidRPr="005240CD">
        <w:t xml:space="preserve"> 47 U.S.C. § 214(a); 47 CFR § 63.</w:t>
      </w:r>
      <w:r w:rsidR="00624C75">
        <w:t>04</w:t>
      </w:r>
      <w:r w:rsidRPr="005240CD">
        <w:t>.</w:t>
      </w:r>
    </w:p>
  </w:footnote>
  <w:footnote w:id="4">
    <w:p w:rsidR="00E62AC9" w:rsidRPr="00152875" w:rsidP="00E62AC9" w14:paraId="75A29BE3" w14:textId="4EE39B8D">
      <w:pPr>
        <w:pStyle w:val="FootnoteText"/>
      </w:pPr>
      <w:r w:rsidRPr="00152875">
        <w:rPr>
          <w:rStyle w:val="FootnoteReference"/>
          <w:sz w:val="20"/>
        </w:rPr>
        <w:footnoteRef/>
      </w:r>
      <w:r w:rsidRPr="00152875">
        <w:t xml:space="preserve"> Domestic Section 214 Application for the </w:t>
      </w:r>
      <w:bookmarkStart w:id="3" w:name="_Hlk193461235"/>
      <w:r w:rsidRPr="00152875">
        <w:t xml:space="preserve">Transfer of Control of </w:t>
      </w:r>
      <w:bookmarkStart w:id="4" w:name="_Hlk207797656"/>
      <w:r w:rsidR="002903BF">
        <w:t xml:space="preserve">CCI Network Services, LLC from </w:t>
      </w:r>
      <w:r w:rsidRPr="00E62AC9">
        <w:t>Network Services Holdings, L</w:t>
      </w:r>
      <w:r>
        <w:t>LC</w:t>
      </w:r>
      <w:r w:rsidRPr="00E62AC9">
        <w:t xml:space="preserve"> </w:t>
      </w:r>
      <w:r>
        <w:t>t</w:t>
      </w:r>
      <w:r w:rsidRPr="00E62AC9">
        <w:t xml:space="preserve">o </w:t>
      </w:r>
      <w:r w:rsidRPr="00E62AC9">
        <w:t>App</w:t>
      </w:r>
      <w:r>
        <w:t>S</w:t>
      </w:r>
      <w:r w:rsidRPr="00E62AC9">
        <w:t>mart</w:t>
      </w:r>
      <w:r w:rsidRPr="00E62AC9">
        <w:t xml:space="preserve"> T</w:t>
      </w:r>
      <w:r>
        <w:t>GN</w:t>
      </w:r>
      <w:r w:rsidRPr="00E62AC9">
        <w:t>, Inc</w:t>
      </w:r>
      <w:r w:rsidRPr="00152875">
        <w:t>.</w:t>
      </w:r>
      <w:bookmarkEnd w:id="4"/>
      <w:r w:rsidRPr="00152875">
        <w:t xml:space="preserve">, </w:t>
      </w:r>
      <w:bookmarkEnd w:id="3"/>
      <w:r w:rsidRPr="00152875">
        <w:t>WC Docket No. 25-</w:t>
      </w:r>
      <w:r>
        <w:t>343</w:t>
      </w:r>
      <w:r w:rsidRPr="00152875">
        <w:t xml:space="preserve"> (filed </w:t>
      </w:r>
      <w:r>
        <w:t>Dec</w:t>
      </w:r>
      <w:r w:rsidRPr="00152875">
        <w:t xml:space="preserve">. </w:t>
      </w:r>
      <w:r>
        <w:t>8</w:t>
      </w:r>
      <w:r w:rsidRPr="00152875">
        <w:t>, 2025) (Application)</w:t>
      </w:r>
      <w:r>
        <w:t>.</w:t>
      </w:r>
      <w:r>
        <w:rPr>
          <w:snapToGrid w:val="0"/>
          <w:kern w:val="28"/>
        </w:rPr>
        <w:t xml:space="preserve">  </w:t>
      </w:r>
      <w:r w:rsidRPr="00B96C67">
        <w:t>Applicants are also filing applications for the transfer of international authorizations.</w:t>
      </w:r>
      <w:r>
        <w:t xml:space="preserve">  </w:t>
      </w:r>
      <w:r w:rsidRPr="00152875">
        <w:t>Any action on the Application is without prejudice to Commission action on other related, pending applications.</w:t>
      </w:r>
    </w:p>
  </w:footnote>
  <w:footnote w:id="5">
    <w:p w:rsidR="00B14AF7" w:rsidRPr="00CF6111" w:rsidP="00B14AF7" w14:paraId="43E1BD04" w14:textId="3B177113">
      <w:pPr>
        <w:pStyle w:val="FootnoteText"/>
      </w:pPr>
      <w:r w:rsidRPr="00CF6111">
        <w:rPr>
          <w:rStyle w:val="FootnoteReference"/>
          <w:sz w:val="20"/>
        </w:rPr>
        <w:footnoteRef/>
      </w:r>
      <w:r w:rsidRPr="00CF6111">
        <w:t xml:space="preserve"> </w:t>
      </w:r>
      <w:r w:rsidRPr="00CF6111">
        <w:rPr>
          <w:i/>
          <w:iCs/>
        </w:rPr>
        <w:t xml:space="preserve">See Domestic Section 214 Application Filed for the Transfer of Control of </w:t>
      </w:r>
      <w:r w:rsidR="002618CF">
        <w:rPr>
          <w:i/>
          <w:iCs/>
        </w:rPr>
        <w:t xml:space="preserve">CCI Network Services, LLC to </w:t>
      </w:r>
      <w:r w:rsidRPr="00CF6111">
        <w:rPr>
          <w:i/>
          <w:iCs/>
        </w:rPr>
        <w:t>AppSmart</w:t>
      </w:r>
      <w:r w:rsidRPr="00CF6111">
        <w:rPr>
          <w:i/>
          <w:iCs/>
        </w:rPr>
        <w:t xml:space="preserve"> TGN, Inc.</w:t>
      </w:r>
      <w:r w:rsidRPr="00CF6111">
        <w:t>, WC Docket No. 2</w:t>
      </w:r>
      <w:r w:rsidR="002618CF">
        <w:t>5-343</w:t>
      </w:r>
      <w:r w:rsidRPr="00CF6111">
        <w:t>, Public Notice, DA 2</w:t>
      </w:r>
      <w:r w:rsidR="002618CF">
        <w:t>6-</w:t>
      </w:r>
      <w:r w:rsidR="00000008">
        <w:t>198</w:t>
      </w:r>
      <w:r w:rsidRPr="00CF6111">
        <w:t xml:space="preserve"> (WCB </w:t>
      </w:r>
      <w:r w:rsidR="002618CF">
        <w:t>Feb. 27</w:t>
      </w:r>
      <w:r w:rsidRPr="00CF6111">
        <w:t>, 202</w:t>
      </w:r>
      <w:r w:rsidR="002618CF">
        <w:t>6</w:t>
      </w:r>
      <w:r w:rsidRPr="00CF6111">
        <w:t>)</w:t>
      </w:r>
      <w:r w:rsidR="00F05D08">
        <w:t xml:space="preserve"> </w:t>
      </w:r>
      <w:r w:rsidRPr="00D4250F" w:rsidR="00F05D08">
        <w:t>(</w:t>
      </w:r>
      <w:r w:rsidRPr="00A8499D" w:rsidR="00F05D08">
        <w:rPr>
          <w:i/>
          <w:iCs/>
        </w:rPr>
        <w:t>Feb, 27, 2026 PN</w:t>
      </w:r>
      <w:r w:rsidRPr="00D4250F" w:rsidR="00F05D08">
        <w:t>)</w:t>
      </w:r>
      <w:r w:rsidRPr="00CF6111">
        <w:t>.</w:t>
      </w:r>
    </w:p>
  </w:footnote>
  <w:footnote w:id="6">
    <w:p w:rsidR="00670A9E" w:rsidP="00670A9E" w14:paraId="325C773E" w14:textId="77777777">
      <w:pPr>
        <w:pStyle w:val="FootnoteText"/>
      </w:pPr>
      <w:r>
        <w:rPr>
          <w:rStyle w:val="FootnoteReference"/>
        </w:rPr>
        <w:footnoteRef/>
      </w:r>
      <w:r>
        <w:t xml:space="preserve"> Application at 2.</w:t>
      </w:r>
    </w:p>
  </w:footnote>
  <w:footnote w:id="7">
    <w:p w:rsidR="00670A9E" w:rsidRPr="00670A9E" w14:paraId="12F3BBA7" w14:textId="7FA42074">
      <w:pPr>
        <w:pStyle w:val="FootnoteText"/>
      </w:pPr>
      <w:r>
        <w:rPr>
          <w:rStyle w:val="FootnoteReference"/>
        </w:rPr>
        <w:footnoteRef/>
      </w:r>
      <w:r>
        <w:t xml:space="preserve"> </w:t>
      </w:r>
      <w:r>
        <w:rPr>
          <w:i/>
          <w:iCs/>
        </w:rPr>
        <w:t>Id</w:t>
      </w:r>
      <w:r>
        <w:t xml:space="preserve">. </w:t>
      </w:r>
    </w:p>
  </w:footnote>
  <w:footnote w:id="8">
    <w:p w:rsidR="00670A9E" w:rsidRPr="00670A9E" w14:paraId="435EF765" w14:textId="39B52F1D">
      <w:pPr>
        <w:pStyle w:val="FootnoteText"/>
        <w:rPr>
          <w:i/>
          <w:iCs/>
        </w:rPr>
      </w:pPr>
      <w:r>
        <w:rPr>
          <w:rStyle w:val="FootnoteReference"/>
        </w:rPr>
        <w:footnoteRef/>
      </w:r>
      <w:r>
        <w:t xml:space="preserve"> </w:t>
      </w:r>
      <w:r>
        <w:rPr>
          <w:i/>
          <w:iCs/>
        </w:rPr>
        <w:t>Id</w:t>
      </w:r>
      <w:r>
        <w:t>.</w:t>
      </w:r>
      <w:r>
        <w:rPr>
          <w:i/>
          <w:iCs/>
        </w:rPr>
        <w:t xml:space="preserve">  </w:t>
      </w:r>
    </w:p>
  </w:footnote>
  <w:footnote w:id="9">
    <w:p w:rsidR="00D95721" w:rsidRPr="00DC48E5" w:rsidP="00D95721" w14:paraId="177863A9" w14:textId="200B81CF">
      <w:pPr>
        <w:pStyle w:val="FootnoteText"/>
      </w:pPr>
      <w:r>
        <w:rPr>
          <w:rStyle w:val="FootnoteReference"/>
        </w:rPr>
        <w:footnoteRef/>
      </w:r>
      <w:r>
        <w:t xml:space="preserve"> </w:t>
      </w:r>
      <w:r>
        <w:rPr>
          <w:i/>
          <w:iCs/>
        </w:rPr>
        <w:t>Id</w:t>
      </w:r>
      <w:r>
        <w:t>.</w:t>
      </w:r>
    </w:p>
  </w:footnote>
  <w:footnote w:id="10">
    <w:p w:rsidR="00D95721" w:rsidRPr="000E6E97" w:rsidP="007476E0" w14:paraId="009411A8" w14:textId="3C371350">
      <w:pPr>
        <w:pStyle w:val="FootnoteText"/>
      </w:pPr>
      <w:r>
        <w:rPr>
          <w:rStyle w:val="FootnoteReference"/>
        </w:rPr>
        <w:footnoteRef/>
      </w:r>
      <w:r>
        <w:t xml:space="preserve"> </w:t>
      </w:r>
      <w:r>
        <w:rPr>
          <w:i/>
          <w:iCs/>
        </w:rPr>
        <w:t>Id</w:t>
      </w:r>
      <w:r>
        <w:t xml:space="preserve">. </w:t>
      </w:r>
    </w:p>
  </w:footnote>
  <w:footnote w:id="11">
    <w:p w:rsidR="008628B1" w:rsidRPr="00EF71F1" w14:paraId="1E75FCF7" w14:textId="5C3B0A77">
      <w:pPr>
        <w:pStyle w:val="FootnoteText"/>
      </w:pPr>
      <w:r>
        <w:rPr>
          <w:rStyle w:val="FootnoteReference"/>
        </w:rPr>
        <w:footnoteRef/>
      </w:r>
      <w:r>
        <w:t xml:space="preserve"> </w:t>
      </w:r>
      <w:r w:rsidR="00EF71F1">
        <w:rPr>
          <w:i/>
          <w:iCs/>
        </w:rPr>
        <w:t>Id</w:t>
      </w:r>
      <w:r w:rsidR="00EF71F1">
        <w:t xml:space="preserve">. </w:t>
      </w:r>
      <w:r w:rsidR="00AA5DF0">
        <w:t>at 10-11.</w:t>
      </w:r>
    </w:p>
  </w:footnote>
  <w:footnote w:id="12">
    <w:p w:rsidR="005C04DA" w:rsidRPr="008962DE" w:rsidP="008962DE" w14:paraId="3370B422" w14:textId="4F488E13">
      <w:pPr>
        <w:pStyle w:val="FootnoteText"/>
      </w:pPr>
      <w:r w:rsidRPr="008962DE">
        <w:rPr>
          <w:rStyle w:val="FootnoteReference"/>
          <w:sz w:val="20"/>
        </w:rPr>
        <w:footnoteRef/>
      </w:r>
      <w:r w:rsidRPr="008962DE">
        <w:t xml:space="preserve"> </w:t>
      </w:r>
      <w:r w:rsidR="008962DE">
        <w:t xml:space="preserve">Post-Transaction Ownership of Licensees, </w:t>
      </w:r>
      <w:r w:rsidR="008962DE">
        <w:t>Exh</w:t>
      </w:r>
      <w:r w:rsidR="008962DE">
        <w:t>.</w:t>
      </w:r>
      <w:r w:rsidR="00D85EAC">
        <w:t xml:space="preserve"> </w:t>
      </w:r>
      <w:r w:rsidR="008962DE">
        <w:t xml:space="preserve">B. to Application, at 2; </w:t>
      </w:r>
      <w:r w:rsidRPr="008962DE" w:rsidR="008962DE">
        <w:t>Post-</w:t>
      </w:r>
      <w:r w:rsidR="008962DE">
        <w:t>Closing Ownership Structure</w:t>
      </w:r>
      <w:r w:rsidRPr="008962DE" w:rsidR="008962DE">
        <w:t xml:space="preserve">, </w:t>
      </w:r>
      <w:r w:rsidRPr="008962DE" w:rsidR="008962DE">
        <w:t>Exh.</w:t>
      </w:r>
      <w:r w:rsidR="008962DE">
        <w:t>A</w:t>
      </w:r>
      <w:r w:rsidRPr="008962DE" w:rsidR="008962DE">
        <w:t>. to Application, at 2</w:t>
      </w:r>
      <w:r w:rsidR="008962DE">
        <w:t>.</w:t>
      </w:r>
    </w:p>
  </w:footnote>
  <w:footnote w:id="13">
    <w:p w:rsidR="00591E8B" w:rsidRPr="008962DE" w14:paraId="5E6580B3" w14:textId="509312E2">
      <w:pPr>
        <w:pStyle w:val="FootnoteText"/>
      </w:pPr>
      <w:r w:rsidRPr="008962DE">
        <w:rPr>
          <w:rStyle w:val="FootnoteReference"/>
          <w:sz w:val="20"/>
        </w:rPr>
        <w:footnoteRef/>
      </w:r>
      <w:r w:rsidR="00EF71F1">
        <w:t xml:space="preserve"> Application</w:t>
      </w:r>
      <w:r w:rsidRPr="008962DE">
        <w:t xml:space="preserve"> at 3. </w:t>
      </w:r>
    </w:p>
  </w:footnote>
  <w:footnote w:id="14">
    <w:p w:rsidR="00D95721" w:rsidRPr="008962DE" w:rsidP="00D95721" w14:paraId="51C38D0F" w14:textId="77777777">
      <w:pPr>
        <w:pStyle w:val="FootnoteText"/>
      </w:pPr>
      <w:r w:rsidRPr="008962DE">
        <w:rPr>
          <w:rStyle w:val="FootnoteReference"/>
          <w:sz w:val="20"/>
        </w:rPr>
        <w:footnoteRef/>
      </w:r>
      <w:r w:rsidRPr="008962DE">
        <w:t xml:space="preserve"> </w:t>
      </w:r>
      <w:r w:rsidRPr="008962DE">
        <w:rPr>
          <w:i/>
          <w:iCs/>
        </w:rPr>
        <w:t>Id</w:t>
      </w:r>
      <w:r w:rsidRPr="008962DE">
        <w:t>.</w:t>
      </w:r>
    </w:p>
  </w:footnote>
  <w:footnote w:id="15">
    <w:p w:rsidR="00D95721" w:rsidRPr="00C631C5" w:rsidP="00D95721" w14:paraId="56074793" w14:textId="77777777">
      <w:pPr>
        <w:pStyle w:val="FootnoteText"/>
      </w:pPr>
      <w:r w:rsidRPr="008962DE">
        <w:rPr>
          <w:rStyle w:val="FootnoteReference"/>
          <w:sz w:val="20"/>
        </w:rPr>
        <w:footnoteRef/>
      </w:r>
      <w:r w:rsidRPr="008962DE">
        <w:t xml:space="preserve"> </w:t>
      </w:r>
      <w:r w:rsidRPr="008962DE">
        <w:rPr>
          <w:i/>
          <w:iCs/>
        </w:rPr>
        <w:t>Id</w:t>
      </w:r>
      <w:r w:rsidRPr="008962DE">
        <w:t>.</w:t>
      </w:r>
      <w:r>
        <w:t xml:space="preserve"> </w:t>
      </w:r>
    </w:p>
  </w:footnote>
  <w:footnote w:id="16">
    <w:p w:rsidR="00B24685" w:rsidRPr="00592E0C" w:rsidP="00B24685" w14:paraId="316F8962" w14:textId="757D7B04">
      <w:pPr>
        <w:pStyle w:val="FootnoteText"/>
        <w:rPr>
          <w:i/>
          <w:iCs/>
        </w:rPr>
      </w:pPr>
      <w:r w:rsidRPr="00DF7EFA">
        <w:rPr>
          <w:rStyle w:val="FootnoteReference"/>
        </w:rPr>
        <w:footnoteRef/>
      </w:r>
      <w:r w:rsidRPr="00DF7EFA">
        <w:t xml:space="preserve"> </w:t>
      </w:r>
      <w:r w:rsidRPr="00592E0C" w:rsidR="00FB1D12">
        <w:t>Application at 12 (citing</w:t>
      </w:r>
      <w:r w:rsidRPr="00592E0C">
        <w:rPr>
          <w:i/>
          <w:iCs/>
        </w:rPr>
        <w:t xml:space="preserve"> Domestic Section 214 Application Granted for The Transfer of Control of </w:t>
      </w:r>
      <w:r w:rsidRPr="00592E0C">
        <w:rPr>
          <w:i/>
          <w:iCs/>
        </w:rPr>
        <w:t>AppSmart</w:t>
      </w:r>
      <w:r w:rsidRPr="00592E0C">
        <w:rPr>
          <w:i/>
          <w:iCs/>
        </w:rPr>
        <w:t xml:space="preserve"> TGN, Inc. (f/k/a </w:t>
      </w:r>
      <w:r w:rsidRPr="00592E0C">
        <w:rPr>
          <w:i/>
          <w:iCs/>
        </w:rPr>
        <w:t>Telegration</w:t>
      </w:r>
      <w:r w:rsidRPr="00592E0C">
        <w:rPr>
          <w:i/>
          <w:iCs/>
        </w:rPr>
        <w:t xml:space="preserve">, Inc.) to </w:t>
      </w:r>
      <w:r w:rsidRPr="00592E0C">
        <w:rPr>
          <w:i/>
          <w:iCs/>
        </w:rPr>
        <w:t>AppDirect</w:t>
      </w:r>
      <w:r w:rsidRPr="00592E0C">
        <w:rPr>
          <w:i/>
          <w:iCs/>
        </w:rPr>
        <w:t>, Inc.</w:t>
      </w:r>
      <w:r w:rsidRPr="00592E0C">
        <w:t>,</w:t>
      </w:r>
      <w:r w:rsidRPr="00592E0C">
        <w:rPr>
          <w:i/>
          <w:iCs/>
        </w:rPr>
        <w:t xml:space="preserve"> </w:t>
      </w:r>
      <w:r w:rsidRPr="00592E0C">
        <w:t>WC Docket No. 20-229, Public Notice, 36 FCC Rcd 9890 (WCB 2021).</w:t>
      </w:r>
      <w:r w:rsidRPr="00592E0C" w:rsidR="00FB1D12">
        <w:t xml:space="preserve">  The Bureau conditioned </w:t>
      </w:r>
      <w:r w:rsidRPr="00592E0C" w:rsidR="00592E0C">
        <w:t xml:space="preserve">the grant of the 2021 </w:t>
      </w:r>
      <w:r w:rsidRPr="00592E0C" w:rsidR="00592E0C">
        <w:t>AppSmart</w:t>
      </w:r>
      <w:r w:rsidRPr="00592E0C" w:rsidR="00592E0C">
        <w:t xml:space="preserve"> TGN transaction on its compliance with</w:t>
      </w:r>
      <w:r w:rsidRPr="00592E0C" w:rsidR="00592E0C">
        <w:rPr>
          <w:color w:val="000000"/>
        </w:rPr>
        <w:t xml:space="preserve"> the commitments and undertakings set out in a June 1, 2021 Letter of Agreement </w:t>
      </w:r>
      <w:r w:rsidR="00592E0C">
        <w:rPr>
          <w:color w:val="000000"/>
        </w:rPr>
        <w:t>with the Executive Branch Agencies</w:t>
      </w:r>
      <w:r w:rsidRPr="00592E0C" w:rsidR="00592E0C">
        <w:rPr>
          <w:color w:val="000000"/>
        </w:rPr>
        <w:t xml:space="preserve">.  </w:t>
      </w:r>
      <w:r w:rsidRPr="00592E0C" w:rsidR="00592E0C">
        <w:rPr>
          <w:i/>
          <w:iCs/>
          <w:color w:val="000000"/>
        </w:rPr>
        <w:t>Id</w:t>
      </w:r>
      <w:r w:rsidRPr="00592E0C" w:rsidR="00592E0C">
        <w:rPr>
          <w:color w:val="000000"/>
        </w:rPr>
        <w:t>. at 9891-92 (citing</w:t>
      </w:r>
      <w:r w:rsidRPr="009B2209" w:rsidR="00592E0C">
        <w:rPr>
          <w:color w:val="1F1F1F"/>
          <w:shd w:val="clear" w:color="auto" w:fill="FFFFFF"/>
        </w:rPr>
        <w:t xml:space="preserve"> Petition to Adopt Conditions to Authorization and License, WC Docket No. 20-229; ITC-T/C-20200710-00115 (filed Jun. 11, 2021) (on file in WC Docket No. 20-229)).</w:t>
      </w:r>
      <w:r w:rsidRPr="00592E0C" w:rsidR="00592E0C">
        <w:rPr>
          <w:color w:val="000000"/>
        </w:rPr>
        <w:t xml:space="preserve"> </w:t>
      </w:r>
      <w:r w:rsidRPr="00592E0C" w:rsidR="00592E0C">
        <w:t xml:space="preserve"> </w:t>
      </w:r>
    </w:p>
  </w:footnote>
  <w:footnote w:id="17">
    <w:p w:rsidR="00B24685" w:rsidRPr="00DF7EFA" w:rsidP="00B24685" w14:paraId="1EF637AA" w14:textId="77777777">
      <w:pPr>
        <w:pStyle w:val="FootnoteText"/>
      </w:pPr>
      <w:r w:rsidRPr="00D52FE6">
        <w:rPr>
          <w:rStyle w:val="FootnoteReference"/>
          <w:rFonts w:eastAsia="Yu Gothic Light"/>
        </w:rPr>
        <w:footnoteRef/>
      </w:r>
      <w:r w:rsidRPr="00DF7EFA">
        <w:t xml:space="preserve"> Application at 1</w:t>
      </w:r>
      <w:r>
        <w:t>2</w:t>
      </w:r>
      <w:r w:rsidRPr="00DF7EFA">
        <w:t>.</w:t>
      </w:r>
    </w:p>
  </w:footnote>
  <w:footnote w:id="18">
    <w:p w:rsidR="00B24685" w:rsidRPr="00DC368C" w:rsidP="00B24685" w14:paraId="66C23E09" w14:textId="77777777">
      <w:pPr>
        <w:pStyle w:val="FootnoteText"/>
      </w:pPr>
      <w:r w:rsidRPr="00DF7EFA">
        <w:rPr>
          <w:rStyle w:val="FootnoteReference"/>
        </w:rPr>
        <w:footnoteRef/>
      </w:r>
      <w:r w:rsidRPr="00DF7EFA">
        <w:t xml:space="preserve"> </w:t>
      </w:r>
      <w:r>
        <w:rPr>
          <w:i/>
          <w:iCs/>
        </w:rPr>
        <w:t>Id</w:t>
      </w:r>
      <w:r>
        <w:t xml:space="preserve">. </w:t>
      </w:r>
    </w:p>
  </w:footnote>
  <w:footnote w:id="19">
    <w:p w:rsidR="00DB4124" w:rsidP="00DB4124" w14:paraId="727CF2D4" w14:textId="79FB522B">
      <w:pPr>
        <w:pStyle w:val="FootnoteText"/>
      </w:pPr>
      <w:r>
        <w:rPr>
          <w:rStyle w:val="FootnoteReference"/>
        </w:rPr>
        <w:footnoteRef/>
      </w:r>
      <w:r>
        <w:t xml:space="preserve"> </w:t>
      </w:r>
      <w:r w:rsidRPr="00DF0104">
        <w:t xml:space="preserve">The Commission determined in the </w:t>
      </w:r>
      <w:r w:rsidRPr="00DF0104">
        <w:rPr>
          <w:i/>
          <w:iCs/>
        </w:rPr>
        <w:t>Executive Branch Review Process Order</w:t>
      </w:r>
      <w:r w:rsidRPr="00DF0104">
        <w:t xml:space="preserve"> that it would generally exclude from referral to the Executive Branch applications where the Applicants have “an existing mitigation agreement, there are no new reportable foreign owners of the applicant since the effective date of the mitigation agreement, and the applicant agrees to continue to comply with the terms of that mitigation agreement.”  </w:t>
      </w:r>
      <w:r w:rsidRPr="00DF0104">
        <w:rPr>
          <w:i/>
          <w:iCs/>
        </w:rPr>
        <w:t>Process Reform for Executive Branch Review of Certain FCC Applications and Petitions Involving Foreign Ownership</w:t>
      </w:r>
      <w:r w:rsidRPr="00DF0104">
        <w:t>, IB Docket No. 16-155, Report and Order, 35 FCC Rcd 10927, 10939, para. 30 (2020) (</w:t>
      </w:r>
      <w:r w:rsidRPr="00DF0104">
        <w:rPr>
          <w:i/>
          <w:iCs/>
        </w:rPr>
        <w:t>Executive Branch Review Process Order</w:t>
      </w:r>
      <w:r w:rsidRPr="00DF0104">
        <w:t xml:space="preserve">); </w:t>
      </w:r>
      <w:r w:rsidRPr="00DF0104">
        <w:rPr>
          <w:i/>
          <w:iCs/>
        </w:rPr>
        <w:t>see also</w:t>
      </w:r>
      <w:r w:rsidRPr="00DF0104">
        <w:t xml:space="preserve"> 47 CFR § 1.40001(a)(2)(iii). </w:t>
      </w:r>
      <w:r>
        <w:t xml:space="preserve"> </w:t>
      </w:r>
    </w:p>
  </w:footnote>
  <w:footnote w:id="20">
    <w:p w:rsidR="00F05D08" w:rsidRPr="00D43139" w14:paraId="539182EB" w14:textId="7CF8524F">
      <w:pPr>
        <w:pStyle w:val="FootnoteText"/>
      </w:pPr>
      <w:r>
        <w:rPr>
          <w:rStyle w:val="FootnoteReference"/>
        </w:rPr>
        <w:footnoteRef/>
      </w:r>
      <w:r>
        <w:t xml:space="preserve"> </w:t>
      </w:r>
      <w:r w:rsidR="00D43139">
        <w:rPr>
          <w:i/>
          <w:iCs/>
        </w:rPr>
        <w:t>See</w:t>
      </w:r>
      <w:r w:rsidRPr="00A8499D" w:rsidR="00D43139">
        <w:rPr>
          <w:i/>
          <w:iCs/>
        </w:rPr>
        <w:t xml:space="preserve"> Feb. 27, 2026 PN</w:t>
      </w:r>
      <w:r w:rsidR="00D43139">
        <w:t xml:space="preserve"> at 2.  </w:t>
      </w:r>
      <w:r w:rsidR="00D43139">
        <w:rPr>
          <w:i/>
          <w:iCs/>
        </w:rPr>
        <w:t>See also</w:t>
      </w:r>
      <w:r w:rsidR="00D43139">
        <w:t xml:space="preserve"> </w:t>
      </w:r>
      <w:r w:rsidRPr="00DF0104" w:rsidR="00D43139">
        <w:rPr>
          <w:i/>
          <w:iCs/>
        </w:rPr>
        <w:t>Executive Branch Review Process Order</w:t>
      </w:r>
      <w:r w:rsidR="00D43139">
        <w:rPr>
          <w:i/>
          <w:iCs/>
        </w:rPr>
        <w:t xml:space="preserve">, </w:t>
      </w:r>
      <w:r w:rsidRPr="00F05D08" w:rsidR="00D43139">
        <w:t>35 FCC Rcd at 10939, para 30, n. 81.</w:t>
      </w:r>
    </w:p>
  </w:footnote>
  <w:footnote w:id="21">
    <w:p w:rsidR="00213D39" w:rsidP="00213D39" w14:paraId="292BD7B8" w14:textId="77777777">
      <w:pPr>
        <w:pStyle w:val="FootnoteText"/>
      </w:pPr>
      <w:r>
        <w:rPr>
          <w:rStyle w:val="FootnoteReference"/>
        </w:rPr>
        <w:footnoteRef/>
      </w:r>
      <w:r>
        <w:t xml:space="preserve"> </w:t>
      </w:r>
      <w:r w:rsidRPr="00E31679">
        <w:t>Letter from Christopher R. Clements, Deputy Section Chief,</w:t>
      </w:r>
      <w:r>
        <w:t xml:space="preserve"> </w:t>
      </w:r>
      <w:r w:rsidRPr="00E31679">
        <w:t>Telecommunications and Supply Chain Foreign Investment Review Section National Security Division</w:t>
      </w:r>
      <w:r>
        <w:t xml:space="preserve"> </w:t>
      </w:r>
      <w:r w:rsidRPr="00E31679">
        <w:t>U.S. Department of Justice, to Marlene H. Dortch, Federal Communications Commission,</w:t>
      </w:r>
      <w:r>
        <w:t xml:space="preserve"> filed in </w:t>
      </w:r>
      <w:r w:rsidRPr="002F602F">
        <w:t>WC Docket No. 25-343 and ICFS File No. ITC-T/C-20251125-00148 (dated</w:t>
      </w:r>
      <w:r>
        <w:rPr>
          <w:b/>
          <w:bCs/>
        </w:rPr>
        <w:t xml:space="preserve"> </w:t>
      </w:r>
      <w:r>
        <w:t xml:space="preserve">April 2, </w:t>
      </w:r>
      <w:r w:rsidRPr="00E31679">
        <w:t>2026</w:t>
      </w:r>
      <w:r>
        <w:t>)</w:t>
      </w:r>
      <w:r w:rsidRPr="00E31679">
        <w:t>.</w:t>
      </w:r>
    </w:p>
  </w:footnote>
  <w:footnote w:id="22">
    <w:p w:rsidR="00DC368C" w:rsidRPr="00DC368C" w14:paraId="640A5F18" w14:textId="01DA1B81">
      <w:pPr>
        <w:pStyle w:val="FootnoteText"/>
        <w:rPr>
          <w:iCs/>
        </w:rPr>
      </w:pPr>
      <w:r>
        <w:rPr>
          <w:rStyle w:val="FootnoteReference"/>
        </w:rPr>
        <w:footnoteRef/>
      </w:r>
      <w:r>
        <w:t xml:space="preserve"> </w:t>
      </w:r>
      <w:r w:rsidR="002317B7">
        <w:rPr>
          <w:iCs/>
        </w:rPr>
        <w:t xml:space="preserve">Application </w:t>
      </w:r>
      <w:r>
        <w:rPr>
          <w:iCs/>
        </w:rPr>
        <w:t>at 3-5.</w:t>
      </w:r>
    </w:p>
  </w:footnote>
  <w:footnote w:id="23">
    <w:p w:rsidR="009B79D4" w:rsidRPr="00CF6111" w:rsidP="009B79D4" w14:paraId="43FFCE08" w14:textId="0D5B0BDC">
      <w:pPr>
        <w:pStyle w:val="FootnoteText"/>
      </w:pPr>
      <w:r w:rsidRPr="00CF6111">
        <w:rPr>
          <w:rStyle w:val="FootnoteReference"/>
          <w:sz w:val="20"/>
        </w:rPr>
        <w:footnoteRef/>
      </w:r>
      <w:r w:rsidRPr="00CF6111">
        <w:t xml:space="preserve"> </w:t>
      </w:r>
      <w:r w:rsidRPr="00CF6111">
        <w:rPr>
          <w:i/>
          <w:iCs/>
        </w:rPr>
        <w:t>Id</w:t>
      </w:r>
      <w:r w:rsidRPr="00CF6111">
        <w:t xml:space="preserve">. </w:t>
      </w:r>
      <w:r w:rsidR="005732BA">
        <w:t>at 3.</w:t>
      </w:r>
    </w:p>
  </w:footnote>
  <w:footnote w:id="24">
    <w:p w:rsidR="009B79D4" w:rsidRPr="00CF6111" w:rsidP="009B79D4" w14:paraId="478FE3CB" w14:textId="0BFDB653">
      <w:pPr>
        <w:pStyle w:val="FootnoteText"/>
      </w:pPr>
      <w:r w:rsidRPr="00CF6111">
        <w:rPr>
          <w:rStyle w:val="FootnoteReference"/>
          <w:sz w:val="20"/>
        </w:rPr>
        <w:footnoteRef/>
      </w:r>
      <w:r w:rsidRPr="00CF6111">
        <w:t xml:space="preserve"> </w:t>
      </w:r>
      <w:r w:rsidRPr="00CF6111">
        <w:rPr>
          <w:i/>
          <w:iCs/>
        </w:rPr>
        <w:t>Id</w:t>
      </w:r>
      <w:r w:rsidRPr="00CF6111">
        <w:t xml:space="preserve">. </w:t>
      </w:r>
      <w:r w:rsidR="00777628">
        <w:t>at 4.</w:t>
      </w:r>
    </w:p>
  </w:footnote>
  <w:footnote w:id="25">
    <w:p w:rsidR="00B24685" w:rsidRPr="00CF6111" w:rsidP="00B24685" w14:paraId="50A74683" w14:textId="6A5AC65A">
      <w:pPr>
        <w:pStyle w:val="FootnoteText"/>
      </w:pPr>
      <w:r w:rsidRPr="00CF6111">
        <w:rPr>
          <w:rStyle w:val="FootnoteReference"/>
          <w:sz w:val="20"/>
        </w:rPr>
        <w:footnoteRef/>
      </w:r>
      <w:r w:rsidRPr="00CF6111">
        <w:t xml:space="preserve"> </w:t>
      </w:r>
      <w:r w:rsidRPr="00CF6111">
        <w:rPr>
          <w:i/>
          <w:iCs/>
        </w:rPr>
        <w:t>See</w:t>
      </w:r>
      <w:r w:rsidRPr="00CF6111">
        <w:t xml:space="preserve"> 47 U.S.C. § 214(a); 47 CFR § 63.03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E7FCBA3" w14:textId="239202AC">
    <w:pPr>
      <w:tabs>
        <w:tab w:val="center" w:pos="4680"/>
        <w:tab w:val="right" w:pos="9360"/>
      </w:tabs>
    </w:pPr>
    <w:r>
      <w:rPr>
        <w:b/>
      </w:rPr>
      <w:tab/>
      <w:t>Federal Communications Commission</w:t>
    </w:r>
    <w:r>
      <w:rPr>
        <w:b/>
      </w:rPr>
      <w:tab/>
    </w:r>
    <w:r w:rsidR="009A6574">
      <w:rPr>
        <w:b/>
      </w:rPr>
      <w:t>DA 2</w:t>
    </w:r>
    <w:r w:rsidR="00541554">
      <w:rPr>
        <w:b/>
      </w:rPr>
      <w:t>6</w:t>
    </w:r>
    <w:r w:rsidR="009A6574">
      <w:rPr>
        <w:b/>
      </w:rPr>
      <w:t>-</w:t>
    </w:r>
    <w:r w:rsidR="00D0441C">
      <w:rPr>
        <w:b/>
      </w:rPr>
      <w:t>326</w:t>
    </w:r>
  </w:p>
  <w:p w:rsidR="00BA3BA8" w14:paraId="47B3F9FE" w14:textId="02D68A6B">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5E8A4D94"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6FBD0559" w14:textId="37959955">
    <w:pPr>
      <w:pStyle w:val="Header"/>
    </w:pPr>
    <w:r>
      <w:rPr>
        <w:noProof/>
      </w:rPr>
      <w:drawing>
        <wp:inline distT="0" distB="0" distL="0" distR="0">
          <wp:extent cx="59499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995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059305A"/>
    <w:multiLevelType w:val="multilevel"/>
    <w:tmpl w:val="57A4B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7">
    <w:nsid w:val="6A614CCE"/>
    <w:multiLevelType w:val="hybridMultilevel"/>
    <w:tmpl w:val="0F98B5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BE20A48"/>
    <w:multiLevelType w:val="multilevel"/>
    <w:tmpl w:val="584238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0445072">
    <w:abstractNumId w:val="2"/>
  </w:num>
  <w:num w:numId="2" w16cid:durableId="10450596">
    <w:abstractNumId w:val="6"/>
  </w:num>
  <w:num w:numId="3" w16cid:durableId="1446579033">
    <w:abstractNumId w:val="4"/>
  </w:num>
  <w:num w:numId="4" w16cid:durableId="301204587">
    <w:abstractNumId w:val="5"/>
  </w:num>
  <w:num w:numId="5" w16cid:durableId="444347286">
    <w:abstractNumId w:val="3"/>
  </w:num>
  <w:num w:numId="6" w16cid:durableId="1088965938">
    <w:abstractNumId w:val="0"/>
  </w:num>
  <w:num w:numId="7" w16cid:durableId="2096245613">
    <w:abstractNumId w:val="7"/>
  </w:num>
  <w:num w:numId="8" w16cid:durableId="823476080">
    <w:abstractNumId w:val="1"/>
  </w:num>
  <w:num w:numId="9" w16cid:durableId="18316030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ED8"/>
    <w:rsid w:val="00000008"/>
    <w:rsid w:val="00000B06"/>
    <w:rsid w:val="00002E74"/>
    <w:rsid w:val="000038D9"/>
    <w:rsid w:val="00004948"/>
    <w:rsid w:val="00004AAB"/>
    <w:rsid w:val="00004E27"/>
    <w:rsid w:val="00005B46"/>
    <w:rsid w:val="00007F5A"/>
    <w:rsid w:val="00012118"/>
    <w:rsid w:val="00012F17"/>
    <w:rsid w:val="0001747A"/>
    <w:rsid w:val="00017BB3"/>
    <w:rsid w:val="00017F1D"/>
    <w:rsid w:val="00020F8F"/>
    <w:rsid w:val="0003015C"/>
    <w:rsid w:val="00031AD7"/>
    <w:rsid w:val="00036266"/>
    <w:rsid w:val="000362A1"/>
    <w:rsid w:val="00037EBE"/>
    <w:rsid w:val="00041462"/>
    <w:rsid w:val="00041A86"/>
    <w:rsid w:val="00042BB8"/>
    <w:rsid w:val="00046BE3"/>
    <w:rsid w:val="00046C1F"/>
    <w:rsid w:val="00046F29"/>
    <w:rsid w:val="0004702F"/>
    <w:rsid w:val="000471AB"/>
    <w:rsid w:val="00051728"/>
    <w:rsid w:val="0005299F"/>
    <w:rsid w:val="000535A1"/>
    <w:rsid w:val="00054236"/>
    <w:rsid w:val="000556E3"/>
    <w:rsid w:val="0006073B"/>
    <w:rsid w:val="00061291"/>
    <w:rsid w:val="00063429"/>
    <w:rsid w:val="00063E6F"/>
    <w:rsid w:val="00064C9C"/>
    <w:rsid w:val="0006688D"/>
    <w:rsid w:val="000712F4"/>
    <w:rsid w:val="000757E9"/>
    <w:rsid w:val="00077798"/>
    <w:rsid w:val="00087ED8"/>
    <w:rsid w:val="00090590"/>
    <w:rsid w:val="00095FCC"/>
    <w:rsid w:val="00097F57"/>
    <w:rsid w:val="000A243D"/>
    <w:rsid w:val="000B0D38"/>
    <w:rsid w:val="000B4827"/>
    <w:rsid w:val="000C0301"/>
    <w:rsid w:val="000C0F2B"/>
    <w:rsid w:val="000C3005"/>
    <w:rsid w:val="000C3B67"/>
    <w:rsid w:val="000D0B4C"/>
    <w:rsid w:val="000D2157"/>
    <w:rsid w:val="000D2A51"/>
    <w:rsid w:val="000D5986"/>
    <w:rsid w:val="000D6317"/>
    <w:rsid w:val="000E1B9C"/>
    <w:rsid w:val="000E22A0"/>
    <w:rsid w:val="000E3B87"/>
    <w:rsid w:val="000E4841"/>
    <w:rsid w:val="000E6E97"/>
    <w:rsid w:val="000F0BBC"/>
    <w:rsid w:val="000F38FE"/>
    <w:rsid w:val="000F60A6"/>
    <w:rsid w:val="000F6199"/>
    <w:rsid w:val="00100CF5"/>
    <w:rsid w:val="00100D16"/>
    <w:rsid w:val="00100D1B"/>
    <w:rsid w:val="0010711E"/>
    <w:rsid w:val="00113228"/>
    <w:rsid w:val="00115417"/>
    <w:rsid w:val="00117461"/>
    <w:rsid w:val="00120429"/>
    <w:rsid w:val="001209A3"/>
    <w:rsid w:val="00122500"/>
    <w:rsid w:val="0012560A"/>
    <w:rsid w:val="00127A29"/>
    <w:rsid w:val="00127E62"/>
    <w:rsid w:val="00135BDE"/>
    <w:rsid w:val="00152042"/>
    <w:rsid w:val="00152875"/>
    <w:rsid w:val="001609E6"/>
    <w:rsid w:val="0017198F"/>
    <w:rsid w:val="00173C02"/>
    <w:rsid w:val="00177993"/>
    <w:rsid w:val="00182CE0"/>
    <w:rsid w:val="001835C8"/>
    <w:rsid w:val="00193605"/>
    <w:rsid w:val="00194A6D"/>
    <w:rsid w:val="0019745A"/>
    <w:rsid w:val="001A16F7"/>
    <w:rsid w:val="001B1673"/>
    <w:rsid w:val="001C2D1F"/>
    <w:rsid w:val="001C320E"/>
    <w:rsid w:val="001C71B2"/>
    <w:rsid w:val="001D0EEA"/>
    <w:rsid w:val="001D52C0"/>
    <w:rsid w:val="001E1179"/>
    <w:rsid w:val="001E5FA4"/>
    <w:rsid w:val="001E6249"/>
    <w:rsid w:val="001E6703"/>
    <w:rsid w:val="001F0E87"/>
    <w:rsid w:val="001F128C"/>
    <w:rsid w:val="001F38E1"/>
    <w:rsid w:val="001F4221"/>
    <w:rsid w:val="001F79F3"/>
    <w:rsid w:val="00202C57"/>
    <w:rsid w:val="00203026"/>
    <w:rsid w:val="002038FE"/>
    <w:rsid w:val="00205D50"/>
    <w:rsid w:val="00210404"/>
    <w:rsid w:val="002110B1"/>
    <w:rsid w:val="00211274"/>
    <w:rsid w:val="00213D39"/>
    <w:rsid w:val="002155E6"/>
    <w:rsid w:val="00220043"/>
    <w:rsid w:val="002215DE"/>
    <w:rsid w:val="00221A0B"/>
    <w:rsid w:val="00222508"/>
    <w:rsid w:val="00223624"/>
    <w:rsid w:val="00224009"/>
    <w:rsid w:val="00226C6A"/>
    <w:rsid w:val="00227F1C"/>
    <w:rsid w:val="002317B7"/>
    <w:rsid w:val="0023260B"/>
    <w:rsid w:val="00234D09"/>
    <w:rsid w:val="00234E1B"/>
    <w:rsid w:val="002378B1"/>
    <w:rsid w:val="00241C32"/>
    <w:rsid w:val="00251F14"/>
    <w:rsid w:val="002618CF"/>
    <w:rsid w:val="00261FEA"/>
    <w:rsid w:val="00262130"/>
    <w:rsid w:val="00263F0F"/>
    <w:rsid w:val="00264590"/>
    <w:rsid w:val="00272E2F"/>
    <w:rsid w:val="00275745"/>
    <w:rsid w:val="0028099D"/>
    <w:rsid w:val="002850A5"/>
    <w:rsid w:val="002903BF"/>
    <w:rsid w:val="002925CB"/>
    <w:rsid w:val="0029337E"/>
    <w:rsid w:val="002936B5"/>
    <w:rsid w:val="00294FFC"/>
    <w:rsid w:val="00296394"/>
    <w:rsid w:val="002A25E9"/>
    <w:rsid w:val="002C01A4"/>
    <w:rsid w:val="002C6511"/>
    <w:rsid w:val="002D0821"/>
    <w:rsid w:val="002D2741"/>
    <w:rsid w:val="002D348A"/>
    <w:rsid w:val="002D6333"/>
    <w:rsid w:val="002E124C"/>
    <w:rsid w:val="002E63E2"/>
    <w:rsid w:val="002E68DD"/>
    <w:rsid w:val="002E721C"/>
    <w:rsid w:val="002F0AA2"/>
    <w:rsid w:val="002F0E63"/>
    <w:rsid w:val="002F3AA1"/>
    <w:rsid w:val="002F4BBA"/>
    <w:rsid w:val="002F564D"/>
    <w:rsid w:val="002F5B0C"/>
    <w:rsid w:val="002F5E68"/>
    <w:rsid w:val="002F602F"/>
    <w:rsid w:val="00301F5F"/>
    <w:rsid w:val="00302446"/>
    <w:rsid w:val="00306AD0"/>
    <w:rsid w:val="00306ED8"/>
    <w:rsid w:val="00310069"/>
    <w:rsid w:val="003148CB"/>
    <w:rsid w:val="003207A2"/>
    <w:rsid w:val="00324DF0"/>
    <w:rsid w:val="00331BDC"/>
    <w:rsid w:val="0033236C"/>
    <w:rsid w:val="00332514"/>
    <w:rsid w:val="0033704B"/>
    <w:rsid w:val="00343094"/>
    <w:rsid w:val="003448B1"/>
    <w:rsid w:val="00350610"/>
    <w:rsid w:val="00350801"/>
    <w:rsid w:val="00350C2A"/>
    <w:rsid w:val="00353F87"/>
    <w:rsid w:val="00357FFE"/>
    <w:rsid w:val="0036025D"/>
    <w:rsid w:val="003608CD"/>
    <w:rsid w:val="00362095"/>
    <w:rsid w:val="003638AC"/>
    <w:rsid w:val="003648C1"/>
    <w:rsid w:val="00367402"/>
    <w:rsid w:val="00373A38"/>
    <w:rsid w:val="00374E30"/>
    <w:rsid w:val="00375D7E"/>
    <w:rsid w:val="00377323"/>
    <w:rsid w:val="00377BF8"/>
    <w:rsid w:val="00382E62"/>
    <w:rsid w:val="003852F9"/>
    <w:rsid w:val="003860DB"/>
    <w:rsid w:val="0039176C"/>
    <w:rsid w:val="00392119"/>
    <w:rsid w:val="003971E3"/>
    <w:rsid w:val="003A3EF1"/>
    <w:rsid w:val="003A4CE3"/>
    <w:rsid w:val="003A77F9"/>
    <w:rsid w:val="003B1989"/>
    <w:rsid w:val="003B2A52"/>
    <w:rsid w:val="003B3F71"/>
    <w:rsid w:val="003B7C23"/>
    <w:rsid w:val="003C4ADD"/>
    <w:rsid w:val="003C5CEA"/>
    <w:rsid w:val="003C5EB7"/>
    <w:rsid w:val="003D1D8A"/>
    <w:rsid w:val="003E7453"/>
    <w:rsid w:val="003E7E10"/>
    <w:rsid w:val="003F0A87"/>
    <w:rsid w:val="003F534F"/>
    <w:rsid w:val="003F562F"/>
    <w:rsid w:val="00405079"/>
    <w:rsid w:val="004052BF"/>
    <w:rsid w:val="00406B3D"/>
    <w:rsid w:val="00407B16"/>
    <w:rsid w:val="00411AB6"/>
    <w:rsid w:val="00412235"/>
    <w:rsid w:val="00417900"/>
    <w:rsid w:val="00422657"/>
    <w:rsid w:val="0042386B"/>
    <w:rsid w:val="00425017"/>
    <w:rsid w:val="004257C9"/>
    <w:rsid w:val="00425EEC"/>
    <w:rsid w:val="004279D4"/>
    <w:rsid w:val="00430183"/>
    <w:rsid w:val="004348D1"/>
    <w:rsid w:val="004351E0"/>
    <w:rsid w:val="004353B8"/>
    <w:rsid w:val="00437A9D"/>
    <w:rsid w:val="0044022C"/>
    <w:rsid w:val="004404B7"/>
    <w:rsid w:val="0044101E"/>
    <w:rsid w:val="00445802"/>
    <w:rsid w:val="00446296"/>
    <w:rsid w:val="00447F39"/>
    <w:rsid w:val="00450153"/>
    <w:rsid w:val="0045157C"/>
    <w:rsid w:val="004547AC"/>
    <w:rsid w:val="00455999"/>
    <w:rsid w:val="004565CF"/>
    <w:rsid w:val="00460354"/>
    <w:rsid w:val="00460A9E"/>
    <w:rsid w:val="00472299"/>
    <w:rsid w:val="0047356B"/>
    <w:rsid w:val="004774CD"/>
    <w:rsid w:val="00480E3A"/>
    <w:rsid w:val="00481AA6"/>
    <w:rsid w:val="00484899"/>
    <w:rsid w:val="00493540"/>
    <w:rsid w:val="00493DAD"/>
    <w:rsid w:val="004960BB"/>
    <w:rsid w:val="004A194E"/>
    <w:rsid w:val="004A275F"/>
    <w:rsid w:val="004A312C"/>
    <w:rsid w:val="004A656E"/>
    <w:rsid w:val="004B0798"/>
    <w:rsid w:val="004B4321"/>
    <w:rsid w:val="004B445B"/>
    <w:rsid w:val="004C4E77"/>
    <w:rsid w:val="004C6B78"/>
    <w:rsid w:val="004D0CC1"/>
    <w:rsid w:val="004D18E2"/>
    <w:rsid w:val="004D1C23"/>
    <w:rsid w:val="004D2749"/>
    <w:rsid w:val="004D41EF"/>
    <w:rsid w:val="004D43A8"/>
    <w:rsid w:val="004D73DE"/>
    <w:rsid w:val="004E0DF2"/>
    <w:rsid w:val="004E479C"/>
    <w:rsid w:val="004E68F9"/>
    <w:rsid w:val="004E6E04"/>
    <w:rsid w:val="004F0544"/>
    <w:rsid w:val="004F6A53"/>
    <w:rsid w:val="005036CD"/>
    <w:rsid w:val="00505F44"/>
    <w:rsid w:val="00506BCD"/>
    <w:rsid w:val="005116F7"/>
    <w:rsid w:val="00512F61"/>
    <w:rsid w:val="00514099"/>
    <w:rsid w:val="00520D46"/>
    <w:rsid w:val="0052256B"/>
    <w:rsid w:val="005240CD"/>
    <w:rsid w:val="00541554"/>
    <w:rsid w:val="00542B69"/>
    <w:rsid w:val="005437C2"/>
    <w:rsid w:val="00543D0D"/>
    <w:rsid w:val="00547C2C"/>
    <w:rsid w:val="00550719"/>
    <w:rsid w:val="00555BE6"/>
    <w:rsid w:val="005613BD"/>
    <w:rsid w:val="00561F16"/>
    <w:rsid w:val="00563CCE"/>
    <w:rsid w:val="00566D27"/>
    <w:rsid w:val="005674AF"/>
    <w:rsid w:val="00570245"/>
    <w:rsid w:val="005732BA"/>
    <w:rsid w:val="00576186"/>
    <w:rsid w:val="005772D2"/>
    <w:rsid w:val="00581178"/>
    <w:rsid w:val="00583484"/>
    <w:rsid w:val="0058357C"/>
    <w:rsid w:val="00584D67"/>
    <w:rsid w:val="005868AE"/>
    <w:rsid w:val="00591E8B"/>
    <w:rsid w:val="00592E0C"/>
    <w:rsid w:val="00595407"/>
    <w:rsid w:val="00597AA8"/>
    <w:rsid w:val="00597D45"/>
    <w:rsid w:val="005A5F30"/>
    <w:rsid w:val="005A64CF"/>
    <w:rsid w:val="005B1343"/>
    <w:rsid w:val="005B6C08"/>
    <w:rsid w:val="005C04DA"/>
    <w:rsid w:val="005C3A2C"/>
    <w:rsid w:val="005C3F9E"/>
    <w:rsid w:val="005C40CC"/>
    <w:rsid w:val="005C5728"/>
    <w:rsid w:val="005D2ACB"/>
    <w:rsid w:val="005D54C9"/>
    <w:rsid w:val="005D6116"/>
    <w:rsid w:val="005D681D"/>
    <w:rsid w:val="005E1085"/>
    <w:rsid w:val="005E695B"/>
    <w:rsid w:val="005F0D1D"/>
    <w:rsid w:val="005F1E10"/>
    <w:rsid w:val="005F6F3A"/>
    <w:rsid w:val="005F78DA"/>
    <w:rsid w:val="005F7DAE"/>
    <w:rsid w:val="005F7FB1"/>
    <w:rsid w:val="00600F4C"/>
    <w:rsid w:val="00606340"/>
    <w:rsid w:val="006117E4"/>
    <w:rsid w:val="00611912"/>
    <w:rsid w:val="00615DB4"/>
    <w:rsid w:val="00616B73"/>
    <w:rsid w:val="006170BC"/>
    <w:rsid w:val="00617E52"/>
    <w:rsid w:val="00624C75"/>
    <w:rsid w:val="00627E7A"/>
    <w:rsid w:val="0063041B"/>
    <w:rsid w:val="00640260"/>
    <w:rsid w:val="00642A6C"/>
    <w:rsid w:val="006466EF"/>
    <w:rsid w:val="0065127F"/>
    <w:rsid w:val="0065171E"/>
    <w:rsid w:val="00654756"/>
    <w:rsid w:val="00655AF0"/>
    <w:rsid w:val="00657DDE"/>
    <w:rsid w:val="00660C00"/>
    <w:rsid w:val="00661FC7"/>
    <w:rsid w:val="00670A9E"/>
    <w:rsid w:val="006721EA"/>
    <w:rsid w:val="00672942"/>
    <w:rsid w:val="00675BDA"/>
    <w:rsid w:val="00676CC4"/>
    <w:rsid w:val="00680877"/>
    <w:rsid w:val="00682CCE"/>
    <w:rsid w:val="0068569A"/>
    <w:rsid w:val="00690B02"/>
    <w:rsid w:val="006924C6"/>
    <w:rsid w:val="006936F0"/>
    <w:rsid w:val="0069525C"/>
    <w:rsid w:val="006962CD"/>
    <w:rsid w:val="006A01A1"/>
    <w:rsid w:val="006A5873"/>
    <w:rsid w:val="006A73A6"/>
    <w:rsid w:val="006B008F"/>
    <w:rsid w:val="006B4D7E"/>
    <w:rsid w:val="006B733E"/>
    <w:rsid w:val="006C2885"/>
    <w:rsid w:val="006C3085"/>
    <w:rsid w:val="006C7C8D"/>
    <w:rsid w:val="006D15F7"/>
    <w:rsid w:val="006D5EEC"/>
    <w:rsid w:val="006E1093"/>
    <w:rsid w:val="006E6AC1"/>
    <w:rsid w:val="006E7014"/>
    <w:rsid w:val="006F0A89"/>
    <w:rsid w:val="006F1D98"/>
    <w:rsid w:val="006F27F7"/>
    <w:rsid w:val="006F3A8F"/>
    <w:rsid w:val="006F5527"/>
    <w:rsid w:val="00701FC4"/>
    <w:rsid w:val="00703B04"/>
    <w:rsid w:val="00710844"/>
    <w:rsid w:val="007114AA"/>
    <w:rsid w:val="00712C6E"/>
    <w:rsid w:val="007137E6"/>
    <w:rsid w:val="00715F26"/>
    <w:rsid w:val="00720D0B"/>
    <w:rsid w:val="00721E64"/>
    <w:rsid w:val="007220C5"/>
    <w:rsid w:val="00722941"/>
    <w:rsid w:val="00724BD7"/>
    <w:rsid w:val="00725203"/>
    <w:rsid w:val="00726B19"/>
    <w:rsid w:val="00730ED2"/>
    <w:rsid w:val="0073551E"/>
    <w:rsid w:val="0073555A"/>
    <w:rsid w:val="00737C11"/>
    <w:rsid w:val="0074215A"/>
    <w:rsid w:val="007440F7"/>
    <w:rsid w:val="0074610C"/>
    <w:rsid w:val="007476E0"/>
    <w:rsid w:val="0075199B"/>
    <w:rsid w:val="0075211C"/>
    <w:rsid w:val="0075283B"/>
    <w:rsid w:val="00755682"/>
    <w:rsid w:val="00757325"/>
    <w:rsid w:val="00760916"/>
    <w:rsid w:val="00764837"/>
    <w:rsid w:val="007672DB"/>
    <w:rsid w:val="007703E2"/>
    <w:rsid w:val="00773C82"/>
    <w:rsid w:val="00777628"/>
    <w:rsid w:val="00780B05"/>
    <w:rsid w:val="00784FAE"/>
    <w:rsid w:val="00786628"/>
    <w:rsid w:val="007878A8"/>
    <w:rsid w:val="007909D2"/>
    <w:rsid w:val="00792E9C"/>
    <w:rsid w:val="007A0B1C"/>
    <w:rsid w:val="007A76A8"/>
    <w:rsid w:val="007B24B5"/>
    <w:rsid w:val="007B5B90"/>
    <w:rsid w:val="007B75D8"/>
    <w:rsid w:val="007B768E"/>
    <w:rsid w:val="007C1FB2"/>
    <w:rsid w:val="007C44E2"/>
    <w:rsid w:val="007C47E9"/>
    <w:rsid w:val="007E214C"/>
    <w:rsid w:val="007E3401"/>
    <w:rsid w:val="007E5A46"/>
    <w:rsid w:val="007E6694"/>
    <w:rsid w:val="007F246A"/>
    <w:rsid w:val="007F4E90"/>
    <w:rsid w:val="007F513E"/>
    <w:rsid w:val="007F6F0D"/>
    <w:rsid w:val="008001A8"/>
    <w:rsid w:val="0080308F"/>
    <w:rsid w:val="00803554"/>
    <w:rsid w:val="00805043"/>
    <w:rsid w:val="00811C21"/>
    <w:rsid w:val="00814A65"/>
    <w:rsid w:val="00815E52"/>
    <w:rsid w:val="00822EC1"/>
    <w:rsid w:val="00827200"/>
    <w:rsid w:val="008333A8"/>
    <w:rsid w:val="00835D73"/>
    <w:rsid w:val="008409C3"/>
    <w:rsid w:val="008439AC"/>
    <w:rsid w:val="00843A26"/>
    <w:rsid w:val="00843FBB"/>
    <w:rsid w:val="008446C4"/>
    <w:rsid w:val="00847C00"/>
    <w:rsid w:val="008505D1"/>
    <w:rsid w:val="00853C59"/>
    <w:rsid w:val="00853F70"/>
    <w:rsid w:val="00861C4C"/>
    <w:rsid w:val="00862183"/>
    <w:rsid w:val="008628B1"/>
    <w:rsid w:val="00867449"/>
    <w:rsid w:val="00867B91"/>
    <w:rsid w:val="0088044B"/>
    <w:rsid w:val="0088540B"/>
    <w:rsid w:val="00887B3E"/>
    <w:rsid w:val="00890BB3"/>
    <w:rsid w:val="00893C47"/>
    <w:rsid w:val="00895ADF"/>
    <w:rsid w:val="008962DE"/>
    <w:rsid w:val="008A41E3"/>
    <w:rsid w:val="008A50AF"/>
    <w:rsid w:val="008A5D66"/>
    <w:rsid w:val="008A7F49"/>
    <w:rsid w:val="008B45FF"/>
    <w:rsid w:val="008B49CB"/>
    <w:rsid w:val="008C2810"/>
    <w:rsid w:val="008C4892"/>
    <w:rsid w:val="008C52B0"/>
    <w:rsid w:val="008C5979"/>
    <w:rsid w:val="008C6B76"/>
    <w:rsid w:val="008D153D"/>
    <w:rsid w:val="008D51AC"/>
    <w:rsid w:val="008E2A0C"/>
    <w:rsid w:val="008E4291"/>
    <w:rsid w:val="008E6D53"/>
    <w:rsid w:val="008E7B71"/>
    <w:rsid w:val="008F0133"/>
    <w:rsid w:val="008F1DA7"/>
    <w:rsid w:val="008F2464"/>
    <w:rsid w:val="008F63C2"/>
    <w:rsid w:val="008F65CA"/>
    <w:rsid w:val="0090068E"/>
    <w:rsid w:val="0090085B"/>
    <w:rsid w:val="0091360C"/>
    <w:rsid w:val="00916FF2"/>
    <w:rsid w:val="00930A4F"/>
    <w:rsid w:val="00930B55"/>
    <w:rsid w:val="00932416"/>
    <w:rsid w:val="00936BAC"/>
    <w:rsid w:val="00942823"/>
    <w:rsid w:val="009436BA"/>
    <w:rsid w:val="00947A1D"/>
    <w:rsid w:val="0095786E"/>
    <w:rsid w:val="00961640"/>
    <w:rsid w:val="00963BDF"/>
    <w:rsid w:val="0096724E"/>
    <w:rsid w:val="00967FA7"/>
    <w:rsid w:val="00970436"/>
    <w:rsid w:val="00970AB4"/>
    <w:rsid w:val="0097116C"/>
    <w:rsid w:val="009730D0"/>
    <w:rsid w:val="00975B47"/>
    <w:rsid w:val="00975E64"/>
    <w:rsid w:val="00985D43"/>
    <w:rsid w:val="0098781C"/>
    <w:rsid w:val="00993789"/>
    <w:rsid w:val="00994AAA"/>
    <w:rsid w:val="0099513E"/>
    <w:rsid w:val="00997C1E"/>
    <w:rsid w:val="009A32C6"/>
    <w:rsid w:val="009A6574"/>
    <w:rsid w:val="009B2209"/>
    <w:rsid w:val="009B535C"/>
    <w:rsid w:val="009B7388"/>
    <w:rsid w:val="009B79D4"/>
    <w:rsid w:val="009C0A7D"/>
    <w:rsid w:val="009C1A73"/>
    <w:rsid w:val="009C3BAA"/>
    <w:rsid w:val="009C5D15"/>
    <w:rsid w:val="009D3A0F"/>
    <w:rsid w:val="009D6CF4"/>
    <w:rsid w:val="009E1FC1"/>
    <w:rsid w:val="009E35D3"/>
    <w:rsid w:val="009E7758"/>
    <w:rsid w:val="009F033D"/>
    <w:rsid w:val="009F08E4"/>
    <w:rsid w:val="009F15A6"/>
    <w:rsid w:val="009F17E3"/>
    <w:rsid w:val="009F1985"/>
    <w:rsid w:val="009F19EB"/>
    <w:rsid w:val="009F2B35"/>
    <w:rsid w:val="009F4B25"/>
    <w:rsid w:val="009F5EB3"/>
    <w:rsid w:val="009F6080"/>
    <w:rsid w:val="00A009F5"/>
    <w:rsid w:val="00A06771"/>
    <w:rsid w:val="00A13A21"/>
    <w:rsid w:val="00A17504"/>
    <w:rsid w:val="00A178D6"/>
    <w:rsid w:val="00A20679"/>
    <w:rsid w:val="00A21F9F"/>
    <w:rsid w:val="00A2759C"/>
    <w:rsid w:val="00A32BB9"/>
    <w:rsid w:val="00A37D78"/>
    <w:rsid w:val="00A403AF"/>
    <w:rsid w:val="00A42F86"/>
    <w:rsid w:val="00A43A21"/>
    <w:rsid w:val="00A50211"/>
    <w:rsid w:val="00A5379D"/>
    <w:rsid w:val="00A55FE7"/>
    <w:rsid w:val="00A560DD"/>
    <w:rsid w:val="00A56168"/>
    <w:rsid w:val="00A62D56"/>
    <w:rsid w:val="00A70C25"/>
    <w:rsid w:val="00A72ADD"/>
    <w:rsid w:val="00A7746C"/>
    <w:rsid w:val="00A833D8"/>
    <w:rsid w:val="00A84410"/>
    <w:rsid w:val="00A8499D"/>
    <w:rsid w:val="00A878EA"/>
    <w:rsid w:val="00A92E38"/>
    <w:rsid w:val="00A9577B"/>
    <w:rsid w:val="00A971AE"/>
    <w:rsid w:val="00AA395F"/>
    <w:rsid w:val="00AA5DF0"/>
    <w:rsid w:val="00AA5F16"/>
    <w:rsid w:val="00AA7DB8"/>
    <w:rsid w:val="00AC0588"/>
    <w:rsid w:val="00AC77DA"/>
    <w:rsid w:val="00AD3735"/>
    <w:rsid w:val="00AD440B"/>
    <w:rsid w:val="00AD72DE"/>
    <w:rsid w:val="00AD7754"/>
    <w:rsid w:val="00AE5AF8"/>
    <w:rsid w:val="00AF0B31"/>
    <w:rsid w:val="00AF110D"/>
    <w:rsid w:val="00AF2080"/>
    <w:rsid w:val="00AF531D"/>
    <w:rsid w:val="00AF6C91"/>
    <w:rsid w:val="00B10761"/>
    <w:rsid w:val="00B14550"/>
    <w:rsid w:val="00B14AF7"/>
    <w:rsid w:val="00B16DA2"/>
    <w:rsid w:val="00B23E3B"/>
    <w:rsid w:val="00B24685"/>
    <w:rsid w:val="00B24A61"/>
    <w:rsid w:val="00B26BE8"/>
    <w:rsid w:val="00B26C49"/>
    <w:rsid w:val="00B317F7"/>
    <w:rsid w:val="00B340BB"/>
    <w:rsid w:val="00B36883"/>
    <w:rsid w:val="00B37703"/>
    <w:rsid w:val="00B40078"/>
    <w:rsid w:val="00B41D08"/>
    <w:rsid w:val="00B43470"/>
    <w:rsid w:val="00B47CAC"/>
    <w:rsid w:val="00B52BAA"/>
    <w:rsid w:val="00B5558E"/>
    <w:rsid w:val="00B62C35"/>
    <w:rsid w:val="00B7184B"/>
    <w:rsid w:val="00B72C93"/>
    <w:rsid w:val="00B7733D"/>
    <w:rsid w:val="00B83D65"/>
    <w:rsid w:val="00B91092"/>
    <w:rsid w:val="00B92646"/>
    <w:rsid w:val="00B933D7"/>
    <w:rsid w:val="00B93645"/>
    <w:rsid w:val="00B93C0A"/>
    <w:rsid w:val="00B96C67"/>
    <w:rsid w:val="00BA0A27"/>
    <w:rsid w:val="00BA3BA8"/>
    <w:rsid w:val="00BA740E"/>
    <w:rsid w:val="00BA764B"/>
    <w:rsid w:val="00BB69BF"/>
    <w:rsid w:val="00BB7385"/>
    <w:rsid w:val="00BC3763"/>
    <w:rsid w:val="00BD46C6"/>
    <w:rsid w:val="00BD49B6"/>
    <w:rsid w:val="00BD4BDE"/>
    <w:rsid w:val="00BE3034"/>
    <w:rsid w:val="00BE3148"/>
    <w:rsid w:val="00BE5AB4"/>
    <w:rsid w:val="00BE6327"/>
    <w:rsid w:val="00BE684A"/>
    <w:rsid w:val="00BF0A80"/>
    <w:rsid w:val="00BF33D5"/>
    <w:rsid w:val="00BF3FBD"/>
    <w:rsid w:val="00C11922"/>
    <w:rsid w:val="00C129A5"/>
    <w:rsid w:val="00C13952"/>
    <w:rsid w:val="00C14219"/>
    <w:rsid w:val="00C2228E"/>
    <w:rsid w:val="00C24A7F"/>
    <w:rsid w:val="00C2790C"/>
    <w:rsid w:val="00C32393"/>
    <w:rsid w:val="00C35F4C"/>
    <w:rsid w:val="00C36566"/>
    <w:rsid w:val="00C36F65"/>
    <w:rsid w:val="00C416C3"/>
    <w:rsid w:val="00C44387"/>
    <w:rsid w:val="00C45315"/>
    <w:rsid w:val="00C46195"/>
    <w:rsid w:val="00C543CB"/>
    <w:rsid w:val="00C60B2F"/>
    <w:rsid w:val="00C618CA"/>
    <w:rsid w:val="00C631C5"/>
    <w:rsid w:val="00C631D5"/>
    <w:rsid w:val="00C72BF7"/>
    <w:rsid w:val="00C74762"/>
    <w:rsid w:val="00C766A5"/>
    <w:rsid w:val="00C82BF0"/>
    <w:rsid w:val="00C90947"/>
    <w:rsid w:val="00C934D7"/>
    <w:rsid w:val="00C93608"/>
    <w:rsid w:val="00CB3B8D"/>
    <w:rsid w:val="00CB3CB7"/>
    <w:rsid w:val="00CB4323"/>
    <w:rsid w:val="00CC06CF"/>
    <w:rsid w:val="00CC3076"/>
    <w:rsid w:val="00CC49AD"/>
    <w:rsid w:val="00CC53DD"/>
    <w:rsid w:val="00CD2E15"/>
    <w:rsid w:val="00CD75AA"/>
    <w:rsid w:val="00CE6D0B"/>
    <w:rsid w:val="00CF2988"/>
    <w:rsid w:val="00CF6111"/>
    <w:rsid w:val="00CF78A3"/>
    <w:rsid w:val="00D0441C"/>
    <w:rsid w:val="00D1719C"/>
    <w:rsid w:val="00D21ADC"/>
    <w:rsid w:val="00D21E19"/>
    <w:rsid w:val="00D22F0D"/>
    <w:rsid w:val="00D24F57"/>
    <w:rsid w:val="00D26FCC"/>
    <w:rsid w:val="00D27221"/>
    <w:rsid w:val="00D32898"/>
    <w:rsid w:val="00D332C7"/>
    <w:rsid w:val="00D35959"/>
    <w:rsid w:val="00D35DE3"/>
    <w:rsid w:val="00D40DF4"/>
    <w:rsid w:val="00D4250F"/>
    <w:rsid w:val="00D42674"/>
    <w:rsid w:val="00D43139"/>
    <w:rsid w:val="00D442AD"/>
    <w:rsid w:val="00D51530"/>
    <w:rsid w:val="00D55D6B"/>
    <w:rsid w:val="00D61CFF"/>
    <w:rsid w:val="00D66B58"/>
    <w:rsid w:val="00D67B07"/>
    <w:rsid w:val="00D80708"/>
    <w:rsid w:val="00D807A2"/>
    <w:rsid w:val="00D819DB"/>
    <w:rsid w:val="00D85107"/>
    <w:rsid w:val="00D85EAC"/>
    <w:rsid w:val="00D86188"/>
    <w:rsid w:val="00D92355"/>
    <w:rsid w:val="00D92A44"/>
    <w:rsid w:val="00D948D4"/>
    <w:rsid w:val="00D95483"/>
    <w:rsid w:val="00D95721"/>
    <w:rsid w:val="00DA0A04"/>
    <w:rsid w:val="00DA3B0F"/>
    <w:rsid w:val="00DA7D94"/>
    <w:rsid w:val="00DB3CBC"/>
    <w:rsid w:val="00DB3F48"/>
    <w:rsid w:val="00DB4124"/>
    <w:rsid w:val="00DC368C"/>
    <w:rsid w:val="00DC48E5"/>
    <w:rsid w:val="00DC5376"/>
    <w:rsid w:val="00DD0752"/>
    <w:rsid w:val="00DD16D9"/>
    <w:rsid w:val="00DD2109"/>
    <w:rsid w:val="00DD57CE"/>
    <w:rsid w:val="00DD6D33"/>
    <w:rsid w:val="00DD76D3"/>
    <w:rsid w:val="00DD79FB"/>
    <w:rsid w:val="00DE3D67"/>
    <w:rsid w:val="00DE609A"/>
    <w:rsid w:val="00DE694C"/>
    <w:rsid w:val="00DF0104"/>
    <w:rsid w:val="00DF16C8"/>
    <w:rsid w:val="00DF7EFA"/>
    <w:rsid w:val="00E02EA8"/>
    <w:rsid w:val="00E05DBD"/>
    <w:rsid w:val="00E0751C"/>
    <w:rsid w:val="00E10B4C"/>
    <w:rsid w:val="00E14FA7"/>
    <w:rsid w:val="00E16542"/>
    <w:rsid w:val="00E168F9"/>
    <w:rsid w:val="00E16D39"/>
    <w:rsid w:val="00E20B14"/>
    <w:rsid w:val="00E223D3"/>
    <w:rsid w:val="00E31679"/>
    <w:rsid w:val="00E31A8E"/>
    <w:rsid w:val="00E36A31"/>
    <w:rsid w:val="00E37A1F"/>
    <w:rsid w:val="00E406FE"/>
    <w:rsid w:val="00E41FC5"/>
    <w:rsid w:val="00E42688"/>
    <w:rsid w:val="00E56BF7"/>
    <w:rsid w:val="00E62AC9"/>
    <w:rsid w:val="00E63466"/>
    <w:rsid w:val="00E64176"/>
    <w:rsid w:val="00E64E16"/>
    <w:rsid w:val="00E7395B"/>
    <w:rsid w:val="00E73988"/>
    <w:rsid w:val="00E750CE"/>
    <w:rsid w:val="00E862D2"/>
    <w:rsid w:val="00E941CF"/>
    <w:rsid w:val="00E9713E"/>
    <w:rsid w:val="00EA4CCF"/>
    <w:rsid w:val="00EA77D8"/>
    <w:rsid w:val="00EA7D56"/>
    <w:rsid w:val="00EB0525"/>
    <w:rsid w:val="00EB0CC2"/>
    <w:rsid w:val="00EB671B"/>
    <w:rsid w:val="00EC0A70"/>
    <w:rsid w:val="00EC13A8"/>
    <w:rsid w:val="00EC5C18"/>
    <w:rsid w:val="00ED029F"/>
    <w:rsid w:val="00ED27CA"/>
    <w:rsid w:val="00ED2A66"/>
    <w:rsid w:val="00ED3CBB"/>
    <w:rsid w:val="00ED5781"/>
    <w:rsid w:val="00ED6F3B"/>
    <w:rsid w:val="00ED7555"/>
    <w:rsid w:val="00EE0A65"/>
    <w:rsid w:val="00EE231C"/>
    <w:rsid w:val="00EE248D"/>
    <w:rsid w:val="00EE3AA3"/>
    <w:rsid w:val="00EE3AED"/>
    <w:rsid w:val="00EF038F"/>
    <w:rsid w:val="00EF0A38"/>
    <w:rsid w:val="00EF29AE"/>
    <w:rsid w:val="00EF466B"/>
    <w:rsid w:val="00EF53AB"/>
    <w:rsid w:val="00EF6D42"/>
    <w:rsid w:val="00EF71F1"/>
    <w:rsid w:val="00F03EA1"/>
    <w:rsid w:val="00F05D08"/>
    <w:rsid w:val="00F12819"/>
    <w:rsid w:val="00F13F7B"/>
    <w:rsid w:val="00F146F3"/>
    <w:rsid w:val="00F147CB"/>
    <w:rsid w:val="00F24605"/>
    <w:rsid w:val="00F305F3"/>
    <w:rsid w:val="00F36961"/>
    <w:rsid w:val="00F37544"/>
    <w:rsid w:val="00F376E7"/>
    <w:rsid w:val="00F40EAF"/>
    <w:rsid w:val="00F505F3"/>
    <w:rsid w:val="00F53FA8"/>
    <w:rsid w:val="00F56B64"/>
    <w:rsid w:val="00F611F1"/>
    <w:rsid w:val="00F616C5"/>
    <w:rsid w:val="00F6176D"/>
    <w:rsid w:val="00F75BA9"/>
    <w:rsid w:val="00F765B6"/>
    <w:rsid w:val="00F77A26"/>
    <w:rsid w:val="00F83684"/>
    <w:rsid w:val="00F92238"/>
    <w:rsid w:val="00F94C49"/>
    <w:rsid w:val="00F95BD2"/>
    <w:rsid w:val="00F967AE"/>
    <w:rsid w:val="00F97C00"/>
    <w:rsid w:val="00F97CF5"/>
    <w:rsid w:val="00FA0905"/>
    <w:rsid w:val="00FA1BB4"/>
    <w:rsid w:val="00FA2C96"/>
    <w:rsid w:val="00FA7F67"/>
    <w:rsid w:val="00FB1411"/>
    <w:rsid w:val="00FB1D12"/>
    <w:rsid w:val="00FB1EE0"/>
    <w:rsid w:val="00FC0869"/>
    <w:rsid w:val="00FC490A"/>
    <w:rsid w:val="00FC605B"/>
    <w:rsid w:val="00FC7C69"/>
    <w:rsid w:val="00FD6FEE"/>
    <w:rsid w:val="00FD7EE2"/>
    <w:rsid w:val="00FE0417"/>
    <w:rsid w:val="00FE07A6"/>
    <w:rsid w:val="00FE6AE3"/>
    <w:rsid w:val="00FE76A8"/>
    <w:rsid w:val="00FF29B8"/>
    <w:rsid w:val="00FF5086"/>
    <w:rsid w:val="00FF6D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6FAB69"/>
  <w15:chartTrackingRefBased/>
  <w15:docId w15:val="{DAAD0186-DCC2-4F3D-B2F5-8A5988BA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Footnote Text Char Char Char1 Char Char Char,Footnote Text Char Char Char2 Char Char,Footnote Text Char1 Char1 Char Char Char,Footnote Text Char2 Char,Footnote Text Char2 Char Char Char,Footnote Text Char3 Char Char,f,fn"/>
    <w:link w:val="FootnoteTextChar1"/>
    <w:qFormat/>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1">
    <w:name w:val="Footnote Text Char1"/>
    <w:aliases w:val="Footnote Text Char Char,Footnote Text Char Char Char1 Char Char Char Char,Footnote Text Char Char Char2 Char Char Char,Footnote Text Char1 Char1 Char Char Char Char,Footnote Text Char2 Char Char,Footnote Text Char3 Char Char Char"/>
    <w:link w:val="FootnoteText"/>
    <w:rsid w:val="00087ED8"/>
  </w:style>
  <w:style w:type="character" w:styleId="CommentReference">
    <w:name w:val="annotation reference"/>
    <w:uiPriority w:val="99"/>
    <w:semiHidden/>
    <w:unhideWhenUsed/>
    <w:rsid w:val="009C3BAA"/>
    <w:rPr>
      <w:sz w:val="16"/>
      <w:szCs w:val="16"/>
    </w:rPr>
  </w:style>
  <w:style w:type="paragraph" w:styleId="CommentText">
    <w:name w:val="annotation text"/>
    <w:basedOn w:val="Normal"/>
    <w:link w:val="CommentTextChar"/>
    <w:uiPriority w:val="99"/>
    <w:unhideWhenUsed/>
    <w:rsid w:val="009C3BAA"/>
    <w:rPr>
      <w:sz w:val="20"/>
    </w:rPr>
  </w:style>
  <w:style w:type="character" w:customStyle="1" w:styleId="CommentTextChar">
    <w:name w:val="Comment Text Char"/>
    <w:link w:val="CommentText"/>
    <w:uiPriority w:val="99"/>
    <w:rsid w:val="009C3BAA"/>
    <w:rPr>
      <w:snapToGrid w:val="0"/>
      <w:kern w:val="28"/>
    </w:rPr>
  </w:style>
  <w:style w:type="paragraph" w:styleId="CommentSubject">
    <w:name w:val="annotation subject"/>
    <w:basedOn w:val="CommentText"/>
    <w:next w:val="CommentText"/>
    <w:link w:val="CommentSubjectChar"/>
    <w:uiPriority w:val="99"/>
    <w:semiHidden/>
    <w:unhideWhenUsed/>
    <w:rsid w:val="009C3BAA"/>
    <w:rPr>
      <w:b/>
      <w:bCs/>
    </w:rPr>
  </w:style>
  <w:style w:type="character" w:customStyle="1" w:styleId="CommentSubjectChar">
    <w:name w:val="Comment Subject Char"/>
    <w:link w:val="CommentSubject"/>
    <w:uiPriority w:val="99"/>
    <w:semiHidden/>
    <w:rsid w:val="009C3BAA"/>
    <w:rPr>
      <w:b/>
      <w:bCs/>
      <w:snapToGrid w:val="0"/>
      <w:kern w:val="28"/>
    </w:rPr>
  </w:style>
  <w:style w:type="paragraph" w:styleId="Revision">
    <w:name w:val="Revision"/>
    <w:hidden/>
    <w:uiPriority w:val="99"/>
    <w:semiHidden/>
    <w:rsid w:val="00C35F4C"/>
    <w:rPr>
      <w:snapToGrid w:val="0"/>
      <w:kern w:val="28"/>
      <w:sz w:val="22"/>
    </w:rPr>
  </w:style>
  <w:style w:type="paragraph" w:customStyle="1" w:styleId="Default">
    <w:name w:val="Default"/>
    <w:rsid w:val="00D9572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