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B5B6C" w14:paraId="61770217" w14:textId="77777777">
      <w:pPr>
        <w:jc w:val="right"/>
        <w:rPr>
          <w:b/>
          <w:szCs w:val="22"/>
        </w:rPr>
      </w:pPr>
    </w:p>
    <w:p w:rsidR="00892309" w:rsidRPr="00A62711" w14:paraId="6B4A9FE2" w14:textId="1798F18A">
      <w:pPr>
        <w:jc w:val="right"/>
        <w:rPr>
          <w:b/>
          <w:szCs w:val="22"/>
        </w:rPr>
      </w:pPr>
      <w:r w:rsidRPr="00A62711">
        <w:rPr>
          <w:b/>
          <w:szCs w:val="22"/>
        </w:rPr>
        <w:t>DA 2</w:t>
      </w:r>
      <w:r w:rsidR="000F09DB">
        <w:rPr>
          <w:b/>
          <w:szCs w:val="22"/>
        </w:rPr>
        <w:t>6</w:t>
      </w:r>
      <w:r w:rsidRPr="00A62711">
        <w:rPr>
          <w:b/>
          <w:szCs w:val="22"/>
        </w:rPr>
        <w:t>-</w:t>
      </w:r>
      <w:r w:rsidR="00D36A70">
        <w:rPr>
          <w:b/>
          <w:szCs w:val="22"/>
        </w:rPr>
        <w:t>337</w:t>
      </w:r>
    </w:p>
    <w:p w:rsidR="00892309" w:rsidRPr="00A62711" w14:paraId="28E48A74" w14:textId="3509A8D5">
      <w:pPr>
        <w:spacing w:before="60"/>
        <w:jc w:val="right"/>
        <w:rPr>
          <w:b/>
          <w:szCs w:val="22"/>
        </w:rPr>
      </w:pPr>
      <w:r w:rsidRPr="00A62711">
        <w:rPr>
          <w:b/>
          <w:szCs w:val="22"/>
        </w:rPr>
        <w:t xml:space="preserve">Released:  </w:t>
      </w:r>
      <w:r w:rsidR="00451E70">
        <w:rPr>
          <w:b/>
          <w:szCs w:val="22"/>
        </w:rPr>
        <w:t>April 7</w:t>
      </w:r>
      <w:r w:rsidR="000F09DB">
        <w:rPr>
          <w:b/>
          <w:szCs w:val="22"/>
        </w:rPr>
        <w:t>, 2026</w:t>
      </w:r>
    </w:p>
    <w:p w:rsidR="00892309" w:rsidRPr="00A62711" w14:paraId="62A0469A" w14:textId="77777777">
      <w:pPr>
        <w:jc w:val="right"/>
        <w:rPr>
          <w:szCs w:val="22"/>
        </w:rPr>
      </w:pPr>
    </w:p>
    <w:p w:rsidR="00892309" w:rsidRPr="00A62711" w:rsidP="3EB26D35" w14:paraId="4A949810" w14:textId="21CA73FE">
      <w:pPr>
        <w:spacing w:after="240"/>
        <w:jc w:val="center"/>
        <w:rPr>
          <w:b/>
          <w:bCs/>
          <w:caps/>
        </w:rPr>
      </w:pPr>
      <w:r>
        <w:rPr>
          <w:b/>
          <w:bCs/>
        </w:rPr>
        <w:t>OFFICE OF ENGINEERING AND TECHNOLOGY</w:t>
      </w:r>
      <w:r w:rsidRPr="3C65EAA0">
        <w:rPr>
          <w:b/>
          <w:bCs/>
        </w:rPr>
        <w:t xml:space="preserve"> </w:t>
      </w:r>
      <w:r>
        <w:rPr>
          <w:b/>
          <w:bCs/>
        </w:rPr>
        <w:t xml:space="preserve">AND WIRELESS TELECOMMUNICATIONS BUREAU </w:t>
      </w:r>
      <w:r w:rsidRPr="3C65EAA0">
        <w:rPr>
          <w:b/>
          <w:bCs/>
        </w:rPr>
        <w:t xml:space="preserve">SEEK COMMENT </w:t>
      </w:r>
      <w:r>
        <w:rPr>
          <w:b/>
          <w:bCs/>
        </w:rPr>
        <w:t>ON QUALCOMM’S PETITION FOR RULEMAKING TO ALLOCATE SPECTRUM AND ESTABLISH SERVICE RULES FOR A NEW COMMUNICATIONS SERVICE IN PORTIONS OF THE 1675-1695 MHZ AND 5350-5470 MHZ BANDS</w:t>
      </w:r>
    </w:p>
    <w:p w:rsidR="0097134A" w:rsidP="00910A37" w14:paraId="7954EA45" w14:textId="68502D0A">
      <w:pPr>
        <w:jc w:val="center"/>
        <w:rPr>
          <w:b/>
          <w:szCs w:val="22"/>
        </w:rPr>
      </w:pPr>
      <w:bookmarkStart w:id="0" w:name="TOChere"/>
      <w:r>
        <w:rPr>
          <w:b/>
          <w:szCs w:val="22"/>
        </w:rPr>
        <w:t>RM-</w:t>
      </w:r>
      <w:r w:rsidR="00451E70">
        <w:rPr>
          <w:b/>
          <w:szCs w:val="22"/>
        </w:rPr>
        <w:t>12020</w:t>
      </w:r>
    </w:p>
    <w:p w:rsidR="00490059" w:rsidP="00910A37" w14:paraId="4FD8D9A8" w14:textId="3764A982">
      <w:pPr>
        <w:jc w:val="center"/>
        <w:rPr>
          <w:b/>
          <w:szCs w:val="22"/>
        </w:rPr>
      </w:pPr>
      <w:r>
        <w:rPr>
          <w:b/>
          <w:szCs w:val="22"/>
        </w:rPr>
        <w:t>WT Docket No. 19-116</w:t>
      </w:r>
    </w:p>
    <w:p w:rsidR="00910A37" w:rsidRPr="00585193" w:rsidP="00910A37" w14:paraId="553FEB59" w14:textId="77777777">
      <w:pPr>
        <w:jc w:val="center"/>
        <w:rPr>
          <w:szCs w:val="22"/>
        </w:rPr>
      </w:pPr>
    </w:p>
    <w:bookmarkEnd w:id="0"/>
    <w:p w:rsidR="007644B1" w:rsidRPr="00C45DE9" w:rsidP="007644B1" w14:paraId="38A42B57" w14:textId="0060C325">
      <w:pPr>
        <w:pStyle w:val="NoSpacing"/>
        <w:rPr>
          <w:b/>
          <w:szCs w:val="22"/>
        </w:rPr>
      </w:pPr>
      <w:r w:rsidRPr="00C45DE9">
        <w:rPr>
          <w:b/>
          <w:szCs w:val="22"/>
        </w:rPr>
        <w:t xml:space="preserve">Comments Due:  </w:t>
      </w:r>
      <w:r w:rsidR="00D36A70">
        <w:rPr>
          <w:b/>
          <w:szCs w:val="22"/>
        </w:rPr>
        <w:t>May 7, 2026</w:t>
      </w:r>
    </w:p>
    <w:p w:rsidR="007644B1" w:rsidRPr="00585193" w:rsidP="007644B1" w14:paraId="0D1F78EF" w14:textId="3FED33D0">
      <w:pPr>
        <w:rPr>
          <w:b/>
          <w:snapToGrid/>
          <w:kern w:val="0"/>
          <w:szCs w:val="22"/>
        </w:rPr>
      </w:pPr>
      <w:r w:rsidRPr="00C45DE9">
        <w:rPr>
          <w:b/>
          <w:szCs w:val="22"/>
        </w:rPr>
        <w:t xml:space="preserve">Reply Comments Due:  </w:t>
      </w:r>
      <w:r w:rsidR="00D36A70">
        <w:rPr>
          <w:b/>
          <w:szCs w:val="22"/>
        </w:rPr>
        <w:t>May 22, 2026</w:t>
      </w:r>
    </w:p>
    <w:p w:rsidR="007644B1" w:rsidRPr="00585193" w:rsidP="007644B1" w14:paraId="0B6F1184" w14:textId="77777777">
      <w:pPr>
        <w:rPr>
          <w:szCs w:val="22"/>
        </w:rPr>
      </w:pPr>
    </w:p>
    <w:p w:rsidR="001C707B" w:rsidP="006C0E81" w14:paraId="3FCF203A" w14:textId="44999DEE">
      <w:pPr>
        <w:ind w:firstLine="720"/>
      </w:pPr>
      <w:r>
        <w:t xml:space="preserve">On </w:t>
      </w:r>
      <w:r w:rsidR="004A6721">
        <w:t>February 20, 2026</w:t>
      </w:r>
      <w:r>
        <w:t xml:space="preserve">, </w:t>
      </w:r>
      <w:r w:rsidR="001F7776">
        <w:t xml:space="preserve">Qualcomm Incorporated (Qualcomm) </w:t>
      </w:r>
      <w:r>
        <w:t>filed a petition asking the Commission t</w:t>
      </w:r>
      <w:r w:rsidR="003B24BB">
        <w:t xml:space="preserve">o </w:t>
      </w:r>
      <w:r w:rsidR="00D01C9C">
        <w:t xml:space="preserve">initiate a rulemaking </w:t>
      </w:r>
      <w:r w:rsidR="00180F8C">
        <w:t>to</w:t>
      </w:r>
      <w:r w:rsidR="00D01C9C">
        <w:t xml:space="preserve"> </w:t>
      </w:r>
      <w:r w:rsidR="007827BF">
        <w:t xml:space="preserve">allocate spectrum and establish service rules for </w:t>
      </w:r>
      <w:r w:rsidR="00805B0B">
        <w:t>a new communication service</w:t>
      </w:r>
      <w:r w:rsidR="000E7174">
        <w:t xml:space="preserve"> known as “</w:t>
      </w:r>
      <w:r w:rsidR="000E7174">
        <w:t>sidelink</w:t>
      </w:r>
      <w:r w:rsidR="00520893">
        <w:t>.</w:t>
      </w:r>
      <w:r w:rsidR="000E7174">
        <w:t>”</w:t>
      </w:r>
      <w:r>
        <w:rPr>
          <w:rStyle w:val="FootnoteReference"/>
        </w:rPr>
        <w:footnoteReference w:id="3"/>
      </w:r>
      <w:r w:rsidR="003F2F2C">
        <w:t xml:space="preserve">  </w:t>
      </w:r>
      <w:r w:rsidR="006B7113">
        <w:t>Sidelink</w:t>
      </w:r>
      <w:r w:rsidR="006B7113">
        <w:t xml:space="preserve"> is a technology that allow</w:t>
      </w:r>
      <w:r w:rsidR="009C4B8F">
        <w:t xml:space="preserve">s 5G </w:t>
      </w:r>
      <w:r w:rsidR="002B421A">
        <w:t>device-to-device connectivity</w:t>
      </w:r>
      <w:r w:rsidR="009C4B8F">
        <w:t>.</w:t>
      </w:r>
      <w:r>
        <w:rPr>
          <w:rStyle w:val="FootnoteReference"/>
        </w:rPr>
        <w:footnoteReference w:id="4"/>
      </w:r>
      <w:r w:rsidR="009C4B8F">
        <w:t xml:space="preserve">  </w:t>
      </w:r>
      <w:r w:rsidR="004B758E">
        <w:t>By</w:t>
      </w:r>
      <w:r w:rsidR="003F2F2C">
        <w:t xml:space="preserve"> this </w:t>
      </w:r>
      <w:r w:rsidR="00223ADB">
        <w:t>p</w:t>
      </w:r>
      <w:r w:rsidRPr="00223ADB" w:rsidR="003F2F2C">
        <w:t xml:space="preserve">ublic </w:t>
      </w:r>
      <w:r w:rsidR="00FB2293">
        <w:t>n</w:t>
      </w:r>
      <w:r w:rsidRPr="00223ADB" w:rsidR="003F2F2C">
        <w:t>otice</w:t>
      </w:r>
      <w:r w:rsidR="003F2F2C">
        <w:t xml:space="preserve">, the </w:t>
      </w:r>
      <w:r w:rsidR="001962C4">
        <w:t>Office of Engineering and Technology</w:t>
      </w:r>
      <w:r w:rsidR="003F2F2C">
        <w:t xml:space="preserve"> </w:t>
      </w:r>
      <w:r w:rsidR="00520D0F">
        <w:t xml:space="preserve">and Wireless Telecommunications Bureau </w:t>
      </w:r>
      <w:r w:rsidR="003F2F2C">
        <w:t xml:space="preserve">seek comment on the </w:t>
      </w:r>
      <w:r w:rsidR="00FB2293">
        <w:t>p</w:t>
      </w:r>
      <w:r w:rsidRPr="00784A22" w:rsidR="003F2F2C">
        <w:t>etition</w:t>
      </w:r>
      <w:r w:rsidR="003F2F2C">
        <w:t>.</w:t>
      </w:r>
    </w:p>
    <w:p w:rsidR="001962C4" w:rsidP="006C0E81" w14:paraId="43E22E91" w14:textId="77777777">
      <w:pPr>
        <w:ind w:firstLine="720"/>
      </w:pPr>
    </w:p>
    <w:p w:rsidR="00A8476B" w:rsidP="00A8476B" w14:paraId="65A276B7" w14:textId="77777777">
      <w:pPr>
        <w:ind w:firstLine="720"/>
      </w:pPr>
      <w:r>
        <w:t>Qualcom</w:t>
      </w:r>
      <w:r w:rsidR="00BD18C4">
        <w:t>m</w:t>
      </w:r>
      <w:r w:rsidR="00747D3D">
        <w:t xml:space="preserve"> states that </w:t>
      </w:r>
      <w:r w:rsidR="004B758E">
        <w:t>sidelink</w:t>
      </w:r>
      <w:r w:rsidR="00747D3D">
        <w:t xml:space="preserve"> </w:t>
      </w:r>
      <w:r w:rsidRPr="004A4A6E" w:rsidR="004A4A6E">
        <w:t>has the potential to enhance and modernize public safety communications</w:t>
      </w:r>
      <w:r w:rsidR="0053345C">
        <w:t xml:space="preserve"> by delivering </w:t>
      </w:r>
      <w:r w:rsidRPr="004A4A6E" w:rsidR="004A4A6E">
        <w:t>voice, video, and text without relying on network infrastructure</w:t>
      </w:r>
      <w:r w:rsidR="008D3E4B">
        <w:t xml:space="preserve"> and </w:t>
      </w:r>
      <w:r w:rsidR="00F0248C">
        <w:t xml:space="preserve">by </w:t>
      </w:r>
      <w:r w:rsidR="008D3E4B">
        <w:t>allowing</w:t>
      </w:r>
      <w:r w:rsidRPr="004A4A6E" w:rsidR="004A4A6E">
        <w:t xml:space="preserve"> first responders to coordinate critical emergency response efforts across agencies and jurisdictions.</w:t>
      </w:r>
      <w:r>
        <w:rPr>
          <w:rStyle w:val="FootnoteReference"/>
        </w:rPr>
        <w:footnoteReference w:id="5"/>
      </w:r>
      <w:r w:rsidR="008D3E4B">
        <w:t xml:space="preserve">  </w:t>
      </w:r>
      <w:r w:rsidR="00D936E8">
        <w:t xml:space="preserve">Qualcomm </w:t>
      </w:r>
      <w:r w:rsidR="00076A4F">
        <w:t>asks</w:t>
      </w:r>
      <w:r w:rsidR="00D936E8">
        <w:t xml:space="preserve"> that </w:t>
      </w:r>
      <w:r w:rsidR="001A7E3D">
        <w:t xml:space="preserve">the Commission allocate </w:t>
      </w:r>
      <w:r w:rsidR="00761346">
        <w:t xml:space="preserve">a </w:t>
      </w:r>
      <w:r w:rsidR="001A7E3D">
        <w:t>5</w:t>
      </w:r>
      <w:r w:rsidR="00761346">
        <w:t>-</w:t>
      </w:r>
      <w:r w:rsidR="001A7E3D">
        <w:t xml:space="preserve">megahertz </w:t>
      </w:r>
      <w:r w:rsidR="00761346">
        <w:t xml:space="preserve">block </w:t>
      </w:r>
      <w:r w:rsidR="001A7E3D">
        <w:t>of spectrum with</w:t>
      </w:r>
      <w:r w:rsidR="00230DF8">
        <w:t>in a portion of the 1675-1695 MHz band, and a contiguous 40-</w:t>
      </w:r>
      <w:r w:rsidR="005F5E3D">
        <w:t xml:space="preserve">megahertz </w:t>
      </w:r>
      <w:r w:rsidR="00761346">
        <w:t xml:space="preserve">block </w:t>
      </w:r>
      <w:r w:rsidR="005F5E3D">
        <w:t>of spectrum within the 5350-5470 MHz band</w:t>
      </w:r>
      <w:r w:rsidR="006F6B39">
        <w:t xml:space="preserve">, for the purpose of </w:t>
      </w:r>
      <w:r w:rsidR="00111726">
        <w:t xml:space="preserve">permitting </w:t>
      </w:r>
      <w:r w:rsidR="00111726">
        <w:t>sidelink</w:t>
      </w:r>
      <w:r w:rsidR="00562885">
        <w:t xml:space="preserve"> operations</w:t>
      </w:r>
      <w:r w:rsidR="005F5E3D">
        <w:t>.</w:t>
      </w:r>
      <w:r>
        <w:rPr>
          <w:rStyle w:val="FootnoteReference"/>
        </w:rPr>
        <w:footnoteReference w:id="6"/>
      </w:r>
      <w:r w:rsidR="005F5E3D">
        <w:t xml:space="preserve">  </w:t>
      </w:r>
      <w:r w:rsidR="00D30B08">
        <w:t>It</w:t>
      </w:r>
      <w:r w:rsidR="00FB09C9">
        <w:t xml:space="preserve"> </w:t>
      </w:r>
      <w:r w:rsidR="000D0A53">
        <w:t>recommends</w:t>
      </w:r>
      <w:r w:rsidR="00706651">
        <w:t xml:space="preserve"> </w:t>
      </w:r>
      <w:r w:rsidR="001017E8">
        <w:t xml:space="preserve">an </w:t>
      </w:r>
      <w:r w:rsidR="00706651">
        <w:t xml:space="preserve">in-band </w:t>
      </w:r>
      <w:r w:rsidR="001017E8">
        <w:t xml:space="preserve">power limit of 36 dBm EIRP for </w:t>
      </w:r>
      <w:r w:rsidR="001017E8">
        <w:t>sidelink</w:t>
      </w:r>
      <w:r w:rsidR="001017E8">
        <w:t xml:space="preserve"> devices as well as </w:t>
      </w:r>
      <w:r w:rsidR="005A4CE3">
        <w:t xml:space="preserve">specific </w:t>
      </w:r>
      <w:r w:rsidR="00706651">
        <w:t xml:space="preserve">out-of-band </w:t>
      </w:r>
      <w:r w:rsidR="001017E8">
        <w:t>emission limits</w:t>
      </w:r>
      <w:r w:rsidR="006042DB">
        <w:t xml:space="preserve"> based on the </w:t>
      </w:r>
      <w:r w:rsidR="003070D1">
        <w:t xml:space="preserve">band where </w:t>
      </w:r>
      <w:r w:rsidR="003070D1">
        <w:t>sidelink</w:t>
      </w:r>
      <w:r w:rsidR="003070D1">
        <w:t xml:space="preserve"> </w:t>
      </w:r>
      <w:r w:rsidR="00C33B83">
        <w:t>is operating</w:t>
      </w:r>
      <w:r w:rsidR="001017E8">
        <w:t>.</w:t>
      </w:r>
      <w:r>
        <w:rPr>
          <w:rStyle w:val="FootnoteReference"/>
        </w:rPr>
        <w:footnoteReference w:id="7"/>
      </w:r>
      <w:r w:rsidR="00973C51">
        <w:t xml:space="preserve">  Qualcomm suggests </w:t>
      </w:r>
      <w:r w:rsidR="00993A19">
        <w:t xml:space="preserve">that </w:t>
      </w:r>
      <w:r w:rsidR="006E69FB">
        <w:t xml:space="preserve">operation </w:t>
      </w:r>
      <w:r w:rsidR="00C16D36">
        <w:t xml:space="preserve">of </w:t>
      </w:r>
      <w:r w:rsidR="00C16D36">
        <w:t>sidelink</w:t>
      </w:r>
      <w:r w:rsidR="00C16D36">
        <w:t xml:space="preserve"> could be under a license-by-rule </w:t>
      </w:r>
      <w:r w:rsidR="008B27C9">
        <w:t>framework</w:t>
      </w:r>
      <w:r w:rsidR="00C16D36">
        <w:t xml:space="preserve">, with public </w:t>
      </w:r>
      <w:r w:rsidR="002227AD">
        <w:t>safety entities operating on a primary basis</w:t>
      </w:r>
      <w:r w:rsidR="002E2794">
        <w:t>.</w:t>
      </w:r>
      <w:r>
        <w:rPr>
          <w:rStyle w:val="FootnoteReference"/>
        </w:rPr>
        <w:footnoteReference w:id="8"/>
      </w:r>
      <w:r w:rsidR="002E2794">
        <w:t xml:space="preserve">  It also </w:t>
      </w:r>
      <w:r w:rsidR="00166B94">
        <w:t xml:space="preserve">suggests that </w:t>
      </w:r>
      <w:r w:rsidR="00B914A1">
        <w:t xml:space="preserve">access </w:t>
      </w:r>
      <w:r w:rsidR="003D6ED3">
        <w:t xml:space="preserve">to </w:t>
      </w:r>
      <w:r w:rsidR="00B914A1">
        <w:t xml:space="preserve">the </w:t>
      </w:r>
      <w:r w:rsidR="00B914A1">
        <w:t>sidelink</w:t>
      </w:r>
      <w:r w:rsidR="00B914A1">
        <w:t xml:space="preserve"> bands </w:t>
      </w:r>
      <w:r w:rsidR="001A02A2">
        <w:t>be available</w:t>
      </w:r>
      <w:r w:rsidR="003603B3">
        <w:t xml:space="preserve"> to non-public safety operations on a secondary basis to </w:t>
      </w:r>
      <w:r w:rsidR="00940A96">
        <w:t xml:space="preserve">public safety </w:t>
      </w:r>
      <w:r w:rsidR="002D7AAF">
        <w:t>users</w:t>
      </w:r>
      <w:r w:rsidR="00791945">
        <w:t>.</w:t>
      </w:r>
      <w:r>
        <w:rPr>
          <w:rStyle w:val="FootnoteReference"/>
        </w:rPr>
        <w:footnoteReference w:id="9"/>
      </w:r>
    </w:p>
    <w:p w:rsidR="0090584E" w:rsidP="002B5B6C" w14:paraId="72667ADE" w14:textId="1EC48EED">
      <w:pPr>
        <w:ind w:firstLine="720"/>
      </w:pPr>
      <w:r>
        <w:t xml:space="preserve">We seek comment on the </w:t>
      </w:r>
      <w:r w:rsidR="00FE02AF">
        <w:t xml:space="preserve">Qualcomm </w:t>
      </w:r>
      <w:r>
        <w:t>Petition</w:t>
      </w:r>
      <w:r w:rsidR="00B17413">
        <w:t>, including</w:t>
      </w:r>
      <w:r>
        <w:t xml:space="preserve"> its request that the Commission</w:t>
      </w:r>
      <w:r w:rsidR="007F77C1">
        <w:t xml:space="preserve"> </w:t>
      </w:r>
      <w:r w:rsidR="004A0DA9">
        <w:t xml:space="preserve">(1) </w:t>
      </w:r>
      <w:r w:rsidR="005B6E2B">
        <w:t xml:space="preserve">identify </w:t>
      </w:r>
      <w:r w:rsidR="009A704C">
        <w:t xml:space="preserve">specific </w:t>
      </w:r>
      <w:r w:rsidR="001D1CD4">
        <w:t xml:space="preserve">frequencies </w:t>
      </w:r>
      <w:r w:rsidR="009A704C">
        <w:t>where</w:t>
      </w:r>
      <w:r w:rsidR="001D1CD4">
        <w:t xml:space="preserve"> </w:t>
      </w:r>
      <w:r w:rsidR="005B6E2B">
        <w:t>sidelink</w:t>
      </w:r>
      <w:r w:rsidR="005B6E2B">
        <w:t xml:space="preserve"> </w:t>
      </w:r>
      <w:r w:rsidR="009A704C">
        <w:t xml:space="preserve">would </w:t>
      </w:r>
      <w:r w:rsidR="00101E9A">
        <w:t xml:space="preserve">be permitted to </w:t>
      </w:r>
      <w:r w:rsidR="001D1CD4">
        <w:t>operat</w:t>
      </w:r>
      <w:r w:rsidR="009A704C">
        <w:t>e</w:t>
      </w:r>
      <w:r w:rsidR="005B6E2B">
        <w:t xml:space="preserve">; (2) </w:t>
      </w:r>
      <w:r w:rsidR="000532F2">
        <w:t xml:space="preserve">modify the Table of Frequency Allocations to </w:t>
      </w:r>
      <w:r w:rsidR="00876D3D">
        <w:t>accommodate such use;</w:t>
      </w:r>
      <w:r w:rsidR="00A24467">
        <w:t xml:space="preserve"> and </w:t>
      </w:r>
      <w:r w:rsidR="004A0DA9">
        <w:t>(</w:t>
      </w:r>
      <w:r w:rsidR="00876D3D">
        <w:t>3</w:t>
      </w:r>
      <w:r w:rsidR="004A0DA9">
        <w:t xml:space="preserve">) </w:t>
      </w:r>
      <w:r w:rsidR="00A24467">
        <w:t xml:space="preserve">establish </w:t>
      </w:r>
      <w:r w:rsidR="006D5AE0">
        <w:t xml:space="preserve">new service </w:t>
      </w:r>
      <w:r w:rsidR="00A24467">
        <w:t xml:space="preserve">rules </w:t>
      </w:r>
      <w:r w:rsidR="006D5AE0">
        <w:t xml:space="preserve">to support </w:t>
      </w:r>
      <w:r w:rsidR="006D5AE0">
        <w:t>sidelink</w:t>
      </w:r>
      <w:r w:rsidR="006D5AE0">
        <w:t xml:space="preserve"> operation</w:t>
      </w:r>
      <w:r w:rsidR="00BF5F80">
        <w:t>.</w:t>
      </w:r>
      <w:r>
        <w:rPr>
          <w:rStyle w:val="FootnoteReference"/>
        </w:rPr>
        <w:footnoteReference w:id="10"/>
      </w:r>
    </w:p>
    <w:p w:rsidR="0090584E" w:rsidP="0005405E" w14:paraId="1ECAF4BF" w14:textId="77777777">
      <w:pPr>
        <w:ind w:firstLine="720"/>
      </w:pPr>
    </w:p>
    <w:p w:rsidR="009169CB" w:rsidRPr="0005405E" w:rsidP="0005405E" w14:paraId="3D1BDCE2" w14:textId="4BA2BD37">
      <w:pPr>
        <w:ind w:firstLine="720"/>
      </w:pPr>
      <w:r>
        <w:t>In particular, we seek comment on</w:t>
      </w:r>
      <w:r w:rsidR="00603A5F">
        <w:t xml:space="preserve"> </w:t>
      </w:r>
      <w:r w:rsidR="00A83766">
        <w:t xml:space="preserve">Qualcomm’s suggestion to allocate spectrum in portions of the 1675-1695 MHz and </w:t>
      </w:r>
      <w:r w:rsidR="00C016AE">
        <w:t>5350-5470 MHz bands.</w:t>
      </w:r>
      <w:r w:rsidR="008B510F">
        <w:t xml:space="preserve">  We note that</w:t>
      </w:r>
      <w:r w:rsidR="0011588F">
        <w:t xml:space="preserve"> the National Telecommunications and Information Administration (NTIA) recently </w:t>
      </w:r>
      <w:r w:rsidR="00F76A7D">
        <w:t>announced</w:t>
      </w:r>
      <w:r w:rsidR="00E555DF">
        <w:t xml:space="preserve"> the 1675-1680 MHz band</w:t>
      </w:r>
      <w:r w:rsidR="006E1BD6">
        <w:t xml:space="preserve"> as the first part of 500 megahertz of spectrum required to be</w:t>
      </w:r>
      <w:r w:rsidR="00F76A7D">
        <w:t xml:space="preserve"> identified for reallocation under the One Big Beautiful Bill Act.</w:t>
      </w:r>
      <w:r>
        <w:rPr>
          <w:rStyle w:val="FootnoteReference"/>
        </w:rPr>
        <w:footnoteReference w:id="11"/>
      </w:r>
      <w:r w:rsidR="00734A2F">
        <w:t xml:space="preserve">  NTIA also indicated that </w:t>
      </w:r>
      <w:r w:rsidR="007A7DFC">
        <w:t>it is</w:t>
      </w:r>
      <w:r w:rsidR="00734A2F">
        <w:t xml:space="preserve"> continuing </w:t>
      </w:r>
      <w:r w:rsidR="00C05375">
        <w:t xml:space="preserve">feasibility </w:t>
      </w:r>
      <w:r w:rsidR="00201816">
        <w:t xml:space="preserve">studies on repurposing the 1680-1695 MHz band, including the potential </w:t>
      </w:r>
      <w:r w:rsidR="00574604">
        <w:t>for identifying the full 1675-1695 MHz band for auction.</w:t>
      </w:r>
      <w:r>
        <w:rPr>
          <w:rStyle w:val="FootnoteReference"/>
        </w:rPr>
        <w:footnoteReference w:id="12"/>
      </w:r>
      <w:r w:rsidR="00E355B6">
        <w:t xml:space="preserve">  Further, the</w:t>
      </w:r>
      <w:r w:rsidRPr="001B68B7" w:rsidR="001B68B7">
        <w:t xml:space="preserve"> </w:t>
      </w:r>
      <w:r w:rsidR="001B68B7">
        <w:t xml:space="preserve">entire </w:t>
      </w:r>
      <w:r w:rsidRPr="006A4575" w:rsidR="001B68B7">
        <w:t>53</w:t>
      </w:r>
      <w:r w:rsidR="001B68B7">
        <w:t>5</w:t>
      </w:r>
      <w:r w:rsidRPr="006A4575" w:rsidR="001B68B7">
        <w:t xml:space="preserve">0-5470 MHz </w:t>
      </w:r>
      <w:r w:rsidR="001B68B7">
        <w:t xml:space="preserve">band is currently classified as a restricted band </w:t>
      </w:r>
      <w:r w:rsidR="00E64BA1">
        <w:t xml:space="preserve">of operation </w:t>
      </w:r>
      <w:r w:rsidR="001B68B7">
        <w:t>under Part 15 of the rules</w:t>
      </w:r>
      <w:r w:rsidR="00E64BA1">
        <w:t>,</w:t>
      </w:r>
      <w:r>
        <w:rPr>
          <w:rStyle w:val="FootnoteReference"/>
        </w:rPr>
        <w:footnoteReference w:id="13"/>
      </w:r>
      <w:r w:rsidR="001B68B7">
        <w:t xml:space="preserve"> and the</w:t>
      </w:r>
      <w:r w:rsidR="00E355B6">
        <w:t xml:space="preserve"> Commission has expressed concerns in the past about </w:t>
      </w:r>
      <w:r w:rsidR="00481738">
        <w:t xml:space="preserve">new </w:t>
      </w:r>
      <w:r w:rsidR="00E355B6">
        <w:t xml:space="preserve">operations </w:t>
      </w:r>
      <w:r w:rsidR="00481738">
        <w:t>potentially impacting incumbent operations</w:t>
      </w:r>
      <w:r w:rsidR="00B416F2">
        <w:t xml:space="preserve"> in the band</w:t>
      </w:r>
      <w:r w:rsidR="00481738">
        <w:t>.</w:t>
      </w:r>
      <w:r>
        <w:rPr>
          <w:rStyle w:val="FootnoteReference"/>
        </w:rPr>
        <w:footnoteReference w:id="14"/>
      </w:r>
      <w:r w:rsidR="0094359B">
        <w:t xml:space="preserve">  </w:t>
      </w:r>
    </w:p>
    <w:p w:rsidR="00505957" w:rsidRPr="00B52B5A" w:rsidP="00505957" w14:paraId="131661CE" w14:textId="77777777">
      <w:pPr>
        <w:ind w:firstLine="720"/>
        <w:rPr>
          <w:szCs w:val="22"/>
        </w:rPr>
      </w:pPr>
    </w:p>
    <w:p w:rsidR="00D660A2" w:rsidRPr="00B52B5A" w:rsidP="00D660A2" w14:paraId="0D0229EC" w14:textId="77777777">
      <w:pPr>
        <w:pStyle w:val="paragraph"/>
        <w:spacing w:before="0" w:beforeAutospacing="0" w:after="0" w:afterAutospacing="0"/>
        <w:textAlignment w:val="baseline"/>
        <w:rPr>
          <w:rFonts w:ascii="Segoe UI" w:hAnsi="Segoe UI" w:cs="Segoe UI"/>
          <w:sz w:val="22"/>
          <w:szCs w:val="22"/>
        </w:rPr>
      </w:pPr>
      <w:r w:rsidRPr="00B52B5A">
        <w:rPr>
          <w:rStyle w:val="normaltextrun"/>
          <w:b/>
          <w:bCs/>
          <w:sz w:val="22"/>
          <w:szCs w:val="22"/>
        </w:rPr>
        <w:t>Procedural Matters</w:t>
      </w:r>
      <w:r w:rsidRPr="00B52B5A">
        <w:rPr>
          <w:rStyle w:val="eop"/>
          <w:sz w:val="22"/>
          <w:szCs w:val="22"/>
        </w:rPr>
        <w:t> </w:t>
      </w:r>
    </w:p>
    <w:p w:rsidR="00D660A2" w:rsidRPr="00B52B5A" w:rsidP="00D660A2" w14:paraId="270F068C" w14:textId="77777777">
      <w:pPr>
        <w:pStyle w:val="paragraph"/>
        <w:spacing w:before="0" w:beforeAutospacing="0" w:after="0" w:afterAutospacing="0"/>
        <w:textAlignment w:val="baseline"/>
        <w:rPr>
          <w:rFonts w:ascii="Segoe UI" w:hAnsi="Segoe UI" w:cs="Segoe UI"/>
          <w:sz w:val="22"/>
          <w:szCs w:val="22"/>
        </w:rPr>
      </w:pPr>
      <w:r w:rsidRPr="00B52B5A">
        <w:rPr>
          <w:rStyle w:val="eop"/>
          <w:sz w:val="22"/>
          <w:szCs w:val="22"/>
        </w:rPr>
        <w:t> </w:t>
      </w:r>
    </w:p>
    <w:p w:rsidR="00D660A2" w:rsidRPr="000D1C5C" w:rsidP="00D660A2" w14:paraId="067AEB1A" w14:textId="05ED6EDC">
      <w:pPr>
        <w:pStyle w:val="paragraph"/>
        <w:spacing w:before="0" w:beforeAutospacing="0" w:after="0" w:afterAutospacing="0"/>
        <w:ind w:firstLine="720"/>
        <w:textAlignment w:val="baseline"/>
        <w:rPr>
          <w:rFonts w:ascii="Segoe UI" w:hAnsi="Segoe UI" w:cs="Segoe UI"/>
          <w:sz w:val="22"/>
          <w:szCs w:val="22"/>
        </w:rPr>
      </w:pPr>
      <w:r w:rsidRPr="00B52B5A">
        <w:rPr>
          <w:rStyle w:val="normaltextrun"/>
          <w:sz w:val="22"/>
          <w:szCs w:val="22"/>
        </w:rPr>
        <w:t xml:space="preserve">To develop a complete record on the issues presented by the Petition, the proceeding will be treated, for </w:t>
      </w:r>
      <w:r w:rsidRPr="00B52B5A">
        <w:rPr>
          <w:rStyle w:val="normaltextrun"/>
          <w:i/>
          <w:iCs/>
          <w:sz w:val="22"/>
          <w:szCs w:val="22"/>
        </w:rPr>
        <w:t>ex parte</w:t>
      </w:r>
      <w:r w:rsidRPr="00B52B5A">
        <w:rPr>
          <w:rStyle w:val="normaltextrun"/>
          <w:sz w:val="22"/>
          <w:szCs w:val="22"/>
        </w:rPr>
        <w:t xml:space="preserve"> purposes, as a “permit-but-disclose” proceeding in accordance with section 1.1200(a)</w:t>
      </w:r>
      <w:r w:rsidRPr="00B52B5A">
        <w:rPr>
          <w:rStyle w:val="normaltextrun"/>
          <w:sz w:val="22"/>
          <w:szCs w:val="22"/>
          <w:u w:val="single"/>
        </w:rPr>
        <w:t xml:space="preserve"> </w:t>
      </w:r>
      <w:r w:rsidRPr="000D1C5C">
        <w:rPr>
          <w:rStyle w:val="normaltextrun"/>
          <w:sz w:val="22"/>
          <w:szCs w:val="22"/>
        </w:rPr>
        <w:t>of the Commission’s rules</w:t>
      </w:r>
      <w:r w:rsidRPr="000D1C5C" w:rsidR="000D1C5C">
        <w:rPr>
          <w:rStyle w:val="normaltextrun"/>
          <w:sz w:val="22"/>
          <w:szCs w:val="22"/>
        </w:rPr>
        <w:t>,</w:t>
      </w:r>
      <w:r>
        <w:rPr>
          <w:rStyle w:val="FootnoteReference"/>
          <w:szCs w:val="22"/>
        </w:rPr>
        <w:footnoteReference w:id="15"/>
      </w:r>
      <w:r w:rsidRPr="000D1C5C">
        <w:rPr>
          <w:rStyle w:val="normaltextrun"/>
          <w:sz w:val="22"/>
          <w:szCs w:val="22"/>
        </w:rPr>
        <w:t xml:space="preserve"> subject to the requirements under section 1.1206(b)</w:t>
      </w:r>
      <w:r w:rsidR="00004224">
        <w:rPr>
          <w:rStyle w:val="normaltextrun"/>
          <w:sz w:val="22"/>
          <w:szCs w:val="22"/>
        </w:rPr>
        <w:t>.</w:t>
      </w:r>
      <w:r>
        <w:rPr>
          <w:rStyle w:val="FootnoteReference"/>
          <w:szCs w:val="22"/>
        </w:rPr>
        <w:footnoteReference w:id="16"/>
      </w:r>
      <w:r w:rsidRPr="000D1C5C">
        <w:rPr>
          <w:rStyle w:val="normaltextrun"/>
          <w:sz w:val="22"/>
          <w:szCs w:val="22"/>
        </w:rPr>
        <w:t xml:space="preserve">  </w:t>
      </w:r>
      <w:r w:rsidRPr="003C45B9" w:rsidR="0009128C">
        <w:rPr>
          <w:rStyle w:val="normaltextrun"/>
          <w:sz w:val="22"/>
          <w:szCs w:val="22"/>
        </w:rPr>
        <w:t xml:space="preserve">Qualcomm filed its petition in </w:t>
      </w:r>
      <w:r w:rsidRPr="003C45B9" w:rsidR="00E04E19">
        <w:rPr>
          <w:rStyle w:val="normaltextrun"/>
          <w:b/>
          <w:sz w:val="22"/>
          <w:szCs w:val="22"/>
        </w:rPr>
        <w:t xml:space="preserve">WT Docket No. </w:t>
      </w:r>
      <w:r w:rsidRPr="003C45B9" w:rsidR="0009128C">
        <w:rPr>
          <w:rStyle w:val="normaltextrun"/>
          <w:b/>
          <w:sz w:val="22"/>
          <w:szCs w:val="22"/>
        </w:rPr>
        <w:t>19</w:t>
      </w:r>
      <w:r w:rsidRPr="003C45B9" w:rsidR="00E04E19">
        <w:rPr>
          <w:rStyle w:val="normaltextrun"/>
          <w:b/>
          <w:sz w:val="22"/>
          <w:szCs w:val="22"/>
        </w:rPr>
        <w:t>-1</w:t>
      </w:r>
      <w:r w:rsidRPr="003C45B9" w:rsidR="0009128C">
        <w:rPr>
          <w:rStyle w:val="normaltextrun"/>
          <w:b/>
          <w:sz w:val="22"/>
          <w:szCs w:val="22"/>
        </w:rPr>
        <w:t>16</w:t>
      </w:r>
      <w:r w:rsidRPr="003C45B9">
        <w:rPr>
          <w:rStyle w:val="normaltextrun"/>
          <w:sz w:val="22"/>
          <w:szCs w:val="22"/>
        </w:rPr>
        <w:t xml:space="preserve"> and </w:t>
      </w:r>
      <w:r w:rsidRPr="003C45B9" w:rsidR="00377965">
        <w:rPr>
          <w:rStyle w:val="normaltextrun"/>
          <w:sz w:val="22"/>
          <w:szCs w:val="22"/>
        </w:rPr>
        <w:t xml:space="preserve">we also </w:t>
      </w:r>
      <w:r w:rsidRPr="003C45B9">
        <w:rPr>
          <w:rStyle w:val="normaltextrun"/>
          <w:sz w:val="22"/>
          <w:szCs w:val="22"/>
        </w:rPr>
        <w:t>assign</w:t>
      </w:r>
      <w:r w:rsidRPr="003C45B9" w:rsidR="00BB3A6A">
        <w:rPr>
          <w:rStyle w:val="normaltextrun"/>
          <w:sz w:val="22"/>
          <w:szCs w:val="22"/>
        </w:rPr>
        <w:t>ed</w:t>
      </w:r>
      <w:r w:rsidRPr="003C45B9">
        <w:rPr>
          <w:rStyle w:val="normaltextrun"/>
          <w:sz w:val="22"/>
          <w:szCs w:val="22"/>
        </w:rPr>
        <w:t xml:space="preserve"> rulemaking number</w:t>
      </w:r>
      <w:r w:rsidRPr="003C45B9" w:rsidR="005E328B">
        <w:rPr>
          <w:rStyle w:val="normaltextrun"/>
          <w:sz w:val="22"/>
          <w:szCs w:val="22"/>
        </w:rPr>
        <w:t xml:space="preserve"> </w:t>
      </w:r>
      <w:r w:rsidRPr="003C45B9" w:rsidR="005E328B">
        <w:rPr>
          <w:rStyle w:val="normaltextrun"/>
          <w:b/>
          <w:sz w:val="22"/>
          <w:szCs w:val="22"/>
        </w:rPr>
        <w:t>RM-</w:t>
      </w:r>
      <w:r w:rsidR="00451E70">
        <w:rPr>
          <w:rStyle w:val="normaltextrun"/>
          <w:b/>
          <w:sz w:val="22"/>
          <w:szCs w:val="22"/>
        </w:rPr>
        <w:t>12020</w:t>
      </w:r>
      <w:r w:rsidRPr="003C45B9" w:rsidR="005B61EA">
        <w:rPr>
          <w:rStyle w:val="normaltextrun"/>
          <w:sz w:val="22"/>
          <w:szCs w:val="22"/>
        </w:rPr>
        <w:t xml:space="preserve"> to this petition</w:t>
      </w:r>
      <w:r w:rsidRPr="003C45B9" w:rsidR="005325A4">
        <w:rPr>
          <w:rStyle w:val="normaltextrun"/>
          <w:sz w:val="22"/>
          <w:szCs w:val="22"/>
        </w:rPr>
        <w:t>.</w:t>
      </w:r>
      <w:r w:rsidRPr="000D1C5C">
        <w:rPr>
          <w:rStyle w:val="normaltextrun"/>
          <w:sz w:val="22"/>
          <w:szCs w:val="22"/>
        </w:rPr>
        <w:t>  Interested parties may file comments on or before the dates indicated on the first page of this document.</w:t>
      </w:r>
      <w:r w:rsidRPr="000D1C5C">
        <w:rPr>
          <w:rStyle w:val="eop"/>
          <w:sz w:val="22"/>
          <w:szCs w:val="22"/>
        </w:rPr>
        <w:t> </w:t>
      </w:r>
    </w:p>
    <w:p w:rsidR="00D660A2" w:rsidRPr="00B52B5A" w:rsidP="00505957" w14:paraId="1CFB5636" w14:textId="77777777">
      <w:pPr>
        <w:ind w:firstLine="720"/>
        <w:rPr>
          <w:szCs w:val="22"/>
        </w:rPr>
      </w:pPr>
    </w:p>
    <w:p w:rsidR="003C2DCB" w:rsidRPr="009C0685" w:rsidP="003C2DCB" w14:paraId="5CD87BB7" w14:textId="77777777">
      <w:pPr>
        <w:spacing w:after="120"/>
        <w:ind w:firstLine="720"/>
        <w:rPr>
          <w:szCs w:val="22"/>
        </w:rPr>
      </w:pPr>
      <w:r w:rsidRPr="00B52B5A">
        <w:rPr>
          <w:i/>
          <w:iCs/>
          <w:szCs w:val="22"/>
        </w:rPr>
        <w:t>Filing Requirements.</w:t>
      </w:r>
      <w:r w:rsidRPr="00B52B5A">
        <w:rPr>
          <w:szCs w:val="22"/>
        </w:rPr>
        <w:t xml:space="preserve"> </w:t>
      </w:r>
      <w:r>
        <w:rPr>
          <w:szCs w:val="22"/>
        </w:rPr>
        <w:t xml:space="preserve"> </w:t>
      </w:r>
      <w:r w:rsidRPr="00A705FB">
        <w:rPr>
          <w:szCs w:val="22"/>
        </w:rPr>
        <w:t>Pursuant to sections 1.415 and 1.419 of the Commission’s rules, 47 CFR §§ 1.415, 1.149,</w:t>
      </w:r>
      <w:r>
        <w:rPr>
          <w:rStyle w:val="FootnoteReference"/>
        </w:rPr>
        <w:footnoteReference w:id="17"/>
      </w:r>
      <w:r>
        <w:t xml:space="preserve"> interested parties may file comments and reply comments on or before the dates indicated above and must reference </w:t>
      </w:r>
      <w:bookmarkStart w:id="1" w:name="_Hlk169786889"/>
      <w:r w:rsidRPr="00E04E19">
        <w:rPr>
          <w:b/>
          <w:bCs/>
        </w:rPr>
        <w:t xml:space="preserve">WT Docket No. </w:t>
      </w:r>
      <w:bookmarkEnd w:id="1"/>
      <w:r>
        <w:rPr>
          <w:b/>
          <w:bCs/>
        </w:rPr>
        <w:t>19</w:t>
      </w:r>
      <w:r w:rsidRPr="00E04E19">
        <w:rPr>
          <w:b/>
          <w:bCs/>
        </w:rPr>
        <w:t>-1</w:t>
      </w:r>
      <w:r>
        <w:rPr>
          <w:b/>
          <w:bCs/>
        </w:rPr>
        <w:t>16 and RM-12020</w:t>
      </w:r>
      <w:r>
        <w:t>.  Comments may be filed using the Commission’s Electronic Comment Filing System (ECFS) or by filing paper copies.</w:t>
      </w:r>
      <w:r>
        <w:rPr>
          <w:rStyle w:val="FootnoteReference"/>
        </w:rPr>
        <w:footnoteReference w:id="18"/>
      </w:r>
    </w:p>
    <w:p w:rsidR="003C2DCB" w:rsidRPr="00641FE2" w:rsidP="003C2DCB" w14:paraId="780EF624" w14:textId="77777777">
      <w:pPr>
        <w:widowControl/>
        <w:numPr>
          <w:ilvl w:val="0"/>
          <w:numId w:val="17"/>
        </w:numPr>
        <w:rPr>
          <w:szCs w:val="22"/>
        </w:rPr>
      </w:pPr>
      <w:r w:rsidRPr="00641FE2">
        <w:rPr>
          <w:i/>
          <w:iCs/>
          <w:szCs w:val="22"/>
        </w:rPr>
        <w:t>Electronic Filers</w:t>
      </w:r>
      <w:r w:rsidRPr="00641FE2">
        <w:rPr>
          <w:szCs w:val="22"/>
        </w:rPr>
        <w:t xml:space="preserve">:  Comments may be filed electronically using the Internet by accessing the ECFS:  </w:t>
      </w:r>
      <w:hyperlink r:id="rId6" w:history="1">
        <w:r w:rsidRPr="00641FE2">
          <w:rPr>
            <w:rStyle w:val="Hyperlink"/>
            <w:szCs w:val="22"/>
          </w:rPr>
          <w:t>https://www.fcc.gov/ecfs</w:t>
        </w:r>
      </w:hyperlink>
      <w:r w:rsidRPr="00641FE2">
        <w:rPr>
          <w:szCs w:val="22"/>
        </w:rPr>
        <w:t xml:space="preserve">.  </w:t>
      </w:r>
    </w:p>
    <w:p w:rsidR="003C2DCB" w:rsidRPr="00641FE2" w:rsidP="003C2DCB" w14:paraId="7105BB09" w14:textId="77777777">
      <w:pPr>
        <w:widowControl/>
        <w:numPr>
          <w:ilvl w:val="0"/>
          <w:numId w:val="16"/>
        </w:numPr>
        <w:rPr>
          <w:szCs w:val="22"/>
        </w:rPr>
      </w:pPr>
      <w:r w:rsidRPr="00641FE2">
        <w:rPr>
          <w:i/>
          <w:iCs/>
          <w:szCs w:val="22"/>
        </w:rPr>
        <w:t>Paper Filers</w:t>
      </w:r>
      <w:r w:rsidRPr="00641FE2">
        <w:rPr>
          <w:szCs w:val="22"/>
        </w:rPr>
        <w:t xml:space="preserve">:  Parties who choose to file by paper must file an original and one copy of each filing.  </w:t>
      </w:r>
    </w:p>
    <w:p w:rsidR="003C2DCB" w:rsidRPr="00641FE2" w:rsidP="003C2DCB" w14:paraId="03E54122" w14:textId="77777777">
      <w:pPr>
        <w:pStyle w:val="ListParagraph"/>
        <w:widowControl/>
        <w:numPr>
          <w:ilvl w:val="0"/>
          <w:numId w:val="15"/>
        </w:numPr>
        <w:rPr>
          <w:b/>
          <w:bCs/>
          <w:szCs w:val="22"/>
        </w:rPr>
      </w:pPr>
      <w:r w:rsidRPr="00641FE2">
        <w:rPr>
          <w:szCs w:val="22"/>
        </w:rPr>
        <w:t xml:space="preserve">Filings can be sent by hand or messenger delivery, by commercial courier, or by the U.S. Postal Service.  </w:t>
      </w:r>
      <w:r w:rsidRPr="00641FE2">
        <w:rPr>
          <w:b/>
          <w:bCs/>
          <w:szCs w:val="22"/>
        </w:rPr>
        <w:t>All filings must be addressed to the Secretary, Federal Communications Commission.</w:t>
      </w:r>
    </w:p>
    <w:p w:rsidR="003C2DCB" w:rsidRPr="00641FE2" w:rsidP="003C2DCB" w14:paraId="0D006862" w14:textId="77777777">
      <w:pPr>
        <w:pStyle w:val="ListParagraph"/>
        <w:widowControl/>
        <w:numPr>
          <w:ilvl w:val="0"/>
          <w:numId w:val="15"/>
        </w:numPr>
        <w:rPr>
          <w:szCs w:val="22"/>
        </w:rPr>
      </w:pPr>
      <w:r w:rsidRPr="00641FE2">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3C2DCB" w:rsidRPr="00641FE2" w:rsidP="003C2DCB" w14:paraId="63B11F76" w14:textId="77777777">
      <w:pPr>
        <w:pStyle w:val="ListParagraph"/>
        <w:widowControl/>
        <w:numPr>
          <w:ilvl w:val="0"/>
          <w:numId w:val="15"/>
        </w:numPr>
        <w:rPr>
          <w:szCs w:val="22"/>
        </w:rPr>
      </w:pPr>
      <w:r w:rsidRPr="00641FE2">
        <w:rPr>
          <w:szCs w:val="22"/>
        </w:rPr>
        <w:t>Commercial courier deliveries (any deliveries not by the U.S. Postal Service) must be sent to 9050 Junction Drive, Annapolis Junction, MD 20701.</w:t>
      </w:r>
    </w:p>
    <w:p w:rsidR="003C2DCB" w:rsidRPr="00641FE2" w:rsidP="003C2DCB" w14:paraId="1D10E3FC" w14:textId="77777777">
      <w:pPr>
        <w:pStyle w:val="ListParagraph"/>
        <w:widowControl/>
        <w:numPr>
          <w:ilvl w:val="0"/>
          <w:numId w:val="15"/>
        </w:numPr>
        <w:ind w:left="1354"/>
        <w:rPr>
          <w:szCs w:val="22"/>
        </w:rPr>
      </w:pPr>
      <w:r w:rsidRPr="00641FE2">
        <w:rPr>
          <w:szCs w:val="22"/>
        </w:rPr>
        <w:t xml:space="preserve">Filings sent by U.S. Postal Service First-Class Mail, Priority Mail, and Priority Mail Express must be sent to 45 L Street NE, Washington, DC 20554. </w:t>
      </w:r>
    </w:p>
    <w:p w:rsidR="003C2DCB" w:rsidRPr="00641FE2" w:rsidP="003C2DCB" w14:paraId="2C070687" w14:textId="77777777">
      <w:pPr>
        <w:pStyle w:val="ListParagraph"/>
        <w:widowControl/>
        <w:numPr>
          <w:ilvl w:val="0"/>
          <w:numId w:val="18"/>
        </w:numPr>
        <w:rPr>
          <w:szCs w:val="22"/>
        </w:rPr>
      </w:pPr>
      <w:r w:rsidRPr="00641FE2">
        <w:rPr>
          <w:i/>
          <w:iCs/>
          <w:szCs w:val="22"/>
        </w:rPr>
        <w:t>People with Disabilities</w:t>
      </w:r>
      <w:r w:rsidRPr="00641FE2">
        <w:rPr>
          <w:szCs w:val="22"/>
        </w:rPr>
        <w:t xml:space="preserve">:  To request materials in accessible formats for people with disabilities (braille, large print, electronic files, audio format), send an e-mail to </w:t>
      </w:r>
      <w:hyperlink r:id="rId7" w:history="1">
        <w:r w:rsidRPr="00641FE2">
          <w:rPr>
            <w:color w:val="0000FF"/>
            <w:szCs w:val="22"/>
            <w:u w:val="single"/>
          </w:rPr>
          <w:t>fcc504@fcc.gov</w:t>
        </w:r>
      </w:hyperlink>
      <w:r w:rsidRPr="00641FE2">
        <w:rPr>
          <w:szCs w:val="22"/>
        </w:rPr>
        <w:t xml:space="preserve"> or call the Consumer &amp; Governmental Affairs Bureau at 202-418-0530. </w:t>
      </w:r>
    </w:p>
    <w:p w:rsidR="003C2DCB" w:rsidP="009169CB" w14:paraId="1DC0B688" w14:textId="77777777">
      <w:pPr>
        <w:ind w:firstLine="720"/>
        <w:rPr>
          <w:i/>
          <w:iCs/>
        </w:rPr>
      </w:pPr>
    </w:p>
    <w:p w:rsidR="009169CB" w:rsidRPr="003F162D" w:rsidP="009169CB" w14:paraId="34B152AF" w14:textId="72F78BF2">
      <w:pPr>
        <w:ind w:firstLine="720"/>
        <w:rPr>
          <w:szCs w:val="22"/>
        </w:rPr>
      </w:pPr>
      <w:r w:rsidRPr="1D3ED3C0">
        <w:rPr>
          <w:i/>
          <w:iCs/>
        </w:rPr>
        <w:t xml:space="preserve">Ex </w:t>
      </w:r>
      <w:r w:rsidRPr="1D3ED3C0">
        <w:rPr>
          <w:i/>
          <w:iCs/>
        </w:rPr>
        <w:t>Parte</w:t>
      </w:r>
      <w:r w:rsidRPr="1D3ED3C0">
        <w:rPr>
          <w:i/>
          <w:iCs/>
        </w:rPr>
        <w:t xml:space="preserve"> Rules</w:t>
      </w:r>
      <w:r w:rsidRPr="051828DD">
        <w:t xml:space="preserve">.  As stated above, the proceeding this Notice initiates shall be treated as a “permit-but-disclose” proceeding in accordance with the Commission’s </w:t>
      </w:r>
      <w:r w:rsidRPr="1D3ED3C0">
        <w:rPr>
          <w:i/>
          <w:iCs/>
        </w:rPr>
        <w:t xml:space="preserve">ex parte </w:t>
      </w:r>
      <w:r w:rsidRPr="051828DD">
        <w:t>rules.</w:t>
      </w:r>
      <w:r>
        <w:rPr>
          <w:vertAlign w:val="superscript"/>
        </w:rPr>
        <w:footnoteReference w:id="19"/>
      </w:r>
      <w:r w:rsidRPr="051828DD">
        <w:t xml:space="preserve">  Persons making </w:t>
      </w:r>
      <w:r w:rsidRPr="1D3ED3C0">
        <w:rPr>
          <w:i/>
          <w:iCs/>
        </w:rPr>
        <w:t xml:space="preserve">ex parte </w:t>
      </w:r>
      <w:r w:rsidRPr="051828DD">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1D3ED3C0">
        <w:rPr>
          <w:i/>
          <w:iCs/>
        </w:rPr>
        <w:t xml:space="preserve">ex parte </w:t>
      </w:r>
      <w:r w:rsidRPr="051828DD">
        <w:t xml:space="preserve">presentations are reminded that memoranda summarizing the presentation must (1) list all persons attending or otherwise participating in the meeting at which the </w:t>
      </w:r>
      <w:r w:rsidRPr="1D3ED3C0">
        <w:rPr>
          <w:i/>
          <w:iCs/>
        </w:rPr>
        <w:t xml:space="preserve">ex parte </w:t>
      </w:r>
      <w:r w:rsidRPr="051828DD">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1D3ED3C0">
        <w:rPr>
          <w:i/>
          <w:iCs/>
        </w:rPr>
        <w:t xml:space="preserve">ex parte </w:t>
      </w:r>
      <w:r w:rsidRPr="051828DD">
        <w:t xml:space="preserve">meetings are deemed to be written </w:t>
      </w:r>
      <w:r w:rsidRPr="1D3ED3C0">
        <w:rPr>
          <w:i/>
          <w:iCs/>
        </w:rPr>
        <w:t>ex parte</w:t>
      </w:r>
      <w:r w:rsidRPr="051828DD">
        <w:t xml:space="preserve"> presentations and must be filed consistent with rule 1.1206(b).  In proceedings governed by rule 1.49(f) or for which the Commission has made available a method of electronic filing, written </w:t>
      </w:r>
      <w:r w:rsidRPr="1D3ED3C0">
        <w:rPr>
          <w:i/>
          <w:iCs/>
        </w:rPr>
        <w:t xml:space="preserve">ex parte </w:t>
      </w:r>
      <w:r w:rsidRPr="051828DD">
        <w:t xml:space="preserve">presentations and memoranda summarizing oral </w:t>
      </w:r>
      <w:r w:rsidRPr="1D3ED3C0">
        <w:rPr>
          <w:i/>
          <w:iCs/>
        </w:rPr>
        <w:t xml:space="preserve">ex parte </w:t>
      </w:r>
      <w:r w:rsidRPr="051828DD">
        <w:t>presentations, and all attachments thereto, must be filed through the electronic comment filing system available for that proceeding, and must be filed in their native format (</w:t>
      </w:r>
      <w:r w:rsidRPr="1D3ED3C0">
        <w:rPr>
          <w:i/>
          <w:iCs/>
        </w:rPr>
        <w:t>e.g.</w:t>
      </w:r>
      <w:r w:rsidRPr="051828DD">
        <w:t xml:space="preserve">, .doc, .xml, .ppt, searchable .pdf).  Participants in this proceeding should familiarize themselves with the Commission’s </w:t>
      </w:r>
      <w:r w:rsidRPr="1D3ED3C0">
        <w:rPr>
          <w:i/>
          <w:iCs/>
        </w:rPr>
        <w:t xml:space="preserve">ex parte </w:t>
      </w:r>
      <w:r w:rsidRPr="051828DD">
        <w:t>rules.</w:t>
      </w:r>
    </w:p>
    <w:p w:rsidR="00A609B2" w:rsidP="009169CB" w14:paraId="480F36A2" w14:textId="77777777">
      <w:pPr>
        <w:ind w:firstLine="720"/>
      </w:pPr>
    </w:p>
    <w:p w:rsidR="00A609B2" w:rsidRPr="00A609B2" w:rsidP="009169CB" w14:paraId="266FEE6A" w14:textId="6A277BAA">
      <w:pPr>
        <w:ind w:firstLine="720"/>
        <w:rPr>
          <w:szCs w:val="22"/>
        </w:rPr>
      </w:pPr>
      <w:r>
        <w:rPr>
          <w:i/>
          <w:iCs/>
        </w:rPr>
        <w:t>Availability of Documents</w:t>
      </w:r>
      <w:r w:rsidRPr="051828DD">
        <w:t xml:space="preserve">.  </w:t>
      </w:r>
      <w:r>
        <w:t xml:space="preserve">Comments, reply comments, and </w:t>
      </w:r>
      <w:r>
        <w:rPr>
          <w:i/>
          <w:iCs/>
        </w:rPr>
        <w:t>ex parte</w:t>
      </w:r>
      <w:r>
        <w:t xml:space="preserve"> submissions will be available via ECFS.  Documents will be available electronically in ASCII, Microsoft Word, and/or Adobe Acrobat.</w:t>
      </w:r>
    </w:p>
    <w:p w:rsidR="009169CB" w:rsidRPr="009C0685" w:rsidP="009169CB" w14:paraId="11BDDE34" w14:textId="77777777">
      <w:pPr>
        <w:rPr>
          <w:szCs w:val="22"/>
        </w:rPr>
      </w:pPr>
    </w:p>
    <w:p w:rsidR="009169CB" w:rsidRPr="00A8476B" w:rsidP="00A8476B" w14:paraId="0051CEA9" w14:textId="7CB7CB28">
      <w:pPr>
        <w:ind w:firstLine="720"/>
        <w:rPr>
          <w:b/>
          <w:bCs/>
          <w:szCs w:val="22"/>
        </w:rPr>
      </w:pPr>
      <w:r w:rsidRPr="009C0685">
        <w:rPr>
          <w:i/>
          <w:iCs/>
          <w:szCs w:val="22"/>
        </w:rPr>
        <w:t>Additional Information</w:t>
      </w:r>
      <w:r w:rsidRPr="009C0685">
        <w:rPr>
          <w:szCs w:val="22"/>
        </w:rPr>
        <w:t xml:space="preserve">.  </w:t>
      </w:r>
      <w:r w:rsidRPr="00585193">
        <w:rPr>
          <w:szCs w:val="22"/>
        </w:rPr>
        <w:t xml:space="preserve">For further information regarding this </w:t>
      </w:r>
      <w:r w:rsidRPr="00C66AC1">
        <w:rPr>
          <w:i/>
          <w:iCs/>
          <w:szCs w:val="22"/>
        </w:rPr>
        <w:t>Public Notice</w:t>
      </w:r>
      <w:r w:rsidRPr="00585193">
        <w:rPr>
          <w:szCs w:val="22"/>
        </w:rPr>
        <w:t xml:space="preserve">, please contact </w:t>
      </w:r>
      <w:r w:rsidR="005E4753">
        <w:rPr>
          <w:szCs w:val="22"/>
        </w:rPr>
        <w:t>Hugh L. Van Tuyl</w:t>
      </w:r>
      <w:r>
        <w:rPr>
          <w:szCs w:val="22"/>
        </w:rPr>
        <w:t xml:space="preserve">, </w:t>
      </w:r>
      <w:r w:rsidR="005E4753">
        <w:rPr>
          <w:szCs w:val="22"/>
        </w:rPr>
        <w:t>Policy and Rules</w:t>
      </w:r>
      <w:r>
        <w:rPr>
          <w:szCs w:val="22"/>
        </w:rPr>
        <w:t xml:space="preserve"> Division, </w:t>
      </w:r>
      <w:r w:rsidR="005E4753">
        <w:rPr>
          <w:szCs w:val="22"/>
        </w:rPr>
        <w:t>Office of Engineering and Technology</w:t>
      </w:r>
      <w:r>
        <w:rPr>
          <w:szCs w:val="22"/>
        </w:rPr>
        <w:t>,</w:t>
      </w:r>
      <w:r w:rsidRPr="00585193">
        <w:rPr>
          <w:szCs w:val="22"/>
        </w:rPr>
        <w:t xml:space="preserve"> at </w:t>
      </w:r>
      <w:hyperlink r:id="rId8" w:history="1">
        <w:r w:rsidRPr="00C24A76" w:rsidR="00520D0F">
          <w:rPr>
            <w:rStyle w:val="Hyperlink"/>
            <w:szCs w:val="22"/>
          </w:rPr>
          <w:t>Hugh.VanTuyl@fcc.gov</w:t>
        </w:r>
      </w:hyperlink>
      <w:r w:rsidR="00675F13">
        <w:t>.</w:t>
      </w:r>
    </w:p>
    <w:p w:rsidR="009169CB" w:rsidRPr="009C0685" w:rsidP="009169CB" w14:paraId="7154B9BA" w14:textId="77777777">
      <w:pPr>
        <w:ind w:firstLine="360"/>
        <w:rPr>
          <w:szCs w:val="22"/>
        </w:rPr>
      </w:pPr>
    </w:p>
    <w:p w:rsidR="007644B1" w:rsidRPr="00585193" w:rsidP="009169CB" w14:paraId="6DCEF267" w14:textId="3FFFCBBE">
      <w:pPr>
        <w:ind w:firstLine="360"/>
        <w:jc w:val="center"/>
        <w:rPr>
          <w:szCs w:val="22"/>
        </w:rPr>
      </w:pPr>
      <w:r w:rsidRPr="009C0685">
        <w:rPr>
          <w:szCs w:val="22"/>
        </w:rPr>
        <w:t>-FCC-</w:t>
      </w:r>
    </w:p>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22E37" w14:paraId="1C1C2F2C" w14:textId="77777777">
      <w:r>
        <w:separator/>
      </w:r>
    </w:p>
  </w:endnote>
  <w:endnote w:type="continuationSeparator" w:id="1">
    <w:p w:rsidR="00522E37" w14:paraId="418975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309" w14:paraId="082A14FC" w14:textId="77777777">
    <w:pPr>
      <w:pStyle w:val="Footer"/>
      <w:framePr w:wrap="around" w:vAnchor="text" w:hAnchor="margin" w:xAlign="center" w:y="1"/>
    </w:pPr>
    <w:r>
      <w:fldChar w:fldCharType="begin"/>
    </w:r>
    <w:r>
      <w:instrText xml:space="preserve">PAGE  </w:instrText>
    </w:r>
    <w:r>
      <w:fldChar w:fldCharType="separate"/>
    </w:r>
    <w:r>
      <w:fldChar w:fldCharType="end"/>
    </w:r>
  </w:p>
  <w:p w:rsidR="00892309" w14:paraId="5173C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309" w14:paraId="4C3BFFE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309" w14:paraId="7885090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2E37" w14:paraId="2FE9680C" w14:textId="77777777">
      <w:r>
        <w:separator/>
      </w:r>
    </w:p>
  </w:footnote>
  <w:footnote w:type="continuationSeparator" w:id="1">
    <w:p w:rsidR="00522E37" w14:paraId="2060D6E1" w14:textId="77777777">
      <w:pPr>
        <w:rPr>
          <w:sz w:val="20"/>
        </w:rPr>
      </w:pPr>
      <w:r>
        <w:rPr>
          <w:sz w:val="20"/>
        </w:rPr>
        <w:t xml:space="preserve">(Continued from previous page)  </w:t>
      </w:r>
      <w:r>
        <w:rPr>
          <w:sz w:val="20"/>
        </w:rPr>
        <w:separator/>
      </w:r>
    </w:p>
  </w:footnote>
  <w:footnote w:type="continuationNotice" w:id="2">
    <w:p w:rsidR="00522E37" w14:paraId="755DD7AE" w14:textId="77777777">
      <w:pPr>
        <w:jc w:val="right"/>
        <w:rPr>
          <w:sz w:val="20"/>
        </w:rPr>
      </w:pPr>
      <w:r>
        <w:rPr>
          <w:sz w:val="20"/>
        </w:rPr>
        <w:t>(continued….)</w:t>
      </w:r>
    </w:p>
  </w:footnote>
  <w:footnote w:id="3">
    <w:p w:rsidR="000A1577" w:rsidP="00472C5A" w14:paraId="0EEBB651" w14:textId="217B12AA">
      <w:pPr>
        <w:pStyle w:val="FootnoteText"/>
      </w:pPr>
      <w:r>
        <w:rPr>
          <w:rStyle w:val="FootnoteReference"/>
        </w:rPr>
        <w:footnoteRef/>
      </w:r>
      <w:r>
        <w:t xml:space="preserve"> </w:t>
      </w:r>
      <w:r w:rsidR="00005DFE">
        <w:t>Qualcomm Incorporated</w:t>
      </w:r>
      <w:r w:rsidRPr="0003257D" w:rsidR="002D263C">
        <w:t xml:space="preserve"> Petition for Rulemaking, WT Docket No. 1</w:t>
      </w:r>
      <w:r w:rsidR="00005DFE">
        <w:t>9</w:t>
      </w:r>
      <w:r w:rsidRPr="0003257D" w:rsidR="002D263C">
        <w:t>-</w:t>
      </w:r>
      <w:r w:rsidR="00005DFE">
        <w:t>116</w:t>
      </w:r>
      <w:r w:rsidRPr="0003257D" w:rsidR="002D263C">
        <w:t xml:space="preserve"> (filed </w:t>
      </w:r>
      <w:r w:rsidR="00005DFE">
        <w:t>February</w:t>
      </w:r>
      <w:r w:rsidRPr="0003257D" w:rsidR="002D263C">
        <w:t xml:space="preserve"> 2</w:t>
      </w:r>
      <w:r w:rsidR="00005DFE">
        <w:t>0,</w:t>
      </w:r>
      <w:r w:rsidRPr="0003257D" w:rsidR="002D263C">
        <w:t xml:space="preserve"> 202</w:t>
      </w:r>
      <w:r w:rsidR="00005DFE">
        <w:t>6</w:t>
      </w:r>
      <w:r w:rsidRPr="0003257D" w:rsidR="002D263C">
        <w:t xml:space="preserve">), </w:t>
      </w:r>
      <w:hyperlink r:id="rId1" w:history="1">
        <w:r w:rsidRPr="00115914" w:rsidR="00F3542D">
          <w:rPr>
            <w:rStyle w:val="Hyperlink"/>
          </w:rPr>
          <w:t>https://www.fcc.gov/ecfs/document/10220146431094/1</w:t>
        </w:r>
      </w:hyperlink>
      <w:r w:rsidR="00F3542D">
        <w:t xml:space="preserve"> </w:t>
      </w:r>
      <w:r w:rsidRPr="0003257D" w:rsidR="002D263C">
        <w:t>(</w:t>
      </w:r>
      <w:r w:rsidR="00005DFE">
        <w:t>Qualcomm</w:t>
      </w:r>
      <w:r w:rsidRPr="0003257D" w:rsidR="002D263C">
        <w:t xml:space="preserve"> Petition).</w:t>
      </w:r>
    </w:p>
  </w:footnote>
  <w:footnote w:id="4">
    <w:p w:rsidR="0003455A" w14:paraId="14615F67" w14:textId="7B60639F">
      <w:pPr>
        <w:pStyle w:val="FootnoteText"/>
      </w:pPr>
      <w:r>
        <w:rPr>
          <w:rStyle w:val="FootnoteReference"/>
        </w:rPr>
        <w:footnoteRef/>
      </w:r>
      <w:r>
        <w:t xml:space="preserve"> Qualcomm Petition at i.  </w:t>
      </w:r>
    </w:p>
  </w:footnote>
  <w:footnote w:id="5">
    <w:p w:rsidR="00005DFE" w:rsidRPr="00005DFE" w14:paraId="68BFC4A2" w14:textId="32BBA131">
      <w:pPr>
        <w:pStyle w:val="FootnoteText"/>
        <w:rPr>
          <w:i/>
          <w:iCs/>
        </w:rPr>
      </w:pPr>
      <w:r>
        <w:rPr>
          <w:rStyle w:val="FootnoteReference"/>
        </w:rPr>
        <w:footnoteRef/>
      </w:r>
      <w:r>
        <w:t xml:space="preserve"> </w:t>
      </w:r>
      <w:r>
        <w:rPr>
          <w:i/>
          <w:iCs/>
        </w:rPr>
        <w:t>Id.</w:t>
      </w:r>
    </w:p>
  </w:footnote>
  <w:footnote w:id="6">
    <w:p w:rsidR="005F5E3D" w14:paraId="484B9291" w14:textId="488DE704">
      <w:pPr>
        <w:pStyle w:val="FootnoteText"/>
      </w:pPr>
      <w:r>
        <w:rPr>
          <w:rStyle w:val="FootnoteReference"/>
        </w:rPr>
        <w:footnoteRef/>
      </w:r>
      <w:r>
        <w:t xml:space="preserve"> </w:t>
      </w:r>
      <w:r w:rsidR="0001527F">
        <w:rPr>
          <w:i/>
          <w:iCs/>
        </w:rPr>
        <w:t>Id.</w:t>
      </w:r>
      <w:r>
        <w:t xml:space="preserve"> at 1.</w:t>
      </w:r>
      <w:r w:rsidR="00781AA2">
        <w:t xml:space="preserve">  It does not suggest which specific blocks of spectrum it believes should be allocated in either of those bands.  </w:t>
      </w:r>
      <w:r w:rsidR="00781AA2">
        <w:rPr>
          <w:i/>
          <w:iCs/>
        </w:rPr>
        <w:t xml:space="preserve">Id. </w:t>
      </w:r>
      <w:r w:rsidR="00781AA2">
        <w:t>at 14-18.</w:t>
      </w:r>
    </w:p>
  </w:footnote>
  <w:footnote w:id="7">
    <w:p w:rsidR="00F24C1C" w14:paraId="49F97045" w14:textId="19CD57EF">
      <w:pPr>
        <w:pStyle w:val="FootnoteText"/>
      </w:pPr>
      <w:r>
        <w:rPr>
          <w:rStyle w:val="FootnoteReference"/>
        </w:rPr>
        <w:footnoteRef/>
      </w:r>
      <w:r>
        <w:t xml:space="preserve"> </w:t>
      </w:r>
      <w:r w:rsidR="0001527F">
        <w:rPr>
          <w:i/>
          <w:iCs/>
        </w:rPr>
        <w:t xml:space="preserve">Id. </w:t>
      </w:r>
      <w:r w:rsidR="0001527F">
        <w:t>at</w:t>
      </w:r>
      <w:r>
        <w:t xml:space="preserve"> 21.</w:t>
      </w:r>
    </w:p>
  </w:footnote>
  <w:footnote w:id="8">
    <w:p w:rsidR="002E2794" w:rsidP="002E2794" w14:paraId="6A7AFC8D" w14:textId="77777777">
      <w:pPr>
        <w:pStyle w:val="FootnoteText"/>
      </w:pPr>
      <w:r>
        <w:rPr>
          <w:rStyle w:val="FootnoteReference"/>
        </w:rPr>
        <w:footnoteRef/>
      </w:r>
      <w:r>
        <w:t xml:space="preserve"> </w:t>
      </w:r>
      <w:r>
        <w:rPr>
          <w:i/>
          <w:iCs/>
        </w:rPr>
        <w:t xml:space="preserve">Id. </w:t>
      </w:r>
      <w:r>
        <w:t>at 22.</w:t>
      </w:r>
    </w:p>
  </w:footnote>
  <w:footnote w:id="9">
    <w:p w:rsidR="00791945" w14:paraId="75B28453" w14:textId="4BFB8DFB">
      <w:pPr>
        <w:pStyle w:val="FootnoteText"/>
      </w:pPr>
      <w:r>
        <w:rPr>
          <w:rStyle w:val="FootnoteReference"/>
        </w:rPr>
        <w:footnoteRef/>
      </w:r>
      <w:r>
        <w:t xml:space="preserve"> </w:t>
      </w:r>
      <w:r w:rsidRPr="003C45B9">
        <w:rPr>
          <w:i/>
          <w:iCs/>
        </w:rPr>
        <w:t>Id</w:t>
      </w:r>
      <w:r>
        <w:t>.</w:t>
      </w:r>
    </w:p>
  </w:footnote>
  <w:footnote w:id="10">
    <w:p w:rsidR="00E55707" w:rsidRPr="00D23EF1" w14:paraId="6473394B" w14:textId="04FB1EF5">
      <w:pPr>
        <w:pStyle w:val="FootnoteText"/>
      </w:pPr>
      <w:r>
        <w:rPr>
          <w:rStyle w:val="FootnoteReference"/>
        </w:rPr>
        <w:footnoteRef/>
      </w:r>
      <w:r>
        <w:t xml:space="preserve"> Qualcomm </w:t>
      </w:r>
      <w:r w:rsidR="00D23EF1">
        <w:t>proposes</w:t>
      </w:r>
      <w:r w:rsidR="00FC53D6">
        <w:t xml:space="preserve"> </w:t>
      </w:r>
      <w:r w:rsidR="00B03111">
        <w:t>specific rule language</w:t>
      </w:r>
      <w:r w:rsidR="00403194">
        <w:t xml:space="preserve"> for </w:t>
      </w:r>
      <w:r w:rsidR="00403194">
        <w:t>sidelink</w:t>
      </w:r>
      <w:r w:rsidR="00403194">
        <w:t xml:space="preserve"> operations</w:t>
      </w:r>
      <w:r w:rsidR="00D23EF1">
        <w:t xml:space="preserve">.  </w:t>
      </w:r>
      <w:r w:rsidR="00D23EF1">
        <w:rPr>
          <w:i/>
          <w:iCs/>
        </w:rPr>
        <w:t>Id.</w:t>
      </w:r>
      <w:r w:rsidR="00D23EF1">
        <w:t xml:space="preserve"> at appx. A.</w:t>
      </w:r>
    </w:p>
  </w:footnote>
  <w:footnote w:id="11">
    <w:p w:rsidR="00F76A7D" w14:paraId="571E1096" w14:textId="7BE7A101">
      <w:pPr>
        <w:pStyle w:val="FootnoteText"/>
      </w:pPr>
      <w:r>
        <w:rPr>
          <w:rStyle w:val="FootnoteReference"/>
        </w:rPr>
        <w:footnoteRef/>
      </w:r>
      <w:r>
        <w:t xml:space="preserve"> </w:t>
      </w:r>
      <w:r w:rsidR="00183570">
        <w:t>Letter from Arielle Roth, Assistant Secretary for Communications and Information, National Telecommunications and Information Administration</w:t>
      </w:r>
      <w:r w:rsidR="0061456F">
        <w:t xml:space="preserve">, to </w:t>
      </w:r>
      <w:r w:rsidR="002E3A95">
        <w:t>t</w:t>
      </w:r>
      <w:r w:rsidR="0061456F">
        <w:t>he Honorable Brendan Carr, Chairman, Federal Communications Commission</w:t>
      </w:r>
      <w:r w:rsidR="000B314C">
        <w:t>, at 1 (Feb. 26, 2026)</w:t>
      </w:r>
      <w:r w:rsidR="00E66C24">
        <w:t xml:space="preserve">, </w:t>
      </w:r>
      <w:hyperlink r:id="rId2" w:history="1">
        <w:r w:rsidRPr="007E12AA" w:rsidR="00937736">
          <w:rPr>
            <w:rStyle w:val="Hyperlink"/>
          </w:rPr>
          <w:t>https://www.ntia.gov/sites/default/files/2026-03/1675-mhz-identification-letter.pdf</w:t>
        </w:r>
      </w:hyperlink>
      <w:r w:rsidR="00937736">
        <w:t>.</w:t>
      </w:r>
    </w:p>
  </w:footnote>
  <w:footnote w:id="12">
    <w:p w:rsidR="00574604" w:rsidRPr="00574604" w14:paraId="61D24D45" w14:textId="45AE2055">
      <w:pPr>
        <w:pStyle w:val="FootnoteText"/>
      </w:pPr>
      <w:r>
        <w:rPr>
          <w:rStyle w:val="FootnoteReference"/>
        </w:rPr>
        <w:footnoteRef/>
      </w:r>
      <w:r>
        <w:t xml:space="preserve"> </w:t>
      </w:r>
      <w:r>
        <w:rPr>
          <w:i/>
          <w:iCs/>
        </w:rPr>
        <w:t>Id.</w:t>
      </w:r>
      <w:r>
        <w:t xml:space="preserve"> at 3.</w:t>
      </w:r>
    </w:p>
  </w:footnote>
  <w:footnote w:id="13">
    <w:p w:rsidR="00E64BA1" w14:paraId="6F994099" w14:textId="141F35BD">
      <w:pPr>
        <w:pStyle w:val="FootnoteText"/>
      </w:pPr>
      <w:r>
        <w:rPr>
          <w:rStyle w:val="FootnoteReference"/>
        </w:rPr>
        <w:footnoteRef/>
      </w:r>
      <w:r>
        <w:t xml:space="preserve"> 47 CFR § 15.205.</w:t>
      </w:r>
    </w:p>
  </w:footnote>
  <w:footnote w:id="14">
    <w:p w:rsidR="00481738" w14:paraId="3C35D970" w14:textId="7F432C8B">
      <w:pPr>
        <w:pStyle w:val="FootnoteText"/>
      </w:pPr>
      <w:r>
        <w:rPr>
          <w:rStyle w:val="FootnoteReference"/>
        </w:rPr>
        <w:footnoteRef/>
      </w:r>
      <w:r>
        <w:t xml:space="preserve"> </w:t>
      </w:r>
      <w:r w:rsidR="00E23994">
        <w:t>Qualcomm notes this</w:t>
      </w:r>
      <w:r w:rsidR="00BC24DA">
        <w:t xml:space="preserve"> </w:t>
      </w:r>
      <w:r w:rsidR="005609ED">
        <w:t>fact</w:t>
      </w:r>
      <w:r w:rsidR="00BC24DA">
        <w:t>, characteri</w:t>
      </w:r>
      <w:r w:rsidR="005609ED">
        <w:t>z</w:t>
      </w:r>
      <w:r w:rsidR="007C41F5">
        <w:t>ing</w:t>
      </w:r>
      <w:r w:rsidR="00BC24DA">
        <w:t xml:space="preserve"> its request as seeking “</w:t>
      </w:r>
      <w:r w:rsidRPr="00BC24DA" w:rsidR="00BC24DA">
        <w:t>an allocation of a limited portion of the band for critical public safety communications</w:t>
      </w:r>
      <w:r w:rsidR="00E23994">
        <w:t>.</w:t>
      </w:r>
      <w:r w:rsidR="00BC24DA">
        <w:t>”</w:t>
      </w:r>
      <w:r w:rsidR="00E23994">
        <w:t xml:space="preserve">  </w:t>
      </w:r>
      <w:r w:rsidR="00EC2518">
        <w:rPr>
          <w:i/>
          <w:iCs/>
        </w:rPr>
        <w:t xml:space="preserve">See </w:t>
      </w:r>
      <w:r>
        <w:t xml:space="preserve">Qualcomm Petition at </w:t>
      </w:r>
      <w:r w:rsidR="00A067B5">
        <w:t>17.</w:t>
      </w:r>
      <w:r w:rsidR="00BE1CDE">
        <w:t xml:space="preserve">  </w:t>
      </w:r>
    </w:p>
  </w:footnote>
  <w:footnote w:id="15">
    <w:p w:rsidR="000D1C5C" w:rsidP="00472C5A" w14:paraId="12506152" w14:textId="11D2D949">
      <w:pPr>
        <w:pStyle w:val="FootnoteText"/>
      </w:pPr>
      <w:r>
        <w:rPr>
          <w:rStyle w:val="FootnoteReference"/>
        </w:rPr>
        <w:footnoteRef/>
      </w:r>
      <w:r>
        <w:t xml:space="preserve"> </w:t>
      </w:r>
      <w:r w:rsidR="0070779B">
        <w:t>47 CFR § 1.1</w:t>
      </w:r>
      <w:r w:rsidR="002319F6">
        <w:t>200(a).</w:t>
      </w:r>
    </w:p>
  </w:footnote>
  <w:footnote w:id="16">
    <w:p w:rsidR="00004224" w:rsidP="00472C5A" w14:paraId="54B1F9EA" w14:textId="7AD2D958">
      <w:pPr>
        <w:pStyle w:val="FootnoteText"/>
      </w:pPr>
      <w:r>
        <w:rPr>
          <w:rStyle w:val="FootnoteReference"/>
        </w:rPr>
        <w:footnoteRef/>
      </w:r>
      <w:r>
        <w:t xml:space="preserve"> 47 CFR § 1.1206(b).</w:t>
      </w:r>
    </w:p>
  </w:footnote>
  <w:footnote w:id="17">
    <w:p w:rsidR="003C2DCB" w:rsidP="003C2DCB" w14:paraId="24922390" w14:textId="77777777">
      <w:pPr>
        <w:pStyle w:val="FootnoteText"/>
      </w:pPr>
      <w:r>
        <w:rPr>
          <w:rStyle w:val="FootnoteReference"/>
        </w:rPr>
        <w:footnoteRef/>
      </w:r>
      <w:r>
        <w:t xml:space="preserve"> 47 CFR §§ 1.403, 1.405.</w:t>
      </w:r>
    </w:p>
  </w:footnote>
  <w:footnote w:id="18">
    <w:p w:rsidR="003C2DCB" w:rsidP="003C2DCB" w14:paraId="156B1FD6" w14:textId="77777777">
      <w:pPr>
        <w:pStyle w:val="FootnoteText"/>
      </w:pPr>
      <w:r>
        <w:rPr>
          <w:rStyle w:val="FootnoteReference"/>
        </w:rPr>
        <w:footnoteRef/>
      </w:r>
      <w:r>
        <w:t xml:space="preserve"> See Electronic Filing of Documents in Rulemaking Proceedings, GC Docket No. 97-113, Report and Order, 13 FCC </w:t>
      </w:r>
      <w:r>
        <w:t>Rcd</w:t>
      </w:r>
      <w:r>
        <w:t xml:space="preserve"> 11322 (1998); 63 FR 24121 (1998).</w:t>
      </w:r>
    </w:p>
  </w:footnote>
  <w:footnote w:id="19">
    <w:p w:rsidR="009169CB" w:rsidRPr="00801F23" w:rsidP="00472C5A" w14:paraId="74BABF82" w14:textId="77777777">
      <w:pPr>
        <w:pStyle w:val="FootnoteText"/>
        <w:rPr>
          <w:i/>
          <w:iCs/>
        </w:rPr>
      </w:pPr>
      <w:r w:rsidRPr="00801F23">
        <w:rPr>
          <w:rStyle w:val="FootnoteReference"/>
        </w:rPr>
        <w:footnoteRef/>
      </w:r>
      <w:r w:rsidRPr="00801F23">
        <w:t xml:space="preserve"> 47 CFR §</w:t>
      </w:r>
      <w:r>
        <w:t>§ </w:t>
      </w:r>
      <w:r w:rsidRPr="00801F23">
        <w:t xml:space="preserve">1.1200 </w:t>
      </w:r>
      <w:r w:rsidRPr="00801F23">
        <w:rPr>
          <w:i/>
          <w:iCs/>
        </w:rPr>
        <w:t>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309" w14:paraId="223D2817" w14:textId="5DA79005">
    <w:pPr>
      <w:tabs>
        <w:tab w:val="center" w:pos="4680"/>
        <w:tab w:val="right" w:pos="9360"/>
      </w:tabs>
    </w:pPr>
    <w:r>
      <w:rPr>
        <w:b/>
      </w:rPr>
      <w:tab/>
      <w:t>Federal Communications Commission</w:t>
    </w:r>
    <w:r>
      <w:rPr>
        <w:b/>
      </w:rPr>
      <w:tab/>
    </w:r>
    <w:r w:rsidR="007644B1">
      <w:rPr>
        <w:b/>
      </w:rPr>
      <w:t>DA 2</w:t>
    </w:r>
    <w:r w:rsidR="003D6ED3">
      <w:rPr>
        <w:b/>
      </w:rPr>
      <w:t>6</w:t>
    </w:r>
    <w:r w:rsidR="007644B1">
      <w:rPr>
        <w:b/>
      </w:rPr>
      <w:t>-</w:t>
    </w:r>
    <w:r w:rsidR="00D36A70">
      <w:rPr>
        <w:b/>
      </w:rPr>
      <w:t>337</w:t>
    </w:r>
  </w:p>
  <w:p w:rsidR="00892309" w:rsidP="0002584F" w14:paraId="396A4FA4" w14:textId="25EB4646">
    <w:pPr>
      <w:tabs>
        <w:tab w:val="left" w:pos="-720"/>
      </w:tabs>
      <w:suppressAutoHyphens/>
      <w:spacing w:line="19" w:lineRule="exact"/>
      <w:rPr>
        <w:rFonts w:ascii="Arial" w:hAnsi="Arial" w:cs="Arial"/>
        <w:b/>
        <w:sz w:val="20"/>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309" w14:paraId="088E6957" w14:textId="38984B3D">
    <w:pPr>
      <w:pStyle w:val="Header"/>
    </w:pPr>
    <w:r>
      <w:rPr>
        <w:noProof/>
        <w:snapToGrid/>
      </w:rPr>
      <w:drawing>
        <wp:inline distT="0" distB="0" distL="0" distR="0">
          <wp:extent cx="5943600"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38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D576B"/>
    <w:multiLevelType w:val="hybridMultilevel"/>
    <w:tmpl w:val="DC00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357658"/>
    <w:multiLevelType w:val="hybridMultilevel"/>
    <w:tmpl w:val="5D249A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8DA3E65"/>
    <w:multiLevelType w:val="hybridMultilevel"/>
    <w:tmpl w:val="BD4CC05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444ED"/>
    <w:multiLevelType w:val="hybridMultilevel"/>
    <w:tmpl w:val="1FAC4D8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091985"/>
    <w:multiLevelType w:val="hybridMultilevel"/>
    <w:tmpl w:val="8D50B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637A7C"/>
    <w:multiLevelType w:val="hybridMultilevel"/>
    <w:tmpl w:val="E236C96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2919534B"/>
    <w:multiLevelType w:val="hybridMultilevel"/>
    <w:tmpl w:val="69A0A000"/>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3865B9B"/>
    <w:multiLevelType w:val="hybridMultilevel"/>
    <w:tmpl w:val="3EA4A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8333CB5"/>
    <w:multiLevelType w:val="hybridMultilevel"/>
    <w:tmpl w:val="7B9A5D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4F4D25"/>
    <w:multiLevelType w:val="hybridMultilevel"/>
    <w:tmpl w:val="A184C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nsid w:val="7F0406EE"/>
    <w:multiLevelType w:val="hybridMultilevel"/>
    <w:tmpl w:val="749E4CE6"/>
    <w:lvl w:ilvl="0">
      <w:start w:val="1"/>
      <w:numFmt w:val="bullet"/>
      <w:lvlText w:val=""/>
      <w:lvlJc w:val="left"/>
      <w:pPr>
        <w:tabs>
          <w:tab w:val="num" w:pos="1350"/>
        </w:tabs>
        <w:ind w:left="1350" w:hanging="360"/>
      </w:pPr>
      <w:rPr>
        <w:rFonts w:ascii="Wingdings" w:hAnsi="Wingdings" w:hint="default"/>
      </w:rPr>
    </w:lvl>
    <w:lvl w:ilvl="1">
      <w:start w:val="1"/>
      <w:numFmt w:val="decimal"/>
      <w:lvlText w:val="(%2)"/>
      <w:lvlJc w:val="left"/>
      <w:pPr>
        <w:tabs>
          <w:tab w:val="num" w:pos="2070"/>
        </w:tabs>
        <w:ind w:left="2070" w:hanging="360"/>
      </w:pPr>
      <w:rPr>
        <w:rFonts w:hint="default"/>
      </w:rPr>
    </w:lvl>
    <w:lvl w:ilvl="2">
      <w:start w:val="1"/>
      <w:numFmt w:val="lowerRoman"/>
      <w:lvlText w:val="%3."/>
      <w:lvlJc w:val="right"/>
      <w:pPr>
        <w:tabs>
          <w:tab w:val="num" w:pos="2790"/>
        </w:tabs>
        <w:ind w:left="2790" w:hanging="180"/>
      </w:pPr>
    </w:lvl>
    <w:lvl w:ilvl="3">
      <w:start w:val="0"/>
      <w:numFmt w:val="bullet"/>
      <w:lvlText w:val="-"/>
      <w:lvlJc w:val="left"/>
      <w:pPr>
        <w:tabs>
          <w:tab w:val="num" w:pos="1350"/>
        </w:tabs>
        <w:ind w:left="1350" w:hanging="360"/>
      </w:pPr>
      <w:rPr>
        <w:rFonts w:ascii="Times New Roman" w:eastAsia="Times New Roman" w:hAnsi="Times New Roman" w:cs="Times New Roman" w:hint="default"/>
      </w:rPr>
    </w:lvl>
    <w:lvl w:ilvl="4">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num w:numId="1" w16cid:durableId="401291353">
    <w:abstractNumId w:val="8"/>
  </w:num>
  <w:num w:numId="2" w16cid:durableId="674965016">
    <w:abstractNumId w:val="16"/>
  </w:num>
  <w:num w:numId="3" w16cid:durableId="1101997185">
    <w:abstractNumId w:val="10"/>
  </w:num>
  <w:num w:numId="4" w16cid:durableId="1322731113">
    <w:abstractNumId w:val="15"/>
  </w:num>
  <w:num w:numId="5" w16cid:durableId="470443485">
    <w:abstractNumId w:val="9"/>
  </w:num>
  <w:num w:numId="6" w16cid:durableId="1695380651">
    <w:abstractNumId w:val="2"/>
  </w:num>
  <w:num w:numId="7" w16cid:durableId="1293750828">
    <w:abstractNumId w:val="12"/>
  </w:num>
  <w:num w:numId="8" w16cid:durableId="28797575">
    <w:abstractNumId w:val="5"/>
  </w:num>
  <w:num w:numId="9" w16cid:durableId="846091136">
    <w:abstractNumId w:val="3"/>
  </w:num>
  <w:num w:numId="10" w16cid:durableId="596599087">
    <w:abstractNumId w:val="0"/>
  </w:num>
  <w:num w:numId="11" w16cid:durableId="440801905">
    <w:abstractNumId w:val="6"/>
  </w:num>
  <w:num w:numId="12" w16cid:durableId="1639257394">
    <w:abstractNumId w:val="14"/>
  </w:num>
  <w:num w:numId="13" w16cid:durableId="979309101">
    <w:abstractNumId w:val="7"/>
  </w:num>
  <w:num w:numId="14" w16cid:durableId="413816271">
    <w:abstractNumId w:val="11"/>
  </w:num>
  <w:num w:numId="15" w16cid:durableId="65761675">
    <w:abstractNumId w:val="17"/>
  </w:num>
  <w:num w:numId="16" w16cid:durableId="1088841278">
    <w:abstractNumId w:val="1"/>
  </w:num>
  <w:num w:numId="17" w16cid:durableId="1630283826">
    <w:abstractNumId w:val="13"/>
  </w:num>
  <w:num w:numId="18" w16cid:durableId="1660229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B1"/>
    <w:rsid w:val="00004224"/>
    <w:rsid w:val="0000463E"/>
    <w:rsid w:val="00005DFE"/>
    <w:rsid w:val="000143FA"/>
    <w:rsid w:val="00014E09"/>
    <w:rsid w:val="0001527F"/>
    <w:rsid w:val="00015BC1"/>
    <w:rsid w:val="00020493"/>
    <w:rsid w:val="0002069C"/>
    <w:rsid w:val="0002584F"/>
    <w:rsid w:val="00025A02"/>
    <w:rsid w:val="0002613A"/>
    <w:rsid w:val="000308AA"/>
    <w:rsid w:val="00031EAF"/>
    <w:rsid w:val="0003231B"/>
    <w:rsid w:val="0003257D"/>
    <w:rsid w:val="000336A3"/>
    <w:rsid w:val="0003455A"/>
    <w:rsid w:val="000360F2"/>
    <w:rsid w:val="00041156"/>
    <w:rsid w:val="00041432"/>
    <w:rsid w:val="000464B3"/>
    <w:rsid w:val="00046F10"/>
    <w:rsid w:val="00051F5E"/>
    <w:rsid w:val="000532F2"/>
    <w:rsid w:val="00053D0D"/>
    <w:rsid w:val="0005405E"/>
    <w:rsid w:val="00055682"/>
    <w:rsid w:val="000603FB"/>
    <w:rsid w:val="00060D8C"/>
    <w:rsid w:val="000619C6"/>
    <w:rsid w:val="0006395F"/>
    <w:rsid w:val="000645F0"/>
    <w:rsid w:val="000648B9"/>
    <w:rsid w:val="000648C3"/>
    <w:rsid w:val="00064CA4"/>
    <w:rsid w:val="0007171D"/>
    <w:rsid w:val="00072AC1"/>
    <w:rsid w:val="00076A4F"/>
    <w:rsid w:val="00077813"/>
    <w:rsid w:val="000811AD"/>
    <w:rsid w:val="00081DBA"/>
    <w:rsid w:val="0008341A"/>
    <w:rsid w:val="00086CFB"/>
    <w:rsid w:val="00087056"/>
    <w:rsid w:val="0009128C"/>
    <w:rsid w:val="00095038"/>
    <w:rsid w:val="000955C2"/>
    <w:rsid w:val="0009664D"/>
    <w:rsid w:val="0009704D"/>
    <w:rsid w:val="000A1577"/>
    <w:rsid w:val="000A3451"/>
    <w:rsid w:val="000A5BF8"/>
    <w:rsid w:val="000B23E7"/>
    <w:rsid w:val="000B314C"/>
    <w:rsid w:val="000B3F73"/>
    <w:rsid w:val="000B4618"/>
    <w:rsid w:val="000B56CF"/>
    <w:rsid w:val="000C3062"/>
    <w:rsid w:val="000D0A53"/>
    <w:rsid w:val="000D1C5C"/>
    <w:rsid w:val="000D46BF"/>
    <w:rsid w:val="000E01FA"/>
    <w:rsid w:val="000E0A83"/>
    <w:rsid w:val="000E3889"/>
    <w:rsid w:val="000E43C2"/>
    <w:rsid w:val="000E7174"/>
    <w:rsid w:val="000F09DB"/>
    <w:rsid w:val="000F2C34"/>
    <w:rsid w:val="000F2D43"/>
    <w:rsid w:val="000F6FF8"/>
    <w:rsid w:val="000F7C50"/>
    <w:rsid w:val="001017E8"/>
    <w:rsid w:val="00101E9A"/>
    <w:rsid w:val="00103CF4"/>
    <w:rsid w:val="0010486E"/>
    <w:rsid w:val="00105156"/>
    <w:rsid w:val="00111726"/>
    <w:rsid w:val="00113015"/>
    <w:rsid w:val="00113E7D"/>
    <w:rsid w:val="0011588F"/>
    <w:rsid w:val="00115914"/>
    <w:rsid w:val="00117658"/>
    <w:rsid w:val="001177C8"/>
    <w:rsid w:val="00120F54"/>
    <w:rsid w:val="001229ED"/>
    <w:rsid w:val="00125679"/>
    <w:rsid w:val="00130727"/>
    <w:rsid w:val="001321E9"/>
    <w:rsid w:val="00132914"/>
    <w:rsid w:val="00132F2B"/>
    <w:rsid w:val="00135E69"/>
    <w:rsid w:val="001410EF"/>
    <w:rsid w:val="001426A0"/>
    <w:rsid w:val="00143091"/>
    <w:rsid w:val="00150321"/>
    <w:rsid w:val="00150EF0"/>
    <w:rsid w:val="00153FFA"/>
    <w:rsid w:val="00162C7E"/>
    <w:rsid w:val="0016478A"/>
    <w:rsid w:val="00165E56"/>
    <w:rsid w:val="00165FE8"/>
    <w:rsid w:val="00166B94"/>
    <w:rsid w:val="001729F0"/>
    <w:rsid w:val="00173031"/>
    <w:rsid w:val="001730CF"/>
    <w:rsid w:val="001747F3"/>
    <w:rsid w:val="0017715D"/>
    <w:rsid w:val="00180EEA"/>
    <w:rsid w:val="00180F8C"/>
    <w:rsid w:val="001811B8"/>
    <w:rsid w:val="00183457"/>
    <w:rsid w:val="00183570"/>
    <w:rsid w:val="00183713"/>
    <w:rsid w:val="00186AD0"/>
    <w:rsid w:val="0018711D"/>
    <w:rsid w:val="00193A91"/>
    <w:rsid w:val="0019561B"/>
    <w:rsid w:val="001962C4"/>
    <w:rsid w:val="001977C8"/>
    <w:rsid w:val="001979FB"/>
    <w:rsid w:val="00197EF7"/>
    <w:rsid w:val="001A02A2"/>
    <w:rsid w:val="001A12E4"/>
    <w:rsid w:val="001A135F"/>
    <w:rsid w:val="001A2DF7"/>
    <w:rsid w:val="001A39E5"/>
    <w:rsid w:val="001A5DE7"/>
    <w:rsid w:val="001A7E3D"/>
    <w:rsid w:val="001B2C7B"/>
    <w:rsid w:val="001B68B7"/>
    <w:rsid w:val="001C1941"/>
    <w:rsid w:val="001C519B"/>
    <w:rsid w:val="001C521D"/>
    <w:rsid w:val="001C707B"/>
    <w:rsid w:val="001D1967"/>
    <w:rsid w:val="001D1CD4"/>
    <w:rsid w:val="001D2D22"/>
    <w:rsid w:val="001D3377"/>
    <w:rsid w:val="001D4BC9"/>
    <w:rsid w:val="001D4C60"/>
    <w:rsid w:val="001D512C"/>
    <w:rsid w:val="001D531F"/>
    <w:rsid w:val="001D6076"/>
    <w:rsid w:val="001D68CD"/>
    <w:rsid w:val="001D7267"/>
    <w:rsid w:val="001D740C"/>
    <w:rsid w:val="001E1833"/>
    <w:rsid w:val="001E1E47"/>
    <w:rsid w:val="001E6254"/>
    <w:rsid w:val="001E7479"/>
    <w:rsid w:val="001F1F02"/>
    <w:rsid w:val="001F24FB"/>
    <w:rsid w:val="001F33D0"/>
    <w:rsid w:val="001F357E"/>
    <w:rsid w:val="001F49B2"/>
    <w:rsid w:val="001F70AD"/>
    <w:rsid w:val="001F7776"/>
    <w:rsid w:val="00201816"/>
    <w:rsid w:val="0020366E"/>
    <w:rsid w:val="00205137"/>
    <w:rsid w:val="00205890"/>
    <w:rsid w:val="00214861"/>
    <w:rsid w:val="00220244"/>
    <w:rsid w:val="00220E8F"/>
    <w:rsid w:val="002227AD"/>
    <w:rsid w:val="00222AEF"/>
    <w:rsid w:val="00223799"/>
    <w:rsid w:val="00223ADB"/>
    <w:rsid w:val="00224095"/>
    <w:rsid w:val="00230DF8"/>
    <w:rsid w:val="002319F6"/>
    <w:rsid w:val="00233A66"/>
    <w:rsid w:val="00237081"/>
    <w:rsid w:val="002400D3"/>
    <w:rsid w:val="002421E6"/>
    <w:rsid w:val="00243873"/>
    <w:rsid w:val="00245414"/>
    <w:rsid w:val="0024685E"/>
    <w:rsid w:val="00250DE0"/>
    <w:rsid w:val="0025487C"/>
    <w:rsid w:val="002554D1"/>
    <w:rsid w:val="00256551"/>
    <w:rsid w:val="00256A45"/>
    <w:rsid w:val="0025791E"/>
    <w:rsid w:val="0026257F"/>
    <w:rsid w:val="00263106"/>
    <w:rsid w:val="00264C6F"/>
    <w:rsid w:val="00272CC5"/>
    <w:rsid w:val="00275FC5"/>
    <w:rsid w:val="00276460"/>
    <w:rsid w:val="002816E7"/>
    <w:rsid w:val="00281837"/>
    <w:rsid w:val="00281EC0"/>
    <w:rsid w:val="00282213"/>
    <w:rsid w:val="0028474B"/>
    <w:rsid w:val="00284CF7"/>
    <w:rsid w:val="00285C13"/>
    <w:rsid w:val="00286C2A"/>
    <w:rsid w:val="00290E55"/>
    <w:rsid w:val="00292488"/>
    <w:rsid w:val="00294203"/>
    <w:rsid w:val="00295989"/>
    <w:rsid w:val="002A1355"/>
    <w:rsid w:val="002A4644"/>
    <w:rsid w:val="002A4BC6"/>
    <w:rsid w:val="002A6037"/>
    <w:rsid w:val="002A7362"/>
    <w:rsid w:val="002A7AE5"/>
    <w:rsid w:val="002B0A8A"/>
    <w:rsid w:val="002B421A"/>
    <w:rsid w:val="002B56FB"/>
    <w:rsid w:val="002B5B6C"/>
    <w:rsid w:val="002C0B42"/>
    <w:rsid w:val="002C414E"/>
    <w:rsid w:val="002C5F09"/>
    <w:rsid w:val="002D102C"/>
    <w:rsid w:val="002D263C"/>
    <w:rsid w:val="002D53CF"/>
    <w:rsid w:val="002D7449"/>
    <w:rsid w:val="002D7AAF"/>
    <w:rsid w:val="002E0348"/>
    <w:rsid w:val="002E0372"/>
    <w:rsid w:val="002E084C"/>
    <w:rsid w:val="002E13DC"/>
    <w:rsid w:val="002E18F9"/>
    <w:rsid w:val="002E20E8"/>
    <w:rsid w:val="002E2794"/>
    <w:rsid w:val="002E3A95"/>
    <w:rsid w:val="002E7168"/>
    <w:rsid w:val="002F2147"/>
    <w:rsid w:val="002F4F80"/>
    <w:rsid w:val="003017DB"/>
    <w:rsid w:val="00301CA6"/>
    <w:rsid w:val="0030300F"/>
    <w:rsid w:val="0030356C"/>
    <w:rsid w:val="003070D1"/>
    <w:rsid w:val="0030737E"/>
    <w:rsid w:val="00315A03"/>
    <w:rsid w:val="00316586"/>
    <w:rsid w:val="00323239"/>
    <w:rsid w:val="003278A8"/>
    <w:rsid w:val="00332953"/>
    <w:rsid w:val="0033754D"/>
    <w:rsid w:val="00340A17"/>
    <w:rsid w:val="003456D6"/>
    <w:rsid w:val="00346459"/>
    <w:rsid w:val="003562A2"/>
    <w:rsid w:val="003603B3"/>
    <w:rsid w:val="00365AB7"/>
    <w:rsid w:val="00367D7F"/>
    <w:rsid w:val="00372D33"/>
    <w:rsid w:val="00373650"/>
    <w:rsid w:val="00377118"/>
    <w:rsid w:val="00377965"/>
    <w:rsid w:val="00380C03"/>
    <w:rsid w:val="00387417"/>
    <w:rsid w:val="0039725B"/>
    <w:rsid w:val="003A0096"/>
    <w:rsid w:val="003A3A84"/>
    <w:rsid w:val="003A3CCC"/>
    <w:rsid w:val="003A4145"/>
    <w:rsid w:val="003A5A48"/>
    <w:rsid w:val="003A5AFA"/>
    <w:rsid w:val="003A6752"/>
    <w:rsid w:val="003B0B9F"/>
    <w:rsid w:val="003B0E9D"/>
    <w:rsid w:val="003B24BB"/>
    <w:rsid w:val="003B4940"/>
    <w:rsid w:val="003B4EEA"/>
    <w:rsid w:val="003B789A"/>
    <w:rsid w:val="003C0960"/>
    <w:rsid w:val="003C1E16"/>
    <w:rsid w:val="003C23FA"/>
    <w:rsid w:val="003C2712"/>
    <w:rsid w:val="003C2DCB"/>
    <w:rsid w:val="003C45B9"/>
    <w:rsid w:val="003D2163"/>
    <w:rsid w:val="003D238E"/>
    <w:rsid w:val="003D52C1"/>
    <w:rsid w:val="003D5D55"/>
    <w:rsid w:val="003D6ED3"/>
    <w:rsid w:val="003D7ADE"/>
    <w:rsid w:val="003E24E3"/>
    <w:rsid w:val="003E45F5"/>
    <w:rsid w:val="003E4B8F"/>
    <w:rsid w:val="003F0A4B"/>
    <w:rsid w:val="003F162D"/>
    <w:rsid w:val="003F2F2C"/>
    <w:rsid w:val="003F3540"/>
    <w:rsid w:val="003F37BC"/>
    <w:rsid w:val="003F6D09"/>
    <w:rsid w:val="004023F4"/>
    <w:rsid w:val="00403194"/>
    <w:rsid w:val="00406113"/>
    <w:rsid w:val="00414370"/>
    <w:rsid w:val="0041535A"/>
    <w:rsid w:val="00423DC0"/>
    <w:rsid w:val="00426BCA"/>
    <w:rsid w:val="00430016"/>
    <w:rsid w:val="00430B3E"/>
    <w:rsid w:val="004324BA"/>
    <w:rsid w:val="004336BB"/>
    <w:rsid w:val="004338DF"/>
    <w:rsid w:val="00451E70"/>
    <w:rsid w:val="0045659D"/>
    <w:rsid w:val="00460CE4"/>
    <w:rsid w:val="00460ED9"/>
    <w:rsid w:val="00461857"/>
    <w:rsid w:val="00462275"/>
    <w:rsid w:val="00464BE0"/>
    <w:rsid w:val="004700A7"/>
    <w:rsid w:val="00472C5A"/>
    <w:rsid w:val="00474569"/>
    <w:rsid w:val="004747A5"/>
    <w:rsid w:val="004748A6"/>
    <w:rsid w:val="0047575E"/>
    <w:rsid w:val="00476DFB"/>
    <w:rsid w:val="00481482"/>
    <w:rsid w:val="00481738"/>
    <w:rsid w:val="00482102"/>
    <w:rsid w:val="00482853"/>
    <w:rsid w:val="00490059"/>
    <w:rsid w:val="00492AA9"/>
    <w:rsid w:val="00493E41"/>
    <w:rsid w:val="004A0DA9"/>
    <w:rsid w:val="004A24D5"/>
    <w:rsid w:val="004A26F2"/>
    <w:rsid w:val="004A4A6E"/>
    <w:rsid w:val="004A6721"/>
    <w:rsid w:val="004A6E8E"/>
    <w:rsid w:val="004B002D"/>
    <w:rsid w:val="004B06B6"/>
    <w:rsid w:val="004B121E"/>
    <w:rsid w:val="004B4B4C"/>
    <w:rsid w:val="004B758E"/>
    <w:rsid w:val="004C1BA0"/>
    <w:rsid w:val="004C729D"/>
    <w:rsid w:val="004D2AAD"/>
    <w:rsid w:val="004D4006"/>
    <w:rsid w:val="004D579A"/>
    <w:rsid w:val="004D5C1A"/>
    <w:rsid w:val="004D5EC1"/>
    <w:rsid w:val="004D780F"/>
    <w:rsid w:val="004D78CA"/>
    <w:rsid w:val="004E1C8E"/>
    <w:rsid w:val="004E2634"/>
    <w:rsid w:val="004E3CEE"/>
    <w:rsid w:val="004E5F03"/>
    <w:rsid w:val="004F06C4"/>
    <w:rsid w:val="004F0864"/>
    <w:rsid w:val="004F7BB3"/>
    <w:rsid w:val="00501033"/>
    <w:rsid w:val="00502D97"/>
    <w:rsid w:val="00504423"/>
    <w:rsid w:val="00504F36"/>
    <w:rsid w:val="00505957"/>
    <w:rsid w:val="005121BA"/>
    <w:rsid w:val="0051222E"/>
    <w:rsid w:val="00520893"/>
    <w:rsid w:val="00520D0F"/>
    <w:rsid w:val="00522E37"/>
    <w:rsid w:val="00525031"/>
    <w:rsid w:val="00531A29"/>
    <w:rsid w:val="00532575"/>
    <w:rsid w:val="005325A4"/>
    <w:rsid w:val="0053345C"/>
    <w:rsid w:val="00534504"/>
    <w:rsid w:val="0054673F"/>
    <w:rsid w:val="00547247"/>
    <w:rsid w:val="0055080D"/>
    <w:rsid w:val="0055096F"/>
    <w:rsid w:val="00551595"/>
    <w:rsid w:val="00551A52"/>
    <w:rsid w:val="005551A7"/>
    <w:rsid w:val="00557A9F"/>
    <w:rsid w:val="005605BA"/>
    <w:rsid w:val="00560618"/>
    <w:rsid w:val="005609ED"/>
    <w:rsid w:val="00561579"/>
    <w:rsid w:val="00561B12"/>
    <w:rsid w:val="00562222"/>
    <w:rsid w:val="00562885"/>
    <w:rsid w:val="00562EAE"/>
    <w:rsid w:val="00563ACE"/>
    <w:rsid w:val="00565B7C"/>
    <w:rsid w:val="00565E06"/>
    <w:rsid w:val="00573357"/>
    <w:rsid w:val="00574604"/>
    <w:rsid w:val="00575BB6"/>
    <w:rsid w:val="00580125"/>
    <w:rsid w:val="00582BD4"/>
    <w:rsid w:val="00585193"/>
    <w:rsid w:val="005862E2"/>
    <w:rsid w:val="00591D87"/>
    <w:rsid w:val="005921F7"/>
    <w:rsid w:val="00593B4B"/>
    <w:rsid w:val="00593E16"/>
    <w:rsid w:val="00595D47"/>
    <w:rsid w:val="005A1C5D"/>
    <w:rsid w:val="005A3584"/>
    <w:rsid w:val="005A4CE3"/>
    <w:rsid w:val="005A4F25"/>
    <w:rsid w:val="005A5406"/>
    <w:rsid w:val="005A6FC5"/>
    <w:rsid w:val="005B3483"/>
    <w:rsid w:val="005B5692"/>
    <w:rsid w:val="005B61EA"/>
    <w:rsid w:val="005B692D"/>
    <w:rsid w:val="005B6E2B"/>
    <w:rsid w:val="005D1E79"/>
    <w:rsid w:val="005D2EBD"/>
    <w:rsid w:val="005D3156"/>
    <w:rsid w:val="005D44B3"/>
    <w:rsid w:val="005D69A7"/>
    <w:rsid w:val="005D7934"/>
    <w:rsid w:val="005E28A9"/>
    <w:rsid w:val="005E328B"/>
    <w:rsid w:val="005E4753"/>
    <w:rsid w:val="005E5EDE"/>
    <w:rsid w:val="005F15F3"/>
    <w:rsid w:val="005F4543"/>
    <w:rsid w:val="005F5E3D"/>
    <w:rsid w:val="00603A5F"/>
    <w:rsid w:val="006042DB"/>
    <w:rsid w:val="00611F58"/>
    <w:rsid w:val="0061400C"/>
    <w:rsid w:val="0061456F"/>
    <w:rsid w:val="0062055E"/>
    <w:rsid w:val="00620AEE"/>
    <w:rsid w:val="00627222"/>
    <w:rsid w:val="0063382C"/>
    <w:rsid w:val="0063421A"/>
    <w:rsid w:val="00634C06"/>
    <w:rsid w:val="006374CD"/>
    <w:rsid w:val="006401C8"/>
    <w:rsid w:val="00640CD1"/>
    <w:rsid w:val="00641432"/>
    <w:rsid w:val="00641FE2"/>
    <w:rsid w:val="00643151"/>
    <w:rsid w:val="006453C6"/>
    <w:rsid w:val="00645CCC"/>
    <w:rsid w:val="00647DC6"/>
    <w:rsid w:val="0065006A"/>
    <w:rsid w:val="0065159D"/>
    <w:rsid w:val="0065221F"/>
    <w:rsid w:val="00652B1B"/>
    <w:rsid w:val="006572E2"/>
    <w:rsid w:val="006608BE"/>
    <w:rsid w:val="00664B58"/>
    <w:rsid w:val="006650AB"/>
    <w:rsid w:val="00671B17"/>
    <w:rsid w:val="00672499"/>
    <w:rsid w:val="0067279A"/>
    <w:rsid w:val="006747BF"/>
    <w:rsid w:val="00675F13"/>
    <w:rsid w:val="00683CA5"/>
    <w:rsid w:val="00685100"/>
    <w:rsid w:val="006901BD"/>
    <w:rsid w:val="00691714"/>
    <w:rsid w:val="006A4575"/>
    <w:rsid w:val="006A4F8C"/>
    <w:rsid w:val="006A7CD5"/>
    <w:rsid w:val="006B363C"/>
    <w:rsid w:val="006B7113"/>
    <w:rsid w:val="006C0E81"/>
    <w:rsid w:val="006C60AD"/>
    <w:rsid w:val="006C64D2"/>
    <w:rsid w:val="006D0089"/>
    <w:rsid w:val="006D2B8F"/>
    <w:rsid w:val="006D362F"/>
    <w:rsid w:val="006D5A9E"/>
    <w:rsid w:val="006D5AE0"/>
    <w:rsid w:val="006D70C7"/>
    <w:rsid w:val="006E0769"/>
    <w:rsid w:val="006E0A89"/>
    <w:rsid w:val="006E1BD6"/>
    <w:rsid w:val="006E2455"/>
    <w:rsid w:val="006E2F3E"/>
    <w:rsid w:val="006E4A35"/>
    <w:rsid w:val="006E4BC8"/>
    <w:rsid w:val="006E5258"/>
    <w:rsid w:val="006E69FB"/>
    <w:rsid w:val="006F0181"/>
    <w:rsid w:val="006F36AB"/>
    <w:rsid w:val="006F6B39"/>
    <w:rsid w:val="00702F8A"/>
    <w:rsid w:val="0070321D"/>
    <w:rsid w:val="00706651"/>
    <w:rsid w:val="0070779B"/>
    <w:rsid w:val="00707FC5"/>
    <w:rsid w:val="0071119B"/>
    <w:rsid w:val="00715439"/>
    <w:rsid w:val="007172DE"/>
    <w:rsid w:val="00721103"/>
    <w:rsid w:val="00723F37"/>
    <w:rsid w:val="00724C04"/>
    <w:rsid w:val="00725FB4"/>
    <w:rsid w:val="00731380"/>
    <w:rsid w:val="0073209A"/>
    <w:rsid w:val="0073460D"/>
    <w:rsid w:val="00734A2F"/>
    <w:rsid w:val="00735077"/>
    <w:rsid w:val="007409F9"/>
    <w:rsid w:val="00740D22"/>
    <w:rsid w:val="007420A2"/>
    <w:rsid w:val="00743531"/>
    <w:rsid w:val="0074483D"/>
    <w:rsid w:val="00747CEB"/>
    <w:rsid w:val="00747D3D"/>
    <w:rsid w:val="00754917"/>
    <w:rsid w:val="00757C94"/>
    <w:rsid w:val="00760606"/>
    <w:rsid w:val="00760DD6"/>
    <w:rsid w:val="00761346"/>
    <w:rsid w:val="0076254E"/>
    <w:rsid w:val="00764095"/>
    <w:rsid w:val="007644B1"/>
    <w:rsid w:val="00766B79"/>
    <w:rsid w:val="007756A9"/>
    <w:rsid w:val="007806AB"/>
    <w:rsid w:val="00781AA2"/>
    <w:rsid w:val="007827BF"/>
    <w:rsid w:val="00784A22"/>
    <w:rsid w:val="00786280"/>
    <w:rsid w:val="007904DE"/>
    <w:rsid w:val="0079064C"/>
    <w:rsid w:val="00791945"/>
    <w:rsid w:val="00792BF3"/>
    <w:rsid w:val="00793E1E"/>
    <w:rsid w:val="007943CC"/>
    <w:rsid w:val="00796B56"/>
    <w:rsid w:val="007970D1"/>
    <w:rsid w:val="007A01B0"/>
    <w:rsid w:val="007A0990"/>
    <w:rsid w:val="007A71E8"/>
    <w:rsid w:val="007A7DFC"/>
    <w:rsid w:val="007B025F"/>
    <w:rsid w:val="007B1A8F"/>
    <w:rsid w:val="007B4303"/>
    <w:rsid w:val="007B54C6"/>
    <w:rsid w:val="007B5670"/>
    <w:rsid w:val="007B6191"/>
    <w:rsid w:val="007B68D2"/>
    <w:rsid w:val="007C41F5"/>
    <w:rsid w:val="007D02EE"/>
    <w:rsid w:val="007D3A68"/>
    <w:rsid w:val="007D3D11"/>
    <w:rsid w:val="007D44E3"/>
    <w:rsid w:val="007D6B77"/>
    <w:rsid w:val="007E12AA"/>
    <w:rsid w:val="007E1D86"/>
    <w:rsid w:val="007E6ECF"/>
    <w:rsid w:val="007F3671"/>
    <w:rsid w:val="007F402C"/>
    <w:rsid w:val="007F40E3"/>
    <w:rsid w:val="007F44A3"/>
    <w:rsid w:val="007F6522"/>
    <w:rsid w:val="007F77C1"/>
    <w:rsid w:val="00800A14"/>
    <w:rsid w:val="00801745"/>
    <w:rsid w:val="008019E0"/>
    <w:rsid w:val="00801F23"/>
    <w:rsid w:val="0080371F"/>
    <w:rsid w:val="00803AB4"/>
    <w:rsid w:val="008045D9"/>
    <w:rsid w:val="00805B0B"/>
    <w:rsid w:val="00807EA0"/>
    <w:rsid w:val="0081182E"/>
    <w:rsid w:val="0081488E"/>
    <w:rsid w:val="0081732B"/>
    <w:rsid w:val="00820E4B"/>
    <w:rsid w:val="008248B5"/>
    <w:rsid w:val="00824B94"/>
    <w:rsid w:val="008255D3"/>
    <w:rsid w:val="00831F70"/>
    <w:rsid w:val="0083318F"/>
    <w:rsid w:val="008338E8"/>
    <w:rsid w:val="00833DED"/>
    <w:rsid w:val="008361C8"/>
    <w:rsid w:val="008426EA"/>
    <w:rsid w:val="008427C5"/>
    <w:rsid w:val="00845E40"/>
    <w:rsid w:val="008469E4"/>
    <w:rsid w:val="00847015"/>
    <w:rsid w:val="008474D4"/>
    <w:rsid w:val="008479F4"/>
    <w:rsid w:val="00852FEC"/>
    <w:rsid w:val="00854DA0"/>
    <w:rsid w:val="00855AE3"/>
    <w:rsid w:val="00855F85"/>
    <w:rsid w:val="00860524"/>
    <w:rsid w:val="00860726"/>
    <w:rsid w:val="0086146C"/>
    <w:rsid w:val="00862B38"/>
    <w:rsid w:val="00862F0E"/>
    <w:rsid w:val="008632B3"/>
    <w:rsid w:val="00864873"/>
    <w:rsid w:val="00864F1E"/>
    <w:rsid w:val="008679BB"/>
    <w:rsid w:val="00870480"/>
    <w:rsid w:val="0087138A"/>
    <w:rsid w:val="008717A6"/>
    <w:rsid w:val="00872545"/>
    <w:rsid w:val="0087442F"/>
    <w:rsid w:val="008757EF"/>
    <w:rsid w:val="00876D3D"/>
    <w:rsid w:val="00881AC1"/>
    <w:rsid w:val="00892309"/>
    <w:rsid w:val="00894499"/>
    <w:rsid w:val="00894DA6"/>
    <w:rsid w:val="00895C17"/>
    <w:rsid w:val="00897049"/>
    <w:rsid w:val="008A0302"/>
    <w:rsid w:val="008A149E"/>
    <w:rsid w:val="008A14AD"/>
    <w:rsid w:val="008A47E7"/>
    <w:rsid w:val="008B090D"/>
    <w:rsid w:val="008B27C9"/>
    <w:rsid w:val="008B4D79"/>
    <w:rsid w:val="008B510F"/>
    <w:rsid w:val="008B5D24"/>
    <w:rsid w:val="008C0176"/>
    <w:rsid w:val="008C13C5"/>
    <w:rsid w:val="008C2341"/>
    <w:rsid w:val="008C5DAD"/>
    <w:rsid w:val="008D0CF5"/>
    <w:rsid w:val="008D3E4B"/>
    <w:rsid w:val="008D4930"/>
    <w:rsid w:val="008D4FA2"/>
    <w:rsid w:val="008D5D08"/>
    <w:rsid w:val="008D65F1"/>
    <w:rsid w:val="008E04B1"/>
    <w:rsid w:val="008E0EED"/>
    <w:rsid w:val="008E6549"/>
    <w:rsid w:val="008E666F"/>
    <w:rsid w:val="008E789A"/>
    <w:rsid w:val="008F6FAD"/>
    <w:rsid w:val="0090584E"/>
    <w:rsid w:val="00906129"/>
    <w:rsid w:val="00910A37"/>
    <w:rsid w:val="00914765"/>
    <w:rsid w:val="009162C4"/>
    <w:rsid w:val="009169CB"/>
    <w:rsid w:val="00917296"/>
    <w:rsid w:val="00922989"/>
    <w:rsid w:val="00922D73"/>
    <w:rsid w:val="00922E48"/>
    <w:rsid w:val="009250F1"/>
    <w:rsid w:val="00930D5C"/>
    <w:rsid w:val="00931630"/>
    <w:rsid w:val="009330B1"/>
    <w:rsid w:val="0093370B"/>
    <w:rsid w:val="009342AB"/>
    <w:rsid w:val="00934CA9"/>
    <w:rsid w:val="00935995"/>
    <w:rsid w:val="00937736"/>
    <w:rsid w:val="00940A96"/>
    <w:rsid w:val="00943461"/>
    <w:rsid w:val="0094359B"/>
    <w:rsid w:val="00950703"/>
    <w:rsid w:val="00953DC5"/>
    <w:rsid w:val="009576B8"/>
    <w:rsid w:val="00964243"/>
    <w:rsid w:val="009660E9"/>
    <w:rsid w:val="009668D0"/>
    <w:rsid w:val="0097061C"/>
    <w:rsid w:val="0097134A"/>
    <w:rsid w:val="0097295D"/>
    <w:rsid w:val="00973C51"/>
    <w:rsid w:val="009746F9"/>
    <w:rsid w:val="00977313"/>
    <w:rsid w:val="00977BBF"/>
    <w:rsid w:val="00980DF6"/>
    <w:rsid w:val="0098376F"/>
    <w:rsid w:val="00983BF3"/>
    <w:rsid w:val="00983D28"/>
    <w:rsid w:val="009869C0"/>
    <w:rsid w:val="00990069"/>
    <w:rsid w:val="00992476"/>
    <w:rsid w:val="00993A19"/>
    <w:rsid w:val="00994ED6"/>
    <w:rsid w:val="00995055"/>
    <w:rsid w:val="009974EA"/>
    <w:rsid w:val="009A073B"/>
    <w:rsid w:val="009A11C7"/>
    <w:rsid w:val="009A1CA7"/>
    <w:rsid w:val="009A26DE"/>
    <w:rsid w:val="009A704C"/>
    <w:rsid w:val="009A7C25"/>
    <w:rsid w:val="009B31DC"/>
    <w:rsid w:val="009B5EBD"/>
    <w:rsid w:val="009B7ABF"/>
    <w:rsid w:val="009C0685"/>
    <w:rsid w:val="009C200D"/>
    <w:rsid w:val="009C289A"/>
    <w:rsid w:val="009C2ED5"/>
    <w:rsid w:val="009C4B8F"/>
    <w:rsid w:val="009C637B"/>
    <w:rsid w:val="009D093D"/>
    <w:rsid w:val="009D1A97"/>
    <w:rsid w:val="009D1DE3"/>
    <w:rsid w:val="009D515D"/>
    <w:rsid w:val="009E1C4D"/>
    <w:rsid w:val="009E358B"/>
    <w:rsid w:val="009F1C6B"/>
    <w:rsid w:val="00A003C0"/>
    <w:rsid w:val="00A067B5"/>
    <w:rsid w:val="00A06D10"/>
    <w:rsid w:val="00A06D85"/>
    <w:rsid w:val="00A10C03"/>
    <w:rsid w:val="00A12920"/>
    <w:rsid w:val="00A132E2"/>
    <w:rsid w:val="00A157C5"/>
    <w:rsid w:val="00A15B47"/>
    <w:rsid w:val="00A201C8"/>
    <w:rsid w:val="00A23C7E"/>
    <w:rsid w:val="00A24467"/>
    <w:rsid w:val="00A24FD3"/>
    <w:rsid w:val="00A25510"/>
    <w:rsid w:val="00A30577"/>
    <w:rsid w:val="00A321A1"/>
    <w:rsid w:val="00A32795"/>
    <w:rsid w:val="00A32EB8"/>
    <w:rsid w:val="00A35760"/>
    <w:rsid w:val="00A375D8"/>
    <w:rsid w:val="00A43460"/>
    <w:rsid w:val="00A5051D"/>
    <w:rsid w:val="00A52059"/>
    <w:rsid w:val="00A52A22"/>
    <w:rsid w:val="00A54B94"/>
    <w:rsid w:val="00A572D5"/>
    <w:rsid w:val="00A60152"/>
    <w:rsid w:val="00A609B2"/>
    <w:rsid w:val="00A62711"/>
    <w:rsid w:val="00A63B17"/>
    <w:rsid w:val="00A67935"/>
    <w:rsid w:val="00A67D16"/>
    <w:rsid w:val="00A705FB"/>
    <w:rsid w:val="00A72160"/>
    <w:rsid w:val="00A747A6"/>
    <w:rsid w:val="00A74898"/>
    <w:rsid w:val="00A8271E"/>
    <w:rsid w:val="00A83766"/>
    <w:rsid w:val="00A8476B"/>
    <w:rsid w:val="00A84B9E"/>
    <w:rsid w:val="00A8550F"/>
    <w:rsid w:val="00A93B56"/>
    <w:rsid w:val="00A96868"/>
    <w:rsid w:val="00AA0C91"/>
    <w:rsid w:val="00AA2891"/>
    <w:rsid w:val="00AA5DB0"/>
    <w:rsid w:val="00AA5EBF"/>
    <w:rsid w:val="00AA64CF"/>
    <w:rsid w:val="00AA7921"/>
    <w:rsid w:val="00AC04A5"/>
    <w:rsid w:val="00AC7DB4"/>
    <w:rsid w:val="00AD25F8"/>
    <w:rsid w:val="00AD40DD"/>
    <w:rsid w:val="00AD6427"/>
    <w:rsid w:val="00AD7C58"/>
    <w:rsid w:val="00AE46AE"/>
    <w:rsid w:val="00AE519A"/>
    <w:rsid w:val="00AF2B82"/>
    <w:rsid w:val="00AF2D28"/>
    <w:rsid w:val="00B03111"/>
    <w:rsid w:val="00B036E7"/>
    <w:rsid w:val="00B0507C"/>
    <w:rsid w:val="00B05AF1"/>
    <w:rsid w:val="00B060D4"/>
    <w:rsid w:val="00B06438"/>
    <w:rsid w:val="00B13283"/>
    <w:rsid w:val="00B17413"/>
    <w:rsid w:val="00B21605"/>
    <w:rsid w:val="00B2383C"/>
    <w:rsid w:val="00B3301D"/>
    <w:rsid w:val="00B351AF"/>
    <w:rsid w:val="00B356A1"/>
    <w:rsid w:val="00B416F2"/>
    <w:rsid w:val="00B41AB1"/>
    <w:rsid w:val="00B42753"/>
    <w:rsid w:val="00B427C8"/>
    <w:rsid w:val="00B44CC0"/>
    <w:rsid w:val="00B45C37"/>
    <w:rsid w:val="00B46DEC"/>
    <w:rsid w:val="00B52B5A"/>
    <w:rsid w:val="00B550C0"/>
    <w:rsid w:val="00B60F7D"/>
    <w:rsid w:val="00B61CDB"/>
    <w:rsid w:val="00B6218D"/>
    <w:rsid w:val="00B62C75"/>
    <w:rsid w:val="00B63847"/>
    <w:rsid w:val="00B64529"/>
    <w:rsid w:val="00B72F6A"/>
    <w:rsid w:val="00B731E8"/>
    <w:rsid w:val="00B75A6C"/>
    <w:rsid w:val="00B76173"/>
    <w:rsid w:val="00B80B64"/>
    <w:rsid w:val="00B838F0"/>
    <w:rsid w:val="00B914A1"/>
    <w:rsid w:val="00B9487F"/>
    <w:rsid w:val="00BA04E3"/>
    <w:rsid w:val="00BA1679"/>
    <w:rsid w:val="00BA19DB"/>
    <w:rsid w:val="00BA207E"/>
    <w:rsid w:val="00BA547C"/>
    <w:rsid w:val="00BB06C5"/>
    <w:rsid w:val="00BB0747"/>
    <w:rsid w:val="00BB17B4"/>
    <w:rsid w:val="00BB3A6A"/>
    <w:rsid w:val="00BB55B3"/>
    <w:rsid w:val="00BB598B"/>
    <w:rsid w:val="00BB5B35"/>
    <w:rsid w:val="00BC23D2"/>
    <w:rsid w:val="00BC24DA"/>
    <w:rsid w:val="00BC78F3"/>
    <w:rsid w:val="00BD0C26"/>
    <w:rsid w:val="00BD18C4"/>
    <w:rsid w:val="00BD316D"/>
    <w:rsid w:val="00BD6642"/>
    <w:rsid w:val="00BD6FC1"/>
    <w:rsid w:val="00BE085D"/>
    <w:rsid w:val="00BE129A"/>
    <w:rsid w:val="00BE1CDE"/>
    <w:rsid w:val="00BE4CD1"/>
    <w:rsid w:val="00BE53D1"/>
    <w:rsid w:val="00BF028D"/>
    <w:rsid w:val="00BF5F80"/>
    <w:rsid w:val="00BF694C"/>
    <w:rsid w:val="00C00CD0"/>
    <w:rsid w:val="00C016AE"/>
    <w:rsid w:val="00C0362E"/>
    <w:rsid w:val="00C05375"/>
    <w:rsid w:val="00C07408"/>
    <w:rsid w:val="00C07EE1"/>
    <w:rsid w:val="00C11A93"/>
    <w:rsid w:val="00C125E0"/>
    <w:rsid w:val="00C141E2"/>
    <w:rsid w:val="00C1437E"/>
    <w:rsid w:val="00C15E8D"/>
    <w:rsid w:val="00C16D36"/>
    <w:rsid w:val="00C224AC"/>
    <w:rsid w:val="00C247D2"/>
    <w:rsid w:val="00C24A76"/>
    <w:rsid w:val="00C25461"/>
    <w:rsid w:val="00C277DA"/>
    <w:rsid w:val="00C27C4D"/>
    <w:rsid w:val="00C31488"/>
    <w:rsid w:val="00C3173E"/>
    <w:rsid w:val="00C33B83"/>
    <w:rsid w:val="00C360C4"/>
    <w:rsid w:val="00C40402"/>
    <w:rsid w:val="00C428DA"/>
    <w:rsid w:val="00C435E3"/>
    <w:rsid w:val="00C44079"/>
    <w:rsid w:val="00C45DE9"/>
    <w:rsid w:val="00C467E1"/>
    <w:rsid w:val="00C56B4E"/>
    <w:rsid w:val="00C6055F"/>
    <w:rsid w:val="00C613C5"/>
    <w:rsid w:val="00C61D06"/>
    <w:rsid w:val="00C6309C"/>
    <w:rsid w:val="00C653D5"/>
    <w:rsid w:val="00C65FC9"/>
    <w:rsid w:val="00C66AC1"/>
    <w:rsid w:val="00C67199"/>
    <w:rsid w:val="00C71C7F"/>
    <w:rsid w:val="00C73A83"/>
    <w:rsid w:val="00C73E55"/>
    <w:rsid w:val="00C75E95"/>
    <w:rsid w:val="00C76EFE"/>
    <w:rsid w:val="00C77DED"/>
    <w:rsid w:val="00C83329"/>
    <w:rsid w:val="00C83A71"/>
    <w:rsid w:val="00C83F59"/>
    <w:rsid w:val="00C9217F"/>
    <w:rsid w:val="00CA009E"/>
    <w:rsid w:val="00CA0F73"/>
    <w:rsid w:val="00CA5329"/>
    <w:rsid w:val="00CB32A3"/>
    <w:rsid w:val="00CB430B"/>
    <w:rsid w:val="00CC120C"/>
    <w:rsid w:val="00CC275F"/>
    <w:rsid w:val="00CC2809"/>
    <w:rsid w:val="00CC347E"/>
    <w:rsid w:val="00CC3FC0"/>
    <w:rsid w:val="00CC4058"/>
    <w:rsid w:val="00CC5C74"/>
    <w:rsid w:val="00CD133B"/>
    <w:rsid w:val="00CD39C5"/>
    <w:rsid w:val="00CD56B6"/>
    <w:rsid w:val="00CD6D64"/>
    <w:rsid w:val="00CE0F4A"/>
    <w:rsid w:val="00CE1BE0"/>
    <w:rsid w:val="00CE23C1"/>
    <w:rsid w:val="00CE2FDF"/>
    <w:rsid w:val="00CE46D7"/>
    <w:rsid w:val="00CF0193"/>
    <w:rsid w:val="00CF09C0"/>
    <w:rsid w:val="00CF33BB"/>
    <w:rsid w:val="00CF35F1"/>
    <w:rsid w:val="00D00E83"/>
    <w:rsid w:val="00D0102B"/>
    <w:rsid w:val="00D01A65"/>
    <w:rsid w:val="00D01C9C"/>
    <w:rsid w:val="00D03BF4"/>
    <w:rsid w:val="00D03EC2"/>
    <w:rsid w:val="00D103FA"/>
    <w:rsid w:val="00D11454"/>
    <w:rsid w:val="00D168D9"/>
    <w:rsid w:val="00D205D0"/>
    <w:rsid w:val="00D23EF1"/>
    <w:rsid w:val="00D30B08"/>
    <w:rsid w:val="00D3680A"/>
    <w:rsid w:val="00D36A70"/>
    <w:rsid w:val="00D41383"/>
    <w:rsid w:val="00D41938"/>
    <w:rsid w:val="00D45CC1"/>
    <w:rsid w:val="00D51573"/>
    <w:rsid w:val="00D55F46"/>
    <w:rsid w:val="00D63F22"/>
    <w:rsid w:val="00D63F5C"/>
    <w:rsid w:val="00D660A2"/>
    <w:rsid w:val="00D717FC"/>
    <w:rsid w:val="00D71E66"/>
    <w:rsid w:val="00D73801"/>
    <w:rsid w:val="00D76188"/>
    <w:rsid w:val="00D8189C"/>
    <w:rsid w:val="00D81A52"/>
    <w:rsid w:val="00D85AE8"/>
    <w:rsid w:val="00D875DF"/>
    <w:rsid w:val="00D91A80"/>
    <w:rsid w:val="00D92DE7"/>
    <w:rsid w:val="00D936E8"/>
    <w:rsid w:val="00D95DC3"/>
    <w:rsid w:val="00DA28BF"/>
    <w:rsid w:val="00DA37F3"/>
    <w:rsid w:val="00DA5A51"/>
    <w:rsid w:val="00DA755E"/>
    <w:rsid w:val="00DB12B0"/>
    <w:rsid w:val="00DB37B5"/>
    <w:rsid w:val="00DB67F5"/>
    <w:rsid w:val="00DC18EB"/>
    <w:rsid w:val="00DC26F7"/>
    <w:rsid w:val="00DD2897"/>
    <w:rsid w:val="00DD3C18"/>
    <w:rsid w:val="00DD5F2F"/>
    <w:rsid w:val="00DE16A2"/>
    <w:rsid w:val="00DE2386"/>
    <w:rsid w:val="00DE25C5"/>
    <w:rsid w:val="00DE3630"/>
    <w:rsid w:val="00DE3D11"/>
    <w:rsid w:val="00DE6554"/>
    <w:rsid w:val="00DE715C"/>
    <w:rsid w:val="00DF1D68"/>
    <w:rsid w:val="00DF4507"/>
    <w:rsid w:val="00DF6A24"/>
    <w:rsid w:val="00DF7513"/>
    <w:rsid w:val="00E03373"/>
    <w:rsid w:val="00E04A5C"/>
    <w:rsid w:val="00E04E19"/>
    <w:rsid w:val="00E06BD7"/>
    <w:rsid w:val="00E07CC1"/>
    <w:rsid w:val="00E131B9"/>
    <w:rsid w:val="00E13AB5"/>
    <w:rsid w:val="00E14EF5"/>
    <w:rsid w:val="00E17A4F"/>
    <w:rsid w:val="00E219FE"/>
    <w:rsid w:val="00E2260C"/>
    <w:rsid w:val="00E23447"/>
    <w:rsid w:val="00E23994"/>
    <w:rsid w:val="00E25346"/>
    <w:rsid w:val="00E271B2"/>
    <w:rsid w:val="00E300D0"/>
    <w:rsid w:val="00E309E8"/>
    <w:rsid w:val="00E30A8D"/>
    <w:rsid w:val="00E3139F"/>
    <w:rsid w:val="00E33496"/>
    <w:rsid w:val="00E34ED7"/>
    <w:rsid w:val="00E35310"/>
    <w:rsid w:val="00E355B6"/>
    <w:rsid w:val="00E405CB"/>
    <w:rsid w:val="00E46723"/>
    <w:rsid w:val="00E51A62"/>
    <w:rsid w:val="00E521D0"/>
    <w:rsid w:val="00E52DD9"/>
    <w:rsid w:val="00E555DF"/>
    <w:rsid w:val="00E55707"/>
    <w:rsid w:val="00E60C28"/>
    <w:rsid w:val="00E631E6"/>
    <w:rsid w:val="00E64BA1"/>
    <w:rsid w:val="00E66C24"/>
    <w:rsid w:val="00E76836"/>
    <w:rsid w:val="00E76E6E"/>
    <w:rsid w:val="00E77E8D"/>
    <w:rsid w:val="00E8331C"/>
    <w:rsid w:val="00E84027"/>
    <w:rsid w:val="00E93FF1"/>
    <w:rsid w:val="00EA418A"/>
    <w:rsid w:val="00EA6171"/>
    <w:rsid w:val="00EB002A"/>
    <w:rsid w:val="00EB1A0C"/>
    <w:rsid w:val="00EB3502"/>
    <w:rsid w:val="00EB5586"/>
    <w:rsid w:val="00EC0230"/>
    <w:rsid w:val="00EC03AF"/>
    <w:rsid w:val="00EC0868"/>
    <w:rsid w:val="00EC2518"/>
    <w:rsid w:val="00EC3855"/>
    <w:rsid w:val="00EC59AF"/>
    <w:rsid w:val="00EC7A60"/>
    <w:rsid w:val="00ED31E4"/>
    <w:rsid w:val="00ED7931"/>
    <w:rsid w:val="00EE1D4F"/>
    <w:rsid w:val="00EE5792"/>
    <w:rsid w:val="00EE5D91"/>
    <w:rsid w:val="00EF5D2C"/>
    <w:rsid w:val="00EF6FC9"/>
    <w:rsid w:val="00F0248C"/>
    <w:rsid w:val="00F0363F"/>
    <w:rsid w:val="00F111F2"/>
    <w:rsid w:val="00F16508"/>
    <w:rsid w:val="00F209A6"/>
    <w:rsid w:val="00F212C5"/>
    <w:rsid w:val="00F23574"/>
    <w:rsid w:val="00F23F8F"/>
    <w:rsid w:val="00F241D2"/>
    <w:rsid w:val="00F24C1C"/>
    <w:rsid w:val="00F24D7A"/>
    <w:rsid w:val="00F26B4D"/>
    <w:rsid w:val="00F30967"/>
    <w:rsid w:val="00F34656"/>
    <w:rsid w:val="00F3542D"/>
    <w:rsid w:val="00F37305"/>
    <w:rsid w:val="00F42747"/>
    <w:rsid w:val="00F47290"/>
    <w:rsid w:val="00F52C51"/>
    <w:rsid w:val="00F5343B"/>
    <w:rsid w:val="00F5373E"/>
    <w:rsid w:val="00F55D6D"/>
    <w:rsid w:val="00F56873"/>
    <w:rsid w:val="00F56A50"/>
    <w:rsid w:val="00F656C7"/>
    <w:rsid w:val="00F70613"/>
    <w:rsid w:val="00F711A6"/>
    <w:rsid w:val="00F739E5"/>
    <w:rsid w:val="00F7437F"/>
    <w:rsid w:val="00F75A74"/>
    <w:rsid w:val="00F76A7D"/>
    <w:rsid w:val="00F778F3"/>
    <w:rsid w:val="00F80845"/>
    <w:rsid w:val="00F841DC"/>
    <w:rsid w:val="00F865D4"/>
    <w:rsid w:val="00F86D27"/>
    <w:rsid w:val="00F90136"/>
    <w:rsid w:val="00F92F21"/>
    <w:rsid w:val="00F94201"/>
    <w:rsid w:val="00F9787F"/>
    <w:rsid w:val="00FA0B45"/>
    <w:rsid w:val="00FA17D2"/>
    <w:rsid w:val="00FA34D4"/>
    <w:rsid w:val="00FA3AA2"/>
    <w:rsid w:val="00FA562B"/>
    <w:rsid w:val="00FB09C9"/>
    <w:rsid w:val="00FB1FAE"/>
    <w:rsid w:val="00FB2293"/>
    <w:rsid w:val="00FB2655"/>
    <w:rsid w:val="00FB44E8"/>
    <w:rsid w:val="00FB6683"/>
    <w:rsid w:val="00FC2155"/>
    <w:rsid w:val="00FC2EB3"/>
    <w:rsid w:val="00FC3A3E"/>
    <w:rsid w:val="00FC5047"/>
    <w:rsid w:val="00FC53D6"/>
    <w:rsid w:val="00FD63FF"/>
    <w:rsid w:val="00FD6BE0"/>
    <w:rsid w:val="00FE02AF"/>
    <w:rsid w:val="00FE2246"/>
    <w:rsid w:val="00FE2C9B"/>
    <w:rsid w:val="00FE628A"/>
    <w:rsid w:val="00FF4C0A"/>
    <w:rsid w:val="00FF5265"/>
    <w:rsid w:val="0106892E"/>
    <w:rsid w:val="0193EE52"/>
    <w:rsid w:val="01CD0172"/>
    <w:rsid w:val="01F86B5D"/>
    <w:rsid w:val="024B12B0"/>
    <w:rsid w:val="02B0BCF1"/>
    <w:rsid w:val="02F45DC4"/>
    <w:rsid w:val="04E5441D"/>
    <w:rsid w:val="051828DD"/>
    <w:rsid w:val="052DB611"/>
    <w:rsid w:val="055B66C5"/>
    <w:rsid w:val="056413ED"/>
    <w:rsid w:val="059BBDF0"/>
    <w:rsid w:val="05CF68F3"/>
    <w:rsid w:val="05E3234F"/>
    <w:rsid w:val="06B00749"/>
    <w:rsid w:val="0726725E"/>
    <w:rsid w:val="073F9373"/>
    <w:rsid w:val="0768C7F0"/>
    <w:rsid w:val="07EBC6DE"/>
    <w:rsid w:val="08149620"/>
    <w:rsid w:val="083C42F6"/>
    <w:rsid w:val="0844B112"/>
    <w:rsid w:val="08451DF5"/>
    <w:rsid w:val="08B013A4"/>
    <w:rsid w:val="0915C4C7"/>
    <w:rsid w:val="0ABF627D"/>
    <w:rsid w:val="0B41BB37"/>
    <w:rsid w:val="0B78D2D2"/>
    <w:rsid w:val="0BE7B466"/>
    <w:rsid w:val="0D7ED607"/>
    <w:rsid w:val="0D82E69C"/>
    <w:rsid w:val="0E668D8B"/>
    <w:rsid w:val="0E83C08E"/>
    <w:rsid w:val="0EB1F399"/>
    <w:rsid w:val="0FE3E755"/>
    <w:rsid w:val="115B4C94"/>
    <w:rsid w:val="118D3EF6"/>
    <w:rsid w:val="119E2E4D"/>
    <w:rsid w:val="130FBBFD"/>
    <w:rsid w:val="1314B7B5"/>
    <w:rsid w:val="14261F25"/>
    <w:rsid w:val="14D5CF0F"/>
    <w:rsid w:val="14F05167"/>
    <w:rsid w:val="15CC85C3"/>
    <w:rsid w:val="1603BEB6"/>
    <w:rsid w:val="17323DC3"/>
    <w:rsid w:val="173ED10E"/>
    <w:rsid w:val="182EBC42"/>
    <w:rsid w:val="18874BC6"/>
    <w:rsid w:val="192D0156"/>
    <w:rsid w:val="19386DF0"/>
    <w:rsid w:val="1A1AE5D1"/>
    <w:rsid w:val="1A64CE37"/>
    <w:rsid w:val="1A6C9DF2"/>
    <w:rsid w:val="1B020869"/>
    <w:rsid w:val="1B6A7101"/>
    <w:rsid w:val="1BDD76C1"/>
    <w:rsid w:val="1BEF8E24"/>
    <w:rsid w:val="1D27116B"/>
    <w:rsid w:val="1D3ED3C0"/>
    <w:rsid w:val="1D635C36"/>
    <w:rsid w:val="1D8B6D64"/>
    <w:rsid w:val="1E007279"/>
    <w:rsid w:val="1E3C7028"/>
    <w:rsid w:val="1EA5C998"/>
    <w:rsid w:val="1EFBB353"/>
    <w:rsid w:val="20B4FAE2"/>
    <w:rsid w:val="22CCD061"/>
    <w:rsid w:val="22E41818"/>
    <w:rsid w:val="231B4E40"/>
    <w:rsid w:val="23396E26"/>
    <w:rsid w:val="2347B44A"/>
    <w:rsid w:val="239C078D"/>
    <w:rsid w:val="24D0A45B"/>
    <w:rsid w:val="24DC8902"/>
    <w:rsid w:val="24E0517C"/>
    <w:rsid w:val="254B18DC"/>
    <w:rsid w:val="2593F7C0"/>
    <w:rsid w:val="26A32BD6"/>
    <w:rsid w:val="279EE16A"/>
    <w:rsid w:val="27C48386"/>
    <w:rsid w:val="27C9D0A5"/>
    <w:rsid w:val="2826AA15"/>
    <w:rsid w:val="2906B135"/>
    <w:rsid w:val="29927112"/>
    <w:rsid w:val="29CDBC11"/>
    <w:rsid w:val="2B339E48"/>
    <w:rsid w:val="2CA5A078"/>
    <w:rsid w:val="2D4C140C"/>
    <w:rsid w:val="2EE25C77"/>
    <w:rsid w:val="2F6D6FB5"/>
    <w:rsid w:val="2FC05C5F"/>
    <w:rsid w:val="302ED756"/>
    <w:rsid w:val="31869C60"/>
    <w:rsid w:val="3298DE2F"/>
    <w:rsid w:val="332E7175"/>
    <w:rsid w:val="33582EA5"/>
    <w:rsid w:val="34401BD4"/>
    <w:rsid w:val="3459010C"/>
    <w:rsid w:val="37316322"/>
    <w:rsid w:val="374B6817"/>
    <w:rsid w:val="37AC3DB2"/>
    <w:rsid w:val="380F225B"/>
    <w:rsid w:val="3829E7EC"/>
    <w:rsid w:val="38E5823F"/>
    <w:rsid w:val="38F437FC"/>
    <w:rsid w:val="395A8272"/>
    <w:rsid w:val="39BBC7F1"/>
    <w:rsid w:val="3A7D9FCC"/>
    <w:rsid w:val="3ABF03EA"/>
    <w:rsid w:val="3ACADE50"/>
    <w:rsid w:val="3AD987E4"/>
    <w:rsid w:val="3B0DDAAC"/>
    <w:rsid w:val="3B16D65E"/>
    <w:rsid w:val="3B4316E9"/>
    <w:rsid w:val="3B92583C"/>
    <w:rsid w:val="3BE97E4E"/>
    <w:rsid w:val="3BFEE61E"/>
    <w:rsid w:val="3C44A9FD"/>
    <w:rsid w:val="3C65EAA0"/>
    <w:rsid w:val="3CF368B3"/>
    <w:rsid w:val="3D2EA141"/>
    <w:rsid w:val="3D50A0BB"/>
    <w:rsid w:val="3D9453DF"/>
    <w:rsid w:val="3DB15012"/>
    <w:rsid w:val="3DB5408E"/>
    <w:rsid w:val="3DF7CBB9"/>
    <w:rsid w:val="3E0C508D"/>
    <w:rsid w:val="3E75DB33"/>
    <w:rsid w:val="3EB26D35"/>
    <w:rsid w:val="3F4B8CDC"/>
    <w:rsid w:val="3FB74F97"/>
    <w:rsid w:val="4038D383"/>
    <w:rsid w:val="406477CA"/>
    <w:rsid w:val="40A460D6"/>
    <w:rsid w:val="41E69435"/>
    <w:rsid w:val="4288B1B1"/>
    <w:rsid w:val="441E349A"/>
    <w:rsid w:val="45677895"/>
    <w:rsid w:val="4578A4BA"/>
    <w:rsid w:val="4579FA86"/>
    <w:rsid w:val="461A527D"/>
    <w:rsid w:val="467AEC80"/>
    <w:rsid w:val="4721C29F"/>
    <w:rsid w:val="47F68F86"/>
    <w:rsid w:val="4820072F"/>
    <w:rsid w:val="493C2CF0"/>
    <w:rsid w:val="49BBD790"/>
    <w:rsid w:val="4A3CA139"/>
    <w:rsid w:val="4A51F4D0"/>
    <w:rsid w:val="4B99E360"/>
    <w:rsid w:val="4C50DBB0"/>
    <w:rsid w:val="4CBF20EE"/>
    <w:rsid w:val="4CDD3E01"/>
    <w:rsid w:val="4D591778"/>
    <w:rsid w:val="4DFF0D41"/>
    <w:rsid w:val="4EB73AC0"/>
    <w:rsid w:val="4EE05B04"/>
    <w:rsid w:val="4EE613A7"/>
    <w:rsid w:val="4F878A03"/>
    <w:rsid w:val="4F92E788"/>
    <w:rsid w:val="4FA2250F"/>
    <w:rsid w:val="5034CB51"/>
    <w:rsid w:val="5047D57B"/>
    <w:rsid w:val="507DE426"/>
    <w:rsid w:val="50A3864F"/>
    <w:rsid w:val="510F8086"/>
    <w:rsid w:val="5120FE6D"/>
    <w:rsid w:val="51287335"/>
    <w:rsid w:val="51E70D0F"/>
    <w:rsid w:val="5280C083"/>
    <w:rsid w:val="53428C23"/>
    <w:rsid w:val="535A0882"/>
    <w:rsid w:val="5456D19A"/>
    <w:rsid w:val="55BE377D"/>
    <w:rsid w:val="571547F4"/>
    <w:rsid w:val="57542DF7"/>
    <w:rsid w:val="57A649F3"/>
    <w:rsid w:val="57D2F64B"/>
    <w:rsid w:val="57EBEDEE"/>
    <w:rsid w:val="5848F0B8"/>
    <w:rsid w:val="58583788"/>
    <w:rsid w:val="58B3F4BD"/>
    <w:rsid w:val="5908C1A6"/>
    <w:rsid w:val="59449095"/>
    <w:rsid w:val="5946E2F8"/>
    <w:rsid w:val="59C66614"/>
    <w:rsid w:val="59C6D192"/>
    <w:rsid w:val="5E3573EC"/>
    <w:rsid w:val="5E46A979"/>
    <w:rsid w:val="5F6C1DAC"/>
    <w:rsid w:val="5FEC96A5"/>
    <w:rsid w:val="600EF684"/>
    <w:rsid w:val="60CCEF6D"/>
    <w:rsid w:val="60D6FEAF"/>
    <w:rsid w:val="60F83658"/>
    <w:rsid w:val="6107EE0D"/>
    <w:rsid w:val="615BF603"/>
    <w:rsid w:val="62150B33"/>
    <w:rsid w:val="62746407"/>
    <w:rsid w:val="6290FB93"/>
    <w:rsid w:val="62B45E2C"/>
    <w:rsid w:val="6300C5A0"/>
    <w:rsid w:val="634F7EB3"/>
    <w:rsid w:val="639A87DA"/>
    <w:rsid w:val="643893D1"/>
    <w:rsid w:val="652EB9F4"/>
    <w:rsid w:val="654CE2B4"/>
    <w:rsid w:val="660D4A48"/>
    <w:rsid w:val="6638B7E2"/>
    <w:rsid w:val="67AA0239"/>
    <w:rsid w:val="683719C6"/>
    <w:rsid w:val="6882B6E8"/>
    <w:rsid w:val="68E94C2C"/>
    <w:rsid w:val="691B41FB"/>
    <w:rsid w:val="69D48CEC"/>
    <w:rsid w:val="6A380686"/>
    <w:rsid w:val="6A9850FB"/>
    <w:rsid w:val="6AC3D67C"/>
    <w:rsid w:val="6BE1DF50"/>
    <w:rsid w:val="6C5453A7"/>
    <w:rsid w:val="6DDB96E3"/>
    <w:rsid w:val="6DEDFCBF"/>
    <w:rsid w:val="6E3BCED6"/>
    <w:rsid w:val="6EA2B94A"/>
    <w:rsid w:val="6ED975D0"/>
    <w:rsid w:val="7015DE00"/>
    <w:rsid w:val="70AA1A90"/>
    <w:rsid w:val="70D58F13"/>
    <w:rsid w:val="72176470"/>
    <w:rsid w:val="7225BE31"/>
    <w:rsid w:val="72AA19AE"/>
    <w:rsid w:val="73B730E6"/>
    <w:rsid w:val="74202682"/>
    <w:rsid w:val="749F9029"/>
    <w:rsid w:val="757D8BB3"/>
    <w:rsid w:val="7692853A"/>
    <w:rsid w:val="76DE1CF9"/>
    <w:rsid w:val="777ED5DC"/>
    <w:rsid w:val="77D6A601"/>
    <w:rsid w:val="77DF522A"/>
    <w:rsid w:val="78D096A3"/>
    <w:rsid w:val="78D8B5E1"/>
    <w:rsid w:val="79075B54"/>
    <w:rsid w:val="79BCCF25"/>
    <w:rsid w:val="7A094DF8"/>
    <w:rsid w:val="7AF9885F"/>
    <w:rsid w:val="7B31C922"/>
    <w:rsid w:val="7BD1F86E"/>
    <w:rsid w:val="7CEC89A2"/>
    <w:rsid w:val="7D13B4C4"/>
    <w:rsid w:val="7D2E8223"/>
    <w:rsid w:val="7F119F8B"/>
    <w:rsid w:val="7F9C85DB"/>
    <w:rsid w:val="7FDB16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9A4694"/>
  <w15:chartTrackingRefBased/>
  <w15:docId w15:val="{29937201-3484-4BBB-BD5A-EEA364A2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1 Char Char Char Char,Footnote Text Char2,Footnote Text Char2 Char,Footnote Text Char2 Char Char Char Char,fn"/>
    <w:link w:val="FootnoteTextChar"/>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paragraph" w:styleId="ListParagraph">
    <w:name w:val="List Paragraph"/>
    <w:basedOn w:val="Normal"/>
    <w:uiPriority w:val="34"/>
    <w:qFormat/>
    <w:rsid w:val="007644B1"/>
    <w:pPr>
      <w:ind w:left="720"/>
      <w:contextualSpacing/>
    </w:pPr>
  </w:style>
  <w:style w:type="character" w:customStyle="1" w:styleId="FootnoteTextChar">
    <w:name w:val="Footnote Text Char"/>
    <w:aliases w:val="ALTS FOOTNOTE Char,Footnote Text Char Char Char Char Char,Footnote Text Char1 Char Char1,Footnote Text Char1 Char Char Char,Footnote Text Char1 Char1 Char Char Char Char Char,Footnote Text Char2 Char1,Footnote Text Char2 Char Char"/>
    <w:link w:val="FootnoteText"/>
    <w:rsid w:val="007644B1"/>
  </w:style>
  <w:style w:type="character" w:styleId="CommentReference">
    <w:name w:val="annotation reference"/>
    <w:uiPriority w:val="99"/>
    <w:semiHidden/>
    <w:unhideWhenUsed/>
    <w:rsid w:val="007644B1"/>
    <w:rPr>
      <w:sz w:val="16"/>
      <w:szCs w:val="16"/>
    </w:rPr>
  </w:style>
  <w:style w:type="paragraph" w:styleId="CommentText">
    <w:name w:val="annotation text"/>
    <w:basedOn w:val="Normal"/>
    <w:link w:val="CommentTextChar"/>
    <w:uiPriority w:val="99"/>
    <w:unhideWhenUsed/>
    <w:rsid w:val="007644B1"/>
    <w:rPr>
      <w:sz w:val="20"/>
    </w:rPr>
  </w:style>
  <w:style w:type="character" w:customStyle="1" w:styleId="CommentTextChar">
    <w:name w:val="Comment Text Char"/>
    <w:link w:val="CommentText"/>
    <w:uiPriority w:val="99"/>
    <w:rsid w:val="007644B1"/>
    <w:rPr>
      <w:snapToGrid w:val="0"/>
      <w:kern w:val="28"/>
    </w:rPr>
  </w:style>
  <w:style w:type="paragraph" w:styleId="NoSpacing">
    <w:name w:val="No Spacing"/>
    <w:uiPriority w:val="1"/>
    <w:qFormat/>
    <w:rsid w:val="007644B1"/>
    <w:rPr>
      <w:sz w:val="22"/>
    </w:rPr>
  </w:style>
  <w:style w:type="paragraph" w:styleId="CommentSubject">
    <w:name w:val="annotation subject"/>
    <w:basedOn w:val="CommentText"/>
    <w:next w:val="CommentText"/>
    <w:link w:val="CommentSubjectChar"/>
    <w:uiPriority w:val="99"/>
    <w:semiHidden/>
    <w:unhideWhenUsed/>
    <w:rsid w:val="00501033"/>
    <w:rPr>
      <w:b/>
      <w:bCs/>
    </w:rPr>
  </w:style>
  <w:style w:type="character" w:customStyle="1" w:styleId="CommentSubjectChar">
    <w:name w:val="Comment Subject Char"/>
    <w:link w:val="CommentSubject"/>
    <w:uiPriority w:val="99"/>
    <w:semiHidden/>
    <w:rsid w:val="00501033"/>
    <w:rPr>
      <w:b/>
      <w:bCs/>
      <w:snapToGrid w:val="0"/>
      <w:kern w:val="28"/>
    </w:rPr>
  </w:style>
  <w:style w:type="paragraph" w:styleId="Revision">
    <w:name w:val="Revision"/>
    <w:hidden/>
    <w:uiPriority w:val="99"/>
    <w:semiHidden/>
    <w:rsid w:val="001321E9"/>
    <w:rPr>
      <w:snapToGrid w:val="0"/>
      <w:kern w:val="28"/>
      <w:sz w:val="22"/>
    </w:rPr>
  </w:style>
  <w:style w:type="character" w:styleId="Mention">
    <w:name w:val="Mention"/>
    <w:uiPriority w:val="99"/>
    <w:unhideWhenUsed/>
    <w:rsid w:val="004D5EC1"/>
    <w:rPr>
      <w:color w:val="2B579A"/>
      <w:shd w:val="clear" w:color="auto" w:fill="E1DFDD"/>
    </w:rPr>
  </w:style>
  <w:style w:type="character" w:styleId="FollowedHyperlink">
    <w:name w:val="FollowedHyperlink"/>
    <w:basedOn w:val="DefaultParagraphFont"/>
    <w:uiPriority w:val="99"/>
    <w:semiHidden/>
    <w:unhideWhenUsed/>
    <w:rsid w:val="003A4145"/>
    <w:rPr>
      <w:color w:val="954F72" w:themeColor="followedHyperlink"/>
      <w:u w:val="single"/>
    </w:rPr>
  </w:style>
  <w:style w:type="character" w:customStyle="1" w:styleId="normaltextrun">
    <w:name w:val="normaltextrun"/>
    <w:basedOn w:val="DefaultParagraphFont"/>
    <w:rsid w:val="003B24BB"/>
  </w:style>
  <w:style w:type="paragraph" w:customStyle="1" w:styleId="paragraph">
    <w:name w:val="paragraph"/>
    <w:basedOn w:val="Normal"/>
    <w:rsid w:val="00D660A2"/>
    <w:pPr>
      <w:widowControl/>
      <w:spacing w:before="100" w:beforeAutospacing="1" w:after="100" w:afterAutospacing="1"/>
    </w:pPr>
    <w:rPr>
      <w:snapToGrid/>
      <w:kern w:val="0"/>
      <w:sz w:val="24"/>
      <w:szCs w:val="24"/>
    </w:rPr>
  </w:style>
  <w:style w:type="character" w:customStyle="1" w:styleId="eop">
    <w:name w:val="eop"/>
    <w:basedOn w:val="DefaultParagraphFont"/>
    <w:rsid w:val="00D660A2"/>
  </w:style>
  <w:style w:type="character" w:customStyle="1" w:styleId="superscript">
    <w:name w:val="superscript"/>
    <w:basedOn w:val="DefaultParagraphFont"/>
    <w:rsid w:val="00D6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Hugh.VanTuyl@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document/10220146431094/1" TargetMode="External" /><Relationship Id="rId2" Type="http://schemas.openxmlformats.org/officeDocument/2006/relationships/hyperlink" Target="https://www.ntia.gov/sites/default/files/2026-03/1675-mhz-identification-letter.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hristine.Parola\OneDrive%20-%20FCC\Documents\Helpful%20Document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