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15DCF52D" w14:textId="77777777">
      <w:pPr>
        <w:jc w:val="right"/>
        <w:rPr>
          <w:sz w:val="24"/>
        </w:rPr>
      </w:pPr>
    </w:p>
    <w:p w:rsidR="000A5459" w:rsidRPr="00B20363" w:rsidP="000A5459" w14:paraId="4A9C0A22" w14:textId="77777777">
      <w:pPr>
        <w:jc w:val="right"/>
        <w:rPr>
          <w:b/>
          <w:sz w:val="24"/>
        </w:rPr>
      </w:pPr>
      <w:bookmarkStart w:id="0" w:name="TOChere"/>
      <w:r>
        <w:rPr>
          <w:b/>
          <w:sz w:val="24"/>
        </w:rPr>
        <w:t>DA 26-338</w:t>
      </w:r>
    </w:p>
    <w:p w:rsidR="000A5459" w:rsidRPr="00B20363" w:rsidP="000A5459" w14:paraId="5F3D8906" w14:textId="77777777">
      <w:pPr>
        <w:spacing w:before="60"/>
        <w:jc w:val="right"/>
        <w:rPr>
          <w:b/>
          <w:sz w:val="24"/>
        </w:rPr>
      </w:pPr>
      <w:r>
        <w:rPr>
          <w:b/>
          <w:sz w:val="24"/>
        </w:rPr>
        <w:t>Released:  April 7, 2026</w:t>
      </w:r>
    </w:p>
    <w:p w:rsidR="000A5459" w:rsidP="000A5459" w14:paraId="56BEA0BE" w14:textId="77777777">
      <w:pPr>
        <w:jc w:val="right"/>
        <w:rPr>
          <w:sz w:val="24"/>
        </w:rPr>
      </w:pPr>
    </w:p>
    <w:p w:rsidR="000A5459" w:rsidP="000A5459" w14:paraId="6A2972A3" w14:textId="77777777">
      <w:pPr>
        <w:jc w:val="center"/>
        <w:rPr>
          <w:b/>
          <w:caps/>
          <w:sz w:val="24"/>
          <w:szCs w:val="24"/>
        </w:rPr>
      </w:pPr>
      <w:r w:rsidRPr="005466E7">
        <w:rPr>
          <w:b/>
          <w:caps/>
          <w:sz w:val="24"/>
          <w:szCs w:val="24"/>
        </w:rPr>
        <w:t>Comment due dates SET for Notice o</w:t>
      </w:r>
      <w:r>
        <w:rPr>
          <w:b/>
          <w:caps/>
          <w:sz w:val="24"/>
          <w:szCs w:val="24"/>
        </w:rPr>
        <w:t xml:space="preserve">f proposed </w:t>
      </w:r>
    </w:p>
    <w:p w:rsidR="000A5459" w:rsidP="000A5459" w14:paraId="531FBA58" w14:textId="77777777">
      <w:pPr>
        <w:jc w:val="center"/>
        <w:rPr>
          <w:rFonts w:ascii="Times New Roman Bold" w:hAnsi="Times New Roman Bold"/>
          <w:b/>
          <w:caps/>
          <w:sz w:val="24"/>
        </w:rPr>
      </w:pPr>
      <w:r>
        <w:rPr>
          <w:b/>
          <w:caps/>
          <w:sz w:val="24"/>
          <w:szCs w:val="24"/>
        </w:rPr>
        <w:t>rulemaking on the lifeline program</w:t>
      </w:r>
    </w:p>
    <w:p w:rsidR="000A5459" w:rsidRPr="00B20363" w:rsidP="000A5459" w14:paraId="033CA7BA" w14:textId="77777777">
      <w:pPr>
        <w:jc w:val="center"/>
        <w:rPr>
          <w:rFonts w:ascii="Times New Roman Bold" w:hAnsi="Times New Roman Bold"/>
          <w:b/>
          <w:caps/>
          <w:sz w:val="24"/>
        </w:rPr>
      </w:pPr>
    </w:p>
    <w:p w:rsidR="000A5459" w:rsidP="000A5459" w14:paraId="48FB314F" w14:textId="77777777">
      <w:pPr>
        <w:jc w:val="center"/>
        <w:rPr>
          <w:b/>
          <w:sz w:val="24"/>
        </w:rPr>
      </w:pPr>
      <w:r>
        <w:rPr>
          <w:b/>
          <w:sz w:val="24"/>
        </w:rPr>
        <w:t>WC Docket Nos. 11-42, 17-287, 09-197, 21-450, 20-445</w:t>
      </w:r>
    </w:p>
    <w:p w:rsidR="000A5459" w:rsidP="000A5459" w14:paraId="679F7A04" w14:textId="77777777">
      <w:pPr>
        <w:rPr>
          <w:b/>
          <w:sz w:val="24"/>
        </w:rPr>
      </w:pPr>
    </w:p>
    <w:p w:rsidR="000A5459" w:rsidRPr="00060AEC" w:rsidP="000A5459" w14:paraId="6C18E5E2" w14:textId="77777777">
      <w:pPr>
        <w:rPr>
          <w:b/>
          <w:szCs w:val="22"/>
        </w:rPr>
      </w:pPr>
      <w:r w:rsidRPr="00060AEC">
        <w:rPr>
          <w:b/>
          <w:szCs w:val="22"/>
        </w:rPr>
        <w:t xml:space="preserve">Comments Due:  </w:t>
      </w:r>
      <w:r>
        <w:rPr>
          <w:b/>
          <w:szCs w:val="22"/>
        </w:rPr>
        <w:t>May 4, 2026</w:t>
      </w:r>
    </w:p>
    <w:p w:rsidR="000A5459" w:rsidRPr="00060AEC" w:rsidP="000A5459" w14:paraId="123807AA" w14:textId="77777777">
      <w:pPr>
        <w:rPr>
          <w:b/>
          <w:szCs w:val="22"/>
        </w:rPr>
      </w:pPr>
      <w:r w:rsidRPr="00060AEC">
        <w:rPr>
          <w:b/>
          <w:szCs w:val="22"/>
        </w:rPr>
        <w:t xml:space="preserve">Reply Comments Due:  </w:t>
      </w:r>
      <w:r>
        <w:rPr>
          <w:b/>
          <w:szCs w:val="22"/>
        </w:rPr>
        <w:t>June 2, 2026</w:t>
      </w:r>
    </w:p>
    <w:p w:rsidR="000A5459" w:rsidRPr="00060AEC" w:rsidP="000A5459" w14:paraId="0A8AC247" w14:textId="77777777">
      <w:pPr>
        <w:jc w:val="center"/>
        <w:rPr>
          <w:b/>
          <w:szCs w:val="22"/>
        </w:rPr>
      </w:pPr>
    </w:p>
    <w:p w:rsidR="000A5459" w:rsidP="000A5459" w14:paraId="084BD625" w14:textId="77777777">
      <w:pPr>
        <w:spacing w:after="120"/>
        <w:rPr>
          <w:szCs w:val="22"/>
        </w:rPr>
      </w:pPr>
      <w:r w:rsidRPr="00060AEC">
        <w:rPr>
          <w:b/>
          <w:szCs w:val="22"/>
        </w:rPr>
        <w:tab/>
      </w:r>
      <w:r w:rsidRPr="003365F0">
        <w:rPr>
          <w:bCs/>
          <w:szCs w:val="22"/>
        </w:rPr>
        <w:t xml:space="preserve">By this Public Notice, the </w:t>
      </w:r>
      <w:r>
        <w:rPr>
          <w:szCs w:val="22"/>
        </w:rPr>
        <w:t xml:space="preserve">Wireline Competition Bureau announces that comments in response to </w:t>
      </w:r>
      <w:r w:rsidRPr="0095506B">
        <w:rPr>
          <w:szCs w:val="22"/>
        </w:rPr>
        <w:t xml:space="preserve">the </w:t>
      </w:r>
      <w:r w:rsidRPr="00F14FDA">
        <w:rPr>
          <w:bCs/>
          <w:i/>
          <w:iCs/>
          <w:szCs w:val="22"/>
        </w:rPr>
        <w:t>Notice of Proposed Rulemaking</w:t>
      </w:r>
      <w:r w:rsidRPr="0095506B">
        <w:rPr>
          <w:bCs/>
          <w:szCs w:val="22"/>
        </w:rPr>
        <w:t xml:space="preserve"> (</w:t>
      </w:r>
      <w:r w:rsidRPr="0095506B">
        <w:rPr>
          <w:bCs/>
          <w:i/>
          <w:iCs/>
          <w:szCs w:val="22"/>
        </w:rPr>
        <w:t>Notice</w:t>
      </w:r>
      <w:r w:rsidRPr="0095506B">
        <w:rPr>
          <w:bCs/>
          <w:szCs w:val="22"/>
        </w:rPr>
        <w:t xml:space="preserve">) </w:t>
      </w:r>
      <w:r>
        <w:rPr>
          <w:bCs/>
          <w:szCs w:val="22"/>
        </w:rPr>
        <w:t xml:space="preserve">in the </w:t>
      </w:r>
      <w:r>
        <w:rPr>
          <w:i/>
          <w:iCs/>
        </w:rPr>
        <w:t xml:space="preserve">Lifeline and Link Up Reform and Modernization </w:t>
      </w:r>
      <w:r w:rsidRPr="00623AD4">
        <w:t>proceeding</w:t>
      </w:r>
      <w:r>
        <w:rPr>
          <w:i/>
          <w:iCs/>
        </w:rPr>
        <w:t xml:space="preserve"> </w:t>
      </w:r>
      <w:r w:rsidRPr="0095506B">
        <w:rPr>
          <w:bCs/>
          <w:szCs w:val="22"/>
        </w:rPr>
        <w:t xml:space="preserve">are due no later than </w:t>
      </w:r>
      <w:r>
        <w:rPr>
          <w:bCs/>
          <w:szCs w:val="22"/>
        </w:rPr>
        <w:t>May 4, 2026</w:t>
      </w:r>
      <w:r w:rsidRPr="0095506B">
        <w:rPr>
          <w:bCs/>
          <w:szCs w:val="22"/>
        </w:rPr>
        <w:t xml:space="preserve">, and reply comments are due no later than </w:t>
      </w:r>
      <w:r>
        <w:rPr>
          <w:bCs/>
          <w:szCs w:val="22"/>
        </w:rPr>
        <w:t>June 2</w:t>
      </w:r>
      <w:r w:rsidRPr="0095506B">
        <w:rPr>
          <w:bCs/>
          <w:szCs w:val="22"/>
        </w:rPr>
        <w:t>, 202</w:t>
      </w:r>
      <w:r>
        <w:rPr>
          <w:bCs/>
          <w:szCs w:val="22"/>
        </w:rPr>
        <w:t>6</w:t>
      </w:r>
      <w:r w:rsidRPr="0095506B">
        <w:rPr>
          <w:szCs w:val="22"/>
        </w:rPr>
        <w:t>.</w:t>
      </w:r>
      <w:r>
        <w:rPr>
          <w:rStyle w:val="FootnoteReference"/>
          <w:szCs w:val="22"/>
        </w:rPr>
        <w:footnoteReference w:id="3"/>
      </w:r>
      <w:r>
        <w:rPr>
          <w:szCs w:val="22"/>
        </w:rPr>
        <w:t xml:space="preserve">  In t</w:t>
      </w:r>
      <w:r w:rsidRPr="0095506B">
        <w:rPr>
          <w:szCs w:val="22"/>
        </w:rPr>
        <w:t xml:space="preserve">he </w:t>
      </w:r>
      <w:r w:rsidRPr="0095506B">
        <w:rPr>
          <w:i/>
          <w:iCs/>
          <w:szCs w:val="22"/>
        </w:rPr>
        <w:t>Notice</w:t>
      </w:r>
      <w:r>
        <w:rPr>
          <w:szCs w:val="22"/>
        </w:rPr>
        <w:t>, the Federal Communications Commission (Commission)</w:t>
      </w:r>
      <w:r w:rsidRPr="0095506B">
        <w:rPr>
          <w:szCs w:val="22"/>
        </w:rPr>
        <w:t xml:space="preserve"> seeks comment on </w:t>
      </w:r>
      <w:r w:rsidRPr="00366243">
        <w:rPr>
          <w:szCs w:val="22"/>
        </w:rPr>
        <w:t>reforms in the Lifeline program to ensure that federal dollars go to eligible Americans, enhance program integrity, ensure that service providers comply with the Commission’s rules and regulations, and streamline Lifeline rules.</w:t>
      </w:r>
      <w:r>
        <w:rPr>
          <w:szCs w:val="22"/>
        </w:rPr>
        <w:t xml:space="preserve">  </w:t>
      </w:r>
    </w:p>
    <w:p w:rsidR="000A5459" w:rsidRPr="00343E20" w:rsidP="000A5459" w14:paraId="6062ED55" w14:textId="77777777">
      <w:pPr>
        <w:spacing w:after="120"/>
        <w:ind w:firstLine="720"/>
        <w:rPr>
          <w:szCs w:val="22"/>
        </w:rPr>
      </w:pPr>
      <w:r>
        <w:rPr>
          <w:szCs w:val="22"/>
        </w:rPr>
        <w:t xml:space="preserve">The </w:t>
      </w:r>
      <w:r>
        <w:rPr>
          <w:i/>
          <w:iCs/>
          <w:szCs w:val="22"/>
        </w:rPr>
        <w:t xml:space="preserve">Notice </w:t>
      </w:r>
      <w:r>
        <w:rPr>
          <w:szCs w:val="22"/>
        </w:rPr>
        <w:t xml:space="preserve">set deadlines for filing comments and reply comments at 30 and 60 days after the date of publication of the summary of the </w:t>
      </w:r>
      <w:r>
        <w:rPr>
          <w:i/>
          <w:iCs/>
          <w:szCs w:val="22"/>
        </w:rPr>
        <w:t xml:space="preserve">Notice </w:t>
      </w:r>
      <w:r>
        <w:rPr>
          <w:szCs w:val="22"/>
        </w:rPr>
        <w:t>in the Federal Register.</w:t>
      </w:r>
      <w:r>
        <w:rPr>
          <w:rStyle w:val="FootnoteReference"/>
          <w:szCs w:val="22"/>
        </w:rPr>
        <w:footnoteReference w:id="4"/>
      </w:r>
      <w:r>
        <w:rPr>
          <w:szCs w:val="22"/>
        </w:rPr>
        <w:t xml:space="preserve">  T</w:t>
      </w:r>
      <w:r w:rsidRPr="0095506B">
        <w:rPr>
          <w:szCs w:val="22"/>
        </w:rPr>
        <w:t xml:space="preserve">he Federal Register published a summary of the </w:t>
      </w:r>
      <w:r w:rsidRPr="0095506B">
        <w:rPr>
          <w:i/>
          <w:iCs/>
          <w:szCs w:val="22"/>
        </w:rPr>
        <w:t>Notice</w:t>
      </w:r>
      <w:r>
        <w:rPr>
          <w:i/>
          <w:iCs/>
          <w:szCs w:val="22"/>
        </w:rPr>
        <w:t xml:space="preserve"> </w:t>
      </w:r>
      <w:r>
        <w:rPr>
          <w:szCs w:val="22"/>
        </w:rPr>
        <w:t>o</w:t>
      </w:r>
      <w:r w:rsidRPr="0095506B">
        <w:rPr>
          <w:szCs w:val="22"/>
        </w:rPr>
        <w:t xml:space="preserve">n </w:t>
      </w:r>
      <w:r>
        <w:rPr>
          <w:szCs w:val="22"/>
        </w:rPr>
        <w:t>April 3</w:t>
      </w:r>
      <w:r w:rsidRPr="0095506B">
        <w:rPr>
          <w:szCs w:val="22"/>
        </w:rPr>
        <w:t>, 202</w:t>
      </w:r>
      <w:r>
        <w:rPr>
          <w:szCs w:val="22"/>
        </w:rPr>
        <w:t>6.</w:t>
      </w:r>
      <w:r>
        <w:rPr>
          <w:rStyle w:val="FootnoteReference"/>
          <w:szCs w:val="22"/>
        </w:rPr>
        <w:footnoteReference w:id="5"/>
      </w:r>
      <w:r>
        <w:rPr>
          <w:szCs w:val="22"/>
        </w:rPr>
        <w:t xml:space="preserve">  Complete filing instructions are contained in the </w:t>
      </w:r>
      <w:r w:rsidRPr="0095506B">
        <w:rPr>
          <w:i/>
          <w:iCs/>
          <w:szCs w:val="22"/>
        </w:rPr>
        <w:t>Notice</w:t>
      </w:r>
      <w:r w:rsidRPr="0095506B">
        <w:rPr>
          <w:szCs w:val="22"/>
        </w:rPr>
        <w:t xml:space="preserve"> and the </w:t>
      </w:r>
      <w:r w:rsidRPr="0095506B">
        <w:rPr>
          <w:i/>
          <w:iCs/>
          <w:szCs w:val="22"/>
        </w:rPr>
        <w:t>Federal Register Notice</w:t>
      </w:r>
      <w:r w:rsidRPr="0095506B">
        <w:rPr>
          <w:szCs w:val="22"/>
        </w:rPr>
        <w:t>.</w:t>
      </w:r>
      <w:r>
        <w:rPr>
          <w:rStyle w:val="FootnoteReference"/>
          <w:szCs w:val="22"/>
        </w:rPr>
        <w:footnoteReference w:id="6"/>
      </w:r>
    </w:p>
    <w:p w:rsidR="000A5459" w:rsidP="000A5459" w14:paraId="4E37AFF1" w14:textId="77777777">
      <w:pPr>
        <w:spacing w:after="120"/>
        <w:ind w:firstLine="720"/>
        <w:rPr>
          <w:szCs w:val="22"/>
        </w:rPr>
      </w:pPr>
      <w:r w:rsidRPr="00066082">
        <w:rPr>
          <w:szCs w:val="22"/>
        </w:rPr>
        <w:t xml:space="preserve">To request materials in accessible formats for people with disabilities (Braille, large print, electronic files, audio format), send an e-mail to </w:t>
      </w:r>
      <w:hyperlink r:id="rId6" w:history="1">
        <w:r w:rsidRPr="00066082">
          <w:rPr>
            <w:rStyle w:val="Hyperlink"/>
            <w:szCs w:val="22"/>
          </w:rPr>
          <w:t>fcc504@fcc.gov</w:t>
        </w:r>
      </w:hyperlink>
      <w:r w:rsidRPr="00066082">
        <w:rPr>
          <w:szCs w:val="22"/>
        </w:rPr>
        <w:t xml:space="preserve"> or call the Consumer and Governmental Affairs Bureau at 202-418-0530 (voice).</w:t>
      </w:r>
    </w:p>
    <w:p w:rsidR="000A5459" w:rsidP="000A5459" w14:paraId="49659721" w14:textId="77777777">
      <w:pPr>
        <w:spacing w:after="120"/>
        <w:ind w:firstLine="720"/>
        <w:rPr>
          <w:szCs w:val="22"/>
        </w:rPr>
      </w:pPr>
      <w:r w:rsidRPr="00066082">
        <w:rPr>
          <w:szCs w:val="22"/>
        </w:rPr>
        <w:t xml:space="preserve">For further information, please contact </w:t>
      </w:r>
      <w:r>
        <w:rPr>
          <w:szCs w:val="22"/>
        </w:rPr>
        <w:t>Eric Wu</w:t>
      </w:r>
      <w:r w:rsidRPr="00066082">
        <w:rPr>
          <w:szCs w:val="22"/>
        </w:rPr>
        <w:t xml:space="preserve">, </w:t>
      </w:r>
      <w:r>
        <w:rPr>
          <w:szCs w:val="22"/>
        </w:rPr>
        <w:t>Telecommunications Access Policy Division</w:t>
      </w:r>
      <w:r w:rsidRPr="00066082">
        <w:rPr>
          <w:szCs w:val="22"/>
        </w:rPr>
        <w:t xml:space="preserve">, </w:t>
      </w:r>
      <w:r>
        <w:rPr>
          <w:szCs w:val="22"/>
        </w:rPr>
        <w:t>Wireline Competition</w:t>
      </w:r>
      <w:r w:rsidRPr="00066082">
        <w:rPr>
          <w:szCs w:val="22"/>
        </w:rPr>
        <w:t xml:space="preserve"> Bureau, at (202) 418-1</w:t>
      </w:r>
      <w:r>
        <w:rPr>
          <w:szCs w:val="22"/>
        </w:rPr>
        <w:t>543</w:t>
      </w:r>
      <w:r w:rsidRPr="00066082">
        <w:rPr>
          <w:szCs w:val="22"/>
        </w:rPr>
        <w:t xml:space="preserve"> or </w:t>
      </w:r>
      <w:hyperlink r:id="rId7" w:history="1">
        <w:r w:rsidRPr="0075242A">
          <w:rPr>
            <w:rStyle w:val="Hyperlink"/>
            <w:szCs w:val="22"/>
          </w:rPr>
          <w:t>Eric.Wu@fcc.gov</w:t>
        </w:r>
      </w:hyperlink>
      <w:r>
        <w:rPr>
          <w:szCs w:val="22"/>
        </w:rPr>
        <w:t>.</w:t>
      </w:r>
    </w:p>
    <w:p w:rsidR="000A5459" w:rsidRPr="003E4DBC" w:rsidP="000A5459" w14:paraId="59639A03" w14:textId="77777777">
      <w:pPr>
        <w:spacing w:after="120"/>
        <w:ind w:firstLine="720"/>
        <w:rPr>
          <w:color w:val="0000FF"/>
          <w:szCs w:val="22"/>
        </w:rPr>
      </w:pPr>
    </w:p>
    <w:p w:rsidR="000A5459" w:rsidRPr="00066082" w:rsidP="000A5459" w14:paraId="5D185ACD" w14:textId="77777777">
      <w:pPr>
        <w:pStyle w:val="BodyText"/>
        <w:widowControl/>
        <w:ind w:firstLine="0"/>
        <w:jc w:val="center"/>
        <w:rPr>
          <w:b/>
          <w:bCs/>
          <w:szCs w:val="22"/>
        </w:rPr>
      </w:pPr>
      <w:r w:rsidRPr="00066082">
        <w:rPr>
          <w:b/>
          <w:bCs/>
          <w:szCs w:val="22"/>
        </w:rPr>
        <w:t>-FCC-</w:t>
      </w:r>
    </w:p>
    <w:p w:rsidR="000A5459" w:rsidP="000A5459" w14:paraId="0A605207" w14:textId="77777777">
      <w:pPr>
        <w:rPr>
          <w:b/>
          <w:sz w:val="24"/>
        </w:rPr>
      </w:pPr>
    </w:p>
    <w:p w:rsidR="00BA3BA8" w14:paraId="597F750F" w14:textId="77777777"/>
    <w:bookmarkEnd w:id="0"/>
    <w:p w:rsidR="00BA3BA8" w14:paraId="5A6130A7" w14:textId="77777777"/>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36D8E" w14:paraId="2B01BD22" w14:textId="77777777">
      <w:pPr>
        <w:spacing w:line="20" w:lineRule="exact"/>
      </w:pPr>
    </w:p>
  </w:endnote>
  <w:endnote w:type="continuationSeparator" w:id="1">
    <w:p w:rsidR="00336D8E" w14:paraId="25AE6F0D" w14:textId="77777777">
      <w:r>
        <w:t xml:space="preserve"> </w:t>
      </w:r>
    </w:p>
  </w:endnote>
  <w:endnote w:type="continuationNotice" w:id="2">
    <w:p w:rsidR="00336D8E" w14:paraId="4CCA55F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D24FFEE"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3F7B47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19F82D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F26939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6D8E" w14:paraId="376DAE45" w14:textId="77777777">
      <w:r>
        <w:separator/>
      </w:r>
    </w:p>
  </w:footnote>
  <w:footnote w:type="continuationSeparator" w:id="1">
    <w:p w:rsidR="00336D8E" w14:paraId="3278392A" w14:textId="77777777">
      <w:pPr>
        <w:rPr>
          <w:sz w:val="20"/>
        </w:rPr>
      </w:pPr>
      <w:r>
        <w:rPr>
          <w:sz w:val="20"/>
        </w:rPr>
        <w:t xml:space="preserve">(Continued from previous page)  </w:t>
      </w:r>
      <w:r>
        <w:rPr>
          <w:sz w:val="20"/>
        </w:rPr>
        <w:separator/>
      </w:r>
    </w:p>
  </w:footnote>
  <w:footnote w:type="continuationNotice" w:id="2">
    <w:p w:rsidR="00336D8E" w14:paraId="2FB81CE1" w14:textId="77777777">
      <w:pPr>
        <w:jc w:val="right"/>
        <w:rPr>
          <w:sz w:val="20"/>
        </w:rPr>
      </w:pPr>
      <w:r>
        <w:rPr>
          <w:sz w:val="20"/>
        </w:rPr>
        <w:t>(continued….)</w:t>
      </w:r>
    </w:p>
  </w:footnote>
  <w:footnote w:id="3">
    <w:p w:rsidR="000A5459" w:rsidRPr="005754FF" w:rsidP="000A5459" w14:paraId="2C378B12" w14:textId="77777777">
      <w:pPr>
        <w:pStyle w:val="FootnoteText"/>
      </w:pPr>
      <w:r>
        <w:rPr>
          <w:rStyle w:val="FootnoteReference"/>
        </w:rPr>
        <w:footnoteRef/>
      </w:r>
      <w:r>
        <w:t xml:space="preserve"> </w:t>
      </w:r>
      <w:r>
        <w:rPr>
          <w:i/>
          <w:iCs/>
        </w:rPr>
        <w:t>Lifeline and Link Up Reform and Modernization et al.</w:t>
      </w:r>
      <w:r>
        <w:t>, WC Docket No. 11-42 et al., Notice of Proposed Rulemaking, FCC 26-8 (Feb. 23, 2026) (</w:t>
      </w:r>
      <w:r w:rsidRPr="003F7324">
        <w:rPr>
          <w:i/>
          <w:iCs/>
        </w:rPr>
        <w:t>Notice</w:t>
      </w:r>
      <w:r>
        <w:t xml:space="preserve">).  </w:t>
      </w:r>
    </w:p>
  </w:footnote>
  <w:footnote w:id="4">
    <w:p w:rsidR="000A5459" w:rsidP="000A5459" w14:paraId="69DEF1AD" w14:textId="77777777">
      <w:pPr>
        <w:pStyle w:val="FootnoteText"/>
      </w:pPr>
      <w:r>
        <w:rPr>
          <w:rStyle w:val="FootnoteReference"/>
        </w:rPr>
        <w:footnoteRef/>
      </w:r>
      <w:r>
        <w:t xml:space="preserve"> </w:t>
      </w:r>
      <w:r>
        <w:rPr>
          <w:i/>
          <w:iCs/>
        </w:rPr>
        <w:t xml:space="preserve">See </w:t>
      </w:r>
      <w:r w:rsidRPr="003365F0">
        <w:rPr>
          <w:i/>
          <w:iCs/>
        </w:rPr>
        <w:t>Notice</w:t>
      </w:r>
      <w:r>
        <w:t xml:space="preserve"> at 46, para. 115.</w:t>
      </w:r>
    </w:p>
  </w:footnote>
  <w:footnote w:id="5">
    <w:p w:rsidR="000A5459" w:rsidRPr="0071087D" w:rsidP="000A5459" w14:paraId="28EA6645" w14:textId="77777777">
      <w:pPr>
        <w:pStyle w:val="FootnoteText"/>
      </w:pPr>
      <w:r>
        <w:rPr>
          <w:rStyle w:val="FootnoteReference"/>
        </w:rPr>
        <w:footnoteRef/>
      </w:r>
      <w:r>
        <w:t xml:space="preserve"> Federal Communications Commission, Notice of </w:t>
      </w:r>
      <w:r w:rsidRPr="006960B8">
        <w:t xml:space="preserve">Proposed Rulemaking, </w:t>
      </w:r>
      <w:r>
        <w:t xml:space="preserve">91 </w:t>
      </w:r>
      <w:r w:rsidRPr="006960B8">
        <w:t xml:space="preserve">Fed. Reg. </w:t>
      </w:r>
      <w:r>
        <w:t xml:space="preserve">16871, 16872 </w:t>
      </w:r>
      <w:r w:rsidRPr="006960B8">
        <w:t>(</w:t>
      </w:r>
      <w:r>
        <w:t>Apr. 3, 2026</w:t>
      </w:r>
      <w:r w:rsidRPr="0095506B">
        <w:t>) (</w:t>
      </w:r>
      <w:r w:rsidRPr="0095506B">
        <w:rPr>
          <w:i/>
          <w:iCs/>
        </w:rPr>
        <w:t>Federal Register Notice</w:t>
      </w:r>
      <w:r w:rsidRPr="0095506B">
        <w:t>).</w:t>
      </w:r>
      <w:r>
        <w:t xml:space="preserve">  </w:t>
      </w:r>
    </w:p>
  </w:footnote>
  <w:footnote w:id="6">
    <w:p w:rsidR="000A5459" w:rsidRPr="003365F0" w:rsidP="000A5459" w14:paraId="43623889" w14:textId="77777777">
      <w:pPr>
        <w:pStyle w:val="FootnoteText"/>
        <w:rPr>
          <w:i/>
          <w:iCs/>
        </w:rPr>
      </w:pPr>
      <w:r>
        <w:rPr>
          <w:rStyle w:val="FootnoteReference"/>
        </w:rPr>
        <w:footnoteRef/>
      </w:r>
      <w:r>
        <w:t xml:space="preserve"> </w:t>
      </w:r>
      <w:r w:rsidRPr="003365F0">
        <w:rPr>
          <w:i/>
          <w:iCs/>
        </w:rPr>
        <w:t>Federal Register Notice</w:t>
      </w:r>
      <w:r>
        <w:t xml:space="preserve"> at 16872.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BEA87B5" w14:textId="77777777">
    <w:pPr>
      <w:tabs>
        <w:tab w:val="center" w:pos="4680"/>
        <w:tab w:val="right" w:pos="9360"/>
      </w:tabs>
    </w:pPr>
    <w:r>
      <w:rPr>
        <w:b/>
      </w:rPr>
      <w:tab/>
      <w:t>Federal Communications Commission</w:t>
    </w:r>
    <w:r>
      <w:rPr>
        <w:b/>
      </w:rPr>
      <w:tab/>
    </w:r>
    <w:r>
      <w:rPr>
        <w:b/>
      </w:rPr>
      <w:fldChar w:fldCharType="begin"/>
    </w:r>
    <w:r>
      <w:rPr>
        <w:b/>
      </w:rPr>
      <w:instrText xml:space="preserve"> MACROBUTTON  AcceptAllChangesShown "FCC/DA  XX-XXX" </w:instrText>
    </w:r>
    <w:r>
      <w:rPr>
        <w:b/>
      </w:rPr>
      <w:fldChar w:fldCharType="end"/>
    </w:r>
  </w:p>
  <w:p w:rsidR="00BA3BA8" w14:paraId="2F65039F" w14:textId="77777777">
    <w:pPr>
      <w:tabs>
        <w:tab w:val="left" w:pos="-720"/>
      </w:tabs>
      <w:suppressAutoHyphens/>
      <w:spacing w:line="19" w:lineRule="exact"/>
      <w:rPr>
        <w:spacing w:val="-2"/>
      </w:rPr>
    </w:pPr>
    <w:r>
      <w:rPr>
        <w:noProof/>
      </w:rPr>
      <w:pict>
        <v:rect id="Rectangle 15" o:spid="_x0000_s2049" style="width:468pt;height:0.95pt;margin-top:0;margin-left:0;mso-position-horizontal-relative:margin;position:absolute;visibility:visible;z-index:-251658240" o:allowincell="f" fillcolor="black" stroked="f" strokeweight="0.05pt">
          <w10:wrap anchorx="margin"/>
        </v:rect>
      </w:pict>
    </w:r>
  </w:p>
  <w:p w:rsidR="00BA3BA8" w14:paraId="5148AE9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468623F6" w14:textId="7777777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468.6pt;height:112.8pt">
          <v:imagedata r:id="rId1" o:title="PN Portrait p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421877077">
    <w:abstractNumId w:val="1"/>
  </w:num>
  <w:num w:numId="2" w16cid:durableId="903877200">
    <w:abstractNumId w:val="5"/>
  </w:num>
  <w:num w:numId="3" w16cid:durableId="1240017972">
    <w:abstractNumId w:val="3"/>
  </w:num>
  <w:num w:numId="4" w16cid:durableId="1910192692">
    <w:abstractNumId w:val="4"/>
  </w:num>
  <w:num w:numId="5" w16cid:durableId="187722421">
    <w:abstractNumId w:val="2"/>
  </w:num>
  <w:num w:numId="6" w16cid:durableId="181124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59"/>
    <w:rsid w:val="00060AEC"/>
    <w:rsid w:val="00066082"/>
    <w:rsid w:val="000A5459"/>
    <w:rsid w:val="003365F0"/>
    <w:rsid w:val="00336D8E"/>
    <w:rsid w:val="00343E20"/>
    <w:rsid w:val="00366243"/>
    <w:rsid w:val="003E4DBC"/>
    <w:rsid w:val="003F7324"/>
    <w:rsid w:val="00430183"/>
    <w:rsid w:val="005466E7"/>
    <w:rsid w:val="005754FF"/>
    <w:rsid w:val="00623AD4"/>
    <w:rsid w:val="006960B8"/>
    <w:rsid w:val="0071087D"/>
    <w:rsid w:val="0075242A"/>
    <w:rsid w:val="0095506B"/>
    <w:rsid w:val="00A20679"/>
    <w:rsid w:val="00B20363"/>
    <w:rsid w:val="00BA3BA8"/>
    <w:rsid w:val="00EF466B"/>
    <w:rsid w:val="00F03EA1"/>
    <w:rsid w:val="00F14F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9AD67C"/>
  <w15:chartTrackingRefBased/>
  <w15:docId w15:val="{2655D76B-ACC6-4DF2-BEB6-C1DF66D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459"/>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basedOn w:val="DefaultParagraphFont"/>
    <w:link w:val="FootnoteText"/>
    <w:semiHidden/>
    <w:rsid w:val="000A5459"/>
  </w:style>
  <w:style w:type="paragraph" w:styleId="BodyText">
    <w:name w:val="Body Text"/>
    <w:basedOn w:val="Normal"/>
    <w:link w:val="BodyTextChar1"/>
    <w:rsid w:val="000A5459"/>
    <w:pPr>
      <w:spacing w:after="120"/>
      <w:ind w:firstLine="720"/>
    </w:pPr>
    <w:rPr>
      <w:snapToGrid/>
      <w:kern w:val="0"/>
    </w:rPr>
  </w:style>
  <w:style w:type="character" w:customStyle="1" w:styleId="BodyTextChar">
    <w:name w:val="Body Text Char"/>
    <w:basedOn w:val="DefaultParagraphFont"/>
    <w:uiPriority w:val="99"/>
    <w:semiHidden/>
    <w:rsid w:val="000A5459"/>
    <w:rPr>
      <w:snapToGrid w:val="0"/>
      <w:kern w:val="28"/>
      <w:sz w:val="22"/>
    </w:rPr>
  </w:style>
  <w:style w:type="character" w:customStyle="1" w:styleId="BodyTextChar1">
    <w:name w:val="Body Text Char1"/>
    <w:link w:val="BodyText"/>
    <w:rsid w:val="000A54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cc504@fcc.gov" TargetMode="External" /><Relationship Id="rId7" Type="http://schemas.openxmlformats.org/officeDocument/2006/relationships/hyperlink" Target="mailto:Eric.Wu@fcc.gov"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