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BA3BA8" w14:paraId="6C3F63FF" w14:textId="77777777">
      <w:pPr>
        <w:jc w:val="right"/>
        <w:rPr>
          <w:sz w:val="24"/>
        </w:rPr>
      </w:pPr>
    </w:p>
    <w:p w:rsidR="00BA3BA8" w14:paraId="3AF861B0" w14:textId="668B7016">
      <w:pPr>
        <w:jc w:val="right"/>
        <w:rPr>
          <w:b/>
          <w:sz w:val="24"/>
        </w:rPr>
      </w:pPr>
      <w:r>
        <w:rPr>
          <w:b/>
          <w:sz w:val="24"/>
        </w:rPr>
        <w:t>DA 2</w:t>
      </w:r>
      <w:r w:rsidR="00032316">
        <w:rPr>
          <w:b/>
          <w:sz w:val="24"/>
        </w:rPr>
        <w:t>6</w:t>
      </w:r>
      <w:r>
        <w:rPr>
          <w:b/>
          <w:sz w:val="24"/>
        </w:rPr>
        <w:t>-</w:t>
      </w:r>
      <w:r w:rsidR="00B7456C">
        <w:rPr>
          <w:b/>
          <w:sz w:val="24"/>
        </w:rPr>
        <w:t>341</w:t>
      </w:r>
    </w:p>
    <w:p w:rsidR="00BA3BA8" w14:paraId="65C869D0" w14:textId="2B9C47BD">
      <w:pPr>
        <w:spacing w:before="60"/>
        <w:jc w:val="right"/>
        <w:rPr>
          <w:b/>
          <w:sz w:val="24"/>
        </w:rPr>
      </w:pPr>
      <w:r>
        <w:rPr>
          <w:b/>
          <w:sz w:val="24"/>
        </w:rPr>
        <w:t xml:space="preserve">Released:  </w:t>
      </w:r>
      <w:r w:rsidR="00B7456C">
        <w:rPr>
          <w:b/>
          <w:sz w:val="24"/>
        </w:rPr>
        <w:t>April 10</w:t>
      </w:r>
      <w:r w:rsidR="007119C0">
        <w:rPr>
          <w:b/>
          <w:sz w:val="24"/>
        </w:rPr>
        <w:t>, 202</w:t>
      </w:r>
      <w:r w:rsidR="0066645E">
        <w:rPr>
          <w:b/>
          <w:sz w:val="24"/>
        </w:rPr>
        <w:t>6</w:t>
      </w:r>
    </w:p>
    <w:p w:rsidR="00BA3BA8" w14:paraId="54903856" w14:textId="77777777">
      <w:pPr>
        <w:jc w:val="right"/>
        <w:rPr>
          <w:sz w:val="24"/>
        </w:rPr>
      </w:pPr>
    </w:p>
    <w:p w:rsidR="00BA3BA8" w14:paraId="3BCE2B09" w14:textId="0384F93E">
      <w:pPr>
        <w:spacing w:after="240"/>
        <w:jc w:val="center"/>
        <w:rPr>
          <w:rFonts w:ascii="Times New Roman Bold" w:hAnsi="Times New Roman Bold"/>
          <w:b/>
          <w:caps/>
          <w:sz w:val="24"/>
        </w:rPr>
      </w:pPr>
      <w:r>
        <w:rPr>
          <w:rFonts w:ascii="Times New Roman Bold" w:hAnsi="Times New Roman Bold"/>
          <w:b/>
          <w:caps/>
          <w:sz w:val="24"/>
        </w:rPr>
        <w:t xml:space="preserve">wireless telecommunications bureau refreshes record on lower </w:t>
      </w:r>
      <w:r w:rsidR="00BA186E">
        <w:rPr>
          <w:rFonts w:ascii="Times New Roman Bold" w:hAnsi="Times New Roman Bold"/>
          <w:b/>
          <w:caps/>
          <w:sz w:val="24"/>
        </w:rPr>
        <w:t>C</w:t>
      </w:r>
      <w:r>
        <w:rPr>
          <w:rFonts w:ascii="Times New Roman Bold" w:hAnsi="Times New Roman Bold"/>
          <w:b/>
          <w:caps/>
          <w:sz w:val="24"/>
        </w:rPr>
        <w:t>-band</w:t>
      </w:r>
      <w:r w:rsidR="001038D9">
        <w:rPr>
          <w:rFonts w:ascii="Times New Roman Bold" w:hAnsi="Times New Roman Bold"/>
          <w:b/>
          <w:caps/>
          <w:sz w:val="24"/>
        </w:rPr>
        <w:t xml:space="preserve"> </w:t>
      </w:r>
      <w:r w:rsidR="00A04075">
        <w:rPr>
          <w:rFonts w:ascii="Times New Roman Bold" w:hAnsi="Times New Roman Bold"/>
          <w:b/>
          <w:caps/>
          <w:sz w:val="24"/>
        </w:rPr>
        <w:t>petition</w:t>
      </w:r>
      <w:r w:rsidR="00476279">
        <w:rPr>
          <w:rFonts w:ascii="Times New Roman Bold" w:hAnsi="Times New Roman Bold"/>
          <w:b/>
          <w:caps/>
          <w:sz w:val="24"/>
        </w:rPr>
        <w:t>s</w:t>
      </w:r>
      <w:r w:rsidR="00A04075">
        <w:rPr>
          <w:rFonts w:ascii="Times New Roman Bold" w:hAnsi="Times New Roman Bold"/>
          <w:b/>
          <w:caps/>
          <w:sz w:val="24"/>
        </w:rPr>
        <w:t xml:space="preserve"> for reconsideration</w:t>
      </w:r>
    </w:p>
    <w:p w:rsidR="00BA3BA8" w14:paraId="4A75CD53" w14:textId="42EF01D8">
      <w:pPr>
        <w:jc w:val="center"/>
        <w:rPr>
          <w:b/>
          <w:sz w:val="24"/>
        </w:rPr>
      </w:pPr>
      <w:r>
        <w:rPr>
          <w:b/>
          <w:sz w:val="24"/>
        </w:rPr>
        <w:t>GN Docket No</w:t>
      </w:r>
      <w:r w:rsidR="0075344C">
        <w:rPr>
          <w:b/>
          <w:sz w:val="24"/>
        </w:rPr>
        <w:t>s</w:t>
      </w:r>
      <w:r>
        <w:rPr>
          <w:b/>
          <w:sz w:val="24"/>
        </w:rPr>
        <w:t>. 18-122</w:t>
      </w:r>
      <w:r w:rsidR="003D5258">
        <w:rPr>
          <w:b/>
          <w:sz w:val="24"/>
        </w:rPr>
        <w:t xml:space="preserve"> and</w:t>
      </w:r>
      <w:r w:rsidR="0075344C">
        <w:rPr>
          <w:b/>
          <w:sz w:val="24"/>
        </w:rPr>
        <w:t xml:space="preserve"> 25-59</w:t>
      </w:r>
    </w:p>
    <w:p w:rsidR="00BA3BA8" w14:paraId="2452D893" w14:textId="77777777">
      <w:bookmarkStart w:id="0" w:name="TOChere"/>
    </w:p>
    <w:p w:rsidR="00BA3BA8" w:rsidRPr="007119C0" w14:paraId="194B36B4" w14:textId="6F55B7EB">
      <w:pPr>
        <w:rPr>
          <w:b/>
          <w:bCs/>
        </w:rPr>
      </w:pPr>
      <w:r w:rsidRPr="007119C0">
        <w:rPr>
          <w:b/>
          <w:bCs/>
        </w:rPr>
        <w:t xml:space="preserve">Comments Due:  </w:t>
      </w:r>
      <w:r w:rsidRPr="00B7456C" w:rsidR="00C662F9">
        <w:rPr>
          <w:b/>
          <w:bCs/>
        </w:rPr>
        <w:t>2</w:t>
      </w:r>
      <w:r w:rsidRPr="00B7456C" w:rsidR="0075344C">
        <w:rPr>
          <w:b/>
          <w:bCs/>
        </w:rPr>
        <w:t>0</w:t>
      </w:r>
      <w:r w:rsidR="0075344C">
        <w:rPr>
          <w:b/>
          <w:bCs/>
        </w:rPr>
        <w:t xml:space="preserve"> days after </w:t>
      </w:r>
      <w:r w:rsidR="003B5B30">
        <w:rPr>
          <w:b/>
          <w:bCs/>
        </w:rPr>
        <w:t xml:space="preserve">date of </w:t>
      </w:r>
      <w:r w:rsidR="0075344C">
        <w:rPr>
          <w:b/>
          <w:bCs/>
        </w:rPr>
        <w:t>publication</w:t>
      </w:r>
      <w:r w:rsidR="001902F5">
        <w:rPr>
          <w:b/>
          <w:bCs/>
        </w:rPr>
        <w:t xml:space="preserve"> in the Federal Register</w:t>
      </w:r>
    </w:p>
    <w:p w:rsidR="007119C0" w14:paraId="7516BE14" w14:textId="77777777"/>
    <w:p w:rsidR="00761E32" w:rsidP="00A4013C" w14:paraId="2F7371C6" w14:textId="692A3085">
      <w:pPr>
        <w:widowControl/>
      </w:pPr>
      <w:r>
        <w:tab/>
        <w:t xml:space="preserve">By this Public Notice, the Wireless Telecommunications Bureau (Bureau) seeks to refresh the record </w:t>
      </w:r>
      <w:r w:rsidR="00F62843">
        <w:t>on</w:t>
      </w:r>
      <w:r>
        <w:t xml:space="preserve"> </w:t>
      </w:r>
      <w:r w:rsidR="00B67FBE">
        <w:t>pending petition</w:t>
      </w:r>
      <w:r w:rsidR="007865B6">
        <w:t>s</w:t>
      </w:r>
      <w:r w:rsidR="00B67FBE">
        <w:t xml:space="preserve"> for reconsideration </w:t>
      </w:r>
      <w:r w:rsidR="002362DE">
        <w:t xml:space="preserve">of the Commission’s </w:t>
      </w:r>
      <w:r w:rsidRPr="00823ED0" w:rsidR="002362DE">
        <w:rPr>
          <w:i/>
          <w:iCs/>
        </w:rPr>
        <w:t xml:space="preserve">2020 </w:t>
      </w:r>
      <w:r w:rsidRPr="00823ED0" w:rsidR="00823ED0">
        <w:rPr>
          <w:i/>
          <w:iCs/>
        </w:rPr>
        <w:t xml:space="preserve">C-band </w:t>
      </w:r>
      <w:r w:rsidR="00217041">
        <w:rPr>
          <w:i/>
          <w:iCs/>
        </w:rPr>
        <w:t>R&amp;O</w:t>
      </w:r>
      <w:r>
        <w:rPr>
          <w:rStyle w:val="FootnoteReference"/>
        </w:rPr>
        <w:footnoteReference w:id="3"/>
      </w:r>
      <w:r w:rsidR="00823ED0">
        <w:t xml:space="preserve"> </w:t>
      </w:r>
      <w:r w:rsidR="007865B6">
        <w:t xml:space="preserve">in light of certain technical proposals in the </w:t>
      </w:r>
      <w:r w:rsidR="007865B6">
        <w:rPr>
          <w:i/>
          <w:iCs/>
        </w:rPr>
        <w:t>Upper C-band NPRM</w:t>
      </w:r>
      <w:r>
        <w:rPr>
          <w:rStyle w:val="FootnoteReference"/>
        </w:rPr>
        <w:footnoteReference w:id="4"/>
      </w:r>
      <w:r w:rsidRPr="00CB2548" w:rsidR="007865B6">
        <w:t xml:space="preserve"> </w:t>
      </w:r>
      <w:r w:rsidR="007865B6">
        <w:t xml:space="preserve">and the responsive record thereto seeking a harmonized approach across the entire C-band.  In particular, we seek to refresh the record on a petition for partial reconsideration </w:t>
      </w:r>
      <w:r w:rsidR="00B659DD">
        <w:t xml:space="preserve">that was </w:t>
      </w:r>
      <w:r w:rsidR="00B67FBE">
        <w:t>filed by the Aerospace Industries Association and others</w:t>
      </w:r>
      <w:r w:rsidR="00EE53CB">
        <w:t xml:space="preserve"> </w:t>
      </w:r>
      <w:r w:rsidR="00F5786A">
        <w:t>(</w:t>
      </w:r>
      <w:r w:rsidRPr="001801FB" w:rsidR="00F5786A">
        <w:t>AIA Petition</w:t>
      </w:r>
      <w:r w:rsidR="00F5786A">
        <w:t xml:space="preserve">) </w:t>
      </w:r>
      <w:r w:rsidR="00EE53CB">
        <w:t>with respect to technical issues</w:t>
      </w:r>
      <w:r w:rsidR="00341B06">
        <w:t xml:space="preserve"> </w:t>
      </w:r>
      <w:r w:rsidR="00BC195A">
        <w:t xml:space="preserve">in the </w:t>
      </w:r>
      <w:r w:rsidR="00206AC7">
        <w:t xml:space="preserve">3.7–3.98 GHz band (Lower C-band) </w:t>
      </w:r>
      <w:r w:rsidR="00BC195A">
        <w:t xml:space="preserve">context </w:t>
      </w:r>
      <w:r w:rsidR="00B659DD">
        <w:t xml:space="preserve">that </w:t>
      </w:r>
      <w:r w:rsidR="002560EC">
        <w:t xml:space="preserve">have </w:t>
      </w:r>
      <w:r w:rsidR="00341B06">
        <w:t>also</w:t>
      </w:r>
      <w:r w:rsidR="00EE53CB">
        <w:t xml:space="preserve"> </w:t>
      </w:r>
      <w:r w:rsidR="002560EC">
        <w:t xml:space="preserve">been </w:t>
      </w:r>
      <w:r w:rsidR="00EE53CB">
        <w:t>raised in the</w:t>
      </w:r>
      <w:r w:rsidR="008E6034">
        <w:t xml:space="preserve"> Commission’s</w:t>
      </w:r>
      <w:r w:rsidR="00EE53CB">
        <w:t xml:space="preserve"> </w:t>
      </w:r>
      <w:r w:rsidR="00423E6A">
        <w:rPr>
          <w:i/>
          <w:iCs/>
        </w:rPr>
        <w:t>Upper C-band NPRM</w:t>
      </w:r>
      <w:r w:rsidR="000A5E93">
        <w:t>.</w:t>
      </w:r>
      <w:r>
        <w:rPr>
          <w:rStyle w:val="FootnoteReference"/>
        </w:rPr>
        <w:footnoteReference w:id="5"/>
      </w:r>
      <w:r w:rsidR="000A5E93">
        <w:t xml:space="preserve"> </w:t>
      </w:r>
      <w:r w:rsidR="00B67FBE">
        <w:t xml:space="preserve"> </w:t>
      </w:r>
      <w:r w:rsidR="007865B6">
        <w:t>T</w:t>
      </w:r>
      <w:r w:rsidR="00103F53">
        <w:t xml:space="preserve">he </w:t>
      </w:r>
      <w:r w:rsidRPr="001801FB" w:rsidR="00103F53">
        <w:t>AIA Petition</w:t>
      </w:r>
      <w:r w:rsidR="00103F53">
        <w:t xml:space="preserve"> </w:t>
      </w:r>
      <w:r w:rsidR="00A624C7">
        <w:t>asks that the Commission tak</w:t>
      </w:r>
      <w:r w:rsidR="00093DB7">
        <w:t>e “appropriate mitigation measures</w:t>
      </w:r>
      <w:r w:rsidR="000003BA">
        <w:t>…</w:t>
      </w:r>
      <w:r w:rsidR="001423E5">
        <w:t>including limitations on technical parameters,</w:t>
      </w:r>
      <w:r w:rsidR="000003BA">
        <w:t>”</w:t>
      </w:r>
      <w:r>
        <w:rPr>
          <w:rStyle w:val="FootnoteReference"/>
        </w:rPr>
        <w:footnoteReference w:id="6"/>
      </w:r>
      <w:r w:rsidR="001423E5">
        <w:t xml:space="preserve"> </w:t>
      </w:r>
      <w:r w:rsidR="00201C71">
        <w:t xml:space="preserve">with regard to </w:t>
      </w:r>
      <w:r w:rsidR="00CC73C9">
        <w:t xml:space="preserve">terrestrial wireless </w:t>
      </w:r>
      <w:r w:rsidR="00201C71">
        <w:t xml:space="preserve">operations in the </w:t>
      </w:r>
      <w:r w:rsidR="00517758">
        <w:t>Lower C-band</w:t>
      </w:r>
      <w:r w:rsidR="00201C71">
        <w:t xml:space="preserve"> </w:t>
      </w:r>
      <w:r w:rsidR="00944E1F">
        <w:t>in recognition of</w:t>
      </w:r>
      <w:r w:rsidR="00384C9C">
        <w:t xml:space="preserve"> rad</w:t>
      </w:r>
      <w:r w:rsidR="008A0823">
        <w:t>io</w:t>
      </w:r>
      <w:r w:rsidR="00384C9C">
        <w:t xml:space="preserve"> altimeter </w:t>
      </w:r>
      <w:r w:rsidR="00236C69">
        <w:t xml:space="preserve">operations </w:t>
      </w:r>
      <w:r w:rsidR="00384C9C">
        <w:t xml:space="preserve">in the </w:t>
      </w:r>
      <w:r w:rsidR="00CC73C9">
        <w:t>4</w:t>
      </w:r>
      <w:r w:rsidR="00384C9C">
        <w:t>.2</w:t>
      </w:r>
      <w:r w:rsidR="000E126E">
        <w:t>–</w:t>
      </w:r>
      <w:r w:rsidR="00384C9C">
        <w:t>4.4 GHz band.</w:t>
      </w:r>
      <w:r>
        <w:rPr>
          <w:rStyle w:val="FootnoteReference"/>
        </w:rPr>
        <w:footnoteReference w:id="7"/>
      </w:r>
      <w:bookmarkEnd w:id="0"/>
      <w:r w:rsidR="00066A2E">
        <w:t xml:space="preserve">  </w:t>
      </w:r>
      <w:r w:rsidR="006B68C5">
        <w:t xml:space="preserve">The Bureau also seeks to refresh the record on additional outstanding petitions for reconsideration of the </w:t>
      </w:r>
      <w:r w:rsidRPr="003747D2" w:rsidR="006B68C5">
        <w:rPr>
          <w:i/>
          <w:iCs/>
        </w:rPr>
        <w:t>2020 C-band R&amp;O</w:t>
      </w:r>
      <w:r w:rsidR="006B68C5">
        <w:t>, to the extent they remain applicable.</w:t>
      </w:r>
      <w:r>
        <w:rPr>
          <w:rStyle w:val="FootnoteReference"/>
        </w:rPr>
        <w:footnoteReference w:id="8"/>
      </w:r>
    </w:p>
    <w:p w:rsidR="001C1D1A" w:rsidP="00A4013C" w14:paraId="5AE289EF" w14:textId="77777777">
      <w:pPr>
        <w:widowControl/>
      </w:pPr>
    </w:p>
    <w:p w:rsidR="003B0B20" w:rsidP="00946412" w14:paraId="4BA2E18D" w14:textId="4417E5C7">
      <w:pPr>
        <w:widowControl/>
        <w:spacing w:line="259" w:lineRule="auto"/>
        <w:ind w:firstLine="720"/>
      </w:pPr>
      <w:r w:rsidRPr="00D479C6">
        <w:t xml:space="preserve">In the </w:t>
      </w:r>
      <w:r w:rsidRPr="00D479C6">
        <w:rPr>
          <w:i/>
          <w:iCs/>
        </w:rPr>
        <w:t>Upper C-band NPRM</w:t>
      </w:r>
      <w:r w:rsidRPr="00D479C6">
        <w:t>, t</w:t>
      </w:r>
      <w:r w:rsidRPr="00D479C6" w:rsidR="00EA0702">
        <w:t xml:space="preserve">he Commission </w:t>
      </w:r>
      <w:r w:rsidR="002A7B86">
        <w:t>sought</w:t>
      </w:r>
      <w:r w:rsidR="002C3137">
        <w:t xml:space="preserve"> comment on </w:t>
      </w:r>
      <w:r w:rsidR="00007B19">
        <w:t>proposed</w:t>
      </w:r>
      <w:r w:rsidRPr="00E00435" w:rsidR="007B7608">
        <w:t xml:space="preserve"> </w:t>
      </w:r>
      <w:r w:rsidRPr="00E00435" w:rsidR="005C24C7">
        <w:t xml:space="preserve">technical rules </w:t>
      </w:r>
      <w:r w:rsidR="00314FD0">
        <w:t xml:space="preserve">for the Upper C-band </w:t>
      </w:r>
      <w:r w:rsidR="00737252">
        <w:t xml:space="preserve">based on those </w:t>
      </w:r>
      <w:r w:rsidR="002870B2">
        <w:t>that currently apply</w:t>
      </w:r>
      <w:r w:rsidR="00737252">
        <w:t xml:space="preserve"> to </w:t>
      </w:r>
      <w:r w:rsidR="002962E7">
        <w:t xml:space="preserve">the </w:t>
      </w:r>
      <w:r w:rsidR="00737252">
        <w:t>Lower C-band</w:t>
      </w:r>
      <w:r w:rsidR="00314FD0">
        <w:t>,</w:t>
      </w:r>
      <w:r w:rsidR="00737252">
        <w:t xml:space="preserve"> and</w:t>
      </w:r>
      <w:r w:rsidR="00780ADA">
        <w:t xml:space="preserve"> </w:t>
      </w:r>
      <w:r w:rsidR="008C4FCB">
        <w:t>ask</w:t>
      </w:r>
      <w:r w:rsidR="002A7B86">
        <w:t>ed</w:t>
      </w:r>
      <w:r w:rsidR="008C4FCB">
        <w:t xml:space="preserve"> </w:t>
      </w:r>
      <w:r w:rsidR="00566A0D">
        <w:t>whether</w:t>
      </w:r>
      <w:r w:rsidR="00780ADA">
        <w:t xml:space="preserve"> </w:t>
      </w:r>
      <w:r w:rsidR="00D575A6">
        <w:t xml:space="preserve">to </w:t>
      </w:r>
      <w:r w:rsidRPr="00E00435" w:rsidR="005C24C7">
        <w:t>harmoniz</w:t>
      </w:r>
      <w:r w:rsidR="00D575A6">
        <w:t>e</w:t>
      </w:r>
      <w:r w:rsidRPr="00E00435" w:rsidR="005C24C7">
        <w:t xml:space="preserve"> the </w:t>
      </w:r>
      <w:r w:rsidR="00FD7D66">
        <w:t xml:space="preserve">wireless </w:t>
      </w:r>
      <w:r w:rsidRPr="00E00435" w:rsidR="005C24C7">
        <w:t xml:space="preserve">operational environment across the </w:t>
      </w:r>
      <w:r w:rsidR="00314FD0">
        <w:t xml:space="preserve">entire </w:t>
      </w:r>
      <w:r w:rsidRPr="00E00435" w:rsidR="005C24C7">
        <w:t>C-band.</w:t>
      </w:r>
      <w:r>
        <w:rPr>
          <w:rStyle w:val="FootnoteReference"/>
        </w:rPr>
        <w:footnoteReference w:id="9"/>
      </w:r>
      <w:r w:rsidRPr="00D479C6" w:rsidR="000C662F">
        <w:t xml:space="preserve">  </w:t>
      </w:r>
      <w:r w:rsidR="008B0CF2">
        <w:t>In particular, the Commission ask</w:t>
      </w:r>
      <w:r w:rsidR="002A7B86">
        <w:t>ed</w:t>
      </w:r>
      <w:r w:rsidR="008B0CF2">
        <w:t xml:space="preserve"> whether </w:t>
      </w:r>
      <w:r w:rsidR="000F5397">
        <w:t xml:space="preserve">the </w:t>
      </w:r>
      <w:r w:rsidR="00D32E7E">
        <w:t xml:space="preserve">proposed </w:t>
      </w:r>
      <w:r w:rsidR="007323CE">
        <w:t xml:space="preserve">Upper C-band </w:t>
      </w:r>
      <w:r w:rsidR="002B778A">
        <w:t>technical rules</w:t>
      </w:r>
      <w:r w:rsidR="00891234">
        <w:t xml:space="preserve">, including </w:t>
      </w:r>
      <w:r w:rsidR="00013942">
        <w:t xml:space="preserve">power levels </w:t>
      </w:r>
      <w:r w:rsidR="00891234">
        <w:t>and</w:t>
      </w:r>
      <w:r w:rsidR="00013942">
        <w:t xml:space="preserve"> OOBE limits</w:t>
      </w:r>
      <w:r w:rsidR="00891234">
        <w:t>,</w:t>
      </w:r>
      <w:r w:rsidR="00013942">
        <w:t xml:space="preserve"> should be adjusted to promote coexistence with radio altimeters in the 4.2–4.4 GHz band.</w:t>
      </w:r>
      <w:r>
        <w:rPr>
          <w:rStyle w:val="FootnoteReference"/>
        </w:rPr>
        <w:footnoteReference w:id="10"/>
      </w:r>
      <w:r w:rsidR="00013942">
        <w:t xml:space="preserve">  </w:t>
      </w:r>
      <w:r w:rsidR="00265165">
        <w:t>With th</w:t>
      </w:r>
      <w:r w:rsidR="007A6836">
        <w:t>e</w:t>
      </w:r>
      <w:r w:rsidR="00265165">
        <w:t>s</w:t>
      </w:r>
      <w:r w:rsidR="007A6836">
        <w:t>e</w:t>
      </w:r>
      <w:r w:rsidR="00265165">
        <w:t xml:space="preserve"> goal</w:t>
      </w:r>
      <w:r w:rsidR="007A6836">
        <w:t>s</w:t>
      </w:r>
      <w:r w:rsidR="00265165">
        <w:t xml:space="preserve"> in mind, the </w:t>
      </w:r>
      <w:r w:rsidR="00DC694B">
        <w:t>Bureau</w:t>
      </w:r>
      <w:r w:rsidR="0093511A">
        <w:t xml:space="preserve"> </w:t>
      </w:r>
      <w:r w:rsidR="00665726">
        <w:t xml:space="preserve">seeks </w:t>
      </w:r>
      <w:r w:rsidR="00216F02">
        <w:t xml:space="preserve">to refresh the record </w:t>
      </w:r>
      <w:r w:rsidR="00FE63F4">
        <w:t>in response</w:t>
      </w:r>
      <w:r w:rsidR="00735A88">
        <w:t xml:space="preserve"> to the </w:t>
      </w:r>
      <w:r w:rsidRPr="001801FB" w:rsidR="00735A88">
        <w:t>AIA Petition</w:t>
      </w:r>
      <w:r w:rsidR="00735A88">
        <w:t xml:space="preserve"> </w:t>
      </w:r>
      <w:r w:rsidR="00476279">
        <w:t xml:space="preserve">and others </w:t>
      </w:r>
      <w:r w:rsidR="00735A88">
        <w:t xml:space="preserve">in the Lower C-band proceeding </w:t>
      </w:r>
      <w:r w:rsidR="00125AAB">
        <w:t>on</w:t>
      </w:r>
      <w:r w:rsidR="00B45ADF">
        <w:t xml:space="preserve"> </w:t>
      </w:r>
      <w:r w:rsidR="0068489E">
        <w:t xml:space="preserve">these </w:t>
      </w:r>
      <w:r w:rsidR="00A124CD">
        <w:t xml:space="preserve">technical </w:t>
      </w:r>
      <w:r w:rsidR="00E41675">
        <w:t xml:space="preserve">issues.  </w:t>
      </w:r>
      <w:r w:rsidR="00C60220">
        <w:t xml:space="preserve">In specific, we seek </w:t>
      </w:r>
      <w:r w:rsidR="007A6836">
        <w:t xml:space="preserve">to refresh the record </w:t>
      </w:r>
      <w:r w:rsidR="00C60220">
        <w:t xml:space="preserve">on </w:t>
      </w:r>
      <w:r w:rsidR="00CA4C1B">
        <w:t>a</w:t>
      </w:r>
      <w:r w:rsidR="00653804">
        <w:t>n appropriate</w:t>
      </w:r>
      <w:r w:rsidR="00CA4C1B">
        <w:t xml:space="preserve"> limit on spurious emissions into 4.2–4.4 GHz for</w:t>
      </w:r>
      <w:r w:rsidR="005C32CC">
        <w:t xml:space="preserve"> Lower C-band</w:t>
      </w:r>
      <w:r w:rsidR="00CA4C1B">
        <w:t xml:space="preserve"> operations</w:t>
      </w:r>
      <w:r w:rsidR="005C32CC">
        <w:t xml:space="preserve"> </w:t>
      </w:r>
      <w:r w:rsidR="002E32C6">
        <w:t xml:space="preserve">in light of </w:t>
      </w:r>
      <w:r w:rsidR="00F432D2">
        <w:t>related discussions</w:t>
      </w:r>
      <w:r w:rsidR="006452DC">
        <w:t xml:space="preserve"> </w:t>
      </w:r>
      <w:r w:rsidR="00F432D2">
        <w:t>with respect to</w:t>
      </w:r>
      <w:r w:rsidR="006452DC">
        <w:t xml:space="preserve"> </w:t>
      </w:r>
      <w:r w:rsidR="00CA4C1B">
        <w:t>the Upper C-band</w:t>
      </w:r>
      <w:r w:rsidR="00914348">
        <w:t>,</w:t>
      </w:r>
      <w:r>
        <w:rPr>
          <w:rStyle w:val="FootnoteReference"/>
        </w:rPr>
        <w:footnoteReference w:id="11"/>
      </w:r>
      <w:r w:rsidR="00DA5361">
        <w:t xml:space="preserve"> </w:t>
      </w:r>
      <w:r w:rsidR="00CA4C1B">
        <w:t xml:space="preserve">and </w:t>
      </w:r>
      <w:r w:rsidR="00FD1DF3">
        <w:t>proposal</w:t>
      </w:r>
      <w:r w:rsidR="00F432D2">
        <w:t>s</w:t>
      </w:r>
      <w:r w:rsidR="00FD1DF3">
        <w:t xml:space="preserve"> to</w:t>
      </w:r>
      <w:r w:rsidR="00DA5361">
        <w:t xml:space="preserve"> </w:t>
      </w:r>
      <w:r w:rsidR="00706549">
        <w:t>adopt a 4</w:t>
      </w:r>
      <w:r w:rsidR="00F54C86">
        <w:t xml:space="preserve"> W</w:t>
      </w:r>
      <w:r w:rsidR="000E1BF1">
        <w:t>att</w:t>
      </w:r>
      <w:r w:rsidR="00F3535A">
        <w:t xml:space="preserve"> Effective Isotropic Radiated Power </w:t>
      </w:r>
      <w:r w:rsidR="00802412">
        <w:t xml:space="preserve">(EIRP) </w:t>
      </w:r>
      <w:r w:rsidR="00F3535A">
        <w:t>limit for mobile devices</w:t>
      </w:r>
      <w:r w:rsidR="00F432D2">
        <w:t xml:space="preserve"> across both bands</w:t>
      </w:r>
      <w:r w:rsidR="00274BFD">
        <w:t>.</w:t>
      </w:r>
      <w:r>
        <w:rPr>
          <w:rStyle w:val="FootnoteReference"/>
        </w:rPr>
        <w:footnoteReference w:id="12"/>
      </w:r>
      <w:r w:rsidR="00E95289">
        <w:t xml:space="preserve"> </w:t>
      </w:r>
      <w:r w:rsidR="0097010D">
        <w:t xml:space="preserve"> </w:t>
      </w:r>
      <w:r w:rsidR="00FD1C88">
        <w:t>T</w:t>
      </w:r>
      <w:r w:rsidR="002A6497">
        <w:t xml:space="preserve">he Bureau </w:t>
      </w:r>
      <w:r w:rsidR="00FD1C88">
        <w:t xml:space="preserve">also </w:t>
      </w:r>
      <w:r w:rsidR="002A6497">
        <w:t xml:space="preserve">seeks </w:t>
      </w:r>
      <w:r w:rsidR="00AD0C08">
        <w:t xml:space="preserve">to refresh the record </w:t>
      </w:r>
      <w:r w:rsidR="002A6497">
        <w:t xml:space="preserve">on any </w:t>
      </w:r>
      <w:r w:rsidR="00AD0C08">
        <w:t>other</w:t>
      </w:r>
      <w:r w:rsidR="002A6497">
        <w:t xml:space="preserve"> </w:t>
      </w:r>
      <w:r w:rsidR="002B4E27">
        <w:t xml:space="preserve">appropriate </w:t>
      </w:r>
      <w:r w:rsidR="002A6497">
        <w:t xml:space="preserve">rule changes </w:t>
      </w:r>
      <w:r w:rsidR="007A6836">
        <w:t>to</w:t>
      </w:r>
      <w:r w:rsidR="00F43347">
        <w:t xml:space="preserve"> align the wireless operational environment in the Lower C-band and Upper C-band</w:t>
      </w:r>
      <w:r w:rsidR="00694222">
        <w:t xml:space="preserve">.  </w:t>
      </w:r>
      <w:r>
        <w:t xml:space="preserve">Commenters are encouraged to provide technical details in support of their submissions.  Commenters should also address the costs and benefits of </w:t>
      </w:r>
      <w:r w:rsidR="00D71E03">
        <w:t xml:space="preserve">potentially </w:t>
      </w:r>
      <w:r>
        <w:t xml:space="preserve">changing </w:t>
      </w:r>
      <w:r w:rsidR="00194E88">
        <w:t xml:space="preserve">any technical </w:t>
      </w:r>
      <w:r w:rsidR="00674D7F">
        <w:t>requirements</w:t>
      </w:r>
      <w:r w:rsidR="00BD3388">
        <w:t xml:space="preserve"> </w:t>
      </w:r>
      <w:r w:rsidR="000C5A1E">
        <w:t xml:space="preserve">currently applicable </w:t>
      </w:r>
      <w:r w:rsidR="00BD3388">
        <w:t>in the Lower C-band</w:t>
      </w:r>
      <w:r w:rsidR="00D71E03">
        <w:t xml:space="preserve"> to better align </w:t>
      </w:r>
      <w:r w:rsidR="0032537A">
        <w:t>with proposed requirements applicable to the Upper C-band</w:t>
      </w:r>
      <w:r>
        <w:t>.</w:t>
      </w:r>
    </w:p>
    <w:p w:rsidR="00B4308D" w:rsidP="00B4308D" w14:paraId="6BE88CCD" w14:textId="77777777"/>
    <w:p w:rsidR="00B4308D" w:rsidRPr="00B4308D" w:rsidP="00B4308D" w14:paraId="58D3EEED" w14:textId="5643DDEC">
      <w:pPr>
        <w:rPr>
          <w:b/>
          <w:bCs/>
        </w:rPr>
      </w:pPr>
      <w:r w:rsidRPr="00B4308D">
        <w:rPr>
          <w:b/>
          <w:bCs/>
        </w:rPr>
        <w:t>Procedural Matters</w:t>
      </w:r>
    </w:p>
    <w:p w:rsidR="00B4308D" w:rsidP="00B4308D" w14:paraId="5F0B3900" w14:textId="77777777"/>
    <w:p w:rsidR="00C46D41" w:rsidRPr="00D95D5C" w:rsidP="00C46D41" w14:paraId="0D58E5AC" w14:textId="2EDC12D1">
      <w:pPr>
        <w:widowControl/>
        <w:spacing w:after="120"/>
        <w:ind w:firstLine="720"/>
        <w:rPr>
          <w:szCs w:val="22"/>
        </w:rPr>
      </w:pPr>
      <w:r w:rsidRPr="00D95D5C">
        <w:rPr>
          <w:i/>
          <w:iCs/>
          <w:szCs w:val="22"/>
        </w:rPr>
        <w:t>Filing Requirements.</w:t>
      </w:r>
      <w:r w:rsidRPr="003A75EA">
        <w:rPr>
          <w:szCs w:val="22"/>
        </w:rPr>
        <w:t xml:space="preserve">  </w:t>
      </w:r>
      <w:r w:rsidRPr="00D95D5C">
        <w:rPr>
          <w:szCs w:val="22"/>
        </w:rPr>
        <w:t xml:space="preserve">Interested parties may file comments and reply comments on or before the dates indicated on the first page of this document and must reference </w:t>
      </w:r>
      <w:r>
        <w:rPr>
          <w:szCs w:val="22"/>
        </w:rPr>
        <w:t>GN</w:t>
      </w:r>
      <w:r w:rsidRPr="00B34280">
        <w:rPr>
          <w:szCs w:val="22"/>
        </w:rPr>
        <w:t xml:space="preserve"> Docket No</w:t>
      </w:r>
      <w:r w:rsidR="00DE2809">
        <w:rPr>
          <w:szCs w:val="22"/>
        </w:rPr>
        <w:t>s.</w:t>
      </w:r>
      <w:r w:rsidRPr="00B34280">
        <w:rPr>
          <w:szCs w:val="22"/>
        </w:rPr>
        <w:t xml:space="preserve"> </w:t>
      </w:r>
      <w:r>
        <w:rPr>
          <w:szCs w:val="22"/>
        </w:rPr>
        <w:t>18-122</w:t>
      </w:r>
      <w:r w:rsidR="00DE2809">
        <w:rPr>
          <w:szCs w:val="22"/>
        </w:rPr>
        <w:t xml:space="preserve"> and 25-59</w:t>
      </w:r>
      <w:r w:rsidRPr="00D95D5C">
        <w:rPr>
          <w:szCs w:val="22"/>
        </w:rPr>
        <w:t>.  Comments may be filed using the Commission’s Electronic Comment Filing System (ECFS).</w:t>
      </w:r>
    </w:p>
    <w:p w:rsidR="00C46D41" w:rsidRPr="00D95D5C" w:rsidP="00C46D41" w14:paraId="266FBB12" w14:textId="77777777">
      <w:pPr>
        <w:widowControl/>
        <w:numPr>
          <w:ilvl w:val="0"/>
          <w:numId w:val="8"/>
        </w:numPr>
        <w:spacing w:after="120"/>
        <w:rPr>
          <w:szCs w:val="22"/>
        </w:rPr>
      </w:pPr>
      <w:r w:rsidRPr="00D95D5C">
        <w:rPr>
          <w:i/>
          <w:szCs w:val="22"/>
        </w:rPr>
        <w:t>Electronic Filers</w:t>
      </w:r>
      <w:r w:rsidRPr="001C20A6">
        <w:rPr>
          <w:i/>
          <w:iCs/>
          <w:szCs w:val="22"/>
        </w:rPr>
        <w:t>:</w:t>
      </w:r>
      <w:r w:rsidRPr="00D95D5C">
        <w:rPr>
          <w:szCs w:val="22"/>
        </w:rPr>
        <w:t xml:space="preserve"> </w:t>
      </w:r>
      <w:r>
        <w:rPr>
          <w:szCs w:val="22"/>
        </w:rPr>
        <w:t xml:space="preserve"> </w:t>
      </w:r>
      <w:r w:rsidRPr="00D95D5C">
        <w:rPr>
          <w:szCs w:val="22"/>
        </w:rPr>
        <w:t xml:space="preserve">Comments may be filed electronically using the Internet by accessing the ECFS: </w:t>
      </w:r>
      <w:hyperlink r:id="rId6">
        <w:r w:rsidRPr="00D95D5C">
          <w:rPr>
            <w:rStyle w:val="Hyperlink"/>
            <w:szCs w:val="22"/>
          </w:rPr>
          <w:t>https://www.fcc.gov/ecfs</w:t>
        </w:r>
      </w:hyperlink>
      <w:r w:rsidRPr="00D95D5C">
        <w:rPr>
          <w:szCs w:val="22"/>
        </w:rPr>
        <w:t>.</w:t>
      </w:r>
    </w:p>
    <w:p w:rsidR="00C46D41" w:rsidRPr="00D95D5C" w:rsidP="00C46D41" w14:paraId="2768753C" w14:textId="77777777">
      <w:pPr>
        <w:widowControl/>
        <w:numPr>
          <w:ilvl w:val="0"/>
          <w:numId w:val="8"/>
        </w:numPr>
        <w:spacing w:after="120"/>
        <w:rPr>
          <w:szCs w:val="22"/>
        </w:rPr>
      </w:pPr>
      <w:r w:rsidRPr="00D95D5C">
        <w:rPr>
          <w:i/>
          <w:szCs w:val="22"/>
        </w:rPr>
        <w:t>Paper Filers</w:t>
      </w:r>
      <w:r w:rsidRPr="001C20A6">
        <w:rPr>
          <w:i/>
          <w:iCs/>
          <w:szCs w:val="22"/>
        </w:rPr>
        <w:t>:</w:t>
      </w:r>
      <w:r>
        <w:rPr>
          <w:szCs w:val="22"/>
        </w:rPr>
        <w:t xml:space="preserve"> </w:t>
      </w:r>
      <w:r w:rsidRPr="00D95D5C">
        <w:rPr>
          <w:szCs w:val="22"/>
        </w:rPr>
        <w:t xml:space="preserve"> Parties filing by paper must file an original and one copy of each filing.</w:t>
      </w:r>
    </w:p>
    <w:p w:rsidR="00C46D41" w:rsidRPr="00D95D5C" w:rsidP="00C46D41" w14:paraId="6D665483" w14:textId="77777777">
      <w:pPr>
        <w:pStyle w:val="ListParagraph"/>
        <w:widowControl/>
        <w:numPr>
          <w:ilvl w:val="0"/>
          <w:numId w:val="9"/>
        </w:numPr>
        <w:spacing w:after="120"/>
        <w:contextualSpacing w:val="0"/>
        <w:rPr>
          <w:b/>
          <w:bCs/>
          <w:iCs/>
          <w:szCs w:val="22"/>
        </w:rPr>
      </w:pPr>
      <w:r w:rsidRPr="00D95D5C">
        <w:rPr>
          <w:iCs/>
          <w:szCs w:val="22"/>
        </w:rPr>
        <w:t>Filings can be sent by hand or messenger delivery, by commercial courier, or by the U.S. Postal Service</w:t>
      </w:r>
      <w:r w:rsidRPr="001C2576">
        <w:rPr>
          <w:iCs/>
          <w:szCs w:val="22"/>
        </w:rPr>
        <w:t xml:space="preserve">.  </w:t>
      </w:r>
      <w:r w:rsidRPr="00D95D5C">
        <w:rPr>
          <w:b/>
          <w:bCs/>
          <w:iCs/>
          <w:szCs w:val="22"/>
        </w:rPr>
        <w:t>All filings must be addressed to the Secretary, Federal Communications Commission.</w:t>
      </w:r>
    </w:p>
    <w:p w:rsidR="00C46D41" w:rsidRPr="00D95D5C" w:rsidP="00C46D41" w14:paraId="09C51E01" w14:textId="77777777">
      <w:pPr>
        <w:pStyle w:val="ListParagraph"/>
        <w:widowControl/>
        <w:numPr>
          <w:ilvl w:val="0"/>
          <w:numId w:val="9"/>
        </w:numPr>
        <w:spacing w:after="120"/>
        <w:contextualSpacing w:val="0"/>
        <w:rPr>
          <w:iCs/>
          <w:szCs w:val="22"/>
        </w:rPr>
      </w:pPr>
      <w:r w:rsidRPr="00D95D5C">
        <w:rPr>
          <w:iCs/>
          <w:szCs w:val="22"/>
        </w:rPr>
        <w:t>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w:t>
      </w:r>
    </w:p>
    <w:p w:rsidR="00C46D41" w:rsidRPr="00D95D5C" w:rsidP="00C46D41" w14:paraId="6A1CBBF1" w14:textId="77777777">
      <w:pPr>
        <w:pStyle w:val="ListParagraph"/>
        <w:widowControl/>
        <w:numPr>
          <w:ilvl w:val="0"/>
          <w:numId w:val="9"/>
        </w:numPr>
        <w:spacing w:after="120"/>
        <w:contextualSpacing w:val="0"/>
        <w:rPr>
          <w:iCs/>
          <w:szCs w:val="22"/>
        </w:rPr>
      </w:pPr>
      <w:r w:rsidRPr="00D95D5C">
        <w:rPr>
          <w:iCs/>
          <w:szCs w:val="22"/>
        </w:rPr>
        <w:t>Commercial courier deliveries (any deliveries not by the U.S. Postal Service) must be sent to 9050 Junction Drive, Annapolis Junction, MD 20701.</w:t>
      </w:r>
    </w:p>
    <w:p w:rsidR="00C46D41" w:rsidRPr="00D95D5C" w:rsidP="00C46D41" w14:paraId="6B62F380" w14:textId="77777777">
      <w:pPr>
        <w:pStyle w:val="ListParagraph"/>
        <w:widowControl/>
        <w:numPr>
          <w:ilvl w:val="0"/>
          <w:numId w:val="9"/>
        </w:numPr>
        <w:spacing w:after="120"/>
        <w:contextualSpacing w:val="0"/>
        <w:rPr>
          <w:iCs/>
          <w:szCs w:val="22"/>
        </w:rPr>
      </w:pPr>
      <w:r w:rsidRPr="00D95D5C">
        <w:rPr>
          <w:iCs/>
          <w:szCs w:val="22"/>
        </w:rPr>
        <w:t>Filings sent by U.S. Postal Service First-Class Mail, Priority Mail, and Priority Mail Express must be sent to 45 L Street NE, Washington, DC 20554.</w:t>
      </w:r>
    </w:p>
    <w:p w:rsidR="00C46D41" w:rsidP="00C46D41" w14:paraId="4E24655E" w14:textId="77777777">
      <w:pPr>
        <w:widowControl/>
        <w:autoSpaceDE w:val="0"/>
        <w:autoSpaceDN w:val="0"/>
        <w:adjustRightInd w:val="0"/>
        <w:spacing w:after="120"/>
        <w:ind w:firstLine="720"/>
        <w:rPr>
          <w:snapToGrid/>
          <w:color w:val="000000"/>
          <w:kern w:val="0"/>
          <w:szCs w:val="22"/>
        </w:rPr>
      </w:pPr>
      <w:r w:rsidRPr="00D95D5C">
        <w:rPr>
          <w:i/>
          <w:iCs/>
          <w:snapToGrid/>
          <w:color w:val="000000"/>
          <w:kern w:val="0"/>
          <w:szCs w:val="22"/>
        </w:rPr>
        <w:t>People with Disabilities</w:t>
      </w:r>
      <w:r w:rsidRPr="00D95D5C">
        <w:rPr>
          <w:snapToGrid/>
          <w:color w:val="000000"/>
          <w:kern w:val="0"/>
          <w:szCs w:val="22"/>
        </w:rPr>
        <w:t xml:space="preserve">.  To request materials in accessible formats for people with disabilities (braille, large print, electronic files, audio format), send an e-mail to </w:t>
      </w:r>
      <w:hyperlink r:id="rId7" w:history="1">
        <w:r w:rsidRPr="00D95D5C">
          <w:rPr>
            <w:rStyle w:val="Hyperlink"/>
            <w:snapToGrid/>
            <w:kern w:val="0"/>
            <w:szCs w:val="22"/>
          </w:rPr>
          <w:t>fcc504@fcc.gov</w:t>
        </w:r>
      </w:hyperlink>
      <w:r w:rsidRPr="00D95D5C">
        <w:rPr>
          <w:snapToGrid/>
          <w:color w:val="000000"/>
          <w:kern w:val="0"/>
          <w:szCs w:val="22"/>
        </w:rPr>
        <w:t xml:space="preserve"> or call the Consumer &amp; Governmental Affairs Bureau at 202-418-0530.</w:t>
      </w:r>
    </w:p>
    <w:p w:rsidR="00467EFA" w:rsidRPr="00D95D5C" w:rsidP="00C93211" w14:paraId="77A70767" w14:textId="0906799B">
      <w:pPr>
        <w:widowControl/>
        <w:autoSpaceDE w:val="0"/>
        <w:autoSpaceDN w:val="0"/>
        <w:adjustRightInd w:val="0"/>
        <w:spacing w:after="120"/>
        <w:ind w:firstLine="720"/>
        <w:rPr>
          <w:snapToGrid/>
          <w:color w:val="000000"/>
          <w:kern w:val="0"/>
          <w:szCs w:val="22"/>
        </w:rPr>
      </w:pPr>
      <w:r>
        <w:rPr>
          <w:i/>
          <w:iCs/>
          <w:snapToGrid/>
          <w:color w:val="000000"/>
          <w:kern w:val="0"/>
          <w:szCs w:val="22"/>
        </w:rPr>
        <w:t>Initial</w:t>
      </w:r>
      <w:r w:rsidRPr="00C93211">
        <w:rPr>
          <w:i/>
          <w:iCs/>
          <w:snapToGrid/>
          <w:color w:val="000000"/>
          <w:kern w:val="0"/>
          <w:szCs w:val="22"/>
        </w:rPr>
        <w:t xml:space="preserve"> Regulatory Flexibility Analysis</w:t>
      </w:r>
      <w:r w:rsidRPr="00467EFA">
        <w:rPr>
          <w:snapToGrid/>
          <w:color w:val="000000"/>
          <w:kern w:val="0"/>
          <w:szCs w:val="22"/>
        </w:rPr>
        <w:t xml:space="preserve">. </w:t>
      </w:r>
      <w:r w:rsidR="00C93211">
        <w:rPr>
          <w:snapToGrid/>
          <w:color w:val="000000"/>
          <w:kern w:val="0"/>
          <w:szCs w:val="22"/>
        </w:rPr>
        <w:t xml:space="preserve"> </w:t>
      </w:r>
      <w:r w:rsidRPr="00467EFA">
        <w:rPr>
          <w:snapToGrid/>
          <w:color w:val="000000"/>
          <w:kern w:val="0"/>
          <w:szCs w:val="22"/>
        </w:rPr>
        <w:t xml:space="preserve">The </w:t>
      </w:r>
      <w:r>
        <w:rPr>
          <w:i/>
          <w:iCs/>
          <w:snapToGrid/>
          <w:color w:val="000000"/>
          <w:kern w:val="0"/>
          <w:szCs w:val="22"/>
        </w:rPr>
        <w:t xml:space="preserve">Upper C-band NPRM </w:t>
      </w:r>
      <w:r w:rsidRPr="00467EFA">
        <w:rPr>
          <w:snapToGrid/>
          <w:color w:val="000000"/>
          <w:kern w:val="0"/>
          <w:szCs w:val="22"/>
        </w:rPr>
        <w:t>included a</w:t>
      </w:r>
      <w:r>
        <w:rPr>
          <w:snapToGrid/>
          <w:color w:val="000000"/>
          <w:kern w:val="0"/>
          <w:szCs w:val="22"/>
        </w:rPr>
        <w:t>n</w:t>
      </w:r>
      <w:r w:rsidRPr="00467EFA">
        <w:rPr>
          <w:snapToGrid/>
          <w:color w:val="000000"/>
          <w:kern w:val="0"/>
          <w:szCs w:val="22"/>
        </w:rPr>
        <w:t xml:space="preserve"> </w:t>
      </w:r>
      <w:r>
        <w:rPr>
          <w:snapToGrid/>
          <w:color w:val="000000"/>
          <w:kern w:val="0"/>
          <w:szCs w:val="22"/>
        </w:rPr>
        <w:t>Initial</w:t>
      </w:r>
      <w:r w:rsidRPr="00467EFA">
        <w:rPr>
          <w:snapToGrid/>
          <w:color w:val="000000"/>
          <w:kern w:val="0"/>
          <w:szCs w:val="22"/>
        </w:rPr>
        <w:t xml:space="preserve"> Regulatory</w:t>
      </w:r>
      <w:r w:rsidR="00C93211">
        <w:rPr>
          <w:snapToGrid/>
          <w:color w:val="000000"/>
          <w:kern w:val="0"/>
          <w:szCs w:val="22"/>
        </w:rPr>
        <w:t xml:space="preserve"> </w:t>
      </w:r>
      <w:r w:rsidRPr="00467EFA">
        <w:rPr>
          <w:snapToGrid/>
          <w:color w:val="000000"/>
          <w:kern w:val="0"/>
          <w:szCs w:val="22"/>
        </w:rPr>
        <w:t>Flexibility Analysis (</w:t>
      </w:r>
      <w:r>
        <w:rPr>
          <w:snapToGrid/>
          <w:color w:val="000000"/>
          <w:kern w:val="0"/>
          <w:szCs w:val="22"/>
        </w:rPr>
        <w:t>I</w:t>
      </w:r>
      <w:r w:rsidRPr="00467EFA">
        <w:rPr>
          <w:snapToGrid/>
          <w:color w:val="000000"/>
          <w:kern w:val="0"/>
          <w:szCs w:val="22"/>
        </w:rPr>
        <w:t>RFA) pursuant to 5 U.S.C. § 603, exploring the potential impact on small entities of</w:t>
      </w:r>
      <w:r w:rsidR="00C93211">
        <w:rPr>
          <w:snapToGrid/>
          <w:color w:val="000000"/>
          <w:kern w:val="0"/>
          <w:szCs w:val="22"/>
        </w:rPr>
        <w:t xml:space="preserve"> </w:t>
      </w:r>
      <w:r w:rsidRPr="00467EFA">
        <w:rPr>
          <w:snapToGrid/>
          <w:color w:val="000000"/>
          <w:kern w:val="0"/>
          <w:szCs w:val="22"/>
        </w:rPr>
        <w:t>the Commission’s proposals.</w:t>
      </w:r>
      <w:r>
        <w:rPr>
          <w:rStyle w:val="FootnoteReference"/>
          <w:snapToGrid/>
          <w:kern w:val="0"/>
          <w:szCs w:val="22"/>
        </w:rPr>
        <w:footnoteReference w:id="13"/>
      </w:r>
      <w:r w:rsidR="00132806">
        <w:rPr>
          <w:snapToGrid/>
          <w:color w:val="000000"/>
          <w:kern w:val="0"/>
          <w:szCs w:val="22"/>
        </w:rPr>
        <w:t xml:space="preserve"> </w:t>
      </w:r>
      <w:r w:rsidR="00C93211">
        <w:rPr>
          <w:snapToGrid/>
          <w:color w:val="000000"/>
          <w:kern w:val="0"/>
          <w:szCs w:val="22"/>
        </w:rPr>
        <w:t xml:space="preserve"> </w:t>
      </w:r>
      <w:r w:rsidRPr="00467EFA">
        <w:rPr>
          <w:snapToGrid/>
          <w:color w:val="000000"/>
          <w:kern w:val="0"/>
          <w:szCs w:val="22"/>
        </w:rPr>
        <w:t xml:space="preserve">We invite parties to file comments on the </w:t>
      </w:r>
      <w:r w:rsidR="006E5431">
        <w:rPr>
          <w:snapToGrid/>
          <w:color w:val="000000"/>
          <w:kern w:val="0"/>
          <w:szCs w:val="22"/>
        </w:rPr>
        <w:t>I</w:t>
      </w:r>
      <w:r w:rsidRPr="00467EFA">
        <w:rPr>
          <w:snapToGrid/>
          <w:color w:val="000000"/>
          <w:kern w:val="0"/>
          <w:szCs w:val="22"/>
        </w:rPr>
        <w:t>RFA in light of this request to</w:t>
      </w:r>
      <w:r w:rsidR="00C93211">
        <w:rPr>
          <w:snapToGrid/>
          <w:color w:val="000000"/>
          <w:kern w:val="0"/>
          <w:szCs w:val="22"/>
        </w:rPr>
        <w:t xml:space="preserve"> </w:t>
      </w:r>
      <w:r w:rsidRPr="00467EFA">
        <w:rPr>
          <w:snapToGrid/>
          <w:color w:val="000000"/>
          <w:kern w:val="0"/>
          <w:szCs w:val="22"/>
        </w:rPr>
        <w:t>refresh the record.</w:t>
      </w:r>
    </w:p>
    <w:p w:rsidR="007E6BDB" w:rsidP="001E4E6A" w14:paraId="1F302B54" w14:textId="7C072BAA">
      <w:pPr>
        <w:widowControl/>
        <w:ind w:firstLine="720"/>
        <w:rPr>
          <w:szCs w:val="22"/>
        </w:rPr>
      </w:pPr>
      <w:r w:rsidRPr="00C72ED1">
        <w:rPr>
          <w:i/>
          <w:szCs w:val="22"/>
        </w:rPr>
        <w:t>Ex Parte Rules</w:t>
      </w:r>
      <w:r w:rsidRPr="00C72ED1">
        <w:rPr>
          <w:szCs w:val="22"/>
        </w:rPr>
        <w:t xml:space="preserve">.  </w:t>
      </w:r>
      <w:r w:rsidR="001E4E6A">
        <w:rPr>
          <w:szCs w:val="22"/>
        </w:rPr>
        <w:t>The proceeding</w:t>
      </w:r>
      <w:r w:rsidRPr="00C72ED1">
        <w:rPr>
          <w:szCs w:val="22"/>
        </w:rPr>
        <w:t xml:space="preserve"> shall be treated as a “permit-but-disclose” proceeding in accordance with the Commission’s </w:t>
      </w:r>
      <w:r w:rsidRPr="00C72ED1">
        <w:rPr>
          <w:i/>
          <w:szCs w:val="22"/>
        </w:rPr>
        <w:t xml:space="preserve">ex parte </w:t>
      </w:r>
      <w:r w:rsidRPr="00C72ED1">
        <w:rPr>
          <w:szCs w:val="22"/>
        </w:rPr>
        <w:t>rules.</w:t>
      </w:r>
      <w:r>
        <w:rPr>
          <w:szCs w:val="22"/>
          <w:vertAlign w:val="superscript"/>
        </w:rPr>
        <w:footnoteReference w:id="14"/>
      </w:r>
      <w:r w:rsidRPr="00C72ED1">
        <w:rPr>
          <w:szCs w:val="22"/>
        </w:rPr>
        <w:t xml:space="preserve">  Persons making </w:t>
      </w:r>
      <w:r w:rsidRPr="00C72ED1">
        <w:rPr>
          <w:i/>
          <w:szCs w:val="22"/>
        </w:rPr>
        <w:t xml:space="preserve">ex parte </w:t>
      </w:r>
      <w:r w:rsidRPr="00C72ED1">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C72ED1">
        <w:rPr>
          <w:i/>
          <w:szCs w:val="22"/>
        </w:rPr>
        <w:t xml:space="preserve">ex parte </w:t>
      </w:r>
      <w:r w:rsidRPr="00C72ED1">
        <w:rPr>
          <w:szCs w:val="22"/>
        </w:rPr>
        <w:t>presentations are reminded that memoranda summarizing the presentation must</w:t>
      </w:r>
      <w:r w:rsidR="00790A4A">
        <w:rPr>
          <w:szCs w:val="22"/>
        </w:rPr>
        <w:t xml:space="preserve">: </w:t>
      </w:r>
      <w:r w:rsidRPr="00C72ED1">
        <w:rPr>
          <w:szCs w:val="22"/>
        </w:rPr>
        <w:t xml:space="preserve">(1) list all persons attending or otherwise participating in the meeting at which the </w:t>
      </w:r>
      <w:r w:rsidRPr="00C72ED1">
        <w:rPr>
          <w:i/>
          <w:szCs w:val="22"/>
        </w:rPr>
        <w:t xml:space="preserve">ex parte </w:t>
      </w:r>
      <w:r w:rsidRPr="00C72ED1">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C72ED1">
        <w:rPr>
          <w:i/>
          <w:szCs w:val="22"/>
        </w:rPr>
        <w:t xml:space="preserve">ex parte </w:t>
      </w:r>
      <w:r w:rsidRPr="00C72ED1">
        <w:rPr>
          <w:szCs w:val="22"/>
        </w:rPr>
        <w:t xml:space="preserve">meetings are deemed to be written </w:t>
      </w:r>
      <w:r w:rsidRPr="00C72ED1">
        <w:rPr>
          <w:i/>
          <w:szCs w:val="22"/>
        </w:rPr>
        <w:t>ex parte</w:t>
      </w:r>
      <w:r w:rsidRPr="00C72ED1">
        <w:rPr>
          <w:szCs w:val="22"/>
        </w:rPr>
        <w:t xml:space="preserve"> presentations and must be filed consistent with rule 1.1206(b).  In proceedings governed by rule 1.49(f) or for which the Commission has made available a method of electronic filing, written </w:t>
      </w:r>
      <w:r w:rsidRPr="00C72ED1">
        <w:rPr>
          <w:i/>
          <w:szCs w:val="22"/>
        </w:rPr>
        <w:t xml:space="preserve">ex parte </w:t>
      </w:r>
      <w:r w:rsidRPr="00C72ED1">
        <w:rPr>
          <w:szCs w:val="22"/>
        </w:rPr>
        <w:t xml:space="preserve">presentations and memoranda summarizing oral </w:t>
      </w:r>
      <w:r w:rsidRPr="00C72ED1">
        <w:rPr>
          <w:i/>
          <w:szCs w:val="22"/>
        </w:rPr>
        <w:t xml:space="preserve">ex parte </w:t>
      </w:r>
      <w:r w:rsidRPr="00C72ED1">
        <w:rPr>
          <w:szCs w:val="22"/>
        </w:rPr>
        <w:t>presentations, and all attachments thereto, must be filed through the electronic comment filing system available for that proceeding, and must be filed in their native format (</w:t>
      </w:r>
      <w:r w:rsidRPr="00C72ED1">
        <w:rPr>
          <w:i/>
          <w:szCs w:val="22"/>
        </w:rPr>
        <w:t>e.g.</w:t>
      </w:r>
      <w:r w:rsidRPr="00C72ED1">
        <w:rPr>
          <w:szCs w:val="22"/>
        </w:rPr>
        <w:t xml:space="preserve">, .doc, .xml, .ppt, searchable .pdf).  Participants in this proceeding should familiarize themselves with the Commission’s </w:t>
      </w:r>
      <w:r w:rsidRPr="00C72ED1">
        <w:rPr>
          <w:i/>
          <w:szCs w:val="22"/>
        </w:rPr>
        <w:t xml:space="preserve">ex parte </w:t>
      </w:r>
      <w:r w:rsidRPr="00C72ED1">
        <w:rPr>
          <w:szCs w:val="22"/>
        </w:rPr>
        <w:t>rules.</w:t>
      </w:r>
    </w:p>
    <w:p w:rsidR="00C42A09" w:rsidP="001E4E6A" w14:paraId="36F9EEB0" w14:textId="77777777">
      <w:pPr>
        <w:widowControl/>
        <w:ind w:firstLine="720"/>
        <w:rPr>
          <w:szCs w:val="22"/>
        </w:rPr>
      </w:pPr>
    </w:p>
    <w:p w:rsidR="00C42A09" w:rsidRPr="00C72ED1" w:rsidP="001E4E6A" w14:paraId="273544B7" w14:textId="1AF78157">
      <w:pPr>
        <w:widowControl/>
        <w:ind w:firstLine="720"/>
        <w:rPr>
          <w:szCs w:val="22"/>
        </w:rPr>
      </w:pPr>
      <w:r w:rsidRPr="00396E75">
        <w:rPr>
          <w:i/>
          <w:iCs/>
          <w:szCs w:val="22"/>
        </w:rPr>
        <w:t>Providing Accountability Through Transparency Act</w:t>
      </w:r>
      <w:r w:rsidRPr="00C42A09">
        <w:rPr>
          <w:szCs w:val="22"/>
        </w:rPr>
        <w:t>. Consistent with the Providing</w:t>
      </w:r>
      <w:r>
        <w:rPr>
          <w:szCs w:val="22"/>
        </w:rPr>
        <w:t xml:space="preserve"> </w:t>
      </w:r>
      <w:r w:rsidRPr="00C42A09">
        <w:rPr>
          <w:szCs w:val="22"/>
        </w:rPr>
        <w:t>Accountability Through Transparency Act, a summary of this document will be available on</w:t>
      </w:r>
      <w:r>
        <w:rPr>
          <w:szCs w:val="22"/>
        </w:rPr>
        <w:t xml:space="preserve"> </w:t>
      </w:r>
      <w:r w:rsidRPr="00C42A09">
        <w:rPr>
          <w:szCs w:val="22"/>
        </w:rPr>
        <w:t>https://www.fcc.gov/proposed-rulemakings.</w:t>
      </w:r>
      <w:r>
        <w:rPr>
          <w:rStyle w:val="FootnoteReference"/>
          <w:szCs w:val="22"/>
        </w:rPr>
        <w:footnoteReference w:id="15"/>
      </w:r>
    </w:p>
    <w:p w:rsidR="007E6BDB" w:rsidP="007E6BDB" w14:paraId="15FAEB2B" w14:textId="77777777">
      <w:pPr>
        <w:rPr>
          <w:szCs w:val="22"/>
          <w:highlight w:val="yellow"/>
        </w:rPr>
      </w:pPr>
    </w:p>
    <w:p w:rsidR="00D3582B" w:rsidRPr="00D3582B" w:rsidP="00D3582B" w14:paraId="22CCAFD5" w14:textId="7F205E23">
      <w:pPr>
        <w:widowControl/>
        <w:ind w:firstLine="720"/>
        <w:rPr>
          <w:szCs w:val="22"/>
        </w:rPr>
      </w:pPr>
      <w:r w:rsidRPr="00EA0513">
        <w:rPr>
          <w:i/>
          <w:iCs/>
          <w:szCs w:val="24"/>
        </w:rPr>
        <w:t>Paperwork Reduction Act</w:t>
      </w:r>
      <w:r>
        <w:rPr>
          <w:i/>
          <w:iCs/>
          <w:szCs w:val="24"/>
        </w:rPr>
        <w:t>.</w:t>
      </w:r>
      <w:r w:rsidRPr="00D3582B">
        <w:rPr>
          <w:szCs w:val="22"/>
        </w:rPr>
        <w:t xml:space="preserve"> </w:t>
      </w:r>
      <w:r>
        <w:rPr>
          <w:szCs w:val="22"/>
        </w:rPr>
        <w:t xml:space="preserve"> </w:t>
      </w:r>
      <w:r w:rsidRPr="00D3582B">
        <w:rPr>
          <w:szCs w:val="22"/>
        </w:rPr>
        <w:t xml:space="preserve">This Public Notice may contain proposed new or modified information collections.  The Commission, as part of its continuing effort to reduce paperwork burdens, invites the general public and the Office of Management and Budget (OMB) to comment on any information collections contained in this document, as required by the Paperwork Reduction Act of 1995, </w:t>
      </w:r>
      <w:hyperlink r:id="rId8" w:tgtFrame="_blank" w:history="1">
        <w:r w:rsidRPr="00D3582B">
          <w:rPr>
            <w:szCs w:val="22"/>
          </w:rPr>
          <w:t>Public Law 104-13</w:t>
        </w:r>
      </w:hyperlink>
      <w:r w:rsidRPr="00D3582B">
        <w:rPr>
          <w:szCs w:val="22"/>
        </w:rPr>
        <w:t>.</w:t>
      </w:r>
    </w:p>
    <w:p w:rsidR="00D3582B" w:rsidRPr="003674DE" w:rsidP="007E6BDB" w14:paraId="1D8B3008" w14:textId="77777777">
      <w:pPr>
        <w:rPr>
          <w:szCs w:val="22"/>
          <w:highlight w:val="yellow"/>
        </w:rPr>
      </w:pPr>
    </w:p>
    <w:p w:rsidR="007E6BDB" w:rsidP="00796522" w14:paraId="1F550123" w14:textId="1B9A70C4">
      <w:pPr>
        <w:ind w:firstLine="720"/>
        <w:rPr>
          <w:szCs w:val="22"/>
        </w:rPr>
      </w:pPr>
      <w:r w:rsidRPr="00B42EFE">
        <w:rPr>
          <w:i/>
          <w:iCs/>
          <w:szCs w:val="22"/>
        </w:rPr>
        <w:t>Additional Information</w:t>
      </w:r>
      <w:r w:rsidRPr="00B42EFE">
        <w:rPr>
          <w:szCs w:val="22"/>
        </w:rPr>
        <w:t xml:space="preserve">.  For further information regarding this Public Notice, please contact </w:t>
      </w:r>
      <w:r w:rsidRPr="00B730F2" w:rsidR="002B0E85">
        <w:rPr>
          <w:szCs w:val="22"/>
        </w:rPr>
        <w:t>Andrew McArdell</w:t>
      </w:r>
      <w:r w:rsidRPr="00B42EFE">
        <w:rPr>
          <w:szCs w:val="22"/>
        </w:rPr>
        <w:t>, Mobility Division, Wireless Telecommunications Bureau, at</w:t>
      </w:r>
      <w:r w:rsidR="002B0E85">
        <w:rPr>
          <w:szCs w:val="22"/>
        </w:rPr>
        <w:t xml:space="preserve"> </w:t>
      </w:r>
      <w:hyperlink r:id="rId9" w:history="1">
        <w:r w:rsidRPr="00B730F2" w:rsidR="005A0B91">
          <w:rPr>
            <w:rStyle w:val="Hyperlink"/>
            <w:szCs w:val="22"/>
          </w:rPr>
          <w:t>Andrew.McArdell@fcc.gov</w:t>
        </w:r>
      </w:hyperlink>
      <w:r w:rsidRPr="00B42EFE">
        <w:rPr>
          <w:szCs w:val="22"/>
        </w:rPr>
        <w:t>.</w:t>
      </w:r>
    </w:p>
    <w:p w:rsidR="00E476DD" w:rsidP="00E476DD" w14:paraId="6C0B93B5" w14:textId="77777777">
      <w:pPr>
        <w:rPr>
          <w:szCs w:val="22"/>
        </w:rPr>
      </w:pPr>
    </w:p>
    <w:p w:rsidR="00E476DD" w:rsidRPr="00E476DD" w:rsidP="00E476DD" w14:paraId="1C002810" w14:textId="68936F48">
      <w:pPr>
        <w:jc w:val="center"/>
        <w:rPr>
          <w:b/>
          <w:bCs/>
          <w:szCs w:val="22"/>
        </w:rPr>
      </w:pPr>
      <w:r>
        <w:rPr>
          <w:b/>
          <w:bCs/>
          <w:szCs w:val="22"/>
        </w:rPr>
        <w:t>-FCC-</w:t>
      </w:r>
    </w:p>
    <w:sectPr>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720" w:left="1440" w:header="63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E63BC" w14:paraId="271E6C21" w14:textId="77777777">
      <w:pPr>
        <w:spacing w:line="20" w:lineRule="exact"/>
      </w:pPr>
    </w:p>
  </w:endnote>
  <w:endnote w:type="continuationSeparator" w:id="1">
    <w:p w:rsidR="006E63BC" w14:paraId="54502E1A" w14:textId="77777777">
      <w:r>
        <w:t xml:space="preserve"> </w:t>
      </w:r>
    </w:p>
  </w:endnote>
  <w:endnote w:type="continuationNotice" w:id="2">
    <w:p w:rsidR="006E63BC" w14:paraId="252BEF4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Heavy Heap"/>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E5B4F1B" w14:textId="77777777">
    <w:pPr>
      <w:pStyle w:val="Footer"/>
      <w:framePr w:wrap="around" w:vAnchor="text" w:hAnchor="margin" w:xAlign="center" w:y="1"/>
    </w:pPr>
    <w:r>
      <w:fldChar w:fldCharType="begin"/>
    </w:r>
    <w:r>
      <w:instrText xml:space="preserve">PAGE  </w:instrText>
    </w:r>
    <w:r>
      <w:fldChar w:fldCharType="separate"/>
    </w:r>
    <w:r>
      <w:fldChar w:fldCharType="end"/>
    </w:r>
  </w:p>
  <w:p w:rsidR="00BA3BA8" w14:paraId="2FF670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16647D7D"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0AF8BE22"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E63BC" w14:paraId="5F0F154F" w14:textId="77777777">
      <w:r>
        <w:separator/>
      </w:r>
    </w:p>
  </w:footnote>
  <w:footnote w:type="continuationSeparator" w:id="1">
    <w:p w:rsidR="006E63BC" w14:paraId="0F245AB4" w14:textId="77777777">
      <w:pPr>
        <w:rPr>
          <w:sz w:val="20"/>
        </w:rPr>
      </w:pPr>
      <w:r>
        <w:rPr>
          <w:sz w:val="20"/>
        </w:rPr>
        <w:t xml:space="preserve">(Continued from previous page)  </w:t>
      </w:r>
      <w:r>
        <w:rPr>
          <w:sz w:val="20"/>
        </w:rPr>
        <w:separator/>
      </w:r>
    </w:p>
  </w:footnote>
  <w:footnote w:type="continuationNotice" w:id="2">
    <w:p w:rsidR="006E63BC" w14:paraId="3BD17FAF" w14:textId="77777777">
      <w:pPr>
        <w:jc w:val="right"/>
        <w:rPr>
          <w:sz w:val="20"/>
        </w:rPr>
      </w:pPr>
      <w:r>
        <w:rPr>
          <w:sz w:val="20"/>
        </w:rPr>
        <w:t>(continued….)</w:t>
      </w:r>
    </w:p>
  </w:footnote>
  <w:footnote w:id="3">
    <w:p w:rsidR="00C662F9" w14:paraId="53EA4421" w14:textId="48FF9D45">
      <w:pPr>
        <w:pStyle w:val="FootnoteText"/>
      </w:pPr>
      <w:r>
        <w:rPr>
          <w:rStyle w:val="FootnoteReference"/>
        </w:rPr>
        <w:footnoteRef/>
      </w:r>
      <w:r>
        <w:t xml:space="preserve"> </w:t>
      </w:r>
      <w:r w:rsidRPr="00C926CF">
        <w:rPr>
          <w:i/>
          <w:iCs/>
        </w:rPr>
        <w:t>Expanding Flexible Use of the 3.7 to 4.2 GHz Band</w:t>
      </w:r>
      <w:r w:rsidRPr="0002468B">
        <w:t xml:space="preserve">, </w:t>
      </w:r>
      <w:r>
        <w:rPr>
          <w:iCs/>
        </w:rPr>
        <w:t xml:space="preserve">GN Docket No. 18-122, </w:t>
      </w:r>
      <w:r w:rsidRPr="0002468B">
        <w:t>Report and Order and Order of Proposed Modification</w:t>
      </w:r>
      <w:r w:rsidRPr="00C926CF">
        <w:t xml:space="preserve">, 35 FCC Rcd </w:t>
      </w:r>
      <w:r w:rsidRPr="004856AE">
        <w:t>2343</w:t>
      </w:r>
      <w:r>
        <w:t xml:space="preserve"> (2020) (</w:t>
      </w:r>
      <w:r>
        <w:rPr>
          <w:i/>
          <w:iCs/>
        </w:rPr>
        <w:t>2020 C-band R&amp;O</w:t>
      </w:r>
      <w:r>
        <w:t>).</w:t>
      </w:r>
    </w:p>
  </w:footnote>
  <w:footnote w:id="4">
    <w:p w:rsidR="007865B6" w14:paraId="687406F6" w14:textId="786A9606">
      <w:pPr>
        <w:pStyle w:val="FootnoteText"/>
      </w:pPr>
      <w:r>
        <w:rPr>
          <w:rStyle w:val="FootnoteReference"/>
        </w:rPr>
        <w:footnoteRef/>
      </w:r>
      <w:r>
        <w:t xml:space="preserve"> </w:t>
      </w:r>
      <w:r w:rsidRPr="00496D9A">
        <w:rPr>
          <w:i/>
          <w:iCs/>
        </w:rPr>
        <w:t>Upper C-band (3.98–4.2 GHz)</w:t>
      </w:r>
      <w:r>
        <w:t>, GN Docket No. 25-59, Notice of Proposed Rulemaking, FCC 25-78, 2025 WL 4060705 (Nov. 21, 2025) (</w:t>
      </w:r>
      <w:r w:rsidRPr="00496D9A">
        <w:rPr>
          <w:i/>
          <w:iCs/>
        </w:rPr>
        <w:t>Upper C-band NPRM</w:t>
      </w:r>
      <w:r>
        <w:t>).</w:t>
      </w:r>
    </w:p>
  </w:footnote>
  <w:footnote w:id="5">
    <w:p w:rsidR="00D9038F" w:rsidRPr="003C3D9F" w14:paraId="34B985C2" w14:textId="4201F277">
      <w:pPr>
        <w:pStyle w:val="FootnoteText"/>
      </w:pPr>
      <w:r>
        <w:rPr>
          <w:rStyle w:val="FootnoteReference"/>
        </w:rPr>
        <w:footnoteRef/>
      </w:r>
      <w:r>
        <w:t xml:space="preserve"> </w:t>
      </w:r>
      <w:r w:rsidRPr="00004D06">
        <w:t>Petition for Partial Reconsideration of the 3.7–4.2 GHz Band Report and Order</w:t>
      </w:r>
      <w:r>
        <w:t>, GN Docket No. 18-122 (filed May 26, 2020)</w:t>
      </w:r>
      <w:r w:rsidR="00FF5791">
        <w:t xml:space="preserve">, </w:t>
      </w:r>
      <w:hyperlink r:id="rId1" w:history="1">
        <w:r w:rsidRPr="00CA7358" w:rsidR="00136F6F">
          <w:rPr>
            <w:rStyle w:val="Hyperlink"/>
          </w:rPr>
          <w:t>https://www.fcc.gov/ecfs/document/10527379225572/1</w:t>
        </w:r>
      </w:hyperlink>
      <w:r>
        <w:t xml:space="preserve"> (</w:t>
      </w:r>
      <w:r w:rsidRPr="005B2E34">
        <w:t>AIA Petition</w:t>
      </w:r>
      <w:r>
        <w:t>)</w:t>
      </w:r>
      <w:r w:rsidR="007931B0">
        <w:t>.</w:t>
      </w:r>
      <w:r w:rsidR="003C3D9F">
        <w:t xml:space="preserve"> </w:t>
      </w:r>
    </w:p>
  </w:footnote>
  <w:footnote w:id="6">
    <w:p w:rsidR="000003BA" w14:paraId="0DEE1546" w14:textId="36BB0F77">
      <w:pPr>
        <w:pStyle w:val="FootnoteText"/>
      </w:pPr>
      <w:r>
        <w:rPr>
          <w:rStyle w:val="FootnoteReference"/>
        </w:rPr>
        <w:footnoteRef/>
      </w:r>
      <w:r>
        <w:t xml:space="preserve"> AIA Petition at </w:t>
      </w:r>
      <w:r w:rsidR="00C57112">
        <w:t>18.</w:t>
      </w:r>
    </w:p>
  </w:footnote>
  <w:footnote w:id="7">
    <w:p w:rsidR="00384C9C" w:rsidRPr="00490487" w14:paraId="09DEA19F" w14:textId="147788B7">
      <w:pPr>
        <w:pStyle w:val="FootnoteText"/>
      </w:pPr>
      <w:r>
        <w:rPr>
          <w:rStyle w:val="FootnoteReference"/>
        </w:rPr>
        <w:footnoteRef/>
      </w:r>
      <w:r>
        <w:t xml:space="preserve"> </w:t>
      </w:r>
      <w:r w:rsidRPr="003251C8" w:rsidR="00CA0B03">
        <w:rPr>
          <w:i/>
          <w:iCs/>
        </w:rPr>
        <w:t>See</w:t>
      </w:r>
      <w:r w:rsidR="00CA0B03">
        <w:t xml:space="preserve"> </w:t>
      </w:r>
      <w:r w:rsidR="00CC73C9">
        <w:t xml:space="preserve">AIA Petition </w:t>
      </w:r>
      <w:r w:rsidR="00E07985">
        <w:t>at 16-18.</w:t>
      </w:r>
      <w:r w:rsidR="001729A7">
        <w:t xml:space="preserve">  </w:t>
      </w:r>
    </w:p>
  </w:footnote>
  <w:footnote w:id="8">
    <w:p w:rsidR="006B68C5" w:rsidP="006B68C5" w14:paraId="73FBEA33" w14:textId="77777777">
      <w:pPr>
        <w:pStyle w:val="FootnoteText"/>
      </w:pPr>
      <w:r>
        <w:rPr>
          <w:rStyle w:val="FootnoteReference"/>
        </w:rPr>
        <w:footnoteRef/>
      </w:r>
      <w:r>
        <w:t xml:space="preserve"> Intelsat License LLC Petition for Reconsideration, GN Docket No. 18-122 (filed May 26, 2020), </w:t>
      </w:r>
      <w:hyperlink r:id="rId2" w:history="1">
        <w:r w:rsidRPr="004742DC">
          <w:rPr>
            <w:rStyle w:val="Hyperlink"/>
          </w:rPr>
          <w:t>https://www.fcc.gov/ecfs/document/10526884925025/1</w:t>
        </w:r>
      </w:hyperlink>
      <w:r>
        <w:t xml:space="preserve">; Petition of Eutelsat S.A. for Expedited Reconsideration or Clarification, GN Docket No. 18-122 (filed May 26, 2020), </w:t>
      </w:r>
      <w:hyperlink r:id="rId3" w:history="1">
        <w:r w:rsidRPr="004742DC">
          <w:rPr>
            <w:rStyle w:val="Hyperlink"/>
          </w:rPr>
          <w:t>https://www.fcc.gov/ecfs/document/10523184488608/1</w:t>
        </w:r>
      </w:hyperlink>
      <w:r>
        <w:t xml:space="preserve">; Petition for Clarification and/or Reconsideration, GN Docket No. 18-122 (filed May 26, 2020), </w:t>
      </w:r>
      <w:hyperlink r:id="rId4" w:history="1">
        <w:r w:rsidRPr="004742DC">
          <w:rPr>
            <w:rStyle w:val="Hyperlink"/>
          </w:rPr>
          <w:t>https://www.fcc.gov/ecfs/document/10526747701000/1</w:t>
        </w:r>
      </w:hyperlink>
      <w:r>
        <w:t xml:space="preserve">; Petition for Reconsideration of Charter Communications, Inc., GN Docket No. 18-122 (filed May 26, 2020), </w:t>
      </w:r>
      <w:hyperlink r:id="rId5" w:history="1">
        <w:r w:rsidRPr="004742DC">
          <w:rPr>
            <w:rStyle w:val="Hyperlink"/>
          </w:rPr>
          <w:t>https://www.fcc.gov/ecfs/document/10527106958674/1</w:t>
        </w:r>
      </w:hyperlink>
      <w:r>
        <w:t xml:space="preserve">; Request for Clarification or, in the Alternative, Petition for Partial Reconsideration, GN Docket No. 18-122 (filed May 26, 2020), </w:t>
      </w:r>
      <w:hyperlink r:id="rId6" w:history="1">
        <w:r w:rsidRPr="004742DC">
          <w:rPr>
            <w:rStyle w:val="Hyperlink"/>
          </w:rPr>
          <w:t>https://www.fcc.gov/ecfs/document/10526242916138/1</w:t>
        </w:r>
      </w:hyperlink>
      <w:r>
        <w:t>.</w:t>
      </w:r>
    </w:p>
  </w:footnote>
  <w:footnote w:id="9">
    <w:p w:rsidR="00926D4A" w14:paraId="4C11A9A7" w14:textId="57D712EB">
      <w:pPr>
        <w:pStyle w:val="FootnoteText"/>
      </w:pPr>
      <w:r>
        <w:rPr>
          <w:rStyle w:val="FootnoteReference"/>
        </w:rPr>
        <w:footnoteRef/>
      </w:r>
      <w:r>
        <w:t xml:space="preserve"> </w:t>
      </w:r>
      <w:r w:rsidRPr="00FD56A9">
        <w:rPr>
          <w:i/>
          <w:iCs/>
        </w:rPr>
        <w:t xml:space="preserve">See </w:t>
      </w:r>
      <w:r w:rsidR="00496D9A">
        <w:rPr>
          <w:i/>
          <w:iCs/>
        </w:rPr>
        <w:t xml:space="preserve">Upper C-band </w:t>
      </w:r>
      <w:r w:rsidRPr="00FD56A9">
        <w:rPr>
          <w:i/>
          <w:iCs/>
        </w:rPr>
        <w:t>NPRM</w:t>
      </w:r>
      <w:r>
        <w:t xml:space="preserve"> at </w:t>
      </w:r>
      <w:r w:rsidR="004E43AC">
        <w:t xml:space="preserve">*17, </w:t>
      </w:r>
      <w:r>
        <w:t xml:space="preserve">para. </w:t>
      </w:r>
      <w:r w:rsidR="0023213C">
        <w:t>51</w:t>
      </w:r>
      <w:r w:rsidR="00FD56A9">
        <w:t>.</w:t>
      </w:r>
    </w:p>
  </w:footnote>
  <w:footnote w:id="10">
    <w:p w:rsidR="00013942" w14:paraId="142C6D9F" w14:textId="505A5116">
      <w:pPr>
        <w:pStyle w:val="FootnoteText"/>
      </w:pPr>
      <w:r>
        <w:rPr>
          <w:rStyle w:val="FootnoteReference"/>
        </w:rPr>
        <w:footnoteRef/>
      </w:r>
      <w:r>
        <w:t xml:space="preserve"> </w:t>
      </w:r>
      <w:r>
        <w:rPr>
          <w:i/>
          <w:iCs/>
        </w:rPr>
        <w:t xml:space="preserve">Upper C-band </w:t>
      </w:r>
      <w:r w:rsidRPr="00FD56A9">
        <w:rPr>
          <w:i/>
          <w:iCs/>
        </w:rPr>
        <w:t>NPRM</w:t>
      </w:r>
      <w:r>
        <w:t xml:space="preserve"> at </w:t>
      </w:r>
      <w:r w:rsidR="00C66B06">
        <w:t xml:space="preserve">*19-20, *40, </w:t>
      </w:r>
      <w:r>
        <w:t>para</w:t>
      </w:r>
      <w:r w:rsidR="00891234">
        <w:t>s</w:t>
      </w:r>
      <w:r>
        <w:t xml:space="preserve">. </w:t>
      </w:r>
      <w:r w:rsidR="005F022C">
        <w:t>58-</w:t>
      </w:r>
      <w:r>
        <w:t>61</w:t>
      </w:r>
      <w:r w:rsidR="00891234">
        <w:t>, 123</w:t>
      </w:r>
      <w:r>
        <w:t>.</w:t>
      </w:r>
    </w:p>
  </w:footnote>
  <w:footnote w:id="11">
    <w:p w:rsidR="00914348" w14:paraId="393C91B0" w14:textId="6C6CDC02">
      <w:pPr>
        <w:pStyle w:val="FootnoteText"/>
      </w:pPr>
      <w:r>
        <w:rPr>
          <w:rStyle w:val="FootnoteReference"/>
        </w:rPr>
        <w:footnoteRef/>
      </w:r>
      <w:r>
        <w:t xml:space="preserve"> </w:t>
      </w:r>
      <w:r w:rsidRPr="001801FB">
        <w:rPr>
          <w:i/>
          <w:iCs/>
        </w:rPr>
        <w:t>See</w:t>
      </w:r>
      <w:r>
        <w:t xml:space="preserve"> Joint Aviation Comments</w:t>
      </w:r>
      <w:r w:rsidR="008F1242">
        <w:t>, GN Docket No. 25-59</w:t>
      </w:r>
      <w:r w:rsidR="00EA2236">
        <w:t>,</w:t>
      </w:r>
      <w:r>
        <w:t xml:space="preserve"> at 14-</w:t>
      </w:r>
      <w:r w:rsidR="006B4F63">
        <w:t>15</w:t>
      </w:r>
      <w:r w:rsidR="00EA2236">
        <w:t xml:space="preserve"> (rec. Jan</w:t>
      </w:r>
      <w:r w:rsidR="007A6836">
        <w:t>.</w:t>
      </w:r>
      <w:r w:rsidR="00EA2236">
        <w:t xml:space="preserve"> 20, 2026)</w:t>
      </w:r>
      <w:r w:rsidR="006B4F63">
        <w:t>; Joint Aviation Reply</w:t>
      </w:r>
      <w:r w:rsidR="00EA2236">
        <w:t xml:space="preserve">, </w:t>
      </w:r>
      <w:r w:rsidR="00D468F7">
        <w:t>GN Docket No. 25-59,</w:t>
      </w:r>
      <w:r w:rsidR="006B4F63">
        <w:t xml:space="preserve"> at 16-17</w:t>
      </w:r>
      <w:r w:rsidR="00D468F7">
        <w:t xml:space="preserve"> (rec. Feb. 18, 2026) (Joint Aviation Reply)</w:t>
      </w:r>
      <w:r w:rsidR="007A6836">
        <w:t>; CTIA Comments, GN Docket No. 25-59, at 34-35 (rec. Jan. 20, 2026); CTIA Reply, GN Docket No. 25-59, at 30-31 (rec. Feb. 18, 2026)</w:t>
      </w:r>
      <w:r w:rsidR="006B4F63">
        <w:t>.</w:t>
      </w:r>
      <w:r w:rsidR="00F432D2">
        <w:t xml:space="preserve">  </w:t>
      </w:r>
    </w:p>
  </w:footnote>
  <w:footnote w:id="12">
    <w:p w:rsidR="00C62210" w14:paraId="1DB4763F" w14:textId="5E34A4CA">
      <w:pPr>
        <w:pStyle w:val="FootnoteText"/>
      </w:pPr>
      <w:r>
        <w:rPr>
          <w:rStyle w:val="FootnoteReference"/>
        </w:rPr>
        <w:footnoteRef/>
      </w:r>
      <w:r>
        <w:t xml:space="preserve"> </w:t>
      </w:r>
      <w:r w:rsidRPr="001801FB">
        <w:rPr>
          <w:i/>
          <w:iCs/>
        </w:rPr>
        <w:t>See</w:t>
      </w:r>
      <w:r>
        <w:t xml:space="preserve"> AT&amp;T Comments</w:t>
      </w:r>
      <w:r w:rsidR="00D468F7">
        <w:t xml:space="preserve">, GN Docket No. 25-59, </w:t>
      </w:r>
      <w:r>
        <w:t>at 7-8</w:t>
      </w:r>
      <w:r w:rsidR="00CC13AF">
        <w:t xml:space="preserve"> (rec. Jan. 20, 2026)</w:t>
      </w:r>
      <w:r>
        <w:t xml:space="preserve">; </w:t>
      </w:r>
      <w:r w:rsidR="00627FB0">
        <w:t>AT&amp;T Reply, GN Docket No. 25-59</w:t>
      </w:r>
      <w:r w:rsidR="006D401F">
        <w:t xml:space="preserve">, at 12 (rec. Feb. 18, 2026); </w:t>
      </w:r>
      <w:r w:rsidR="00FC0B1F">
        <w:t>CTIA Comments</w:t>
      </w:r>
      <w:r w:rsidR="00CC13AF">
        <w:t>, GN Docket No. 25-59,</w:t>
      </w:r>
      <w:r w:rsidR="00FC0B1F">
        <w:t xml:space="preserve"> at 3</w:t>
      </w:r>
      <w:r w:rsidR="00884B24">
        <w:t>2</w:t>
      </w:r>
      <w:r w:rsidR="00FC0B1F">
        <w:t>-34</w:t>
      </w:r>
      <w:r w:rsidR="001417EC">
        <w:t xml:space="preserve"> (rec. </w:t>
      </w:r>
      <w:r w:rsidR="00641F81">
        <w:t>Jan. 20, 2026)</w:t>
      </w:r>
      <w:r w:rsidR="00FC0B1F">
        <w:t xml:space="preserve">; </w:t>
      </w:r>
      <w:r>
        <w:t>Verizon Comments</w:t>
      </w:r>
      <w:r w:rsidR="001417EC">
        <w:t>, GN Docket No. 25-59,</w:t>
      </w:r>
      <w:r>
        <w:t xml:space="preserve"> </w:t>
      </w:r>
      <w:r w:rsidR="00001088">
        <w:t>at 24</w:t>
      </w:r>
      <w:r w:rsidR="001417EC">
        <w:t xml:space="preserve"> (rec. </w:t>
      </w:r>
      <w:r w:rsidR="00641F81">
        <w:t>Jan. 20, 2026</w:t>
      </w:r>
      <w:r w:rsidR="001417EC">
        <w:t>)</w:t>
      </w:r>
      <w:r w:rsidR="00F1351E">
        <w:t xml:space="preserve">; </w:t>
      </w:r>
      <w:r w:rsidR="00274BFD">
        <w:t>Joint Aviation Reply at 12-13</w:t>
      </w:r>
      <w:r w:rsidR="00F1351E">
        <w:t xml:space="preserve">. </w:t>
      </w:r>
    </w:p>
  </w:footnote>
  <w:footnote w:id="13">
    <w:p w:rsidR="00132806" w:rsidRPr="00907AA5" w14:paraId="5BC53915" w14:textId="787C1C12">
      <w:pPr>
        <w:pStyle w:val="FootnoteText"/>
      </w:pPr>
      <w:r>
        <w:rPr>
          <w:rStyle w:val="FootnoteReference"/>
        </w:rPr>
        <w:footnoteRef/>
      </w:r>
      <w:r>
        <w:t xml:space="preserve"> </w:t>
      </w:r>
      <w:r w:rsidR="00020490">
        <w:rPr>
          <w:i/>
          <w:iCs/>
        </w:rPr>
        <w:t xml:space="preserve">Upper C-band </w:t>
      </w:r>
      <w:r w:rsidRPr="00FD56A9" w:rsidR="00020490">
        <w:rPr>
          <w:i/>
          <w:iCs/>
        </w:rPr>
        <w:t>NPRM</w:t>
      </w:r>
      <w:r w:rsidR="00020490">
        <w:t xml:space="preserve"> at *</w:t>
      </w:r>
      <w:r w:rsidR="00DC0761">
        <w:t>43-</w:t>
      </w:r>
      <w:r w:rsidR="001A25C8">
        <w:t>51</w:t>
      </w:r>
      <w:r w:rsidR="00020490">
        <w:t xml:space="preserve">, </w:t>
      </w:r>
      <w:r w:rsidR="001A25C8">
        <w:t xml:space="preserve">Appx., </w:t>
      </w:r>
      <w:r w:rsidR="00020490">
        <w:t xml:space="preserve">paras. </w:t>
      </w:r>
      <w:r w:rsidR="001A25C8">
        <w:t>1-44</w:t>
      </w:r>
      <w:r w:rsidR="004960C7">
        <w:t>.</w:t>
      </w:r>
    </w:p>
  </w:footnote>
  <w:footnote w:id="14">
    <w:p w:rsidR="007E6BDB" w:rsidRPr="00E169D5" w:rsidP="007E6BDB" w14:paraId="13F1ED88" w14:textId="77777777">
      <w:pPr>
        <w:pStyle w:val="FootnoteText"/>
        <w:rPr>
          <w:i/>
          <w:iCs/>
        </w:rPr>
      </w:pPr>
      <w:r w:rsidRPr="007E6BDB">
        <w:rPr>
          <w:rStyle w:val="FootnoteReference"/>
        </w:rPr>
        <w:footnoteRef/>
      </w:r>
      <w:r>
        <w:t xml:space="preserve"> 47 C.F.R. §§ 1.1200 </w:t>
      </w:r>
      <w:r>
        <w:rPr>
          <w:i/>
          <w:iCs/>
        </w:rPr>
        <w:t>et seq.</w:t>
      </w:r>
    </w:p>
  </w:footnote>
  <w:footnote w:id="15">
    <w:p w:rsidR="005D7F29" w:rsidP="005D7F29" w14:paraId="24299DFB" w14:textId="725E877D">
      <w:pPr>
        <w:pStyle w:val="FootnoteText"/>
      </w:pPr>
      <w:r>
        <w:rPr>
          <w:rStyle w:val="FootnoteReference"/>
        </w:rPr>
        <w:footnoteRef/>
      </w:r>
      <w:r>
        <w:t xml:space="preserve"> </w:t>
      </w:r>
      <w:r w:rsidRPr="005D7F29">
        <w:t>5 U.S.C. § 553(b)(4). The Providing Accountability Through Transparency Act, Pub. L. No. 118-9 (2023),</w:t>
      </w:r>
      <w:r>
        <w:t xml:space="preserve"> </w:t>
      </w:r>
      <w:r w:rsidRPr="005D7F29">
        <w:t>amended Section 553(b) of the Administrative Procedure 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14:paraId="2AAE0C60" w14:textId="4F3D108E">
    <w:pPr>
      <w:tabs>
        <w:tab w:val="center" w:pos="4680"/>
        <w:tab w:val="right" w:pos="9360"/>
      </w:tabs>
    </w:pPr>
    <w:r>
      <w:rPr>
        <w:b/>
      </w:rPr>
      <w:tab/>
      <w:t>Federal Communications Commission</w:t>
    </w:r>
    <w:r>
      <w:rPr>
        <w:b/>
      </w:rPr>
      <w:tab/>
    </w:r>
    <w:r w:rsidR="00E476DD">
      <w:rPr>
        <w:b/>
      </w:rPr>
      <w:t>DA 2</w:t>
    </w:r>
    <w:r w:rsidR="00032316">
      <w:rPr>
        <w:b/>
      </w:rPr>
      <w:t>6</w:t>
    </w:r>
    <w:r w:rsidR="00E476DD">
      <w:rPr>
        <w:b/>
      </w:rPr>
      <w:t>-</w:t>
    </w:r>
    <w:r w:rsidR="00B7456C">
      <w:rPr>
        <w:b/>
      </w:rPr>
      <w:t>341</w:t>
    </w:r>
  </w:p>
  <w:p w:rsidR="00BA3BA8" w14:paraId="721D92CB" w14:textId="06C9FAEF">
    <w:pPr>
      <w:tabs>
        <w:tab w:val="left" w:pos="-720"/>
      </w:tabs>
      <w:suppressAutoHyphens/>
      <w:spacing w:line="19" w:lineRule="exact"/>
      <w:rPr>
        <w:spacing w:val="-2"/>
      </w:rPr>
    </w:pPr>
    <w:r>
      <w:rPr>
        <w:noProof/>
      </w:rPr>
      <mc:AlternateContent>
        <mc:Choice Requires="wps">
          <w:drawing>
            <wp:anchor distT="0" distB="0" distL="114300" distR="114300" simplePos="0" relativeHeight="251658240" behindDoc="1" locked="0" layoutInCell="0" allowOverlap="1">
              <wp:simplePos x="0" y="0"/>
              <wp:positionH relativeFrom="margin">
                <wp:posOffset>0</wp:posOffset>
              </wp:positionH>
              <wp:positionV relativeFrom="paragraph">
                <wp:posOffset>0</wp:posOffset>
              </wp:positionV>
              <wp:extent cx="5943600" cy="12065"/>
              <wp:effectExtent l="0" t="0" r="0" b="0"/>
              <wp:wrapNone/>
              <wp:docPr id="1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635">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2049" style="width:468pt;height:0.95pt;margin-top:0;margin-left:0;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color="black" stroked="f" strokeweight="0.05pt">
              <w10:wrap anchorx="margin"/>
            </v:rect>
          </w:pict>
        </mc:Fallback>
      </mc:AlternateContent>
    </w:r>
  </w:p>
  <w:p w:rsidR="00BA3BA8" w14:paraId="7395605E" w14:textId="77777777">
    <w:pPr>
      <w:spacing w:before="40"/>
      <w:rPr>
        <w:rFonts w:ascii="Arial" w:hAnsi="Arial" w:cs="Arial"/>
        <w:b/>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BA8" w:rsidRPr="00F03EA1" w:rsidP="00F03EA1" w14:paraId="2AF1508C" w14:textId="0AC4EAF7">
    <w:pPr>
      <w:pStyle w:val="Header"/>
    </w:pPr>
    <w:r>
      <w:rPr>
        <w:noProof/>
      </w:rPr>
      <w:drawing>
        <wp:inline distT="0" distB="0" distL="0" distR="0">
          <wp:extent cx="5953125"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953125" cy="1428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09DA1A0A"/>
    <w:multiLevelType w:val="hybridMultilevel"/>
    <w:tmpl w:val="55F4E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D63420"/>
    <w:multiLevelType w:val="hybridMultilevel"/>
    <w:tmpl w:val="FE884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F40A0F"/>
    <w:multiLevelType w:val="singleLevel"/>
    <w:tmpl w:val="3244DD0A"/>
    <w:lvl w:ilvl="0">
      <w:start w:val="1"/>
      <w:numFmt w:val="bullet"/>
      <w:pStyle w:val="Bullet"/>
      <w:lvlText w:val=""/>
      <w:lvlJc w:val="left"/>
      <w:pPr>
        <w:tabs>
          <w:tab w:val="num" w:pos="360"/>
        </w:tabs>
        <w:ind w:left="360" w:hanging="360"/>
      </w:pPr>
      <w:rPr>
        <w:rFonts w:ascii="Symbol" w:hAnsi="Symbol" w:hint="default"/>
      </w:rPr>
    </w:lvl>
  </w:abstractNum>
  <w:abstractNum w:abstractNumId="4">
    <w:nsid w:val="248246F3"/>
    <w:multiLevelType w:val="singleLevel"/>
    <w:tmpl w:val="B1F45678"/>
    <w:lvl w:ilvl="0">
      <w:start w:val="1"/>
      <w:numFmt w:val="decimal"/>
      <w:lvlText w:val="%1."/>
      <w:lvlJc w:val="left"/>
      <w:pPr>
        <w:tabs>
          <w:tab w:val="num" w:pos="1080"/>
        </w:tabs>
        <w:ind w:left="0" w:firstLine="720"/>
      </w:pPr>
    </w:lvl>
  </w:abstractNum>
  <w:abstractNum w:abstractNumId="5">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6">
    <w:nsid w:val="31594D77"/>
    <w:multiLevelType w:val="hybridMultilevel"/>
    <w:tmpl w:val="2DC07AB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nsid w:val="61182925"/>
    <w:multiLevelType w:val="singleLevel"/>
    <w:tmpl w:val="D180CED0"/>
    <w:lvl w:ilvl="0">
      <w:start w:val="1"/>
      <w:numFmt w:val="decimal"/>
      <w:pStyle w:val="ParaNum"/>
      <w:lvlText w:val="%1."/>
      <w:lvlJc w:val="left"/>
      <w:pPr>
        <w:tabs>
          <w:tab w:val="num" w:pos="1080"/>
        </w:tabs>
        <w:ind w:left="0" w:firstLine="720"/>
      </w:pPr>
    </w:lvl>
  </w:abstractNum>
  <w:num w:numId="1" w16cid:durableId="750932040">
    <w:abstractNumId w:val="3"/>
  </w:num>
  <w:num w:numId="2" w16cid:durableId="529030045">
    <w:abstractNumId w:val="8"/>
  </w:num>
  <w:num w:numId="3" w16cid:durableId="1426344727">
    <w:abstractNumId w:val="5"/>
  </w:num>
  <w:num w:numId="4" w16cid:durableId="1923417231">
    <w:abstractNumId w:val="7"/>
  </w:num>
  <w:num w:numId="5" w16cid:durableId="570578873">
    <w:abstractNumId w:val="4"/>
  </w:num>
  <w:num w:numId="6" w16cid:durableId="713892323">
    <w:abstractNumId w:val="0"/>
  </w:num>
  <w:num w:numId="7" w16cid:durableId="1789858283">
    <w:abstractNumId w:val="1"/>
  </w:num>
  <w:num w:numId="8" w16cid:durableId="2138524155">
    <w:abstractNumId w:val="2"/>
  </w:num>
  <w:num w:numId="9" w16cid:durableId="16118212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5F"/>
    <w:rsid w:val="000003BA"/>
    <w:rsid w:val="00001088"/>
    <w:rsid w:val="0000161D"/>
    <w:rsid w:val="00004D06"/>
    <w:rsid w:val="00005FD1"/>
    <w:rsid w:val="00007B19"/>
    <w:rsid w:val="00013942"/>
    <w:rsid w:val="00014BE0"/>
    <w:rsid w:val="00017E36"/>
    <w:rsid w:val="00020490"/>
    <w:rsid w:val="00021DF9"/>
    <w:rsid w:val="0002468B"/>
    <w:rsid w:val="00032316"/>
    <w:rsid w:val="0003657E"/>
    <w:rsid w:val="000462E1"/>
    <w:rsid w:val="00052B53"/>
    <w:rsid w:val="000572C9"/>
    <w:rsid w:val="00064012"/>
    <w:rsid w:val="00066A2E"/>
    <w:rsid w:val="00073733"/>
    <w:rsid w:val="00093DB7"/>
    <w:rsid w:val="00097B87"/>
    <w:rsid w:val="000A5E93"/>
    <w:rsid w:val="000B14E5"/>
    <w:rsid w:val="000B24C2"/>
    <w:rsid w:val="000C5A1E"/>
    <w:rsid w:val="000C662F"/>
    <w:rsid w:val="000C6EB3"/>
    <w:rsid w:val="000E126E"/>
    <w:rsid w:val="000E1BF1"/>
    <w:rsid w:val="000F1592"/>
    <w:rsid w:val="000F531B"/>
    <w:rsid w:val="000F5397"/>
    <w:rsid w:val="000F5435"/>
    <w:rsid w:val="000F6392"/>
    <w:rsid w:val="00103835"/>
    <w:rsid w:val="001038D9"/>
    <w:rsid w:val="00103F53"/>
    <w:rsid w:val="001049B9"/>
    <w:rsid w:val="00106DB5"/>
    <w:rsid w:val="001145FE"/>
    <w:rsid w:val="00115C69"/>
    <w:rsid w:val="00116E3D"/>
    <w:rsid w:val="00123252"/>
    <w:rsid w:val="00125AAB"/>
    <w:rsid w:val="00131CDA"/>
    <w:rsid w:val="00132806"/>
    <w:rsid w:val="00133997"/>
    <w:rsid w:val="001368A1"/>
    <w:rsid w:val="00136F6F"/>
    <w:rsid w:val="001417EC"/>
    <w:rsid w:val="001423E5"/>
    <w:rsid w:val="00146A44"/>
    <w:rsid w:val="0015268C"/>
    <w:rsid w:val="001659E8"/>
    <w:rsid w:val="00170846"/>
    <w:rsid w:val="00171B90"/>
    <w:rsid w:val="001729A7"/>
    <w:rsid w:val="0017525A"/>
    <w:rsid w:val="001801FB"/>
    <w:rsid w:val="001902F5"/>
    <w:rsid w:val="00194E88"/>
    <w:rsid w:val="00197298"/>
    <w:rsid w:val="001A0D56"/>
    <w:rsid w:val="001A25C8"/>
    <w:rsid w:val="001B090E"/>
    <w:rsid w:val="001B6338"/>
    <w:rsid w:val="001C1D1A"/>
    <w:rsid w:val="001C20A6"/>
    <w:rsid w:val="001C2576"/>
    <w:rsid w:val="001E4E6A"/>
    <w:rsid w:val="001F698E"/>
    <w:rsid w:val="001F7207"/>
    <w:rsid w:val="00201C71"/>
    <w:rsid w:val="00206AC7"/>
    <w:rsid w:val="00212978"/>
    <w:rsid w:val="00216F02"/>
    <w:rsid w:val="00217041"/>
    <w:rsid w:val="00221810"/>
    <w:rsid w:val="00231328"/>
    <w:rsid w:val="00231965"/>
    <w:rsid w:val="00231B62"/>
    <w:rsid w:val="0023213C"/>
    <w:rsid w:val="002362DE"/>
    <w:rsid w:val="00236C69"/>
    <w:rsid w:val="00237424"/>
    <w:rsid w:val="002447E4"/>
    <w:rsid w:val="0024702E"/>
    <w:rsid w:val="0024748F"/>
    <w:rsid w:val="0025097D"/>
    <w:rsid w:val="00254832"/>
    <w:rsid w:val="002560EC"/>
    <w:rsid w:val="00256691"/>
    <w:rsid w:val="00261762"/>
    <w:rsid w:val="00265165"/>
    <w:rsid w:val="00267ACE"/>
    <w:rsid w:val="00274BFD"/>
    <w:rsid w:val="002808F1"/>
    <w:rsid w:val="002827B4"/>
    <w:rsid w:val="002855D2"/>
    <w:rsid w:val="00285FE4"/>
    <w:rsid w:val="002870B2"/>
    <w:rsid w:val="0029143D"/>
    <w:rsid w:val="002948D9"/>
    <w:rsid w:val="002962E7"/>
    <w:rsid w:val="002A5606"/>
    <w:rsid w:val="002A5C45"/>
    <w:rsid w:val="002A6497"/>
    <w:rsid w:val="002A7B86"/>
    <w:rsid w:val="002B0E85"/>
    <w:rsid w:val="002B4E27"/>
    <w:rsid w:val="002B778A"/>
    <w:rsid w:val="002C0971"/>
    <w:rsid w:val="002C1A30"/>
    <w:rsid w:val="002C2E33"/>
    <w:rsid w:val="002C3137"/>
    <w:rsid w:val="002C3A54"/>
    <w:rsid w:val="002C71E6"/>
    <w:rsid w:val="002E07EE"/>
    <w:rsid w:val="002E1D85"/>
    <w:rsid w:val="002E32C6"/>
    <w:rsid w:val="002E709A"/>
    <w:rsid w:val="002F0607"/>
    <w:rsid w:val="00303F54"/>
    <w:rsid w:val="0030794B"/>
    <w:rsid w:val="00310F26"/>
    <w:rsid w:val="00314FD0"/>
    <w:rsid w:val="00317ADB"/>
    <w:rsid w:val="00320D8C"/>
    <w:rsid w:val="003251C8"/>
    <w:rsid w:val="0032537A"/>
    <w:rsid w:val="003257F2"/>
    <w:rsid w:val="00326675"/>
    <w:rsid w:val="00340B00"/>
    <w:rsid w:val="00341B06"/>
    <w:rsid w:val="003429C4"/>
    <w:rsid w:val="00347936"/>
    <w:rsid w:val="00347A42"/>
    <w:rsid w:val="00351B00"/>
    <w:rsid w:val="003674DE"/>
    <w:rsid w:val="00373DB5"/>
    <w:rsid w:val="003747D2"/>
    <w:rsid w:val="00384C9C"/>
    <w:rsid w:val="0038564E"/>
    <w:rsid w:val="00385903"/>
    <w:rsid w:val="00386A59"/>
    <w:rsid w:val="00387253"/>
    <w:rsid w:val="00391611"/>
    <w:rsid w:val="00391EB7"/>
    <w:rsid w:val="003949CF"/>
    <w:rsid w:val="00396E75"/>
    <w:rsid w:val="003A0E05"/>
    <w:rsid w:val="003A75EA"/>
    <w:rsid w:val="003B0B20"/>
    <w:rsid w:val="003B48B7"/>
    <w:rsid w:val="003B5B30"/>
    <w:rsid w:val="003C1035"/>
    <w:rsid w:val="003C23D8"/>
    <w:rsid w:val="003C3D9F"/>
    <w:rsid w:val="003D5258"/>
    <w:rsid w:val="003D6B57"/>
    <w:rsid w:val="003E3A4C"/>
    <w:rsid w:val="003E78F8"/>
    <w:rsid w:val="003E7CB2"/>
    <w:rsid w:val="003F03E3"/>
    <w:rsid w:val="003F3D45"/>
    <w:rsid w:val="00411F13"/>
    <w:rsid w:val="00421B73"/>
    <w:rsid w:val="00423434"/>
    <w:rsid w:val="00423E6A"/>
    <w:rsid w:val="00430183"/>
    <w:rsid w:val="00434A88"/>
    <w:rsid w:val="004423A7"/>
    <w:rsid w:val="00456BFC"/>
    <w:rsid w:val="004619A2"/>
    <w:rsid w:val="00467EFA"/>
    <w:rsid w:val="00470A99"/>
    <w:rsid w:val="004742DC"/>
    <w:rsid w:val="00476279"/>
    <w:rsid w:val="00480052"/>
    <w:rsid w:val="00485175"/>
    <w:rsid w:val="004856AE"/>
    <w:rsid w:val="00490487"/>
    <w:rsid w:val="004960C7"/>
    <w:rsid w:val="00496D9A"/>
    <w:rsid w:val="004A2F4E"/>
    <w:rsid w:val="004A4577"/>
    <w:rsid w:val="004A5A79"/>
    <w:rsid w:val="004A7CD6"/>
    <w:rsid w:val="004B5908"/>
    <w:rsid w:val="004C7EE8"/>
    <w:rsid w:val="004D4862"/>
    <w:rsid w:val="004E343B"/>
    <w:rsid w:val="004E388D"/>
    <w:rsid w:val="004E43AC"/>
    <w:rsid w:val="004E43C9"/>
    <w:rsid w:val="004F08B5"/>
    <w:rsid w:val="004F5F89"/>
    <w:rsid w:val="004F6089"/>
    <w:rsid w:val="00500342"/>
    <w:rsid w:val="005019D5"/>
    <w:rsid w:val="00503DC6"/>
    <w:rsid w:val="005049CE"/>
    <w:rsid w:val="00504DDE"/>
    <w:rsid w:val="00505BA9"/>
    <w:rsid w:val="0051077B"/>
    <w:rsid w:val="00511D2B"/>
    <w:rsid w:val="00512C9A"/>
    <w:rsid w:val="005145EB"/>
    <w:rsid w:val="005149B1"/>
    <w:rsid w:val="00517758"/>
    <w:rsid w:val="00520EDC"/>
    <w:rsid w:val="00520FD4"/>
    <w:rsid w:val="00533053"/>
    <w:rsid w:val="00540293"/>
    <w:rsid w:val="00540711"/>
    <w:rsid w:val="00544197"/>
    <w:rsid w:val="00551D93"/>
    <w:rsid w:val="005529FE"/>
    <w:rsid w:val="00566A0D"/>
    <w:rsid w:val="00573842"/>
    <w:rsid w:val="00576A89"/>
    <w:rsid w:val="005775AE"/>
    <w:rsid w:val="00580CF8"/>
    <w:rsid w:val="00586B97"/>
    <w:rsid w:val="00592AD2"/>
    <w:rsid w:val="0059338F"/>
    <w:rsid w:val="00594968"/>
    <w:rsid w:val="005A0B91"/>
    <w:rsid w:val="005B1735"/>
    <w:rsid w:val="005B2E34"/>
    <w:rsid w:val="005B6250"/>
    <w:rsid w:val="005B6758"/>
    <w:rsid w:val="005B7E82"/>
    <w:rsid w:val="005C084B"/>
    <w:rsid w:val="005C24C7"/>
    <w:rsid w:val="005C32CC"/>
    <w:rsid w:val="005C489B"/>
    <w:rsid w:val="005D13A6"/>
    <w:rsid w:val="005D1B3C"/>
    <w:rsid w:val="005D31F9"/>
    <w:rsid w:val="005D7F29"/>
    <w:rsid w:val="005E0F0E"/>
    <w:rsid w:val="005F022C"/>
    <w:rsid w:val="005F1B3E"/>
    <w:rsid w:val="005F33D0"/>
    <w:rsid w:val="005F7592"/>
    <w:rsid w:val="005F79A4"/>
    <w:rsid w:val="005F7B47"/>
    <w:rsid w:val="00603A0E"/>
    <w:rsid w:val="00605460"/>
    <w:rsid w:val="00606C24"/>
    <w:rsid w:val="00607055"/>
    <w:rsid w:val="00620A28"/>
    <w:rsid w:val="00627FB0"/>
    <w:rsid w:val="006341AA"/>
    <w:rsid w:val="006377FB"/>
    <w:rsid w:val="00641F81"/>
    <w:rsid w:val="006449AA"/>
    <w:rsid w:val="006452DC"/>
    <w:rsid w:val="00646306"/>
    <w:rsid w:val="00650485"/>
    <w:rsid w:val="00650B4E"/>
    <w:rsid w:val="00653804"/>
    <w:rsid w:val="0066345F"/>
    <w:rsid w:val="00665726"/>
    <w:rsid w:val="0066645E"/>
    <w:rsid w:val="00674D7F"/>
    <w:rsid w:val="006752CC"/>
    <w:rsid w:val="00677A63"/>
    <w:rsid w:val="006830F9"/>
    <w:rsid w:val="00683EB3"/>
    <w:rsid w:val="0068452D"/>
    <w:rsid w:val="0068489E"/>
    <w:rsid w:val="00693DE2"/>
    <w:rsid w:val="00694222"/>
    <w:rsid w:val="006944E2"/>
    <w:rsid w:val="00697203"/>
    <w:rsid w:val="006A31C6"/>
    <w:rsid w:val="006A31C7"/>
    <w:rsid w:val="006A77E2"/>
    <w:rsid w:val="006B079E"/>
    <w:rsid w:val="006B2591"/>
    <w:rsid w:val="006B4F63"/>
    <w:rsid w:val="006B5532"/>
    <w:rsid w:val="006B68C5"/>
    <w:rsid w:val="006B6E79"/>
    <w:rsid w:val="006B7678"/>
    <w:rsid w:val="006B7EC8"/>
    <w:rsid w:val="006C57FF"/>
    <w:rsid w:val="006D34B4"/>
    <w:rsid w:val="006D401F"/>
    <w:rsid w:val="006D70A9"/>
    <w:rsid w:val="006D7912"/>
    <w:rsid w:val="006E0664"/>
    <w:rsid w:val="006E2FBC"/>
    <w:rsid w:val="006E51E8"/>
    <w:rsid w:val="006E5431"/>
    <w:rsid w:val="006E63BC"/>
    <w:rsid w:val="006F0139"/>
    <w:rsid w:val="00706549"/>
    <w:rsid w:val="00706D0C"/>
    <w:rsid w:val="007119C0"/>
    <w:rsid w:val="007144C0"/>
    <w:rsid w:val="00715DB5"/>
    <w:rsid w:val="007323CE"/>
    <w:rsid w:val="00735A88"/>
    <w:rsid w:val="00737252"/>
    <w:rsid w:val="007428BC"/>
    <w:rsid w:val="007436C6"/>
    <w:rsid w:val="00747B11"/>
    <w:rsid w:val="00752EF6"/>
    <w:rsid w:val="0075344C"/>
    <w:rsid w:val="00760DF8"/>
    <w:rsid w:val="00761E32"/>
    <w:rsid w:val="00762F84"/>
    <w:rsid w:val="0077583C"/>
    <w:rsid w:val="00780ADA"/>
    <w:rsid w:val="00780FDC"/>
    <w:rsid w:val="00783E86"/>
    <w:rsid w:val="007853C6"/>
    <w:rsid w:val="007865B6"/>
    <w:rsid w:val="00790414"/>
    <w:rsid w:val="00790A4A"/>
    <w:rsid w:val="00790DCB"/>
    <w:rsid w:val="007931B0"/>
    <w:rsid w:val="00795E6C"/>
    <w:rsid w:val="00796522"/>
    <w:rsid w:val="007A6836"/>
    <w:rsid w:val="007B1A79"/>
    <w:rsid w:val="007B73A2"/>
    <w:rsid w:val="007B7608"/>
    <w:rsid w:val="007C2003"/>
    <w:rsid w:val="007D4483"/>
    <w:rsid w:val="007D525F"/>
    <w:rsid w:val="007E317A"/>
    <w:rsid w:val="007E3474"/>
    <w:rsid w:val="007E6BDB"/>
    <w:rsid w:val="007F319B"/>
    <w:rsid w:val="007F6EEB"/>
    <w:rsid w:val="00802412"/>
    <w:rsid w:val="008037B5"/>
    <w:rsid w:val="00803CE7"/>
    <w:rsid w:val="0081177E"/>
    <w:rsid w:val="00814028"/>
    <w:rsid w:val="00815D91"/>
    <w:rsid w:val="00816647"/>
    <w:rsid w:val="00816ABE"/>
    <w:rsid w:val="00823ED0"/>
    <w:rsid w:val="00826758"/>
    <w:rsid w:val="00835DF1"/>
    <w:rsid w:val="008452C1"/>
    <w:rsid w:val="00852F8F"/>
    <w:rsid w:val="00863D2F"/>
    <w:rsid w:val="008706B7"/>
    <w:rsid w:val="0087604E"/>
    <w:rsid w:val="00884B24"/>
    <w:rsid w:val="00891234"/>
    <w:rsid w:val="008A0823"/>
    <w:rsid w:val="008A778B"/>
    <w:rsid w:val="008B0CF2"/>
    <w:rsid w:val="008B49F2"/>
    <w:rsid w:val="008C4FCB"/>
    <w:rsid w:val="008D4ED2"/>
    <w:rsid w:val="008D5D90"/>
    <w:rsid w:val="008E6034"/>
    <w:rsid w:val="008F1242"/>
    <w:rsid w:val="00907AA5"/>
    <w:rsid w:val="00914348"/>
    <w:rsid w:val="00924A10"/>
    <w:rsid w:val="00926D4A"/>
    <w:rsid w:val="00930528"/>
    <w:rsid w:val="0093511A"/>
    <w:rsid w:val="009357D0"/>
    <w:rsid w:val="00937BBE"/>
    <w:rsid w:val="00944E1F"/>
    <w:rsid w:val="009457AE"/>
    <w:rsid w:val="00945DD4"/>
    <w:rsid w:val="00946412"/>
    <w:rsid w:val="00966000"/>
    <w:rsid w:val="0096735B"/>
    <w:rsid w:val="0097010D"/>
    <w:rsid w:val="00970C1A"/>
    <w:rsid w:val="009878BD"/>
    <w:rsid w:val="00992099"/>
    <w:rsid w:val="00994063"/>
    <w:rsid w:val="009B264A"/>
    <w:rsid w:val="009B7051"/>
    <w:rsid w:val="009C508D"/>
    <w:rsid w:val="009C63A6"/>
    <w:rsid w:val="009D1438"/>
    <w:rsid w:val="009D5B35"/>
    <w:rsid w:val="00A03EAA"/>
    <w:rsid w:val="00A04075"/>
    <w:rsid w:val="00A101C9"/>
    <w:rsid w:val="00A10212"/>
    <w:rsid w:val="00A124CD"/>
    <w:rsid w:val="00A12F6A"/>
    <w:rsid w:val="00A20679"/>
    <w:rsid w:val="00A238CF"/>
    <w:rsid w:val="00A3665B"/>
    <w:rsid w:val="00A4013C"/>
    <w:rsid w:val="00A41922"/>
    <w:rsid w:val="00A53899"/>
    <w:rsid w:val="00A62103"/>
    <w:rsid w:val="00A624C7"/>
    <w:rsid w:val="00A74C0E"/>
    <w:rsid w:val="00A75B07"/>
    <w:rsid w:val="00A819CD"/>
    <w:rsid w:val="00A85824"/>
    <w:rsid w:val="00A86BDD"/>
    <w:rsid w:val="00A96510"/>
    <w:rsid w:val="00AB0654"/>
    <w:rsid w:val="00AB1D94"/>
    <w:rsid w:val="00AC4D19"/>
    <w:rsid w:val="00AC7B6A"/>
    <w:rsid w:val="00AD0C08"/>
    <w:rsid w:val="00AE2AE2"/>
    <w:rsid w:val="00AE4403"/>
    <w:rsid w:val="00B003ED"/>
    <w:rsid w:val="00B0785A"/>
    <w:rsid w:val="00B12420"/>
    <w:rsid w:val="00B179BD"/>
    <w:rsid w:val="00B23AAC"/>
    <w:rsid w:val="00B26928"/>
    <w:rsid w:val="00B3075F"/>
    <w:rsid w:val="00B311A3"/>
    <w:rsid w:val="00B34280"/>
    <w:rsid w:val="00B34915"/>
    <w:rsid w:val="00B35DE3"/>
    <w:rsid w:val="00B35FF3"/>
    <w:rsid w:val="00B37923"/>
    <w:rsid w:val="00B42EFE"/>
    <w:rsid w:val="00B4308D"/>
    <w:rsid w:val="00B45ADF"/>
    <w:rsid w:val="00B5204D"/>
    <w:rsid w:val="00B53045"/>
    <w:rsid w:val="00B53B27"/>
    <w:rsid w:val="00B64943"/>
    <w:rsid w:val="00B659DD"/>
    <w:rsid w:val="00B67FBE"/>
    <w:rsid w:val="00B70F23"/>
    <w:rsid w:val="00B724DA"/>
    <w:rsid w:val="00B730F2"/>
    <w:rsid w:val="00B73FD1"/>
    <w:rsid w:val="00B7456C"/>
    <w:rsid w:val="00B7543B"/>
    <w:rsid w:val="00B807C8"/>
    <w:rsid w:val="00B86F4D"/>
    <w:rsid w:val="00B91E23"/>
    <w:rsid w:val="00B9319E"/>
    <w:rsid w:val="00BA0C06"/>
    <w:rsid w:val="00BA10C0"/>
    <w:rsid w:val="00BA186E"/>
    <w:rsid w:val="00BA3BA8"/>
    <w:rsid w:val="00BA4EF8"/>
    <w:rsid w:val="00BB2674"/>
    <w:rsid w:val="00BB7F82"/>
    <w:rsid w:val="00BC0DA0"/>
    <w:rsid w:val="00BC195A"/>
    <w:rsid w:val="00BC21A1"/>
    <w:rsid w:val="00BC6113"/>
    <w:rsid w:val="00BD11F8"/>
    <w:rsid w:val="00BD3388"/>
    <w:rsid w:val="00BD44AC"/>
    <w:rsid w:val="00BE0765"/>
    <w:rsid w:val="00BF50F2"/>
    <w:rsid w:val="00BF695C"/>
    <w:rsid w:val="00C07174"/>
    <w:rsid w:val="00C16C93"/>
    <w:rsid w:val="00C16D82"/>
    <w:rsid w:val="00C202B5"/>
    <w:rsid w:val="00C2272F"/>
    <w:rsid w:val="00C26E6B"/>
    <w:rsid w:val="00C31940"/>
    <w:rsid w:val="00C40370"/>
    <w:rsid w:val="00C42526"/>
    <w:rsid w:val="00C42A09"/>
    <w:rsid w:val="00C46D41"/>
    <w:rsid w:val="00C53BD1"/>
    <w:rsid w:val="00C57112"/>
    <w:rsid w:val="00C57800"/>
    <w:rsid w:val="00C60220"/>
    <w:rsid w:val="00C606D2"/>
    <w:rsid w:val="00C62210"/>
    <w:rsid w:val="00C65621"/>
    <w:rsid w:val="00C662F9"/>
    <w:rsid w:val="00C66B06"/>
    <w:rsid w:val="00C70513"/>
    <w:rsid w:val="00C7064E"/>
    <w:rsid w:val="00C70A3B"/>
    <w:rsid w:val="00C72ED1"/>
    <w:rsid w:val="00C74620"/>
    <w:rsid w:val="00C86A93"/>
    <w:rsid w:val="00C926CF"/>
    <w:rsid w:val="00C93211"/>
    <w:rsid w:val="00CA0B03"/>
    <w:rsid w:val="00CA4C1B"/>
    <w:rsid w:val="00CA6357"/>
    <w:rsid w:val="00CA7358"/>
    <w:rsid w:val="00CB2285"/>
    <w:rsid w:val="00CB2548"/>
    <w:rsid w:val="00CC13AF"/>
    <w:rsid w:val="00CC5F33"/>
    <w:rsid w:val="00CC73C9"/>
    <w:rsid w:val="00CE7DBA"/>
    <w:rsid w:val="00D12663"/>
    <w:rsid w:val="00D15FB7"/>
    <w:rsid w:val="00D1707C"/>
    <w:rsid w:val="00D32E7E"/>
    <w:rsid w:val="00D33D54"/>
    <w:rsid w:val="00D3582B"/>
    <w:rsid w:val="00D4424E"/>
    <w:rsid w:val="00D468F7"/>
    <w:rsid w:val="00D479C6"/>
    <w:rsid w:val="00D55569"/>
    <w:rsid w:val="00D575A6"/>
    <w:rsid w:val="00D655E7"/>
    <w:rsid w:val="00D668BF"/>
    <w:rsid w:val="00D71E03"/>
    <w:rsid w:val="00D74199"/>
    <w:rsid w:val="00D87683"/>
    <w:rsid w:val="00D90081"/>
    <w:rsid w:val="00D9038F"/>
    <w:rsid w:val="00D93FB5"/>
    <w:rsid w:val="00D95D5C"/>
    <w:rsid w:val="00DA5361"/>
    <w:rsid w:val="00DB00AC"/>
    <w:rsid w:val="00DB0D21"/>
    <w:rsid w:val="00DB1A65"/>
    <w:rsid w:val="00DB3268"/>
    <w:rsid w:val="00DC0761"/>
    <w:rsid w:val="00DC0CA0"/>
    <w:rsid w:val="00DC1057"/>
    <w:rsid w:val="00DC1B88"/>
    <w:rsid w:val="00DC694B"/>
    <w:rsid w:val="00DE2809"/>
    <w:rsid w:val="00DE6C5F"/>
    <w:rsid w:val="00DF2FA3"/>
    <w:rsid w:val="00DF6275"/>
    <w:rsid w:val="00DF72D9"/>
    <w:rsid w:val="00E00435"/>
    <w:rsid w:val="00E07985"/>
    <w:rsid w:val="00E169D5"/>
    <w:rsid w:val="00E25748"/>
    <w:rsid w:val="00E307A3"/>
    <w:rsid w:val="00E32055"/>
    <w:rsid w:val="00E41675"/>
    <w:rsid w:val="00E476DD"/>
    <w:rsid w:val="00E50A10"/>
    <w:rsid w:val="00E60494"/>
    <w:rsid w:val="00E63CD2"/>
    <w:rsid w:val="00E63ED6"/>
    <w:rsid w:val="00E64C9F"/>
    <w:rsid w:val="00E66050"/>
    <w:rsid w:val="00E717EA"/>
    <w:rsid w:val="00E8433B"/>
    <w:rsid w:val="00E84AD9"/>
    <w:rsid w:val="00E92383"/>
    <w:rsid w:val="00E95289"/>
    <w:rsid w:val="00EA0513"/>
    <w:rsid w:val="00EA0702"/>
    <w:rsid w:val="00EA2236"/>
    <w:rsid w:val="00EA5576"/>
    <w:rsid w:val="00EA61F2"/>
    <w:rsid w:val="00EB7A80"/>
    <w:rsid w:val="00EB7B93"/>
    <w:rsid w:val="00EC5DD6"/>
    <w:rsid w:val="00EC74A1"/>
    <w:rsid w:val="00ED1215"/>
    <w:rsid w:val="00ED1B9D"/>
    <w:rsid w:val="00ED2FE3"/>
    <w:rsid w:val="00ED7ED2"/>
    <w:rsid w:val="00EE53CB"/>
    <w:rsid w:val="00EF466B"/>
    <w:rsid w:val="00EF63BC"/>
    <w:rsid w:val="00F01FC2"/>
    <w:rsid w:val="00F03EA1"/>
    <w:rsid w:val="00F1351E"/>
    <w:rsid w:val="00F15EF9"/>
    <w:rsid w:val="00F172F0"/>
    <w:rsid w:val="00F24EF3"/>
    <w:rsid w:val="00F27710"/>
    <w:rsid w:val="00F3535A"/>
    <w:rsid w:val="00F41035"/>
    <w:rsid w:val="00F4196D"/>
    <w:rsid w:val="00F432D2"/>
    <w:rsid w:val="00F43347"/>
    <w:rsid w:val="00F507CA"/>
    <w:rsid w:val="00F50E04"/>
    <w:rsid w:val="00F54C86"/>
    <w:rsid w:val="00F5786A"/>
    <w:rsid w:val="00F61A1A"/>
    <w:rsid w:val="00F62034"/>
    <w:rsid w:val="00F62843"/>
    <w:rsid w:val="00F73ECF"/>
    <w:rsid w:val="00F74497"/>
    <w:rsid w:val="00F854D9"/>
    <w:rsid w:val="00FA22F9"/>
    <w:rsid w:val="00FB4904"/>
    <w:rsid w:val="00FC060D"/>
    <w:rsid w:val="00FC0B1F"/>
    <w:rsid w:val="00FC6332"/>
    <w:rsid w:val="00FD11EC"/>
    <w:rsid w:val="00FD1C88"/>
    <w:rsid w:val="00FD1DF3"/>
    <w:rsid w:val="00FD56A9"/>
    <w:rsid w:val="00FD5DF8"/>
    <w:rsid w:val="00FD7D66"/>
    <w:rsid w:val="00FE137C"/>
    <w:rsid w:val="00FE44AD"/>
    <w:rsid w:val="00FE4E33"/>
    <w:rsid w:val="00FE63F4"/>
    <w:rsid w:val="00FF0518"/>
    <w:rsid w:val="00FF3F0D"/>
    <w:rsid w:val="00FF5681"/>
    <w:rsid w:val="00FF5791"/>
    <w:rsid w:val="18321614"/>
    <w:rsid w:val="20DB5942"/>
    <w:rsid w:val="27FFE00C"/>
    <w:rsid w:val="33A048E3"/>
    <w:rsid w:val="638F2CD8"/>
    <w:rsid w:val="6BBE545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58ACE52"/>
  <w15:chartTrackingRefBased/>
  <w15:docId w15:val="{71A6F511-8ABD-4722-A380-471DC2C87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snapToGrid w:val="0"/>
      <w:kern w:val="28"/>
      <w:sz w:val="22"/>
    </w:rPr>
  </w:style>
  <w:style w:type="paragraph" w:styleId="Heading1">
    <w:name w:val="heading 1"/>
    <w:basedOn w:val="Normal"/>
    <w:next w:val="ParaNum"/>
    <w:qFormat/>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pPr>
      <w:keepNext/>
      <w:numPr>
        <w:ilvl w:val="1"/>
        <w:numId w:val="3"/>
      </w:numPr>
      <w:spacing w:after="120"/>
      <w:outlineLvl w:val="1"/>
    </w:pPr>
    <w:rPr>
      <w:b/>
    </w:rPr>
  </w:style>
  <w:style w:type="paragraph" w:styleId="Heading3">
    <w:name w:val="heading 3"/>
    <w:basedOn w:val="Normal"/>
    <w:next w:val="ParaNum"/>
    <w:qFormat/>
    <w:pPr>
      <w:keepNext/>
      <w:numPr>
        <w:ilvl w:val="2"/>
        <w:numId w:val="3"/>
      </w:numPr>
      <w:tabs>
        <w:tab w:val="left" w:pos="2160"/>
      </w:tabs>
      <w:spacing w:after="120"/>
      <w:outlineLvl w:val="2"/>
    </w:pPr>
    <w:rPr>
      <w:b/>
    </w:rPr>
  </w:style>
  <w:style w:type="paragraph" w:styleId="Heading4">
    <w:name w:val="heading 4"/>
    <w:basedOn w:val="Normal"/>
    <w:next w:val="ParaNum"/>
    <w:qFormat/>
    <w:pPr>
      <w:keepNext/>
      <w:numPr>
        <w:ilvl w:val="3"/>
        <w:numId w:val="3"/>
      </w:numPr>
      <w:tabs>
        <w:tab w:val="left" w:pos="2880"/>
      </w:tabs>
      <w:spacing w:after="120"/>
      <w:outlineLvl w:val="3"/>
    </w:pPr>
    <w:rPr>
      <w:b/>
    </w:rPr>
  </w:style>
  <w:style w:type="paragraph" w:styleId="Heading5">
    <w:name w:val="heading 5"/>
    <w:basedOn w:val="Normal"/>
    <w:next w:val="ParaNum"/>
    <w:qFormat/>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pPr>
      <w:numPr>
        <w:ilvl w:val="5"/>
        <w:numId w:val="3"/>
      </w:numPr>
      <w:tabs>
        <w:tab w:val="left" w:pos="4320"/>
      </w:tabs>
      <w:spacing w:after="120"/>
      <w:outlineLvl w:val="5"/>
    </w:pPr>
    <w:rPr>
      <w:b/>
    </w:rPr>
  </w:style>
  <w:style w:type="paragraph" w:styleId="Heading7">
    <w:name w:val="heading 7"/>
    <w:basedOn w:val="Normal"/>
    <w:next w:val="ParaNum"/>
    <w:qFormat/>
    <w:pPr>
      <w:numPr>
        <w:ilvl w:val="6"/>
        <w:numId w:val="3"/>
      </w:numPr>
      <w:tabs>
        <w:tab w:val="left" w:pos="5040"/>
      </w:tabs>
      <w:spacing w:after="120"/>
      <w:ind w:left="5040" w:hanging="720"/>
      <w:outlineLvl w:val="6"/>
    </w:pPr>
    <w:rPr>
      <w:b/>
    </w:rPr>
  </w:style>
  <w:style w:type="paragraph" w:styleId="Heading8">
    <w:name w:val="heading 8"/>
    <w:basedOn w:val="Normal"/>
    <w:next w:val="ParaNum"/>
    <w:qFormat/>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Char Char Char,Footnote Text Char Char Char Char,Footnote Text Char1 Char,Footnote Text Char1 Char Char,Footnote Text Char1 Char1 Char Char Char Char,Footnote Text Char2,Footnote Text Char2 Char,Footnote Text Char2 Char Char Char Char,f,fn"/>
    <w:link w:val="FootnoteTextChar"/>
    <w:qFormat/>
    <w:pPr>
      <w:spacing w:after="120"/>
    </w:pPr>
  </w:style>
  <w:style w:type="character" w:styleId="FootnoteReference">
    <w:name w:val="footnote reference"/>
    <w:aliases w:val="(NECG) Footnote Reference,-E Funotenzeichen,Appel note de bas de p,FR,Footnote Reference/,Footnote Reference1,Style 12,Style 124,Style 13,Style 17,Style 20,Style 3,Style 34,Style 4,Style 6,Style 7,Style 9,callout,fr,o,A,Ref,Style 1,R"/>
    <w:qFormat/>
    <w:rPr>
      <w:rFonts w:ascii="Times New Roman" w:hAnsi="Times New Roman"/>
      <w:dstrike w:val="0"/>
      <w:color w:val="auto"/>
      <w:sz w:val="22"/>
      <w:vertAlign w:val="superscript"/>
    </w:rPr>
  </w:style>
  <w:style w:type="paragraph" w:styleId="TOC1">
    <w:name w:val="toc 1"/>
    <w:basedOn w:val="Normal"/>
    <w:next w:val="Normal"/>
    <w:uiPriority w:val="39"/>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rFonts w:ascii="Arial" w:hAnsi="Arial" w:cs="Arial"/>
      <w:b/>
      <w:sz w:val="96"/>
      <w:szCs w:val="96"/>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numPr>
        <w:numId w:val="1"/>
      </w:numPr>
      <w:tabs>
        <w:tab w:val="clear" w:pos="360"/>
        <w:tab w:val="left" w:pos="2160"/>
      </w:tabs>
      <w:spacing w:after="220"/>
      <w:ind w:left="2160" w:hanging="720"/>
    </w:pPr>
  </w:style>
  <w:style w:type="paragraph" w:customStyle="1" w:styleId="TableFormat">
    <w:name w:val="TableFormat"/>
    <w:basedOn w:val="Bullet"/>
    <w:pPr>
      <w:numPr>
        <w:numId w:val="0"/>
      </w:num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pPr>
      <w:jc w:val="center"/>
    </w:pPr>
    <w:rPr>
      <w:rFonts w:ascii="Times New Roman Bold" w:hAnsi="Times New Roman Bold"/>
      <w:b/>
      <w:bCs/>
      <w:caps/>
      <w:szCs w:val="22"/>
    </w:rPr>
  </w:style>
  <w:style w:type="character" w:styleId="Hyperlink">
    <w:name w:val="Hyperlink"/>
    <w:rPr>
      <w:color w:val="0000FF"/>
      <w:u w:val="single"/>
    </w:rPr>
  </w:style>
  <w:style w:type="character" w:customStyle="1" w:styleId="FooterChar">
    <w:name w:val="Footer Char"/>
    <w:link w:val="Footer"/>
    <w:uiPriority w:val="99"/>
    <w:rPr>
      <w:snapToGrid w:val="0"/>
      <w:kern w:val="28"/>
      <w:sz w:val="22"/>
    </w:rPr>
  </w:style>
  <w:style w:type="character" w:styleId="UnresolvedMention">
    <w:name w:val="Unresolved Mention"/>
    <w:uiPriority w:val="99"/>
    <w:semiHidden/>
    <w:unhideWhenUsed/>
    <w:rPr>
      <w:color w:val="605E5C"/>
      <w:shd w:val="clear" w:color="auto" w:fill="E1DFDD"/>
    </w:rPr>
  </w:style>
  <w:style w:type="character" w:customStyle="1" w:styleId="FootnoteTextChar">
    <w:name w:val="Footnote Text Char"/>
    <w:aliases w:val="Char Char Char Char,Footnote Text Char Char Char Char Char,Footnote Text Char1 Char Char1,Footnote Text Char1 Char Char Char,Footnote Text Char1 Char1 Char Char Char Char Char,Footnote Text Char2 Char1,Footnote Text Char2 Char Char"/>
    <w:link w:val="FootnoteText"/>
    <w:rsid w:val="002E07EE"/>
  </w:style>
  <w:style w:type="paragraph" w:styleId="ListParagraph">
    <w:name w:val="List Paragraph"/>
    <w:basedOn w:val="Normal"/>
    <w:uiPriority w:val="34"/>
    <w:qFormat/>
    <w:rsid w:val="00C46D41"/>
    <w:pPr>
      <w:ind w:left="720"/>
      <w:contextualSpacing/>
    </w:pPr>
  </w:style>
  <w:style w:type="character" w:styleId="FollowedHyperlink">
    <w:name w:val="FollowedHyperlink"/>
    <w:uiPriority w:val="99"/>
    <w:semiHidden/>
    <w:unhideWhenUsed/>
    <w:rsid w:val="00505BA9"/>
    <w:rPr>
      <w:color w:val="96607D"/>
      <w:u w:val="single"/>
    </w:rPr>
  </w:style>
  <w:style w:type="paragraph" w:styleId="CommentText">
    <w:name w:val="annotation text"/>
    <w:basedOn w:val="Normal"/>
    <w:link w:val="CommentTextChar"/>
    <w:uiPriority w:val="99"/>
    <w:unhideWhenUsed/>
    <w:rsid w:val="006830F9"/>
    <w:rPr>
      <w:sz w:val="20"/>
    </w:rPr>
  </w:style>
  <w:style w:type="character" w:customStyle="1" w:styleId="CommentTextChar">
    <w:name w:val="Comment Text Char"/>
    <w:link w:val="CommentText"/>
    <w:uiPriority w:val="99"/>
    <w:rsid w:val="006830F9"/>
    <w:rPr>
      <w:snapToGrid w:val="0"/>
      <w:kern w:val="28"/>
    </w:rPr>
  </w:style>
  <w:style w:type="character" w:styleId="CommentReference">
    <w:name w:val="annotation reference"/>
    <w:uiPriority w:val="99"/>
    <w:semiHidden/>
    <w:unhideWhenUsed/>
    <w:rsid w:val="006830F9"/>
    <w:rPr>
      <w:sz w:val="16"/>
      <w:szCs w:val="16"/>
    </w:rPr>
  </w:style>
  <w:style w:type="paragraph" w:styleId="Revision">
    <w:name w:val="Revision"/>
    <w:hidden/>
    <w:uiPriority w:val="99"/>
    <w:semiHidden/>
    <w:rsid w:val="006830F9"/>
    <w:rPr>
      <w:snapToGrid w:val="0"/>
      <w:kern w:val="28"/>
      <w:sz w:val="22"/>
    </w:rPr>
  </w:style>
  <w:style w:type="paragraph" w:styleId="CommentSubject">
    <w:name w:val="annotation subject"/>
    <w:basedOn w:val="CommentText"/>
    <w:next w:val="CommentText"/>
    <w:link w:val="CommentSubjectChar"/>
    <w:uiPriority w:val="99"/>
    <w:semiHidden/>
    <w:unhideWhenUsed/>
    <w:rsid w:val="002F0607"/>
    <w:rPr>
      <w:b/>
      <w:bCs/>
    </w:rPr>
  </w:style>
  <w:style w:type="character" w:customStyle="1" w:styleId="CommentSubjectChar">
    <w:name w:val="Comment Subject Char"/>
    <w:basedOn w:val="CommentTextChar"/>
    <w:link w:val="CommentSubject"/>
    <w:uiPriority w:val="99"/>
    <w:semiHidden/>
    <w:rsid w:val="002F0607"/>
    <w:rPr>
      <w:b/>
      <w:bCs/>
      <w:snapToGrid w:val="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fcc.gov/ecfs" TargetMode="External" /><Relationship Id="rId7" Type="http://schemas.openxmlformats.org/officeDocument/2006/relationships/hyperlink" Target="mailto:fcc504@fcc.gov" TargetMode="External" /><Relationship Id="rId8" Type="http://schemas.openxmlformats.org/officeDocument/2006/relationships/hyperlink" Target="https://www.govinfo.gov/link/plaw/104/public/13" TargetMode="External" /><Relationship Id="rId9" Type="http://schemas.openxmlformats.org/officeDocument/2006/relationships/hyperlink" Target="mailto:Andrew.McArdell@fcc.gov"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document/10527379225572/1" TargetMode="External" /><Relationship Id="rId2" Type="http://schemas.openxmlformats.org/officeDocument/2006/relationships/hyperlink" Target="https://www.fcc.gov/ecfs/document/10526884925025/1" TargetMode="External" /><Relationship Id="rId3" Type="http://schemas.openxmlformats.org/officeDocument/2006/relationships/hyperlink" Target="https://www.fcc.gov/ecfs/document/10523184488608/1" TargetMode="External" /><Relationship Id="rId4" Type="http://schemas.openxmlformats.org/officeDocument/2006/relationships/hyperlink" Target="https://www.fcc.gov/ecfs/document/10526747701000/1" TargetMode="External" /><Relationship Id="rId5" Type="http://schemas.openxmlformats.org/officeDocument/2006/relationships/hyperlink" Target="https://www.fcc.gov/ecfs/document/10527106958674/1" TargetMode="External" /><Relationship Id="rId6" Type="http://schemas.openxmlformats.org/officeDocument/2006/relationships/hyperlink" Target="https://www.fcc.gov/ecfs/document/10526242916138/1"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Public%20Notice%20Portrait.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Public Notice Portrait</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