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078A4" w14:paraId="02C23487" w14:textId="77777777">
      <w:pPr>
        <w:spacing w:before="60"/>
        <w:jc w:val="right"/>
        <w:rPr>
          <w:b/>
          <w:sz w:val="24"/>
        </w:rPr>
      </w:pPr>
    </w:p>
    <w:p w:rsidR="0052678C" w14:paraId="3DACB59A" w14:textId="0FD78E7F">
      <w:pPr>
        <w:spacing w:before="60"/>
        <w:jc w:val="right"/>
        <w:rPr>
          <w:b/>
          <w:sz w:val="24"/>
        </w:rPr>
      </w:pPr>
      <w:r>
        <w:rPr>
          <w:b/>
          <w:sz w:val="24"/>
        </w:rPr>
        <w:t>DA 26-</w:t>
      </w:r>
      <w:r w:rsidR="00035A76">
        <w:rPr>
          <w:b/>
          <w:sz w:val="24"/>
        </w:rPr>
        <w:t>368</w:t>
      </w:r>
    </w:p>
    <w:p w:rsidR="00BA3BA8" w14:paraId="1633ED17" w14:textId="1A03A894">
      <w:pPr>
        <w:spacing w:before="60"/>
        <w:jc w:val="right"/>
        <w:rPr>
          <w:b/>
          <w:sz w:val="24"/>
        </w:rPr>
      </w:pPr>
      <w:r>
        <w:rPr>
          <w:b/>
          <w:sz w:val="24"/>
        </w:rPr>
        <w:t>R</w:t>
      </w:r>
      <w:r>
        <w:rPr>
          <w:b/>
          <w:sz w:val="24"/>
        </w:rPr>
        <w:t xml:space="preserve">eleased:  </w:t>
      </w:r>
      <w:r>
        <w:rPr>
          <w:b/>
          <w:sz w:val="24"/>
        </w:rPr>
        <w:t xml:space="preserve">April </w:t>
      </w:r>
      <w:r w:rsidR="00035A76">
        <w:rPr>
          <w:b/>
          <w:sz w:val="24"/>
        </w:rPr>
        <w:t>15</w:t>
      </w:r>
      <w:r>
        <w:rPr>
          <w:b/>
          <w:sz w:val="24"/>
        </w:rPr>
        <w:t>, 2026</w:t>
      </w:r>
    </w:p>
    <w:p w:rsidR="00BA3BA8" w:rsidRPr="00C614AF" w14:paraId="611B44AD" w14:textId="77777777">
      <w:pPr>
        <w:jc w:val="right"/>
        <w:rPr>
          <w:color w:val="FF0000"/>
          <w:sz w:val="24"/>
        </w:rPr>
      </w:pPr>
    </w:p>
    <w:p w:rsidR="00BA3BA8" w14:paraId="6E2678F6" w14:textId="4529306F">
      <w:pPr>
        <w:spacing w:after="240"/>
        <w:jc w:val="center"/>
        <w:rPr>
          <w:rFonts w:ascii="Times New Roman Bold" w:hAnsi="Times New Roman Bold"/>
          <w:b/>
          <w:caps/>
          <w:sz w:val="24"/>
        </w:rPr>
      </w:pPr>
      <w:r>
        <w:rPr>
          <w:rFonts w:ascii="Times New Roman Bold" w:hAnsi="Times New Roman Bold"/>
          <w:b/>
          <w:caps/>
          <w:sz w:val="24"/>
        </w:rPr>
        <w:t>O</w:t>
      </w:r>
      <w:r w:rsidR="00A6222A">
        <w:rPr>
          <w:rFonts w:ascii="Times New Roman Bold" w:hAnsi="Times New Roman Bold"/>
          <w:b/>
          <w:caps/>
          <w:sz w:val="24"/>
        </w:rPr>
        <w:t xml:space="preserve">ffice of </w:t>
      </w:r>
      <w:r>
        <w:rPr>
          <w:rFonts w:ascii="Times New Roman Bold" w:hAnsi="Times New Roman Bold"/>
          <w:b/>
          <w:caps/>
          <w:sz w:val="24"/>
        </w:rPr>
        <w:t>G</w:t>
      </w:r>
      <w:r w:rsidR="00A6222A">
        <w:rPr>
          <w:rFonts w:ascii="Times New Roman Bold" w:hAnsi="Times New Roman Bold"/>
          <w:b/>
          <w:caps/>
          <w:sz w:val="24"/>
        </w:rPr>
        <w:t xml:space="preserve">eneral </w:t>
      </w:r>
      <w:r>
        <w:rPr>
          <w:rFonts w:ascii="Times New Roman Bold" w:hAnsi="Times New Roman Bold"/>
          <w:b/>
          <w:caps/>
          <w:sz w:val="24"/>
        </w:rPr>
        <w:t>C</w:t>
      </w:r>
      <w:r w:rsidR="00A6222A">
        <w:rPr>
          <w:rFonts w:ascii="Times New Roman Bold" w:hAnsi="Times New Roman Bold"/>
          <w:b/>
          <w:caps/>
          <w:sz w:val="24"/>
        </w:rPr>
        <w:t>ounsel</w:t>
      </w:r>
      <w:r>
        <w:rPr>
          <w:rFonts w:ascii="Times New Roman Bold" w:hAnsi="Times New Roman Bold"/>
          <w:b/>
          <w:caps/>
          <w:sz w:val="24"/>
        </w:rPr>
        <w:t xml:space="preserve"> ANNOUNCES </w:t>
      </w:r>
      <w:r w:rsidR="0052678C">
        <w:rPr>
          <w:rFonts w:ascii="Times New Roman Bold" w:hAnsi="Times New Roman Bold"/>
          <w:b/>
          <w:caps/>
          <w:sz w:val="24"/>
        </w:rPr>
        <w:t xml:space="preserve">Comment dates </w:t>
      </w:r>
      <w:r w:rsidR="00A37895">
        <w:rPr>
          <w:rFonts w:ascii="Times New Roman Bold" w:hAnsi="Times New Roman Bold"/>
          <w:b/>
          <w:caps/>
          <w:sz w:val="24"/>
        </w:rPr>
        <w:t>IN</w:t>
      </w:r>
      <w:r w:rsidR="0052678C">
        <w:rPr>
          <w:rFonts w:ascii="Times New Roman Bold" w:hAnsi="Times New Roman Bold"/>
          <w:b/>
          <w:caps/>
          <w:sz w:val="24"/>
        </w:rPr>
        <w:t xml:space="preserve"> Suspension and Debarment</w:t>
      </w:r>
      <w:r>
        <w:rPr>
          <w:rFonts w:ascii="Times New Roman Bold" w:hAnsi="Times New Roman Bold"/>
          <w:b/>
          <w:caps/>
          <w:sz w:val="24"/>
        </w:rPr>
        <w:t xml:space="preserve"> </w:t>
      </w:r>
      <w:r w:rsidR="0052678C">
        <w:rPr>
          <w:rFonts w:ascii="Times New Roman Bold" w:hAnsi="Times New Roman Bold"/>
          <w:b/>
          <w:caps/>
          <w:sz w:val="24"/>
        </w:rPr>
        <w:t>Rulemaking</w:t>
      </w:r>
    </w:p>
    <w:p w:rsidR="00BA3BA8" w14:paraId="4B9B4DA7" w14:textId="6078DCE1">
      <w:pPr>
        <w:jc w:val="center"/>
        <w:rPr>
          <w:b/>
          <w:sz w:val="24"/>
        </w:rPr>
      </w:pPr>
      <w:r>
        <w:rPr>
          <w:b/>
          <w:sz w:val="24"/>
        </w:rPr>
        <w:t>GN Docket No. 19-309</w:t>
      </w:r>
    </w:p>
    <w:p w:rsidR="0052678C" w:rsidP="0052678C" w14:paraId="7C336E46" w14:textId="77777777">
      <w:pPr>
        <w:rPr>
          <w:b/>
          <w:sz w:val="24"/>
        </w:rPr>
      </w:pPr>
    </w:p>
    <w:p w:rsidR="0052678C" w:rsidP="0052678C" w14:paraId="56405BF8" w14:textId="13D4BA27">
      <w:pPr>
        <w:rPr>
          <w:b/>
          <w:sz w:val="24"/>
        </w:rPr>
      </w:pPr>
      <w:r>
        <w:rPr>
          <w:b/>
          <w:sz w:val="24"/>
        </w:rPr>
        <w:t xml:space="preserve">Direct Final Rule </w:t>
      </w:r>
      <w:r w:rsidR="00B227C3">
        <w:rPr>
          <w:b/>
          <w:sz w:val="24"/>
        </w:rPr>
        <w:t>Comments Due</w:t>
      </w:r>
      <w:r>
        <w:rPr>
          <w:b/>
          <w:sz w:val="24"/>
        </w:rPr>
        <w:t>:</w:t>
      </w:r>
      <w:r w:rsidR="007078A4">
        <w:rPr>
          <w:b/>
          <w:sz w:val="24"/>
        </w:rPr>
        <w:t xml:space="preserve"> May </w:t>
      </w:r>
      <w:r w:rsidR="002E7C21">
        <w:rPr>
          <w:b/>
          <w:sz w:val="24"/>
        </w:rPr>
        <w:t>11</w:t>
      </w:r>
      <w:r w:rsidR="007078A4">
        <w:rPr>
          <w:b/>
          <w:sz w:val="24"/>
        </w:rPr>
        <w:t>, 2026</w:t>
      </w:r>
    </w:p>
    <w:p w:rsidR="0052678C" w:rsidP="0052678C" w14:paraId="5B99478A" w14:textId="2F9D8B4E">
      <w:pPr>
        <w:rPr>
          <w:b/>
          <w:sz w:val="24"/>
        </w:rPr>
      </w:pPr>
      <w:r>
        <w:rPr>
          <w:b/>
          <w:sz w:val="24"/>
        </w:rPr>
        <w:t>Further Notice Commen</w:t>
      </w:r>
      <w:r w:rsidR="00B227C3">
        <w:rPr>
          <w:b/>
          <w:sz w:val="24"/>
        </w:rPr>
        <w:t>ts Due</w:t>
      </w:r>
      <w:r>
        <w:rPr>
          <w:b/>
          <w:sz w:val="24"/>
        </w:rPr>
        <w:t xml:space="preserve">: </w:t>
      </w:r>
      <w:r w:rsidR="007078A4">
        <w:rPr>
          <w:b/>
          <w:sz w:val="24"/>
        </w:rPr>
        <w:t xml:space="preserve">May </w:t>
      </w:r>
      <w:r w:rsidR="002E7C21">
        <w:rPr>
          <w:b/>
          <w:sz w:val="24"/>
        </w:rPr>
        <w:t>11</w:t>
      </w:r>
      <w:r w:rsidR="007078A4">
        <w:rPr>
          <w:b/>
          <w:sz w:val="24"/>
        </w:rPr>
        <w:t>, 2026</w:t>
      </w:r>
    </w:p>
    <w:p w:rsidR="0052678C" w:rsidP="0052678C" w14:paraId="75453502" w14:textId="615613F1">
      <w:pPr>
        <w:rPr>
          <w:b/>
          <w:sz w:val="24"/>
        </w:rPr>
      </w:pPr>
      <w:r>
        <w:rPr>
          <w:b/>
          <w:sz w:val="24"/>
        </w:rPr>
        <w:t>Further Notice Reply Commen</w:t>
      </w:r>
      <w:r w:rsidR="00B227C3">
        <w:rPr>
          <w:b/>
          <w:sz w:val="24"/>
        </w:rPr>
        <w:t>ts Due</w:t>
      </w:r>
      <w:r>
        <w:rPr>
          <w:b/>
          <w:sz w:val="24"/>
        </w:rPr>
        <w:t xml:space="preserve">: </w:t>
      </w:r>
      <w:r w:rsidR="007078A4">
        <w:rPr>
          <w:b/>
          <w:sz w:val="24"/>
        </w:rPr>
        <w:t xml:space="preserve">June </w:t>
      </w:r>
      <w:r w:rsidR="002E7C21">
        <w:rPr>
          <w:b/>
          <w:sz w:val="24"/>
        </w:rPr>
        <w:t>8</w:t>
      </w:r>
      <w:r w:rsidR="007078A4">
        <w:rPr>
          <w:b/>
          <w:sz w:val="24"/>
        </w:rPr>
        <w:t>, 2026</w:t>
      </w:r>
    </w:p>
    <w:p w:rsidR="0052678C" w:rsidP="0052678C" w14:paraId="57992CB9" w14:textId="77777777">
      <w:pPr>
        <w:rPr>
          <w:b/>
          <w:sz w:val="24"/>
        </w:rPr>
      </w:pPr>
    </w:p>
    <w:p w:rsidR="00B227C3" w:rsidP="00B227C3" w14:paraId="6030F9DA" w14:textId="2BE63CEB">
      <w:pPr>
        <w:spacing w:after="120"/>
        <w:ind w:firstLine="720"/>
        <w:rPr>
          <w:bCs/>
          <w:sz w:val="24"/>
        </w:rPr>
      </w:pPr>
      <w:r w:rsidRPr="0052678C">
        <w:rPr>
          <w:bCs/>
          <w:sz w:val="24"/>
        </w:rPr>
        <w:t xml:space="preserve">By this </w:t>
      </w:r>
      <w:r w:rsidRPr="0052678C">
        <w:rPr>
          <w:bCs/>
          <w:i/>
          <w:iCs/>
          <w:sz w:val="24"/>
        </w:rPr>
        <w:t>Public Notice</w:t>
      </w:r>
      <w:r w:rsidRPr="0052678C">
        <w:rPr>
          <w:bCs/>
          <w:sz w:val="24"/>
        </w:rPr>
        <w:t xml:space="preserve">, the </w:t>
      </w:r>
      <w:r>
        <w:rPr>
          <w:bCs/>
          <w:sz w:val="24"/>
        </w:rPr>
        <w:t>Office of General Counsel</w:t>
      </w:r>
      <w:r w:rsidRPr="0052678C">
        <w:rPr>
          <w:bCs/>
          <w:sz w:val="24"/>
        </w:rPr>
        <w:t xml:space="preserve"> announces th</w:t>
      </w:r>
      <w:r>
        <w:rPr>
          <w:bCs/>
          <w:sz w:val="24"/>
        </w:rPr>
        <w:t>e</w:t>
      </w:r>
      <w:r w:rsidRPr="0052678C">
        <w:rPr>
          <w:bCs/>
          <w:sz w:val="24"/>
        </w:rPr>
        <w:t xml:space="preserve"> comment</w:t>
      </w:r>
      <w:r>
        <w:rPr>
          <w:bCs/>
          <w:sz w:val="24"/>
        </w:rPr>
        <w:t xml:space="preserve"> and reply comment deadlines for the </w:t>
      </w:r>
      <w:r w:rsidRPr="00400FD6">
        <w:rPr>
          <w:bCs/>
          <w:i/>
          <w:iCs/>
          <w:sz w:val="24"/>
        </w:rPr>
        <w:t>Further Notice of Proposed Rulemaking (Further Notice)</w:t>
      </w:r>
      <w:r>
        <w:rPr>
          <w:bCs/>
          <w:sz w:val="24"/>
        </w:rPr>
        <w:t xml:space="preserve"> and the </w:t>
      </w:r>
      <w:r w:rsidRPr="00400FD6">
        <w:rPr>
          <w:bCs/>
          <w:i/>
          <w:iCs/>
          <w:sz w:val="24"/>
        </w:rPr>
        <w:t>Direct Final Rule</w:t>
      </w:r>
      <w:r w:rsidRPr="0052678C">
        <w:rPr>
          <w:bCs/>
          <w:sz w:val="24"/>
        </w:rPr>
        <w:t xml:space="preserve"> in the </w:t>
      </w:r>
      <w:r w:rsidRPr="00400FD6">
        <w:rPr>
          <w:bCs/>
          <w:i/>
          <w:iCs/>
          <w:sz w:val="24"/>
        </w:rPr>
        <w:t>Modernizing Suspension and Debarment Rules</w:t>
      </w:r>
      <w:r>
        <w:rPr>
          <w:bCs/>
          <w:sz w:val="24"/>
        </w:rPr>
        <w:t xml:space="preserve"> proceeding</w:t>
      </w:r>
      <w:r>
        <w:rPr>
          <w:bCs/>
          <w:sz w:val="24"/>
        </w:rPr>
        <w:t>.</w:t>
      </w:r>
      <w:r>
        <w:rPr>
          <w:rStyle w:val="FootnoteReference"/>
          <w:bCs/>
        </w:rPr>
        <w:footnoteReference w:id="3"/>
      </w:r>
      <w:r w:rsidRPr="0052678C">
        <w:rPr>
          <w:bCs/>
          <w:sz w:val="24"/>
        </w:rPr>
        <w:t xml:space="preserve"> </w:t>
      </w:r>
      <w:r>
        <w:rPr>
          <w:bCs/>
          <w:sz w:val="24"/>
        </w:rPr>
        <w:t xml:space="preserve"> </w:t>
      </w:r>
      <w:r w:rsidRPr="0052678C">
        <w:rPr>
          <w:bCs/>
          <w:sz w:val="24"/>
        </w:rPr>
        <w:t xml:space="preserve">In the </w:t>
      </w:r>
      <w:r w:rsidRPr="00400FD6">
        <w:rPr>
          <w:bCs/>
          <w:i/>
          <w:iCs/>
          <w:sz w:val="24"/>
        </w:rPr>
        <w:t>Further Notice</w:t>
      </w:r>
      <w:r w:rsidRPr="0052678C">
        <w:rPr>
          <w:bCs/>
          <w:sz w:val="24"/>
        </w:rPr>
        <w:t>, the Federal Communications Commission (Commission) seeks comment on</w:t>
      </w:r>
      <w:r>
        <w:rPr>
          <w:bCs/>
          <w:sz w:val="24"/>
        </w:rPr>
        <w:t xml:space="preserve"> additional safeguard</w:t>
      </w:r>
      <w:r w:rsidR="00E4046A">
        <w:rPr>
          <w:bCs/>
          <w:sz w:val="24"/>
        </w:rPr>
        <w:t>s</w:t>
      </w:r>
      <w:r>
        <w:rPr>
          <w:bCs/>
          <w:sz w:val="24"/>
        </w:rPr>
        <w:t xml:space="preserve"> to enhance accountability and on a proposal to extend the suspension and debarment rules to </w:t>
      </w:r>
      <w:r w:rsidR="00E4046A">
        <w:rPr>
          <w:bCs/>
          <w:sz w:val="24"/>
        </w:rPr>
        <w:t>additional</w:t>
      </w:r>
      <w:r>
        <w:rPr>
          <w:bCs/>
          <w:sz w:val="24"/>
        </w:rPr>
        <w:t xml:space="preserve"> programs, including the Supply Chain Reimbursement Program.  In the </w:t>
      </w:r>
      <w:r w:rsidRPr="00400FD6">
        <w:rPr>
          <w:bCs/>
          <w:i/>
          <w:iCs/>
          <w:sz w:val="24"/>
        </w:rPr>
        <w:t>Direct Final Rule</w:t>
      </w:r>
      <w:r>
        <w:rPr>
          <w:bCs/>
          <w:sz w:val="24"/>
        </w:rPr>
        <w:t xml:space="preserve">, the Commission provides an opportunity for interested parties to provide input on </w:t>
      </w:r>
      <w:r w:rsidR="00017893">
        <w:rPr>
          <w:bCs/>
          <w:sz w:val="24"/>
        </w:rPr>
        <w:t xml:space="preserve">whether the Commission should adopt </w:t>
      </w:r>
      <w:r>
        <w:rPr>
          <w:bCs/>
          <w:sz w:val="24"/>
        </w:rPr>
        <w:t xml:space="preserve">a few </w:t>
      </w:r>
      <w:r w:rsidR="00921215">
        <w:rPr>
          <w:bCs/>
          <w:sz w:val="24"/>
        </w:rPr>
        <w:t xml:space="preserve">recent </w:t>
      </w:r>
      <w:r>
        <w:rPr>
          <w:bCs/>
          <w:sz w:val="24"/>
        </w:rPr>
        <w:t xml:space="preserve">revisions to the governmentwide suspension and debarment </w:t>
      </w:r>
      <w:r w:rsidR="00921215">
        <w:rPr>
          <w:bCs/>
          <w:sz w:val="24"/>
        </w:rPr>
        <w:t>guidelines</w:t>
      </w:r>
      <w:r>
        <w:rPr>
          <w:bCs/>
          <w:sz w:val="24"/>
        </w:rPr>
        <w:t xml:space="preserve">.  </w:t>
      </w:r>
    </w:p>
    <w:p w:rsidR="00B227C3" w:rsidP="00B227C3" w14:paraId="55C80D9D" w14:textId="6FB82D9E">
      <w:pPr>
        <w:spacing w:after="120"/>
        <w:ind w:firstLine="720"/>
        <w:rPr>
          <w:bCs/>
          <w:sz w:val="24"/>
        </w:rPr>
      </w:pPr>
      <w:r>
        <w:rPr>
          <w:bCs/>
          <w:sz w:val="24"/>
        </w:rPr>
        <w:t xml:space="preserve">The </w:t>
      </w:r>
      <w:r>
        <w:rPr>
          <w:bCs/>
          <w:i/>
          <w:iCs/>
          <w:sz w:val="24"/>
        </w:rPr>
        <w:t>Further Notice</w:t>
      </w:r>
      <w:r>
        <w:rPr>
          <w:bCs/>
          <w:sz w:val="24"/>
        </w:rPr>
        <w:t xml:space="preserve"> required interested parties to file comments no later than 30 days after the date of publication of the summary of the </w:t>
      </w:r>
      <w:r>
        <w:rPr>
          <w:bCs/>
          <w:i/>
          <w:iCs/>
          <w:sz w:val="24"/>
        </w:rPr>
        <w:t>Further Notice</w:t>
      </w:r>
      <w:r>
        <w:rPr>
          <w:bCs/>
          <w:sz w:val="24"/>
        </w:rPr>
        <w:t xml:space="preserve"> in the Federal Register, and to file reply comments no later than 60 days after the date of Federal Register publication.  Likewise, the </w:t>
      </w:r>
      <w:r>
        <w:rPr>
          <w:bCs/>
          <w:i/>
          <w:iCs/>
          <w:sz w:val="24"/>
        </w:rPr>
        <w:t>Direct Final Rule</w:t>
      </w:r>
      <w:r>
        <w:rPr>
          <w:bCs/>
          <w:sz w:val="24"/>
        </w:rPr>
        <w:t xml:space="preserve"> permitted interested parties to file comments no later than 30 days after the date of publication of the summary of the </w:t>
      </w:r>
      <w:r>
        <w:rPr>
          <w:bCs/>
          <w:i/>
          <w:iCs/>
          <w:sz w:val="24"/>
        </w:rPr>
        <w:t>Direct Final Rule</w:t>
      </w:r>
      <w:r>
        <w:rPr>
          <w:bCs/>
          <w:sz w:val="24"/>
        </w:rPr>
        <w:t xml:space="preserve"> in the Federal Register.  The Federal Register published summar</w:t>
      </w:r>
      <w:r w:rsidR="009E29FD">
        <w:rPr>
          <w:bCs/>
          <w:sz w:val="24"/>
        </w:rPr>
        <w:t xml:space="preserve">ies </w:t>
      </w:r>
      <w:r>
        <w:rPr>
          <w:bCs/>
          <w:sz w:val="24"/>
        </w:rPr>
        <w:t xml:space="preserve">of the </w:t>
      </w:r>
      <w:r>
        <w:rPr>
          <w:bCs/>
          <w:i/>
          <w:iCs/>
          <w:sz w:val="24"/>
        </w:rPr>
        <w:t xml:space="preserve">Further Notice </w:t>
      </w:r>
      <w:r w:rsidR="009E29FD">
        <w:rPr>
          <w:bCs/>
          <w:sz w:val="24"/>
        </w:rPr>
        <w:t xml:space="preserve">and </w:t>
      </w:r>
      <w:r w:rsidR="009E29FD">
        <w:rPr>
          <w:bCs/>
          <w:i/>
          <w:iCs/>
          <w:sz w:val="24"/>
        </w:rPr>
        <w:t xml:space="preserve">Direct Final Rule </w:t>
      </w:r>
      <w:r>
        <w:rPr>
          <w:bCs/>
          <w:sz w:val="24"/>
        </w:rPr>
        <w:t>on April 9, 2026</w:t>
      </w:r>
      <w:r w:rsidR="009E29FD">
        <w:rPr>
          <w:bCs/>
          <w:sz w:val="24"/>
        </w:rPr>
        <w:t>.</w:t>
      </w:r>
      <w:r>
        <w:rPr>
          <w:rStyle w:val="FootnoteReference"/>
          <w:bCs/>
        </w:rPr>
        <w:footnoteReference w:id="4"/>
      </w:r>
      <w:r>
        <w:rPr>
          <w:bCs/>
          <w:sz w:val="24"/>
        </w:rPr>
        <w:t xml:space="preserve"> </w:t>
      </w:r>
    </w:p>
    <w:p w:rsidR="00B227C3" w:rsidP="00B227C3" w14:paraId="7DADC7F7" w14:textId="60347112">
      <w:pPr>
        <w:spacing w:after="120"/>
        <w:ind w:firstLine="720"/>
        <w:rPr>
          <w:bCs/>
          <w:sz w:val="24"/>
        </w:rPr>
      </w:pPr>
      <w:r>
        <w:rPr>
          <w:bCs/>
          <w:sz w:val="24"/>
        </w:rPr>
        <w:t xml:space="preserve">Accordingly, comments in the </w:t>
      </w:r>
      <w:r>
        <w:rPr>
          <w:bCs/>
          <w:i/>
          <w:iCs/>
          <w:sz w:val="24"/>
        </w:rPr>
        <w:t xml:space="preserve">Further Notice </w:t>
      </w:r>
      <w:r>
        <w:rPr>
          <w:bCs/>
          <w:sz w:val="24"/>
        </w:rPr>
        <w:t xml:space="preserve">and the </w:t>
      </w:r>
      <w:r>
        <w:rPr>
          <w:bCs/>
          <w:i/>
          <w:iCs/>
          <w:sz w:val="24"/>
        </w:rPr>
        <w:t xml:space="preserve">Direct Final Rule </w:t>
      </w:r>
      <w:r w:rsidRPr="0052678C">
        <w:rPr>
          <w:bCs/>
          <w:sz w:val="24"/>
        </w:rPr>
        <w:t xml:space="preserve">are due no later than May </w:t>
      </w:r>
      <w:r w:rsidR="00171FC6">
        <w:rPr>
          <w:bCs/>
          <w:sz w:val="24"/>
        </w:rPr>
        <w:t>11</w:t>
      </w:r>
      <w:r w:rsidRPr="0052678C">
        <w:rPr>
          <w:bCs/>
          <w:sz w:val="24"/>
        </w:rPr>
        <w:t>, 2026, and reply comments</w:t>
      </w:r>
      <w:r>
        <w:rPr>
          <w:bCs/>
          <w:sz w:val="24"/>
        </w:rPr>
        <w:t xml:space="preserve"> to the </w:t>
      </w:r>
      <w:r w:rsidRPr="00400FD6">
        <w:rPr>
          <w:bCs/>
          <w:i/>
          <w:iCs/>
          <w:sz w:val="24"/>
        </w:rPr>
        <w:t>Further Notice</w:t>
      </w:r>
      <w:r w:rsidRPr="0052678C">
        <w:rPr>
          <w:bCs/>
          <w:sz w:val="24"/>
        </w:rPr>
        <w:t xml:space="preserve"> are due no later than June </w:t>
      </w:r>
      <w:r w:rsidR="00F44CD8">
        <w:rPr>
          <w:bCs/>
          <w:sz w:val="24"/>
        </w:rPr>
        <w:t>8</w:t>
      </w:r>
      <w:r w:rsidRPr="0052678C">
        <w:rPr>
          <w:bCs/>
          <w:sz w:val="24"/>
        </w:rPr>
        <w:t>, 2026.</w:t>
      </w:r>
      <w:r>
        <w:rPr>
          <w:bCs/>
          <w:sz w:val="24"/>
        </w:rPr>
        <w:t xml:space="preserve">  Complete filing instructions and </w:t>
      </w:r>
      <w:r>
        <w:rPr>
          <w:bCs/>
          <w:i/>
          <w:iCs/>
          <w:sz w:val="24"/>
        </w:rPr>
        <w:t xml:space="preserve">ex parte </w:t>
      </w:r>
      <w:r>
        <w:rPr>
          <w:bCs/>
          <w:sz w:val="24"/>
        </w:rPr>
        <w:t>rules are detailed in the item and the Federal Register</w:t>
      </w:r>
      <w:r w:rsidR="00C03D06">
        <w:rPr>
          <w:bCs/>
          <w:sz w:val="24"/>
        </w:rPr>
        <w:t xml:space="preserve"> summary</w:t>
      </w:r>
      <w:r>
        <w:rPr>
          <w:bCs/>
          <w:sz w:val="24"/>
        </w:rPr>
        <w:t xml:space="preserve">.  </w:t>
      </w:r>
    </w:p>
    <w:p w:rsidR="0052678C" w:rsidP="00035A76" w14:paraId="5726CB3E" w14:textId="0E509BC8">
      <w:pPr>
        <w:widowControl/>
        <w:spacing w:after="120"/>
        <w:ind w:firstLine="720"/>
        <w:rPr>
          <w:bCs/>
          <w:sz w:val="24"/>
        </w:rPr>
      </w:pPr>
      <w:bookmarkStart w:id="0" w:name="TOChere"/>
      <w:r>
        <w:rPr>
          <w:bCs/>
          <w:i/>
          <w:iCs/>
          <w:sz w:val="24"/>
        </w:rPr>
        <w:t>Accessible Materials</w:t>
      </w:r>
      <w:r>
        <w:rPr>
          <w:bCs/>
          <w:sz w:val="24"/>
        </w:rPr>
        <w:t>.</w:t>
      </w:r>
      <w:r>
        <w:rPr>
          <w:bCs/>
          <w:i/>
          <w:iCs/>
          <w:sz w:val="24"/>
        </w:rPr>
        <w:t xml:space="preserve">  </w:t>
      </w:r>
      <w:r w:rsidRPr="0052678C">
        <w:rPr>
          <w:bCs/>
          <w:sz w:val="24"/>
        </w:rPr>
        <w:t xml:space="preserve">To request materials in accessible formats for people with disabilities (Braille, large print, electronic files, audio format), send an e-mail to fcc504@fcc.gov or call the Consumer and Governmental Affairs Bureau at 202-418-0530 (voice). </w:t>
      </w:r>
    </w:p>
    <w:p w:rsidR="007078A4" w:rsidP="007078A4" w14:paraId="3DE6ECE1" w14:textId="3AAFD41E">
      <w:pPr>
        <w:spacing w:after="120"/>
        <w:ind w:firstLine="720"/>
        <w:rPr>
          <w:bCs/>
          <w:sz w:val="24"/>
        </w:rPr>
      </w:pPr>
      <w:r>
        <w:rPr>
          <w:bCs/>
          <w:i/>
          <w:iCs/>
          <w:sz w:val="24"/>
        </w:rPr>
        <w:t xml:space="preserve">Additional Information.  </w:t>
      </w:r>
      <w:r w:rsidRPr="007078A4">
        <w:rPr>
          <w:bCs/>
          <w:sz w:val="24"/>
        </w:rPr>
        <w:t xml:space="preserve">For further information, please contact Paula Silberthau, Administrative Law Division, Office of General Counsel, at (202) 418-1874 or Paula.Silberthau@fcc.gov. </w:t>
      </w:r>
    </w:p>
    <w:p w:rsidR="00BA3BA8" w:rsidRPr="007078A4" w:rsidP="007078A4" w14:paraId="1FFECC3F" w14:textId="5BB806BA">
      <w:pPr>
        <w:spacing w:after="120"/>
        <w:jc w:val="center"/>
        <w:rPr>
          <w:b/>
        </w:rPr>
      </w:pPr>
      <w:r w:rsidRPr="007078A4">
        <w:rPr>
          <w:b/>
          <w:sz w:val="24"/>
        </w:rPr>
        <w:t>-FCC</w:t>
      </w:r>
      <w:r w:rsidRPr="007078A4" w:rsidR="007078A4">
        <w:rPr>
          <w:b/>
          <w:sz w:val="24"/>
        </w:rPr>
        <w:t>-</w:t>
      </w:r>
    </w:p>
    <w:p w:rsidR="00BA3BA8" w:rsidP="007078A4" w14:paraId="0CEE58CB" w14:textId="77777777">
      <w:pPr>
        <w:spacing w:after="120"/>
      </w:pPr>
    </w:p>
    <w:p w:rsidR="00BA3BA8" w:rsidP="007078A4" w14:paraId="2ED1174C" w14:textId="77777777">
      <w:pPr>
        <w:spacing w:after="120"/>
      </w:pPr>
    </w:p>
    <w:bookmarkEnd w:id="0"/>
    <w:p w:rsidR="00BA3BA8" w:rsidP="007078A4" w14:paraId="26779740" w14:textId="77777777">
      <w:pPr>
        <w:spacing w:after="120"/>
      </w:pPr>
    </w:p>
    <w:sectPr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EF03B4" w14:paraId="5045D9AD" w14:textId="77777777">
      <w:pPr>
        <w:spacing w:line="20" w:lineRule="exact"/>
      </w:pPr>
    </w:p>
  </w:endnote>
  <w:endnote w:type="continuationSeparator" w:id="1">
    <w:p w:rsidR="00EF03B4" w14:paraId="3B53E217" w14:textId="77777777">
      <w:r>
        <w:t xml:space="preserve"> </w:t>
      </w:r>
    </w:p>
  </w:endnote>
  <w:endnote w:type="continuationNotice" w:id="2">
    <w:p w:rsidR="00EF03B4" w14:paraId="79E7B5E3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4C969424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47BE04DD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9A8178A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57F5A515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EF03B4" w14:paraId="44567CA8" w14:textId="77777777">
      <w:r>
        <w:separator/>
      </w:r>
    </w:p>
  </w:footnote>
  <w:footnote w:type="continuationSeparator" w:id="1">
    <w:p w:rsidR="00EF03B4" w14:paraId="2477EE1D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EF03B4" w14:paraId="3A39587B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B227C3" w:rsidRPr="0052678C" w:rsidP="00B227C3" w14:paraId="69E9A0EE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i/>
          <w:iCs/>
        </w:rPr>
        <w:t>Modernizing Suspension and Debarment Rules</w:t>
      </w:r>
      <w:r>
        <w:t xml:space="preserve">, GN Docket No. 19-309, Report and Order, Direct Final Rule, and Further Notice of Proposed Rulemaking, FCC 26-18 (adopted Mar. 26, 2026).  </w:t>
      </w:r>
    </w:p>
  </w:footnote>
  <w:footnote w:id="4">
    <w:p w:rsidR="00B227C3" w:rsidRPr="007078A4" w:rsidP="00B227C3" w14:paraId="0EDD4592" w14:textId="459E2FB4">
      <w:pPr>
        <w:pStyle w:val="FootnoteText"/>
      </w:pPr>
      <w:r>
        <w:rPr>
          <w:rStyle w:val="FootnoteReference"/>
        </w:rPr>
        <w:footnoteRef/>
      </w:r>
      <w:r>
        <w:t xml:space="preserve"> Federal Communications Commission, </w:t>
      </w:r>
      <w:r>
        <w:rPr>
          <w:i/>
          <w:iCs/>
        </w:rPr>
        <w:t>Modernizing Suspension and Debarment Rules</w:t>
      </w:r>
      <w:r>
        <w:t xml:space="preserve">, 91 Fed. Reg. </w:t>
      </w:r>
      <w:r w:rsidR="002E7C21">
        <w:t>17888</w:t>
      </w:r>
      <w:r>
        <w:t xml:space="preserve"> (Apr. 9, 2026)</w:t>
      </w:r>
      <w:r w:rsidR="009E29FD">
        <w:t xml:space="preserve"> (</w:t>
      </w:r>
      <w:r w:rsidRPr="009E29FD" w:rsidR="009E29FD">
        <w:t>Proposed Rule</w:t>
      </w:r>
      <w:r w:rsidR="009E29FD">
        <w:t xml:space="preserve">); Federal Communications Commission, </w:t>
      </w:r>
      <w:r w:rsidR="009E29FD">
        <w:rPr>
          <w:i/>
          <w:iCs/>
        </w:rPr>
        <w:t>Modernizing Suspension and Debarment Rules</w:t>
      </w:r>
      <w:r w:rsidR="009E29FD">
        <w:t>, 91 Fed. Reg. 18134 (Apr. 9, 2026) (</w:t>
      </w:r>
      <w:r w:rsidRPr="009E29FD" w:rsidR="009E29FD">
        <w:t>Final Rule</w:t>
      </w:r>
      <w:r w:rsidR="009E29FD"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D11860F" w14:textId="1AE7AECA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="00035A76">
      <w:rPr>
        <w:b/>
      </w:rPr>
      <w:t>DA 26-368</w:t>
    </w:r>
  </w:p>
  <w:p w:rsidR="00BA3BA8" w14:paraId="5450EAE1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w:pict>
        <v:rect id="Rectangle 15" o:spid="_x0000_s2049" style="width:468pt;height:0.95pt;margin-top:0;margin-left:0;mso-position-horizontal-relative:margin;position:absolute;visibility:visible;z-index:-251658240" o:allowincell="f" fillcolor="black" stroked="f" strokeweight="0.05pt">
          <w10:wrap anchorx="margin"/>
        </v:rect>
      </w:pict>
    </w:r>
  </w:p>
  <w:p w:rsidR="00BA3BA8" w14:paraId="3F4F9646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2CD71D26" w14:textId="77777777">
    <w:pPr>
      <w:pStyle w:val="Head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2050" type="#_x0000_t75" style="width:468.75pt;height:112.5pt">
          <v:imagedata r:id="rId1" o:title="PN Portrait pic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824516279">
    <w:abstractNumId w:val="1"/>
  </w:num>
  <w:num w:numId="2" w16cid:durableId="284045964">
    <w:abstractNumId w:val="5"/>
  </w:num>
  <w:num w:numId="3" w16cid:durableId="1932546342">
    <w:abstractNumId w:val="3"/>
  </w:num>
  <w:num w:numId="4" w16cid:durableId="1902522496">
    <w:abstractNumId w:val="4"/>
  </w:num>
  <w:num w:numId="5" w16cid:durableId="1823500110">
    <w:abstractNumId w:val="2"/>
  </w:num>
  <w:num w:numId="6" w16cid:durableId="1835484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oNotTrackMoves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78C"/>
    <w:rsid w:val="00017893"/>
    <w:rsid w:val="00035A76"/>
    <w:rsid w:val="000A7748"/>
    <w:rsid w:val="000F1642"/>
    <w:rsid w:val="001163BE"/>
    <w:rsid w:val="001333A1"/>
    <w:rsid w:val="001432D6"/>
    <w:rsid w:val="00171FC6"/>
    <w:rsid w:val="00195BF4"/>
    <w:rsid w:val="001B4F9E"/>
    <w:rsid w:val="002D79A0"/>
    <w:rsid w:val="002E7C21"/>
    <w:rsid w:val="003536FF"/>
    <w:rsid w:val="003936EA"/>
    <w:rsid w:val="00400FD6"/>
    <w:rsid w:val="00430183"/>
    <w:rsid w:val="005078CC"/>
    <w:rsid w:val="0052678C"/>
    <w:rsid w:val="00537D11"/>
    <w:rsid w:val="00575D2D"/>
    <w:rsid w:val="005F5CDB"/>
    <w:rsid w:val="006D44C2"/>
    <w:rsid w:val="007078A4"/>
    <w:rsid w:val="007406E8"/>
    <w:rsid w:val="007A3BC6"/>
    <w:rsid w:val="007D6E57"/>
    <w:rsid w:val="007F298C"/>
    <w:rsid w:val="008C672E"/>
    <w:rsid w:val="00921215"/>
    <w:rsid w:val="009E29FD"/>
    <w:rsid w:val="00A20679"/>
    <w:rsid w:val="00A37895"/>
    <w:rsid w:val="00A6222A"/>
    <w:rsid w:val="00A773AA"/>
    <w:rsid w:val="00B227C3"/>
    <w:rsid w:val="00B24D2B"/>
    <w:rsid w:val="00B45FC4"/>
    <w:rsid w:val="00B54F72"/>
    <w:rsid w:val="00BA3BA8"/>
    <w:rsid w:val="00BA410C"/>
    <w:rsid w:val="00BC3228"/>
    <w:rsid w:val="00BF4A7B"/>
    <w:rsid w:val="00C03D06"/>
    <w:rsid w:val="00C614AF"/>
    <w:rsid w:val="00CB7D10"/>
    <w:rsid w:val="00CC14AF"/>
    <w:rsid w:val="00D26BFE"/>
    <w:rsid w:val="00D36394"/>
    <w:rsid w:val="00D831FE"/>
    <w:rsid w:val="00E4046A"/>
    <w:rsid w:val="00E51ED6"/>
    <w:rsid w:val="00E662E1"/>
    <w:rsid w:val="00EF03B4"/>
    <w:rsid w:val="00EF466B"/>
    <w:rsid w:val="00EF63EC"/>
    <w:rsid w:val="00F00C42"/>
    <w:rsid w:val="00F03EA1"/>
    <w:rsid w:val="00F44CD8"/>
    <w:rsid w:val="00F86027"/>
  </w:rsids>
  <m:mathPr>
    <m:mathFont m:val="Cambria Math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7A4A8B5"/>
  <w15:chartTrackingRefBased/>
  <w15:docId w15:val="{BD9A2BDF-A5B9-48F2-AD80-89B9AA0E7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831FE"/>
    <w:rPr>
      <w:snapToGrid w:val="0"/>
      <w:kern w:val="28"/>
      <w:sz w:val="22"/>
    </w:rPr>
  </w:style>
  <w:style w:type="character" w:styleId="CommentReference">
    <w:name w:val="annotation reference"/>
    <w:uiPriority w:val="99"/>
    <w:semiHidden/>
    <w:unhideWhenUsed/>
    <w:rsid w:val="00B24D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4D2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B24D2B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4D2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4D2B"/>
    <w:rPr>
      <w:b/>
      <w:bCs/>
      <w:snapToGrid w:val="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