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7166E4" w:rsidRPr="007166E4" w:rsidP="007166E4" w14:paraId="615FCCAC" w14:textId="69753995">
      <w:pPr>
        <w:widowControl w:val="0"/>
        <w:spacing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DA 26-</w:t>
      </w:r>
      <w:r w:rsidRPr="00E34E03" w:rsidR="00E34E03">
        <w:rPr>
          <w:rFonts w:ascii="Times New Roman" w:eastAsia="Times New Roman" w:hAnsi="Times New Roman" w:cs="Times New Roman"/>
          <w:b/>
          <w:snapToGrid w:val="0"/>
          <w:kern w:val="28"/>
          <w:szCs w:val="20"/>
          <w14:ligatures w14:val="none"/>
        </w:rPr>
        <w:t>390</w:t>
      </w:r>
    </w:p>
    <w:p w:rsidR="007166E4" w:rsidRPr="007166E4" w:rsidP="007166E4" w14:paraId="333BD0DB" w14:textId="18F78814">
      <w:pPr>
        <w:widowControl w:val="0"/>
        <w:spacing w:before="60" w:after="0" w:line="240" w:lineRule="auto"/>
        <w:jc w:val="right"/>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Released:  April </w:t>
      </w:r>
      <w:r w:rsidR="00C00C16">
        <w:rPr>
          <w:rFonts w:ascii="Times New Roman" w:eastAsia="Times New Roman" w:hAnsi="Times New Roman" w:cs="Times New Roman"/>
          <w:b/>
          <w:snapToGrid w:val="0"/>
          <w:kern w:val="28"/>
          <w:szCs w:val="20"/>
          <w14:ligatures w14:val="none"/>
        </w:rPr>
        <w:t>22</w:t>
      </w:r>
      <w:r w:rsidRPr="007166E4">
        <w:rPr>
          <w:rFonts w:ascii="Times New Roman" w:eastAsia="Times New Roman" w:hAnsi="Times New Roman" w:cs="Times New Roman"/>
          <w:b/>
          <w:snapToGrid w:val="0"/>
          <w:kern w:val="28"/>
          <w:szCs w:val="20"/>
          <w14:ligatures w14:val="none"/>
        </w:rPr>
        <w:t>, 2026</w:t>
      </w:r>
    </w:p>
    <w:p w:rsidR="007166E4" w:rsidRPr="007166E4" w:rsidP="007166E4" w14:paraId="18C835DB" w14:textId="77777777">
      <w:pPr>
        <w:widowControl w:val="0"/>
        <w:spacing w:after="0" w:line="240" w:lineRule="auto"/>
        <w:rPr>
          <w:rFonts w:ascii="Times New Roman" w:eastAsia="Times New Roman" w:hAnsi="Times New Roman" w:cs="Times New Roman"/>
          <w:snapToGrid w:val="0"/>
          <w:kern w:val="28"/>
          <w:szCs w:val="20"/>
          <w14:ligatures w14:val="none"/>
        </w:rPr>
      </w:pPr>
    </w:p>
    <w:p w:rsidR="007166E4" w:rsidRPr="007166E4" w:rsidP="007021D6" w14:paraId="53C6D34C" w14:textId="0249EE94">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r w:rsidRPr="007166E4">
        <w:rPr>
          <w:rFonts w:ascii="Times New Roman Bold" w:eastAsia="Times New Roman" w:hAnsi="Times New Roman Bold" w:cs="Times New Roman"/>
          <w:b/>
          <w:caps/>
          <w:snapToGrid w:val="0"/>
          <w:kern w:val="28"/>
          <w:szCs w:val="20"/>
          <w14:ligatures w14:val="none"/>
        </w:rPr>
        <w:t xml:space="preserve">fcc’s public safety and homeland security bureau announces conditional approval of certain ROUTERS and exemption from fcc covered list </w:t>
      </w:r>
    </w:p>
    <w:p w:rsidR="007021D6" w:rsidRPr="007166E4" w:rsidP="007021D6" w14:paraId="6C279286" w14:textId="77777777">
      <w:pPr>
        <w:widowControl w:val="0"/>
        <w:spacing w:after="0" w:line="240" w:lineRule="auto"/>
        <w:jc w:val="center"/>
        <w:rPr>
          <w:rFonts w:ascii="Times New Roman Bold" w:eastAsia="Times New Roman" w:hAnsi="Times New Roman Bold" w:cs="Times New Roman"/>
          <w:b/>
          <w:caps/>
          <w:snapToGrid w:val="0"/>
          <w:kern w:val="28"/>
          <w:szCs w:val="20"/>
          <w14:ligatures w14:val="none"/>
        </w:rPr>
      </w:pPr>
    </w:p>
    <w:p w:rsidR="007166E4" w:rsidRPr="007166E4" w:rsidP="007166E4" w14:paraId="0DA4E20E"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r w:rsidRPr="007166E4">
        <w:rPr>
          <w:rFonts w:ascii="Times New Roman" w:eastAsia="Times New Roman" w:hAnsi="Times New Roman" w:cs="Times New Roman"/>
          <w:b/>
          <w:snapToGrid w:val="0"/>
          <w:kern w:val="28"/>
          <w:szCs w:val="20"/>
          <w14:ligatures w14:val="none"/>
        </w:rPr>
        <w:t xml:space="preserve">WC Docket No. 18-89, ET Docket No. 21-232, EA Docket No. 21-233 </w:t>
      </w:r>
    </w:p>
    <w:p w:rsidR="007166E4" w:rsidRPr="007166E4" w:rsidP="007166E4" w14:paraId="0980E597" w14:textId="77777777">
      <w:pPr>
        <w:widowControl w:val="0"/>
        <w:spacing w:after="0" w:line="240" w:lineRule="auto"/>
        <w:jc w:val="center"/>
        <w:rPr>
          <w:rFonts w:ascii="Times New Roman" w:eastAsia="Times New Roman" w:hAnsi="Times New Roman" w:cs="Times New Roman"/>
          <w:b/>
          <w:snapToGrid w:val="0"/>
          <w:kern w:val="28"/>
          <w:szCs w:val="20"/>
          <w14:ligatures w14:val="none"/>
        </w:rPr>
      </w:pPr>
    </w:p>
    <w:p w:rsidR="007166E4" w:rsidRPr="007166E4" w:rsidP="000C1140" w14:paraId="30F495AB" w14:textId="241B54CC">
      <w:pPr>
        <w:widowControl w:val="0"/>
        <w:spacing w:after="120" w:line="240" w:lineRule="auto"/>
        <w:ind w:firstLine="720"/>
        <w:rPr>
          <w:rFonts w:ascii="Times New Roman" w:eastAsia="Times New Roman" w:hAnsi="Times New Roman" w:cs="Times New Roman"/>
          <w:snapToGrid w:val="0"/>
          <w:kern w:val="28"/>
          <w:sz w:val="22"/>
          <w:szCs w:val="20"/>
          <w14:ligatures w14:val="none"/>
        </w:rPr>
      </w:pPr>
      <w:bookmarkStart w:id="0" w:name="TOChere"/>
      <w:r w:rsidRPr="007166E4">
        <w:rPr>
          <w:rFonts w:ascii="Times New Roman" w:eastAsia="Times New Roman" w:hAnsi="Times New Roman" w:cs="Times New Roman"/>
          <w:snapToGrid w:val="0"/>
          <w:kern w:val="28"/>
          <w:sz w:val="22"/>
          <w:szCs w:val="20"/>
          <w14:ligatures w14:val="none"/>
        </w:rPr>
        <w:t>The Federal Communications Commission’s (FCC or Commission) Public Safety and Homeland Security Bureau (PSHSB or Bureau) maintains a list of equipment and services (Covered List) that have been determined to “pose an unacceptable risk to the national security of the United States or the security and safety of United States persons.”</w:t>
      </w:r>
      <w:r>
        <w:rPr>
          <w:rFonts w:ascii="Times New Roman" w:eastAsia="Times New Roman" w:hAnsi="Times New Roman" w:cs="Times New Roman"/>
          <w:snapToGrid w:val="0"/>
          <w:kern w:val="28"/>
          <w:sz w:val="22"/>
          <w:szCs w:val="20"/>
          <w:vertAlign w:val="superscript"/>
          <w14:ligatures w14:val="none"/>
        </w:rPr>
        <w:footnoteReference w:id="2"/>
      </w:r>
      <w:r w:rsidRPr="007166E4">
        <w:rPr>
          <w:rFonts w:ascii="Times New Roman" w:eastAsia="Times New Roman" w:hAnsi="Times New Roman" w:cs="Times New Roman"/>
          <w:snapToGrid w:val="0"/>
          <w:kern w:val="28"/>
          <w:sz w:val="22"/>
          <w:szCs w:val="20"/>
          <w14:ligatures w14:val="none"/>
        </w:rPr>
        <w:t xml:space="preserve">  Pursuant to section 2 of the Secure and Trusted Communications Networks Act of 2019 (Secure Networks Act)</w:t>
      </w:r>
      <w:r>
        <w:rPr>
          <w:rFonts w:ascii="Times New Roman" w:eastAsia="Times New Roman" w:hAnsi="Times New Roman" w:cs="Times New Roman"/>
          <w:snapToGrid w:val="0"/>
          <w:kern w:val="28"/>
          <w:sz w:val="22"/>
          <w:szCs w:val="20"/>
          <w:vertAlign w:val="superscript"/>
          <w14:ligatures w14:val="none"/>
        </w:rPr>
        <w:footnoteReference w:id="3"/>
      </w:r>
      <w:r w:rsidRPr="007166E4">
        <w:rPr>
          <w:rFonts w:ascii="Times New Roman" w:eastAsia="Times New Roman" w:hAnsi="Times New Roman" w:cs="Times New Roman"/>
          <w:snapToGrid w:val="0"/>
          <w:kern w:val="28"/>
          <w:sz w:val="22"/>
          <w:szCs w:val="20"/>
          <w14:ligatures w14:val="none"/>
        </w:rPr>
        <w:t xml:space="preserve"> and sections 1.50002(a) and 1.50003 of the Commission’s rules,</w:t>
      </w:r>
      <w:r>
        <w:rPr>
          <w:rFonts w:ascii="Times New Roman" w:eastAsia="Times New Roman" w:hAnsi="Times New Roman" w:cs="Times New Roman"/>
          <w:snapToGrid w:val="0"/>
          <w:kern w:val="28"/>
          <w:sz w:val="22"/>
          <w:szCs w:val="20"/>
          <w:vertAlign w:val="superscript"/>
          <w14:ligatures w14:val="none"/>
        </w:rPr>
        <w:footnoteReference w:id="4"/>
      </w:r>
      <w:r w:rsidRPr="007166E4">
        <w:rPr>
          <w:rFonts w:ascii="Times New Roman" w:eastAsia="Times New Roman" w:hAnsi="Times New Roman" w:cs="Times New Roman"/>
          <w:snapToGrid w:val="0"/>
          <w:kern w:val="28"/>
          <w:sz w:val="22"/>
          <w:szCs w:val="20"/>
          <w14:ligatures w14:val="none"/>
        </w:rPr>
        <w:t xml:space="preserve"> PSHSB announces that the </w:t>
      </w:r>
      <w:r w:rsidRPr="00E65D12">
        <w:rPr>
          <w:rFonts w:ascii="Times New Roman" w:eastAsia="Times New Roman" w:hAnsi="Times New Roman" w:cs="Times New Roman"/>
          <w:snapToGrid w:val="0"/>
          <w:kern w:val="28"/>
          <w:sz w:val="22"/>
          <w:szCs w:val="20"/>
          <w14:ligatures w14:val="none"/>
        </w:rPr>
        <w:t>Department of War (</w:t>
      </w:r>
      <w:r w:rsidRPr="00E65D12">
        <w:rPr>
          <w:rFonts w:ascii="Times New Roman" w:eastAsia="Times New Roman" w:hAnsi="Times New Roman" w:cs="Times New Roman"/>
          <w:snapToGrid w:val="0"/>
          <w:kern w:val="28"/>
          <w:sz w:val="22"/>
          <w:szCs w:val="20"/>
          <w14:ligatures w14:val="none"/>
        </w:rPr>
        <w:t>DoW</w:t>
      </w:r>
      <w:r w:rsidRPr="00E65D12">
        <w:rPr>
          <w:rFonts w:ascii="Times New Roman" w:eastAsia="Times New Roman" w:hAnsi="Times New Roman" w:cs="Times New Roman"/>
          <w:snapToGrid w:val="0"/>
          <w:kern w:val="28"/>
          <w:sz w:val="22"/>
          <w:szCs w:val="20"/>
          <w14:ligatures w14:val="none"/>
        </w:rPr>
        <w:t>)</w:t>
      </w:r>
      <w:r w:rsidRPr="007166E4">
        <w:rPr>
          <w:rFonts w:ascii="Times New Roman" w:eastAsia="Times New Roman" w:hAnsi="Times New Roman" w:cs="Times New Roman"/>
          <w:snapToGrid w:val="0"/>
          <w:kern w:val="28"/>
          <w:sz w:val="22"/>
          <w:szCs w:val="20"/>
          <w14:ligatures w14:val="none"/>
        </w:rPr>
        <w:t xml:space="preserve"> has granted conditional approvals for certain routers.  Therefore, such </w:t>
      </w:r>
      <w:r w:rsidR="005A6D2A">
        <w:rPr>
          <w:rFonts w:ascii="Times New Roman" w:eastAsia="Times New Roman" w:hAnsi="Times New Roman" w:cs="Times New Roman"/>
          <w:snapToGrid w:val="0"/>
          <w:kern w:val="28"/>
          <w:sz w:val="22"/>
          <w:szCs w:val="20"/>
          <w14:ligatures w14:val="none"/>
        </w:rPr>
        <w:t>routers</w:t>
      </w:r>
      <w:r w:rsidRPr="007166E4">
        <w:rPr>
          <w:rFonts w:ascii="Times New Roman" w:eastAsia="Times New Roman" w:hAnsi="Times New Roman" w:cs="Times New Roman"/>
          <w:snapToGrid w:val="0"/>
          <w:kern w:val="28"/>
          <w:sz w:val="22"/>
          <w:szCs w:val="20"/>
          <w14:ligatures w14:val="none"/>
        </w:rPr>
        <w:t xml:space="preserve"> are exempt from the Covered List.   </w:t>
      </w:r>
    </w:p>
    <w:p w:rsidR="00B36C26" w:rsidRPr="00352A14" w:rsidP="003D531D" w14:paraId="41B4DD25" w14:textId="5B039EEA">
      <w:pPr>
        <w:widowControl w:val="0"/>
        <w:spacing w:after="120" w:line="240" w:lineRule="auto"/>
        <w:rPr>
          <w:rFonts w:ascii="Times New Roman" w:eastAsia="Times New Roman" w:hAnsi="Times New Roman" w:cs="Times New Roman"/>
          <w:b/>
          <w:snapToGrid w:val="0"/>
          <w:kern w:val="28"/>
          <w:sz w:val="22"/>
          <w:szCs w:val="22"/>
          <w:u w:val="single"/>
          <w14:ligatures w14:val="none"/>
        </w:rPr>
      </w:pPr>
      <w:r w:rsidRPr="007166E4">
        <w:rPr>
          <w:rFonts w:ascii="Times New Roman" w:eastAsia="Times New Roman" w:hAnsi="Times New Roman" w:cs="Times New Roman"/>
          <w:b/>
          <w:bCs/>
          <w:snapToGrid w:val="0"/>
          <w:kern w:val="28"/>
          <w:sz w:val="22"/>
          <w:szCs w:val="22"/>
          <w:u w:val="single"/>
          <w14:ligatures w14:val="none"/>
        </w:rPr>
        <w:t>Recent Commission Actions</w:t>
      </w:r>
      <w:r w:rsidR="00352A14">
        <w:rPr>
          <w:rFonts w:ascii="Times New Roman" w:eastAsia="Times New Roman" w:hAnsi="Times New Roman" w:cs="Times New Roman"/>
          <w:b/>
          <w:bCs/>
          <w:snapToGrid w:val="0"/>
          <w:kern w:val="28"/>
          <w:sz w:val="22"/>
          <w:szCs w:val="22"/>
          <w:u w:val="single"/>
          <w14:ligatures w14:val="none"/>
        </w:rPr>
        <w:t xml:space="preserve"> on Routers</w:t>
      </w:r>
      <w:r w:rsidRPr="007166E4">
        <w:rPr>
          <w:rFonts w:ascii="Times New Roman" w:eastAsia="Times New Roman" w:hAnsi="Times New Roman" w:cs="Times New Roman"/>
          <w:b/>
          <w:bCs/>
          <w:snapToGrid w:val="0"/>
          <w:kern w:val="28"/>
          <w:sz w:val="22"/>
          <w:szCs w:val="22"/>
          <w:u w:val="single"/>
          <w14:ligatures w14:val="none"/>
        </w:rPr>
        <w:t>:</w:t>
      </w:r>
      <w:r w:rsidR="00CD47F5">
        <w:rPr>
          <w:rFonts w:ascii="Times New Roman" w:eastAsia="Times New Roman" w:hAnsi="Times New Roman" w:cs="Times New Roman"/>
          <w:b/>
          <w:bCs/>
          <w:snapToGrid w:val="0"/>
          <w:kern w:val="28"/>
          <w:sz w:val="22"/>
          <w:szCs w:val="22"/>
          <w:u w:val="single"/>
          <w14:ligatures w14:val="none"/>
        </w:rPr>
        <w:t xml:space="preserve"> </w:t>
      </w:r>
    </w:p>
    <w:p w:rsidR="008E4502" w:rsidRPr="007166E4" w:rsidP="003D531D" w14:paraId="08EA177F" w14:textId="2288E1AD">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2"/>
          <w14:ligatures w14:val="none"/>
        </w:rPr>
        <w:t xml:space="preserve">On March 23, 2026, </w:t>
      </w:r>
      <w:r w:rsidR="009B7622">
        <w:rPr>
          <w:rFonts w:ascii="Times New Roman" w:eastAsia="Times New Roman" w:hAnsi="Times New Roman" w:cs="Times New Roman"/>
          <w:snapToGrid w:val="0"/>
          <w:kern w:val="28"/>
          <w:sz w:val="22"/>
          <w:szCs w:val="22"/>
          <w14:ligatures w14:val="none"/>
        </w:rPr>
        <w:t>the Commission</w:t>
      </w:r>
      <w:r w:rsidRPr="007166E4">
        <w:rPr>
          <w:rFonts w:ascii="Times New Roman" w:eastAsia="Times New Roman" w:hAnsi="Times New Roman" w:cs="Times New Roman"/>
          <w:snapToGrid w:val="0"/>
          <w:kern w:val="28"/>
          <w:sz w:val="22"/>
          <w:szCs w:val="22"/>
          <w14:ligatures w14:val="none"/>
        </w:rPr>
        <w:t xml:space="preserve"> added to the Covered List “routers produced in a foreign country,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 xml:space="preserve">except routers which have been granted a Conditional Approval by </w:t>
        </w:r>
        <w:r w:rsidRPr="007166E4">
          <w:rPr>
            <w:rFonts w:ascii="Times New Roman" w:eastAsia="Times New Roman" w:hAnsi="Times New Roman" w:cs="Times New Roman"/>
            <w:snapToGrid w:val="0"/>
            <w:color w:val="0000FF"/>
            <w:kern w:val="28"/>
            <w:sz w:val="22"/>
            <w:szCs w:val="20"/>
            <w:u w:val="single"/>
            <w14:ligatures w14:val="none"/>
          </w:rPr>
          <w:t>DoW</w:t>
        </w:r>
        <w:r w:rsidRPr="007166E4">
          <w:rPr>
            <w:rFonts w:ascii="Times New Roman" w:eastAsia="Times New Roman" w:hAnsi="Times New Roman" w:cs="Times New Roman"/>
            <w:snapToGrid w:val="0"/>
            <w:color w:val="0000FF"/>
            <w:kern w:val="28"/>
            <w:sz w:val="22"/>
            <w:szCs w:val="20"/>
            <w:u w:val="single"/>
            <w14:ligatures w14:val="none"/>
          </w:rPr>
          <w:t xml:space="preserve"> or DHS</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5"/>
      </w:r>
      <w:r w:rsidRPr="007166E4">
        <w:rPr>
          <w:rFonts w:ascii="Times New Roman" w:eastAsia="Times New Roman" w:hAnsi="Times New Roman" w:cs="Times New Roman"/>
          <w:snapToGrid w:val="0"/>
          <w:kern w:val="28"/>
          <w:sz w:val="22"/>
          <w:szCs w:val="20"/>
          <w14:ligatures w14:val="none"/>
        </w:rPr>
        <w:t xml:space="preserve">  This addition was based on a </w:t>
      </w:r>
      <w:r w:rsidRPr="007166E4">
        <w:rPr>
          <w:rFonts w:ascii="Times New Roman" w:eastAsia="Times New Roman" w:hAnsi="Times New Roman" w:cs="Times New Roman"/>
          <w:snapToGrid w:val="0"/>
          <w:kern w:val="28"/>
          <w:sz w:val="22"/>
          <w:szCs w:val="22"/>
          <w14:ligatures w14:val="none"/>
        </w:rPr>
        <w:t>National Security Determination from an Executive Branch interagency body, including several appropriate national security agencies, determining (among other things) that routers produced in a foreign country pose an unacceptable risk to the national security of the United States and to the safety and security of U.S. persons.</w:t>
      </w:r>
      <w:r>
        <w:rPr>
          <w:rFonts w:ascii="Times New Roman" w:eastAsia="Times New Roman" w:hAnsi="Times New Roman" w:cs="Times New Roman"/>
          <w:snapToGrid w:val="0"/>
          <w:kern w:val="28"/>
          <w:sz w:val="22"/>
          <w:szCs w:val="22"/>
          <w:vertAlign w:val="superscript"/>
          <w14:ligatures w14:val="none"/>
        </w:rPr>
        <w:footnoteReference w:id="6"/>
      </w:r>
      <w:r w:rsidR="005E7B06">
        <w:rPr>
          <w:rFonts w:ascii="Times New Roman" w:eastAsia="Times New Roman" w:hAnsi="Times New Roman" w:cs="Times New Roman"/>
          <w:snapToGrid w:val="0"/>
          <w:kern w:val="28"/>
          <w:sz w:val="22"/>
          <w:szCs w:val="22"/>
          <w14:ligatures w14:val="none"/>
        </w:rPr>
        <w:t xml:space="preserve">  </w:t>
      </w:r>
      <w:r w:rsidRPr="003D531D" w:rsidR="00E1105B">
        <w:rPr>
          <w:rFonts w:ascii="Times New Roman" w:eastAsia="Times New Roman" w:hAnsi="Times New Roman" w:cs="Times New Roman"/>
          <w:snapToGrid w:val="0"/>
          <w:kern w:val="28"/>
          <w:sz w:val="22"/>
          <w:szCs w:val="20"/>
          <w14:ligatures w14:val="none"/>
        </w:rPr>
        <w:t>On</w:t>
      </w:r>
      <w:r w:rsidRPr="003D531D">
        <w:rPr>
          <w:rFonts w:ascii="Times New Roman" w:eastAsia="Times New Roman" w:hAnsi="Times New Roman" w:cs="Times New Roman"/>
          <w:snapToGrid w:val="0"/>
          <w:kern w:val="28"/>
          <w:sz w:val="22"/>
          <w:szCs w:val="20"/>
          <w14:ligatures w14:val="none"/>
        </w:rPr>
        <w:t xml:space="preserve"> April </w:t>
      </w:r>
      <w:r w:rsidRPr="003D531D" w:rsidR="00E1105B">
        <w:rPr>
          <w:rFonts w:ascii="Times New Roman" w:eastAsia="Times New Roman" w:hAnsi="Times New Roman" w:cs="Times New Roman"/>
          <w:snapToGrid w:val="0"/>
          <w:kern w:val="28"/>
          <w:sz w:val="22"/>
          <w:szCs w:val="20"/>
          <w14:ligatures w14:val="none"/>
        </w:rPr>
        <w:t>14,</w:t>
      </w:r>
      <w:r w:rsidRPr="003D531D">
        <w:rPr>
          <w:rFonts w:ascii="Times New Roman" w:eastAsia="Times New Roman" w:hAnsi="Times New Roman" w:cs="Times New Roman"/>
          <w:snapToGrid w:val="0"/>
          <w:kern w:val="28"/>
          <w:sz w:val="22"/>
          <w:szCs w:val="20"/>
          <w14:ligatures w14:val="none"/>
        </w:rPr>
        <w:t xml:space="preserve"> 2026, we updated the Covered List to </w:t>
      </w:r>
      <w:r w:rsidR="00347CFD">
        <w:rPr>
          <w:rFonts w:ascii="Times New Roman" w:eastAsia="Times New Roman" w:hAnsi="Times New Roman" w:cs="Times New Roman"/>
          <w:snapToGrid w:val="0"/>
          <w:kern w:val="28"/>
          <w:sz w:val="22"/>
          <w:szCs w:val="20"/>
          <w14:ligatures w14:val="none"/>
        </w:rPr>
        <w:t>reflect</w:t>
      </w:r>
      <w:r w:rsidRPr="003D531D" w:rsidR="00347CFD">
        <w:rPr>
          <w:rFonts w:ascii="Times New Roman" w:eastAsia="Times New Roman" w:hAnsi="Times New Roman" w:cs="Times New Roman"/>
          <w:snapToGrid w:val="0"/>
          <w:kern w:val="28"/>
          <w:sz w:val="22"/>
          <w:szCs w:val="20"/>
          <w14:ligatures w14:val="none"/>
        </w:rPr>
        <w:t xml:space="preserve"> </w:t>
      </w:r>
      <w:r w:rsidRPr="003D531D">
        <w:rPr>
          <w:rFonts w:ascii="Times New Roman" w:eastAsia="Times New Roman" w:hAnsi="Times New Roman" w:cs="Times New Roman"/>
          <w:snapToGrid w:val="0"/>
          <w:kern w:val="28"/>
          <w:sz w:val="22"/>
          <w:szCs w:val="20"/>
          <w14:ligatures w14:val="none"/>
        </w:rPr>
        <w:t xml:space="preserve">the Conditional Approvals that the FCC received from the </w:t>
      </w:r>
      <w:r w:rsidRPr="003D531D">
        <w:rPr>
          <w:rFonts w:ascii="Times New Roman" w:eastAsia="Times New Roman" w:hAnsi="Times New Roman" w:cs="Times New Roman"/>
          <w:snapToGrid w:val="0"/>
          <w:kern w:val="28"/>
          <w:sz w:val="22"/>
          <w:szCs w:val="20"/>
          <w14:ligatures w14:val="none"/>
        </w:rPr>
        <w:t>DoW</w:t>
      </w:r>
      <w:r w:rsidR="000557F5">
        <w:rPr>
          <w:rFonts w:ascii="Times New Roman" w:eastAsia="Times New Roman" w:hAnsi="Times New Roman" w:cs="Times New Roman"/>
          <w:snapToGrid w:val="0"/>
          <w:kern w:val="28"/>
          <w:sz w:val="22"/>
          <w:szCs w:val="20"/>
          <w14:ligatures w14:val="none"/>
        </w:rPr>
        <w:t xml:space="preserve"> </w:t>
      </w:r>
      <w:r w:rsidRPr="003D531D">
        <w:rPr>
          <w:rFonts w:ascii="Times New Roman" w:eastAsia="Times New Roman" w:hAnsi="Times New Roman" w:cs="Times New Roman"/>
          <w:snapToGrid w:val="0"/>
          <w:kern w:val="28"/>
          <w:sz w:val="22"/>
          <w:szCs w:val="20"/>
          <w14:ligatures w14:val="none"/>
        </w:rPr>
        <w:t xml:space="preserve">exempting certain routers </w:t>
      </w:r>
      <w:r w:rsidRPr="003D531D" w:rsidR="009510A3">
        <w:rPr>
          <w:rFonts w:ascii="Times New Roman" w:eastAsia="Times New Roman" w:hAnsi="Times New Roman" w:cs="Times New Roman"/>
          <w:snapToGrid w:val="0"/>
          <w:kern w:val="28"/>
          <w:sz w:val="22"/>
          <w:szCs w:val="20"/>
          <w14:ligatures w14:val="none"/>
        </w:rPr>
        <w:t>from the Covered List.</w:t>
      </w:r>
      <w:r>
        <w:rPr>
          <w:rStyle w:val="FootnoteReference"/>
          <w:rFonts w:eastAsia="Times New Roman" w:cs="Times New Roman"/>
          <w:snapToGrid w:val="0"/>
          <w:kern w:val="28"/>
          <w:szCs w:val="20"/>
          <w14:ligatures w14:val="none"/>
        </w:rPr>
        <w:footnoteReference w:id="7"/>
      </w:r>
    </w:p>
    <w:p w:rsidR="002262F2" w:rsidRPr="007166E4" w:rsidP="003D531D" w14:paraId="421138D0" w14:textId="1A5F9A95">
      <w:pPr>
        <w:widowControl w:val="0"/>
        <w:spacing w:after="120" w:line="240" w:lineRule="auto"/>
        <w:rPr>
          <w:rFonts w:ascii="Times New Roman" w:eastAsia="Times New Roman" w:hAnsi="Times New Roman" w:cs="Times New Roman"/>
          <w:b/>
          <w:bCs/>
          <w:snapToGrid w:val="0"/>
          <w:kern w:val="28"/>
          <w:sz w:val="22"/>
          <w:szCs w:val="22"/>
          <w14:ligatures w14:val="none"/>
        </w:rPr>
      </w:pPr>
      <w:r w:rsidRPr="007166E4">
        <w:rPr>
          <w:rFonts w:ascii="Times New Roman" w:eastAsia="Times New Roman" w:hAnsi="Times New Roman" w:cs="Times New Roman"/>
          <w:b/>
          <w:bCs/>
          <w:snapToGrid w:val="0"/>
          <w:kern w:val="28"/>
          <w:sz w:val="22"/>
          <w:szCs w:val="22"/>
          <w:u w:val="single"/>
          <w14:ligatures w14:val="none"/>
        </w:rPr>
        <w:t>Conditional Approvals:</w:t>
      </w:r>
    </w:p>
    <w:p w:rsidR="007166E4" w:rsidP="003D531D" w14:paraId="70DDD64B" w14:textId="1243B88D">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The Executive Branch interagency bod</w:t>
      </w:r>
      <w:r w:rsidR="0058349F">
        <w:rPr>
          <w:rFonts w:ascii="Times New Roman" w:eastAsia="Times New Roman" w:hAnsi="Times New Roman" w:cs="Times New Roman"/>
          <w:snapToGrid w:val="0"/>
          <w:kern w:val="28"/>
          <w:sz w:val="22"/>
          <w:szCs w:val="22"/>
          <w14:ligatures w14:val="none"/>
        </w:rPr>
        <w:t>y</w:t>
      </w:r>
      <w:r w:rsidR="00ED11BF">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established a process </w:t>
      </w:r>
      <w:r w:rsidR="007049BA">
        <w:rPr>
          <w:rFonts w:ascii="Times New Roman" w:eastAsia="Times New Roman" w:hAnsi="Times New Roman" w:cs="Times New Roman"/>
          <w:snapToGrid w:val="0"/>
          <w:kern w:val="28"/>
          <w:sz w:val="22"/>
          <w:szCs w:val="22"/>
          <w14:ligatures w14:val="none"/>
        </w:rPr>
        <w:t>by</w:t>
      </w:r>
      <w:r w:rsidRPr="007166E4" w:rsidR="007049BA">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2"/>
          <w14:ligatures w14:val="none"/>
        </w:rPr>
        <w:t xml:space="preserve">which entities producing routers in foreign countries can request </w:t>
      </w:r>
      <w:r w:rsidRPr="007166E4">
        <w:rPr>
          <w:rFonts w:ascii="Times New Roman" w:eastAsia="Times New Roman" w:hAnsi="Times New Roman" w:cs="Times New Roman"/>
          <w:snapToGrid w:val="0"/>
          <w:kern w:val="28"/>
          <w:sz w:val="22"/>
          <w:szCs w:val="22"/>
          <w14:ligatures w14:val="none"/>
        </w:rPr>
        <w:t>DoW</w:t>
      </w:r>
      <w:r w:rsidRPr="007166E4">
        <w:rPr>
          <w:rFonts w:ascii="Times New Roman" w:eastAsia="Times New Roman" w:hAnsi="Times New Roman" w:cs="Times New Roman"/>
          <w:snapToGrid w:val="0"/>
          <w:kern w:val="28"/>
          <w:sz w:val="22"/>
          <w:szCs w:val="22"/>
          <w14:ligatures w14:val="none"/>
        </w:rPr>
        <w:t xml:space="preserve"> or </w:t>
      </w:r>
      <w:r w:rsidR="009A5201">
        <w:rPr>
          <w:rFonts w:ascii="Times New Roman" w:eastAsia="Times New Roman" w:hAnsi="Times New Roman" w:cs="Times New Roman"/>
          <w:snapToGrid w:val="0"/>
          <w:kern w:val="28"/>
          <w:sz w:val="22"/>
          <w:szCs w:val="22"/>
          <w14:ligatures w14:val="none"/>
        </w:rPr>
        <w:t xml:space="preserve">the </w:t>
      </w:r>
      <w:r w:rsidRPr="007166E4">
        <w:rPr>
          <w:rFonts w:ascii="Times New Roman" w:eastAsia="Times New Roman" w:hAnsi="Times New Roman" w:cs="Times New Roman"/>
          <w:snapToGrid w:val="0"/>
          <w:kern w:val="28"/>
          <w:sz w:val="22"/>
          <w:szCs w:val="22"/>
          <w14:ligatures w14:val="none"/>
        </w:rPr>
        <w:t>D</w:t>
      </w:r>
      <w:r w:rsidR="00290E04">
        <w:rPr>
          <w:rFonts w:ascii="Times New Roman" w:eastAsia="Times New Roman" w:hAnsi="Times New Roman" w:cs="Times New Roman"/>
          <w:snapToGrid w:val="0"/>
          <w:kern w:val="28"/>
          <w:sz w:val="22"/>
          <w:szCs w:val="22"/>
          <w14:ligatures w14:val="none"/>
        </w:rPr>
        <w:t xml:space="preserve">epartment of Homeland Security </w:t>
      </w:r>
      <w:r w:rsidRPr="007166E4">
        <w:rPr>
          <w:rFonts w:ascii="Times New Roman" w:eastAsia="Times New Roman" w:hAnsi="Times New Roman" w:cs="Times New Roman"/>
          <w:snapToGrid w:val="0"/>
          <w:kern w:val="28"/>
          <w:sz w:val="22"/>
          <w:szCs w:val="22"/>
          <w14:ligatures w14:val="none"/>
        </w:rPr>
        <w:t xml:space="preserve">to evaluate whether such devices do not pose unacceptable risks to national security and receive Conditional Approvals that would exempt such devices from the Covered List.  </w:t>
      </w:r>
    </w:p>
    <w:p w:rsidR="007166E4" w:rsidP="003D531D" w14:paraId="19B26D49" w14:textId="361759D4">
      <w:pPr>
        <w:widowControl w:val="0"/>
        <w:spacing w:after="120" w:line="240" w:lineRule="auto"/>
        <w:ind w:firstLine="720"/>
        <w:rPr>
          <w:rFonts w:ascii="Times New Roman" w:eastAsia="Times New Roman" w:hAnsi="Times New Roman" w:cs="Times New Roman"/>
          <w:snapToGrid w:val="0"/>
          <w:color w:val="000000"/>
          <w:kern w:val="28"/>
          <w:sz w:val="22"/>
          <w:szCs w:val="22"/>
          <w14:ligatures w14:val="none"/>
        </w:rPr>
      </w:pPr>
      <w:r w:rsidRPr="007166E4">
        <w:rPr>
          <w:rFonts w:ascii="Times New Roman" w:eastAsia="Times New Roman" w:hAnsi="Times New Roman" w:cs="Times New Roman"/>
          <w:snapToGrid w:val="0"/>
          <w:color w:val="000000"/>
          <w:kern w:val="28"/>
          <w:sz w:val="22"/>
          <w:szCs w:val="22"/>
          <w14:ligatures w14:val="none"/>
        </w:rPr>
        <w:t>DoW</w:t>
      </w:r>
      <w:r w:rsidRPr="007166E4">
        <w:rPr>
          <w:rFonts w:ascii="Times New Roman" w:eastAsia="Times New Roman" w:hAnsi="Times New Roman" w:cs="Times New Roman"/>
          <w:snapToGrid w:val="0"/>
          <w:color w:val="000000"/>
          <w:kern w:val="28"/>
          <w:sz w:val="22"/>
          <w:szCs w:val="22"/>
          <w14:ligatures w14:val="none"/>
        </w:rPr>
        <w:t xml:space="preserve"> has reviewed submissions and granted </w:t>
      </w:r>
      <w:r w:rsidR="00633661">
        <w:rPr>
          <w:rFonts w:ascii="Times New Roman" w:eastAsia="Times New Roman" w:hAnsi="Times New Roman" w:cs="Times New Roman"/>
          <w:snapToGrid w:val="0"/>
          <w:color w:val="000000"/>
          <w:kern w:val="28"/>
          <w:sz w:val="22"/>
          <w:szCs w:val="22"/>
          <w14:ligatures w14:val="none"/>
        </w:rPr>
        <w:t xml:space="preserve">a </w:t>
      </w:r>
      <w:r w:rsidRPr="007166E4">
        <w:rPr>
          <w:rFonts w:ascii="Times New Roman" w:eastAsia="Times New Roman" w:hAnsi="Times New Roman" w:cs="Times New Roman"/>
          <w:snapToGrid w:val="0"/>
          <w:color w:val="000000"/>
          <w:kern w:val="28"/>
          <w:sz w:val="22"/>
          <w:szCs w:val="22"/>
          <w14:ligatures w14:val="none"/>
        </w:rPr>
        <w:t>Conditional Approval</w:t>
      </w:r>
      <w:r w:rsidR="00111C6E">
        <w:rPr>
          <w:rFonts w:ascii="Times New Roman" w:eastAsia="Times New Roman" w:hAnsi="Times New Roman" w:cs="Times New Roman"/>
          <w:snapToGrid w:val="0"/>
          <w:color w:val="000000"/>
          <w:kern w:val="28"/>
          <w:sz w:val="22"/>
          <w:szCs w:val="22"/>
          <w14:ligatures w14:val="none"/>
        </w:rPr>
        <w:t>, terminating on October 31, 2027,</w:t>
      </w:r>
      <w:r w:rsidRPr="007166E4">
        <w:rPr>
          <w:rFonts w:ascii="Times New Roman" w:eastAsia="Times New Roman" w:hAnsi="Times New Roman" w:cs="Times New Roman"/>
          <w:snapToGrid w:val="0"/>
          <w:color w:val="000000"/>
          <w:kern w:val="28"/>
          <w:sz w:val="22"/>
          <w:szCs w:val="22"/>
          <w14:ligatures w14:val="none"/>
        </w:rPr>
        <w:t xml:space="preserve"> for the following </w:t>
      </w:r>
      <w:r w:rsidR="00CC1ED4">
        <w:rPr>
          <w:rFonts w:ascii="Times New Roman" w:eastAsia="Times New Roman" w:hAnsi="Times New Roman" w:cs="Times New Roman"/>
          <w:snapToGrid w:val="0"/>
          <w:color w:val="000000"/>
          <w:kern w:val="28"/>
          <w:sz w:val="22"/>
          <w:szCs w:val="22"/>
          <w14:ligatures w14:val="none"/>
        </w:rPr>
        <w:t>router</w:t>
      </w:r>
      <w:r w:rsidRPr="007166E4">
        <w:rPr>
          <w:rFonts w:ascii="Times New Roman" w:eastAsia="Times New Roman" w:hAnsi="Times New Roman" w:cs="Times New Roman"/>
          <w:snapToGrid w:val="0"/>
          <w:color w:val="000000"/>
          <w:kern w:val="28"/>
          <w:sz w:val="22"/>
          <w:szCs w:val="22"/>
          <w14:ligatures w14:val="none"/>
        </w:rPr>
        <w:t>s:</w:t>
      </w:r>
      <w:r w:rsidRPr="007166E4">
        <w:rPr>
          <w:rFonts w:ascii="Times New Roman" w:eastAsia="Times New Roman" w:hAnsi="Times New Roman" w:cs="Times New Roman"/>
          <w:snapToGrid w:val="0"/>
          <w:color w:val="000000"/>
          <w:kern w:val="28"/>
          <w:sz w:val="22"/>
          <w:szCs w:val="22"/>
          <w14:ligatures w14:val="none"/>
        </w:rPr>
        <w:t xml:space="preserve"> </w:t>
      </w:r>
      <w:r w:rsidRPr="007166E4">
        <w:rPr>
          <w:rFonts w:ascii="Times New Roman" w:eastAsia="Times New Roman" w:hAnsi="Times New Roman" w:cs="Times New Roman"/>
          <w:snapToGrid w:val="0"/>
          <w:color w:val="000000"/>
          <w:kern w:val="28"/>
          <w:sz w:val="22"/>
          <w:szCs w:val="22"/>
          <w14:ligatures w14:val="none"/>
        </w:rPr>
        <w:t xml:space="preserve"> </w:t>
      </w:r>
    </w:p>
    <w:p w:rsidR="007166E4" w:rsidRPr="00026166" w:rsidP="00026166" w14:paraId="1F837616" w14:textId="4AEFA7AC">
      <w:pPr>
        <w:widowControl w:val="0"/>
        <w:numPr>
          <w:ilvl w:val="0"/>
          <w:numId w:val="1"/>
        </w:numPr>
        <w:shd w:val="clear" w:color="auto" w:fill="FFFFFF" w:themeFill="background1"/>
        <w:spacing w:after="120" w:line="240" w:lineRule="auto"/>
        <w:rPr>
          <w:rFonts w:ascii="Times New Roman" w:eastAsia="Times New Roman" w:hAnsi="Times New Roman" w:cs="Times New Roman"/>
          <w:snapToGrid w:val="0"/>
          <w:kern w:val="28"/>
          <w:sz w:val="22"/>
          <w:szCs w:val="22"/>
          <w14:ligatures w14:val="none"/>
        </w:rPr>
      </w:pPr>
      <w:r w:rsidRPr="00026166">
        <w:rPr>
          <w:rFonts w:ascii="Times New Roman" w:eastAsia="Times New Roman" w:hAnsi="Times New Roman" w:cs="Times New Roman"/>
          <w:snapToGrid w:val="0"/>
          <w:kern w:val="28"/>
          <w:sz w:val="22"/>
          <w:szCs w:val="22"/>
          <w14:ligatures w14:val="none"/>
        </w:rPr>
        <w:t>e</w:t>
      </w:r>
      <w:r w:rsidRPr="00026166">
        <w:rPr>
          <w:rFonts w:ascii="Times New Roman" w:eastAsia="Times New Roman" w:hAnsi="Times New Roman" w:cs="Times New Roman"/>
          <w:snapToGrid w:val="0"/>
          <w:kern w:val="28"/>
          <w:sz w:val="22"/>
          <w:szCs w:val="22"/>
          <w14:ligatures w14:val="none"/>
        </w:rPr>
        <w:t>ero</w:t>
      </w:r>
      <w:r w:rsidRPr="00026166" w:rsidR="00FE7BBF">
        <w:rPr>
          <w:rFonts w:ascii="Times New Roman" w:eastAsia="Times New Roman" w:hAnsi="Times New Roman" w:cs="Times New Roman"/>
          <w:snapToGrid w:val="0"/>
          <w:kern w:val="28"/>
          <w:sz w:val="22"/>
          <w:szCs w:val="22"/>
          <w14:ligatures w14:val="none"/>
        </w:rPr>
        <w:t xml:space="preserve"> LLC’s</w:t>
      </w:r>
      <w:r w:rsidRPr="00026166" w:rsidR="009510A3">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Pro</w:t>
      </w:r>
      <w:r w:rsidRPr="00026166" w:rsidR="009510A3">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Max</w:t>
      </w:r>
      <w:r w:rsidRPr="00026166" w:rsidR="009510A3">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PoE</w:t>
      </w:r>
      <w:r w:rsidRPr="00026166" w:rsidR="009510A3">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Outdoor</w:t>
      </w:r>
      <w:r w:rsidRPr="00026166" w:rsidR="009510A3">
        <w:rPr>
          <w:rFonts w:ascii="Times New Roman" w:eastAsia="Times New Roman" w:hAnsi="Times New Roman" w:cs="Times New Roman"/>
          <w:snapToGrid w:val="0"/>
          <w:kern w:val="28"/>
          <w:sz w:val="22"/>
          <w:szCs w:val="22"/>
          <w14:ligatures w14:val="none"/>
        </w:rPr>
        <w:t>,</w:t>
      </w:r>
      <w:r w:rsidRPr="00026166" w:rsidR="00746DFE">
        <w:rPr>
          <w:rFonts w:ascii="Times New Roman" w:eastAsia="Times New Roman" w:hAnsi="Times New Roman" w:cs="Times New Roman"/>
          <w:snapToGrid w:val="0"/>
          <w:kern w:val="28"/>
          <w:sz w:val="22"/>
          <w:szCs w:val="22"/>
          <w14:ligatures w14:val="none"/>
        </w:rPr>
        <w:t xml:space="preserve"> </w:t>
      </w:r>
      <w:r w:rsidRPr="00026166">
        <w:rPr>
          <w:rFonts w:ascii="Times New Roman" w:eastAsia="Times New Roman" w:hAnsi="Times New Roman" w:cs="Times New Roman"/>
          <w:snapToGrid w:val="0"/>
          <w:kern w:val="28"/>
          <w:sz w:val="22"/>
          <w:szCs w:val="22"/>
          <w14:ligatures w14:val="none"/>
        </w:rPr>
        <w:t>eero</w:t>
      </w:r>
      <w:r w:rsidRPr="00026166">
        <w:rPr>
          <w:rFonts w:ascii="Times New Roman" w:eastAsia="Times New Roman" w:hAnsi="Times New Roman" w:cs="Times New Roman"/>
          <w:snapToGrid w:val="0"/>
          <w:kern w:val="28"/>
          <w:sz w:val="22"/>
          <w:szCs w:val="22"/>
          <w14:ligatures w14:val="none"/>
        </w:rPr>
        <w:t xml:space="preserve"> Signal</w:t>
      </w:r>
      <w:r w:rsidR="00AE5FB5">
        <w:rPr>
          <w:rFonts w:ascii="Times New Roman" w:eastAsia="Times New Roman" w:hAnsi="Times New Roman" w:cs="Times New Roman"/>
          <w:snapToGrid w:val="0"/>
          <w:kern w:val="28"/>
          <w:sz w:val="22"/>
          <w:szCs w:val="22"/>
          <w14:ligatures w14:val="none"/>
        </w:rPr>
        <w:t>,</w:t>
      </w:r>
      <w:r w:rsidRPr="00026166" w:rsidR="00746DFE">
        <w:rPr>
          <w:rFonts w:ascii="Times New Roman" w:eastAsia="Times New Roman" w:hAnsi="Times New Roman" w:cs="Times New Roman"/>
          <w:snapToGrid w:val="0"/>
          <w:kern w:val="28"/>
          <w:sz w:val="22"/>
          <w:szCs w:val="22"/>
          <w14:ligatures w14:val="none"/>
        </w:rPr>
        <w:t xml:space="preserve"> </w:t>
      </w:r>
      <w:r w:rsidR="000159A1">
        <w:rPr>
          <w:rFonts w:ascii="Times New Roman" w:eastAsia="Times New Roman" w:hAnsi="Times New Roman" w:cs="Times New Roman"/>
          <w:snapToGrid w:val="0"/>
          <w:kern w:val="28"/>
          <w:sz w:val="22"/>
          <w:szCs w:val="22"/>
          <w14:ligatures w14:val="none"/>
        </w:rPr>
        <w:t xml:space="preserve">and Amazon </w:t>
      </w:r>
      <w:r w:rsidR="003A5E63">
        <w:rPr>
          <w:rFonts w:ascii="Times New Roman" w:eastAsia="Times New Roman" w:hAnsi="Times New Roman" w:cs="Times New Roman"/>
          <w:snapToGrid w:val="0"/>
          <w:kern w:val="28"/>
          <w:sz w:val="22"/>
          <w:szCs w:val="22"/>
          <w14:ligatures w14:val="none"/>
        </w:rPr>
        <w:t xml:space="preserve">Leo </w:t>
      </w:r>
      <w:r w:rsidRPr="00026166" w:rsidR="00746DFE">
        <w:rPr>
          <w:rFonts w:ascii="Times New Roman" w:eastAsia="Times New Roman" w:hAnsi="Times New Roman" w:cs="Times New Roman"/>
          <w:snapToGrid w:val="0"/>
          <w:kern w:val="28"/>
          <w:sz w:val="22"/>
          <w:szCs w:val="22"/>
          <w14:ligatures w14:val="none"/>
        </w:rPr>
        <w:t>routers</w:t>
      </w:r>
    </w:p>
    <w:p w:rsidR="007166E4" w:rsidRPr="007166E4" w:rsidP="003D531D" w14:paraId="44B82241" w14:textId="77777777">
      <w:pPr>
        <w:widowControl w:val="0"/>
        <w:spacing w:after="120" w:line="240" w:lineRule="auto"/>
        <w:rPr>
          <w:rFonts w:ascii="Times New Roman" w:eastAsia="Times New Roman" w:hAnsi="Times New Roman" w:cs="Times New Roman"/>
          <w:b/>
          <w:bCs/>
          <w:snapToGrid w:val="0"/>
          <w:kern w:val="28"/>
          <w:sz w:val="22"/>
          <w:szCs w:val="20"/>
          <w:u w:val="single"/>
          <w14:ligatures w14:val="none"/>
        </w:rPr>
      </w:pPr>
      <w:r w:rsidRPr="007166E4">
        <w:rPr>
          <w:rFonts w:ascii="Times New Roman" w:eastAsia="Times New Roman" w:hAnsi="Times New Roman" w:cs="Times New Roman"/>
          <w:b/>
          <w:bCs/>
          <w:snapToGrid w:val="0"/>
          <w:kern w:val="28"/>
          <w:sz w:val="22"/>
          <w:szCs w:val="20"/>
          <w:u w:val="single"/>
          <w14:ligatures w14:val="none"/>
        </w:rPr>
        <w:t>The Covered List:</w:t>
      </w:r>
    </w:p>
    <w:p w:rsidR="007166E4" w:rsidRPr="007166E4" w:rsidP="003D531D" w14:paraId="6706F845"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We find that each of the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Conditional Approvals</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 xml:space="preserve">constitutes “a specific determination” by </w:t>
      </w:r>
      <w:r w:rsidRPr="007166E4">
        <w:rPr>
          <w:rFonts w:ascii="Times New Roman" w:eastAsia="Times New Roman" w:hAnsi="Times New Roman" w:cs="Times New Roman"/>
          <w:snapToGrid w:val="0"/>
          <w:kern w:val="28"/>
          <w:sz w:val="22"/>
          <w:szCs w:val="20"/>
          <w14:ligatures w14:val="none"/>
        </w:rPr>
        <w:t>DoW</w:t>
      </w:r>
      <w:r w:rsidRPr="007166E4">
        <w:rPr>
          <w:rFonts w:ascii="Times New Roman" w:eastAsia="Times New Roman" w:hAnsi="Times New Roman" w:cs="Times New Roman"/>
          <w:snapToGrid w:val="0"/>
          <w:kern w:val="28"/>
          <w:sz w:val="22"/>
          <w:szCs w:val="20"/>
          <w14:ligatures w14:val="none"/>
        </w:rPr>
        <w:t xml:space="preserve"> that such devices do not pose risks to U.S. national security.</w:t>
      </w:r>
      <w:r>
        <w:rPr>
          <w:rFonts w:ascii="Times New Roman" w:eastAsia="Times New Roman" w:hAnsi="Times New Roman" w:cs="Times New Roman"/>
          <w:snapToGrid w:val="0"/>
          <w:kern w:val="28"/>
          <w:sz w:val="22"/>
          <w:szCs w:val="20"/>
          <w:vertAlign w:val="superscript"/>
          <w14:ligatures w14:val="none"/>
        </w:rPr>
        <w:footnoteReference w:id="8"/>
      </w:r>
      <w:r w:rsidRPr="007166E4">
        <w:rPr>
          <w:rFonts w:ascii="Times New Roman" w:eastAsia="Times New Roman" w:hAnsi="Times New Roman" w:cs="Times New Roman"/>
          <w:snapToGrid w:val="0"/>
          <w:kern w:val="28"/>
          <w:sz w:val="22"/>
          <w:szCs w:val="20"/>
          <w14:ligatures w14:val="none"/>
        </w:rPr>
        <w:t xml:space="preserve">  Therefore,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we conclude that PSHSB is required to update the Covered List to exclude the equipment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identified in these Conditional Approvals</w:t>
      </w:r>
      <w:r w:rsidRPr="007166E4">
        <w:rPr>
          <w:rFonts w:ascii="Times New Roman" w:eastAsia="Times New Roman" w:hAnsi="Times New Roman" w:cs="Times New Roman"/>
          <w:snapToGrid w:val="0"/>
          <w:kern w:val="28"/>
          <w:sz w:val="22"/>
          <w:szCs w:val="22"/>
          <w14:ligatures w14:val="none"/>
        </w:rPr>
        <w:t xml:space="preserve">.    </w:t>
      </w:r>
    </w:p>
    <w:p w:rsidR="006A5B28" w:rsidP="003D531D" w14:paraId="12DBD5DF" w14:textId="0908FFF9">
      <w:pPr>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0"/>
          <w14:ligatures w14:val="none"/>
        </w:rPr>
        <w:t>PSHSB takes this action under its authority and obligation to publish and maintain the Covered List.  Sections 1.50002(a) and 1.50003 of the Commission’s rules require PSHSB to</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publish the Covered List on the Commission’s website</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to maintain and update the Covered List</w:t>
      </w:r>
      <w:r w:rsidRPr="007166E4">
        <w:rPr>
          <w:rFonts w:ascii="Times New Roman" w:eastAsia="Times New Roman" w:hAnsi="Times New Roman" w:cs="Times New Roman"/>
          <w:snapToGrid w:val="0"/>
          <w:kern w:val="28"/>
          <w:sz w:val="22"/>
          <w:szCs w:val="22"/>
          <w14:ligatures w14:val="none"/>
        </w:rPr>
        <w:t xml:space="preserve">, </w:t>
      </w:r>
      <w:r w:rsidRPr="007166E4">
        <w:rPr>
          <w:rFonts w:ascii="Times New Roman" w:eastAsia="Times New Roman" w:hAnsi="Times New Roman" w:cs="Times New Roman"/>
          <w:snapToGrid w:val="0"/>
          <w:kern w:val="28"/>
          <w:sz w:val="22"/>
          <w:szCs w:val="20"/>
          <w14:ligatures w14:val="none"/>
        </w:rPr>
        <w:t>and to monitor the status of determinations.</w:t>
      </w:r>
      <w:r>
        <w:rPr>
          <w:rFonts w:ascii="Times New Roman" w:eastAsia="Times New Roman" w:hAnsi="Times New Roman" w:cs="Times New Roman"/>
          <w:snapToGrid w:val="0"/>
          <w:kern w:val="28"/>
          <w:sz w:val="22"/>
          <w:szCs w:val="20"/>
          <w:vertAlign w:val="superscript"/>
          <w14:ligatures w14:val="none"/>
        </w:rPr>
        <w:footnoteReference w:id="9"/>
      </w:r>
      <w:r w:rsidRPr="007166E4">
        <w:rPr>
          <w:rFonts w:ascii="Times New Roman" w:eastAsia="Times New Roman" w:hAnsi="Times New Roman" w:cs="Times New Roman"/>
          <w:snapToGrid w:val="0"/>
          <w:kern w:val="28"/>
          <w:sz w:val="22"/>
          <w:szCs w:val="22"/>
          <w14:ligatures w14:val="none"/>
        </w:rPr>
        <w:t xml:space="preserve">  </w:t>
      </w:r>
    </w:p>
    <w:p w:rsidR="007166E4" w:rsidRPr="007166E4" w:rsidP="003D531D" w14:paraId="771E6900" w14:textId="77777777">
      <w:pPr>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The Covered List and the list of devices that have received Conditional Approvals are attached as Appendices A and B to this Public Notice and can also be found on the Bureau’s website at </w:t>
      </w:r>
      <w:hyperlink r:id="rId5" w:history="1">
        <w:r w:rsidRPr="007166E4">
          <w:rPr>
            <w:rFonts w:ascii="Times New Roman" w:eastAsia="Times New Roman" w:hAnsi="Times New Roman" w:cs="Times New Roman"/>
            <w:snapToGrid w:val="0"/>
            <w:color w:val="0000FF"/>
            <w:kern w:val="28"/>
            <w:sz w:val="22"/>
            <w:szCs w:val="20"/>
            <w:u w:val="single"/>
            <w14:ligatures w14:val="none"/>
          </w:rPr>
          <w:t>https://www.fcc.gov/supplychain/coveredlist</w:t>
        </w:r>
      </w:hyperlink>
      <w:r w:rsidRPr="007166E4">
        <w:rPr>
          <w:rFonts w:ascii="Times New Roman" w:eastAsia="Times New Roman" w:hAnsi="Times New Roman" w:cs="Times New Roman"/>
          <w:snapToGrid w:val="0"/>
          <w:kern w:val="28"/>
          <w:sz w:val="22"/>
          <w:szCs w:val="20"/>
          <w14:ligatures w14:val="none"/>
        </w:rPr>
        <w:t>.</w:t>
      </w:r>
      <w:r>
        <w:rPr>
          <w:rFonts w:ascii="Times New Roman" w:eastAsia="Times New Roman" w:hAnsi="Times New Roman" w:cs="Times New Roman"/>
          <w:snapToGrid w:val="0"/>
          <w:kern w:val="28"/>
          <w:sz w:val="22"/>
          <w:szCs w:val="20"/>
          <w:vertAlign w:val="superscript"/>
          <w14:ligatures w14:val="none"/>
        </w:rPr>
        <w:footnoteReference w:id="10"/>
      </w:r>
      <w:r w:rsidRPr="007166E4">
        <w:rPr>
          <w:rFonts w:ascii="Times New Roman" w:eastAsia="Times New Roman" w:hAnsi="Times New Roman" w:cs="Times New Roman"/>
          <w:snapToGrid w:val="0"/>
          <w:kern w:val="28"/>
          <w:sz w:val="22"/>
          <w:szCs w:val="20"/>
          <w14:ligatures w14:val="none"/>
        </w:rPr>
        <w:t xml:space="preserve">  </w:t>
      </w:r>
    </w:p>
    <w:p w:rsidR="007166E4" w:rsidRPr="007166E4" w:rsidP="003D531D" w14:paraId="64AF1551" w14:textId="77777777">
      <w:pPr>
        <w:widowControl w:val="0"/>
        <w:spacing w:after="120" w:line="240" w:lineRule="auto"/>
        <w:ind w:firstLine="720"/>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We note the continued availability of FCC staff guidance pursuant to sections 0.191 and 0.31(</w:t>
      </w:r>
      <w:r w:rsidRPr="007166E4">
        <w:rPr>
          <w:rFonts w:ascii="Times New Roman" w:eastAsia="Times New Roman" w:hAnsi="Times New Roman" w:cs="Times New Roman"/>
          <w:snapToGrid w:val="0"/>
          <w:kern w:val="28"/>
          <w:sz w:val="22"/>
          <w:szCs w:val="22"/>
          <w14:ligatures w14:val="none"/>
        </w:rPr>
        <w:t>i</w:t>
      </w:r>
      <w:r w:rsidRPr="007166E4">
        <w:rPr>
          <w:rFonts w:ascii="Times New Roman" w:eastAsia="Times New Roman" w:hAnsi="Times New Roman" w:cs="Times New Roman"/>
          <w:snapToGrid w:val="0"/>
          <w:kern w:val="28"/>
          <w:sz w:val="22"/>
          <w:szCs w:val="22"/>
          <w14:ligatures w14:val="none"/>
        </w:rPr>
        <w:t>) of the Commission’s rules.  Commission staff will provide guidance to TCBs, test labs, and equipment authorization applicants on the impact of these updates.</w:t>
      </w:r>
    </w:p>
    <w:p w:rsidR="007166E4" w:rsidRPr="007166E4" w:rsidP="003D531D" w14:paraId="2BD1A90E" w14:textId="77777777">
      <w:pPr>
        <w:widowControl w:val="0"/>
        <w:spacing w:after="120" w:line="240" w:lineRule="auto"/>
        <w:ind w:firstLine="720"/>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For further information, please contact Chris Smeenk at 202-418-1630 or </w:t>
      </w:r>
      <w:hyperlink r:id="rId6" w:history="1">
        <w:r w:rsidRPr="007166E4">
          <w:rPr>
            <w:rFonts w:ascii="Times New Roman" w:eastAsia="Times New Roman" w:hAnsi="Times New Roman" w:cs="Times New Roman"/>
            <w:snapToGrid w:val="0"/>
            <w:color w:val="0000FF"/>
            <w:kern w:val="28"/>
            <w:sz w:val="22"/>
            <w:szCs w:val="20"/>
            <w:u w:val="single"/>
            <w14:ligatures w14:val="none"/>
          </w:rPr>
          <w:t>Chris.Smeenk@fcc.gov</w:t>
        </w:r>
      </w:hyperlink>
      <w:r w:rsidRPr="007166E4">
        <w:rPr>
          <w:rFonts w:ascii="Times New Roman" w:eastAsia="Times New Roman" w:hAnsi="Times New Roman" w:cs="Times New Roman"/>
          <w:snapToGrid w:val="0"/>
          <w:kern w:val="28"/>
          <w:sz w:val="22"/>
          <w:szCs w:val="20"/>
          <w14:ligatures w14:val="none"/>
        </w:rPr>
        <w:t xml:space="preserve">, or Rebecca Clinton at 202-418-7815 or </w:t>
      </w:r>
      <w:hyperlink r:id="rId7" w:history="1">
        <w:r w:rsidRPr="007166E4">
          <w:rPr>
            <w:rFonts w:ascii="Times New Roman" w:eastAsia="Times New Roman" w:hAnsi="Times New Roman" w:cs="Times New Roman"/>
            <w:snapToGrid w:val="0"/>
            <w:color w:val="0000FF"/>
            <w:kern w:val="28"/>
            <w:sz w:val="22"/>
            <w:szCs w:val="20"/>
            <w:u w:val="single"/>
            <w14:ligatures w14:val="none"/>
          </w:rPr>
          <w:t>Rebecca.Clinton@fcc.gov</w:t>
        </w:r>
      </w:hyperlink>
      <w:r w:rsidRPr="007166E4">
        <w:rPr>
          <w:rFonts w:ascii="Times New Roman" w:eastAsia="Times New Roman" w:hAnsi="Times New Roman" w:cs="Times New Roman"/>
          <w:snapToGrid w:val="0"/>
          <w:kern w:val="28"/>
          <w:sz w:val="22"/>
          <w:szCs w:val="20"/>
          <w14:ligatures w14:val="none"/>
        </w:rPr>
        <w:t xml:space="preserve">, Attorney Advisers, Operations and Emergency Management Division, Public Safety and Homeland Security Bureau.  </w:t>
      </w:r>
    </w:p>
    <w:p w:rsidR="007166E4" w:rsidRPr="007166E4" w:rsidP="00FF66DF" w14:paraId="254F55C1"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headerReference w:type="default" r:id="rId8"/>
          <w:footerReference w:type="even" r:id="rId9"/>
          <w:footerReference w:type="default" r:id="rId10"/>
          <w:headerReference w:type="first" r:id="rId11"/>
          <w:endnotePr>
            <w:numFmt w:val="decimal"/>
          </w:endnotePr>
          <w:pgSz w:w="12240" w:h="15840"/>
          <w:pgMar w:top="1440" w:right="1440" w:bottom="720" w:left="1440" w:header="630" w:footer="720" w:gutter="0"/>
          <w:pgNumType w:start="1"/>
          <w:cols w:space="720"/>
          <w:noEndnote/>
          <w:titlePg/>
        </w:sectPr>
      </w:pPr>
    </w:p>
    <w:p w:rsidR="007166E4" w:rsidRPr="007166E4" w:rsidP="007166E4" w14:paraId="6F999484"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A</w:t>
      </w:r>
    </w:p>
    <w:p w:rsidR="007166E4" w:rsidRPr="007166E4" w:rsidP="007166E4" w14:paraId="71E39020" w14:textId="29CEC9A7">
      <w:pPr>
        <w:widowControl w:val="0"/>
        <w:spacing w:after="120" w:line="240" w:lineRule="auto"/>
        <w:jc w:val="center"/>
        <w:rPr>
          <w:rFonts w:ascii="Symbol" w:eastAsia="Times New Roman" w:hAnsi="Symbol"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COVERED LIST (April </w:t>
      </w:r>
      <w:r w:rsidR="007F6876">
        <w:rPr>
          <w:rFonts w:ascii="Times New Roman" w:eastAsia="Times New Roman" w:hAnsi="Times New Roman" w:cs="Times New Roman"/>
          <w:snapToGrid w:val="0"/>
          <w:kern w:val="28"/>
          <w:sz w:val="22"/>
          <w:szCs w:val="20"/>
          <w14:ligatures w14:val="none"/>
        </w:rPr>
        <w:t>22</w:t>
      </w:r>
      <w:r w:rsidRPr="007166E4">
        <w:rPr>
          <w:rFonts w:ascii="Times New Roman" w:eastAsia="Times New Roman" w:hAnsi="Times New Roman" w:cs="Times New Roman"/>
          <w:snapToGrid w:val="0"/>
          <w:kern w:val="28"/>
          <w:sz w:val="22"/>
          <w:szCs w:val="20"/>
          <w14:ligatures w14:val="none"/>
        </w:rPr>
        <w:t>, 2026)*</w:t>
      </w:r>
      <w:r w:rsidRPr="007166E4">
        <w:rPr>
          <w:rFonts w:ascii="Times New Roman" w:eastAsia="Times New Roman" w:hAnsi="Times New Roman" w:cs="Times New Roman"/>
          <w:snapToGrid w:val="0"/>
          <w:kern w:val="28"/>
          <w:sz w:val="22"/>
          <w:szCs w:val="20"/>
          <w:vertAlign w:val="superscript"/>
          <w14:ligatures w14:val="none"/>
        </w:rPr>
        <w:t>†±</w:t>
      </w:r>
    </w:p>
    <w:p w:rsidR="007166E4" w:rsidRPr="007166E4" w:rsidP="007166E4" w14:paraId="421D0559" w14:textId="77777777">
      <w:pPr>
        <w:widowControl w:val="0"/>
        <w:spacing w:after="0" w:line="240" w:lineRule="auto"/>
        <w:rPr>
          <w:rFonts w:ascii="Times New Roman" w:eastAsia="Times New Roman" w:hAnsi="Times New Roman" w:cs="Times New Roman"/>
          <w:b/>
          <w:bCs/>
          <w:snapToGrid w:val="0"/>
          <w:kern w:val="28"/>
          <w:sz w:val="22"/>
          <w:szCs w:val="20"/>
          <w14:ligatures w14:val="none"/>
        </w:rPr>
      </w:pPr>
    </w:p>
    <w:tbl>
      <w:tblPr>
        <w:tblStyle w:val="TableGrid"/>
        <w:tblW w:w="10350" w:type="dxa"/>
        <w:tblInd w:w="-365" w:type="dxa"/>
        <w:tblLook w:val="04A0"/>
      </w:tblPr>
      <w:tblGrid>
        <w:gridCol w:w="7601"/>
        <w:gridCol w:w="2749"/>
      </w:tblGrid>
      <w:tr w14:paraId="4F10D3F3" w14:textId="77777777">
        <w:tblPrEx>
          <w:tblW w:w="10350" w:type="dxa"/>
          <w:tblInd w:w="-365" w:type="dxa"/>
          <w:tblLook w:val="04A0"/>
        </w:tblPrEx>
        <w:tc>
          <w:tcPr>
            <w:tcW w:w="7601" w:type="dxa"/>
          </w:tcPr>
          <w:p w:rsidR="007166E4" w:rsidRPr="007166E4" w:rsidP="007166E4" w14:paraId="6E630C8F" w14:textId="77777777">
            <w:pPr>
              <w:widowControl w:val="0"/>
              <w:jc w:val="center"/>
              <w:rPr>
                <w:b/>
                <w:bCs/>
                <w:snapToGrid w:val="0"/>
                <w:kern w:val="28"/>
              </w:rPr>
            </w:pPr>
            <w:r w:rsidRPr="007166E4">
              <w:rPr>
                <w:b/>
                <w:bCs/>
                <w:snapToGrid w:val="0"/>
                <w:kern w:val="28"/>
              </w:rPr>
              <w:t>Covered Equipment or Services*</w:t>
            </w:r>
          </w:p>
        </w:tc>
        <w:tc>
          <w:tcPr>
            <w:tcW w:w="2749" w:type="dxa"/>
          </w:tcPr>
          <w:p w:rsidR="007166E4" w:rsidRPr="007166E4" w:rsidP="007166E4" w14:paraId="68E5B2FF" w14:textId="77777777">
            <w:pPr>
              <w:widowControl w:val="0"/>
              <w:jc w:val="center"/>
              <w:rPr>
                <w:b/>
                <w:bCs/>
                <w:snapToGrid w:val="0"/>
                <w:kern w:val="28"/>
              </w:rPr>
            </w:pPr>
            <w:r w:rsidRPr="007166E4">
              <w:rPr>
                <w:b/>
                <w:bCs/>
                <w:snapToGrid w:val="0"/>
                <w:kern w:val="28"/>
              </w:rPr>
              <w:t>Date of Inclusion on Covered List</w:t>
            </w:r>
          </w:p>
        </w:tc>
      </w:tr>
      <w:tr w14:paraId="31E1ABC2" w14:textId="77777777">
        <w:tblPrEx>
          <w:tblW w:w="10350" w:type="dxa"/>
          <w:tblInd w:w="-365" w:type="dxa"/>
          <w:tblLook w:val="04A0"/>
        </w:tblPrEx>
        <w:tc>
          <w:tcPr>
            <w:tcW w:w="7601" w:type="dxa"/>
          </w:tcPr>
          <w:p w:rsidR="007166E4" w:rsidRPr="007166E4" w:rsidP="007166E4" w14:paraId="53A00005"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Huawei Technologies Company</w:t>
            </w:r>
            <w:r w:rsidRPr="007166E4">
              <w:rPr>
                <w:snapToGrid w:val="0"/>
                <w:kern w:val="28"/>
              </w:rPr>
              <w:t>, including telecommunications or video surveillance services produced or provided by such entity or using such equipment.</w:t>
            </w:r>
          </w:p>
        </w:tc>
        <w:tc>
          <w:tcPr>
            <w:tcW w:w="2749" w:type="dxa"/>
          </w:tcPr>
          <w:p w:rsidR="007166E4" w:rsidRPr="007166E4" w:rsidP="007166E4" w14:paraId="3C2DAB7D" w14:textId="77777777">
            <w:pPr>
              <w:widowControl w:val="0"/>
              <w:jc w:val="center"/>
              <w:rPr>
                <w:snapToGrid w:val="0"/>
                <w:kern w:val="28"/>
              </w:rPr>
            </w:pPr>
          </w:p>
          <w:p w:rsidR="007166E4" w:rsidRPr="007166E4" w:rsidP="007166E4" w14:paraId="3F18B4ED" w14:textId="77777777">
            <w:pPr>
              <w:widowControl w:val="0"/>
              <w:jc w:val="center"/>
              <w:rPr>
                <w:snapToGrid w:val="0"/>
                <w:kern w:val="28"/>
              </w:rPr>
            </w:pPr>
            <w:r w:rsidRPr="007166E4">
              <w:rPr>
                <w:snapToGrid w:val="0"/>
                <w:kern w:val="28"/>
              </w:rPr>
              <w:t>March 12, 2021</w:t>
            </w:r>
          </w:p>
        </w:tc>
      </w:tr>
      <w:tr w14:paraId="3AB22E6A" w14:textId="77777777">
        <w:tblPrEx>
          <w:tblW w:w="10350" w:type="dxa"/>
          <w:tblInd w:w="-365" w:type="dxa"/>
          <w:tblLook w:val="04A0"/>
        </w:tblPrEx>
        <w:tc>
          <w:tcPr>
            <w:tcW w:w="7601" w:type="dxa"/>
          </w:tcPr>
          <w:p w:rsidR="007166E4" w:rsidRPr="007166E4" w:rsidP="007166E4" w14:paraId="39870C24" w14:textId="77777777">
            <w:pPr>
              <w:widowControl w:val="0"/>
              <w:rPr>
                <w:snapToGrid w:val="0"/>
                <w:kern w:val="28"/>
              </w:rPr>
            </w:pPr>
            <w:r w:rsidRPr="007166E4">
              <w:rPr>
                <w:snapToGrid w:val="0"/>
                <w:kern w:val="28"/>
              </w:rPr>
              <w:t xml:space="preserve">Telecommunications equipment produced or provided by </w:t>
            </w:r>
            <w:r w:rsidRPr="007166E4">
              <w:rPr>
                <w:b/>
                <w:bCs/>
                <w:snapToGrid w:val="0"/>
                <w:kern w:val="28"/>
              </w:rPr>
              <w:t>ZTE Corporation</w:t>
            </w:r>
            <w:r w:rsidRPr="007166E4">
              <w:rPr>
                <w:snapToGrid w:val="0"/>
                <w:kern w:val="28"/>
              </w:rPr>
              <w:t>, including telecommunications or video surveillance services provided or provided by such entity or using such equipment.</w:t>
            </w:r>
          </w:p>
        </w:tc>
        <w:tc>
          <w:tcPr>
            <w:tcW w:w="2749" w:type="dxa"/>
          </w:tcPr>
          <w:p w:rsidR="007166E4" w:rsidRPr="007166E4" w:rsidP="007166E4" w14:paraId="0CE992AE" w14:textId="77777777">
            <w:pPr>
              <w:widowControl w:val="0"/>
              <w:jc w:val="center"/>
              <w:rPr>
                <w:snapToGrid w:val="0"/>
                <w:kern w:val="28"/>
              </w:rPr>
            </w:pPr>
          </w:p>
          <w:p w:rsidR="007166E4" w:rsidRPr="007166E4" w:rsidP="007166E4" w14:paraId="77ACC944" w14:textId="77777777">
            <w:pPr>
              <w:widowControl w:val="0"/>
              <w:jc w:val="center"/>
              <w:rPr>
                <w:snapToGrid w:val="0"/>
                <w:kern w:val="28"/>
              </w:rPr>
            </w:pPr>
            <w:r w:rsidRPr="007166E4">
              <w:rPr>
                <w:snapToGrid w:val="0"/>
                <w:kern w:val="28"/>
              </w:rPr>
              <w:t>March 12, 2021</w:t>
            </w:r>
          </w:p>
        </w:tc>
      </w:tr>
      <w:tr w14:paraId="5E4CF182" w14:textId="77777777">
        <w:tblPrEx>
          <w:tblW w:w="10350" w:type="dxa"/>
          <w:tblInd w:w="-365" w:type="dxa"/>
          <w:tblLook w:val="04A0"/>
        </w:tblPrEx>
        <w:tc>
          <w:tcPr>
            <w:tcW w:w="7601" w:type="dxa"/>
          </w:tcPr>
          <w:p w:rsidR="007166E4" w:rsidRPr="007166E4" w:rsidP="007166E4" w14:paraId="60AB63F5"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Hytera Communications Corporation</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2A26AAD6" w14:textId="77777777">
            <w:pPr>
              <w:widowControl w:val="0"/>
              <w:jc w:val="center"/>
              <w:rPr>
                <w:snapToGrid w:val="0"/>
                <w:kern w:val="28"/>
              </w:rPr>
            </w:pPr>
          </w:p>
          <w:p w:rsidR="007166E4" w:rsidRPr="007166E4" w:rsidP="007166E4" w14:paraId="28749EBF" w14:textId="77777777">
            <w:pPr>
              <w:widowControl w:val="0"/>
              <w:jc w:val="center"/>
              <w:rPr>
                <w:snapToGrid w:val="0"/>
                <w:kern w:val="28"/>
              </w:rPr>
            </w:pPr>
          </w:p>
          <w:p w:rsidR="007166E4" w:rsidRPr="007166E4" w:rsidP="007166E4" w14:paraId="1CFAD869" w14:textId="77777777">
            <w:pPr>
              <w:widowControl w:val="0"/>
              <w:jc w:val="center"/>
              <w:rPr>
                <w:snapToGrid w:val="0"/>
                <w:kern w:val="28"/>
              </w:rPr>
            </w:pPr>
            <w:r w:rsidRPr="007166E4">
              <w:rPr>
                <w:snapToGrid w:val="0"/>
                <w:kern w:val="28"/>
              </w:rPr>
              <w:t>March 12, 2021</w:t>
            </w:r>
          </w:p>
        </w:tc>
      </w:tr>
      <w:tr w14:paraId="4673A6DB" w14:textId="77777777">
        <w:tblPrEx>
          <w:tblW w:w="10350" w:type="dxa"/>
          <w:tblInd w:w="-365" w:type="dxa"/>
          <w:tblLook w:val="04A0"/>
        </w:tblPrEx>
        <w:tc>
          <w:tcPr>
            <w:tcW w:w="7601" w:type="dxa"/>
          </w:tcPr>
          <w:p w:rsidR="007166E4" w:rsidRPr="007166E4" w:rsidP="007166E4" w14:paraId="48D9FF5D"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Hangzhou Hikvision Digital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6E266547" w14:textId="77777777">
            <w:pPr>
              <w:widowControl w:val="0"/>
              <w:rPr>
                <w:snapToGrid w:val="0"/>
                <w:kern w:val="28"/>
              </w:rPr>
            </w:pPr>
          </w:p>
          <w:p w:rsidR="007166E4" w:rsidRPr="007166E4" w:rsidP="007166E4" w14:paraId="52085478" w14:textId="77777777">
            <w:pPr>
              <w:widowControl w:val="0"/>
              <w:jc w:val="center"/>
              <w:rPr>
                <w:snapToGrid w:val="0"/>
                <w:kern w:val="28"/>
              </w:rPr>
            </w:pPr>
          </w:p>
          <w:p w:rsidR="007166E4" w:rsidRPr="007166E4" w:rsidP="007166E4" w14:paraId="249D6D37" w14:textId="77777777">
            <w:pPr>
              <w:widowControl w:val="0"/>
              <w:jc w:val="center"/>
              <w:rPr>
                <w:snapToGrid w:val="0"/>
                <w:kern w:val="28"/>
              </w:rPr>
            </w:pPr>
            <w:r w:rsidRPr="007166E4">
              <w:rPr>
                <w:snapToGrid w:val="0"/>
                <w:kern w:val="28"/>
              </w:rPr>
              <w:t>March 12, 2021</w:t>
            </w:r>
          </w:p>
        </w:tc>
      </w:tr>
      <w:tr w14:paraId="6FEC1D02" w14:textId="77777777">
        <w:tblPrEx>
          <w:tblW w:w="10350" w:type="dxa"/>
          <w:tblInd w:w="-365" w:type="dxa"/>
          <w:tblLook w:val="04A0"/>
        </w:tblPrEx>
        <w:tc>
          <w:tcPr>
            <w:tcW w:w="7601" w:type="dxa"/>
          </w:tcPr>
          <w:p w:rsidR="007166E4" w:rsidRPr="007166E4" w:rsidP="007166E4" w14:paraId="5DD4EB29" w14:textId="77777777">
            <w:pPr>
              <w:widowControl w:val="0"/>
              <w:rPr>
                <w:snapToGrid w:val="0"/>
                <w:kern w:val="28"/>
              </w:rPr>
            </w:pPr>
            <w:r w:rsidRPr="007166E4">
              <w:rPr>
                <w:snapToGrid w:val="0"/>
                <w:kern w:val="28"/>
              </w:rPr>
              <w:t xml:space="preserve">Video surveillance and telecommunications equipment produced or provided by </w:t>
            </w:r>
            <w:r w:rsidRPr="007166E4">
              <w:rPr>
                <w:b/>
                <w:bCs/>
                <w:snapToGrid w:val="0"/>
                <w:kern w:val="28"/>
              </w:rPr>
              <w:t>Dahua Technology Company</w:t>
            </w:r>
            <w:r w:rsidRPr="007166E4">
              <w:rPr>
                <w:snapToGrid w:val="0"/>
                <w:kern w:val="28"/>
              </w:rPr>
              <w:t>, to the extent it is used for the purpose of public safety, security of government facilities, physical security surveillance of critical infrastructure, and other national security purposes, including telecommunications or video surveillance services produced or provided by such entity or using such equipment.</w:t>
            </w:r>
          </w:p>
        </w:tc>
        <w:tc>
          <w:tcPr>
            <w:tcW w:w="2749" w:type="dxa"/>
          </w:tcPr>
          <w:p w:rsidR="007166E4" w:rsidRPr="007166E4" w:rsidP="007166E4" w14:paraId="4C4E684C" w14:textId="77777777">
            <w:pPr>
              <w:widowControl w:val="0"/>
              <w:jc w:val="center"/>
              <w:rPr>
                <w:snapToGrid w:val="0"/>
                <w:kern w:val="28"/>
              </w:rPr>
            </w:pPr>
          </w:p>
          <w:p w:rsidR="007166E4" w:rsidRPr="007166E4" w:rsidP="007166E4" w14:paraId="770414BB" w14:textId="77777777">
            <w:pPr>
              <w:widowControl w:val="0"/>
              <w:jc w:val="center"/>
              <w:rPr>
                <w:snapToGrid w:val="0"/>
                <w:kern w:val="28"/>
              </w:rPr>
            </w:pPr>
          </w:p>
          <w:p w:rsidR="007166E4" w:rsidRPr="007166E4" w:rsidP="007166E4" w14:paraId="729C4410" w14:textId="77777777">
            <w:pPr>
              <w:widowControl w:val="0"/>
              <w:jc w:val="center"/>
              <w:rPr>
                <w:snapToGrid w:val="0"/>
                <w:kern w:val="28"/>
              </w:rPr>
            </w:pPr>
            <w:r w:rsidRPr="007166E4">
              <w:rPr>
                <w:snapToGrid w:val="0"/>
                <w:kern w:val="28"/>
              </w:rPr>
              <w:t>March 12, 2021</w:t>
            </w:r>
          </w:p>
        </w:tc>
      </w:tr>
      <w:tr w14:paraId="0D9EAF8E" w14:textId="77777777">
        <w:tblPrEx>
          <w:tblW w:w="10350" w:type="dxa"/>
          <w:tblInd w:w="-365" w:type="dxa"/>
          <w:tblLook w:val="04A0"/>
        </w:tblPrEx>
        <w:tc>
          <w:tcPr>
            <w:tcW w:w="7601" w:type="dxa"/>
          </w:tcPr>
          <w:p w:rsidR="007166E4" w:rsidRPr="007166E4" w:rsidP="007166E4" w14:paraId="5021D807" w14:textId="77777777">
            <w:pPr>
              <w:widowControl w:val="0"/>
              <w:rPr>
                <w:snapToGrid w:val="0"/>
                <w:kern w:val="28"/>
              </w:rPr>
            </w:pPr>
            <w:r w:rsidRPr="007166E4">
              <w:rPr>
                <w:snapToGrid w:val="0"/>
                <w:kern w:val="28"/>
              </w:rPr>
              <w:t xml:space="preserve">Information security products, solutions, and services supplied, directly or indirectly, by </w:t>
            </w:r>
            <w:r w:rsidRPr="007166E4">
              <w:rPr>
                <w:b/>
                <w:bCs/>
                <w:snapToGrid w:val="0"/>
                <w:kern w:val="28"/>
              </w:rPr>
              <w:t>AO Kaspersky Lab</w:t>
            </w:r>
            <w:r w:rsidRPr="007166E4">
              <w:rPr>
                <w:snapToGrid w:val="0"/>
                <w:kern w:val="28"/>
              </w:rPr>
              <w:t xml:space="preserve"> or any of its predecessors, successors, parents, subsidiaries, or affiliates.</w:t>
            </w:r>
          </w:p>
        </w:tc>
        <w:tc>
          <w:tcPr>
            <w:tcW w:w="2749" w:type="dxa"/>
          </w:tcPr>
          <w:p w:rsidR="007166E4" w:rsidRPr="007166E4" w:rsidP="007166E4" w14:paraId="3D695996" w14:textId="77777777">
            <w:pPr>
              <w:widowControl w:val="0"/>
              <w:jc w:val="center"/>
              <w:rPr>
                <w:snapToGrid w:val="0"/>
                <w:kern w:val="28"/>
              </w:rPr>
            </w:pPr>
            <w:r w:rsidRPr="007166E4">
              <w:rPr>
                <w:snapToGrid w:val="0"/>
                <w:kern w:val="28"/>
              </w:rPr>
              <w:br/>
              <w:t>March 25, 2022</w:t>
            </w:r>
          </w:p>
        </w:tc>
      </w:tr>
      <w:tr w14:paraId="2D5DF317" w14:textId="77777777">
        <w:tblPrEx>
          <w:tblW w:w="10350" w:type="dxa"/>
          <w:tblInd w:w="-365" w:type="dxa"/>
          <w:tblLook w:val="04A0"/>
        </w:tblPrEx>
        <w:tc>
          <w:tcPr>
            <w:tcW w:w="7601" w:type="dxa"/>
          </w:tcPr>
          <w:p w:rsidR="007166E4" w:rsidRPr="007166E4" w:rsidP="007166E4" w14:paraId="1BC188D2"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Mobile International USA Inc.</w:t>
            </w:r>
            <w:r w:rsidRPr="007166E4">
              <w:rPr>
                <w:snapToGrid w:val="0"/>
                <w:kern w:val="28"/>
              </w:rPr>
              <w:t xml:space="preserve"> subject to section 214 of the Communications Act of 1934. </w:t>
            </w:r>
          </w:p>
        </w:tc>
        <w:tc>
          <w:tcPr>
            <w:tcW w:w="2749" w:type="dxa"/>
          </w:tcPr>
          <w:p w:rsidR="007166E4" w:rsidRPr="007166E4" w:rsidP="007166E4" w14:paraId="6AAA9689" w14:textId="77777777">
            <w:pPr>
              <w:widowControl w:val="0"/>
              <w:jc w:val="center"/>
              <w:rPr>
                <w:snapToGrid w:val="0"/>
                <w:kern w:val="28"/>
              </w:rPr>
            </w:pPr>
            <w:r w:rsidRPr="007166E4">
              <w:rPr>
                <w:snapToGrid w:val="0"/>
                <w:kern w:val="28"/>
              </w:rPr>
              <w:t>March 25, 2022</w:t>
            </w:r>
          </w:p>
        </w:tc>
      </w:tr>
      <w:tr w14:paraId="06C9EE5F" w14:textId="77777777">
        <w:tblPrEx>
          <w:tblW w:w="10350" w:type="dxa"/>
          <w:tblInd w:w="-365" w:type="dxa"/>
          <w:tblLook w:val="04A0"/>
        </w:tblPrEx>
        <w:tc>
          <w:tcPr>
            <w:tcW w:w="7601" w:type="dxa"/>
          </w:tcPr>
          <w:p w:rsidR="007166E4" w:rsidRPr="007166E4" w:rsidP="007166E4" w14:paraId="084393B9" w14:textId="77777777">
            <w:pPr>
              <w:widowControl w:val="0"/>
              <w:rPr>
                <w:snapToGrid w:val="0"/>
                <w:kern w:val="28"/>
              </w:rPr>
            </w:pPr>
            <w:r w:rsidRPr="007166E4">
              <w:rPr>
                <w:snapToGrid w:val="0"/>
                <w:kern w:val="28"/>
              </w:rPr>
              <w:t xml:space="preserve">Telecommunications services provided by </w:t>
            </w:r>
            <w:r w:rsidRPr="007166E4">
              <w:rPr>
                <w:b/>
                <w:bCs/>
                <w:snapToGrid w:val="0"/>
                <w:kern w:val="28"/>
              </w:rPr>
              <w:t>China Telecom (Americas) Corp.</w:t>
            </w:r>
            <w:r w:rsidRPr="007166E4">
              <w:rPr>
                <w:snapToGrid w:val="0"/>
                <w:kern w:val="28"/>
              </w:rPr>
              <w:t xml:space="preserve"> subject to section 214 of the Communications Act of 1934.</w:t>
            </w:r>
          </w:p>
        </w:tc>
        <w:tc>
          <w:tcPr>
            <w:tcW w:w="2749" w:type="dxa"/>
          </w:tcPr>
          <w:p w:rsidR="007166E4" w:rsidRPr="007166E4" w:rsidP="007166E4" w14:paraId="2386D5EF" w14:textId="77777777">
            <w:pPr>
              <w:widowControl w:val="0"/>
              <w:jc w:val="center"/>
              <w:rPr>
                <w:snapToGrid w:val="0"/>
                <w:kern w:val="28"/>
              </w:rPr>
            </w:pPr>
            <w:r w:rsidRPr="007166E4">
              <w:rPr>
                <w:snapToGrid w:val="0"/>
                <w:kern w:val="28"/>
              </w:rPr>
              <w:t>March 25, 2022</w:t>
            </w:r>
          </w:p>
        </w:tc>
      </w:tr>
      <w:tr w14:paraId="5CCBC6A3" w14:textId="77777777">
        <w:tblPrEx>
          <w:tblW w:w="10350" w:type="dxa"/>
          <w:tblInd w:w="-365" w:type="dxa"/>
          <w:tblLook w:val="04A0"/>
        </w:tblPrEx>
        <w:tc>
          <w:tcPr>
            <w:tcW w:w="7601" w:type="dxa"/>
          </w:tcPr>
          <w:p w:rsidR="007166E4" w:rsidRPr="007166E4" w:rsidP="007166E4" w14:paraId="0BCA5D00"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 xml:space="preserve">Pacific Networks Corp. </w:t>
            </w:r>
            <w:r w:rsidRPr="007166E4">
              <w:rPr>
                <w:snapToGrid w:val="0"/>
                <w:kern w:val="28"/>
              </w:rPr>
              <w:t xml:space="preserve">and its wholly-owned subsidiary </w:t>
            </w:r>
            <w:r w:rsidRPr="007166E4">
              <w:rPr>
                <w:b/>
                <w:bCs/>
                <w:snapToGrid w:val="0"/>
                <w:kern w:val="28"/>
              </w:rPr>
              <w:t>ComNet</w:t>
            </w:r>
            <w:r w:rsidRPr="007166E4">
              <w:rPr>
                <w:b/>
                <w:bCs/>
                <w:snapToGrid w:val="0"/>
                <w:kern w:val="28"/>
              </w:rPr>
              <w:t xml:space="preserve"> (USA) LLC</w:t>
            </w:r>
            <w:r w:rsidRPr="007166E4">
              <w:rPr>
                <w:snapToGrid w:val="0"/>
                <w:kern w:val="28"/>
              </w:rPr>
              <w:t xml:space="preserve"> subject to section 214 of the Communications Act of 1934. </w:t>
            </w:r>
          </w:p>
        </w:tc>
        <w:tc>
          <w:tcPr>
            <w:tcW w:w="2749" w:type="dxa"/>
          </w:tcPr>
          <w:p w:rsidR="007166E4" w:rsidRPr="007166E4" w:rsidP="007166E4" w14:paraId="6D5E7C19" w14:textId="77777777">
            <w:pPr>
              <w:widowControl w:val="0"/>
              <w:jc w:val="center"/>
              <w:rPr>
                <w:snapToGrid w:val="0"/>
                <w:kern w:val="28"/>
              </w:rPr>
            </w:pPr>
            <w:r w:rsidRPr="007166E4">
              <w:rPr>
                <w:snapToGrid w:val="0"/>
                <w:kern w:val="28"/>
              </w:rPr>
              <w:br/>
              <w:t>September 20, 2022</w:t>
            </w:r>
          </w:p>
        </w:tc>
      </w:tr>
      <w:tr w14:paraId="77EF3958" w14:textId="77777777">
        <w:tblPrEx>
          <w:tblW w:w="10350" w:type="dxa"/>
          <w:tblInd w:w="-365" w:type="dxa"/>
          <w:tblLook w:val="04A0"/>
        </w:tblPrEx>
        <w:tc>
          <w:tcPr>
            <w:tcW w:w="7601" w:type="dxa"/>
          </w:tcPr>
          <w:p w:rsidR="007166E4" w:rsidRPr="007166E4" w:rsidP="007166E4" w14:paraId="1090494A" w14:textId="77777777">
            <w:pPr>
              <w:widowControl w:val="0"/>
              <w:rPr>
                <w:snapToGrid w:val="0"/>
                <w:kern w:val="28"/>
              </w:rPr>
            </w:pPr>
            <w:r w:rsidRPr="007166E4">
              <w:rPr>
                <w:snapToGrid w:val="0"/>
                <w:kern w:val="28"/>
              </w:rPr>
              <w:t xml:space="preserve">International telecommunications services provided by </w:t>
            </w:r>
            <w:r w:rsidRPr="007166E4">
              <w:rPr>
                <w:b/>
                <w:bCs/>
                <w:snapToGrid w:val="0"/>
                <w:kern w:val="28"/>
              </w:rPr>
              <w:t>China Unicom (Americas) Operations Limited</w:t>
            </w:r>
            <w:r w:rsidRPr="007166E4">
              <w:rPr>
                <w:snapToGrid w:val="0"/>
                <w:kern w:val="28"/>
              </w:rPr>
              <w:t xml:space="preserve"> subject to section 214 of the Communications Act of 1934. </w:t>
            </w:r>
          </w:p>
        </w:tc>
        <w:tc>
          <w:tcPr>
            <w:tcW w:w="2749" w:type="dxa"/>
          </w:tcPr>
          <w:p w:rsidR="007166E4" w:rsidRPr="007166E4" w:rsidP="007166E4" w14:paraId="0A5848D8" w14:textId="77777777">
            <w:pPr>
              <w:widowControl w:val="0"/>
              <w:jc w:val="center"/>
              <w:rPr>
                <w:snapToGrid w:val="0"/>
                <w:kern w:val="28"/>
              </w:rPr>
            </w:pPr>
            <w:r w:rsidRPr="007166E4">
              <w:rPr>
                <w:snapToGrid w:val="0"/>
                <w:kern w:val="28"/>
              </w:rPr>
              <w:t>September 20, 2022</w:t>
            </w:r>
          </w:p>
        </w:tc>
      </w:tr>
      <w:tr w14:paraId="1337AB73" w14:textId="77777777">
        <w:tblPrEx>
          <w:tblW w:w="10350" w:type="dxa"/>
          <w:tblInd w:w="-365" w:type="dxa"/>
          <w:tblLook w:val="04A0"/>
        </w:tblPrEx>
        <w:tc>
          <w:tcPr>
            <w:tcW w:w="7601" w:type="dxa"/>
          </w:tcPr>
          <w:p w:rsidR="007166E4" w:rsidRPr="007166E4" w:rsidP="007166E4" w14:paraId="2F77CB9F" w14:textId="77777777">
            <w:pPr>
              <w:widowControl w:val="0"/>
              <w:rPr>
                <w:snapToGrid w:val="0"/>
                <w:kern w:val="28"/>
              </w:rPr>
            </w:pPr>
            <w:r w:rsidRPr="007166E4">
              <w:rPr>
                <w:snapToGrid w:val="0"/>
                <w:kern w:val="28"/>
              </w:rPr>
              <w:t xml:space="preserve">Cybersecurity and anti-virus software produced or provided by </w:t>
            </w:r>
            <w:r w:rsidRPr="007166E4">
              <w:rPr>
                <w:b/>
                <w:bCs/>
                <w:snapToGrid w:val="0"/>
                <w:kern w:val="28"/>
              </w:rPr>
              <w:t>Kaspersky Lab, Inc.</w:t>
            </w:r>
            <w:r w:rsidRPr="007166E4">
              <w:rPr>
                <w:snapToGrid w:val="0"/>
                <w:kern w:val="28"/>
              </w:rPr>
              <w:t xml:space="preserve"> or any of its successors and assignees.  </w:t>
            </w:r>
          </w:p>
        </w:tc>
        <w:tc>
          <w:tcPr>
            <w:tcW w:w="2749" w:type="dxa"/>
          </w:tcPr>
          <w:p w:rsidR="007166E4" w:rsidRPr="007166E4" w:rsidP="007166E4" w14:paraId="21CB66E9" w14:textId="77777777">
            <w:pPr>
              <w:widowControl w:val="0"/>
              <w:jc w:val="center"/>
              <w:rPr>
                <w:snapToGrid w:val="0"/>
                <w:kern w:val="28"/>
              </w:rPr>
            </w:pPr>
            <w:r w:rsidRPr="007166E4">
              <w:rPr>
                <w:snapToGrid w:val="0"/>
                <w:kern w:val="28"/>
              </w:rPr>
              <w:t>July 23, 2024</w:t>
            </w:r>
          </w:p>
        </w:tc>
      </w:tr>
      <w:tr w14:paraId="281181A2" w14:textId="77777777">
        <w:tblPrEx>
          <w:tblW w:w="10350" w:type="dxa"/>
          <w:tblInd w:w="-365" w:type="dxa"/>
          <w:tblLook w:val="04A0"/>
        </w:tblPrEx>
        <w:tc>
          <w:tcPr>
            <w:tcW w:w="7601" w:type="dxa"/>
          </w:tcPr>
          <w:p w:rsidR="007166E4" w:rsidRPr="007166E4" w:rsidP="007166E4" w14:paraId="59B91419" w14:textId="77777777">
            <w:pPr>
              <w:widowControl w:val="0"/>
              <w:rPr>
                <w:snapToGrid w:val="0"/>
                <w:kern w:val="28"/>
              </w:rPr>
            </w:pPr>
            <w:r w:rsidRPr="007166E4">
              <w:rPr>
                <w:snapToGrid w:val="0"/>
                <w:kern w:val="28"/>
              </w:rPr>
              <w:t>Uncrewed aircraft systems (UAS) and UAS critical components produced in a foreign country</w:t>
            </w:r>
            <w:r w:rsidRPr="007166E4">
              <w:rPr>
                <w:snapToGrid w:val="0"/>
                <w:kern w:val="28"/>
                <w:vertAlign w:val="superscript"/>
              </w:rPr>
              <w:t>††</w:t>
            </w:r>
            <w:r w:rsidRPr="007166E4">
              <w:rPr>
                <w:snapToGrid w:val="0"/>
                <w:kern w:val="28"/>
              </w:rPr>
              <w:t xml:space="preserve">—except (a) </w:t>
            </w:r>
            <w:hyperlink r:id="rId12">
              <w:r w:rsidRPr="007166E4">
                <w:rPr>
                  <w:snapToGrid w:val="0"/>
                  <w:color w:val="0000FF"/>
                  <w:kern w:val="28"/>
                  <w:u w:val="single"/>
                </w:rPr>
                <w:t>UAS</w:t>
              </w:r>
            </w:hyperlink>
            <w:r w:rsidRPr="007166E4">
              <w:rPr>
                <w:snapToGrid w:val="0"/>
                <w:kern w:val="28"/>
              </w:rPr>
              <w:t xml:space="preserve"> and </w:t>
            </w:r>
            <w:hyperlink r:id="rId13">
              <w:r w:rsidRPr="007166E4">
                <w:rPr>
                  <w:snapToGrid w:val="0"/>
                  <w:color w:val="0000FF"/>
                  <w:kern w:val="28"/>
                  <w:u w:val="single"/>
                </w:rPr>
                <w:t>UAS critical components</w:t>
              </w:r>
            </w:hyperlink>
            <w:r w:rsidRPr="007166E4">
              <w:rPr>
                <w:snapToGrid w:val="0"/>
                <w:kern w:val="28"/>
              </w:rPr>
              <w:t xml:space="preserve"> included on the Defense Contract Management Agency’s (DCMA’s) Blue UAS Cleared List, until January 1, 2027,</w:t>
            </w:r>
            <w:r w:rsidRPr="007166E4">
              <w:rPr>
                <w:snapToGrid w:val="0"/>
                <w:kern w:val="28"/>
                <w:vertAlign w:val="superscript"/>
              </w:rPr>
              <w:t>#</w:t>
            </w:r>
            <w:r w:rsidRPr="007166E4">
              <w:rPr>
                <w:snapToGrid w:val="0"/>
                <w:kern w:val="28"/>
              </w:rPr>
              <w:t xml:space="preserve"> (b) UAS and UAS critical components that qualify as “domestic end products” under the Buy American Standard, </w:t>
            </w:r>
            <w:hyperlink r:id="rId14">
              <w:r w:rsidRPr="007166E4">
                <w:rPr>
                  <w:snapToGrid w:val="0"/>
                  <w:color w:val="0000FF"/>
                  <w:kern w:val="28"/>
                  <w:u w:val="single"/>
                </w:rPr>
                <w:t>48 CFR 25.101(a)</w:t>
              </w:r>
            </w:hyperlink>
            <w:r w:rsidRPr="007166E4">
              <w:rPr>
                <w:snapToGrid w:val="0"/>
                <w:kern w:val="28"/>
              </w:rPr>
              <w:t xml:space="preserve">, until January 1, 2027; and (c) </w:t>
            </w:r>
            <w:hyperlink r:id="rId5" w:anchor="conditional-approvals">
              <w:r w:rsidRPr="007166E4">
                <w:rPr>
                  <w:snapToGrid w:val="0"/>
                  <w:color w:val="0000FF"/>
                  <w:kern w:val="28"/>
                  <w:u w:val="single"/>
                </w:rPr>
                <w:t xml:space="preserve">devices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—and all communications and video surveillance equipment and services listed in Section 1709(a)(1) of the </w:t>
            </w:r>
            <w:hyperlink r:id="rId15">
              <w:r w:rsidRPr="007166E4">
                <w:rPr>
                  <w:snapToGrid w:val="0"/>
                  <w:color w:val="0000FF"/>
                  <w:kern w:val="28"/>
                  <w:u w:val="single"/>
                </w:rPr>
                <w:t>FY25 National Defense Authorization Act</w:t>
              </w:r>
            </w:hyperlink>
            <w:r w:rsidRPr="007166E4">
              <w:rPr>
                <w:snapToGrid w:val="0"/>
                <w:kern w:val="28"/>
              </w:rPr>
              <w:t> (Pub. L. 118-159).</w:t>
            </w:r>
          </w:p>
        </w:tc>
        <w:tc>
          <w:tcPr>
            <w:tcW w:w="2749" w:type="dxa"/>
          </w:tcPr>
          <w:p w:rsidR="007166E4" w:rsidRPr="007166E4" w:rsidP="007166E4" w14:paraId="2C44DB33" w14:textId="77777777">
            <w:pPr>
              <w:widowControl w:val="0"/>
              <w:jc w:val="center"/>
              <w:rPr>
                <w:snapToGrid w:val="0"/>
                <w:kern w:val="28"/>
              </w:rPr>
            </w:pPr>
            <w:r w:rsidRPr="007166E4">
              <w:rPr>
                <w:snapToGrid w:val="0"/>
                <w:kern w:val="28"/>
              </w:rPr>
              <w:br/>
            </w:r>
          </w:p>
          <w:p w:rsidR="007166E4" w:rsidRPr="007166E4" w:rsidP="007166E4" w14:paraId="6899FE61" w14:textId="77777777">
            <w:pPr>
              <w:widowControl w:val="0"/>
              <w:jc w:val="center"/>
              <w:rPr>
                <w:snapToGrid w:val="0"/>
                <w:kern w:val="28"/>
              </w:rPr>
            </w:pPr>
            <w:r w:rsidRPr="007166E4">
              <w:rPr>
                <w:snapToGrid w:val="0"/>
                <w:kern w:val="28"/>
              </w:rPr>
              <w:t>December 22, 2025</w:t>
            </w:r>
          </w:p>
          <w:p w:rsidR="007166E4" w:rsidRPr="007166E4" w:rsidP="007166E4" w14:paraId="76C0BAAF" w14:textId="77777777">
            <w:pPr>
              <w:widowControl w:val="0"/>
              <w:rPr>
                <w:snapToGrid w:val="0"/>
                <w:kern w:val="28"/>
              </w:rPr>
            </w:pPr>
          </w:p>
          <w:p w:rsidR="007166E4" w:rsidRPr="007166E4" w:rsidP="007166E4" w14:paraId="5AC6B78B" w14:textId="77777777">
            <w:pPr>
              <w:widowControl w:val="0"/>
              <w:jc w:val="center"/>
              <w:rPr>
                <w:snapToGrid w:val="0"/>
                <w:kern w:val="28"/>
              </w:rPr>
            </w:pPr>
            <w:r w:rsidRPr="007166E4">
              <w:rPr>
                <w:snapToGrid w:val="0"/>
                <w:kern w:val="28"/>
              </w:rPr>
              <w:t xml:space="preserve">Updated: January 7, 2026  </w:t>
            </w:r>
          </w:p>
          <w:p w:rsidR="007166E4" w:rsidRPr="007166E4" w:rsidP="007166E4" w14:paraId="147C45F6" w14:textId="77777777">
            <w:pPr>
              <w:widowControl w:val="0"/>
              <w:jc w:val="center"/>
              <w:rPr>
                <w:snapToGrid w:val="0"/>
                <w:kern w:val="28"/>
              </w:rPr>
            </w:pPr>
          </w:p>
          <w:p w:rsidR="007166E4" w:rsidRPr="007166E4" w:rsidP="007166E4" w14:paraId="7E94A882" w14:textId="77777777">
            <w:pPr>
              <w:widowControl w:val="0"/>
              <w:jc w:val="center"/>
              <w:rPr>
                <w:snapToGrid w:val="0"/>
                <w:kern w:val="28"/>
              </w:rPr>
            </w:pPr>
            <w:r w:rsidRPr="007166E4">
              <w:rPr>
                <w:snapToGrid w:val="0"/>
                <w:kern w:val="28"/>
              </w:rPr>
              <w:t>Updated: March 18, 2026</w:t>
            </w:r>
            <w:r w:rsidRPr="007166E4">
              <w:rPr>
                <w:snapToGrid w:val="0"/>
                <w:kern w:val="28"/>
              </w:rPr>
              <w:br/>
            </w:r>
          </w:p>
        </w:tc>
      </w:tr>
      <w:tr w14:paraId="3B79FCDA" w14:textId="77777777">
        <w:tblPrEx>
          <w:tblW w:w="10350" w:type="dxa"/>
          <w:tblInd w:w="-365" w:type="dxa"/>
          <w:tblLook w:val="04A0"/>
        </w:tblPrEx>
        <w:tc>
          <w:tcPr>
            <w:tcW w:w="7601" w:type="dxa"/>
          </w:tcPr>
          <w:p w:rsidR="007166E4" w:rsidRPr="007166E4" w:rsidP="007166E4" w14:paraId="42A6E7D0" w14:textId="77777777">
            <w:pPr>
              <w:widowControl w:val="0"/>
              <w:rPr>
                <w:snapToGrid w:val="0"/>
                <w:kern w:val="28"/>
              </w:rPr>
            </w:pPr>
            <w:r w:rsidRPr="007166E4">
              <w:rPr>
                <w:snapToGrid w:val="0"/>
                <w:kern w:val="28"/>
              </w:rPr>
              <w:t xml:space="preserve">Routers^ produced in a foreign country, </w:t>
            </w:r>
            <w:hyperlink r:id="rId5" w:anchor="conditional-approvals" w:history="1">
              <w:r w:rsidRPr="007166E4">
                <w:rPr>
                  <w:snapToGrid w:val="0"/>
                  <w:color w:val="0000FF"/>
                  <w:kern w:val="28"/>
                  <w:u w:val="single"/>
                </w:rPr>
                <w:t xml:space="preserve">except routers which have been granted a Conditional Approval by </w:t>
              </w:r>
              <w:r w:rsidRPr="007166E4">
                <w:rPr>
                  <w:snapToGrid w:val="0"/>
                  <w:color w:val="0000FF"/>
                  <w:kern w:val="28"/>
                  <w:u w:val="single"/>
                </w:rPr>
                <w:t>DoW</w:t>
              </w:r>
              <w:r w:rsidRPr="007166E4">
                <w:rPr>
                  <w:snapToGrid w:val="0"/>
                  <w:color w:val="0000FF"/>
                  <w:kern w:val="28"/>
                  <w:u w:val="single"/>
                </w:rPr>
                <w:t xml:space="preserve"> or DHS</w:t>
              </w:r>
            </w:hyperlink>
            <w:r w:rsidRPr="007166E4">
              <w:rPr>
                <w:snapToGrid w:val="0"/>
                <w:kern w:val="28"/>
              </w:rPr>
              <w:t>.</w:t>
            </w:r>
          </w:p>
        </w:tc>
        <w:tc>
          <w:tcPr>
            <w:tcW w:w="2749" w:type="dxa"/>
          </w:tcPr>
          <w:p w:rsidR="007166E4" w:rsidRPr="007166E4" w:rsidP="007166E4" w14:paraId="1817E6BD" w14:textId="77777777">
            <w:pPr>
              <w:widowControl w:val="0"/>
              <w:jc w:val="center"/>
              <w:rPr>
                <w:snapToGrid w:val="0"/>
                <w:kern w:val="28"/>
              </w:rPr>
            </w:pPr>
            <w:r w:rsidRPr="007166E4">
              <w:rPr>
                <w:snapToGrid w:val="0"/>
                <w:kern w:val="28"/>
              </w:rPr>
              <w:t>March 23, 2026</w:t>
            </w:r>
          </w:p>
          <w:p w:rsidR="007166E4" w:rsidRPr="007166E4" w:rsidP="007166E4" w14:paraId="67FBA1C5" w14:textId="77777777">
            <w:pPr>
              <w:widowControl w:val="0"/>
              <w:jc w:val="center"/>
              <w:rPr>
                <w:snapToGrid w:val="0"/>
                <w:kern w:val="28"/>
              </w:rPr>
            </w:pPr>
          </w:p>
        </w:tc>
      </w:tr>
    </w:tbl>
    <w:p w:rsidR="007166E4" w:rsidRPr="007166E4" w:rsidP="007166E4" w14:paraId="51E5FB7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EEC7D2F"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*The inclusion of producers or providers of equipment or services named on this list should be read to include the subsidiaries and affiliates of such entities.</w:t>
      </w:r>
    </w:p>
    <w:p w:rsidR="007166E4" w:rsidRPr="007166E4" w:rsidP="007166E4" w14:paraId="518B716E"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14:ligatures w14:val="none"/>
        </w:rPr>
        <w:t xml:space="preserve"> </w:t>
      </w:r>
    </w:p>
    <w:p w:rsidR="007166E4" w:rsidRPr="007166E4" w:rsidP="007166E4" w14:paraId="6D8B5E74"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Where equipment or services on the list are identified by category, such category should be construed to </w:t>
      </w:r>
      <w:r w:rsidRPr="007166E4">
        <w:rPr>
          <w:rFonts w:ascii="Times New Roman" w:eastAsia="Times New Roman" w:hAnsi="Times New Roman" w:cs="Times New Roman"/>
          <w:snapToGrid w:val="0"/>
          <w:kern w:val="28"/>
          <w:sz w:val="22"/>
          <w:szCs w:val="20"/>
          <w14:ligatures w14:val="none"/>
        </w:rPr>
        <w:t>include only equipment or services capable of the functions outlined in sections 2(b)(2)(A), (B), or (C) of the Secure and Trusted Communications Networks Act of 2019, 47 U.S.C. § 1601(b)(2)(A)-(C).</w:t>
      </w:r>
    </w:p>
    <w:p w:rsidR="007166E4" w:rsidRPr="007166E4" w:rsidP="007166E4" w14:paraId="16B36BA6"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7C357B2B"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For purposes of inclusion of UAS and UAS critical components, we incorporate the definitions included in the associated </w:t>
      </w:r>
      <w:hyperlink r:id="rId16" w:history="1">
        <w:r w:rsidRPr="007166E4">
          <w:rPr>
            <w:rFonts w:ascii="Times New Roman" w:eastAsia="Times New Roman" w:hAnsi="Times New Roman" w:cs="Times New Roman"/>
            <w:snapToGrid w:val="0"/>
            <w:color w:val="0000FF"/>
            <w:kern w:val="28"/>
            <w:sz w:val="22"/>
            <w:szCs w:val="20"/>
            <w:u w:val="single"/>
            <w14:ligatures w14:val="none"/>
          </w:rPr>
          <w:t>National Security Determination</w:t>
        </w:r>
      </w:hyperlink>
      <w:r w:rsidRPr="007166E4">
        <w:rPr>
          <w:rFonts w:ascii="Times New Roman" w:eastAsia="Times New Roman" w:hAnsi="Times New Roman" w:cs="Times New Roman"/>
          <w:snapToGrid w:val="0"/>
          <w:kern w:val="28"/>
          <w:sz w:val="22"/>
          <w:szCs w:val="20"/>
          <w14:ligatures w14:val="none"/>
        </w:rPr>
        <w:t>.</w:t>
      </w:r>
    </w:p>
    <w:p w:rsidR="007166E4" w:rsidRPr="007166E4" w:rsidP="007166E4" w14:paraId="2AC325D8"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1B8FA7D0" w14:textId="77777777">
      <w:pPr>
        <w:widowControl w:val="0"/>
        <w:spacing w:after="0" w:line="240" w:lineRule="auto"/>
        <w:rPr>
          <w:rFonts w:ascii="Times New Roman" w:eastAsia="Times New Roman" w:hAnsi="Times New Roman" w:cs="Times New Roman"/>
          <w:snapToGrid w:val="0"/>
          <w:kern w:val="28"/>
          <w:sz w:val="22"/>
          <w:szCs w:val="20"/>
          <w14:ligatures w14:val="none"/>
        </w:rPr>
      </w:pPr>
      <w:r w:rsidRPr="007166E4">
        <w:rPr>
          <w:rFonts w:ascii="Times New Roman" w:eastAsia="Times New Roman" w:hAnsi="Times New Roman" w:cs="Times New Roman"/>
          <w:snapToGrid w:val="0"/>
          <w:kern w:val="28"/>
          <w:sz w:val="22"/>
          <w:szCs w:val="20"/>
          <w:vertAlign w:val="superscript"/>
          <w14:ligatures w14:val="none"/>
        </w:rPr>
        <w:t>±</w:t>
      </w:r>
      <w:r w:rsidRPr="007166E4">
        <w:rPr>
          <w:rFonts w:ascii="Times New Roman" w:eastAsia="Times New Roman" w:hAnsi="Times New Roman" w:cs="Times New Roman"/>
          <w:snapToGrid w:val="0"/>
          <w:kern w:val="28"/>
          <w:sz w:val="22"/>
          <w:szCs w:val="20"/>
          <w14:ligatures w14:val="none"/>
        </w:rPr>
        <w:t xml:space="preserve">The scope of the Covered List is affected by the </w:t>
      </w:r>
      <w:hyperlink r:id="rId5" w:anchor="conditional-approvals" w:history="1">
        <w:r w:rsidRPr="007166E4">
          <w:rPr>
            <w:rFonts w:ascii="Times New Roman" w:eastAsia="Times New Roman" w:hAnsi="Times New Roman" w:cs="Times New Roman"/>
            <w:snapToGrid w:val="0"/>
            <w:color w:val="0000FF"/>
            <w:kern w:val="28"/>
            <w:sz w:val="22"/>
            <w:szCs w:val="20"/>
            <w:u w:val="single"/>
            <w14:ligatures w14:val="none"/>
          </w:rPr>
          <w:t>Conditional Approvals</w:t>
        </w:r>
      </w:hyperlink>
      <w:r w:rsidRPr="007166E4">
        <w:rPr>
          <w:rFonts w:ascii="Times New Roman" w:eastAsia="Times New Roman" w:hAnsi="Times New Roman" w:cs="Times New Roman"/>
          <w:snapToGrid w:val="0"/>
          <w:kern w:val="28"/>
          <w:sz w:val="22"/>
          <w:szCs w:val="20"/>
          <w14:ligatures w14:val="none"/>
        </w:rPr>
        <w:t xml:space="preserve"> that we have received.</w:t>
      </w:r>
    </w:p>
    <w:p w:rsidR="007166E4" w:rsidRPr="007166E4" w:rsidP="007166E4" w14:paraId="71258FF4"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7166E4" w:rsidRPr="007166E4" w:rsidP="007166E4" w14:paraId="49108916"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vertAlign w:val="superscript"/>
          <w14:ligatures w14:val="none"/>
        </w:rPr>
        <w:t>#</w:t>
      </w:r>
      <w:r w:rsidRPr="007166E4">
        <w:rPr>
          <w:rFonts w:ascii="Times New Roman" w:eastAsia="Times New Roman" w:hAnsi="Times New Roman" w:cs="Times New Roman"/>
          <w:snapToGrid w:val="0"/>
          <w:kern w:val="28"/>
          <w:sz w:val="22"/>
          <w:szCs w:val="22"/>
          <w14:ligatures w14:val="none"/>
        </w:rPr>
        <w:t xml:space="preserve">The “Blue UAS list” referred to in the </w:t>
      </w:r>
      <w:hyperlink r:id="rId17"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 xml:space="preserve"> is the combination of the “Blue UAS Cleared List” at </w:t>
      </w:r>
      <w:hyperlink r:id="rId12"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https://bluelist.appsplatformportals.us/Cleared-List/</w:t>
        </w:r>
      </w:hyperlink>
      <w:r w:rsidRPr="007166E4">
        <w:rPr>
          <w:rFonts w:ascii="Times New Roman" w:eastAsia="Times New Roman" w:hAnsi="Times New Roman" w:cs="Times New Roman"/>
          <w:snapToGrid w:val="0"/>
          <w:kern w:val="28"/>
          <w:sz w:val="22"/>
          <w:szCs w:val="22"/>
          <w14:ligatures w14:val="none"/>
        </w:rPr>
        <w:t xml:space="preserve"> and the list of compliant UAS components and software at </w:t>
      </w:r>
      <w:hyperlink r:id="rId13" w:history="1">
        <w:r w:rsidRPr="007166E4">
          <w:rPr>
            <w:rFonts w:ascii="Times New Roman" w:eastAsia="Times New Roman" w:hAnsi="Times New Roman" w:cs="Times New Roman"/>
            <w:snapToGrid w:val="0"/>
            <w:color w:val="0000FF"/>
            <w:kern w:val="28"/>
            <w:sz w:val="22"/>
            <w:szCs w:val="22"/>
            <w:u w:val="single"/>
            <w14:ligatures w14:val="none"/>
          </w:rPr>
          <w:t>https://bluelist.appsplatformportals.us/Framework/</w:t>
        </w:r>
      </w:hyperlink>
      <w:r w:rsidRPr="007166E4">
        <w:rPr>
          <w:rFonts w:ascii="Times New Roman" w:eastAsia="Times New Roman" w:hAnsi="Times New Roman" w:cs="Times New Roman"/>
          <w:snapToGrid w:val="0"/>
          <w:kern w:val="28"/>
          <w:sz w:val="22"/>
          <w:szCs w:val="22"/>
          <w14:ligatures w14:val="none"/>
        </w:rPr>
        <w:t>. We use the term “Blue UAS Cleared List” to refer to both lists.</w:t>
      </w:r>
    </w:p>
    <w:p w:rsidR="007166E4" w:rsidRPr="007166E4" w:rsidP="007166E4" w14:paraId="1A67FE2A"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p>
    <w:p w:rsidR="007166E4" w:rsidRPr="007166E4" w:rsidP="007166E4" w14:paraId="228E5DB0" w14:textId="77777777">
      <w:pPr>
        <w:widowControl w:val="0"/>
        <w:spacing w:after="120" w:line="240" w:lineRule="auto"/>
        <w:contextualSpacing/>
        <w:rPr>
          <w:rFonts w:ascii="Times New Roman" w:eastAsia="Times New Roman" w:hAnsi="Times New Roman" w:cs="Times New Roman"/>
          <w:snapToGrid w:val="0"/>
          <w:kern w:val="28"/>
          <w:sz w:val="22"/>
          <w:szCs w:val="22"/>
          <w14:ligatures w14:val="none"/>
        </w:rPr>
      </w:pPr>
      <w:r w:rsidRPr="007166E4">
        <w:rPr>
          <w:rFonts w:ascii="Times New Roman" w:eastAsia="Times New Roman" w:hAnsi="Times New Roman" w:cs="Times New Roman"/>
          <w:snapToGrid w:val="0"/>
          <w:kern w:val="28"/>
          <w:sz w:val="22"/>
          <w:szCs w:val="22"/>
          <w14:ligatures w14:val="none"/>
        </w:rPr>
        <w:t xml:space="preserve">^For purposes of inclusion of routers, we incorporate the definitions included in the associated </w:t>
      </w:r>
      <w:hyperlink r:id="rId18" w:history="1">
        <w:r w:rsidRPr="007166E4">
          <w:rPr>
            <w:rFonts w:ascii="Times New Roman" w:eastAsia="Times New Roman" w:hAnsi="Times New Roman" w:cs="Times New Roman"/>
            <w:snapToGrid w:val="0"/>
            <w:color w:val="0000FF"/>
            <w:kern w:val="28"/>
            <w:sz w:val="22"/>
            <w:szCs w:val="22"/>
            <w:u w:val="single"/>
            <w14:ligatures w14:val="none"/>
          </w:rPr>
          <w:t>National Security Determination</w:t>
        </w:r>
      </w:hyperlink>
      <w:r w:rsidRPr="007166E4">
        <w:rPr>
          <w:rFonts w:ascii="Times New Roman" w:eastAsia="Times New Roman" w:hAnsi="Times New Roman" w:cs="Times New Roman"/>
          <w:snapToGrid w:val="0"/>
          <w:kern w:val="28"/>
          <w:sz w:val="22"/>
          <w:szCs w:val="22"/>
          <w14:ligatures w14:val="none"/>
        </w:rPr>
        <w:t>.</w:t>
      </w:r>
    </w:p>
    <w:p w:rsidR="007166E4" w:rsidRPr="007166E4" w:rsidP="007166E4" w14:paraId="4AACE6E7" w14:textId="77777777">
      <w:pPr>
        <w:widowControl w:val="0"/>
        <w:spacing w:after="120" w:line="240" w:lineRule="auto"/>
        <w:rPr>
          <w:rFonts w:ascii="Times New Roman" w:eastAsia="Times New Roman" w:hAnsi="Times New Roman" w:cs="Times New Roman"/>
          <w:snapToGrid w:val="0"/>
          <w:kern w:val="28"/>
          <w:sz w:val="22"/>
          <w:szCs w:val="20"/>
          <w14:ligatures w14:val="none"/>
        </w:rPr>
        <w:sectPr w:rsidSect="007166E4">
          <w:footerReference w:type="first" r:id="rId19"/>
          <w:endnotePr>
            <w:numFmt w:val="decimal"/>
          </w:endnotePr>
          <w:pgSz w:w="12240" w:h="15840"/>
          <w:pgMar w:top="1440" w:right="1440" w:bottom="720" w:left="1440" w:header="630" w:footer="720" w:gutter="0"/>
          <w:pgNumType w:start="1"/>
          <w:cols w:space="720"/>
          <w:noEndnote/>
          <w:docGrid w:linePitch="299"/>
        </w:sectPr>
      </w:pPr>
    </w:p>
    <w:p w:rsidR="007166E4" w:rsidRPr="007166E4" w:rsidP="007166E4" w14:paraId="66230E12" w14:textId="77777777">
      <w:pPr>
        <w:widowControl w:val="0"/>
        <w:spacing w:after="120" w:line="240" w:lineRule="auto"/>
        <w:jc w:val="center"/>
        <w:rPr>
          <w:rFonts w:ascii="Times New Roman" w:eastAsia="Times New Roman" w:hAnsi="Times New Roman" w:cs="Times New Roman"/>
          <w:b/>
          <w:bCs/>
          <w:snapToGrid w:val="0"/>
          <w:kern w:val="28"/>
          <w:sz w:val="22"/>
          <w:szCs w:val="20"/>
          <w14:ligatures w14:val="none"/>
        </w:rPr>
      </w:pPr>
      <w:r w:rsidRPr="007166E4">
        <w:rPr>
          <w:rFonts w:ascii="Times New Roman" w:eastAsia="Times New Roman" w:hAnsi="Times New Roman" w:cs="Times New Roman"/>
          <w:b/>
          <w:bCs/>
          <w:snapToGrid w:val="0"/>
          <w:kern w:val="28"/>
          <w:sz w:val="22"/>
          <w:szCs w:val="20"/>
          <w14:ligatures w14:val="none"/>
        </w:rPr>
        <w:t>APPENDIX B</w:t>
      </w:r>
    </w:p>
    <w:p w:rsidR="007166E4" w:rsidRPr="007166E4" w:rsidP="007166E4" w14:paraId="69DFC6CA" w14:textId="77777777">
      <w:pPr>
        <w:widowControl w:val="0"/>
        <w:spacing w:after="0" w:line="240" w:lineRule="auto"/>
        <w:jc w:val="center"/>
        <w:rPr>
          <w:rFonts w:ascii="Times New Roman" w:eastAsia="Times New Roman" w:hAnsi="Times New Roman" w:cs="Times New Roman"/>
          <w:b/>
          <w:snapToGrid w:val="0"/>
          <w:kern w:val="28"/>
          <w14:ligatures w14:val="none"/>
        </w:rPr>
      </w:pPr>
      <w:r w:rsidRPr="007166E4">
        <w:rPr>
          <w:rFonts w:ascii="Times New Roman" w:eastAsia="Times New Roman" w:hAnsi="Times New Roman" w:cs="Times New Roman"/>
          <w:b/>
          <w:snapToGrid w:val="0"/>
          <w:kern w:val="28"/>
          <w14:ligatures w14:val="none"/>
        </w:rPr>
        <w:t>Conditional Approvals</w:t>
      </w:r>
    </w:p>
    <w:p w:rsidR="007166E4" w:rsidRPr="007166E4" w:rsidP="007166E4" w14:paraId="48DA360F" w14:textId="61ACBC56">
      <w:pPr>
        <w:widowControl w:val="0"/>
        <w:spacing w:after="0" w:line="240" w:lineRule="auto"/>
        <w:jc w:val="center"/>
        <w:rPr>
          <w:rFonts w:ascii="Times New Roman" w:eastAsia="Times New Roman" w:hAnsi="Times New Roman" w:cs="Times New Roman"/>
          <w:i/>
          <w:snapToGrid w:val="0"/>
          <w:kern w:val="28"/>
          <w14:ligatures w14:val="none"/>
        </w:rPr>
      </w:pPr>
      <w:r w:rsidRPr="007166E4">
        <w:rPr>
          <w:rFonts w:ascii="Times New Roman" w:eastAsia="Times New Roman" w:hAnsi="Times New Roman" w:cs="Times New Roman"/>
          <w:i/>
          <w:snapToGrid w:val="0"/>
          <w:kern w:val="28"/>
          <w14:ligatures w14:val="none"/>
        </w:rPr>
        <w:t xml:space="preserve">Updated April </w:t>
      </w:r>
      <w:r w:rsidR="007F6876">
        <w:rPr>
          <w:rFonts w:ascii="Times New Roman" w:eastAsia="Times New Roman" w:hAnsi="Times New Roman" w:cs="Times New Roman"/>
          <w:i/>
          <w:snapToGrid w:val="0"/>
          <w:kern w:val="28"/>
          <w14:ligatures w14:val="none"/>
        </w:rPr>
        <w:t>22</w:t>
      </w:r>
      <w:r w:rsidRPr="007166E4">
        <w:rPr>
          <w:rFonts w:ascii="Times New Roman" w:eastAsia="Times New Roman" w:hAnsi="Times New Roman" w:cs="Times New Roman"/>
          <w:i/>
          <w:snapToGrid w:val="0"/>
          <w:kern w:val="28"/>
          <w14:ligatures w14:val="none"/>
        </w:rPr>
        <w:t>, 2026</w:t>
      </w:r>
    </w:p>
    <w:p w:rsidR="007166E4" w:rsidRPr="007166E4" w:rsidP="007166E4" w14:paraId="7658AEE5" w14:textId="77777777">
      <w:pPr>
        <w:widowControl w:val="0"/>
        <w:spacing w:after="0" w:line="240" w:lineRule="auto"/>
        <w:rPr>
          <w:rFonts w:ascii="Times New Roman" w:eastAsia="Times New Roman" w:hAnsi="Times New Roman" w:cs="Times New Roman"/>
          <w:bCs/>
          <w:i/>
          <w:iCs/>
          <w:snapToGrid w:val="0"/>
          <w:kern w:val="28"/>
          <w14:ligatures w14:val="none"/>
        </w:rPr>
      </w:pPr>
    </w:p>
    <w:tbl>
      <w:tblPr>
        <w:tblStyle w:val="TableGrid"/>
        <w:tblW w:w="9625" w:type="dxa"/>
        <w:tblLook w:val="04A0"/>
      </w:tblPr>
      <w:tblGrid>
        <w:gridCol w:w="2515"/>
        <w:gridCol w:w="2395"/>
        <w:gridCol w:w="2285"/>
        <w:gridCol w:w="2430"/>
      </w:tblGrid>
      <w:tr w14:paraId="32BB70EB" w14:textId="77777777" w:rsidTr="00E65D12">
        <w:tblPrEx>
          <w:tblW w:w="9625" w:type="dxa"/>
          <w:tblLook w:val="04A0"/>
        </w:tblPrEx>
        <w:tc>
          <w:tcPr>
            <w:tcW w:w="2515" w:type="dxa"/>
            <w:tcBorders>
              <w:bottom w:val="single" w:sz="4" w:space="0" w:color="auto"/>
            </w:tcBorders>
          </w:tcPr>
          <w:p w:rsidR="007166E4" w:rsidRPr="007166E4" w:rsidP="007166E4" w14:paraId="433A720A" w14:textId="77777777">
            <w:pPr>
              <w:widowControl w:val="0"/>
              <w:jc w:val="center"/>
              <w:rPr>
                <w:b/>
                <w:bCs/>
                <w:snapToGrid w:val="0"/>
                <w:kern w:val="28"/>
              </w:rPr>
            </w:pPr>
            <w:r w:rsidRPr="007166E4">
              <w:rPr>
                <w:b/>
                <w:bCs/>
                <w:snapToGrid w:val="0"/>
                <w:kern w:val="28"/>
              </w:rPr>
              <w:t>UAS Conditional Approvals</w:t>
            </w:r>
          </w:p>
          <w:p w:rsidR="007166E4" w:rsidRPr="007166E4" w:rsidP="007166E4" w14:paraId="3435C45F" w14:textId="77777777">
            <w:pPr>
              <w:widowControl w:val="0"/>
              <w:jc w:val="center"/>
              <w:rPr>
                <w:snapToGrid w:val="0"/>
                <w:kern w:val="28"/>
              </w:rPr>
            </w:pPr>
          </w:p>
        </w:tc>
        <w:tc>
          <w:tcPr>
            <w:tcW w:w="2395" w:type="dxa"/>
            <w:tcBorders>
              <w:right w:val="single" w:sz="24" w:space="0" w:color="auto"/>
            </w:tcBorders>
          </w:tcPr>
          <w:p w:rsidR="007166E4" w:rsidRPr="007166E4" w:rsidP="007166E4" w14:paraId="0DBB4915"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64EF5290" w14:textId="77777777">
            <w:pPr>
              <w:widowControl w:val="0"/>
              <w:jc w:val="center"/>
              <w:rPr>
                <w:snapToGrid w:val="0"/>
                <w:kern w:val="28"/>
              </w:rPr>
            </w:pPr>
          </w:p>
        </w:tc>
        <w:tc>
          <w:tcPr>
            <w:tcW w:w="2285" w:type="dxa"/>
            <w:tcBorders>
              <w:left w:val="single" w:sz="24" w:space="0" w:color="auto"/>
            </w:tcBorders>
          </w:tcPr>
          <w:p w:rsidR="007166E4" w:rsidRPr="007166E4" w:rsidP="007166E4" w14:paraId="4C3F5765" w14:textId="77777777">
            <w:pPr>
              <w:widowControl w:val="0"/>
              <w:jc w:val="center"/>
              <w:rPr>
                <w:b/>
                <w:bCs/>
                <w:snapToGrid w:val="0"/>
                <w:kern w:val="28"/>
              </w:rPr>
            </w:pPr>
            <w:r w:rsidRPr="007166E4">
              <w:rPr>
                <w:b/>
                <w:bCs/>
                <w:snapToGrid w:val="0"/>
                <w:kern w:val="28"/>
              </w:rPr>
              <w:t>Routers Conditional Approvals</w:t>
            </w:r>
          </w:p>
        </w:tc>
        <w:tc>
          <w:tcPr>
            <w:tcW w:w="2430" w:type="dxa"/>
          </w:tcPr>
          <w:p w:rsidR="007166E4" w:rsidRPr="007166E4" w:rsidP="007166E4" w14:paraId="3508ABE9" w14:textId="77777777">
            <w:pPr>
              <w:widowControl w:val="0"/>
              <w:jc w:val="center"/>
              <w:rPr>
                <w:b/>
                <w:bCs/>
                <w:snapToGrid w:val="0"/>
                <w:kern w:val="28"/>
              </w:rPr>
            </w:pPr>
            <w:r w:rsidRPr="007166E4">
              <w:rPr>
                <w:b/>
                <w:bCs/>
                <w:snapToGrid w:val="0"/>
                <w:kern w:val="28"/>
              </w:rPr>
              <w:t>Date of Conditional Approval</w:t>
            </w:r>
          </w:p>
          <w:p w:rsidR="007166E4" w:rsidRPr="007166E4" w:rsidP="007166E4" w14:paraId="28B7EAE7" w14:textId="77777777">
            <w:pPr>
              <w:widowControl w:val="0"/>
              <w:rPr>
                <w:snapToGrid w:val="0"/>
                <w:kern w:val="28"/>
              </w:rPr>
            </w:pPr>
          </w:p>
        </w:tc>
      </w:tr>
      <w:tr w14:paraId="1148F9F8" w14:textId="77777777" w:rsidTr="00E65D12">
        <w:tblPrEx>
          <w:tblW w:w="9625" w:type="dxa"/>
          <w:tblLook w:val="04A0"/>
        </w:tblPrEx>
        <w:trPr>
          <w:trHeight w:val="1429"/>
        </w:trPr>
        <w:tc>
          <w:tcPr>
            <w:tcW w:w="2515" w:type="dxa"/>
          </w:tcPr>
          <w:p w:rsidR="007166E4" w:rsidRPr="007166E4" w:rsidP="007166E4" w14:paraId="5BE7A868" w14:textId="77777777">
            <w:pPr>
              <w:widowControl w:val="0"/>
              <w:rPr>
                <w:snapToGrid w:val="0"/>
                <w:kern w:val="28"/>
              </w:rPr>
            </w:pPr>
            <w:r w:rsidRPr="007166E4">
              <w:rPr>
                <w:snapToGrid w:val="0"/>
                <w:kern w:val="28"/>
              </w:rPr>
              <w:t>SiFly</w:t>
            </w:r>
            <w:r w:rsidRPr="007166E4">
              <w:rPr>
                <w:snapToGrid w:val="0"/>
                <w:kern w:val="28"/>
              </w:rPr>
              <w:t xml:space="preserve"> Aviation, Inc. Q12 Uncrewed Aircraft System </w:t>
            </w:r>
          </w:p>
          <w:p w:rsidR="007166E4" w:rsidRPr="007166E4" w:rsidP="007166E4" w14:paraId="61349118" w14:textId="77777777">
            <w:pPr>
              <w:widowControl w:val="0"/>
              <w:rPr>
                <w:snapToGrid w:val="0"/>
                <w:kern w:val="28"/>
              </w:rPr>
            </w:pPr>
          </w:p>
        </w:tc>
        <w:tc>
          <w:tcPr>
            <w:tcW w:w="2395" w:type="dxa"/>
            <w:tcBorders>
              <w:right w:val="single" w:sz="24" w:space="0" w:color="auto"/>
            </w:tcBorders>
          </w:tcPr>
          <w:p w:rsidR="007166E4" w:rsidRPr="007166E4" w:rsidP="007166E4" w14:paraId="38AF3477"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347C7E8A" w14:textId="77777777">
            <w:pPr>
              <w:widowControl w:val="0"/>
              <w:spacing w:after="120"/>
              <w:rPr>
                <w:snapToGrid w:val="0"/>
                <w:kern w:val="28"/>
              </w:rPr>
            </w:pPr>
            <w:r w:rsidRPr="007166E4">
              <w:rPr>
                <w:snapToGrid w:val="0"/>
                <w:kern w:val="28"/>
                <w:szCs w:val="22"/>
              </w:rPr>
              <w:t>Netgear</w:t>
            </w:r>
            <w:r w:rsidRPr="007166E4">
              <w:rPr>
                <w:snapToGrid w:val="0"/>
                <w:kern w:val="28"/>
                <w:szCs w:val="22"/>
              </w:rPr>
              <w:t>, Inc.’s Nighthawk consumer mesh, mobile and standalone routers (R, RAX, RAXE, RS, MK, MR, M and MH series), Orbi consumer mesh, mobile and standalone routers (RBK, RBE, RBR, RBRE, LBR, LBK and CBK series), cable gateways (CAX series) and cable modems (CM series)</w:t>
            </w:r>
            <w:r w:rsidRPr="007166E4">
              <w:rPr>
                <w:snapToGrid w:val="0"/>
                <w:kern w:val="28"/>
                <w:szCs w:val="22"/>
              </w:rPr>
              <w:t xml:space="preserve"> </w:t>
            </w:r>
          </w:p>
        </w:tc>
        <w:tc>
          <w:tcPr>
            <w:tcW w:w="2430" w:type="dxa"/>
          </w:tcPr>
          <w:p w:rsidR="007166E4" w:rsidRPr="007166E4" w:rsidP="007166E4" w14:paraId="270F4EA6" w14:textId="77777777">
            <w:pPr>
              <w:widowControl w:val="0"/>
              <w:jc w:val="center"/>
              <w:rPr>
                <w:snapToGrid w:val="0"/>
                <w:kern w:val="28"/>
              </w:rPr>
            </w:pPr>
            <w:r w:rsidRPr="007166E4">
              <w:rPr>
                <w:snapToGrid w:val="0"/>
                <w:kern w:val="28"/>
              </w:rPr>
              <w:t>April 14, 2026-October 1, 2027</w:t>
            </w:r>
          </w:p>
        </w:tc>
      </w:tr>
      <w:tr w14:paraId="48515E03" w14:textId="77777777" w:rsidTr="00E65D12">
        <w:tblPrEx>
          <w:tblW w:w="9625" w:type="dxa"/>
          <w:tblLook w:val="04A0"/>
        </w:tblPrEx>
        <w:tc>
          <w:tcPr>
            <w:tcW w:w="2515" w:type="dxa"/>
          </w:tcPr>
          <w:p w:rsidR="007166E4" w:rsidRPr="007166E4" w:rsidP="007166E4" w14:paraId="37AA5365" w14:textId="77777777">
            <w:pPr>
              <w:widowControl w:val="0"/>
              <w:rPr>
                <w:snapToGrid w:val="0"/>
                <w:kern w:val="28"/>
              </w:rPr>
            </w:pPr>
            <w:r w:rsidRPr="007166E4">
              <w:rPr>
                <w:snapToGrid w:val="0"/>
                <w:kern w:val="28"/>
              </w:rPr>
              <w:t>Mobilicom</w:t>
            </w:r>
            <w:r w:rsidRPr="007166E4">
              <w:rPr>
                <w:snapToGrid w:val="0"/>
                <w:kern w:val="28"/>
              </w:rPr>
              <w:t xml:space="preserve"> </w:t>
            </w:r>
            <w:r w:rsidRPr="007166E4">
              <w:rPr>
                <w:snapToGrid w:val="0"/>
                <w:kern w:val="28"/>
              </w:rPr>
              <w:t>SkyHopper</w:t>
            </w:r>
            <w:r w:rsidRPr="007166E4">
              <w:rPr>
                <w:snapToGrid w:val="0"/>
                <w:kern w:val="28"/>
              </w:rPr>
              <w:t xml:space="preserve"> Series / M Band / Tactical Data Link, Various Controllers, and ICE, OS3 Security Software </w:t>
            </w:r>
          </w:p>
          <w:p w:rsidR="007166E4" w:rsidRPr="007166E4" w:rsidP="007166E4" w14:paraId="1C4E1B4A" w14:textId="77777777">
            <w:pPr>
              <w:widowControl w:val="0"/>
              <w:rPr>
                <w:snapToGrid w:val="0"/>
                <w:kern w:val="28"/>
              </w:rPr>
            </w:pPr>
          </w:p>
        </w:tc>
        <w:tc>
          <w:tcPr>
            <w:tcW w:w="2395" w:type="dxa"/>
            <w:tcBorders>
              <w:bottom w:val="single" w:sz="6" w:space="0" w:color="auto"/>
              <w:right w:val="single" w:sz="24" w:space="0" w:color="auto"/>
            </w:tcBorders>
          </w:tcPr>
          <w:p w:rsidR="007166E4" w:rsidRPr="007166E4" w:rsidP="007166E4" w14:paraId="7B79B84D" w14:textId="77777777">
            <w:pPr>
              <w:widowControl w:val="0"/>
              <w:jc w:val="center"/>
              <w:rPr>
                <w:snapToGrid w:val="0"/>
                <w:kern w:val="28"/>
              </w:rPr>
            </w:pPr>
            <w:r w:rsidRPr="007166E4">
              <w:rPr>
                <w:snapToGrid w:val="0"/>
                <w:kern w:val="28"/>
              </w:rPr>
              <w:t>March 17, 2026-December 31, 2026</w:t>
            </w:r>
          </w:p>
        </w:tc>
        <w:tc>
          <w:tcPr>
            <w:tcW w:w="2285" w:type="dxa"/>
            <w:tcBorders>
              <w:left w:val="single" w:sz="24" w:space="0" w:color="auto"/>
            </w:tcBorders>
          </w:tcPr>
          <w:p w:rsidR="007166E4" w:rsidRPr="007166E4" w:rsidP="007166E4" w14:paraId="07A05AB0" w14:textId="77777777">
            <w:pPr>
              <w:widowControl w:val="0"/>
              <w:rPr>
                <w:snapToGrid w:val="0"/>
                <w:kern w:val="28"/>
              </w:rPr>
            </w:pPr>
            <w:r w:rsidRPr="007166E4">
              <w:rPr>
                <w:snapToGrid w:val="0"/>
                <w:kern w:val="28"/>
              </w:rPr>
              <w:t>Adtran</w:t>
            </w:r>
            <w:r w:rsidRPr="007166E4">
              <w:rPr>
                <w:snapToGrid w:val="0"/>
                <w:kern w:val="28"/>
              </w:rPr>
              <w:t xml:space="preserve"> Inc.’s Service Delivery Gateway (SDG) class routers</w:t>
            </w:r>
          </w:p>
        </w:tc>
        <w:tc>
          <w:tcPr>
            <w:tcW w:w="2430" w:type="dxa"/>
            <w:tcBorders>
              <w:bottom w:val="single" w:sz="6" w:space="0" w:color="auto"/>
            </w:tcBorders>
          </w:tcPr>
          <w:p w:rsidR="007166E4" w:rsidRPr="007166E4" w:rsidP="007166E4" w14:paraId="2DC3B707" w14:textId="77777777">
            <w:pPr>
              <w:widowControl w:val="0"/>
              <w:jc w:val="center"/>
              <w:rPr>
                <w:snapToGrid w:val="0"/>
                <w:kern w:val="28"/>
              </w:rPr>
            </w:pPr>
            <w:r w:rsidRPr="007166E4">
              <w:rPr>
                <w:snapToGrid w:val="0"/>
                <w:kern w:val="28"/>
              </w:rPr>
              <w:t>April 14, 2026-October 1, 2027</w:t>
            </w:r>
          </w:p>
        </w:tc>
      </w:tr>
      <w:tr w14:paraId="4BED621A" w14:textId="77777777" w:rsidTr="00E65D12">
        <w:tblPrEx>
          <w:tblW w:w="9625" w:type="dxa"/>
          <w:tblLook w:val="04A0"/>
        </w:tblPrEx>
        <w:tc>
          <w:tcPr>
            <w:tcW w:w="2515" w:type="dxa"/>
            <w:tcBorders>
              <w:right w:val="single" w:sz="6" w:space="0" w:color="auto"/>
            </w:tcBorders>
          </w:tcPr>
          <w:p w:rsidR="00B26B77" w:rsidRPr="007166E4" w:rsidP="007166E4" w14:paraId="74906417" w14:textId="77777777">
            <w:pPr>
              <w:widowControl w:val="0"/>
              <w:rPr>
                <w:snapToGrid w:val="0"/>
                <w:kern w:val="28"/>
              </w:rPr>
            </w:pPr>
            <w:r w:rsidRPr="007166E4">
              <w:rPr>
                <w:snapToGrid w:val="0"/>
                <w:kern w:val="28"/>
              </w:rPr>
              <w:t>ScoutDI</w:t>
            </w:r>
            <w:r w:rsidRPr="007166E4">
              <w:rPr>
                <w:snapToGrid w:val="0"/>
                <w:kern w:val="28"/>
              </w:rPr>
              <w:t xml:space="preserve"> Scout 137 Uncrewed Aircraft System </w:t>
            </w:r>
          </w:p>
          <w:p w:rsidR="00B26B77" w:rsidRPr="007166E4" w:rsidP="007166E4" w14:paraId="625CBFBD" w14:textId="77777777">
            <w:pPr>
              <w:widowControl w:val="0"/>
              <w:rPr>
                <w:snapToGrid w:val="0"/>
                <w:kern w:val="28"/>
              </w:rPr>
            </w:pPr>
          </w:p>
        </w:tc>
        <w:tc>
          <w:tcPr>
            <w:tcW w:w="2395" w:type="dxa"/>
            <w:tcBorders>
              <w:top w:val="single" w:sz="6" w:space="0" w:color="auto"/>
              <w:left w:val="single" w:sz="6" w:space="0" w:color="auto"/>
              <w:bottom w:val="single" w:sz="6" w:space="0" w:color="auto"/>
              <w:right w:val="single" w:sz="24" w:space="0" w:color="auto"/>
            </w:tcBorders>
          </w:tcPr>
          <w:p w:rsidR="00B26B77" w:rsidRPr="007166E4" w:rsidP="007166E4" w14:paraId="41C34AAA" w14:textId="26194FB8">
            <w:pPr>
              <w:widowControl w:val="0"/>
              <w:jc w:val="center"/>
              <w:rPr>
                <w:snapToGrid w:val="0"/>
                <w:kern w:val="28"/>
              </w:rPr>
            </w:pPr>
            <w:r w:rsidRPr="007166E4">
              <w:rPr>
                <w:snapToGrid w:val="0"/>
                <w:kern w:val="28"/>
              </w:rPr>
              <w:t>March 17, 2026-December 31, 2026</w:t>
            </w:r>
          </w:p>
        </w:tc>
        <w:tc>
          <w:tcPr>
            <w:tcW w:w="2285" w:type="dxa"/>
            <w:tcBorders>
              <w:left w:val="single" w:sz="24" w:space="0" w:color="auto"/>
              <w:right w:val="single" w:sz="6" w:space="0" w:color="auto"/>
            </w:tcBorders>
          </w:tcPr>
          <w:p w:rsidR="00B26B77" w:rsidRPr="007F6876" w:rsidP="00EA582C" w14:paraId="12C45671" w14:textId="2E20C064">
            <w:pPr>
              <w:widowControl w:val="0"/>
              <w:rPr>
                <w:snapToGrid w:val="0"/>
                <w:kern w:val="28"/>
              </w:rPr>
            </w:pPr>
            <w:r w:rsidRPr="007F6876">
              <w:rPr>
                <w:snapToGrid w:val="0"/>
                <w:kern w:val="28"/>
              </w:rPr>
              <w:t>eero</w:t>
            </w:r>
            <w:r w:rsidRPr="007F6876">
              <w:rPr>
                <w:snapToGrid w:val="0"/>
                <w:kern w:val="28"/>
              </w:rPr>
              <w:t xml:space="preserve"> LLC’s </w:t>
            </w:r>
            <w:r w:rsidRPr="007F6876">
              <w:rPr>
                <w:snapToGrid w:val="0"/>
                <w:kern w:val="28"/>
              </w:rPr>
              <w:t>e</w:t>
            </w:r>
            <w:r w:rsidRPr="007F6876" w:rsidR="00EA582C">
              <w:rPr>
                <w:snapToGrid w:val="0"/>
                <w:kern w:val="28"/>
              </w:rPr>
              <w:t>ero</w:t>
            </w:r>
            <w:r w:rsidRPr="007F6876" w:rsidR="00EA582C">
              <w:rPr>
                <w:snapToGrid w:val="0"/>
                <w:kern w:val="28"/>
              </w:rPr>
              <w:t xml:space="preserve">, </w:t>
            </w:r>
            <w:r w:rsidRPr="007F6876" w:rsidR="00EA582C">
              <w:rPr>
                <w:snapToGrid w:val="0"/>
                <w:kern w:val="28"/>
              </w:rPr>
              <w:t>eero</w:t>
            </w:r>
            <w:r w:rsidRPr="007F6876" w:rsidR="00EA582C">
              <w:rPr>
                <w:snapToGrid w:val="0"/>
                <w:kern w:val="28"/>
              </w:rPr>
              <w:t xml:space="preserve"> Pro, </w:t>
            </w:r>
            <w:r w:rsidRPr="007F6876" w:rsidR="00EA582C">
              <w:rPr>
                <w:snapToGrid w:val="0"/>
                <w:kern w:val="28"/>
              </w:rPr>
              <w:t>eero</w:t>
            </w:r>
            <w:r w:rsidRPr="007F6876" w:rsidR="00EA582C">
              <w:rPr>
                <w:snapToGrid w:val="0"/>
                <w:kern w:val="28"/>
              </w:rPr>
              <w:t xml:space="preserve"> Max, </w:t>
            </w:r>
            <w:r w:rsidRPr="007F6876" w:rsidR="00EA582C">
              <w:rPr>
                <w:snapToGrid w:val="0"/>
                <w:kern w:val="28"/>
              </w:rPr>
              <w:t>eero</w:t>
            </w:r>
            <w:r w:rsidRPr="007F6876" w:rsidR="00EA582C">
              <w:rPr>
                <w:snapToGrid w:val="0"/>
                <w:kern w:val="28"/>
              </w:rPr>
              <w:t xml:space="preserve"> PoE, </w:t>
            </w:r>
            <w:r w:rsidRPr="007F6876" w:rsidR="00EA582C">
              <w:rPr>
                <w:snapToGrid w:val="0"/>
                <w:kern w:val="28"/>
              </w:rPr>
              <w:t>eero</w:t>
            </w:r>
            <w:r w:rsidRPr="007F6876" w:rsidR="00EA582C">
              <w:rPr>
                <w:snapToGrid w:val="0"/>
                <w:kern w:val="28"/>
              </w:rPr>
              <w:t xml:space="preserve"> Outdoor, </w:t>
            </w:r>
            <w:r w:rsidRPr="007F6876" w:rsidR="00EA582C">
              <w:rPr>
                <w:snapToGrid w:val="0"/>
                <w:kern w:val="28"/>
              </w:rPr>
              <w:t>eero</w:t>
            </w:r>
            <w:r w:rsidRPr="007F6876" w:rsidR="00EA582C">
              <w:rPr>
                <w:snapToGrid w:val="0"/>
                <w:kern w:val="28"/>
              </w:rPr>
              <w:t xml:space="preserve"> Signal</w:t>
            </w:r>
            <w:r w:rsidR="00A45FA7">
              <w:rPr>
                <w:snapToGrid w:val="0"/>
                <w:kern w:val="28"/>
              </w:rPr>
              <w:t xml:space="preserve">, and </w:t>
            </w:r>
            <w:r w:rsidRPr="007F6876" w:rsidR="00A45FA7">
              <w:rPr>
                <w:snapToGrid w:val="0"/>
                <w:kern w:val="28"/>
              </w:rPr>
              <w:t>Amazon Leo</w:t>
            </w:r>
            <w:r w:rsidRPr="007F6876" w:rsidR="00746DFE">
              <w:rPr>
                <w:snapToGrid w:val="0"/>
                <w:kern w:val="28"/>
              </w:rPr>
              <w:t xml:space="preserve"> </w:t>
            </w:r>
            <w:r w:rsidRPr="007F6876" w:rsidR="00746DFE">
              <w:rPr>
                <w:snapToGrid w:val="0"/>
                <w:kern w:val="28"/>
              </w:rPr>
              <w:t>routers</w:t>
            </w:r>
          </w:p>
        </w:tc>
        <w:tc>
          <w:tcPr>
            <w:tcW w:w="2430" w:type="dxa"/>
            <w:tcBorders>
              <w:top w:val="single" w:sz="6" w:space="0" w:color="auto"/>
              <w:left w:val="single" w:sz="6" w:space="0" w:color="auto"/>
              <w:bottom w:val="single" w:sz="6" w:space="0" w:color="auto"/>
              <w:right w:val="single" w:sz="6" w:space="0" w:color="auto"/>
            </w:tcBorders>
          </w:tcPr>
          <w:p w:rsidR="00B26B77" w:rsidRPr="007F6876" w:rsidP="007166E4" w14:paraId="1B349964" w14:textId="3A293A4F">
            <w:pPr>
              <w:widowControl w:val="0"/>
              <w:jc w:val="center"/>
              <w:rPr>
                <w:snapToGrid w:val="0"/>
                <w:kern w:val="28"/>
              </w:rPr>
            </w:pPr>
            <w:r w:rsidRPr="007F6876">
              <w:rPr>
                <w:snapToGrid w:val="0"/>
                <w:kern w:val="28"/>
              </w:rPr>
              <w:t xml:space="preserve">April 22, 2026-October </w:t>
            </w:r>
            <w:r w:rsidR="00B97ECE">
              <w:rPr>
                <w:snapToGrid w:val="0"/>
                <w:kern w:val="28"/>
              </w:rPr>
              <w:t>3</w:t>
            </w:r>
            <w:r w:rsidRPr="007F6876">
              <w:rPr>
                <w:snapToGrid w:val="0"/>
                <w:kern w:val="28"/>
              </w:rPr>
              <w:t>1, 2027</w:t>
            </w:r>
          </w:p>
        </w:tc>
      </w:tr>
      <w:tr w14:paraId="04214E29" w14:textId="5690ED06" w:rsidTr="00E65D12">
        <w:tblPrEx>
          <w:tblW w:w="9625" w:type="dxa"/>
          <w:tblLook w:val="04A0"/>
        </w:tblPrEx>
        <w:trPr>
          <w:gridAfter w:val="2"/>
          <w:wAfter w:w="4715" w:type="dxa"/>
        </w:trPr>
        <w:tc>
          <w:tcPr>
            <w:tcW w:w="2515" w:type="dxa"/>
          </w:tcPr>
          <w:p w:rsidR="00540F14" w:rsidRPr="007166E4" w:rsidP="00746DFE" w14:paraId="6CD951F0" w14:textId="77777777">
            <w:pPr>
              <w:widowControl w:val="0"/>
              <w:rPr>
                <w:snapToGrid w:val="0"/>
                <w:kern w:val="28"/>
              </w:rPr>
            </w:pPr>
            <w:r w:rsidRPr="007166E4">
              <w:rPr>
                <w:snapToGrid w:val="0"/>
                <w:kern w:val="28"/>
              </w:rPr>
              <w:t>Verge, Inc. X1 Uncrewed Aircraft System</w:t>
            </w:r>
          </w:p>
          <w:p w:rsidR="00540F14" w:rsidRPr="007166E4" w:rsidP="00746DFE" w14:paraId="682963DD" w14:textId="77777777">
            <w:pPr>
              <w:widowControl w:val="0"/>
              <w:rPr>
                <w:snapToGrid w:val="0"/>
                <w:kern w:val="28"/>
              </w:rPr>
            </w:pPr>
          </w:p>
        </w:tc>
        <w:tc>
          <w:tcPr>
            <w:tcW w:w="2395" w:type="dxa"/>
            <w:tcBorders>
              <w:top w:val="single" w:sz="6" w:space="0" w:color="auto"/>
              <w:right w:val="single" w:sz="24" w:space="0" w:color="auto"/>
            </w:tcBorders>
          </w:tcPr>
          <w:p w:rsidR="00540F14" w:rsidRPr="007166E4" w:rsidP="00746DFE" w14:paraId="16E902E8" w14:textId="77777777">
            <w:pPr>
              <w:widowControl w:val="0"/>
              <w:jc w:val="center"/>
              <w:rPr>
                <w:snapToGrid w:val="0"/>
                <w:kern w:val="28"/>
              </w:rPr>
            </w:pPr>
            <w:r w:rsidRPr="007166E4">
              <w:rPr>
                <w:snapToGrid w:val="0"/>
                <w:kern w:val="28"/>
              </w:rPr>
              <w:t>March 17, 2026-December 31, 2026</w:t>
            </w:r>
          </w:p>
        </w:tc>
      </w:tr>
      <w:tr w14:paraId="73D1D4ED" w14:textId="77777777" w:rsidTr="00E65D12">
        <w:tblPrEx>
          <w:tblW w:w="9625" w:type="dxa"/>
          <w:tblLook w:val="04A0"/>
        </w:tblPrEx>
        <w:trPr>
          <w:gridAfter w:val="2"/>
          <w:wAfter w:w="4715" w:type="dxa"/>
        </w:trPr>
        <w:tc>
          <w:tcPr>
            <w:tcW w:w="2515" w:type="dxa"/>
          </w:tcPr>
          <w:p w:rsidR="00746DFE" w:rsidRPr="007166E4" w:rsidP="00746DFE" w14:paraId="0CC02023" w14:textId="77777777">
            <w:pPr>
              <w:widowControl w:val="0"/>
              <w:spacing w:after="120"/>
              <w:rPr>
                <w:snapToGrid w:val="0"/>
                <w:kern w:val="28"/>
              </w:rPr>
            </w:pPr>
            <w:r w:rsidRPr="007166E4">
              <w:rPr>
                <w:snapToGrid w:val="0"/>
                <w:kern w:val="28"/>
              </w:rPr>
              <w:t xml:space="preserve">Sees.ai </w:t>
            </w:r>
            <w:r w:rsidRPr="007166E4">
              <w:rPr>
                <w:snapToGrid w:val="0"/>
                <w:kern w:val="28"/>
              </w:rPr>
              <w:t>v.USA</w:t>
            </w:r>
            <w:r w:rsidRPr="007166E4">
              <w:rPr>
                <w:snapToGrid w:val="0"/>
                <w:kern w:val="28"/>
              </w:rPr>
              <w:t>. 1.0 Uncrewed Aircraft System</w:t>
            </w:r>
          </w:p>
          <w:p w:rsidR="00746DFE" w:rsidRPr="007166E4" w:rsidP="00746DFE" w14:paraId="419D9CC1" w14:textId="77777777">
            <w:pPr>
              <w:widowControl w:val="0"/>
              <w:rPr>
                <w:snapToGrid w:val="0"/>
                <w:kern w:val="28"/>
              </w:rPr>
            </w:pPr>
          </w:p>
        </w:tc>
        <w:tc>
          <w:tcPr>
            <w:tcW w:w="2395" w:type="dxa"/>
            <w:tcBorders>
              <w:right w:val="single" w:sz="24" w:space="0" w:color="auto"/>
            </w:tcBorders>
          </w:tcPr>
          <w:p w:rsidR="00746DFE" w:rsidRPr="007166E4" w:rsidP="00746DFE" w14:paraId="5693813D" w14:textId="77777777">
            <w:pPr>
              <w:widowControl w:val="0"/>
              <w:jc w:val="center"/>
              <w:rPr>
                <w:snapToGrid w:val="0"/>
                <w:kern w:val="28"/>
              </w:rPr>
            </w:pPr>
            <w:r w:rsidRPr="007166E4">
              <w:rPr>
                <w:snapToGrid w:val="0"/>
                <w:kern w:val="28"/>
              </w:rPr>
              <w:t>April 14, 2026-December 31, 2026</w:t>
            </w:r>
          </w:p>
        </w:tc>
      </w:tr>
      <w:bookmarkEnd w:id="0"/>
    </w:tbl>
    <w:p w:rsidR="007166E4" w:rsidRPr="007166E4" w:rsidP="007166E4" w14:paraId="53E28B25"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3500FECE" w14:textId="77777777">
      <w:pPr>
        <w:widowControl w:val="0"/>
        <w:spacing w:after="120" w:line="240" w:lineRule="auto"/>
        <w:rPr>
          <w:rFonts w:ascii="Times New Roman" w:eastAsia="Times New Roman" w:hAnsi="Times New Roman" w:cs="Times New Roman"/>
          <w:snapToGrid w:val="0"/>
          <w:kern w:val="28"/>
          <w:sz w:val="22"/>
          <w:szCs w:val="20"/>
          <w14:ligatures w14:val="none"/>
        </w:rPr>
      </w:pPr>
    </w:p>
    <w:p w:rsidR="007166E4" w:rsidRPr="007166E4" w:rsidP="007166E4" w14:paraId="023C020D" w14:textId="77777777">
      <w:pPr>
        <w:widowControl w:val="0"/>
        <w:spacing w:after="0" w:line="240" w:lineRule="auto"/>
        <w:rPr>
          <w:rFonts w:ascii="Times New Roman" w:eastAsia="Times New Roman" w:hAnsi="Times New Roman" w:cs="Times New Roman"/>
          <w:snapToGrid w:val="0"/>
          <w:kern w:val="28"/>
          <w:sz w:val="22"/>
          <w:szCs w:val="20"/>
          <w14:ligatures w14:val="none"/>
        </w:rPr>
      </w:pPr>
    </w:p>
    <w:p w:rsidR="00300C2E" w14:paraId="1CFAA62E" w14:textId="77777777"/>
    <w:sectPr w:rsidSect="007166E4">
      <w:footerReference w:type="default" r:id="rId20"/>
      <w:pgSz w:w="12240" w:h="15840"/>
      <w:pgMar w:top="1360" w:right="1440" w:bottom="28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Bold">
    <w:altName w:val="Heavy Heap"/>
    <w:panose1 w:val="02020803070505020304"/>
    <w:charset w:val="00"/>
    <w:family w:val="auto"/>
    <w:pitch w:val="default"/>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3AA7D6D0" w14:textId="77777777">
    <w:pPr>
      <w:pStyle w:val="Footer"/>
      <w:framePr w:wrap="around" w:vAnchor="text" w:hAnchor="margin" w:xAlign="center" w:y="1"/>
    </w:pPr>
    <w:r>
      <w:fldChar w:fldCharType="begin"/>
    </w:r>
    <w:r>
      <w:instrText xml:space="preserve">PAGE  </w:instrText>
    </w:r>
    <w:r>
      <w:fldChar w:fldCharType="separate"/>
    </w:r>
    <w:r>
      <w:fldChar w:fldCharType="end"/>
    </w:r>
  </w:p>
  <w:p w:rsidR="007166E4" w14:paraId="53E8AD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9510A3" w14:paraId="5F347957" w14:textId="77777777">
    <w:pPr>
      <w:pStyle w:val="Footer"/>
      <w:jc w:val="center"/>
      <w:rPr>
        <w:rFonts w:ascii="Times New Roman" w:hAnsi="Times New Roman" w:cs="Times New Roman"/>
        <w:sz w:val="22"/>
        <w:szCs w:val="22"/>
      </w:rPr>
    </w:pPr>
    <w:r w:rsidRPr="009510A3">
      <w:rPr>
        <w:rFonts w:ascii="Times New Roman" w:hAnsi="Times New Roman" w:cs="Times New Roman"/>
        <w:sz w:val="22"/>
        <w:szCs w:val="22"/>
      </w:rPr>
      <w:fldChar w:fldCharType="begin"/>
    </w:r>
    <w:r w:rsidRPr="009510A3">
      <w:rPr>
        <w:rFonts w:ascii="Times New Roman" w:hAnsi="Times New Roman" w:cs="Times New Roman"/>
        <w:sz w:val="22"/>
        <w:szCs w:val="22"/>
      </w:rPr>
      <w:instrText xml:space="preserve"> PAGE   \* MERGEFORMAT </w:instrText>
    </w:r>
    <w:r w:rsidRPr="009510A3">
      <w:rPr>
        <w:rFonts w:ascii="Times New Roman" w:hAnsi="Times New Roman" w:cs="Times New Roman"/>
        <w:sz w:val="22"/>
        <w:szCs w:val="22"/>
      </w:rPr>
      <w:fldChar w:fldCharType="separate"/>
    </w:r>
    <w:r w:rsidRPr="009510A3">
      <w:rPr>
        <w:rFonts w:ascii="Times New Roman" w:hAnsi="Times New Roman" w:cs="Times New Roman"/>
        <w:noProof/>
        <w:sz w:val="22"/>
        <w:szCs w:val="22"/>
      </w:rPr>
      <w:t>2</w:t>
    </w:r>
    <w:r w:rsidRPr="009510A3">
      <w:rPr>
        <w:rFonts w:ascii="Times New Roman" w:hAnsi="Times New Roman" w:cs="Times New Roman"/>
        <w:noProof/>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637746F9" w14:textId="7777777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3D531D" w14:paraId="4FD30DED" w14:textId="77777777">
    <w:pPr>
      <w:pStyle w:val="Footer"/>
      <w:jc w:val="center"/>
      <w:rPr>
        <w:rFonts w:ascii="Times New Roman" w:hAnsi="Times New Roman" w:cs="Times New Roman"/>
      </w:rPr>
    </w:pPr>
    <w:r w:rsidRPr="003D531D">
      <w:rPr>
        <w:rFonts w:ascii="Times New Roman" w:hAnsi="Times New Roman" w:cs="Times New Roman"/>
      </w:rPr>
      <w:fldChar w:fldCharType="begin"/>
    </w:r>
    <w:r w:rsidRPr="003970F0">
      <w:rPr>
        <w:rFonts w:ascii="Times New Roman" w:hAnsi="Times New Roman" w:cs="Times New Roman"/>
      </w:rPr>
      <w:instrText xml:space="preserve"> PAGE   \* MERGEFORMAT </w:instrText>
    </w:r>
    <w:r w:rsidRPr="003D531D">
      <w:rPr>
        <w:rFonts w:ascii="Times New Roman" w:hAnsi="Times New Roman" w:cs="Times New Roman"/>
      </w:rPr>
      <w:fldChar w:fldCharType="separate"/>
    </w:r>
    <w:r w:rsidRPr="003970F0">
      <w:rPr>
        <w:rFonts w:ascii="Times New Roman" w:hAnsi="Times New Roman" w:cs="Times New Roman"/>
      </w:rPr>
      <w:t>2</w:t>
    </w:r>
    <w:r w:rsidRPr="003D531D">
      <w:rPr>
        <w:rFonts w:ascii="Times New Roman" w:hAnsi="Times New Roman" w:cs="Times New Roman"/>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E784F" w:rsidP="007166E4" w14:paraId="4021E108" w14:textId="77777777">
      <w:pPr>
        <w:spacing w:after="0" w:line="240" w:lineRule="auto"/>
      </w:pPr>
      <w:r>
        <w:separator/>
      </w:r>
    </w:p>
  </w:footnote>
  <w:footnote w:type="continuationSeparator" w:id="1">
    <w:p w:rsidR="00BE784F" w:rsidP="007166E4" w14:paraId="40E24025" w14:textId="77777777">
      <w:pPr>
        <w:spacing w:after="0" w:line="240" w:lineRule="auto"/>
      </w:pPr>
      <w:r>
        <w:continuationSeparator/>
      </w:r>
    </w:p>
  </w:footnote>
  <w:footnote w:id="2">
    <w:p w:rsidR="007166E4" w:rsidRPr="007166E4" w:rsidP="005E7B06" w14:paraId="53275EB3" w14:textId="4540BFE4">
      <w:pPr>
        <w:pStyle w:val="FootnoteText"/>
        <w:spacing w:after="120"/>
        <w:rPr>
          <w:rFonts w:ascii="Times New Roman" w:hAnsi="Times New Roman" w:cs="Times New Roman"/>
          <w:color w:val="FF0000"/>
        </w:rPr>
      </w:pPr>
      <w:r w:rsidRPr="007166E4">
        <w:rPr>
          <w:rStyle w:val="FootnoteReference"/>
          <w:rFonts w:eastAsia="Times New Roman" w:cs="Times New Roman"/>
          <w:sz w:val="20"/>
        </w:rPr>
        <w:footnoteRef/>
      </w:r>
      <w:r w:rsidRPr="007166E4">
        <w:rPr>
          <w:rFonts w:ascii="Times New Roman" w:hAnsi="Times New Roman" w:cs="Times New Roman"/>
        </w:rPr>
        <w:t xml:space="preserve"> Secure and Trusted Communications Networks Act of 2019, Pub. L. No. 116-124, 133 Stat. 158 (2020) (codified as amended at 47 U.S.C. §§ 1601-1609) (Secure Networks Act); 47 CFR §§ 1.50002, 1.50003.  For the current version of the Covered List, </w:t>
      </w:r>
      <w:r w:rsidRPr="007166E4">
        <w:rPr>
          <w:rFonts w:ascii="Times New Roman" w:hAnsi="Times New Roman" w:cs="Times New Roman"/>
          <w:i/>
          <w:iCs/>
        </w:rPr>
        <w:t>see</w:t>
      </w:r>
      <w:r w:rsidRPr="007166E4">
        <w:rPr>
          <w:rFonts w:ascii="Times New Roman" w:hAnsi="Times New Roman" w:cs="Times New Roman"/>
        </w:rPr>
        <w:t xml:space="preserve"> Federal Communications Commission, </w:t>
      </w:r>
      <w:r w:rsidRPr="007166E4">
        <w:rPr>
          <w:rFonts w:ascii="Times New Roman" w:hAnsi="Times New Roman" w:cs="Times New Roman"/>
          <w:i/>
          <w:iCs/>
        </w:rPr>
        <w:t>List of Equipment and Services Covered By Section 2 of The Secure Networks Act</w:t>
      </w:r>
      <w:r w:rsidRPr="007166E4">
        <w:rPr>
          <w:rFonts w:ascii="Times New Roman" w:hAnsi="Times New Roman" w:cs="Times New Roman"/>
        </w:rPr>
        <w:t xml:space="preserve">, </w:t>
      </w:r>
      <w:hyperlink r:id="rId1" w:history="1">
        <w:r w:rsidRPr="007166E4">
          <w:rPr>
            <w:rStyle w:val="Hyperlink"/>
            <w:rFonts w:ascii="Times New Roman" w:hAnsi="Times New Roman" w:cs="Times New Roman"/>
          </w:rPr>
          <w:t>https://www.fcc.gov/supplychain/coveredlist</w:t>
        </w:r>
      </w:hyperlink>
      <w:r w:rsidRPr="007166E4">
        <w:rPr>
          <w:rFonts w:ascii="Times New Roman" w:hAnsi="Times New Roman" w:cs="Times New Roman"/>
        </w:rPr>
        <w:t xml:space="preserve"> (last updated </w:t>
      </w:r>
      <w:r>
        <w:rPr>
          <w:rFonts w:ascii="Times New Roman" w:hAnsi="Times New Roman" w:cs="Times New Roman"/>
        </w:rPr>
        <w:t>Apr</w:t>
      </w:r>
      <w:r w:rsidRPr="007166E4">
        <w:rPr>
          <w:rFonts w:ascii="Times New Roman" w:hAnsi="Times New Roman" w:cs="Times New Roman"/>
        </w:rPr>
        <w:t xml:space="preserve">. </w:t>
      </w:r>
      <w:r>
        <w:rPr>
          <w:rFonts w:ascii="Times New Roman" w:hAnsi="Times New Roman" w:cs="Times New Roman"/>
        </w:rPr>
        <w:t>14</w:t>
      </w:r>
      <w:r w:rsidRPr="007166E4">
        <w:rPr>
          <w:rFonts w:ascii="Times New Roman" w:hAnsi="Times New Roman" w:cs="Times New Roman"/>
        </w:rPr>
        <w:t>, 2026).</w:t>
      </w:r>
    </w:p>
  </w:footnote>
  <w:footnote w:id="3">
    <w:p w:rsidR="007166E4" w:rsidRPr="007166E4" w:rsidP="005E7B06" w14:paraId="2868D8CA" w14:textId="77777777">
      <w:pPr>
        <w:pStyle w:val="FootnoteText"/>
        <w:spacing w:after="120"/>
        <w:rPr>
          <w:rFonts w:ascii="Times New Roman" w:hAnsi="Times New Roman" w:cs="Times New Roman"/>
        </w:rPr>
      </w:pPr>
      <w:r w:rsidRPr="007166E4">
        <w:rPr>
          <w:rStyle w:val="FootnoteReference"/>
          <w:rFonts w:eastAsia="Times New Roman" w:cs="Times New Roman"/>
          <w:sz w:val="20"/>
        </w:rPr>
        <w:footnoteRef/>
      </w:r>
      <w:r w:rsidRPr="007166E4">
        <w:rPr>
          <w:rFonts w:ascii="Times New Roman" w:hAnsi="Times New Roman" w:cs="Times New Roman"/>
        </w:rPr>
        <w:t xml:space="preserve"> 47 U.S.C. § 1601.</w:t>
      </w:r>
    </w:p>
  </w:footnote>
  <w:footnote w:id="4">
    <w:p w:rsidR="007166E4" w:rsidRPr="007166E4" w:rsidP="005E7B06" w14:paraId="59518D1B" w14:textId="77777777">
      <w:pPr>
        <w:pStyle w:val="FootnoteText"/>
        <w:spacing w:after="120"/>
        <w:rPr>
          <w:rFonts w:ascii="Times New Roman" w:hAnsi="Times New Roman" w:cs="Times New Roman"/>
        </w:rPr>
      </w:pPr>
      <w:r w:rsidRPr="007166E4">
        <w:rPr>
          <w:rStyle w:val="FootnoteReference"/>
          <w:rFonts w:eastAsia="Times New Roman" w:cs="Times New Roman"/>
          <w:sz w:val="20"/>
        </w:rPr>
        <w:footnoteRef/>
      </w:r>
      <w:r w:rsidRPr="007166E4">
        <w:rPr>
          <w:rFonts w:ascii="Times New Roman" w:hAnsi="Times New Roman" w:cs="Times New Roman"/>
        </w:rPr>
        <w:t xml:space="preserve"> 47 CFR §§ 1.50002(a), 1.50003; </w:t>
      </w:r>
      <w:r w:rsidRPr="007166E4">
        <w:rPr>
          <w:rFonts w:ascii="Times New Roman" w:hAnsi="Times New Roman" w:cs="Times New Roman"/>
          <w:i/>
          <w:iCs/>
        </w:rPr>
        <w:t>see</w:t>
      </w:r>
      <w:r w:rsidRPr="007166E4">
        <w:rPr>
          <w:rFonts w:ascii="Times New Roman" w:hAnsi="Times New Roman" w:cs="Times New Roman"/>
        </w:rPr>
        <w:t xml:space="preserve"> </w:t>
      </w:r>
      <w:r w:rsidRPr="007166E4">
        <w:rPr>
          <w:rFonts w:ascii="Times New Roman" w:hAnsi="Times New Roman" w:cs="Times New Roman"/>
          <w:i/>
          <w:iCs/>
        </w:rPr>
        <w:t>also Protecting Against National Security Threats to the Communications Supply Chain Through FCC Programs</w:t>
      </w:r>
      <w:r w:rsidRPr="007166E4">
        <w:rPr>
          <w:rFonts w:ascii="Times New Roman" w:hAnsi="Times New Roman" w:cs="Times New Roman"/>
        </w:rPr>
        <w:t xml:space="preserve">, WC Docket No. 18-89, Second Report and Order, 35 FCC </w:t>
      </w:r>
      <w:r w:rsidRPr="007166E4">
        <w:rPr>
          <w:rFonts w:ascii="Times New Roman" w:hAnsi="Times New Roman" w:cs="Times New Roman"/>
        </w:rPr>
        <w:t>Rcd</w:t>
      </w:r>
      <w:r w:rsidRPr="007166E4">
        <w:rPr>
          <w:rFonts w:ascii="Times New Roman" w:hAnsi="Times New Roman" w:cs="Times New Roman"/>
        </w:rPr>
        <w:t xml:space="preserve"> 14284 (2020) (</w:t>
      </w:r>
      <w:r w:rsidRPr="007166E4">
        <w:rPr>
          <w:rFonts w:ascii="Times New Roman" w:hAnsi="Times New Roman" w:cs="Times New Roman"/>
          <w:i/>
          <w:iCs/>
        </w:rPr>
        <w:t>Supply Chain Second Report and Order</w:t>
      </w:r>
      <w:r w:rsidRPr="007166E4">
        <w:rPr>
          <w:rFonts w:ascii="Times New Roman" w:hAnsi="Times New Roman" w:cs="Times New Roman"/>
        </w:rPr>
        <w:t>).</w:t>
      </w:r>
    </w:p>
  </w:footnote>
  <w:footnote w:id="5">
    <w:p w:rsidR="007166E4" w:rsidRPr="007166E4" w:rsidP="005E7B06" w14:paraId="3C97207E" w14:textId="77777777">
      <w:pPr>
        <w:pStyle w:val="FootnoteText"/>
        <w:spacing w:after="120"/>
        <w:rPr>
          <w:rFonts w:ascii="Times New Roman" w:hAnsi="Times New Roman" w:cs="Times New Roman"/>
        </w:rPr>
      </w:pPr>
      <w:r w:rsidRPr="007166E4">
        <w:rPr>
          <w:rStyle w:val="FootnoteReference"/>
          <w:rFonts w:cs="Times New Roman"/>
          <w:sz w:val="20"/>
        </w:rPr>
        <w:footnoteRef/>
      </w:r>
      <w:r w:rsidRPr="007166E4">
        <w:rPr>
          <w:rFonts w:ascii="Times New Roman" w:hAnsi="Times New Roman" w:cs="Times New Roman"/>
        </w:rPr>
        <w:t xml:space="preserve"> </w:t>
      </w:r>
      <w:r w:rsidRPr="007166E4">
        <w:rPr>
          <w:rFonts w:ascii="Times New Roman" w:hAnsi="Times New Roman" w:cs="Times New Roman"/>
          <w:i/>
          <w:iCs/>
        </w:rPr>
        <w:t>FCC’s Public Safety and Homeland Security Bureau Announces Addition of Routers Produced in Foreign Countries to FCC Covered List</w:t>
      </w:r>
      <w:r w:rsidRPr="007166E4">
        <w:rPr>
          <w:rFonts w:ascii="Times New Roman" w:hAnsi="Times New Roman" w:cs="Times New Roman"/>
        </w:rPr>
        <w:t>, WC Docket No. 18-89, Public Notice, DA 26-278 (Mar. 23, 2026) (</w:t>
      </w:r>
      <w:r w:rsidRPr="007166E4">
        <w:rPr>
          <w:rFonts w:ascii="Times New Roman" w:hAnsi="Times New Roman" w:cs="Times New Roman"/>
          <w:i/>
          <w:iCs/>
        </w:rPr>
        <w:t>Routers Public Notice</w:t>
      </w:r>
      <w:r w:rsidRPr="007166E4">
        <w:rPr>
          <w:rFonts w:ascii="Times New Roman" w:hAnsi="Times New Roman" w:cs="Times New Roman"/>
        </w:rPr>
        <w:t xml:space="preserve">). </w:t>
      </w:r>
    </w:p>
  </w:footnote>
  <w:footnote w:id="6">
    <w:p w:rsidR="007166E4" w:rsidRPr="007166E4" w:rsidP="005E7B06" w14:paraId="0CC66847" w14:textId="77777777">
      <w:pPr>
        <w:pStyle w:val="FootnoteText"/>
        <w:spacing w:after="120"/>
        <w:rPr>
          <w:rFonts w:ascii="Times New Roman" w:hAnsi="Times New Roman" w:cs="Times New Roman"/>
        </w:rPr>
      </w:pPr>
      <w:r w:rsidRPr="007166E4">
        <w:rPr>
          <w:rStyle w:val="FootnoteReference"/>
          <w:rFonts w:cs="Times New Roman"/>
          <w:sz w:val="20"/>
        </w:rPr>
        <w:footnoteRef/>
      </w:r>
      <w:r w:rsidRPr="007166E4">
        <w:rPr>
          <w:rFonts w:ascii="Times New Roman" w:hAnsi="Times New Roman" w:cs="Times New Roman"/>
        </w:rPr>
        <w:t xml:space="preserve"> </w:t>
      </w:r>
      <w:r w:rsidRPr="007166E4">
        <w:rPr>
          <w:rFonts w:ascii="Times New Roman" w:hAnsi="Times New Roman" w:cs="Times New Roman"/>
          <w:i/>
          <w:iCs/>
        </w:rPr>
        <w:t>Routers Public Notice</w:t>
      </w:r>
      <w:r w:rsidRPr="007166E4">
        <w:rPr>
          <w:rFonts w:ascii="Times New Roman" w:hAnsi="Times New Roman" w:cs="Times New Roman"/>
        </w:rPr>
        <w:t xml:space="preserve"> at 2. </w:t>
      </w:r>
    </w:p>
  </w:footnote>
  <w:footnote w:id="7">
    <w:p w:rsidR="009510A3" w:rsidRPr="009510A3" w:rsidP="005E7B06" w14:paraId="68C9D018" w14:textId="0EB49E0D">
      <w:pPr>
        <w:pStyle w:val="FootnoteText"/>
        <w:spacing w:after="120"/>
      </w:pPr>
      <w:r>
        <w:rPr>
          <w:rStyle w:val="FootnoteReference"/>
        </w:rPr>
        <w:footnoteRef/>
      </w:r>
      <w:r>
        <w:t xml:space="preserve"> </w:t>
      </w:r>
      <w:r w:rsidRPr="00F675EE">
        <w:rPr>
          <w:rFonts w:ascii="Times New Roman" w:hAnsi="Times New Roman" w:cs="Times New Roman"/>
          <w:i/>
        </w:rPr>
        <w:t>FCC’s Public Safety and Homeland Security Bureau Announces Conditional Approval of Certain Routers and Uncrewed Aircraft Systems (UAS) And Exemption From FCC Covered List</w:t>
      </w:r>
      <w:r w:rsidRPr="00F675EE">
        <w:rPr>
          <w:rFonts w:ascii="Times New Roman" w:hAnsi="Times New Roman" w:cs="Times New Roman"/>
        </w:rPr>
        <w:t>, WC Docket No. 18-89, Public Notice, DA 26-351 (Apr. 14, 2026)</w:t>
      </w:r>
      <w:r w:rsidRPr="00F675EE" w:rsidR="00C10803">
        <w:rPr>
          <w:rFonts w:ascii="Times New Roman" w:hAnsi="Times New Roman" w:cs="Times New Roman"/>
        </w:rPr>
        <w:t xml:space="preserve"> (</w:t>
      </w:r>
      <w:r w:rsidRPr="00F675EE" w:rsidR="00820AB9">
        <w:rPr>
          <w:rFonts w:ascii="Times New Roman" w:hAnsi="Times New Roman" w:cs="Times New Roman"/>
        </w:rPr>
        <w:t xml:space="preserve">exempting certain </w:t>
      </w:r>
      <w:r w:rsidRPr="00F675EE" w:rsidR="00CC04D9">
        <w:rPr>
          <w:rFonts w:ascii="Times New Roman" w:hAnsi="Times New Roman" w:cs="Times New Roman"/>
        </w:rPr>
        <w:t xml:space="preserve">routers and </w:t>
      </w:r>
      <w:r w:rsidRPr="00F675EE" w:rsidR="00820AB9">
        <w:rPr>
          <w:rFonts w:ascii="Times New Roman" w:hAnsi="Times New Roman" w:cs="Times New Roman"/>
        </w:rPr>
        <w:t>UAS</w:t>
      </w:r>
      <w:r w:rsidRPr="00F675EE" w:rsidR="00CC04D9">
        <w:rPr>
          <w:rFonts w:ascii="Times New Roman" w:hAnsi="Times New Roman" w:cs="Times New Roman"/>
        </w:rPr>
        <w:t xml:space="preserve"> </w:t>
      </w:r>
      <w:r w:rsidRPr="00F675EE" w:rsidR="002B1DC2">
        <w:rPr>
          <w:rFonts w:ascii="Times New Roman" w:hAnsi="Times New Roman" w:cs="Times New Roman"/>
        </w:rPr>
        <w:t xml:space="preserve">from the Covered List based on </w:t>
      </w:r>
      <w:r w:rsidRPr="00F675EE" w:rsidR="002B1DC2">
        <w:rPr>
          <w:rFonts w:ascii="Times New Roman" w:hAnsi="Times New Roman" w:cs="Times New Roman"/>
        </w:rPr>
        <w:t>DoW</w:t>
      </w:r>
      <w:r w:rsidRPr="00F675EE" w:rsidR="002B1DC2">
        <w:rPr>
          <w:rFonts w:ascii="Times New Roman" w:hAnsi="Times New Roman" w:cs="Times New Roman"/>
        </w:rPr>
        <w:t xml:space="preserve"> Conditional Approvals).</w:t>
      </w:r>
      <w:r w:rsidRPr="00F675EE" w:rsidR="001F487A">
        <w:rPr>
          <w:rFonts w:ascii="Times New Roman" w:hAnsi="Times New Roman" w:cs="Times New Roman"/>
        </w:rPr>
        <w:t xml:space="preserve">  </w:t>
      </w:r>
      <w:r w:rsidRPr="00E00098" w:rsidR="001D6493">
        <w:rPr>
          <w:rFonts w:ascii="Times New Roman" w:hAnsi="Times New Roman" w:cs="Times New Roman"/>
        </w:rPr>
        <w:t xml:space="preserve">The Executive Branch interagency body also established </w:t>
      </w:r>
      <w:r w:rsidRPr="00E00098" w:rsidR="00AB1C56">
        <w:rPr>
          <w:rFonts w:ascii="Times New Roman" w:hAnsi="Times New Roman" w:cs="Times New Roman"/>
        </w:rPr>
        <w:t>a process</w:t>
      </w:r>
      <w:r w:rsidRPr="00E00098" w:rsidR="005E56D1">
        <w:rPr>
          <w:rFonts w:ascii="Times New Roman" w:hAnsi="Times New Roman" w:cs="Times New Roman"/>
        </w:rPr>
        <w:t xml:space="preserve"> </w:t>
      </w:r>
      <w:r w:rsidRPr="00F675EE" w:rsidR="00E00098">
        <w:rPr>
          <w:rFonts w:ascii="Times New Roman" w:eastAsia="Times New Roman" w:hAnsi="Times New Roman" w:cs="Times New Roman"/>
          <w:snapToGrid w:val="0"/>
          <w:kern w:val="28"/>
          <w14:ligatures w14:val="none"/>
        </w:rPr>
        <w:t>in</w:t>
      </w:r>
      <w:r w:rsidR="00E00098">
        <w:rPr>
          <w:rFonts w:ascii="Times New Roman" w:eastAsia="Times New Roman" w:hAnsi="Times New Roman" w:cs="Times New Roman"/>
          <w:snapToGrid w:val="0"/>
          <w:kern w:val="28"/>
          <w14:ligatures w14:val="none"/>
        </w:rPr>
        <w:t xml:space="preserve"> which entities producing UAS and UAS critical components in</w:t>
      </w:r>
      <w:r w:rsidRPr="003D531D" w:rsidR="00E00098">
        <w:rPr>
          <w:rFonts w:ascii="Times New Roman" w:eastAsia="Times New Roman" w:hAnsi="Times New Roman" w:cs="Times New Roman"/>
          <w:snapToGrid w:val="0"/>
          <w:kern w:val="28"/>
          <w14:ligatures w14:val="none"/>
        </w:rPr>
        <w:t xml:space="preserve"> foreign countries can request </w:t>
      </w:r>
      <w:r w:rsidRPr="003D531D" w:rsidR="00E00098">
        <w:rPr>
          <w:rFonts w:ascii="Times New Roman" w:eastAsia="Times New Roman" w:hAnsi="Times New Roman" w:cs="Times New Roman"/>
          <w:snapToGrid w:val="0"/>
          <w:kern w:val="28"/>
          <w14:ligatures w14:val="none"/>
        </w:rPr>
        <w:t>DoW</w:t>
      </w:r>
      <w:r w:rsidRPr="003D531D" w:rsidR="00E00098">
        <w:rPr>
          <w:rFonts w:ascii="Times New Roman" w:eastAsia="Times New Roman" w:hAnsi="Times New Roman" w:cs="Times New Roman"/>
          <w:snapToGrid w:val="0"/>
          <w:kern w:val="28"/>
          <w14:ligatures w14:val="none"/>
        </w:rPr>
        <w:t xml:space="preserve"> or </w:t>
      </w:r>
      <w:r w:rsidR="00E00098">
        <w:rPr>
          <w:rFonts w:ascii="Times New Roman" w:eastAsia="Times New Roman" w:hAnsi="Times New Roman" w:cs="Times New Roman"/>
          <w:snapToGrid w:val="0"/>
          <w:kern w:val="28"/>
          <w14:ligatures w14:val="none"/>
        </w:rPr>
        <w:t xml:space="preserve">DHS </w:t>
      </w:r>
      <w:r w:rsidRPr="003D531D" w:rsidR="00E00098">
        <w:rPr>
          <w:rFonts w:ascii="Times New Roman" w:eastAsia="Times New Roman" w:hAnsi="Times New Roman" w:cs="Times New Roman"/>
          <w:snapToGrid w:val="0"/>
          <w:kern w:val="28"/>
          <w14:ligatures w14:val="none"/>
        </w:rPr>
        <w:t>to evaluate whether such devices do not pose unacceptable risks to national security and receive Conditional Approvals that would exempt such devices from the Covered List</w:t>
      </w:r>
      <w:r w:rsidR="008773A3">
        <w:rPr>
          <w:rFonts w:ascii="Times New Roman" w:eastAsia="Times New Roman" w:hAnsi="Times New Roman" w:cs="Times New Roman"/>
          <w:snapToGrid w:val="0"/>
          <w:kern w:val="28"/>
          <w14:ligatures w14:val="none"/>
        </w:rPr>
        <w:t xml:space="preserve">.  </w:t>
      </w:r>
      <w:r w:rsidR="008773A3">
        <w:rPr>
          <w:rFonts w:ascii="Times New Roman" w:eastAsia="Times New Roman" w:hAnsi="Times New Roman" w:cs="Times New Roman"/>
          <w:i/>
          <w:iCs/>
          <w:snapToGrid w:val="0"/>
          <w:kern w:val="28"/>
          <w14:ligatures w14:val="none"/>
        </w:rPr>
        <w:t xml:space="preserve">See </w:t>
      </w:r>
      <w:r w:rsidRPr="00B579CA" w:rsidR="00B579CA">
        <w:rPr>
          <w:rFonts w:ascii="Times New Roman" w:eastAsia="Times New Roman" w:hAnsi="Times New Roman" w:cs="Times New Roman"/>
          <w:i/>
          <w:iCs/>
          <w:snapToGrid w:val="0"/>
          <w:kern w:val="28"/>
          <w14:ligatures w14:val="none"/>
        </w:rPr>
        <w:t>Public Safety and Homeland Security Bureau Announces Conditional Approval of Certain Uncrewed Aircraft Systems (UAS) and UAS Critical Components and Exemption from FCC Covered List</w:t>
      </w:r>
      <w:r w:rsidRPr="003D531D" w:rsidR="00B579CA">
        <w:rPr>
          <w:rFonts w:ascii="Times New Roman" w:eastAsia="Times New Roman" w:hAnsi="Times New Roman" w:cs="Times New Roman"/>
          <w:snapToGrid w:val="0"/>
          <w:kern w:val="28"/>
          <w14:ligatures w14:val="none"/>
        </w:rPr>
        <w:t>, WC Docket No. 18-89, Public Notice, DA 26-253 (Mar. 18, 2026).</w:t>
      </w:r>
      <w:r w:rsidRPr="00B579CA" w:rsidR="00B579CA">
        <w:rPr>
          <w:rFonts w:ascii="Times New Roman" w:eastAsia="Times New Roman" w:hAnsi="Times New Roman" w:cs="Times New Roman"/>
          <w:i/>
          <w:iCs/>
          <w:snapToGrid w:val="0"/>
          <w:kern w:val="28"/>
          <w14:ligatures w14:val="none"/>
        </w:rPr>
        <w:t xml:space="preserve"> </w:t>
      </w:r>
    </w:p>
  </w:footnote>
  <w:footnote w:id="8">
    <w:p w:rsidR="007166E4" w:rsidRPr="007166E4" w:rsidP="005E7B06" w14:paraId="329B31DA" w14:textId="77777777">
      <w:pPr>
        <w:pStyle w:val="FootnoteText"/>
        <w:spacing w:after="120"/>
        <w:rPr>
          <w:rFonts w:ascii="Times New Roman" w:hAnsi="Times New Roman" w:cs="Times New Roman"/>
        </w:rPr>
      </w:pPr>
      <w:r w:rsidRPr="007166E4">
        <w:rPr>
          <w:rStyle w:val="FootnoteReference"/>
          <w:rFonts w:cs="Times New Roman"/>
          <w:sz w:val="20"/>
        </w:rPr>
        <w:footnoteRef/>
      </w:r>
      <w:r w:rsidRPr="007166E4">
        <w:rPr>
          <w:rFonts w:ascii="Times New Roman" w:hAnsi="Times New Roman" w:cs="Times New Roman"/>
        </w:rPr>
        <w:t xml:space="preserve"> </w:t>
      </w:r>
      <w:r w:rsidRPr="007166E4">
        <w:rPr>
          <w:rFonts w:ascii="Times New Roman" w:hAnsi="Times New Roman" w:cs="Times New Roman"/>
          <w:i/>
          <w:iCs/>
        </w:rPr>
        <w:t>See Routers Public Notice</w:t>
      </w:r>
      <w:r w:rsidRPr="007166E4">
        <w:rPr>
          <w:rFonts w:ascii="Times New Roman" w:hAnsi="Times New Roman" w:cs="Times New Roman"/>
        </w:rPr>
        <w:t xml:space="preserve">, Appx. C; </w:t>
      </w:r>
      <w:r w:rsidRPr="007166E4">
        <w:rPr>
          <w:rFonts w:ascii="Times New Roman" w:hAnsi="Times New Roman" w:cs="Times New Roman"/>
          <w:i/>
          <w:iCs/>
        </w:rPr>
        <w:t>Second UAS Public Notice</w:t>
      </w:r>
      <w:r w:rsidRPr="007166E4">
        <w:rPr>
          <w:rFonts w:ascii="Times New Roman" w:hAnsi="Times New Roman" w:cs="Times New Roman"/>
        </w:rPr>
        <w:t xml:space="preserve">, Appx. B. </w:t>
      </w:r>
    </w:p>
  </w:footnote>
  <w:footnote w:id="9">
    <w:p w:rsidR="007166E4" w:rsidRPr="007166E4" w:rsidP="005E7B06" w14:paraId="06D44BAB" w14:textId="77777777">
      <w:pPr>
        <w:pStyle w:val="FootnoteText"/>
        <w:spacing w:before="120" w:after="120"/>
        <w:rPr>
          <w:rFonts w:ascii="Times New Roman" w:hAnsi="Times New Roman" w:cs="Times New Roman"/>
        </w:rPr>
      </w:pPr>
      <w:r w:rsidRPr="007166E4">
        <w:rPr>
          <w:rStyle w:val="FootnoteReference"/>
          <w:rFonts w:eastAsia="Times New Roman" w:cs="Times New Roman"/>
          <w:sz w:val="20"/>
        </w:rPr>
        <w:footnoteRef/>
      </w:r>
      <w:r w:rsidRPr="007166E4">
        <w:rPr>
          <w:rFonts w:ascii="Times New Roman" w:hAnsi="Times New Roman" w:cs="Times New Roman"/>
        </w:rPr>
        <w:t xml:space="preserve"> 47 CFR §§ 1.50002(a), 1.50003.  </w:t>
      </w:r>
      <w:r w:rsidRPr="007166E4">
        <w:rPr>
          <w:rFonts w:ascii="Times New Roman" w:hAnsi="Times New Roman" w:cs="Times New Roman"/>
          <w:i/>
          <w:iCs/>
        </w:rPr>
        <w:t xml:space="preserve">See </w:t>
      </w:r>
      <w:bookmarkStart w:id="1" w:name="_Hlk168823758"/>
      <w:r w:rsidRPr="007166E4">
        <w:rPr>
          <w:rFonts w:ascii="Times New Roman" w:hAnsi="Times New Roman" w:cs="Times New Roman"/>
          <w:i/>
          <w:iCs/>
        </w:rPr>
        <w:t>Supply Chain Second Report and Order</w:t>
      </w:r>
      <w:r w:rsidRPr="007166E4">
        <w:rPr>
          <w:rFonts w:ascii="Times New Roman" w:hAnsi="Times New Roman" w:cs="Times New Roman"/>
        </w:rPr>
        <w:t xml:space="preserve">, 35 FCC </w:t>
      </w:r>
      <w:r w:rsidRPr="007166E4">
        <w:rPr>
          <w:rFonts w:ascii="Times New Roman" w:hAnsi="Times New Roman" w:cs="Times New Roman"/>
        </w:rPr>
        <w:t>Rcd</w:t>
      </w:r>
      <w:r w:rsidRPr="007166E4">
        <w:rPr>
          <w:rFonts w:ascii="Times New Roman" w:hAnsi="Times New Roman" w:cs="Times New Roman"/>
        </w:rPr>
        <w:t xml:space="preserve"> </w:t>
      </w:r>
      <w:bookmarkEnd w:id="1"/>
      <w:r w:rsidRPr="007166E4">
        <w:rPr>
          <w:rFonts w:ascii="Times New Roman" w:hAnsi="Times New Roman" w:cs="Times New Roman"/>
        </w:rPr>
        <w:t>at 14319, 14325, paras. 72, 77, 92.</w:t>
      </w:r>
    </w:p>
  </w:footnote>
  <w:footnote w:id="10">
    <w:p w:rsidR="007166E4" w:rsidRPr="007166E4" w:rsidP="003D531D" w14:paraId="19679FF0" w14:textId="77777777">
      <w:pPr>
        <w:spacing w:after="120" w:line="240" w:lineRule="auto"/>
        <w:rPr>
          <w:rFonts w:ascii="Times New Roman" w:hAnsi="Times New Roman" w:cs="Times New Roman"/>
          <w:kern w:val="0"/>
          <w:sz w:val="20"/>
          <w:szCs w:val="20"/>
        </w:rPr>
      </w:pPr>
      <w:r w:rsidRPr="007166E4">
        <w:rPr>
          <w:rStyle w:val="FootnoteReference"/>
          <w:rFonts w:cs="Times New Roman"/>
          <w:sz w:val="20"/>
          <w:szCs w:val="20"/>
        </w:rPr>
        <w:footnoteRef/>
      </w:r>
      <w:r w:rsidRPr="007166E4">
        <w:rPr>
          <w:rFonts w:ascii="Times New Roman" w:hAnsi="Times New Roman" w:cs="Times New Roman"/>
          <w:sz w:val="20"/>
          <w:szCs w:val="20"/>
        </w:rPr>
        <w:t xml:space="preserve"> The FCC website also contains a list of certain affiliates and subsidiaries of entities identified on the Covered List.  The list of affiliates and subsidiaries does not constitute a comprehensive list of all entities that the Commission may find, upon further examination, to qualify as relevant subsidiaries or affiliates of entities on the Covered List.  Those entities, whether or not they currently provide covered communications equipment or services, are subject to the Commission’s prohibitions, such as the prohibition against obtaining authorizations for covered equipment.  </w:t>
      </w:r>
      <w:r w:rsidRPr="007166E4">
        <w:rPr>
          <w:rFonts w:ascii="Times New Roman" w:hAnsi="Times New Roman" w:cs="Times New Roman"/>
          <w:i/>
          <w:iCs/>
          <w:sz w:val="20"/>
          <w:szCs w:val="20"/>
        </w:rPr>
        <w:t>See Reminder: Communications Equipment And Services On The Covered List Pose An Unacceptable Risk To National Security</w:t>
      </w:r>
      <w:r w:rsidRPr="007166E4">
        <w:rPr>
          <w:rFonts w:ascii="Times New Roman" w:hAnsi="Times New Roman" w:cs="Times New Roman"/>
          <w:sz w:val="20"/>
          <w:szCs w:val="20"/>
        </w:rPr>
        <w:t>, National Security Advisory No. 2025-01,</w:t>
      </w:r>
      <w:r w:rsidRPr="007166E4">
        <w:rPr>
          <w:rFonts w:ascii="Times New Roman" w:hAnsi="Times New Roman" w:cs="Times New Roman"/>
          <w:i/>
          <w:iCs/>
          <w:sz w:val="20"/>
          <w:szCs w:val="20"/>
        </w:rPr>
        <w:t xml:space="preserve"> </w:t>
      </w:r>
      <w:r w:rsidRPr="007166E4">
        <w:rPr>
          <w:rFonts w:ascii="Times New Roman" w:hAnsi="Times New Roman" w:cs="Times New Roman"/>
          <w:sz w:val="20"/>
          <w:szCs w:val="20"/>
        </w:rPr>
        <w:t>DA 25-927</w:t>
      </w:r>
      <w:r w:rsidRPr="007166E4">
        <w:rPr>
          <w:rFonts w:ascii="Times New Roman" w:hAnsi="Times New Roman" w:cs="Times New Roman"/>
          <w:i/>
          <w:iCs/>
          <w:sz w:val="20"/>
          <w:szCs w:val="20"/>
        </w:rPr>
        <w:t xml:space="preserve">, </w:t>
      </w:r>
      <w:r w:rsidRPr="007166E4">
        <w:rPr>
          <w:rFonts w:ascii="Times New Roman" w:hAnsi="Times New Roman" w:cs="Times New Roman"/>
          <w:sz w:val="20"/>
          <w:szCs w:val="20"/>
        </w:rPr>
        <w:t>n.3 (PSHSB Oct. 14, 2025)</w:t>
      </w:r>
      <w:r w:rsidRPr="007166E4">
        <w:rPr>
          <w:rFonts w:ascii="Times New Roman" w:hAnsi="Times New Roman" w:cs="Times New Roman"/>
          <w:kern w:val="0"/>
          <w:sz w:val="20"/>
          <w:szCs w:val="20"/>
        </w:rPr>
        <w:t>.</w:t>
      </w:r>
    </w:p>
    <w:p w:rsidR="007166E4" w:rsidRPr="007166E4" w:rsidP="005E7B06" w14:paraId="376F723C" w14:textId="77777777">
      <w:pPr>
        <w:spacing w:before="120" w:after="120"/>
        <w:rPr>
          <w:rFonts w:ascii="Times New Roman" w:hAnsi="Times New Roman" w:cs="Times New Roman"/>
          <w:kern w:val="0"/>
          <w:sz w:val="20"/>
          <w:szCs w:val="2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rsidRPr="007166E4" w:rsidP="007166E4" w14:paraId="497E3C8A" w14:textId="6158EFF5">
    <w:pPr>
      <w:tabs>
        <w:tab w:val="center" w:pos="4680"/>
        <w:tab w:val="right" w:pos="9360"/>
      </w:tabs>
      <w:spacing w:after="0"/>
      <w:rPr>
        <w:rFonts w:ascii="Times New Roman" w:hAnsi="Times New Roman" w:cs="Times New Roman"/>
        <w:sz w:val="22"/>
        <w:szCs w:val="22"/>
      </w:rPr>
    </w:pPr>
    <w:r>
      <w:rPr>
        <w:b/>
      </w:rPr>
      <w:tab/>
    </w:r>
    <w:r w:rsidRPr="007166E4">
      <w:rPr>
        <w:rFonts w:ascii="Times New Roman" w:hAnsi="Times New Roman" w:cs="Times New Roman"/>
        <w:b/>
        <w:sz w:val="22"/>
        <w:szCs w:val="22"/>
      </w:rPr>
      <w:t>Federal Communications Commission</w:t>
    </w:r>
    <w:r w:rsidRPr="007166E4">
      <w:rPr>
        <w:rFonts w:ascii="Times New Roman" w:hAnsi="Times New Roman" w:cs="Times New Roman"/>
        <w:b/>
        <w:sz w:val="22"/>
        <w:szCs w:val="22"/>
      </w:rPr>
      <w:tab/>
      <w:t>DA 26-</w:t>
    </w:r>
    <w:r w:rsidR="00E34E03">
      <w:rPr>
        <w:rFonts w:ascii="Times New Roman" w:hAnsi="Times New Roman" w:cs="Times New Roman"/>
        <w:b/>
        <w:sz w:val="22"/>
        <w:szCs w:val="22"/>
      </w:rPr>
      <w:t>390</w:t>
    </w:r>
  </w:p>
  <w:p w:rsidR="007166E4" w14:paraId="0AE564AF"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7166E4" w14:paraId="1D544C4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66E4" w14:paraId="14C72527" w14:textId="77777777">
    <w:pPr>
      <w:tabs>
        <w:tab w:val="left" w:pos="-720"/>
      </w:tabs>
      <w:suppressAutoHyphens/>
      <w:spacing w:line="19" w:lineRule="exact"/>
      <w:rPr>
        <w:spacing w:val="-2"/>
      </w:rPr>
    </w:pPr>
    <w:r>
      <w:rPr>
        <w:noProof/>
      </w:rPr>
      <w:drawing>
        <wp:inline distT="0" distB="0" distL="0" distR="0">
          <wp:extent cx="5943600" cy="1426210"/>
          <wp:effectExtent l="0" t="0" r="0" b="2540"/>
          <wp:docPr id="1060098425" name="Picture 1060098425"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098425"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w:drawing>
        <wp:inline distT="0" distB="0" distL="0" distR="0">
          <wp:extent cx="5943600" cy="1426210"/>
          <wp:effectExtent l="0" t="0" r="0" b="2540"/>
          <wp:docPr id="889827711" name="Picture 889827711"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9827711"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r>
      <w:rPr>
        <w:noProof/>
      </w:rPr>
      <mc:AlternateContent>
        <mc:Choice Requires="wps">
          <w:drawing>
            <wp:anchor distT="0" distB="0" distL="114300" distR="114300" simplePos="0" relativeHeight="251660288" behindDoc="1" locked="0" layoutInCell="0" allowOverlap="1">
              <wp:simplePos x="0" y="0"/>
              <wp:positionH relativeFrom="margin">
                <wp:posOffset>0</wp:posOffset>
              </wp:positionH>
              <wp:positionV relativeFrom="paragraph">
                <wp:posOffset>0</wp:posOffset>
              </wp:positionV>
              <wp:extent cx="5943600" cy="12065"/>
              <wp:effectExtent l="0" t="0" r="0" b="0"/>
              <wp:wrapNone/>
              <wp:docPr id="1331116554" name="Rectangle 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3" o:spid="_x0000_s2050"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p>
  <w:p w:rsidR="007166E4" w14:paraId="36E8F78D" w14:textId="77777777">
    <w:pPr>
      <w:spacing w:before="40"/>
      <w:rPr>
        <w:rFonts w:ascii="Arial" w:hAnsi="Arial" w:cs="Arial"/>
        <w:b/>
        <w:sz w:val="20"/>
      </w:rPr>
    </w:pPr>
    <w:r w:rsidRPr="00D009F4">
      <w:rPr>
        <w:noProof/>
      </w:rPr>
      <w:drawing>
        <wp:inline distT="0" distB="0" distL="0" distR="0">
          <wp:extent cx="5943600" cy="1426210"/>
          <wp:effectExtent l="0" t="0" r="0" b="2540"/>
          <wp:docPr id="1660369452" name="Picture 1660369452" descr="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369452" name="Picture 1" descr="Text&#10;&#10;AI-generated content may be incorrect."/>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43600" cy="142621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590279F1"/>
    <w:multiLevelType w:val="hybridMultilevel"/>
    <w:tmpl w:val="D3D8896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659025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Pr>
  <w:endnotePr>
    <w:numFmt w:val="decimal"/>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6E4"/>
    <w:rsid w:val="000049B8"/>
    <w:rsid w:val="0001442E"/>
    <w:rsid w:val="000159A1"/>
    <w:rsid w:val="00026166"/>
    <w:rsid w:val="0002793A"/>
    <w:rsid w:val="00033356"/>
    <w:rsid w:val="00034C2D"/>
    <w:rsid w:val="00037DEA"/>
    <w:rsid w:val="00043370"/>
    <w:rsid w:val="00043913"/>
    <w:rsid w:val="000557F5"/>
    <w:rsid w:val="000558EA"/>
    <w:rsid w:val="00055E04"/>
    <w:rsid w:val="000578B2"/>
    <w:rsid w:val="00062BC5"/>
    <w:rsid w:val="00066E28"/>
    <w:rsid w:val="00067A8A"/>
    <w:rsid w:val="000746CD"/>
    <w:rsid w:val="000762AE"/>
    <w:rsid w:val="00077580"/>
    <w:rsid w:val="000850B0"/>
    <w:rsid w:val="00092BD6"/>
    <w:rsid w:val="000A491F"/>
    <w:rsid w:val="000B1B61"/>
    <w:rsid w:val="000B40EB"/>
    <w:rsid w:val="000C1140"/>
    <w:rsid w:val="000E43C2"/>
    <w:rsid w:val="000E5132"/>
    <w:rsid w:val="000E73A0"/>
    <w:rsid w:val="000E7C33"/>
    <w:rsid w:val="000F6839"/>
    <w:rsid w:val="00105CF4"/>
    <w:rsid w:val="00106BB4"/>
    <w:rsid w:val="00111C6E"/>
    <w:rsid w:val="00117E70"/>
    <w:rsid w:val="00121030"/>
    <w:rsid w:val="00122371"/>
    <w:rsid w:val="00131230"/>
    <w:rsid w:val="00132658"/>
    <w:rsid w:val="00133FA3"/>
    <w:rsid w:val="00142D94"/>
    <w:rsid w:val="001445E1"/>
    <w:rsid w:val="00153328"/>
    <w:rsid w:val="0016253C"/>
    <w:rsid w:val="0016518B"/>
    <w:rsid w:val="00171BD8"/>
    <w:rsid w:val="00186612"/>
    <w:rsid w:val="00190F8E"/>
    <w:rsid w:val="001A3B50"/>
    <w:rsid w:val="001A4768"/>
    <w:rsid w:val="001B1A75"/>
    <w:rsid w:val="001B3871"/>
    <w:rsid w:val="001D6493"/>
    <w:rsid w:val="001E1B47"/>
    <w:rsid w:val="001F20F2"/>
    <w:rsid w:val="001F2A90"/>
    <w:rsid w:val="001F487A"/>
    <w:rsid w:val="001F5995"/>
    <w:rsid w:val="00200DA0"/>
    <w:rsid w:val="00205028"/>
    <w:rsid w:val="002065EA"/>
    <w:rsid w:val="00210D1B"/>
    <w:rsid w:val="00211859"/>
    <w:rsid w:val="00225E60"/>
    <w:rsid w:val="002262F2"/>
    <w:rsid w:val="002302BD"/>
    <w:rsid w:val="00230C5B"/>
    <w:rsid w:val="002320DB"/>
    <w:rsid w:val="00236B07"/>
    <w:rsid w:val="002426C7"/>
    <w:rsid w:val="002605A4"/>
    <w:rsid w:val="0026602E"/>
    <w:rsid w:val="00267B66"/>
    <w:rsid w:val="00276FF6"/>
    <w:rsid w:val="00290E04"/>
    <w:rsid w:val="00297FF2"/>
    <w:rsid w:val="002A5195"/>
    <w:rsid w:val="002B1C02"/>
    <w:rsid w:val="002B1DC2"/>
    <w:rsid w:val="002B482A"/>
    <w:rsid w:val="002C2069"/>
    <w:rsid w:val="002D710B"/>
    <w:rsid w:val="002E1B7E"/>
    <w:rsid w:val="002E38D4"/>
    <w:rsid w:val="002F0113"/>
    <w:rsid w:val="002F1092"/>
    <w:rsid w:val="002F2AE8"/>
    <w:rsid w:val="002F3FFE"/>
    <w:rsid w:val="002F4842"/>
    <w:rsid w:val="003003D9"/>
    <w:rsid w:val="00300C2E"/>
    <w:rsid w:val="0030360C"/>
    <w:rsid w:val="00304562"/>
    <w:rsid w:val="003149E7"/>
    <w:rsid w:val="00320CDB"/>
    <w:rsid w:val="00321FBD"/>
    <w:rsid w:val="00323912"/>
    <w:rsid w:val="0032479D"/>
    <w:rsid w:val="003254F5"/>
    <w:rsid w:val="00325E94"/>
    <w:rsid w:val="00335526"/>
    <w:rsid w:val="00347CFD"/>
    <w:rsid w:val="00352A14"/>
    <w:rsid w:val="0035508A"/>
    <w:rsid w:val="003555D8"/>
    <w:rsid w:val="0036061F"/>
    <w:rsid w:val="003651D1"/>
    <w:rsid w:val="00377FCF"/>
    <w:rsid w:val="00380AC4"/>
    <w:rsid w:val="00381964"/>
    <w:rsid w:val="00381BE9"/>
    <w:rsid w:val="0038441C"/>
    <w:rsid w:val="00384CE6"/>
    <w:rsid w:val="00385F9C"/>
    <w:rsid w:val="00390092"/>
    <w:rsid w:val="00392A41"/>
    <w:rsid w:val="003970F0"/>
    <w:rsid w:val="003A5E63"/>
    <w:rsid w:val="003A7628"/>
    <w:rsid w:val="003C3745"/>
    <w:rsid w:val="003C6619"/>
    <w:rsid w:val="003D531D"/>
    <w:rsid w:val="003F4668"/>
    <w:rsid w:val="0045113D"/>
    <w:rsid w:val="00461219"/>
    <w:rsid w:val="0046700C"/>
    <w:rsid w:val="00475C71"/>
    <w:rsid w:val="00491ECB"/>
    <w:rsid w:val="004A2D38"/>
    <w:rsid w:val="004A3C64"/>
    <w:rsid w:val="004A4643"/>
    <w:rsid w:val="004B485A"/>
    <w:rsid w:val="004C4B0B"/>
    <w:rsid w:val="004D2016"/>
    <w:rsid w:val="004E5100"/>
    <w:rsid w:val="004E5C1C"/>
    <w:rsid w:val="005032B8"/>
    <w:rsid w:val="00512372"/>
    <w:rsid w:val="005163F3"/>
    <w:rsid w:val="0053011F"/>
    <w:rsid w:val="00540F14"/>
    <w:rsid w:val="0055069A"/>
    <w:rsid w:val="00550DAF"/>
    <w:rsid w:val="00561DF9"/>
    <w:rsid w:val="005620B4"/>
    <w:rsid w:val="00562702"/>
    <w:rsid w:val="0056421C"/>
    <w:rsid w:val="0058349F"/>
    <w:rsid w:val="00585F62"/>
    <w:rsid w:val="00592BFE"/>
    <w:rsid w:val="00596EAE"/>
    <w:rsid w:val="005A6D2A"/>
    <w:rsid w:val="005B2F9F"/>
    <w:rsid w:val="005B39AD"/>
    <w:rsid w:val="005B41D8"/>
    <w:rsid w:val="005C058F"/>
    <w:rsid w:val="005C152C"/>
    <w:rsid w:val="005C7DAD"/>
    <w:rsid w:val="005D46F8"/>
    <w:rsid w:val="005D5181"/>
    <w:rsid w:val="005D6B86"/>
    <w:rsid w:val="005E56D1"/>
    <w:rsid w:val="005E7B06"/>
    <w:rsid w:val="005F0CB2"/>
    <w:rsid w:val="005F17B8"/>
    <w:rsid w:val="005F46A3"/>
    <w:rsid w:val="006075E2"/>
    <w:rsid w:val="0061296C"/>
    <w:rsid w:val="006171DA"/>
    <w:rsid w:val="00622660"/>
    <w:rsid w:val="006252C6"/>
    <w:rsid w:val="00633661"/>
    <w:rsid w:val="006372ED"/>
    <w:rsid w:val="006373EC"/>
    <w:rsid w:val="00641813"/>
    <w:rsid w:val="00642108"/>
    <w:rsid w:val="006425E4"/>
    <w:rsid w:val="006433D4"/>
    <w:rsid w:val="00652B4D"/>
    <w:rsid w:val="0065387D"/>
    <w:rsid w:val="00660932"/>
    <w:rsid w:val="006612EC"/>
    <w:rsid w:val="00662B10"/>
    <w:rsid w:val="00672573"/>
    <w:rsid w:val="00672E9E"/>
    <w:rsid w:val="00680042"/>
    <w:rsid w:val="006930EF"/>
    <w:rsid w:val="006976C1"/>
    <w:rsid w:val="006A1576"/>
    <w:rsid w:val="006A336A"/>
    <w:rsid w:val="006A5B28"/>
    <w:rsid w:val="006B22C2"/>
    <w:rsid w:val="006C0762"/>
    <w:rsid w:val="006C4B4B"/>
    <w:rsid w:val="006C5378"/>
    <w:rsid w:val="006C5AC7"/>
    <w:rsid w:val="006C5B9E"/>
    <w:rsid w:val="006D3E73"/>
    <w:rsid w:val="006D63C9"/>
    <w:rsid w:val="006E1382"/>
    <w:rsid w:val="006E1624"/>
    <w:rsid w:val="006F1353"/>
    <w:rsid w:val="006F7813"/>
    <w:rsid w:val="007021D6"/>
    <w:rsid w:val="007049BA"/>
    <w:rsid w:val="00705A97"/>
    <w:rsid w:val="007066DC"/>
    <w:rsid w:val="007078A2"/>
    <w:rsid w:val="007166E4"/>
    <w:rsid w:val="00720C96"/>
    <w:rsid w:val="00725618"/>
    <w:rsid w:val="00725D98"/>
    <w:rsid w:val="00726504"/>
    <w:rsid w:val="00730DE1"/>
    <w:rsid w:val="00740747"/>
    <w:rsid w:val="00746D9D"/>
    <w:rsid w:val="00746DFE"/>
    <w:rsid w:val="00747466"/>
    <w:rsid w:val="007548E6"/>
    <w:rsid w:val="00761FC6"/>
    <w:rsid w:val="007648A7"/>
    <w:rsid w:val="00770809"/>
    <w:rsid w:val="00780C62"/>
    <w:rsid w:val="007834DE"/>
    <w:rsid w:val="0079269A"/>
    <w:rsid w:val="00794256"/>
    <w:rsid w:val="007A6015"/>
    <w:rsid w:val="007B03D5"/>
    <w:rsid w:val="007B0BD1"/>
    <w:rsid w:val="007B2A64"/>
    <w:rsid w:val="007B5EF1"/>
    <w:rsid w:val="007C0391"/>
    <w:rsid w:val="007C1B50"/>
    <w:rsid w:val="007C494E"/>
    <w:rsid w:val="007D2FA9"/>
    <w:rsid w:val="007D41BA"/>
    <w:rsid w:val="007E7EDB"/>
    <w:rsid w:val="007F032B"/>
    <w:rsid w:val="007F161B"/>
    <w:rsid w:val="007F1EA8"/>
    <w:rsid w:val="007F6876"/>
    <w:rsid w:val="007F6A48"/>
    <w:rsid w:val="007F7090"/>
    <w:rsid w:val="00804490"/>
    <w:rsid w:val="00810FEF"/>
    <w:rsid w:val="00820AB9"/>
    <w:rsid w:val="00822182"/>
    <w:rsid w:val="0082735A"/>
    <w:rsid w:val="00831232"/>
    <w:rsid w:val="008359DB"/>
    <w:rsid w:val="008423DF"/>
    <w:rsid w:val="008444CB"/>
    <w:rsid w:val="00851430"/>
    <w:rsid w:val="00852030"/>
    <w:rsid w:val="00854540"/>
    <w:rsid w:val="008723C8"/>
    <w:rsid w:val="008773A3"/>
    <w:rsid w:val="00881E9B"/>
    <w:rsid w:val="00890850"/>
    <w:rsid w:val="008A3F97"/>
    <w:rsid w:val="008C2749"/>
    <w:rsid w:val="008D0912"/>
    <w:rsid w:val="008D5560"/>
    <w:rsid w:val="008E1419"/>
    <w:rsid w:val="008E402B"/>
    <w:rsid w:val="008E4502"/>
    <w:rsid w:val="008F05A4"/>
    <w:rsid w:val="00907CBD"/>
    <w:rsid w:val="009205B3"/>
    <w:rsid w:val="00936835"/>
    <w:rsid w:val="009510A3"/>
    <w:rsid w:val="00964AEE"/>
    <w:rsid w:val="00972880"/>
    <w:rsid w:val="0099051F"/>
    <w:rsid w:val="00991429"/>
    <w:rsid w:val="009A0285"/>
    <w:rsid w:val="009A3474"/>
    <w:rsid w:val="009A4974"/>
    <w:rsid w:val="009A5201"/>
    <w:rsid w:val="009B0029"/>
    <w:rsid w:val="009B23D4"/>
    <w:rsid w:val="009B38D5"/>
    <w:rsid w:val="009B7622"/>
    <w:rsid w:val="009D1257"/>
    <w:rsid w:val="009D327C"/>
    <w:rsid w:val="009E2113"/>
    <w:rsid w:val="009E5AE0"/>
    <w:rsid w:val="009F1364"/>
    <w:rsid w:val="00A11C61"/>
    <w:rsid w:val="00A1410E"/>
    <w:rsid w:val="00A153EF"/>
    <w:rsid w:val="00A169EB"/>
    <w:rsid w:val="00A21105"/>
    <w:rsid w:val="00A22F84"/>
    <w:rsid w:val="00A3045B"/>
    <w:rsid w:val="00A33D14"/>
    <w:rsid w:val="00A409E8"/>
    <w:rsid w:val="00A40F3A"/>
    <w:rsid w:val="00A45FA7"/>
    <w:rsid w:val="00A505F5"/>
    <w:rsid w:val="00AA02C5"/>
    <w:rsid w:val="00AA4007"/>
    <w:rsid w:val="00AA5C7F"/>
    <w:rsid w:val="00AB15F1"/>
    <w:rsid w:val="00AB1C56"/>
    <w:rsid w:val="00AC1DC0"/>
    <w:rsid w:val="00AC7053"/>
    <w:rsid w:val="00AD3505"/>
    <w:rsid w:val="00AD5B84"/>
    <w:rsid w:val="00AE1935"/>
    <w:rsid w:val="00AE5FB5"/>
    <w:rsid w:val="00B22E79"/>
    <w:rsid w:val="00B236FB"/>
    <w:rsid w:val="00B26721"/>
    <w:rsid w:val="00B26B77"/>
    <w:rsid w:val="00B36BA9"/>
    <w:rsid w:val="00B36C26"/>
    <w:rsid w:val="00B5004A"/>
    <w:rsid w:val="00B50873"/>
    <w:rsid w:val="00B51EF1"/>
    <w:rsid w:val="00B54ADE"/>
    <w:rsid w:val="00B579CA"/>
    <w:rsid w:val="00B61621"/>
    <w:rsid w:val="00B76DB2"/>
    <w:rsid w:val="00B8038C"/>
    <w:rsid w:val="00B80533"/>
    <w:rsid w:val="00B907AC"/>
    <w:rsid w:val="00B93FF7"/>
    <w:rsid w:val="00B97ECE"/>
    <w:rsid w:val="00BA2C3E"/>
    <w:rsid w:val="00BB1E48"/>
    <w:rsid w:val="00BB31B4"/>
    <w:rsid w:val="00BD2DBF"/>
    <w:rsid w:val="00BD4C0B"/>
    <w:rsid w:val="00BD4FC7"/>
    <w:rsid w:val="00BD7F59"/>
    <w:rsid w:val="00BE784F"/>
    <w:rsid w:val="00BE7859"/>
    <w:rsid w:val="00BF5927"/>
    <w:rsid w:val="00C00C16"/>
    <w:rsid w:val="00C04189"/>
    <w:rsid w:val="00C05643"/>
    <w:rsid w:val="00C10803"/>
    <w:rsid w:val="00C10F1F"/>
    <w:rsid w:val="00C11D6F"/>
    <w:rsid w:val="00C16FF2"/>
    <w:rsid w:val="00C17F89"/>
    <w:rsid w:val="00C20971"/>
    <w:rsid w:val="00C226A8"/>
    <w:rsid w:val="00C24CB6"/>
    <w:rsid w:val="00C268D6"/>
    <w:rsid w:val="00C35B47"/>
    <w:rsid w:val="00C50C40"/>
    <w:rsid w:val="00C53FF3"/>
    <w:rsid w:val="00C66925"/>
    <w:rsid w:val="00C72801"/>
    <w:rsid w:val="00C82149"/>
    <w:rsid w:val="00C868E2"/>
    <w:rsid w:val="00C9548C"/>
    <w:rsid w:val="00CA4B09"/>
    <w:rsid w:val="00CA681C"/>
    <w:rsid w:val="00CA7CF3"/>
    <w:rsid w:val="00CB5190"/>
    <w:rsid w:val="00CB74AC"/>
    <w:rsid w:val="00CC04D9"/>
    <w:rsid w:val="00CC102B"/>
    <w:rsid w:val="00CC1ED4"/>
    <w:rsid w:val="00CC60F3"/>
    <w:rsid w:val="00CD1026"/>
    <w:rsid w:val="00CD47F5"/>
    <w:rsid w:val="00CE21CB"/>
    <w:rsid w:val="00CE333D"/>
    <w:rsid w:val="00D074D9"/>
    <w:rsid w:val="00D15BC6"/>
    <w:rsid w:val="00D2326A"/>
    <w:rsid w:val="00D233B5"/>
    <w:rsid w:val="00D373FA"/>
    <w:rsid w:val="00D37C58"/>
    <w:rsid w:val="00D4747F"/>
    <w:rsid w:val="00D474FD"/>
    <w:rsid w:val="00D53D9D"/>
    <w:rsid w:val="00D54018"/>
    <w:rsid w:val="00D66629"/>
    <w:rsid w:val="00D67CEE"/>
    <w:rsid w:val="00D80B6A"/>
    <w:rsid w:val="00D8223A"/>
    <w:rsid w:val="00D86D3C"/>
    <w:rsid w:val="00D90B5D"/>
    <w:rsid w:val="00D92E1B"/>
    <w:rsid w:val="00DA3DA6"/>
    <w:rsid w:val="00DB5881"/>
    <w:rsid w:val="00DB6AF1"/>
    <w:rsid w:val="00DB7309"/>
    <w:rsid w:val="00DC0436"/>
    <w:rsid w:val="00DC7C0B"/>
    <w:rsid w:val="00DD42D7"/>
    <w:rsid w:val="00DF2270"/>
    <w:rsid w:val="00DF666B"/>
    <w:rsid w:val="00E00098"/>
    <w:rsid w:val="00E05562"/>
    <w:rsid w:val="00E10814"/>
    <w:rsid w:val="00E1105B"/>
    <w:rsid w:val="00E15A7D"/>
    <w:rsid w:val="00E33F6B"/>
    <w:rsid w:val="00E34E03"/>
    <w:rsid w:val="00E5616B"/>
    <w:rsid w:val="00E60008"/>
    <w:rsid w:val="00E63F8C"/>
    <w:rsid w:val="00E65D12"/>
    <w:rsid w:val="00E66C9A"/>
    <w:rsid w:val="00E66CA0"/>
    <w:rsid w:val="00E677D0"/>
    <w:rsid w:val="00E72437"/>
    <w:rsid w:val="00E73FCF"/>
    <w:rsid w:val="00E8237B"/>
    <w:rsid w:val="00E85D43"/>
    <w:rsid w:val="00E91B99"/>
    <w:rsid w:val="00E9248F"/>
    <w:rsid w:val="00E957CB"/>
    <w:rsid w:val="00EA064F"/>
    <w:rsid w:val="00EA582C"/>
    <w:rsid w:val="00EB0E67"/>
    <w:rsid w:val="00EB6AFD"/>
    <w:rsid w:val="00EC1BEA"/>
    <w:rsid w:val="00EC2D33"/>
    <w:rsid w:val="00EC4607"/>
    <w:rsid w:val="00ED11BF"/>
    <w:rsid w:val="00EE5F75"/>
    <w:rsid w:val="00EE71EE"/>
    <w:rsid w:val="00EF0CD7"/>
    <w:rsid w:val="00EF1700"/>
    <w:rsid w:val="00EF3FBF"/>
    <w:rsid w:val="00EF5D5D"/>
    <w:rsid w:val="00F025FD"/>
    <w:rsid w:val="00F21260"/>
    <w:rsid w:val="00F27634"/>
    <w:rsid w:val="00F33DBF"/>
    <w:rsid w:val="00F40312"/>
    <w:rsid w:val="00F675EE"/>
    <w:rsid w:val="00F67698"/>
    <w:rsid w:val="00F71BF2"/>
    <w:rsid w:val="00F776DA"/>
    <w:rsid w:val="00F80451"/>
    <w:rsid w:val="00F81DF2"/>
    <w:rsid w:val="00F83C01"/>
    <w:rsid w:val="00F86CD8"/>
    <w:rsid w:val="00F922FD"/>
    <w:rsid w:val="00FA2903"/>
    <w:rsid w:val="00FA2B88"/>
    <w:rsid w:val="00FB7D53"/>
    <w:rsid w:val="00FC32B8"/>
    <w:rsid w:val="00FD01E8"/>
    <w:rsid w:val="00FD2480"/>
    <w:rsid w:val="00FE1B3C"/>
    <w:rsid w:val="00FE7BBF"/>
    <w:rsid w:val="00FF0DE2"/>
    <w:rsid w:val="00FF2B67"/>
    <w:rsid w:val="00FF66D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02E28042"/>
  <w15:chartTrackingRefBased/>
  <w15:docId w15:val="{6A00EA19-7BFA-45A9-AEE3-775FE642D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66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66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66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66E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66E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66E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66E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66E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66E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66E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66E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66E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66E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66E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66E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66E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66E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66E4"/>
    <w:rPr>
      <w:rFonts w:eastAsiaTheme="majorEastAsia" w:cstheme="majorBidi"/>
      <w:color w:val="272727" w:themeColor="text1" w:themeTint="D8"/>
    </w:rPr>
  </w:style>
  <w:style w:type="paragraph" w:styleId="Title">
    <w:name w:val="Title"/>
    <w:basedOn w:val="Normal"/>
    <w:next w:val="Normal"/>
    <w:link w:val="TitleChar"/>
    <w:uiPriority w:val="10"/>
    <w:qFormat/>
    <w:rsid w:val="007166E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66E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66E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66E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66E4"/>
    <w:pPr>
      <w:spacing w:before="160"/>
      <w:jc w:val="center"/>
    </w:pPr>
    <w:rPr>
      <w:i/>
      <w:iCs/>
      <w:color w:val="404040" w:themeColor="text1" w:themeTint="BF"/>
    </w:rPr>
  </w:style>
  <w:style w:type="character" w:customStyle="1" w:styleId="QuoteChar">
    <w:name w:val="Quote Char"/>
    <w:basedOn w:val="DefaultParagraphFont"/>
    <w:link w:val="Quote"/>
    <w:uiPriority w:val="29"/>
    <w:rsid w:val="007166E4"/>
    <w:rPr>
      <w:i/>
      <w:iCs/>
      <w:color w:val="404040" w:themeColor="text1" w:themeTint="BF"/>
    </w:rPr>
  </w:style>
  <w:style w:type="paragraph" w:styleId="ListParagraph">
    <w:name w:val="List Paragraph"/>
    <w:basedOn w:val="Normal"/>
    <w:uiPriority w:val="34"/>
    <w:qFormat/>
    <w:rsid w:val="007166E4"/>
    <w:pPr>
      <w:ind w:left="720"/>
      <w:contextualSpacing/>
    </w:pPr>
  </w:style>
  <w:style w:type="character" w:styleId="IntenseEmphasis">
    <w:name w:val="Intense Emphasis"/>
    <w:basedOn w:val="DefaultParagraphFont"/>
    <w:uiPriority w:val="21"/>
    <w:qFormat/>
    <w:rsid w:val="007166E4"/>
    <w:rPr>
      <w:i/>
      <w:iCs/>
      <w:color w:val="0F4761" w:themeColor="accent1" w:themeShade="BF"/>
    </w:rPr>
  </w:style>
  <w:style w:type="paragraph" w:styleId="IntenseQuote">
    <w:name w:val="Intense Quote"/>
    <w:basedOn w:val="Normal"/>
    <w:next w:val="Normal"/>
    <w:link w:val="IntenseQuoteChar"/>
    <w:uiPriority w:val="30"/>
    <w:qFormat/>
    <w:rsid w:val="007166E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66E4"/>
    <w:rPr>
      <w:i/>
      <w:iCs/>
      <w:color w:val="0F4761" w:themeColor="accent1" w:themeShade="BF"/>
    </w:rPr>
  </w:style>
  <w:style w:type="character" w:styleId="IntenseReference">
    <w:name w:val="Intense Reference"/>
    <w:basedOn w:val="DefaultParagraphFont"/>
    <w:uiPriority w:val="32"/>
    <w:qFormat/>
    <w:rsid w:val="007166E4"/>
    <w:rPr>
      <w:b/>
      <w:bCs/>
      <w:smallCaps/>
      <w:color w:val="0F4761" w:themeColor="accent1" w:themeShade="BF"/>
      <w:spacing w:val="5"/>
    </w:rPr>
  </w:style>
  <w:style w:type="paragraph" w:styleId="FootnoteText">
    <w:name w:val="footnote text"/>
    <w:basedOn w:val="Normal"/>
    <w:link w:val="FootnoteTextChar"/>
    <w:uiPriority w:val="99"/>
    <w:semiHidden/>
    <w:unhideWhenUsed/>
    <w:rsid w:val="007166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66E4"/>
    <w:rPr>
      <w:sz w:val="20"/>
      <w:szCs w:val="20"/>
    </w:rPr>
  </w:style>
  <w:style w:type="paragraph" w:styleId="Footer">
    <w:name w:val="footer"/>
    <w:basedOn w:val="Normal"/>
    <w:link w:val="FooterChar"/>
    <w:uiPriority w:val="99"/>
    <w:unhideWhenUsed/>
    <w:rsid w:val="007166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66E4"/>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uiPriority w:val="99"/>
    <w:qFormat/>
    <w:rsid w:val="007166E4"/>
    <w:rPr>
      <w:rFonts w:ascii="Times New Roman" w:hAnsi="Times New Roman"/>
      <w:dstrike w:val="0"/>
      <w:color w:val="auto"/>
      <w:sz w:val="22"/>
      <w:vertAlign w:val="superscript"/>
    </w:rPr>
  </w:style>
  <w:style w:type="table" w:styleId="TableGrid">
    <w:name w:val="Table Grid"/>
    <w:basedOn w:val="TableNormal"/>
    <w:uiPriority w:val="39"/>
    <w:rsid w:val="007166E4"/>
    <w:pPr>
      <w:spacing w:after="0" w:line="240" w:lineRule="auto"/>
    </w:pPr>
    <w:rPr>
      <w:rFonts w:ascii="Times New Roman" w:eastAsia="Times New Roman"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166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66E4"/>
  </w:style>
  <w:style w:type="character" w:styleId="Hyperlink">
    <w:name w:val="Hyperlink"/>
    <w:basedOn w:val="DefaultParagraphFont"/>
    <w:uiPriority w:val="99"/>
    <w:unhideWhenUsed/>
    <w:rsid w:val="007166E4"/>
    <w:rPr>
      <w:color w:val="467886" w:themeColor="hyperlink"/>
      <w:u w:val="single"/>
    </w:rPr>
  </w:style>
  <w:style w:type="character" w:styleId="UnresolvedMention">
    <w:name w:val="Unresolved Mention"/>
    <w:basedOn w:val="DefaultParagraphFont"/>
    <w:uiPriority w:val="99"/>
    <w:semiHidden/>
    <w:unhideWhenUsed/>
    <w:rsid w:val="007166E4"/>
    <w:rPr>
      <w:color w:val="605E5C"/>
      <w:shd w:val="clear" w:color="auto" w:fill="E1DFDD"/>
    </w:rPr>
  </w:style>
  <w:style w:type="character" w:styleId="FollowedHyperlink">
    <w:name w:val="FollowedHyperlink"/>
    <w:basedOn w:val="DefaultParagraphFont"/>
    <w:uiPriority w:val="99"/>
    <w:semiHidden/>
    <w:unhideWhenUsed/>
    <w:rsid w:val="007166E4"/>
    <w:rPr>
      <w:color w:val="96607D" w:themeColor="followedHyperlink"/>
      <w:u w:val="single"/>
    </w:rPr>
  </w:style>
  <w:style w:type="paragraph" w:styleId="Revision">
    <w:name w:val="Revision"/>
    <w:hidden/>
    <w:uiPriority w:val="99"/>
    <w:semiHidden/>
    <w:rsid w:val="00B26721"/>
    <w:pPr>
      <w:spacing w:after="0" w:line="240" w:lineRule="auto"/>
    </w:pPr>
  </w:style>
  <w:style w:type="character" w:styleId="CommentReference">
    <w:name w:val="annotation reference"/>
    <w:basedOn w:val="DefaultParagraphFont"/>
    <w:uiPriority w:val="99"/>
    <w:semiHidden/>
    <w:unhideWhenUsed/>
    <w:rsid w:val="00066E28"/>
    <w:rPr>
      <w:sz w:val="16"/>
      <w:szCs w:val="16"/>
    </w:rPr>
  </w:style>
  <w:style w:type="paragraph" w:styleId="CommentText">
    <w:name w:val="annotation text"/>
    <w:basedOn w:val="Normal"/>
    <w:link w:val="CommentTextChar"/>
    <w:uiPriority w:val="99"/>
    <w:unhideWhenUsed/>
    <w:rsid w:val="00066E28"/>
    <w:pPr>
      <w:spacing w:line="240" w:lineRule="auto"/>
    </w:pPr>
    <w:rPr>
      <w:sz w:val="20"/>
      <w:szCs w:val="20"/>
    </w:rPr>
  </w:style>
  <w:style w:type="character" w:customStyle="1" w:styleId="CommentTextChar">
    <w:name w:val="Comment Text Char"/>
    <w:basedOn w:val="DefaultParagraphFont"/>
    <w:link w:val="CommentText"/>
    <w:uiPriority w:val="99"/>
    <w:rsid w:val="00066E28"/>
    <w:rPr>
      <w:sz w:val="20"/>
      <w:szCs w:val="20"/>
    </w:rPr>
  </w:style>
  <w:style w:type="paragraph" w:styleId="CommentSubject">
    <w:name w:val="annotation subject"/>
    <w:basedOn w:val="CommentText"/>
    <w:next w:val="CommentText"/>
    <w:link w:val="CommentSubjectChar"/>
    <w:uiPriority w:val="99"/>
    <w:semiHidden/>
    <w:unhideWhenUsed/>
    <w:rsid w:val="00066E28"/>
    <w:rPr>
      <w:b/>
      <w:bCs/>
    </w:rPr>
  </w:style>
  <w:style w:type="character" w:customStyle="1" w:styleId="CommentSubjectChar">
    <w:name w:val="Comment Subject Char"/>
    <w:basedOn w:val="CommentTextChar"/>
    <w:link w:val="CommentSubject"/>
    <w:uiPriority w:val="99"/>
    <w:semiHidden/>
    <w:rsid w:val="00066E28"/>
    <w:rPr>
      <w:b/>
      <w:bCs/>
      <w:sz w:val="20"/>
      <w:szCs w:val="20"/>
    </w:rPr>
  </w:style>
  <w:style w:type="character" w:styleId="Mention">
    <w:name w:val="Mention"/>
    <w:basedOn w:val="DefaultParagraphFont"/>
    <w:uiPriority w:val="99"/>
    <w:unhideWhenUsed/>
    <w:rsid w:val="001445E1"/>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2.xml" /><Relationship Id="rId11" Type="http://schemas.openxmlformats.org/officeDocument/2006/relationships/header" Target="header2.xml" /><Relationship Id="rId12" Type="http://schemas.openxmlformats.org/officeDocument/2006/relationships/hyperlink" Target="https://bluelist.appsplatformportals.us/Cleared-List/" TargetMode="External" /><Relationship Id="rId13" Type="http://schemas.openxmlformats.org/officeDocument/2006/relationships/hyperlink" Target="https://bluelist.appsplatformportals.us/Framework/" TargetMode="External" /><Relationship Id="rId14" Type="http://schemas.openxmlformats.org/officeDocument/2006/relationships/hyperlink" Target="https://www.ecfr.gov/current/title-48/chapter-1/subchapter-D/part-25/subpart-25.1/section-25.101" TargetMode="External" /><Relationship Id="rId15" Type="http://schemas.openxmlformats.org/officeDocument/2006/relationships/hyperlink" Target="https://www.congress.gov/118/plaws/publ159/PLAW-118publ159.pdf" TargetMode="External" /><Relationship Id="rId16" Type="http://schemas.openxmlformats.org/officeDocument/2006/relationships/hyperlink" Target="https://www.fcc.gov/sites/default/files/National-Security-Determination-for-UAS.pdf" TargetMode="External" /><Relationship Id="rId17" Type="http://schemas.openxmlformats.org/officeDocument/2006/relationships/hyperlink" Target="https://gcc02.safelinks.protection.outlook.com/?url=https%3A%2F%2Fwww.fcc.gov%2Ffiles%2Fnsd-fcc-covered-list-waiver-0126&amp;data=05%7C02%7CAdam.Chan%40fcc.gov%7Cc02e17568d314934adbd08de4e242310%7C72970aed36694ca8b960dd016bc72973%7C0%7C0%7C639034114293093703%7CUnknown%7CTWFpbGZsb3d8eyJFbXB0eU1hcGkiOnRydWUsIlYiOiIwLjAuMDAwMCIsIlAiOiJXaW4zMiIsIkFOIjoiTWFpbCIsIldUIjoyfQ%3D%3D%7C0%7C%7C%7C&amp;sdata=n2FUJoAWp4cUQjhf1elk7W0wQwL6peIYLQ83EEdBp4k%3D&amp;reserved=0" TargetMode="External" /><Relationship Id="rId18" Type="http://schemas.openxmlformats.org/officeDocument/2006/relationships/hyperlink" Target="https://gcc02.safelinks.protection.outlook.com/?url=https%3A%2F%2Fwww.fcc.gov%2Fsites%2Fdefault%2Ffiles%2FNSD-Routers0326.pdf&amp;data=05%7C02%7CRebecca.Clinton%40fcc.gov%7C04e422273a424fe5463d08de8900eb9a%7C72970aed36694ca8b960dd016bc72973%7C0%7C0%7C639098834204781257%7CUnknown%7CTWFpbGZsb3d8eyJFbXB0eU1hcGkiOnRydWUsIlYiOiIwLjAuMDAwMCIsIlAiOiJXaW4zMiIsIkFOIjoiTWFpbCIsIldUIjoyfQ%3D%3D%7C0%7C%7C%7C&amp;sdata=CXZV2hrqj7py7QvBmCQJrRzemplQ9ruoMrZC18dQyTk%3D&amp;reserved=0" TargetMode="External" /><Relationship Id="rId19" Type="http://schemas.openxmlformats.org/officeDocument/2006/relationships/footer" Target="footer3.xml" /><Relationship Id="rId2" Type="http://schemas.openxmlformats.org/officeDocument/2006/relationships/settings" Target="settings.xml" /><Relationship Id="rId20" Type="http://schemas.openxmlformats.org/officeDocument/2006/relationships/footer" Target="footer4.xml" /><Relationship Id="rId21" Type="http://schemas.openxmlformats.org/officeDocument/2006/relationships/theme" Target="theme/theme1.xml" /><Relationship Id="rId22" Type="http://schemas.openxmlformats.org/officeDocument/2006/relationships/numbering" Target="numbering.xml" /><Relationship Id="rId23"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supplychain/coveredlist" TargetMode="External" /><Relationship Id="rId6" Type="http://schemas.openxmlformats.org/officeDocument/2006/relationships/hyperlink" Target="mailto:Chris.Smeenk@fcc.gov" TargetMode="External" /><Relationship Id="rId7" Type="http://schemas.openxmlformats.org/officeDocument/2006/relationships/hyperlink" Target="mailto:Rebecca.Clinton@fcc.gov" TargetMode="External" /><Relationship Id="rId8" Type="http://schemas.openxmlformats.org/officeDocument/2006/relationships/header" Target="header1.xml" /><Relationship Id="rId9" Type="http://schemas.openxmlformats.org/officeDocument/2006/relationships/footer" Target="footer1.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