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2574F0" w:rsidP="002574F0" w14:paraId="48B8C63C" w14:textId="201344DD">
      <w:pPr>
        <w:spacing w:after="120"/>
        <w:jc w:val="center"/>
        <w:rPr>
          <w:b/>
        </w:rPr>
      </w:pPr>
      <w:r w:rsidRPr="23187ED5">
        <w:rPr>
          <w:rFonts w:ascii="Times New Roman Bold" w:hAnsi="Times New Roman Bold"/>
          <w:b/>
          <w:kern w:val="0"/>
        </w:rPr>
        <w:t>Before</w:t>
      </w:r>
      <w:r>
        <w:rPr>
          <w:b/>
        </w:rPr>
        <w:t xml:space="preserve"> the</w:t>
      </w:r>
    </w:p>
    <w:p w:rsidR="002574F0" w:rsidP="002574F0" w14:paraId="7399D19F" w14:textId="77777777">
      <w:pPr>
        <w:pStyle w:val="StyleBoldCentered"/>
        <w:spacing w:after="120"/>
      </w:pPr>
      <w:r>
        <w:t>F</w:t>
      </w:r>
      <w:r>
        <w:rPr>
          <w:caps w:val="0"/>
        </w:rPr>
        <w:t>ederal Communications Commission</w:t>
      </w:r>
    </w:p>
    <w:p w:rsidR="002574F0" w:rsidP="002574F0" w14:paraId="6F0BBB31" w14:textId="616D5081">
      <w:pPr>
        <w:pStyle w:val="StyleBoldCentered"/>
        <w:spacing w:after="120"/>
      </w:pPr>
      <w:r>
        <w:rPr>
          <w:caps w:val="0"/>
        </w:rPr>
        <w:t>Washington, D.C. 20554</w:t>
      </w:r>
    </w:p>
    <w:p w:rsidR="002574F0" w:rsidP="002574F0" w14:paraId="30193F83" w14:textId="77777777">
      <w:pPr>
        <w:spacing w:after="120"/>
      </w:pPr>
    </w:p>
    <w:tbl>
      <w:tblPr>
        <w:tblpPr w:leftFromText="180" w:rightFromText="180" w:vertAnchor="text" w:tblpY="1"/>
        <w:tblOverlap w:val="never"/>
        <w:tblW w:w="0" w:type="auto"/>
        <w:tblLayout w:type="fixed"/>
        <w:tblLook w:val="0000"/>
      </w:tblPr>
      <w:tblGrid>
        <w:gridCol w:w="4313"/>
        <w:gridCol w:w="578"/>
      </w:tblGrid>
      <w:tr w14:paraId="1BE167C2" w14:textId="77777777" w:rsidTr="009F374E">
        <w:tblPrEx>
          <w:tblW w:w="0" w:type="auto"/>
          <w:tblLayout w:type="fixed"/>
          <w:tblLook w:val="0000"/>
        </w:tblPrEx>
        <w:trPr>
          <w:trHeight w:val="4782"/>
        </w:trPr>
        <w:tc>
          <w:tcPr>
            <w:tcW w:w="4313" w:type="dxa"/>
          </w:tcPr>
          <w:p w:rsidR="002574F0" w:rsidP="009F374E" w14:paraId="53A6500B" w14:textId="77777777">
            <w:pPr>
              <w:tabs>
                <w:tab w:val="center" w:pos="4680"/>
              </w:tabs>
              <w:suppressAutoHyphens/>
              <w:spacing w:after="120"/>
            </w:pPr>
            <w:r>
              <w:rPr>
                <w:spacing w:val="-2"/>
              </w:rPr>
              <w:t>In the Matter of</w:t>
            </w:r>
          </w:p>
          <w:p w:rsidR="002574F0" w:rsidP="009F374E" w14:paraId="2E598C77" w14:textId="77777777">
            <w:pPr>
              <w:tabs>
                <w:tab w:val="center" w:pos="4680"/>
              </w:tabs>
              <w:spacing w:after="120"/>
            </w:pPr>
            <w:r>
              <w:t>Space Exploration Holdings LLC</w:t>
            </w:r>
          </w:p>
          <w:p w:rsidR="002574F0" w:rsidP="009F374E" w14:paraId="3C6E7C3C" w14:textId="77777777">
            <w:pPr>
              <w:tabs>
                <w:tab w:val="center" w:pos="4680"/>
              </w:tabs>
              <w:spacing w:after="120"/>
            </w:pPr>
          </w:p>
          <w:p w:rsidR="002574F0" w:rsidP="009F374E" w14:paraId="75A0DCD1" w14:textId="77777777">
            <w:pPr>
              <w:tabs>
                <w:tab w:val="center" w:pos="4680"/>
              </w:tabs>
              <w:spacing w:after="120"/>
            </w:pPr>
          </w:p>
          <w:p w:rsidR="002574F0" w:rsidP="009F374E" w14:paraId="374421A8" w14:textId="77777777">
            <w:pPr>
              <w:tabs>
                <w:tab w:val="center" w:pos="4680"/>
              </w:tabs>
              <w:suppressAutoHyphens/>
              <w:spacing w:after="120"/>
              <w:rPr>
                <w:spacing w:val="-2"/>
              </w:rPr>
            </w:pPr>
          </w:p>
          <w:p w:rsidR="002574F0" w:rsidP="009F374E" w14:paraId="6B646333" w14:textId="77777777">
            <w:pPr>
              <w:tabs>
                <w:tab w:val="center" w:pos="4680"/>
              </w:tabs>
              <w:suppressAutoHyphens/>
              <w:spacing w:after="120"/>
              <w:rPr>
                <w:spacing w:val="-2"/>
              </w:rPr>
            </w:pPr>
          </w:p>
          <w:p w:rsidR="002574F0" w:rsidP="009F374E" w14:paraId="053E9717" w14:textId="77777777">
            <w:pPr>
              <w:tabs>
                <w:tab w:val="center" w:pos="4680"/>
              </w:tabs>
              <w:suppressAutoHyphens/>
              <w:spacing w:after="120"/>
            </w:pPr>
          </w:p>
          <w:p w:rsidR="002574F0" w:rsidP="009F374E" w14:paraId="4D36EEB3" w14:textId="77777777">
            <w:pPr>
              <w:tabs>
                <w:tab w:val="center" w:pos="4680"/>
              </w:tabs>
              <w:suppressAutoHyphens/>
              <w:spacing w:after="120"/>
            </w:pPr>
          </w:p>
          <w:p w:rsidR="002574F0" w:rsidP="009F374E" w14:paraId="4F701C59" w14:textId="77777777">
            <w:pPr>
              <w:tabs>
                <w:tab w:val="center" w:pos="4680"/>
              </w:tabs>
              <w:suppressAutoHyphens/>
              <w:spacing w:after="120"/>
            </w:pPr>
          </w:p>
          <w:p w:rsidR="002574F0" w:rsidP="009F374E" w14:paraId="72FEE6D6" w14:textId="77777777">
            <w:pPr>
              <w:tabs>
                <w:tab w:val="center" w:pos="4680"/>
              </w:tabs>
              <w:suppressAutoHyphens/>
            </w:pPr>
          </w:p>
          <w:p w:rsidR="002574F0" w:rsidP="009F374E" w14:paraId="3B638290" w14:textId="77777777">
            <w:pPr>
              <w:tabs>
                <w:tab w:val="center" w:pos="4680"/>
              </w:tabs>
              <w:suppressAutoHyphens/>
            </w:pPr>
          </w:p>
          <w:p w:rsidR="00F12107" w:rsidP="00F12107" w14:paraId="3D6DC245" w14:textId="77777777">
            <w:pPr>
              <w:tabs>
                <w:tab w:val="center" w:pos="4680"/>
              </w:tabs>
              <w:suppressAutoHyphens/>
              <w:spacing w:after="120"/>
            </w:pPr>
          </w:p>
          <w:p w:rsidR="00F12107" w:rsidRPr="00E52A1C" w:rsidP="00F12107" w14:paraId="61F8A780" w14:textId="77777777">
            <w:pPr>
              <w:tabs>
                <w:tab w:val="center" w:pos="4680"/>
              </w:tabs>
              <w:suppressAutoHyphens/>
              <w:spacing w:after="120"/>
            </w:pPr>
          </w:p>
          <w:p w:rsidR="00FD1570" w:rsidRPr="005F0B04" w:rsidP="00F12107" w14:paraId="26095830" w14:textId="35EAB4EE">
            <w:pPr>
              <w:tabs>
                <w:tab w:val="center" w:pos="4680"/>
              </w:tabs>
              <w:suppressAutoHyphens/>
              <w:spacing w:after="120"/>
            </w:pPr>
            <w:r w:rsidRPr="006D647D">
              <w:t>K</w:t>
            </w:r>
            <w:r w:rsidRPr="006D647D" w:rsidR="0031357D">
              <w:t xml:space="preserve">epler Communications </w:t>
            </w:r>
            <w:r w:rsidRPr="006D647D" w:rsidR="00046CFC">
              <w:t>Inc.</w:t>
            </w:r>
            <w:r w:rsidRPr="005F0B04" w:rsidR="00046CFC">
              <w:t xml:space="preserve"> </w:t>
            </w:r>
          </w:p>
          <w:p w:rsidR="00FD1570" w:rsidRPr="005F0B04" w:rsidP="00F12107" w14:paraId="54F97BDB" w14:textId="77777777">
            <w:pPr>
              <w:tabs>
                <w:tab w:val="center" w:pos="4680"/>
              </w:tabs>
              <w:suppressAutoHyphens/>
              <w:spacing w:after="120"/>
            </w:pPr>
          </w:p>
          <w:p w:rsidR="002574F0" w:rsidP="009F374E" w14:paraId="002B69C6" w14:textId="545121E9">
            <w:pPr>
              <w:tabs>
                <w:tab w:val="center" w:pos="4680"/>
              </w:tabs>
              <w:suppressAutoHyphens/>
            </w:pPr>
          </w:p>
          <w:p w:rsidR="00DE6219" w:rsidRPr="005A334F" w:rsidP="009F374E" w14:paraId="7394A72D" w14:textId="7A0BDE6B">
            <w:pPr>
              <w:tabs>
                <w:tab w:val="center" w:pos="4680"/>
              </w:tabs>
              <w:suppressAutoHyphens/>
              <w:rPr>
                <w:spacing w:val="-2"/>
              </w:rPr>
            </w:pPr>
            <w:r w:rsidRPr="005A334F">
              <w:t>Satelio</w:t>
            </w:r>
            <w:r w:rsidRPr="005A334F">
              <w:t xml:space="preserve"> IoT Services USA Inc</w:t>
            </w:r>
          </w:p>
        </w:tc>
        <w:tc>
          <w:tcPr>
            <w:tcW w:w="578" w:type="dxa"/>
          </w:tcPr>
          <w:p w:rsidR="002574F0" w:rsidP="009F374E" w14:paraId="28DE5386" w14:textId="77777777">
            <w:pPr>
              <w:tabs>
                <w:tab w:val="center" w:pos="4680"/>
              </w:tabs>
              <w:suppressAutoHyphens/>
              <w:rPr>
                <w:b/>
                <w:spacing w:val="-2"/>
              </w:rPr>
            </w:pPr>
            <w:r>
              <w:rPr>
                <w:b/>
                <w:spacing w:val="-2"/>
              </w:rPr>
              <w:t xml:space="preserve">)      </w:t>
            </w:r>
          </w:p>
          <w:p w:rsidR="002574F0" w:rsidP="009F374E" w14:paraId="7436FDFD" w14:textId="77777777">
            <w:pPr>
              <w:tabs>
                <w:tab w:val="center" w:pos="4680"/>
              </w:tabs>
              <w:suppressAutoHyphens/>
              <w:rPr>
                <w:b/>
                <w:spacing w:val="-2"/>
              </w:rPr>
            </w:pPr>
            <w:r>
              <w:rPr>
                <w:b/>
                <w:spacing w:val="-2"/>
              </w:rPr>
              <w:t>)</w:t>
            </w:r>
          </w:p>
          <w:p w:rsidR="002574F0" w:rsidP="009F374E" w14:paraId="7CBAC998" w14:textId="77777777">
            <w:pPr>
              <w:tabs>
                <w:tab w:val="center" w:pos="4680"/>
              </w:tabs>
              <w:suppressAutoHyphens/>
              <w:rPr>
                <w:b/>
                <w:spacing w:val="-2"/>
              </w:rPr>
            </w:pPr>
            <w:r>
              <w:rPr>
                <w:b/>
                <w:spacing w:val="-2"/>
              </w:rPr>
              <w:t>)</w:t>
            </w:r>
          </w:p>
          <w:p w:rsidR="002574F0" w:rsidP="009F374E" w14:paraId="24D4C1A2" w14:textId="77777777">
            <w:pPr>
              <w:tabs>
                <w:tab w:val="center" w:pos="4680"/>
              </w:tabs>
              <w:suppressAutoHyphens/>
              <w:rPr>
                <w:b/>
                <w:spacing w:val="-2"/>
              </w:rPr>
            </w:pPr>
            <w:r>
              <w:rPr>
                <w:b/>
                <w:spacing w:val="-2"/>
              </w:rPr>
              <w:t xml:space="preserve">)                   </w:t>
            </w:r>
          </w:p>
          <w:p w:rsidR="002574F0" w:rsidP="009F374E" w14:paraId="11152F9B" w14:textId="77777777">
            <w:pPr>
              <w:tabs>
                <w:tab w:val="center" w:pos="4680"/>
              </w:tabs>
              <w:suppressAutoHyphens/>
              <w:rPr>
                <w:b/>
                <w:spacing w:val="-2"/>
              </w:rPr>
            </w:pPr>
            <w:r>
              <w:rPr>
                <w:b/>
                <w:spacing w:val="-2"/>
              </w:rPr>
              <w:t>)</w:t>
            </w:r>
          </w:p>
          <w:p w:rsidR="002574F0" w:rsidP="009F374E" w14:paraId="74D01948" w14:textId="77777777">
            <w:pPr>
              <w:tabs>
                <w:tab w:val="center" w:pos="4680"/>
              </w:tabs>
              <w:suppressAutoHyphens/>
              <w:rPr>
                <w:b/>
                <w:spacing w:val="-2"/>
              </w:rPr>
            </w:pPr>
            <w:r>
              <w:rPr>
                <w:b/>
                <w:spacing w:val="-2"/>
              </w:rPr>
              <w:t>)</w:t>
            </w:r>
          </w:p>
          <w:p w:rsidR="002574F0" w:rsidP="009F374E" w14:paraId="6E66E666" w14:textId="77777777">
            <w:pPr>
              <w:tabs>
                <w:tab w:val="center" w:pos="4680"/>
              </w:tabs>
              <w:suppressAutoHyphens/>
              <w:rPr>
                <w:b/>
                <w:spacing w:val="-2"/>
              </w:rPr>
            </w:pPr>
            <w:r>
              <w:rPr>
                <w:b/>
                <w:spacing w:val="-2"/>
              </w:rPr>
              <w:t>)</w:t>
            </w:r>
          </w:p>
          <w:p w:rsidR="002574F0" w:rsidP="009F374E" w14:paraId="7CA1D202" w14:textId="77777777">
            <w:pPr>
              <w:tabs>
                <w:tab w:val="center" w:pos="4680"/>
              </w:tabs>
              <w:suppressAutoHyphens/>
              <w:rPr>
                <w:b/>
                <w:spacing w:val="-2"/>
              </w:rPr>
            </w:pPr>
            <w:r>
              <w:rPr>
                <w:b/>
                <w:spacing w:val="-2"/>
              </w:rPr>
              <w:t>)</w:t>
            </w:r>
          </w:p>
          <w:p w:rsidR="002574F0" w:rsidP="009F374E" w14:paraId="670299C6" w14:textId="77777777">
            <w:pPr>
              <w:tabs>
                <w:tab w:val="center" w:pos="4680"/>
              </w:tabs>
              <w:suppressAutoHyphens/>
              <w:rPr>
                <w:b/>
                <w:spacing w:val="-2"/>
              </w:rPr>
            </w:pPr>
            <w:r>
              <w:rPr>
                <w:b/>
                <w:spacing w:val="-2"/>
              </w:rPr>
              <w:t xml:space="preserve">) </w:t>
            </w:r>
          </w:p>
          <w:p w:rsidR="002574F0" w:rsidP="009F374E" w14:paraId="69D2354B" w14:textId="77777777">
            <w:pPr>
              <w:tabs>
                <w:tab w:val="center" w:pos="4680"/>
              </w:tabs>
              <w:suppressAutoHyphens/>
              <w:rPr>
                <w:b/>
                <w:spacing w:val="-2"/>
              </w:rPr>
            </w:pPr>
            <w:r>
              <w:rPr>
                <w:b/>
                <w:spacing w:val="-2"/>
              </w:rPr>
              <w:t>)</w:t>
            </w:r>
          </w:p>
          <w:p w:rsidR="002574F0" w:rsidP="009F374E" w14:paraId="40535B75" w14:textId="77777777">
            <w:pPr>
              <w:tabs>
                <w:tab w:val="center" w:pos="4680"/>
              </w:tabs>
              <w:suppressAutoHyphens/>
              <w:rPr>
                <w:b/>
                <w:spacing w:val="-2"/>
              </w:rPr>
            </w:pPr>
            <w:r>
              <w:rPr>
                <w:b/>
                <w:spacing w:val="-2"/>
              </w:rPr>
              <w:t>)</w:t>
            </w:r>
          </w:p>
          <w:p w:rsidR="002574F0" w:rsidP="009F374E" w14:paraId="58E86FD8" w14:textId="77777777">
            <w:pPr>
              <w:tabs>
                <w:tab w:val="center" w:pos="4680"/>
              </w:tabs>
              <w:suppressAutoHyphens/>
              <w:rPr>
                <w:b/>
                <w:spacing w:val="-2"/>
              </w:rPr>
            </w:pPr>
            <w:r>
              <w:rPr>
                <w:b/>
                <w:spacing w:val="-2"/>
              </w:rPr>
              <w:t>)</w:t>
            </w:r>
          </w:p>
          <w:p w:rsidR="002574F0" w:rsidP="009F374E" w14:paraId="6817913A" w14:textId="77777777">
            <w:pPr>
              <w:tabs>
                <w:tab w:val="center" w:pos="4680"/>
              </w:tabs>
              <w:suppressAutoHyphens/>
              <w:rPr>
                <w:b/>
                <w:spacing w:val="-2"/>
              </w:rPr>
            </w:pPr>
            <w:r>
              <w:rPr>
                <w:b/>
                <w:spacing w:val="-2"/>
              </w:rPr>
              <w:t>)</w:t>
            </w:r>
          </w:p>
          <w:p w:rsidR="002574F0" w:rsidP="009F374E" w14:paraId="6B2B3D27" w14:textId="77777777">
            <w:pPr>
              <w:tabs>
                <w:tab w:val="center" w:pos="4680"/>
              </w:tabs>
              <w:suppressAutoHyphens/>
              <w:rPr>
                <w:b/>
                <w:spacing w:val="-2"/>
              </w:rPr>
            </w:pPr>
            <w:r>
              <w:rPr>
                <w:b/>
                <w:spacing w:val="-2"/>
              </w:rPr>
              <w:t>)</w:t>
            </w:r>
          </w:p>
          <w:p w:rsidR="002574F0" w:rsidP="009F374E" w14:paraId="74D5EE43" w14:textId="77777777">
            <w:pPr>
              <w:tabs>
                <w:tab w:val="center" w:pos="4680"/>
              </w:tabs>
              <w:suppressAutoHyphens/>
              <w:rPr>
                <w:b/>
                <w:spacing w:val="-2"/>
              </w:rPr>
            </w:pPr>
            <w:r>
              <w:rPr>
                <w:b/>
                <w:spacing w:val="-2"/>
              </w:rPr>
              <w:t xml:space="preserve">) </w:t>
            </w:r>
          </w:p>
          <w:p w:rsidR="002574F0" w:rsidP="009F374E" w14:paraId="4E226C29" w14:textId="77777777">
            <w:pPr>
              <w:tabs>
                <w:tab w:val="center" w:pos="4680"/>
              </w:tabs>
              <w:suppressAutoHyphens/>
              <w:rPr>
                <w:b/>
                <w:spacing w:val="-2"/>
              </w:rPr>
            </w:pPr>
            <w:r>
              <w:rPr>
                <w:b/>
                <w:spacing w:val="-2"/>
              </w:rPr>
              <w:t>)</w:t>
            </w:r>
          </w:p>
          <w:p w:rsidR="002574F0" w:rsidRPr="0094324B" w:rsidP="009F374E" w14:paraId="199C496C" w14:textId="77777777">
            <w:pPr>
              <w:tabs>
                <w:tab w:val="center" w:pos="4680"/>
              </w:tabs>
              <w:suppressAutoHyphens/>
              <w:rPr>
                <w:b/>
                <w:bCs/>
                <w:spacing w:val="-2"/>
              </w:rPr>
            </w:pPr>
            <w:r w:rsidRPr="0094324B">
              <w:rPr>
                <w:b/>
                <w:bCs/>
                <w:spacing w:val="-2"/>
              </w:rPr>
              <w:t>)</w:t>
            </w:r>
          </w:p>
          <w:p w:rsidR="002574F0" w:rsidRPr="0094324B" w:rsidP="009F374E" w14:paraId="1BB976A0" w14:textId="77777777">
            <w:pPr>
              <w:tabs>
                <w:tab w:val="center" w:pos="4680"/>
              </w:tabs>
              <w:suppressAutoHyphens/>
              <w:rPr>
                <w:b/>
                <w:bCs/>
                <w:spacing w:val="-2"/>
              </w:rPr>
            </w:pPr>
            <w:r w:rsidRPr="0094324B">
              <w:rPr>
                <w:b/>
                <w:bCs/>
                <w:spacing w:val="-2"/>
              </w:rPr>
              <w:t>)</w:t>
            </w:r>
          </w:p>
          <w:p w:rsidR="002574F0" w:rsidP="009F374E" w14:paraId="3508890E" w14:textId="77777777">
            <w:pPr>
              <w:tabs>
                <w:tab w:val="center" w:pos="4680"/>
              </w:tabs>
              <w:suppressAutoHyphens/>
              <w:rPr>
                <w:b/>
                <w:bCs/>
                <w:spacing w:val="-2"/>
              </w:rPr>
            </w:pPr>
            <w:r w:rsidRPr="0094324B">
              <w:rPr>
                <w:b/>
                <w:bCs/>
                <w:spacing w:val="-2"/>
              </w:rPr>
              <w:t>)</w:t>
            </w:r>
          </w:p>
          <w:p w:rsidR="002574F0" w:rsidP="009F374E" w14:paraId="237EA904" w14:textId="77777777">
            <w:pPr>
              <w:tabs>
                <w:tab w:val="center" w:pos="4680"/>
              </w:tabs>
              <w:suppressAutoHyphens/>
              <w:rPr>
                <w:b/>
                <w:bCs/>
                <w:spacing w:val="-2"/>
              </w:rPr>
            </w:pPr>
            <w:r>
              <w:rPr>
                <w:b/>
                <w:bCs/>
                <w:spacing w:val="-2"/>
              </w:rPr>
              <w:t>)</w:t>
            </w:r>
          </w:p>
          <w:p w:rsidR="002574F0" w:rsidP="009F374E" w14:paraId="4D26CA81" w14:textId="77777777">
            <w:pPr>
              <w:tabs>
                <w:tab w:val="center" w:pos="4680"/>
              </w:tabs>
              <w:suppressAutoHyphens/>
              <w:rPr>
                <w:b/>
                <w:bCs/>
                <w:spacing w:val="-2"/>
              </w:rPr>
            </w:pPr>
            <w:r>
              <w:rPr>
                <w:b/>
                <w:bCs/>
                <w:spacing w:val="-2"/>
              </w:rPr>
              <w:t>)</w:t>
            </w:r>
          </w:p>
          <w:p w:rsidR="002574F0" w:rsidP="009F374E" w14:paraId="64339EB6" w14:textId="77777777">
            <w:pPr>
              <w:tabs>
                <w:tab w:val="center" w:pos="4680"/>
              </w:tabs>
              <w:suppressAutoHyphens/>
              <w:rPr>
                <w:b/>
                <w:bCs/>
                <w:spacing w:val="-2"/>
              </w:rPr>
            </w:pPr>
            <w:r>
              <w:rPr>
                <w:b/>
                <w:bCs/>
                <w:spacing w:val="-2"/>
              </w:rPr>
              <w:t>)</w:t>
            </w:r>
          </w:p>
          <w:p w:rsidR="002574F0" w:rsidRPr="00AA393C" w:rsidP="009F374E" w14:paraId="2B5CA2E1" w14:textId="77777777">
            <w:pPr>
              <w:tabs>
                <w:tab w:val="center" w:pos="4680"/>
              </w:tabs>
              <w:suppressAutoHyphens/>
              <w:rPr>
                <w:b/>
                <w:spacing w:val="-2"/>
              </w:rPr>
            </w:pPr>
            <w:r w:rsidRPr="0094324B">
              <w:rPr>
                <w:b/>
                <w:spacing w:val="-2"/>
              </w:rPr>
              <w:t>)</w:t>
            </w:r>
          </w:p>
        </w:tc>
      </w:tr>
      <w:tr w14:paraId="6EF5D097" w14:textId="77777777" w:rsidTr="009F374E">
        <w:tblPrEx>
          <w:tblW w:w="0" w:type="auto"/>
          <w:tblLayout w:type="fixed"/>
          <w:tblLook w:val="0000"/>
        </w:tblPrEx>
        <w:trPr>
          <w:trHeight w:val="2512"/>
        </w:trPr>
        <w:tc>
          <w:tcPr>
            <w:tcW w:w="4313" w:type="dxa"/>
          </w:tcPr>
          <w:p w:rsidR="002574F0" w:rsidRPr="00802B12" w:rsidP="009F374E" w14:paraId="7067FB26" w14:textId="33BFA75C">
            <w:pPr>
              <w:tabs>
                <w:tab w:val="center" w:pos="4680"/>
              </w:tabs>
              <w:suppressAutoHyphens/>
              <w:spacing w:after="120"/>
            </w:pPr>
            <w:r w:rsidRPr="006D647D">
              <w:t>.</w:t>
            </w:r>
          </w:p>
          <w:p w:rsidR="002574F0" w:rsidP="009F374E" w14:paraId="7E45E8CA" w14:textId="77777777">
            <w:pPr>
              <w:tabs>
                <w:tab w:val="center" w:pos="4680"/>
              </w:tabs>
              <w:suppressAutoHyphens/>
              <w:spacing w:after="120"/>
              <w:rPr>
                <w:spacing w:val="-2"/>
              </w:rPr>
            </w:pPr>
          </w:p>
          <w:p w:rsidR="00DE6219" w:rsidP="00DE6219" w14:paraId="7FAA23FE" w14:textId="77777777">
            <w:pPr>
              <w:tabs>
                <w:tab w:val="center" w:pos="4680"/>
              </w:tabs>
              <w:suppressAutoHyphens/>
              <w:spacing w:after="120"/>
            </w:pPr>
            <w:r>
              <w:t>AST &amp; Science LLC</w:t>
            </w:r>
          </w:p>
          <w:p w:rsidR="00046CFC" w14:paraId="513F6FFF" w14:textId="77777777">
            <w:pPr>
              <w:tabs>
                <w:tab w:val="center" w:pos="4680"/>
              </w:tabs>
              <w:suppressAutoHyphens/>
              <w:rPr>
                <w:spacing w:val="-2"/>
              </w:rPr>
            </w:pPr>
          </w:p>
          <w:p w:rsidR="00046CFC" w14:paraId="05032C02" w14:textId="77777777">
            <w:pPr>
              <w:tabs>
                <w:tab w:val="center" w:pos="4680"/>
              </w:tabs>
              <w:suppressAutoHyphens/>
              <w:rPr>
                <w:spacing w:val="-2"/>
              </w:rPr>
            </w:pPr>
          </w:p>
          <w:p w:rsidR="002574F0" w:rsidP="009F374E" w14:paraId="5B0081D2" w14:textId="77777777">
            <w:pPr>
              <w:tabs>
                <w:tab w:val="center" w:pos="4680"/>
              </w:tabs>
              <w:suppressAutoHyphens/>
              <w:rPr>
                <w:spacing w:val="-2"/>
              </w:rPr>
            </w:pPr>
            <w:r>
              <w:rPr>
                <w:spacing w:val="-2"/>
              </w:rPr>
              <w:t xml:space="preserve">Space Bureau Opens New Docket to Explore EchoStar Corporation’s Use of 2 GHz MSS Spectrum </w:t>
            </w:r>
          </w:p>
          <w:p w:rsidR="002574F0" w:rsidP="009F374E" w14:paraId="218C448F" w14:textId="77777777">
            <w:pPr>
              <w:tabs>
                <w:tab w:val="center" w:pos="4680"/>
              </w:tabs>
              <w:suppressAutoHyphens/>
              <w:rPr>
                <w:spacing w:val="-2"/>
              </w:rPr>
            </w:pPr>
          </w:p>
          <w:p w:rsidR="002574F0" w:rsidP="009F374E" w14:paraId="1D2ED37B" w14:textId="184AA58D">
            <w:pPr>
              <w:tabs>
                <w:tab w:val="center" w:pos="4680"/>
              </w:tabs>
              <w:suppressAutoHyphens/>
              <w:rPr>
                <w:spacing w:val="-2"/>
              </w:rPr>
            </w:pPr>
            <w:r>
              <w:rPr>
                <w:spacing w:val="-2"/>
              </w:rPr>
              <w:t>Petition for Rulemaking by Space Exploration Holdings, LLC Regarding the Revision of the Commission’s 1.6/2.4 GHz “Big LEO” NGSO</w:t>
            </w:r>
          </w:p>
          <w:p w:rsidR="002574F0" w:rsidP="009F374E" w14:paraId="2873CBA2" w14:textId="77777777">
            <w:pPr>
              <w:tabs>
                <w:tab w:val="center" w:pos="4680"/>
              </w:tabs>
              <w:suppressAutoHyphens/>
              <w:rPr>
                <w:spacing w:val="-2"/>
              </w:rPr>
            </w:pPr>
            <w:r>
              <w:rPr>
                <w:spacing w:val="-2"/>
              </w:rPr>
              <w:t xml:space="preserve">MSS sharing Plan </w:t>
            </w:r>
          </w:p>
        </w:tc>
        <w:tc>
          <w:tcPr>
            <w:tcW w:w="578" w:type="dxa"/>
          </w:tcPr>
          <w:p w:rsidR="002574F0" w:rsidP="009F374E" w14:paraId="7D57D74C" w14:textId="77777777">
            <w:pPr>
              <w:tabs>
                <w:tab w:val="center" w:pos="4680"/>
              </w:tabs>
              <w:suppressAutoHyphens/>
              <w:rPr>
                <w:b/>
                <w:spacing w:val="-2"/>
              </w:rPr>
            </w:pPr>
            <w:r>
              <w:rPr>
                <w:b/>
                <w:spacing w:val="-2"/>
              </w:rPr>
              <w:t>)</w:t>
            </w:r>
          </w:p>
          <w:p w:rsidR="002574F0" w:rsidP="009F374E" w14:paraId="2DEB6975" w14:textId="77777777">
            <w:pPr>
              <w:tabs>
                <w:tab w:val="center" w:pos="4680"/>
              </w:tabs>
              <w:suppressAutoHyphens/>
              <w:rPr>
                <w:b/>
                <w:spacing w:val="-2"/>
              </w:rPr>
            </w:pPr>
            <w:r>
              <w:rPr>
                <w:b/>
                <w:spacing w:val="-2"/>
              </w:rPr>
              <w:t>)</w:t>
            </w:r>
          </w:p>
          <w:p w:rsidR="002574F0" w:rsidP="009F374E" w14:paraId="3B39883E" w14:textId="77777777">
            <w:pPr>
              <w:tabs>
                <w:tab w:val="center" w:pos="4680"/>
              </w:tabs>
              <w:suppressAutoHyphens/>
              <w:rPr>
                <w:b/>
                <w:spacing w:val="-2"/>
              </w:rPr>
            </w:pPr>
            <w:r>
              <w:rPr>
                <w:b/>
                <w:spacing w:val="-2"/>
              </w:rPr>
              <w:t>)</w:t>
            </w:r>
          </w:p>
          <w:p w:rsidR="002574F0" w:rsidP="009F374E" w14:paraId="292C8B17" w14:textId="77777777">
            <w:pPr>
              <w:tabs>
                <w:tab w:val="center" w:pos="4680"/>
              </w:tabs>
              <w:suppressAutoHyphens/>
              <w:rPr>
                <w:b/>
                <w:spacing w:val="-2"/>
              </w:rPr>
            </w:pPr>
            <w:r>
              <w:rPr>
                <w:b/>
                <w:spacing w:val="-2"/>
              </w:rPr>
              <w:t>)</w:t>
            </w:r>
          </w:p>
          <w:p w:rsidR="002574F0" w:rsidP="009F374E" w14:paraId="2CE0BFA8" w14:textId="77777777">
            <w:pPr>
              <w:tabs>
                <w:tab w:val="center" w:pos="4680"/>
              </w:tabs>
              <w:suppressAutoHyphens/>
              <w:rPr>
                <w:b/>
                <w:spacing w:val="-2"/>
              </w:rPr>
            </w:pPr>
            <w:r>
              <w:rPr>
                <w:b/>
                <w:spacing w:val="-2"/>
              </w:rPr>
              <w:t>)</w:t>
            </w:r>
          </w:p>
          <w:p w:rsidR="002574F0" w:rsidP="009F374E" w14:paraId="452562C1" w14:textId="77777777">
            <w:pPr>
              <w:tabs>
                <w:tab w:val="center" w:pos="4680"/>
              </w:tabs>
              <w:suppressAutoHyphens/>
              <w:rPr>
                <w:b/>
                <w:spacing w:val="-2"/>
              </w:rPr>
            </w:pPr>
            <w:r>
              <w:rPr>
                <w:b/>
                <w:spacing w:val="-2"/>
              </w:rPr>
              <w:t>)</w:t>
            </w:r>
          </w:p>
          <w:p w:rsidR="002574F0" w:rsidP="009F374E" w14:paraId="464A4DF8" w14:textId="77777777">
            <w:pPr>
              <w:tabs>
                <w:tab w:val="center" w:pos="4680"/>
              </w:tabs>
              <w:suppressAutoHyphens/>
              <w:rPr>
                <w:b/>
                <w:spacing w:val="-2"/>
              </w:rPr>
            </w:pPr>
            <w:r>
              <w:rPr>
                <w:b/>
                <w:spacing w:val="-2"/>
              </w:rPr>
              <w:t xml:space="preserve">)    </w:t>
            </w:r>
          </w:p>
          <w:p w:rsidR="002574F0" w:rsidP="009F374E" w14:paraId="2B9E045A" w14:textId="77777777">
            <w:pPr>
              <w:tabs>
                <w:tab w:val="center" w:pos="4680"/>
              </w:tabs>
              <w:suppressAutoHyphens/>
              <w:rPr>
                <w:b/>
                <w:spacing w:val="-2"/>
              </w:rPr>
            </w:pPr>
            <w:r>
              <w:rPr>
                <w:b/>
                <w:spacing w:val="-2"/>
              </w:rPr>
              <w:t>)</w:t>
            </w:r>
          </w:p>
          <w:p w:rsidR="002574F0" w:rsidP="009F374E" w14:paraId="6819C1B1" w14:textId="77777777">
            <w:pPr>
              <w:tabs>
                <w:tab w:val="center" w:pos="4680"/>
              </w:tabs>
              <w:suppressAutoHyphens/>
              <w:rPr>
                <w:b/>
                <w:spacing w:val="-2"/>
              </w:rPr>
            </w:pPr>
            <w:r>
              <w:rPr>
                <w:b/>
                <w:spacing w:val="-2"/>
              </w:rPr>
              <w:t>)</w:t>
            </w:r>
          </w:p>
          <w:p w:rsidR="002574F0" w:rsidP="009F374E" w14:paraId="3F288AB4" w14:textId="77777777">
            <w:pPr>
              <w:tabs>
                <w:tab w:val="center" w:pos="4680"/>
              </w:tabs>
              <w:suppressAutoHyphens/>
              <w:rPr>
                <w:b/>
                <w:spacing w:val="-2"/>
              </w:rPr>
            </w:pPr>
            <w:r>
              <w:rPr>
                <w:b/>
                <w:spacing w:val="-2"/>
              </w:rPr>
              <w:t>)</w:t>
            </w:r>
          </w:p>
          <w:p w:rsidR="002574F0" w:rsidP="009F374E" w14:paraId="115DE858" w14:textId="77777777">
            <w:pPr>
              <w:tabs>
                <w:tab w:val="center" w:pos="4680"/>
              </w:tabs>
              <w:suppressAutoHyphens/>
              <w:rPr>
                <w:b/>
                <w:spacing w:val="-2"/>
              </w:rPr>
            </w:pPr>
            <w:r>
              <w:rPr>
                <w:b/>
                <w:spacing w:val="-2"/>
              </w:rPr>
              <w:t>)</w:t>
            </w:r>
          </w:p>
          <w:p w:rsidR="002574F0" w:rsidP="009F374E" w14:paraId="5AA74059" w14:textId="77777777">
            <w:pPr>
              <w:tabs>
                <w:tab w:val="center" w:pos="4680"/>
              </w:tabs>
              <w:suppressAutoHyphens/>
              <w:rPr>
                <w:b/>
                <w:spacing w:val="-2"/>
              </w:rPr>
            </w:pPr>
            <w:r>
              <w:rPr>
                <w:b/>
                <w:spacing w:val="-2"/>
              </w:rPr>
              <w:t>)</w:t>
            </w:r>
          </w:p>
          <w:p w:rsidR="002574F0" w:rsidP="009F374E" w14:paraId="5D5C8201" w14:textId="77777777">
            <w:pPr>
              <w:tabs>
                <w:tab w:val="center" w:pos="4680"/>
              </w:tabs>
              <w:suppressAutoHyphens/>
              <w:rPr>
                <w:b/>
                <w:spacing w:val="-2"/>
              </w:rPr>
            </w:pPr>
            <w:r>
              <w:rPr>
                <w:b/>
                <w:spacing w:val="-2"/>
              </w:rPr>
              <w:t>)</w:t>
            </w:r>
          </w:p>
          <w:p w:rsidR="002574F0" w:rsidP="009F374E" w14:paraId="40F43AE0" w14:textId="77777777">
            <w:pPr>
              <w:tabs>
                <w:tab w:val="center" w:pos="4680"/>
              </w:tabs>
              <w:suppressAutoHyphens/>
              <w:rPr>
                <w:b/>
                <w:spacing w:val="-2"/>
              </w:rPr>
            </w:pPr>
            <w:r>
              <w:rPr>
                <w:b/>
                <w:spacing w:val="-2"/>
              </w:rPr>
              <w:t>)</w:t>
            </w:r>
          </w:p>
          <w:p w:rsidR="002574F0" w:rsidP="009F374E" w14:paraId="74838D65" w14:textId="77777777">
            <w:pPr>
              <w:tabs>
                <w:tab w:val="center" w:pos="4680"/>
              </w:tabs>
              <w:suppressAutoHyphens/>
              <w:rPr>
                <w:b/>
                <w:spacing w:val="-2"/>
              </w:rPr>
            </w:pPr>
            <w:r>
              <w:rPr>
                <w:b/>
                <w:spacing w:val="-2"/>
              </w:rPr>
              <w:t>)</w:t>
            </w:r>
          </w:p>
          <w:p w:rsidR="002574F0" w:rsidP="009F374E" w14:paraId="75D45CB7" w14:textId="77777777">
            <w:pPr>
              <w:tabs>
                <w:tab w:val="center" w:pos="4680"/>
              </w:tabs>
              <w:suppressAutoHyphens/>
              <w:rPr>
                <w:b/>
                <w:spacing w:val="-2"/>
              </w:rPr>
            </w:pPr>
            <w:r>
              <w:rPr>
                <w:b/>
                <w:spacing w:val="-2"/>
              </w:rPr>
              <w:t>)</w:t>
            </w:r>
          </w:p>
        </w:tc>
      </w:tr>
      <w:tr w14:paraId="3B18715D" w14:textId="77777777" w:rsidTr="009F374E">
        <w:tblPrEx>
          <w:tblW w:w="0" w:type="auto"/>
          <w:tblLayout w:type="fixed"/>
          <w:tblLook w:val="0000"/>
        </w:tblPrEx>
        <w:trPr>
          <w:trHeight w:val="1688"/>
        </w:trPr>
        <w:tc>
          <w:tcPr>
            <w:tcW w:w="4313" w:type="dxa"/>
          </w:tcPr>
          <w:p w:rsidR="002574F0" w:rsidP="009F374E" w14:paraId="05B41509" w14:textId="77777777">
            <w:pPr>
              <w:tabs>
                <w:tab w:val="center" w:pos="4680"/>
              </w:tabs>
              <w:suppressAutoHyphens/>
              <w:spacing w:after="120"/>
            </w:pPr>
            <w:r>
              <w:t xml:space="preserve">Petition for Rulemaking of Iridium Communications Inc. to Optimize Mobile Satellite Service in the 1.6 GHz Band </w:t>
            </w:r>
          </w:p>
          <w:p w:rsidR="002574F0" w:rsidRPr="00463627" w:rsidP="002574F0" w14:paraId="1C507CD0" w14:textId="68076867">
            <w:pPr>
              <w:tabs>
                <w:tab w:val="center" w:pos="4680"/>
              </w:tabs>
              <w:suppressAutoHyphens/>
              <w:spacing w:after="120"/>
              <w:jc w:val="center"/>
              <w:rPr>
                <w:b/>
                <w:bCs/>
              </w:rPr>
            </w:pPr>
          </w:p>
        </w:tc>
        <w:tc>
          <w:tcPr>
            <w:tcW w:w="578" w:type="dxa"/>
          </w:tcPr>
          <w:p w:rsidR="002574F0" w:rsidP="009F374E" w14:paraId="56D100B1" w14:textId="77777777">
            <w:pPr>
              <w:tabs>
                <w:tab w:val="center" w:pos="4680"/>
              </w:tabs>
              <w:suppressAutoHyphens/>
              <w:rPr>
                <w:b/>
                <w:spacing w:val="-2"/>
              </w:rPr>
            </w:pPr>
            <w:r>
              <w:rPr>
                <w:b/>
                <w:spacing w:val="-2"/>
              </w:rPr>
              <w:t>)</w:t>
            </w:r>
          </w:p>
          <w:p w:rsidR="002574F0" w:rsidP="009F374E" w14:paraId="2B146AEE" w14:textId="77777777">
            <w:pPr>
              <w:tabs>
                <w:tab w:val="center" w:pos="4680"/>
              </w:tabs>
              <w:suppressAutoHyphens/>
              <w:rPr>
                <w:b/>
                <w:spacing w:val="-2"/>
              </w:rPr>
            </w:pPr>
            <w:r>
              <w:rPr>
                <w:b/>
                <w:spacing w:val="-2"/>
              </w:rPr>
              <w:t>)</w:t>
            </w:r>
          </w:p>
          <w:p w:rsidR="002574F0" w:rsidP="009F374E" w14:paraId="49570420" w14:textId="77777777">
            <w:pPr>
              <w:tabs>
                <w:tab w:val="center" w:pos="4680"/>
              </w:tabs>
              <w:suppressAutoHyphens/>
              <w:rPr>
                <w:b/>
                <w:spacing w:val="-2"/>
              </w:rPr>
            </w:pPr>
            <w:r>
              <w:rPr>
                <w:b/>
                <w:spacing w:val="-2"/>
              </w:rPr>
              <w:t>)</w:t>
            </w:r>
          </w:p>
          <w:p w:rsidR="002574F0" w:rsidP="009F374E" w14:paraId="2A462D66" w14:textId="77777777">
            <w:pPr>
              <w:tabs>
                <w:tab w:val="center" w:pos="4680"/>
              </w:tabs>
              <w:suppressAutoHyphens/>
              <w:rPr>
                <w:b/>
                <w:spacing w:val="-2"/>
              </w:rPr>
            </w:pPr>
            <w:r>
              <w:rPr>
                <w:b/>
                <w:spacing w:val="-2"/>
              </w:rPr>
              <w:t>)</w:t>
            </w:r>
          </w:p>
          <w:p w:rsidR="002574F0" w:rsidP="009F374E" w14:paraId="61485980" w14:textId="77777777">
            <w:pPr>
              <w:tabs>
                <w:tab w:val="center" w:pos="4680"/>
              </w:tabs>
              <w:suppressAutoHyphens/>
              <w:rPr>
                <w:b/>
                <w:spacing w:val="-2"/>
              </w:rPr>
            </w:pPr>
          </w:p>
          <w:p w:rsidR="002574F0" w:rsidP="009F374E" w14:paraId="2F9E6D3A" w14:textId="77777777">
            <w:pPr>
              <w:tabs>
                <w:tab w:val="center" w:pos="4680"/>
              </w:tabs>
              <w:suppressAutoHyphens/>
              <w:rPr>
                <w:b/>
                <w:spacing w:val="-2"/>
              </w:rPr>
            </w:pPr>
          </w:p>
          <w:p w:rsidR="002574F0" w:rsidP="009F374E" w14:paraId="6BD108DC" w14:textId="77777777">
            <w:pPr>
              <w:tabs>
                <w:tab w:val="center" w:pos="4680"/>
              </w:tabs>
              <w:suppressAutoHyphens/>
              <w:rPr>
                <w:b/>
                <w:spacing w:val="-2"/>
              </w:rPr>
            </w:pPr>
          </w:p>
          <w:p w:rsidR="002574F0" w:rsidRPr="00DF0154" w:rsidP="009F374E" w14:paraId="4D4DC201" w14:textId="77777777"/>
        </w:tc>
      </w:tr>
    </w:tbl>
    <w:p w:rsidR="002574F0" w:rsidP="002574F0" w14:paraId="33C1BDD3" w14:textId="77777777">
      <w:pPr>
        <w:spacing w:after="120"/>
      </w:pPr>
      <w:r>
        <w:t xml:space="preserve"> </w:t>
      </w:r>
    </w:p>
    <w:p w:rsidR="002574F0" w:rsidP="002574F0" w14:paraId="2A9C149B" w14:textId="77777777">
      <w:pPr>
        <w:spacing w:after="120"/>
      </w:pPr>
      <w:r>
        <w:t xml:space="preserve">ICFS File Nos. SAT-LOA-20200526-00055, SAT-AMD-20210818-00105, SAT-AMD-20221215-00175, SAT-AMD-20241017-00228  </w:t>
      </w:r>
    </w:p>
    <w:p w:rsidR="002574F0" w:rsidP="00F12107" w14:paraId="40CF46B1" w14:textId="138AB493">
      <w:r>
        <w:t>SAT-MOD-20230207-00021; SAT-AMD-20240322-00061</w:t>
      </w:r>
      <w:r w:rsidR="005632F8">
        <w:t>; GN Docket No. 23-135</w:t>
      </w:r>
      <w:r>
        <w:t xml:space="preserve"> </w:t>
      </w:r>
    </w:p>
    <w:p w:rsidR="00F12107" w:rsidP="00F12107" w14:paraId="6A7CD113" w14:textId="77777777"/>
    <w:p w:rsidR="002574F0" w:rsidP="00F12107" w14:paraId="6AD7B99B" w14:textId="77777777">
      <w:r>
        <w:t>SAT-MOD-20240111-00224</w:t>
      </w:r>
    </w:p>
    <w:p w:rsidR="002574F0" w:rsidP="00F12107" w14:paraId="70F8702F" w14:textId="77777777">
      <w:r>
        <w:t xml:space="preserve">SAT-MOD-20250611-00144   </w:t>
      </w:r>
    </w:p>
    <w:p w:rsidR="00F12107" w:rsidP="00F12107" w14:paraId="76CF5F99" w14:textId="77777777"/>
    <w:p w:rsidR="002574F0" w:rsidP="002574F0" w14:paraId="05F4A51A" w14:textId="77777777">
      <w:pPr>
        <w:spacing w:after="120"/>
      </w:pPr>
      <w:r>
        <w:t xml:space="preserve">Call Sign S2992/3069 </w:t>
      </w:r>
    </w:p>
    <w:p w:rsidR="002574F0" w:rsidP="002574F0" w14:paraId="156E8AD3" w14:textId="77777777">
      <w:pPr>
        <w:spacing w:after="120"/>
      </w:pPr>
    </w:p>
    <w:p w:rsidR="002574F0" w:rsidP="00E570EB" w14:paraId="4CD072DB" w14:textId="7194FF23">
      <w:r>
        <w:t>ICFS File Nos. SAT-LOA-20250916-00282 and SAT-AMD-20251125-00339</w:t>
      </w:r>
    </w:p>
    <w:p w:rsidR="00E570EB" w:rsidP="00E570EB" w14:paraId="1DA7F41B" w14:textId="77777777">
      <w:r>
        <w:t>Call Sign S00735</w:t>
      </w:r>
      <w:r>
        <w:t>; GN Docket No. 25-340</w:t>
      </w:r>
    </w:p>
    <w:p w:rsidR="002574F0" w:rsidP="002574F0" w14:paraId="73D309DB" w14:textId="5E997F02">
      <w:pPr>
        <w:spacing w:after="120"/>
      </w:pPr>
      <w:r>
        <w:tab/>
      </w:r>
    </w:p>
    <w:p w:rsidR="002574F0" w:rsidP="002574F0" w14:paraId="3C1AF4CC" w14:textId="77777777">
      <w:r w:rsidRPr="003359AF">
        <w:t>ICFS File No. SAT-PDR-20211224-00204</w:t>
      </w:r>
    </w:p>
    <w:p w:rsidR="002574F0" w:rsidP="002574F0" w14:paraId="712E175E" w14:textId="77777777">
      <w:r w:rsidRPr="00C17CE6">
        <w:t>Call Sign S3131</w:t>
      </w:r>
    </w:p>
    <w:p w:rsidR="002574F0" w:rsidP="002574F0" w14:paraId="10435927" w14:textId="77777777"/>
    <w:p w:rsidR="002574F0" w:rsidP="002574F0" w14:paraId="02BFE525" w14:textId="77777777"/>
    <w:p w:rsidR="002574F0" w:rsidP="002574F0" w14:paraId="53F190DE" w14:textId="77777777">
      <w:r w:rsidRPr="00401704">
        <w:t>ICFS File No. SAT-PDR-20250428-00108</w:t>
      </w:r>
    </w:p>
    <w:p w:rsidR="002574F0" w:rsidP="002574F0" w14:paraId="754F69FD" w14:textId="77777777">
      <w:r w:rsidRPr="00C17CE6">
        <w:t xml:space="preserve">Call Sign </w:t>
      </w:r>
      <w:r>
        <w:t xml:space="preserve">S3230 </w:t>
      </w:r>
    </w:p>
    <w:p w:rsidR="002574F0" w:rsidP="002574F0" w14:paraId="02A20AD8" w14:textId="77777777">
      <w:pPr>
        <w:spacing w:after="120"/>
      </w:pPr>
    </w:p>
    <w:p w:rsidR="002574F0" w:rsidP="002574F0" w14:paraId="1D86C4BB" w14:textId="77777777">
      <w:r w:rsidRPr="00401704">
        <w:t xml:space="preserve">ICFS File No. SAT-MOD-20260105-00005 </w:t>
      </w:r>
    </w:p>
    <w:p w:rsidR="002574F0" w:rsidP="002574F0" w14:paraId="5635FF9E" w14:textId="77777777">
      <w:pPr>
        <w:spacing w:after="120"/>
      </w:pPr>
      <w:r>
        <w:t>Call Sign S3065</w:t>
      </w:r>
    </w:p>
    <w:p w:rsidR="00951B79" w:rsidP="002574F0" w14:paraId="49F7FE93" w14:textId="77777777">
      <w:pPr>
        <w:spacing w:after="120"/>
      </w:pPr>
    </w:p>
    <w:p w:rsidR="002574F0" w:rsidP="002574F0" w14:paraId="3512750B" w14:textId="546E24D3">
      <w:pPr>
        <w:spacing w:after="120"/>
      </w:pPr>
      <w:r>
        <w:t xml:space="preserve">SB Docket No. 25-173 </w:t>
      </w:r>
    </w:p>
    <w:p w:rsidR="002574F0" w:rsidP="002574F0" w14:paraId="2021046F" w14:textId="77777777">
      <w:pPr>
        <w:spacing w:after="120"/>
      </w:pPr>
    </w:p>
    <w:p w:rsidR="002574F0" w:rsidP="002574F0" w14:paraId="2DB3DD35" w14:textId="77777777">
      <w:pPr>
        <w:spacing w:after="120"/>
      </w:pPr>
    </w:p>
    <w:p w:rsidR="002574F0" w:rsidP="002574F0" w14:paraId="683A0DA6" w14:textId="77777777">
      <w:pPr>
        <w:spacing w:after="120"/>
      </w:pPr>
      <w:r>
        <w:t xml:space="preserve">RM-11975 </w:t>
      </w:r>
    </w:p>
    <w:p w:rsidR="002574F0" w:rsidP="002574F0" w14:paraId="162A7984" w14:textId="77777777">
      <w:pPr>
        <w:spacing w:after="120"/>
      </w:pPr>
    </w:p>
    <w:p w:rsidR="00667F80" w:rsidP="002574F0" w14:paraId="484FC562" w14:textId="77777777">
      <w:pPr>
        <w:spacing w:after="120"/>
      </w:pPr>
    </w:p>
    <w:p w:rsidR="00667F80" w:rsidP="002574F0" w14:paraId="6CC3C1D6" w14:textId="77777777">
      <w:pPr>
        <w:spacing w:after="120"/>
      </w:pPr>
    </w:p>
    <w:p w:rsidR="002574F0" w:rsidP="002574F0" w14:paraId="7684791E" w14:textId="77777777">
      <w:pPr>
        <w:spacing w:after="120"/>
      </w:pPr>
    </w:p>
    <w:p w:rsidR="002574F0" w:rsidP="002574F0" w14:paraId="53276EA1" w14:textId="77777777">
      <w:pPr>
        <w:spacing w:after="120"/>
      </w:pPr>
    </w:p>
    <w:p w:rsidR="002574F0" w:rsidP="002574F0" w14:paraId="2ACC04B6" w14:textId="77777777">
      <w:pPr>
        <w:spacing w:after="120"/>
      </w:pPr>
    </w:p>
    <w:p w:rsidR="002574F0" w:rsidP="002574F0" w14:paraId="6FDD7502" w14:textId="77777777">
      <w:pPr>
        <w:spacing w:after="120"/>
        <w:rPr>
          <w:b/>
          <w:bCs/>
        </w:rPr>
      </w:pPr>
    </w:p>
    <w:p w:rsidR="002574F0" w:rsidP="002574F0" w14:paraId="1DDEC517" w14:textId="77777777">
      <w:pPr>
        <w:spacing w:after="120"/>
        <w:rPr>
          <w:b/>
          <w:bCs/>
        </w:rPr>
      </w:pPr>
    </w:p>
    <w:p w:rsidR="00CE1D84" w:rsidP="002574F0" w14:paraId="7712D9A1" w14:textId="77777777">
      <w:pPr>
        <w:pStyle w:val="StyleBoldCentered"/>
        <w:spacing w:after="120"/>
      </w:pPr>
    </w:p>
    <w:p w:rsidR="002574F0" w:rsidP="002574F0" w14:paraId="063BC479" w14:textId="212A83E6">
      <w:pPr>
        <w:pStyle w:val="StyleBoldCentered"/>
        <w:spacing w:after="120"/>
      </w:pPr>
      <w:r>
        <w:t xml:space="preserve">ORDER </w:t>
      </w:r>
    </w:p>
    <w:p w:rsidR="002574F0" w:rsidP="002574F0" w14:paraId="48ACA336" w14:textId="7042E001">
      <w:pPr>
        <w:tabs>
          <w:tab w:val="left" w:pos="720"/>
          <w:tab w:val="right" w:pos="9360"/>
        </w:tabs>
        <w:suppressAutoHyphens/>
        <w:spacing w:after="120"/>
        <w:rPr>
          <w:spacing w:val="-2"/>
        </w:rPr>
      </w:pPr>
      <w:r>
        <w:rPr>
          <w:b/>
          <w:spacing w:val="-2"/>
        </w:rPr>
        <w:t xml:space="preserve">Adopted:  </w:t>
      </w:r>
      <w:r w:rsidR="001F3384">
        <w:rPr>
          <w:b/>
          <w:spacing w:val="-2"/>
        </w:rPr>
        <w:t>April 23, 2026</w:t>
      </w:r>
      <w:r>
        <w:rPr>
          <w:b/>
          <w:spacing w:val="-2"/>
        </w:rPr>
        <w:t xml:space="preserve">                                                                                          Released:</w:t>
      </w:r>
      <w:r w:rsidR="001F3384">
        <w:rPr>
          <w:b/>
          <w:spacing w:val="-2"/>
        </w:rPr>
        <w:t xml:space="preserve">  April 23, 2026</w:t>
      </w:r>
      <w:r>
        <w:rPr>
          <w:b/>
          <w:spacing w:val="-2"/>
        </w:rPr>
        <w:t xml:space="preserve">  </w:t>
      </w:r>
    </w:p>
    <w:p w:rsidR="002574F0" w:rsidP="002574F0" w14:paraId="21FE3AAA" w14:textId="77777777">
      <w:pPr>
        <w:spacing w:after="120"/>
      </w:pPr>
    </w:p>
    <w:p w:rsidR="002574F0" w:rsidP="002574F0" w14:paraId="311D62C0" w14:textId="77777777">
      <w:pPr>
        <w:spacing w:after="120"/>
        <w:rPr>
          <w:spacing w:val="-2"/>
        </w:rPr>
      </w:pPr>
      <w:r>
        <w:t xml:space="preserve">By the Chief, Space Bureau: </w:t>
      </w:r>
    </w:p>
    <w:p w:rsidR="002574F0" w:rsidP="002574F0" w14:paraId="4F62352B" w14:textId="77777777">
      <w:pPr>
        <w:spacing w:after="120"/>
        <w:rPr>
          <w:spacing w:val="-2"/>
        </w:rPr>
      </w:pPr>
    </w:p>
    <w:p w:rsidR="002574F0" w:rsidP="00B46C4C" w14:paraId="059E8F29" w14:textId="77777777">
      <w:pPr>
        <w:pStyle w:val="Heading1"/>
      </w:pPr>
      <w:r w:rsidRPr="00B46C4C">
        <w:t>INTRODUCTION</w:t>
      </w:r>
    </w:p>
    <w:p w:rsidR="002A7106" w:rsidRPr="002A7106" w:rsidP="00CA02B1" w14:paraId="5A1AD061" w14:textId="6EE1C6B3">
      <w:pPr>
        <w:pStyle w:val="ParaNum"/>
        <w:tabs>
          <w:tab w:val="clear" w:pos="1080"/>
          <w:tab w:val="num" w:pos="1440"/>
        </w:tabs>
        <w:rPr>
          <w:szCs w:val="22"/>
        </w:rPr>
      </w:pPr>
      <w:r>
        <w:t>T</w:t>
      </w:r>
      <w:r w:rsidR="00200B35">
        <w:t xml:space="preserve">he United States </w:t>
      </w:r>
      <w:r w:rsidR="00DC49D2">
        <w:t>has</w:t>
      </w:r>
      <w:r w:rsidR="00BA6A56">
        <w:t xml:space="preserve"> long</w:t>
      </w:r>
      <w:r w:rsidR="00DC49D2">
        <w:t xml:space="preserve"> </w:t>
      </w:r>
      <w:r w:rsidR="00BC0907">
        <w:t xml:space="preserve">been </w:t>
      </w:r>
      <w:r>
        <w:t>a</w:t>
      </w:r>
      <w:r w:rsidR="00D72F3A">
        <w:t xml:space="preserve"> global</w:t>
      </w:r>
      <w:r>
        <w:t xml:space="preserve"> pioneer in</w:t>
      </w:r>
      <w:r w:rsidR="0088586E">
        <w:t xml:space="preserve"> </w:t>
      </w:r>
      <w:r w:rsidR="00C03340">
        <w:t xml:space="preserve">mobile satellite services </w:t>
      </w:r>
      <w:r w:rsidR="00F20D73">
        <w:t>(MSS).</w:t>
      </w:r>
      <w:r w:rsidR="00D72F3A">
        <w:t xml:space="preserve">  </w:t>
      </w:r>
      <w:r w:rsidR="003C2617">
        <w:t>Since the Commission first proposed to allocate spectrum and establish</w:t>
      </w:r>
      <w:r w:rsidR="000735AF">
        <w:t xml:space="preserve"> </w:t>
      </w:r>
      <w:r w:rsidR="003C2617">
        <w:t>licensing procedures</w:t>
      </w:r>
      <w:r w:rsidR="00D72F3A">
        <w:t xml:space="preserve"> </w:t>
      </w:r>
      <w:r w:rsidR="003C2617">
        <w:t>in 1985,</w:t>
      </w:r>
      <w:r>
        <w:rPr>
          <w:rStyle w:val="FootnoteReference"/>
        </w:rPr>
        <w:footnoteReference w:id="3"/>
      </w:r>
      <w:r w:rsidR="00D72F3A">
        <w:t xml:space="preserve"> </w:t>
      </w:r>
      <w:r w:rsidR="00D061E5">
        <w:t>MSS</w:t>
      </w:r>
      <w:r w:rsidR="00CE3632">
        <w:t xml:space="preserve"> technology</w:t>
      </w:r>
      <w:r w:rsidR="003C2617">
        <w:t xml:space="preserve"> has </w:t>
      </w:r>
      <w:r w:rsidR="00CE3632">
        <w:t>undergone</w:t>
      </w:r>
      <w:r w:rsidR="003C2617">
        <w:t xml:space="preserve"> waves of investment, experimentation, competitive entry, </w:t>
      </w:r>
      <w:r w:rsidR="00A35432">
        <w:t xml:space="preserve">and </w:t>
      </w:r>
      <w:r w:rsidR="003C2617">
        <w:t xml:space="preserve">market discovery.  </w:t>
      </w:r>
      <w:r w:rsidR="00B76162">
        <w:t xml:space="preserve">In recent years, </w:t>
      </w:r>
      <w:r w:rsidR="003C2617">
        <w:t xml:space="preserve">the </w:t>
      </w:r>
      <w:r w:rsidR="00B46FFB">
        <w:t>electric growth</w:t>
      </w:r>
      <w:r w:rsidR="003C2617">
        <w:t xml:space="preserve"> </w:t>
      </w:r>
      <w:r w:rsidR="00D72F3A">
        <w:t xml:space="preserve">of the American space economy has </w:t>
      </w:r>
      <w:r w:rsidR="00B46FFB">
        <w:t>ushered</w:t>
      </w:r>
      <w:r w:rsidR="003C2617">
        <w:t xml:space="preserve"> </w:t>
      </w:r>
      <w:r w:rsidR="00B46FFB">
        <w:t xml:space="preserve">generational improvements </w:t>
      </w:r>
      <w:r w:rsidR="00201BF1">
        <w:t xml:space="preserve">and renewed enthusiasm </w:t>
      </w:r>
      <w:r w:rsidR="00B46FFB">
        <w:t xml:space="preserve">in direct-to-device technology.  </w:t>
      </w:r>
      <w:r w:rsidR="00CE3632">
        <w:t xml:space="preserve">Unprecedented investment, globally harmonized standards, and ubiquitous adoption in consumer handsets </w:t>
      </w:r>
      <w:r w:rsidR="000735AF">
        <w:t xml:space="preserve">confirm </w:t>
      </w:r>
      <w:r w:rsidR="00CE3632">
        <w:t>that the</w:t>
      </w:r>
      <w:r w:rsidR="000735AF">
        <w:t xml:space="preserve"> frontier of possibilities for direct-to-device services</w:t>
      </w:r>
      <w:r w:rsidR="00CE3632">
        <w:t xml:space="preserve"> is rapidly expanding.  In</w:t>
      </w:r>
      <w:r>
        <w:t xml:space="preserve"> the last 18 months</w:t>
      </w:r>
      <w:r w:rsidR="00CE3632">
        <w:t xml:space="preserve"> alone</w:t>
      </w:r>
      <w:r>
        <w:t xml:space="preserve">, </w:t>
      </w:r>
      <w:r w:rsidR="00D72F3A">
        <w:t>the United States has seen</w:t>
      </w:r>
      <w:r w:rsidR="003C2617">
        <w:t xml:space="preserve"> more than</w:t>
      </w:r>
      <w:r>
        <w:t xml:space="preserve"> $28 billion in deal flow </w:t>
      </w:r>
      <w:r w:rsidR="00CE3632">
        <w:t>across at least</w:t>
      </w:r>
      <w:r>
        <w:t xml:space="preserve"> 130 megahertz of </w:t>
      </w:r>
      <w:r w:rsidR="00AB295F">
        <w:t>spectrum</w:t>
      </w:r>
      <w:r w:rsidR="005A07F4">
        <w:t xml:space="preserve">, including MSS spectrum, </w:t>
      </w:r>
      <w:r w:rsidR="002C76C0">
        <w:t xml:space="preserve">to support direct-to-device </w:t>
      </w:r>
      <w:r w:rsidR="00B45995">
        <w:t xml:space="preserve">services. </w:t>
      </w:r>
      <w:r>
        <w:t xml:space="preserve">   </w:t>
      </w:r>
      <w:r w:rsidR="00C514ED">
        <w:t xml:space="preserve">  </w:t>
      </w:r>
    </w:p>
    <w:p w:rsidR="002A7106" w:rsidRPr="002A7106" w:rsidP="002A7106" w14:paraId="0C3214A5" w14:textId="5E6ED917">
      <w:pPr>
        <w:pStyle w:val="ParaNum"/>
        <w:tabs>
          <w:tab w:val="clear" w:pos="1080"/>
          <w:tab w:val="num" w:pos="1440"/>
        </w:tabs>
      </w:pPr>
      <w:r>
        <w:t xml:space="preserve">The Commission </w:t>
      </w:r>
      <w:r w:rsidR="00201BF1">
        <w:t xml:space="preserve">intends to support </w:t>
      </w:r>
      <w:r w:rsidR="00A35432">
        <w:t xml:space="preserve">the renaissance in </w:t>
      </w:r>
      <w:r w:rsidR="000E0D67">
        <w:t>direct-to-device</w:t>
      </w:r>
      <w:r w:rsidR="00D667D2">
        <w:t xml:space="preserve"> </w:t>
      </w:r>
      <w:r w:rsidR="00B76162">
        <w:t xml:space="preserve">by </w:t>
      </w:r>
      <w:r w:rsidR="00D72F3A">
        <w:t>fostering</w:t>
      </w:r>
      <w:r w:rsidR="00B76162">
        <w:t xml:space="preserve"> </w:t>
      </w:r>
      <w:r w:rsidR="00AF401F">
        <w:t xml:space="preserve">a predictable </w:t>
      </w:r>
      <w:r w:rsidR="00210B77">
        <w:t xml:space="preserve">regulatory environment </w:t>
      </w:r>
      <w:r w:rsidR="00201BF1">
        <w:t xml:space="preserve">that </w:t>
      </w:r>
      <w:r w:rsidR="00CE3632">
        <w:t>protects</w:t>
      </w:r>
      <w:r w:rsidR="00B20E5F">
        <w:t xml:space="preserve"> </w:t>
      </w:r>
      <w:r w:rsidR="0068025B">
        <w:t>investment</w:t>
      </w:r>
      <w:r w:rsidR="00B20E5F">
        <w:t>-backed expectations</w:t>
      </w:r>
      <w:r w:rsidR="009C3DF2">
        <w:t xml:space="preserve"> and </w:t>
      </w:r>
      <w:r w:rsidR="00CE3632">
        <w:t xml:space="preserve">encourages </w:t>
      </w:r>
      <w:r w:rsidR="009C3DF2">
        <w:t>secondary-market transactions.</w:t>
      </w:r>
      <w:r w:rsidRPr="00D73AB3" w:rsidR="00D73AB3">
        <w:rPr>
          <w:rStyle w:val="FootnoteReference"/>
        </w:rPr>
        <w:t xml:space="preserve"> </w:t>
      </w:r>
      <w:r>
        <w:rPr>
          <w:rStyle w:val="FootnoteReference"/>
        </w:rPr>
        <w:footnoteReference w:id="4"/>
      </w:r>
      <w:r w:rsidR="00D73AB3">
        <w:t xml:space="preserve"> </w:t>
      </w:r>
      <w:r w:rsidR="00CE3632">
        <w:t xml:space="preserve"> </w:t>
      </w:r>
      <w:r w:rsidR="00D72F3A">
        <w:t xml:space="preserve">Accordingly, </w:t>
      </w:r>
      <w:r w:rsidRPr="2B4154B5" w:rsidR="002574F0">
        <w:t>we</w:t>
      </w:r>
      <w:r w:rsidR="002574F0">
        <w:t xml:space="preserve"> </w:t>
      </w:r>
      <w:r w:rsidR="00544906">
        <w:t xml:space="preserve">reaffirm </w:t>
      </w:r>
      <w:r w:rsidR="00CE3632">
        <w:t>a licensee’s</w:t>
      </w:r>
      <w:r w:rsidR="00A94C1C">
        <w:t xml:space="preserve"> </w:t>
      </w:r>
      <w:r w:rsidR="002574F0">
        <w:t xml:space="preserve">exclusive </w:t>
      </w:r>
      <w:r w:rsidR="00201BF1">
        <w:t xml:space="preserve">right to </w:t>
      </w:r>
      <w:r w:rsidR="005031CF">
        <w:t xml:space="preserve">use </w:t>
      </w:r>
      <w:r w:rsidR="002574F0">
        <w:t xml:space="preserve">certain </w:t>
      </w:r>
      <w:r w:rsidR="00F20D73">
        <w:t>MSS</w:t>
      </w:r>
      <w:r w:rsidR="00136238">
        <w:t xml:space="preserve"> </w:t>
      </w:r>
      <w:r w:rsidR="002574F0">
        <w:t>frequency bands</w:t>
      </w:r>
      <w:r w:rsidR="009C3DF2">
        <w:t xml:space="preserve"> for which it is authorized</w:t>
      </w:r>
      <w:r w:rsidR="00E262F2">
        <w:t>—</w:t>
      </w:r>
      <w:r w:rsidR="00B86AC0">
        <w:t xml:space="preserve">both </w:t>
      </w:r>
      <w:r w:rsidR="00927E7C">
        <w:t>inside of and outside of the U</w:t>
      </w:r>
      <w:r w:rsidR="007B461B">
        <w:t>nited</w:t>
      </w:r>
      <w:r w:rsidR="00081BBD">
        <w:t xml:space="preserve"> </w:t>
      </w:r>
      <w:r w:rsidR="00927E7C">
        <w:t>S</w:t>
      </w:r>
      <w:r w:rsidR="007B461B">
        <w:t>tates</w:t>
      </w:r>
      <w:r w:rsidR="001A7937">
        <w:t>.</w:t>
      </w:r>
      <w:r w:rsidR="00A35432">
        <w:t xml:space="preserve"> </w:t>
      </w:r>
      <w:r w:rsidR="00A6610B">
        <w:t xml:space="preserve"> </w:t>
      </w:r>
      <w:r w:rsidR="00AC060B">
        <w:t xml:space="preserve">In doing so, we uphold </w:t>
      </w:r>
      <w:r w:rsidR="00DF4BB3">
        <w:t>existing</w:t>
      </w:r>
      <w:r w:rsidR="006A178E">
        <w:t xml:space="preserve"> domestic</w:t>
      </w:r>
      <w:r w:rsidR="00DF4BB3">
        <w:t xml:space="preserve"> policy</w:t>
      </w:r>
      <w:r w:rsidR="009A25E1">
        <w:t>,</w:t>
      </w:r>
      <w:r w:rsidR="000A7F03">
        <w:t xml:space="preserve"> </w:t>
      </w:r>
      <w:r w:rsidR="00454EE4">
        <w:t xml:space="preserve">and </w:t>
      </w:r>
      <w:r w:rsidR="00222DBE">
        <w:t xml:space="preserve">maintain </w:t>
      </w:r>
      <w:r w:rsidR="00454EE4">
        <w:t>existing int</w:t>
      </w:r>
      <w:r w:rsidRPr="31318797" w:rsidR="006A178E">
        <w:rPr>
          <w:rFonts w:eastAsiaTheme="minorEastAsia"/>
        </w:rPr>
        <w:t>ernational agreement</w:t>
      </w:r>
      <w:r w:rsidRPr="31318797" w:rsidR="000A7F03">
        <w:rPr>
          <w:rFonts w:eastAsiaTheme="minorEastAsia"/>
        </w:rPr>
        <w:t xml:space="preserve">s and </w:t>
      </w:r>
      <w:r w:rsidRPr="31318797" w:rsidR="006A178E">
        <w:rPr>
          <w:rFonts w:eastAsiaTheme="minorEastAsia"/>
        </w:rPr>
        <w:t>complex technical coordination arrangements</w:t>
      </w:r>
      <w:r w:rsidR="00EE142E">
        <w:rPr>
          <w:rFonts w:eastAsiaTheme="minorEastAsia"/>
        </w:rPr>
        <w:t xml:space="preserve"> </w:t>
      </w:r>
      <w:r w:rsidRPr="31318797" w:rsidR="03F4324B">
        <w:rPr>
          <w:rFonts w:eastAsiaTheme="minorEastAsia"/>
        </w:rPr>
        <w:t xml:space="preserve">to </w:t>
      </w:r>
      <w:r w:rsidRPr="0B2083F9" w:rsidR="03F4324B">
        <w:rPr>
          <w:rFonts w:eastAsiaTheme="minorEastAsia"/>
        </w:rPr>
        <w:t xml:space="preserve">position U.S. </w:t>
      </w:r>
      <w:r w:rsidRPr="63BAD8C6" w:rsidR="03F4324B">
        <w:rPr>
          <w:rFonts w:eastAsiaTheme="minorEastAsia"/>
        </w:rPr>
        <w:t xml:space="preserve">companies </w:t>
      </w:r>
      <w:r w:rsidRPr="6369A6A9" w:rsidR="03F4324B">
        <w:rPr>
          <w:rFonts w:eastAsiaTheme="minorEastAsia"/>
        </w:rPr>
        <w:t xml:space="preserve">such that they </w:t>
      </w:r>
      <w:r w:rsidRPr="0DA63CF5" w:rsidR="03F4324B">
        <w:rPr>
          <w:rFonts w:eastAsiaTheme="minorEastAsia"/>
        </w:rPr>
        <w:t xml:space="preserve">can </w:t>
      </w:r>
      <w:r w:rsidRPr="33D27EDE" w:rsidR="19A0A11F">
        <w:rPr>
          <w:rFonts w:eastAsiaTheme="minorEastAsia"/>
        </w:rPr>
        <w:t>seek to implement</w:t>
      </w:r>
      <w:r w:rsidRPr="0DA63CF5" w:rsidR="03F4324B">
        <w:rPr>
          <w:rFonts w:eastAsiaTheme="minorEastAsia"/>
        </w:rPr>
        <w:t xml:space="preserve"> </w:t>
      </w:r>
      <w:r w:rsidRPr="48572D09" w:rsidR="03F4324B">
        <w:rPr>
          <w:rFonts w:eastAsiaTheme="minorEastAsia"/>
        </w:rPr>
        <w:t xml:space="preserve"> harmonized </w:t>
      </w:r>
      <w:r w:rsidR="00A54FCA">
        <w:rPr>
          <w:rFonts w:eastAsiaTheme="minorEastAsia"/>
        </w:rPr>
        <w:t xml:space="preserve">global </w:t>
      </w:r>
      <w:r w:rsidRPr="48572D09" w:rsidR="03F4324B">
        <w:rPr>
          <w:rFonts w:eastAsiaTheme="minorEastAsia"/>
        </w:rPr>
        <w:t>operations</w:t>
      </w:r>
      <w:r w:rsidRPr="53E754EB" w:rsidR="006A178E">
        <w:rPr>
          <w:rFonts w:eastAsiaTheme="minorEastAsia"/>
        </w:rPr>
        <w:t>.</w:t>
      </w:r>
      <w:r w:rsidR="001D42EC">
        <w:t xml:space="preserve"> </w:t>
      </w:r>
      <w:r w:rsidR="004A71DF">
        <w:t xml:space="preserve"> </w:t>
      </w:r>
      <w:r w:rsidRPr="00412F02" w:rsidR="000735AF">
        <w:t>Our decision</w:t>
      </w:r>
      <w:r w:rsidRPr="00412F02" w:rsidR="001D42EC">
        <w:t xml:space="preserve">s </w:t>
      </w:r>
      <w:r w:rsidR="001D42EC">
        <w:t xml:space="preserve">flow </w:t>
      </w:r>
      <w:r w:rsidR="000735AF">
        <w:t>from decades-long Commission precedent</w:t>
      </w:r>
      <w:r w:rsidR="00CE3632">
        <w:t xml:space="preserve"> and</w:t>
      </w:r>
      <w:r w:rsidR="000735AF">
        <w:t xml:space="preserve"> </w:t>
      </w:r>
      <w:r w:rsidR="000816A0">
        <w:t>align</w:t>
      </w:r>
      <w:r w:rsidR="000735AF">
        <w:t xml:space="preserve"> with</w:t>
      </w:r>
      <w:r w:rsidR="00A94C1C">
        <w:t xml:space="preserve"> the </w:t>
      </w:r>
      <w:r w:rsidR="006769BB">
        <w:t>exclusive</w:t>
      </w:r>
      <w:r w:rsidR="00201BF1">
        <w:t>-</w:t>
      </w:r>
      <w:r w:rsidR="006769BB">
        <w:t xml:space="preserve">use framework </w:t>
      </w:r>
      <w:r w:rsidR="00454C3B">
        <w:t xml:space="preserve">for terrestrial spectrum </w:t>
      </w:r>
      <w:r w:rsidR="00201BF1">
        <w:t xml:space="preserve">that </w:t>
      </w:r>
      <w:r w:rsidR="000735AF">
        <w:t xml:space="preserve">underpins </w:t>
      </w:r>
      <w:r w:rsidR="009C3DF2">
        <w:t xml:space="preserve">our </w:t>
      </w:r>
      <w:r w:rsidR="00A25F06">
        <w:t>Supplemental Coverage from Space (SCS)</w:t>
      </w:r>
      <w:r w:rsidR="000735AF">
        <w:t xml:space="preserve"> </w:t>
      </w:r>
      <w:r w:rsidR="00CE3632">
        <w:t>rules</w:t>
      </w:r>
      <w:r w:rsidR="00544906">
        <w:t xml:space="preserve">.  </w:t>
      </w:r>
    </w:p>
    <w:p w:rsidR="00C947D2" w:rsidRPr="00E31303" w:rsidP="00C01F19" w14:paraId="76BEADE5" w14:textId="7E2E8CA8">
      <w:pPr>
        <w:pStyle w:val="ParaNum"/>
        <w:tabs>
          <w:tab w:val="clear" w:pos="1080"/>
          <w:tab w:val="num" w:pos="1440"/>
        </w:tabs>
      </w:pPr>
      <w:r w:rsidRPr="00412F02">
        <w:t>Our decision today</w:t>
      </w:r>
      <w:r>
        <w:t xml:space="preserve"> is</w:t>
      </w:r>
      <w:r w:rsidR="00B60A23">
        <w:t xml:space="preserve"> both</w:t>
      </w:r>
      <w:r>
        <w:t xml:space="preserve"> necessary and timely.</w:t>
      </w:r>
      <w:r w:rsidR="0044308D">
        <w:t xml:space="preserve">  </w:t>
      </w:r>
      <w:r>
        <w:t>With the burgeoning interest in direct-to-device, the Commission has received a number of petitions</w:t>
      </w:r>
      <w:r w:rsidR="00A94C1C">
        <w:t xml:space="preserve"> and applications </w:t>
      </w:r>
      <w:r>
        <w:t>that</w:t>
      </w:r>
      <w:r w:rsidR="009C3DF2">
        <w:t xml:space="preserve"> </w:t>
      </w:r>
      <w:r w:rsidR="008001C2">
        <w:t>question</w:t>
      </w:r>
      <w:r w:rsidR="00A94C1C">
        <w:t xml:space="preserve"> </w:t>
      </w:r>
      <w:r w:rsidR="009C3DF2">
        <w:t>our</w:t>
      </w:r>
      <w:r w:rsidR="00A94C1C">
        <w:t xml:space="preserve"> longstanding</w:t>
      </w:r>
      <w:r w:rsidR="009C3DF2">
        <w:t xml:space="preserve"> policy of MSS</w:t>
      </w:r>
      <w:r w:rsidR="00A94C1C">
        <w:t xml:space="preserve"> exclusivity</w:t>
      </w:r>
      <w:r>
        <w:t xml:space="preserve"> and generated regulatory uncertainty</w:t>
      </w:r>
      <w:r w:rsidR="00A94C1C">
        <w:t>.</w:t>
      </w:r>
      <w:r w:rsidR="00CE3632">
        <w:t xml:space="preserve">  </w:t>
      </w:r>
      <w:r w:rsidR="00544906">
        <w:t>We resolve them today.</w:t>
      </w:r>
      <w:r w:rsidR="00CE3632">
        <w:t xml:space="preserve">  </w:t>
      </w:r>
      <w:r w:rsidR="00A94C1C">
        <w:t>First</w:t>
      </w:r>
      <w:r w:rsidR="002574F0">
        <w:t xml:space="preserve">, </w:t>
      </w:r>
      <w:r w:rsidRPr="2B4154B5" w:rsidR="002574F0">
        <w:t xml:space="preserve">we </w:t>
      </w:r>
      <w:r w:rsidR="00544906">
        <w:t>reject</w:t>
      </w:r>
      <w:r w:rsidRPr="2B4154B5" w:rsidR="00544906">
        <w:t xml:space="preserve"> </w:t>
      </w:r>
      <w:r w:rsidR="009D6D20">
        <w:t>pending</w:t>
      </w:r>
      <w:r w:rsidRPr="2B4154B5" w:rsidR="002574F0">
        <w:t xml:space="preserve"> requests </w:t>
      </w:r>
      <w:r w:rsidR="008001C2">
        <w:t xml:space="preserve">for a </w:t>
      </w:r>
      <w:r w:rsidR="002574F0">
        <w:t xml:space="preserve">license or </w:t>
      </w:r>
      <w:r w:rsidRPr="2B4154B5" w:rsidR="002574F0">
        <w:t>U.S. market access</w:t>
      </w:r>
      <w:r w:rsidR="002574F0">
        <w:t xml:space="preserve"> in</w:t>
      </w:r>
      <w:r w:rsidR="00FC293B">
        <w:t xml:space="preserve"> certain </w:t>
      </w:r>
      <w:r w:rsidRPr="2B4154B5" w:rsidR="002574F0">
        <w:t>MSS</w:t>
      </w:r>
      <w:r w:rsidR="002574F0">
        <w:t xml:space="preserve"> bands</w:t>
      </w:r>
      <w:r w:rsidR="00544906">
        <w:t xml:space="preserve"> </w:t>
      </w:r>
      <w:r w:rsidR="008001C2">
        <w:t xml:space="preserve">that are </w:t>
      </w:r>
      <w:r w:rsidR="00544906">
        <w:t xml:space="preserve">already </w:t>
      </w:r>
      <w:r w:rsidR="008001C2">
        <w:t>licensed</w:t>
      </w:r>
      <w:r w:rsidR="00544906">
        <w:t xml:space="preserve"> to </w:t>
      </w:r>
      <w:r w:rsidR="008001C2">
        <w:t>another</w:t>
      </w:r>
      <w:r w:rsidR="00544906">
        <w:t xml:space="preserve"> entity</w:t>
      </w:r>
      <w:r w:rsidR="5502B63C">
        <w:t xml:space="preserve">, </w:t>
      </w:r>
      <w:r w:rsidR="008C0622">
        <w:t>and/</w:t>
      </w:r>
      <w:r w:rsidR="5502B63C">
        <w:t xml:space="preserve">or that would potentially constrain operation of frequencies licensed for use in the United States by the same operator outside the </w:t>
      </w:r>
      <w:r w:rsidR="208D96A1">
        <w:t>United States</w:t>
      </w:r>
      <w:r w:rsidR="0055361F">
        <w:t>.</w:t>
      </w:r>
      <w:r w:rsidRPr="2B4154B5" w:rsidR="002574F0">
        <w:t xml:space="preserve">  </w:t>
      </w:r>
      <w:r w:rsidR="008001C2">
        <w:t>Specifically, w</w:t>
      </w:r>
      <w:r w:rsidR="009C3DF2">
        <w:t>e</w:t>
      </w:r>
      <w:r w:rsidRPr="2B4154B5" w:rsidR="002574F0">
        <w:t xml:space="preserve"> </w:t>
      </w:r>
      <w:r w:rsidRPr="5ACF5A0C" w:rsidR="002574F0">
        <w:t>dismiss</w:t>
      </w:r>
      <w:r w:rsidRPr="5ACF5A0C" w:rsidR="003A35B7">
        <w:t xml:space="preserve"> with prejudice</w:t>
      </w:r>
      <w:r w:rsidRPr="5ACF5A0C" w:rsidR="002574F0">
        <w:t xml:space="preserve"> the </w:t>
      </w:r>
      <w:r w:rsidRPr="2B4154B5" w:rsidR="002574F0">
        <w:t xml:space="preserve">requests of Space Exploration Holdings LLC (SpaceX), Kepler Communications Inc. (Kepler), </w:t>
      </w:r>
      <w:r w:rsidRPr="2B4154B5" w:rsidR="002574F0">
        <w:t>Satelio</w:t>
      </w:r>
      <w:r w:rsidRPr="2B4154B5" w:rsidR="002574F0">
        <w:t xml:space="preserve"> IoT Services U.S. Inc. (</w:t>
      </w:r>
      <w:r w:rsidRPr="2B4154B5" w:rsidR="002574F0">
        <w:t>Sateliot</w:t>
      </w:r>
      <w:r w:rsidRPr="00E31303" w:rsidR="002574F0">
        <w:rPr>
          <w:szCs w:val="22"/>
        </w:rPr>
        <w:t>)</w:t>
      </w:r>
      <w:r w:rsidRPr="2B4154B5" w:rsidR="002574F0">
        <w:t xml:space="preserve">, and AST </w:t>
      </w:r>
      <w:r w:rsidRPr="00E31303" w:rsidR="002574F0">
        <w:rPr>
          <w:szCs w:val="22"/>
        </w:rPr>
        <w:t xml:space="preserve">&amp; </w:t>
      </w:r>
      <w:r w:rsidRPr="2B4154B5" w:rsidR="002574F0">
        <w:t xml:space="preserve">Science LLC (AST) to </w:t>
      </w:r>
      <w:r w:rsidR="008001C2">
        <w:t>access</w:t>
      </w:r>
      <w:r w:rsidR="009441F0">
        <w:t xml:space="preserve"> specific </w:t>
      </w:r>
      <w:r w:rsidR="00946B46">
        <w:t>MSS bands</w:t>
      </w:r>
      <w:r w:rsidRPr="00E31303" w:rsidR="00151B6D">
        <w:rPr>
          <w:szCs w:val="22"/>
        </w:rPr>
        <w:t>.</w:t>
      </w:r>
      <w:r>
        <w:rPr>
          <w:rStyle w:val="FootnoteReference"/>
        </w:rPr>
        <w:footnoteReference w:id="5"/>
      </w:r>
      <w:r w:rsidRPr="00E31303" w:rsidR="002574F0">
        <w:rPr>
          <w:szCs w:val="22"/>
        </w:rPr>
        <w:t xml:space="preserve">  </w:t>
      </w:r>
      <w:r w:rsidRPr="00E31303" w:rsidR="00C24EC3">
        <w:rPr>
          <w:szCs w:val="22"/>
        </w:rPr>
        <w:t xml:space="preserve"> </w:t>
      </w:r>
      <w:r w:rsidR="008C1000">
        <w:t>W</w:t>
      </w:r>
      <w:r w:rsidRPr="5ACF5A0C" w:rsidR="009C3DF2">
        <w:t>e</w:t>
      </w:r>
      <w:r w:rsidRPr="2B4154B5" w:rsidR="002574F0">
        <w:t xml:space="preserve"> </w:t>
      </w:r>
      <w:r w:rsidR="008C1000">
        <w:t xml:space="preserve">also </w:t>
      </w:r>
      <w:r w:rsidR="003F0AC3">
        <w:t xml:space="preserve">dismiss </w:t>
      </w:r>
      <w:r w:rsidR="002574F0">
        <w:t>two</w:t>
      </w:r>
      <w:r w:rsidRPr="2B4154B5" w:rsidR="002574F0">
        <w:t xml:space="preserve"> petitions for rulemaking</w:t>
      </w:r>
      <w:r w:rsidRPr="2B4154B5" w:rsidR="002574F0">
        <w:t xml:space="preserve"> </w:t>
      </w:r>
      <w:r w:rsidR="009C3DF2">
        <w:t xml:space="preserve">from SpaceX and Iridium that </w:t>
      </w:r>
      <w:r w:rsidRPr="2B4154B5" w:rsidR="002574F0">
        <w:t xml:space="preserve">seek to change </w:t>
      </w:r>
      <w:r w:rsidR="00C81CE6">
        <w:t xml:space="preserve">the </w:t>
      </w:r>
      <w:r w:rsidR="00E26217">
        <w:t>l</w:t>
      </w:r>
      <w:r w:rsidR="00991D62">
        <w:t>icensing band plan for</w:t>
      </w:r>
      <w:r w:rsidR="00EF6AED">
        <w:t xml:space="preserve"> </w:t>
      </w:r>
      <w:r w:rsidR="00E26217">
        <w:t xml:space="preserve">MSS </w:t>
      </w:r>
      <w:r w:rsidR="00EF6AED">
        <w:t>services in the</w:t>
      </w:r>
      <w:r w:rsidR="00991D62">
        <w:t xml:space="preserve"> </w:t>
      </w:r>
      <w:r w:rsidR="00D97654">
        <w:t>1.6/2.4 GHz</w:t>
      </w:r>
      <w:r w:rsidR="00672716">
        <w:t xml:space="preserve"> </w:t>
      </w:r>
      <w:r w:rsidR="00EF6AED">
        <w:t xml:space="preserve">bands. </w:t>
      </w:r>
      <w:r w:rsidRPr="2B4154B5" w:rsidR="002574F0">
        <w:t xml:space="preserve"> </w:t>
      </w:r>
      <w:r w:rsidR="002574F0">
        <w:t xml:space="preserve"> </w:t>
      </w:r>
    </w:p>
    <w:p w:rsidR="003F0D59" w:rsidRPr="003845D1" w:rsidP="00D72F3A" w14:paraId="7A3045C8" w14:textId="6314A5BC">
      <w:pPr>
        <w:pStyle w:val="ParaNum"/>
        <w:tabs>
          <w:tab w:val="clear" w:pos="1080"/>
          <w:tab w:val="num" w:pos="1440"/>
        </w:tabs>
        <w:rPr>
          <w:szCs w:val="22"/>
        </w:rPr>
      </w:pPr>
      <w:r w:rsidRPr="00450DA4">
        <w:t>Our decision today</w:t>
      </w:r>
      <w:r>
        <w:t xml:space="preserve"> </w:t>
      </w:r>
      <w:r w:rsidR="0044308D">
        <w:t>serves</w:t>
      </w:r>
      <w:r>
        <w:t xml:space="preserve"> the public interest in two ways.  </w:t>
      </w:r>
      <w:r w:rsidR="000735AF">
        <w:t xml:space="preserve">In the short term, </w:t>
      </w:r>
      <w:r>
        <w:t>we</w:t>
      </w:r>
      <w:r w:rsidR="000735AF">
        <w:t xml:space="preserve"> give companies </w:t>
      </w:r>
      <w:r>
        <w:t>the clarity</w:t>
      </w:r>
      <w:r w:rsidR="000735AF">
        <w:t xml:space="preserve"> </w:t>
      </w:r>
      <w:r>
        <w:t xml:space="preserve">they need </w:t>
      </w:r>
      <w:r w:rsidR="000735AF">
        <w:t xml:space="preserve">to deploy direct-to-device services </w:t>
      </w:r>
      <w:r>
        <w:t>intensively and</w:t>
      </w:r>
      <w:r w:rsidR="000735AF">
        <w:t xml:space="preserve"> invest in </w:t>
      </w:r>
      <w:r>
        <w:t>MSS spectrum confidently</w:t>
      </w:r>
      <w:r w:rsidR="000735AF">
        <w:t xml:space="preserve">.  In the longer term, </w:t>
      </w:r>
      <w:r w:rsidR="008001C2">
        <w:t>today’s</w:t>
      </w:r>
      <w:r>
        <w:t xml:space="preserve"> </w:t>
      </w:r>
      <w:r w:rsidR="008001C2">
        <w:t>decision</w:t>
      </w:r>
      <w:r>
        <w:t xml:space="preserve"> will pave the way</w:t>
      </w:r>
      <w:r w:rsidR="000735AF">
        <w:t xml:space="preserve"> for future reforms we intend to </w:t>
      </w:r>
      <w:r w:rsidR="008001C2">
        <w:t>pursue</w:t>
      </w:r>
      <w:r w:rsidR="000735AF">
        <w:t xml:space="preserve"> to </w:t>
      </w:r>
      <w:r>
        <w:t>supercharge</w:t>
      </w:r>
      <w:r w:rsidR="000735AF">
        <w:t xml:space="preserve"> direct-to-device technology </w:t>
      </w:r>
      <w:r>
        <w:t>for the good of Americans</w:t>
      </w:r>
      <w:r w:rsidR="000735AF">
        <w:t xml:space="preserve">.    </w:t>
      </w:r>
    </w:p>
    <w:p w:rsidR="002574F0" w:rsidP="00B46C4C" w14:paraId="68F4D795" w14:textId="77777777">
      <w:pPr>
        <w:pStyle w:val="Heading1"/>
      </w:pPr>
      <w:r w:rsidRPr="00B46C4C">
        <w:t>BACKGROUND</w:t>
      </w:r>
    </w:p>
    <w:p w:rsidR="002574F0" w:rsidP="00C01F19" w14:paraId="13FF7135" w14:textId="5AD6FA8C">
      <w:pPr>
        <w:pStyle w:val="ParaNum"/>
        <w:tabs>
          <w:tab w:val="clear" w:pos="1080"/>
          <w:tab w:val="num" w:pos="1440"/>
        </w:tabs>
      </w:pPr>
      <w:r w:rsidRPr="00763622">
        <w:rPr>
          <w:i/>
        </w:rPr>
        <w:t>SpaceX’s Applications</w:t>
      </w:r>
      <w:r>
        <w:t>.  SpaceX has filed multiple applications to communicate using the 1.5 GHz, 1.6/2.4 GHz, and 2 GHz bands.</w:t>
      </w:r>
      <w:r w:rsidRPr="009B2137" w:rsidR="009B2137">
        <w:rPr>
          <w:rStyle w:val="FootnoteReference"/>
        </w:rPr>
        <w:t xml:space="preserve"> </w:t>
      </w:r>
      <w:r>
        <w:rPr>
          <w:rStyle w:val="FootnoteReference"/>
        </w:rPr>
        <w:footnoteReference w:id="6"/>
      </w:r>
      <w:r>
        <w:t xml:space="preserve">  In 2023, SpaceX filed an application seeking to modify the authorization for its second generation Starlink system (Gen2 Starlink) to add a</w:t>
      </w:r>
      <w:r w:rsidR="002F380A">
        <w:t xml:space="preserve"> </w:t>
      </w:r>
      <w:r w:rsidR="00586AC1">
        <w:t>direct-to-cell (</w:t>
      </w:r>
      <w:r w:rsidR="002F380A">
        <w:t>D2C</w:t>
      </w:r>
      <w:r w:rsidR="00586AC1">
        <w:t>)</w:t>
      </w:r>
      <w:r w:rsidR="002F380A">
        <w:t xml:space="preserve"> </w:t>
      </w:r>
      <w:r w:rsidR="00586AC1">
        <w:t xml:space="preserve">service </w:t>
      </w:r>
      <w:r>
        <w:t>(</w:t>
      </w:r>
      <w:r>
        <w:t xml:space="preserve">SpaceX </w:t>
      </w:r>
      <w:r>
        <w:t xml:space="preserve">Gen2 </w:t>
      </w:r>
      <w:r w:rsidR="002F380A">
        <w:t>D2C</w:t>
      </w:r>
      <w:r>
        <w:t xml:space="preserve"> Modification).</w:t>
      </w:r>
      <w:r>
        <w:rPr>
          <w:rStyle w:val="FootnoteReference"/>
        </w:rPr>
        <w:footnoteReference w:id="7"/>
      </w:r>
      <w:r>
        <w:t xml:space="preserve">  This </w:t>
      </w:r>
      <w:r w:rsidRPr="00B46C4C">
        <w:t>SpaceX</w:t>
      </w:r>
      <w:r>
        <w:t xml:space="preserve"> Gen2 </w:t>
      </w:r>
      <w:r w:rsidR="002F380A">
        <w:t>D2C</w:t>
      </w:r>
      <w:r>
        <w:t xml:space="preserve"> Modification sought to operate in the 1910-1915 MHz and 1990-1995 MHz bands </w:t>
      </w:r>
      <w:r w:rsidRPr="00354BCA">
        <w:t>within</w:t>
      </w:r>
      <w:r>
        <w:t xml:space="preserve"> the United States, and the 1429-2690 MHz band outside the United States.  When the Space Bureau (Bureau) partially granted the SpaceX Gen2 </w:t>
      </w:r>
      <w:r w:rsidR="002F380A">
        <w:t>D2C</w:t>
      </w:r>
      <w:r>
        <w:t xml:space="preserve"> Modification in 2024, it deferred consideration of certain sub-bands in the </w:t>
      </w:r>
      <w:r w:rsidR="009524E2">
        <w:t>1</w:t>
      </w:r>
      <w:r>
        <w:t>429-2690 MHz range, including the 1.5 GHz, 1.6/2.4 GHz, and 2 GHz bands.</w:t>
      </w:r>
      <w:r>
        <w:rPr>
          <w:rStyle w:val="FootnoteReference"/>
        </w:rPr>
        <w:footnoteReference w:id="8"/>
      </w:r>
      <w:r>
        <w:t xml:space="preserve">  In the SpaceX Gen2 Upgrade Applications, SpaceX requested to amend the pending portion of its application, including the pending 1.5 GHz, 1.6/2.4 GHz, and 2 GHz bands to add operations in these bands </w:t>
      </w:r>
      <w:r w:rsidRPr="00354BCA">
        <w:t>outside the</w:t>
      </w:r>
      <w:r>
        <w:t xml:space="preserve"> United States as part of its larger applications to upgrade its Gen2 Starlink satellites to its </w:t>
      </w:r>
      <w:r w:rsidR="002F4A44">
        <w:t>new</w:t>
      </w:r>
      <w:r w:rsidR="00C40967">
        <w:t xml:space="preserve"> </w:t>
      </w:r>
      <w:r w:rsidR="00F34A2C">
        <w:t>“</w:t>
      </w:r>
      <w:r>
        <w:t>V3</w:t>
      </w:r>
      <w:r w:rsidR="00F34A2C">
        <w:t>”</w:t>
      </w:r>
      <w:r>
        <w:t xml:space="preserve"> </w:t>
      </w:r>
      <w:r w:rsidR="002F4A44">
        <w:t xml:space="preserve">satellite </w:t>
      </w:r>
      <w:r>
        <w:t>design.</w:t>
      </w:r>
      <w:r>
        <w:rPr>
          <w:rStyle w:val="FootnoteReference"/>
        </w:rPr>
        <w:footnoteReference w:id="9"/>
      </w:r>
      <w:r>
        <w:t xml:space="preserve">  This amendment was accepted for filing and placed on public notice, and the record has been active.</w:t>
      </w:r>
      <w:r>
        <w:rPr>
          <w:rStyle w:val="FootnoteReference"/>
        </w:rPr>
        <w:footnoteReference w:id="10"/>
      </w:r>
      <w:r>
        <w:t xml:space="preserve">  </w:t>
      </w:r>
      <w:r>
        <w:t xml:space="preserve">SpaceX </w:t>
      </w:r>
      <w:r>
        <w:t>also</w:t>
      </w:r>
      <w:r>
        <w:t xml:space="preserve"> </w:t>
      </w:r>
      <w:r>
        <w:t xml:space="preserve">applied for </w:t>
      </w:r>
      <w:r>
        <w:t>authority for</w:t>
      </w:r>
      <w:r>
        <w:t xml:space="preserve"> a </w:t>
      </w:r>
      <w:r>
        <w:t>new</w:t>
      </w:r>
      <w:r>
        <w:t xml:space="preserve"> constellation of </w:t>
      </w:r>
      <w:r>
        <w:t xml:space="preserve">15,000 </w:t>
      </w:r>
      <w:r>
        <w:t xml:space="preserve">low-Earth orbit, non-geostationary orbit (NGSO) satellites to provide D2C services in the United States and </w:t>
      </w:r>
      <w:r>
        <w:t>outside of the U</w:t>
      </w:r>
      <w:r w:rsidR="00E863DC">
        <w:t xml:space="preserve">nited States </w:t>
      </w:r>
      <w:r>
        <w:t>including in the 1.5 GHz, 1.6/2.4 GHz, and 2 GHz bands</w:t>
      </w:r>
      <w:r>
        <w:t xml:space="preserve"> (SpaceX D2C Application)</w:t>
      </w:r>
      <w:r>
        <w:t>.</w:t>
      </w:r>
      <w:r>
        <w:t xml:space="preserve">  This application was placed on public </w:t>
      </w:r>
      <w:r>
        <w:t>notice.</w:t>
      </w:r>
      <w:r>
        <w:rPr>
          <w:rStyle w:val="FootnoteReference"/>
        </w:rPr>
        <w:footnoteReference w:id="11"/>
      </w:r>
      <w:r>
        <w:t xml:space="preserve">  In response, multiple comments and several petitions to deny were filed.</w:t>
      </w:r>
      <w:r>
        <w:rPr>
          <w:rStyle w:val="FootnoteReference"/>
        </w:rPr>
        <w:footnoteReference w:id="12"/>
      </w:r>
      <w:r>
        <w:t xml:space="preserve"> </w:t>
      </w:r>
    </w:p>
    <w:p w:rsidR="002574F0" w:rsidRPr="006B57A8" w:rsidP="00C01F19" w14:paraId="49A6BE51" w14:textId="0C59E64A">
      <w:pPr>
        <w:pStyle w:val="ParaNum"/>
        <w:tabs>
          <w:tab w:val="clear" w:pos="1080"/>
          <w:tab w:val="num" w:pos="1440"/>
        </w:tabs>
      </w:pPr>
      <w:r w:rsidRPr="75253CA2">
        <w:rPr>
          <w:i/>
          <w:iCs/>
        </w:rPr>
        <w:t xml:space="preserve">Kepler’s </w:t>
      </w:r>
      <w:r w:rsidRPr="75253CA2">
        <w:rPr>
          <w:i/>
          <w:iCs/>
        </w:rPr>
        <w:t xml:space="preserve">Application </w:t>
      </w:r>
      <w:r w:rsidRPr="75253CA2">
        <w:rPr>
          <w:i/>
          <w:iCs/>
        </w:rPr>
        <w:t>for Market Access.</w:t>
      </w:r>
      <w:r>
        <w:t xml:space="preserve">  </w:t>
      </w:r>
      <w:r w:rsidRPr="65E3516E">
        <w:t xml:space="preserve">On December 24, 2021, Kepler filed a Petition for Declaratory Ruling </w:t>
      </w:r>
      <w:r w:rsidR="003B7724">
        <w:t xml:space="preserve">requesting </w:t>
      </w:r>
      <w:r w:rsidR="000664BD">
        <w:t xml:space="preserve">U.S. </w:t>
      </w:r>
      <w:r w:rsidRPr="65E3516E">
        <w:t xml:space="preserve">market access </w:t>
      </w:r>
      <w:r w:rsidR="00721F94">
        <w:t xml:space="preserve">for </w:t>
      </w:r>
      <w:r>
        <w:t xml:space="preserve">212 new satellites </w:t>
      </w:r>
      <w:r w:rsidRPr="65E3516E">
        <w:t>to provide MSS</w:t>
      </w:r>
      <w:r>
        <w:t>, focusing on Internet of Things (IoT) device data transfers</w:t>
      </w:r>
      <w:r w:rsidR="009B3EC0">
        <w:t xml:space="preserve"> </w:t>
      </w:r>
      <w:r w:rsidRPr="65E3516E">
        <w:t>in</w:t>
      </w:r>
      <w:r>
        <w:t xml:space="preserve"> the </w:t>
      </w:r>
      <w:r w:rsidRPr="0031398F">
        <w:t>1610-1617.775 MHz (Earth-to-space) and 2483.5-2500 MHz (space-to-Earth) bands (1.6/2.4 GHz bands</w:t>
      </w:r>
      <w:r w:rsidRPr="00824D32">
        <w:t>) in</w:t>
      </w:r>
      <w:r w:rsidRPr="65E3516E">
        <w:t xml:space="preserve"> the United States.</w:t>
      </w:r>
      <w:r>
        <w:rPr>
          <w:rStyle w:val="FootnoteReference"/>
          <w:sz w:val="22"/>
          <w:szCs w:val="22"/>
        </w:rPr>
        <w:footnoteReference w:id="13"/>
      </w:r>
      <w:r w:rsidRPr="65E3516E">
        <w:t xml:space="preserve">  Globalstar, which is licensed in the 1.6/2.4 GHz bands, </w:t>
      </w:r>
      <w:r>
        <w:t xml:space="preserve">along with EchoStar and </w:t>
      </w:r>
      <w:r>
        <w:t>Omnispace</w:t>
      </w:r>
      <w:r>
        <w:t xml:space="preserve"> (collectively the </w:t>
      </w:r>
      <w:r w:rsidRPr="65E3516E">
        <w:t>Joint Parties</w:t>
      </w:r>
      <w:r>
        <w:t>)</w:t>
      </w:r>
      <w:r w:rsidR="00223566">
        <w:t>,</w:t>
      </w:r>
      <w:r w:rsidRPr="65E3516E">
        <w:t xml:space="preserve"> submitted a letter in opposition to the</w:t>
      </w:r>
      <w:r w:rsidR="001B5B5A">
        <w:t xml:space="preserve"> </w:t>
      </w:r>
      <w:r w:rsidR="0027443F">
        <w:t>A</w:t>
      </w:r>
      <w:r w:rsidR="001B5B5A">
        <w:t>pplication,</w:t>
      </w:r>
      <w:r w:rsidRPr="65E3516E">
        <w:t xml:space="preserve"> </w:t>
      </w:r>
      <w:r w:rsidRPr="65E3516E">
        <w:t xml:space="preserve">stating that </w:t>
      </w:r>
      <w:r w:rsidR="001B5B5A">
        <w:t>it</w:t>
      </w:r>
      <w:r w:rsidRPr="65E3516E">
        <w:t xml:space="preserve"> should be dismissed without being accepted for filing.</w:t>
      </w:r>
      <w:r>
        <w:rPr>
          <w:rStyle w:val="FootnoteReference"/>
          <w:sz w:val="22"/>
          <w:szCs w:val="22"/>
        </w:rPr>
        <w:footnoteReference w:id="14"/>
      </w:r>
      <w:r w:rsidRPr="65E3516E">
        <w:t xml:space="preserve">  Kepler filed </w:t>
      </w:r>
      <w:r w:rsidR="00513620">
        <w:t>a</w:t>
      </w:r>
      <w:r w:rsidRPr="65E3516E">
        <w:t xml:space="preserve"> response.</w:t>
      </w:r>
      <w:r>
        <w:rPr>
          <w:rStyle w:val="FootnoteReference"/>
          <w:sz w:val="22"/>
          <w:szCs w:val="22"/>
        </w:rPr>
        <w:footnoteReference w:id="15"/>
      </w:r>
      <w:r w:rsidRPr="65E3516E">
        <w:t xml:space="preserve">  SpaceX filed </w:t>
      </w:r>
      <w:r w:rsidRPr="75253CA2">
        <w:rPr>
          <w:i/>
          <w:iCs/>
        </w:rPr>
        <w:t>ex parte</w:t>
      </w:r>
      <w:r w:rsidRPr="65E3516E">
        <w:t xml:space="preserve"> letter</w:t>
      </w:r>
      <w:r>
        <w:t>s</w:t>
      </w:r>
      <w:r w:rsidRPr="65E3516E">
        <w:t xml:space="preserve"> requesting that the Commission impose certain conditions on the license requested by Kepler</w:t>
      </w:r>
      <w:r w:rsidRPr="00666513">
        <w:t>.</w:t>
      </w:r>
      <w:r>
        <w:rPr>
          <w:rStyle w:val="FootnoteReference"/>
          <w:sz w:val="22"/>
          <w:szCs w:val="22"/>
        </w:rPr>
        <w:footnoteReference w:id="16"/>
      </w:r>
      <w:r w:rsidRPr="00666513">
        <w:t xml:space="preserve">  Kepler’s</w:t>
      </w:r>
      <w:r w:rsidRPr="00DE7013">
        <w:t xml:space="preserve"> Application </w:t>
      </w:r>
      <w:r w:rsidRPr="00F35926">
        <w:t>has not been place</w:t>
      </w:r>
      <w:r w:rsidR="00257C92">
        <w:t>d</w:t>
      </w:r>
      <w:r w:rsidRPr="00F35926">
        <w:t xml:space="preserve"> on </w:t>
      </w:r>
      <w:r w:rsidRPr="00DE7013">
        <w:t>public notice</w:t>
      </w:r>
      <w:r>
        <w:t xml:space="preserve"> as accepted for filing</w:t>
      </w:r>
      <w:r w:rsidRPr="65E3516E">
        <w:t>.</w:t>
      </w:r>
      <w:r>
        <w:rPr>
          <w:rStyle w:val="FootnoteReference"/>
          <w:sz w:val="22"/>
          <w:szCs w:val="22"/>
        </w:rPr>
        <w:footnoteReference w:id="17"/>
      </w:r>
    </w:p>
    <w:p w:rsidR="002574F0" w:rsidRPr="00497132" w:rsidP="00C01F19" w14:paraId="1CE00EE2" w14:textId="7FCBA831">
      <w:pPr>
        <w:pStyle w:val="ParaNum"/>
        <w:tabs>
          <w:tab w:val="clear" w:pos="1080"/>
          <w:tab w:val="num" w:pos="1440"/>
        </w:tabs>
      </w:pPr>
      <w:r w:rsidRPr="75253CA2">
        <w:rPr>
          <w:i/>
          <w:iCs/>
        </w:rPr>
        <w:t>Sateliot’s</w:t>
      </w:r>
      <w:r w:rsidRPr="75253CA2">
        <w:rPr>
          <w:i/>
          <w:iCs/>
        </w:rPr>
        <w:t xml:space="preserve"> </w:t>
      </w:r>
      <w:r w:rsidRPr="211BC1E7">
        <w:rPr>
          <w:i/>
          <w:iCs/>
        </w:rPr>
        <w:t xml:space="preserve">Application </w:t>
      </w:r>
      <w:r w:rsidRPr="75253CA2">
        <w:rPr>
          <w:i/>
          <w:iCs/>
        </w:rPr>
        <w:t>for Market Access.</w:t>
      </w:r>
      <w:r>
        <w:t xml:space="preserve">  On </w:t>
      </w:r>
      <w:r w:rsidRPr="00B46C4C">
        <w:t>April</w:t>
      </w:r>
      <w:r>
        <w:t xml:space="preserve"> 28, 2025, </w:t>
      </w:r>
      <w:r>
        <w:t>Sateliot</w:t>
      </w:r>
      <w:r>
        <w:t xml:space="preserve"> filed a petition for U.S. market access for an initial </w:t>
      </w:r>
      <w:r w:rsidRPr="4927DF3A">
        <w:t xml:space="preserve">constellation of 10 satellites to support narrowband, satellite-based </w:t>
      </w:r>
      <w:r>
        <w:t xml:space="preserve">IoT </w:t>
      </w:r>
      <w:r w:rsidRPr="4927DF3A">
        <w:t xml:space="preserve"> applications in the 2 GHz MSS band.</w:t>
      </w:r>
      <w:r>
        <w:rPr>
          <w:vertAlign w:val="superscript"/>
        </w:rPr>
        <w:footnoteReference w:id="18"/>
      </w:r>
      <w:r w:rsidRPr="00756A39">
        <w:rPr>
          <w:vertAlign w:val="superscript"/>
        </w:rPr>
        <w:t xml:space="preserve"> </w:t>
      </w:r>
      <w:r w:rsidRPr="4927DF3A">
        <w:t xml:space="preserve"> </w:t>
      </w:r>
      <w:r>
        <w:t xml:space="preserve"> </w:t>
      </w:r>
      <w:r>
        <w:t>S</w:t>
      </w:r>
      <w:r w:rsidRPr="4927DF3A">
        <w:t>ateliot</w:t>
      </w:r>
      <w:r w:rsidRPr="4927DF3A">
        <w:t xml:space="preserve"> proposes to use </w:t>
      </w:r>
      <w:r>
        <w:t>one</w:t>
      </w:r>
      <w:r w:rsidRPr="4927DF3A">
        <w:t xml:space="preserve"> megahertz of spectrum in the 2000-2010 MHz band (Earth-to-space) and </w:t>
      </w:r>
      <w:r>
        <w:t>one</w:t>
      </w:r>
      <w:r w:rsidRPr="4927DF3A">
        <w:t xml:space="preserve"> megahertz of spectrum in the 2190-2200 MHz band (space-to-Earth).</w:t>
      </w:r>
      <w:r>
        <w:t xml:space="preserve"> </w:t>
      </w:r>
      <w:r w:rsidRPr="4927DF3A">
        <w:t xml:space="preserve"> </w:t>
      </w:r>
      <w:r w:rsidRPr="4927DF3A">
        <w:t>Sateliot</w:t>
      </w:r>
      <w:r w:rsidRPr="4927DF3A">
        <w:t xml:space="preserve"> seeks a </w:t>
      </w:r>
      <w:r w:rsidRPr="4927DF3A" w:rsidR="00702E9C">
        <w:t xml:space="preserve">waiver </w:t>
      </w:r>
      <w:r w:rsidR="00702E9C">
        <w:t>of</w:t>
      </w:r>
      <w:r w:rsidRPr="4927DF3A">
        <w:t xml:space="preserve"> </w:t>
      </w:r>
      <w:r w:rsidR="00485760">
        <w:t xml:space="preserve">some of </w:t>
      </w:r>
      <w:r w:rsidRPr="4927DF3A">
        <w:t>the Commission’s rules</w:t>
      </w:r>
      <w:r w:rsidR="00A6088C">
        <w:t xml:space="preserve"> covering MSS operations in the 2 GHz MSS bands</w:t>
      </w:r>
      <w:r>
        <w:rPr>
          <w:rStyle w:val="FootnoteReference"/>
        </w:rPr>
        <w:footnoteReference w:id="19"/>
      </w:r>
      <w:r w:rsidRPr="008F3B36">
        <w:rPr>
          <w:szCs w:val="22"/>
        </w:rPr>
        <w:t xml:space="preserve"> </w:t>
      </w:r>
      <w:r>
        <w:rPr>
          <w:szCs w:val="22"/>
        </w:rPr>
        <w:t>and</w:t>
      </w:r>
      <w:r w:rsidRPr="4927DF3A">
        <w:t xml:space="preserve"> </w:t>
      </w:r>
      <w:r w:rsidRPr="4927DF3A">
        <w:t xml:space="preserve">requests processing </w:t>
      </w:r>
      <w:r w:rsidRPr="4927DF3A" w:rsidR="00472326">
        <w:t>under the</w:t>
      </w:r>
      <w:r w:rsidRPr="4927DF3A">
        <w:t xml:space="preserve"> Commission’s streamlined process for Small Satellites.</w:t>
      </w:r>
      <w:r>
        <w:rPr>
          <w:rStyle w:val="FootnoteReference"/>
        </w:rPr>
        <w:footnoteReference w:id="20"/>
      </w:r>
      <w:r w:rsidRPr="4927DF3A">
        <w:t xml:space="preserve">  </w:t>
      </w:r>
      <w:r w:rsidRPr="00497132">
        <w:t>Sateliot’s</w:t>
      </w:r>
      <w:r w:rsidRPr="00497132">
        <w:t xml:space="preserve"> application has not been</w:t>
      </w:r>
      <w:r w:rsidRPr="00497132">
        <w:t xml:space="preserve"> </w:t>
      </w:r>
      <w:r w:rsidRPr="00497132">
        <w:t>placed on public notice as accepted for filing</w:t>
      </w:r>
      <w:r w:rsidRPr="00497132">
        <w:t>.</w:t>
      </w:r>
      <w:r>
        <w:rPr>
          <w:rStyle w:val="FootnoteReference"/>
        </w:rPr>
        <w:footnoteReference w:id="21"/>
      </w:r>
    </w:p>
    <w:p w:rsidR="002574F0" w:rsidRPr="006634AF" w:rsidP="00C01F19" w14:paraId="5AA7A554" w14:textId="6FE44BEB">
      <w:pPr>
        <w:pStyle w:val="ParaNum"/>
        <w:tabs>
          <w:tab w:val="clear" w:pos="1080"/>
          <w:tab w:val="num" w:pos="1440"/>
        </w:tabs>
        <w:rPr>
          <w:snapToGrid/>
          <w:kern w:val="0"/>
        </w:rPr>
      </w:pPr>
      <w:r w:rsidRPr="4927DF3A">
        <w:rPr>
          <w:i/>
          <w:iCs/>
        </w:rPr>
        <w:t>AST’s Application.</w:t>
      </w:r>
      <w:r>
        <w:t xml:space="preserve">  </w:t>
      </w:r>
      <w:r w:rsidRPr="4927DF3A">
        <w:t>On January 7, 2026, AST filed an application to operate MSS in the 1980-202</w:t>
      </w:r>
      <w:r>
        <w:t>0</w:t>
      </w:r>
      <w:r w:rsidRPr="4927DF3A">
        <w:t xml:space="preserve"> MHz (Earth-to-space)</w:t>
      </w:r>
      <w:r w:rsidR="00EA01B4">
        <w:t xml:space="preserve"> and</w:t>
      </w:r>
      <w:r w:rsidRPr="4927DF3A">
        <w:t xml:space="preserve"> 2160-2200 MHz (space-to-Earth) bands </w:t>
      </w:r>
      <w:r w:rsidRPr="003905C8">
        <w:t>outside the United States</w:t>
      </w:r>
      <w:r w:rsidRPr="4927DF3A">
        <w:t>.</w:t>
      </w:r>
      <w:r>
        <w:rPr>
          <w:rStyle w:val="FootnoteReference"/>
          <w:rFonts w:cs="Calibri"/>
        </w:rPr>
        <w:footnoteReference w:id="22"/>
      </w:r>
      <w:r w:rsidRPr="4927DF3A">
        <w:t xml:space="preserve">  AST does not have authority, nor ha</w:t>
      </w:r>
      <w:r w:rsidR="0092168A">
        <w:t>s</w:t>
      </w:r>
      <w:r w:rsidRPr="4927DF3A">
        <w:t xml:space="preserve"> it applied for authority, to operate in these bands in the United States.</w:t>
      </w:r>
      <w:r w:rsidR="001A0380">
        <w:rPr>
          <w:rFonts w:ascii="Calibri" w:hAnsi="Calibri" w:cs="Calibri"/>
        </w:rPr>
        <w:t xml:space="preserve">  </w:t>
      </w:r>
      <w:r>
        <w:t>This</w:t>
      </w:r>
      <w:r w:rsidRPr="4927DF3A">
        <w:t xml:space="preserve"> </w:t>
      </w:r>
      <w:r w:rsidRPr="00B46C4C">
        <w:t>application</w:t>
      </w:r>
      <w:r>
        <w:t xml:space="preserve"> was</w:t>
      </w:r>
      <w:r w:rsidRPr="4927DF3A">
        <w:t xml:space="preserve"> placed on public notice.</w:t>
      </w:r>
      <w:r>
        <w:rPr>
          <w:rStyle w:val="FootnoteReference"/>
        </w:rPr>
        <w:footnoteReference w:id="23"/>
      </w:r>
      <w:r>
        <w:t xml:space="preserve">  </w:t>
      </w:r>
    </w:p>
    <w:p w:rsidR="003C76EC" w:rsidRPr="002E3FF4" w:rsidP="00C01F19" w14:paraId="15B8F1A8" w14:textId="55BD6576">
      <w:pPr>
        <w:pStyle w:val="ParaNum"/>
        <w:tabs>
          <w:tab w:val="clear" w:pos="1080"/>
          <w:tab w:val="num" w:pos="1440"/>
        </w:tabs>
        <w:rPr>
          <w:rFonts w:eastAsiaTheme="minorHAnsi"/>
          <w:snapToGrid/>
          <w:kern w:val="2"/>
          <w:szCs w:val="22"/>
          <w14:ligatures w14:val="standardContextual"/>
        </w:rPr>
      </w:pPr>
      <w:r>
        <w:rPr>
          <w:rFonts w:eastAsiaTheme="minorHAnsi"/>
          <w:i/>
          <w:iCs/>
          <w:snapToGrid/>
        </w:rPr>
        <w:t>Petitions for Rulemaking.</w:t>
      </w:r>
      <w:r w:rsidR="00F846A8">
        <w:rPr>
          <w:rFonts w:eastAsiaTheme="minorHAnsi"/>
          <w:i/>
          <w:iCs/>
          <w:snapToGrid/>
        </w:rPr>
        <w:t xml:space="preserve"> </w:t>
      </w:r>
      <w:r w:rsidR="00DB26DB">
        <w:rPr>
          <w:rFonts w:eastAsiaTheme="minorHAnsi"/>
          <w:i/>
          <w:snapToGrid/>
        </w:rPr>
        <w:t xml:space="preserve"> </w:t>
      </w:r>
      <w:r w:rsidRPr="00CA02B1" w:rsidR="006634AF">
        <w:rPr>
          <w:rFonts w:eastAsiaTheme="minorHAnsi"/>
          <w:snapToGrid/>
        </w:rPr>
        <w:t>Space</w:t>
      </w:r>
      <w:r w:rsidR="006634AF">
        <w:rPr>
          <w:rFonts w:eastAsiaTheme="minorHAnsi"/>
          <w:snapToGrid/>
        </w:rPr>
        <w:t>X</w:t>
      </w:r>
      <w:r w:rsidRPr="00CA02B1" w:rsidR="006634AF">
        <w:rPr>
          <w:rFonts w:eastAsiaTheme="minorHAnsi"/>
          <w:snapToGrid/>
        </w:rPr>
        <w:t xml:space="preserve"> </w:t>
      </w:r>
      <w:r w:rsidR="002B5DB8">
        <w:rPr>
          <w:rFonts w:eastAsiaTheme="minorHAnsi"/>
          <w:snapToGrid/>
        </w:rPr>
        <w:t>filed a petition for rulemaking seeking changes to the Commission’s</w:t>
      </w:r>
      <w:r w:rsidR="00B451B2">
        <w:rPr>
          <w:rFonts w:eastAsiaTheme="minorHAnsi"/>
          <w:snapToGrid/>
        </w:rPr>
        <w:t xml:space="preserve"> rules</w:t>
      </w:r>
      <w:r w:rsidR="00DA2660">
        <w:rPr>
          <w:rFonts w:eastAsiaTheme="minorHAnsi"/>
          <w:snapToGrid/>
        </w:rPr>
        <w:t xml:space="preserve"> </w:t>
      </w:r>
      <w:r w:rsidR="00467DA1">
        <w:rPr>
          <w:rFonts w:eastAsiaTheme="minorHAnsi"/>
          <w:snapToGrid/>
        </w:rPr>
        <w:t xml:space="preserve">for MSS systems operating in the </w:t>
      </w:r>
      <w:r w:rsidRPr="00AF2419" w:rsidR="00AF2419">
        <w:rPr>
          <w:rFonts w:eastAsiaTheme="minorHAnsi"/>
          <w:snapToGrid/>
          <w:kern w:val="2"/>
          <w:szCs w:val="22"/>
          <w14:ligatures w14:val="standardContextual"/>
        </w:rPr>
        <w:t>1610-1617.775 MHz and 2483.5-2500 MHz bands</w:t>
      </w:r>
      <w:r w:rsidR="00F9051C">
        <w:rPr>
          <w:rFonts w:eastAsiaTheme="minorHAnsi"/>
          <w:snapToGrid/>
          <w:kern w:val="2"/>
          <w:szCs w:val="22"/>
          <w14:ligatures w14:val="standardContextual"/>
        </w:rPr>
        <w:t xml:space="preserve"> (Big LEO bands)</w:t>
      </w:r>
      <w:r w:rsidR="0077593E">
        <w:rPr>
          <w:rFonts w:eastAsiaTheme="minorHAnsi"/>
          <w:snapToGrid/>
          <w:kern w:val="2"/>
          <w:szCs w:val="22"/>
          <w14:ligatures w14:val="standardContextual"/>
        </w:rPr>
        <w:t xml:space="preserve">. </w:t>
      </w:r>
      <w:r w:rsidR="00E018A4">
        <w:rPr>
          <w:rFonts w:eastAsiaTheme="minorHAnsi"/>
          <w:snapToGrid/>
          <w:kern w:val="2"/>
          <w:szCs w:val="22"/>
          <w14:ligatures w14:val="standardContextual"/>
        </w:rPr>
        <w:t xml:space="preserve"> </w:t>
      </w:r>
      <w:r w:rsidR="0077593E">
        <w:rPr>
          <w:rFonts w:eastAsiaTheme="minorHAnsi"/>
          <w:snapToGrid/>
          <w:kern w:val="2"/>
          <w:szCs w:val="22"/>
          <w14:ligatures w14:val="standardContextual"/>
        </w:rPr>
        <w:t xml:space="preserve">Specifically, </w:t>
      </w:r>
      <w:r w:rsidR="00DA2660">
        <w:rPr>
          <w:rFonts w:eastAsiaTheme="minorHAnsi"/>
          <w:snapToGrid/>
          <w:kern w:val="2"/>
          <w:szCs w:val="22"/>
          <w14:ligatures w14:val="standardContextual"/>
        </w:rPr>
        <w:t xml:space="preserve">SpaceX </w:t>
      </w:r>
      <w:r w:rsidR="00AF64C0">
        <w:rPr>
          <w:rFonts w:eastAsiaTheme="minorHAnsi"/>
          <w:snapToGrid/>
          <w:kern w:val="2"/>
          <w:szCs w:val="22"/>
          <w14:ligatures w14:val="standardContextual"/>
        </w:rPr>
        <w:t>requests that the Commission allow new entrants</w:t>
      </w:r>
      <w:r w:rsidR="006715FF">
        <w:rPr>
          <w:rFonts w:eastAsiaTheme="minorHAnsi"/>
          <w:snapToGrid/>
          <w:kern w:val="2"/>
          <w:szCs w:val="22"/>
          <w14:ligatures w14:val="standardContextual"/>
        </w:rPr>
        <w:t xml:space="preserve"> </w:t>
      </w:r>
      <w:r w:rsidR="008D4049">
        <w:rPr>
          <w:rFonts w:eastAsiaTheme="minorHAnsi"/>
          <w:snapToGrid/>
          <w:kern w:val="2"/>
          <w:szCs w:val="22"/>
          <w14:ligatures w14:val="standardContextual"/>
        </w:rPr>
        <w:t>in</w:t>
      </w:r>
      <w:r w:rsidR="006715FF">
        <w:rPr>
          <w:rFonts w:eastAsiaTheme="minorHAnsi"/>
          <w:snapToGrid/>
          <w:kern w:val="2"/>
          <w:szCs w:val="22"/>
          <w14:ligatures w14:val="standardContextual"/>
        </w:rPr>
        <w:t xml:space="preserve"> the band</w:t>
      </w:r>
      <w:r w:rsidR="00271F53">
        <w:rPr>
          <w:rFonts w:eastAsiaTheme="minorHAnsi"/>
          <w:snapToGrid/>
          <w:kern w:val="2"/>
          <w:szCs w:val="22"/>
          <w14:ligatures w14:val="standardContextual"/>
        </w:rPr>
        <w:t xml:space="preserve"> and revise rules to allow sharing</w:t>
      </w:r>
      <w:r w:rsidR="00593D12">
        <w:rPr>
          <w:rFonts w:eastAsiaTheme="minorHAnsi"/>
          <w:snapToGrid/>
          <w:kern w:val="2"/>
          <w:szCs w:val="22"/>
          <w14:ligatures w14:val="standardContextual"/>
        </w:rPr>
        <w:t xml:space="preserve"> between multiple</w:t>
      </w:r>
      <w:r w:rsidR="00596E77">
        <w:rPr>
          <w:rFonts w:eastAsiaTheme="minorHAnsi"/>
          <w:snapToGrid/>
          <w:kern w:val="2"/>
          <w:szCs w:val="22"/>
          <w14:ligatures w14:val="standardContextual"/>
        </w:rPr>
        <w:t xml:space="preserve"> next generation operators</w:t>
      </w:r>
      <w:r w:rsidR="0083083D">
        <w:rPr>
          <w:rFonts w:eastAsiaTheme="minorHAnsi"/>
          <w:snapToGrid/>
          <w:kern w:val="2"/>
          <w:szCs w:val="22"/>
          <w14:ligatures w14:val="standardContextual"/>
        </w:rPr>
        <w:t>.</w:t>
      </w:r>
      <w:r w:rsidR="0021214B">
        <w:rPr>
          <w:rFonts w:eastAsiaTheme="minorHAnsi"/>
          <w:snapToGrid/>
          <w:kern w:val="2"/>
          <w:szCs w:val="22"/>
          <w14:ligatures w14:val="standardContextual"/>
        </w:rPr>
        <w:t xml:space="preserve">  </w:t>
      </w:r>
      <w:r w:rsidR="002F5809">
        <w:rPr>
          <w:rFonts w:eastAsiaTheme="minorHAnsi"/>
          <w:snapToGrid/>
          <w:kern w:val="2"/>
          <w:szCs w:val="22"/>
          <w14:ligatures w14:val="standardContextual"/>
        </w:rPr>
        <w:t>SpaceX’s</w:t>
      </w:r>
      <w:r w:rsidR="00D546C3">
        <w:rPr>
          <w:rFonts w:eastAsiaTheme="minorHAnsi"/>
          <w:snapToGrid/>
          <w:kern w:val="2"/>
          <w:szCs w:val="22"/>
          <w14:ligatures w14:val="standardContextual"/>
        </w:rPr>
        <w:t xml:space="preserve"> petition for rulemaking was placed on public notice.</w:t>
      </w:r>
      <w:r>
        <w:rPr>
          <w:rStyle w:val="FootnoteReference"/>
          <w:rFonts w:eastAsiaTheme="minorHAnsi"/>
          <w:snapToGrid/>
          <w:kern w:val="2"/>
          <w:szCs w:val="22"/>
          <w14:ligatures w14:val="standardContextual"/>
        </w:rPr>
        <w:footnoteReference w:id="24"/>
      </w:r>
      <w:r w:rsidR="002E3FF4">
        <w:rPr>
          <w:rFonts w:eastAsiaTheme="minorHAnsi"/>
          <w:snapToGrid/>
          <w:kern w:val="2"/>
          <w:szCs w:val="22"/>
          <w14:ligatures w14:val="standardContextual"/>
        </w:rPr>
        <w:t xml:space="preserve">  </w:t>
      </w:r>
      <w:r w:rsidRPr="002E3FF4" w:rsidR="002F369C">
        <w:rPr>
          <w:snapToGrid/>
          <w:kern w:val="0"/>
        </w:rPr>
        <w:t>Irid</w:t>
      </w:r>
      <w:r w:rsidR="002536DB">
        <w:rPr>
          <w:snapToGrid/>
          <w:kern w:val="0"/>
        </w:rPr>
        <w:t xml:space="preserve">ium </w:t>
      </w:r>
      <w:r w:rsidRPr="002E3FF4" w:rsidR="002536DB">
        <w:rPr>
          <w:snapToGrid/>
          <w:kern w:val="0"/>
        </w:rPr>
        <w:t>Communication</w:t>
      </w:r>
      <w:r w:rsidRPr="002E3FF4" w:rsidR="00622749">
        <w:rPr>
          <w:snapToGrid/>
          <w:kern w:val="0"/>
        </w:rPr>
        <w:t>s</w:t>
      </w:r>
      <w:r w:rsidR="00B71141">
        <w:rPr>
          <w:snapToGrid/>
          <w:kern w:val="0"/>
        </w:rPr>
        <w:t>, LLC</w:t>
      </w:r>
      <w:r w:rsidRPr="002E3FF4" w:rsidR="00DB26DB">
        <w:rPr>
          <w:snapToGrid/>
          <w:kern w:val="0"/>
        </w:rPr>
        <w:t xml:space="preserve"> (Iridium)</w:t>
      </w:r>
      <w:r w:rsidRPr="002E3FF4" w:rsidR="008279FB">
        <w:rPr>
          <w:snapToGrid/>
          <w:kern w:val="0"/>
        </w:rPr>
        <w:t xml:space="preserve"> also filed a petition for </w:t>
      </w:r>
      <w:r w:rsidRPr="002E3FF4" w:rsidR="005E29E5">
        <w:rPr>
          <w:snapToGrid/>
          <w:kern w:val="0"/>
        </w:rPr>
        <w:t xml:space="preserve">rulemaking </w:t>
      </w:r>
      <w:r w:rsidRPr="002E3FF4" w:rsidR="00E37E8A">
        <w:rPr>
          <w:snapToGrid/>
          <w:kern w:val="0"/>
        </w:rPr>
        <w:t>requesting a revision of the Big LEO band plan.  Iridium</w:t>
      </w:r>
      <w:r w:rsidRPr="002E3FF4" w:rsidR="00116869">
        <w:rPr>
          <w:snapToGrid/>
          <w:kern w:val="0"/>
        </w:rPr>
        <w:t>’s petition,</w:t>
      </w:r>
      <w:r w:rsidRPr="002E3FF4" w:rsidR="00E37E8A">
        <w:rPr>
          <w:snapToGrid/>
          <w:kern w:val="0"/>
        </w:rPr>
        <w:t xml:space="preserve"> however, </w:t>
      </w:r>
      <w:r w:rsidRPr="002E3FF4" w:rsidR="005E29E5">
        <w:rPr>
          <w:snapToGrid/>
          <w:kern w:val="0"/>
        </w:rPr>
        <w:t>address</w:t>
      </w:r>
      <w:r w:rsidRPr="002E3FF4" w:rsidR="00CB3D82">
        <w:rPr>
          <w:snapToGrid/>
          <w:kern w:val="0"/>
        </w:rPr>
        <w:t xml:space="preserve">es </w:t>
      </w:r>
      <w:r w:rsidRPr="002E3FF4" w:rsidR="005E29E5">
        <w:rPr>
          <w:snapToGrid/>
          <w:kern w:val="0"/>
        </w:rPr>
        <w:t>only the 1.6 GHz portion</w:t>
      </w:r>
      <w:r w:rsidRPr="002E3FF4" w:rsidR="00CB3D82">
        <w:rPr>
          <w:snapToGrid/>
          <w:kern w:val="0"/>
        </w:rPr>
        <w:t xml:space="preserve"> of the band</w:t>
      </w:r>
      <w:r w:rsidRPr="002E3FF4" w:rsidR="00E877C1">
        <w:rPr>
          <w:snapToGrid/>
          <w:kern w:val="0"/>
        </w:rPr>
        <w:t xml:space="preserve">. </w:t>
      </w:r>
      <w:r w:rsidR="00302EB8">
        <w:rPr>
          <w:snapToGrid/>
          <w:kern w:val="0"/>
        </w:rPr>
        <w:t xml:space="preserve"> </w:t>
      </w:r>
      <w:r w:rsidRPr="002E3FF4" w:rsidR="009E7EB7">
        <w:rPr>
          <w:snapToGrid/>
          <w:kern w:val="0"/>
        </w:rPr>
        <w:t xml:space="preserve">Iridium </w:t>
      </w:r>
      <w:r w:rsidRPr="002E3FF4" w:rsidR="00321661">
        <w:rPr>
          <w:snapToGrid/>
          <w:kern w:val="0"/>
        </w:rPr>
        <w:t xml:space="preserve">operates in </w:t>
      </w:r>
      <w:r w:rsidRPr="002E3FF4" w:rsidR="009E7EB7">
        <w:rPr>
          <w:snapToGrid/>
          <w:kern w:val="0"/>
        </w:rPr>
        <w:t>this band with Globalstar</w:t>
      </w:r>
      <w:r w:rsidRPr="002E3FF4" w:rsidR="00321661">
        <w:rPr>
          <w:snapToGrid/>
          <w:kern w:val="0"/>
        </w:rPr>
        <w:t xml:space="preserve"> Communications</w:t>
      </w:r>
      <w:r w:rsidR="00BF0D0F">
        <w:rPr>
          <w:snapToGrid/>
          <w:kern w:val="0"/>
        </w:rPr>
        <w:t>,</w:t>
      </w:r>
      <w:r w:rsidRPr="002E3FF4" w:rsidR="00321661">
        <w:rPr>
          <w:snapToGrid/>
          <w:kern w:val="0"/>
        </w:rPr>
        <w:t xml:space="preserve"> LLC (Globalstar)</w:t>
      </w:r>
      <w:r w:rsidRPr="002E3FF4" w:rsidR="009E7EB7">
        <w:rPr>
          <w:snapToGrid/>
          <w:kern w:val="0"/>
        </w:rPr>
        <w:t xml:space="preserve"> </w:t>
      </w:r>
      <w:r w:rsidR="00654425">
        <w:rPr>
          <w:snapToGrid/>
          <w:kern w:val="0"/>
        </w:rPr>
        <w:t xml:space="preserve">and </w:t>
      </w:r>
      <w:r w:rsidRPr="002E3FF4" w:rsidR="00A51AB5">
        <w:rPr>
          <w:snapToGrid/>
          <w:kern w:val="0"/>
        </w:rPr>
        <w:t xml:space="preserve">seeks to increase its share </w:t>
      </w:r>
      <w:r w:rsidRPr="00C01F19" w:rsidR="00A51AB5">
        <w:t>of</w:t>
      </w:r>
      <w:r w:rsidRPr="002E3FF4" w:rsidR="00A51AB5">
        <w:rPr>
          <w:snapToGrid/>
          <w:kern w:val="0"/>
        </w:rPr>
        <w:t xml:space="preserve"> dedicated spectrum. </w:t>
      </w:r>
      <w:r w:rsidR="00E018A4">
        <w:rPr>
          <w:snapToGrid/>
          <w:kern w:val="0"/>
        </w:rPr>
        <w:t xml:space="preserve"> </w:t>
      </w:r>
      <w:r w:rsidRPr="002E3FF4" w:rsidR="00EE5645">
        <w:rPr>
          <w:snapToGrid/>
          <w:kern w:val="0"/>
        </w:rPr>
        <w:t>This petition was not placed on public notice.</w:t>
      </w:r>
      <w:r>
        <w:rPr>
          <w:rStyle w:val="FootnoteReference"/>
          <w:snapToGrid/>
          <w:kern w:val="0"/>
        </w:rPr>
        <w:footnoteReference w:id="25"/>
      </w:r>
    </w:p>
    <w:p w:rsidR="002574F0" w:rsidP="00B46C4C" w14:paraId="6C7E6E51" w14:textId="77777777">
      <w:pPr>
        <w:pStyle w:val="Heading1"/>
      </w:pPr>
      <w:r w:rsidRPr="00B46C4C">
        <w:t>DISCUSSION</w:t>
      </w:r>
    </w:p>
    <w:p w:rsidR="00252DB8" w:rsidP="000A0C3D" w14:paraId="6E460266" w14:textId="6681CEB4">
      <w:pPr>
        <w:pStyle w:val="ParaNum"/>
        <w:tabs>
          <w:tab w:val="clear" w:pos="1080"/>
          <w:tab w:val="num" w:pos="1440"/>
        </w:tabs>
      </w:pPr>
      <w:r>
        <w:t xml:space="preserve">Given the requests </w:t>
      </w:r>
      <w:r w:rsidR="00DF0B0C">
        <w:t xml:space="preserve">filed </w:t>
      </w:r>
      <w:r>
        <w:t xml:space="preserve">for additional operations in the </w:t>
      </w:r>
      <w:r w:rsidR="0039779B">
        <w:t xml:space="preserve">1.6/2.4, 2 GHz, and 1.5 GHz </w:t>
      </w:r>
      <w:r>
        <w:t xml:space="preserve">bands, after </w:t>
      </w:r>
      <w:r w:rsidR="00D17BC3">
        <w:t>reviewing</w:t>
      </w:r>
      <w:r>
        <w:t xml:space="preserve"> the applications, petitions, and the associated records, we</w:t>
      </w:r>
      <w:r w:rsidR="00E441A9">
        <w:t xml:space="preserve"> reaffirm</w:t>
      </w:r>
      <w:r w:rsidR="00D20D63">
        <w:t xml:space="preserve"> a </w:t>
      </w:r>
      <w:r w:rsidR="00E441A9">
        <w:t>licensee</w:t>
      </w:r>
      <w:r w:rsidR="00D20D63">
        <w:t>’</w:t>
      </w:r>
      <w:r w:rsidR="002C7D78">
        <w:t>s</w:t>
      </w:r>
      <w:r w:rsidR="00E441A9">
        <w:t xml:space="preserve"> exclusive right</w:t>
      </w:r>
      <w:r w:rsidR="00983D06">
        <w:t>s</w:t>
      </w:r>
      <w:r w:rsidR="00E441A9">
        <w:t xml:space="preserve"> to use certain MSS frequency bands for which it is authorized</w:t>
      </w:r>
      <w:r w:rsidR="001C29E3">
        <w:t>—</w:t>
      </w:r>
      <w:r w:rsidR="00E441A9">
        <w:t>both inside of and outside of the United States</w:t>
      </w:r>
      <w:r w:rsidR="002140D7">
        <w:t xml:space="preserve"> </w:t>
      </w:r>
      <w:r w:rsidR="0033276F">
        <w:t xml:space="preserve">and </w:t>
      </w:r>
      <w:r w:rsidR="002140D7">
        <w:t xml:space="preserve">affirm that </w:t>
      </w:r>
      <w:r w:rsidR="006A037C">
        <w:t xml:space="preserve">MSS licenses are </w:t>
      </w:r>
      <w:r w:rsidR="00551C1E">
        <w:t>spectrum based</w:t>
      </w:r>
      <w:r w:rsidR="006A7B45">
        <w:t>.</w:t>
      </w:r>
      <w:r w:rsidR="003170E5">
        <w:t xml:space="preserve"> </w:t>
      </w:r>
      <w:r w:rsidR="006F4827">
        <w:t xml:space="preserve"> </w:t>
      </w:r>
      <w:r>
        <w:t xml:space="preserve">We </w:t>
      </w:r>
      <w:r w:rsidRPr="00B46C4C">
        <w:t>discuss</w:t>
      </w:r>
      <w:r>
        <w:t xml:space="preserve"> each </w:t>
      </w:r>
      <w:r w:rsidR="006A7B45">
        <w:t xml:space="preserve">frequency </w:t>
      </w:r>
      <w:r>
        <w:t>band in turn below.</w:t>
      </w:r>
    </w:p>
    <w:p w:rsidR="002574F0" w:rsidP="00B46C4C" w14:paraId="4269BB7C" w14:textId="77777777">
      <w:pPr>
        <w:pStyle w:val="Heading2"/>
      </w:pPr>
      <w:r>
        <w:t>1610-1626.5 MHz (</w:t>
      </w:r>
      <w:r w:rsidRPr="00B46C4C">
        <w:t>Earth</w:t>
      </w:r>
      <w:r>
        <w:t xml:space="preserve">-to-space) and 2483.5-2500 MHz (space-to-Earth) (“Big LEO Bands”) </w:t>
      </w:r>
    </w:p>
    <w:p w:rsidR="002574F0" w:rsidRPr="00EF22D6" w:rsidP="00C01F19" w14:paraId="6D4A4D53" w14:textId="1CE3AF87">
      <w:pPr>
        <w:pStyle w:val="ParaNum"/>
        <w:tabs>
          <w:tab w:val="clear" w:pos="1080"/>
          <w:tab w:val="num" w:pos="1440"/>
        </w:tabs>
      </w:pPr>
      <w:r>
        <w:t xml:space="preserve">For over 30 years, the 1610-1626.5 MHz and 2483.5-2500 MHz bands have been designated through Commission rulemaking proceedings for use by NGSO MSS “Big LEO” systems.  </w:t>
      </w:r>
      <w:r w:rsidR="00AD20B6">
        <w:t xml:space="preserve">First established in 1994, the </w:t>
      </w:r>
      <w:r>
        <w:t xml:space="preserve">initial band plan considered operations by NGSO MSS systems using code division multiple access (CDMA) </w:t>
      </w:r>
      <w:r w:rsidRPr="00B46C4C">
        <w:t>techniques</w:t>
      </w:r>
      <w:r>
        <w:t>, and time division multiple access (TDMA) techniques.</w:t>
      </w:r>
      <w:r>
        <w:rPr>
          <w:rStyle w:val="FootnoteReference"/>
        </w:rPr>
        <w:footnoteReference w:id="26"/>
      </w:r>
      <w:r>
        <w:t xml:space="preserve">  The Commission designated the 1610-1621.35 MHz band for CDMA uplink operations, the 2483.5-2500 </w:t>
      </w:r>
      <w:r>
        <w:t>MHz band for CDMA downlink operations, and the 1621.35-1626.5 MHz band for TDMA operations on a bi-directional basis.</w:t>
      </w:r>
      <w:r>
        <w:rPr>
          <w:rStyle w:val="FootnoteReference"/>
        </w:rPr>
        <w:footnoteReference w:id="27"/>
      </w:r>
      <w:r>
        <w:t xml:space="preserve">  Only two Big LEO systems were ultimately deployed</w:t>
      </w:r>
      <w:r w:rsidR="00BA03AA">
        <w:t>—</w:t>
      </w:r>
      <w:r>
        <w:t>Globalstar, using CDMA, and Iridium, using TDMA.</w:t>
      </w:r>
      <w:r>
        <w:rPr>
          <w:rStyle w:val="FootnoteReference"/>
        </w:rPr>
        <w:footnoteReference w:id="28"/>
      </w:r>
      <w:r>
        <w:t xml:space="preserve">  In 2007, </w:t>
      </w:r>
      <w:r w:rsidR="0030232B">
        <w:t xml:space="preserve">in response to a petition from Iridium, the </w:t>
      </w:r>
      <w:r>
        <w:t xml:space="preserve">Commission rebalanced the Big LEO band plan </w:t>
      </w:r>
      <w:r w:rsidR="00DB6041">
        <w:t xml:space="preserve">to eliminate co-channel sharing, </w:t>
      </w:r>
      <w:r w:rsidR="00980ED6">
        <w:t xml:space="preserve">stating </w:t>
      </w:r>
      <w:r>
        <w:t xml:space="preserve">that the public interest would be better served by reassigning the spectrum </w:t>
      </w:r>
      <w:r w:rsidR="00E21628">
        <w:t xml:space="preserve">to give </w:t>
      </w:r>
      <w:r>
        <w:t>CDMA and TDMA systems</w:t>
      </w:r>
      <w:r w:rsidR="00517ED8">
        <w:t xml:space="preserve"> </w:t>
      </w:r>
      <w:r>
        <w:t>equal assignments of the spectrum for their exclusive MSS operations, and to limit sharing to a segment of less than one megahertz.</w:t>
      </w:r>
      <w:r>
        <w:rPr>
          <w:rStyle w:val="FootnoteReference"/>
        </w:rPr>
        <w:footnoteReference w:id="29"/>
      </w:r>
      <w:r>
        <w:t xml:space="preserve">  </w:t>
      </w:r>
      <w:r w:rsidR="00376B58">
        <w:t>T</w:t>
      </w:r>
      <w:r w:rsidR="0037337B">
        <w:t xml:space="preserve">he Commission then </w:t>
      </w:r>
      <w:r>
        <w:t>modified the license</w:t>
      </w:r>
      <w:r w:rsidR="00B0476F">
        <w:t>s</w:t>
      </w:r>
      <w:r>
        <w:t xml:space="preserve"> of Globalstar authorizing the 1610-1617.775 MHz portion of the band to Globalstar on an “</w:t>
      </w:r>
      <w:r w:rsidRPr="007C1CA9">
        <w:rPr>
          <w:i/>
        </w:rPr>
        <w:t>exclusive basis</w:t>
      </w:r>
      <w:r>
        <w:t>,” for its CDMA system</w:t>
      </w:r>
      <w:r>
        <w:rPr>
          <w:rStyle w:val="FootnoteReference"/>
        </w:rPr>
        <w:footnoteReference w:id="30"/>
      </w:r>
      <w:r>
        <w:t xml:space="preserve"> and the 1618.725-1626.5 MHz portion of the frequency band to Iridium on an “exclusive basis” for its TDMA system.  The 1617.775-1618.725 MHz portion of the band was assigned to both Globalstar and Iridium to be used on a coordinated basis recognizing that sharing of the spectrum between the two systems over the same geographic area would not be feasible.</w:t>
      </w:r>
      <w:r>
        <w:rPr>
          <w:rStyle w:val="FootnoteReference"/>
        </w:rPr>
        <w:footnoteReference w:id="31"/>
      </w:r>
    </w:p>
    <w:p w:rsidR="002574F0" w:rsidP="00C01F19" w14:paraId="56855BB7" w14:textId="65D1833D">
      <w:pPr>
        <w:pStyle w:val="ParaNum"/>
        <w:tabs>
          <w:tab w:val="clear" w:pos="1080"/>
          <w:tab w:val="num" w:pos="1440"/>
        </w:tabs>
      </w:pPr>
      <w:r>
        <w:t>In granting Globalstar and Iridium exclusive operating rights in the Big LEO band, the Commission explained that it was not a temporary arrangement.  The Commission’s stated objectives included to provide regulatory “certainty and stability for MSS systems operating in the Big LEO bands” and to “</w:t>
      </w:r>
      <w:r>
        <w:t>ensur</w:t>
      </w:r>
      <w:r>
        <w:t xml:space="preserve">[e] that both MSS operators have access to adequate </w:t>
      </w:r>
      <w:r w:rsidRPr="00B46C4C">
        <w:t>spectrum</w:t>
      </w:r>
      <w:r>
        <w:t xml:space="preserve"> to provide their services.”</w:t>
      </w:r>
      <w:r>
        <w:rPr>
          <w:rStyle w:val="FootnoteReference"/>
        </w:rPr>
        <w:footnoteReference w:id="32"/>
      </w:r>
      <w:r>
        <w:t xml:space="preserve">  Th</w:t>
      </w:r>
      <w:r w:rsidR="00343F24">
        <w:t>is</w:t>
      </w:r>
      <w:r>
        <w:t xml:space="preserve"> carefully rebalanced Big LEO band plan did not envision any additional MSS systems, noting the difficulty of sharing the spectrum with additional systems.</w:t>
      </w:r>
      <w:r>
        <w:rPr>
          <w:rStyle w:val="FootnoteReference"/>
        </w:rPr>
        <w:footnoteReference w:id="33"/>
      </w:r>
      <w:r>
        <w:t xml:space="preserve"> </w:t>
      </w:r>
      <w:r>
        <w:t xml:space="preserve"> Based on the Big LEO band plan objectives and precedent, </w:t>
      </w:r>
      <w:r w:rsidRPr="00DE7680">
        <w:t xml:space="preserve">the </w:t>
      </w:r>
      <w:r w:rsidRPr="004B501C">
        <w:t>Bureau,</w:t>
      </w:r>
      <w:r>
        <w:t xml:space="preserve"> in several proceedings, reiterated Globalstar‘s exclusive MSS </w:t>
      </w:r>
      <w:r w:rsidR="00AB1BDC">
        <w:t xml:space="preserve">spectrum </w:t>
      </w:r>
      <w:r>
        <w:t xml:space="preserve"> rights and </w:t>
      </w:r>
      <w:r w:rsidR="00426000">
        <w:t>determined</w:t>
      </w:r>
      <w:r w:rsidR="002A4295">
        <w:t xml:space="preserve"> it </w:t>
      </w:r>
      <w:r w:rsidR="00BA037C">
        <w:t>was not in the public interest to</w:t>
      </w:r>
      <w:r>
        <w:t xml:space="preserve"> veer from the </w:t>
      </w:r>
      <w:r w:rsidR="005767B8">
        <w:t xml:space="preserve">band </w:t>
      </w:r>
      <w:r w:rsidR="00152CEF">
        <w:t>plan</w:t>
      </w:r>
      <w:r w:rsidR="002B41BB">
        <w:t>.</w:t>
      </w:r>
      <w:r>
        <w:rPr>
          <w:vertAlign w:val="superscript"/>
        </w:rPr>
        <w:footnoteReference w:id="34"/>
      </w:r>
      <w:r>
        <w:t xml:space="preserve"> </w:t>
      </w:r>
    </w:p>
    <w:p w:rsidR="002574F0" w:rsidP="00C01F19" w14:paraId="551C7157" w14:textId="7E441BF5">
      <w:pPr>
        <w:pStyle w:val="ParaNum"/>
        <w:tabs>
          <w:tab w:val="clear" w:pos="1080"/>
          <w:tab w:val="num" w:pos="1440"/>
        </w:tabs>
      </w:pPr>
      <w:r>
        <w:t xml:space="preserve"> In addition to the Commission’s conclusion regarding the impracticability of Big LEO spectrum sharing, we find there are strong public interest justifications to confirm the spectrum use set forth </w:t>
      </w:r>
      <w:r w:rsidR="00811B44">
        <w:t>in</w:t>
      </w:r>
      <w:r>
        <w:t xml:space="preserve"> the Big LEO band plan.  The licensees, over the years, have developed substantial systems providing multiple types of services with a significant customer </w:t>
      </w:r>
      <w:r w:rsidRPr="00B46C4C">
        <w:t>base</w:t>
      </w:r>
      <w:r>
        <w:t>.</w:t>
      </w:r>
      <w:r>
        <w:rPr>
          <w:rStyle w:val="FootnoteReference"/>
        </w:rPr>
        <w:footnoteReference w:id="35"/>
      </w:r>
      <w:r>
        <w:t xml:space="preserve">  The</w:t>
      </w:r>
      <w:r w:rsidR="00CE1597">
        <w:t>y</w:t>
      </w:r>
      <w:r>
        <w:t xml:space="preserve"> have designed equipment to maximize operations relying on the current MSS regulatory and technical environment</w:t>
      </w:r>
      <w:r w:rsidRPr="004E1D37">
        <w:t xml:space="preserve"> </w:t>
      </w:r>
      <w:r>
        <w:t>with the expectation of exclusive use of the spectrum.</w:t>
      </w:r>
      <w:r>
        <w:rPr>
          <w:rStyle w:val="FootnoteReference"/>
        </w:rPr>
        <w:footnoteReference w:id="36"/>
      </w:r>
      <w:r>
        <w:t xml:space="preserve">  The band plan provides</w:t>
      </w:r>
      <w:r w:rsidR="00627B52">
        <w:t xml:space="preserve"> for</w:t>
      </w:r>
      <w:r>
        <w:t xml:space="preserve"> service continuity and the ability to replace systems over time.  We find no policy </w:t>
      </w:r>
      <w:r w:rsidR="004637DB">
        <w:t xml:space="preserve">or public interest </w:t>
      </w:r>
      <w:r>
        <w:t xml:space="preserve">reasons to overhaul the current licensing framework. </w:t>
      </w:r>
    </w:p>
    <w:p w:rsidR="002574F0" w:rsidRPr="001F648B" w:rsidP="00C01F19" w14:paraId="3F350C18" w14:textId="0F0EE8C5">
      <w:pPr>
        <w:pStyle w:val="ParaNum"/>
        <w:tabs>
          <w:tab w:val="clear" w:pos="1080"/>
          <w:tab w:val="num" w:pos="1440"/>
        </w:tabs>
      </w:pPr>
      <w:r>
        <w:t>Considering prior Commission actions addressing Big LEO spectrum,</w:t>
      </w:r>
      <w:r w:rsidRPr="001215EA">
        <w:t xml:space="preserve"> we reiterate the Commission’s conclusion that </w:t>
      </w:r>
      <w:r>
        <w:t xml:space="preserve">the </w:t>
      </w:r>
      <w:r w:rsidRPr="001215EA">
        <w:t>1.6/2.4 GHz bands are not available for licensing of an additional MSS system</w:t>
      </w:r>
      <w:r w:rsidR="00E82567">
        <w:t>—</w:t>
      </w:r>
      <w:r w:rsidR="00467A70">
        <w:t>both inside and outside of the United States</w:t>
      </w:r>
      <w:r w:rsidRPr="00105D46">
        <w:t>.</w:t>
      </w:r>
      <w:r>
        <w:t xml:space="preserve">  As a result </w:t>
      </w:r>
      <w:r w:rsidRPr="001076BB">
        <w:t>we</w:t>
      </w:r>
      <w:r w:rsidRPr="001076BB">
        <w:t xml:space="preserve"> </w:t>
      </w:r>
      <w:r w:rsidRPr="001076BB">
        <w:t>dismiss</w:t>
      </w:r>
      <w:r w:rsidRPr="001076BB" w:rsidR="00064C2F">
        <w:t>, with prejudice</w:t>
      </w:r>
      <w:r w:rsidR="00064C2F">
        <w:t>,</w:t>
      </w:r>
      <w:r>
        <w:t xml:space="preserve"> </w:t>
      </w:r>
      <w:r>
        <w:t>SpaceX’s requests in its applications - for its Gen2 Starlink upgrade to operate in the Big LEO bands</w:t>
      </w:r>
      <w:r w:rsidR="00E82567">
        <w:t>—</w:t>
      </w:r>
      <w:r w:rsidRPr="00705878">
        <w:t>including for operations outside of the U</w:t>
      </w:r>
      <w:r w:rsidR="006006D2">
        <w:t>nited States</w:t>
      </w:r>
      <w:r>
        <w:t>.</w:t>
      </w:r>
      <w:r>
        <w:rPr>
          <w:rStyle w:val="FootnoteReference"/>
        </w:rPr>
        <w:footnoteReference w:id="37"/>
      </w:r>
      <w:r>
        <w:t xml:space="preserve">  In addition, we dismiss</w:t>
      </w:r>
      <w:r w:rsidR="00AC4014">
        <w:t>,</w:t>
      </w:r>
      <w:r w:rsidR="00544CA2">
        <w:t xml:space="preserve"> with prejudice</w:t>
      </w:r>
      <w:r w:rsidR="00AC4014">
        <w:t>,</w:t>
      </w:r>
      <w:r w:rsidRPr="00105D46">
        <w:t xml:space="preserve"> t</w:t>
      </w:r>
      <w:r>
        <w:t xml:space="preserve">he portion of SpaceX’s D2C </w:t>
      </w:r>
      <w:r w:rsidR="00CF74B5">
        <w:t>A</w:t>
      </w:r>
      <w:r>
        <w:t xml:space="preserve">pplication </w:t>
      </w:r>
      <w:r w:rsidRPr="009C3227">
        <w:t xml:space="preserve">requesting operations in the Big LEO band </w:t>
      </w:r>
      <w:r>
        <w:t>outside of the U.S.</w:t>
      </w:r>
      <w:r>
        <w:rPr>
          <w:rStyle w:val="FootnoteReference"/>
        </w:rPr>
        <w:footnoteReference w:id="38"/>
      </w:r>
      <w:r>
        <w:t xml:space="preserve">  We also dismiss</w:t>
      </w:r>
      <w:r w:rsidR="00AC4014">
        <w:t>,</w:t>
      </w:r>
      <w:r w:rsidR="00B25555">
        <w:t xml:space="preserve"> with prejudice</w:t>
      </w:r>
      <w:r w:rsidR="00AC4014">
        <w:t>,</w:t>
      </w:r>
      <w:r>
        <w:t xml:space="preserve"> the part of Kepler’s application for U.S. market access seeking authority to operate in the Big LEO bands for the reasons noted above.</w:t>
      </w:r>
      <w:r>
        <w:rPr>
          <w:rStyle w:val="FootnoteReference"/>
        </w:rPr>
        <w:footnoteReference w:id="39"/>
      </w:r>
      <w:r>
        <w:t xml:space="preserve"> </w:t>
      </w:r>
      <w:r w:rsidRPr="001F648B" w:rsidR="009F374E">
        <w:t xml:space="preserve"> </w:t>
      </w:r>
      <w:r w:rsidR="00A624F9">
        <w:t>Consistent with U.S. domestic policy</w:t>
      </w:r>
      <w:r w:rsidR="008A53B9">
        <w:t xml:space="preserve"> and in order to maintain existing international agreements and to allow the </w:t>
      </w:r>
      <w:r w:rsidR="00495F37">
        <w:t xml:space="preserve">U.S. </w:t>
      </w:r>
      <w:r w:rsidR="008A53B9">
        <w:t xml:space="preserve">MSS operator to continue to </w:t>
      </w:r>
      <w:r w:rsidR="00495F37">
        <w:t xml:space="preserve">use </w:t>
      </w:r>
      <w:r w:rsidR="00870F0D">
        <w:t xml:space="preserve">its </w:t>
      </w:r>
      <w:r w:rsidR="00495F37">
        <w:t xml:space="preserve">licensed spectrum to </w:t>
      </w:r>
      <w:r w:rsidR="008A53B9">
        <w:t xml:space="preserve">compete on a </w:t>
      </w:r>
      <w:r w:rsidR="00495F37">
        <w:t>global basis</w:t>
      </w:r>
      <w:r w:rsidR="00A624F9">
        <w:t>, w</w:t>
      </w:r>
      <w:r>
        <w:t>e dismiss the requests for operations in these bands outside of the U</w:t>
      </w:r>
      <w:r w:rsidR="00000547">
        <w:t xml:space="preserve">nited </w:t>
      </w:r>
      <w:r>
        <w:t>S</w:t>
      </w:r>
      <w:r w:rsidR="00000547">
        <w:t>tates</w:t>
      </w:r>
      <w:r w:rsidR="00430357">
        <w:t>.</w:t>
      </w:r>
      <w:r>
        <w:rPr>
          <w:rStyle w:val="FootnoteReference"/>
        </w:rPr>
        <w:footnoteReference w:id="40"/>
      </w:r>
      <w:r w:rsidRPr="001F648B">
        <w:t xml:space="preserve"> </w:t>
      </w:r>
    </w:p>
    <w:p w:rsidR="002574F0" w:rsidP="00C01F19" w14:paraId="1E76220A" w14:textId="0A732E19">
      <w:pPr>
        <w:pStyle w:val="ParaNum"/>
        <w:tabs>
          <w:tab w:val="clear" w:pos="1080"/>
          <w:tab w:val="num" w:pos="1440"/>
        </w:tabs>
      </w:pPr>
      <w:r>
        <w:rPr>
          <w:i/>
          <w:iCs/>
        </w:rPr>
        <w:t xml:space="preserve">Pending Rulemaking Petitions. </w:t>
      </w:r>
      <w:r w:rsidR="002621C1">
        <w:rPr>
          <w:i/>
          <w:iCs/>
        </w:rPr>
        <w:t xml:space="preserve"> </w:t>
      </w:r>
      <w:r>
        <w:t xml:space="preserve">We </w:t>
      </w:r>
      <w:r w:rsidR="00F146F1">
        <w:t>dismiss</w:t>
      </w:r>
      <w:r w:rsidR="00094603">
        <w:t>, pursuant to section 1.401(e),</w:t>
      </w:r>
      <w:r w:rsidR="00F146F1">
        <w:t xml:space="preserve"> </w:t>
      </w:r>
      <w:r>
        <w:t>SpaceX’s and Iridium’s petitions for rulemaking to modify the spectrum environment for the Big LEO bands.</w:t>
      </w:r>
      <w:r>
        <w:rPr>
          <w:rStyle w:val="FootnoteReference"/>
        </w:rPr>
        <w:footnoteReference w:id="41"/>
      </w:r>
      <w:r>
        <w:t xml:space="preserve">  SpaceX requests </w:t>
      </w:r>
      <w:r w:rsidR="00943E39">
        <w:t>tha</w:t>
      </w:r>
      <w:r w:rsidR="00C2713C">
        <w:t>t</w:t>
      </w:r>
      <w:r w:rsidR="00943E39">
        <w:t xml:space="preserve"> the Commission revise its licensing and spectrum sharing framework for the Big LEO</w:t>
      </w:r>
      <w:r w:rsidR="000A2192">
        <w:t xml:space="preserve"> MSS systems operating in </w:t>
      </w:r>
      <w:r>
        <w:t>the 1.6 and 2.4 GHz bands</w:t>
      </w:r>
      <w:r w:rsidR="000A2192">
        <w:t xml:space="preserve">, in which </w:t>
      </w:r>
      <w:r>
        <w:t>Globalstar is currently licensed and operating</w:t>
      </w:r>
      <w:r w:rsidR="00480421">
        <w:t>.</w:t>
      </w:r>
      <w:r>
        <w:t xml:space="preserve"> </w:t>
      </w:r>
      <w:r w:rsidR="000B5423">
        <w:t xml:space="preserve"> </w:t>
      </w:r>
      <w:r>
        <w:t xml:space="preserve">Iridium requests that the Commission revisit the Big LEO band plan </w:t>
      </w:r>
      <w:r w:rsidR="00A16F4D">
        <w:t xml:space="preserve">specifically </w:t>
      </w:r>
      <w:r>
        <w:t xml:space="preserve">to allow Iridium to share more of Globalstar’s licensed spectrum at 1610-1617.775 </w:t>
      </w:r>
      <w:r>
        <w:t>MH</w:t>
      </w:r>
      <w:r w:rsidR="00E91DFA">
        <w:t>z.</w:t>
      </w:r>
      <w:r w:rsidR="00EE5645">
        <w:t xml:space="preserve"> </w:t>
      </w:r>
      <w:r w:rsidR="00D53233">
        <w:t xml:space="preserve"> S</w:t>
      </w:r>
      <w:r>
        <w:t xml:space="preserve">paceX and Iridium make arguments that are similar.  Each point to use of the subject bands by Globalstar and contend that the spectrum could </w:t>
      </w:r>
      <w:r>
        <w:t>be used more intensively by additional carriers.</w:t>
      </w:r>
      <w:r>
        <w:rPr>
          <w:rStyle w:val="FootnoteReference"/>
        </w:rPr>
        <w:footnoteReference w:id="42"/>
      </w:r>
      <w:r>
        <w:t xml:space="preserve">  SpaceX </w:t>
      </w:r>
      <w:r w:rsidRPr="00B46C4C">
        <w:t>requests</w:t>
      </w:r>
      <w:r>
        <w:t xml:space="preserve"> a rulemaking to update the Big LEO sharing plan to reflect new technology and allow new entrants by initiating a processing round.</w:t>
      </w:r>
      <w:r>
        <w:rPr>
          <w:rStyle w:val="FootnoteReference"/>
        </w:rPr>
        <w:footnoteReference w:id="43"/>
      </w:r>
      <w:r>
        <w:t xml:space="preserve">  This action, SpaceX asserts</w:t>
      </w:r>
      <w:r w:rsidR="00CD36AC">
        <w:t>,</w:t>
      </w:r>
      <w:r>
        <w:t xml:space="preserve"> will ensure that proposed systems achieve levels of operational and spectrum sharing capabilities for efficient use of the spectrum.</w:t>
      </w:r>
      <w:r>
        <w:rPr>
          <w:rStyle w:val="FootnoteReference"/>
        </w:rPr>
        <w:footnoteReference w:id="44"/>
      </w:r>
      <w:r>
        <w:t xml:space="preserve">  </w:t>
      </w:r>
      <w:r w:rsidRPr="006D1D98">
        <w:t>SpaceX claims the Commission recognized that the potential for the band to support multiple operator</w:t>
      </w:r>
      <w:r w:rsidR="00AC659D">
        <w:t>s</w:t>
      </w:r>
      <w:r w:rsidRPr="006D1D98">
        <w:t xml:space="preserve"> sharing and now needs to address how it will facilitate new entry</w:t>
      </w:r>
      <w:r w:rsidRPr="006D1D98">
        <w:t xml:space="preserve"> </w:t>
      </w:r>
      <w:r w:rsidRPr="006D1D98">
        <w:t>and the corresponding rights of the new systems.</w:t>
      </w:r>
      <w:r>
        <w:rPr>
          <w:rStyle w:val="FootnoteReference"/>
        </w:rPr>
        <w:footnoteReference w:id="45"/>
      </w:r>
      <w:r>
        <w:t xml:space="preserve">  It further asserts that the 1.6 GHz band is underutilized and that Globalstar only needs a small fraction of the band to grow its business.</w:t>
      </w:r>
      <w:r>
        <w:rPr>
          <w:rStyle w:val="FootnoteReference"/>
        </w:rPr>
        <w:footnoteReference w:id="46"/>
      </w:r>
      <w:r>
        <w:t xml:space="preserve">  </w:t>
      </w:r>
    </w:p>
    <w:p w:rsidR="002574F0" w:rsidP="00C01F19" w14:paraId="350498CC" w14:textId="209693AF">
      <w:pPr>
        <w:pStyle w:val="ParaNum"/>
        <w:tabs>
          <w:tab w:val="clear" w:pos="1080"/>
          <w:tab w:val="num" w:pos="1440"/>
        </w:tabs>
      </w:pPr>
      <w:r>
        <w:t xml:space="preserve">Iridium’s request is somewhat more discrete: </w:t>
      </w:r>
      <w:r w:rsidR="00D467FE">
        <w:t xml:space="preserve"> </w:t>
      </w:r>
      <w:r>
        <w:t xml:space="preserve">it focuses only on the 1.6 GHz band and asks the Commission to update the band plan to allow Iridium to make use of more spectrum, and points to its current operations for evidence of how </w:t>
      </w:r>
      <w:r w:rsidR="00264944">
        <w:t xml:space="preserve">it </w:t>
      </w:r>
      <w:r>
        <w:t>makes use of spectrum efficiently to provide a variety of services.</w:t>
      </w:r>
      <w:r>
        <w:rPr>
          <w:rStyle w:val="FootnoteReference"/>
        </w:rPr>
        <w:footnoteReference w:id="47"/>
      </w:r>
      <w:r>
        <w:t xml:space="preserve">  Like SpaceX, it cites the decisions made in the original 1.6 GHz band plan regarding the possible inclusion of up to four CDMA systems and contends </w:t>
      </w:r>
      <w:r w:rsidRPr="00B46C4C">
        <w:t>that</w:t>
      </w:r>
      <w:r>
        <w:t xml:space="preserve"> Iridium’s pressing spectrum needs justify modification of the current band plan.</w:t>
      </w:r>
      <w:r>
        <w:rPr>
          <w:rStyle w:val="FootnoteReference"/>
        </w:rPr>
        <w:footnoteReference w:id="48"/>
      </w:r>
    </w:p>
    <w:p w:rsidR="002574F0" w:rsidP="00C01F19" w14:paraId="0C66A8AC" w14:textId="4A048BFB">
      <w:pPr>
        <w:pStyle w:val="ParaNum"/>
        <w:tabs>
          <w:tab w:val="clear" w:pos="1080"/>
          <w:tab w:val="num" w:pos="1440"/>
        </w:tabs>
      </w:pPr>
      <w:r>
        <w:t>We find both petitions unconvincing.  Neither has presented a sufficient basis to disturb the longstanding certainty and stability of the spectrum plan for Big LEO systems.  As noted above, there are strong public interest policies for retaining the existing band plan.</w:t>
      </w:r>
      <w:r>
        <w:rPr>
          <w:rStyle w:val="FootnoteReference"/>
        </w:rPr>
        <w:footnoteReference w:id="49"/>
      </w:r>
      <w:r>
        <w:t xml:space="preserve">  </w:t>
      </w:r>
      <w:r w:rsidR="008B57D0">
        <w:t>In addition, n</w:t>
      </w:r>
      <w:r>
        <w:t>either SpaceX nor Iridium, nor commenters who support the SpaceX petition, have provided sufficient justification to support a revision to the Commission’s decision in 2007.</w:t>
      </w:r>
      <w:r>
        <w:rPr>
          <w:rStyle w:val="FootnoteReference"/>
        </w:rPr>
        <w:footnoteReference w:id="50"/>
      </w:r>
      <w:r>
        <w:t xml:space="preserve">  </w:t>
      </w:r>
      <w:r w:rsidR="001A3A71">
        <w:t>Rather, the petitioners and comment</w:t>
      </w:r>
      <w:r w:rsidR="002E3277">
        <w:t>e</w:t>
      </w:r>
      <w:r w:rsidR="001A3A71">
        <w:t>r</w:t>
      </w:r>
      <w:r w:rsidR="002E3277">
        <w:t>s</w:t>
      </w:r>
      <w:r w:rsidR="001A3A71">
        <w:t xml:space="preserve"> make </w:t>
      </w:r>
      <w:r w:rsidR="002E3277">
        <w:t>assumptions about allocations and system operations that are not fully explained</w:t>
      </w:r>
      <w:r w:rsidR="005B030F">
        <w:t xml:space="preserve">. </w:t>
      </w:r>
      <w:r w:rsidR="00104708">
        <w:t xml:space="preserve"> </w:t>
      </w:r>
      <w:r>
        <w:t>While Iridium argues that Globalstar’s planned system relies on dynamic assignment of narrowband channels which will facilitate sharing more easily than its current system, this statement is speculative and does not justify the opening of a proceeding.</w:t>
      </w:r>
      <w:r>
        <w:rPr>
          <w:rStyle w:val="FootnoteReference"/>
        </w:rPr>
        <w:footnoteReference w:id="51"/>
      </w:r>
      <w:r>
        <w:t xml:space="preserve">  Globalstar, for its part, has provided evidence that it has made use of the spectrum, providing the first commercially available direct-to-device satellite services since 2022 through its partnership with Apple,</w:t>
      </w:r>
      <w:r>
        <w:rPr>
          <w:rStyle w:val="FootnoteReference"/>
        </w:rPr>
        <w:footnoteReference w:id="52"/>
      </w:r>
      <w:r>
        <w:t xml:space="preserve"> the “SPOT” family of devices that provide emergency </w:t>
      </w:r>
      <w:r w:rsidRPr="00B46C4C">
        <w:t>services</w:t>
      </w:r>
      <w:r>
        <w:t xml:space="preserve"> to those without terrestrial wireless services, and IoT for a range of industries.</w:t>
      </w:r>
      <w:r>
        <w:rPr>
          <w:rStyle w:val="FootnoteReference"/>
        </w:rPr>
        <w:footnoteReference w:id="53"/>
      </w:r>
      <w:r>
        <w:t xml:space="preserve">  Globalstar also submitted technical support to show that additional systems operating in the 1.6/2.4 GHz band would cause harmful </w:t>
      </w:r>
      <w:r>
        <w:t>interference to its system.</w:t>
      </w:r>
      <w:r>
        <w:rPr>
          <w:rStyle w:val="FootnoteReference"/>
        </w:rPr>
        <w:footnoteReference w:id="54"/>
      </w:r>
    </w:p>
    <w:p w:rsidR="002574F0" w:rsidRPr="001F648B" w:rsidP="00C01F19" w14:paraId="59618ACD" w14:textId="655F97B1">
      <w:pPr>
        <w:pStyle w:val="ParaNum"/>
        <w:tabs>
          <w:tab w:val="clear" w:pos="1080"/>
          <w:tab w:val="num" w:pos="1440"/>
        </w:tabs>
      </w:pPr>
      <w:r>
        <w:t xml:space="preserve"> Given the nature of MSS, including the ubiquity and portable nature of mobile devices, and the use of omni-directional antennas, there are significant harmful interference challenges to </w:t>
      </w:r>
      <w:r w:rsidR="00587658">
        <w:t>incumbent</w:t>
      </w:r>
      <w:r w:rsidR="007A0E11">
        <w:t xml:space="preserve"> users in </w:t>
      </w:r>
      <w:r>
        <w:t>allowing additional uses in these bands</w:t>
      </w:r>
      <w:r w:rsidR="007A0E11">
        <w:t xml:space="preserve">. </w:t>
      </w:r>
      <w:r w:rsidR="00F26D3F">
        <w:t xml:space="preserve"> </w:t>
      </w:r>
      <w:r>
        <w:t xml:space="preserve">These challenges, combined with the risk to investment, growth, and innovation afforded in the current Big LEO structure, lead us to determine that </w:t>
      </w:r>
      <w:r w:rsidR="008D3119">
        <w:t xml:space="preserve">the petitions do not warrant </w:t>
      </w:r>
      <w:r w:rsidR="00C437FC">
        <w:t xml:space="preserve">further consideration and </w:t>
      </w:r>
      <w:r>
        <w:t xml:space="preserve">that it is in public interest to </w:t>
      </w:r>
      <w:r w:rsidR="002C7492">
        <w:t xml:space="preserve">dismiss </w:t>
      </w:r>
      <w:r>
        <w:t>these requests.</w:t>
      </w:r>
      <w:r>
        <w:rPr>
          <w:rStyle w:val="FootnoteReference"/>
        </w:rPr>
        <w:footnoteReference w:id="55"/>
      </w:r>
      <w:r>
        <w:t xml:space="preserve">  </w:t>
      </w:r>
    </w:p>
    <w:p w:rsidR="002574F0" w:rsidP="00B46C4C" w14:paraId="0E16BCC8" w14:textId="7F5549C0">
      <w:pPr>
        <w:pStyle w:val="Heading2"/>
      </w:pPr>
      <w:r>
        <w:t xml:space="preserve">2000-2020 MHz (Earth-to-space) and 2180-2200 </w:t>
      </w:r>
      <w:r w:rsidR="00D85E52">
        <w:t>M</w:t>
      </w:r>
      <w:r>
        <w:t>Hz (space-to-Earth) (2 GHz Bands)</w:t>
      </w:r>
    </w:p>
    <w:p w:rsidR="002574F0" w:rsidRPr="00202DDE" w:rsidP="00C01F19" w14:paraId="19550420" w14:textId="77777777">
      <w:pPr>
        <w:pStyle w:val="ParaNum"/>
        <w:tabs>
          <w:tab w:val="clear" w:pos="1080"/>
          <w:tab w:val="num" w:pos="1440"/>
        </w:tabs>
        <w:rPr>
          <w:rFonts w:eastAsia="Aptos"/>
          <w:snapToGrid/>
        </w:rPr>
      </w:pPr>
      <w:r w:rsidRPr="4927DF3A">
        <w:rPr>
          <w:rFonts w:eastAsia="Aptos"/>
        </w:rPr>
        <w:t>The 2 GHz bands are allocated on a co-primary basis for fixed, mobile, and MSS in the United States.</w:t>
      </w:r>
      <w:r>
        <w:rPr>
          <w:rStyle w:val="FootnoteReference"/>
          <w:rFonts w:eastAsia="Aptos"/>
          <w:snapToGrid/>
        </w:rPr>
        <w:footnoteReference w:id="56"/>
      </w:r>
      <w:r w:rsidRPr="4927DF3A">
        <w:rPr>
          <w:rFonts w:eastAsia="Aptos"/>
        </w:rPr>
        <w:t xml:space="preserve">  In 2001, the </w:t>
      </w:r>
      <w:r w:rsidRPr="00F57305">
        <w:rPr>
          <w:rFonts w:eastAsia="Aptos"/>
        </w:rPr>
        <w:t>Commission</w:t>
      </w:r>
      <w:r w:rsidRPr="4927DF3A">
        <w:rPr>
          <w:rFonts w:eastAsia="Aptos"/>
        </w:rPr>
        <w:t xml:space="preserve"> approved</w:t>
      </w:r>
      <w:r>
        <w:rPr>
          <w:rFonts w:eastAsia="Aptos"/>
        </w:rPr>
        <w:t xml:space="preserve"> </w:t>
      </w:r>
      <w:r w:rsidRPr="4927DF3A">
        <w:rPr>
          <w:rFonts w:eastAsia="Aptos"/>
        </w:rPr>
        <w:t>eight satellite operators to provide MSS in the 2 GHz bands available in the United States.  The Commission intended for MSS to provide communications in areas where it is difficult or impossible to provide communications coverage via terrestrial base stations and at times when coverage may be unavailable from terrestrial-based networks.</w:t>
      </w:r>
      <w:r>
        <w:rPr>
          <w:snapToGrid/>
          <w:sz w:val="20"/>
          <w:vertAlign w:val="superscript"/>
        </w:rPr>
        <w:footnoteReference w:id="57"/>
      </w:r>
    </w:p>
    <w:p w:rsidR="002574F0" w:rsidRPr="00202DDE" w:rsidP="00C01F19" w14:paraId="6D8BED54" w14:textId="1AE27232">
      <w:pPr>
        <w:pStyle w:val="ParaNum"/>
        <w:tabs>
          <w:tab w:val="clear" w:pos="1080"/>
          <w:tab w:val="num" w:pos="1440"/>
        </w:tabs>
        <w:rPr>
          <w:rFonts w:eastAsia="Aptos"/>
          <w:snapToGrid/>
        </w:rPr>
      </w:pPr>
      <w:r w:rsidRPr="4927DF3A">
        <w:rPr>
          <w:rFonts w:eastAsia="Aptos"/>
        </w:rPr>
        <w:t>Due to failures to meet system implementation milestones or licensees surrendering authorizations, by 2005 there were only two remaining</w:t>
      </w:r>
      <w:r w:rsidR="00C57716">
        <w:rPr>
          <w:rFonts w:eastAsia="Aptos"/>
        </w:rPr>
        <w:t xml:space="preserve"> MSS</w:t>
      </w:r>
      <w:r w:rsidRPr="4927DF3A">
        <w:rPr>
          <w:rFonts w:eastAsia="Aptos"/>
        </w:rPr>
        <w:t xml:space="preserve"> operators.  In 2012, EchoStar acquired those two operators’ market access grants through its subsidiaries.</w:t>
      </w:r>
      <w:r>
        <w:rPr>
          <w:rFonts w:eastAsia="Aptos"/>
          <w:snapToGrid/>
          <w:sz w:val="20"/>
          <w:vertAlign w:val="superscript"/>
        </w:rPr>
        <w:footnoteReference w:id="58"/>
      </w:r>
      <w:r w:rsidRPr="4927DF3A">
        <w:rPr>
          <w:rFonts w:eastAsia="Aptos"/>
        </w:rPr>
        <w:t xml:space="preserve">  Also </w:t>
      </w:r>
      <w:r w:rsidRPr="4927DF3A">
        <w:rPr>
          <w:rFonts w:eastAsia="Arial"/>
        </w:rPr>
        <w:t xml:space="preserve">in 2012, the Commission adopted a terrestrial service plan for Advanced Wireless Service (AWS), known as the AWS-4 plan, which allowed for full, stand-alone terrestrial </w:t>
      </w:r>
      <w:r w:rsidRPr="00B46C4C">
        <w:rPr>
          <w:rFonts w:eastAsia="Arial"/>
        </w:rPr>
        <w:t>service</w:t>
      </w:r>
      <w:r w:rsidRPr="4927DF3A">
        <w:rPr>
          <w:rFonts w:eastAsia="Arial"/>
        </w:rPr>
        <w:t xml:space="preserve"> in the 2000-2020 MHz and 2180-2200 MHz bands.  The Commission determined that the public interest would be served by granting AWS-4 terrestrial authority to the existing MSS operators.</w:t>
      </w:r>
      <w:r>
        <w:rPr>
          <w:rFonts w:eastAsia="Arial"/>
          <w:snapToGrid/>
          <w:sz w:val="20"/>
          <w:vertAlign w:val="superscript"/>
        </w:rPr>
        <w:footnoteReference w:id="59"/>
      </w:r>
      <w:r w:rsidRPr="4927DF3A">
        <w:rPr>
          <w:rFonts w:eastAsia="Arial"/>
        </w:rPr>
        <w:t xml:space="preserve">  </w:t>
      </w:r>
    </w:p>
    <w:p w:rsidR="002574F0" w:rsidP="00C01F19" w14:paraId="2C1CA814" w14:textId="3A7C8DF8">
      <w:pPr>
        <w:pStyle w:val="ParaNum"/>
        <w:tabs>
          <w:tab w:val="clear" w:pos="1080"/>
          <w:tab w:val="num" w:pos="1440"/>
        </w:tabs>
      </w:pPr>
      <w:r>
        <w:rPr>
          <w:rFonts w:eastAsia="Arial"/>
        </w:rPr>
        <w:t>T</w:t>
      </w:r>
      <w:r w:rsidRPr="2B4154B5">
        <w:rPr>
          <w:rFonts w:eastAsia="Arial"/>
        </w:rPr>
        <w:t xml:space="preserve">he existing 2 GHz MSS </w:t>
      </w:r>
      <w:r>
        <w:rPr>
          <w:rFonts w:eastAsia="Arial"/>
        </w:rPr>
        <w:t>authorizations</w:t>
      </w:r>
      <w:r w:rsidRPr="2B4154B5">
        <w:rPr>
          <w:rFonts w:eastAsia="Arial"/>
        </w:rPr>
        <w:t xml:space="preserve"> </w:t>
      </w:r>
      <w:r>
        <w:rPr>
          <w:rFonts w:eastAsia="Arial"/>
        </w:rPr>
        <w:t xml:space="preserve">were then modified </w:t>
      </w:r>
      <w:r w:rsidRPr="2B4154B5">
        <w:rPr>
          <w:rFonts w:eastAsia="Arial"/>
        </w:rPr>
        <w:t xml:space="preserve">to add AWS operating authority </w:t>
      </w:r>
      <w:r w:rsidR="00A53C8B">
        <w:rPr>
          <w:rFonts w:eastAsia="Arial"/>
        </w:rPr>
        <w:t xml:space="preserve">to allow operators to provide </w:t>
      </w:r>
      <w:r w:rsidRPr="2B4154B5">
        <w:rPr>
          <w:rFonts w:eastAsia="Arial"/>
        </w:rPr>
        <w:t xml:space="preserve">both </w:t>
      </w:r>
      <w:r w:rsidRPr="00B46C4C">
        <w:rPr>
          <w:rFonts w:eastAsia="Arial"/>
        </w:rPr>
        <w:t>terrestrial</w:t>
      </w:r>
      <w:r w:rsidRPr="2B4154B5">
        <w:rPr>
          <w:rFonts w:eastAsia="Arial"/>
        </w:rPr>
        <w:t xml:space="preserve"> and satellite service using the same spectrum, reasoning that one operator could minimize interference between its satellite and terrestrial uses.</w:t>
      </w:r>
      <w:r>
        <w:rPr>
          <w:rFonts w:eastAsia="Arial"/>
          <w:snapToGrid/>
          <w:sz w:val="20"/>
          <w:vertAlign w:val="superscript"/>
        </w:rPr>
        <w:footnoteReference w:id="60"/>
      </w:r>
      <w:r w:rsidRPr="2B4154B5">
        <w:rPr>
          <w:rFonts w:eastAsia="Arial"/>
        </w:rPr>
        <w:t xml:space="preserve">  It </w:t>
      </w:r>
      <w:r w:rsidRPr="2B4154B5">
        <w:rPr>
          <w:rFonts w:eastAsia="Arial"/>
        </w:rPr>
        <w:t>noted that for MSS and terrestrial services, same band, separate operator sharing is “impractical.”</w:t>
      </w:r>
      <w:r>
        <w:rPr>
          <w:rFonts w:eastAsia="Arial"/>
          <w:snapToGrid/>
          <w:sz w:val="20"/>
          <w:vertAlign w:val="superscript"/>
        </w:rPr>
        <w:footnoteReference w:id="61"/>
      </w:r>
      <w:r w:rsidRPr="2B4154B5">
        <w:rPr>
          <w:rFonts w:eastAsia="Arial"/>
        </w:rPr>
        <w:t xml:space="preserve">  </w:t>
      </w:r>
      <w:r w:rsidRPr="2B4154B5">
        <w:rPr>
          <w:rFonts w:eastAsia="Aptos"/>
        </w:rPr>
        <w:t>The rules included the requirement of AWS to protect 2 GHz MSS operations.</w:t>
      </w:r>
      <w:r>
        <w:rPr>
          <w:rFonts w:eastAsia="Aptos"/>
          <w:snapToGrid/>
          <w:sz w:val="20"/>
          <w:vertAlign w:val="superscript"/>
        </w:rPr>
        <w:footnoteReference w:id="62"/>
      </w:r>
      <w:r w:rsidRPr="2B4154B5">
        <w:rPr>
          <w:rFonts w:eastAsia="Aptos"/>
        </w:rPr>
        <w:t xml:space="preserve">  This plan was intended to parallel that of the 2 GHz MSS band, so as to “minimize the possibility that AWS-4 operations could interfere with 2 GHz MSS operations and . . . offer the greatest opportunity for synergies between the two mobile services.”</w:t>
      </w:r>
      <w:r>
        <w:rPr>
          <w:snapToGrid/>
          <w:sz w:val="20"/>
          <w:vertAlign w:val="superscript"/>
        </w:rPr>
        <w:footnoteReference w:id="63"/>
      </w:r>
      <w:r w:rsidRPr="2B4154B5">
        <w:rPr>
          <w:rFonts w:eastAsia="Aptos"/>
        </w:rPr>
        <w:t xml:space="preserve">  The Commission stated that because this approach was incompatible with the deployment of additional MSS systems, it anticipated that applications for new or modified MSS systems would be “limited to an incumbent operator or its assignee or transferee.”</w:t>
      </w:r>
      <w:r>
        <w:rPr>
          <w:rFonts w:eastAsia="Aptos"/>
          <w:snapToGrid/>
          <w:sz w:val="20"/>
          <w:vertAlign w:val="superscript"/>
        </w:rPr>
        <w:footnoteReference w:id="64"/>
      </w:r>
      <w:r w:rsidRPr="2B4154B5">
        <w:rPr>
          <w:rFonts w:eastAsia="Aptos"/>
        </w:rPr>
        <w:t xml:space="preserve">  </w:t>
      </w:r>
      <w:r>
        <w:rPr>
          <w:rFonts w:eastAsia="Aptos"/>
        </w:rPr>
        <w:t xml:space="preserve">The </w:t>
      </w:r>
      <w:r w:rsidRPr="46E5BC2D">
        <w:t xml:space="preserve">2012 </w:t>
      </w:r>
      <w:r w:rsidRPr="00B5116B">
        <w:rPr>
          <w:i/>
          <w:iCs/>
        </w:rPr>
        <w:t>AWS-4 Report and Order</w:t>
      </w:r>
      <w:r>
        <w:t xml:space="preserve"> provided that </w:t>
      </w:r>
      <w:r w:rsidRPr="46E5BC2D">
        <w:t xml:space="preserve">additional MSS applications were precluded and incumbent MSS operators were assigned terrestrial rights by modification of their </w:t>
      </w:r>
      <w:r w:rsidRPr="00B46C4C">
        <w:t>authorizations</w:t>
      </w:r>
      <w:r w:rsidRPr="46E5BC2D">
        <w:t>.  Limiting use of the spectrum to the incumbent MSS operators was based on eliminating the potential for harmful interference.</w:t>
      </w:r>
      <w:r>
        <w:t xml:space="preserve">  Thus, the current plan does not allow for additional MSS systems, and the Commission’s AWS-4 order acknowledged that only incumbent operators can deploy MSS operations in the band.</w:t>
      </w:r>
      <w:r>
        <w:rPr>
          <w:rStyle w:val="FootnoteReference"/>
        </w:rPr>
        <w:footnoteReference w:id="65"/>
      </w:r>
    </w:p>
    <w:p w:rsidR="00867380" w:rsidRPr="00867380" w:rsidP="00C01F19" w14:paraId="3E879717" w14:textId="6575EB21">
      <w:pPr>
        <w:pStyle w:val="ParaNum"/>
        <w:tabs>
          <w:tab w:val="clear" w:pos="1080"/>
          <w:tab w:val="num" w:pos="1440"/>
        </w:tabs>
        <w:rPr>
          <w:snapToGrid/>
          <w:kern w:val="0"/>
          <w:sz w:val="21"/>
          <w:szCs w:val="21"/>
        </w:rPr>
      </w:pPr>
      <w:r>
        <w:t xml:space="preserve">Based on the </w:t>
      </w:r>
      <w:r w:rsidR="0008381B">
        <w:t xml:space="preserve">spectrum </w:t>
      </w:r>
      <w:r>
        <w:t xml:space="preserve">exclusivity </w:t>
      </w:r>
      <w:r w:rsidRPr="00C01F19">
        <w:rPr>
          <w:rFonts w:eastAsia="Aptos"/>
        </w:rPr>
        <w:t>granted</w:t>
      </w:r>
      <w:r>
        <w:t xml:space="preserve"> to the incumbent authorization holder</w:t>
      </w:r>
      <w:r w:rsidR="00F96E7C">
        <w:t xml:space="preserve">, </w:t>
      </w:r>
      <w:r w:rsidR="00332CFB">
        <w:t>Echo</w:t>
      </w:r>
      <w:r w:rsidR="00BC2A67">
        <w:t>S</w:t>
      </w:r>
      <w:r w:rsidR="00332CFB">
        <w:t>tar</w:t>
      </w:r>
      <w:r>
        <w:t xml:space="preserve">, we find that </w:t>
      </w:r>
      <w:r>
        <w:t>Sateliot’s</w:t>
      </w:r>
      <w:r>
        <w:t xml:space="preserve"> market access application is not in compliance with Commission requirements.  </w:t>
      </w:r>
      <w:r w:rsidR="006C33E1">
        <w:t>We note that</w:t>
      </w:r>
      <w:r>
        <w:t xml:space="preserve"> </w:t>
      </w:r>
      <w:r>
        <w:t>Sateliot</w:t>
      </w:r>
      <w:r>
        <w:t xml:space="preserve"> filed its petition under the Commission’s streamlined process for small satellites.</w:t>
      </w:r>
      <w:r>
        <w:rPr>
          <w:rStyle w:val="FootnoteReference"/>
        </w:rPr>
        <w:footnoteReference w:id="66"/>
      </w:r>
      <w:r>
        <w:t xml:space="preserve">  The criteria for processing under the Small Satellite rules includes the requirement that</w:t>
      </w:r>
      <w:r>
        <w:t xml:space="preserve"> </w:t>
      </w:r>
      <w:r>
        <w:t>“radiofrequency operations will be compatible with existing operations in the requested frequency bands and not materially constrain future operations of other satellites in the band.”</w:t>
      </w:r>
      <w:r>
        <w:rPr>
          <w:rStyle w:val="FootnoteReference"/>
        </w:rPr>
        <w:footnoteReference w:id="67"/>
      </w:r>
      <w:r>
        <w:t xml:space="preserve"> </w:t>
      </w:r>
      <w:r w:rsidR="00997768">
        <w:t>The Commission’s long-standing</w:t>
      </w:r>
      <w:r>
        <w:t xml:space="preserve"> </w:t>
      </w:r>
      <w:r w:rsidR="00243B7A">
        <w:t>finding</w:t>
      </w:r>
      <w:r>
        <w:t xml:space="preserve"> that this band can only be </w:t>
      </w:r>
      <w:r w:rsidRPr="00DC2014">
        <w:t xml:space="preserve">used </w:t>
      </w:r>
      <w:r w:rsidRPr="0072547F">
        <w:t>by one operator in the United States</w:t>
      </w:r>
      <w:r>
        <w:t xml:space="preserve"> means that by its nature </w:t>
      </w:r>
      <w:r>
        <w:t>Sateliot’s</w:t>
      </w:r>
      <w:r>
        <w:t xml:space="preserve"> </w:t>
      </w:r>
      <w:r w:rsidR="00F5643E">
        <w:t xml:space="preserve">proposed </w:t>
      </w:r>
      <w:r>
        <w:t xml:space="preserve">operations are not compatible with the existing </w:t>
      </w:r>
      <w:r w:rsidR="00F5643E">
        <w:t xml:space="preserve">authorizations </w:t>
      </w:r>
      <w:r>
        <w:t>in the band</w:t>
      </w:r>
      <w:r w:rsidR="009652AF">
        <w:t xml:space="preserve">.  </w:t>
      </w:r>
      <w:r w:rsidR="00AE30A9">
        <w:t>Ac</w:t>
      </w:r>
      <w:r w:rsidR="00AA74CA">
        <w:t>cordingly</w:t>
      </w:r>
      <w:r w:rsidR="002D2008">
        <w:t>,</w:t>
      </w:r>
      <w:r w:rsidR="00AA74CA">
        <w:t xml:space="preserve"> </w:t>
      </w:r>
      <w:r w:rsidR="00835EBD">
        <w:t>we dismiss</w:t>
      </w:r>
      <w:r w:rsidR="006B5BE0">
        <w:t>, with pr</w:t>
      </w:r>
      <w:r w:rsidR="009D2AF5">
        <w:t>e</w:t>
      </w:r>
      <w:r w:rsidR="007C062E">
        <w:t xml:space="preserve">judice, </w:t>
      </w:r>
      <w:r w:rsidR="005A296A">
        <w:t>S</w:t>
      </w:r>
      <w:r w:rsidR="00DB27B6">
        <w:t>ateliot’s</w:t>
      </w:r>
      <w:r w:rsidR="00DB27B6">
        <w:t xml:space="preserve"> application to provide service in the U</w:t>
      </w:r>
      <w:r w:rsidR="00E8587A">
        <w:t xml:space="preserve">nited States </w:t>
      </w:r>
      <w:r w:rsidR="00DB27B6">
        <w:t>using the 2000-2010 MHz (Earth-to-space) and the 2190-2200 MHz (space-to-Earth) bands.</w:t>
      </w:r>
      <w:r>
        <w:rPr>
          <w:rStyle w:val="FootnoteReference"/>
        </w:rPr>
        <w:footnoteReference w:id="68"/>
      </w:r>
      <w:r w:rsidR="00167C59">
        <w:t xml:space="preserve">   </w:t>
      </w:r>
    </w:p>
    <w:p w:rsidR="007D7859" w:rsidRPr="00C71D46" w:rsidP="00C01F19" w14:paraId="706AF9A8" w14:textId="66C6987C">
      <w:pPr>
        <w:pStyle w:val="ParaNum"/>
        <w:tabs>
          <w:tab w:val="clear" w:pos="1080"/>
          <w:tab w:val="num" w:pos="1440"/>
        </w:tabs>
        <w:rPr>
          <w:snapToGrid/>
          <w:kern w:val="0"/>
          <w:sz w:val="20"/>
        </w:rPr>
      </w:pPr>
      <w:r w:rsidRPr="00C71D46">
        <w:t>C</w:t>
      </w:r>
      <w:r w:rsidRPr="00C71D46" w:rsidR="00A84D25">
        <w:t>onsistent with our domestic policy</w:t>
      </w:r>
      <w:r w:rsidRPr="00C71D46" w:rsidR="00C61E17">
        <w:t xml:space="preserve"> and </w:t>
      </w:r>
      <w:r w:rsidRPr="00C71D46" w:rsidR="001A6533">
        <w:t xml:space="preserve">to ensure that </w:t>
      </w:r>
      <w:r w:rsidRPr="00C71D46" w:rsidR="008146CF">
        <w:t>the</w:t>
      </w:r>
      <w:r w:rsidRPr="00C71D46" w:rsidR="00AA51FC">
        <w:t xml:space="preserve"> U.S. </w:t>
      </w:r>
      <w:r w:rsidRPr="00C71D46" w:rsidR="00C61E17">
        <w:t xml:space="preserve">2 GHz spectrum </w:t>
      </w:r>
      <w:r w:rsidRPr="00C71D46" w:rsidR="00AA51FC">
        <w:t>licensee has a fair opportunity to compete in the global MSS marketplace</w:t>
      </w:r>
      <w:r w:rsidRPr="00C71D46" w:rsidR="008146CF">
        <w:t xml:space="preserve">, </w:t>
      </w:r>
      <w:r w:rsidRPr="00C71D46" w:rsidR="004F5AE4">
        <w:t>w</w:t>
      </w:r>
      <w:r w:rsidRPr="00C71D46" w:rsidR="00526A2B">
        <w:t xml:space="preserve">e also decline to </w:t>
      </w:r>
      <w:r w:rsidR="00B80CD4">
        <w:t xml:space="preserve">consider </w:t>
      </w:r>
      <w:r w:rsidRPr="00C71D46" w:rsidR="00526A2B">
        <w:t>an</w:t>
      </w:r>
      <w:r w:rsidRPr="00C71D46" w:rsidR="004F5AE4">
        <w:t>y</w:t>
      </w:r>
      <w:r w:rsidRPr="00C71D46" w:rsidR="00526A2B">
        <w:t xml:space="preserve"> </w:t>
      </w:r>
      <w:r w:rsidRPr="00C71D46" w:rsidR="00526A2B">
        <w:t xml:space="preserve">additional </w:t>
      </w:r>
      <w:r w:rsidRPr="00C71D46" w:rsidR="00E635C4">
        <w:t xml:space="preserve">U.S. commercial </w:t>
      </w:r>
      <w:r w:rsidRPr="00C71D46" w:rsidR="00E74DA7">
        <w:t xml:space="preserve">systems </w:t>
      </w:r>
      <w:r w:rsidRPr="00C71D46" w:rsidR="00287961">
        <w:t>for international operations in the 2 GHz band.</w:t>
      </w:r>
      <w:r>
        <w:rPr>
          <w:rStyle w:val="FootnoteReference"/>
        </w:rPr>
        <w:footnoteReference w:id="69"/>
      </w:r>
      <w:r w:rsidRPr="00C71D46" w:rsidR="00287961">
        <w:t xml:space="preserve"> </w:t>
      </w:r>
      <w:r w:rsidRPr="00C71D46" w:rsidR="00E635C4">
        <w:t xml:space="preserve"> </w:t>
      </w:r>
      <w:r w:rsidRPr="00C71D46" w:rsidR="005532C7">
        <w:t>We</w:t>
      </w:r>
      <w:r w:rsidRPr="00C71D46" w:rsidR="00287961">
        <w:t xml:space="preserve"> therefore, dismiss, with prejudice,</w:t>
      </w:r>
      <w:r w:rsidRPr="00C71D46" w:rsidR="00287961">
        <w:t xml:space="preserve"> </w:t>
      </w:r>
      <w:r w:rsidRPr="00C71D46" w:rsidR="00287961">
        <w:t>AST’s request to operate in the 2000-2020 MHz (Earth-to-space) and 2180-2200 MHz (space-to-Earth) bands outside of the United States.</w:t>
      </w:r>
      <w:r>
        <w:rPr>
          <w:rStyle w:val="FootnoteReference"/>
        </w:rPr>
        <w:footnoteReference w:id="70"/>
      </w:r>
      <w:r w:rsidRPr="00C71D46" w:rsidR="00C97C8B">
        <w:t xml:space="preserve">   </w:t>
      </w:r>
    </w:p>
    <w:p w:rsidR="002574F0" w:rsidRPr="000E55EC" w:rsidP="00C01F19" w14:paraId="68520B5D" w14:textId="72A4C78B">
      <w:pPr>
        <w:pStyle w:val="ParaNum"/>
        <w:tabs>
          <w:tab w:val="clear" w:pos="1080"/>
          <w:tab w:val="num" w:pos="1440"/>
        </w:tabs>
      </w:pPr>
      <w:r>
        <w:t>W</w:t>
      </w:r>
      <w:r>
        <w:t xml:space="preserve">e also </w:t>
      </w:r>
      <w:r w:rsidRPr="007D7B4A">
        <w:t xml:space="preserve">terminate the Bureau’s inquiry into EchoStar’s </w:t>
      </w:r>
      <w:r w:rsidR="00EB1986">
        <w:t xml:space="preserve">use of the </w:t>
      </w:r>
      <w:r w:rsidRPr="007D7B4A">
        <w:t xml:space="preserve">2 GHz </w:t>
      </w:r>
      <w:r w:rsidR="00EB1986">
        <w:t>MSS spectrum</w:t>
      </w:r>
      <w:r w:rsidRPr="007D7B4A">
        <w:t>.</w:t>
      </w:r>
      <w:r w:rsidR="00A777A5">
        <w:t xml:space="preserve"> </w:t>
      </w:r>
      <w:r>
        <w:t xml:space="preserve"> </w:t>
      </w:r>
      <w:r w:rsidRPr="65625325">
        <w:t>On May 12, 2025, the Bureau opened a proceeding to build a record on</w:t>
      </w:r>
      <w:r w:rsidR="00EB1986">
        <w:t xml:space="preserve"> </w:t>
      </w:r>
      <w:r w:rsidRPr="65625325">
        <w:t>use of the 2000-2020 MHz and 2180-2200 MHz band for MSS based on questions raised about use by the sole license</w:t>
      </w:r>
      <w:r w:rsidR="00E342A4">
        <w:t>e</w:t>
      </w:r>
      <w:r w:rsidR="00B342CD">
        <w:t>, EchoStar</w:t>
      </w:r>
      <w:r>
        <w:t>.</w:t>
      </w:r>
      <w:r>
        <w:rPr>
          <w:rStyle w:val="FootnoteReference"/>
        </w:rPr>
        <w:footnoteReference w:id="71"/>
      </w:r>
      <w:r>
        <w:t xml:space="preserve">  </w:t>
      </w:r>
      <w:r w:rsidR="00FF43D1">
        <w:t xml:space="preserve">As </w:t>
      </w:r>
      <w:r w:rsidR="004E0665">
        <w:t xml:space="preserve">previously noted, </w:t>
      </w:r>
      <w:r w:rsidRPr="65625325">
        <w:t>EchoStar entered into an agreement with Space</w:t>
      </w:r>
      <w:r w:rsidR="00886E7A">
        <w:t>X</w:t>
      </w:r>
      <w:r w:rsidRPr="65625325">
        <w:t xml:space="preserve"> to </w:t>
      </w:r>
      <w:r w:rsidR="00A41601">
        <w:t xml:space="preserve">assign </w:t>
      </w:r>
      <w:r w:rsidRPr="65625325">
        <w:t>its rights to the spectrum.</w:t>
      </w:r>
      <w:r>
        <w:rPr>
          <w:rStyle w:val="FootnoteReference"/>
        </w:rPr>
        <w:footnoteReference w:id="72"/>
      </w:r>
      <w:r w:rsidRPr="65625325">
        <w:t xml:space="preserve">  As such, there is no reason to continue the inquiry regarding EchoStar’s 2 GHz MSS operations</w:t>
      </w:r>
      <w:r w:rsidR="00CB2CC0">
        <w:t>,</w:t>
      </w:r>
      <w:r w:rsidRPr="65625325">
        <w:t xml:space="preserve"> and we terminate the proceeding</w:t>
      </w:r>
      <w:r w:rsidRPr="65625325">
        <w:t>.</w:t>
      </w:r>
      <w:r>
        <w:rPr>
          <w:rStyle w:val="FootnoteReference"/>
        </w:rPr>
        <w:footnoteReference w:id="73"/>
      </w:r>
      <w:r w:rsidRPr="65625325">
        <w:t xml:space="preserve"> </w:t>
      </w:r>
    </w:p>
    <w:p w:rsidR="002574F0" w:rsidRPr="001F648B" w:rsidP="00B46C4C" w14:paraId="2E8ADF67" w14:textId="77777777">
      <w:pPr>
        <w:pStyle w:val="Heading2"/>
      </w:pPr>
      <w:r w:rsidRPr="007D7B4A">
        <w:t>1525-1559 MHz (space-to-Earth) and 1626.5-1660.5 MHz (Earth-to-space) (Standard</w:t>
      </w:r>
      <w:r>
        <w:t xml:space="preserve"> L-band)</w:t>
      </w:r>
    </w:p>
    <w:p w:rsidR="002574F0" w:rsidP="00C01F19" w14:paraId="20A94C7C" w14:textId="77777777">
      <w:pPr>
        <w:pStyle w:val="ParaNum"/>
        <w:tabs>
          <w:tab w:val="clear" w:pos="1080"/>
          <w:tab w:val="num" w:pos="1440"/>
        </w:tabs>
      </w:pPr>
      <w:r w:rsidRPr="00960606">
        <w:t>“L</w:t>
      </w:r>
      <w:r>
        <w:t>-b</w:t>
      </w:r>
      <w:r w:rsidRPr="00960606">
        <w:t xml:space="preserve">and” is a general designation for the entire frequency range from one to two </w:t>
      </w:r>
      <w:r>
        <w:t>g</w:t>
      </w:r>
      <w:r w:rsidRPr="00960606">
        <w:t xml:space="preserve">igahertz. </w:t>
      </w:r>
      <w:r>
        <w:t xml:space="preserve"> </w:t>
      </w:r>
      <w:r w:rsidRPr="00960606">
        <w:t>In this Order, however, the term “L</w:t>
      </w:r>
      <w:r>
        <w:t>-b</w:t>
      </w:r>
      <w:r w:rsidRPr="00960606">
        <w:t>and” denotes the so-called “upper L</w:t>
      </w:r>
      <w:r>
        <w:t>-b</w:t>
      </w:r>
      <w:r w:rsidRPr="00960606">
        <w:t>and” (1545-1559 MHz and 1646.5-1660.5 MHz) and “lower L</w:t>
      </w:r>
      <w:r>
        <w:t>-b</w:t>
      </w:r>
      <w:r w:rsidRPr="00960606">
        <w:t xml:space="preserve">and” (1525-1544 MHz and 1626.5-1645.5 MHz), which are internationally allocated for MSS. </w:t>
      </w:r>
      <w:r>
        <w:t xml:space="preserve"> </w:t>
      </w:r>
      <w:r w:rsidRPr="00960606">
        <w:t xml:space="preserve">The </w:t>
      </w:r>
      <w:r>
        <w:t>Commission</w:t>
      </w:r>
      <w:r w:rsidRPr="00960606">
        <w:t xml:space="preserve"> has allocated the 1525-1559 MHz band for downlink transmission from MSS satellites to mobile earth stations in the United States and the 1626.5- </w:t>
      </w:r>
      <w:r w:rsidRPr="00960606">
        <w:t>1660.5 MHz band for uplink transmission from mobile earth stations to MSS satellites.</w:t>
      </w:r>
      <w:r>
        <w:rPr>
          <w:rStyle w:val="FootnoteReference"/>
        </w:rPr>
        <w:footnoteReference w:id="74"/>
      </w:r>
      <w:r w:rsidRPr="00960606">
        <w:t xml:space="preserve"> </w:t>
      </w:r>
      <w:r>
        <w:t xml:space="preserve"> </w:t>
      </w:r>
      <w:r w:rsidRPr="00960606">
        <w:t>The 1660-1660.5 MHz band is also allocated for radio astronomy observation on a co-primary basis.</w:t>
      </w:r>
      <w:r>
        <w:rPr>
          <w:rStyle w:val="FootnoteReference"/>
        </w:rPr>
        <w:footnoteReference w:id="75"/>
      </w:r>
      <w:r w:rsidRPr="00960606">
        <w:t xml:space="preserve">  Both the uplink and downlink bands are also allocated for </w:t>
      </w:r>
      <w:r>
        <w:t>ancillary terrestrial component (</w:t>
      </w:r>
      <w:r w:rsidRPr="00960606">
        <w:t>ATC</w:t>
      </w:r>
      <w:r>
        <w:t>)</w:t>
      </w:r>
      <w:r w:rsidRPr="00960606">
        <w:t xml:space="preserve"> transmission, except for two one-megahertz segments at 1544-1545 MHz and 1645.5-1646.5 MHz, which are allocated exclusively for safety services.</w:t>
      </w:r>
      <w:r>
        <w:rPr>
          <w:rStyle w:val="FootnoteReference"/>
        </w:rPr>
        <w:footnoteReference w:id="76"/>
      </w:r>
    </w:p>
    <w:p w:rsidR="002574F0" w:rsidRPr="00C93065" w:rsidP="00C01F19" w14:paraId="19E7F143" w14:textId="798F8DA4">
      <w:pPr>
        <w:pStyle w:val="ParaNum"/>
        <w:tabs>
          <w:tab w:val="clear" w:pos="1080"/>
          <w:tab w:val="num" w:pos="1440"/>
        </w:tabs>
        <w:rPr>
          <w:rFonts w:eastAsia="Arial"/>
        </w:rPr>
      </w:pPr>
      <w:r w:rsidRPr="113430A8">
        <w:rPr>
          <w:rFonts w:eastAsia="Arial"/>
          <w:i/>
        </w:rPr>
        <w:t xml:space="preserve">Coordination.  </w:t>
      </w:r>
      <w:r w:rsidRPr="113430A8">
        <w:rPr>
          <w:rFonts w:eastAsia="Arial"/>
        </w:rPr>
        <w:t>L-band operations in the United States are pursuant</w:t>
      </w:r>
      <w:r w:rsidR="002101D2">
        <w:rPr>
          <w:rFonts w:eastAsia="Arial"/>
        </w:rPr>
        <w:t xml:space="preserve"> to </w:t>
      </w:r>
      <w:r w:rsidR="001302EA">
        <w:rPr>
          <w:rFonts w:eastAsia="Arial"/>
        </w:rPr>
        <w:t>a</w:t>
      </w:r>
      <w:r w:rsidR="002101D2">
        <w:rPr>
          <w:rFonts w:eastAsia="Arial"/>
        </w:rPr>
        <w:t xml:space="preserve"> 1</w:t>
      </w:r>
      <w:r w:rsidRPr="113430A8">
        <w:rPr>
          <w:rFonts w:eastAsia="Arial"/>
        </w:rPr>
        <w:t xml:space="preserve">996 Mexico City Memorandum of Understanding and related Operating Agreements (MOU) originally signed by the United States, Canada, Mexico, </w:t>
      </w:r>
      <w:r w:rsidRPr="00F57305">
        <w:rPr>
          <w:rFonts w:eastAsia="Arial"/>
        </w:rPr>
        <w:t>Russia</w:t>
      </w:r>
      <w:r w:rsidRPr="113430A8">
        <w:rPr>
          <w:rFonts w:eastAsia="Arial"/>
        </w:rPr>
        <w:t>, and Inmarsat</w:t>
      </w:r>
      <w:r w:rsidR="002101D2">
        <w:rPr>
          <w:rFonts w:eastAsia="Arial"/>
        </w:rPr>
        <w:t>, and covering all of North America</w:t>
      </w:r>
      <w:r w:rsidRPr="113430A8">
        <w:rPr>
          <w:rFonts w:eastAsia="Arial"/>
        </w:rPr>
        <w:t>.</w:t>
      </w:r>
      <w:r>
        <w:rPr>
          <w:rStyle w:val="FootnoteReference"/>
          <w:rFonts w:eastAsia="Arial"/>
        </w:rPr>
        <w:footnoteReference w:id="77"/>
      </w:r>
      <w:r w:rsidRPr="113430A8">
        <w:rPr>
          <w:rFonts w:eastAsia="Arial"/>
        </w:rPr>
        <w:t xml:space="preserve">  The parties to the </w:t>
      </w:r>
      <w:r w:rsidRPr="003E3303">
        <w:rPr>
          <w:rFonts w:eastAsia="Arial"/>
        </w:rPr>
        <w:t>MOU last</w:t>
      </w:r>
      <w:r w:rsidRPr="113430A8">
        <w:rPr>
          <w:rFonts w:eastAsia="Arial"/>
        </w:rPr>
        <w:t xml:space="preserve"> </w:t>
      </w:r>
      <w:r w:rsidRPr="00A3482C">
        <w:rPr>
          <w:rFonts w:eastAsia="Arial"/>
        </w:rPr>
        <w:t>formally</w:t>
      </w:r>
      <w:r w:rsidRPr="113430A8">
        <w:rPr>
          <w:rFonts w:eastAsia="Arial"/>
        </w:rPr>
        <w:t xml:space="preserve"> revised the </w:t>
      </w:r>
      <w:r w:rsidRPr="00A3482C">
        <w:rPr>
          <w:rFonts w:eastAsia="Arial"/>
        </w:rPr>
        <w:t>assignments under the specific originally contemplated procedures in 1999</w:t>
      </w:r>
      <w:r w:rsidRPr="113430A8">
        <w:rPr>
          <w:rFonts w:eastAsia="Arial"/>
        </w:rPr>
        <w:t xml:space="preserve">.  </w:t>
      </w:r>
    </w:p>
    <w:p w:rsidR="002574F0" w:rsidRPr="00DD09A9" w:rsidP="00C01F19" w14:paraId="721F645D" w14:textId="1339C7FD">
      <w:pPr>
        <w:pStyle w:val="ParaNum"/>
        <w:tabs>
          <w:tab w:val="clear" w:pos="1080"/>
          <w:tab w:val="num" w:pos="1440"/>
        </w:tabs>
        <w:rPr>
          <w:rFonts w:eastAsia="Arial"/>
        </w:rPr>
      </w:pPr>
      <w:r>
        <w:rPr>
          <w:rFonts w:eastAsia="Arial"/>
        </w:rPr>
        <w:t xml:space="preserve">Currently, </w:t>
      </w:r>
      <w:r w:rsidRPr="0B222931">
        <w:t>Ligado</w:t>
      </w:r>
      <w:r w:rsidRPr="0B222931">
        <w:t xml:space="preserve"> Networks Subsidiary LLC, Debtor-in-Possession (</w:t>
      </w:r>
      <w:r w:rsidRPr="0B222931">
        <w:t>Ligado</w:t>
      </w:r>
      <w:r w:rsidRPr="0B222931">
        <w:t>)</w:t>
      </w:r>
      <w:r w:rsidRPr="0B222931">
        <w:rPr>
          <w:rFonts w:eastAsia="Arial"/>
        </w:rPr>
        <w:t xml:space="preserve">, a U.S.-licensed operator, and Inmarsat, a U.K.-licensed </w:t>
      </w:r>
      <w:r w:rsidRPr="00F57305">
        <w:rPr>
          <w:rFonts w:eastAsia="Arial"/>
        </w:rPr>
        <w:t>operator</w:t>
      </w:r>
      <w:r w:rsidRPr="0B222931">
        <w:rPr>
          <w:rFonts w:eastAsia="Arial"/>
        </w:rPr>
        <w:t>, operate in the L-band in the United States pursuant to the MOU.</w:t>
      </w:r>
      <w:r>
        <w:rPr>
          <w:rStyle w:val="FootnoteReference"/>
          <w:rFonts w:eastAsia="Arial"/>
        </w:rPr>
        <w:footnoteReference w:id="78"/>
      </w:r>
      <w:r>
        <w:t xml:space="preserve">  </w:t>
      </w:r>
      <w:r w:rsidRPr="0B222931">
        <w:rPr>
          <w:rFonts w:eastAsia="Arial"/>
        </w:rPr>
        <w:t xml:space="preserve">Following coordination disputes between </w:t>
      </w:r>
      <w:r w:rsidRPr="0B222931">
        <w:rPr>
          <w:rFonts w:eastAsia="Arial"/>
        </w:rPr>
        <w:t>Ligado’s</w:t>
      </w:r>
      <w:r w:rsidRPr="0B222931">
        <w:rPr>
          <w:rFonts w:eastAsia="Arial"/>
        </w:rPr>
        <w:t xml:space="preserve"> predecessors and </w:t>
      </w:r>
      <w:r w:rsidRPr="00B46C4C">
        <w:rPr>
          <w:rFonts w:eastAsia="Arial"/>
        </w:rPr>
        <w:t>Inmarsat</w:t>
      </w:r>
      <w:r w:rsidRPr="0B222931">
        <w:rPr>
          <w:rFonts w:eastAsia="Arial"/>
        </w:rPr>
        <w:t xml:space="preserve">, in 2007 those entities signed a 100-year cooperation agreement to resolve the disputes which provided </w:t>
      </w:r>
      <w:r w:rsidRPr="0B222931">
        <w:rPr>
          <w:rFonts w:eastAsia="Arial"/>
        </w:rPr>
        <w:t>Ligado</w:t>
      </w:r>
      <w:r w:rsidRPr="0B222931">
        <w:rPr>
          <w:rFonts w:eastAsia="Arial"/>
        </w:rPr>
        <w:t xml:space="preserve"> access to </w:t>
      </w:r>
      <w:r w:rsidRPr="1ED61B99" w:rsidR="00623ABC">
        <w:rPr>
          <w:rFonts w:eastAsia="Arial"/>
        </w:rPr>
        <w:t>more</w:t>
      </w:r>
      <w:r w:rsidRPr="1ED61B99" w:rsidR="000A1153">
        <w:rPr>
          <w:rFonts w:eastAsia="Arial"/>
        </w:rPr>
        <w:t xml:space="preserve"> </w:t>
      </w:r>
      <w:r w:rsidRPr="0B222931">
        <w:rPr>
          <w:rFonts w:eastAsia="Arial"/>
        </w:rPr>
        <w:t xml:space="preserve">spectrum over North America in return for a series of payments and commitments from </w:t>
      </w:r>
      <w:r w:rsidRPr="0B222931">
        <w:rPr>
          <w:rFonts w:eastAsia="Arial"/>
        </w:rPr>
        <w:t>Ligado</w:t>
      </w:r>
      <w:r w:rsidRPr="0B222931">
        <w:rPr>
          <w:rFonts w:eastAsia="Arial"/>
        </w:rPr>
        <w:t xml:space="preserve"> regarding Inmarsat’s spectrum rights in the rest of the world.  </w:t>
      </w:r>
      <w:r w:rsidRPr="0B222931">
        <w:rPr>
          <w:rFonts w:eastAsia="Arial"/>
        </w:rPr>
        <w:t>Ligado</w:t>
      </w:r>
      <w:r w:rsidRPr="0B222931">
        <w:rPr>
          <w:rFonts w:eastAsia="Arial"/>
        </w:rPr>
        <w:t xml:space="preserve"> and Inmarsat have</w:t>
      </w:r>
      <w:r>
        <w:rPr>
          <w:rFonts w:eastAsia="Arial"/>
        </w:rPr>
        <w:t xml:space="preserve"> since</w:t>
      </w:r>
      <w:r w:rsidRPr="0B222931">
        <w:rPr>
          <w:rFonts w:eastAsia="Arial"/>
        </w:rPr>
        <w:t xml:space="preserve"> </w:t>
      </w:r>
      <w:r>
        <w:rPr>
          <w:rFonts w:eastAsia="Arial"/>
        </w:rPr>
        <w:t>amended</w:t>
      </w:r>
      <w:r w:rsidRPr="0B222931">
        <w:rPr>
          <w:rFonts w:eastAsia="Arial"/>
        </w:rPr>
        <w:t xml:space="preserve"> this cooperation agreement.</w:t>
      </w:r>
      <w:r>
        <w:rPr>
          <w:rStyle w:val="FootnoteReference"/>
          <w:rFonts w:eastAsia="Arial"/>
        </w:rPr>
        <w:footnoteReference w:id="79"/>
      </w:r>
    </w:p>
    <w:p w:rsidR="002574F0" w:rsidRPr="00404B71" w:rsidP="00C01F19" w14:paraId="395A3980" w14:textId="59925B37">
      <w:pPr>
        <w:pStyle w:val="ParaNum"/>
        <w:tabs>
          <w:tab w:val="clear" w:pos="1080"/>
          <w:tab w:val="num" w:pos="1440"/>
        </w:tabs>
      </w:pPr>
      <w:r>
        <w:rPr>
          <w:rFonts w:eastAsia="Arial"/>
          <w:i/>
        </w:rPr>
        <w:t>Ligado</w:t>
      </w:r>
      <w:r w:rsidRPr="62CCEC78">
        <w:rPr>
          <w:rFonts w:eastAsia="Arial"/>
          <w:i/>
        </w:rPr>
        <w:t xml:space="preserve"> </w:t>
      </w:r>
      <w:r w:rsidR="00594DA7">
        <w:rPr>
          <w:rFonts w:eastAsia="Arial"/>
          <w:i/>
        </w:rPr>
        <w:t>Authority</w:t>
      </w:r>
      <w:r w:rsidRPr="62CCEC78">
        <w:rPr>
          <w:rFonts w:eastAsia="Arial"/>
          <w:i/>
        </w:rPr>
        <w:t xml:space="preserve"> in the </w:t>
      </w:r>
      <w:r w:rsidR="00594DA7">
        <w:rPr>
          <w:rFonts w:eastAsia="Arial"/>
          <w:i/>
        </w:rPr>
        <w:t>United States</w:t>
      </w:r>
      <w:r w:rsidRPr="62CCEC78">
        <w:rPr>
          <w:rFonts w:eastAsia="Arial"/>
          <w:i/>
        </w:rPr>
        <w:t xml:space="preserve">.  </w:t>
      </w:r>
      <w:r w:rsidRPr="62CCEC78">
        <w:rPr>
          <w:rFonts w:eastAsia="Arial"/>
        </w:rPr>
        <w:t xml:space="preserve">In the mid-1990s, </w:t>
      </w:r>
      <w:r w:rsidRPr="62CCEC78">
        <w:rPr>
          <w:rFonts w:eastAsia="Arial"/>
        </w:rPr>
        <w:t>Ligado’s</w:t>
      </w:r>
      <w:r w:rsidRPr="62CCEC78">
        <w:rPr>
          <w:rFonts w:eastAsia="Arial"/>
        </w:rPr>
        <w:t xml:space="preserve"> predecessor launched two MSS satellites that would serv</w:t>
      </w:r>
      <w:r w:rsidR="00337367">
        <w:rPr>
          <w:rFonts w:eastAsia="Arial"/>
        </w:rPr>
        <w:t>e</w:t>
      </w:r>
      <w:r w:rsidRPr="62CCEC78">
        <w:rPr>
          <w:rFonts w:eastAsia="Arial"/>
        </w:rPr>
        <w:t xml:space="preserve"> the United States using L-band spectrum: </w:t>
      </w:r>
      <w:r w:rsidRPr="62CCEC78">
        <w:t xml:space="preserve"> MSAT-1, a Canadian-licensed GSO satellite with U.S. market access, and MSAT-2, a U.S.-licensed GSO satellite.</w:t>
      </w:r>
      <w:r>
        <w:rPr>
          <w:rStyle w:val="FootnoteReference"/>
        </w:rPr>
        <w:footnoteReference w:id="80"/>
      </w:r>
      <w:r>
        <w:rPr>
          <w:szCs w:val="22"/>
        </w:rPr>
        <w:t xml:space="preserve">  </w:t>
      </w:r>
      <w:r w:rsidRPr="62CCEC78">
        <w:rPr>
          <w:rFonts w:eastAsia="Arial"/>
        </w:rPr>
        <w:t xml:space="preserve">In 2004, the Commission granted </w:t>
      </w:r>
      <w:r w:rsidRPr="62CCEC78">
        <w:rPr>
          <w:rFonts w:eastAsia="Arial"/>
        </w:rPr>
        <w:t>Ligado’s</w:t>
      </w:r>
      <w:r w:rsidRPr="62CCEC78">
        <w:rPr>
          <w:rFonts w:eastAsia="Arial"/>
        </w:rPr>
        <w:t xml:space="preserve"> predecessor authority to perform MSS and ATC operations in the United States subject to certain limitations and conditions.</w:t>
      </w:r>
      <w:r>
        <w:rPr>
          <w:rStyle w:val="FootnoteReference"/>
          <w:rFonts w:eastAsia="Arial"/>
        </w:rPr>
        <w:footnoteReference w:id="81"/>
      </w:r>
      <w:r w:rsidRPr="62CCEC78">
        <w:rPr>
          <w:rFonts w:eastAsia="Arial"/>
        </w:rPr>
        <w:t xml:space="preserve">  The Commission subsequently authorized </w:t>
      </w:r>
      <w:r w:rsidRPr="62CCEC78">
        <w:rPr>
          <w:rFonts w:eastAsia="Arial"/>
        </w:rPr>
        <w:t>Ligado’s</w:t>
      </w:r>
      <w:r w:rsidRPr="62CCEC78">
        <w:rPr>
          <w:rFonts w:eastAsia="Arial"/>
        </w:rPr>
        <w:t xml:space="preserve"> predecessor to launch and operate two additional GSO MSS </w:t>
      </w:r>
      <w:r w:rsidRPr="00B46C4C">
        <w:rPr>
          <w:rFonts w:eastAsia="Arial"/>
        </w:rPr>
        <w:t>satellites</w:t>
      </w:r>
      <w:r w:rsidRPr="62CCEC78">
        <w:rPr>
          <w:rFonts w:eastAsia="Arial"/>
        </w:rPr>
        <w:t>, SkyTerra-1 and SkyTerra-2.</w:t>
      </w:r>
      <w:r>
        <w:rPr>
          <w:rStyle w:val="FootnoteReference"/>
          <w:rFonts w:eastAsia="Arial"/>
        </w:rPr>
        <w:footnoteReference w:id="82"/>
      </w:r>
      <w:r w:rsidRPr="62CCEC78">
        <w:rPr>
          <w:rFonts w:eastAsia="Arial"/>
        </w:rPr>
        <w:t xml:space="preserve">  </w:t>
      </w:r>
      <w:r w:rsidRPr="62CCEC78">
        <w:rPr>
          <w:rFonts w:eastAsia="Arial"/>
        </w:rPr>
        <w:t>Ligado’s</w:t>
      </w:r>
      <w:r w:rsidRPr="62CCEC78">
        <w:rPr>
          <w:rFonts w:eastAsia="Arial"/>
        </w:rPr>
        <w:t xml:space="preserve"> license has most recently been modified to permit MSS and </w:t>
      </w:r>
      <w:r w:rsidRPr="00F57305">
        <w:rPr>
          <w:rFonts w:eastAsia="Arial"/>
        </w:rPr>
        <w:t>ATC</w:t>
      </w:r>
      <w:r w:rsidRPr="62CCEC78">
        <w:rPr>
          <w:rFonts w:eastAsia="Arial"/>
        </w:rPr>
        <w:t xml:space="preserve"> operations in the L-band pursuant to updated technical parameters in 2020.</w:t>
      </w:r>
      <w:r>
        <w:rPr>
          <w:rStyle w:val="FootnoteReference"/>
          <w:rFonts w:eastAsia="Arial"/>
        </w:rPr>
        <w:footnoteReference w:id="83"/>
      </w:r>
      <w:r w:rsidRPr="62CCEC78">
        <w:rPr>
          <w:rFonts w:eastAsia="Arial"/>
        </w:rPr>
        <w:t xml:space="preserve">  </w:t>
      </w:r>
    </w:p>
    <w:p w:rsidR="002574F0" w:rsidRPr="009C63BD" w:rsidP="00C01F19" w14:paraId="555CA4C3" w14:textId="2AB9EEAE">
      <w:pPr>
        <w:pStyle w:val="ParaNum"/>
        <w:tabs>
          <w:tab w:val="clear" w:pos="1080"/>
          <w:tab w:val="num" w:pos="1440"/>
        </w:tabs>
      </w:pPr>
      <w:r w:rsidRPr="70204868">
        <w:rPr>
          <w:rFonts w:eastAsia="Arial"/>
          <w:i/>
        </w:rPr>
        <w:t>Ligado’s</w:t>
      </w:r>
      <w:r w:rsidRPr="70204868">
        <w:rPr>
          <w:rFonts w:eastAsia="Arial"/>
          <w:i/>
        </w:rPr>
        <w:t xml:space="preserve"> Use of the L-band.  </w:t>
      </w:r>
      <w:r w:rsidRPr="70204868">
        <w:rPr>
          <w:rFonts w:eastAsia="Arial"/>
        </w:rPr>
        <w:t xml:space="preserve">The Commission has historically licensed </w:t>
      </w:r>
      <w:r w:rsidRPr="70204868">
        <w:rPr>
          <w:rFonts w:eastAsia="Arial"/>
        </w:rPr>
        <w:t>Ligado</w:t>
      </w:r>
      <w:r>
        <w:rPr>
          <w:rFonts w:eastAsia="Arial"/>
        </w:rPr>
        <w:t>,</w:t>
      </w:r>
      <w:r w:rsidRPr="70204868">
        <w:rPr>
          <w:rFonts w:eastAsia="Arial"/>
        </w:rPr>
        <w:t xml:space="preserve"> its predecessors</w:t>
      </w:r>
      <w:r>
        <w:rPr>
          <w:rFonts w:eastAsia="Arial"/>
        </w:rPr>
        <w:t>,</w:t>
      </w:r>
      <w:r w:rsidRPr="70204868">
        <w:rPr>
          <w:rFonts w:eastAsia="Arial"/>
        </w:rPr>
        <w:t xml:space="preserve"> and Inmarsat as the only </w:t>
      </w:r>
      <w:r w:rsidRPr="2FBB4CFB">
        <w:rPr>
          <w:rFonts w:eastAsia="Arial"/>
        </w:rPr>
        <w:t>space</w:t>
      </w:r>
      <w:r w:rsidRPr="78C6C166">
        <w:rPr>
          <w:rFonts w:eastAsia="Arial"/>
        </w:rPr>
        <w:t xml:space="preserve"> </w:t>
      </w:r>
      <w:r w:rsidRPr="47438C4D">
        <w:rPr>
          <w:rFonts w:eastAsia="Arial"/>
        </w:rPr>
        <w:t xml:space="preserve">station </w:t>
      </w:r>
      <w:r w:rsidRPr="01DE6516">
        <w:rPr>
          <w:rFonts w:eastAsia="Arial"/>
        </w:rPr>
        <w:t>operators</w:t>
      </w:r>
      <w:r w:rsidRPr="70204868">
        <w:rPr>
          <w:rFonts w:eastAsia="Arial"/>
        </w:rPr>
        <w:t xml:space="preserve"> in L-band spectrum due to the nature of service being provided.  These operators have been providing MSS in which the user terminal can be anywhere within its licensed geographic area and with the energy of the user terminal radiated in all direction</w:t>
      </w:r>
      <w:r w:rsidR="00C43D47">
        <w:rPr>
          <w:rFonts w:eastAsia="Arial"/>
        </w:rPr>
        <w:t>s</w:t>
      </w:r>
      <w:r w:rsidRPr="70204868">
        <w:rPr>
          <w:rFonts w:eastAsia="Arial"/>
        </w:rPr>
        <w:t xml:space="preserve"> with no angular discrimination against other systems operating on the same frequencies.  Under these operating conditions it is not possible for other systems to operate on the </w:t>
      </w:r>
      <w:r w:rsidRPr="00B46C4C">
        <w:rPr>
          <w:rFonts w:eastAsia="Arial"/>
        </w:rPr>
        <w:t>same</w:t>
      </w:r>
      <w:r w:rsidRPr="70204868">
        <w:rPr>
          <w:rFonts w:eastAsia="Arial"/>
        </w:rPr>
        <w:t xml:space="preserve"> frequencies without causing or receiving interference.</w:t>
      </w:r>
      <w:r>
        <w:t xml:space="preserve">  The Commission recognized this impossibility in 1987 when it established its MSS framework in which </w:t>
      </w:r>
      <w:r w:rsidRPr="002D17AD">
        <w:t xml:space="preserve">only one MSS system other than Inmarsat would be licensed </w:t>
      </w:r>
      <w:r>
        <w:t xml:space="preserve">to a consortium </w:t>
      </w:r>
      <w:r w:rsidRPr="002D17AD">
        <w:t>for the first generation to use the entire allocated bandwidth, both co-primary and secondary segments</w:t>
      </w:r>
      <w:r>
        <w:t>.</w:t>
      </w:r>
      <w:r>
        <w:rPr>
          <w:rStyle w:val="FootnoteReference"/>
        </w:rPr>
        <w:footnoteReference w:id="84"/>
      </w:r>
      <w:r>
        <w:t xml:space="preserve">  In reaching this decision, the Commission reasoned that a</w:t>
      </w:r>
      <w:r w:rsidRPr="00380C54">
        <w:t xml:space="preserve"> larger amount of bandwidth will permit a greater variety of services to be provided by an MSS system, and a larger customer base to be served</w:t>
      </w:r>
      <w:r>
        <w:t>.</w:t>
      </w:r>
      <w:r>
        <w:rPr>
          <w:rStyle w:val="FootnoteReference"/>
        </w:rPr>
        <w:footnoteReference w:id="85"/>
      </w:r>
      <w:r>
        <w:t xml:space="preserve">  Therefore, in 1989, when the Commission first granted authority for </w:t>
      </w:r>
      <w:r>
        <w:t>Ligado’s</w:t>
      </w:r>
      <w:r>
        <w:t xml:space="preserve"> predecessor, licensed as a consortium, to operate in the MSS, it granted the predecessor authority to operate pursuant to this newly established MSS framework.</w:t>
      </w:r>
      <w:r>
        <w:rPr>
          <w:rStyle w:val="FootnoteReference"/>
        </w:rPr>
        <w:footnoteReference w:id="86"/>
      </w:r>
      <w:r>
        <w:t xml:space="preserve">  Subsequently t</w:t>
      </w:r>
      <w:r w:rsidRPr="00CE1821">
        <w:t>he Commission allocated additional spectrum in the L-</w:t>
      </w:r>
      <w:r>
        <w:t>b</w:t>
      </w:r>
      <w:r w:rsidRPr="00CE1821">
        <w:t>and to MSS</w:t>
      </w:r>
      <w:r>
        <w:t xml:space="preserve"> and </w:t>
      </w:r>
      <w:r w:rsidRPr="00CE1821">
        <w:t xml:space="preserve">authorized </w:t>
      </w:r>
      <w:r w:rsidRPr="00CE1821">
        <w:t>Ligado</w:t>
      </w:r>
      <w:r>
        <w:t>’s</w:t>
      </w:r>
      <w:r>
        <w:t xml:space="preserve"> predecessor</w:t>
      </w:r>
      <w:r w:rsidRPr="00CE1821">
        <w:t xml:space="preserve"> to use </w:t>
      </w:r>
      <w:r>
        <w:t xml:space="preserve">the </w:t>
      </w:r>
      <w:r w:rsidRPr="00CE1821">
        <w:t>1525</w:t>
      </w:r>
      <w:r>
        <w:t>-</w:t>
      </w:r>
      <w:r w:rsidRPr="00CE1821">
        <w:t>1559 MHz</w:t>
      </w:r>
      <w:r>
        <w:t xml:space="preserve"> (space-to-Earth)</w:t>
      </w:r>
      <w:r w:rsidRPr="00CE1821">
        <w:t xml:space="preserve"> </w:t>
      </w:r>
      <w:r>
        <w:t xml:space="preserve">band </w:t>
      </w:r>
      <w:r w:rsidRPr="00CE1821">
        <w:t xml:space="preserve">and </w:t>
      </w:r>
      <w:r>
        <w:t xml:space="preserve">the </w:t>
      </w:r>
      <w:r w:rsidRPr="00CE1821">
        <w:t>1626.5</w:t>
      </w:r>
      <w:r>
        <w:t>-</w:t>
      </w:r>
      <w:r w:rsidRPr="00CE1821">
        <w:t xml:space="preserve">1660.5 MHz </w:t>
      </w:r>
      <w:r>
        <w:t>(Earth-to-space) band as the “</w:t>
      </w:r>
      <w:r w:rsidRPr="00557F1A">
        <w:t>only U.S. MSS system currently authorized to operate in the L-band</w:t>
      </w:r>
      <w:r>
        <w:t>.”</w:t>
      </w:r>
      <w:r>
        <w:rPr>
          <w:rStyle w:val="FootnoteReference"/>
        </w:rPr>
        <w:footnoteReference w:id="87"/>
      </w:r>
      <w:r>
        <w:t xml:space="preserve">  The Commission has not</w:t>
      </w:r>
      <w:r w:rsidR="00F92621">
        <w:t xml:space="preserve"> </w:t>
      </w:r>
      <w:r>
        <w:t>authorized additional operators to use this L-band spectrum in the United States.</w:t>
      </w:r>
      <w:r>
        <w:rPr>
          <w:rStyle w:val="FootnoteReference"/>
        </w:rPr>
        <w:footnoteReference w:id="88"/>
      </w:r>
      <w:r>
        <w:t xml:space="preserve"> </w:t>
      </w:r>
    </w:p>
    <w:p w:rsidR="002574F0" w:rsidRPr="0017305B" w:rsidP="00C01F19" w14:paraId="5E29AEB2" w14:textId="2BFF6E91">
      <w:pPr>
        <w:pStyle w:val="ParaNum"/>
        <w:tabs>
          <w:tab w:val="clear" w:pos="1080"/>
          <w:tab w:val="num" w:pos="1440"/>
        </w:tabs>
        <w:rPr>
          <w:rFonts w:eastAsia="Arial"/>
        </w:rPr>
      </w:pPr>
      <w:r w:rsidRPr="15C0168C">
        <w:rPr>
          <w:rFonts w:eastAsia="Arial"/>
        </w:rPr>
        <w:t xml:space="preserve">The Commission has </w:t>
      </w:r>
      <w:r w:rsidR="000577D3">
        <w:rPr>
          <w:rFonts w:eastAsia="Arial"/>
        </w:rPr>
        <w:t>al</w:t>
      </w:r>
      <w:r w:rsidR="001F188B">
        <w:rPr>
          <w:rFonts w:eastAsia="Arial"/>
        </w:rPr>
        <w:t>so</w:t>
      </w:r>
      <w:r w:rsidRPr="15C0168C">
        <w:rPr>
          <w:rFonts w:eastAsia="Arial"/>
        </w:rPr>
        <w:t xml:space="preserve"> </w:t>
      </w:r>
      <w:r w:rsidRPr="62CCEC78">
        <w:rPr>
          <w:rFonts w:eastAsia="Arial"/>
        </w:rPr>
        <w:t>avoided licensing</w:t>
      </w:r>
      <w:r w:rsidR="00803B67">
        <w:rPr>
          <w:rFonts w:eastAsia="Arial"/>
        </w:rPr>
        <w:t xml:space="preserve"> additional </w:t>
      </w:r>
      <w:r w:rsidRPr="62CCEC78">
        <w:rPr>
          <w:rFonts w:eastAsia="Arial"/>
        </w:rPr>
        <w:t xml:space="preserve">U.S. operators </w:t>
      </w:r>
      <w:r w:rsidR="005B584B">
        <w:rPr>
          <w:rFonts w:eastAsia="Arial"/>
        </w:rPr>
        <w:t xml:space="preserve">to </w:t>
      </w:r>
      <w:r w:rsidRPr="62CCEC78">
        <w:rPr>
          <w:rFonts w:eastAsia="Arial"/>
        </w:rPr>
        <w:t xml:space="preserve">operate in </w:t>
      </w:r>
      <w:r w:rsidRPr="62CCEC78">
        <w:rPr>
          <w:rFonts w:eastAsia="Arial"/>
        </w:rPr>
        <w:t>Ligado’s</w:t>
      </w:r>
      <w:r w:rsidRPr="62CCEC78">
        <w:rPr>
          <w:rFonts w:eastAsia="Arial"/>
        </w:rPr>
        <w:t xml:space="preserve"> licensed MSS L-band spectrum </w:t>
      </w:r>
      <w:r w:rsidRPr="0017305B">
        <w:rPr>
          <w:rFonts w:eastAsia="Arial"/>
        </w:rPr>
        <w:t xml:space="preserve">on a global basis.  The Commission previously authorized </w:t>
      </w:r>
      <w:r w:rsidRPr="0017305B">
        <w:rPr>
          <w:rFonts w:eastAsia="Arial"/>
        </w:rPr>
        <w:t>Ligado’s</w:t>
      </w:r>
      <w:r w:rsidRPr="0017305B">
        <w:rPr>
          <w:rFonts w:eastAsia="Arial"/>
        </w:rPr>
        <w:t xml:space="preserve"> predecessor to use the L-band frequencies that the Commission had already coordinated and authorized for the predecessor’s North American system to also operate the SkyTerra-2 satellite in South America.  </w:t>
      </w:r>
      <w:r w:rsidR="00C32BEF">
        <w:rPr>
          <w:rFonts w:eastAsia="Arial"/>
        </w:rPr>
        <w:t xml:space="preserve">In authorizing a </w:t>
      </w:r>
      <w:r w:rsidRPr="0017305B">
        <w:rPr>
          <w:rFonts w:eastAsia="Arial"/>
        </w:rPr>
        <w:t xml:space="preserve">satellite </w:t>
      </w:r>
      <w:r w:rsidR="009933A1">
        <w:rPr>
          <w:rFonts w:eastAsia="Arial"/>
        </w:rPr>
        <w:t xml:space="preserve">for </w:t>
      </w:r>
      <w:r w:rsidRPr="00F57305" w:rsidR="009933A1">
        <w:rPr>
          <w:rFonts w:eastAsia="Arial"/>
        </w:rPr>
        <w:t>operations</w:t>
      </w:r>
      <w:r w:rsidR="009933A1">
        <w:rPr>
          <w:rFonts w:eastAsia="Arial"/>
        </w:rPr>
        <w:t xml:space="preserve"> </w:t>
      </w:r>
      <w:r w:rsidRPr="0017305B">
        <w:rPr>
          <w:rFonts w:eastAsia="Arial"/>
        </w:rPr>
        <w:t xml:space="preserve">outside </w:t>
      </w:r>
      <w:r w:rsidR="00B770F9">
        <w:rPr>
          <w:rFonts w:eastAsia="Arial"/>
        </w:rPr>
        <w:t xml:space="preserve">of </w:t>
      </w:r>
      <w:r w:rsidRPr="0017305B">
        <w:rPr>
          <w:rFonts w:eastAsia="Arial"/>
        </w:rPr>
        <w:t>the United States, the Commission explained that it would not license another U.S. system to operate in the same frequencies as the MSAT-2.</w:t>
      </w:r>
      <w:r>
        <w:rPr>
          <w:rStyle w:val="FootnoteReference"/>
          <w:rFonts w:eastAsia="Arial"/>
        </w:rPr>
        <w:footnoteReference w:id="89"/>
      </w:r>
      <w:r w:rsidRPr="0017305B">
        <w:rPr>
          <w:rFonts w:eastAsia="Arial"/>
        </w:rPr>
        <w:t xml:space="preserve">  We continue to uphold the Commission’s reasoning when authorizing operations of the SkyTerra-2 satellite when considering </w:t>
      </w:r>
      <w:r w:rsidRPr="0017305B">
        <w:rPr>
          <w:rFonts w:eastAsia="Arial"/>
        </w:rPr>
        <w:t>Ligado’s</w:t>
      </w:r>
      <w:r w:rsidRPr="0017305B">
        <w:rPr>
          <w:rFonts w:eastAsia="Arial"/>
        </w:rPr>
        <w:t xml:space="preserve"> operations in the L-band today.  As the Commission previously found, we will not consider applications for new systems where the new system's operations would cause interference to licensed systems.</w:t>
      </w:r>
      <w:r>
        <w:rPr>
          <w:rStyle w:val="FootnoteReference"/>
          <w:rFonts w:eastAsia="Arial"/>
        </w:rPr>
        <w:footnoteReference w:id="90"/>
      </w:r>
      <w:r w:rsidRPr="0017305B">
        <w:rPr>
          <w:rFonts w:eastAsia="Arial"/>
        </w:rPr>
        <w:t xml:space="preserve">  Given the difficulty that MSS operators have in sharing spectrum bands, we anticipate that any additional commercial satellite operations using </w:t>
      </w:r>
      <w:r w:rsidRPr="0017305B">
        <w:rPr>
          <w:rFonts w:eastAsia="Arial"/>
        </w:rPr>
        <w:t>Ligado’s</w:t>
      </w:r>
      <w:r w:rsidRPr="0017305B">
        <w:rPr>
          <w:rFonts w:eastAsia="Arial"/>
        </w:rPr>
        <w:t xml:space="preserve"> licensed L-band spectrum would cause harmful interference to </w:t>
      </w:r>
      <w:r w:rsidRPr="0017305B">
        <w:rPr>
          <w:rFonts w:eastAsia="Arial"/>
        </w:rPr>
        <w:t>Ligado’s</w:t>
      </w:r>
      <w:r w:rsidRPr="0017305B">
        <w:rPr>
          <w:rFonts w:eastAsia="Arial"/>
        </w:rPr>
        <w:t xml:space="preserve"> MSS operations in those bands.  Therefore, permitting additional commercial operators to use this spectrum would effectively make it impossible for </w:t>
      </w:r>
      <w:r w:rsidRPr="0017305B">
        <w:rPr>
          <w:rFonts w:eastAsia="Arial"/>
        </w:rPr>
        <w:t>Ligado</w:t>
      </w:r>
      <w:r w:rsidRPr="0017305B">
        <w:rPr>
          <w:rFonts w:eastAsia="Arial"/>
        </w:rPr>
        <w:t xml:space="preserve"> to provide service in these bands.  </w:t>
      </w:r>
    </w:p>
    <w:p w:rsidR="002574F0" w:rsidRPr="0017305B" w:rsidP="00C01F19" w14:paraId="001FC50D" w14:textId="4E224CBE">
      <w:pPr>
        <w:pStyle w:val="ParaNum"/>
        <w:tabs>
          <w:tab w:val="clear" w:pos="1080"/>
          <w:tab w:val="num" w:pos="1440"/>
        </w:tabs>
      </w:pPr>
      <w:r w:rsidRPr="0017305B">
        <w:rPr>
          <w:rFonts w:eastAsia="Arial"/>
        </w:rPr>
        <w:t xml:space="preserve">Furthermore, we acknowledge the desire and capability of U.S.-licensed MSS operators </w:t>
      </w:r>
      <w:r w:rsidRPr="0017305B">
        <w:rPr>
          <w:rFonts w:eastAsia="Arial"/>
        </w:rPr>
        <w:t xml:space="preserve">to expand their coverage </w:t>
      </w:r>
      <w:r w:rsidRPr="0017305B" w:rsidR="00E86EAF">
        <w:rPr>
          <w:rFonts w:eastAsia="Arial"/>
        </w:rPr>
        <w:t>internationally</w:t>
      </w:r>
      <w:r w:rsidRPr="0017305B">
        <w:rPr>
          <w:rFonts w:eastAsia="Arial"/>
        </w:rPr>
        <w:t xml:space="preserve">.  </w:t>
      </w:r>
      <w:r w:rsidRPr="00F57305">
        <w:rPr>
          <w:rFonts w:eastAsia="Arial"/>
        </w:rPr>
        <w:t>This</w:t>
      </w:r>
      <w:r w:rsidRPr="0017305B">
        <w:rPr>
          <w:rFonts w:eastAsia="Arial"/>
        </w:rPr>
        <w:t xml:space="preserve"> </w:t>
      </w:r>
      <w:r w:rsidR="00C6569F">
        <w:rPr>
          <w:rFonts w:eastAsia="Arial"/>
        </w:rPr>
        <w:t xml:space="preserve">interest </w:t>
      </w:r>
      <w:r w:rsidR="009865ED">
        <w:rPr>
          <w:rFonts w:eastAsia="Arial"/>
        </w:rPr>
        <w:t xml:space="preserve">was </w:t>
      </w:r>
      <w:r w:rsidRPr="0017305B">
        <w:rPr>
          <w:rFonts w:eastAsia="Arial"/>
        </w:rPr>
        <w:t xml:space="preserve">made evident through the extensive coordination history across borders for use of the L-band.  Similarly, MSS operators like </w:t>
      </w:r>
      <w:r w:rsidRPr="0017305B">
        <w:rPr>
          <w:rFonts w:eastAsia="Arial"/>
        </w:rPr>
        <w:t>Ligado</w:t>
      </w:r>
      <w:r w:rsidRPr="0017305B">
        <w:rPr>
          <w:rFonts w:eastAsia="Arial"/>
        </w:rPr>
        <w:t xml:space="preserve"> are capable of offering coverage across a broad service area due to their use of omni-directional antennas.  </w:t>
      </w:r>
      <w:r w:rsidRPr="00D1139F" w:rsidR="77F1946C">
        <w:rPr>
          <w:rFonts w:eastAsia="Arial"/>
        </w:rPr>
        <w:t xml:space="preserve">Because </w:t>
      </w:r>
      <w:r w:rsidRPr="00D1139F">
        <w:rPr>
          <w:rFonts w:eastAsia="Arial"/>
        </w:rPr>
        <w:t xml:space="preserve">MSS operations </w:t>
      </w:r>
      <w:r w:rsidRPr="003C60EE" w:rsidR="49FE0332">
        <w:rPr>
          <w:rFonts w:eastAsia="Arial"/>
        </w:rPr>
        <w:t xml:space="preserve">are highly susceptible to </w:t>
      </w:r>
      <w:r w:rsidRPr="00D1139F">
        <w:rPr>
          <w:rFonts w:eastAsia="Arial"/>
        </w:rPr>
        <w:t>harmful interference</w:t>
      </w:r>
      <w:r w:rsidRPr="00A72387" w:rsidR="3B70471C">
        <w:rPr>
          <w:rFonts w:eastAsia="Arial"/>
        </w:rPr>
        <w:t xml:space="preserve"> when more than one commercial operator </w:t>
      </w:r>
      <w:r w:rsidRPr="00A72387" w:rsidR="24DDC9F6">
        <w:rPr>
          <w:rFonts w:eastAsia="Arial"/>
        </w:rPr>
        <w:t>utilizes</w:t>
      </w:r>
      <w:r w:rsidRPr="00A72387" w:rsidR="3B70471C">
        <w:rPr>
          <w:rFonts w:eastAsia="Arial"/>
        </w:rPr>
        <w:t xml:space="preserve"> the same </w:t>
      </w:r>
      <w:r w:rsidRPr="00A72387" w:rsidR="4D736522">
        <w:rPr>
          <w:rFonts w:eastAsia="Arial"/>
        </w:rPr>
        <w:t>set of</w:t>
      </w:r>
      <w:r w:rsidRPr="00A72387" w:rsidR="3B70471C">
        <w:rPr>
          <w:rFonts w:eastAsia="Arial"/>
        </w:rPr>
        <w:t xml:space="preserve"> bands</w:t>
      </w:r>
      <w:r w:rsidRPr="00D1139F">
        <w:rPr>
          <w:rFonts w:eastAsia="Arial"/>
        </w:rPr>
        <w:t xml:space="preserve">, we </w:t>
      </w:r>
      <w:r w:rsidRPr="00A72387" w:rsidR="3D26E95E">
        <w:rPr>
          <w:rFonts w:eastAsia="Arial"/>
        </w:rPr>
        <w:t xml:space="preserve">seek to ensure that </w:t>
      </w:r>
      <w:r w:rsidRPr="00D1139F">
        <w:rPr>
          <w:rFonts w:eastAsia="Arial"/>
        </w:rPr>
        <w:t>Ligado</w:t>
      </w:r>
      <w:r w:rsidRPr="00D1139F">
        <w:rPr>
          <w:rFonts w:eastAsia="Arial"/>
        </w:rPr>
        <w:t xml:space="preserve">, a U.S. MSS licensee, </w:t>
      </w:r>
      <w:r w:rsidRPr="00A72387" w:rsidR="007A140A">
        <w:rPr>
          <w:rFonts w:eastAsia="Arial"/>
        </w:rPr>
        <w:t>will</w:t>
      </w:r>
      <w:r w:rsidRPr="00A72387" w:rsidR="5297FE82">
        <w:rPr>
          <w:rFonts w:eastAsia="Arial"/>
        </w:rPr>
        <w:t xml:space="preserve"> not prevented </w:t>
      </w:r>
      <w:r w:rsidRPr="00D1139F">
        <w:rPr>
          <w:rFonts w:eastAsia="Arial"/>
        </w:rPr>
        <w:t>from providing L-band MSS service in a</w:t>
      </w:r>
      <w:r w:rsidRPr="00A72387" w:rsidR="00826C02">
        <w:rPr>
          <w:rFonts w:eastAsia="Arial"/>
        </w:rPr>
        <w:t>ny</w:t>
      </w:r>
      <w:r w:rsidRPr="00D1139F">
        <w:rPr>
          <w:rFonts w:eastAsia="Arial"/>
        </w:rPr>
        <w:t xml:space="preserve"> region </w:t>
      </w:r>
      <w:r w:rsidRPr="00A72387" w:rsidR="00280741">
        <w:rPr>
          <w:rFonts w:eastAsia="Arial"/>
        </w:rPr>
        <w:t>where it may be capable of providing coverage</w:t>
      </w:r>
      <w:r w:rsidRPr="00D1139F">
        <w:rPr>
          <w:rFonts w:eastAsia="Arial"/>
        </w:rPr>
        <w:t>.</w:t>
      </w:r>
      <w:r>
        <w:rPr>
          <w:rStyle w:val="FootnoteReference"/>
          <w:rFonts w:eastAsia="Arial"/>
        </w:rPr>
        <w:footnoteReference w:id="91"/>
      </w:r>
      <w:r w:rsidRPr="00D1139F">
        <w:rPr>
          <w:rFonts w:eastAsia="Arial"/>
        </w:rPr>
        <w:t xml:space="preserve">  As a result, we decline to authorize additional commercial operators </w:t>
      </w:r>
      <w:r w:rsidRPr="00D1139F" w:rsidR="006005C8">
        <w:rPr>
          <w:rFonts w:eastAsia="Arial"/>
        </w:rPr>
        <w:t xml:space="preserve">for international operations in </w:t>
      </w:r>
      <w:r w:rsidRPr="00D1139F">
        <w:rPr>
          <w:rFonts w:eastAsia="Arial"/>
        </w:rPr>
        <w:t xml:space="preserve">bands </w:t>
      </w:r>
      <w:r w:rsidRPr="00D1139F" w:rsidR="009E6A3E">
        <w:rPr>
          <w:rFonts w:eastAsia="Arial"/>
        </w:rPr>
        <w:t xml:space="preserve">that are </w:t>
      </w:r>
      <w:r w:rsidRPr="00D1139F">
        <w:rPr>
          <w:rFonts w:eastAsia="Arial"/>
        </w:rPr>
        <w:t xml:space="preserve">licensed to </w:t>
      </w:r>
      <w:r w:rsidRPr="00D1139F">
        <w:rPr>
          <w:rFonts w:eastAsia="Arial"/>
        </w:rPr>
        <w:t>Ligado</w:t>
      </w:r>
      <w:r w:rsidRPr="00D1139F">
        <w:rPr>
          <w:rFonts w:eastAsia="Arial"/>
        </w:rPr>
        <w:t xml:space="preserve"> in the United States to ensure that </w:t>
      </w:r>
      <w:r w:rsidRPr="00D1139F" w:rsidR="00581EEC">
        <w:rPr>
          <w:rFonts w:eastAsia="Arial"/>
        </w:rPr>
        <w:t xml:space="preserve">as </w:t>
      </w:r>
      <w:r w:rsidR="00504D75">
        <w:rPr>
          <w:rFonts w:eastAsia="Arial"/>
        </w:rPr>
        <w:t xml:space="preserve">a </w:t>
      </w:r>
      <w:r w:rsidRPr="00D1139F" w:rsidR="00581EEC">
        <w:rPr>
          <w:rFonts w:eastAsia="Arial"/>
        </w:rPr>
        <w:t xml:space="preserve">U.S. operator, it has </w:t>
      </w:r>
      <w:r w:rsidRPr="00D1139F">
        <w:rPr>
          <w:rFonts w:eastAsia="Arial"/>
        </w:rPr>
        <w:t>a fair opportunity to</w:t>
      </w:r>
      <w:r w:rsidRPr="0017305B">
        <w:rPr>
          <w:rFonts w:eastAsia="Arial"/>
        </w:rPr>
        <w:t xml:space="preserve"> compete in the global MSS marketplace.</w:t>
      </w:r>
      <w:r>
        <w:rPr>
          <w:rStyle w:val="FootnoteReference"/>
          <w:rFonts w:eastAsia="Arial"/>
        </w:rPr>
        <w:footnoteReference w:id="92"/>
      </w:r>
      <w:r w:rsidR="00C372E5">
        <w:rPr>
          <w:rFonts w:eastAsia="Arial"/>
        </w:rPr>
        <w:t xml:space="preserve">  In doing so, we also maintain existing international </w:t>
      </w:r>
      <w:r w:rsidR="0068551A">
        <w:rPr>
          <w:rFonts w:eastAsia="Arial"/>
        </w:rPr>
        <w:t>agreements and complex technical coordination</w:t>
      </w:r>
      <w:r w:rsidR="002031D7">
        <w:rPr>
          <w:rFonts w:eastAsia="Arial"/>
        </w:rPr>
        <w:t xml:space="preserve"> arrangements. </w:t>
      </w:r>
    </w:p>
    <w:p w:rsidR="002574F0" w:rsidP="00C01F19" w14:paraId="5DD723CA" w14:textId="14E6F4EF">
      <w:pPr>
        <w:pStyle w:val="ParaNum"/>
        <w:tabs>
          <w:tab w:val="clear" w:pos="1080"/>
          <w:tab w:val="num" w:pos="1440"/>
        </w:tabs>
      </w:pPr>
      <w:r>
        <w:t xml:space="preserve">As a result, we </w:t>
      </w:r>
      <w:r w:rsidRPr="0017305B">
        <w:t>dismiss, with prejudice, the portions of SpaceX’s various applications to modify its Gen2 Starlink constellation to add operations in the 1525-1559 MHz and 1626.5-1660.5 MHz</w:t>
      </w:r>
      <w:r w:rsidR="00D454DC">
        <w:t xml:space="preserve"> band</w:t>
      </w:r>
      <w:r w:rsidRPr="0017305B">
        <w:t xml:space="preserve"> both inside and outside the United States</w:t>
      </w:r>
      <w:r>
        <w:rPr>
          <w:rStyle w:val="FootnoteReference"/>
        </w:rPr>
        <w:footnoteReference w:id="93"/>
      </w:r>
      <w:r w:rsidRPr="0017305B">
        <w:t xml:space="preserve"> and we also dismiss, with prejudice</w:t>
      </w:r>
      <w:r w:rsidR="00E743C7">
        <w:t>,</w:t>
      </w:r>
      <w:r w:rsidRPr="0017305B">
        <w:t xml:space="preserve"> the portion of SpaceX’s D2C </w:t>
      </w:r>
      <w:r w:rsidR="00CC1F2A">
        <w:t>Application</w:t>
      </w:r>
      <w:r w:rsidRPr="0017305B">
        <w:t xml:space="preserve"> requesting operations in these bands.</w:t>
      </w:r>
      <w:r>
        <w:rPr>
          <w:rStyle w:val="FootnoteReference"/>
        </w:rPr>
        <w:footnoteReference w:id="94"/>
      </w:r>
      <w:r w:rsidRPr="0017305B">
        <w:t xml:space="preserve">  With this action we </w:t>
      </w:r>
      <w:r w:rsidR="00BE64BA">
        <w:t xml:space="preserve">also </w:t>
      </w:r>
      <w:r w:rsidRPr="0017305B">
        <w:t>dismiss with prejudice the SpaceX</w:t>
      </w:r>
      <w:r>
        <w:t xml:space="preserve"> Gen2 1.5 GHz and 1.6/2.4 GHz </w:t>
      </w:r>
      <w:r w:rsidR="005C7A36">
        <w:t>M</w:t>
      </w:r>
      <w:r>
        <w:t>odification application in its entirety.</w:t>
      </w:r>
    </w:p>
    <w:p w:rsidR="002574F0" w:rsidP="00B46C4C" w14:paraId="2184F2B3" w14:textId="6E65631E">
      <w:pPr>
        <w:pStyle w:val="Heading1"/>
      </w:pPr>
      <w:r>
        <w:t>O</w:t>
      </w:r>
      <w:r w:rsidR="00223169">
        <w:t>rd</w:t>
      </w:r>
      <w:r>
        <w:t>ering clauses</w:t>
      </w:r>
    </w:p>
    <w:p w:rsidR="002574F0" w:rsidRPr="001F648B" w:rsidP="00C01F19" w14:paraId="045F77A0" w14:textId="73C7C235">
      <w:pPr>
        <w:pStyle w:val="ParaNum"/>
        <w:tabs>
          <w:tab w:val="clear" w:pos="1080"/>
          <w:tab w:val="num" w:pos="1440"/>
        </w:tabs>
        <w:rPr>
          <w:snapToGrid/>
          <w:kern w:val="0"/>
        </w:rPr>
      </w:pPr>
      <w:r>
        <w:t xml:space="preserve">Accordingly, IT IS ORDERED, </w:t>
      </w:r>
      <w:r w:rsidRPr="00261A8C">
        <w:rPr>
          <w:rStyle w:val="normaltextrun"/>
          <w:szCs w:val="22"/>
        </w:rPr>
        <w:t xml:space="preserve">that </w:t>
      </w:r>
      <w:r w:rsidRPr="00B46C4C">
        <w:rPr>
          <w:rStyle w:val="normaltextrun"/>
        </w:rPr>
        <w:t>Space</w:t>
      </w:r>
      <w:r w:rsidRPr="00261A8C">
        <w:rPr>
          <w:rStyle w:val="normaltextrun"/>
          <w:szCs w:val="22"/>
        </w:rPr>
        <w:t xml:space="preserve"> Exploration Holding</w:t>
      </w:r>
      <w:r w:rsidR="00D10DC3">
        <w:rPr>
          <w:rStyle w:val="normaltextrun"/>
          <w:szCs w:val="22"/>
        </w:rPr>
        <w:t>s</w:t>
      </w:r>
      <w:r w:rsidRPr="00261A8C">
        <w:rPr>
          <w:rStyle w:val="normaltextrun"/>
          <w:szCs w:val="22"/>
        </w:rPr>
        <w:t xml:space="preserve"> LLC’s request for its Gen2 Starlink satellites to operate in the </w:t>
      </w:r>
      <w:r>
        <w:rPr>
          <w:rStyle w:val="normaltextrun"/>
          <w:szCs w:val="22"/>
        </w:rPr>
        <w:t xml:space="preserve">1525-1559 MHz, 1626.5-1660.5 MHz, </w:t>
      </w:r>
      <w:r w:rsidRPr="00261A8C">
        <w:rPr>
          <w:rStyle w:val="normaltextrun"/>
          <w:szCs w:val="22"/>
        </w:rPr>
        <w:t>1610-1626.5 MHz</w:t>
      </w:r>
      <w:r w:rsidR="00A95C39">
        <w:rPr>
          <w:rStyle w:val="normaltextrun"/>
          <w:szCs w:val="22"/>
        </w:rPr>
        <w:t>,</w:t>
      </w:r>
      <w:r w:rsidRPr="00261A8C">
        <w:rPr>
          <w:rStyle w:val="normaltextrun"/>
          <w:szCs w:val="22"/>
        </w:rPr>
        <w:t xml:space="preserve"> and 2483.5-2500 MHz </w:t>
      </w:r>
      <w:r>
        <w:rPr>
          <w:rStyle w:val="normaltextrun"/>
          <w:szCs w:val="22"/>
        </w:rPr>
        <w:t xml:space="preserve">bands in the </w:t>
      </w:r>
      <w:r w:rsidRPr="00C01F19">
        <w:t>U</w:t>
      </w:r>
      <w:r w:rsidRPr="00C01F19" w:rsidR="00B81338">
        <w:t>nited</w:t>
      </w:r>
      <w:r w:rsidR="00B81338">
        <w:rPr>
          <w:rStyle w:val="normaltextrun"/>
          <w:szCs w:val="22"/>
        </w:rPr>
        <w:t xml:space="preserve"> States</w:t>
      </w:r>
      <w:r>
        <w:rPr>
          <w:rStyle w:val="normaltextrun"/>
          <w:szCs w:val="22"/>
        </w:rPr>
        <w:t xml:space="preserve"> and outside of the U</w:t>
      </w:r>
      <w:r w:rsidR="00B81338">
        <w:rPr>
          <w:rStyle w:val="normaltextrun"/>
          <w:szCs w:val="22"/>
        </w:rPr>
        <w:t>nited States</w:t>
      </w:r>
      <w:r w:rsidR="008038A0">
        <w:rPr>
          <w:rStyle w:val="normaltextrun"/>
          <w:szCs w:val="22"/>
        </w:rPr>
        <w:t xml:space="preserve"> in </w:t>
      </w:r>
      <w:r w:rsidRPr="00261A8C">
        <w:rPr>
          <w:rStyle w:val="normaltextrun"/>
          <w:szCs w:val="22"/>
        </w:rPr>
        <w:t>ICFS File Nos. SAT-LOA-20200526-00055, SAT-AMD-20210818-00105, SAT-AMD-20221215-00175, SAT-AMD-20241017-00228</w:t>
      </w:r>
      <w:r w:rsidR="007262C8">
        <w:rPr>
          <w:rStyle w:val="normaltextrun"/>
          <w:szCs w:val="22"/>
        </w:rPr>
        <w:t>,</w:t>
      </w:r>
      <w:r w:rsidRPr="00261A8C">
        <w:rPr>
          <w:rStyle w:val="normaltextrun"/>
          <w:szCs w:val="22"/>
        </w:rPr>
        <w:t xml:space="preserve"> SAT-MOD-20230207-00021</w:t>
      </w:r>
      <w:r w:rsidR="007262C8">
        <w:rPr>
          <w:rStyle w:val="normaltextrun"/>
          <w:szCs w:val="22"/>
        </w:rPr>
        <w:t>,</w:t>
      </w:r>
      <w:r w:rsidRPr="00261A8C">
        <w:rPr>
          <w:rStyle w:val="normaltextrun"/>
          <w:szCs w:val="22"/>
        </w:rPr>
        <w:t xml:space="preserve"> SAT-AMD-20240322-00061</w:t>
      </w:r>
      <w:r w:rsidR="007262C8">
        <w:rPr>
          <w:rStyle w:val="normaltextrun"/>
          <w:szCs w:val="22"/>
        </w:rPr>
        <w:t>,</w:t>
      </w:r>
      <w:r w:rsidRPr="00261A8C">
        <w:rPr>
          <w:rStyle w:val="normaltextrun"/>
          <w:szCs w:val="22"/>
        </w:rPr>
        <w:t xml:space="preserve"> SAT-MOD-20240111-00224</w:t>
      </w:r>
      <w:r w:rsidR="007262C8">
        <w:rPr>
          <w:rStyle w:val="normaltextrun"/>
          <w:szCs w:val="22"/>
        </w:rPr>
        <w:t>,</w:t>
      </w:r>
      <w:r w:rsidRPr="00261A8C">
        <w:rPr>
          <w:rStyle w:val="normaltextrun"/>
          <w:szCs w:val="22"/>
        </w:rPr>
        <w:t xml:space="preserve"> and SAT-MOD-20250611-00144 is DISMISSED</w:t>
      </w:r>
      <w:r>
        <w:rPr>
          <w:rStyle w:val="normaltextrun"/>
          <w:szCs w:val="22"/>
        </w:rPr>
        <w:t xml:space="preserve"> with prejudice. </w:t>
      </w:r>
    </w:p>
    <w:p w:rsidR="002574F0" w:rsidP="00C01F19" w14:paraId="5D7CEA3F" w14:textId="787FD8DA">
      <w:pPr>
        <w:pStyle w:val="ParaNum"/>
        <w:tabs>
          <w:tab w:val="clear" w:pos="1080"/>
          <w:tab w:val="num" w:pos="1440"/>
        </w:tabs>
      </w:pPr>
      <w:r>
        <w:rPr>
          <w:rStyle w:val="normaltextrun"/>
          <w:szCs w:val="22"/>
        </w:rPr>
        <w:t xml:space="preserve">IT IS FURTHER ORDERED, that Space Exploration Holding LLC’s request for its D2C Constellation for operations outside </w:t>
      </w:r>
      <w:r w:rsidRPr="00C01F19">
        <w:t>of</w:t>
      </w:r>
      <w:r>
        <w:rPr>
          <w:rStyle w:val="normaltextrun"/>
          <w:szCs w:val="22"/>
        </w:rPr>
        <w:t xml:space="preserve"> the U</w:t>
      </w:r>
      <w:r w:rsidR="00B81338">
        <w:rPr>
          <w:rStyle w:val="normaltextrun"/>
          <w:szCs w:val="22"/>
        </w:rPr>
        <w:t>nited States</w:t>
      </w:r>
      <w:r>
        <w:rPr>
          <w:rStyle w:val="normaltextrun"/>
          <w:szCs w:val="22"/>
        </w:rPr>
        <w:t xml:space="preserve"> in the 1610-1626.5 MHz and 2483.5-2500 MHz bands in ICFS File Nos. SAT-LOA-20250916-00282</w:t>
      </w:r>
      <w:r w:rsidR="003C3AFE">
        <w:rPr>
          <w:rStyle w:val="normaltextrun"/>
          <w:szCs w:val="22"/>
        </w:rPr>
        <w:t xml:space="preserve"> and</w:t>
      </w:r>
      <w:r>
        <w:rPr>
          <w:rStyle w:val="normaltextrun"/>
          <w:szCs w:val="22"/>
        </w:rPr>
        <w:t xml:space="preserve"> SAT-AMD-20251125-00339</w:t>
      </w:r>
      <w:r w:rsidR="000E46F1">
        <w:rPr>
          <w:rStyle w:val="normaltextrun"/>
          <w:szCs w:val="22"/>
        </w:rPr>
        <w:t xml:space="preserve"> and GN Docket No. 25-</w:t>
      </w:r>
      <w:r w:rsidR="0056687C">
        <w:rPr>
          <w:rStyle w:val="normaltextrun"/>
          <w:szCs w:val="22"/>
        </w:rPr>
        <w:t>340</w:t>
      </w:r>
      <w:r>
        <w:rPr>
          <w:rStyle w:val="normaltextrun"/>
          <w:szCs w:val="22"/>
        </w:rPr>
        <w:t xml:space="preserve"> is DISMISSED with prejudice.</w:t>
      </w:r>
    </w:p>
    <w:p w:rsidR="002574F0" w:rsidP="00C01F19" w14:paraId="1C336AC6" w14:textId="18201244">
      <w:pPr>
        <w:pStyle w:val="ParaNum"/>
        <w:tabs>
          <w:tab w:val="clear" w:pos="1080"/>
          <w:tab w:val="num" w:pos="1440"/>
        </w:tabs>
      </w:pPr>
      <w:r>
        <w:rPr>
          <w:rStyle w:val="normaltextrun"/>
          <w:szCs w:val="22"/>
        </w:rPr>
        <w:t>IT IS FURTHER ORDERED that Kepler Communications, Inc.</w:t>
      </w:r>
      <w:r w:rsidR="00BB0B0D">
        <w:rPr>
          <w:rStyle w:val="normaltextrun"/>
          <w:szCs w:val="22"/>
        </w:rPr>
        <w:t>’s</w:t>
      </w:r>
      <w:r>
        <w:rPr>
          <w:rStyle w:val="normaltextrun"/>
          <w:szCs w:val="22"/>
        </w:rPr>
        <w:t xml:space="preserve"> request for U.S. market access to provide service in the 1610-1617.775 MHz and 2483.5-2500 MHz bands in ICFS File No. SAT-PDR-20211224-00204 is DISMISSED with prejudice.</w:t>
      </w:r>
    </w:p>
    <w:p w:rsidR="002574F0" w:rsidP="00C01F19" w14:paraId="7B93F961" w14:textId="5BAF1011">
      <w:pPr>
        <w:pStyle w:val="ParaNum"/>
        <w:tabs>
          <w:tab w:val="clear" w:pos="1080"/>
          <w:tab w:val="num" w:pos="1440"/>
        </w:tabs>
      </w:pPr>
      <w:r>
        <w:rPr>
          <w:rStyle w:val="normaltextrun"/>
          <w:szCs w:val="22"/>
        </w:rPr>
        <w:t xml:space="preserve">IT IS FURTHER ORDERED that </w:t>
      </w:r>
      <w:r>
        <w:rPr>
          <w:rStyle w:val="normaltextrun"/>
          <w:szCs w:val="22"/>
        </w:rPr>
        <w:t>Satelio</w:t>
      </w:r>
      <w:r>
        <w:rPr>
          <w:rStyle w:val="normaltextrun"/>
          <w:szCs w:val="22"/>
        </w:rPr>
        <w:t xml:space="preserve"> IoT Services USA, Inc.’s request for U.S. market access to provide service in the 2000-20</w:t>
      </w:r>
      <w:r w:rsidR="00543143">
        <w:rPr>
          <w:rStyle w:val="normaltextrun"/>
          <w:szCs w:val="22"/>
        </w:rPr>
        <w:t>1</w:t>
      </w:r>
      <w:r>
        <w:rPr>
          <w:rStyle w:val="normaltextrun"/>
          <w:szCs w:val="22"/>
        </w:rPr>
        <w:t>0 MHz and 21</w:t>
      </w:r>
      <w:r w:rsidR="00543143">
        <w:rPr>
          <w:rStyle w:val="normaltextrun"/>
          <w:szCs w:val="22"/>
        </w:rPr>
        <w:t>9</w:t>
      </w:r>
      <w:r>
        <w:rPr>
          <w:rStyle w:val="normaltextrun"/>
          <w:szCs w:val="22"/>
        </w:rPr>
        <w:t xml:space="preserve">0-2200 MHz </w:t>
      </w:r>
      <w:r w:rsidRPr="00B46C4C">
        <w:rPr>
          <w:rStyle w:val="normaltextrun"/>
        </w:rPr>
        <w:t>bands</w:t>
      </w:r>
      <w:r>
        <w:rPr>
          <w:rStyle w:val="normaltextrun"/>
          <w:szCs w:val="22"/>
        </w:rPr>
        <w:t xml:space="preserve"> in ICFS File No. SAT-PDR-20250428-00108 is DISMISSED with prejudice.</w:t>
      </w:r>
      <w:r>
        <w:rPr>
          <w:rStyle w:val="eop"/>
          <w:szCs w:val="22"/>
        </w:rPr>
        <w:t> </w:t>
      </w:r>
    </w:p>
    <w:p w:rsidR="002574F0" w:rsidP="00C01F19" w14:paraId="76D2FB11" w14:textId="03211113">
      <w:pPr>
        <w:pStyle w:val="ParaNum"/>
        <w:tabs>
          <w:tab w:val="clear" w:pos="1080"/>
          <w:tab w:val="num" w:pos="1440"/>
        </w:tabs>
        <w:rPr>
          <w:rStyle w:val="normaltextrun"/>
        </w:rPr>
      </w:pPr>
      <w:r w:rsidRPr="090870A9">
        <w:rPr>
          <w:rStyle w:val="normaltextrun"/>
        </w:rPr>
        <w:t xml:space="preserve">IT IS FURTHER ORDERED that AST &amp; Science LLC’s request for authority to operate in the </w:t>
      </w:r>
      <w:r w:rsidR="00E62E65">
        <w:rPr>
          <w:rStyle w:val="normaltextrun"/>
        </w:rPr>
        <w:t>1980</w:t>
      </w:r>
      <w:r w:rsidR="004B0AE6">
        <w:rPr>
          <w:rStyle w:val="normaltextrun"/>
        </w:rPr>
        <w:t>-2020</w:t>
      </w:r>
      <w:r w:rsidRPr="090870A9">
        <w:rPr>
          <w:rStyle w:val="normaltextrun"/>
        </w:rPr>
        <w:t xml:space="preserve"> MHz</w:t>
      </w:r>
      <w:r w:rsidR="003B156D">
        <w:rPr>
          <w:rStyle w:val="normaltextrun"/>
        </w:rPr>
        <w:t xml:space="preserve"> and</w:t>
      </w:r>
      <w:r w:rsidR="00DE5DC4">
        <w:rPr>
          <w:rStyle w:val="normaltextrun"/>
        </w:rPr>
        <w:t xml:space="preserve"> </w:t>
      </w:r>
      <w:r w:rsidRPr="090870A9">
        <w:rPr>
          <w:rStyle w:val="normaltextrun"/>
        </w:rPr>
        <w:t>21</w:t>
      </w:r>
      <w:r w:rsidR="00697135">
        <w:rPr>
          <w:rStyle w:val="normaltextrun"/>
        </w:rPr>
        <w:t>60</w:t>
      </w:r>
      <w:r w:rsidRPr="090870A9">
        <w:rPr>
          <w:rStyle w:val="normaltextrun"/>
        </w:rPr>
        <w:t>-2</w:t>
      </w:r>
      <w:r w:rsidR="00A577E0">
        <w:rPr>
          <w:rStyle w:val="normaltextrun"/>
        </w:rPr>
        <w:t>200</w:t>
      </w:r>
      <w:r w:rsidRPr="090870A9">
        <w:rPr>
          <w:rStyle w:val="normaltextrun"/>
        </w:rPr>
        <w:t xml:space="preserve"> MHz bands in ICFS File No.</w:t>
      </w:r>
      <w:r w:rsidRPr="00BD6E90">
        <w:t xml:space="preserve"> </w:t>
      </w:r>
      <w:r w:rsidRPr="00401704">
        <w:t xml:space="preserve">SAT-MOD-20260105-00005 </w:t>
      </w:r>
      <w:r w:rsidRPr="090870A9">
        <w:rPr>
          <w:rStyle w:val="normaltextrun"/>
        </w:rPr>
        <w:t>is DISMISSED with prejudice.</w:t>
      </w:r>
    </w:p>
    <w:p w:rsidR="002574F0" w:rsidP="00C01F19" w14:paraId="16F6ACB2" w14:textId="639FCE0A">
      <w:pPr>
        <w:pStyle w:val="ParaNum"/>
        <w:tabs>
          <w:tab w:val="clear" w:pos="1080"/>
          <w:tab w:val="num" w:pos="1440"/>
        </w:tabs>
      </w:pPr>
      <w:r>
        <w:rPr>
          <w:rStyle w:val="normaltextrun"/>
          <w:szCs w:val="22"/>
        </w:rPr>
        <w:t>IT IS FURTHER ORDERED that the Petition o</w:t>
      </w:r>
      <w:r>
        <w:t xml:space="preserve">f Iridium </w:t>
      </w:r>
      <w:r w:rsidRPr="00B46C4C">
        <w:t>Constellation</w:t>
      </w:r>
      <w:r>
        <w:t xml:space="preserve"> to Dismiss or Deny in Part SpaceX’s Gen2 Upgrade </w:t>
      </w:r>
      <w:r w:rsidRPr="00C01F19">
        <w:rPr>
          <w:rStyle w:val="normaltextrun"/>
          <w:szCs w:val="22"/>
        </w:rPr>
        <w:t>Application</w:t>
      </w:r>
      <w:r w:rsidRPr="00C01F19" w:rsidR="00B44CA5">
        <w:rPr>
          <w:rStyle w:val="normaltextrun"/>
          <w:szCs w:val="22"/>
        </w:rPr>
        <w:t>s</w:t>
      </w:r>
      <w:r>
        <w:t xml:space="preserve"> is DISMISSED, in part, as moot.</w:t>
      </w:r>
    </w:p>
    <w:p w:rsidR="002574F0" w:rsidRPr="0039611A" w:rsidP="00C01F19" w14:paraId="104BE356" w14:textId="7A2261B0">
      <w:pPr>
        <w:pStyle w:val="ParaNum"/>
        <w:tabs>
          <w:tab w:val="clear" w:pos="1080"/>
          <w:tab w:val="num" w:pos="1440"/>
        </w:tabs>
        <w:rPr>
          <w:szCs w:val="22"/>
        </w:rPr>
      </w:pPr>
      <w:r>
        <w:t xml:space="preserve">IT IS FURTHER ORDERED that the Petitions of </w:t>
      </w:r>
      <w:r>
        <w:t>Via</w:t>
      </w:r>
      <w:r w:rsidR="001A5CD6">
        <w:t>s</w:t>
      </w:r>
      <w:r>
        <w:t>at</w:t>
      </w:r>
      <w:r>
        <w:t xml:space="preserve"> to Deny </w:t>
      </w:r>
      <w:r w:rsidRPr="00B46C4C">
        <w:t>SpaceX’s</w:t>
      </w:r>
      <w:r>
        <w:t xml:space="preserve"> Gen2 Upgrade Applications and D2C Applications are DISMISSED</w:t>
      </w:r>
      <w:r w:rsidR="007A78E9">
        <w:t>,</w:t>
      </w:r>
      <w:r>
        <w:t xml:space="preserve"> in part, as moot. </w:t>
      </w:r>
    </w:p>
    <w:p w:rsidR="002574F0" w:rsidRPr="00604896" w:rsidP="00C01F19" w14:paraId="4A5D1656" w14:textId="121E85FA">
      <w:pPr>
        <w:pStyle w:val="ParaNum"/>
        <w:tabs>
          <w:tab w:val="clear" w:pos="1080"/>
          <w:tab w:val="num" w:pos="1440"/>
        </w:tabs>
        <w:rPr>
          <w:szCs w:val="22"/>
        </w:rPr>
      </w:pPr>
      <w:r>
        <w:t xml:space="preserve">IT IS FURTHER ORDERED that the Petitions to Deny of Globalstar in the SpaceX </w:t>
      </w:r>
      <w:r>
        <w:t>Gen</w:t>
      </w:r>
      <w:r w:rsidR="001B045C">
        <w:t>2</w:t>
      </w:r>
      <w:r>
        <w:t xml:space="preserve"> Upgrade Application</w:t>
      </w:r>
      <w:r w:rsidR="00CA3CCD">
        <w:t>s</w:t>
      </w:r>
      <w:r>
        <w:t xml:space="preserve"> and D2C </w:t>
      </w:r>
      <w:r w:rsidR="00925D00">
        <w:t>A</w:t>
      </w:r>
      <w:r>
        <w:t xml:space="preserve">pplication are DISMISSED as moot. </w:t>
      </w:r>
    </w:p>
    <w:p w:rsidR="002574F0" w:rsidRPr="0020144A" w:rsidP="00C01F19" w14:paraId="702EAEA4" w14:textId="77777777">
      <w:pPr>
        <w:pStyle w:val="ParaNum"/>
        <w:tabs>
          <w:tab w:val="clear" w:pos="1080"/>
          <w:tab w:val="num" w:pos="1440"/>
        </w:tabs>
      </w:pPr>
      <w:r w:rsidRPr="090870A9">
        <w:rPr>
          <w:rStyle w:val="normaltextrun"/>
        </w:rPr>
        <w:t xml:space="preserve">IT IS FURTHER ORDERED that </w:t>
      </w:r>
      <w:r w:rsidRPr="00C01F19">
        <w:t>Globalstar’s</w:t>
      </w:r>
      <w:r w:rsidRPr="090870A9">
        <w:rPr>
          <w:rStyle w:val="normaltextrun"/>
        </w:rPr>
        <w:t xml:space="preserve"> opposition to Kepler’s request to use the 1610-1626.5 MHz and 2483.5-2500 MHz bands is DISMISSED as moot.</w:t>
      </w:r>
      <w:r w:rsidRPr="090870A9">
        <w:rPr>
          <w:rStyle w:val="eop"/>
        </w:rPr>
        <w:t> </w:t>
      </w:r>
    </w:p>
    <w:p w:rsidR="002574F0" w:rsidRPr="00EF1572" w:rsidP="00C01F19" w14:paraId="49EEBBC5" w14:textId="29A9C28A">
      <w:pPr>
        <w:pStyle w:val="ParaNum"/>
        <w:tabs>
          <w:tab w:val="clear" w:pos="1080"/>
          <w:tab w:val="num" w:pos="1440"/>
        </w:tabs>
        <w:rPr>
          <w:rStyle w:val="normaltextrun"/>
        </w:rPr>
      </w:pPr>
      <w:r>
        <w:rPr>
          <w:rStyle w:val="normaltextrun"/>
          <w:szCs w:val="22"/>
        </w:rPr>
        <w:t xml:space="preserve">IT IS FURTHER ORDERED that the Petition for Rulemaking by Space </w:t>
      </w:r>
      <w:r w:rsidRPr="00B46C4C">
        <w:rPr>
          <w:rStyle w:val="normaltextrun"/>
        </w:rPr>
        <w:t>Exploration</w:t>
      </w:r>
      <w:r>
        <w:rPr>
          <w:rStyle w:val="normaltextrun"/>
          <w:szCs w:val="22"/>
        </w:rPr>
        <w:t xml:space="preserve"> Holdings, LLC Regarding the Revision of the Commission’s 1.6/2.4 GHz “Big LEO” NGSO MSS Sharing Plan, RM</w:t>
      </w:r>
      <w:r w:rsidR="005C7A36">
        <w:rPr>
          <w:rStyle w:val="normaltextrun"/>
          <w:szCs w:val="22"/>
        </w:rPr>
        <w:t>-</w:t>
      </w:r>
      <w:r>
        <w:rPr>
          <w:rStyle w:val="normaltextrun"/>
          <w:szCs w:val="22"/>
        </w:rPr>
        <w:t xml:space="preserve">11975, </w:t>
      </w:r>
      <w:r w:rsidRPr="00AB3B1A">
        <w:rPr>
          <w:rStyle w:val="normaltextrun"/>
          <w:szCs w:val="22"/>
        </w:rPr>
        <w:t xml:space="preserve">is </w:t>
      </w:r>
      <w:r w:rsidR="00FF49E0">
        <w:rPr>
          <w:rStyle w:val="normaltextrun"/>
          <w:szCs w:val="22"/>
        </w:rPr>
        <w:t xml:space="preserve">DISMISSED. </w:t>
      </w:r>
    </w:p>
    <w:p w:rsidR="002574F0" w:rsidP="00C01F19" w14:paraId="66A64783" w14:textId="04B0322C">
      <w:pPr>
        <w:pStyle w:val="ParaNum"/>
        <w:tabs>
          <w:tab w:val="clear" w:pos="1080"/>
          <w:tab w:val="num" w:pos="1440"/>
        </w:tabs>
      </w:pPr>
      <w:r>
        <w:rPr>
          <w:rStyle w:val="normaltextrun"/>
          <w:szCs w:val="22"/>
        </w:rPr>
        <w:t>IT IS FURTHER ORDERED that the Petitions and Comments in Opposition of SpaceX’s Petition for Rulemaking in RM 11975 filed by Global</w:t>
      </w:r>
      <w:r w:rsidR="004F3250">
        <w:rPr>
          <w:rStyle w:val="normaltextrun"/>
          <w:szCs w:val="22"/>
        </w:rPr>
        <w:t>s</w:t>
      </w:r>
      <w:r>
        <w:rPr>
          <w:rStyle w:val="normaltextrun"/>
          <w:szCs w:val="22"/>
        </w:rPr>
        <w:t xml:space="preserve">tar, Inc., </w:t>
      </w:r>
      <w:r>
        <w:rPr>
          <w:rStyle w:val="normaltextrun"/>
          <w:szCs w:val="22"/>
        </w:rPr>
        <w:t>Omnispace</w:t>
      </w:r>
      <w:r>
        <w:rPr>
          <w:rStyle w:val="normaltextrun"/>
          <w:szCs w:val="22"/>
        </w:rPr>
        <w:t xml:space="preserve">, Public </w:t>
      </w:r>
      <w:r w:rsidRPr="00B46C4C">
        <w:rPr>
          <w:rStyle w:val="normaltextrun"/>
        </w:rPr>
        <w:t>Knowledge</w:t>
      </w:r>
      <w:r w:rsidR="007E66AE">
        <w:rPr>
          <w:rStyle w:val="normaltextrun"/>
        </w:rPr>
        <w:t>,</w:t>
      </w:r>
      <w:r>
        <w:rPr>
          <w:rStyle w:val="normaltextrun"/>
          <w:szCs w:val="22"/>
        </w:rPr>
        <w:t xml:space="preserve"> Open Technology Institute at New America, and the Mobile Satellite Services Association are DISMISSED as moot. </w:t>
      </w:r>
    </w:p>
    <w:p w:rsidR="002574F0" w:rsidRPr="00791330" w:rsidP="00C01F19" w14:paraId="1412495B" w14:textId="26AD7C7E">
      <w:pPr>
        <w:pStyle w:val="ParaNum"/>
        <w:tabs>
          <w:tab w:val="clear" w:pos="1080"/>
          <w:tab w:val="num" w:pos="1440"/>
        </w:tabs>
        <w:rPr>
          <w:rStyle w:val="normaltextrun"/>
        </w:rPr>
      </w:pPr>
      <w:r>
        <w:rPr>
          <w:rStyle w:val="normaltextrun"/>
          <w:szCs w:val="22"/>
        </w:rPr>
        <w:t xml:space="preserve">IT IS FURTHER ORDERED that the Petition for Rulemaking of Iridium </w:t>
      </w:r>
      <w:r w:rsidRPr="00B46C4C">
        <w:rPr>
          <w:rStyle w:val="normaltextrun"/>
        </w:rPr>
        <w:t>Communications</w:t>
      </w:r>
      <w:r>
        <w:rPr>
          <w:rStyle w:val="normaltextrun"/>
          <w:szCs w:val="22"/>
        </w:rPr>
        <w:t xml:space="preserve"> Inc. to Optimize Mobile Satellite Service in the 1.6 GHz Band is D</w:t>
      </w:r>
      <w:r w:rsidR="00DA6717">
        <w:rPr>
          <w:rStyle w:val="normaltextrun"/>
          <w:szCs w:val="22"/>
        </w:rPr>
        <w:t xml:space="preserve">ISMISSED. </w:t>
      </w:r>
    </w:p>
    <w:p w:rsidR="00C655FF" w:rsidRPr="00C655FF" w:rsidP="00D81D73" w14:paraId="6B35CC8A" w14:textId="77777777">
      <w:pPr>
        <w:pStyle w:val="ParaNum"/>
        <w:widowControl/>
        <w:tabs>
          <w:tab w:val="clear" w:pos="1080"/>
          <w:tab w:val="num" w:pos="1440"/>
        </w:tabs>
        <w:rPr>
          <w:rStyle w:val="normaltextrun"/>
        </w:rPr>
      </w:pPr>
      <w:r w:rsidRPr="00D81D73">
        <w:rPr>
          <w:rStyle w:val="normaltextrun"/>
          <w:szCs w:val="22"/>
        </w:rPr>
        <w:t>IT IS FURTHER ORDERED that SB Docket No. 25-173 is TERMINATED.</w:t>
      </w:r>
    </w:p>
    <w:p w:rsidR="002574F0" w:rsidP="00D81D73" w14:paraId="1C94D697" w14:textId="7F153240">
      <w:pPr>
        <w:pStyle w:val="ParaNum"/>
        <w:widowControl/>
        <w:tabs>
          <w:tab w:val="clear" w:pos="1080"/>
          <w:tab w:val="num" w:pos="1440"/>
        </w:tabs>
        <w:rPr>
          <w:rStyle w:val="normaltextrun"/>
        </w:rPr>
      </w:pPr>
      <w:r w:rsidRPr="090870A9">
        <w:rPr>
          <w:rStyle w:val="eop"/>
        </w:rPr>
        <w:t xml:space="preserve">These </w:t>
      </w:r>
      <w:r w:rsidRPr="00D81D73">
        <w:rPr>
          <w:rStyle w:val="normaltextrun"/>
          <w:szCs w:val="22"/>
        </w:rPr>
        <w:t>actions</w:t>
      </w:r>
      <w:r w:rsidRPr="090870A9">
        <w:rPr>
          <w:rStyle w:val="eop"/>
        </w:rPr>
        <w:t xml:space="preserve"> are taken </w:t>
      </w:r>
      <w:r w:rsidRPr="090870A9">
        <w:rPr>
          <w:rStyle w:val="normaltextrun"/>
        </w:rPr>
        <w:t xml:space="preserve">pursuant to </w:t>
      </w:r>
      <w:r w:rsidRPr="0089749E">
        <w:t xml:space="preserve">sections 0.51, 0.261, 25.112, </w:t>
      </w:r>
      <w:r>
        <w:t xml:space="preserve">25.117, 25.137(c). 1.1401(e), and 1.407 </w:t>
      </w:r>
      <w:r w:rsidRPr="0089749E">
        <w:t>of the Commission's rules,</w:t>
      </w:r>
      <w:r>
        <w:t xml:space="preserve"> </w:t>
      </w:r>
      <w:r w:rsidR="00161FA9">
        <w:t>47</w:t>
      </w:r>
      <w:r>
        <w:t xml:space="preserve"> CFR §§</w:t>
      </w:r>
      <w:r w:rsidRPr="0089749E">
        <w:t xml:space="preserve"> </w:t>
      </w:r>
      <w:r>
        <w:t xml:space="preserve">0.51, 0.261, 25.112, 25.117, 25.137 (c), 1.401(e), 1.407, and </w:t>
      </w:r>
      <w:r w:rsidRPr="090870A9">
        <w:rPr>
          <w:rStyle w:val="normaltextrun"/>
        </w:rPr>
        <w:t>section 303(r) of the Communications Act of 1934, as amended, 47 U.S.C. § 303(r).</w:t>
      </w:r>
    </w:p>
    <w:p w:rsidR="00CC10A6" w:rsidP="00CC10A6" w14:paraId="4EA25836" w14:textId="77777777">
      <w:pPr>
        <w:pStyle w:val="ParaNum"/>
        <w:numPr>
          <w:ilvl w:val="0"/>
          <w:numId w:val="0"/>
        </w:numPr>
        <w:ind w:firstLine="720"/>
        <w:rPr>
          <w:rStyle w:val="normaltextrun"/>
        </w:rPr>
      </w:pPr>
    </w:p>
    <w:p w:rsidR="00CC10A6" w:rsidP="000A0C3D" w14:paraId="54A5C8EE" w14:textId="77777777">
      <w:pPr>
        <w:pStyle w:val="ParaNum"/>
        <w:numPr>
          <w:ilvl w:val="0"/>
          <w:numId w:val="0"/>
        </w:numPr>
        <w:ind w:firstLine="720"/>
      </w:pPr>
    </w:p>
    <w:p w:rsidR="002574F0" w:rsidP="002574F0" w14:paraId="34D6DFE5" w14:textId="77777777">
      <w:pPr>
        <w:pStyle w:val="ParaNum"/>
        <w:numPr>
          <w:ilvl w:val="0"/>
          <w:numId w:val="0"/>
        </w:numPr>
        <w:ind w:left="630"/>
      </w:pPr>
      <w:r>
        <w:tab/>
      </w:r>
      <w:r>
        <w:tab/>
      </w:r>
      <w:r>
        <w:tab/>
      </w:r>
      <w:r>
        <w:tab/>
      </w:r>
      <w:r>
        <w:tab/>
      </w:r>
      <w:r>
        <w:tab/>
        <w:t xml:space="preserve">FEDERAL COMMUNICATIONS COMMISSION </w:t>
      </w:r>
    </w:p>
    <w:p w:rsidR="002574F0" w:rsidP="002574F0" w14:paraId="32582231" w14:textId="77777777">
      <w:pPr>
        <w:pStyle w:val="ParaNum"/>
        <w:numPr>
          <w:ilvl w:val="0"/>
          <w:numId w:val="0"/>
        </w:numPr>
        <w:ind w:left="630"/>
      </w:pPr>
    </w:p>
    <w:p w:rsidR="002574F0" w:rsidP="002574F0" w14:paraId="7A248F02" w14:textId="77777777">
      <w:pPr>
        <w:pStyle w:val="ParaNum"/>
        <w:numPr>
          <w:ilvl w:val="0"/>
          <w:numId w:val="0"/>
        </w:numPr>
        <w:ind w:left="630"/>
      </w:pPr>
    </w:p>
    <w:p w:rsidR="002574F0" w:rsidP="002574F0" w14:paraId="678F3E6E" w14:textId="1FEFE124">
      <w:pPr>
        <w:pStyle w:val="ParaNum"/>
        <w:numPr>
          <w:ilvl w:val="0"/>
          <w:numId w:val="0"/>
        </w:numPr>
        <w:spacing w:after="0"/>
        <w:ind w:left="634"/>
      </w:pPr>
      <w:r>
        <w:tab/>
      </w:r>
      <w:r>
        <w:tab/>
      </w:r>
      <w:r>
        <w:tab/>
      </w:r>
      <w:r>
        <w:tab/>
      </w:r>
      <w:r>
        <w:tab/>
      </w:r>
      <w:r>
        <w:tab/>
        <w:t xml:space="preserve">Jay </w:t>
      </w:r>
      <w:r w:rsidR="005B6573">
        <w:t xml:space="preserve">A. </w:t>
      </w:r>
      <w:r>
        <w:t>Schwarz</w:t>
      </w:r>
    </w:p>
    <w:p w:rsidR="002574F0" w:rsidP="002574F0" w14:paraId="7D5AE1CA" w14:textId="77777777">
      <w:pPr>
        <w:pStyle w:val="ParaNum"/>
        <w:numPr>
          <w:ilvl w:val="0"/>
          <w:numId w:val="0"/>
        </w:numPr>
        <w:spacing w:after="0"/>
        <w:ind w:left="634"/>
      </w:pPr>
      <w:r>
        <w:tab/>
      </w:r>
      <w:r>
        <w:tab/>
      </w:r>
      <w:r>
        <w:tab/>
      </w:r>
      <w:r>
        <w:tab/>
      </w:r>
      <w:r>
        <w:tab/>
      </w:r>
      <w:r>
        <w:tab/>
        <w:t xml:space="preserve">Chief, Space Bureau </w:t>
      </w:r>
    </w:p>
    <w:p w:rsidR="002574F0" w:rsidRPr="009F6720" w:rsidP="002574F0" w14:paraId="22950ECD" w14:textId="77777777">
      <w:pPr>
        <w:pStyle w:val="ParaNum"/>
        <w:numPr>
          <w:ilvl w:val="0"/>
          <w:numId w:val="0"/>
        </w:numPr>
        <w:ind w:firstLine="720"/>
      </w:pPr>
    </w:p>
    <w:p w:rsidR="00412FC5" w:rsidRPr="002574F0" w:rsidP="002574F0" w14:paraId="70391494" w14:textId="77777777"/>
    <w:sectPr w:rsidSect="0055614C">
      <w:headerReference w:type="even" r:id="rId6"/>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A645B" w14:paraId="66610133" w14:textId="77777777">
      <w:pPr>
        <w:spacing w:line="20" w:lineRule="exact"/>
      </w:pPr>
    </w:p>
  </w:endnote>
  <w:endnote w:type="continuationSeparator" w:id="1">
    <w:p w:rsidR="004A645B" w14:paraId="3F7D04E7" w14:textId="77777777">
      <w:r>
        <w:t xml:space="preserve"> </w:t>
      </w:r>
    </w:p>
  </w:endnote>
  <w:endnote w:type="continuationNotice" w:id="2">
    <w:p w:rsidR="004A645B" w14:paraId="2570E2B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auto"/>
    <w:pitch w:val="variable"/>
    <w:sig w:usb0="00000000" w:usb1="C0007841"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0321A33"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D23D53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A0C3D" w14:paraId="5962DB35" w14:textId="4D5F91EF">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32680D71"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A645B" w14:paraId="55178E2E" w14:textId="77777777">
      <w:r>
        <w:separator/>
      </w:r>
    </w:p>
  </w:footnote>
  <w:footnote w:type="continuationSeparator" w:id="1">
    <w:p w:rsidR="004A645B" w:rsidP="00C721AC" w14:paraId="0709DD8D" w14:textId="77777777">
      <w:pPr>
        <w:spacing w:before="120"/>
        <w:rPr>
          <w:sz w:val="20"/>
        </w:rPr>
      </w:pPr>
      <w:r>
        <w:rPr>
          <w:sz w:val="20"/>
        </w:rPr>
        <w:t xml:space="preserve">(Continued from previous page)  </w:t>
      </w:r>
      <w:r>
        <w:rPr>
          <w:sz w:val="20"/>
        </w:rPr>
        <w:separator/>
      </w:r>
    </w:p>
  </w:footnote>
  <w:footnote w:type="continuationNotice" w:id="2">
    <w:p w:rsidR="004A645B" w:rsidP="00C721AC" w14:paraId="2D6F7219" w14:textId="77777777">
      <w:pPr>
        <w:jc w:val="right"/>
        <w:rPr>
          <w:sz w:val="20"/>
        </w:rPr>
      </w:pPr>
      <w:r>
        <w:rPr>
          <w:sz w:val="20"/>
        </w:rPr>
        <w:t>(continued….)</w:t>
      </w:r>
    </w:p>
  </w:footnote>
  <w:footnote w:id="3">
    <w:p w:rsidR="00D72F3A" w:rsidP="00D72F3A" w14:paraId="5933ED92" w14:textId="0316CF9D">
      <w:pPr>
        <w:pStyle w:val="FootnoteText"/>
      </w:pPr>
      <w:r>
        <w:rPr>
          <w:rStyle w:val="FootnoteReference"/>
        </w:rPr>
        <w:footnoteRef/>
      </w:r>
      <w:r>
        <w:t xml:space="preserve"> </w:t>
      </w:r>
      <w:r w:rsidRPr="000D51B0">
        <w:rPr>
          <w:i/>
          <w:iCs/>
        </w:rPr>
        <w:t xml:space="preserve">Rules to Allocate Spectrum for, To Establish Rules and Policies Pertaining to, the Use of Frequencies in Land Mobile Satellite Service for Various Common Carrier </w:t>
      </w:r>
      <w:r w:rsidRPr="000D51B0" w:rsidR="00D863F8">
        <w:rPr>
          <w:i/>
          <w:iCs/>
        </w:rPr>
        <w:t>Services</w:t>
      </w:r>
      <w:r w:rsidR="00D863F8">
        <w:t>, Notice</w:t>
      </w:r>
      <w:r>
        <w:t xml:space="preserve"> of Proposed Rulemaking, FCC 84-558, 1985 W.L. 94293 (1985).</w:t>
      </w:r>
      <w:r w:rsidR="008C536B">
        <w:t xml:space="preserve"> </w:t>
      </w:r>
      <w:r>
        <w:t xml:space="preserve"> Globalstar Licensee, LLC and Iridium Constellation, </w:t>
      </w:r>
      <w:r w:rsidR="00E52ECD">
        <w:t>LLC were</w:t>
      </w:r>
      <w:r>
        <w:t xml:space="preserve"> among the first licensed MSS systems.  Motorola Satellite Communications, Inc. Order,</w:t>
      </w:r>
      <w:r w:rsidR="007A2FF0">
        <w:t xml:space="preserve"> </w:t>
      </w:r>
      <w:r>
        <w:t xml:space="preserve">10 FCC Rcd 3925 (IB 1995) (Iridium Constellation, LLC) and </w:t>
      </w:r>
      <w:r w:rsidRPr="00CA02B1">
        <w:rPr>
          <w:i/>
          <w:iCs/>
        </w:rPr>
        <w:t>Loral/Qualcom</w:t>
      </w:r>
      <w:r w:rsidR="00085385">
        <w:rPr>
          <w:i/>
          <w:iCs/>
        </w:rPr>
        <w:t>m</w:t>
      </w:r>
      <w:r w:rsidRPr="00CA02B1">
        <w:rPr>
          <w:i/>
          <w:iCs/>
        </w:rPr>
        <w:t xml:space="preserve">, L.P., Authority to Construct, Launch and </w:t>
      </w:r>
      <w:r>
        <w:rPr>
          <w:i/>
          <w:iCs/>
        </w:rPr>
        <w:t>O</w:t>
      </w:r>
      <w:r w:rsidRPr="00CA02B1">
        <w:rPr>
          <w:i/>
          <w:iCs/>
        </w:rPr>
        <w:t>perate Globalstar,</w:t>
      </w:r>
      <w:r>
        <w:t xml:space="preserve"> Order and Authorization, 10 FCC Rcd 2333 (IB 1995).</w:t>
      </w:r>
      <w:r w:rsidR="00A72387">
        <w:t xml:space="preserve">  </w:t>
      </w:r>
      <w:r w:rsidR="00FC412C">
        <w:rPr>
          <w:snapToGrid w:val="0"/>
          <w:kern w:val="28"/>
        </w:rPr>
        <w:t>T</w:t>
      </w:r>
      <w:r w:rsidRPr="003C60EE" w:rsidR="00A72387">
        <w:rPr>
          <w:snapToGrid w:val="0"/>
          <w:kern w:val="28"/>
        </w:rPr>
        <w:t xml:space="preserve">he </w:t>
      </w:r>
      <w:r w:rsidR="00FC412C">
        <w:rPr>
          <w:snapToGrid w:val="0"/>
          <w:kern w:val="28"/>
        </w:rPr>
        <w:t xml:space="preserve">Space Bureau is the predecessor to the </w:t>
      </w:r>
      <w:r w:rsidR="00035E39">
        <w:rPr>
          <w:snapToGrid w:val="0"/>
          <w:kern w:val="28"/>
        </w:rPr>
        <w:t xml:space="preserve">former </w:t>
      </w:r>
      <w:r w:rsidRPr="003C60EE" w:rsidR="00035E39">
        <w:rPr>
          <w:snapToGrid w:val="0"/>
          <w:kern w:val="28"/>
        </w:rPr>
        <w:t>International</w:t>
      </w:r>
      <w:r w:rsidRPr="003C60EE" w:rsidR="00A72387">
        <w:rPr>
          <w:snapToGrid w:val="0"/>
          <w:kern w:val="28"/>
        </w:rPr>
        <w:t xml:space="preserve"> Bureau </w:t>
      </w:r>
      <w:r w:rsidR="00FC412C">
        <w:rPr>
          <w:snapToGrid w:val="0"/>
          <w:kern w:val="28"/>
        </w:rPr>
        <w:t>(IB)</w:t>
      </w:r>
      <w:r w:rsidRPr="003C60EE" w:rsidR="00A72387">
        <w:rPr>
          <w:snapToGrid w:val="0"/>
          <w:kern w:val="28"/>
        </w:rPr>
        <w:t xml:space="preserve">. </w:t>
      </w:r>
      <w:r w:rsidR="00977EA0">
        <w:rPr>
          <w:snapToGrid w:val="0"/>
          <w:kern w:val="28"/>
        </w:rPr>
        <w:t xml:space="preserve"> </w:t>
      </w:r>
      <w:r w:rsidRPr="003C60EE" w:rsidR="00A72387">
        <w:rPr>
          <w:i/>
          <w:iCs/>
          <w:snapToGrid w:val="0"/>
          <w:kern w:val="28"/>
        </w:rPr>
        <w:t xml:space="preserve">See generally </w:t>
      </w:r>
      <w:r w:rsidRPr="003C60EE" w:rsidR="00DA426D">
        <w:rPr>
          <w:i/>
          <w:iCs/>
          <w:snapToGrid w:val="0"/>
          <w:kern w:val="28"/>
        </w:rPr>
        <w:t xml:space="preserve">Establishment of the Space Bureau and the Office of International Affairs and Reorganization of the Consumer Governmental Affairs Bureau and the Office of the Managing </w:t>
      </w:r>
      <w:r w:rsidRPr="00DA426D" w:rsidR="00DA426D">
        <w:rPr>
          <w:i/>
          <w:iCs/>
          <w:snapToGrid w:val="0"/>
          <w:kern w:val="28"/>
        </w:rPr>
        <w:t>Director</w:t>
      </w:r>
      <w:r w:rsidRPr="00C01F19" w:rsidR="00DA426D">
        <w:rPr>
          <w:snapToGrid w:val="0"/>
          <w:kern w:val="28"/>
        </w:rPr>
        <w:t>, MD Docket No. 23-12, Order, 38 FCC Rcd 608 (2023)</w:t>
      </w:r>
      <w:r w:rsidRPr="00DA426D" w:rsidR="00A72387">
        <w:rPr>
          <w:snapToGrid w:val="0"/>
          <w:kern w:val="28"/>
          <w:sz w:val="22"/>
        </w:rPr>
        <w:t>.</w:t>
      </w:r>
    </w:p>
  </w:footnote>
  <w:footnote w:id="4">
    <w:p w:rsidR="00D73AB3" w:rsidP="00D73AB3" w14:paraId="6B79E4FB" w14:textId="6A971C26">
      <w:pPr>
        <w:pStyle w:val="FootnoteText"/>
      </w:pPr>
      <w:r>
        <w:rPr>
          <w:rStyle w:val="FootnoteReference"/>
        </w:rPr>
        <w:footnoteRef/>
      </w:r>
      <w:r>
        <w:t xml:space="preserve"> </w:t>
      </w:r>
      <w:r>
        <w:rPr>
          <w:i/>
          <w:iCs/>
        </w:rPr>
        <w:t xml:space="preserve">See </w:t>
      </w:r>
      <w:r>
        <w:t>47 U.S.C</w:t>
      </w:r>
      <w:r w:rsidR="00DA426D">
        <w:t>.</w:t>
      </w:r>
      <w:r>
        <w:t xml:space="preserve"> § 151. </w:t>
      </w:r>
    </w:p>
  </w:footnote>
  <w:footnote w:id="5">
    <w:p w:rsidR="002574F0" w:rsidRPr="00162447" w:rsidP="00B46C4C" w14:paraId="67C2C1C7" w14:textId="0D02C7DF">
      <w:pPr>
        <w:pStyle w:val="FootnoteText"/>
      </w:pPr>
      <w:r>
        <w:rPr>
          <w:rStyle w:val="FootnoteReference"/>
        </w:rPr>
        <w:footnoteRef/>
      </w:r>
      <w:r>
        <w:t xml:space="preserve"> </w:t>
      </w:r>
      <w:r>
        <w:rPr>
          <w:i/>
          <w:iCs/>
        </w:rPr>
        <w:t xml:space="preserve">See </w:t>
      </w:r>
      <w:r>
        <w:t xml:space="preserve">Space Exploration Holdings LLC, ICFS File No. SAT-MOD-20250611-00144 </w:t>
      </w:r>
      <w:r w:rsidRPr="00FF4A9B">
        <w:t>(SpaceX Gen2 1.5 GHz and 1.6/2.4 GHz Modification</w:t>
      </w:r>
      <w:r>
        <w:t xml:space="preserve"> ); Space Exploration Holdings </w:t>
      </w:r>
      <w:r w:rsidRPr="00B46C4C">
        <w:t>LLC</w:t>
      </w:r>
      <w:r>
        <w:t>, ICFS File Nos. SAT-MOD-20230207-00021 and SAT-AMD-20240322-00061 (</w:t>
      </w:r>
      <w:r w:rsidRPr="00FF4A9B">
        <w:t>SpaceX Gen2 D2C Modification</w:t>
      </w:r>
      <w:r>
        <w:t xml:space="preserve">); Space Exploration Holdings LLC, ICFS File Nos. </w:t>
      </w:r>
      <w:r w:rsidRPr="00695BC6" w:rsidR="00DF5AEE">
        <w:t>SAT-MOD-20241011-00224</w:t>
      </w:r>
      <w:r w:rsidR="00DF5AEE">
        <w:t xml:space="preserve"> and </w:t>
      </w:r>
      <w:r>
        <w:t>SAT-LOA-20200526-00055, SAT-AMD-20210818-00105, SAT-AMD-</w:t>
      </w:r>
      <w:r w:rsidRPr="00695BC6">
        <w:t xml:space="preserve">20221216-00175, </w:t>
      </w:r>
      <w:r>
        <w:t>and SAT-AMD-20241017-00228 (</w:t>
      </w:r>
      <w:r w:rsidRPr="00FF4A9B">
        <w:t>SpaceX Gen2 Upgrade Applications</w:t>
      </w:r>
      <w:r>
        <w:t>); Space Exploration Holdings LLC, ICFS File Nos. SAT-LOA-20250916-00282 and SAT-AMD-20251125-00339</w:t>
      </w:r>
      <w:r w:rsidR="00B9101A">
        <w:t>; GN Docket No. 25.340</w:t>
      </w:r>
      <w:r>
        <w:t xml:space="preserve"> (</w:t>
      </w:r>
      <w:r w:rsidRPr="00FF4A9B">
        <w:t>SpaceX D2C Application</w:t>
      </w:r>
      <w:r>
        <w:t>); Kepler Communications Inc.</w:t>
      </w:r>
      <w:r w:rsidR="008D13E5">
        <w:t>,</w:t>
      </w:r>
      <w:r>
        <w:t xml:space="preserve"> ICFS File No. SAT-PDR-20211224-00204 (Kepler Application); Satelio IoT Services USA Inc., ICFS File No. SAT-PDR-20250428-00108 (Sateliot Application); and AST &amp; Science LLC, </w:t>
      </w:r>
      <w:r w:rsidRPr="00756A39">
        <w:rPr>
          <w:color w:val="000000"/>
        </w:rPr>
        <w:t>ICFS File No</w:t>
      </w:r>
      <w:r>
        <w:rPr>
          <w:color w:val="000000"/>
        </w:rPr>
        <w:t>s</w:t>
      </w:r>
      <w:r w:rsidRPr="00756A39">
        <w:rPr>
          <w:color w:val="000000"/>
        </w:rPr>
        <w:t>. SAT-MOD-20260105-00005</w:t>
      </w:r>
      <w:r w:rsidR="002549A0">
        <w:rPr>
          <w:color w:val="000000"/>
        </w:rPr>
        <w:t xml:space="preserve"> </w:t>
      </w:r>
      <w:r w:rsidR="00936931">
        <w:rPr>
          <w:color w:val="000000"/>
        </w:rPr>
        <w:t xml:space="preserve">(AST Application).  AST also </w:t>
      </w:r>
      <w:r w:rsidR="001E25A1">
        <w:rPr>
          <w:color w:val="000000"/>
        </w:rPr>
        <w:t xml:space="preserve">filed </w:t>
      </w:r>
      <w:r w:rsidR="00936931">
        <w:rPr>
          <w:color w:val="000000"/>
        </w:rPr>
        <w:t xml:space="preserve">a separate application </w:t>
      </w:r>
      <w:r w:rsidR="00691E20">
        <w:rPr>
          <w:color w:val="000000"/>
        </w:rPr>
        <w:t>requesting operations in the 202</w:t>
      </w:r>
      <w:r w:rsidR="00AF0993">
        <w:rPr>
          <w:color w:val="000000"/>
        </w:rPr>
        <w:t>0</w:t>
      </w:r>
      <w:r w:rsidR="00691E20">
        <w:rPr>
          <w:color w:val="000000"/>
        </w:rPr>
        <w:t xml:space="preserve">-2025 MHz band which we do not address in this order. </w:t>
      </w:r>
      <w:r w:rsidR="00DA426D">
        <w:rPr>
          <w:color w:val="000000"/>
        </w:rPr>
        <w:t xml:space="preserve"> </w:t>
      </w:r>
      <w:r w:rsidR="00691E20">
        <w:rPr>
          <w:color w:val="000000"/>
        </w:rPr>
        <w:t>ICFS File No.</w:t>
      </w:r>
      <w:r w:rsidRPr="00756A39">
        <w:rPr>
          <w:color w:val="000000"/>
        </w:rPr>
        <w:t xml:space="preserve"> SAT-MOD-20260121-00036</w:t>
      </w:r>
      <w:r w:rsidR="00691E20">
        <w:rPr>
          <w:color w:val="000000"/>
        </w:rPr>
        <w:t>.</w:t>
      </w:r>
    </w:p>
  </w:footnote>
  <w:footnote w:id="6">
    <w:p w:rsidR="009B2137" w:rsidP="009B2137" w14:paraId="6EC3CA5F" w14:textId="5BEAF9D5">
      <w:pPr>
        <w:pStyle w:val="FootnoteText"/>
      </w:pPr>
      <w:r>
        <w:rPr>
          <w:rStyle w:val="FootnoteReference"/>
        </w:rPr>
        <w:footnoteRef/>
      </w:r>
      <w:r>
        <w:t xml:space="preserve"> In this Order the 1.5 GHz band</w:t>
      </w:r>
      <w:r w:rsidR="00A24057">
        <w:t xml:space="preserve"> or “L Band” </w:t>
      </w:r>
      <w:r w:rsidR="00DE62F4">
        <w:t xml:space="preserve">refers to </w:t>
      </w:r>
      <w:r w:rsidR="00BF2ADD">
        <w:t>1525</w:t>
      </w:r>
      <w:r w:rsidR="00B94797">
        <w:t>-1559 and 1626-1660</w:t>
      </w:r>
      <w:r w:rsidR="003F2542">
        <w:t>.</w:t>
      </w:r>
      <w:r w:rsidR="00B94797">
        <w:t xml:space="preserve">5 MHz, </w:t>
      </w:r>
      <w:r>
        <w:t xml:space="preserve">the 1.6/2.4 or </w:t>
      </w:r>
      <w:r w:rsidR="00C67ABD">
        <w:t>“</w:t>
      </w:r>
      <w:r>
        <w:t>Big LEO</w:t>
      </w:r>
      <w:r w:rsidR="00C67ABD">
        <w:t>”</w:t>
      </w:r>
      <w:r>
        <w:t xml:space="preserve"> band refers to 1610-1626.5 MHz and 2483.5-2500 MHz, and the 2 GHz band refers to 2000-2020 MHz and 2180-2200 MHz.</w:t>
      </w:r>
    </w:p>
  </w:footnote>
  <w:footnote w:id="7">
    <w:p w:rsidR="002574F0" w:rsidRPr="0036337B" w:rsidP="002574F0" w14:paraId="3590EE4C" w14:textId="15F1CB17">
      <w:pPr>
        <w:pStyle w:val="FootnoteText"/>
      </w:pPr>
      <w:r>
        <w:rPr>
          <w:rStyle w:val="FootnoteReference"/>
        </w:rPr>
        <w:footnoteRef/>
      </w:r>
      <w:r>
        <w:t xml:space="preserve"> </w:t>
      </w:r>
      <w:r>
        <w:rPr>
          <w:i/>
          <w:iCs/>
        </w:rPr>
        <w:t>See</w:t>
      </w:r>
      <w:r>
        <w:t xml:space="preserve"> SpaceX Gen2 D2C Modification.  The request includes an amendment to include lower altitude operations.  SpaceX has also requested modification of its Gen2 constellation to add operations in the 2 GHz band inside the United States.  </w:t>
      </w:r>
      <w:r>
        <w:rPr>
          <w:i/>
          <w:iCs/>
        </w:rPr>
        <w:t>See</w:t>
      </w:r>
      <w:r>
        <w:t xml:space="preserve"> Space Exploration Holdings LLC, ICFS File No. SAT-MOD-20250514-00119.  This application remains pending</w:t>
      </w:r>
      <w:r w:rsidR="00D744BF">
        <w:t>,</w:t>
      </w:r>
      <w:r>
        <w:t xml:space="preserve"> and we do not address it in this Order.</w:t>
      </w:r>
    </w:p>
  </w:footnote>
  <w:footnote w:id="8">
    <w:p w:rsidR="002574F0" w:rsidRPr="00B7710B" w:rsidP="002574F0" w14:paraId="1412AEE1" w14:textId="743510C8">
      <w:pPr>
        <w:pStyle w:val="FootnoteText"/>
      </w:pPr>
      <w:r>
        <w:rPr>
          <w:rStyle w:val="FootnoteReference"/>
        </w:rPr>
        <w:footnoteRef/>
      </w:r>
      <w:r>
        <w:t xml:space="preserve"> </w:t>
      </w:r>
      <w:r w:rsidRPr="007A39EB">
        <w:rPr>
          <w:i/>
          <w:iCs/>
        </w:rPr>
        <w:t xml:space="preserve">Space Exploration Holdings, LLC, </w:t>
      </w:r>
      <w:r w:rsidRPr="007A39EB">
        <w:t>Order and Authorization, 39 FCC Rcd 12550 (SB</w:t>
      </w:r>
      <w:r w:rsidR="00D318EE">
        <w:t xml:space="preserve"> </w:t>
      </w:r>
      <w:r w:rsidRPr="007A39EB">
        <w:t>2024) (</w:t>
      </w:r>
      <w:r w:rsidRPr="00C40967">
        <w:t xml:space="preserve">SpaceX Gen2 </w:t>
      </w:r>
      <w:r w:rsidR="00282482">
        <w:t>SCS</w:t>
      </w:r>
      <w:r w:rsidR="008D69BC">
        <w:t xml:space="preserve"> </w:t>
      </w:r>
      <w:r w:rsidRPr="00C40967">
        <w:t>and 300 km Order</w:t>
      </w:r>
      <w:r w:rsidRPr="00B7710B">
        <w:t>).</w:t>
      </w:r>
    </w:p>
  </w:footnote>
  <w:footnote w:id="9">
    <w:p w:rsidR="002574F0" w:rsidRPr="00F166F5" w:rsidP="002574F0" w14:paraId="2BCBBC57" w14:textId="17D81348">
      <w:pPr>
        <w:pStyle w:val="FootnoteText"/>
      </w:pPr>
      <w:r>
        <w:rPr>
          <w:rStyle w:val="FootnoteReference"/>
        </w:rPr>
        <w:footnoteRef/>
      </w:r>
      <w:r>
        <w:t xml:space="preserve"> </w:t>
      </w:r>
      <w:r>
        <w:rPr>
          <w:i/>
          <w:iCs/>
        </w:rPr>
        <w:t>See</w:t>
      </w:r>
      <w:r>
        <w:t xml:space="preserve"> SpaceX Gen2 Upgrade Applications.  The changes to the request for operations outside the U.S. in the 1429-2690 MHz, including the bands at issue in this Order, focused on changes to the orbital parameters for these operations.  In its partial grant of the SpaceX Gen2 Upgrade Applications, the Bureau continued to defer most of the pending sub-bands in the 1429-2690 MHz band, including the 1.5 GHz and 1.6/2.4 GHz bands, but the Bureau did authorize SpaceX to communicate in the 2 GHz band outside the United States.  </w:t>
      </w:r>
      <w:r w:rsidRPr="0054616B">
        <w:rPr>
          <w:i/>
          <w:iCs/>
        </w:rPr>
        <w:t>Space Exploration Holdings, LLC</w:t>
      </w:r>
      <w:r>
        <w:t>, Authorization and Order, DA 26-36 (</w:t>
      </w:r>
      <w:r w:rsidR="0030091F">
        <w:t>SB</w:t>
      </w:r>
      <w:r>
        <w:t xml:space="preserve"> 2026) (SpaceX Gen2 Upgrade Order). </w:t>
      </w:r>
    </w:p>
  </w:footnote>
  <w:footnote w:id="10">
    <w:p w:rsidR="002574F0" w:rsidP="002574F0" w14:paraId="42051DD6" w14:textId="244202A1">
      <w:pPr>
        <w:pStyle w:val="FootnoteText"/>
      </w:pPr>
      <w:r>
        <w:rPr>
          <w:rStyle w:val="FootnoteReference"/>
        </w:rPr>
        <w:footnoteRef/>
      </w:r>
      <w:r>
        <w:t xml:space="preserve"> </w:t>
      </w:r>
      <w:r w:rsidRPr="0054616B">
        <w:rPr>
          <w:i/>
          <w:iCs/>
        </w:rPr>
        <w:t>Satellite Licensing Division and Satellite Programs and Policy Division Information, Space Station Applications Accepted for Filing</w:t>
      </w:r>
      <w:r>
        <w:t xml:space="preserve">, Public Notice, Report No. SAT-01892 (Feb. 7, 2025).  Multiple comments were filed, as well as petitions, including those addressing SpaceX’s proposed use of MSS bands: </w:t>
      </w:r>
      <w:r w:rsidRPr="004B6F88">
        <w:t>Petition of Iridium Constellation</w:t>
      </w:r>
      <w:r>
        <w:t xml:space="preserve"> to Dismiss or Deny in Part (filed Mar</w:t>
      </w:r>
      <w:r w:rsidR="006C6497">
        <w:t>.</w:t>
      </w:r>
      <w:r>
        <w:t xml:space="preserve"> 10, 2025), Petition to Deny of Globalstar, Inc. (filed Mar</w:t>
      </w:r>
      <w:r w:rsidR="006C6497">
        <w:t>.</w:t>
      </w:r>
      <w:r>
        <w:t xml:space="preserve"> 10, 2025), and Petition to Deny of Viasat, Inc. (filed Mar</w:t>
      </w:r>
      <w:r w:rsidR="006C6497">
        <w:t>.</w:t>
      </w:r>
      <w:r>
        <w:t xml:space="preserve"> 10, 2025).</w:t>
      </w:r>
    </w:p>
  </w:footnote>
  <w:footnote w:id="11">
    <w:p w:rsidR="002574F0" w:rsidP="002574F0" w14:paraId="5956787A" w14:textId="702EC9D0">
      <w:pPr>
        <w:pStyle w:val="FootnoteText"/>
      </w:pPr>
      <w:r>
        <w:rPr>
          <w:rStyle w:val="FootnoteReference"/>
        </w:rPr>
        <w:footnoteRef/>
      </w:r>
      <w:r>
        <w:t xml:space="preserve"> </w:t>
      </w:r>
      <w:r w:rsidR="00001114">
        <w:rPr>
          <w:i/>
          <w:iCs/>
        </w:rPr>
        <w:t xml:space="preserve">See </w:t>
      </w:r>
      <w:r>
        <w:t>ICFS File Nos. SAT-LOA-20250916-00282 and SAT-AMD-20251125-00339</w:t>
      </w:r>
      <w:r w:rsidR="00001114">
        <w:t>;</w:t>
      </w:r>
      <w:r w:rsidR="00001114">
        <w:rPr>
          <w:i/>
        </w:rPr>
        <w:t xml:space="preserve"> s</w:t>
      </w:r>
      <w:r w:rsidRPr="008B1467">
        <w:rPr>
          <w:i/>
        </w:rPr>
        <w:t>ee also</w:t>
      </w:r>
      <w:r>
        <w:t xml:space="preserve"> </w:t>
      </w:r>
      <w:r w:rsidRPr="0054616B">
        <w:rPr>
          <w:i/>
          <w:iCs/>
        </w:rPr>
        <w:t>Space Bureau and Wireless Telecommunications Bureau Accept for Filing Application of SpaceX Requesting NGSO MSS Authorization and Supplemental Coverage from Space Authorization and Seek Comment on Waivers</w:t>
      </w:r>
      <w:r>
        <w:t>, Public Notice, GN Docket No. 25-340 (Dec. 5, 2025).  In this application, SpaceX also proposes to use various Ka-band and V-band frequencies for FSS transmissions.</w:t>
      </w:r>
    </w:p>
  </w:footnote>
  <w:footnote w:id="12">
    <w:p w:rsidR="002574F0" w:rsidP="002574F0" w14:paraId="6558C313" w14:textId="47896F84">
      <w:pPr>
        <w:pStyle w:val="FootnoteText"/>
      </w:pPr>
      <w:r>
        <w:rPr>
          <w:rStyle w:val="FootnoteReference"/>
        </w:rPr>
        <w:footnoteRef/>
      </w:r>
      <w:r>
        <w:t xml:space="preserve"> In addition to receiving multiple comments, Globalstar and Iridium filed petitions to deny SpaceX’s proposed use of the Big LEO bands, Petition to Deny of Globalstar, Inc. (filed Jan. 5, 2026), and Petition of Iridium Constellation LLC to Dismiss or Deny in Part and Request for Conditions (filed Jan.</w:t>
      </w:r>
      <w:r w:rsidR="00860AA3">
        <w:t xml:space="preserve"> </w:t>
      </w:r>
      <w:r>
        <w:t>5, 2026).  Viasat also filed a petition which included objections to SpaceX’s use of the 1429-2690 MHz band.</w:t>
      </w:r>
    </w:p>
  </w:footnote>
  <w:footnote w:id="13">
    <w:p w:rsidR="002574F0" w:rsidRPr="00F16B5F" w:rsidP="002574F0" w14:paraId="1940992E" w14:textId="1E936EE5">
      <w:pPr>
        <w:pStyle w:val="FootnoteText"/>
      </w:pPr>
      <w:r w:rsidRPr="00F16B5F">
        <w:rPr>
          <w:rStyle w:val="FootnoteReference"/>
        </w:rPr>
        <w:footnoteRef/>
      </w:r>
      <w:r w:rsidRPr="00F16B5F">
        <w:t xml:space="preserve"> </w:t>
      </w:r>
      <w:r>
        <w:t xml:space="preserve">Kepler Application </w:t>
      </w:r>
      <w:r w:rsidRPr="00F16B5F">
        <w:t>at 1.</w:t>
      </w:r>
      <w:r>
        <w:t xml:space="preserve"> </w:t>
      </w:r>
      <w:r w:rsidR="00001114">
        <w:t xml:space="preserve"> </w:t>
      </w:r>
      <w:r>
        <w:t xml:space="preserve">Kepler also seeks market access for the </w:t>
      </w:r>
      <w:r w:rsidRPr="0031398F">
        <w:t>2020-2025 MHz (Earth-to-space) band</w:t>
      </w:r>
      <w:r>
        <w:t xml:space="preserve">. </w:t>
      </w:r>
      <w:r w:rsidR="00001114">
        <w:t xml:space="preserve"> </w:t>
      </w:r>
      <w:r>
        <w:rPr>
          <w:iCs/>
          <w:color w:val="000000"/>
        </w:rPr>
        <w:t xml:space="preserve">We do not address Kepler’s proposed use of the band in this Order. </w:t>
      </w:r>
      <w:r>
        <w:t xml:space="preserve"> </w:t>
      </w:r>
    </w:p>
  </w:footnote>
  <w:footnote w:id="14">
    <w:p w:rsidR="002574F0" w:rsidRPr="001132EB" w:rsidP="002574F0" w14:paraId="5E41350D" w14:textId="4E01205B">
      <w:pPr>
        <w:pStyle w:val="FootnoteText"/>
      </w:pPr>
      <w:r w:rsidRPr="00A649FD">
        <w:rPr>
          <w:rStyle w:val="FootnoteReference"/>
        </w:rPr>
        <w:footnoteRef/>
      </w:r>
      <w:r w:rsidRPr="001132EB">
        <w:t xml:space="preserve"> </w:t>
      </w:r>
      <w:r w:rsidRPr="00A649FD" w:rsidR="00912613">
        <w:t xml:space="preserve">Letter </w:t>
      </w:r>
      <w:r w:rsidRPr="001132EB">
        <w:t>from Mindel De La Torre, Omnispace LLC, Jennifer Manner, EchoStar Satellite Services LLC, and L. Barbee Ponder, Globalstar, Inc.</w:t>
      </w:r>
      <w:r w:rsidRPr="00A649FD" w:rsidR="00912613">
        <w:t xml:space="preserve"> to Marlene H. Dortch, Secretary, FCC</w:t>
      </w:r>
      <w:r w:rsidRPr="001132EB">
        <w:t xml:space="preserve"> (</w:t>
      </w:r>
      <w:r w:rsidR="00F846A8">
        <w:t xml:space="preserve">dated </w:t>
      </w:r>
      <w:r w:rsidRPr="001132EB">
        <w:t xml:space="preserve">Jan. 21, 2022).  Globalstar also filed </w:t>
      </w:r>
      <w:r w:rsidRPr="001132EB">
        <w:rPr>
          <w:i/>
        </w:rPr>
        <w:t>ex parte</w:t>
      </w:r>
      <w:r w:rsidRPr="001132EB">
        <w:t xml:space="preserve"> letters on July 25, 2022, and Aug</w:t>
      </w:r>
      <w:r w:rsidR="00F846A8">
        <w:t>ust</w:t>
      </w:r>
      <w:r w:rsidRPr="001132EB">
        <w:t xml:space="preserve"> 30, 2022</w:t>
      </w:r>
      <w:r w:rsidRPr="001132EB" w:rsidR="005F6779">
        <w:t xml:space="preserve">. </w:t>
      </w:r>
    </w:p>
  </w:footnote>
  <w:footnote w:id="15">
    <w:p w:rsidR="002574F0" w:rsidRPr="00DB2917" w:rsidP="002574F0" w14:paraId="069D2E89" w14:textId="55C3F4B5">
      <w:pPr>
        <w:pStyle w:val="FootnoteText"/>
      </w:pPr>
      <w:r w:rsidRPr="001132EB">
        <w:rPr>
          <w:rStyle w:val="FootnoteReference"/>
        </w:rPr>
        <w:footnoteRef/>
      </w:r>
      <w:r w:rsidRPr="001132EB">
        <w:t xml:space="preserve"> Letter </w:t>
      </w:r>
      <w:r w:rsidRPr="00A649FD" w:rsidR="00A70D95">
        <w:t>from Nickolas G. Spina, Director of Regulatory Affairs, Kepler Communications Inc.</w:t>
      </w:r>
      <w:r w:rsidR="00257C92">
        <w:t xml:space="preserve"> </w:t>
      </w:r>
      <w:r w:rsidRPr="001132EB">
        <w:t>to Marlene Dortch, Secretary, FCC (</w:t>
      </w:r>
      <w:r w:rsidR="00F846A8">
        <w:t xml:space="preserve">dated </w:t>
      </w:r>
      <w:r w:rsidRPr="001132EB">
        <w:t>Jul</w:t>
      </w:r>
      <w:r w:rsidR="00F846A8">
        <w:t>.</w:t>
      </w:r>
      <w:r w:rsidRPr="001132EB">
        <w:t xml:space="preserve"> 8, 2022).  Kepler also supplemented the record with information about its German license.  </w:t>
      </w:r>
      <w:r w:rsidRPr="001132EB">
        <w:rPr>
          <w:i/>
          <w:iCs/>
        </w:rPr>
        <w:t xml:space="preserve">See </w:t>
      </w:r>
      <w:r w:rsidRPr="001132EB">
        <w:t>Letter from Polly Averns, Regulatory Associate, Kepler Communications Inc., to Marlene H. Dortch, Secretary, FCC (dated Nov. 11, 2022);</w:t>
      </w:r>
      <w:r w:rsidRPr="001132EB">
        <w:rPr>
          <w:i/>
          <w:iCs/>
        </w:rPr>
        <w:t xml:space="preserve"> </w:t>
      </w:r>
      <w:r w:rsidRPr="001132EB">
        <w:t xml:space="preserve">Letter from Nickolas G. Spina, Director of Regulatory Affairs, Kepler Communications Inc., to Marlene H. Dortch, Secretary, FCC (dated Nov. 17, 2022).  Additionally, Kepler filed notices of </w:t>
      </w:r>
      <w:r w:rsidRPr="001132EB">
        <w:rPr>
          <w:i/>
          <w:iCs/>
        </w:rPr>
        <w:t>ex parte</w:t>
      </w:r>
      <w:r w:rsidRPr="001132EB">
        <w:t xml:space="preserve"> meetings.  </w:t>
      </w:r>
      <w:r w:rsidRPr="001132EB">
        <w:rPr>
          <w:i/>
          <w:iCs/>
        </w:rPr>
        <w:t xml:space="preserve">See </w:t>
      </w:r>
      <w:r w:rsidRPr="001132EB">
        <w:t>Letter from Polly Averns, Regulatory Associate, Kepler Communications Inc., to Marlene H. Dortch, Secretary, FCC (dated Sep</w:t>
      </w:r>
      <w:r w:rsidR="00F846A8">
        <w:t>t</w:t>
      </w:r>
      <w:r w:rsidRPr="001132EB">
        <w:t>. 28, 2022);</w:t>
      </w:r>
      <w:r w:rsidRPr="001132EB">
        <w:rPr>
          <w:i/>
          <w:iCs/>
        </w:rPr>
        <w:t xml:space="preserve"> </w:t>
      </w:r>
      <w:r w:rsidRPr="001132EB">
        <w:t>Letter from Nickolas G. Spina, Director of Regulatory Affairs, Kepler Communications Inc., to Marlene H. Dortch, Secretary, FCC (dated Nov. 16, 2022).</w:t>
      </w:r>
      <w:r w:rsidRPr="00DB2917">
        <w:t xml:space="preserve">  </w:t>
      </w:r>
    </w:p>
  </w:footnote>
  <w:footnote w:id="16">
    <w:p w:rsidR="002574F0" w:rsidP="002574F0" w14:paraId="570EE614" w14:textId="598FB305">
      <w:pPr>
        <w:pStyle w:val="FootnoteText"/>
      </w:pPr>
      <w:r>
        <w:rPr>
          <w:rStyle w:val="FootnoteReference"/>
        </w:rPr>
        <w:footnoteRef/>
      </w:r>
      <w:r w:rsidRPr="001132EB">
        <w:t xml:space="preserve"> </w:t>
      </w:r>
      <w:r w:rsidRPr="001132EB">
        <w:t xml:space="preserve">Letters </w:t>
      </w:r>
      <w:r w:rsidRPr="00A649FD" w:rsidR="00A70D95">
        <w:t xml:space="preserve">from </w:t>
      </w:r>
      <w:r w:rsidRPr="001132EB">
        <w:t>David Goldman, Director of Satellite Policy, SpaceX</w:t>
      </w:r>
      <w:r w:rsidRPr="00A649FD" w:rsidR="00066B57">
        <w:t xml:space="preserve"> </w:t>
      </w:r>
      <w:r w:rsidRPr="001132EB">
        <w:t xml:space="preserve"> </w:t>
      </w:r>
      <w:r w:rsidRPr="00A649FD" w:rsidR="00066B57">
        <w:t xml:space="preserve">to Marlene H. Dortch, Secretary, FCC </w:t>
      </w:r>
      <w:r w:rsidRPr="001132EB">
        <w:t>(Jan. 17, 2023, and Mar</w:t>
      </w:r>
      <w:r w:rsidR="00F846A8">
        <w:t>.</w:t>
      </w:r>
      <w:r w:rsidRPr="001132EB">
        <w:t xml:space="preserve"> 31, 2023).</w:t>
      </w:r>
      <w:r>
        <w:t xml:space="preserve">    </w:t>
      </w:r>
    </w:p>
  </w:footnote>
  <w:footnote w:id="17">
    <w:p w:rsidR="002574F0" w:rsidRPr="00F16B5F" w:rsidP="002574F0" w14:paraId="719D82D3" w14:textId="77777777">
      <w:pPr>
        <w:pStyle w:val="FootnoteText"/>
      </w:pPr>
      <w:r w:rsidRPr="00F16B5F">
        <w:rPr>
          <w:rStyle w:val="FootnoteReference"/>
        </w:rPr>
        <w:footnoteRef/>
      </w:r>
      <w:r w:rsidRPr="00F16B5F">
        <w:t xml:space="preserve"> </w:t>
      </w:r>
      <w:r w:rsidRPr="00F16B5F">
        <w:rPr>
          <w:i/>
          <w:iCs/>
        </w:rPr>
        <w:t>See</w:t>
      </w:r>
      <w:r w:rsidRPr="00F16B5F">
        <w:t xml:space="preserve"> 47 CFR §§ 25.112(a)</w:t>
      </w:r>
      <w:r>
        <w:t>-</w:t>
      </w:r>
      <w:r w:rsidRPr="00F16B5F">
        <w:t>(b), 25.157(c)</w:t>
      </w:r>
      <w:r>
        <w:t>.</w:t>
      </w:r>
    </w:p>
  </w:footnote>
  <w:footnote w:id="18">
    <w:p w:rsidR="002574F0" w:rsidRPr="00756A39" w:rsidP="00B46C4C" w14:paraId="15737B9F" w14:textId="48327C6D">
      <w:pPr>
        <w:pStyle w:val="FootnoteText"/>
      </w:pPr>
      <w:r w:rsidRPr="00756A39">
        <w:rPr>
          <w:vertAlign w:val="superscript"/>
        </w:rPr>
        <w:footnoteRef/>
      </w:r>
      <w:r w:rsidRPr="00C60624" w:rsidR="00C60624">
        <w:t xml:space="preserve"> </w:t>
      </w:r>
      <w:r w:rsidRPr="00C60624">
        <w:t xml:space="preserve">Satelio IoT Services, USA, Inc., ICFS File No. </w:t>
      </w:r>
      <w:r w:rsidRPr="00756A39">
        <w:t>SAT-PDR-20250428-00108.  Satelio</w:t>
      </w:r>
      <w:r>
        <w:t>t</w:t>
      </w:r>
      <w:r w:rsidRPr="00756A39">
        <w:t xml:space="preserve"> notes this application is a precursor to “full commerc</w:t>
      </w:r>
      <w:r>
        <w:t>i</w:t>
      </w:r>
      <w:r w:rsidRPr="00756A39">
        <w:t>al deployment.</w:t>
      </w:r>
      <w:r>
        <w:t>”</w:t>
      </w:r>
      <w:r w:rsidRPr="00756A39">
        <w:t xml:space="preserve">  </w:t>
      </w:r>
      <w:r w:rsidRPr="00756A39">
        <w:rPr>
          <w:i/>
        </w:rPr>
        <w:t>Id</w:t>
      </w:r>
      <w:r w:rsidRPr="00756A39">
        <w:t xml:space="preserve">., Narrative at 4. </w:t>
      </w:r>
    </w:p>
  </w:footnote>
  <w:footnote w:id="19">
    <w:p w:rsidR="002574F0" w:rsidP="002574F0" w14:paraId="0A5A4228" w14:textId="77777777">
      <w:pPr>
        <w:pStyle w:val="FootnoteText"/>
      </w:pPr>
      <w:r>
        <w:rPr>
          <w:rStyle w:val="FootnoteReference"/>
        </w:rPr>
        <w:footnoteRef/>
      </w:r>
      <w:r>
        <w:t xml:space="preserve"> 47 CFR § 25.143.</w:t>
      </w:r>
    </w:p>
  </w:footnote>
  <w:footnote w:id="20">
    <w:p w:rsidR="002574F0" w:rsidP="002574F0" w14:paraId="43A89F45" w14:textId="78D3BCE6">
      <w:pPr>
        <w:pStyle w:val="FootnoteText"/>
      </w:pPr>
      <w:r w:rsidRPr="00C01F19">
        <w:rPr>
          <w:rStyle w:val="FootnoteReference"/>
          <w:i/>
        </w:rPr>
        <w:footnoteRef/>
      </w:r>
      <w:r>
        <w:t xml:space="preserve"> </w:t>
      </w:r>
      <w:r w:rsidR="001C29E3">
        <w:rPr>
          <w:i/>
          <w:iCs/>
        </w:rPr>
        <w:t>Id.</w:t>
      </w:r>
      <w:r>
        <w:t xml:space="preserve"> § 25.122.</w:t>
      </w:r>
    </w:p>
  </w:footnote>
  <w:footnote w:id="21">
    <w:p w:rsidR="002574F0" w:rsidP="002574F0" w14:paraId="36F2F062" w14:textId="529A0A8E">
      <w:pPr>
        <w:pStyle w:val="FootnoteText"/>
      </w:pPr>
      <w:r>
        <w:rPr>
          <w:rStyle w:val="FootnoteReference"/>
        </w:rPr>
        <w:footnoteRef/>
      </w:r>
      <w:r>
        <w:t xml:space="preserve"> Sateliot filed a similar petition for U.S. market access in 2023.  This petition was dismissed as unacceptable for filing based on the same grounds set forth </w:t>
      </w:r>
      <w:r w:rsidR="00A779FF">
        <w:t>below</w:t>
      </w:r>
      <w:r>
        <w:t>.</w:t>
      </w:r>
      <w:r w:rsidR="007C3036">
        <w:t xml:space="preserve"> </w:t>
      </w:r>
      <w:r w:rsidR="003F0D59">
        <w:t xml:space="preserve"> </w:t>
      </w:r>
      <w:r w:rsidRPr="00D3603D">
        <w:rPr>
          <w:i/>
          <w:iCs/>
        </w:rPr>
        <w:t>Satelio IoT Services USA, Inc</w:t>
      </w:r>
      <w:r>
        <w:t>., Order, DA 25-20 (</w:t>
      </w:r>
      <w:r w:rsidR="002F7226">
        <w:t>SB</w:t>
      </w:r>
      <w:r>
        <w:t xml:space="preserve"> 2025). </w:t>
      </w:r>
    </w:p>
  </w:footnote>
  <w:footnote w:id="22">
    <w:p w:rsidR="002574F0" w:rsidP="002574F0" w14:paraId="20FCC309" w14:textId="77777777">
      <w:pPr>
        <w:pStyle w:val="FootnoteText"/>
      </w:pPr>
      <w:r>
        <w:rPr>
          <w:rStyle w:val="FootnoteReference"/>
        </w:rPr>
        <w:footnoteRef/>
      </w:r>
      <w:r>
        <w:t xml:space="preserve"> </w:t>
      </w:r>
      <w:r w:rsidRPr="000A7C7B">
        <w:rPr>
          <w:i/>
          <w:color w:val="000000"/>
        </w:rPr>
        <w:t xml:space="preserve">See </w:t>
      </w:r>
      <w:r>
        <w:rPr>
          <w:iCs/>
          <w:color w:val="000000"/>
        </w:rPr>
        <w:t xml:space="preserve">ICFS File No. </w:t>
      </w:r>
      <w:r w:rsidRPr="005325CA">
        <w:t>SAT-MOD-20260105-00005</w:t>
      </w:r>
      <w:r>
        <w:t xml:space="preserve"> (AST Application)</w:t>
      </w:r>
      <w:r w:rsidRPr="000A7C7B">
        <w:rPr>
          <w:i/>
          <w:color w:val="000000"/>
        </w:rPr>
        <w:t>.</w:t>
      </w:r>
      <w:r w:rsidRPr="000A7C7B">
        <w:rPr>
          <w:i/>
          <w:iCs/>
          <w:color w:val="000000"/>
        </w:rPr>
        <w:t xml:space="preserve"> </w:t>
      </w:r>
      <w:r>
        <w:rPr>
          <w:i/>
          <w:color w:val="000000"/>
        </w:rPr>
        <w:t xml:space="preserve"> </w:t>
      </w:r>
      <w:r>
        <w:rPr>
          <w:iCs/>
          <w:color w:val="000000"/>
        </w:rPr>
        <w:t xml:space="preserve">AST has also requested to operate in the 2020-2025 MHz (Earth-to-space) band both inside and outside of the United States.  </w:t>
      </w:r>
      <w:r>
        <w:rPr>
          <w:i/>
          <w:color w:val="000000"/>
        </w:rPr>
        <w:t>See id.</w:t>
      </w:r>
      <w:r>
        <w:rPr>
          <w:iCs/>
          <w:color w:val="000000"/>
        </w:rPr>
        <w:t xml:space="preserve">; ICFS File No. </w:t>
      </w:r>
      <w:r w:rsidRPr="00483506">
        <w:t>SAT-MOD-20260121-00036</w:t>
      </w:r>
      <w:r>
        <w:t xml:space="preserve">.  </w:t>
      </w:r>
      <w:r>
        <w:rPr>
          <w:iCs/>
          <w:color w:val="000000"/>
        </w:rPr>
        <w:t xml:space="preserve">We will not consider those requests in this Order.  </w:t>
      </w:r>
    </w:p>
  </w:footnote>
  <w:footnote w:id="23">
    <w:p w:rsidR="002574F0" w:rsidRPr="000A7C7B" w:rsidP="002574F0" w14:paraId="1BD2E52C" w14:textId="7C10C457">
      <w:pPr>
        <w:pStyle w:val="FootnoteText"/>
      </w:pPr>
      <w:r w:rsidRPr="000A7C7B">
        <w:rPr>
          <w:rStyle w:val="FootnoteReference"/>
        </w:rPr>
        <w:footnoteRef/>
      </w:r>
      <w:r w:rsidRPr="000A7C7B">
        <w:t xml:space="preserve"> </w:t>
      </w:r>
      <w:r w:rsidRPr="006F17E6">
        <w:rPr>
          <w:i/>
          <w:iCs/>
          <w:color w:val="000000"/>
        </w:rPr>
        <w:t>Satellite Licensing Division and Satellite Programs and Policy Division Information, Applications Accepted for Filing</w:t>
      </w:r>
      <w:r w:rsidRPr="000A7C7B">
        <w:rPr>
          <w:color w:val="000000"/>
        </w:rPr>
        <w:t xml:space="preserve">, </w:t>
      </w:r>
      <w:r w:rsidRPr="0073690D">
        <w:rPr>
          <w:color w:val="000000"/>
        </w:rPr>
        <w:t>Public</w:t>
      </w:r>
      <w:r>
        <w:rPr>
          <w:color w:val="000000"/>
        </w:rPr>
        <w:t xml:space="preserve"> Notice, </w:t>
      </w:r>
      <w:r w:rsidRPr="000A7C7B">
        <w:rPr>
          <w:color w:val="000000"/>
        </w:rPr>
        <w:t>Report No. SAT-01974 (Feb. 13, 2026).</w:t>
      </w:r>
      <w:r>
        <w:rPr>
          <w:color w:val="000000"/>
        </w:rPr>
        <w:t xml:space="preserve"> </w:t>
      </w:r>
      <w:r w:rsidR="00FE12F8">
        <w:rPr>
          <w:color w:val="000000"/>
        </w:rPr>
        <w:t xml:space="preserve"> </w:t>
      </w:r>
      <w:r w:rsidR="00B46A40">
        <w:rPr>
          <w:color w:val="000000"/>
        </w:rPr>
        <w:t>In response</w:t>
      </w:r>
      <w:r w:rsidR="000426FD">
        <w:rPr>
          <w:color w:val="000000"/>
        </w:rPr>
        <w:t>,</w:t>
      </w:r>
      <w:r w:rsidR="00C12C2C">
        <w:rPr>
          <w:color w:val="000000"/>
        </w:rPr>
        <w:t xml:space="preserve"> Petitions to Deny were filed by V</w:t>
      </w:r>
      <w:r w:rsidR="00B46A40">
        <w:rPr>
          <w:color w:val="000000"/>
        </w:rPr>
        <w:t xml:space="preserve">iaSat, Inc. </w:t>
      </w:r>
      <w:r w:rsidR="00C3587B">
        <w:rPr>
          <w:color w:val="000000"/>
        </w:rPr>
        <w:t>(Mar</w:t>
      </w:r>
      <w:r w:rsidR="001C29E3">
        <w:rPr>
          <w:color w:val="000000"/>
        </w:rPr>
        <w:t>.</w:t>
      </w:r>
      <w:r w:rsidR="00C3587B">
        <w:rPr>
          <w:color w:val="000000"/>
        </w:rPr>
        <w:t xml:space="preserve"> 16, 2026)</w:t>
      </w:r>
      <w:r w:rsidR="00C12C2C">
        <w:rPr>
          <w:color w:val="000000"/>
        </w:rPr>
        <w:t xml:space="preserve"> and Space Exploration Holdings, LLC </w:t>
      </w:r>
      <w:r w:rsidR="00993233">
        <w:rPr>
          <w:color w:val="000000"/>
        </w:rPr>
        <w:t xml:space="preserve">(March 16, 2026).  </w:t>
      </w:r>
      <w:r w:rsidR="00875E15">
        <w:rPr>
          <w:color w:val="000000"/>
        </w:rPr>
        <w:t>AST filed a Consolidated Opposition</w:t>
      </w:r>
      <w:r w:rsidR="00356948">
        <w:rPr>
          <w:color w:val="000000"/>
        </w:rPr>
        <w:t xml:space="preserve"> (</w:t>
      </w:r>
      <w:r w:rsidR="00F40932">
        <w:rPr>
          <w:color w:val="000000"/>
        </w:rPr>
        <w:t>Mar</w:t>
      </w:r>
      <w:r w:rsidR="001C29E3">
        <w:rPr>
          <w:color w:val="000000"/>
        </w:rPr>
        <w:t>.</w:t>
      </w:r>
      <w:r w:rsidR="00F40932">
        <w:rPr>
          <w:color w:val="000000"/>
        </w:rPr>
        <w:t xml:space="preserve"> 31, 2026)</w:t>
      </w:r>
      <w:r w:rsidR="000426FD">
        <w:rPr>
          <w:color w:val="000000"/>
        </w:rPr>
        <w:t xml:space="preserve">. </w:t>
      </w:r>
      <w:r w:rsidR="008B0083">
        <w:rPr>
          <w:color w:val="000000"/>
        </w:rPr>
        <w:t xml:space="preserve"> </w:t>
      </w:r>
      <w:r w:rsidRPr="00CA02B1" w:rsidR="000D4027">
        <w:rPr>
          <w:i/>
          <w:iCs/>
          <w:color w:val="000000"/>
        </w:rPr>
        <w:t>See also</w:t>
      </w:r>
      <w:r w:rsidR="000D4027">
        <w:rPr>
          <w:color w:val="000000"/>
        </w:rPr>
        <w:t>, Letter</w:t>
      </w:r>
      <w:r w:rsidR="00C32958">
        <w:rPr>
          <w:color w:val="000000"/>
        </w:rPr>
        <w:t>s</w:t>
      </w:r>
      <w:r w:rsidR="000D4027">
        <w:rPr>
          <w:color w:val="000000"/>
        </w:rPr>
        <w:t xml:space="preserve"> from K</w:t>
      </w:r>
      <w:r w:rsidR="00F7281F">
        <w:rPr>
          <w:color w:val="000000"/>
        </w:rPr>
        <w:t>a</w:t>
      </w:r>
      <w:r w:rsidR="00D03CDF">
        <w:rPr>
          <w:color w:val="000000"/>
        </w:rPr>
        <w:t>th</w:t>
      </w:r>
      <w:r w:rsidR="008A025E">
        <w:rPr>
          <w:color w:val="000000"/>
        </w:rPr>
        <w:t>ryne Dickerson, AST SpaceMobile</w:t>
      </w:r>
      <w:r w:rsidR="00301449">
        <w:rPr>
          <w:color w:val="000000"/>
        </w:rPr>
        <w:t>,</w:t>
      </w:r>
      <w:r w:rsidR="008A025E">
        <w:rPr>
          <w:color w:val="000000"/>
        </w:rPr>
        <w:t xml:space="preserve"> to Marlene H. Dortch, Secretary</w:t>
      </w:r>
      <w:r w:rsidR="00D410C1">
        <w:rPr>
          <w:color w:val="000000"/>
        </w:rPr>
        <w:t>,</w:t>
      </w:r>
      <w:r w:rsidR="008A025E">
        <w:rPr>
          <w:color w:val="000000"/>
        </w:rPr>
        <w:t xml:space="preserve"> FCC (Apr</w:t>
      </w:r>
      <w:r w:rsidR="001C29E3">
        <w:rPr>
          <w:color w:val="000000"/>
        </w:rPr>
        <w:t>.</w:t>
      </w:r>
      <w:r w:rsidR="008A025E">
        <w:rPr>
          <w:color w:val="000000"/>
        </w:rPr>
        <w:t xml:space="preserve"> 17, 20</w:t>
      </w:r>
      <w:r w:rsidR="00426645">
        <w:rPr>
          <w:color w:val="000000"/>
        </w:rPr>
        <w:t>26</w:t>
      </w:r>
      <w:r w:rsidR="00654B1D">
        <w:rPr>
          <w:color w:val="000000"/>
        </w:rPr>
        <w:t xml:space="preserve"> and </w:t>
      </w:r>
      <w:r w:rsidR="00C32958">
        <w:rPr>
          <w:color w:val="000000"/>
        </w:rPr>
        <w:t>Feb. 18, 2026)</w:t>
      </w:r>
      <w:r w:rsidR="00426645">
        <w:rPr>
          <w:color w:val="000000"/>
        </w:rPr>
        <w:t xml:space="preserve">.   </w:t>
      </w:r>
    </w:p>
  </w:footnote>
  <w:footnote w:id="24">
    <w:p w:rsidR="002267F2" w14:paraId="15795E77" w14:textId="52D716E4">
      <w:pPr>
        <w:pStyle w:val="FootnoteText"/>
      </w:pPr>
      <w:r>
        <w:rPr>
          <w:rStyle w:val="FootnoteReference"/>
        </w:rPr>
        <w:footnoteRef/>
      </w:r>
      <w:r w:rsidR="001C34E6">
        <w:t xml:space="preserve"> Request for Comment on Petition for Rulemaking by Space Exploration Holdings, LLC Regarding </w:t>
      </w:r>
      <w:r w:rsidR="00664CE4">
        <w:t xml:space="preserve">Revision of the Commission’s </w:t>
      </w:r>
      <w:r w:rsidR="00342DD2">
        <w:t xml:space="preserve">1.6/2.4 GHz “Big LEO” NGSO MSS Sharing Plan, </w:t>
      </w:r>
      <w:r>
        <w:t>Public Notice DA 24-298 (Mar</w:t>
      </w:r>
      <w:r w:rsidR="00301449">
        <w:t>.</w:t>
      </w:r>
      <w:r>
        <w:t xml:space="preserve"> 26, 2024).  In response to the public notice, the following comments/reply comments were filed: Globalstar, Inc. Opposition to Petition for Rulemaking (Apr</w:t>
      </w:r>
      <w:r w:rsidR="00301449">
        <w:t>.</w:t>
      </w:r>
      <w:r>
        <w:t xml:space="preserve"> 25, 2024, reply filed May 11, 2024); Comments of Omnispace, LLC (Apr</w:t>
      </w:r>
      <w:r w:rsidR="00301449">
        <w:t>.</w:t>
      </w:r>
      <w:r>
        <w:t xml:space="preserve"> 25, 2024); Engineers for the Integrity of Broadcast Auxiliary Services Spectrum (May 10, 2024, reply filed May 10, 2024);  Kepler Communications, Inc. (Apr</w:t>
      </w:r>
      <w:r w:rsidR="00934112">
        <w:t>.</w:t>
      </w:r>
      <w:r>
        <w:t xml:space="preserve"> 25, 2024, reply filed May 10, 2024); Comments of Ukrainian Congress Commission of America, Inc. (Apr</w:t>
      </w:r>
      <w:r w:rsidR="00934112">
        <w:t>.</w:t>
      </w:r>
      <w:r>
        <w:t xml:space="preserve"> 24, 2024); Reply Comments of the Mobile Satellite Services Association (May 10, 2024); Comments of Jon Kramer (Apr</w:t>
      </w:r>
      <w:r w:rsidR="00E90D09">
        <w:t>.</w:t>
      </w:r>
      <w:r>
        <w:t xml:space="preserve"> 25, 2024); and Comments of TechFreedom in Support of SpaceX Petition for Rulemaking (Apr</w:t>
      </w:r>
      <w:r w:rsidR="003615B0">
        <w:t>.</w:t>
      </w:r>
      <w:r>
        <w:t xml:space="preserve"> 25, 2024). </w:t>
      </w:r>
      <w:r w:rsidR="003615B0">
        <w:t xml:space="preserve"> </w:t>
      </w:r>
      <w:r>
        <w:t xml:space="preserve">In addition, multiple </w:t>
      </w:r>
      <w:r w:rsidRPr="00BC2FB6">
        <w:rPr>
          <w:i/>
        </w:rPr>
        <w:t>ex parte</w:t>
      </w:r>
      <w:r>
        <w:t xml:space="preserve"> notifications were filed.  </w:t>
      </w:r>
      <w:r w:rsidRPr="007B5DB4">
        <w:rPr>
          <w:i/>
          <w:iCs/>
        </w:rPr>
        <w:t>See, e.g.</w:t>
      </w:r>
      <w:r w:rsidR="003615B0">
        <w:t>,</w:t>
      </w:r>
      <w:r>
        <w:t xml:space="preserve"> Globalstar, Inc. </w:t>
      </w:r>
      <w:r w:rsidR="003E411F">
        <w:t>(</w:t>
      </w:r>
      <w:r w:rsidR="003615B0">
        <w:t xml:space="preserve">filed </w:t>
      </w:r>
      <w:r>
        <w:t>June 6, 2024</w:t>
      </w:r>
      <w:r w:rsidR="003E411F">
        <w:t xml:space="preserve"> and</w:t>
      </w:r>
      <w:r>
        <w:t xml:space="preserve"> June 24, 2025</w:t>
      </w:r>
      <w:r w:rsidR="003E411F">
        <w:t>);</w:t>
      </w:r>
      <w:r>
        <w:t xml:space="preserve"> Kepler Communications, Inc., </w:t>
      </w:r>
      <w:r w:rsidR="003E411F">
        <w:t>(</w:t>
      </w:r>
      <w:r w:rsidR="003615B0">
        <w:t xml:space="preserve">filed </w:t>
      </w:r>
      <w:r>
        <w:t>June 25, 2024</w:t>
      </w:r>
      <w:r w:rsidR="003E411F">
        <w:t>)</w:t>
      </w:r>
      <w:r>
        <w:t xml:space="preserve">.  </w:t>
      </w:r>
    </w:p>
  </w:footnote>
  <w:footnote w:id="25">
    <w:p w:rsidR="00EE5645" w14:paraId="3B833923" w14:textId="0627A3CD">
      <w:pPr>
        <w:pStyle w:val="FootnoteText"/>
      </w:pPr>
      <w:r>
        <w:rPr>
          <w:rStyle w:val="FootnoteReference"/>
        </w:rPr>
        <w:footnoteRef/>
      </w:r>
      <w:r>
        <w:t xml:space="preserve"> </w:t>
      </w:r>
      <w:r w:rsidRPr="00D06E12">
        <w:t xml:space="preserve">Section 553(e) of the </w:t>
      </w:r>
      <w:r w:rsidRPr="003C60EE" w:rsidR="004C2C3A">
        <w:t>Administrative Procedure Act</w:t>
      </w:r>
      <w:r w:rsidRPr="00D06E12">
        <w:t xml:space="preserve"> gives parties the right to petition for rulemaking but does not require notice and comment on such petitions. </w:t>
      </w:r>
      <w:r w:rsidR="00BA03AA">
        <w:t xml:space="preserve"> </w:t>
      </w:r>
      <w:r w:rsidRPr="00F10B32">
        <w:rPr>
          <w:i/>
        </w:rPr>
        <w:t>See</w:t>
      </w:r>
      <w:r w:rsidRPr="00D06E12">
        <w:t xml:space="preserve"> 5 U.S.C. § 553(e). </w:t>
      </w:r>
      <w:r>
        <w:t xml:space="preserve"> </w:t>
      </w:r>
    </w:p>
  </w:footnote>
  <w:footnote w:id="26">
    <w:p w:rsidR="002574F0" w:rsidRPr="003C60EE" w:rsidP="002574F0" w14:paraId="36483CC3" w14:textId="2096157A">
      <w:pPr>
        <w:pStyle w:val="FootnoteText"/>
      </w:pPr>
      <w:r w:rsidRPr="004A711C">
        <w:rPr>
          <w:rStyle w:val="FootnoteReference"/>
        </w:rPr>
        <w:footnoteRef/>
      </w:r>
      <w:r w:rsidRPr="003C60EE">
        <w:t xml:space="preserve"> </w:t>
      </w:r>
      <w:r w:rsidRPr="00D3603D" w:rsidR="00151417">
        <w:rPr>
          <w:i/>
          <w:iCs/>
        </w:rPr>
        <w:t>Amendment of the Commission’s Rules to Establish Rules and Policies Pertaining to a Mobile Satellite Service in the 1610-1626.5/2483.5-2500 MHz Frequency Bands</w:t>
      </w:r>
      <w:r w:rsidR="00151417">
        <w:t>, Report and Order,</w:t>
      </w:r>
      <w:r w:rsidRPr="004A711C" w:rsidR="00151417">
        <w:t xml:space="preserve"> 9 FCC Rcd 5936</w:t>
      </w:r>
      <w:r w:rsidR="00AF2355">
        <w:t>, para. 43</w:t>
      </w:r>
      <w:r w:rsidR="00151417">
        <w:t xml:space="preserve"> (1994) (</w:t>
      </w:r>
      <w:r w:rsidRPr="00D3603D" w:rsidR="00151417">
        <w:rPr>
          <w:i/>
          <w:iCs/>
        </w:rPr>
        <w:t>Big LEO Order</w:t>
      </w:r>
      <w:r w:rsidR="00151417">
        <w:t>)</w:t>
      </w:r>
      <w:r w:rsidRPr="004A711C" w:rsidR="00151417">
        <w:t>.</w:t>
      </w:r>
      <w:r w:rsidR="00151417">
        <w:t xml:space="preserve">  Big LEO refers to low-Earth orbit (LEO) mobile satellite services above 1 GHz.   </w:t>
      </w:r>
    </w:p>
  </w:footnote>
  <w:footnote w:id="27">
    <w:p w:rsidR="002574F0" w:rsidRPr="004A711C" w:rsidP="002574F0" w14:paraId="0C4FDA30" w14:textId="77777777">
      <w:pPr>
        <w:pStyle w:val="FootnoteText"/>
      </w:pPr>
      <w:r w:rsidRPr="004A711C">
        <w:rPr>
          <w:rStyle w:val="FootnoteReference"/>
        </w:rPr>
        <w:footnoteRef/>
      </w:r>
      <w:r w:rsidRPr="003C60EE">
        <w:t xml:space="preserve"> </w:t>
      </w:r>
      <w:r w:rsidRPr="003C60EE">
        <w:rPr>
          <w:i/>
        </w:rPr>
        <w:t>Id.</w:t>
      </w:r>
      <w:r w:rsidRPr="003C60EE">
        <w:t xml:space="preserve"> at paras. </w:t>
      </w:r>
      <w:r w:rsidRPr="004A711C">
        <w:t>43-48.</w:t>
      </w:r>
    </w:p>
  </w:footnote>
  <w:footnote w:id="28">
    <w:p w:rsidR="002574F0" w:rsidRPr="004A711C" w:rsidP="002574F0" w14:paraId="6E7212A4" w14:textId="77777777">
      <w:pPr>
        <w:pStyle w:val="FootnoteText"/>
      </w:pPr>
      <w:r w:rsidRPr="004A711C">
        <w:rPr>
          <w:rStyle w:val="FootnoteReference"/>
        </w:rPr>
        <w:footnoteRef/>
      </w:r>
      <w:r w:rsidRPr="004A711C">
        <w:t xml:space="preserve"> </w:t>
      </w:r>
      <w:r w:rsidRPr="004A711C">
        <w:rPr>
          <w:i/>
          <w:iCs/>
        </w:rPr>
        <w:t>Big LEO Spectrum Sharing Second Order</w:t>
      </w:r>
      <w:r w:rsidRPr="004A711C">
        <w:t>, 22 FCC Rcd 19733, para. 4.</w:t>
      </w:r>
    </w:p>
  </w:footnote>
  <w:footnote w:id="29">
    <w:p w:rsidR="002574F0" w:rsidP="002574F0" w14:paraId="2942080E" w14:textId="38C2AB55">
      <w:pPr>
        <w:pStyle w:val="FootnoteText"/>
      </w:pPr>
      <w:r>
        <w:rPr>
          <w:rStyle w:val="FootnoteReference"/>
        </w:rPr>
        <w:footnoteRef/>
      </w:r>
      <w:r>
        <w:t xml:space="preserve"> </w:t>
      </w:r>
      <w:r w:rsidRPr="00FB61D0">
        <w:rPr>
          <w:i/>
          <w:iCs/>
        </w:rPr>
        <w:t>Id</w:t>
      </w:r>
      <w:r>
        <w:t xml:space="preserve">. at 19739-40. </w:t>
      </w:r>
    </w:p>
  </w:footnote>
  <w:footnote w:id="30">
    <w:p w:rsidR="002574F0" w:rsidRPr="004A711C" w:rsidP="002574F0" w14:paraId="653BB8E8" w14:textId="24C0766C">
      <w:pPr>
        <w:pStyle w:val="FootnoteText"/>
      </w:pPr>
      <w:r w:rsidRPr="004A711C">
        <w:rPr>
          <w:rStyle w:val="FootnoteReference"/>
        </w:rPr>
        <w:footnoteRef/>
      </w:r>
      <w:r w:rsidRPr="004A711C">
        <w:t xml:space="preserve"> </w:t>
      </w:r>
      <w:r w:rsidRPr="004A711C">
        <w:rPr>
          <w:i/>
          <w:iCs/>
        </w:rPr>
        <w:t>Globalstar Licensee LLC, GUSA Licensee LLC and Iridium Constellation LLC, Iridium Satellite LLC, Iridium Carrier Services LLC, Modification of Authority to Operate a Mobile Satellite System in the 1.6 GHz Frequency Band</w:t>
      </w:r>
      <w:r w:rsidRPr="004A711C">
        <w:t>, Order of Modifications, 23 FCC Rcd 15207, para. 44 (2008) (</w:t>
      </w:r>
      <w:r w:rsidRPr="004A711C">
        <w:rPr>
          <w:i/>
          <w:iCs/>
        </w:rPr>
        <w:t>Globalstar Modification Order</w:t>
      </w:r>
      <w:r w:rsidRPr="004A711C">
        <w:t>)</w:t>
      </w:r>
      <w:r>
        <w:t xml:space="preserve"> (emphasis added).  U.S. licensees are obligated to abide by the explicit terms of </w:t>
      </w:r>
      <w:r w:rsidR="00863DEF">
        <w:t>their</w:t>
      </w:r>
      <w:r>
        <w:t xml:space="preserve"> U.S. license on a global basis. Consistent with treaty obligations, the Commission has authority to prescribe conditions and restrictions on satellite authorizations, including frequencies that are authorized globally, that are in the public interest. </w:t>
      </w:r>
      <w:r>
        <w:rPr>
          <w:color w:val="000000"/>
        </w:rPr>
        <w:t xml:space="preserve">47 U.S.C. §§ 151, 152, 301, 303(r); International Telecommunication Union, Radio Regulation 18-1.  </w:t>
      </w:r>
      <w:r>
        <w:rPr>
          <w:i/>
          <w:color w:val="000000"/>
        </w:rPr>
        <w:t>See also</w:t>
      </w:r>
      <w:r>
        <w:rPr>
          <w:color w:val="000000"/>
        </w:rPr>
        <w:t xml:space="preserve"> </w:t>
      </w:r>
      <w:r>
        <w:rPr>
          <w:i/>
          <w:color w:val="000000"/>
        </w:rPr>
        <w:t>Modification of Licenses held by Iridium Constellation, LLC</w:t>
      </w:r>
      <w:r>
        <w:rPr>
          <w:color w:val="000000"/>
        </w:rPr>
        <w:t>, Order, 18 FCC Rcd 20023, 20028, (Sat. Div., IB 2003) (The United States, as the licensing administration for Iridium, is responsible for its global operations in accordance with [ITU] treaty obligations).</w:t>
      </w:r>
    </w:p>
  </w:footnote>
  <w:footnote w:id="31">
    <w:p w:rsidR="002574F0" w:rsidP="002574F0" w14:paraId="3F31827C" w14:textId="77777777">
      <w:pPr>
        <w:pStyle w:val="FootnoteText"/>
      </w:pPr>
      <w:r w:rsidRPr="00730BAD">
        <w:rPr>
          <w:rStyle w:val="FootnoteReference"/>
          <w:i/>
        </w:rPr>
        <w:footnoteRef/>
      </w:r>
      <w:r w:rsidRPr="00730BAD">
        <w:rPr>
          <w:i/>
        </w:rPr>
        <w:t xml:space="preserve"> Globalstar Modification Order</w:t>
      </w:r>
      <w:r>
        <w:t xml:space="preserve">, 23 FCC Rcd at 15208. </w:t>
      </w:r>
    </w:p>
  </w:footnote>
  <w:footnote w:id="32">
    <w:p w:rsidR="002574F0" w:rsidP="00B46C4C" w14:paraId="69679F98" w14:textId="77777777">
      <w:pPr>
        <w:pStyle w:val="FootnoteText"/>
      </w:pPr>
      <w:r>
        <w:rPr>
          <w:rStyle w:val="FootnoteReference"/>
        </w:rPr>
        <w:footnoteRef/>
      </w:r>
      <w:r>
        <w:t xml:space="preserve"> </w:t>
      </w:r>
      <w:r w:rsidRPr="00991188">
        <w:rPr>
          <w:rFonts w:eastAsia="Aptos"/>
          <w:i/>
          <w:iCs/>
        </w:rPr>
        <w:t>Spectrum and Service Rules for Ancillary Terrestrial Components in the 1.6/2.4 GHz Big Leo Bands/Review of the Spectrum Sharing Plan Among Non-Geostationary Satellite Orbit Mobile Satellite Service Systems in the 1.6/2.4 GHz Bands</w:t>
      </w:r>
      <w:r w:rsidRPr="00756A39">
        <w:rPr>
          <w:rFonts w:eastAsia="Aptos"/>
        </w:rPr>
        <w:t xml:space="preserve">, Second Order on Reconsideration, Second </w:t>
      </w:r>
      <w:r w:rsidRPr="00B46C4C">
        <w:rPr>
          <w:rFonts w:eastAsia="Aptos"/>
        </w:rPr>
        <w:t>Report</w:t>
      </w:r>
      <w:r w:rsidRPr="00756A39">
        <w:rPr>
          <w:rFonts w:eastAsia="Aptos"/>
        </w:rPr>
        <w:t xml:space="preserve"> and Order, and Notice of Proposed Rulemaking, 22 FCC Rcd 19733,</w:t>
      </w:r>
      <w:r>
        <w:rPr>
          <w:rFonts w:eastAsia="Aptos"/>
        </w:rPr>
        <w:t xml:space="preserve"> para.</w:t>
      </w:r>
      <w:r w:rsidRPr="00756A39">
        <w:rPr>
          <w:rFonts w:eastAsia="Aptos"/>
        </w:rPr>
        <w:t xml:space="preserve"> 43 (2007).</w:t>
      </w:r>
    </w:p>
  </w:footnote>
  <w:footnote w:id="33">
    <w:p w:rsidR="002574F0" w:rsidRPr="004B0201" w:rsidP="00B46C4C" w14:paraId="262973AA" w14:textId="041C0B75">
      <w:pPr>
        <w:pStyle w:val="FootnoteText"/>
      </w:pPr>
      <w:r w:rsidRPr="004B0201">
        <w:rPr>
          <w:rStyle w:val="FootnoteReference"/>
        </w:rPr>
        <w:footnoteRef/>
      </w:r>
      <w:r w:rsidR="007948E3">
        <w:rPr>
          <w:i/>
          <w:iCs/>
        </w:rPr>
        <w:t xml:space="preserve"> </w:t>
      </w:r>
      <w:r w:rsidR="008C2580">
        <w:rPr>
          <w:i/>
          <w:iCs/>
        </w:rPr>
        <w:t xml:space="preserve">Spectrum and Service Rules for Ancillary </w:t>
      </w:r>
      <w:r w:rsidR="00A85672">
        <w:rPr>
          <w:i/>
          <w:iCs/>
        </w:rPr>
        <w:t xml:space="preserve">Terrestrial Components in the 1.6/2.4 </w:t>
      </w:r>
      <w:r w:rsidR="006258B1">
        <w:rPr>
          <w:i/>
          <w:iCs/>
        </w:rPr>
        <w:t>Big LEO Bands, Second</w:t>
      </w:r>
      <w:r w:rsidR="00887EDB">
        <w:rPr>
          <w:i/>
          <w:iCs/>
        </w:rPr>
        <w:t xml:space="preserve"> Order on Reconsideration, Second Report and Order, and Notice of Proposed Rulemaking, </w:t>
      </w:r>
      <w:r w:rsidRPr="004B0201">
        <w:t xml:space="preserve">22 FCC Rcd 19733, </w:t>
      </w:r>
      <w:r w:rsidR="00004A2E">
        <w:t xml:space="preserve">19742-43 </w:t>
      </w:r>
      <w:r w:rsidR="00775BCA">
        <w:t>(2007)</w:t>
      </w:r>
      <w:r w:rsidR="00ED4B8F">
        <w:t xml:space="preserve"> (</w:t>
      </w:r>
      <w:r w:rsidRPr="00991188" w:rsidR="00ED4B8F">
        <w:rPr>
          <w:i/>
          <w:iCs/>
        </w:rPr>
        <w:t>Big LEO Spectrum Sharing Order</w:t>
      </w:r>
      <w:r w:rsidR="00ED4B8F">
        <w:t>)</w:t>
      </w:r>
      <w:r w:rsidRPr="004B0201">
        <w:t xml:space="preserve">; </w:t>
      </w:r>
      <w:r w:rsidRPr="004B0201">
        <w:rPr>
          <w:i/>
          <w:iCs/>
        </w:rPr>
        <w:t>Globalstar Modification Order</w:t>
      </w:r>
      <w:r w:rsidRPr="004B0201">
        <w:t>, 23 FCC Rcd 15207, para. 44 (“Globalstar’s Big LEO MSS satellites and mobile earth station terminals are authorized to operate in the 1610-1617.775 MHz frequency band on an exclusive basis.”).</w:t>
      </w:r>
    </w:p>
  </w:footnote>
  <w:footnote w:id="34">
    <w:p w:rsidR="002574F0" w:rsidRPr="00756A39" w:rsidP="00FB093E" w14:paraId="02E03345" w14:textId="487272EC">
      <w:pPr>
        <w:pStyle w:val="FootnoteText"/>
        <w:rPr>
          <w:vertAlign w:val="superscript"/>
        </w:rPr>
      </w:pPr>
      <w:r w:rsidRPr="00756A39">
        <w:rPr>
          <w:vertAlign w:val="superscript"/>
        </w:rPr>
        <w:footnoteRef/>
      </w:r>
      <w:r w:rsidRPr="00756A39">
        <w:rPr>
          <w:vertAlign w:val="superscript"/>
        </w:rPr>
        <w:t xml:space="preserve"> </w:t>
      </w:r>
      <w:r w:rsidRPr="00A22D6D">
        <w:rPr>
          <w:vertAlign w:val="superscript"/>
        </w:rPr>
        <w:t xml:space="preserve"> </w:t>
      </w:r>
      <w:r w:rsidRPr="00991188">
        <w:rPr>
          <w:rFonts w:eastAsia="Aptos"/>
          <w:i/>
          <w:iCs/>
        </w:rPr>
        <w:t>Globalstar Licensee LLC, Application for Modification of Non-Geostationary Mobile Satellite Service System Authorization</w:t>
      </w:r>
      <w:r w:rsidRPr="00756A39">
        <w:rPr>
          <w:rFonts w:eastAsia="Aptos"/>
        </w:rPr>
        <w:t xml:space="preserve">, Order and Authorization, DA 24-825, </w:t>
      </w:r>
      <w:r w:rsidR="001F1CBF">
        <w:rPr>
          <w:rFonts w:eastAsia="Aptos"/>
        </w:rPr>
        <w:t>paras.</w:t>
      </w:r>
      <w:r w:rsidRPr="00756A39">
        <w:rPr>
          <w:rFonts w:eastAsia="Aptos"/>
        </w:rPr>
        <w:t xml:space="preserve"> </w:t>
      </w:r>
      <w:r>
        <w:rPr>
          <w:rFonts w:eastAsia="Aptos"/>
        </w:rPr>
        <w:t>8</w:t>
      </w:r>
      <w:r w:rsidR="00EF67FD">
        <w:rPr>
          <w:rFonts w:eastAsia="Aptos"/>
        </w:rPr>
        <w:t>-</w:t>
      </w:r>
      <w:r w:rsidRPr="00756A39">
        <w:rPr>
          <w:rFonts w:eastAsia="Aptos"/>
        </w:rPr>
        <w:t xml:space="preserve">9 n.34 (Aug. 16, 2024) (“Globalstar has exclusive use of the 1610-1617 MHz band”), and </w:t>
      </w:r>
      <w:r w:rsidRPr="00991188">
        <w:rPr>
          <w:rFonts w:eastAsia="Aptos"/>
          <w:i/>
          <w:iCs/>
        </w:rPr>
        <w:t>Space Exploration Holdings, LLC Application for Modification of Authorization for the SpaceX Gen2 NGSO Satellite System to Add a Mobile-Satellite Service System</w:t>
      </w:r>
      <w:r w:rsidRPr="00756A39">
        <w:rPr>
          <w:rFonts w:eastAsia="Aptos"/>
        </w:rPr>
        <w:t xml:space="preserve">, Order, 39 FCC Rcd 3007, </w:t>
      </w:r>
      <w:r w:rsidR="008F5AAA">
        <w:rPr>
          <w:rFonts w:eastAsia="Aptos"/>
        </w:rPr>
        <w:t>para.</w:t>
      </w:r>
      <w:r w:rsidRPr="00756A39">
        <w:rPr>
          <w:rFonts w:eastAsia="Aptos"/>
        </w:rPr>
        <w:t xml:space="preserve"> 6 (2024) (“Globalstar is authorized to operate its space stations in the 1610-1617.775 MHz frequency band on an ‘exclusive basis</w:t>
      </w:r>
      <w:r w:rsidR="007C0813">
        <w:rPr>
          <w:rFonts w:eastAsia="Aptos"/>
        </w:rPr>
        <w:t>’</w:t>
      </w:r>
      <w:r w:rsidRPr="00947B7F">
        <w:rPr>
          <w:rFonts w:eastAsia="Aptos"/>
        </w:rPr>
        <w:t>”)</w:t>
      </w:r>
      <w:r>
        <w:rPr>
          <w:rFonts w:eastAsia="Aptos"/>
        </w:rPr>
        <w:t>.</w:t>
      </w:r>
    </w:p>
  </w:footnote>
  <w:footnote w:id="35">
    <w:p w:rsidR="00877826" w14:paraId="391A6B09" w14:textId="7E57A893">
      <w:pPr>
        <w:pStyle w:val="FootnoteText"/>
      </w:pPr>
      <w:r>
        <w:rPr>
          <w:rStyle w:val="FootnoteReference"/>
        </w:rPr>
        <w:footnoteRef/>
      </w:r>
      <w:r>
        <w:t xml:space="preserve"> </w:t>
      </w:r>
      <w:r w:rsidRPr="004576FD" w:rsidR="00451A31">
        <w:rPr>
          <w:i/>
          <w:iCs/>
        </w:rPr>
        <w:t>See e.g</w:t>
      </w:r>
      <w:r w:rsidR="00451A31">
        <w:t xml:space="preserve">., </w:t>
      </w:r>
      <w:r w:rsidR="00EF6E2A">
        <w:t>Petition to Deny of Globalstar, filed in ICFS File Nos. SAT-LOA-20250916-00282 and</w:t>
      </w:r>
      <w:r w:rsidR="00B3558E">
        <w:t xml:space="preserve"> SAT-AMD-</w:t>
      </w:r>
      <w:r w:rsidR="00451A31">
        <w:t xml:space="preserve">20251125-00339, at </w:t>
      </w:r>
      <w:r w:rsidR="00F708CA">
        <w:t xml:space="preserve">7-8; and </w:t>
      </w:r>
      <w:r w:rsidR="00620BBB">
        <w:t>Petition of Iridium Constellation LLC to Dismiss or Deny in Part and Request for Conditions</w:t>
      </w:r>
      <w:r w:rsidR="00636094">
        <w:t xml:space="preserve"> at </w:t>
      </w:r>
      <w:r w:rsidR="008D4EF9">
        <w:t>2-3</w:t>
      </w:r>
      <w:r w:rsidR="00620BBB">
        <w:t xml:space="preserve">, </w:t>
      </w:r>
      <w:r w:rsidR="006A2E5C">
        <w:t>filed in ICFS File Nos. ICFS File Nos. SAT-LOA-20250916-00282 and SAT-AMD-20251125-00339</w:t>
      </w:r>
      <w:r w:rsidR="00D467FE">
        <w:t>.</w:t>
      </w:r>
    </w:p>
  </w:footnote>
  <w:footnote w:id="36">
    <w:p w:rsidR="00904F66" w14:paraId="421E3CCE" w14:textId="486101AF">
      <w:pPr>
        <w:pStyle w:val="FootnoteText"/>
      </w:pPr>
      <w:r>
        <w:rPr>
          <w:rStyle w:val="FootnoteReference"/>
        </w:rPr>
        <w:footnoteRef/>
      </w:r>
      <w:r>
        <w:t xml:space="preserve"> </w:t>
      </w:r>
      <w:r w:rsidRPr="004576FD">
        <w:rPr>
          <w:i/>
          <w:iCs/>
        </w:rPr>
        <w:t>Id</w:t>
      </w:r>
      <w:r>
        <w:t xml:space="preserve">. </w:t>
      </w:r>
    </w:p>
  </w:footnote>
  <w:footnote w:id="37">
    <w:p w:rsidR="002574F0" w:rsidP="002574F0" w14:paraId="6E1B9AC1" w14:textId="10D3A1B7">
      <w:pPr>
        <w:pStyle w:val="FootnoteText"/>
      </w:pPr>
      <w:r>
        <w:rPr>
          <w:rStyle w:val="FootnoteReference"/>
        </w:rPr>
        <w:footnoteRef/>
      </w:r>
      <w:r>
        <w:t xml:space="preserve"> </w:t>
      </w:r>
      <w:r w:rsidRPr="00804A74">
        <w:rPr>
          <w:i/>
          <w:iCs/>
        </w:rPr>
        <w:t>See</w:t>
      </w:r>
      <w:r>
        <w:t xml:space="preserve"> </w:t>
      </w:r>
      <w:r w:rsidRPr="00CD54CF">
        <w:t>SpaceX</w:t>
      </w:r>
      <w:r>
        <w:t xml:space="preserve"> Gen2 D2C Mod</w:t>
      </w:r>
      <w:r w:rsidR="00355D4D">
        <w:t>ification</w:t>
      </w:r>
      <w:r>
        <w:t>; SpaceX Gen2 Upgrade Applications; SpaceX Gen2 1.5 and 1.6/2.4 GHz band Mod</w:t>
      </w:r>
      <w:r w:rsidR="00983A1D">
        <w:t>ification</w:t>
      </w:r>
      <w:r>
        <w:t>.  Specifically, we dismiss SpaceX’s 1.6/2.4 GHz Mod</w:t>
      </w:r>
      <w:r w:rsidR="00983A1D">
        <w:t>ification</w:t>
      </w:r>
      <w:r>
        <w:t xml:space="preserve"> as it has not been accepted for filing, and </w:t>
      </w:r>
      <w:r w:rsidRPr="0072547F">
        <w:t>dismiss</w:t>
      </w:r>
      <w:r w:rsidRPr="00F531F6">
        <w:t xml:space="preserve"> </w:t>
      </w:r>
      <w:r w:rsidRPr="0072547F">
        <w:t>the applications for the pending bands</w:t>
      </w:r>
      <w:r w:rsidR="00405DD1">
        <w:t xml:space="preserve"> at issue here</w:t>
      </w:r>
      <w:r w:rsidRPr="00F531F6">
        <w:t xml:space="preserve"> in</w:t>
      </w:r>
      <w:r>
        <w:t xml:space="preserve"> the SpaceX D2C Mod and the SpaceX Upgrade Applications.  </w:t>
      </w:r>
      <w:r w:rsidRPr="004A711C">
        <w:rPr>
          <w:i/>
          <w:iCs/>
        </w:rPr>
        <w:t>See</w:t>
      </w:r>
      <w:r w:rsidRPr="004A711C">
        <w:t xml:space="preserve"> 47 CFR § 25.112(a)(2).</w:t>
      </w:r>
      <w:r>
        <w:t xml:space="preserve">  We note that p</w:t>
      </w:r>
      <w:r w:rsidRPr="00A71732">
        <w:rPr>
          <w:color w:val="000000"/>
        </w:rPr>
        <w:t xml:space="preserve">lacing the application on </w:t>
      </w:r>
      <w:r w:rsidR="00D467FE">
        <w:rPr>
          <w:color w:val="000000"/>
        </w:rPr>
        <w:t>p</w:t>
      </w:r>
      <w:r w:rsidRPr="00A71732">
        <w:rPr>
          <w:color w:val="000000"/>
        </w:rPr>
        <w:t xml:space="preserve">ublic </w:t>
      </w:r>
      <w:r w:rsidR="00D467FE">
        <w:rPr>
          <w:color w:val="000000"/>
        </w:rPr>
        <w:t>n</w:t>
      </w:r>
      <w:r w:rsidRPr="00A71732">
        <w:rPr>
          <w:color w:val="000000"/>
        </w:rPr>
        <w:t xml:space="preserve">otice does not protect it from later </w:t>
      </w:r>
      <w:r w:rsidRPr="00A71732">
        <w:rPr>
          <w:color w:val="000000"/>
          <w:bdr w:val="none" w:sz="0" w:space="0" w:color="auto" w:frame="1"/>
          <w:shd w:val="clear" w:color="auto" w:fill="FFFFFF"/>
        </w:rPr>
        <w:t>dismissal</w:t>
      </w:r>
      <w:r w:rsidRPr="00A71732">
        <w:rPr>
          <w:color w:val="000000"/>
        </w:rPr>
        <w:t>.</w:t>
      </w:r>
      <w:r>
        <w:rPr>
          <w:color w:val="000000"/>
        </w:rPr>
        <w:t xml:space="preserve"> </w:t>
      </w:r>
      <w:r w:rsidRPr="00A71732">
        <w:rPr>
          <w:color w:val="000000"/>
        </w:rPr>
        <w:t xml:space="preserve"> As stated in each Space Station Applications Accepted for Filing Public Notice, “The Commission reserves the right to return any of the applications if, upon further examination, it is determined that the application is not in conformance with the Commission's rules or its policies.”</w:t>
      </w:r>
      <w:r>
        <w:t xml:space="preserve">  </w:t>
      </w:r>
    </w:p>
  </w:footnote>
  <w:footnote w:id="38">
    <w:p w:rsidR="002574F0" w:rsidP="002574F0" w14:paraId="340CE344" w14:textId="77777777">
      <w:pPr>
        <w:pStyle w:val="FootnoteText"/>
      </w:pPr>
      <w:r>
        <w:rPr>
          <w:rStyle w:val="FootnoteReference"/>
        </w:rPr>
        <w:footnoteRef/>
      </w:r>
      <w:r>
        <w:t xml:space="preserve"> </w:t>
      </w:r>
      <w:r w:rsidRPr="003905C8">
        <w:rPr>
          <w:i/>
          <w:iCs/>
        </w:rPr>
        <w:t>See</w:t>
      </w:r>
      <w:r>
        <w:t xml:space="preserve"> SpaceX D2C Constellation Application. </w:t>
      </w:r>
    </w:p>
  </w:footnote>
  <w:footnote w:id="39">
    <w:p w:rsidR="002574F0" w:rsidRPr="005F2CDC" w:rsidP="002574F0" w14:paraId="6D776990" w14:textId="77777777">
      <w:pPr>
        <w:pStyle w:val="FootnoteText"/>
      </w:pPr>
      <w:r>
        <w:rPr>
          <w:rStyle w:val="FootnoteReference"/>
        </w:rPr>
        <w:footnoteRef/>
      </w:r>
      <w:r>
        <w:t xml:space="preserve"> </w:t>
      </w:r>
      <w:r>
        <w:rPr>
          <w:i/>
          <w:iCs/>
        </w:rPr>
        <w:t xml:space="preserve">See </w:t>
      </w:r>
      <w:r>
        <w:t>Kepler Petition.</w:t>
      </w:r>
    </w:p>
  </w:footnote>
  <w:footnote w:id="40">
    <w:p w:rsidR="002574F0" w:rsidP="002574F0" w14:paraId="1919AC8E" w14:textId="21EFB622">
      <w:pPr>
        <w:pStyle w:val="FootnoteText"/>
      </w:pPr>
      <w:r>
        <w:rPr>
          <w:rStyle w:val="FootnoteReference"/>
        </w:rPr>
        <w:footnoteRef/>
      </w:r>
      <w:r>
        <w:t xml:space="preserve"> </w:t>
      </w:r>
      <w:r w:rsidR="008E1779">
        <w:t>In addition, both t</w:t>
      </w:r>
      <w:r w:rsidR="00D47575">
        <w:t xml:space="preserve">he </w:t>
      </w:r>
      <w:r w:rsidRPr="001F648B" w:rsidR="00D47575">
        <w:t xml:space="preserve">Globalstar and Iridium </w:t>
      </w:r>
      <w:r w:rsidR="00D47575">
        <w:t>systems h</w:t>
      </w:r>
      <w:r w:rsidRPr="001F648B" w:rsidR="00D47575">
        <w:t>ave been fully notified with the ITU and have among the highest coordination priority status</w:t>
      </w:r>
      <w:r w:rsidR="00D47575">
        <w:t xml:space="preserve"> internationally</w:t>
      </w:r>
      <w:r w:rsidRPr="001F648B" w:rsidR="00D47575">
        <w:t xml:space="preserve">.  Later filed systems with the ITU planning to operate in the 1.6/2.4 bands are required to coordinate with both Globalstar and Iridium. </w:t>
      </w:r>
      <w:r w:rsidR="00D47575">
        <w:t xml:space="preserve"> </w:t>
      </w:r>
      <w:r w:rsidRPr="001F648B" w:rsidR="00D47575">
        <w:t xml:space="preserve">To date, coordination of </w:t>
      </w:r>
      <w:r w:rsidR="00D47575">
        <w:t>later filed</w:t>
      </w:r>
      <w:r w:rsidRPr="001F648B" w:rsidR="00D47575">
        <w:t xml:space="preserve"> systems with Globalstar and Iridium have </w:t>
      </w:r>
      <w:r w:rsidR="00D47575">
        <w:t>p</w:t>
      </w:r>
      <w:r w:rsidRPr="001F648B" w:rsidR="00D47575">
        <w:t>roven very difficult to impossible to achieve</w:t>
      </w:r>
      <w:r w:rsidR="00D749F7">
        <w:t xml:space="preserve">.  </w:t>
      </w:r>
      <w:r w:rsidRPr="00251546">
        <w:rPr>
          <w:i/>
          <w:iCs/>
        </w:rPr>
        <w:t>See e.g.</w:t>
      </w:r>
      <w:r>
        <w:t xml:space="preserve">, </w:t>
      </w:r>
      <w:r w:rsidR="00236D8C">
        <w:t xml:space="preserve">Letter from Satellite Division, International </w:t>
      </w:r>
      <w:r w:rsidRPr="00236D8C" w:rsidR="00236D8C">
        <w:t>Bureau</w:t>
      </w:r>
      <w:r w:rsidR="003C31C8">
        <w:t>,</w:t>
      </w:r>
      <w:r w:rsidRPr="001132EB" w:rsidR="00236D8C">
        <w:t xml:space="preserve"> to </w:t>
      </w:r>
      <w:r w:rsidRPr="00236D8C">
        <w:t xml:space="preserve">Thomas </w:t>
      </w:r>
      <w:r w:rsidRPr="001132EB">
        <w:t>Weber</w:t>
      </w:r>
      <w:r w:rsidRPr="00A649FD">
        <w:t>,</w:t>
      </w:r>
      <w:r w:rsidRPr="001132EB">
        <w:t xml:space="preserve"> Satellite</w:t>
      </w:r>
      <w:r>
        <w:t xml:space="preserve"> Services Department, Federal Network </w:t>
      </w:r>
      <w:r w:rsidR="00236D8C">
        <w:t xml:space="preserve">Agency </w:t>
      </w:r>
      <w:r>
        <w:t>(</w:t>
      </w:r>
      <w:r w:rsidR="007442D2">
        <w:t xml:space="preserve">dated </w:t>
      </w:r>
      <w:r>
        <w:t>Apr</w:t>
      </w:r>
      <w:r w:rsidR="007442D2">
        <w:t>.</w:t>
      </w:r>
      <w:r>
        <w:t xml:space="preserve"> 21, 2022) (request for coordination of German Courier-3 ITU filing noting significant impacts to Big LEO capacity </w:t>
      </w:r>
      <w:r w:rsidR="000D720D">
        <w:t>and quality</w:t>
      </w:r>
      <w:r>
        <w:t xml:space="preserve"> of service).  </w:t>
      </w:r>
    </w:p>
  </w:footnote>
  <w:footnote w:id="41">
    <w:p w:rsidR="00094603" w14:paraId="112A635A" w14:textId="7A75BEEF">
      <w:pPr>
        <w:pStyle w:val="FootnoteText"/>
      </w:pPr>
      <w:r>
        <w:rPr>
          <w:rStyle w:val="FootnoteReference"/>
        </w:rPr>
        <w:footnoteRef/>
      </w:r>
      <w:r>
        <w:t xml:space="preserve"> 47 CFR §</w:t>
      </w:r>
      <w:r w:rsidR="00977EA0">
        <w:t xml:space="preserve"> </w:t>
      </w:r>
      <w:r>
        <w:t xml:space="preserve">1.401(e).  </w:t>
      </w:r>
    </w:p>
  </w:footnote>
  <w:footnote w:id="42">
    <w:p w:rsidR="002574F0" w:rsidRPr="007E4317" w:rsidP="00B46C4C" w14:paraId="00E9DA2D" w14:textId="020DA581">
      <w:pPr>
        <w:pStyle w:val="FootnoteText"/>
      </w:pPr>
      <w:r>
        <w:rPr>
          <w:rStyle w:val="FootnoteReference"/>
        </w:rPr>
        <w:footnoteRef/>
      </w:r>
      <w:r>
        <w:t xml:space="preserve"> </w:t>
      </w:r>
      <w:r w:rsidRPr="00F10B32">
        <w:rPr>
          <w:i/>
        </w:rPr>
        <w:t>See, e.g</w:t>
      </w:r>
      <w:r w:rsidRPr="007E4317">
        <w:t>., SpaceX Petition at 5 (</w:t>
      </w:r>
      <w:r w:rsidR="002A1925">
        <w:t xml:space="preserve">arguing </w:t>
      </w:r>
      <w:r w:rsidRPr="007E4317">
        <w:t>the Commission should expeditiously modernize its sharing framework for MSS operation in the 1.6/2.4</w:t>
      </w:r>
      <w:r w:rsidR="00AC659D">
        <w:t xml:space="preserve"> </w:t>
      </w:r>
      <w:r w:rsidRPr="007E4317">
        <w:t xml:space="preserve">GHz Band to enable </w:t>
      </w:r>
      <w:r w:rsidRPr="00B46C4C">
        <w:t>efficient</w:t>
      </w:r>
      <w:r w:rsidRPr="007E4317">
        <w:t xml:space="preserve"> sharing between multiple next-generation satellite operators); Iridium Petition at 3 (</w:t>
      </w:r>
      <w:r w:rsidRPr="00F10B32">
        <w:t>request</w:t>
      </w:r>
      <w:r w:rsidR="002A1925">
        <w:t>ing</w:t>
      </w:r>
      <w:r w:rsidRPr="00F10B32">
        <w:t xml:space="preserve"> that the Commission once again revise the 1.6 GHz band plan to provide Iridium’s in-orbit MSS system full spectrum access down to 1616 MHz, for a total of 10.5 megahertz (1616-1626.5 MHz), and additionally to allow Iridium’s future third generation of satellites to use the same spectrum plus share the remainder of the 1.6 GHz band with Globalstar’s system (1610-1616 MHz)).</w:t>
      </w:r>
    </w:p>
  </w:footnote>
  <w:footnote w:id="43">
    <w:p w:rsidR="002574F0" w:rsidP="002574F0" w14:paraId="26639BE2" w14:textId="77777777">
      <w:pPr>
        <w:pStyle w:val="FootnoteText"/>
      </w:pPr>
      <w:r>
        <w:rPr>
          <w:rStyle w:val="FootnoteReference"/>
        </w:rPr>
        <w:footnoteRef/>
      </w:r>
      <w:r>
        <w:t xml:space="preserve"> SpaceX Petition at 7-8.</w:t>
      </w:r>
    </w:p>
  </w:footnote>
  <w:footnote w:id="44">
    <w:p w:rsidR="002574F0" w:rsidP="002574F0" w14:paraId="565FF508" w14:textId="77777777">
      <w:pPr>
        <w:pStyle w:val="FootnoteText"/>
      </w:pPr>
      <w:r>
        <w:rPr>
          <w:rStyle w:val="FootnoteReference"/>
        </w:rPr>
        <w:footnoteRef/>
      </w:r>
      <w:r>
        <w:t xml:space="preserve"> </w:t>
      </w:r>
      <w:r w:rsidRPr="0031079E">
        <w:rPr>
          <w:i/>
          <w:iCs/>
        </w:rPr>
        <w:t>Id.</w:t>
      </w:r>
      <w:r>
        <w:t xml:space="preserve"> </w:t>
      </w:r>
    </w:p>
  </w:footnote>
  <w:footnote w:id="45">
    <w:p w:rsidR="002574F0" w:rsidP="002574F0" w14:paraId="3A4827A2" w14:textId="77777777">
      <w:pPr>
        <w:pStyle w:val="FootnoteText"/>
      </w:pPr>
      <w:r>
        <w:rPr>
          <w:rStyle w:val="FootnoteReference"/>
        </w:rPr>
        <w:footnoteRef/>
      </w:r>
      <w:r>
        <w:t xml:space="preserve"> </w:t>
      </w:r>
      <w:r w:rsidRPr="007B4741">
        <w:rPr>
          <w:i/>
          <w:iCs/>
        </w:rPr>
        <w:t>Id.</w:t>
      </w:r>
      <w:r>
        <w:t xml:space="preserve"> at 7.  SpaceX also asks that the Commission allow good faith coordination to address spectrum issues in the band before reverting to default sharing</w:t>
      </w:r>
      <w:r w:rsidRPr="00F10B32">
        <w:rPr>
          <w:i/>
        </w:rPr>
        <w:t>.  Id.</w:t>
      </w:r>
      <w:r>
        <w:rPr>
          <w:i/>
          <w:iCs/>
        </w:rPr>
        <w:t xml:space="preserve"> </w:t>
      </w:r>
      <w:r w:rsidRPr="00F10B32">
        <w:t>at 9</w:t>
      </w:r>
      <w:r>
        <w:rPr>
          <w:i/>
          <w:iCs/>
        </w:rPr>
        <w:t xml:space="preserve">. </w:t>
      </w:r>
    </w:p>
  </w:footnote>
  <w:footnote w:id="46">
    <w:p w:rsidR="002574F0" w:rsidP="002574F0" w14:paraId="7D254D69" w14:textId="77777777">
      <w:pPr>
        <w:pStyle w:val="FootnoteText"/>
      </w:pPr>
      <w:r>
        <w:rPr>
          <w:rStyle w:val="FootnoteReference"/>
        </w:rPr>
        <w:footnoteRef/>
      </w:r>
      <w:r>
        <w:t xml:space="preserve"> </w:t>
      </w:r>
      <w:r w:rsidRPr="00914F4E">
        <w:rPr>
          <w:i/>
          <w:iCs/>
        </w:rPr>
        <w:t>Id</w:t>
      </w:r>
      <w:r>
        <w:t xml:space="preserve">. </w:t>
      </w:r>
    </w:p>
  </w:footnote>
  <w:footnote w:id="47">
    <w:p w:rsidR="002574F0" w:rsidP="002574F0" w14:paraId="1B17B400" w14:textId="77777777">
      <w:pPr>
        <w:pStyle w:val="FootnoteText"/>
      </w:pPr>
      <w:r>
        <w:rPr>
          <w:rStyle w:val="FootnoteReference"/>
        </w:rPr>
        <w:footnoteRef/>
      </w:r>
      <w:r>
        <w:t xml:space="preserve"> Iridium Petition at 2-4. </w:t>
      </w:r>
    </w:p>
  </w:footnote>
  <w:footnote w:id="48">
    <w:p w:rsidR="002574F0" w:rsidP="002574F0" w14:paraId="77612B67" w14:textId="22EF38C4">
      <w:pPr>
        <w:pStyle w:val="FootnoteText"/>
      </w:pPr>
      <w:r>
        <w:rPr>
          <w:rStyle w:val="FootnoteReference"/>
        </w:rPr>
        <w:footnoteRef/>
      </w:r>
      <w:r w:rsidR="00AA5098">
        <w:rPr>
          <w:i/>
        </w:rPr>
        <w:t xml:space="preserve"> </w:t>
      </w:r>
      <w:r w:rsidRPr="00F10B32">
        <w:rPr>
          <w:i/>
        </w:rPr>
        <w:t>Id</w:t>
      </w:r>
      <w:r>
        <w:t xml:space="preserve">. at 8-10.  </w:t>
      </w:r>
    </w:p>
  </w:footnote>
  <w:footnote w:id="49">
    <w:p w:rsidR="002574F0" w:rsidP="002574F0" w14:paraId="65CB1297" w14:textId="0E8BA69B">
      <w:pPr>
        <w:pStyle w:val="FootnoteText"/>
      </w:pPr>
      <w:r>
        <w:rPr>
          <w:rStyle w:val="FootnoteReference"/>
        </w:rPr>
        <w:footnoteRef/>
      </w:r>
      <w:r>
        <w:t xml:space="preserve"> </w:t>
      </w:r>
      <w:r w:rsidRPr="00105D46">
        <w:rPr>
          <w:i/>
          <w:iCs/>
        </w:rPr>
        <w:t>S</w:t>
      </w:r>
      <w:r w:rsidR="00FE0361">
        <w:rPr>
          <w:i/>
          <w:iCs/>
        </w:rPr>
        <w:t>upra</w:t>
      </w:r>
      <w:r>
        <w:t xml:space="preserve"> paras</w:t>
      </w:r>
      <w:r w:rsidR="00FE0361">
        <w:t>.</w:t>
      </w:r>
      <w:r>
        <w:t xml:space="preserve"> </w:t>
      </w:r>
      <w:r w:rsidR="00A14D3A">
        <w:t>8</w:t>
      </w:r>
      <w:r w:rsidR="00FE0361">
        <w:t>-</w:t>
      </w:r>
      <w:r w:rsidR="00A14D3A">
        <w:t>9</w:t>
      </w:r>
      <w:r>
        <w:t xml:space="preserve">. </w:t>
      </w:r>
    </w:p>
  </w:footnote>
  <w:footnote w:id="50">
    <w:p w:rsidR="002574F0" w:rsidP="002574F0" w14:paraId="3A951494" w14:textId="77777777">
      <w:pPr>
        <w:pStyle w:val="FootnoteText"/>
      </w:pPr>
      <w:r>
        <w:rPr>
          <w:rStyle w:val="FootnoteReference"/>
        </w:rPr>
        <w:footnoteRef/>
      </w:r>
      <w:r>
        <w:t xml:space="preserve"> </w:t>
      </w:r>
      <w:r w:rsidRPr="00F10B32">
        <w:rPr>
          <w:i/>
        </w:rPr>
        <w:t>See</w:t>
      </w:r>
      <w:r>
        <w:rPr>
          <w:i/>
          <w:iCs/>
        </w:rPr>
        <w:t>,</w:t>
      </w:r>
      <w:r w:rsidRPr="00F10B32">
        <w:rPr>
          <w:i/>
        </w:rPr>
        <w:t xml:space="preserve"> e.g</w:t>
      </w:r>
      <w:r>
        <w:t>., Kepler Comments at 7.</w:t>
      </w:r>
    </w:p>
  </w:footnote>
  <w:footnote w:id="51">
    <w:p w:rsidR="002574F0" w:rsidP="002574F0" w14:paraId="044356EC" w14:textId="77777777">
      <w:pPr>
        <w:pStyle w:val="FootnoteText"/>
      </w:pPr>
      <w:r>
        <w:rPr>
          <w:rStyle w:val="FootnoteReference"/>
        </w:rPr>
        <w:footnoteRef/>
      </w:r>
      <w:r>
        <w:t xml:space="preserve"> </w:t>
      </w:r>
      <w:r w:rsidRPr="00F10B32">
        <w:rPr>
          <w:i/>
        </w:rPr>
        <w:t>Id</w:t>
      </w:r>
      <w:r>
        <w:t xml:space="preserve">. at 11.  </w:t>
      </w:r>
    </w:p>
  </w:footnote>
  <w:footnote w:id="52">
    <w:p w:rsidR="002574F0" w:rsidP="002574F0" w14:paraId="266A5774" w14:textId="63448B4F">
      <w:pPr>
        <w:pStyle w:val="FootnoteText"/>
      </w:pPr>
      <w:r>
        <w:rPr>
          <w:rStyle w:val="FootnoteReference"/>
        </w:rPr>
        <w:footnoteRef/>
      </w:r>
      <w:r>
        <w:t xml:space="preserve"> Opposition to Petition for Rulemaking, Globalstar, Inc., RM-11975, at 4-7 (Apr. 25, 2024) (Globalstar Opposition)</w:t>
      </w:r>
      <w:r w:rsidR="00781777">
        <w:t>.</w:t>
      </w:r>
      <w:r>
        <w:t xml:space="preserve">  Globalstar also notes that it has lost spectrum since the </w:t>
      </w:r>
      <w:r w:rsidR="0039490F">
        <w:t>plan’s</w:t>
      </w:r>
      <w:r>
        <w:t xml:space="preserve"> inception: </w:t>
      </w:r>
      <w:r w:rsidR="00F91CE9">
        <w:t>three</w:t>
      </w:r>
      <w:r w:rsidR="00781777">
        <w:t xml:space="preserve"> </w:t>
      </w:r>
      <w:r w:rsidR="004D3915">
        <w:t>megahertz</w:t>
      </w:r>
      <w:r>
        <w:t xml:space="preserve"> in the L-band to Iridium in 2007 and </w:t>
      </w:r>
      <w:r w:rsidR="00B635FA">
        <w:t>five</w:t>
      </w:r>
      <w:r>
        <w:t xml:space="preserve"> megahertz in the S-band in 2004 to facilitate Broadband Radio Service operations.  </w:t>
      </w:r>
      <w:r w:rsidRPr="00F10B32">
        <w:rPr>
          <w:i/>
        </w:rPr>
        <w:t>Id.</w:t>
      </w:r>
      <w:r>
        <w:t xml:space="preserve"> at 5.  </w:t>
      </w:r>
    </w:p>
  </w:footnote>
  <w:footnote w:id="53">
    <w:p w:rsidR="002574F0" w:rsidP="002574F0" w14:paraId="58A9CE10" w14:textId="77777777">
      <w:pPr>
        <w:pStyle w:val="FootnoteText"/>
      </w:pPr>
      <w:r>
        <w:rPr>
          <w:rStyle w:val="FootnoteReference"/>
        </w:rPr>
        <w:footnoteRef/>
      </w:r>
      <w:r>
        <w:t xml:space="preserve"> </w:t>
      </w:r>
      <w:r w:rsidRPr="00F10B32">
        <w:rPr>
          <w:i/>
        </w:rPr>
        <w:t>Id</w:t>
      </w:r>
      <w:r>
        <w:t xml:space="preserve">. at 8. </w:t>
      </w:r>
    </w:p>
  </w:footnote>
  <w:footnote w:id="54">
    <w:p w:rsidR="002574F0" w:rsidP="002574F0" w14:paraId="05531C40" w14:textId="2B2DAB8C">
      <w:pPr>
        <w:pStyle w:val="FootnoteText"/>
      </w:pPr>
      <w:r>
        <w:rPr>
          <w:rStyle w:val="FootnoteReference"/>
        </w:rPr>
        <w:footnoteRef/>
      </w:r>
      <w:r w:rsidRPr="00EF5CB8">
        <w:t xml:space="preserve"> </w:t>
      </w:r>
      <w:r w:rsidRPr="00F10B32">
        <w:rPr>
          <w:i/>
        </w:rPr>
        <w:t>See</w:t>
      </w:r>
      <w:r w:rsidRPr="00F10B32">
        <w:t xml:space="preserve"> Letter from </w:t>
      </w:r>
      <w:r w:rsidRPr="00A13DA9">
        <w:t>L. Barbee</w:t>
      </w:r>
      <w:r w:rsidRPr="00F10B32">
        <w:t xml:space="preserve"> Ponder IV, General Counsel,</w:t>
      </w:r>
      <w:r w:rsidRPr="00EF5CB8">
        <w:t xml:space="preserve"> Globalstar </w:t>
      </w:r>
      <w:r w:rsidRPr="00F10B32">
        <w:t xml:space="preserve">to Marlene H. Dortch, Secretary FCC </w:t>
      </w:r>
      <w:r>
        <w:t>(</w:t>
      </w:r>
      <w:r w:rsidR="0095191C">
        <w:t xml:space="preserve">dated </w:t>
      </w:r>
      <w:r w:rsidRPr="00892556">
        <w:t>Dec</w:t>
      </w:r>
      <w:r w:rsidR="0095191C">
        <w:t>.</w:t>
      </w:r>
      <w:r w:rsidRPr="00F10B32">
        <w:t xml:space="preserve"> 30, 2025</w:t>
      </w:r>
      <w:r>
        <w:t>) filed in ICFS File No. SAT-PDR-20250214-00047; RM-11975; ICFS File Nos. SAT-AMD-20241017-00228, SAT-MOD-20250611-00144, and SAT-LOA-20250916-00282</w:t>
      </w:r>
      <w:r w:rsidRPr="002E26FE">
        <w:t>, citing</w:t>
      </w:r>
      <w:r>
        <w:t xml:space="preserve"> Consolidated Response of Globalstar Licensee LLC, ICFS File No. SAT-PDR-20250214-00047 (Jul</w:t>
      </w:r>
      <w:r w:rsidR="00985AA4">
        <w:t>.</w:t>
      </w:r>
      <w:r>
        <w:t xml:space="preserve"> 15, 2025</w:t>
      </w:r>
      <w:r w:rsidR="00545312">
        <w:t>)</w:t>
      </w:r>
      <w:r>
        <w:t xml:space="preserve"> (attaching Roberson and Associates, LLC Interference Analysis from Proposed SpaceX and Kepler MSS Systems into Globalstar’s HIBLEO-4</w:t>
      </w:r>
      <w:r w:rsidR="00BE48A0">
        <w:t xml:space="preserve"> and HIBLEO-</w:t>
      </w:r>
      <w:r>
        <w:t>X MSS System</w:t>
      </w:r>
      <w:r w:rsidR="00BE48A0">
        <w:t>s</w:t>
      </w:r>
      <w:r w:rsidR="000E4E15">
        <w:t>)</w:t>
      </w:r>
      <w:r w:rsidR="003679D0">
        <w:t>.</w:t>
      </w:r>
    </w:p>
  </w:footnote>
  <w:footnote w:id="55">
    <w:p w:rsidR="002574F0" w:rsidP="002574F0" w14:paraId="606F6DF5" w14:textId="121AD817">
      <w:pPr>
        <w:pStyle w:val="FootnoteText"/>
      </w:pPr>
      <w:r>
        <w:rPr>
          <w:rStyle w:val="FootnoteReference"/>
        </w:rPr>
        <w:footnoteRef/>
      </w:r>
      <w:r>
        <w:t xml:space="preserve"> </w:t>
      </w:r>
      <w:r w:rsidRPr="00F10B32">
        <w:rPr>
          <w:i/>
        </w:rPr>
        <w:t>See generally</w:t>
      </w:r>
      <w:r>
        <w:t xml:space="preserve"> Globalstar Opposition (describing significant investments in MSS made thus far as well as the chilling effect a rulemaking would have on future investments)</w:t>
      </w:r>
      <w:r w:rsidR="00E35272">
        <w:t xml:space="preserve">; </w:t>
      </w:r>
      <w:r w:rsidR="005620A6">
        <w:t>s</w:t>
      </w:r>
      <w:r w:rsidR="00662043">
        <w:rPr>
          <w:i/>
          <w:iCs/>
        </w:rPr>
        <w:t>ee also</w:t>
      </w:r>
      <w:r w:rsidR="00662043">
        <w:t xml:space="preserve"> </w:t>
      </w:r>
      <w:r w:rsidRPr="00B20B17" w:rsidR="00B20B17">
        <w:rPr>
          <w:i/>
          <w:iCs/>
        </w:rPr>
        <w:t>Press Release</w:t>
      </w:r>
      <w:r w:rsidRPr="00B20B17" w:rsidR="00B20B17">
        <w:t>, Globalstar, Amazon to Acquire Globalstar and Expand Amazon Leo Satellite Network, (Apr</w:t>
      </w:r>
      <w:r w:rsidR="00B36F87">
        <w:t>.</w:t>
      </w:r>
      <w:r w:rsidRPr="00B20B17" w:rsidR="00B20B17">
        <w:t xml:space="preserve"> 14, </w:t>
      </w:r>
      <w:r w:rsidR="00874DD9">
        <w:t>2026</w:t>
      </w:r>
      <w:r w:rsidRPr="00B20B17" w:rsidR="00B20B17">
        <w:t>), </w:t>
      </w:r>
      <w:hyperlink r:id="rId1" w:tgtFrame="_blank" w:tooltip="https://investors.globalstar.com/news-releases/news-release-details/amazon-acquire-globalstar-and-expand-amazon-leo-satellite" w:history="1">
        <w:r w:rsidRPr="00B20B17" w:rsidR="00B20B17">
          <w:rPr>
            <w:rStyle w:val="Hyperlink"/>
          </w:rPr>
          <w:t>https://investors.globalstar.com/news-releases/news-release-details/amazon-acquire-globalstar-and-expand-amazon-leo-satellite</w:t>
        </w:r>
      </w:hyperlink>
      <w:r w:rsidRPr="00B20B17" w:rsidR="00B20B17">
        <w:t>.</w:t>
      </w:r>
      <w:r w:rsidR="00A74D23">
        <w:t xml:space="preserve"> </w:t>
      </w:r>
      <w:r>
        <w:t xml:space="preserve"> </w:t>
      </w:r>
    </w:p>
  </w:footnote>
  <w:footnote w:id="56">
    <w:p w:rsidR="002574F0" w:rsidP="002574F0" w14:paraId="2DDA3E60" w14:textId="77777777">
      <w:pPr>
        <w:pStyle w:val="FootnoteText"/>
      </w:pPr>
      <w:r>
        <w:rPr>
          <w:rStyle w:val="FootnoteReference"/>
        </w:rPr>
        <w:footnoteRef/>
      </w:r>
      <w:r>
        <w:t xml:space="preserve"> 47 CFR § 2.106. </w:t>
      </w:r>
    </w:p>
  </w:footnote>
  <w:footnote w:id="57">
    <w:p w:rsidR="002574F0" w:rsidP="00B46C4C" w14:paraId="2897B1B5" w14:textId="77777777">
      <w:pPr>
        <w:pStyle w:val="FootnoteText"/>
      </w:pPr>
      <w:r w:rsidRPr="00202DDE">
        <w:rPr>
          <w:rStyle w:val="FootnoteReference"/>
        </w:rPr>
        <w:footnoteRef/>
      </w:r>
      <w:r>
        <w:t xml:space="preserve"> </w:t>
      </w:r>
      <w:r w:rsidRPr="000E4E15">
        <w:rPr>
          <w:i/>
        </w:rPr>
        <w:t>See</w:t>
      </w:r>
      <w:r>
        <w:t xml:space="preserve"> </w:t>
      </w:r>
      <w:r w:rsidRPr="003C60EE">
        <w:rPr>
          <w:i/>
          <w:iCs/>
        </w:rPr>
        <w:t>Flexibility for Delivery of Communications by Mobile Satellite Service Providers in the 2 GHz Band, the L-Band, and the 1.6/2.4 GHz Bands</w:t>
      </w:r>
      <w:r w:rsidRPr="00BB01B1">
        <w:t>,</w:t>
      </w:r>
      <w:r>
        <w:t xml:space="preserve"> IB Docket No. 01-</w:t>
      </w:r>
      <w:r w:rsidRPr="00B46C4C">
        <w:t>185</w:t>
      </w:r>
      <w:r>
        <w:t xml:space="preserve">, ET Docket No. 95-18, </w:t>
      </w:r>
      <w:r w:rsidRPr="00BB01B1">
        <w:t>Notice of Proposed Rulemaking</w:t>
      </w:r>
      <w:r>
        <w:t>, 16 FCC Rcd 15532, 15532, para. 1 (2001).</w:t>
      </w:r>
    </w:p>
  </w:footnote>
  <w:footnote w:id="58">
    <w:p w:rsidR="002574F0" w:rsidP="00B46C4C" w14:paraId="5E893582" w14:textId="01A3B47C">
      <w:pPr>
        <w:pStyle w:val="FootnoteText"/>
      </w:pPr>
      <w:r w:rsidRPr="00895C92">
        <w:rPr>
          <w:rStyle w:val="FootnoteReference"/>
        </w:rPr>
        <w:footnoteRef/>
      </w:r>
      <w:r w:rsidRPr="00387421">
        <w:t xml:space="preserve"> </w:t>
      </w:r>
      <w:r w:rsidRPr="003905C8">
        <w:rPr>
          <w:i/>
          <w:iCs/>
        </w:rPr>
        <w:t xml:space="preserve">New DBSD </w:t>
      </w:r>
      <w:r w:rsidR="00FD2439">
        <w:rPr>
          <w:i/>
          <w:iCs/>
        </w:rPr>
        <w:t>North America, Inc. Debtor-</w:t>
      </w:r>
      <w:r w:rsidR="009809FA">
        <w:rPr>
          <w:i/>
          <w:iCs/>
        </w:rPr>
        <w:t>i</w:t>
      </w:r>
      <w:r w:rsidR="00FD2439">
        <w:rPr>
          <w:i/>
          <w:iCs/>
        </w:rPr>
        <w:t>n- Possession</w:t>
      </w:r>
      <w:r w:rsidR="00C6639F">
        <w:rPr>
          <w:i/>
          <w:iCs/>
        </w:rPr>
        <w:t>; New DBSD Satellite Services G.P</w:t>
      </w:r>
      <w:r w:rsidR="007B308A">
        <w:rPr>
          <w:i/>
          <w:iCs/>
        </w:rPr>
        <w:t>.</w:t>
      </w:r>
      <w:r w:rsidR="003F4A78">
        <w:rPr>
          <w:i/>
          <w:iCs/>
        </w:rPr>
        <w:t>,</w:t>
      </w:r>
      <w:r w:rsidR="006B04AA">
        <w:rPr>
          <w:i/>
          <w:iCs/>
        </w:rPr>
        <w:t xml:space="preserve"> </w:t>
      </w:r>
      <w:r w:rsidRPr="003905C8">
        <w:rPr>
          <w:i/>
          <w:iCs/>
        </w:rPr>
        <w:t xml:space="preserve">Debtor-in-Possession, </w:t>
      </w:r>
      <w:r w:rsidR="003F4A78">
        <w:rPr>
          <w:i/>
          <w:iCs/>
        </w:rPr>
        <w:t>Pen</w:t>
      </w:r>
      <w:r w:rsidR="009E2F05">
        <w:rPr>
          <w:i/>
          <w:iCs/>
        </w:rPr>
        <w:t xml:space="preserve">drell </w:t>
      </w:r>
      <w:r w:rsidR="006B04AA">
        <w:rPr>
          <w:i/>
          <w:iCs/>
        </w:rPr>
        <w:t>Corporation</w:t>
      </w:r>
      <w:r w:rsidR="009E2F05">
        <w:rPr>
          <w:i/>
          <w:iCs/>
        </w:rPr>
        <w:t xml:space="preserve">, Transferor, and </w:t>
      </w:r>
      <w:r w:rsidRPr="003905C8">
        <w:rPr>
          <w:i/>
          <w:iCs/>
        </w:rPr>
        <w:t xml:space="preserve">TerreStar Licensee Inc., Debtor-In-Possession, Request for Rule Waivers and Modified Ancillary Terrestrial Component Authority, </w:t>
      </w:r>
      <w:r w:rsidRPr="008E74C7">
        <w:t>Order,</w:t>
      </w:r>
      <w:r w:rsidRPr="0092221B">
        <w:t xml:space="preserve"> 27 FCC Rcd 2250 (</w:t>
      </w:r>
      <w:r w:rsidR="00FD2439">
        <w:t xml:space="preserve">IB </w:t>
      </w:r>
      <w:r w:rsidRPr="0092221B">
        <w:t>2012)</w:t>
      </w:r>
      <w:r>
        <w:t>.</w:t>
      </w:r>
      <w:r w:rsidRPr="0092221B">
        <w:t xml:space="preserve"> </w:t>
      </w:r>
    </w:p>
  </w:footnote>
  <w:footnote w:id="59">
    <w:p w:rsidR="002574F0" w:rsidP="00B46C4C" w14:paraId="50D6A460" w14:textId="77777777">
      <w:pPr>
        <w:pStyle w:val="FootnoteText"/>
      </w:pPr>
      <w:r>
        <w:rPr>
          <w:rStyle w:val="FootnoteReference"/>
        </w:rPr>
        <w:footnoteRef/>
      </w:r>
      <w:r>
        <w:t xml:space="preserve"> </w:t>
      </w:r>
      <w:r w:rsidRPr="003905C8">
        <w:rPr>
          <w:i/>
          <w:iCs/>
        </w:rPr>
        <w:t>Service Rules for Advanced Wireless Services in the 2000-2020 MHz and 2180-2200 MHz Bands</w:t>
      </w:r>
      <w:r w:rsidRPr="00691DA4">
        <w:t>, Report and Order and Order of Proposed Modification,</w:t>
      </w:r>
      <w:r>
        <w:t xml:space="preserve"> 27 FCC Rcd 16102 (2012) (</w:t>
      </w:r>
      <w:r w:rsidRPr="003905C8">
        <w:rPr>
          <w:i/>
          <w:iCs/>
        </w:rPr>
        <w:t>AWS-4 Report and Order</w:t>
      </w:r>
      <w:r>
        <w:t>).</w:t>
      </w:r>
    </w:p>
  </w:footnote>
  <w:footnote w:id="60">
    <w:p w:rsidR="002574F0" w:rsidP="00B46C4C" w14:paraId="556CE325" w14:textId="1F513F03">
      <w:pPr>
        <w:pStyle w:val="FootnoteText"/>
      </w:pPr>
      <w:r>
        <w:rPr>
          <w:rStyle w:val="FootnoteReference"/>
        </w:rPr>
        <w:footnoteRef/>
      </w:r>
      <w:r>
        <w:t xml:space="preserve"> </w:t>
      </w:r>
      <w:r w:rsidRPr="007C064D">
        <w:rPr>
          <w:i/>
          <w:iCs/>
        </w:rPr>
        <w:t>AWS-4 Report and Order</w:t>
      </w:r>
      <w:r>
        <w:t xml:space="preserve">; </w:t>
      </w:r>
      <w:r w:rsidRPr="0072046E">
        <w:rPr>
          <w:i/>
        </w:rPr>
        <w:t xml:space="preserve">Service Rules for Advanced Wireless Services in the 2000-2020 MHz and </w:t>
      </w:r>
      <w:r w:rsidRPr="00667B5C">
        <w:rPr>
          <w:i/>
        </w:rPr>
        <w:t>2180-</w:t>
      </w:r>
      <w:r w:rsidRPr="00A649FD" w:rsidR="000A0F1B">
        <w:rPr>
          <w:i/>
        </w:rPr>
        <w:t>2</w:t>
      </w:r>
      <w:r w:rsidRPr="00667B5C">
        <w:rPr>
          <w:i/>
        </w:rPr>
        <w:t>200</w:t>
      </w:r>
      <w:r w:rsidRPr="0072046E">
        <w:rPr>
          <w:i/>
        </w:rPr>
        <w:t xml:space="preserve"> MHz Bands</w:t>
      </w:r>
      <w:r>
        <w:t>, Order of Modification, 28 FCC Rcd 1276 (S</w:t>
      </w:r>
      <w:r w:rsidR="001929D7">
        <w:t xml:space="preserve">at. Div, </w:t>
      </w:r>
      <w:r>
        <w:t>I</w:t>
      </w:r>
      <w:r w:rsidR="003F6249">
        <w:t>B</w:t>
      </w:r>
      <w:r w:rsidR="00DC68E8">
        <w:t xml:space="preserve">; </w:t>
      </w:r>
      <w:r>
        <w:t>BD</w:t>
      </w:r>
      <w:r w:rsidR="00DC68E8">
        <w:t xml:space="preserve">; </w:t>
      </w:r>
      <w:r>
        <w:t>WTB 2013) (</w:t>
      </w:r>
      <w:r w:rsidRPr="00B46C4C">
        <w:t>modifying</w:t>
      </w:r>
      <w:r>
        <w:t xml:space="preserve"> the licenses of Gamma Acquisition and New DBSD Satellite Services GP to provide AWS in the AWS-4 spectrum band). </w:t>
      </w:r>
    </w:p>
  </w:footnote>
  <w:footnote w:id="61">
    <w:p w:rsidR="002574F0" w:rsidRPr="009B7AD1" w:rsidP="002574F0" w14:paraId="4D52EE56" w14:textId="77777777">
      <w:pPr>
        <w:pStyle w:val="FootnoteText"/>
      </w:pPr>
      <w:r w:rsidRPr="009B7AD1">
        <w:rPr>
          <w:rStyle w:val="FootnoteReference"/>
        </w:rPr>
        <w:footnoteRef/>
      </w:r>
      <w:r w:rsidRPr="009B7AD1">
        <w:t xml:space="preserve"> </w:t>
      </w:r>
      <w:r w:rsidRPr="00135A30">
        <w:rPr>
          <w:i/>
          <w:iCs/>
        </w:rPr>
        <w:t>AWS-4 Report and Order</w:t>
      </w:r>
      <w:r w:rsidRPr="00BB01B1">
        <w:t>,</w:t>
      </w:r>
      <w:r>
        <w:t xml:space="preserve"> 27 FCC Rcd at </w:t>
      </w:r>
      <w:r w:rsidRPr="009B7AD1">
        <w:t xml:space="preserve">16165.  </w:t>
      </w:r>
    </w:p>
  </w:footnote>
  <w:footnote w:id="62">
    <w:p w:rsidR="002574F0" w:rsidRPr="000B67E6" w:rsidP="00B46C4C" w14:paraId="018E48AA" w14:textId="7F0D5BFB">
      <w:pPr>
        <w:pStyle w:val="FootnoteText"/>
      </w:pPr>
      <w:r w:rsidRPr="000B67E6">
        <w:rPr>
          <w:rStyle w:val="FootnoteReference"/>
        </w:rPr>
        <w:footnoteRef/>
      </w:r>
      <w:r w:rsidRPr="000B67E6">
        <w:t xml:space="preserve"> 47 CFR § </w:t>
      </w:r>
      <w:r w:rsidR="00C84A87">
        <w:t>27.</w:t>
      </w:r>
      <w:r w:rsidRPr="000B67E6">
        <w:t>1136</w:t>
      </w:r>
      <w:r>
        <w:t>;</w:t>
      </w:r>
      <w:r w:rsidRPr="000B67E6">
        <w:t xml:space="preserve"> </w:t>
      </w:r>
      <w:r>
        <w:rPr>
          <w:i/>
          <w:iCs/>
        </w:rPr>
        <w:t>s</w:t>
      </w:r>
      <w:r w:rsidRPr="000B67E6">
        <w:rPr>
          <w:i/>
          <w:iCs/>
        </w:rPr>
        <w:t>ee also AWS-4 Report and Order</w:t>
      </w:r>
      <w:r w:rsidRPr="000B67E6">
        <w:t>, 27 FCC Rcd at 16164, para. 160</w:t>
      </w:r>
      <w:r>
        <w:t xml:space="preserve"> &amp; n.468 (</w:t>
      </w:r>
      <w:r w:rsidR="00C84A87">
        <w:t>“</w:t>
      </w:r>
      <w:r w:rsidRPr="001A16D7">
        <w:t xml:space="preserve">An AWS licensee of the 2000-2020 MHz and 2180-2200 MHz bands must accept any interference received from duly authorized </w:t>
      </w:r>
      <w:r w:rsidR="00FD5976">
        <w:t>MSS</w:t>
      </w:r>
      <w:r w:rsidRPr="001A16D7">
        <w:t xml:space="preserve"> operations in these bands.  Any such AWS licensees must </w:t>
      </w:r>
      <w:r w:rsidRPr="00B46C4C">
        <w:t>protect</w:t>
      </w:r>
      <w:r w:rsidR="00FD5976">
        <w:t xml:space="preserve"> MSS</w:t>
      </w:r>
      <w:r w:rsidRPr="001A16D7">
        <w:t xml:space="preserve"> operations in these bands from harmful interference</w:t>
      </w:r>
      <w:r>
        <w:t>.</w:t>
      </w:r>
      <w:r w:rsidR="00C84A87">
        <w:t>”</w:t>
      </w:r>
      <w:r>
        <w:t>).</w:t>
      </w:r>
    </w:p>
  </w:footnote>
  <w:footnote w:id="63">
    <w:p w:rsidR="002574F0" w:rsidRPr="00BD5380" w:rsidP="002574F0" w14:paraId="4A86590E" w14:textId="77777777">
      <w:pPr>
        <w:pStyle w:val="FootnoteText"/>
      </w:pPr>
      <w:r w:rsidRPr="00202DDE">
        <w:rPr>
          <w:rStyle w:val="FootnoteReference"/>
        </w:rPr>
        <w:footnoteRef/>
      </w:r>
      <w:r w:rsidRPr="00BD5380">
        <w:t xml:space="preserve"> </w:t>
      </w:r>
      <w:r w:rsidRPr="00BD5380">
        <w:rPr>
          <w:i/>
        </w:rPr>
        <w:t>AWS-4 Report and Order</w:t>
      </w:r>
      <w:r w:rsidRPr="00A70C87">
        <w:rPr>
          <w:iCs/>
        </w:rPr>
        <w:t>,</w:t>
      </w:r>
      <w:r w:rsidRPr="00BD5380">
        <w:rPr>
          <w:i/>
        </w:rPr>
        <w:t xml:space="preserve"> </w:t>
      </w:r>
      <w:r w:rsidRPr="00BD5380">
        <w:t>27 FCC Rcd at 16117</w:t>
      </w:r>
      <w:r>
        <w:t>.</w:t>
      </w:r>
    </w:p>
  </w:footnote>
  <w:footnote w:id="64">
    <w:p w:rsidR="002574F0" w:rsidP="002574F0" w14:paraId="1F1349E0" w14:textId="6B16BA28">
      <w:pPr>
        <w:pStyle w:val="FootnoteText"/>
      </w:pPr>
      <w:r>
        <w:rPr>
          <w:rStyle w:val="FootnoteReference"/>
        </w:rPr>
        <w:footnoteRef/>
      </w:r>
      <w:r>
        <w:t xml:space="preserve"> </w:t>
      </w:r>
      <w:r w:rsidR="00C84A87">
        <w:rPr>
          <w:i/>
        </w:rPr>
        <w:t>Id.</w:t>
      </w:r>
      <w:r>
        <w:t xml:space="preserve"> at </w:t>
      </w:r>
      <w:r w:rsidRPr="006275DA">
        <w:t>16164</w:t>
      </w:r>
      <w:r>
        <w:t>, para. 160 &amp;</w:t>
      </w:r>
      <w:r w:rsidRPr="006275DA">
        <w:t xml:space="preserve"> n.468. </w:t>
      </w:r>
      <w:r>
        <w:t xml:space="preserve"> The Commission also directed the International Bureau to dismiss a then-pending petition seeking access to the band.</w:t>
      </w:r>
      <w:r w:rsidRPr="006275DA">
        <w:t xml:space="preserve"> </w:t>
      </w:r>
      <w:r>
        <w:t xml:space="preserve"> </w:t>
      </w:r>
      <w:r w:rsidRPr="003E23E2">
        <w:rPr>
          <w:i/>
        </w:rPr>
        <w:t>See also</w:t>
      </w:r>
      <w:r w:rsidRPr="006275DA">
        <w:t xml:space="preserve"> </w:t>
      </w:r>
      <w:r w:rsidRPr="000C261B">
        <w:rPr>
          <w:i/>
          <w:iCs/>
        </w:rPr>
        <w:t>Flexibility for the Delivery of Communications by Mobile-Satellite Providers in the 2 GHz band, the L-band band, and the 1.6/2.4 GHz Bands</w:t>
      </w:r>
      <w:r>
        <w:t xml:space="preserve">, </w:t>
      </w:r>
      <w:r w:rsidRPr="006275DA">
        <w:t>Memorandum Opinion and Order and Second Order on Reconsideration, 20 FCC Rcd 4616, 4629</w:t>
      </w:r>
      <w:r>
        <w:t>, &amp;</w:t>
      </w:r>
      <w:r w:rsidRPr="006275DA">
        <w:t xml:space="preserve"> n.91 (</w:t>
      </w:r>
      <w:r w:rsidR="00655A39">
        <w:t xml:space="preserve">providing that </w:t>
      </w:r>
      <w:r>
        <w:t>i</w:t>
      </w:r>
      <w:r w:rsidRPr="006275DA">
        <w:t xml:space="preserve">n the </w:t>
      </w:r>
      <w:r w:rsidRPr="00B75C22">
        <w:rPr>
          <w:color w:val="000000"/>
          <w:bdr w:val="none" w:sz="0" w:space="0" w:color="auto" w:frame="1"/>
          <w:shd w:val="clear" w:color="auto" w:fill="FFFFFF"/>
        </w:rPr>
        <w:t>2</w:t>
      </w:r>
      <w:r w:rsidRPr="00B75C22">
        <w:rPr>
          <w:color w:val="000000"/>
        </w:rPr>
        <w:t xml:space="preserve"> </w:t>
      </w:r>
      <w:r w:rsidRPr="00B75C22">
        <w:rPr>
          <w:color w:val="000000"/>
          <w:bdr w:val="none" w:sz="0" w:space="0" w:color="auto" w:frame="1"/>
          <w:shd w:val="clear" w:color="auto" w:fill="FFFFFF"/>
        </w:rPr>
        <w:t>GHz</w:t>
      </w:r>
      <w:r w:rsidRPr="00B75C22">
        <w:rPr>
          <w:color w:val="000000"/>
        </w:rPr>
        <w:t xml:space="preserve"> </w:t>
      </w:r>
      <w:r w:rsidRPr="000C261B">
        <w:t>MSS</w:t>
      </w:r>
      <w:r w:rsidRPr="00B75C22">
        <w:rPr>
          <w:color w:val="000000"/>
        </w:rPr>
        <w:t xml:space="preserve"> bands, each licensee has </w:t>
      </w:r>
      <w:r w:rsidRPr="00B75C22">
        <w:rPr>
          <w:color w:val="000000"/>
          <w:bdr w:val="none" w:sz="0" w:space="0" w:color="auto" w:frame="1"/>
          <w:shd w:val="clear" w:color="auto" w:fill="FFFFFF"/>
        </w:rPr>
        <w:t>exclusive</w:t>
      </w:r>
      <w:r w:rsidRPr="00B75C22">
        <w:rPr>
          <w:color w:val="000000"/>
        </w:rPr>
        <w:t xml:space="preserve"> rights to a block of spectrum</w:t>
      </w:r>
      <w:r w:rsidRPr="006275DA">
        <w:rPr>
          <w:color w:val="000000"/>
        </w:rPr>
        <w:t>)</w:t>
      </w:r>
      <w:r w:rsidRPr="00B75C22">
        <w:rPr>
          <w:color w:val="000000"/>
        </w:rPr>
        <w:t>.</w:t>
      </w:r>
    </w:p>
  </w:footnote>
  <w:footnote w:id="65">
    <w:p w:rsidR="00555621" w14:paraId="209933B7" w14:textId="718CD4AB">
      <w:pPr>
        <w:pStyle w:val="FootnoteText"/>
      </w:pPr>
      <w:r>
        <w:rPr>
          <w:rStyle w:val="FootnoteReference"/>
        </w:rPr>
        <w:footnoteRef/>
      </w:r>
      <w:r w:rsidR="00DC7117">
        <w:t xml:space="preserve"> </w:t>
      </w:r>
      <w:r w:rsidR="00C961C3">
        <w:t xml:space="preserve">In September 2025, </w:t>
      </w:r>
      <w:r w:rsidRPr="65625325" w:rsidR="00DC7117">
        <w:t>EchoStar entered into an agreement with Space</w:t>
      </w:r>
      <w:r w:rsidR="00DC7117">
        <w:t>X</w:t>
      </w:r>
      <w:r w:rsidRPr="65625325" w:rsidR="00DC7117">
        <w:t xml:space="preserve"> to transfer its rights to </w:t>
      </w:r>
      <w:r w:rsidR="00DC7117">
        <w:t>the AWS</w:t>
      </w:r>
      <w:r w:rsidR="00DE541C">
        <w:t xml:space="preserve">-4 and 2 GHz MSS </w:t>
      </w:r>
      <w:r w:rsidRPr="65625325" w:rsidR="00DC7117">
        <w:t xml:space="preserve"> spectrum</w:t>
      </w:r>
      <w:r w:rsidR="00DE541C">
        <w:t xml:space="preserve">. </w:t>
      </w:r>
      <w:r w:rsidR="00BC2A67">
        <w:t xml:space="preserve"> </w:t>
      </w:r>
      <w:r>
        <w:rPr>
          <w:i/>
          <w:iCs/>
        </w:rPr>
        <w:t>See</w:t>
      </w:r>
      <w:r>
        <w:t xml:space="preserve"> Applications of Spectrum Business Trust 2025-1, Space Exploration Technologies Corp., and EchoStar Corporation for Consent to Assign Spectrum and Earth Station Licenses (GN Docket No. 25-302) (EchoStar/SpaceX Transaction Application).  SpaceX filed an associated application for a separate satellite constellation using this spectrum</w:t>
      </w:r>
      <w:r w:rsidR="00F12655">
        <w:t>—</w:t>
      </w:r>
      <w:r>
        <w:t>the SpaceX D2C Application.</w:t>
      </w:r>
      <w:r w:rsidR="00DE541C">
        <w:t xml:space="preserve"> </w:t>
      </w:r>
      <w:r w:rsidR="00F12655">
        <w:t xml:space="preserve"> </w:t>
      </w:r>
      <w:r w:rsidR="00DE541C">
        <w:t xml:space="preserve">Both applications </w:t>
      </w:r>
      <w:r w:rsidR="0008381B">
        <w:t>are pending.</w:t>
      </w:r>
    </w:p>
  </w:footnote>
  <w:footnote w:id="66">
    <w:p w:rsidR="002574F0" w:rsidP="002574F0" w14:paraId="77C38C53" w14:textId="42C78CCC">
      <w:pPr>
        <w:pStyle w:val="FootnoteText"/>
      </w:pPr>
      <w:r>
        <w:rPr>
          <w:rStyle w:val="FootnoteReference"/>
        </w:rPr>
        <w:footnoteRef/>
      </w:r>
      <w:r>
        <w:t xml:space="preserve"> 47 CFR § 25.122(c)(9); Sateliot Application, Attach</w:t>
      </w:r>
      <w:r w:rsidR="00F12655">
        <w:t>.</w:t>
      </w:r>
      <w:r>
        <w:t xml:space="preserve"> B, Exh. 1.</w:t>
      </w:r>
    </w:p>
  </w:footnote>
  <w:footnote w:id="67">
    <w:p w:rsidR="002574F0" w:rsidP="002574F0" w14:paraId="23EB39C6" w14:textId="77777777">
      <w:pPr>
        <w:pStyle w:val="FootnoteText"/>
      </w:pPr>
      <w:r>
        <w:rPr>
          <w:rStyle w:val="FootnoteReference"/>
        </w:rPr>
        <w:footnoteRef/>
      </w:r>
      <w:r>
        <w:t xml:space="preserve"> </w:t>
      </w:r>
      <w:r w:rsidRPr="000657D0">
        <w:rPr>
          <w:i/>
          <w:iCs/>
        </w:rPr>
        <w:t>Streamlin</w:t>
      </w:r>
      <w:r>
        <w:rPr>
          <w:i/>
          <w:iCs/>
        </w:rPr>
        <w:t>ing</w:t>
      </w:r>
      <w:r>
        <w:rPr>
          <w:i/>
        </w:rPr>
        <w:t xml:space="preserve"> </w:t>
      </w:r>
      <w:r w:rsidRPr="000657D0">
        <w:rPr>
          <w:i/>
        </w:rPr>
        <w:t>Licensing Procedures for Small Satellites</w:t>
      </w:r>
      <w:r>
        <w:t xml:space="preserve">, Report and Order, 34 FCC Rcd 13077, 13083-84 (2019).  </w:t>
      </w:r>
    </w:p>
  </w:footnote>
  <w:footnote w:id="68">
    <w:p w:rsidR="0022154C" w14:paraId="5B09BBF5" w14:textId="4978D097">
      <w:pPr>
        <w:pStyle w:val="FootnoteText"/>
      </w:pPr>
      <w:r>
        <w:rPr>
          <w:rStyle w:val="FootnoteReference"/>
        </w:rPr>
        <w:footnoteRef/>
      </w:r>
      <w:r>
        <w:t xml:space="preserve"> We note that Sateliot requested a waiver of </w:t>
      </w:r>
      <w:r w:rsidR="00B63CFF">
        <w:t>2 GHz MSS service rules</w:t>
      </w:r>
      <w:r w:rsidR="00500F60">
        <w:t>,</w:t>
      </w:r>
      <w:r w:rsidR="002868C2">
        <w:t xml:space="preserve"> section 25.143,</w:t>
      </w:r>
      <w:r w:rsidR="00500F60">
        <w:t xml:space="preserve"> to the extent necessary, </w:t>
      </w:r>
      <w:r w:rsidR="00523F3C">
        <w:t xml:space="preserve">as it </w:t>
      </w:r>
      <w:r w:rsidR="002868C2">
        <w:t>is</w:t>
      </w:r>
      <w:r w:rsidR="00FF1CB2">
        <w:t xml:space="preserve"> requesting </w:t>
      </w:r>
      <w:r w:rsidR="00523F3C">
        <w:t>access to the band</w:t>
      </w:r>
      <w:r w:rsidR="00CA1249">
        <w:t xml:space="preserve"> under the Commission’s </w:t>
      </w:r>
      <w:r w:rsidR="00154D83">
        <w:t xml:space="preserve">Small Satellite </w:t>
      </w:r>
      <w:r w:rsidR="007615C1">
        <w:t>rules in section 25.1</w:t>
      </w:r>
      <w:r w:rsidR="00554461">
        <w:t>22</w:t>
      </w:r>
      <w:r w:rsidR="007615C1">
        <w:t xml:space="preserve">, which include </w:t>
      </w:r>
      <w:r w:rsidR="002A46B0">
        <w:t xml:space="preserve">a geographic and other service requirements that cannot be met by </w:t>
      </w:r>
      <w:r w:rsidR="00EA5373">
        <w:t>its small satellite system.</w:t>
      </w:r>
      <w:r w:rsidR="006F4874">
        <w:t xml:space="preserve"> </w:t>
      </w:r>
      <w:r w:rsidR="00EA5373">
        <w:t xml:space="preserve"> Sateliot Application</w:t>
      </w:r>
      <w:r w:rsidR="00C06745">
        <w:t>, Narrative</w:t>
      </w:r>
      <w:r w:rsidR="00EA5373">
        <w:t xml:space="preserve"> at </w:t>
      </w:r>
      <w:r w:rsidR="00AF6874">
        <w:t xml:space="preserve">24. </w:t>
      </w:r>
      <w:r w:rsidR="00D44F5F">
        <w:t xml:space="preserve"> </w:t>
      </w:r>
      <w:r w:rsidR="001033CA">
        <w:t>We need not address the waiver</w:t>
      </w:r>
      <w:r w:rsidR="00D77816">
        <w:t xml:space="preserve"> because whether Satelio</w:t>
      </w:r>
      <w:r w:rsidR="003C001D">
        <w:t>t</w:t>
      </w:r>
      <w:r w:rsidR="00AD4BAA">
        <w:t xml:space="preserve"> </w:t>
      </w:r>
      <w:r w:rsidR="00AA0118">
        <w:t>meet</w:t>
      </w:r>
      <w:r w:rsidR="00AD4BAA">
        <w:t>s</w:t>
      </w:r>
      <w:r w:rsidR="00AA0118">
        <w:t xml:space="preserve"> the </w:t>
      </w:r>
      <w:r w:rsidR="003C001D">
        <w:t>2 GHz service rule requirements</w:t>
      </w:r>
      <w:r w:rsidR="00622D1D">
        <w:t>—</w:t>
      </w:r>
      <w:r w:rsidR="00AA0118">
        <w:t>or not</w:t>
      </w:r>
      <w:r w:rsidR="00622D1D">
        <w:t>—</w:t>
      </w:r>
      <w:r w:rsidR="00C06745">
        <w:t xml:space="preserve">has no bearing on </w:t>
      </w:r>
      <w:r w:rsidR="00C64CF0">
        <w:t xml:space="preserve">the </w:t>
      </w:r>
      <w:r w:rsidR="004E3C7A">
        <w:t xml:space="preserve">Bureau’s </w:t>
      </w:r>
      <w:r w:rsidR="004108BA">
        <w:t>finding that</w:t>
      </w:r>
      <w:r w:rsidR="004242F8">
        <w:t xml:space="preserve"> the band is not available for additional </w:t>
      </w:r>
      <w:r w:rsidR="00235689">
        <w:t>entry.</w:t>
      </w:r>
      <w:r w:rsidR="004242F8">
        <w:t xml:space="preserve"> </w:t>
      </w:r>
    </w:p>
  </w:footnote>
  <w:footnote w:id="69">
    <w:p w:rsidR="005532C7" w14:paraId="6A23D3D7" w14:textId="3263BA4A">
      <w:pPr>
        <w:pStyle w:val="FootnoteText"/>
      </w:pPr>
      <w:r>
        <w:rPr>
          <w:rStyle w:val="FootnoteReference"/>
        </w:rPr>
        <w:footnoteRef/>
      </w:r>
      <w:r>
        <w:t xml:space="preserve"> </w:t>
      </w:r>
      <w:r w:rsidRPr="00E20214" w:rsidR="00FD4862">
        <w:t>EchoStar</w:t>
      </w:r>
      <w:r w:rsidR="00FD4862">
        <w:t xml:space="preserve">, through its EchoStar Global Australia subsidiary, </w:t>
      </w:r>
      <w:r w:rsidRPr="00D875F3" w:rsidR="00FD4862">
        <w:t xml:space="preserve">has </w:t>
      </w:r>
      <w:r w:rsidRPr="00493736" w:rsidR="00FD4862">
        <w:t xml:space="preserve">among the </w:t>
      </w:r>
      <w:r w:rsidRPr="00D875F3" w:rsidR="00FD4862">
        <w:t>highest ITU priority rights for an NGSO constellation in the 2 GHz band</w:t>
      </w:r>
      <w:r w:rsidR="00DD2234">
        <w:t>.</w:t>
      </w:r>
      <w:r w:rsidR="00F13B58">
        <w:t xml:space="preserve">  </w:t>
      </w:r>
      <w:r w:rsidRPr="00F13B58" w:rsidR="00F13B58">
        <w:t>SIRION</w:t>
      </w:r>
      <w:r w:rsidR="00F13B58">
        <w:t xml:space="preserve">-1 Satellite Network, ITU Filing </w:t>
      </w:r>
      <w:r w:rsidR="00AB6E90">
        <w:t>SN</w:t>
      </w:r>
      <w:r w:rsidR="005E619D">
        <w:t>S</w:t>
      </w:r>
      <w:r w:rsidR="00AB6E90">
        <w:t xml:space="preserve"> Notice </w:t>
      </w:r>
      <w:r w:rsidR="003F0F7E">
        <w:t xml:space="preserve">ID: </w:t>
      </w:r>
      <w:r w:rsidR="00F13B58">
        <w:t xml:space="preserve">121500178.  In 2009 the European Union granted Solaris (now EchoStar) and Inmarsat (now Viasat) exclusive rights to provide MSS in the 1980-2010 MHz and 2170-2200 MHz bands for a fixed period of time.  </w:t>
      </w:r>
      <w:r w:rsidR="00F13B58">
        <w:t xml:space="preserve"> </w:t>
      </w:r>
      <w:r w:rsidR="00A74810">
        <w:t>EchoStar’s</w:t>
      </w:r>
      <w:r w:rsidRPr="00D875F3" w:rsidR="00FD4862">
        <w:t xml:space="preserve"> international rights will accrue to SpaceX </w:t>
      </w:r>
      <w:r w:rsidR="00FD4862">
        <w:t xml:space="preserve">with </w:t>
      </w:r>
      <w:r w:rsidRPr="00D875F3" w:rsidR="00FD4862">
        <w:t>its acquisition of EchoStar’s spectrum assets.</w:t>
      </w:r>
      <w:r w:rsidR="00FD4862">
        <w:t xml:space="preserve"> </w:t>
      </w:r>
      <w:r w:rsidRPr="002A21E3" w:rsidR="002A21E3">
        <w:rPr>
          <w:i/>
          <w:iCs/>
        </w:rPr>
        <w:t xml:space="preserve"> </w:t>
      </w:r>
      <w:r w:rsidRPr="003905C8" w:rsidR="002A21E3">
        <w:rPr>
          <w:i/>
          <w:iCs/>
        </w:rPr>
        <w:t>See</w:t>
      </w:r>
      <w:r w:rsidR="002A21E3">
        <w:t xml:space="preserve"> EchoStar Corporation, Form 8-K, Sept. 8, 2025</w:t>
      </w:r>
      <w:r w:rsidR="009C18CA">
        <w:t>,</w:t>
      </w:r>
      <w:r w:rsidR="002A21E3">
        <w:t xml:space="preserve"> at Item 1.101 </w:t>
      </w:r>
      <w:r w:rsidR="006B29CD">
        <w:t>(</w:t>
      </w:r>
      <w:r w:rsidR="002A21E3">
        <w:t>stating the EchoStar/SpaceX License Purchase Agreement includes rights and licenses granted by the Federal Communications Commission, together with Foreign Assets, including international rights and priorities to the 2 GHz spectrum</w:t>
      </w:r>
      <w:r w:rsidR="006B29CD">
        <w:t>)</w:t>
      </w:r>
      <w:r w:rsidR="002A21E3">
        <w:t xml:space="preserve">.  The Foreign Assets will be transferred directly to SpaceX at the Spectrum Acquisition Closing.  SpaceX was </w:t>
      </w:r>
      <w:r w:rsidR="008948E5">
        <w:t xml:space="preserve">also </w:t>
      </w:r>
      <w:r w:rsidR="002A21E3">
        <w:t xml:space="preserve">recently granted authority to provide MSS outside of the United States in the 1980-2010 MHz and 2010-2025 MHz bands.  </w:t>
      </w:r>
      <w:r w:rsidRPr="003905C8" w:rsidR="002A21E3">
        <w:rPr>
          <w:i/>
          <w:iCs/>
        </w:rPr>
        <w:t>SpaceX Gen2 Upgrade Order</w:t>
      </w:r>
      <w:r w:rsidR="00CD53C8">
        <w:t>.</w:t>
      </w:r>
      <w:r w:rsidRPr="00493736" w:rsidR="00FD4862">
        <w:t xml:space="preserve"> </w:t>
      </w:r>
      <w:r w:rsidR="00CD53C8">
        <w:t xml:space="preserve"> </w:t>
      </w:r>
      <w:r w:rsidR="00EC3545">
        <w:t>Given t</w:t>
      </w:r>
      <w:r w:rsidRPr="00493736" w:rsidR="00FD4862">
        <w:t xml:space="preserve">he global nature of </w:t>
      </w:r>
      <w:r w:rsidR="00FD4862">
        <w:t xml:space="preserve">SpaceX’s proposed D2C constellation </w:t>
      </w:r>
      <w:r w:rsidRPr="00493736" w:rsidR="00FD4862">
        <w:t xml:space="preserve">and the nature of the </w:t>
      </w:r>
      <w:r w:rsidR="00FD4862">
        <w:t xml:space="preserve">MSS </w:t>
      </w:r>
      <w:r w:rsidRPr="00493736" w:rsidR="00FD4862">
        <w:t xml:space="preserve">service SpaceX </w:t>
      </w:r>
      <w:r w:rsidR="00FD4862">
        <w:t xml:space="preserve">proposes, </w:t>
      </w:r>
      <w:r w:rsidRPr="00493736" w:rsidR="00FD4862">
        <w:t xml:space="preserve">in which the mobile terminals will </w:t>
      </w:r>
      <w:r w:rsidR="00FD4862">
        <w:t xml:space="preserve">be </w:t>
      </w:r>
      <w:r w:rsidRPr="00493736" w:rsidR="00FD4862">
        <w:t>radiating and receiving in all directions</w:t>
      </w:r>
      <w:r w:rsidR="00CD53C8">
        <w:t>—</w:t>
      </w:r>
      <w:r w:rsidRPr="00493736" w:rsidR="00FD4862">
        <w:t xml:space="preserve">in an omnidirectional fashion, sharing the spectrum with other MSS systems would be difficult. </w:t>
      </w:r>
      <w:r w:rsidR="00FD4862">
        <w:t xml:space="preserve"> </w:t>
      </w:r>
    </w:p>
  </w:footnote>
  <w:footnote w:id="70">
    <w:p w:rsidR="00287961" w:rsidRPr="000B71FE" w:rsidP="00287961" w14:paraId="0702F173" w14:textId="54C75548">
      <w:pPr>
        <w:pStyle w:val="FootnoteText"/>
      </w:pPr>
      <w:r>
        <w:rPr>
          <w:rStyle w:val="FootnoteReference"/>
        </w:rPr>
        <w:footnoteRef/>
      </w:r>
      <w:r>
        <w:t xml:space="preserve"> </w:t>
      </w:r>
      <w:r w:rsidRPr="000B71FE">
        <w:t>AST’s request to operate in the 1980-2000 MHz (Earth-to-space), 2020-2025 MHz (Earth-to-space), 2160-2170 MHz (space-to-Earth), and 2170-2180 MHz (space-to-Earth) bands remains pending.  ICFS File No. SAT-MOD-20260105-00005.</w:t>
      </w:r>
      <w:r w:rsidRPr="000B71FE" w:rsidR="006C0B8E">
        <w:t xml:space="preserve">  </w:t>
      </w:r>
      <w:r w:rsidRPr="00C01F19" w:rsidR="006C0B8E">
        <w:t>AST asserts that ITU priority does not confer global exclusivity and that any operator must coordinate with lower</w:t>
      </w:r>
      <w:r w:rsidRPr="00C01F19" w:rsidR="006C0B8E">
        <w:noBreakHyphen/>
        <w:t>priority networks</w:t>
      </w:r>
      <w:r w:rsidR="005D6E39">
        <w:t xml:space="preserve">. </w:t>
      </w:r>
      <w:r w:rsidR="009A4B62">
        <w:t xml:space="preserve"> </w:t>
      </w:r>
      <w:r w:rsidR="00C11630">
        <w:t>L</w:t>
      </w:r>
      <w:r w:rsidRPr="000B71FE" w:rsidR="005A4706">
        <w:rPr>
          <w:color w:val="000000"/>
        </w:rPr>
        <w:t>etter from Kathryne Dickerson, AST SpaceMobile</w:t>
      </w:r>
      <w:r w:rsidR="005A4706">
        <w:rPr>
          <w:color w:val="000000"/>
        </w:rPr>
        <w:t>,</w:t>
      </w:r>
      <w:r w:rsidRPr="000B71FE" w:rsidR="005A4706">
        <w:rPr>
          <w:color w:val="000000"/>
        </w:rPr>
        <w:t xml:space="preserve"> to Marlene H. Dortch, Secretary</w:t>
      </w:r>
      <w:r w:rsidR="005A4706">
        <w:rPr>
          <w:color w:val="000000"/>
        </w:rPr>
        <w:t>,</w:t>
      </w:r>
      <w:r w:rsidRPr="000B71FE" w:rsidR="005A4706">
        <w:rPr>
          <w:color w:val="000000"/>
        </w:rPr>
        <w:t xml:space="preserve"> FCC (</w:t>
      </w:r>
      <w:r w:rsidR="005A4706">
        <w:rPr>
          <w:color w:val="000000"/>
        </w:rPr>
        <w:t xml:space="preserve">dated </w:t>
      </w:r>
      <w:r w:rsidRPr="000B71FE" w:rsidR="005A4706">
        <w:rPr>
          <w:color w:val="000000"/>
        </w:rPr>
        <w:t>Apr</w:t>
      </w:r>
      <w:r w:rsidR="005A4706">
        <w:rPr>
          <w:color w:val="000000"/>
        </w:rPr>
        <w:t>.</w:t>
      </w:r>
      <w:r w:rsidRPr="000B71FE" w:rsidR="005A4706">
        <w:rPr>
          <w:color w:val="000000"/>
        </w:rPr>
        <w:t xml:space="preserve"> 17, 2026)</w:t>
      </w:r>
      <w:r w:rsidR="00C11630">
        <w:rPr>
          <w:color w:val="000000"/>
        </w:rPr>
        <w:t>.  T</w:t>
      </w:r>
      <w:r w:rsidR="000B35BA">
        <w:t>he</w:t>
      </w:r>
      <w:r w:rsidRPr="00C01F19" w:rsidR="006C0B8E">
        <w:t xml:space="preserve"> </w:t>
      </w:r>
      <w:r w:rsidR="00A26E00">
        <w:t>Bureau</w:t>
      </w:r>
      <w:r w:rsidRPr="00C01F19" w:rsidR="00A26E00">
        <w:t xml:space="preserve">’s </w:t>
      </w:r>
      <w:r w:rsidRPr="00C01F19" w:rsidR="006C0B8E">
        <w:t>determination here rests on the technical characteristics and service environment of the 2 GHz MSS band</w:t>
      </w:r>
      <w:r w:rsidRPr="00C01F19" w:rsidR="008F1257">
        <w:t xml:space="preserve"> and the exclusive spectrum rights </w:t>
      </w:r>
      <w:r w:rsidRPr="00C01F19" w:rsidR="00EF403B">
        <w:t xml:space="preserve">conferred to the </w:t>
      </w:r>
      <w:r w:rsidRPr="00C01F19" w:rsidR="00EF69E9">
        <w:t>licensee in the band.</w:t>
      </w:r>
      <w:r w:rsidRPr="00C01F19" w:rsidR="006C0B8E">
        <w:t xml:space="preserve"> </w:t>
      </w:r>
      <w:r w:rsidRPr="00C01F19" w:rsidR="00F40BC1">
        <w:t xml:space="preserve"> </w:t>
      </w:r>
    </w:p>
  </w:footnote>
  <w:footnote w:id="71">
    <w:p w:rsidR="002574F0" w:rsidP="00B46C4C" w14:paraId="2BA3FA50" w14:textId="1B8B6D4F">
      <w:pPr>
        <w:pStyle w:val="FootnoteText"/>
      </w:pPr>
      <w:r>
        <w:rPr>
          <w:rStyle w:val="FootnoteReference"/>
        </w:rPr>
        <w:footnoteRef/>
      </w:r>
      <w:r>
        <w:t xml:space="preserve"> Space Bureau Opens New Docket to Explore EchoStar Corporation’s Use of the 2 GHz MSS Spectrum, Public Notice, SB Docket 25-173</w:t>
      </w:r>
      <w:r w:rsidR="000A30E0">
        <w:t xml:space="preserve"> (</w:t>
      </w:r>
      <w:r w:rsidR="00095BB1">
        <w:t>May 12, 202</w:t>
      </w:r>
      <w:r w:rsidR="00EF2F5A">
        <w:t>5).</w:t>
      </w:r>
      <w:r>
        <w:t xml:space="preserve"> </w:t>
      </w:r>
      <w:r w:rsidR="00726E49">
        <w:t xml:space="preserve"> </w:t>
      </w:r>
      <w:r>
        <w:t xml:space="preserve">Multiple comments, reply </w:t>
      </w:r>
      <w:r w:rsidRPr="00B46C4C">
        <w:t>comments</w:t>
      </w:r>
      <w:r>
        <w:t xml:space="preserve">, and </w:t>
      </w:r>
      <w:r w:rsidRPr="00F35926">
        <w:rPr>
          <w:i/>
          <w:iCs/>
        </w:rPr>
        <w:t>ex parte</w:t>
      </w:r>
      <w:r>
        <w:t xml:space="preserve"> letters were filed. </w:t>
      </w:r>
      <w:r w:rsidRPr="00F35926">
        <w:rPr>
          <w:i/>
          <w:iCs/>
        </w:rPr>
        <w:t>See e.g</w:t>
      </w:r>
      <w:r>
        <w:t xml:space="preserve">., Comments of Iridium (filed May 23, 2025) (supporting the acceptance of new applications in the band); </w:t>
      </w:r>
      <w:r w:rsidR="00601D49">
        <w:t>Comments of Space Exploration Holdings, LLC (filed May 27, 2025) (EchoStar’s failure to use the band as required has left the band ripe for new competitive entry from U.S.-licensed satellite systems)</w:t>
      </w:r>
      <w:r w:rsidR="00871B8A">
        <w:t>;</w:t>
      </w:r>
      <w:r w:rsidR="00B47CAA">
        <w:t xml:space="preserve"> </w:t>
      </w:r>
      <w:r>
        <w:t>Comments of Public Knowledge and Open Technology Institute at New America (</w:t>
      </w:r>
      <w:r w:rsidR="00CB2CC0">
        <w:t xml:space="preserve">filed </w:t>
      </w:r>
      <w:r>
        <w:t>May 27, 2025) (requesting termination of the proceeding noting that permitting EchoStar to expand its network is the best way to make efficient use of the band</w:t>
      </w:r>
      <w:r w:rsidR="00655016">
        <w:t xml:space="preserve">). </w:t>
      </w:r>
      <w:r w:rsidR="00AD4D3A">
        <w:t xml:space="preserve"> </w:t>
      </w:r>
    </w:p>
  </w:footnote>
  <w:footnote w:id="72">
    <w:p w:rsidR="00E342A4" w:rsidRPr="00CF666C" w14:paraId="243FBB4A" w14:textId="194F93CB">
      <w:pPr>
        <w:pStyle w:val="FootnoteText"/>
      </w:pPr>
      <w:r>
        <w:rPr>
          <w:rStyle w:val="FootnoteReference"/>
        </w:rPr>
        <w:footnoteRef/>
      </w:r>
      <w:r>
        <w:t xml:space="preserve"> </w:t>
      </w:r>
      <w:r w:rsidR="00CF666C">
        <w:rPr>
          <w:i/>
          <w:iCs/>
        </w:rPr>
        <w:t>See</w:t>
      </w:r>
      <w:r w:rsidR="00CF666C">
        <w:t xml:space="preserve"> </w:t>
      </w:r>
      <w:r w:rsidR="00F86FB9">
        <w:t>EchoStar/SpaceX Transaction Application</w:t>
      </w:r>
      <w:r w:rsidR="00FD5639">
        <w:t>.</w:t>
      </w:r>
      <w:r w:rsidR="003A68C9">
        <w:t xml:space="preserve">  </w:t>
      </w:r>
      <w:r w:rsidR="00FD5639">
        <w:t xml:space="preserve"> </w:t>
      </w:r>
    </w:p>
  </w:footnote>
  <w:footnote w:id="73">
    <w:p w:rsidR="00F01C87" w14:paraId="5FE4E220" w14:textId="7D7923D7">
      <w:pPr>
        <w:pStyle w:val="FootnoteText"/>
      </w:pPr>
      <w:r>
        <w:rPr>
          <w:rStyle w:val="FootnoteReference"/>
        </w:rPr>
        <w:footnoteRef/>
      </w:r>
      <w:r>
        <w:t xml:space="preserve"> </w:t>
      </w:r>
      <w:r w:rsidR="00053FB6">
        <w:t>To the extent certain commenters</w:t>
      </w:r>
      <w:r w:rsidR="00B2109A">
        <w:t xml:space="preserve"> in the proceeding</w:t>
      </w:r>
      <w:r w:rsidR="0033485F">
        <w:t>, including SpaceX</w:t>
      </w:r>
      <w:r w:rsidR="004F1C7A">
        <w:t>,</w:t>
      </w:r>
      <w:r w:rsidR="00053FB6">
        <w:t xml:space="preserve"> suggest</w:t>
      </w:r>
      <w:r w:rsidR="00A1033F">
        <w:t xml:space="preserve"> that</w:t>
      </w:r>
      <w:r w:rsidR="00053FB6">
        <w:t xml:space="preserve"> the Commission open the band </w:t>
      </w:r>
      <w:r w:rsidR="00A1033F">
        <w:t>to new applications, we</w:t>
      </w:r>
      <w:r w:rsidR="00DA5E8C">
        <w:t xml:space="preserve"> </w:t>
      </w:r>
      <w:r w:rsidR="00A1033F">
        <w:t>do not intend to do</w:t>
      </w:r>
      <w:r w:rsidR="001751ED">
        <w:t xml:space="preserve"> so</w:t>
      </w:r>
      <w:r w:rsidR="00947DAE">
        <w:t>.</w:t>
      </w:r>
      <w:r w:rsidR="0023719F">
        <w:t xml:space="preserve"> </w:t>
      </w:r>
      <w:r w:rsidR="00947DAE">
        <w:t xml:space="preserve"> As noted above, </w:t>
      </w:r>
      <w:r w:rsidR="00AE1B4C">
        <w:t>the</w:t>
      </w:r>
      <w:r w:rsidR="00D91CFA">
        <w:t xml:space="preserve"> Commission stat</w:t>
      </w:r>
      <w:r w:rsidR="00947DAE">
        <w:t>ed</w:t>
      </w:r>
      <w:r w:rsidR="00D91CFA">
        <w:t xml:space="preserve"> that </w:t>
      </w:r>
      <w:r w:rsidRPr="2B4154B5" w:rsidR="00D91CFA">
        <w:rPr>
          <w:rFonts w:eastAsia="Aptos"/>
        </w:rPr>
        <w:t>MSS systems</w:t>
      </w:r>
      <w:r w:rsidR="00D91CFA">
        <w:rPr>
          <w:rFonts w:eastAsia="Aptos"/>
        </w:rPr>
        <w:t xml:space="preserve"> in the band would be </w:t>
      </w:r>
      <w:r w:rsidRPr="2B4154B5" w:rsidR="00D91CFA">
        <w:rPr>
          <w:rFonts w:eastAsia="Aptos"/>
        </w:rPr>
        <w:t xml:space="preserve">limited to an incumbent operator or its </w:t>
      </w:r>
      <w:r w:rsidRPr="00A649FD" w:rsidR="00D91CFA">
        <w:rPr>
          <w:rFonts w:eastAsia="Aptos"/>
          <w:i/>
        </w:rPr>
        <w:t>assignee or transferee</w:t>
      </w:r>
      <w:r w:rsidR="00EC78AA">
        <w:t>.</w:t>
      </w:r>
      <w:r w:rsidR="004F1C7A">
        <w:rPr>
          <w:rFonts w:eastAsia="Aptos"/>
        </w:rPr>
        <w:t xml:space="preserve"> </w:t>
      </w:r>
      <w:r w:rsidR="0023719F">
        <w:rPr>
          <w:rFonts w:eastAsia="Aptos"/>
        </w:rPr>
        <w:t xml:space="preserve"> </w:t>
      </w:r>
      <w:r w:rsidRPr="00A649FD" w:rsidR="00947DAE">
        <w:rPr>
          <w:rFonts w:eastAsia="Aptos"/>
          <w:i/>
        </w:rPr>
        <w:t>See</w:t>
      </w:r>
      <w:r w:rsidR="00947DAE">
        <w:rPr>
          <w:rFonts w:eastAsia="Aptos"/>
        </w:rPr>
        <w:t xml:space="preserve"> para 17 </w:t>
      </w:r>
      <w:r w:rsidRPr="00A649FD" w:rsidR="00947DAE">
        <w:rPr>
          <w:rFonts w:eastAsia="Aptos"/>
          <w:i/>
        </w:rPr>
        <w:t>supra</w:t>
      </w:r>
      <w:r w:rsidR="004744D8">
        <w:rPr>
          <w:rFonts w:eastAsia="Aptos"/>
        </w:rPr>
        <w:t xml:space="preserve"> (emphasis added). </w:t>
      </w:r>
      <w:r w:rsidR="00947DAE">
        <w:rPr>
          <w:rFonts w:eastAsia="Aptos"/>
        </w:rPr>
        <w:t xml:space="preserve"> </w:t>
      </w:r>
      <w:r w:rsidR="00D55807">
        <w:rPr>
          <w:rFonts w:eastAsia="Aptos"/>
        </w:rPr>
        <w:t>After the Bureau initiated the proceeding, EchoStar</w:t>
      </w:r>
      <w:r w:rsidR="00601F1B">
        <w:rPr>
          <w:rFonts w:eastAsia="Aptos"/>
        </w:rPr>
        <w:t xml:space="preserve"> and SpaceX entered into an agreement for the </w:t>
      </w:r>
      <w:r w:rsidR="00A37F04">
        <w:rPr>
          <w:rFonts w:eastAsia="Aptos"/>
        </w:rPr>
        <w:t>assignment</w:t>
      </w:r>
      <w:r w:rsidR="009E7849">
        <w:rPr>
          <w:rFonts w:eastAsia="Aptos"/>
        </w:rPr>
        <w:t xml:space="preserve"> of some of </w:t>
      </w:r>
      <w:r w:rsidR="00601F1B">
        <w:rPr>
          <w:rFonts w:eastAsia="Aptos"/>
        </w:rPr>
        <w:t xml:space="preserve"> EchoStar</w:t>
      </w:r>
      <w:r w:rsidR="0063015F">
        <w:rPr>
          <w:rFonts w:eastAsia="Aptos"/>
        </w:rPr>
        <w:t>’s spectrum rights, including the 2 GHz band</w:t>
      </w:r>
      <w:r w:rsidR="00A84085">
        <w:rPr>
          <w:rFonts w:eastAsia="Aptos"/>
        </w:rPr>
        <w:t>,</w:t>
      </w:r>
      <w:r w:rsidR="0063015F">
        <w:rPr>
          <w:rFonts w:eastAsia="Aptos"/>
        </w:rPr>
        <w:t xml:space="preserve"> to SpaceX. </w:t>
      </w:r>
      <w:r w:rsidR="00C430A8">
        <w:t xml:space="preserve"> </w:t>
      </w:r>
      <w:r w:rsidR="007C031A">
        <w:t xml:space="preserve">SpaceX </w:t>
      </w:r>
      <w:r w:rsidR="005B79D3">
        <w:t>then</w:t>
      </w:r>
      <w:r w:rsidR="00C430A8">
        <w:t xml:space="preserve"> </w:t>
      </w:r>
      <w:r w:rsidR="004A6ED0">
        <w:t>filed an</w:t>
      </w:r>
      <w:r w:rsidR="001B2B9F">
        <w:t xml:space="preserve"> </w:t>
      </w:r>
      <w:r w:rsidR="00C430A8">
        <w:t xml:space="preserve">application </w:t>
      </w:r>
      <w:r w:rsidR="002A3A53">
        <w:t>for authority to operate in the</w:t>
      </w:r>
      <w:r w:rsidR="00043FA4">
        <w:t xml:space="preserve"> </w:t>
      </w:r>
      <w:r w:rsidR="00DE3726">
        <w:t>2 GHz MSS</w:t>
      </w:r>
      <w:r w:rsidR="002A3A53">
        <w:t xml:space="preserve"> </w:t>
      </w:r>
      <w:r w:rsidR="00447AD3">
        <w:t xml:space="preserve">spectrum </w:t>
      </w:r>
      <w:r w:rsidR="00C40FEE">
        <w:t xml:space="preserve">to be </w:t>
      </w:r>
      <w:r w:rsidR="00447AD3">
        <w:t>acquired from Echo</w:t>
      </w:r>
      <w:r w:rsidR="00387540">
        <w:t>S</w:t>
      </w:r>
      <w:r w:rsidR="00447AD3">
        <w:t>tar</w:t>
      </w:r>
      <w:r w:rsidR="002C0DE9">
        <w:t xml:space="preserve">. </w:t>
      </w:r>
      <w:r w:rsidR="00F62361">
        <w:t xml:space="preserve"> </w:t>
      </w:r>
      <w:r w:rsidRPr="00A649FD" w:rsidR="00530097">
        <w:rPr>
          <w:i/>
        </w:rPr>
        <w:t>See</w:t>
      </w:r>
      <w:r w:rsidR="00530097">
        <w:t xml:space="preserve"> SpaceX D2C Application.  </w:t>
      </w:r>
      <w:r w:rsidR="009062A7">
        <w:t>Therefore</w:t>
      </w:r>
      <w:r w:rsidR="004F1C7A">
        <w:t>,</w:t>
      </w:r>
      <w:r w:rsidR="00C836D2">
        <w:t xml:space="preserve"> it is no longe</w:t>
      </w:r>
      <w:r w:rsidR="00726AED">
        <w:t xml:space="preserve">r </w:t>
      </w:r>
      <w:r w:rsidR="0003452D">
        <w:t>relevant</w:t>
      </w:r>
      <w:r w:rsidR="00A50BE1">
        <w:t xml:space="preserve"> </w:t>
      </w:r>
      <w:r w:rsidR="00C836D2">
        <w:t xml:space="preserve">to </w:t>
      </w:r>
      <w:r w:rsidR="00A8155B">
        <w:t>inquire about EchoStar’s use of the spectrum</w:t>
      </w:r>
      <w:r w:rsidR="00072045">
        <w:t>.</w:t>
      </w:r>
      <w:r w:rsidR="006B5575">
        <w:t xml:space="preserve"> </w:t>
      </w:r>
      <w:r w:rsidR="00835917">
        <w:t xml:space="preserve"> </w:t>
      </w:r>
      <w:r w:rsidR="007D45BB">
        <w:t xml:space="preserve"> </w:t>
      </w:r>
      <w:r w:rsidR="00F86FB9">
        <w:t xml:space="preserve"> </w:t>
      </w:r>
      <w:r w:rsidR="00A1033F">
        <w:t xml:space="preserve"> </w:t>
      </w:r>
    </w:p>
  </w:footnote>
  <w:footnote w:id="74">
    <w:p w:rsidR="002574F0" w:rsidP="002574F0" w14:paraId="4CC688FB" w14:textId="77777777">
      <w:pPr>
        <w:pStyle w:val="FootnoteText"/>
      </w:pPr>
      <w:r>
        <w:rPr>
          <w:rStyle w:val="FootnoteReference"/>
        </w:rPr>
        <w:footnoteRef/>
      </w:r>
      <w:r>
        <w:t xml:space="preserve"> 47 CFR </w:t>
      </w:r>
      <w:r w:rsidRPr="00073922">
        <w:t>§</w:t>
      </w:r>
      <w:r>
        <w:t xml:space="preserve"> 2.106.</w:t>
      </w:r>
    </w:p>
  </w:footnote>
  <w:footnote w:id="75">
    <w:p w:rsidR="002574F0" w:rsidRPr="00073922" w:rsidP="002574F0" w14:paraId="7781EEAE" w14:textId="77777777">
      <w:pPr>
        <w:pStyle w:val="FootnoteText"/>
        <w:rPr>
          <w:i/>
          <w:iCs/>
        </w:rPr>
      </w:pPr>
      <w:r>
        <w:rPr>
          <w:rStyle w:val="FootnoteReference"/>
        </w:rPr>
        <w:footnoteRef/>
      </w:r>
      <w:r>
        <w:t xml:space="preserve"> </w:t>
      </w:r>
      <w:r>
        <w:rPr>
          <w:i/>
          <w:iCs/>
        </w:rPr>
        <w:t>Id.</w:t>
      </w:r>
    </w:p>
  </w:footnote>
  <w:footnote w:id="76">
    <w:p w:rsidR="002574F0" w:rsidRPr="00073922" w:rsidP="002574F0" w14:paraId="4EAE7FD2" w14:textId="77777777">
      <w:pPr>
        <w:pStyle w:val="FootnoteText"/>
        <w:rPr>
          <w:i/>
          <w:iCs/>
        </w:rPr>
      </w:pPr>
      <w:r>
        <w:rPr>
          <w:rStyle w:val="FootnoteReference"/>
        </w:rPr>
        <w:footnoteRef/>
      </w:r>
      <w:r>
        <w:t xml:space="preserve"> </w:t>
      </w:r>
      <w:r>
        <w:rPr>
          <w:i/>
          <w:iCs/>
        </w:rPr>
        <w:t>Id.</w:t>
      </w:r>
    </w:p>
  </w:footnote>
  <w:footnote w:id="77">
    <w:p w:rsidR="002574F0" w:rsidP="002574F0" w14:paraId="176A89D0" w14:textId="0A56EE62">
      <w:pPr>
        <w:pStyle w:val="FootnoteText"/>
      </w:pPr>
      <w:r>
        <w:rPr>
          <w:rStyle w:val="FootnoteReference"/>
        </w:rPr>
        <w:footnoteRef/>
      </w:r>
      <w:r>
        <w:t xml:space="preserve"> </w:t>
      </w:r>
      <w:r w:rsidRPr="00B97638" w:rsidR="00B97638">
        <w:t>The U</w:t>
      </w:r>
      <w:r w:rsidR="00B97638">
        <w:t>.</w:t>
      </w:r>
      <w:r w:rsidRPr="00B97638" w:rsidR="00B97638">
        <w:t>K</w:t>
      </w:r>
      <w:r w:rsidR="00B97638">
        <w:t>.</w:t>
      </w:r>
      <w:r w:rsidRPr="00B97638" w:rsidR="00B97638">
        <w:t xml:space="preserve"> Administration replaced Inmarsat as a party to the MOU when Inmarsat was privatized.</w:t>
      </w:r>
      <w:r w:rsidR="00B97638">
        <w:t xml:space="preserve"> </w:t>
      </w:r>
      <w:r>
        <w:t xml:space="preserve"> </w:t>
      </w:r>
      <w:r w:rsidRPr="113430A8" w:rsidR="008B1D0B">
        <w:rPr>
          <w:rFonts w:eastAsia="Arial"/>
        </w:rPr>
        <w:t xml:space="preserve">Under the MOU, L-band spectrum for operation via certain satellites was to be dynamically assigned pursuant to successive annual arrangements among the respective satellite operators licensed by the signatory Administrations.  Furthermore, rather than creating permanent assignments of specific spectrum, the MOU </w:t>
      </w:r>
      <w:r w:rsidRPr="5229E186" w:rsidR="008B1D0B">
        <w:rPr>
          <w:rFonts w:eastAsia="Arial"/>
        </w:rPr>
        <w:t>was designed to permit</w:t>
      </w:r>
      <w:r w:rsidRPr="113430A8" w:rsidR="008B1D0B">
        <w:rPr>
          <w:rFonts w:eastAsia="Arial"/>
        </w:rPr>
        <w:t xml:space="preserve"> operators' assignments to change from year to year based on their marketplace needs.</w:t>
      </w:r>
    </w:p>
  </w:footnote>
  <w:footnote w:id="78">
    <w:p w:rsidR="002574F0" w:rsidP="002574F0" w14:paraId="6D35A0F7" w14:textId="54EDC3E0">
      <w:pPr>
        <w:pStyle w:val="FootnoteText"/>
      </w:pPr>
      <w:r>
        <w:rPr>
          <w:rStyle w:val="FootnoteReference"/>
        </w:rPr>
        <w:footnoteRef/>
      </w:r>
      <w:r w:rsidR="1ED61B99">
        <w:t xml:space="preserve"> When we discuss Ligado in this Order we also refer to its “predecessor.”  This is not a reference to a singular licensee, but for ease of reference, an acknowledgment that the Commission action took place with regard to  different entit</w:t>
      </w:r>
      <w:r w:rsidR="00644D1C">
        <w:t>ies</w:t>
      </w:r>
      <w:r w:rsidR="1ED61B99">
        <w:t xml:space="preserve"> whose authorization Ligado currently holds</w:t>
      </w:r>
      <w:r w:rsidR="006758F1">
        <w:t>.</w:t>
      </w:r>
      <w:r w:rsidR="1ED61B99">
        <w:t xml:space="preserve"> </w:t>
      </w:r>
      <w:r w:rsidR="00F62361">
        <w:t xml:space="preserve"> </w:t>
      </w:r>
      <w:r w:rsidR="002B05E8">
        <w:t xml:space="preserve">In addition, when we refer to “Inmarsat,” we refer to Inmarsat Global Limited and Inmarsat PLC interchangeably.  In 2023, Viasat, which provides voice, video, and data MSS services using GSO satellites acquired Inmarsat.  </w:t>
      </w:r>
      <w:r w:rsidRPr="00F10B32" w:rsidR="002B05E8">
        <w:rPr>
          <w:i/>
        </w:rPr>
        <w:t>Viasat, Inc. and Connect Topco Limited,</w:t>
      </w:r>
      <w:r w:rsidR="002B05E8">
        <w:t xml:space="preserve"> Memorandum Opinion and Order and Declaratory Ruling, 38 FCC Rcd 4776 (2023). </w:t>
      </w:r>
    </w:p>
  </w:footnote>
  <w:footnote w:id="79">
    <w:p w:rsidR="002574F0" w:rsidP="002574F0" w14:paraId="3D6D0A9C" w14:textId="77777777">
      <w:pPr>
        <w:pStyle w:val="FootnoteText"/>
      </w:pPr>
      <w:r>
        <w:rPr>
          <w:rStyle w:val="FootnoteReference"/>
        </w:rPr>
        <w:footnoteRef/>
      </w:r>
      <w:r>
        <w:t xml:space="preserve"> </w:t>
      </w:r>
      <w:r>
        <w:rPr>
          <w:i/>
          <w:iCs/>
        </w:rPr>
        <w:t>See generally</w:t>
      </w:r>
      <w:r>
        <w:rPr>
          <w:i/>
        </w:rPr>
        <w:t xml:space="preserve"> </w:t>
      </w:r>
      <w:r w:rsidRPr="00DA252A">
        <w:t>Inmarsat Global Ltd.</w:t>
      </w:r>
      <w:r>
        <w:t xml:space="preserve"> Reply, ICFS File No. </w:t>
      </w:r>
      <w:r w:rsidRPr="0068449F">
        <w:t>SAT-MOD-20251206-00374</w:t>
      </w:r>
      <w:r>
        <w:t xml:space="preserve"> (rec. Mar. 23, 2026).</w:t>
      </w:r>
    </w:p>
  </w:footnote>
  <w:footnote w:id="80">
    <w:p w:rsidR="002574F0" w:rsidP="002574F0" w14:paraId="1B3CC549" w14:textId="77777777">
      <w:pPr>
        <w:pStyle w:val="FootnoteText"/>
      </w:pPr>
      <w:r>
        <w:rPr>
          <w:rStyle w:val="FootnoteReference"/>
        </w:rPr>
        <w:footnoteRef/>
      </w:r>
      <w:r>
        <w:t xml:space="preserve"> ICFS File Nos. </w:t>
      </w:r>
      <w:r w:rsidRPr="002E573C">
        <w:t>SAT-LOA-19930708-00029 </w:t>
      </w:r>
      <w:r>
        <w:t xml:space="preserve">and </w:t>
      </w:r>
      <w:r w:rsidRPr="00AF0FCA">
        <w:t>SES-LIC-19980330-00339</w:t>
      </w:r>
      <w:r>
        <w:t>.</w:t>
      </w:r>
    </w:p>
  </w:footnote>
  <w:footnote w:id="81">
    <w:p w:rsidR="002574F0" w:rsidRPr="004921AC" w:rsidP="002574F0" w14:paraId="0569475B" w14:textId="0C869FB1">
      <w:pPr>
        <w:pStyle w:val="FootnoteText"/>
      </w:pPr>
      <w:r>
        <w:rPr>
          <w:rStyle w:val="FootnoteReference"/>
        </w:rPr>
        <w:footnoteRef/>
      </w:r>
      <w:r w:rsidRPr="004921AC">
        <w:t xml:space="preserve"> </w:t>
      </w:r>
      <w:r w:rsidRPr="006A5101">
        <w:rPr>
          <w:i/>
          <w:iCs/>
        </w:rPr>
        <w:t>Mobile Satellite Ventures Subsidiary LLC</w:t>
      </w:r>
      <w:r>
        <w:t xml:space="preserve">, Order and Authorization, </w:t>
      </w:r>
      <w:r w:rsidRPr="00A3544E">
        <w:t>19 FCC Rcd 22144</w:t>
      </w:r>
      <w:r>
        <w:t xml:space="preserve"> (</w:t>
      </w:r>
      <w:r w:rsidR="00B111B6">
        <w:t xml:space="preserve">IB </w:t>
      </w:r>
      <w:r>
        <w:t>2004)</w:t>
      </w:r>
      <w:r w:rsidRPr="004921AC">
        <w:t>.</w:t>
      </w:r>
    </w:p>
  </w:footnote>
  <w:footnote w:id="82">
    <w:p w:rsidR="002574F0" w:rsidRPr="006B2C4B" w:rsidP="002574F0" w14:paraId="32E32CA0" w14:textId="06802375">
      <w:pPr>
        <w:pStyle w:val="FootnoteText"/>
      </w:pPr>
      <w:r>
        <w:rPr>
          <w:rStyle w:val="FootnoteReference"/>
        </w:rPr>
        <w:footnoteRef/>
      </w:r>
      <w:r w:rsidRPr="004921AC">
        <w:t xml:space="preserve"> </w:t>
      </w:r>
      <w:r w:rsidRPr="004921AC">
        <w:rPr>
          <w:i/>
          <w:iCs/>
        </w:rPr>
        <w:t xml:space="preserve">See </w:t>
      </w:r>
      <w:r w:rsidRPr="006A5101">
        <w:rPr>
          <w:i/>
          <w:iCs/>
        </w:rPr>
        <w:t>Mobile Satellite Ventures Subsidiary LLC</w:t>
      </w:r>
      <w:r>
        <w:t xml:space="preserve">, Order and Authorization, </w:t>
      </w:r>
      <w:r w:rsidRPr="004921AC" w:rsidR="004C0DCD">
        <w:t>20</w:t>
      </w:r>
      <w:r w:rsidRPr="00E36CAB">
        <w:t xml:space="preserve"> FCC Rcd 9752 </w:t>
      </w:r>
      <w:r>
        <w:t>(</w:t>
      </w:r>
      <w:r w:rsidR="005319A2">
        <w:t xml:space="preserve">IB </w:t>
      </w:r>
      <w:r>
        <w:t xml:space="preserve">2005); </w:t>
      </w:r>
      <w:r w:rsidRPr="006A5101">
        <w:rPr>
          <w:i/>
          <w:iCs/>
        </w:rPr>
        <w:t>Mobile Satellite Ventures Subsidiary LLC</w:t>
      </w:r>
      <w:r>
        <w:t xml:space="preserve">, Order and Authorization, </w:t>
      </w:r>
      <w:r w:rsidRPr="00D70D25">
        <w:t>20 FCC Rcd 479</w:t>
      </w:r>
      <w:r>
        <w:t xml:space="preserve"> (</w:t>
      </w:r>
      <w:r w:rsidR="00221A94">
        <w:t xml:space="preserve">IB </w:t>
      </w:r>
      <w:r>
        <w:t>2005)</w:t>
      </w:r>
      <w:r w:rsidRPr="00F50759">
        <w:t xml:space="preserve"> (</w:t>
      </w:r>
      <w:r w:rsidRPr="00F50759">
        <w:rPr>
          <w:i/>
        </w:rPr>
        <w:t>2005 Order</w:t>
      </w:r>
      <w:r w:rsidRPr="00F50759">
        <w:t xml:space="preserve">).  </w:t>
      </w:r>
      <w:r>
        <w:t xml:space="preserve">Ligado’s predecessor surrendered its license for the SkyTerra-2 in 2006.  </w:t>
      </w:r>
      <w:r>
        <w:rPr>
          <w:i/>
          <w:iCs/>
        </w:rPr>
        <w:t xml:space="preserve">See </w:t>
      </w:r>
      <w:r>
        <w:t xml:space="preserve">Letter </w:t>
      </w:r>
      <w:r w:rsidRPr="000A1153">
        <w:t>from Jennifer Manner</w:t>
      </w:r>
      <w:r>
        <w:t>, MSV International, LLC, to Marlene H. Dortch, Secretary, FCC (dated June 12, 2006).</w:t>
      </w:r>
    </w:p>
  </w:footnote>
  <w:footnote w:id="83">
    <w:p w:rsidR="002574F0" w:rsidRPr="00CD3A1C" w:rsidP="002574F0" w14:paraId="5033C34D" w14:textId="158DB5C7">
      <w:pPr>
        <w:pStyle w:val="FootnoteText"/>
      </w:pPr>
      <w:r>
        <w:rPr>
          <w:rStyle w:val="FootnoteReference"/>
        </w:rPr>
        <w:footnoteRef/>
      </w:r>
      <w:r>
        <w:t xml:space="preserve"> </w:t>
      </w:r>
      <w:r>
        <w:rPr>
          <w:i/>
          <w:iCs/>
        </w:rPr>
        <w:t xml:space="preserve">See </w:t>
      </w:r>
      <w:r w:rsidRPr="00F10B32">
        <w:rPr>
          <w:i/>
          <w:iCs/>
        </w:rPr>
        <w:t>LightSquared Technical Working Group Report, et al.</w:t>
      </w:r>
      <w:r>
        <w:t xml:space="preserve">, Order and Authorization, </w:t>
      </w:r>
      <w:r w:rsidRPr="00D249CC">
        <w:t>35 FCC Rcd 3772</w:t>
      </w:r>
      <w:r>
        <w:t xml:space="preserve"> (2020).</w:t>
      </w:r>
    </w:p>
  </w:footnote>
  <w:footnote w:id="84">
    <w:p w:rsidR="002574F0" w:rsidP="002574F0" w14:paraId="6CD83E42" w14:textId="77777777">
      <w:pPr>
        <w:pStyle w:val="FootnoteText"/>
      </w:pPr>
      <w:r>
        <w:rPr>
          <w:rStyle w:val="FootnoteReference"/>
        </w:rPr>
        <w:footnoteRef/>
      </w:r>
      <w:r>
        <w:t xml:space="preserve"> </w:t>
      </w:r>
      <w:r w:rsidRPr="007E51CB">
        <w:rPr>
          <w:i/>
          <w:iCs/>
        </w:rPr>
        <w:t>Amendment of the Rules to Allocate Spectrum for and Establish Rules Pertaining to the Use of Radio Frequencies in the Land Mobile Satellite Service</w:t>
      </w:r>
      <w:r>
        <w:t xml:space="preserve">, </w:t>
      </w:r>
      <w:r w:rsidRPr="00E273BC">
        <w:t>Second Report and Order, General Docket No. 84</w:t>
      </w:r>
      <w:r>
        <w:t>-</w:t>
      </w:r>
      <w:r w:rsidRPr="00E273BC">
        <w:t>1234, 2 FCC Rcd 485</w:t>
      </w:r>
      <w:r>
        <w:t>, 486, para. 6</w:t>
      </w:r>
      <w:r w:rsidRPr="00E273BC">
        <w:t xml:space="preserve"> (1987).</w:t>
      </w:r>
    </w:p>
  </w:footnote>
  <w:footnote w:id="85">
    <w:p w:rsidR="002574F0" w:rsidRPr="009E2E28" w:rsidP="002574F0" w14:paraId="3ED94949" w14:textId="77777777">
      <w:pPr>
        <w:pStyle w:val="FootnoteText"/>
        <w:rPr>
          <w:i/>
          <w:iCs/>
        </w:rPr>
      </w:pPr>
      <w:r>
        <w:rPr>
          <w:rStyle w:val="FootnoteReference"/>
        </w:rPr>
        <w:footnoteRef/>
      </w:r>
      <w:r>
        <w:t xml:space="preserve"> </w:t>
      </w:r>
      <w:r w:rsidRPr="00105D46">
        <w:rPr>
          <w:i/>
          <w:iCs/>
        </w:rPr>
        <w:t>Id</w:t>
      </w:r>
      <w:r>
        <w:t xml:space="preserve">. </w:t>
      </w:r>
    </w:p>
  </w:footnote>
  <w:footnote w:id="86">
    <w:p w:rsidR="002574F0" w:rsidP="002574F0" w14:paraId="30DD5128" w14:textId="77777777">
      <w:pPr>
        <w:pStyle w:val="FootnoteText"/>
      </w:pPr>
      <w:r>
        <w:rPr>
          <w:rStyle w:val="FootnoteReference"/>
        </w:rPr>
        <w:footnoteRef/>
      </w:r>
      <w:r>
        <w:t xml:space="preserve"> </w:t>
      </w:r>
      <w:r w:rsidRPr="00954058">
        <w:rPr>
          <w:i/>
          <w:iCs/>
        </w:rPr>
        <w:t>See Amendment of Parts 2, 22, 25 of the Commission's Rules to Allocate Spectrum for and to Establish Rules and Policies Pertaining to the Use of Frequencies in a Land Mobile Satellite Service for the Provision of Various Common Carrier Services</w:t>
      </w:r>
      <w:r w:rsidRPr="00954058">
        <w:t xml:space="preserve">, Memorandum Opinion, Order and Authorization, 4 FCC Rcd 6041 (1989) </w:t>
      </w:r>
      <w:r w:rsidRPr="00A80A27">
        <w:rPr>
          <w:i/>
          <w:iCs/>
        </w:rPr>
        <w:t>remanded by A</w:t>
      </w:r>
      <w:r>
        <w:rPr>
          <w:i/>
          <w:iCs/>
        </w:rPr>
        <w:t>e</w:t>
      </w:r>
      <w:r w:rsidRPr="00A80A27">
        <w:rPr>
          <w:i/>
          <w:iCs/>
        </w:rPr>
        <w:t>ronautical Radio, Inc. v. FCC</w:t>
      </w:r>
      <w:r w:rsidRPr="00954058">
        <w:t xml:space="preserve">, 928 F.2d 428 (D.C. Cir. 1991); </w:t>
      </w:r>
      <w:r w:rsidRPr="008C4B19">
        <w:rPr>
          <w:i/>
          <w:iCs/>
        </w:rPr>
        <w:t>Final Decision on Remand</w:t>
      </w:r>
      <w:r w:rsidRPr="00954058">
        <w:t>, 7 FCC R</w:t>
      </w:r>
      <w:r>
        <w:t>c</w:t>
      </w:r>
      <w:r w:rsidRPr="00954058">
        <w:t xml:space="preserve">d 266 (1992); </w:t>
      </w:r>
      <w:r w:rsidRPr="008C4B19">
        <w:rPr>
          <w:i/>
          <w:iCs/>
        </w:rPr>
        <w:t>aff</w:t>
      </w:r>
      <w:r>
        <w:rPr>
          <w:i/>
          <w:iCs/>
        </w:rPr>
        <w:t>’</w:t>
      </w:r>
      <w:r w:rsidRPr="008C4B19">
        <w:rPr>
          <w:i/>
          <w:iCs/>
        </w:rPr>
        <w:t>d</w:t>
      </w:r>
      <w:r w:rsidRPr="00954058">
        <w:t xml:space="preserve">, </w:t>
      </w:r>
      <w:r w:rsidRPr="009733C4">
        <w:rPr>
          <w:i/>
          <w:iCs/>
        </w:rPr>
        <w:t>Aeronautical Radio, Inc. v. FCC</w:t>
      </w:r>
      <w:r w:rsidRPr="00954058">
        <w:t>, 983 F.2d 275 (D.C. Cir. 1993)</w:t>
      </w:r>
      <w:r>
        <w:t>.</w:t>
      </w:r>
    </w:p>
  </w:footnote>
  <w:footnote w:id="87">
    <w:p w:rsidR="002574F0" w:rsidP="002574F0" w14:paraId="357F4AFE" w14:textId="77777777">
      <w:pPr>
        <w:pStyle w:val="FootnoteText"/>
      </w:pPr>
      <w:r>
        <w:rPr>
          <w:rStyle w:val="FootnoteReference"/>
        </w:rPr>
        <w:footnoteRef/>
      </w:r>
      <w:r>
        <w:t xml:space="preserve"> </w:t>
      </w:r>
      <w:r w:rsidRPr="00733DC0">
        <w:rPr>
          <w:i/>
          <w:iCs/>
        </w:rPr>
        <w:t>Establishing Rules and Policies for the Use of Spectrum for Mobile Satellite Services in the Upper and Lower L-Band</w:t>
      </w:r>
      <w:r>
        <w:t xml:space="preserve">, Report and Order, </w:t>
      </w:r>
      <w:r w:rsidRPr="00A93800">
        <w:t>17 FCC Rcd 2704, 2704</w:t>
      </w:r>
      <w:r>
        <w:t>, para. 1</w:t>
      </w:r>
      <w:r w:rsidRPr="00A93800">
        <w:t xml:space="preserve"> (2002)</w:t>
      </w:r>
      <w:r>
        <w:t xml:space="preserve"> (</w:t>
      </w:r>
      <w:r>
        <w:rPr>
          <w:i/>
          <w:iCs/>
        </w:rPr>
        <w:t>2002 Order</w:t>
      </w:r>
      <w:r>
        <w:t>).</w:t>
      </w:r>
    </w:p>
  </w:footnote>
  <w:footnote w:id="88">
    <w:p w:rsidR="002574F0" w:rsidP="00B46C4C" w14:paraId="6F6CB57B" w14:textId="592DAF84">
      <w:pPr>
        <w:pStyle w:val="FootnoteText"/>
      </w:pPr>
      <w:r>
        <w:rPr>
          <w:rStyle w:val="FootnoteReference"/>
        </w:rPr>
        <w:footnoteRef/>
      </w:r>
      <w:r>
        <w:t xml:space="preserve"> In addition, in December 2025, Ligado filed an application to </w:t>
      </w:r>
      <w:r w:rsidRPr="00B46C4C">
        <w:t>provide</w:t>
      </w:r>
      <w:r>
        <w:t xml:space="preserve"> MSS aboard AST &amp; Science LLC’s constellation of NGSO satellites using the 1525-1599 MHz and 1626.5-1660.5 MHz bands. </w:t>
      </w:r>
      <w:r w:rsidR="006F3B6C">
        <w:t xml:space="preserve"> </w:t>
      </w:r>
      <w:r>
        <w:t>ICFS File No. SAT-MOD-20251206-00374.</w:t>
      </w:r>
    </w:p>
  </w:footnote>
  <w:footnote w:id="89">
    <w:p w:rsidR="002574F0" w:rsidRPr="002A6835" w:rsidP="002574F0" w14:paraId="387B2D44" w14:textId="77777777">
      <w:pPr>
        <w:pStyle w:val="FootnoteText"/>
      </w:pPr>
      <w:r>
        <w:rPr>
          <w:rStyle w:val="FootnoteReference"/>
        </w:rPr>
        <w:footnoteRef/>
      </w:r>
      <w:r>
        <w:t xml:space="preserve"> </w:t>
      </w:r>
      <w:r>
        <w:rPr>
          <w:i/>
          <w:iCs/>
        </w:rPr>
        <w:t>2005 Order</w:t>
      </w:r>
      <w:r>
        <w:t>, 20 FCC Rcd at 482, para. 8.</w:t>
      </w:r>
    </w:p>
  </w:footnote>
  <w:footnote w:id="90">
    <w:p w:rsidR="002574F0" w:rsidRPr="00B62251" w:rsidP="002574F0" w14:paraId="68844DA9" w14:textId="77777777">
      <w:pPr>
        <w:pStyle w:val="FootnoteText"/>
        <w:rPr>
          <w:i/>
          <w:iCs/>
        </w:rPr>
      </w:pPr>
      <w:r>
        <w:rPr>
          <w:rStyle w:val="FootnoteReference"/>
        </w:rPr>
        <w:footnoteRef/>
      </w:r>
      <w:r>
        <w:rPr>
          <w:i/>
          <w:iCs/>
        </w:rPr>
        <w:t xml:space="preserve"> Id. </w:t>
      </w:r>
    </w:p>
  </w:footnote>
  <w:footnote w:id="91">
    <w:p w:rsidR="002574F0" w:rsidRPr="00BC2294" w:rsidP="002574F0" w14:paraId="36A442EF" w14:textId="256E6B16">
      <w:pPr>
        <w:pStyle w:val="FootnoteText"/>
        <w:rPr>
          <w:i/>
          <w:iCs/>
        </w:rPr>
      </w:pPr>
      <w:r>
        <w:rPr>
          <w:rStyle w:val="FootnoteReference"/>
        </w:rPr>
        <w:footnoteRef/>
      </w:r>
      <w:r w:rsidR="00AC367B">
        <w:t xml:space="preserve"> </w:t>
      </w:r>
      <w:r w:rsidRPr="00AC367B" w:rsidR="00AC367B">
        <w:rPr>
          <w:i/>
          <w:iCs/>
        </w:rPr>
        <w:t>Id.</w:t>
      </w:r>
      <w:r w:rsidR="00AC367B">
        <w:t xml:space="preserve"> </w:t>
      </w:r>
    </w:p>
  </w:footnote>
  <w:footnote w:id="92">
    <w:p w:rsidR="002574F0" w:rsidP="002574F0" w14:paraId="56A88BF0" w14:textId="77777777">
      <w:pPr>
        <w:pStyle w:val="FootnoteText"/>
      </w:pPr>
      <w:r>
        <w:rPr>
          <w:rStyle w:val="FootnoteReference"/>
        </w:rPr>
        <w:footnoteRef/>
      </w:r>
      <w:r>
        <w:t xml:space="preserve"> </w:t>
      </w:r>
      <w:r>
        <w:rPr>
          <w:i/>
          <w:iCs/>
        </w:rPr>
        <w:t>2002 Order</w:t>
      </w:r>
      <w:r>
        <w:t>, 17 FCC Rcd at 2710, para. 16.</w:t>
      </w:r>
    </w:p>
  </w:footnote>
  <w:footnote w:id="93">
    <w:p w:rsidR="002574F0" w:rsidP="002574F0" w14:paraId="1B0D4A1C" w14:textId="47AEE2AE">
      <w:pPr>
        <w:pStyle w:val="FootnoteText"/>
      </w:pPr>
      <w:r>
        <w:rPr>
          <w:rStyle w:val="FootnoteReference"/>
        </w:rPr>
        <w:footnoteRef/>
      </w:r>
      <w:r>
        <w:t xml:space="preserve"> </w:t>
      </w:r>
      <w:r w:rsidRPr="00F43473">
        <w:rPr>
          <w:i/>
        </w:rPr>
        <w:t>See</w:t>
      </w:r>
      <w:r>
        <w:t xml:space="preserve"> </w:t>
      </w:r>
      <w:r w:rsidRPr="00CD54CF">
        <w:t>SpaceX</w:t>
      </w:r>
      <w:r>
        <w:t xml:space="preserve"> Gen2 D2C Modification; SpaceX Gen2 Upgrade Applications; SpaceX Gen2 1.5 and 1.6/2.4 GHz band Modification.  </w:t>
      </w:r>
    </w:p>
  </w:footnote>
  <w:footnote w:id="94">
    <w:p w:rsidR="002574F0" w:rsidRPr="00F90EE9" w:rsidP="002574F0" w14:paraId="67E0D86E" w14:textId="77777777">
      <w:pPr>
        <w:pStyle w:val="FootnoteText"/>
      </w:pPr>
      <w:r>
        <w:rPr>
          <w:rStyle w:val="FootnoteReference"/>
        </w:rPr>
        <w:footnoteRef/>
      </w:r>
      <w:r>
        <w:t xml:space="preserve"> </w:t>
      </w:r>
      <w:r>
        <w:rPr>
          <w:i/>
          <w:iCs/>
        </w:rPr>
        <w:t>See</w:t>
      </w:r>
      <w:r>
        <w:t xml:space="preserve"> SpaceX D2C Constellation Application.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6EC7" w14:paraId="3CFF5005"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7FD4C45" w14:textId="48817606">
    <w:pPr>
      <w:pStyle w:val="Header"/>
      <w:rPr>
        <w:b w:val="0"/>
      </w:rPr>
    </w:pPr>
    <w:r>
      <w:tab/>
      <w:t>Federal Communications Commission</w:t>
    </w:r>
    <w:r>
      <w:tab/>
    </w:r>
    <w:r w:rsidR="00C01F19">
      <w:t>DA 26-398</w:t>
    </w:r>
  </w:p>
  <w:p w:rsidR="00D25FB5" w14:paraId="4B63E9C1" w14:textId="57F1EB6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530B6029" w14:textId="77777777">
    <w:pPr>
      <w:spacing w:after="389" w:line="100" w:lineRule="exact"/>
      <w:rPr>
        <w:sz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6216700" w14:textId="1742A3D9">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B31D25">
      <w:rPr>
        <w:spacing w:val="-2"/>
      </w:rPr>
      <w:t xml:space="preserve">DA </w:t>
    </w:r>
    <w:r w:rsidR="00B31D25">
      <w:rPr>
        <w:spacing w:val="-2"/>
      </w:rPr>
      <w:t>26-</w:t>
    </w:r>
    <w:r w:rsidR="00C01F19">
      <w:rPr>
        <w:spacing w:val="-2"/>
      </w:rPr>
      <w:t xml:space="preserve">398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31C23"/>
    <w:multiLevelType w:val="multilevel"/>
    <w:tmpl w:val="4282E4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4DCFCE9"/>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5DFABEB4"/>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2CAC02B8"/>
    <w:multiLevelType w:val="multilevel"/>
    <w:tmpl w:val="FAAC26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60A5082"/>
    <w:multiLevelType w:val="multilevel"/>
    <w:tmpl w:val="A5089F3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C816304"/>
    <w:multiLevelType w:val="multilevel"/>
    <w:tmpl w:val="AAB808E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ECD6F30"/>
    <w:multiLevelType w:val="hybridMultilevel"/>
    <w:tmpl w:val="00D2B2AC"/>
    <w:lvl w:ilvl="0">
      <w:start w:val="10"/>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41E646B6"/>
    <w:multiLevelType w:val="hybridMultilevel"/>
    <w:tmpl w:val="DB166FC0"/>
    <w:lvl w:ilvl="0">
      <w:start w:val="1"/>
      <w:numFmt w:val="bullet"/>
      <w:lvlText w:val=""/>
      <w:lvlJc w:val="left"/>
      <w:pPr>
        <w:ind w:left="360" w:hanging="360"/>
      </w:pPr>
      <w:rPr>
        <w:rFonts w:ascii="Symbol" w:hAnsi="Symbol" w:hint="defaul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5A9B2DD8"/>
    <w:multiLevelType w:val="multilevel"/>
    <w:tmpl w:val="D25E19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C637A6B"/>
    <w:multiLevelType w:val="multilevel"/>
    <w:tmpl w:val="574A350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1182925"/>
    <w:multiLevelType w:val="singleLevel"/>
    <w:tmpl w:val="0D6421D0"/>
    <w:lvl w:ilvl="0">
      <w:start w:val="1"/>
      <w:numFmt w:val="decimal"/>
      <w:pStyle w:val="ParaNum"/>
      <w:lvlText w:val="%1."/>
      <w:lvlJc w:val="left"/>
      <w:pPr>
        <w:tabs>
          <w:tab w:val="num" w:pos="1080"/>
        </w:tabs>
        <w:ind w:left="0" w:firstLine="720"/>
      </w:pPr>
    </w:lvl>
  </w:abstractNum>
  <w:abstractNum w:abstractNumId="15">
    <w:nsid w:val="671023A3"/>
    <w:multiLevelType w:val="multilevel"/>
    <w:tmpl w:val="B214579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78E1179"/>
    <w:multiLevelType w:val="multilevel"/>
    <w:tmpl w:val="11B4769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AC14297"/>
    <w:multiLevelType w:val="multilevel"/>
    <w:tmpl w:val="99806AFA"/>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87C7E72"/>
    <w:multiLevelType w:val="multilevel"/>
    <w:tmpl w:val="5F245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70233729">
    <w:abstractNumId w:val="3"/>
  </w:num>
  <w:num w:numId="2" w16cid:durableId="3750052">
    <w:abstractNumId w:val="14"/>
  </w:num>
  <w:num w:numId="3" w16cid:durableId="910165347">
    <w:abstractNumId w:val="5"/>
  </w:num>
  <w:num w:numId="4" w16cid:durableId="1218053040">
    <w:abstractNumId w:val="11"/>
  </w:num>
  <w:num w:numId="5" w16cid:durableId="832066519">
    <w:abstractNumId w:val="4"/>
  </w:num>
  <w:num w:numId="6" w16cid:durableId="506483465">
    <w:abstractNumId w:val="1"/>
  </w:num>
  <w:num w:numId="7" w16cid:durableId="1419598148">
    <w:abstractNumId w:val="17"/>
  </w:num>
  <w:num w:numId="8" w16cid:durableId="1009527441">
    <w:abstractNumId w:val="10"/>
  </w:num>
  <w:num w:numId="9" w16cid:durableId="1650011761">
    <w:abstractNumId w:val="2"/>
  </w:num>
  <w:num w:numId="10" w16cid:durableId="922573020">
    <w:abstractNumId w:val="9"/>
  </w:num>
  <w:num w:numId="11" w16cid:durableId="897861753">
    <w:abstractNumId w:val="18"/>
  </w:num>
  <w:num w:numId="12" w16cid:durableId="134491853">
    <w:abstractNumId w:val="0"/>
  </w:num>
  <w:num w:numId="13" w16cid:durableId="955403604">
    <w:abstractNumId w:val="6"/>
  </w:num>
  <w:num w:numId="14" w16cid:durableId="1558735234">
    <w:abstractNumId w:val="12"/>
  </w:num>
  <w:num w:numId="15" w16cid:durableId="1143353611">
    <w:abstractNumId w:val="15"/>
  </w:num>
  <w:num w:numId="16" w16cid:durableId="2109155471">
    <w:abstractNumId w:val="8"/>
  </w:num>
  <w:num w:numId="17" w16cid:durableId="403532001">
    <w:abstractNumId w:val="7"/>
  </w:num>
  <w:num w:numId="18" w16cid:durableId="2136174458">
    <w:abstractNumId w:val="13"/>
  </w:num>
  <w:num w:numId="19" w16cid:durableId="1585263992">
    <w:abstractNumId w:val="16"/>
  </w:num>
  <w:num w:numId="20" w16cid:durableId="750203570">
    <w:abstractNumId w:val="5"/>
  </w:num>
  <w:num w:numId="21" w16cid:durableId="2076851373">
    <w:abstractNumId w:val="5"/>
  </w:num>
  <w:num w:numId="22" w16cid:durableId="95173050">
    <w:abstractNumId w:val="5"/>
  </w:num>
  <w:num w:numId="23" w16cid:durableId="1963882328">
    <w:abstractNumId w:val="5"/>
  </w:num>
  <w:num w:numId="24" w16cid:durableId="1334138823">
    <w:abstractNumId w:val="5"/>
  </w:num>
  <w:num w:numId="25" w16cid:durableId="70852467">
    <w:abstractNumId w:val="5"/>
  </w:num>
  <w:num w:numId="26" w16cid:durableId="488712863">
    <w:abstractNumId w:val="5"/>
  </w:num>
  <w:num w:numId="27" w16cid:durableId="1114865389">
    <w:abstractNumId w:val="5"/>
  </w:num>
  <w:num w:numId="28" w16cid:durableId="288901768">
    <w:abstractNumId w:val="5"/>
  </w:num>
  <w:num w:numId="29" w16cid:durableId="688025854">
    <w:abstractNumId w:val="14"/>
  </w:num>
  <w:num w:numId="30" w16cid:durableId="1023822740">
    <w:abstractNumId w:val="14"/>
    <w:lvlOverride w:ilvl="0">
      <w:startOverride w:val="1"/>
    </w:lvlOverride>
  </w:num>
  <w:num w:numId="31" w16cid:durableId="93651971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4F0"/>
    <w:rsid w:val="00000547"/>
    <w:rsid w:val="00000B16"/>
    <w:rsid w:val="00000B62"/>
    <w:rsid w:val="00001114"/>
    <w:rsid w:val="000025F5"/>
    <w:rsid w:val="0000263E"/>
    <w:rsid w:val="0000290F"/>
    <w:rsid w:val="00004832"/>
    <w:rsid w:val="00004A2E"/>
    <w:rsid w:val="000052D9"/>
    <w:rsid w:val="00006737"/>
    <w:rsid w:val="000070E6"/>
    <w:rsid w:val="00011C4A"/>
    <w:rsid w:val="00012851"/>
    <w:rsid w:val="00012BC2"/>
    <w:rsid w:val="00013074"/>
    <w:rsid w:val="00013D5C"/>
    <w:rsid w:val="000149B5"/>
    <w:rsid w:val="000167C7"/>
    <w:rsid w:val="0001692F"/>
    <w:rsid w:val="00016AA5"/>
    <w:rsid w:val="00017184"/>
    <w:rsid w:val="00021C33"/>
    <w:rsid w:val="000237E3"/>
    <w:rsid w:val="00024723"/>
    <w:rsid w:val="00025099"/>
    <w:rsid w:val="00025204"/>
    <w:rsid w:val="000262F0"/>
    <w:rsid w:val="0002696B"/>
    <w:rsid w:val="000270EE"/>
    <w:rsid w:val="00027C36"/>
    <w:rsid w:val="000300CD"/>
    <w:rsid w:val="00030301"/>
    <w:rsid w:val="00030EF6"/>
    <w:rsid w:val="00030FC7"/>
    <w:rsid w:val="00031D86"/>
    <w:rsid w:val="000322B4"/>
    <w:rsid w:val="000326CE"/>
    <w:rsid w:val="00032E56"/>
    <w:rsid w:val="00033084"/>
    <w:rsid w:val="00033356"/>
    <w:rsid w:val="00033658"/>
    <w:rsid w:val="00033CA0"/>
    <w:rsid w:val="000342D5"/>
    <w:rsid w:val="0003452D"/>
    <w:rsid w:val="0003549D"/>
    <w:rsid w:val="00035A86"/>
    <w:rsid w:val="00035E39"/>
    <w:rsid w:val="00036039"/>
    <w:rsid w:val="00036BE7"/>
    <w:rsid w:val="00037E8D"/>
    <w:rsid w:val="00037F90"/>
    <w:rsid w:val="0004122A"/>
    <w:rsid w:val="00041E09"/>
    <w:rsid w:val="00041EA4"/>
    <w:rsid w:val="000426FD"/>
    <w:rsid w:val="00042C78"/>
    <w:rsid w:val="000431A5"/>
    <w:rsid w:val="0004368C"/>
    <w:rsid w:val="00043AE6"/>
    <w:rsid w:val="00043F6F"/>
    <w:rsid w:val="00043FA4"/>
    <w:rsid w:val="000443CA"/>
    <w:rsid w:val="0004453D"/>
    <w:rsid w:val="00046CFC"/>
    <w:rsid w:val="00047212"/>
    <w:rsid w:val="000508E4"/>
    <w:rsid w:val="00050C83"/>
    <w:rsid w:val="0005240E"/>
    <w:rsid w:val="000524E5"/>
    <w:rsid w:val="00052DD3"/>
    <w:rsid w:val="000532FA"/>
    <w:rsid w:val="00053FB6"/>
    <w:rsid w:val="0005589C"/>
    <w:rsid w:val="00056537"/>
    <w:rsid w:val="000566FD"/>
    <w:rsid w:val="00056810"/>
    <w:rsid w:val="00056BC5"/>
    <w:rsid w:val="0005713D"/>
    <w:rsid w:val="000575ED"/>
    <w:rsid w:val="000577D3"/>
    <w:rsid w:val="0005789D"/>
    <w:rsid w:val="0006042B"/>
    <w:rsid w:val="00060A5A"/>
    <w:rsid w:val="00062419"/>
    <w:rsid w:val="00063666"/>
    <w:rsid w:val="00063DB1"/>
    <w:rsid w:val="00064A28"/>
    <w:rsid w:val="00064C2F"/>
    <w:rsid w:val="00064EF1"/>
    <w:rsid w:val="0006502E"/>
    <w:rsid w:val="00065345"/>
    <w:rsid w:val="000657D0"/>
    <w:rsid w:val="000664BA"/>
    <w:rsid w:val="000664BD"/>
    <w:rsid w:val="00066B57"/>
    <w:rsid w:val="000674A3"/>
    <w:rsid w:val="000676B5"/>
    <w:rsid w:val="00070F43"/>
    <w:rsid w:val="00072045"/>
    <w:rsid w:val="000724BD"/>
    <w:rsid w:val="000729C3"/>
    <w:rsid w:val="000735AF"/>
    <w:rsid w:val="00073922"/>
    <w:rsid w:val="00074C97"/>
    <w:rsid w:val="00074FE0"/>
    <w:rsid w:val="000753E0"/>
    <w:rsid w:val="00076DA3"/>
    <w:rsid w:val="000816A0"/>
    <w:rsid w:val="00081B9B"/>
    <w:rsid w:val="00081BBD"/>
    <w:rsid w:val="00082B8C"/>
    <w:rsid w:val="00082C00"/>
    <w:rsid w:val="00082E82"/>
    <w:rsid w:val="00083340"/>
    <w:rsid w:val="00083729"/>
    <w:rsid w:val="0008381B"/>
    <w:rsid w:val="00083B3A"/>
    <w:rsid w:val="000842DB"/>
    <w:rsid w:val="00084B30"/>
    <w:rsid w:val="00085385"/>
    <w:rsid w:val="000875BF"/>
    <w:rsid w:val="000917EA"/>
    <w:rsid w:val="00091D93"/>
    <w:rsid w:val="0009227D"/>
    <w:rsid w:val="0009305F"/>
    <w:rsid w:val="00093C13"/>
    <w:rsid w:val="00093FBF"/>
    <w:rsid w:val="00094603"/>
    <w:rsid w:val="00095250"/>
    <w:rsid w:val="00095BB1"/>
    <w:rsid w:val="00096064"/>
    <w:rsid w:val="000967FC"/>
    <w:rsid w:val="0009683E"/>
    <w:rsid w:val="00096D8C"/>
    <w:rsid w:val="00097095"/>
    <w:rsid w:val="000976DA"/>
    <w:rsid w:val="00097B66"/>
    <w:rsid w:val="00097BDA"/>
    <w:rsid w:val="00097D3A"/>
    <w:rsid w:val="00097FF6"/>
    <w:rsid w:val="000A0C3D"/>
    <w:rsid w:val="000A0F1B"/>
    <w:rsid w:val="000A1097"/>
    <w:rsid w:val="000A1153"/>
    <w:rsid w:val="000A128D"/>
    <w:rsid w:val="000A2192"/>
    <w:rsid w:val="000A30E0"/>
    <w:rsid w:val="000A3354"/>
    <w:rsid w:val="000A3655"/>
    <w:rsid w:val="000A4256"/>
    <w:rsid w:val="000A6317"/>
    <w:rsid w:val="000A7C7B"/>
    <w:rsid w:val="000A7F03"/>
    <w:rsid w:val="000B1DEE"/>
    <w:rsid w:val="000B2CCB"/>
    <w:rsid w:val="000B304F"/>
    <w:rsid w:val="000B35BA"/>
    <w:rsid w:val="000B3C4B"/>
    <w:rsid w:val="000B5423"/>
    <w:rsid w:val="000B5A42"/>
    <w:rsid w:val="000B67E6"/>
    <w:rsid w:val="000B6898"/>
    <w:rsid w:val="000B71FE"/>
    <w:rsid w:val="000C0799"/>
    <w:rsid w:val="000C0967"/>
    <w:rsid w:val="000C0B65"/>
    <w:rsid w:val="000C152A"/>
    <w:rsid w:val="000C1CCD"/>
    <w:rsid w:val="000C202D"/>
    <w:rsid w:val="000C261B"/>
    <w:rsid w:val="000C3661"/>
    <w:rsid w:val="000C36C9"/>
    <w:rsid w:val="000C43B5"/>
    <w:rsid w:val="000C47AE"/>
    <w:rsid w:val="000C4DB7"/>
    <w:rsid w:val="000C5068"/>
    <w:rsid w:val="000C5600"/>
    <w:rsid w:val="000C5A42"/>
    <w:rsid w:val="000C6192"/>
    <w:rsid w:val="000C6193"/>
    <w:rsid w:val="000C67BC"/>
    <w:rsid w:val="000C6AC9"/>
    <w:rsid w:val="000C6ED5"/>
    <w:rsid w:val="000C7104"/>
    <w:rsid w:val="000D0066"/>
    <w:rsid w:val="000D069C"/>
    <w:rsid w:val="000D0888"/>
    <w:rsid w:val="000D0CBA"/>
    <w:rsid w:val="000D161A"/>
    <w:rsid w:val="000D16DD"/>
    <w:rsid w:val="000D18F8"/>
    <w:rsid w:val="000D2C7A"/>
    <w:rsid w:val="000D2FAB"/>
    <w:rsid w:val="000D3451"/>
    <w:rsid w:val="000D397C"/>
    <w:rsid w:val="000D3B52"/>
    <w:rsid w:val="000D4027"/>
    <w:rsid w:val="000D42E1"/>
    <w:rsid w:val="000D4956"/>
    <w:rsid w:val="000D49C4"/>
    <w:rsid w:val="000D51B0"/>
    <w:rsid w:val="000D673B"/>
    <w:rsid w:val="000D686E"/>
    <w:rsid w:val="000D6912"/>
    <w:rsid w:val="000D720D"/>
    <w:rsid w:val="000D7D46"/>
    <w:rsid w:val="000E05FE"/>
    <w:rsid w:val="000E0638"/>
    <w:rsid w:val="000E0975"/>
    <w:rsid w:val="000E0D67"/>
    <w:rsid w:val="000E1A6E"/>
    <w:rsid w:val="000E1E62"/>
    <w:rsid w:val="000E350A"/>
    <w:rsid w:val="000E3524"/>
    <w:rsid w:val="000E3D42"/>
    <w:rsid w:val="000E46F1"/>
    <w:rsid w:val="000E47E7"/>
    <w:rsid w:val="000E4E15"/>
    <w:rsid w:val="000E5001"/>
    <w:rsid w:val="000E55EC"/>
    <w:rsid w:val="000E5931"/>
    <w:rsid w:val="000E6144"/>
    <w:rsid w:val="000E61AC"/>
    <w:rsid w:val="000E6318"/>
    <w:rsid w:val="000E64A3"/>
    <w:rsid w:val="000E65E6"/>
    <w:rsid w:val="000E79A1"/>
    <w:rsid w:val="000E7C61"/>
    <w:rsid w:val="000E7EFC"/>
    <w:rsid w:val="000F0119"/>
    <w:rsid w:val="000F0D63"/>
    <w:rsid w:val="000F2C75"/>
    <w:rsid w:val="000F3380"/>
    <w:rsid w:val="000F3FC4"/>
    <w:rsid w:val="000F42A9"/>
    <w:rsid w:val="000F45ED"/>
    <w:rsid w:val="000F4ADB"/>
    <w:rsid w:val="000F5C3F"/>
    <w:rsid w:val="000F5ED3"/>
    <w:rsid w:val="000F5F28"/>
    <w:rsid w:val="000F7482"/>
    <w:rsid w:val="000F7630"/>
    <w:rsid w:val="000F7668"/>
    <w:rsid w:val="001008AA"/>
    <w:rsid w:val="001008D7"/>
    <w:rsid w:val="0010097C"/>
    <w:rsid w:val="00100C29"/>
    <w:rsid w:val="00100C45"/>
    <w:rsid w:val="00101CC1"/>
    <w:rsid w:val="00101FB7"/>
    <w:rsid w:val="00102EAB"/>
    <w:rsid w:val="001030CC"/>
    <w:rsid w:val="00103187"/>
    <w:rsid w:val="00103284"/>
    <w:rsid w:val="001033CA"/>
    <w:rsid w:val="00104374"/>
    <w:rsid w:val="00104708"/>
    <w:rsid w:val="00104E43"/>
    <w:rsid w:val="001054C1"/>
    <w:rsid w:val="00105D46"/>
    <w:rsid w:val="0010726C"/>
    <w:rsid w:val="001076BB"/>
    <w:rsid w:val="00107857"/>
    <w:rsid w:val="00110B3F"/>
    <w:rsid w:val="00110C94"/>
    <w:rsid w:val="00111314"/>
    <w:rsid w:val="001117CE"/>
    <w:rsid w:val="001121B4"/>
    <w:rsid w:val="001132EB"/>
    <w:rsid w:val="00113394"/>
    <w:rsid w:val="001134AA"/>
    <w:rsid w:val="00116869"/>
    <w:rsid w:val="001173B0"/>
    <w:rsid w:val="001201C8"/>
    <w:rsid w:val="0012081B"/>
    <w:rsid w:val="001208DC"/>
    <w:rsid w:val="00120C39"/>
    <w:rsid w:val="00120E64"/>
    <w:rsid w:val="001212A8"/>
    <w:rsid w:val="001215EA"/>
    <w:rsid w:val="00122885"/>
    <w:rsid w:val="00122BD5"/>
    <w:rsid w:val="00123A11"/>
    <w:rsid w:val="00123CC9"/>
    <w:rsid w:val="00124E6B"/>
    <w:rsid w:val="00126BCA"/>
    <w:rsid w:val="00127621"/>
    <w:rsid w:val="0012795C"/>
    <w:rsid w:val="001301C2"/>
    <w:rsid w:val="001302EA"/>
    <w:rsid w:val="00131031"/>
    <w:rsid w:val="0013159E"/>
    <w:rsid w:val="00131A6A"/>
    <w:rsid w:val="00132B6C"/>
    <w:rsid w:val="00132CE6"/>
    <w:rsid w:val="001330B4"/>
    <w:rsid w:val="00133F79"/>
    <w:rsid w:val="00135190"/>
    <w:rsid w:val="001356CA"/>
    <w:rsid w:val="00135A30"/>
    <w:rsid w:val="00135BFA"/>
    <w:rsid w:val="00136238"/>
    <w:rsid w:val="001368C4"/>
    <w:rsid w:val="00140FF2"/>
    <w:rsid w:val="001417CC"/>
    <w:rsid w:val="001419B3"/>
    <w:rsid w:val="00143194"/>
    <w:rsid w:val="001445E0"/>
    <w:rsid w:val="001453EE"/>
    <w:rsid w:val="00145DF4"/>
    <w:rsid w:val="00146074"/>
    <w:rsid w:val="0014630C"/>
    <w:rsid w:val="001464F4"/>
    <w:rsid w:val="0014755A"/>
    <w:rsid w:val="0014774A"/>
    <w:rsid w:val="00147FAA"/>
    <w:rsid w:val="00150309"/>
    <w:rsid w:val="00151417"/>
    <w:rsid w:val="0015146D"/>
    <w:rsid w:val="00151A5F"/>
    <w:rsid w:val="00151B6D"/>
    <w:rsid w:val="00151C3C"/>
    <w:rsid w:val="00152396"/>
    <w:rsid w:val="00152CEF"/>
    <w:rsid w:val="0015313F"/>
    <w:rsid w:val="0015380F"/>
    <w:rsid w:val="00153DB0"/>
    <w:rsid w:val="00153FA1"/>
    <w:rsid w:val="00154375"/>
    <w:rsid w:val="00154C98"/>
    <w:rsid w:val="00154D83"/>
    <w:rsid w:val="00155F4D"/>
    <w:rsid w:val="00156590"/>
    <w:rsid w:val="00156684"/>
    <w:rsid w:val="00157701"/>
    <w:rsid w:val="00157C1E"/>
    <w:rsid w:val="001604D6"/>
    <w:rsid w:val="001610C9"/>
    <w:rsid w:val="00161FA9"/>
    <w:rsid w:val="00162447"/>
    <w:rsid w:val="00162686"/>
    <w:rsid w:val="001638C4"/>
    <w:rsid w:val="00163E6B"/>
    <w:rsid w:val="00164BE9"/>
    <w:rsid w:val="00165781"/>
    <w:rsid w:val="00165F70"/>
    <w:rsid w:val="0016619C"/>
    <w:rsid w:val="00166441"/>
    <w:rsid w:val="00166FD8"/>
    <w:rsid w:val="00167C59"/>
    <w:rsid w:val="0017023A"/>
    <w:rsid w:val="001702D0"/>
    <w:rsid w:val="00171B8D"/>
    <w:rsid w:val="0017305B"/>
    <w:rsid w:val="00173A6E"/>
    <w:rsid w:val="00173EA7"/>
    <w:rsid w:val="00174147"/>
    <w:rsid w:val="0017419C"/>
    <w:rsid w:val="001745D6"/>
    <w:rsid w:val="001745E6"/>
    <w:rsid w:val="001751ED"/>
    <w:rsid w:val="001753B7"/>
    <w:rsid w:val="001759C8"/>
    <w:rsid w:val="001763D0"/>
    <w:rsid w:val="00176450"/>
    <w:rsid w:val="00176678"/>
    <w:rsid w:val="00180532"/>
    <w:rsid w:val="0018105E"/>
    <w:rsid w:val="00181450"/>
    <w:rsid w:val="0018195F"/>
    <w:rsid w:val="001834D3"/>
    <w:rsid w:val="00183669"/>
    <w:rsid w:val="00183779"/>
    <w:rsid w:val="00183EE4"/>
    <w:rsid w:val="00184301"/>
    <w:rsid w:val="001851D8"/>
    <w:rsid w:val="001857C3"/>
    <w:rsid w:val="001867A6"/>
    <w:rsid w:val="00186CFB"/>
    <w:rsid w:val="00186E36"/>
    <w:rsid w:val="00187D27"/>
    <w:rsid w:val="00187EEB"/>
    <w:rsid w:val="00190334"/>
    <w:rsid w:val="00190D3E"/>
    <w:rsid w:val="00191BD3"/>
    <w:rsid w:val="00192720"/>
    <w:rsid w:val="001929D7"/>
    <w:rsid w:val="00193711"/>
    <w:rsid w:val="00193C30"/>
    <w:rsid w:val="001944E4"/>
    <w:rsid w:val="00194A66"/>
    <w:rsid w:val="00194E0F"/>
    <w:rsid w:val="0019528A"/>
    <w:rsid w:val="00195CC4"/>
    <w:rsid w:val="001A0380"/>
    <w:rsid w:val="001A0742"/>
    <w:rsid w:val="001A16D7"/>
    <w:rsid w:val="001A1A77"/>
    <w:rsid w:val="001A3257"/>
    <w:rsid w:val="001A39DA"/>
    <w:rsid w:val="001A39FA"/>
    <w:rsid w:val="001A3A71"/>
    <w:rsid w:val="001A43DD"/>
    <w:rsid w:val="001A4D3F"/>
    <w:rsid w:val="001A504F"/>
    <w:rsid w:val="001A5CD6"/>
    <w:rsid w:val="001A61F7"/>
    <w:rsid w:val="001A6533"/>
    <w:rsid w:val="001A7242"/>
    <w:rsid w:val="001A72A0"/>
    <w:rsid w:val="001A7937"/>
    <w:rsid w:val="001B0334"/>
    <w:rsid w:val="001B045C"/>
    <w:rsid w:val="001B09D1"/>
    <w:rsid w:val="001B0B4B"/>
    <w:rsid w:val="001B0B61"/>
    <w:rsid w:val="001B1657"/>
    <w:rsid w:val="001B178C"/>
    <w:rsid w:val="001B18A3"/>
    <w:rsid w:val="001B18D0"/>
    <w:rsid w:val="001B18F4"/>
    <w:rsid w:val="001B22FE"/>
    <w:rsid w:val="001B2B9F"/>
    <w:rsid w:val="001B3181"/>
    <w:rsid w:val="001B3338"/>
    <w:rsid w:val="001B3A78"/>
    <w:rsid w:val="001B3AA4"/>
    <w:rsid w:val="001B3CFB"/>
    <w:rsid w:val="001B4B44"/>
    <w:rsid w:val="001B5B5A"/>
    <w:rsid w:val="001B7ABF"/>
    <w:rsid w:val="001B7E7D"/>
    <w:rsid w:val="001C053D"/>
    <w:rsid w:val="001C0DCD"/>
    <w:rsid w:val="001C29E3"/>
    <w:rsid w:val="001C2CA1"/>
    <w:rsid w:val="001C34E6"/>
    <w:rsid w:val="001C43B3"/>
    <w:rsid w:val="001C49A9"/>
    <w:rsid w:val="001C5026"/>
    <w:rsid w:val="001C5411"/>
    <w:rsid w:val="001C599D"/>
    <w:rsid w:val="001C5DC9"/>
    <w:rsid w:val="001C5FF6"/>
    <w:rsid w:val="001D0494"/>
    <w:rsid w:val="001D2A14"/>
    <w:rsid w:val="001D310B"/>
    <w:rsid w:val="001D315F"/>
    <w:rsid w:val="001D42EC"/>
    <w:rsid w:val="001D4387"/>
    <w:rsid w:val="001D4390"/>
    <w:rsid w:val="001D49E1"/>
    <w:rsid w:val="001D4BDF"/>
    <w:rsid w:val="001D4DBB"/>
    <w:rsid w:val="001D6236"/>
    <w:rsid w:val="001D69A5"/>
    <w:rsid w:val="001D6BCF"/>
    <w:rsid w:val="001E01CA"/>
    <w:rsid w:val="001E04AE"/>
    <w:rsid w:val="001E0CC8"/>
    <w:rsid w:val="001E12D3"/>
    <w:rsid w:val="001E25A1"/>
    <w:rsid w:val="001E2D1A"/>
    <w:rsid w:val="001E2E02"/>
    <w:rsid w:val="001E2E4E"/>
    <w:rsid w:val="001E3A2B"/>
    <w:rsid w:val="001E4C2E"/>
    <w:rsid w:val="001E4F9F"/>
    <w:rsid w:val="001E55E9"/>
    <w:rsid w:val="001E614E"/>
    <w:rsid w:val="001E7A96"/>
    <w:rsid w:val="001E7BA6"/>
    <w:rsid w:val="001F0B1B"/>
    <w:rsid w:val="001F0D67"/>
    <w:rsid w:val="001F14B4"/>
    <w:rsid w:val="001F188B"/>
    <w:rsid w:val="001F18F0"/>
    <w:rsid w:val="001F1CBF"/>
    <w:rsid w:val="001F3384"/>
    <w:rsid w:val="001F46C7"/>
    <w:rsid w:val="001F5C5B"/>
    <w:rsid w:val="001F5F10"/>
    <w:rsid w:val="001F5F2E"/>
    <w:rsid w:val="001F648B"/>
    <w:rsid w:val="00200AD0"/>
    <w:rsid w:val="00200B35"/>
    <w:rsid w:val="0020144A"/>
    <w:rsid w:val="00201751"/>
    <w:rsid w:val="00201BF1"/>
    <w:rsid w:val="00202605"/>
    <w:rsid w:val="00202DDE"/>
    <w:rsid w:val="002031D7"/>
    <w:rsid w:val="0020478D"/>
    <w:rsid w:val="00204843"/>
    <w:rsid w:val="002055F6"/>
    <w:rsid w:val="002056E8"/>
    <w:rsid w:val="00206387"/>
    <w:rsid w:val="002064C9"/>
    <w:rsid w:val="002074E3"/>
    <w:rsid w:val="00207F8D"/>
    <w:rsid w:val="002101D2"/>
    <w:rsid w:val="002104F9"/>
    <w:rsid w:val="002108C0"/>
    <w:rsid w:val="00210B0C"/>
    <w:rsid w:val="00210B77"/>
    <w:rsid w:val="0021214B"/>
    <w:rsid w:val="0021305D"/>
    <w:rsid w:val="002140D7"/>
    <w:rsid w:val="00215981"/>
    <w:rsid w:val="002163CD"/>
    <w:rsid w:val="0021654E"/>
    <w:rsid w:val="00217B36"/>
    <w:rsid w:val="00220110"/>
    <w:rsid w:val="00220707"/>
    <w:rsid w:val="00220C67"/>
    <w:rsid w:val="00221260"/>
    <w:rsid w:val="0022154C"/>
    <w:rsid w:val="00221A94"/>
    <w:rsid w:val="00222600"/>
    <w:rsid w:val="00222A68"/>
    <w:rsid w:val="00222DBE"/>
    <w:rsid w:val="00222EAD"/>
    <w:rsid w:val="00222FC8"/>
    <w:rsid w:val="0022303F"/>
    <w:rsid w:val="00223169"/>
    <w:rsid w:val="00223566"/>
    <w:rsid w:val="002235B2"/>
    <w:rsid w:val="00223C25"/>
    <w:rsid w:val="002242FC"/>
    <w:rsid w:val="00224E96"/>
    <w:rsid w:val="00225EAD"/>
    <w:rsid w:val="00226494"/>
    <w:rsid w:val="002267F2"/>
    <w:rsid w:val="0023140B"/>
    <w:rsid w:val="00231617"/>
    <w:rsid w:val="0023381A"/>
    <w:rsid w:val="00234A97"/>
    <w:rsid w:val="002355F1"/>
    <w:rsid w:val="00235689"/>
    <w:rsid w:val="00235DFD"/>
    <w:rsid w:val="0023625C"/>
    <w:rsid w:val="00236D8C"/>
    <w:rsid w:val="0023719F"/>
    <w:rsid w:val="00240703"/>
    <w:rsid w:val="00240FF0"/>
    <w:rsid w:val="0024299E"/>
    <w:rsid w:val="002436D6"/>
    <w:rsid w:val="002438D4"/>
    <w:rsid w:val="00243B7A"/>
    <w:rsid w:val="0024536B"/>
    <w:rsid w:val="00245729"/>
    <w:rsid w:val="00245B9C"/>
    <w:rsid w:val="00246610"/>
    <w:rsid w:val="00246835"/>
    <w:rsid w:val="00246DDF"/>
    <w:rsid w:val="0024719F"/>
    <w:rsid w:val="00247561"/>
    <w:rsid w:val="002502D6"/>
    <w:rsid w:val="00251546"/>
    <w:rsid w:val="00251B94"/>
    <w:rsid w:val="00252DB8"/>
    <w:rsid w:val="002536DB"/>
    <w:rsid w:val="002542BA"/>
    <w:rsid w:val="002543EA"/>
    <w:rsid w:val="002549A0"/>
    <w:rsid w:val="0025619D"/>
    <w:rsid w:val="0025672B"/>
    <w:rsid w:val="00256CF7"/>
    <w:rsid w:val="00256EB1"/>
    <w:rsid w:val="00257025"/>
    <w:rsid w:val="002570A4"/>
    <w:rsid w:val="002574F0"/>
    <w:rsid w:val="00257793"/>
    <w:rsid w:val="00257C92"/>
    <w:rsid w:val="00257FEA"/>
    <w:rsid w:val="002600A3"/>
    <w:rsid w:val="002617ED"/>
    <w:rsid w:val="00261A8C"/>
    <w:rsid w:val="00261F3C"/>
    <w:rsid w:val="002621C1"/>
    <w:rsid w:val="0026243F"/>
    <w:rsid w:val="00262D7D"/>
    <w:rsid w:val="00264944"/>
    <w:rsid w:val="00265750"/>
    <w:rsid w:val="00267516"/>
    <w:rsid w:val="00271A43"/>
    <w:rsid w:val="00271F53"/>
    <w:rsid w:val="0027342A"/>
    <w:rsid w:val="00273B27"/>
    <w:rsid w:val="00274348"/>
    <w:rsid w:val="0027443F"/>
    <w:rsid w:val="00275CF5"/>
    <w:rsid w:val="002760AC"/>
    <w:rsid w:val="00276C7F"/>
    <w:rsid w:val="00277A34"/>
    <w:rsid w:val="00277BE7"/>
    <w:rsid w:val="00277CD0"/>
    <w:rsid w:val="00280026"/>
    <w:rsid w:val="00280741"/>
    <w:rsid w:val="00280B65"/>
    <w:rsid w:val="00280B79"/>
    <w:rsid w:val="00282482"/>
    <w:rsid w:val="00282664"/>
    <w:rsid w:val="0028301F"/>
    <w:rsid w:val="00283273"/>
    <w:rsid w:val="00284037"/>
    <w:rsid w:val="00285017"/>
    <w:rsid w:val="002857D4"/>
    <w:rsid w:val="00286530"/>
    <w:rsid w:val="0028682E"/>
    <w:rsid w:val="002868C2"/>
    <w:rsid w:val="00287069"/>
    <w:rsid w:val="00287375"/>
    <w:rsid w:val="00287961"/>
    <w:rsid w:val="00287A89"/>
    <w:rsid w:val="00287CB0"/>
    <w:rsid w:val="002901DA"/>
    <w:rsid w:val="002904B7"/>
    <w:rsid w:val="00290D66"/>
    <w:rsid w:val="002910B2"/>
    <w:rsid w:val="0029127C"/>
    <w:rsid w:val="00291534"/>
    <w:rsid w:val="00291607"/>
    <w:rsid w:val="00291878"/>
    <w:rsid w:val="002933EF"/>
    <w:rsid w:val="00293619"/>
    <w:rsid w:val="00293E0B"/>
    <w:rsid w:val="00294309"/>
    <w:rsid w:val="00295248"/>
    <w:rsid w:val="0029554A"/>
    <w:rsid w:val="00296F72"/>
    <w:rsid w:val="00297281"/>
    <w:rsid w:val="002A1925"/>
    <w:rsid w:val="002A21E3"/>
    <w:rsid w:val="002A2352"/>
    <w:rsid w:val="002A2A72"/>
    <w:rsid w:val="002A2D2E"/>
    <w:rsid w:val="002A336B"/>
    <w:rsid w:val="002A3A53"/>
    <w:rsid w:val="002A4295"/>
    <w:rsid w:val="002A46B0"/>
    <w:rsid w:val="002A4DEF"/>
    <w:rsid w:val="002A5907"/>
    <w:rsid w:val="002A6531"/>
    <w:rsid w:val="002A6835"/>
    <w:rsid w:val="002A6B7F"/>
    <w:rsid w:val="002A7106"/>
    <w:rsid w:val="002A71C0"/>
    <w:rsid w:val="002B05E8"/>
    <w:rsid w:val="002B1AD4"/>
    <w:rsid w:val="002B1E05"/>
    <w:rsid w:val="002B2955"/>
    <w:rsid w:val="002B2A34"/>
    <w:rsid w:val="002B2D7E"/>
    <w:rsid w:val="002B325E"/>
    <w:rsid w:val="002B3464"/>
    <w:rsid w:val="002B4177"/>
    <w:rsid w:val="002B41BB"/>
    <w:rsid w:val="002B4358"/>
    <w:rsid w:val="002B5910"/>
    <w:rsid w:val="002B5B1C"/>
    <w:rsid w:val="002B5DB8"/>
    <w:rsid w:val="002B5F9E"/>
    <w:rsid w:val="002B6230"/>
    <w:rsid w:val="002C00E8"/>
    <w:rsid w:val="002C09C8"/>
    <w:rsid w:val="002C0C15"/>
    <w:rsid w:val="002C0DE9"/>
    <w:rsid w:val="002C1616"/>
    <w:rsid w:val="002C169D"/>
    <w:rsid w:val="002C1A98"/>
    <w:rsid w:val="002C4D90"/>
    <w:rsid w:val="002C56DD"/>
    <w:rsid w:val="002C7492"/>
    <w:rsid w:val="002C76C0"/>
    <w:rsid w:val="002C7D78"/>
    <w:rsid w:val="002D03DF"/>
    <w:rsid w:val="002D17AD"/>
    <w:rsid w:val="002D1945"/>
    <w:rsid w:val="002D2008"/>
    <w:rsid w:val="002D2C54"/>
    <w:rsid w:val="002D2DF2"/>
    <w:rsid w:val="002D3598"/>
    <w:rsid w:val="002D47EF"/>
    <w:rsid w:val="002D5A04"/>
    <w:rsid w:val="002D5A44"/>
    <w:rsid w:val="002D5CE2"/>
    <w:rsid w:val="002E0259"/>
    <w:rsid w:val="002E0299"/>
    <w:rsid w:val="002E21BB"/>
    <w:rsid w:val="002E25C7"/>
    <w:rsid w:val="002E26FE"/>
    <w:rsid w:val="002E29BB"/>
    <w:rsid w:val="002E3277"/>
    <w:rsid w:val="002E3FF4"/>
    <w:rsid w:val="002E4174"/>
    <w:rsid w:val="002E4314"/>
    <w:rsid w:val="002E573C"/>
    <w:rsid w:val="002E630D"/>
    <w:rsid w:val="002E6360"/>
    <w:rsid w:val="002E67C7"/>
    <w:rsid w:val="002E68F6"/>
    <w:rsid w:val="002E6E9A"/>
    <w:rsid w:val="002E762A"/>
    <w:rsid w:val="002E7DE9"/>
    <w:rsid w:val="002F0301"/>
    <w:rsid w:val="002F0694"/>
    <w:rsid w:val="002F0E3A"/>
    <w:rsid w:val="002F126E"/>
    <w:rsid w:val="002F12B3"/>
    <w:rsid w:val="002F1768"/>
    <w:rsid w:val="002F369C"/>
    <w:rsid w:val="002F380A"/>
    <w:rsid w:val="002F482C"/>
    <w:rsid w:val="002F485F"/>
    <w:rsid w:val="002F4A44"/>
    <w:rsid w:val="002F5699"/>
    <w:rsid w:val="002F5809"/>
    <w:rsid w:val="002F6B72"/>
    <w:rsid w:val="002F6F04"/>
    <w:rsid w:val="002F701D"/>
    <w:rsid w:val="002F7121"/>
    <w:rsid w:val="002F7226"/>
    <w:rsid w:val="002F727F"/>
    <w:rsid w:val="002F7C8C"/>
    <w:rsid w:val="003000AF"/>
    <w:rsid w:val="003002C8"/>
    <w:rsid w:val="0030091F"/>
    <w:rsid w:val="00301449"/>
    <w:rsid w:val="0030232B"/>
    <w:rsid w:val="00302EB8"/>
    <w:rsid w:val="00302ED8"/>
    <w:rsid w:val="00303495"/>
    <w:rsid w:val="00303FC7"/>
    <w:rsid w:val="00304596"/>
    <w:rsid w:val="00304DC8"/>
    <w:rsid w:val="003052E3"/>
    <w:rsid w:val="00306C03"/>
    <w:rsid w:val="00306CC9"/>
    <w:rsid w:val="00307391"/>
    <w:rsid w:val="00310020"/>
    <w:rsid w:val="0031071D"/>
    <w:rsid w:val="0031079E"/>
    <w:rsid w:val="003107F4"/>
    <w:rsid w:val="003119ED"/>
    <w:rsid w:val="003121C3"/>
    <w:rsid w:val="0031354C"/>
    <w:rsid w:val="0031357D"/>
    <w:rsid w:val="0031398F"/>
    <w:rsid w:val="00313B7F"/>
    <w:rsid w:val="00315B41"/>
    <w:rsid w:val="00315FA1"/>
    <w:rsid w:val="00316131"/>
    <w:rsid w:val="003169AA"/>
    <w:rsid w:val="00316C92"/>
    <w:rsid w:val="00316D36"/>
    <w:rsid w:val="003170E5"/>
    <w:rsid w:val="00317F9F"/>
    <w:rsid w:val="00320876"/>
    <w:rsid w:val="00320DBF"/>
    <w:rsid w:val="00320F13"/>
    <w:rsid w:val="00321372"/>
    <w:rsid w:val="00321661"/>
    <w:rsid w:val="00322243"/>
    <w:rsid w:val="003233CC"/>
    <w:rsid w:val="003236CA"/>
    <w:rsid w:val="00323CBC"/>
    <w:rsid w:val="003240AB"/>
    <w:rsid w:val="00324597"/>
    <w:rsid w:val="00325E70"/>
    <w:rsid w:val="003260B5"/>
    <w:rsid w:val="00326FCB"/>
    <w:rsid w:val="0032701F"/>
    <w:rsid w:val="003278C1"/>
    <w:rsid w:val="003306CD"/>
    <w:rsid w:val="00330C6D"/>
    <w:rsid w:val="00330E64"/>
    <w:rsid w:val="00331715"/>
    <w:rsid w:val="003317BB"/>
    <w:rsid w:val="0033185A"/>
    <w:rsid w:val="00332327"/>
    <w:rsid w:val="0033276F"/>
    <w:rsid w:val="00332CFB"/>
    <w:rsid w:val="00333EDB"/>
    <w:rsid w:val="0033420E"/>
    <w:rsid w:val="003347D6"/>
    <w:rsid w:val="0033485F"/>
    <w:rsid w:val="003348BD"/>
    <w:rsid w:val="00334B5A"/>
    <w:rsid w:val="00335391"/>
    <w:rsid w:val="003354AA"/>
    <w:rsid w:val="0033584E"/>
    <w:rsid w:val="00335901"/>
    <w:rsid w:val="003359AF"/>
    <w:rsid w:val="00335E93"/>
    <w:rsid w:val="00337367"/>
    <w:rsid w:val="00340069"/>
    <w:rsid w:val="003404AC"/>
    <w:rsid w:val="003409BA"/>
    <w:rsid w:val="00341423"/>
    <w:rsid w:val="00342232"/>
    <w:rsid w:val="00342DD2"/>
    <w:rsid w:val="003434C4"/>
    <w:rsid w:val="00343749"/>
    <w:rsid w:val="00343F24"/>
    <w:rsid w:val="0034515E"/>
    <w:rsid w:val="003453FB"/>
    <w:rsid w:val="003479E0"/>
    <w:rsid w:val="00347D1C"/>
    <w:rsid w:val="0035056C"/>
    <w:rsid w:val="00350B8C"/>
    <w:rsid w:val="003527FB"/>
    <w:rsid w:val="003538AD"/>
    <w:rsid w:val="00354BCA"/>
    <w:rsid w:val="00355B11"/>
    <w:rsid w:val="00355C9F"/>
    <w:rsid w:val="00355D4D"/>
    <w:rsid w:val="00356948"/>
    <w:rsid w:val="003615B0"/>
    <w:rsid w:val="00361DA4"/>
    <w:rsid w:val="00362330"/>
    <w:rsid w:val="00362D70"/>
    <w:rsid w:val="00362FC2"/>
    <w:rsid w:val="0036337B"/>
    <w:rsid w:val="00365879"/>
    <w:rsid w:val="003660ED"/>
    <w:rsid w:val="00366376"/>
    <w:rsid w:val="00367058"/>
    <w:rsid w:val="003672AE"/>
    <w:rsid w:val="003679D0"/>
    <w:rsid w:val="0037337B"/>
    <w:rsid w:val="00373BFD"/>
    <w:rsid w:val="00374019"/>
    <w:rsid w:val="00374DF2"/>
    <w:rsid w:val="0037604F"/>
    <w:rsid w:val="0037637F"/>
    <w:rsid w:val="00376B3B"/>
    <w:rsid w:val="00376B58"/>
    <w:rsid w:val="003773C7"/>
    <w:rsid w:val="0037764F"/>
    <w:rsid w:val="00377FEB"/>
    <w:rsid w:val="00380A32"/>
    <w:rsid w:val="00380C54"/>
    <w:rsid w:val="0038214B"/>
    <w:rsid w:val="00382B2A"/>
    <w:rsid w:val="00382CF8"/>
    <w:rsid w:val="00382F9E"/>
    <w:rsid w:val="0038306E"/>
    <w:rsid w:val="00383BF4"/>
    <w:rsid w:val="003840A5"/>
    <w:rsid w:val="003845D1"/>
    <w:rsid w:val="00384A31"/>
    <w:rsid w:val="00384BE5"/>
    <w:rsid w:val="003861B7"/>
    <w:rsid w:val="003863FA"/>
    <w:rsid w:val="00386796"/>
    <w:rsid w:val="00386AC8"/>
    <w:rsid w:val="00386BB2"/>
    <w:rsid w:val="00387421"/>
    <w:rsid w:val="00387540"/>
    <w:rsid w:val="00387D7C"/>
    <w:rsid w:val="00390379"/>
    <w:rsid w:val="003905C8"/>
    <w:rsid w:val="00390870"/>
    <w:rsid w:val="00390901"/>
    <w:rsid w:val="00391002"/>
    <w:rsid w:val="003911CF"/>
    <w:rsid w:val="003912E7"/>
    <w:rsid w:val="00391F88"/>
    <w:rsid w:val="00392D3E"/>
    <w:rsid w:val="00393FA0"/>
    <w:rsid w:val="0039490F"/>
    <w:rsid w:val="00394A5B"/>
    <w:rsid w:val="00394F1F"/>
    <w:rsid w:val="0039541B"/>
    <w:rsid w:val="0039611A"/>
    <w:rsid w:val="00396918"/>
    <w:rsid w:val="003969EC"/>
    <w:rsid w:val="00396D98"/>
    <w:rsid w:val="0039778B"/>
    <w:rsid w:val="0039779B"/>
    <w:rsid w:val="00397C53"/>
    <w:rsid w:val="003A0220"/>
    <w:rsid w:val="003A04F3"/>
    <w:rsid w:val="003A06CE"/>
    <w:rsid w:val="003A07A8"/>
    <w:rsid w:val="003A1C36"/>
    <w:rsid w:val="003A1C88"/>
    <w:rsid w:val="003A27E1"/>
    <w:rsid w:val="003A35B7"/>
    <w:rsid w:val="003A381A"/>
    <w:rsid w:val="003A3A60"/>
    <w:rsid w:val="003A458A"/>
    <w:rsid w:val="003A53B1"/>
    <w:rsid w:val="003A5BDA"/>
    <w:rsid w:val="003A649B"/>
    <w:rsid w:val="003A68C9"/>
    <w:rsid w:val="003A7159"/>
    <w:rsid w:val="003A78E8"/>
    <w:rsid w:val="003B0550"/>
    <w:rsid w:val="003B156D"/>
    <w:rsid w:val="003B1BF4"/>
    <w:rsid w:val="003B258F"/>
    <w:rsid w:val="003B2B14"/>
    <w:rsid w:val="003B33D3"/>
    <w:rsid w:val="003B38AF"/>
    <w:rsid w:val="003B4F6D"/>
    <w:rsid w:val="003B623A"/>
    <w:rsid w:val="003B694F"/>
    <w:rsid w:val="003B6A87"/>
    <w:rsid w:val="003B76E9"/>
    <w:rsid w:val="003B7724"/>
    <w:rsid w:val="003C001D"/>
    <w:rsid w:val="003C042F"/>
    <w:rsid w:val="003C1644"/>
    <w:rsid w:val="003C1C36"/>
    <w:rsid w:val="003C1E83"/>
    <w:rsid w:val="003C242F"/>
    <w:rsid w:val="003C2617"/>
    <w:rsid w:val="003C2937"/>
    <w:rsid w:val="003C2A94"/>
    <w:rsid w:val="003C31C8"/>
    <w:rsid w:val="003C3AFE"/>
    <w:rsid w:val="003C421F"/>
    <w:rsid w:val="003C60EE"/>
    <w:rsid w:val="003C76EC"/>
    <w:rsid w:val="003D099F"/>
    <w:rsid w:val="003D0F91"/>
    <w:rsid w:val="003D165D"/>
    <w:rsid w:val="003D1AEB"/>
    <w:rsid w:val="003D21FC"/>
    <w:rsid w:val="003D29CB"/>
    <w:rsid w:val="003D2CBD"/>
    <w:rsid w:val="003D383F"/>
    <w:rsid w:val="003D38DC"/>
    <w:rsid w:val="003D3A2D"/>
    <w:rsid w:val="003D486B"/>
    <w:rsid w:val="003D5B21"/>
    <w:rsid w:val="003D6F7D"/>
    <w:rsid w:val="003D7CF9"/>
    <w:rsid w:val="003E0003"/>
    <w:rsid w:val="003E013E"/>
    <w:rsid w:val="003E07AE"/>
    <w:rsid w:val="003E07D6"/>
    <w:rsid w:val="003E0853"/>
    <w:rsid w:val="003E142B"/>
    <w:rsid w:val="003E199C"/>
    <w:rsid w:val="003E23E2"/>
    <w:rsid w:val="003E3303"/>
    <w:rsid w:val="003E3A4B"/>
    <w:rsid w:val="003E3CCF"/>
    <w:rsid w:val="003E411F"/>
    <w:rsid w:val="003E4C47"/>
    <w:rsid w:val="003E51CD"/>
    <w:rsid w:val="003E54DB"/>
    <w:rsid w:val="003E636A"/>
    <w:rsid w:val="003E684A"/>
    <w:rsid w:val="003E745E"/>
    <w:rsid w:val="003E7FC1"/>
    <w:rsid w:val="003F0224"/>
    <w:rsid w:val="003F045A"/>
    <w:rsid w:val="003F0522"/>
    <w:rsid w:val="003F0961"/>
    <w:rsid w:val="003F0AC3"/>
    <w:rsid w:val="003F0CF5"/>
    <w:rsid w:val="003F0D59"/>
    <w:rsid w:val="003F0F7E"/>
    <w:rsid w:val="003F15F3"/>
    <w:rsid w:val="003F171C"/>
    <w:rsid w:val="003F1AD2"/>
    <w:rsid w:val="003F2003"/>
    <w:rsid w:val="003F2542"/>
    <w:rsid w:val="003F2575"/>
    <w:rsid w:val="003F27EA"/>
    <w:rsid w:val="003F4A78"/>
    <w:rsid w:val="003F5061"/>
    <w:rsid w:val="003F523A"/>
    <w:rsid w:val="003F528B"/>
    <w:rsid w:val="003F60D6"/>
    <w:rsid w:val="003F6249"/>
    <w:rsid w:val="003F65F7"/>
    <w:rsid w:val="003F77C0"/>
    <w:rsid w:val="004011ED"/>
    <w:rsid w:val="00401704"/>
    <w:rsid w:val="00401745"/>
    <w:rsid w:val="00401D70"/>
    <w:rsid w:val="00404B71"/>
    <w:rsid w:val="004051E9"/>
    <w:rsid w:val="00405633"/>
    <w:rsid w:val="00405C33"/>
    <w:rsid w:val="00405DD1"/>
    <w:rsid w:val="00405EA2"/>
    <w:rsid w:val="00405EFA"/>
    <w:rsid w:val="00405FED"/>
    <w:rsid w:val="0040763C"/>
    <w:rsid w:val="00410452"/>
    <w:rsid w:val="00410737"/>
    <w:rsid w:val="004108BA"/>
    <w:rsid w:val="004109E6"/>
    <w:rsid w:val="00410A4B"/>
    <w:rsid w:val="00410D34"/>
    <w:rsid w:val="00411FEC"/>
    <w:rsid w:val="00412F02"/>
    <w:rsid w:val="00412FC5"/>
    <w:rsid w:val="00414046"/>
    <w:rsid w:val="004146E9"/>
    <w:rsid w:val="00414E4F"/>
    <w:rsid w:val="00414E85"/>
    <w:rsid w:val="00416534"/>
    <w:rsid w:val="00416684"/>
    <w:rsid w:val="00417313"/>
    <w:rsid w:val="0041744A"/>
    <w:rsid w:val="00417CD9"/>
    <w:rsid w:val="00421E96"/>
    <w:rsid w:val="00422276"/>
    <w:rsid w:val="00422710"/>
    <w:rsid w:val="00424225"/>
    <w:rsid w:val="004242F1"/>
    <w:rsid w:val="004242F8"/>
    <w:rsid w:val="00426000"/>
    <w:rsid w:val="00426591"/>
    <w:rsid w:val="00426645"/>
    <w:rsid w:val="00426736"/>
    <w:rsid w:val="00426C83"/>
    <w:rsid w:val="00427A9C"/>
    <w:rsid w:val="00430332"/>
    <w:rsid w:val="00430357"/>
    <w:rsid w:val="00433114"/>
    <w:rsid w:val="00433BAB"/>
    <w:rsid w:val="00434102"/>
    <w:rsid w:val="00434557"/>
    <w:rsid w:val="00434EB2"/>
    <w:rsid w:val="00435049"/>
    <w:rsid w:val="00436AE6"/>
    <w:rsid w:val="00436CA3"/>
    <w:rsid w:val="00437071"/>
    <w:rsid w:val="004378AB"/>
    <w:rsid w:val="00437C07"/>
    <w:rsid w:val="00440325"/>
    <w:rsid w:val="00440B45"/>
    <w:rsid w:val="00441834"/>
    <w:rsid w:val="00442A22"/>
    <w:rsid w:val="0044308D"/>
    <w:rsid w:val="00443A51"/>
    <w:rsid w:val="00443C0B"/>
    <w:rsid w:val="00443D67"/>
    <w:rsid w:val="00444DC9"/>
    <w:rsid w:val="00444DF5"/>
    <w:rsid w:val="00445A00"/>
    <w:rsid w:val="00445B8E"/>
    <w:rsid w:val="00445CB3"/>
    <w:rsid w:val="00446454"/>
    <w:rsid w:val="00447AD3"/>
    <w:rsid w:val="00447E2A"/>
    <w:rsid w:val="00450CD4"/>
    <w:rsid w:val="00450DA4"/>
    <w:rsid w:val="0045108D"/>
    <w:rsid w:val="00451807"/>
    <w:rsid w:val="00451902"/>
    <w:rsid w:val="00451A31"/>
    <w:rsid w:val="00451B0F"/>
    <w:rsid w:val="00453250"/>
    <w:rsid w:val="0045326E"/>
    <w:rsid w:val="00453B39"/>
    <w:rsid w:val="0045406B"/>
    <w:rsid w:val="00454B19"/>
    <w:rsid w:val="00454C3B"/>
    <w:rsid w:val="00454EE4"/>
    <w:rsid w:val="004554BE"/>
    <w:rsid w:val="004557F9"/>
    <w:rsid w:val="004558F5"/>
    <w:rsid w:val="00455E75"/>
    <w:rsid w:val="00456A87"/>
    <w:rsid w:val="00456CA8"/>
    <w:rsid w:val="004576FD"/>
    <w:rsid w:val="00457768"/>
    <w:rsid w:val="00463627"/>
    <w:rsid w:val="004637BF"/>
    <w:rsid w:val="004637DB"/>
    <w:rsid w:val="00463906"/>
    <w:rsid w:val="0046422C"/>
    <w:rsid w:val="00464998"/>
    <w:rsid w:val="00464C76"/>
    <w:rsid w:val="004657FA"/>
    <w:rsid w:val="00467040"/>
    <w:rsid w:val="004674B1"/>
    <w:rsid w:val="00467A70"/>
    <w:rsid w:val="00467B1A"/>
    <w:rsid w:val="00467DA1"/>
    <w:rsid w:val="004715D0"/>
    <w:rsid w:val="00472326"/>
    <w:rsid w:val="004729DB"/>
    <w:rsid w:val="00472BF5"/>
    <w:rsid w:val="00472FBB"/>
    <w:rsid w:val="00473864"/>
    <w:rsid w:val="00473D41"/>
    <w:rsid w:val="004744D8"/>
    <w:rsid w:val="00474628"/>
    <w:rsid w:val="00474F73"/>
    <w:rsid w:val="004756A7"/>
    <w:rsid w:val="00475780"/>
    <w:rsid w:val="00476125"/>
    <w:rsid w:val="00477433"/>
    <w:rsid w:val="0048014E"/>
    <w:rsid w:val="0048019A"/>
    <w:rsid w:val="00480421"/>
    <w:rsid w:val="0048144E"/>
    <w:rsid w:val="0048172A"/>
    <w:rsid w:val="00482C4B"/>
    <w:rsid w:val="004832B6"/>
    <w:rsid w:val="00483506"/>
    <w:rsid w:val="00483992"/>
    <w:rsid w:val="004843EA"/>
    <w:rsid w:val="00484BCF"/>
    <w:rsid w:val="004852B5"/>
    <w:rsid w:val="00485713"/>
    <w:rsid w:val="00485760"/>
    <w:rsid w:val="00485D00"/>
    <w:rsid w:val="00485D8D"/>
    <w:rsid w:val="00486B1F"/>
    <w:rsid w:val="00486BE1"/>
    <w:rsid w:val="00486FBA"/>
    <w:rsid w:val="004872E8"/>
    <w:rsid w:val="004879EA"/>
    <w:rsid w:val="0049063E"/>
    <w:rsid w:val="00490F10"/>
    <w:rsid w:val="00491A0F"/>
    <w:rsid w:val="00491FED"/>
    <w:rsid w:val="004921AC"/>
    <w:rsid w:val="00492314"/>
    <w:rsid w:val="004927C7"/>
    <w:rsid w:val="00493736"/>
    <w:rsid w:val="00494713"/>
    <w:rsid w:val="00494D49"/>
    <w:rsid w:val="00495F37"/>
    <w:rsid w:val="00495FEC"/>
    <w:rsid w:val="00496291"/>
    <w:rsid w:val="00497132"/>
    <w:rsid w:val="00497671"/>
    <w:rsid w:val="00497D4F"/>
    <w:rsid w:val="00497F5F"/>
    <w:rsid w:val="004A0249"/>
    <w:rsid w:val="004A3492"/>
    <w:rsid w:val="004A34A2"/>
    <w:rsid w:val="004A38CE"/>
    <w:rsid w:val="004A3B46"/>
    <w:rsid w:val="004A4030"/>
    <w:rsid w:val="004A50DE"/>
    <w:rsid w:val="004A550E"/>
    <w:rsid w:val="004A6053"/>
    <w:rsid w:val="004A6324"/>
    <w:rsid w:val="004A645B"/>
    <w:rsid w:val="004A6D11"/>
    <w:rsid w:val="004A6ED0"/>
    <w:rsid w:val="004A711C"/>
    <w:rsid w:val="004A71DF"/>
    <w:rsid w:val="004A7226"/>
    <w:rsid w:val="004B0201"/>
    <w:rsid w:val="004B040C"/>
    <w:rsid w:val="004B0AA6"/>
    <w:rsid w:val="004B0AE6"/>
    <w:rsid w:val="004B24A4"/>
    <w:rsid w:val="004B377A"/>
    <w:rsid w:val="004B386B"/>
    <w:rsid w:val="004B38DA"/>
    <w:rsid w:val="004B3ED5"/>
    <w:rsid w:val="004B4DBC"/>
    <w:rsid w:val="004B501C"/>
    <w:rsid w:val="004B60D0"/>
    <w:rsid w:val="004B655B"/>
    <w:rsid w:val="004B6F88"/>
    <w:rsid w:val="004B7D9F"/>
    <w:rsid w:val="004B7F03"/>
    <w:rsid w:val="004C0DCD"/>
    <w:rsid w:val="004C2737"/>
    <w:rsid w:val="004C2C3A"/>
    <w:rsid w:val="004C2EE3"/>
    <w:rsid w:val="004C3ADF"/>
    <w:rsid w:val="004C41CB"/>
    <w:rsid w:val="004C4BD2"/>
    <w:rsid w:val="004C62AB"/>
    <w:rsid w:val="004C64A2"/>
    <w:rsid w:val="004C6D5A"/>
    <w:rsid w:val="004D0505"/>
    <w:rsid w:val="004D1238"/>
    <w:rsid w:val="004D148B"/>
    <w:rsid w:val="004D171D"/>
    <w:rsid w:val="004D3915"/>
    <w:rsid w:val="004D4556"/>
    <w:rsid w:val="004D4B2B"/>
    <w:rsid w:val="004D54F5"/>
    <w:rsid w:val="004E0293"/>
    <w:rsid w:val="004E04CC"/>
    <w:rsid w:val="004E0665"/>
    <w:rsid w:val="004E1D37"/>
    <w:rsid w:val="004E1EBD"/>
    <w:rsid w:val="004E3C7A"/>
    <w:rsid w:val="004E4918"/>
    <w:rsid w:val="004E4960"/>
    <w:rsid w:val="004E4A22"/>
    <w:rsid w:val="004E4ECC"/>
    <w:rsid w:val="004E68C8"/>
    <w:rsid w:val="004E793D"/>
    <w:rsid w:val="004F00B4"/>
    <w:rsid w:val="004F04E9"/>
    <w:rsid w:val="004F0B11"/>
    <w:rsid w:val="004F0F58"/>
    <w:rsid w:val="004F172D"/>
    <w:rsid w:val="004F191E"/>
    <w:rsid w:val="004F1A4D"/>
    <w:rsid w:val="004F1C7A"/>
    <w:rsid w:val="004F3250"/>
    <w:rsid w:val="004F4B2E"/>
    <w:rsid w:val="004F547D"/>
    <w:rsid w:val="004F5742"/>
    <w:rsid w:val="004F5AE4"/>
    <w:rsid w:val="004F782F"/>
    <w:rsid w:val="00500EFE"/>
    <w:rsid w:val="00500F60"/>
    <w:rsid w:val="00501471"/>
    <w:rsid w:val="00501A0E"/>
    <w:rsid w:val="00501B08"/>
    <w:rsid w:val="005021B3"/>
    <w:rsid w:val="00502773"/>
    <w:rsid w:val="00502A0C"/>
    <w:rsid w:val="00502CCA"/>
    <w:rsid w:val="005031CF"/>
    <w:rsid w:val="005038BC"/>
    <w:rsid w:val="00504D75"/>
    <w:rsid w:val="00504DBE"/>
    <w:rsid w:val="005057C0"/>
    <w:rsid w:val="00505E47"/>
    <w:rsid w:val="0050727F"/>
    <w:rsid w:val="00507A4F"/>
    <w:rsid w:val="0051149D"/>
    <w:rsid w:val="00511968"/>
    <w:rsid w:val="00511C92"/>
    <w:rsid w:val="0051212A"/>
    <w:rsid w:val="00512AA6"/>
    <w:rsid w:val="00513620"/>
    <w:rsid w:val="0051433B"/>
    <w:rsid w:val="005143CE"/>
    <w:rsid w:val="0051498B"/>
    <w:rsid w:val="00514FBE"/>
    <w:rsid w:val="005150D9"/>
    <w:rsid w:val="00515D57"/>
    <w:rsid w:val="00515D66"/>
    <w:rsid w:val="00516991"/>
    <w:rsid w:val="005179DB"/>
    <w:rsid w:val="00517B79"/>
    <w:rsid w:val="00517ED8"/>
    <w:rsid w:val="00520C63"/>
    <w:rsid w:val="00521801"/>
    <w:rsid w:val="00521DCE"/>
    <w:rsid w:val="00522989"/>
    <w:rsid w:val="00523669"/>
    <w:rsid w:val="00523AAD"/>
    <w:rsid w:val="00523F3C"/>
    <w:rsid w:val="00524050"/>
    <w:rsid w:val="00524B5B"/>
    <w:rsid w:val="00525167"/>
    <w:rsid w:val="005265EB"/>
    <w:rsid w:val="00526A2B"/>
    <w:rsid w:val="00526FE3"/>
    <w:rsid w:val="005278C0"/>
    <w:rsid w:val="00530097"/>
    <w:rsid w:val="00531146"/>
    <w:rsid w:val="005319A2"/>
    <w:rsid w:val="00531AF4"/>
    <w:rsid w:val="005325CA"/>
    <w:rsid w:val="00534780"/>
    <w:rsid w:val="00535FB0"/>
    <w:rsid w:val="0053662F"/>
    <w:rsid w:val="0053781F"/>
    <w:rsid w:val="00537992"/>
    <w:rsid w:val="00540374"/>
    <w:rsid w:val="00541F24"/>
    <w:rsid w:val="00542CE5"/>
    <w:rsid w:val="00543143"/>
    <w:rsid w:val="00543C53"/>
    <w:rsid w:val="00544654"/>
    <w:rsid w:val="00544906"/>
    <w:rsid w:val="00544CA2"/>
    <w:rsid w:val="005450E4"/>
    <w:rsid w:val="0054530B"/>
    <w:rsid w:val="00545312"/>
    <w:rsid w:val="0054616B"/>
    <w:rsid w:val="005474F1"/>
    <w:rsid w:val="00550583"/>
    <w:rsid w:val="00550D34"/>
    <w:rsid w:val="005518D5"/>
    <w:rsid w:val="00551B70"/>
    <w:rsid w:val="00551C1E"/>
    <w:rsid w:val="00552479"/>
    <w:rsid w:val="005532C7"/>
    <w:rsid w:val="0055361F"/>
    <w:rsid w:val="0055365C"/>
    <w:rsid w:val="00553E53"/>
    <w:rsid w:val="00554461"/>
    <w:rsid w:val="00555621"/>
    <w:rsid w:val="00555D2D"/>
    <w:rsid w:val="0055614C"/>
    <w:rsid w:val="0055631C"/>
    <w:rsid w:val="00556923"/>
    <w:rsid w:val="0055730A"/>
    <w:rsid w:val="00557F1A"/>
    <w:rsid w:val="0056171D"/>
    <w:rsid w:val="00561D0F"/>
    <w:rsid w:val="00562062"/>
    <w:rsid w:val="005620A6"/>
    <w:rsid w:val="005630B9"/>
    <w:rsid w:val="0056314E"/>
    <w:rsid w:val="005631AF"/>
    <w:rsid w:val="005632F8"/>
    <w:rsid w:val="00564DD8"/>
    <w:rsid w:val="005655E6"/>
    <w:rsid w:val="0056609E"/>
    <w:rsid w:val="0056687C"/>
    <w:rsid w:val="00566D06"/>
    <w:rsid w:val="00570A64"/>
    <w:rsid w:val="0057117A"/>
    <w:rsid w:val="00571DDE"/>
    <w:rsid w:val="00571DEB"/>
    <w:rsid w:val="005723A7"/>
    <w:rsid w:val="005729B7"/>
    <w:rsid w:val="00572B56"/>
    <w:rsid w:val="0057422B"/>
    <w:rsid w:val="005767B8"/>
    <w:rsid w:val="00576F4F"/>
    <w:rsid w:val="00580B3E"/>
    <w:rsid w:val="00580ED0"/>
    <w:rsid w:val="00581280"/>
    <w:rsid w:val="00581EEC"/>
    <w:rsid w:val="005842A5"/>
    <w:rsid w:val="005846B3"/>
    <w:rsid w:val="00584895"/>
    <w:rsid w:val="00584914"/>
    <w:rsid w:val="005868B1"/>
    <w:rsid w:val="00586AC1"/>
    <w:rsid w:val="0058722C"/>
    <w:rsid w:val="005872D6"/>
    <w:rsid w:val="00587658"/>
    <w:rsid w:val="00587EC7"/>
    <w:rsid w:val="00590391"/>
    <w:rsid w:val="0059107B"/>
    <w:rsid w:val="005910EB"/>
    <w:rsid w:val="005920A4"/>
    <w:rsid w:val="00592EF1"/>
    <w:rsid w:val="00592F1F"/>
    <w:rsid w:val="00593AD2"/>
    <w:rsid w:val="00593D12"/>
    <w:rsid w:val="005944AE"/>
    <w:rsid w:val="00594695"/>
    <w:rsid w:val="005947D9"/>
    <w:rsid w:val="00594DA7"/>
    <w:rsid w:val="00595BB4"/>
    <w:rsid w:val="00596E77"/>
    <w:rsid w:val="00597EEB"/>
    <w:rsid w:val="005A07F4"/>
    <w:rsid w:val="005A0930"/>
    <w:rsid w:val="005A296A"/>
    <w:rsid w:val="005A31AE"/>
    <w:rsid w:val="005A334F"/>
    <w:rsid w:val="005A4706"/>
    <w:rsid w:val="005A496E"/>
    <w:rsid w:val="005A543A"/>
    <w:rsid w:val="005A550F"/>
    <w:rsid w:val="005A5766"/>
    <w:rsid w:val="005A578C"/>
    <w:rsid w:val="005B030F"/>
    <w:rsid w:val="005B05E4"/>
    <w:rsid w:val="005B06C5"/>
    <w:rsid w:val="005B172F"/>
    <w:rsid w:val="005B1C3B"/>
    <w:rsid w:val="005B1E15"/>
    <w:rsid w:val="005B29FD"/>
    <w:rsid w:val="005B2B4E"/>
    <w:rsid w:val="005B2D41"/>
    <w:rsid w:val="005B3723"/>
    <w:rsid w:val="005B584B"/>
    <w:rsid w:val="005B5D7B"/>
    <w:rsid w:val="005B6573"/>
    <w:rsid w:val="005B68D8"/>
    <w:rsid w:val="005B6AFD"/>
    <w:rsid w:val="005B6DD4"/>
    <w:rsid w:val="005B7698"/>
    <w:rsid w:val="005B79D3"/>
    <w:rsid w:val="005B7E6A"/>
    <w:rsid w:val="005B7FAB"/>
    <w:rsid w:val="005C00BB"/>
    <w:rsid w:val="005C297D"/>
    <w:rsid w:val="005C2BC4"/>
    <w:rsid w:val="005C3086"/>
    <w:rsid w:val="005C385E"/>
    <w:rsid w:val="005C4338"/>
    <w:rsid w:val="005C4D35"/>
    <w:rsid w:val="005C5972"/>
    <w:rsid w:val="005C7635"/>
    <w:rsid w:val="005C7A36"/>
    <w:rsid w:val="005D10EC"/>
    <w:rsid w:val="005D2363"/>
    <w:rsid w:val="005D350E"/>
    <w:rsid w:val="005D362B"/>
    <w:rsid w:val="005D3939"/>
    <w:rsid w:val="005D39DD"/>
    <w:rsid w:val="005D4311"/>
    <w:rsid w:val="005D4E49"/>
    <w:rsid w:val="005D4FB6"/>
    <w:rsid w:val="005D5B14"/>
    <w:rsid w:val="005D5BE5"/>
    <w:rsid w:val="005D6079"/>
    <w:rsid w:val="005D6359"/>
    <w:rsid w:val="005D6CA0"/>
    <w:rsid w:val="005D6E39"/>
    <w:rsid w:val="005E0054"/>
    <w:rsid w:val="005E0248"/>
    <w:rsid w:val="005E0C76"/>
    <w:rsid w:val="005E110C"/>
    <w:rsid w:val="005E1473"/>
    <w:rsid w:val="005E14C2"/>
    <w:rsid w:val="005E2493"/>
    <w:rsid w:val="005E295A"/>
    <w:rsid w:val="005E29E5"/>
    <w:rsid w:val="005E3C1E"/>
    <w:rsid w:val="005E3F50"/>
    <w:rsid w:val="005E40F7"/>
    <w:rsid w:val="005E4378"/>
    <w:rsid w:val="005E4F74"/>
    <w:rsid w:val="005E53D9"/>
    <w:rsid w:val="005E5C6A"/>
    <w:rsid w:val="005E619D"/>
    <w:rsid w:val="005E62C4"/>
    <w:rsid w:val="005E6968"/>
    <w:rsid w:val="005E6B83"/>
    <w:rsid w:val="005E6DD2"/>
    <w:rsid w:val="005E7DEA"/>
    <w:rsid w:val="005E7F85"/>
    <w:rsid w:val="005F0B04"/>
    <w:rsid w:val="005F1C17"/>
    <w:rsid w:val="005F2CDC"/>
    <w:rsid w:val="005F333D"/>
    <w:rsid w:val="005F42EB"/>
    <w:rsid w:val="005F4E96"/>
    <w:rsid w:val="005F5636"/>
    <w:rsid w:val="005F5979"/>
    <w:rsid w:val="005F5C85"/>
    <w:rsid w:val="005F6779"/>
    <w:rsid w:val="005F7449"/>
    <w:rsid w:val="006005C8"/>
    <w:rsid w:val="006006D2"/>
    <w:rsid w:val="006010B4"/>
    <w:rsid w:val="00601CC2"/>
    <w:rsid w:val="00601D49"/>
    <w:rsid w:val="00601F1B"/>
    <w:rsid w:val="006027E4"/>
    <w:rsid w:val="00602833"/>
    <w:rsid w:val="00602B16"/>
    <w:rsid w:val="00602CD9"/>
    <w:rsid w:val="00604173"/>
    <w:rsid w:val="00604896"/>
    <w:rsid w:val="006055AD"/>
    <w:rsid w:val="00607BA5"/>
    <w:rsid w:val="00607D95"/>
    <w:rsid w:val="00610C28"/>
    <w:rsid w:val="006112C5"/>
    <w:rsid w:val="006116BB"/>
    <w:rsid w:val="0061180A"/>
    <w:rsid w:val="00612654"/>
    <w:rsid w:val="00615295"/>
    <w:rsid w:val="00615661"/>
    <w:rsid w:val="006178E7"/>
    <w:rsid w:val="0062075A"/>
    <w:rsid w:val="00620A37"/>
    <w:rsid w:val="00620BBB"/>
    <w:rsid w:val="006218FE"/>
    <w:rsid w:val="00622749"/>
    <w:rsid w:val="00622D1D"/>
    <w:rsid w:val="00623ABC"/>
    <w:rsid w:val="00623FEE"/>
    <w:rsid w:val="00624DC5"/>
    <w:rsid w:val="0062505C"/>
    <w:rsid w:val="00625493"/>
    <w:rsid w:val="00625660"/>
    <w:rsid w:val="006258B1"/>
    <w:rsid w:val="00626536"/>
    <w:rsid w:val="00626EB6"/>
    <w:rsid w:val="006275DA"/>
    <w:rsid w:val="006278D8"/>
    <w:rsid w:val="00627B52"/>
    <w:rsid w:val="0063015F"/>
    <w:rsid w:val="00630C18"/>
    <w:rsid w:val="00631358"/>
    <w:rsid w:val="00631AEB"/>
    <w:rsid w:val="00632477"/>
    <w:rsid w:val="00632B31"/>
    <w:rsid w:val="00632CC6"/>
    <w:rsid w:val="006339CE"/>
    <w:rsid w:val="00634366"/>
    <w:rsid w:val="006344E0"/>
    <w:rsid w:val="00634D74"/>
    <w:rsid w:val="00636094"/>
    <w:rsid w:val="00636183"/>
    <w:rsid w:val="006361B4"/>
    <w:rsid w:val="00636858"/>
    <w:rsid w:val="00636D25"/>
    <w:rsid w:val="006370A0"/>
    <w:rsid w:val="006402F0"/>
    <w:rsid w:val="0064166E"/>
    <w:rsid w:val="006424AA"/>
    <w:rsid w:val="00643C61"/>
    <w:rsid w:val="00643F3F"/>
    <w:rsid w:val="00644D1C"/>
    <w:rsid w:val="00645C06"/>
    <w:rsid w:val="006460AC"/>
    <w:rsid w:val="00650114"/>
    <w:rsid w:val="00652331"/>
    <w:rsid w:val="006528FE"/>
    <w:rsid w:val="00653E75"/>
    <w:rsid w:val="00654425"/>
    <w:rsid w:val="00654B1D"/>
    <w:rsid w:val="00655016"/>
    <w:rsid w:val="006550F2"/>
    <w:rsid w:val="00655A39"/>
    <w:rsid w:val="00655D03"/>
    <w:rsid w:val="00657150"/>
    <w:rsid w:val="00657A11"/>
    <w:rsid w:val="00657ADC"/>
    <w:rsid w:val="00661589"/>
    <w:rsid w:val="00661773"/>
    <w:rsid w:val="00662043"/>
    <w:rsid w:val="00662439"/>
    <w:rsid w:val="00662DBA"/>
    <w:rsid w:val="00662EA8"/>
    <w:rsid w:val="00662F9D"/>
    <w:rsid w:val="00663307"/>
    <w:rsid w:val="006634AF"/>
    <w:rsid w:val="00664094"/>
    <w:rsid w:val="006641D5"/>
    <w:rsid w:val="00664CE4"/>
    <w:rsid w:val="006658B7"/>
    <w:rsid w:val="00665D7F"/>
    <w:rsid w:val="00666513"/>
    <w:rsid w:val="00666606"/>
    <w:rsid w:val="00666643"/>
    <w:rsid w:val="006677D1"/>
    <w:rsid w:val="00667B5C"/>
    <w:rsid w:val="00667F80"/>
    <w:rsid w:val="00670478"/>
    <w:rsid w:val="006715FF"/>
    <w:rsid w:val="0067250F"/>
    <w:rsid w:val="00672716"/>
    <w:rsid w:val="006738A2"/>
    <w:rsid w:val="006738BF"/>
    <w:rsid w:val="00673EAE"/>
    <w:rsid w:val="006758F1"/>
    <w:rsid w:val="00675C27"/>
    <w:rsid w:val="00676421"/>
    <w:rsid w:val="006769BB"/>
    <w:rsid w:val="00676E19"/>
    <w:rsid w:val="0068025B"/>
    <w:rsid w:val="00680590"/>
    <w:rsid w:val="0068135F"/>
    <w:rsid w:val="006818BE"/>
    <w:rsid w:val="00682582"/>
    <w:rsid w:val="0068262F"/>
    <w:rsid w:val="00683388"/>
    <w:rsid w:val="006836BC"/>
    <w:rsid w:val="00683AE8"/>
    <w:rsid w:val="00683F84"/>
    <w:rsid w:val="0068449F"/>
    <w:rsid w:val="006845F4"/>
    <w:rsid w:val="006847E6"/>
    <w:rsid w:val="00684F1F"/>
    <w:rsid w:val="006854DC"/>
    <w:rsid w:val="0068551A"/>
    <w:rsid w:val="0068589A"/>
    <w:rsid w:val="0068690C"/>
    <w:rsid w:val="00690337"/>
    <w:rsid w:val="00691DA4"/>
    <w:rsid w:val="00691E20"/>
    <w:rsid w:val="00692198"/>
    <w:rsid w:val="006924C2"/>
    <w:rsid w:val="0069256C"/>
    <w:rsid w:val="00693D71"/>
    <w:rsid w:val="0069575D"/>
    <w:rsid w:val="00695BC6"/>
    <w:rsid w:val="00696101"/>
    <w:rsid w:val="00696DC2"/>
    <w:rsid w:val="00697135"/>
    <w:rsid w:val="006971F6"/>
    <w:rsid w:val="006A0236"/>
    <w:rsid w:val="006A037C"/>
    <w:rsid w:val="006A0945"/>
    <w:rsid w:val="006A0AC6"/>
    <w:rsid w:val="006A0F41"/>
    <w:rsid w:val="006A15E8"/>
    <w:rsid w:val="006A178E"/>
    <w:rsid w:val="006A2E5C"/>
    <w:rsid w:val="006A4CD7"/>
    <w:rsid w:val="006A5101"/>
    <w:rsid w:val="006A6A81"/>
    <w:rsid w:val="006A6A9A"/>
    <w:rsid w:val="006A7315"/>
    <w:rsid w:val="006A7B45"/>
    <w:rsid w:val="006B04AA"/>
    <w:rsid w:val="006B07E8"/>
    <w:rsid w:val="006B1F78"/>
    <w:rsid w:val="006B29CD"/>
    <w:rsid w:val="006B2C4B"/>
    <w:rsid w:val="006B30BC"/>
    <w:rsid w:val="006B3B8E"/>
    <w:rsid w:val="006B5413"/>
    <w:rsid w:val="006B5575"/>
    <w:rsid w:val="006B57A8"/>
    <w:rsid w:val="006B5BE0"/>
    <w:rsid w:val="006B60E4"/>
    <w:rsid w:val="006B6180"/>
    <w:rsid w:val="006B6841"/>
    <w:rsid w:val="006B7D11"/>
    <w:rsid w:val="006B7F55"/>
    <w:rsid w:val="006C00E3"/>
    <w:rsid w:val="006C0130"/>
    <w:rsid w:val="006C0B8E"/>
    <w:rsid w:val="006C0BD3"/>
    <w:rsid w:val="006C0CA9"/>
    <w:rsid w:val="006C1BD5"/>
    <w:rsid w:val="006C1CE4"/>
    <w:rsid w:val="006C2332"/>
    <w:rsid w:val="006C31C5"/>
    <w:rsid w:val="006C3325"/>
    <w:rsid w:val="006C33E1"/>
    <w:rsid w:val="006C41E3"/>
    <w:rsid w:val="006C44E7"/>
    <w:rsid w:val="006C5167"/>
    <w:rsid w:val="006C6497"/>
    <w:rsid w:val="006C6A71"/>
    <w:rsid w:val="006C7108"/>
    <w:rsid w:val="006C7F83"/>
    <w:rsid w:val="006D00D0"/>
    <w:rsid w:val="006D0876"/>
    <w:rsid w:val="006D0D99"/>
    <w:rsid w:val="006D150E"/>
    <w:rsid w:val="006D1D98"/>
    <w:rsid w:val="006D2125"/>
    <w:rsid w:val="006D2CD7"/>
    <w:rsid w:val="006D647D"/>
    <w:rsid w:val="006D668C"/>
    <w:rsid w:val="006D7B06"/>
    <w:rsid w:val="006E00B3"/>
    <w:rsid w:val="006E0D38"/>
    <w:rsid w:val="006E1651"/>
    <w:rsid w:val="006E1A9D"/>
    <w:rsid w:val="006E1B08"/>
    <w:rsid w:val="006E2432"/>
    <w:rsid w:val="006E27BA"/>
    <w:rsid w:val="006E2DEC"/>
    <w:rsid w:val="006E3714"/>
    <w:rsid w:val="006E520F"/>
    <w:rsid w:val="006E7474"/>
    <w:rsid w:val="006E7BFE"/>
    <w:rsid w:val="006E7CB0"/>
    <w:rsid w:val="006F01E7"/>
    <w:rsid w:val="006F074D"/>
    <w:rsid w:val="006F17E6"/>
    <w:rsid w:val="006F2244"/>
    <w:rsid w:val="006F2847"/>
    <w:rsid w:val="006F2B83"/>
    <w:rsid w:val="006F3762"/>
    <w:rsid w:val="006F3B16"/>
    <w:rsid w:val="006F3B6C"/>
    <w:rsid w:val="006F4827"/>
    <w:rsid w:val="006F4874"/>
    <w:rsid w:val="006F6945"/>
    <w:rsid w:val="006F7393"/>
    <w:rsid w:val="006F7C59"/>
    <w:rsid w:val="0070224F"/>
    <w:rsid w:val="00702E9C"/>
    <w:rsid w:val="00703292"/>
    <w:rsid w:val="00703B23"/>
    <w:rsid w:val="00704B9E"/>
    <w:rsid w:val="0070559B"/>
    <w:rsid w:val="00705620"/>
    <w:rsid w:val="00705878"/>
    <w:rsid w:val="007058C2"/>
    <w:rsid w:val="0070602D"/>
    <w:rsid w:val="007072BA"/>
    <w:rsid w:val="007106B3"/>
    <w:rsid w:val="00710D0B"/>
    <w:rsid w:val="007115F7"/>
    <w:rsid w:val="00711FBA"/>
    <w:rsid w:val="00713C68"/>
    <w:rsid w:val="007149FB"/>
    <w:rsid w:val="00714B05"/>
    <w:rsid w:val="00715F84"/>
    <w:rsid w:val="007168EB"/>
    <w:rsid w:val="00716CD9"/>
    <w:rsid w:val="00716EC2"/>
    <w:rsid w:val="00717751"/>
    <w:rsid w:val="0072046E"/>
    <w:rsid w:val="00720A0F"/>
    <w:rsid w:val="0072136A"/>
    <w:rsid w:val="00721413"/>
    <w:rsid w:val="00721F94"/>
    <w:rsid w:val="00722358"/>
    <w:rsid w:val="00722942"/>
    <w:rsid w:val="00724079"/>
    <w:rsid w:val="00724C45"/>
    <w:rsid w:val="0072547F"/>
    <w:rsid w:val="007262C8"/>
    <w:rsid w:val="00726AED"/>
    <w:rsid w:val="00726DA2"/>
    <w:rsid w:val="00726E49"/>
    <w:rsid w:val="00726F1F"/>
    <w:rsid w:val="00726FD6"/>
    <w:rsid w:val="00727748"/>
    <w:rsid w:val="00730746"/>
    <w:rsid w:val="00730BAD"/>
    <w:rsid w:val="0073110B"/>
    <w:rsid w:val="00733DC0"/>
    <w:rsid w:val="00733E60"/>
    <w:rsid w:val="00734584"/>
    <w:rsid w:val="00735196"/>
    <w:rsid w:val="0073690D"/>
    <w:rsid w:val="00736C13"/>
    <w:rsid w:val="00737D52"/>
    <w:rsid w:val="00740431"/>
    <w:rsid w:val="0074054E"/>
    <w:rsid w:val="00740874"/>
    <w:rsid w:val="00740C0E"/>
    <w:rsid w:val="00740DA4"/>
    <w:rsid w:val="00742FEC"/>
    <w:rsid w:val="007438B1"/>
    <w:rsid w:val="007442D2"/>
    <w:rsid w:val="007443F5"/>
    <w:rsid w:val="007446A4"/>
    <w:rsid w:val="007449BE"/>
    <w:rsid w:val="0074585C"/>
    <w:rsid w:val="00750951"/>
    <w:rsid w:val="00750B6F"/>
    <w:rsid w:val="007518B0"/>
    <w:rsid w:val="00753BA5"/>
    <w:rsid w:val="00755223"/>
    <w:rsid w:val="007557E7"/>
    <w:rsid w:val="00755F85"/>
    <w:rsid w:val="00756455"/>
    <w:rsid w:val="00756627"/>
    <w:rsid w:val="00756A39"/>
    <w:rsid w:val="00756A5F"/>
    <w:rsid w:val="007579A7"/>
    <w:rsid w:val="00757D95"/>
    <w:rsid w:val="00757F1B"/>
    <w:rsid w:val="00760122"/>
    <w:rsid w:val="007615C1"/>
    <w:rsid w:val="007617BE"/>
    <w:rsid w:val="00763622"/>
    <w:rsid w:val="00763BC5"/>
    <w:rsid w:val="00767032"/>
    <w:rsid w:val="007674BD"/>
    <w:rsid w:val="007679B8"/>
    <w:rsid w:val="007707CB"/>
    <w:rsid w:val="00772306"/>
    <w:rsid w:val="00773599"/>
    <w:rsid w:val="00774839"/>
    <w:rsid w:val="00774FDC"/>
    <w:rsid w:val="007751E9"/>
    <w:rsid w:val="0077593E"/>
    <w:rsid w:val="00775BCA"/>
    <w:rsid w:val="00776CFA"/>
    <w:rsid w:val="00780326"/>
    <w:rsid w:val="00780681"/>
    <w:rsid w:val="007808B4"/>
    <w:rsid w:val="00780CD9"/>
    <w:rsid w:val="0078105C"/>
    <w:rsid w:val="00781777"/>
    <w:rsid w:val="00781C36"/>
    <w:rsid w:val="00782BAD"/>
    <w:rsid w:val="00784943"/>
    <w:rsid w:val="00785290"/>
    <w:rsid w:val="00785689"/>
    <w:rsid w:val="00785769"/>
    <w:rsid w:val="007860A4"/>
    <w:rsid w:val="0078717D"/>
    <w:rsid w:val="007871BC"/>
    <w:rsid w:val="00787658"/>
    <w:rsid w:val="00790138"/>
    <w:rsid w:val="007902EC"/>
    <w:rsid w:val="00791330"/>
    <w:rsid w:val="0079159C"/>
    <w:rsid w:val="0079202A"/>
    <w:rsid w:val="007933C9"/>
    <w:rsid w:val="00793645"/>
    <w:rsid w:val="0079402C"/>
    <w:rsid w:val="007940F4"/>
    <w:rsid w:val="007948E3"/>
    <w:rsid w:val="00794935"/>
    <w:rsid w:val="00794D65"/>
    <w:rsid w:val="00795C5A"/>
    <w:rsid w:val="00797093"/>
    <w:rsid w:val="0079754B"/>
    <w:rsid w:val="00797DE0"/>
    <w:rsid w:val="007A0E11"/>
    <w:rsid w:val="007A140A"/>
    <w:rsid w:val="007A14B3"/>
    <w:rsid w:val="007A1C01"/>
    <w:rsid w:val="007A1E6D"/>
    <w:rsid w:val="007A270A"/>
    <w:rsid w:val="007A2E57"/>
    <w:rsid w:val="007A2FF0"/>
    <w:rsid w:val="007A39EB"/>
    <w:rsid w:val="007A3C7B"/>
    <w:rsid w:val="007A464E"/>
    <w:rsid w:val="007A54FC"/>
    <w:rsid w:val="007A5D9A"/>
    <w:rsid w:val="007A5EC0"/>
    <w:rsid w:val="007A74D3"/>
    <w:rsid w:val="007A78E9"/>
    <w:rsid w:val="007B0574"/>
    <w:rsid w:val="007B0EB2"/>
    <w:rsid w:val="007B197F"/>
    <w:rsid w:val="007B1ADD"/>
    <w:rsid w:val="007B29ED"/>
    <w:rsid w:val="007B2F98"/>
    <w:rsid w:val="007B308A"/>
    <w:rsid w:val="007B461B"/>
    <w:rsid w:val="007B4741"/>
    <w:rsid w:val="007B519F"/>
    <w:rsid w:val="007B5DB4"/>
    <w:rsid w:val="007B6EFA"/>
    <w:rsid w:val="007B6F6D"/>
    <w:rsid w:val="007B79D0"/>
    <w:rsid w:val="007C031A"/>
    <w:rsid w:val="007C03B3"/>
    <w:rsid w:val="007C062E"/>
    <w:rsid w:val="007C064D"/>
    <w:rsid w:val="007C0813"/>
    <w:rsid w:val="007C0B93"/>
    <w:rsid w:val="007C1CA9"/>
    <w:rsid w:val="007C2DD4"/>
    <w:rsid w:val="007C3036"/>
    <w:rsid w:val="007C59AB"/>
    <w:rsid w:val="007C6E38"/>
    <w:rsid w:val="007C77BC"/>
    <w:rsid w:val="007C7C5A"/>
    <w:rsid w:val="007C7D79"/>
    <w:rsid w:val="007C7DFC"/>
    <w:rsid w:val="007C7FAA"/>
    <w:rsid w:val="007D072B"/>
    <w:rsid w:val="007D1108"/>
    <w:rsid w:val="007D1E6E"/>
    <w:rsid w:val="007D25BE"/>
    <w:rsid w:val="007D2B48"/>
    <w:rsid w:val="007D3125"/>
    <w:rsid w:val="007D3923"/>
    <w:rsid w:val="007D3AF3"/>
    <w:rsid w:val="007D3FDD"/>
    <w:rsid w:val="007D45BB"/>
    <w:rsid w:val="007D6607"/>
    <w:rsid w:val="007D69B9"/>
    <w:rsid w:val="007D6A70"/>
    <w:rsid w:val="007D6B96"/>
    <w:rsid w:val="007D6BDF"/>
    <w:rsid w:val="007D769A"/>
    <w:rsid w:val="007D7859"/>
    <w:rsid w:val="007D7871"/>
    <w:rsid w:val="007D7B4A"/>
    <w:rsid w:val="007D7BAE"/>
    <w:rsid w:val="007E1F12"/>
    <w:rsid w:val="007E28DF"/>
    <w:rsid w:val="007E2B63"/>
    <w:rsid w:val="007E2B92"/>
    <w:rsid w:val="007E3607"/>
    <w:rsid w:val="007E3C81"/>
    <w:rsid w:val="007E4317"/>
    <w:rsid w:val="007E4E00"/>
    <w:rsid w:val="007E51CB"/>
    <w:rsid w:val="007E5560"/>
    <w:rsid w:val="007E66AE"/>
    <w:rsid w:val="007E77C7"/>
    <w:rsid w:val="007E7AD3"/>
    <w:rsid w:val="007E7E9C"/>
    <w:rsid w:val="007F044B"/>
    <w:rsid w:val="007F0B03"/>
    <w:rsid w:val="007F1E4D"/>
    <w:rsid w:val="007F2692"/>
    <w:rsid w:val="007F38E1"/>
    <w:rsid w:val="007F4458"/>
    <w:rsid w:val="007F4FDD"/>
    <w:rsid w:val="007F5B7E"/>
    <w:rsid w:val="007F5D56"/>
    <w:rsid w:val="007F6589"/>
    <w:rsid w:val="007F7836"/>
    <w:rsid w:val="007F7A76"/>
    <w:rsid w:val="007F7E20"/>
    <w:rsid w:val="008001C2"/>
    <w:rsid w:val="00800FDC"/>
    <w:rsid w:val="008026BB"/>
    <w:rsid w:val="008028FA"/>
    <w:rsid w:val="00802B12"/>
    <w:rsid w:val="00802C4F"/>
    <w:rsid w:val="00802C97"/>
    <w:rsid w:val="0080302A"/>
    <w:rsid w:val="00803707"/>
    <w:rsid w:val="008038A0"/>
    <w:rsid w:val="00803B52"/>
    <w:rsid w:val="00803B67"/>
    <w:rsid w:val="00803DB3"/>
    <w:rsid w:val="00804A74"/>
    <w:rsid w:val="0080578B"/>
    <w:rsid w:val="00805A4B"/>
    <w:rsid w:val="00806287"/>
    <w:rsid w:val="008065E0"/>
    <w:rsid w:val="008068F2"/>
    <w:rsid w:val="008078C9"/>
    <w:rsid w:val="00807CFD"/>
    <w:rsid w:val="00810B59"/>
    <w:rsid w:val="00810B6F"/>
    <w:rsid w:val="00811B44"/>
    <w:rsid w:val="008130C6"/>
    <w:rsid w:val="00813A1A"/>
    <w:rsid w:val="00813BAA"/>
    <w:rsid w:val="008146CF"/>
    <w:rsid w:val="00814A30"/>
    <w:rsid w:val="00814D6F"/>
    <w:rsid w:val="00816D97"/>
    <w:rsid w:val="008202E5"/>
    <w:rsid w:val="00820439"/>
    <w:rsid w:val="00820FCB"/>
    <w:rsid w:val="00820FD9"/>
    <w:rsid w:val="00822637"/>
    <w:rsid w:val="00822799"/>
    <w:rsid w:val="00822CE0"/>
    <w:rsid w:val="008247F1"/>
    <w:rsid w:val="008247FD"/>
    <w:rsid w:val="00824D32"/>
    <w:rsid w:val="008269C5"/>
    <w:rsid w:val="008269F5"/>
    <w:rsid w:val="00826C02"/>
    <w:rsid w:val="008279FB"/>
    <w:rsid w:val="00827BA7"/>
    <w:rsid w:val="0083083D"/>
    <w:rsid w:val="00830A4A"/>
    <w:rsid w:val="008317B5"/>
    <w:rsid w:val="0083318E"/>
    <w:rsid w:val="00834092"/>
    <w:rsid w:val="00834754"/>
    <w:rsid w:val="00834E67"/>
    <w:rsid w:val="0083537C"/>
    <w:rsid w:val="00835917"/>
    <w:rsid w:val="00835EBD"/>
    <w:rsid w:val="008361A5"/>
    <w:rsid w:val="008365BF"/>
    <w:rsid w:val="00837351"/>
    <w:rsid w:val="00837878"/>
    <w:rsid w:val="00837A54"/>
    <w:rsid w:val="00837E9B"/>
    <w:rsid w:val="00837F03"/>
    <w:rsid w:val="0084138E"/>
    <w:rsid w:val="0084146C"/>
    <w:rsid w:val="008415DF"/>
    <w:rsid w:val="00841AB1"/>
    <w:rsid w:val="008420DA"/>
    <w:rsid w:val="0084210B"/>
    <w:rsid w:val="0084273B"/>
    <w:rsid w:val="00842988"/>
    <w:rsid w:val="008433FA"/>
    <w:rsid w:val="0084346C"/>
    <w:rsid w:val="008439A9"/>
    <w:rsid w:val="00844BAB"/>
    <w:rsid w:val="008451F1"/>
    <w:rsid w:val="008458A1"/>
    <w:rsid w:val="00845A27"/>
    <w:rsid w:val="00845E5F"/>
    <w:rsid w:val="0084630E"/>
    <w:rsid w:val="00846770"/>
    <w:rsid w:val="00846A78"/>
    <w:rsid w:val="00846E53"/>
    <w:rsid w:val="00847305"/>
    <w:rsid w:val="00847A19"/>
    <w:rsid w:val="008502BD"/>
    <w:rsid w:val="00850FD7"/>
    <w:rsid w:val="00851B22"/>
    <w:rsid w:val="008525B9"/>
    <w:rsid w:val="008526E3"/>
    <w:rsid w:val="00852F3C"/>
    <w:rsid w:val="00853B50"/>
    <w:rsid w:val="00854265"/>
    <w:rsid w:val="00854884"/>
    <w:rsid w:val="00854C3E"/>
    <w:rsid w:val="00855C08"/>
    <w:rsid w:val="0085612E"/>
    <w:rsid w:val="00856838"/>
    <w:rsid w:val="00856EC0"/>
    <w:rsid w:val="00857F0F"/>
    <w:rsid w:val="00860AA3"/>
    <w:rsid w:val="0086172C"/>
    <w:rsid w:val="00861830"/>
    <w:rsid w:val="00861BD6"/>
    <w:rsid w:val="00863DEF"/>
    <w:rsid w:val="00864C3D"/>
    <w:rsid w:val="008658E3"/>
    <w:rsid w:val="008658F0"/>
    <w:rsid w:val="00867380"/>
    <w:rsid w:val="00870F0D"/>
    <w:rsid w:val="00871A83"/>
    <w:rsid w:val="00871B8A"/>
    <w:rsid w:val="00874727"/>
    <w:rsid w:val="00874CF4"/>
    <w:rsid w:val="00874DD9"/>
    <w:rsid w:val="008751CA"/>
    <w:rsid w:val="00875447"/>
    <w:rsid w:val="0087571B"/>
    <w:rsid w:val="00875D05"/>
    <w:rsid w:val="00875E15"/>
    <w:rsid w:val="00875FE3"/>
    <w:rsid w:val="00877615"/>
    <w:rsid w:val="00877826"/>
    <w:rsid w:val="00880591"/>
    <w:rsid w:val="00880888"/>
    <w:rsid w:val="00880912"/>
    <w:rsid w:val="0088093E"/>
    <w:rsid w:val="00880E79"/>
    <w:rsid w:val="00881019"/>
    <w:rsid w:val="00881962"/>
    <w:rsid w:val="0088300B"/>
    <w:rsid w:val="0088408E"/>
    <w:rsid w:val="00884E3E"/>
    <w:rsid w:val="00884E7F"/>
    <w:rsid w:val="00884EF1"/>
    <w:rsid w:val="00884FA7"/>
    <w:rsid w:val="0088586E"/>
    <w:rsid w:val="00885A2D"/>
    <w:rsid w:val="00885B4A"/>
    <w:rsid w:val="00885D23"/>
    <w:rsid w:val="00886025"/>
    <w:rsid w:val="00886DC2"/>
    <w:rsid w:val="00886E7A"/>
    <w:rsid w:val="00887EDB"/>
    <w:rsid w:val="008907AD"/>
    <w:rsid w:val="00890CFC"/>
    <w:rsid w:val="00892556"/>
    <w:rsid w:val="00892613"/>
    <w:rsid w:val="0089385C"/>
    <w:rsid w:val="00894609"/>
    <w:rsid w:val="00894876"/>
    <w:rsid w:val="008948E5"/>
    <w:rsid w:val="00895BC8"/>
    <w:rsid w:val="0089749E"/>
    <w:rsid w:val="00897825"/>
    <w:rsid w:val="008A025E"/>
    <w:rsid w:val="008A06EC"/>
    <w:rsid w:val="008A2E1B"/>
    <w:rsid w:val="008A3BB0"/>
    <w:rsid w:val="008A421F"/>
    <w:rsid w:val="008A53B9"/>
    <w:rsid w:val="008A640B"/>
    <w:rsid w:val="008A7D7F"/>
    <w:rsid w:val="008B0083"/>
    <w:rsid w:val="008B0BE4"/>
    <w:rsid w:val="008B1467"/>
    <w:rsid w:val="008B1799"/>
    <w:rsid w:val="008B1D0B"/>
    <w:rsid w:val="008B1FAB"/>
    <w:rsid w:val="008B21A6"/>
    <w:rsid w:val="008B2BF4"/>
    <w:rsid w:val="008B2C39"/>
    <w:rsid w:val="008B3805"/>
    <w:rsid w:val="008B4BED"/>
    <w:rsid w:val="008B4C5E"/>
    <w:rsid w:val="008B57D0"/>
    <w:rsid w:val="008B6227"/>
    <w:rsid w:val="008B6817"/>
    <w:rsid w:val="008C01AD"/>
    <w:rsid w:val="008C0622"/>
    <w:rsid w:val="008C07CC"/>
    <w:rsid w:val="008C0DA9"/>
    <w:rsid w:val="008C1000"/>
    <w:rsid w:val="008C19C8"/>
    <w:rsid w:val="008C2141"/>
    <w:rsid w:val="008C2580"/>
    <w:rsid w:val="008C39AC"/>
    <w:rsid w:val="008C4B19"/>
    <w:rsid w:val="008C536B"/>
    <w:rsid w:val="008C555E"/>
    <w:rsid w:val="008C68F1"/>
    <w:rsid w:val="008C7F9B"/>
    <w:rsid w:val="008D0DDE"/>
    <w:rsid w:val="008D13E5"/>
    <w:rsid w:val="008D2634"/>
    <w:rsid w:val="008D2B71"/>
    <w:rsid w:val="008D3119"/>
    <w:rsid w:val="008D39CC"/>
    <w:rsid w:val="008D3E23"/>
    <w:rsid w:val="008D4049"/>
    <w:rsid w:val="008D437D"/>
    <w:rsid w:val="008D47A2"/>
    <w:rsid w:val="008D4EF9"/>
    <w:rsid w:val="008D5EE7"/>
    <w:rsid w:val="008D675B"/>
    <w:rsid w:val="008D69BC"/>
    <w:rsid w:val="008D6C5F"/>
    <w:rsid w:val="008D7355"/>
    <w:rsid w:val="008D77A1"/>
    <w:rsid w:val="008D7E49"/>
    <w:rsid w:val="008E16B9"/>
    <w:rsid w:val="008E1779"/>
    <w:rsid w:val="008E1D3E"/>
    <w:rsid w:val="008E1FFE"/>
    <w:rsid w:val="008E23B3"/>
    <w:rsid w:val="008E2F3A"/>
    <w:rsid w:val="008E38A1"/>
    <w:rsid w:val="008E4849"/>
    <w:rsid w:val="008E5C1E"/>
    <w:rsid w:val="008E63F0"/>
    <w:rsid w:val="008E74C7"/>
    <w:rsid w:val="008F0DD7"/>
    <w:rsid w:val="008F1257"/>
    <w:rsid w:val="008F1999"/>
    <w:rsid w:val="008F334F"/>
    <w:rsid w:val="008F3B36"/>
    <w:rsid w:val="008F43A8"/>
    <w:rsid w:val="008F4B2D"/>
    <w:rsid w:val="008F4B8C"/>
    <w:rsid w:val="008F502B"/>
    <w:rsid w:val="008F5542"/>
    <w:rsid w:val="008F5AAA"/>
    <w:rsid w:val="008F5E2C"/>
    <w:rsid w:val="008F6809"/>
    <w:rsid w:val="008F79D2"/>
    <w:rsid w:val="008F7D95"/>
    <w:rsid w:val="009035BB"/>
    <w:rsid w:val="00903FB0"/>
    <w:rsid w:val="009046E8"/>
    <w:rsid w:val="00904732"/>
    <w:rsid w:val="00904A20"/>
    <w:rsid w:val="00904F66"/>
    <w:rsid w:val="00905359"/>
    <w:rsid w:val="009062A7"/>
    <w:rsid w:val="0090672A"/>
    <w:rsid w:val="00906C77"/>
    <w:rsid w:val="00906D82"/>
    <w:rsid w:val="00907BC6"/>
    <w:rsid w:val="009106D7"/>
    <w:rsid w:val="00910D2F"/>
    <w:rsid w:val="00911B02"/>
    <w:rsid w:val="009121C9"/>
    <w:rsid w:val="00912613"/>
    <w:rsid w:val="00912B14"/>
    <w:rsid w:val="0091355F"/>
    <w:rsid w:val="00913704"/>
    <w:rsid w:val="00914F4E"/>
    <w:rsid w:val="00916103"/>
    <w:rsid w:val="00916201"/>
    <w:rsid w:val="00916C38"/>
    <w:rsid w:val="00917986"/>
    <w:rsid w:val="0092012C"/>
    <w:rsid w:val="009202B2"/>
    <w:rsid w:val="00920508"/>
    <w:rsid w:val="00920B77"/>
    <w:rsid w:val="00920F85"/>
    <w:rsid w:val="0092168A"/>
    <w:rsid w:val="00921803"/>
    <w:rsid w:val="00921968"/>
    <w:rsid w:val="009219BD"/>
    <w:rsid w:val="00922164"/>
    <w:rsid w:val="0092221B"/>
    <w:rsid w:val="0092258C"/>
    <w:rsid w:val="00923017"/>
    <w:rsid w:val="00924466"/>
    <w:rsid w:val="00924912"/>
    <w:rsid w:val="00924E06"/>
    <w:rsid w:val="009256E6"/>
    <w:rsid w:val="00925D00"/>
    <w:rsid w:val="00925FA9"/>
    <w:rsid w:val="00926150"/>
    <w:rsid w:val="00926372"/>
    <w:rsid w:val="00926503"/>
    <w:rsid w:val="009268FE"/>
    <w:rsid w:val="00926E51"/>
    <w:rsid w:val="009273CB"/>
    <w:rsid w:val="00927938"/>
    <w:rsid w:val="00927E7C"/>
    <w:rsid w:val="00930685"/>
    <w:rsid w:val="00930964"/>
    <w:rsid w:val="00930C04"/>
    <w:rsid w:val="00932917"/>
    <w:rsid w:val="00932ADC"/>
    <w:rsid w:val="009333F4"/>
    <w:rsid w:val="00933724"/>
    <w:rsid w:val="00934112"/>
    <w:rsid w:val="00935670"/>
    <w:rsid w:val="00936931"/>
    <w:rsid w:val="009406DD"/>
    <w:rsid w:val="0094163F"/>
    <w:rsid w:val="00941676"/>
    <w:rsid w:val="00943017"/>
    <w:rsid w:val="0094324B"/>
    <w:rsid w:val="00943E39"/>
    <w:rsid w:val="009441F0"/>
    <w:rsid w:val="009443A4"/>
    <w:rsid w:val="0094441E"/>
    <w:rsid w:val="00944740"/>
    <w:rsid w:val="00944939"/>
    <w:rsid w:val="0094497D"/>
    <w:rsid w:val="00945939"/>
    <w:rsid w:val="009459FD"/>
    <w:rsid w:val="00946B46"/>
    <w:rsid w:val="00946BE4"/>
    <w:rsid w:val="0094784B"/>
    <w:rsid w:val="00947B7F"/>
    <w:rsid w:val="00947DAE"/>
    <w:rsid w:val="0095191C"/>
    <w:rsid w:val="00951B79"/>
    <w:rsid w:val="009524E2"/>
    <w:rsid w:val="009525F9"/>
    <w:rsid w:val="00952C49"/>
    <w:rsid w:val="00954058"/>
    <w:rsid w:val="009546D1"/>
    <w:rsid w:val="0095495D"/>
    <w:rsid w:val="0095652F"/>
    <w:rsid w:val="009572DA"/>
    <w:rsid w:val="00957351"/>
    <w:rsid w:val="009577BF"/>
    <w:rsid w:val="00957AC3"/>
    <w:rsid w:val="00957FA1"/>
    <w:rsid w:val="00960606"/>
    <w:rsid w:val="00960AD5"/>
    <w:rsid w:val="00960FDF"/>
    <w:rsid w:val="00961D2E"/>
    <w:rsid w:val="00961EAD"/>
    <w:rsid w:val="00962823"/>
    <w:rsid w:val="0096479C"/>
    <w:rsid w:val="009652AF"/>
    <w:rsid w:val="0096535F"/>
    <w:rsid w:val="0096551D"/>
    <w:rsid w:val="00965DD5"/>
    <w:rsid w:val="00965EC3"/>
    <w:rsid w:val="009661C4"/>
    <w:rsid w:val="00966667"/>
    <w:rsid w:val="00966991"/>
    <w:rsid w:val="009678A4"/>
    <w:rsid w:val="0097074E"/>
    <w:rsid w:val="00971481"/>
    <w:rsid w:val="0097167E"/>
    <w:rsid w:val="00972393"/>
    <w:rsid w:val="009726D8"/>
    <w:rsid w:val="009733C4"/>
    <w:rsid w:val="00973CD6"/>
    <w:rsid w:val="009741F5"/>
    <w:rsid w:val="00974586"/>
    <w:rsid w:val="00974ED9"/>
    <w:rsid w:val="00975534"/>
    <w:rsid w:val="00977D55"/>
    <w:rsid w:val="00977EA0"/>
    <w:rsid w:val="00980099"/>
    <w:rsid w:val="0098018E"/>
    <w:rsid w:val="009801D7"/>
    <w:rsid w:val="009809FA"/>
    <w:rsid w:val="00980BEF"/>
    <w:rsid w:val="00980ED6"/>
    <w:rsid w:val="0098101C"/>
    <w:rsid w:val="009819AD"/>
    <w:rsid w:val="009819F4"/>
    <w:rsid w:val="0098227E"/>
    <w:rsid w:val="009824CD"/>
    <w:rsid w:val="0098339E"/>
    <w:rsid w:val="00983A1D"/>
    <w:rsid w:val="00983D06"/>
    <w:rsid w:val="00983F8B"/>
    <w:rsid w:val="00984C81"/>
    <w:rsid w:val="00985AA4"/>
    <w:rsid w:val="009864A2"/>
    <w:rsid w:val="009865ED"/>
    <w:rsid w:val="0098712C"/>
    <w:rsid w:val="009902AF"/>
    <w:rsid w:val="00990AA6"/>
    <w:rsid w:val="00990EE7"/>
    <w:rsid w:val="00991188"/>
    <w:rsid w:val="009917FC"/>
    <w:rsid w:val="00991D62"/>
    <w:rsid w:val="00992171"/>
    <w:rsid w:val="009924CC"/>
    <w:rsid w:val="00992849"/>
    <w:rsid w:val="00993233"/>
    <w:rsid w:val="0099334E"/>
    <w:rsid w:val="009933A1"/>
    <w:rsid w:val="00993B1D"/>
    <w:rsid w:val="00994155"/>
    <w:rsid w:val="00994C2E"/>
    <w:rsid w:val="00996202"/>
    <w:rsid w:val="00996714"/>
    <w:rsid w:val="00997117"/>
    <w:rsid w:val="009972EF"/>
    <w:rsid w:val="00997495"/>
    <w:rsid w:val="00997768"/>
    <w:rsid w:val="00997968"/>
    <w:rsid w:val="00997A8B"/>
    <w:rsid w:val="009A0062"/>
    <w:rsid w:val="009A03A6"/>
    <w:rsid w:val="009A03B1"/>
    <w:rsid w:val="009A0637"/>
    <w:rsid w:val="009A0BD7"/>
    <w:rsid w:val="009A15CF"/>
    <w:rsid w:val="009A1FCA"/>
    <w:rsid w:val="009A25E1"/>
    <w:rsid w:val="009A28B2"/>
    <w:rsid w:val="009A3519"/>
    <w:rsid w:val="009A39BA"/>
    <w:rsid w:val="009A423E"/>
    <w:rsid w:val="009A4B62"/>
    <w:rsid w:val="009A4BC9"/>
    <w:rsid w:val="009A5849"/>
    <w:rsid w:val="009A719D"/>
    <w:rsid w:val="009A71F8"/>
    <w:rsid w:val="009A79DA"/>
    <w:rsid w:val="009B0064"/>
    <w:rsid w:val="009B0427"/>
    <w:rsid w:val="009B065C"/>
    <w:rsid w:val="009B0BE5"/>
    <w:rsid w:val="009B0D76"/>
    <w:rsid w:val="009B0DD6"/>
    <w:rsid w:val="009B2137"/>
    <w:rsid w:val="009B2C3D"/>
    <w:rsid w:val="009B2D78"/>
    <w:rsid w:val="009B3D78"/>
    <w:rsid w:val="009B3EC0"/>
    <w:rsid w:val="009B45B7"/>
    <w:rsid w:val="009B4BA8"/>
    <w:rsid w:val="009B4BDA"/>
    <w:rsid w:val="009B50B0"/>
    <w:rsid w:val="009B5206"/>
    <w:rsid w:val="009B72B8"/>
    <w:rsid w:val="009B7AD1"/>
    <w:rsid w:val="009C0D0C"/>
    <w:rsid w:val="009C18CA"/>
    <w:rsid w:val="009C20A3"/>
    <w:rsid w:val="009C20BA"/>
    <w:rsid w:val="009C29A9"/>
    <w:rsid w:val="009C2ED9"/>
    <w:rsid w:val="009C3227"/>
    <w:rsid w:val="009C3262"/>
    <w:rsid w:val="009C3677"/>
    <w:rsid w:val="009C3DF2"/>
    <w:rsid w:val="009C4CFF"/>
    <w:rsid w:val="009C4FDB"/>
    <w:rsid w:val="009C52CE"/>
    <w:rsid w:val="009C573B"/>
    <w:rsid w:val="009C57BB"/>
    <w:rsid w:val="009C63BD"/>
    <w:rsid w:val="009C6405"/>
    <w:rsid w:val="009C6A8F"/>
    <w:rsid w:val="009C720F"/>
    <w:rsid w:val="009D0588"/>
    <w:rsid w:val="009D238E"/>
    <w:rsid w:val="009D26A9"/>
    <w:rsid w:val="009D26B6"/>
    <w:rsid w:val="009D2AF5"/>
    <w:rsid w:val="009D321B"/>
    <w:rsid w:val="009D3624"/>
    <w:rsid w:val="009D36DD"/>
    <w:rsid w:val="009D3FF5"/>
    <w:rsid w:val="009D4C81"/>
    <w:rsid w:val="009D563D"/>
    <w:rsid w:val="009D685C"/>
    <w:rsid w:val="009D6D20"/>
    <w:rsid w:val="009D71EC"/>
    <w:rsid w:val="009D7308"/>
    <w:rsid w:val="009D7C38"/>
    <w:rsid w:val="009E0699"/>
    <w:rsid w:val="009E0A6C"/>
    <w:rsid w:val="009E1D3F"/>
    <w:rsid w:val="009E1F82"/>
    <w:rsid w:val="009E28CF"/>
    <w:rsid w:val="009E2E28"/>
    <w:rsid w:val="009E2F05"/>
    <w:rsid w:val="009E4B3B"/>
    <w:rsid w:val="009E625B"/>
    <w:rsid w:val="009E6866"/>
    <w:rsid w:val="009E6A3E"/>
    <w:rsid w:val="009E7849"/>
    <w:rsid w:val="009E78B6"/>
    <w:rsid w:val="009E7A0C"/>
    <w:rsid w:val="009E7C3F"/>
    <w:rsid w:val="009E7EB7"/>
    <w:rsid w:val="009F0E90"/>
    <w:rsid w:val="009F13C6"/>
    <w:rsid w:val="009F1BEA"/>
    <w:rsid w:val="009F20BE"/>
    <w:rsid w:val="009F374E"/>
    <w:rsid w:val="009F66D9"/>
    <w:rsid w:val="009F6720"/>
    <w:rsid w:val="009F76DB"/>
    <w:rsid w:val="00A00798"/>
    <w:rsid w:val="00A01755"/>
    <w:rsid w:val="00A017BA"/>
    <w:rsid w:val="00A01DE7"/>
    <w:rsid w:val="00A029D9"/>
    <w:rsid w:val="00A045CE"/>
    <w:rsid w:val="00A04D8A"/>
    <w:rsid w:val="00A04E05"/>
    <w:rsid w:val="00A0558E"/>
    <w:rsid w:val="00A056C8"/>
    <w:rsid w:val="00A06DC4"/>
    <w:rsid w:val="00A07538"/>
    <w:rsid w:val="00A07644"/>
    <w:rsid w:val="00A1033F"/>
    <w:rsid w:val="00A105E0"/>
    <w:rsid w:val="00A10746"/>
    <w:rsid w:val="00A10E40"/>
    <w:rsid w:val="00A11325"/>
    <w:rsid w:val="00A13DA9"/>
    <w:rsid w:val="00A1437F"/>
    <w:rsid w:val="00A144AB"/>
    <w:rsid w:val="00A1462D"/>
    <w:rsid w:val="00A14D3A"/>
    <w:rsid w:val="00A14EEE"/>
    <w:rsid w:val="00A15740"/>
    <w:rsid w:val="00A15F02"/>
    <w:rsid w:val="00A16493"/>
    <w:rsid w:val="00A16F4D"/>
    <w:rsid w:val="00A2009C"/>
    <w:rsid w:val="00A2056A"/>
    <w:rsid w:val="00A21246"/>
    <w:rsid w:val="00A21483"/>
    <w:rsid w:val="00A22312"/>
    <w:rsid w:val="00A22D51"/>
    <w:rsid w:val="00A22D6D"/>
    <w:rsid w:val="00A23FB5"/>
    <w:rsid w:val="00A24057"/>
    <w:rsid w:val="00A2435F"/>
    <w:rsid w:val="00A243C5"/>
    <w:rsid w:val="00A2454C"/>
    <w:rsid w:val="00A25F06"/>
    <w:rsid w:val="00A26E00"/>
    <w:rsid w:val="00A30A33"/>
    <w:rsid w:val="00A32164"/>
    <w:rsid w:val="00A32C3B"/>
    <w:rsid w:val="00A32E67"/>
    <w:rsid w:val="00A3384F"/>
    <w:rsid w:val="00A3482C"/>
    <w:rsid w:val="00A34F98"/>
    <w:rsid w:val="00A35432"/>
    <w:rsid w:val="00A3544E"/>
    <w:rsid w:val="00A35587"/>
    <w:rsid w:val="00A355F4"/>
    <w:rsid w:val="00A36EFF"/>
    <w:rsid w:val="00A377AE"/>
    <w:rsid w:val="00A37F04"/>
    <w:rsid w:val="00A403D5"/>
    <w:rsid w:val="00A41275"/>
    <w:rsid w:val="00A41601"/>
    <w:rsid w:val="00A418FE"/>
    <w:rsid w:val="00A419F9"/>
    <w:rsid w:val="00A420B6"/>
    <w:rsid w:val="00A421F1"/>
    <w:rsid w:val="00A4465E"/>
    <w:rsid w:val="00A45F4F"/>
    <w:rsid w:val="00A463E8"/>
    <w:rsid w:val="00A5034A"/>
    <w:rsid w:val="00A50BE1"/>
    <w:rsid w:val="00A51AB5"/>
    <w:rsid w:val="00A52947"/>
    <w:rsid w:val="00A52EC0"/>
    <w:rsid w:val="00A5381D"/>
    <w:rsid w:val="00A53C62"/>
    <w:rsid w:val="00A53C8B"/>
    <w:rsid w:val="00A53CCC"/>
    <w:rsid w:val="00A543FB"/>
    <w:rsid w:val="00A54F9E"/>
    <w:rsid w:val="00A54FCA"/>
    <w:rsid w:val="00A55981"/>
    <w:rsid w:val="00A55E90"/>
    <w:rsid w:val="00A5637B"/>
    <w:rsid w:val="00A56A2F"/>
    <w:rsid w:val="00A56A54"/>
    <w:rsid w:val="00A577E0"/>
    <w:rsid w:val="00A600A9"/>
    <w:rsid w:val="00A6033A"/>
    <w:rsid w:val="00A607AD"/>
    <w:rsid w:val="00A6088C"/>
    <w:rsid w:val="00A614AC"/>
    <w:rsid w:val="00A62031"/>
    <w:rsid w:val="00A624F9"/>
    <w:rsid w:val="00A62FB4"/>
    <w:rsid w:val="00A63805"/>
    <w:rsid w:val="00A6387E"/>
    <w:rsid w:val="00A6416B"/>
    <w:rsid w:val="00A649FD"/>
    <w:rsid w:val="00A65357"/>
    <w:rsid w:val="00A654B4"/>
    <w:rsid w:val="00A6610B"/>
    <w:rsid w:val="00A672CA"/>
    <w:rsid w:val="00A6772F"/>
    <w:rsid w:val="00A70B50"/>
    <w:rsid w:val="00A70C87"/>
    <w:rsid w:val="00A70D95"/>
    <w:rsid w:val="00A70E9C"/>
    <w:rsid w:val="00A71732"/>
    <w:rsid w:val="00A72387"/>
    <w:rsid w:val="00A729BF"/>
    <w:rsid w:val="00A72D6E"/>
    <w:rsid w:val="00A73D81"/>
    <w:rsid w:val="00A7405E"/>
    <w:rsid w:val="00A74810"/>
    <w:rsid w:val="00A74842"/>
    <w:rsid w:val="00A74858"/>
    <w:rsid w:val="00A74D23"/>
    <w:rsid w:val="00A74DA3"/>
    <w:rsid w:val="00A75EF3"/>
    <w:rsid w:val="00A76FEE"/>
    <w:rsid w:val="00A7751C"/>
    <w:rsid w:val="00A777A5"/>
    <w:rsid w:val="00A779FF"/>
    <w:rsid w:val="00A80A27"/>
    <w:rsid w:val="00A80A89"/>
    <w:rsid w:val="00A813EE"/>
    <w:rsid w:val="00A8155B"/>
    <w:rsid w:val="00A81E63"/>
    <w:rsid w:val="00A82313"/>
    <w:rsid w:val="00A84085"/>
    <w:rsid w:val="00A84D25"/>
    <w:rsid w:val="00A85672"/>
    <w:rsid w:val="00A85CC6"/>
    <w:rsid w:val="00A8689C"/>
    <w:rsid w:val="00A8702F"/>
    <w:rsid w:val="00A8715B"/>
    <w:rsid w:val="00A9041F"/>
    <w:rsid w:val="00A905B0"/>
    <w:rsid w:val="00A90FD1"/>
    <w:rsid w:val="00A91053"/>
    <w:rsid w:val="00A91DAA"/>
    <w:rsid w:val="00A91F8A"/>
    <w:rsid w:val="00A92606"/>
    <w:rsid w:val="00A93800"/>
    <w:rsid w:val="00A9488C"/>
    <w:rsid w:val="00A948F8"/>
    <w:rsid w:val="00A94C1C"/>
    <w:rsid w:val="00A95614"/>
    <w:rsid w:val="00A95C39"/>
    <w:rsid w:val="00A95D7B"/>
    <w:rsid w:val="00A95F8D"/>
    <w:rsid w:val="00A972A2"/>
    <w:rsid w:val="00A97BF5"/>
    <w:rsid w:val="00AA0088"/>
    <w:rsid w:val="00AA0118"/>
    <w:rsid w:val="00AA09F9"/>
    <w:rsid w:val="00AA0D94"/>
    <w:rsid w:val="00AA11D5"/>
    <w:rsid w:val="00AA1541"/>
    <w:rsid w:val="00AA2069"/>
    <w:rsid w:val="00AA393C"/>
    <w:rsid w:val="00AA3B9B"/>
    <w:rsid w:val="00AA4579"/>
    <w:rsid w:val="00AA47AC"/>
    <w:rsid w:val="00AA5098"/>
    <w:rsid w:val="00AA51FC"/>
    <w:rsid w:val="00AA55B7"/>
    <w:rsid w:val="00AA5B9E"/>
    <w:rsid w:val="00AA74CA"/>
    <w:rsid w:val="00AB01D1"/>
    <w:rsid w:val="00AB13F1"/>
    <w:rsid w:val="00AB1BDC"/>
    <w:rsid w:val="00AB2407"/>
    <w:rsid w:val="00AB295F"/>
    <w:rsid w:val="00AB2BE5"/>
    <w:rsid w:val="00AB3AB8"/>
    <w:rsid w:val="00AB3B1A"/>
    <w:rsid w:val="00AB3CD1"/>
    <w:rsid w:val="00AB4CE7"/>
    <w:rsid w:val="00AB53DF"/>
    <w:rsid w:val="00AB6E90"/>
    <w:rsid w:val="00AB75DC"/>
    <w:rsid w:val="00AB7A2C"/>
    <w:rsid w:val="00AB7A8A"/>
    <w:rsid w:val="00AC060B"/>
    <w:rsid w:val="00AC0627"/>
    <w:rsid w:val="00AC1E35"/>
    <w:rsid w:val="00AC2546"/>
    <w:rsid w:val="00AC33B5"/>
    <w:rsid w:val="00AC3577"/>
    <w:rsid w:val="00AC367B"/>
    <w:rsid w:val="00AC390A"/>
    <w:rsid w:val="00AC3936"/>
    <w:rsid w:val="00AC4014"/>
    <w:rsid w:val="00AC4ED3"/>
    <w:rsid w:val="00AC659D"/>
    <w:rsid w:val="00AC6AE7"/>
    <w:rsid w:val="00AC6DDE"/>
    <w:rsid w:val="00AC73DD"/>
    <w:rsid w:val="00AC74AC"/>
    <w:rsid w:val="00AD027F"/>
    <w:rsid w:val="00AD100E"/>
    <w:rsid w:val="00AD20B6"/>
    <w:rsid w:val="00AD21BC"/>
    <w:rsid w:val="00AD403B"/>
    <w:rsid w:val="00AD4565"/>
    <w:rsid w:val="00AD4910"/>
    <w:rsid w:val="00AD4BAA"/>
    <w:rsid w:val="00AD4D3A"/>
    <w:rsid w:val="00AD4FC0"/>
    <w:rsid w:val="00AD6EFD"/>
    <w:rsid w:val="00AD7273"/>
    <w:rsid w:val="00AD771D"/>
    <w:rsid w:val="00AE0506"/>
    <w:rsid w:val="00AE0797"/>
    <w:rsid w:val="00AE1B4C"/>
    <w:rsid w:val="00AE1D64"/>
    <w:rsid w:val="00AE2D30"/>
    <w:rsid w:val="00AE30A9"/>
    <w:rsid w:val="00AE3AF2"/>
    <w:rsid w:val="00AE4F29"/>
    <w:rsid w:val="00AE54CB"/>
    <w:rsid w:val="00AE5723"/>
    <w:rsid w:val="00AE5839"/>
    <w:rsid w:val="00AE6BAD"/>
    <w:rsid w:val="00AE6FC5"/>
    <w:rsid w:val="00AE7B92"/>
    <w:rsid w:val="00AF0993"/>
    <w:rsid w:val="00AF0FCA"/>
    <w:rsid w:val="00AF17D9"/>
    <w:rsid w:val="00AF19FC"/>
    <w:rsid w:val="00AF2355"/>
    <w:rsid w:val="00AF2419"/>
    <w:rsid w:val="00AF2A96"/>
    <w:rsid w:val="00AF401F"/>
    <w:rsid w:val="00AF463E"/>
    <w:rsid w:val="00AF56D9"/>
    <w:rsid w:val="00AF59C2"/>
    <w:rsid w:val="00AF5F45"/>
    <w:rsid w:val="00AF64C0"/>
    <w:rsid w:val="00AF6874"/>
    <w:rsid w:val="00AF778E"/>
    <w:rsid w:val="00B00E8C"/>
    <w:rsid w:val="00B016F1"/>
    <w:rsid w:val="00B01B4C"/>
    <w:rsid w:val="00B0246A"/>
    <w:rsid w:val="00B0476F"/>
    <w:rsid w:val="00B05A45"/>
    <w:rsid w:val="00B05A8C"/>
    <w:rsid w:val="00B07E5C"/>
    <w:rsid w:val="00B10636"/>
    <w:rsid w:val="00B111B6"/>
    <w:rsid w:val="00B13ECF"/>
    <w:rsid w:val="00B13F4B"/>
    <w:rsid w:val="00B14B57"/>
    <w:rsid w:val="00B14BCF"/>
    <w:rsid w:val="00B15C5B"/>
    <w:rsid w:val="00B15F2F"/>
    <w:rsid w:val="00B16EA2"/>
    <w:rsid w:val="00B17A37"/>
    <w:rsid w:val="00B17BB2"/>
    <w:rsid w:val="00B2040D"/>
    <w:rsid w:val="00B20B17"/>
    <w:rsid w:val="00B20CC4"/>
    <w:rsid w:val="00B20E5F"/>
    <w:rsid w:val="00B2109A"/>
    <w:rsid w:val="00B21154"/>
    <w:rsid w:val="00B215AE"/>
    <w:rsid w:val="00B21CE8"/>
    <w:rsid w:val="00B220C5"/>
    <w:rsid w:val="00B22576"/>
    <w:rsid w:val="00B229BE"/>
    <w:rsid w:val="00B23058"/>
    <w:rsid w:val="00B2369F"/>
    <w:rsid w:val="00B2496E"/>
    <w:rsid w:val="00B25322"/>
    <w:rsid w:val="00B25555"/>
    <w:rsid w:val="00B25CCC"/>
    <w:rsid w:val="00B2726F"/>
    <w:rsid w:val="00B274C4"/>
    <w:rsid w:val="00B304EB"/>
    <w:rsid w:val="00B306E4"/>
    <w:rsid w:val="00B31D25"/>
    <w:rsid w:val="00B32296"/>
    <w:rsid w:val="00B32949"/>
    <w:rsid w:val="00B32B02"/>
    <w:rsid w:val="00B32EBD"/>
    <w:rsid w:val="00B331AA"/>
    <w:rsid w:val="00B33271"/>
    <w:rsid w:val="00B342CD"/>
    <w:rsid w:val="00B3512A"/>
    <w:rsid w:val="00B3558E"/>
    <w:rsid w:val="00B35C25"/>
    <w:rsid w:val="00B35C32"/>
    <w:rsid w:val="00B35D53"/>
    <w:rsid w:val="00B365F8"/>
    <w:rsid w:val="00B36F87"/>
    <w:rsid w:val="00B37202"/>
    <w:rsid w:val="00B37640"/>
    <w:rsid w:val="00B377D7"/>
    <w:rsid w:val="00B3783B"/>
    <w:rsid w:val="00B40695"/>
    <w:rsid w:val="00B406BD"/>
    <w:rsid w:val="00B41057"/>
    <w:rsid w:val="00B41827"/>
    <w:rsid w:val="00B41AAE"/>
    <w:rsid w:val="00B41CBC"/>
    <w:rsid w:val="00B42A72"/>
    <w:rsid w:val="00B44A02"/>
    <w:rsid w:val="00B44CA5"/>
    <w:rsid w:val="00B451B2"/>
    <w:rsid w:val="00B45995"/>
    <w:rsid w:val="00B45C6D"/>
    <w:rsid w:val="00B45D4D"/>
    <w:rsid w:val="00B46A40"/>
    <w:rsid w:val="00B46C4C"/>
    <w:rsid w:val="00B46FFB"/>
    <w:rsid w:val="00B47402"/>
    <w:rsid w:val="00B47CAA"/>
    <w:rsid w:val="00B5106E"/>
    <w:rsid w:val="00B5116B"/>
    <w:rsid w:val="00B51292"/>
    <w:rsid w:val="00B547BD"/>
    <w:rsid w:val="00B54C69"/>
    <w:rsid w:val="00B5555D"/>
    <w:rsid w:val="00B60676"/>
    <w:rsid w:val="00B60A23"/>
    <w:rsid w:val="00B618F7"/>
    <w:rsid w:val="00B62251"/>
    <w:rsid w:val="00B623ED"/>
    <w:rsid w:val="00B635FA"/>
    <w:rsid w:val="00B63CFF"/>
    <w:rsid w:val="00B64158"/>
    <w:rsid w:val="00B64924"/>
    <w:rsid w:val="00B6603E"/>
    <w:rsid w:val="00B66788"/>
    <w:rsid w:val="00B66C89"/>
    <w:rsid w:val="00B66EC1"/>
    <w:rsid w:val="00B67F28"/>
    <w:rsid w:val="00B7010E"/>
    <w:rsid w:val="00B70B23"/>
    <w:rsid w:val="00B70E5F"/>
    <w:rsid w:val="00B70EDE"/>
    <w:rsid w:val="00B71141"/>
    <w:rsid w:val="00B714B3"/>
    <w:rsid w:val="00B718C3"/>
    <w:rsid w:val="00B71ABF"/>
    <w:rsid w:val="00B71DC5"/>
    <w:rsid w:val="00B7245E"/>
    <w:rsid w:val="00B726BA"/>
    <w:rsid w:val="00B72CD3"/>
    <w:rsid w:val="00B737F4"/>
    <w:rsid w:val="00B747EC"/>
    <w:rsid w:val="00B74D8B"/>
    <w:rsid w:val="00B75C22"/>
    <w:rsid w:val="00B75C76"/>
    <w:rsid w:val="00B76162"/>
    <w:rsid w:val="00B763F0"/>
    <w:rsid w:val="00B76562"/>
    <w:rsid w:val="00B76580"/>
    <w:rsid w:val="00B76A3A"/>
    <w:rsid w:val="00B770F9"/>
    <w:rsid w:val="00B7710B"/>
    <w:rsid w:val="00B7776D"/>
    <w:rsid w:val="00B77B8B"/>
    <w:rsid w:val="00B800B3"/>
    <w:rsid w:val="00B80459"/>
    <w:rsid w:val="00B80B7B"/>
    <w:rsid w:val="00B80BDE"/>
    <w:rsid w:val="00B80CD4"/>
    <w:rsid w:val="00B811F7"/>
    <w:rsid w:val="00B81338"/>
    <w:rsid w:val="00B81A1B"/>
    <w:rsid w:val="00B82B38"/>
    <w:rsid w:val="00B83740"/>
    <w:rsid w:val="00B83B60"/>
    <w:rsid w:val="00B847E4"/>
    <w:rsid w:val="00B8492F"/>
    <w:rsid w:val="00B84D25"/>
    <w:rsid w:val="00B8516D"/>
    <w:rsid w:val="00B854E5"/>
    <w:rsid w:val="00B85521"/>
    <w:rsid w:val="00B8603F"/>
    <w:rsid w:val="00B86086"/>
    <w:rsid w:val="00B8628F"/>
    <w:rsid w:val="00B8657F"/>
    <w:rsid w:val="00B86637"/>
    <w:rsid w:val="00B86662"/>
    <w:rsid w:val="00B86AC0"/>
    <w:rsid w:val="00B86F66"/>
    <w:rsid w:val="00B908C3"/>
    <w:rsid w:val="00B9101A"/>
    <w:rsid w:val="00B91468"/>
    <w:rsid w:val="00B928B5"/>
    <w:rsid w:val="00B94797"/>
    <w:rsid w:val="00B94929"/>
    <w:rsid w:val="00B969CD"/>
    <w:rsid w:val="00B972B3"/>
    <w:rsid w:val="00B97638"/>
    <w:rsid w:val="00B9784D"/>
    <w:rsid w:val="00B97C3B"/>
    <w:rsid w:val="00BA037C"/>
    <w:rsid w:val="00BA03AA"/>
    <w:rsid w:val="00BA0464"/>
    <w:rsid w:val="00BA3943"/>
    <w:rsid w:val="00BA4551"/>
    <w:rsid w:val="00BA46E9"/>
    <w:rsid w:val="00BA5DC6"/>
    <w:rsid w:val="00BA6196"/>
    <w:rsid w:val="00BA6A56"/>
    <w:rsid w:val="00BB01B1"/>
    <w:rsid w:val="00BB055C"/>
    <w:rsid w:val="00BB0B0D"/>
    <w:rsid w:val="00BB11E1"/>
    <w:rsid w:val="00BB1DB6"/>
    <w:rsid w:val="00BB23C2"/>
    <w:rsid w:val="00BB2529"/>
    <w:rsid w:val="00BB3DCF"/>
    <w:rsid w:val="00BB3ECC"/>
    <w:rsid w:val="00BB61E4"/>
    <w:rsid w:val="00BB652D"/>
    <w:rsid w:val="00BB76D6"/>
    <w:rsid w:val="00BC0907"/>
    <w:rsid w:val="00BC1910"/>
    <w:rsid w:val="00BC2294"/>
    <w:rsid w:val="00BC2455"/>
    <w:rsid w:val="00BC2A67"/>
    <w:rsid w:val="00BC2FB6"/>
    <w:rsid w:val="00BC30D0"/>
    <w:rsid w:val="00BC3131"/>
    <w:rsid w:val="00BC41F5"/>
    <w:rsid w:val="00BC4572"/>
    <w:rsid w:val="00BC48B7"/>
    <w:rsid w:val="00BC524D"/>
    <w:rsid w:val="00BC52CD"/>
    <w:rsid w:val="00BC6D8C"/>
    <w:rsid w:val="00BC705B"/>
    <w:rsid w:val="00BC7E99"/>
    <w:rsid w:val="00BD0436"/>
    <w:rsid w:val="00BD1F77"/>
    <w:rsid w:val="00BD3466"/>
    <w:rsid w:val="00BD4CA3"/>
    <w:rsid w:val="00BD5380"/>
    <w:rsid w:val="00BD56CB"/>
    <w:rsid w:val="00BD6E90"/>
    <w:rsid w:val="00BD70F7"/>
    <w:rsid w:val="00BE017D"/>
    <w:rsid w:val="00BE0644"/>
    <w:rsid w:val="00BE292D"/>
    <w:rsid w:val="00BE46D3"/>
    <w:rsid w:val="00BE48A0"/>
    <w:rsid w:val="00BE4F5D"/>
    <w:rsid w:val="00BE4FE3"/>
    <w:rsid w:val="00BE5095"/>
    <w:rsid w:val="00BE512F"/>
    <w:rsid w:val="00BE5EBB"/>
    <w:rsid w:val="00BE648C"/>
    <w:rsid w:val="00BE64BA"/>
    <w:rsid w:val="00BE6678"/>
    <w:rsid w:val="00BE6BC7"/>
    <w:rsid w:val="00BE76ED"/>
    <w:rsid w:val="00BF014C"/>
    <w:rsid w:val="00BF0D0F"/>
    <w:rsid w:val="00BF102E"/>
    <w:rsid w:val="00BF104D"/>
    <w:rsid w:val="00BF1594"/>
    <w:rsid w:val="00BF1849"/>
    <w:rsid w:val="00BF21A5"/>
    <w:rsid w:val="00BF2828"/>
    <w:rsid w:val="00BF2ADD"/>
    <w:rsid w:val="00BF3831"/>
    <w:rsid w:val="00BF4220"/>
    <w:rsid w:val="00BF4710"/>
    <w:rsid w:val="00BF4C0B"/>
    <w:rsid w:val="00BF5703"/>
    <w:rsid w:val="00BF6942"/>
    <w:rsid w:val="00BF7814"/>
    <w:rsid w:val="00C00698"/>
    <w:rsid w:val="00C00E47"/>
    <w:rsid w:val="00C01870"/>
    <w:rsid w:val="00C01F19"/>
    <w:rsid w:val="00C0222E"/>
    <w:rsid w:val="00C022E9"/>
    <w:rsid w:val="00C0235E"/>
    <w:rsid w:val="00C02B21"/>
    <w:rsid w:val="00C03340"/>
    <w:rsid w:val="00C0358A"/>
    <w:rsid w:val="00C039CA"/>
    <w:rsid w:val="00C03ABD"/>
    <w:rsid w:val="00C04016"/>
    <w:rsid w:val="00C06745"/>
    <w:rsid w:val="00C06DA5"/>
    <w:rsid w:val="00C07D18"/>
    <w:rsid w:val="00C10139"/>
    <w:rsid w:val="00C11630"/>
    <w:rsid w:val="00C11C27"/>
    <w:rsid w:val="00C123A0"/>
    <w:rsid w:val="00C12C2C"/>
    <w:rsid w:val="00C12E55"/>
    <w:rsid w:val="00C15CCB"/>
    <w:rsid w:val="00C169D7"/>
    <w:rsid w:val="00C16C96"/>
    <w:rsid w:val="00C17CE6"/>
    <w:rsid w:val="00C20BF9"/>
    <w:rsid w:val="00C215E9"/>
    <w:rsid w:val="00C217B5"/>
    <w:rsid w:val="00C217E8"/>
    <w:rsid w:val="00C21F55"/>
    <w:rsid w:val="00C22524"/>
    <w:rsid w:val="00C2252E"/>
    <w:rsid w:val="00C23F72"/>
    <w:rsid w:val="00C241A9"/>
    <w:rsid w:val="00C24EC3"/>
    <w:rsid w:val="00C25C29"/>
    <w:rsid w:val="00C2645B"/>
    <w:rsid w:val="00C2713C"/>
    <w:rsid w:val="00C303BC"/>
    <w:rsid w:val="00C30AA9"/>
    <w:rsid w:val="00C30BBC"/>
    <w:rsid w:val="00C30CAD"/>
    <w:rsid w:val="00C32958"/>
    <w:rsid w:val="00C32BEF"/>
    <w:rsid w:val="00C333BE"/>
    <w:rsid w:val="00C33730"/>
    <w:rsid w:val="00C338C7"/>
    <w:rsid w:val="00C34006"/>
    <w:rsid w:val="00C34032"/>
    <w:rsid w:val="00C34B28"/>
    <w:rsid w:val="00C3587B"/>
    <w:rsid w:val="00C3661C"/>
    <w:rsid w:val="00C36B4C"/>
    <w:rsid w:val="00C372D8"/>
    <w:rsid w:val="00C372E5"/>
    <w:rsid w:val="00C40967"/>
    <w:rsid w:val="00C40FEE"/>
    <w:rsid w:val="00C4120A"/>
    <w:rsid w:val="00C413EC"/>
    <w:rsid w:val="00C41D37"/>
    <w:rsid w:val="00C426B1"/>
    <w:rsid w:val="00C429CE"/>
    <w:rsid w:val="00C42AA0"/>
    <w:rsid w:val="00C430A8"/>
    <w:rsid w:val="00C437FC"/>
    <w:rsid w:val="00C43D47"/>
    <w:rsid w:val="00C444AC"/>
    <w:rsid w:val="00C44976"/>
    <w:rsid w:val="00C44DDD"/>
    <w:rsid w:val="00C44F3D"/>
    <w:rsid w:val="00C45D6C"/>
    <w:rsid w:val="00C45F19"/>
    <w:rsid w:val="00C46471"/>
    <w:rsid w:val="00C46C47"/>
    <w:rsid w:val="00C4709F"/>
    <w:rsid w:val="00C51316"/>
    <w:rsid w:val="00C514ED"/>
    <w:rsid w:val="00C51C39"/>
    <w:rsid w:val="00C52A2A"/>
    <w:rsid w:val="00C534FF"/>
    <w:rsid w:val="00C540FD"/>
    <w:rsid w:val="00C55F5B"/>
    <w:rsid w:val="00C560DC"/>
    <w:rsid w:val="00C56392"/>
    <w:rsid w:val="00C5727D"/>
    <w:rsid w:val="00C57716"/>
    <w:rsid w:val="00C57DA6"/>
    <w:rsid w:val="00C6009F"/>
    <w:rsid w:val="00C60624"/>
    <w:rsid w:val="00C60C94"/>
    <w:rsid w:val="00C61E17"/>
    <w:rsid w:val="00C63E9A"/>
    <w:rsid w:val="00C64CF0"/>
    <w:rsid w:val="00C6546E"/>
    <w:rsid w:val="00C655FF"/>
    <w:rsid w:val="00C6569F"/>
    <w:rsid w:val="00C66160"/>
    <w:rsid w:val="00C6639F"/>
    <w:rsid w:val="00C66C85"/>
    <w:rsid w:val="00C66EA3"/>
    <w:rsid w:val="00C67ABD"/>
    <w:rsid w:val="00C70C17"/>
    <w:rsid w:val="00C714CF"/>
    <w:rsid w:val="00C71D46"/>
    <w:rsid w:val="00C72022"/>
    <w:rsid w:val="00C72079"/>
    <w:rsid w:val="00C72090"/>
    <w:rsid w:val="00C721AC"/>
    <w:rsid w:val="00C72FCB"/>
    <w:rsid w:val="00C7310F"/>
    <w:rsid w:val="00C7317B"/>
    <w:rsid w:val="00C7398F"/>
    <w:rsid w:val="00C73B98"/>
    <w:rsid w:val="00C73D6D"/>
    <w:rsid w:val="00C74337"/>
    <w:rsid w:val="00C7480A"/>
    <w:rsid w:val="00C748FF"/>
    <w:rsid w:val="00C75FB2"/>
    <w:rsid w:val="00C77356"/>
    <w:rsid w:val="00C8009C"/>
    <w:rsid w:val="00C80B02"/>
    <w:rsid w:val="00C80DB1"/>
    <w:rsid w:val="00C818A5"/>
    <w:rsid w:val="00C81CE6"/>
    <w:rsid w:val="00C82C9A"/>
    <w:rsid w:val="00C836D2"/>
    <w:rsid w:val="00C83F1B"/>
    <w:rsid w:val="00C84A87"/>
    <w:rsid w:val="00C84C87"/>
    <w:rsid w:val="00C84DBA"/>
    <w:rsid w:val="00C85599"/>
    <w:rsid w:val="00C8632A"/>
    <w:rsid w:val="00C863AE"/>
    <w:rsid w:val="00C8678F"/>
    <w:rsid w:val="00C873BB"/>
    <w:rsid w:val="00C90888"/>
    <w:rsid w:val="00C90D6A"/>
    <w:rsid w:val="00C921F6"/>
    <w:rsid w:val="00C924D7"/>
    <w:rsid w:val="00C93065"/>
    <w:rsid w:val="00C943DC"/>
    <w:rsid w:val="00C947D2"/>
    <w:rsid w:val="00C95624"/>
    <w:rsid w:val="00C95806"/>
    <w:rsid w:val="00C95A54"/>
    <w:rsid w:val="00C961C3"/>
    <w:rsid w:val="00C96E01"/>
    <w:rsid w:val="00C96E55"/>
    <w:rsid w:val="00C9737E"/>
    <w:rsid w:val="00C97C8B"/>
    <w:rsid w:val="00CA02B1"/>
    <w:rsid w:val="00CA06BC"/>
    <w:rsid w:val="00CA081C"/>
    <w:rsid w:val="00CA0884"/>
    <w:rsid w:val="00CA0910"/>
    <w:rsid w:val="00CA0A91"/>
    <w:rsid w:val="00CA10F9"/>
    <w:rsid w:val="00CA1249"/>
    <w:rsid w:val="00CA168B"/>
    <w:rsid w:val="00CA1D96"/>
    <w:rsid w:val="00CA247E"/>
    <w:rsid w:val="00CA2D4E"/>
    <w:rsid w:val="00CA3CCD"/>
    <w:rsid w:val="00CA43D6"/>
    <w:rsid w:val="00CA4507"/>
    <w:rsid w:val="00CA48D4"/>
    <w:rsid w:val="00CA6D21"/>
    <w:rsid w:val="00CA6D41"/>
    <w:rsid w:val="00CA6DE1"/>
    <w:rsid w:val="00CA705B"/>
    <w:rsid w:val="00CA73A9"/>
    <w:rsid w:val="00CA742B"/>
    <w:rsid w:val="00CB0079"/>
    <w:rsid w:val="00CB01E1"/>
    <w:rsid w:val="00CB0C76"/>
    <w:rsid w:val="00CB24F6"/>
    <w:rsid w:val="00CB2CC0"/>
    <w:rsid w:val="00CB358F"/>
    <w:rsid w:val="00CB3D82"/>
    <w:rsid w:val="00CB790C"/>
    <w:rsid w:val="00CB7A93"/>
    <w:rsid w:val="00CC0952"/>
    <w:rsid w:val="00CC10A6"/>
    <w:rsid w:val="00CC1F2A"/>
    <w:rsid w:val="00CC203D"/>
    <w:rsid w:val="00CC2827"/>
    <w:rsid w:val="00CC4804"/>
    <w:rsid w:val="00CC4829"/>
    <w:rsid w:val="00CC4B96"/>
    <w:rsid w:val="00CC4B9C"/>
    <w:rsid w:val="00CC5480"/>
    <w:rsid w:val="00CC5E39"/>
    <w:rsid w:val="00CC62B5"/>
    <w:rsid w:val="00CC6AE8"/>
    <w:rsid w:val="00CC70EA"/>
    <w:rsid w:val="00CC72B6"/>
    <w:rsid w:val="00CD0AB0"/>
    <w:rsid w:val="00CD19F6"/>
    <w:rsid w:val="00CD2475"/>
    <w:rsid w:val="00CD36AC"/>
    <w:rsid w:val="00CD3A1C"/>
    <w:rsid w:val="00CD443A"/>
    <w:rsid w:val="00CD4658"/>
    <w:rsid w:val="00CD53C8"/>
    <w:rsid w:val="00CD54CF"/>
    <w:rsid w:val="00CD5FA4"/>
    <w:rsid w:val="00CD6DCA"/>
    <w:rsid w:val="00CD70DC"/>
    <w:rsid w:val="00CD7299"/>
    <w:rsid w:val="00CD79BE"/>
    <w:rsid w:val="00CE05C4"/>
    <w:rsid w:val="00CE1597"/>
    <w:rsid w:val="00CE15F9"/>
    <w:rsid w:val="00CE1821"/>
    <w:rsid w:val="00CE1A95"/>
    <w:rsid w:val="00CE1D84"/>
    <w:rsid w:val="00CE2452"/>
    <w:rsid w:val="00CE2D95"/>
    <w:rsid w:val="00CE3632"/>
    <w:rsid w:val="00CE371D"/>
    <w:rsid w:val="00CE4885"/>
    <w:rsid w:val="00CF0194"/>
    <w:rsid w:val="00CF0916"/>
    <w:rsid w:val="00CF0AD3"/>
    <w:rsid w:val="00CF19FE"/>
    <w:rsid w:val="00CF20D2"/>
    <w:rsid w:val="00CF2FDF"/>
    <w:rsid w:val="00CF38D1"/>
    <w:rsid w:val="00CF666C"/>
    <w:rsid w:val="00CF6864"/>
    <w:rsid w:val="00CF6BD4"/>
    <w:rsid w:val="00CF6DA0"/>
    <w:rsid w:val="00CF74B5"/>
    <w:rsid w:val="00CF7CCA"/>
    <w:rsid w:val="00D01059"/>
    <w:rsid w:val="00D0218D"/>
    <w:rsid w:val="00D02794"/>
    <w:rsid w:val="00D03CDF"/>
    <w:rsid w:val="00D03F43"/>
    <w:rsid w:val="00D04096"/>
    <w:rsid w:val="00D0432C"/>
    <w:rsid w:val="00D04702"/>
    <w:rsid w:val="00D053C9"/>
    <w:rsid w:val="00D061E5"/>
    <w:rsid w:val="00D06727"/>
    <w:rsid w:val="00D06D91"/>
    <w:rsid w:val="00D06E12"/>
    <w:rsid w:val="00D10DC3"/>
    <w:rsid w:val="00D112BB"/>
    <w:rsid w:val="00D1139F"/>
    <w:rsid w:val="00D120C8"/>
    <w:rsid w:val="00D12DD9"/>
    <w:rsid w:val="00D13A4A"/>
    <w:rsid w:val="00D14F99"/>
    <w:rsid w:val="00D17BC3"/>
    <w:rsid w:val="00D17CC3"/>
    <w:rsid w:val="00D20960"/>
    <w:rsid w:val="00D20D63"/>
    <w:rsid w:val="00D21CC2"/>
    <w:rsid w:val="00D21F2A"/>
    <w:rsid w:val="00D2245B"/>
    <w:rsid w:val="00D224D7"/>
    <w:rsid w:val="00D22D0E"/>
    <w:rsid w:val="00D2306C"/>
    <w:rsid w:val="00D2360D"/>
    <w:rsid w:val="00D23776"/>
    <w:rsid w:val="00D24005"/>
    <w:rsid w:val="00D249CC"/>
    <w:rsid w:val="00D24C96"/>
    <w:rsid w:val="00D2579A"/>
    <w:rsid w:val="00D25FB5"/>
    <w:rsid w:val="00D26244"/>
    <w:rsid w:val="00D264AE"/>
    <w:rsid w:val="00D264C4"/>
    <w:rsid w:val="00D2660D"/>
    <w:rsid w:val="00D26A9F"/>
    <w:rsid w:val="00D271EE"/>
    <w:rsid w:val="00D27D85"/>
    <w:rsid w:val="00D27F15"/>
    <w:rsid w:val="00D30069"/>
    <w:rsid w:val="00D30291"/>
    <w:rsid w:val="00D31104"/>
    <w:rsid w:val="00D315FF"/>
    <w:rsid w:val="00D31639"/>
    <w:rsid w:val="00D318EE"/>
    <w:rsid w:val="00D32BED"/>
    <w:rsid w:val="00D32D8A"/>
    <w:rsid w:val="00D33CCC"/>
    <w:rsid w:val="00D33DF1"/>
    <w:rsid w:val="00D34804"/>
    <w:rsid w:val="00D34ABB"/>
    <w:rsid w:val="00D356DE"/>
    <w:rsid w:val="00D3603D"/>
    <w:rsid w:val="00D410C1"/>
    <w:rsid w:val="00D415AC"/>
    <w:rsid w:val="00D416DD"/>
    <w:rsid w:val="00D421F7"/>
    <w:rsid w:val="00D42FB5"/>
    <w:rsid w:val="00D437A7"/>
    <w:rsid w:val="00D43B72"/>
    <w:rsid w:val="00D43DF1"/>
    <w:rsid w:val="00D43EE7"/>
    <w:rsid w:val="00D44223"/>
    <w:rsid w:val="00D44646"/>
    <w:rsid w:val="00D44800"/>
    <w:rsid w:val="00D44F5F"/>
    <w:rsid w:val="00D454DC"/>
    <w:rsid w:val="00D457F5"/>
    <w:rsid w:val="00D45BF1"/>
    <w:rsid w:val="00D463D9"/>
    <w:rsid w:val="00D467FE"/>
    <w:rsid w:val="00D47575"/>
    <w:rsid w:val="00D51C15"/>
    <w:rsid w:val="00D5287D"/>
    <w:rsid w:val="00D528F8"/>
    <w:rsid w:val="00D53233"/>
    <w:rsid w:val="00D53272"/>
    <w:rsid w:val="00D53325"/>
    <w:rsid w:val="00D53979"/>
    <w:rsid w:val="00D5419B"/>
    <w:rsid w:val="00D54504"/>
    <w:rsid w:val="00D546C3"/>
    <w:rsid w:val="00D55807"/>
    <w:rsid w:val="00D55A65"/>
    <w:rsid w:val="00D55B34"/>
    <w:rsid w:val="00D574A8"/>
    <w:rsid w:val="00D578FE"/>
    <w:rsid w:val="00D60447"/>
    <w:rsid w:val="00D60689"/>
    <w:rsid w:val="00D61D68"/>
    <w:rsid w:val="00D6237D"/>
    <w:rsid w:val="00D62A65"/>
    <w:rsid w:val="00D64276"/>
    <w:rsid w:val="00D647B7"/>
    <w:rsid w:val="00D6534A"/>
    <w:rsid w:val="00D6539C"/>
    <w:rsid w:val="00D65703"/>
    <w:rsid w:val="00D65C76"/>
    <w:rsid w:val="00D667D2"/>
    <w:rsid w:val="00D669BC"/>
    <w:rsid w:val="00D677EC"/>
    <w:rsid w:val="00D70519"/>
    <w:rsid w:val="00D70C2B"/>
    <w:rsid w:val="00D70D25"/>
    <w:rsid w:val="00D728C2"/>
    <w:rsid w:val="00D72EEC"/>
    <w:rsid w:val="00D72F3A"/>
    <w:rsid w:val="00D73AB3"/>
    <w:rsid w:val="00D744BF"/>
    <w:rsid w:val="00D749F7"/>
    <w:rsid w:val="00D75BDA"/>
    <w:rsid w:val="00D75C1D"/>
    <w:rsid w:val="00D769A0"/>
    <w:rsid w:val="00D77816"/>
    <w:rsid w:val="00D7781A"/>
    <w:rsid w:val="00D77F29"/>
    <w:rsid w:val="00D8154F"/>
    <w:rsid w:val="00D818C5"/>
    <w:rsid w:val="00D81BEF"/>
    <w:rsid w:val="00D81D73"/>
    <w:rsid w:val="00D81DEE"/>
    <w:rsid w:val="00D8206C"/>
    <w:rsid w:val="00D8236C"/>
    <w:rsid w:val="00D8241B"/>
    <w:rsid w:val="00D8257B"/>
    <w:rsid w:val="00D84BF6"/>
    <w:rsid w:val="00D85268"/>
    <w:rsid w:val="00D85993"/>
    <w:rsid w:val="00D85BE1"/>
    <w:rsid w:val="00D85D08"/>
    <w:rsid w:val="00D85E52"/>
    <w:rsid w:val="00D863F8"/>
    <w:rsid w:val="00D86E43"/>
    <w:rsid w:val="00D875F3"/>
    <w:rsid w:val="00D909FB"/>
    <w:rsid w:val="00D9111A"/>
    <w:rsid w:val="00D916C0"/>
    <w:rsid w:val="00D91936"/>
    <w:rsid w:val="00D91CFA"/>
    <w:rsid w:val="00D91D40"/>
    <w:rsid w:val="00D92022"/>
    <w:rsid w:val="00D92948"/>
    <w:rsid w:val="00D92BD5"/>
    <w:rsid w:val="00D93BAE"/>
    <w:rsid w:val="00D93C0B"/>
    <w:rsid w:val="00D93FCC"/>
    <w:rsid w:val="00D94580"/>
    <w:rsid w:val="00D94DEF"/>
    <w:rsid w:val="00D95737"/>
    <w:rsid w:val="00D96F66"/>
    <w:rsid w:val="00D97654"/>
    <w:rsid w:val="00DA2529"/>
    <w:rsid w:val="00DA252A"/>
    <w:rsid w:val="00DA2660"/>
    <w:rsid w:val="00DA2668"/>
    <w:rsid w:val="00DA3CC9"/>
    <w:rsid w:val="00DA426D"/>
    <w:rsid w:val="00DA4271"/>
    <w:rsid w:val="00DA5E8C"/>
    <w:rsid w:val="00DA66EF"/>
    <w:rsid w:val="00DA6717"/>
    <w:rsid w:val="00DA7550"/>
    <w:rsid w:val="00DB0100"/>
    <w:rsid w:val="00DB07DD"/>
    <w:rsid w:val="00DB0F76"/>
    <w:rsid w:val="00DB130A"/>
    <w:rsid w:val="00DB14CA"/>
    <w:rsid w:val="00DB25BA"/>
    <w:rsid w:val="00DB26DB"/>
    <w:rsid w:val="00DB27B6"/>
    <w:rsid w:val="00DB2917"/>
    <w:rsid w:val="00DB2EBB"/>
    <w:rsid w:val="00DB3A4F"/>
    <w:rsid w:val="00DB3B87"/>
    <w:rsid w:val="00DB522E"/>
    <w:rsid w:val="00DB5650"/>
    <w:rsid w:val="00DB6041"/>
    <w:rsid w:val="00DC0528"/>
    <w:rsid w:val="00DC070C"/>
    <w:rsid w:val="00DC0C4E"/>
    <w:rsid w:val="00DC10A1"/>
    <w:rsid w:val="00DC10E5"/>
    <w:rsid w:val="00DC1945"/>
    <w:rsid w:val="00DC1D41"/>
    <w:rsid w:val="00DC1D4C"/>
    <w:rsid w:val="00DC2014"/>
    <w:rsid w:val="00DC2317"/>
    <w:rsid w:val="00DC3591"/>
    <w:rsid w:val="00DC49D2"/>
    <w:rsid w:val="00DC5EDB"/>
    <w:rsid w:val="00DC655F"/>
    <w:rsid w:val="00DC68E8"/>
    <w:rsid w:val="00DC7117"/>
    <w:rsid w:val="00DC79B8"/>
    <w:rsid w:val="00DD09A9"/>
    <w:rsid w:val="00DD0B59"/>
    <w:rsid w:val="00DD0DB3"/>
    <w:rsid w:val="00DD1657"/>
    <w:rsid w:val="00DD1835"/>
    <w:rsid w:val="00DD209F"/>
    <w:rsid w:val="00DD2234"/>
    <w:rsid w:val="00DD2C4E"/>
    <w:rsid w:val="00DD3BD3"/>
    <w:rsid w:val="00DD430F"/>
    <w:rsid w:val="00DD4469"/>
    <w:rsid w:val="00DD521F"/>
    <w:rsid w:val="00DD62E1"/>
    <w:rsid w:val="00DD6A2D"/>
    <w:rsid w:val="00DD7EBD"/>
    <w:rsid w:val="00DE10CE"/>
    <w:rsid w:val="00DE1AAB"/>
    <w:rsid w:val="00DE204B"/>
    <w:rsid w:val="00DE2CA4"/>
    <w:rsid w:val="00DE318E"/>
    <w:rsid w:val="00DE3726"/>
    <w:rsid w:val="00DE49F2"/>
    <w:rsid w:val="00DE541C"/>
    <w:rsid w:val="00DE57D7"/>
    <w:rsid w:val="00DE5DC4"/>
    <w:rsid w:val="00DE6219"/>
    <w:rsid w:val="00DE62F4"/>
    <w:rsid w:val="00DE633D"/>
    <w:rsid w:val="00DE6E80"/>
    <w:rsid w:val="00DE7013"/>
    <w:rsid w:val="00DE7248"/>
    <w:rsid w:val="00DE72FE"/>
    <w:rsid w:val="00DE7680"/>
    <w:rsid w:val="00DE7C1F"/>
    <w:rsid w:val="00DF0154"/>
    <w:rsid w:val="00DF01BC"/>
    <w:rsid w:val="00DF098F"/>
    <w:rsid w:val="00DF0B0C"/>
    <w:rsid w:val="00DF1986"/>
    <w:rsid w:val="00DF1BB5"/>
    <w:rsid w:val="00DF1E72"/>
    <w:rsid w:val="00DF3027"/>
    <w:rsid w:val="00DF305C"/>
    <w:rsid w:val="00DF3F34"/>
    <w:rsid w:val="00DF4728"/>
    <w:rsid w:val="00DF4BB3"/>
    <w:rsid w:val="00DF4E18"/>
    <w:rsid w:val="00DF530E"/>
    <w:rsid w:val="00DF5AEE"/>
    <w:rsid w:val="00DF62B6"/>
    <w:rsid w:val="00DF6DBC"/>
    <w:rsid w:val="00DF7A07"/>
    <w:rsid w:val="00E00F46"/>
    <w:rsid w:val="00E00FD4"/>
    <w:rsid w:val="00E018A4"/>
    <w:rsid w:val="00E0200B"/>
    <w:rsid w:val="00E042CB"/>
    <w:rsid w:val="00E045E3"/>
    <w:rsid w:val="00E0469E"/>
    <w:rsid w:val="00E053BD"/>
    <w:rsid w:val="00E05768"/>
    <w:rsid w:val="00E064CC"/>
    <w:rsid w:val="00E06834"/>
    <w:rsid w:val="00E07225"/>
    <w:rsid w:val="00E079AF"/>
    <w:rsid w:val="00E113FF"/>
    <w:rsid w:val="00E11DEE"/>
    <w:rsid w:val="00E1284E"/>
    <w:rsid w:val="00E13620"/>
    <w:rsid w:val="00E15091"/>
    <w:rsid w:val="00E15EF5"/>
    <w:rsid w:val="00E16448"/>
    <w:rsid w:val="00E16557"/>
    <w:rsid w:val="00E16D54"/>
    <w:rsid w:val="00E179BF"/>
    <w:rsid w:val="00E20214"/>
    <w:rsid w:val="00E20C44"/>
    <w:rsid w:val="00E21170"/>
    <w:rsid w:val="00E213AA"/>
    <w:rsid w:val="00E21628"/>
    <w:rsid w:val="00E219D4"/>
    <w:rsid w:val="00E21FE3"/>
    <w:rsid w:val="00E23239"/>
    <w:rsid w:val="00E23AA9"/>
    <w:rsid w:val="00E246EF"/>
    <w:rsid w:val="00E25394"/>
    <w:rsid w:val="00E25741"/>
    <w:rsid w:val="00E25E92"/>
    <w:rsid w:val="00E260DC"/>
    <w:rsid w:val="00E26217"/>
    <w:rsid w:val="00E262F2"/>
    <w:rsid w:val="00E2655F"/>
    <w:rsid w:val="00E273BC"/>
    <w:rsid w:val="00E27DEB"/>
    <w:rsid w:val="00E3043E"/>
    <w:rsid w:val="00E3102A"/>
    <w:rsid w:val="00E31303"/>
    <w:rsid w:val="00E3161B"/>
    <w:rsid w:val="00E32102"/>
    <w:rsid w:val="00E325E2"/>
    <w:rsid w:val="00E32904"/>
    <w:rsid w:val="00E33E92"/>
    <w:rsid w:val="00E33EF1"/>
    <w:rsid w:val="00E3416F"/>
    <w:rsid w:val="00E342A4"/>
    <w:rsid w:val="00E34A34"/>
    <w:rsid w:val="00E34F55"/>
    <w:rsid w:val="00E35272"/>
    <w:rsid w:val="00E353A7"/>
    <w:rsid w:val="00E357A8"/>
    <w:rsid w:val="00E36CAB"/>
    <w:rsid w:val="00E37E8A"/>
    <w:rsid w:val="00E441A9"/>
    <w:rsid w:val="00E442CC"/>
    <w:rsid w:val="00E46BE1"/>
    <w:rsid w:val="00E470B9"/>
    <w:rsid w:val="00E4758F"/>
    <w:rsid w:val="00E4781E"/>
    <w:rsid w:val="00E47961"/>
    <w:rsid w:val="00E47AB1"/>
    <w:rsid w:val="00E505FA"/>
    <w:rsid w:val="00E50706"/>
    <w:rsid w:val="00E513CC"/>
    <w:rsid w:val="00E516CE"/>
    <w:rsid w:val="00E51DDE"/>
    <w:rsid w:val="00E52A1C"/>
    <w:rsid w:val="00E52ECD"/>
    <w:rsid w:val="00E52F8F"/>
    <w:rsid w:val="00E53316"/>
    <w:rsid w:val="00E537C9"/>
    <w:rsid w:val="00E538A7"/>
    <w:rsid w:val="00E53BD8"/>
    <w:rsid w:val="00E53EB3"/>
    <w:rsid w:val="00E5409F"/>
    <w:rsid w:val="00E5499E"/>
    <w:rsid w:val="00E555CE"/>
    <w:rsid w:val="00E56FDE"/>
    <w:rsid w:val="00E570EB"/>
    <w:rsid w:val="00E57664"/>
    <w:rsid w:val="00E57A79"/>
    <w:rsid w:val="00E601C9"/>
    <w:rsid w:val="00E601E0"/>
    <w:rsid w:val="00E60CA2"/>
    <w:rsid w:val="00E61656"/>
    <w:rsid w:val="00E61840"/>
    <w:rsid w:val="00E61B9A"/>
    <w:rsid w:val="00E62E65"/>
    <w:rsid w:val="00E635C4"/>
    <w:rsid w:val="00E6687C"/>
    <w:rsid w:val="00E66F68"/>
    <w:rsid w:val="00E670C0"/>
    <w:rsid w:val="00E6780F"/>
    <w:rsid w:val="00E70B34"/>
    <w:rsid w:val="00E71156"/>
    <w:rsid w:val="00E71FC0"/>
    <w:rsid w:val="00E73E3B"/>
    <w:rsid w:val="00E743C7"/>
    <w:rsid w:val="00E74D28"/>
    <w:rsid w:val="00E74DA7"/>
    <w:rsid w:val="00E75A03"/>
    <w:rsid w:val="00E776DF"/>
    <w:rsid w:val="00E77BB2"/>
    <w:rsid w:val="00E77FDC"/>
    <w:rsid w:val="00E805F3"/>
    <w:rsid w:val="00E80C5F"/>
    <w:rsid w:val="00E81211"/>
    <w:rsid w:val="00E82567"/>
    <w:rsid w:val="00E82BB0"/>
    <w:rsid w:val="00E82D39"/>
    <w:rsid w:val="00E834CB"/>
    <w:rsid w:val="00E835BB"/>
    <w:rsid w:val="00E844E9"/>
    <w:rsid w:val="00E84909"/>
    <w:rsid w:val="00E84911"/>
    <w:rsid w:val="00E84FBC"/>
    <w:rsid w:val="00E8587A"/>
    <w:rsid w:val="00E85A38"/>
    <w:rsid w:val="00E863DC"/>
    <w:rsid w:val="00E86C14"/>
    <w:rsid w:val="00E86EAF"/>
    <w:rsid w:val="00E87607"/>
    <w:rsid w:val="00E8779A"/>
    <w:rsid w:val="00E877C1"/>
    <w:rsid w:val="00E87938"/>
    <w:rsid w:val="00E87E73"/>
    <w:rsid w:val="00E90BB2"/>
    <w:rsid w:val="00E90D09"/>
    <w:rsid w:val="00E91017"/>
    <w:rsid w:val="00E91B6E"/>
    <w:rsid w:val="00E91DFA"/>
    <w:rsid w:val="00E9223F"/>
    <w:rsid w:val="00E92288"/>
    <w:rsid w:val="00E93618"/>
    <w:rsid w:val="00E93A49"/>
    <w:rsid w:val="00E94308"/>
    <w:rsid w:val="00E95CF4"/>
    <w:rsid w:val="00E9683E"/>
    <w:rsid w:val="00E96C84"/>
    <w:rsid w:val="00E96E9A"/>
    <w:rsid w:val="00E97706"/>
    <w:rsid w:val="00EA01B4"/>
    <w:rsid w:val="00EA1126"/>
    <w:rsid w:val="00EA16C5"/>
    <w:rsid w:val="00EA1743"/>
    <w:rsid w:val="00EA1DE8"/>
    <w:rsid w:val="00EA43AE"/>
    <w:rsid w:val="00EA4FF0"/>
    <w:rsid w:val="00EA5330"/>
    <w:rsid w:val="00EA5373"/>
    <w:rsid w:val="00EA5560"/>
    <w:rsid w:val="00EA5AF6"/>
    <w:rsid w:val="00EA6B6F"/>
    <w:rsid w:val="00EA6F4B"/>
    <w:rsid w:val="00EA7FB2"/>
    <w:rsid w:val="00EB0C35"/>
    <w:rsid w:val="00EB10C6"/>
    <w:rsid w:val="00EB14C6"/>
    <w:rsid w:val="00EB1986"/>
    <w:rsid w:val="00EB1E0B"/>
    <w:rsid w:val="00EB24DF"/>
    <w:rsid w:val="00EB26C0"/>
    <w:rsid w:val="00EB2888"/>
    <w:rsid w:val="00EB2BC0"/>
    <w:rsid w:val="00EB2FFE"/>
    <w:rsid w:val="00EB3159"/>
    <w:rsid w:val="00EB3602"/>
    <w:rsid w:val="00EB36F3"/>
    <w:rsid w:val="00EB4443"/>
    <w:rsid w:val="00EB4A9B"/>
    <w:rsid w:val="00EB5F45"/>
    <w:rsid w:val="00EB6CF2"/>
    <w:rsid w:val="00EB783C"/>
    <w:rsid w:val="00EC1941"/>
    <w:rsid w:val="00EC3545"/>
    <w:rsid w:val="00EC365B"/>
    <w:rsid w:val="00EC3F44"/>
    <w:rsid w:val="00EC47CD"/>
    <w:rsid w:val="00EC518D"/>
    <w:rsid w:val="00EC76D2"/>
    <w:rsid w:val="00EC78AA"/>
    <w:rsid w:val="00ED02C1"/>
    <w:rsid w:val="00ED10D2"/>
    <w:rsid w:val="00ED12B8"/>
    <w:rsid w:val="00ED17D1"/>
    <w:rsid w:val="00ED1DCC"/>
    <w:rsid w:val="00ED276B"/>
    <w:rsid w:val="00ED4B8F"/>
    <w:rsid w:val="00ED4CC1"/>
    <w:rsid w:val="00ED5350"/>
    <w:rsid w:val="00ED5AC3"/>
    <w:rsid w:val="00ED5DAF"/>
    <w:rsid w:val="00ED5FDA"/>
    <w:rsid w:val="00ED6013"/>
    <w:rsid w:val="00ED6288"/>
    <w:rsid w:val="00ED6F6A"/>
    <w:rsid w:val="00ED6FDF"/>
    <w:rsid w:val="00EE0EFC"/>
    <w:rsid w:val="00EE142E"/>
    <w:rsid w:val="00EE21D8"/>
    <w:rsid w:val="00EE3918"/>
    <w:rsid w:val="00EE3DDA"/>
    <w:rsid w:val="00EE47C8"/>
    <w:rsid w:val="00EE4B9B"/>
    <w:rsid w:val="00EE5645"/>
    <w:rsid w:val="00EE5AD0"/>
    <w:rsid w:val="00EE5B81"/>
    <w:rsid w:val="00EE6488"/>
    <w:rsid w:val="00EE6805"/>
    <w:rsid w:val="00EE6AA6"/>
    <w:rsid w:val="00EF1393"/>
    <w:rsid w:val="00EF1572"/>
    <w:rsid w:val="00EF22D6"/>
    <w:rsid w:val="00EF2AA4"/>
    <w:rsid w:val="00EF2F5A"/>
    <w:rsid w:val="00EF3B9F"/>
    <w:rsid w:val="00EF3EC6"/>
    <w:rsid w:val="00EF403B"/>
    <w:rsid w:val="00EF417E"/>
    <w:rsid w:val="00EF418C"/>
    <w:rsid w:val="00EF42E3"/>
    <w:rsid w:val="00EF4413"/>
    <w:rsid w:val="00EF4FE5"/>
    <w:rsid w:val="00EF50F3"/>
    <w:rsid w:val="00EF5BC6"/>
    <w:rsid w:val="00EF5CB8"/>
    <w:rsid w:val="00EF67FD"/>
    <w:rsid w:val="00EF69E9"/>
    <w:rsid w:val="00EF6AED"/>
    <w:rsid w:val="00EF6E2A"/>
    <w:rsid w:val="00EF72C0"/>
    <w:rsid w:val="00EF78B0"/>
    <w:rsid w:val="00F00047"/>
    <w:rsid w:val="00F00FD6"/>
    <w:rsid w:val="00F01C87"/>
    <w:rsid w:val="00F01DCF"/>
    <w:rsid w:val="00F01E4C"/>
    <w:rsid w:val="00F021FA"/>
    <w:rsid w:val="00F02C38"/>
    <w:rsid w:val="00F02F2C"/>
    <w:rsid w:val="00F0410B"/>
    <w:rsid w:val="00F06389"/>
    <w:rsid w:val="00F06C65"/>
    <w:rsid w:val="00F07131"/>
    <w:rsid w:val="00F07F0A"/>
    <w:rsid w:val="00F10B32"/>
    <w:rsid w:val="00F11511"/>
    <w:rsid w:val="00F11942"/>
    <w:rsid w:val="00F12107"/>
    <w:rsid w:val="00F12616"/>
    <w:rsid w:val="00F12655"/>
    <w:rsid w:val="00F13AAD"/>
    <w:rsid w:val="00F13B58"/>
    <w:rsid w:val="00F13CDF"/>
    <w:rsid w:val="00F14480"/>
    <w:rsid w:val="00F146F1"/>
    <w:rsid w:val="00F14819"/>
    <w:rsid w:val="00F1648A"/>
    <w:rsid w:val="00F166F5"/>
    <w:rsid w:val="00F1698F"/>
    <w:rsid w:val="00F16B5F"/>
    <w:rsid w:val="00F170A7"/>
    <w:rsid w:val="00F177FF"/>
    <w:rsid w:val="00F17E7A"/>
    <w:rsid w:val="00F203F0"/>
    <w:rsid w:val="00F209C6"/>
    <w:rsid w:val="00F20D73"/>
    <w:rsid w:val="00F20DBB"/>
    <w:rsid w:val="00F213C2"/>
    <w:rsid w:val="00F21B6E"/>
    <w:rsid w:val="00F238A8"/>
    <w:rsid w:val="00F23A7E"/>
    <w:rsid w:val="00F25BEB"/>
    <w:rsid w:val="00F265C6"/>
    <w:rsid w:val="00F26D3F"/>
    <w:rsid w:val="00F26E1F"/>
    <w:rsid w:val="00F32063"/>
    <w:rsid w:val="00F32295"/>
    <w:rsid w:val="00F327C6"/>
    <w:rsid w:val="00F3314F"/>
    <w:rsid w:val="00F33494"/>
    <w:rsid w:val="00F335EB"/>
    <w:rsid w:val="00F33B96"/>
    <w:rsid w:val="00F34A2C"/>
    <w:rsid w:val="00F357E8"/>
    <w:rsid w:val="00F35926"/>
    <w:rsid w:val="00F36EC7"/>
    <w:rsid w:val="00F40932"/>
    <w:rsid w:val="00F40BC1"/>
    <w:rsid w:val="00F4103D"/>
    <w:rsid w:val="00F43473"/>
    <w:rsid w:val="00F43693"/>
    <w:rsid w:val="00F444AB"/>
    <w:rsid w:val="00F446E8"/>
    <w:rsid w:val="00F44AC4"/>
    <w:rsid w:val="00F45596"/>
    <w:rsid w:val="00F466D3"/>
    <w:rsid w:val="00F47892"/>
    <w:rsid w:val="00F50759"/>
    <w:rsid w:val="00F50816"/>
    <w:rsid w:val="00F50B4F"/>
    <w:rsid w:val="00F51A49"/>
    <w:rsid w:val="00F51CB9"/>
    <w:rsid w:val="00F51D46"/>
    <w:rsid w:val="00F52758"/>
    <w:rsid w:val="00F5278B"/>
    <w:rsid w:val="00F52B07"/>
    <w:rsid w:val="00F5312D"/>
    <w:rsid w:val="00F531F6"/>
    <w:rsid w:val="00F54D5A"/>
    <w:rsid w:val="00F5643E"/>
    <w:rsid w:val="00F57004"/>
    <w:rsid w:val="00F5725E"/>
    <w:rsid w:val="00F57305"/>
    <w:rsid w:val="00F5765E"/>
    <w:rsid w:val="00F6183D"/>
    <w:rsid w:val="00F61AB4"/>
    <w:rsid w:val="00F61CB3"/>
    <w:rsid w:val="00F6234C"/>
    <w:rsid w:val="00F62361"/>
    <w:rsid w:val="00F62CC7"/>
    <w:rsid w:val="00F62E97"/>
    <w:rsid w:val="00F62EE7"/>
    <w:rsid w:val="00F63447"/>
    <w:rsid w:val="00F63559"/>
    <w:rsid w:val="00F63BF0"/>
    <w:rsid w:val="00F64209"/>
    <w:rsid w:val="00F646B7"/>
    <w:rsid w:val="00F6472D"/>
    <w:rsid w:val="00F65109"/>
    <w:rsid w:val="00F656D6"/>
    <w:rsid w:val="00F65FA0"/>
    <w:rsid w:val="00F6675B"/>
    <w:rsid w:val="00F66CBB"/>
    <w:rsid w:val="00F66D7C"/>
    <w:rsid w:val="00F670F9"/>
    <w:rsid w:val="00F708CA"/>
    <w:rsid w:val="00F70D5D"/>
    <w:rsid w:val="00F70F22"/>
    <w:rsid w:val="00F714B6"/>
    <w:rsid w:val="00F7207E"/>
    <w:rsid w:val="00F720CA"/>
    <w:rsid w:val="00F7281F"/>
    <w:rsid w:val="00F72C06"/>
    <w:rsid w:val="00F735D7"/>
    <w:rsid w:val="00F74529"/>
    <w:rsid w:val="00F745C0"/>
    <w:rsid w:val="00F7551A"/>
    <w:rsid w:val="00F772C5"/>
    <w:rsid w:val="00F80464"/>
    <w:rsid w:val="00F808FB"/>
    <w:rsid w:val="00F812D6"/>
    <w:rsid w:val="00F833BE"/>
    <w:rsid w:val="00F83AA9"/>
    <w:rsid w:val="00F846A8"/>
    <w:rsid w:val="00F85DDA"/>
    <w:rsid w:val="00F86501"/>
    <w:rsid w:val="00F86570"/>
    <w:rsid w:val="00F86FB9"/>
    <w:rsid w:val="00F877D7"/>
    <w:rsid w:val="00F87E04"/>
    <w:rsid w:val="00F87F7E"/>
    <w:rsid w:val="00F904A3"/>
    <w:rsid w:val="00F9051C"/>
    <w:rsid w:val="00F908D9"/>
    <w:rsid w:val="00F90994"/>
    <w:rsid w:val="00F90EE9"/>
    <w:rsid w:val="00F90F81"/>
    <w:rsid w:val="00F910AD"/>
    <w:rsid w:val="00F91CE9"/>
    <w:rsid w:val="00F92621"/>
    <w:rsid w:val="00F93068"/>
    <w:rsid w:val="00F935D3"/>
    <w:rsid w:val="00F93BF5"/>
    <w:rsid w:val="00F94B68"/>
    <w:rsid w:val="00F958BF"/>
    <w:rsid w:val="00F95BDA"/>
    <w:rsid w:val="00F9646D"/>
    <w:rsid w:val="00F96D68"/>
    <w:rsid w:val="00F96E7C"/>
    <w:rsid w:val="00F9717F"/>
    <w:rsid w:val="00F973CB"/>
    <w:rsid w:val="00F9757F"/>
    <w:rsid w:val="00F977FE"/>
    <w:rsid w:val="00FA019F"/>
    <w:rsid w:val="00FA04D4"/>
    <w:rsid w:val="00FA07F1"/>
    <w:rsid w:val="00FA328B"/>
    <w:rsid w:val="00FA74F3"/>
    <w:rsid w:val="00FB093E"/>
    <w:rsid w:val="00FB0A7D"/>
    <w:rsid w:val="00FB0CEB"/>
    <w:rsid w:val="00FB0EB7"/>
    <w:rsid w:val="00FB12AD"/>
    <w:rsid w:val="00FB12D8"/>
    <w:rsid w:val="00FB15AD"/>
    <w:rsid w:val="00FB1628"/>
    <w:rsid w:val="00FB4C90"/>
    <w:rsid w:val="00FB5F7E"/>
    <w:rsid w:val="00FB61D0"/>
    <w:rsid w:val="00FB6492"/>
    <w:rsid w:val="00FB64AF"/>
    <w:rsid w:val="00FB7F6B"/>
    <w:rsid w:val="00FC05A7"/>
    <w:rsid w:val="00FC13C5"/>
    <w:rsid w:val="00FC1AAB"/>
    <w:rsid w:val="00FC215F"/>
    <w:rsid w:val="00FC2836"/>
    <w:rsid w:val="00FC289C"/>
    <w:rsid w:val="00FC293B"/>
    <w:rsid w:val="00FC30EC"/>
    <w:rsid w:val="00FC35D0"/>
    <w:rsid w:val="00FC3F6E"/>
    <w:rsid w:val="00FC412C"/>
    <w:rsid w:val="00FC4285"/>
    <w:rsid w:val="00FC44A5"/>
    <w:rsid w:val="00FC73FE"/>
    <w:rsid w:val="00FD04BB"/>
    <w:rsid w:val="00FD0CF4"/>
    <w:rsid w:val="00FD1570"/>
    <w:rsid w:val="00FD217C"/>
    <w:rsid w:val="00FD2439"/>
    <w:rsid w:val="00FD2952"/>
    <w:rsid w:val="00FD350A"/>
    <w:rsid w:val="00FD399A"/>
    <w:rsid w:val="00FD41AD"/>
    <w:rsid w:val="00FD4212"/>
    <w:rsid w:val="00FD4862"/>
    <w:rsid w:val="00FD4AD6"/>
    <w:rsid w:val="00FD5639"/>
    <w:rsid w:val="00FD5976"/>
    <w:rsid w:val="00FD70FA"/>
    <w:rsid w:val="00FE0361"/>
    <w:rsid w:val="00FE03A6"/>
    <w:rsid w:val="00FE12F8"/>
    <w:rsid w:val="00FE20DD"/>
    <w:rsid w:val="00FE2D75"/>
    <w:rsid w:val="00FE3A29"/>
    <w:rsid w:val="00FE3A2C"/>
    <w:rsid w:val="00FE4AD4"/>
    <w:rsid w:val="00FE4BD6"/>
    <w:rsid w:val="00FE55F9"/>
    <w:rsid w:val="00FE76AE"/>
    <w:rsid w:val="00FE7B08"/>
    <w:rsid w:val="00FE7C17"/>
    <w:rsid w:val="00FF05B4"/>
    <w:rsid w:val="00FF0B2D"/>
    <w:rsid w:val="00FF14AC"/>
    <w:rsid w:val="00FF16AA"/>
    <w:rsid w:val="00FF1BEE"/>
    <w:rsid w:val="00FF1CB2"/>
    <w:rsid w:val="00FF3457"/>
    <w:rsid w:val="00FF3A25"/>
    <w:rsid w:val="00FF3BD2"/>
    <w:rsid w:val="00FF43D1"/>
    <w:rsid w:val="00FF49E0"/>
    <w:rsid w:val="00FF4A13"/>
    <w:rsid w:val="00FF4A9B"/>
    <w:rsid w:val="00FF5B18"/>
    <w:rsid w:val="00FF6C39"/>
    <w:rsid w:val="00FF6F69"/>
    <w:rsid w:val="01DE6516"/>
    <w:rsid w:val="029814B4"/>
    <w:rsid w:val="03F4324B"/>
    <w:rsid w:val="056C746A"/>
    <w:rsid w:val="06F01AE6"/>
    <w:rsid w:val="07562BD3"/>
    <w:rsid w:val="07B71943"/>
    <w:rsid w:val="090870A9"/>
    <w:rsid w:val="09D917A0"/>
    <w:rsid w:val="0B2083F9"/>
    <w:rsid w:val="0B222931"/>
    <w:rsid w:val="0DA63CF5"/>
    <w:rsid w:val="113430A8"/>
    <w:rsid w:val="12ACB434"/>
    <w:rsid w:val="14824AAC"/>
    <w:rsid w:val="15C0168C"/>
    <w:rsid w:val="16720C59"/>
    <w:rsid w:val="179363F8"/>
    <w:rsid w:val="19A0A11F"/>
    <w:rsid w:val="1C3E4066"/>
    <w:rsid w:val="1ED61B99"/>
    <w:rsid w:val="2085666B"/>
    <w:rsid w:val="208D96A1"/>
    <w:rsid w:val="211BC1E7"/>
    <w:rsid w:val="21D0B8C2"/>
    <w:rsid w:val="23187ED5"/>
    <w:rsid w:val="23457F4B"/>
    <w:rsid w:val="24DDC9F6"/>
    <w:rsid w:val="266A70C0"/>
    <w:rsid w:val="29AFE607"/>
    <w:rsid w:val="2ABCB775"/>
    <w:rsid w:val="2B18A6C7"/>
    <w:rsid w:val="2B4154B5"/>
    <w:rsid w:val="2C8B35B8"/>
    <w:rsid w:val="2CE69BCC"/>
    <w:rsid w:val="2F8059E5"/>
    <w:rsid w:val="2FBB4CFB"/>
    <w:rsid w:val="31318797"/>
    <w:rsid w:val="33C6CF82"/>
    <w:rsid w:val="33D27EDE"/>
    <w:rsid w:val="36B6D70F"/>
    <w:rsid w:val="37702D03"/>
    <w:rsid w:val="3B70471C"/>
    <w:rsid w:val="3D26E95E"/>
    <w:rsid w:val="3D3F3F05"/>
    <w:rsid w:val="3FCF8361"/>
    <w:rsid w:val="4080F7D3"/>
    <w:rsid w:val="45049EAF"/>
    <w:rsid w:val="45572888"/>
    <w:rsid w:val="45DB7DED"/>
    <w:rsid w:val="45F5F9BF"/>
    <w:rsid w:val="46130C9A"/>
    <w:rsid w:val="46E5BC2D"/>
    <w:rsid w:val="47438C4D"/>
    <w:rsid w:val="48572D09"/>
    <w:rsid w:val="4927DF3A"/>
    <w:rsid w:val="49FE0332"/>
    <w:rsid w:val="4D736522"/>
    <w:rsid w:val="5229E186"/>
    <w:rsid w:val="5297FE82"/>
    <w:rsid w:val="53662F68"/>
    <w:rsid w:val="538B5E2A"/>
    <w:rsid w:val="53E754EB"/>
    <w:rsid w:val="544C4E10"/>
    <w:rsid w:val="54E92255"/>
    <w:rsid w:val="5502B63C"/>
    <w:rsid w:val="561C0E44"/>
    <w:rsid w:val="5A2FAB28"/>
    <w:rsid w:val="5ACF5A0C"/>
    <w:rsid w:val="5B272844"/>
    <w:rsid w:val="5E107CD3"/>
    <w:rsid w:val="6026AFE1"/>
    <w:rsid w:val="62CCEC78"/>
    <w:rsid w:val="62D12FAF"/>
    <w:rsid w:val="6369A6A9"/>
    <w:rsid w:val="63BA3D9F"/>
    <w:rsid w:val="63BAD8C6"/>
    <w:rsid w:val="65625325"/>
    <w:rsid w:val="65E3516E"/>
    <w:rsid w:val="6BD599F4"/>
    <w:rsid w:val="6C101C06"/>
    <w:rsid w:val="6D6B35AC"/>
    <w:rsid w:val="6FB4C3A5"/>
    <w:rsid w:val="70204868"/>
    <w:rsid w:val="70A65A83"/>
    <w:rsid w:val="7176F734"/>
    <w:rsid w:val="71EC872B"/>
    <w:rsid w:val="73119F96"/>
    <w:rsid w:val="75253CA2"/>
    <w:rsid w:val="77F1946C"/>
    <w:rsid w:val="78C6C166"/>
    <w:rsid w:val="79FC33C6"/>
    <w:rsid w:val="7BEC74A8"/>
    <w:rsid w:val="7EFA72D1"/>
    <w:rsid w:val="7F63E644"/>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1D2F7D4E"/>
  <w15:chartTrackingRefBased/>
  <w15:docId w15:val="{6A71E3B9-7D41-4D8E-9BDA-AA5F3361F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46C4C"/>
    <w:pPr>
      <w:widowControl w:val="0"/>
    </w:pPr>
    <w:rPr>
      <w:snapToGrid w:val="0"/>
      <w:kern w:val="28"/>
      <w:sz w:val="22"/>
    </w:rPr>
  </w:style>
  <w:style w:type="paragraph" w:styleId="Heading1">
    <w:name w:val="heading 1"/>
    <w:basedOn w:val="Normal"/>
    <w:next w:val="ParaNum"/>
    <w:qFormat/>
    <w:rsid w:val="00B46C4C"/>
    <w:pPr>
      <w:keepNext/>
      <w:numPr>
        <w:numId w:val="28"/>
      </w:numPr>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B46C4C"/>
    <w:pPr>
      <w:keepNext/>
      <w:numPr>
        <w:ilvl w:val="1"/>
        <w:numId w:val="28"/>
      </w:numPr>
      <w:spacing w:after="120"/>
      <w:outlineLvl w:val="1"/>
    </w:pPr>
    <w:rPr>
      <w:b/>
    </w:rPr>
  </w:style>
  <w:style w:type="paragraph" w:styleId="Heading3">
    <w:name w:val="heading 3"/>
    <w:basedOn w:val="Normal"/>
    <w:next w:val="ParaNum"/>
    <w:qFormat/>
    <w:rsid w:val="00B46C4C"/>
    <w:pPr>
      <w:keepNext/>
      <w:numPr>
        <w:ilvl w:val="2"/>
        <w:numId w:val="28"/>
      </w:numPr>
      <w:tabs>
        <w:tab w:val="left" w:pos="2160"/>
      </w:tabs>
      <w:spacing w:after="120"/>
      <w:outlineLvl w:val="2"/>
    </w:pPr>
    <w:rPr>
      <w:b/>
    </w:rPr>
  </w:style>
  <w:style w:type="paragraph" w:styleId="Heading4">
    <w:name w:val="heading 4"/>
    <w:basedOn w:val="Normal"/>
    <w:next w:val="ParaNum"/>
    <w:qFormat/>
    <w:rsid w:val="00B46C4C"/>
    <w:pPr>
      <w:keepNext/>
      <w:numPr>
        <w:ilvl w:val="3"/>
        <w:numId w:val="28"/>
      </w:numPr>
      <w:tabs>
        <w:tab w:val="left" w:pos="2880"/>
      </w:tabs>
      <w:spacing w:after="120"/>
      <w:outlineLvl w:val="3"/>
    </w:pPr>
    <w:rPr>
      <w:b/>
    </w:rPr>
  </w:style>
  <w:style w:type="paragraph" w:styleId="Heading5">
    <w:name w:val="heading 5"/>
    <w:basedOn w:val="Normal"/>
    <w:next w:val="ParaNum"/>
    <w:qFormat/>
    <w:rsid w:val="00B46C4C"/>
    <w:pPr>
      <w:keepNext/>
      <w:numPr>
        <w:ilvl w:val="4"/>
        <w:numId w:val="28"/>
      </w:numPr>
      <w:tabs>
        <w:tab w:val="left" w:pos="3600"/>
      </w:tabs>
      <w:suppressAutoHyphens/>
      <w:spacing w:after="120"/>
      <w:outlineLvl w:val="4"/>
    </w:pPr>
    <w:rPr>
      <w:b/>
    </w:rPr>
  </w:style>
  <w:style w:type="paragraph" w:styleId="Heading6">
    <w:name w:val="heading 6"/>
    <w:basedOn w:val="Normal"/>
    <w:next w:val="ParaNum"/>
    <w:qFormat/>
    <w:rsid w:val="00B46C4C"/>
    <w:pPr>
      <w:numPr>
        <w:ilvl w:val="5"/>
        <w:numId w:val="28"/>
      </w:numPr>
      <w:tabs>
        <w:tab w:val="left" w:pos="4320"/>
      </w:tabs>
      <w:spacing w:after="120"/>
      <w:outlineLvl w:val="5"/>
    </w:pPr>
    <w:rPr>
      <w:b/>
    </w:rPr>
  </w:style>
  <w:style w:type="paragraph" w:styleId="Heading7">
    <w:name w:val="heading 7"/>
    <w:basedOn w:val="Normal"/>
    <w:next w:val="ParaNum"/>
    <w:qFormat/>
    <w:rsid w:val="00B46C4C"/>
    <w:pPr>
      <w:numPr>
        <w:ilvl w:val="6"/>
        <w:numId w:val="28"/>
      </w:numPr>
      <w:tabs>
        <w:tab w:val="left" w:pos="5040"/>
      </w:tabs>
      <w:spacing w:after="120"/>
      <w:outlineLvl w:val="6"/>
    </w:pPr>
    <w:rPr>
      <w:b/>
    </w:rPr>
  </w:style>
  <w:style w:type="paragraph" w:styleId="Heading8">
    <w:name w:val="heading 8"/>
    <w:basedOn w:val="Normal"/>
    <w:next w:val="ParaNum"/>
    <w:qFormat/>
    <w:rsid w:val="00B46C4C"/>
    <w:pPr>
      <w:numPr>
        <w:ilvl w:val="7"/>
        <w:numId w:val="28"/>
      </w:numPr>
      <w:tabs>
        <w:tab w:val="left" w:pos="5760"/>
      </w:tabs>
      <w:spacing w:after="120"/>
      <w:outlineLvl w:val="7"/>
    </w:pPr>
    <w:rPr>
      <w:b/>
    </w:rPr>
  </w:style>
  <w:style w:type="paragraph" w:styleId="Heading9">
    <w:name w:val="heading 9"/>
    <w:basedOn w:val="Normal"/>
    <w:next w:val="ParaNum"/>
    <w:qFormat/>
    <w:rsid w:val="00B46C4C"/>
    <w:pPr>
      <w:numPr>
        <w:ilvl w:val="8"/>
        <w:numId w:val="28"/>
      </w:numPr>
      <w:tabs>
        <w:tab w:val="clear" w:pos="6120"/>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B46C4C"/>
    <w:pPr>
      <w:numPr>
        <w:numId w:val="29"/>
      </w:numPr>
      <w:spacing w:after="120"/>
    </w:pPr>
  </w:style>
  <w:style w:type="paragraph" w:styleId="EndnoteText">
    <w:name w:val="endnote text"/>
    <w:basedOn w:val="Normal"/>
    <w:semiHidden/>
    <w:rsid w:val="00B46C4C"/>
    <w:rPr>
      <w:sz w:val="20"/>
    </w:rPr>
  </w:style>
  <w:style w:type="character" w:styleId="EndnoteReference">
    <w:name w:val="endnote reference"/>
    <w:semiHidden/>
    <w:rsid w:val="00B46C4C"/>
    <w:rPr>
      <w:vertAlign w:val="superscript"/>
    </w:rPr>
  </w:style>
  <w:style w:type="paragraph" w:styleId="FootnoteText">
    <w:name w:val="footnote text"/>
    <w:link w:val="FootnoteTextChar"/>
    <w:uiPriority w:val="99"/>
    <w:rsid w:val="00B46C4C"/>
    <w:pPr>
      <w:spacing w:after="120"/>
    </w:pPr>
  </w:style>
  <w:style w:type="character" w:styleId="FootnoteReference">
    <w:name w:val="footnote reference"/>
    <w:uiPriority w:val="99"/>
    <w:rsid w:val="00B46C4C"/>
    <w:rPr>
      <w:rFonts w:ascii="Times New Roman" w:hAnsi="Times New Roman"/>
      <w:dstrike w:val="0"/>
      <w:color w:val="auto"/>
      <w:sz w:val="20"/>
      <w:vertAlign w:val="superscript"/>
    </w:rPr>
  </w:style>
  <w:style w:type="paragraph" w:styleId="TOC1">
    <w:name w:val="toc 1"/>
    <w:basedOn w:val="Normal"/>
    <w:next w:val="Normal"/>
    <w:semiHidden/>
    <w:rsid w:val="00B46C4C"/>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B46C4C"/>
    <w:pPr>
      <w:tabs>
        <w:tab w:val="left" w:pos="720"/>
        <w:tab w:val="right" w:leader="dot" w:pos="9360"/>
      </w:tabs>
      <w:suppressAutoHyphens/>
      <w:ind w:left="720" w:right="720" w:hanging="360"/>
    </w:pPr>
    <w:rPr>
      <w:noProof/>
    </w:rPr>
  </w:style>
  <w:style w:type="paragraph" w:styleId="TOC3">
    <w:name w:val="toc 3"/>
    <w:basedOn w:val="Normal"/>
    <w:next w:val="Normal"/>
    <w:semiHidden/>
    <w:rsid w:val="00B46C4C"/>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B46C4C"/>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B46C4C"/>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B46C4C"/>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B46C4C"/>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B46C4C"/>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B46C4C"/>
    <w:pPr>
      <w:tabs>
        <w:tab w:val="left" w:pos="3240"/>
        <w:tab w:val="right" w:leader="dot" w:pos="9360"/>
      </w:tabs>
      <w:suppressAutoHyphens/>
      <w:ind w:left="3240" w:hanging="360"/>
    </w:pPr>
    <w:rPr>
      <w:noProof/>
    </w:rPr>
  </w:style>
  <w:style w:type="paragraph" w:styleId="TOAHeading">
    <w:name w:val="toa heading"/>
    <w:basedOn w:val="Normal"/>
    <w:next w:val="Normal"/>
    <w:semiHidden/>
    <w:rsid w:val="00B46C4C"/>
    <w:pPr>
      <w:tabs>
        <w:tab w:val="right" w:pos="9360"/>
      </w:tabs>
      <w:suppressAutoHyphens/>
    </w:pPr>
  </w:style>
  <w:style w:type="character" w:customStyle="1" w:styleId="EquationCaption">
    <w:name w:val="_Equation Caption"/>
    <w:rsid w:val="00B46C4C"/>
  </w:style>
  <w:style w:type="paragraph" w:styleId="Header">
    <w:name w:val="header"/>
    <w:basedOn w:val="Normal"/>
    <w:autoRedefine/>
    <w:rsid w:val="00B46C4C"/>
    <w:pPr>
      <w:tabs>
        <w:tab w:val="center" w:pos="4680"/>
        <w:tab w:val="right" w:pos="9360"/>
      </w:tabs>
    </w:pPr>
    <w:rPr>
      <w:b/>
    </w:rPr>
  </w:style>
  <w:style w:type="paragraph" w:styleId="Footer">
    <w:name w:val="footer"/>
    <w:basedOn w:val="Normal"/>
    <w:link w:val="FooterChar"/>
    <w:uiPriority w:val="99"/>
    <w:rsid w:val="00B46C4C"/>
    <w:pPr>
      <w:tabs>
        <w:tab w:val="center" w:pos="4320"/>
        <w:tab w:val="right" w:pos="8640"/>
      </w:tabs>
    </w:pPr>
  </w:style>
  <w:style w:type="character" w:styleId="PageNumber">
    <w:name w:val="page number"/>
    <w:basedOn w:val="DefaultParagraphFont"/>
    <w:rsid w:val="00B46C4C"/>
  </w:style>
  <w:style w:type="paragraph" w:styleId="BlockText">
    <w:name w:val="Block Text"/>
    <w:basedOn w:val="Normal"/>
    <w:rsid w:val="00B46C4C"/>
    <w:pPr>
      <w:spacing w:after="240"/>
      <w:ind w:left="1440" w:right="1440"/>
    </w:pPr>
  </w:style>
  <w:style w:type="paragraph" w:customStyle="1" w:styleId="Paratitle">
    <w:name w:val="Para title"/>
    <w:basedOn w:val="Normal"/>
    <w:rsid w:val="00B46C4C"/>
    <w:pPr>
      <w:tabs>
        <w:tab w:val="center" w:pos="9270"/>
      </w:tabs>
      <w:spacing w:after="240"/>
    </w:pPr>
    <w:rPr>
      <w:spacing w:val="-2"/>
    </w:rPr>
  </w:style>
  <w:style w:type="paragraph" w:customStyle="1" w:styleId="Bullet">
    <w:name w:val="Bullet"/>
    <w:basedOn w:val="Normal"/>
    <w:rsid w:val="00B46C4C"/>
    <w:pPr>
      <w:tabs>
        <w:tab w:val="left" w:pos="2160"/>
      </w:tabs>
      <w:spacing w:after="220"/>
      <w:ind w:left="2160" w:hanging="720"/>
    </w:pPr>
  </w:style>
  <w:style w:type="paragraph" w:customStyle="1" w:styleId="TableFormat">
    <w:name w:val="TableFormat"/>
    <w:basedOn w:val="Bullet"/>
    <w:rsid w:val="00B46C4C"/>
    <w:pPr>
      <w:tabs>
        <w:tab w:val="clear" w:pos="2160"/>
        <w:tab w:val="left" w:pos="5040"/>
      </w:tabs>
      <w:ind w:left="5040" w:hanging="3600"/>
    </w:pPr>
  </w:style>
  <w:style w:type="paragraph" w:customStyle="1" w:styleId="TOCTitle">
    <w:name w:val="TOC Title"/>
    <w:basedOn w:val="Normal"/>
    <w:rsid w:val="00B46C4C"/>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B46C4C"/>
    <w:pPr>
      <w:jc w:val="center"/>
    </w:pPr>
    <w:rPr>
      <w:rFonts w:ascii="Times New Roman Bold" w:hAnsi="Times New Roman Bold"/>
      <w:b/>
      <w:bCs/>
      <w:caps/>
      <w:szCs w:val="22"/>
    </w:rPr>
  </w:style>
  <w:style w:type="character" w:styleId="Hyperlink">
    <w:name w:val="Hyperlink"/>
    <w:rsid w:val="00B46C4C"/>
    <w:rPr>
      <w:color w:val="0000FF"/>
      <w:u w:val="single"/>
    </w:rPr>
  </w:style>
  <w:style w:type="character" w:customStyle="1" w:styleId="FooterChar">
    <w:name w:val="Footer Char"/>
    <w:link w:val="Footer"/>
    <w:uiPriority w:val="99"/>
    <w:rsid w:val="00B46C4C"/>
    <w:rPr>
      <w:snapToGrid w:val="0"/>
      <w:kern w:val="28"/>
      <w:sz w:val="22"/>
    </w:rPr>
  </w:style>
  <w:style w:type="character" w:customStyle="1" w:styleId="FootnoteTextChar">
    <w:name w:val="Footnote Text Char"/>
    <w:link w:val="FootnoteText"/>
    <w:uiPriority w:val="99"/>
    <w:rsid w:val="002574F0"/>
  </w:style>
  <w:style w:type="character" w:styleId="CommentReference">
    <w:name w:val="annotation reference"/>
    <w:unhideWhenUsed/>
    <w:rsid w:val="002574F0"/>
    <w:rPr>
      <w:sz w:val="16"/>
      <w:szCs w:val="16"/>
    </w:rPr>
  </w:style>
  <w:style w:type="paragraph" w:styleId="CommentText">
    <w:name w:val="annotation text"/>
    <w:basedOn w:val="Normal"/>
    <w:link w:val="CommentTextChar"/>
    <w:unhideWhenUsed/>
    <w:rsid w:val="002574F0"/>
    <w:pPr>
      <w:widowControl/>
      <w:spacing w:after="160"/>
    </w:pPr>
    <w:rPr>
      <w:rFonts w:ascii="Aptos" w:eastAsia="Aptos" w:hAnsi="Aptos"/>
      <w:snapToGrid/>
      <w:kern w:val="2"/>
      <w:sz w:val="20"/>
    </w:rPr>
  </w:style>
  <w:style w:type="character" w:customStyle="1" w:styleId="CommentTextChar">
    <w:name w:val="Comment Text Char"/>
    <w:link w:val="CommentText"/>
    <w:rsid w:val="002574F0"/>
    <w:rPr>
      <w:rFonts w:ascii="Aptos" w:eastAsia="Aptos" w:hAnsi="Aptos"/>
      <w:kern w:val="2"/>
    </w:rPr>
  </w:style>
  <w:style w:type="paragraph" w:customStyle="1" w:styleId="paragraph">
    <w:name w:val="paragraph"/>
    <w:basedOn w:val="Normal"/>
    <w:rsid w:val="002574F0"/>
    <w:pPr>
      <w:widowControl/>
      <w:spacing w:before="100" w:beforeAutospacing="1" w:after="100" w:afterAutospacing="1"/>
    </w:pPr>
    <w:rPr>
      <w:snapToGrid/>
      <w:kern w:val="0"/>
      <w:sz w:val="24"/>
      <w:szCs w:val="24"/>
    </w:rPr>
  </w:style>
  <w:style w:type="character" w:customStyle="1" w:styleId="normaltextrun">
    <w:name w:val="normaltextrun"/>
    <w:basedOn w:val="DefaultParagraphFont"/>
    <w:rsid w:val="002574F0"/>
  </w:style>
  <w:style w:type="character" w:customStyle="1" w:styleId="superscript">
    <w:name w:val="superscript"/>
    <w:basedOn w:val="DefaultParagraphFont"/>
    <w:rsid w:val="002574F0"/>
  </w:style>
  <w:style w:type="paragraph" w:styleId="ListParagraph">
    <w:name w:val="List Paragraph"/>
    <w:basedOn w:val="Normal"/>
    <w:uiPriority w:val="34"/>
    <w:qFormat/>
    <w:rsid w:val="002574F0"/>
    <w:pPr>
      <w:widowControl/>
      <w:spacing w:after="160" w:line="278" w:lineRule="auto"/>
      <w:ind w:left="720"/>
      <w:contextualSpacing/>
    </w:pPr>
    <w:rPr>
      <w:rFonts w:ascii="Aptos" w:eastAsia="Aptos" w:hAnsi="Aptos"/>
      <w:snapToGrid/>
      <w:kern w:val="2"/>
      <w:sz w:val="24"/>
      <w:szCs w:val="24"/>
    </w:rPr>
  </w:style>
  <w:style w:type="paragraph" w:styleId="CommentSubject">
    <w:name w:val="annotation subject"/>
    <w:basedOn w:val="CommentText"/>
    <w:next w:val="CommentText"/>
    <w:link w:val="CommentSubjectChar"/>
    <w:rsid w:val="002574F0"/>
    <w:pPr>
      <w:widowControl w:val="0"/>
      <w:spacing w:after="0"/>
    </w:pPr>
    <w:rPr>
      <w:rFonts w:ascii="Times New Roman" w:eastAsia="Times New Roman" w:hAnsi="Times New Roman"/>
      <w:b/>
      <w:bCs/>
      <w:snapToGrid w:val="0"/>
      <w:kern w:val="28"/>
    </w:rPr>
  </w:style>
  <w:style w:type="character" w:customStyle="1" w:styleId="CommentSubjectChar">
    <w:name w:val="Comment Subject Char"/>
    <w:link w:val="CommentSubject"/>
    <w:rsid w:val="002574F0"/>
    <w:rPr>
      <w:rFonts w:ascii="Aptos" w:eastAsia="Aptos" w:hAnsi="Aptos"/>
      <w:b/>
      <w:bCs/>
      <w:snapToGrid w:val="0"/>
      <w:kern w:val="28"/>
    </w:rPr>
  </w:style>
  <w:style w:type="character" w:customStyle="1" w:styleId="ParaNumChar">
    <w:name w:val="ParaNum Char"/>
    <w:link w:val="ParaNum"/>
    <w:locked/>
    <w:rsid w:val="002574F0"/>
    <w:rPr>
      <w:snapToGrid w:val="0"/>
      <w:kern w:val="28"/>
      <w:sz w:val="22"/>
    </w:rPr>
  </w:style>
  <w:style w:type="paragraph" w:customStyle="1" w:styleId="pf0">
    <w:name w:val="pf0"/>
    <w:basedOn w:val="Normal"/>
    <w:rsid w:val="002574F0"/>
    <w:pPr>
      <w:widowControl/>
      <w:spacing w:before="100" w:beforeAutospacing="1" w:after="100" w:afterAutospacing="1"/>
    </w:pPr>
    <w:rPr>
      <w:snapToGrid/>
      <w:kern w:val="0"/>
      <w:sz w:val="24"/>
      <w:szCs w:val="24"/>
    </w:rPr>
  </w:style>
  <w:style w:type="character" w:customStyle="1" w:styleId="cf11">
    <w:name w:val="cf11"/>
    <w:rsid w:val="002574F0"/>
    <w:rPr>
      <w:rFonts w:ascii="Segoe UI" w:hAnsi="Segoe UI" w:cs="Segoe UI" w:hint="default"/>
      <w:sz w:val="18"/>
      <w:szCs w:val="18"/>
    </w:rPr>
  </w:style>
  <w:style w:type="paragraph" w:styleId="Revision">
    <w:name w:val="Revision"/>
    <w:hidden/>
    <w:uiPriority w:val="99"/>
    <w:semiHidden/>
    <w:rsid w:val="002574F0"/>
    <w:rPr>
      <w:snapToGrid w:val="0"/>
      <w:kern w:val="28"/>
      <w:sz w:val="22"/>
    </w:rPr>
  </w:style>
  <w:style w:type="character" w:styleId="Mention">
    <w:name w:val="Mention"/>
    <w:uiPriority w:val="99"/>
    <w:unhideWhenUsed/>
    <w:rsid w:val="002574F0"/>
    <w:rPr>
      <w:color w:val="2B579A"/>
      <w:shd w:val="clear" w:color="auto" w:fill="E1DFDD"/>
    </w:rPr>
  </w:style>
  <w:style w:type="character" w:styleId="UnresolvedMention">
    <w:name w:val="Unresolved Mention"/>
    <w:uiPriority w:val="99"/>
    <w:semiHidden/>
    <w:unhideWhenUsed/>
    <w:rsid w:val="002574F0"/>
    <w:rPr>
      <w:color w:val="605E5C"/>
      <w:shd w:val="clear" w:color="auto" w:fill="E1DFDD"/>
    </w:rPr>
  </w:style>
  <w:style w:type="character" w:customStyle="1" w:styleId="eop">
    <w:name w:val="eop"/>
    <w:basedOn w:val="DefaultParagraphFont"/>
    <w:rsid w:val="002574F0"/>
  </w:style>
  <w:style w:type="character" w:styleId="FollowedHyperlink">
    <w:name w:val="FollowedHyperlink"/>
    <w:basedOn w:val="DefaultParagraphFont"/>
    <w:rsid w:val="00C60C94"/>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investors.globalstar.com/news-releases/news-release-details/amazon-acquire-globalstar-and-expand-amazon-leo-satellite"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