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rsidRPr="006F5643" w:rsidP="003A6CB7" w14:paraId="786CF78F" w14:textId="77777777">
      <w:pPr>
        <w:spacing w:after="120"/>
        <w:contextualSpacing/>
        <w:jc w:val="right"/>
        <w:rPr>
          <w:szCs w:val="22"/>
        </w:rPr>
      </w:pPr>
    </w:p>
    <w:p w:rsidR="00BA3BA8" w:rsidRPr="006F5643" w:rsidP="003A6CB7" w14:paraId="587EB532" w14:textId="0D270A7C">
      <w:pPr>
        <w:spacing w:after="120"/>
        <w:contextualSpacing/>
        <w:jc w:val="right"/>
        <w:rPr>
          <w:b/>
          <w:szCs w:val="22"/>
        </w:rPr>
      </w:pPr>
      <w:r w:rsidRPr="006F5643">
        <w:rPr>
          <w:b/>
          <w:szCs w:val="22"/>
        </w:rPr>
        <w:t>DA 26-</w:t>
      </w:r>
      <w:r w:rsidR="007F30B0">
        <w:rPr>
          <w:b/>
          <w:szCs w:val="22"/>
        </w:rPr>
        <w:t>400</w:t>
      </w:r>
    </w:p>
    <w:p w:rsidR="00BA3BA8" w:rsidRPr="006F5643" w:rsidP="003A6CB7" w14:paraId="0FFA17BC" w14:textId="7720D2DF">
      <w:pPr>
        <w:spacing w:after="120"/>
        <w:contextualSpacing/>
        <w:jc w:val="right"/>
        <w:rPr>
          <w:b/>
          <w:szCs w:val="22"/>
        </w:rPr>
      </w:pPr>
      <w:r w:rsidRPr="006F5643">
        <w:rPr>
          <w:b/>
          <w:szCs w:val="22"/>
        </w:rPr>
        <w:t xml:space="preserve">Released:  </w:t>
      </w:r>
      <w:r w:rsidRPr="006F5643" w:rsidR="00365088">
        <w:rPr>
          <w:b/>
          <w:szCs w:val="22"/>
        </w:rPr>
        <w:t xml:space="preserve">April </w:t>
      </w:r>
      <w:r w:rsidR="00146937">
        <w:rPr>
          <w:b/>
          <w:szCs w:val="22"/>
        </w:rPr>
        <w:t>23</w:t>
      </w:r>
      <w:r w:rsidRPr="006F5643" w:rsidR="00C46062">
        <w:rPr>
          <w:b/>
          <w:szCs w:val="22"/>
        </w:rPr>
        <w:t>, 2026</w:t>
      </w:r>
    </w:p>
    <w:p w:rsidR="00BA3BA8" w:rsidRPr="006F5643" w:rsidP="003A6CB7" w14:paraId="086D2F3D" w14:textId="77777777">
      <w:pPr>
        <w:spacing w:after="120"/>
        <w:contextualSpacing/>
        <w:rPr>
          <w:szCs w:val="22"/>
        </w:rPr>
      </w:pPr>
    </w:p>
    <w:p w:rsidR="00C46062" w:rsidRPr="006F5643" w:rsidP="003A6CB7" w14:paraId="5A503FC9" w14:textId="4CF9BAE3">
      <w:pPr>
        <w:tabs>
          <w:tab w:val="center" w:pos="5184"/>
        </w:tabs>
        <w:spacing w:after="120"/>
        <w:contextualSpacing/>
        <w:jc w:val="center"/>
        <w:rPr>
          <w:b/>
          <w:caps/>
          <w:szCs w:val="22"/>
        </w:rPr>
      </w:pPr>
      <w:bookmarkStart w:id="0" w:name="OLE_LINK1"/>
      <w:bookmarkStart w:id="1" w:name="OLE_LINK2"/>
      <w:r w:rsidRPr="006F5643">
        <w:rPr>
          <w:b/>
          <w:caps/>
          <w:szCs w:val="22"/>
        </w:rPr>
        <w:t xml:space="preserve">The Federal Communications Commission Announces the </w:t>
      </w:r>
      <w:r w:rsidRPr="006F5643" w:rsidR="00A95368">
        <w:rPr>
          <w:b/>
          <w:caps/>
          <w:szCs w:val="22"/>
        </w:rPr>
        <w:t xml:space="preserve">DEACTIVATION </w:t>
      </w:r>
      <w:r w:rsidRPr="006F5643" w:rsidR="006C64D8">
        <w:rPr>
          <w:b/>
          <w:caps/>
          <w:szCs w:val="22"/>
        </w:rPr>
        <w:t>of the</w:t>
      </w:r>
      <w:r w:rsidRPr="006F5643">
        <w:rPr>
          <w:b/>
          <w:caps/>
          <w:szCs w:val="22"/>
        </w:rPr>
        <w:t xml:space="preserve"> Disaster information Reporting System </w:t>
      </w:r>
      <w:bookmarkEnd w:id="0"/>
      <w:bookmarkEnd w:id="1"/>
      <w:r w:rsidRPr="006F5643" w:rsidR="008C2A26">
        <w:rPr>
          <w:b/>
          <w:caps/>
          <w:szCs w:val="22"/>
        </w:rPr>
        <w:t>A</w:t>
      </w:r>
      <w:r w:rsidRPr="006F5643">
        <w:rPr>
          <w:b/>
          <w:caps/>
          <w:szCs w:val="22"/>
        </w:rPr>
        <w:t xml:space="preserve">nd </w:t>
      </w:r>
      <w:r w:rsidRPr="006F5643" w:rsidR="00534D6B">
        <w:rPr>
          <w:b/>
          <w:caps/>
          <w:szCs w:val="22"/>
        </w:rPr>
        <w:t xml:space="preserve">THE </w:t>
      </w:r>
      <w:r w:rsidRPr="006F5643">
        <w:rPr>
          <w:b/>
          <w:caps/>
          <w:szCs w:val="22"/>
        </w:rPr>
        <w:t xml:space="preserve">Mandatory Disaster </w:t>
      </w:r>
      <w:r w:rsidRPr="006F5643" w:rsidR="005301BF">
        <w:rPr>
          <w:b/>
          <w:caps/>
          <w:szCs w:val="22"/>
        </w:rPr>
        <w:t>Response in</w:t>
      </w:r>
      <w:r w:rsidR="00227B1B">
        <w:rPr>
          <w:b/>
          <w:caps/>
          <w:szCs w:val="22"/>
        </w:rPr>
        <w:t>i</w:t>
      </w:r>
      <w:r w:rsidRPr="006F5643" w:rsidR="005301BF">
        <w:rPr>
          <w:b/>
          <w:caps/>
          <w:szCs w:val="22"/>
        </w:rPr>
        <w:t>tiative</w:t>
      </w:r>
      <w:r w:rsidRPr="006F5643" w:rsidR="00A95368">
        <w:rPr>
          <w:b/>
          <w:caps/>
          <w:szCs w:val="22"/>
        </w:rPr>
        <w:t xml:space="preserve"> FOR GUAM</w:t>
      </w:r>
      <w:r w:rsidRPr="006F5643" w:rsidR="005301BF">
        <w:rPr>
          <w:b/>
          <w:caps/>
          <w:szCs w:val="22"/>
        </w:rPr>
        <w:t xml:space="preserve"> </w:t>
      </w:r>
      <w:r w:rsidRPr="006F5643" w:rsidR="00D74AEE">
        <w:rPr>
          <w:b/>
          <w:caps/>
          <w:szCs w:val="22"/>
        </w:rPr>
        <w:t xml:space="preserve">IN </w:t>
      </w:r>
      <w:r w:rsidRPr="006F5643">
        <w:rPr>
          <w:b/>
          <w:caps/>
          <w:szCs w:val="22"/>
        </w:rPr>
        <w:t xml:space="preserve">Response </w:t>
      </w:r>
      <w:r w:rsidRPr="006F5643" w:rsidR="00D74AEE">
        <w:rPr>
          <w:b/>
          <w:caps/>
          <w:szCs w:val="22"/>
        </w:rPr>
        <w:t>to super typhoon sinlaku</w:t>
      </w:r>
      <w:r w:rsidR="004F3383">
        <w:rPr>
          <w:b/>
          <w:caps/>
          <w:szCs w:val="22"/>
        </w:rPr>
        <w:t xml:space="preserve"> </w:t>
      </w:r>
      <w:r w:rsidRPr="0097475F" w:rsidR="004F3383">
        <w:rPr>
          <w:b/>
          <w:caps/>
          <w:szCs w:val="22"/>
        </w:rPr>
        <w:t xml:space="preserve">AND ANNOUNCES DEADLINE FOR SUBMISSION OF </w:t>
      </w:r>
      <w:r w:rsidRPr="0097475F" w:rsidR="00691421">
        <w:rPr>
          <w:b/>
          <w:caps/>
          <w:szCs w:val="22"/>
        </w:rPr>
        <w:t xml:space="preserve">MDRI </w:t>
      </w:r>
      <w:r w:rsidRPr="0097475F" w:rsidR="004F3383">
        <w:rPr>
          <w:b/>
          <w:caps/>
          <w:szCs w:val="22"/>
        </w:rPr>
        <w:t>AFTER ACTION REPORTS</w:t>
      </w:r>
      <w:r w:rsidRPr="0097475F" w:rsidR="00CE1EE1">
        <w:rPr>
          <w:b/>
          <w:caps/>
          <w:szCs w:val="22"/>
        </w:rPr>
        <w:t xml:space="preserve"> FOR GUAM</w:t>
      </w:r>
    </w:p>
    <w:p w:rsidR="00BA3BA8" w:rsidRPr="006F5643" w:rsidP="003A6CB7" w14:paraId="432565AC" w14:textId="77777777">
      <w:pPr>
        <w:spacing w:after="120"/>
        <w:contextualSpacing/>
        <w:rPr>
          <w:szCs w:val="22"/>
        </w:rPr>
      </w:pPr>
      <w:bookmarkStart w:id="2" w:name="TOChere"/>
    </w:p>
    <w:p w:rsidR="00AA61E5" w:rsidP="00AA61E5" w14:paraId="1902B767" w14:textId="77777777">
      <w:pPr>
        <w:spacing w:after="120"/>
        <w:ind w:firstLine="720"/>
        <w:rPr>
          <w:szCs w:val="22"/>
        </w:rPr>
      </w:pPr>
      <w:r w:rsidRPr="009C4FC4">
        <w:rPr>
          <w:szCs w:val="22"/>
        </w:rPr>
        <w:t xml:space="preserve">On </w:t>
      </w:r>
      <w:r>
        <w:rPr>
          <w:szCs w:val="22"/>
        </w:rPr>
        <w:t>April 13</w:t>
      </w:r>
      <w:r w:rsidRPr="00CE1DB3">
        <w:rPr>
          <w:szCs w:val="22"/>
        </w:rPr>
        <w:t>, 2026</w:t>
      </w:r>
      <w:r w:rsidRPr="00A74268">
        <w:rPr>
          <w:szCs w:val="22"/>
        </w:rPr>
        <w:t>,</w:t>
      </w:r>
      <w:r w:rsidRPr="009C4FC4">
        <w:rPr>
          <w:szCs w:val="22"/>
        </w:rPr>
        <w:t xml:space="preserve"> the </w:t>
      </w:r>
      <w:r>
        <w:rPr>
          <w:szCs w:val="22"/>
        </w:rPr>
        <w:t>Public Safety and Homeland Security Bureau (PSHSB) of the Federal Communications Commission (Commission), in coordination with the Federal Emergency Management Agency (FEMA), activated the Disaster Information Reporting System (</w:t>
      </w:r>
      <w:r w:rsidRPr="001F3D47">
        <w:rPr>
          <w:szCs w:val="22"/>
        </w:rPr>
        <w:t>DIRS</w:t>
      </w:r>
      <w:r>
        <w:rPr>
          <w:szCs w:val="22"/>
        </w:rPr>
        <w:t>)</w:t>
      </w:r>
      <w:r w:rsidRPr="001F3D47">
        <w:rPr>
          <w:szCs w:val="22"/>
        </w:rPr>
        <w:t xml:space="preserve"> </w:t>
      </w:r>
      <w:r>
        <w:rPr>
          <w:szCs w:val="22"/>
        </w:rPr>
        <w:t xml:space="preserve">and the </w:t>
      </w:r>
      <w:r w:rsidRPr="009E614C">
        <w:rPr>
          <w:szCs w:val="24"/>
        </w:rPr>
        <w:t>Mandatory Disaster Response Initiative (MDRI</w:t>
      </w:r>
      <w:r>
        <w:rPr>
          <w:szCs w:val="24"/>
        </w:rPr>
        <w:t>)</w:t>
      </w:r>
      <w:r>
        <w:rPr>
          <w:szCs w:val="22"/>
        </w:rPr>
        <w:t xml:space="preserve"> in </w:t>
      </w:r>
      <w:r w:rsidRPr="003A6CB7">
        <w:rPr>
          <w:szCs w:val="22"/>
        </w:rPr>
        <w:t xml:space="preserve">the Commonwealth of the Northern Mariana Islands </w:t>
      </w:r>
      <w:r>
        <w:rPr>
          <w:szCs w:val="22"/>
        </w:rPr>
        <w:t xml:space="preserve">(CNMI) in response to </w:t>
      </w:r>
      <w:r w:rsidRPr="003A6CB7">
        <w:rPr>
          <w:szCs w:val="22"/>
        </w:rPr>
        <w:t>Super Typhoon Sinlaku.</w:t>
      </w:r>
      <w:r>
        <w:rPr>
          <w:rStyle w:val="FootnoteReference"/>
          <w:szCs w:val="22"/>
        </w:rPr>
        <w:footnoteReference w:id="3"/>
      </w:r>
      <w:r>
        <w:rPr>
          <w:szCs w:val="22"/>
        </w:rPr>
        <w:t xml:space="preserve">  </w:t>
      </w:r>
      <w:r w:rsidRPr="009513C5">
        <w:rPr>
          <w:szCs w:val="22"/>
        </w:rPr>
        <w:t xml:space="preserve">On </w:t>
      </w:r>
      <w:r>
        <w:rPr>
          <w:szCs w:val="22"/>
        </w:rPr>
        <w:t>April 15</w:t>
      </w:r>
      <w:r w:rsidRPr="009513C5">
        <w:rPr>
          <w:szCs w:val="22"/>
        </w:rPr>
        <w:t xml:space="preserve">, 2026, </w:t>
      </w:r>
      <w:r>
        <w:rPr>
          <w:szCs w:val="22"/>
        </w:rPr>
        <w:t>PSHSB expanded the activation to include the U.S. Territory of Guam (Guam).</w:t>
      </w:r>
      <w:r>
        <w:rPr>
          <w:rStyle w:val="FootnoteReference"/>
          <w:szCs w:val="22"/>
        </w:rPr>
        <w:footnoteReference w:id="4"/>
      </w:r>
      <w:r>
        <w:rPr>
          <w:szCs w:val="22"/>
        </w:rPr>
        <w:t xml:space="preserve">  </w:t>
      </w:r>
    </w:p>
    <w:p w:rsidR="007F5E68" w:rsidRPr="006F5643" w:rsidP="008C570D" w14:paraId="6FCE09A4" w14:textId="77777777">
      <w:pPr>
        <w:spacing w:after="120"/>
        <w:contextualSpacing/>
        <w:rPr>
          <w:szCs w:val="22"/>
        </w:rPr>
      </w:pPr>
    </w:p>
    <w:p w:rsidR="00F3773B" w:rsidRPr="006F5643" w:rsidP="00F3773B" w14:paraId="602170EC" w14:textId="42A1FEF4">
      <w:pPr>
        <w:spacing w:after="120"/>
        <w:contextualSpacing/>
        <w:rPr>
          <w:rFonts w:eastAsia="DengXian Light"/>
          <w:b/>
          <w:bCs/>
          <w:caps/>
          <w:szCs w:val="22"/>
        </w:rPr>
      </w:pPr>
      <w:r w:rsidRPr="006F5643">
        <w:rPr>
          <w:rFonts w:eastAsia="DengXian Light"/>
          <w:b/>
          <w:bCs/>
          <w:caps/>
          <w:szCs w:val="22"/>
        </w:rPr>
        <w:t xml:space="preserve">Deactivation of DIRS and </w:t>
      </w:r>
      <w:r w:rsidR="00036646">
        <w:rPr>
          <w:rFonts w:eastAsia="DengXian Light"/>
          <w:b/>
          <w:bCs/>
          <w:caps/>
          <w:szCs w:val="22"/>
        </w:rPr>
        <w:t xml:space="preserve">THE </w:t>
      </w:r>
      <w:r w:rsidRPr="006F5643">
        <w:rPr>
          <w:rFonts w:eastAsia="DengXian Light"/>
          <w:b/>
          <w:bCs/>
          <w:caps/>
          <w:szCs w:val="22"/>
        </w:rPr>
        <w:t xml:space="preserve">MDRI in </w:t>
      </w:r>
      <w:r w:rsidRPr="006F5643" w:rsidR="001645EE">
        <w:rPr>
          <w:rFonts w:eastAsia="DengXian Light"/>
          <w:b/>
          <w:bCs/>
          <w:caps/>
          <w:szCs w:val="22"/>
        </w:rPr>
        <w:t>GUAM</w:t>
      </w:r>
    </w:p>
    <w:p w:rsidR="00F3773B" w:rsidRPr="006F5643" w:rsidP="00F3773B" w14:paraId="7DF6059E" w14:textId="77777777">
      <w:pPr>
        <w:spacing w:after="120"/>
        <w:contextualSpacing/>
        <w:rPr>
          <w:rFonts w:eastAsia="DengXian Light"/>
          <w:caps/>
          <w:szCs w:val="22"/>
        </w:rPr>
      </w:pPr>
    </w:p>
    <w:p w:rsidR="007D596B" w:rsidRPr="006F5643" w:rsidP="007D596B" w14:paraId="21E4E23F" w14:textId="5309D96F">
      <w:pPr>
        <w:spacing w:after="120"/>
        <w:ind w:firstLine="623"/>
        <w:contextualSpacing/>
        <w:rPr>
          <w:szCs w:val="22"/>
        </w:rPr>
      </w:pPr>
      <w:r w:rsidRPr="006F5643">
        <w:rPr>
          <w:szCs w:val="22"/>
        </w:rPr>
        <w:t xml:space="preserve">By this Public Notice, </w:t>
      </w:r>
      <w:r w:rsidR="007A1BF1">
        <w:rPr>
          <w:szCs w:val="22"/>
        </w:rPr>
        <w:t>at th</w:t>
      </w:r>
      <w:r w:rsidR="00550736">
        <w:rPr>
          <w:szCs w:val="22"/>
        </w:rPr>
        <w:t xml:space="preserve">e request of FEMA and Guam, </w:t>
      </w:r>
      <w:r w:rsidRPr="006F5643">
        <w:rPr>
          <w:szCs w:val="22"/>
        </w:rPr>
        <w:t xml:space="preserve">PSHSB deactivates DIRS and </w:t>
      </w:r>
      <w:r w:rsidR="00546CDC">
        <w:rPr>
          <w:szCs w:val="22"/>
        </w:rPr>
        <w:t xml:space="preserve">the </w:t>
      </w:r>
      <w:r w:rsidRPr="006F5643">
        <w:rPr>
          <w:szCs w:val="22"/>
        </w:rPr>
        <w:t>MDRI for Guam in its entirety</w:t>
      </w:r>
      <w:r w:rsidR="00036646">
        <w:rPr>
          <w:szCs w:val="22"/>
        </w:rPr>
        <w:t xml:space="preserve">.  </w:t>
      </w:r>
    </w:p>
    <w:p w:rsidR="007D596B" w:rsidRPr="006F5643" w:rsidP="00F3773B" w14:paraId="2120A50E" w14:textId="77777777">
      <w:pPr>
        <w:spacing w:after="120"/>
        <w:contextualSpacing/>
        <w:rPr>
          <w:rFonts w:eastAsia="DengXian Light"/>
          <w:caps/>
          <w:szCs w:val="22"/>
        </w:rPr>
      </w:pPr>
    </w:p>
    <w:p w:rsidR="008B4278" w:rsidP="008B4278" w14:paraId="63B8FD1E" w14:textId="0267D3C1">
      <w:pPr>
        <w:spacing w:after="120"/>
        <w:ind w:firstLine="720"/>
        <w:contextualSpacing/>
        <w:rPr>
          <w:szCs w:val="22"/>
        </w:rPr>
      </w:pPr>
      <w:r w:rsidRPr="006F5643">
        <w:rPr>
          <w:szCs w:val="22"/>
        </w:rPr>
        <w:t xml:space="preserve">Cable communications providers, wireless service providers, wireline communications providers, and interconnected </w:t>
      </w:r>
      <w:r w:rsidR="00550AB6">
        <w:rPr>
          <w:szCs w:val="22"/>
        </w:rPr>
        <w:t>Voice over Internet Protocol (</w:t>
      </w:r>
      <w:r w:rsidRPr="006F5643">
        <w:rPr>
          <w:szCs w:val="22"/>
        </w:rPr>
        <w:t>VoIP</w:t>
      </w:r>
      <w:r w:rsidR="00B17057">
        <w:rPr>
          <w:szCs w:val="22"/>
        </w:rPr>
        <w:t>)</w:t>
      </w:r>
      <w:r w:rsidRPr="006F5643">
        <w:rPr>
          <w:szCs w:val="22"/>
        </w:rPr>
        <w:t xml:space="preserve"> providers </w:t>
      </w:r>
      <w:r w:rsidRPr="006F5643">
        <w:rPr>
          <w:bCs/>
          <w:szCs w:val="22"/>
        </w:rPr>
        <w:t xml:space="preserve">that provide service in the above-referenced areas </w:t>
      </w:r>
      <w:r w:rsidRPr="006F5643">
        <w:rPr>
          <w:szCs w:val="22"/>
        </w:rPr>
        <w:t xml:space="preserve">are </w:t>
      </w:r>
      <w:r w:rsidRPr="006F5643">
        <w:rPr>
          <w:bCs/>
          <w:szCs w:val="22"/>
        </w:rPr>
        <w:t xml:space="preserve">no longer </w:t>
      </w:r>
      <w:r w:rsidRPr="006F5643">
        <w:rPr>
          <w:szCs w:val="22"/>
        </w:rPr>
        <w:t>required to report their infrastructure status daily in DIRS for this event.</w:t>
      </w:r>
      <w:r>
        <w:rPr>
          <w:szCs w:val="22"/>
          <w:vertAlign w:val="superscript"/>
        </w:rPr>
        <w:footnoteReference w:id="5"/>
      </w:r>
      <w:r w:rsidRPr="006F5643">
        <w:rPr>
          <w:szCs w:val="22"/>
        </w:rPr>
        <w:t xml:space="preserve">  These providers</w:t>
      </w:r>
      <w:r w:rsidRPr="006F5643">
        <w:rPr>
          <w:b/>
          <w:szCs w:val="22"/>
        </w:rPr>
        <w:t xml:space="preserve"> </w:t>
      </w:r>
      <w:r w:rsidRPr="006F5643">
        <w:rPr>
          <w:szCs w:val="22"/>
        </w:rPr>
        <w:t>must provide a single, final report to the Commission within 24 hours of release of this Public Notice detailing the state of their infrastructure at the time of DIRS deactivation and an estimated date of resolution of any remaining outages.</w:t>
      </w:r>
      <w:r>
        <w:rPr>
          <w:szCs w:val="22"/>
          <w:vertAlign w:val="superscript"/>
        </w:rPr>
        <w:footnoteReference w:id="6"/>
      </w:r>
      <w:r w:rsidRPr="006F5643">
        <w:rPr>
          <w:szCs w:val="22"/>
        </w:rPr>
        <w:t xml:space="preserve">  PSHSB encourages other communications providers that voluntarily reported in DIRS to also submit a final DIRS report.</w:t>
      </w:r>
    </w:p>
    <w:p w:rsidR="0060363A" w:rsidRPr="006F5643" w:rsidP="0060363A" w14:paraId="0B2BDC61" w14:textId="77777777">
      <w:pPr>
        <w:spacing w:after="120"/>
        <w:contextualSpacing/>
        <w:rPr>
          <w:szCs w:val="22"/>
        </w:rPr>
      </w:pPr>
    </w:p>
    <w:p w:rsidR="00F3773B" w:rsidRPr="006F5643" w:rsidP="00F3773B" w14:paraId="3A5A4791" w14:textId="32719DAB">
      <w:pPr>
        <w:spacing w:after="120"/>
        <w:ind w:right="318" w:firstLine="623"/>
        <w:contextualSpacing/>
        <w:rPr>
          <w:color w:val="1A1919"/>
          <w:szCs w:val="22"/>
        </w:rPr>
      </w:pPr>
      <w:r w:rsidRPr="006F5643">
        <w:rPr>
          <w:bCs/>
          <w:szCs w:val="22"/>
        </w:rPr>
        <w:t>As of the release of this Public Notice</w:t>
      </w:r>
      <w:r w:rsidRPr="006F5643">
        <w:rPr>
          <w:color w:val="1A1919"/>
          <w:szCs w:val="22"/>
        </w:rPr>
        <w:t>, cable communications providers, wireless service providers, wireline communications providers, and interconnected VoIP providers that provide service in the above-referenced areas must resume making submissions in the NORS concerning any incidents that are reportable under those rules.</w:t>
      </w:r>
      <w:r>
        <w:rPr>
          <w:rStyle w:val="FootnoteReference"/>
          <w:color w:val="1A1919"/>
          <w:szCs w:val="22"/>
        </w:rPr>
        <w:footnoteReference w:id="7"/>
      </w:r>
    </w:p>
    <w:p w:rsidR="00053B24" w:rsidRPr="006F5643" w:rsidP="00053B24" w14:paraId="570D5F10" w14:textId="5DB50CE2">
      <w:pPr>
        <w:spacing w:after="120"/>
        <w:contextualSpacing/>
        <w:rPr>
          <w:b/>
          <w:szCs w:val="22"/>
        </w:rPr>
      </w:pPr>
      <w:r w:rsidRPr="006F5643">
        <w:rPr>
          <w:b/>
          <w:szCs w:val="22"/>
        </w:rPr>
        <w:t>MDRI AFTER-ACTION REPORTS FOR GUAM</w:t>
      </w:r>
    </w:p>
    <w:p w:rsidR="006F5643" w:rsidP="006F5643" w14:paraId="66549DCE" w14:textId="77777777">
      <w:pPr>
        <w:spacing w:after="120"/>
        <w:contextualSpacing/>
        <w:rPr>
          <w:szCs w:val="22"/>
        </w:rPr>
      </w:pPr>
    </w:p>
    <w:p w:rsidR="00053B24" w:rsidRPr="006F5643" w:rsidP="00053B24" w14:paraId="3704D5D6" w14:textId="058F0578">
      <w:pPr>
        <w:spacing w:after="120"/>
        <w:ind w:firstLine="720"/>
        <w:contextualSpacing/>
        <w:rPr>
          <w:szCs w:val="22"/>
        </w:rPr>
      </w:pPr>
      <w:r w:rsidRPr="006F5643">
        <w:rPr>
          <w:szCs w:val="22"/>
        </w:rPr>
        <w:t xml:space="preserve">The Commission hereby requires facilities-based mobile wireless providers operating in </w:t>
      </w:r>
      <w:r w:rsidR="000A369D">
        <w:rPr>
          <w:szCs w:val="22"/>
        </w:rPr>
        <w:t>Guam</w:t>
      </w:r>
      <w:r w:rsidRPr="006F5643">
        <w:rPr>
          <w:szCs w:val="22"/>
        </w:rPr>
        <w:t xml:space="preserve"> to submit a report to the Commission detailing the timing, duration, and effectiveness of their implementation of the MDRI’s provisions within 60 days of the issuance of this Public Notice (i.e., by </w:t>
      </w:r>
      <w:r w:rsidRPr="00D02FAF" w:rsidR="00934932">
        <w:rPr>
          <w:szCs w:val="22"/>
        </w:rPr>
        <w:t xml:space="preserve">June </w:t>
      </w:r>
      <w:r w:rsidRPr="00D02FAF" w:rsidR="004F27EE">
        <w:rPr>
          <w:szCs w:val="22"/>
        </w:rPr>
        <w:t>2</w:t>
      </w:r>
      <w:r w:rsidR="009F0301">
        <w:rPr>
          <w:szCs w:val="22"/>
        </w:rPr>
        <w:t>3</w:t>
      </w:r>
      <w:r w:rsidRPr="00D02FAF">
        <w:rPr>
          <w:szCs w:val="22"/>
        </w:rPr>
        <w:t>, 2026</w:t>
      </w:r>
      <w:r w:rsidRPr="004F27EE">
        <w:rPr>
          <w:szCs w:val="22"/>
        </w:rPr>
        <w:t>).</w:t>
      </w:r>
      <w:r>
        <w:rPr>
          <w:rStyle w:val="FootnoteReference"/>
          <w:szCs w:val="22"/>
        </w:rPr>
        <w:footnoteReference w:id="8"/>
      </w:r>
      <w:r w:rsidRPr="006F5643">
        <w:rPr>
          <w:szCs w:val="22"/>
        </w:rPr>
        <w:t xml:space="preserve">  Reports must be submitted via email to </w:t>
      </w:r>
      <w:hyperlink r:id="rId6" w:history="1">
        <w:r w:rsidRPr="006F5643">
          <w:rPr>
            <w:rStyle w:val="Hyperlink"/>
            <w:szCs w:val="22"/>
          </w:rPr>
          <w:t>MDRI@fcc.gov</w:t>
        </w:r>
      </w:hyperlink>
      <w:r w:rsidRPr="006F5643">
        <w:rPr>
          <w:szCs w:val="22"/>
        </w:rPr>
        <w:t>.</w:t>
      </w:r>
    </w:p>
    <w:p w:rsidR="00F3773B" w:rsidRPr="006F5643" w:rsidP="00F3773B" w14:paraId="347869C8" w14:textId="77777777">
      <w:pPr>
        <w:spacing w:after="120"/>
        <w:contextualSpacing/>
        <w:rPr>
          <w:bCs/>
          <w:szCs w:val="22"/>
        </w:rPr>
      </w:pPr>
    </w:p>
    <w:p w:rsidR="00187D92" w:rsidRPr="006F5643" w:rsidP="003A6CB7" w14:paraId="678EB293" w14:textId="041132AB">
      <w:pPr>
        <w:spacing w:after="120"/>
        <w:contextualSpacing/>
        <w:rPr>
          <w:b/>
          <w:szCs w:val="22"/>
        </w:rPr>
      </w:pPr>
      <w:bookmarkStart w:id="3" w:name="_Hlk115432757"/>
      <w:bookmarkStart w:id="4" w:name="_Hlk526842846"/>
      <w:bookmarkStart w:id="5" w:name="_Hlk526842909"/>
      <w:r w:rsidRPr="006F5643">
        <w:rPr>
          <w:b/>
          <w:szCs w:val="22"/>
        </w:rPr>
        <w:t>DIRS AND</w:t>
      </w:r>
      <w:r w:rsidR="00036646">
        <w:rPr>
          <w:b/>
          <w:szCs w:val="22"/>
        </w:rPr>
        <w:t xml:space="preserve"> THE</w:t>
      </w:r>
      <w:r w:rsidRPr="006F5643">
        <w:rPr>
          <w:b/>
          <w:szCs w:val="22"/>
        </w:rPr>
        <w:t xml:space="preserve"> MDRI REMAIN ACTIVATED IN</w:t>
      </w:r>
      <w:r w:rsidRPr="006F5643">
        <w:rPr>
          <w:szCs w:val="22"/>
        </w:rPr>
        <w:t xml:space="preserve"> </w:t>
      </w:r>
      <w:r w:rsidRPr="006F5643">
        <w:rPr>
          <w:b/>
          <w:szCs w:val="22"/>
        </w:rPr>
        <w:t>THE FOLLOWING GEOGRAPHIC AREAS IN THE CNMI:</w:t>
      </w:r>
    </w:p>
    <w:p w:rsidR="00187D92" w:rsidRPr="006F5643" w:rsidP="003A6CB7" w14:paraId="6865A64A" w14:textId="77777777">
      <w:pPr>
        <w:spacing w:after="120"/>
        <w:contextualSpacing/>
        <w:rPr>
          <w:b/>
          <w:szCs w:val="22"/>
        </w:rPr>
      </w:pPr>
    </w:p>
    <w:p w:rsidR="00E445FE" w:rsidRPr="006F5643" w:rsidP="003A6CB7" w14:paraId="2CBB61AB" w14:textId="695B2205">
      <w:pPr>
        <w:spacing w:after="120"/>
        <w:contextualSpacing/>
        <w:rPr>
          <w:b/>
          <w:szCs w:val="22"/>
        </w:rPr>
      </w:pPr>
      <w:r w:rsidRPr="006F5643">
        <w:rPr>
          <w:b/>
          <w:szCs w:val="22"/>
        </w:rPr>
        <w:t>CNMI: Rota, Saipan, and Tinian</w:t>
      </w:r>
    </w:p>
    <w:p w:rsidR="001D1734" w:rsidRPr="006F5643" w:rsidP="003A6CB7" w14:paraId="1D6DA554" w14:textId="77777777">
      <w:pPr>
        <w:spacing w:after="120"/>
        <w:contextualSpacing/>
        <w:rPr>
          <w:szCs w:val="22"/>
        </w:rPr>
      </w:pPr>
    </w:p>
    <w:p w:rsidR="009917FA" w:rsidRPr="006F5643" w:rsidP="003A6CB7" w14:paraId="2B952D44" w14:textId="7BC83F27">
      <w:pPr>
        <w:spacing w:after="120"/>
        <w:ind w:firstLine="720"/>
        <w:contextualSpacing/>
        <w:rPr>
          <w:szCs w:val="22"/>
        </w:rPr>
      </w:pPr>
      <w:r w:rsidRPr="006F5643">
        <w:rPr>
          <w:szCs w:val="22"/>
        </w:rPr>
        <w:t>Please continue to provide information</w:t>
      </w:r>
      <w:r w:rsidRPr="006F5643" w:rsidR="002F5A2D">
        <w:rPr>
          <w:szCs w:val="22"/>
        </w:rPr>
        <w:t xml:space="preserve"> to the Commission</w:t>
      </w:r>
      <w:r w:rsidRPr="006F5643">
        <w:rPr>
          <w:szCs w:val="22"/>
        </w:rPr>
        <w:t xml:space="preserve"> for the impacted </w:t>
      </w:r>
      <w:r w:rsidRPr="006F5643" w:rsidR="00774A6F">
        <w:rPr>
          <w:szCs w:val="22"/>
        </w:rPr>
        <w:t>geographic areas</w:t>
      </w:r>
      <w:r w:rsidRPr="006F5643">
        <w:rPr>
          <w:szCs w:val="22"/>
        </w:rPr>
        <w:t xml:space="preserve"> that are already </w:t>
      </w:r>
      <w:r w:rsidRPr="006F5643" w:rsidR="00774A6F">
        <w:rPr>
          <w:szCs w:val="22"/>
        </w:rPr>
        <w:t xml:space="preserve">located </w:t>
      </w:r>
      <w:r w:rsidRPr="006F5643">
        <w:rPr>
          <w:szCs w:val="22"/>
        </w:rPr>
        <w:t>in the disaster area.</w:t>
      </w:r>
    </w:p>
    <w:p w:rsidR="002F5D12" w:rsidRPr="006F5643" w:rsidP="00AF0AD9" w14:paraId="76660C3B" w14:textId="77777777">
      <w:pPr>
        <w:spacing w:after="120"/>
        <w:contextualSpacing/>
        <w:rPr>
          <w:szCs w:val="22"/>
        </w:rPr>
      </w:pPr>
    </w:p>
    <w:p w:rsidR="00C46062" w:rsidRPr="006F5643" w:rsidP="003A6CB7" w14:paraId="6EE7C382" w14:textId="0E10EA74">
      <w:pPr>
        <w:tabs>
          <w:tab w:val="center" w:pos="5184"/>
        </w:tabs>
        <w:spacing w:after="120"/>
        <w:ind w:firstLine="720"/>
        <w:contextualSpacing/>
        <w:rPr>
          <w:bCs/>
          <w:szCs w:val="22"/>
        </w:rPr>
      </w:pPr>
      <w:r w:rsidRPr="006F5643">
        <w:rPr>
          <w:szCs w:val="22"/>
        </w:rPr>
        <w:t xml:space="preserve">The </w:t>
      </w:r>
      <w:r w:rsidRPr="006F5643" w:rsidR="00A357C4">
        <w:rPr>
          <w:szCs w:val="22"/>
        </w:rPr>
        <w:t>Commission</w:t>
      </w:r>
      <w:r w:rsidRPr="006F5643">
        <w:rPr>
          <w:szCs w:val="22"/>
        </w:rPr>
        <w:t xml:space="preserve"> continues to monitor this event and may amend DIRS or </w:t>
      </w:r>
      <w:r w:rsidRPr="006F5643" w:rsidR="00774A6F">
        <w:rPr>
          <w:szCs w:val="22"/>
        </w:rPr>
        <w:t xml:space="preserve">the </w:t>
      </w:r>
      <w:r w:rsidRPr="006F5643">
        <w:rPr>
          <w:szCs w:val="22"/>
        </w:rPr>
        <w:t>MDRI activation area in the coming days.</w:t>
      </w:r>
      <w:bookmarkEnd w:id="3"/>
      <w:bookmarkEnd w:id="4"/>
      <w:bookmarkEnd w:id="5"/>
    </w:p>
    <w:p w:rsidR="006C45B3" w:rsidRPr="006F5643" w:rsidP="003A6CB7" w14:paraId="34FC45F4" w14:textId="77777777">
      <w:pPr>
        <w:spacing w:after="120"/>
        <w:contextualSpacing/>
        <w:rPr>
          <w:szCs w:val="22"/>
        </w:rPr>
      </w:pPr>
    </w:p>
    <w:p w:rsidR="00C46062" w:rsidRPr="006F5643" w:rsidP="003A6CB7" w14:paraId="4C443D26" w14:textId="730DE19E">
      <w:pPr>
        <w:spacing w:after="120"/>
        <w:contextualSpacing/>
        <w:rPr>
          <w:szCs w:val="22"/>
        </w:rPr>
      </w:pPr>
      <w:r w:rsidRPr="006F5643">
        <w:rPr>
          <w:szCs w:val="22"/>
        </w:rPr>
        <w:t>For further information on this DIRS activation, please contact:</w:t>
      </w:r>
    </w:p>
    <w:p w:rsidR="00A357C4" w:rsidRPr="006F5643" w:rsidP="003A6CB7" w14:paraId="61E2DB23" w14:textId="77777777">
      <w:pPr>
        <w:tabs>
          <w:tab w:val="center" w:pos="5184"/>
        </w:tabs>
        <w:spacing w:after="120"/>
        <w:contextualSpacing/>
        <w:rPr>
          <w:szCs w:val="22"/>
        </w:rPr>
      </w:pPr>
    </w:p>
    <w:p w:rsidR="00C46062" w:rsidRPr="006F5643" w:rsidP="003A6CB7" w14:paraId="70EABC6F" w14:textId="5C58EE1F">
      <w:pPr>
        <w:tabs>
          <w:tab w:val="center" w:pos="5184"/>
        </w:tabs>
        <w:spacing w:after="120"/>
        <w:contextualSpacing/>
        <w:rPr>
          <w:color w:val="0000FF"/>
          <w:szCs w:val="22"/>
          <w:u w:val="single"/>
        </w:rPr>
      </w:pPr>
      <w:r w:rsidRPr="006F5643">
        <w:rPr>
          <w:szCs w:val="22"/>
        </w:rPr>
        <w:t>Michael Caiafa</w:t>
      </w:r>
      <w:r w:rsidRPr="006F5643" w:rsidR="00384DD3">
        <w:rPr>
          <w:szCs w:val="22"/>
        </w:rPr>
        <w:t>,</w:t>
      </w:r>
      <w:r w:rsidRPr="006F5643">
        <w:rPr>
          <w:szCs w:val="22"/>
        </w:rPr>
        <w:t xml:space="preserve"> (202) 418-1311, </w:t>
      </w:r>
      <w:hyperlink r:id="rId7" w:history="1">
        <w:r w:rsidRPr="006F5643">
          <w:rPr>
            <w:color w:val="0000FF"/>
            <w:szCs w:val="22"/>
            <w:u w:val="single"/>
          </w:rPr>
          <w:t>michael.caiafa@fcc.gov</w:t>
        </w:r>
      </w:hyperlink>
    </w:p>
    <w:p w:rsidR="00C46062" w:rsidRPr="006F5643" w:rsidP="003A6CB7" w14:paraId="12303835" w14:textId="5B1D3630">
      <w:pPr>
        <w:spacing w:after="120"/>
        <w:contextualSpacing/>
        <w:rPr>
          <w:color w:val="0000FF"/>
          <w:szCs w:val="22"/>
          <w:u w:val="single"/>
        </w:rPr>
      </w:pPr>
      <w:r w:rsidRPr="006F5643">
        <w:rPr>
          <w:szCs w:val="22"/>
        </w:rPr>
        <w:t xml:space="preserve">Juan Chapa, (202) 418-0431, </w:t>
      </w:r>
      <w:hyperlink r:id="rId8" w:history="1">
        <w:r w:rsidRPr="006F5643">
          <w:rPr>
            <w:color w:val="0000FF"/>
            <w:szCs w:val="22"/>
            <w:u w:val="single"/>
          </w:rPr>
          <w:t>juan.chapa@fcc.gov</w:t>
        </w:r>
      </w:hyperlink>
    </w:p>
    <w:p w:rsidR="001116D3" w:rsidRPr="006F5643" w:rsidP="003A6CB7" w14:paraId="1207C17C" w14:textId="5AB405BC">
      <w:pPr>
        <w:spacing w:after="120"/>
        <w:contextualSpacing/>
        <w:rPr>
          <w:szCs w:val="22"/>
        </w:rPr>
      </w:pPr>
      <w:r w:rsidRPr="006F5643">
        <w:rPr>
          <w:szCs w:val="22"/>
        </w:rPr>
        <w:t>John Healy</w:t>
      </w:r>
      <w:r w:rsidRPr="006F5643" w:rsidR="00384DD3">
        <w:rPr>
          <w:szCs w:val="22"/>
        </w:rPr>
        <w:t>,</w:t>
      </w:r>
      <w:r w:rsidRPr="006F5643">
        <w:rPr>
          <w:szCs w:val="22"/>
        </w:rPr>
        <w:t xml:space="preserve"> (215) 847-8094, </w:t>
      </w:r>
      <w:hyperlink r:id="rId9" w:history="1">
        <w:r w:rsidRPr="006F5643">
          <w:rPr>
            <w:rStyle w:val="Hyperlink"/>
            <w:szCs w:val="22"/>
          </w:rPr>
          <w:t>john.healy@fcc.gov</w:t>
        </w:r>
      </w:hyperlink>
    </w:p>
    <w:p w:rsidR="00332984" w:rsidRPr="006F5643" w:rsidP="003A6CB7" w14:paraId="33628BCE" w14:textId="474CDB68">
      <w:pPr>
        <w:spacing w:after="120"/>
        <w:contextualSpacing/>
        <w:rPr>
          <w:color w:val="000000" w:themeColor="text1"/>
          <w:szCs w:val="22"/>
          <w:u w:val="single"/>
        </w:rPr>
      </w:pPr>
      <w:r w:rsidRPr="006F5643">
        <w:rPr>
          <w:szCs w:val="22"/>
        </w:rPr>
        <w:t>FCC 24/7 Operations Center</w:t>
      </w:r>
      <w:r w:rsidRPr="006F5643" w:rsidR="00384DD3">
        <w:rPr>
          <w:szCs w:val="22"/>
        </w:rPr>
        <w:t>,</w:t>
      </w:r>
      <w:r w:rsidRPr="006F5643">
        <w:rPr>
          <w:szCs w:val="22"/>
        </w:rPr>
        <w:t xml:space="preserve"> (202) 418-1122, </w:t>
      </w:r>
      <w:hyperlink r:id="rId10" w:history="1">
        <w:r w:rsidRPr="006F5643">
          <w:rPr>
            <w:rStyle w:val="Hyperlink"/>
            <w:szCs w:val="22"/>
          </w:rPr>
          <w:t>FCCOPS@fcc.gov</w:t>
        </w:r>
      </w:hyperlink>
    </w:p>
    <w:p w:rsidR="00C46062" w:rsidRPr="006F5643" w:rsidP="003A6CB7" w14:paraId="2BA75E6F" w14:textId="77777777">
      <w:pPr>
        <w:spacing w:after="120"/>
        <w:contextualSpacing/>
        <w:rPr>
          <w:color w:val="000000" w:themeColor="text1"/>
          <w:szCs w:val="22"/>
        </w:rPr>
      </w:pPr>
    </w:p>
    <w:p w:rsidR="00C46062" w:rsidRPr="006F5643" w:rsidP="003A6CB7" w14:paraId="4EDE9653" w14:textId="3B6E5251">
      <w:pPr>
        <w:tabs>
          <w:tab w:val="center" w:pos="5184"/>
        </w:tabs>
        <w:spacing w:after="120"/>
        <w:contextualSpacing/>
        <w:rPr>
          <w:szCs w:val="22"/>
        </w:rPr>
      </w:pPr>
      <w:r w:rsidRPr="006F5643">
        <w:rPr>
          <w:szCs w:val="22"/>
        </w:rPr>
        <w:t>For further information concerning this MDRI activation, please contact:</w:t>
      </w:r>
    </w:p>
    <w:p w:rsidR="00C46062" w:rsidRPr="006F5643" w:rsidP="003A6CB7" w14:paraId="4C39CB5D" w14:textId="49B502B1">
      <w:pPr>
        <w:tabs>
          <w:tab w:val="center" w:pos="5184"/>
        </w:tabs>
        <w:spacing w:after="120"/>
        <w:contextualSpacing/>
        <w:rPr>
          <w:szCs w:val="22"/>
        </w:rPr>
      </w:pPr>
    </w:p>
    <w:p w:rsidR="00C46062" w:rsidRPr="006F5643" w:rsidP="003A6CB7" w14:paraId="603B8720" w14:textId="58ED149E">
      <w:pPr>
        <w:tabs>
          <w:tab w:val="center" w:pos="5184"/>
        </w:tabs>
        <w:spacing w:after="120"/>
        <w:contextualSpacing/>
        <w:rPr>
          <w:szCs w:val="22"/>
        </w:rPr>
      </w:pPr>
      <w:r w:rsidRPr="006F5643">
        <w:rPr>
          <w:szCs w:val="22"/>
        </w:rPr>
        <w:t xml:space="preserve">Justin Cain, (202) 853-7365, (202) 418-2924, </w:t>
      </w:r>
      <w:hyperlink r:id="rId11" w:history="1">
        <w:r w:rsidRPr="006F5643">
          <w:rPr>
            <w:color w:val="0000FF"/>
            <w:szCs w:val="22"/>
            <w:u w:val="single"/>
          </w:rPr>
          <w:t>justin.cain@fcc.gov</w:t>
        </w:r>
      </w:hyperlink>
    </w:p>
    <w:p w:rsidR="00C46062" w:rsidRPr="006F5643" w:rsidP="003A6CB7" w14:paraId="66BBB662" w14:textId="1A3CCEFD">
      <w:pPr>
        <w:tabs>
          <w:tab w:val="center" w:pos="5184"/>
        </w:tabs>
        <w:spacing w:after="120"/>
        <w:contextualSpacing/>
        <w:rPr>
          <w:szCs w:val="22"/>
        </w:rPr>
      </w:pPr>
      <w:r w:rsidRPr="006F5643">
        <w:rPr>
          <w:szCs w:val="22"/>
        </w:rPr>
        <w:t xml:space="preserve">Logan Bennett, (202) 418-7790, </w:t>
      </w:r>
      <w:hyperlink r:id="rId12" w:history="1">
        <w:r w:rsidRPr="006F5643">
          <w:rPr>
            <w:color w:val="0000FF"/>
            <w:szCs w:val="22"/>
            <w:u w:val="single"/>
          </w:rPr>
          <w:t>logan.bennett@fcc.gov</w:t>
        </w:r>
      </w:hyperlink>
    </w:p>
    <w:p w:rsidR="007A170F" w:rsidRPr="006F5643" w:rsidP="003A6CB7" w14:paraId="76828CF4" w14:textId="0BDA940F">
      <w:pPr>
        <w:spacing w:after="120"/>
        <w:contextualSpacing/>
        <w:rPr>
          <w:szCs w:val="22"/>
        </w:rPr>
      </w:pPr>
      <w:r w:rsidRPr="006F5643">
        <w:rPr>
          <w:szCs w:val="22"/>
        </w:rPr>
        <w:t xml:space="preserve">FCC 24/7 Operations Center, (202) 418-1122, </w:t>
      </w:r>
      <w:hyperlink r:id="rId10" w:history="1">
        <w:r w:rsidRPr="006F5643" w:rsidR="00A657BB">
          <w:rPr>
            <w:rStyle w:val="Hyperlink"/>
            <w:szCs w:val="22"/>
          </w:rPr>
          <w:t>FCCOPS@fcc.gov</w:t>
        </w:r>
      </w:hyperlink>
    </w:p>
    <w:p w:rsidR="00A657BB" w:rsidRPr="006F5643" w:rsidP="003A6CB7" w14:paraId="77707C53" w14:textId="77777777">
      <w:pPr>
        <w:spacing w:after="120"/>
        <w:contextualSpacing/>
        <w:rPr>
          <w:szCs w:val="22"/>
        </w:rPr>
      </w:pPr>
    </w:p>
    <w:p w:rsidR="00BA3BA8" w:rsidRPr="006F5643" w:rsidP="00BC24E4" w14:paraId="3833B3E5" w14:textId="2DB73871">
      <w:pPr>
        <w:spacing w:after="120"/>
        <w:contextualSpacing/>
        <w:rPr>
          <w:szCs w:val="22"/>
        </w:rPr>
      </w:pPr>
      <w:r w:rsidRPr="006F5643">
        <w:rPr>
          <w:szCs w:val="22"/>
        </w:rPr>
        <w:t>For more information on the C</w:t>
      </w:r>
      <w:r w:rsidRPr="006F5643" w:rsidR="007862F6">
        <w:rPr>
          <w:szCs w:val="22"/>
        </w:rPr>
        <w:t>ommission</w:t>
      </w:r>
      <w:r w:rsidRPr="006F5643">
        <w:rPr>
          <w:szCs w:val="22"/>
        </w:rPr>
        <w:t xml:space="preserve">’s response to </w:t>
      </w:r>
      <w:r w:rsidRPr="006F5643" w:rsidR="00B06F12">
        <w:rPr>
          <w:szCs w:val="22"/>
        </w:rPr>
        <w:t>Super Typhoon Sinlaku</w:t>
      </w:r>
      <w:r w:rsidRPr="006F5643">
        <w:rPr>
          <w:szCs w:val="22"/>
        </w:rPr>
        <w:t>,</w:t>
      </w:r>
      <w:r w:rsidRPr="006F5643">
        <w:rPr>
          <w:color w:val="FF0000"/>
          <w:szCs w:val="22"/>
        </w:rPr>
        <w:t xml:space="preserve"> </w:t>
      </w:r>
      <w:r w:rsidRPr="006F5643">
        <w:rPr>
          <w:szCs w:val="22"/>
        </w:rPr>
        <w:t xml:space="preserve">please visit </w:t>
      </w:r>
      <w:hyperlink r:id="rId13" w:history="1">
        <w:r w:rsidRPr="006F5643" w:rsidR="00A657BB">
          <w:rPr>
            <w:rStyle w:val="Hyperlink"/>
            <w:szCs w:val="22"/>
          </w:rPr>
          <w:t>https://www.fcc.gov/Sinlaku</w:t>
        </w:r>
      </w:hyperlink>
      <w:r w:rsidRPr="006F5643" w:rsidR="00B513F2">
        <w:rPr>
          <w:szCs w:val="22"/>
        </w:rPr>
        <w:t>.</w:t>
      </w:r>
      <w:bookmarkEnd w:id="2"/>
    </w:p>
    <w:sectPr>
      <w:headerReference w:type="even" r:id="rId14"/>
      <w:headerReference w:type="default" r:id="rId15"/>
      <w:footerReference w:type="even" r:id="rId16"/>
      <w:footerReference w:type="default" r:id="rId17"/>
      <w:headerReference w:type="first" r:id="rId18"/>
      <w:footerReference w:type="first" r:id="rId19"/>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E959FE" w14:paraId="46D5DD3C" w14:textId="77777777">
      <w:pPr>
        <w:spacing w:line="20" w:lineRule="exact"/>
      </w:pPr>
    </w:p>
  </w:endnote>
  <w:endnote w:type="continuationSeparator" w:id="1">
    <w:p w:rsidR="00E959FE" w14:paraId="14CCE1FE" w14:textId="77777777">
      <w:r>
        <w:t xml:space="preserve"> </w:t>
      </w:r>
    </w:p>
  </w:endnote>
  <w:endnote w:type="continuationNotice" w:id="2">
    <w:p w:rsidR="00E959FE" w14:paraId="7EC7B1EA"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23223077"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71AA11F4"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3A2D937"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E7A2D57"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E959FE" w14:paraId="40C43363" w14:textId="77777777">
      <w:r>
        <w:separator/>
      </w:r>
    </w:p>
  </w:footnote>
  <w:footnote w:type="continuationSeparator" w:id="1">
    <w:p w:rsidR="00E959FE" w14:paraId="4E522C41" w14:textId="77777777">
      <w:pPr>
        <w:rPr>
          <w:sz w:val="20"/>
        </w:rPr>
      </w:pPr>
      <w:r>
        <w:rPr>
          <w:sz w:val="20"/>
        </w:rPr>
        <w:t xml:space="preserve">(Continued from previous page)  </w:t>
      </w:r>
      <w:r>
        <w:rPr>
          <w:sz w:val="20"/>
        </w:rPr>
        <w:separator/>
      </w:r>
    </w:p>
  </w:footnote>
  <w:footnote w:type="continuationNotice" w:id="2">
    <w:p w:rsidR="00E959FE" w14:paraId="47FD2EFD" w14:textId="77777777">
      <w:pPr>
        <w:jc w:val="right"/>
        <w:rPr>
          <w:sz w:val="20"/>
        </w:rPr>
      </w:pPr>
      <w:r>
        <w:rPr>
          <w:sz w:val="20"/>
        </w:rPr>
        <w:t>(continued….)</w:t>
      </w:r>
    </w:p>
  </w:footnote>
  <w:footnote w:id="3">
    <w:p w:rsidR="00AA61E5" w:rsidRPr="009C4FC4" w:rsidP="00AA61E5" w14:paraId="1842AA64" w14:textId="77777777">
      <w:pPr>
        <w:pStyle w:val="FootnoteText"/>
        <w:spacing w:before="120"/>
      </w:pPr>
      <w:r w:rsidRPr="00A76F2E">
        <w:rPr>
          <w:rStyle w:val="FootnoteReference"/>
          <w:sz w:val="20"/>
        </w:rPr>
        <w:footnoteRef/>
      </w:r>
      <w:r w:rsidRPr="00A76F2E">
        <w:t xml:space="preserve"> </w:t>
      </w:r>
      <w:r w:rsidRPr="00A76F2E">
        <w:rPr>
          <w:i/>
          <w:iCs/>
        </w:rPr>
        <w:t>The Federal Communications Commission Activates the Disaster Information Reporting System (DIRS) and the Mandatory Disaster Response Initiative (MDRI) in Response to Super Typhoon Sinlaku</w:t>
      </w:r>
      <w:r w:rsidRPr="00A76F2E">
        <w:t xml:space="preserve">, Public Notice, DA 26-359 </w:t>
      </w:r>
      <w:r>
        <w:t>(PSHSB</w:t>
      </w:r>
      <w:r w:rsidRPr="00A76F2E">
        <w:t xml:space="preserve"> Apr</w:t>
      </w:r>
      <w:r>
        <w:t>.</w:t>
      </w:r>
      <w:r w:rsidRPr="00A76F2E">
        <w:t xml:space="preserve"> 13, 2026).</w:t>
      </w:r>
    </w:p>
  </w:footnote>
  <w:footnote w:id="4">
    <w:p w:rsidR="00AA61E5" w:rsidRPr="009C4FC4" w:rsidP="00AA61E5" w14:paraId="508F7E4C" w14:textId="77777777">
      <w:pPr>
        <w:pStyle w:val="FootnoteText"/>
        <w:spacing w:before="120"/>
      </w:pPr>
      <w:r w:rsidRPr="00C46062">
        <w:rPr>
          <w:rStyle w:val="FootnoteReference"/>
          <w:sz w:val="20"/>
        </w:rPr>
        <w:footnoteRef/>
      </w:r>
      <w:r>
        <w:t xml:space="preserve"> </w:t>
      </w:r>
      <w:r w:rsidRPr="00EF019B">
        <w:rPr>
          <w:i/>
          <w:iCs/>
        </w:rPr>
        <w:t xml:space="preserve">The Federal Communications Commission </w:t>
      </w:r>
      <w:r>
        <w:rPr>
          <w:i/>
          <w:iCs/>
        </w:rPr>
        <w:t xml:space="preserve">Announces the Expansion of the </w:t>
      </w:r>
      <w:r w:rsidRPr="00EF019B">
        <w:rPr>
          <w:i/>
          <w:iCs/>
        </w:rPr>
        <w:t xml:space="preserve">Disaster Information Reporting System and the Mandatory Disaster Response Initiative In Response To </w:t>
      </w:r>
      <w:r>
        <w:rPr>
          <w:i/>
          <w:iCs/>
        </w:rPr>
        <w:t>Super Typhoon Sinlaku</w:t>
      </w:r>
      <w:r>
        <w:t>, Public Notice, DA 26-371 (PSHSB Apr. 15, 2026).</w:t>
      </w:r>
    </w:p>
  </w:footnote>
  <w:footnote w:id="5">
    <w:p w:rsidR="00F3773B" w:rsidP="00F3773B" w14:paraId="0A7EEAE9" w14:textId="77777777">
      <w:pPr>
        <w:pStyle w:val="FootnoteText"/>
        <w:spacing w:before="120"/>
      </w:pPr>
      <w:r w:rsidRPr="00C46062">
        <w:rPr>
          <w:rStyle w:val="FootnoteReference"/>
          <w:sz w:val="20"/>
        </w:rPr>
        <w:footnoteRef/>
      </w:r>
      <w:r>
        <w:t xml:space="preserve"> </w:t>
      </w:r>
      <w:r>
        <w:rPr>
          <w:i/>
          <w:iCs/>
        </w:rPr>
        <w:t xml:space="preserve">See </w:t>
      </w:r>
      <w:r>
        <w:t xml:space="preserve">47 CFR § 4.18(a)(1). </w:t>
      </w:r>
    </w:p>
  </w:footnote>
  <w:footnote w:id="6">
    <w:p w:rsidR="00F3773B" w:rsidP="00F3773B" w14:paraId="4206AA89" w14:textId="77777777">
      <w:pPr>
        <w:pStyle w:val="FootnoteText"/>
        <w:spacing w:before="120"/>
      </w:pPr>
      <w:r w:rsidRPr="00C46062">
        <w:rPr>
          <w:rStyle w:val="FootnoteReference"/>
          <w:sz w:val="20"/>
        </w:rPr>
        <w:footnoteRef/>
      </w:r>
      <w:r>
        <w:t xml:space="preserve"> 47 CFR § 4.18(a)(2).  </w:t>
      </w:r>
    </w:p>
  </w:footnote>
  <w:footnote w:id="7">
    <w:p w:rsidR="00F3773B" w:rsidRPr="00EE261D" w:rsidP="00F3773B" w14:paraId="14C924F6" w14:textId="77777777">
      <w:pPr>
        <w:pStyle w:val="FootnoteText"/>
        <w:spacing w:before="120"/>
      </w:pPr>
      <w:r w:rsidRPr="00A36DF2">
        <w:rPr>
          <w:rStyle w:val="FootnoteReference"/>
          <w:sz w:val="20"/>
        </w:rPr>
        <w:footnoteRef/>
      </w:r>
      <w:r w:rsidRPr="00EE261D">
        <w:t xml:space="preserve"> </w:t>
      </w:r>
      <w:r>
        <w:rPr>
          <w:i/>
          <w:iCs/>
        </w:rPr>
        <w:t xml:space="preserve">See </w:t>
      </w:r>
      <w:r w:rsidRPr="00EE261D">
        <w:t xml:space="preserve">47 CFR </w:t>
      </w:r>
      <w:r>
        <w:t xml:space="preserve">§ </w:t>
      </w:r>
      <w:r w:rsidRPr="00EE261D">
        <w:t>4</w:t>
      </w:r>
      <w:r>
        <w:t>.18(b)</w:t>
      </w:r>
      <w:r w:rsidRPr="00EE261D">
        <w:t>.</w:t>
      </w:r>
    </w:p>
  </w:footnote>
  <w:footnote w:id="8">
    <w:p w:rsidR="00053B24" w:rsidRPr="00CA7EEC" w:rsidP="00053B24" w14:paraId="4F8C313B" w14:textId="7A14196B">
      <w:pPr>
        <w:pStyle w:val="FootnoteText"/>
        <w:spacing w:before="120"/>
        <w:rPr>
          <w:color w:val="000000"/>
        </w:rPr>
      </w:pPr>
      <w:r w:rsidRPr="00CA7EEC">
        <w:rPr>
          <w:rStyle w:val="FootnoteReference"/>
          <w:color w:val="000000"/>
          <w:sz w:val="20"/>
        </w:rPr>
        <w:footnoteRef/>
      </w:r>
      <w:r w:rsidRPr="00CA7EEC">
        <w:rPr>
          <w:color w:val="000000"/>
        </w:rPr>
        <w:t xml:space="preserve"> </w:t>
      </w:r>
      <w:r w:rsidRPr="00393752">
        <w:rPr>
          <w:i/>
          <w:iCs/>
          <w:color w:val="000000"/>
        </w:rPr>
        <w:t xml:space="preserve">See </w:t>
      </w:r>
      <w:r w:rsidRPr="00CA7EEC">
        <w:rPr>
          <w:color w:val="000000"/>
        </w:rPr>
        <w:t>47 CFR § 4.17(c).</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F30B0" w14:paraId="380B7346"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4284B1A" w14:textId="6EDADEDD">
    <w:pPr>
      <w:tabs>
        <w:tab w:val="center" w:pos="4680"/>
        <w:tab w:val="right" w:pos="9360"/>
      </w:tabs>
    </w:pPr>
    <w:r>
      <w:rPr>
        <w:b/>
      </w:rPr>
      <w:tab/>
      <w:t>Federal Communications Commission</w:t>
    </w:r>
    <w:r>
      <w:rPr>
        <w:b/>
      </w:rPr>
      <w:tab/>
    </w:r>
    <w:r w:rsidR="00C46062">
      <w:rPr>
        <w:b/>
      </w:rPr>
      <w:t>DA 26-</w:t>
    </w:r>
    <w:r w:rsidR="007F30B0">
      <w:rPr>
        <w:b/>
      </w:rPr>
      <w:t>400</w:t>
    </w:r>
  </w:p>
  <w:p w:rsidR="00BA3BA8" w14:paraId="28D5F478" w14:textId="60C2FFA5">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33107922" w14:textId="77777777">
    <w:pPr>
      <w:spacing w:before="40"/>
      <w:rPr>
        <w:rFonts w:ascii="Arial" w:hAnsi="Arial" w:cs="Arial"/>
        <w:b/>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604B1AB5" w14:textId="00316756">
    <w:pPr>
      <w:pStyle w:val="Header"/>
    </w:pPr>
    <w:r>
      <w:rPr>
        <w:noProof/>
      </w:rPr>
      <w:drawing>
        <wp:inline distT="0" distB="0" distL="0" distR="0">
          <wp:extent cx="5943600" cy="14287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333681490">
    <w:abstractNumId w:val="1"/>
  </w:num>
  <w:num w:numId="2" w16cid:durableId="1689521643">
    <w:abstractNumId w:val="5"/>
  </w:num>
  <w:num w:numId="3" w16cid:durableId="479617981">
    <w:abstractNumId w:val="3"/>
  </w:num>
  <w:num w:numId="4" w16cid:durableId="138038560">
    <w:abstractNumId w:val="4"/>
  </w:num>
  <w:num w:numId="5" w16cid:durableId="335115663">
    <w:abstractNumId w:val="2"/>
  </w:num>
  <w:num w:numId="6" w16cid:durableId="13168328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6062"/>
    <w:rsid w:val="00002BA0"/>
    <w:rsid w:val="00004E18"/>
    <w:rsid w:val="00012B2E"/>
    <w:rsid w:val="00036646"/>
    <w:rsid w:val="00053B24"/>
    <w:rsid w:val="000553D4"/>
    <w:rsid w:val="000640F1"/>
    <w:rsid w:val="00065967"/>
    <w:rsid w:val="00090303"/>
    <w:rsid w:val="000967FF"/>
    <w:rsid w:val="000A0A6A"/>
    <w:rsid w:val="000A32CF"/>
    <w:rsid w:val="000A369D"/>
    <w:rsid w:val="000B1610"/>
    <w:rsid w:val="000B3DAD"/>
    <w:rsid w:val="000C701E"/>
    <w:rsid w:val="000F532E"/>
    <w:rsid w:val="00100A1D"/>
    <w:rsid w:val="001116D3"/>
    <w:rsid w:val="0011795C"/>
    <w:rsid w:val="00132E40"/>
    <w:rsid w:val="001410CE"/>
    <w:rsid w:val="001413C0"/>
    <w:rsid w:val="00146937"/>
    <w:rsid w:val="00146EFD"/>
    <w:rsid w:val="0015532D"/>
    <w:rsid w:val="001645EE"/>
    <w:rsid w:val="00165B8F"/>
    <w:rsid w:val="00167C4F"/>
    <w:rsid w:val="00173CFF"/>
    <w:rsid w:val="00187D92"/>
    <w:rsid w:val="00193AD9"/>
    <w:rsid w:val="001973B1"/>
    <w:rsid w:val="001C2D79"/>
    <w:rsid w:val="001C3B8C"/>
    <w:rsid w:val="001C746F"/>
    <w:rsid w:val="001C7C82"/>
    <w:rsid w:val="001D1734"/>
    <w:rsid w:val="001D5F2A"/>
    <w:rsid w:val="001D7A69"/>
    <w:rsid w:val="001E0FE0"/>
    <w:rsid w:val="001F3D47"/>
    <w:rsid w:val="00221094"/>
    <w:rsid w:val="00222473"/>
    <w:rsid w:val="00227B1B"/>
    <w:rsid w:val="002346E6"/>
    <w:rsid w:val="00240178"/>
    <w:rsid w:val="00240F3D"/>
    <w:rsid w:val="002425F6"/>
    <w:rsid w:val="002647CE"/>
    <w:rsid w:val="0028272A"/>
    <w:rsid w:val="00294EFC"/>
    <w:rsid w:val="002A1027"/>
    <w:rsid w:val="002A551D"/>
    <w:rsid w:val="002C0E39"/>
    <w:rsid w:val="002C66C8"/>
    <w:rsid w:val="002C7200"/>
    <w:rsid w:val="002C734D"/>
    <w:rsid w:val="002D1EFE"/>
    <w:rsid w:val="002D2893"/>
    <w:rsid w:val="002D30E3"/>
    <w:rsid w:val="002D4B40"/>
    <w:rsid w:val="002D7F53"/>
    <w:rsid w:val="002E1BAE"/>
    <w:rsid w:val="002E62A9"/>
    <w:rsid w:val="002E6670"/>
    <w:rsid w:val="002F5A2D"/>
    <w:rsid w:val="002F5D12"/>
    <w:rsid w:val="00303CC5"/>
    <w:rsid w:val="003271A3"/>
    <w:rsid w:val="003311A6"/>
    <w:rsid w:val="003328A2"/>
    <w:rsid w:val="00332984"/>
    <w:rsid w:val="00335F71"/>
    <w:rsid w:val="00340EA0"/>
    <w:rsid w:val="00341029"/>
    <w:rsid w:val="00344949"/>
    <w:rsid w:val="0035429A"/>
    <w:rsid w:val="00360666"/>
    <w:rsid w:val="00365088"/>
    <w:rsid w:val="00373238"/>
    <w:rsid w:val="00384DD3"/>
    <w:rsid w:val="00393453"/>
    <w:rsid w:val="00393752"/>
    <w:rsid w:val="003A6CB7"/>
    <w:rsid w:val="003B0F00"/>
    <w:rsid w:val="003B41EE"/>
    <w:rsid w:val="003B6BE2"/>
    <w:rsid w:val="003C7661"/>
    <w:rsid w:val="003E3C1A"/>
    <w:rsid w:val="003F3BAC"/>
    <w:rsid w:val="003F5DE7"/>
    <w:rsid w:val="00411A94"/>
    <w:rsid w:val="00430183"/>
    <w:rsid w:val="004423A3"/>
    <w:rsid w:val="004456EF"/>
    <w:rsid w:val="00455597"/>
    <w:rsid w:val="00463DAB"/>
    <w:rsid w:val="00472D65"/>
    <w:rsid w:val="00475C64"/>
    <w:rsid w:val="004B1083"/>
    <w:rsid w:val="004C6029"/>
    <w:rsid w:val="004F0A33"/>
    <w:rsid w:val="004F27EE"/>
    <w:rsid w:val="004F2FDB"/>
    <w:rsid w:val="004F3383"/>
    <w:rsid w:val="004F535F"/>
    <w:rsid w:val="00500A55"/>
    <w:rsid w:val="00511CBD"/>
    <w:rsid w:val="0052596E"/>
    <w:rsid w:val="005301BF"/>
    <w:rsid w:val="0053223E"/>
    <w:rsid w:val="00534D6B"/>
    <w:rsid w:val="00546CDC"/>
    <w:rsid w:val="00550736"/>
    <w:rsid w:val="00550AB6"/>
    <w:rsid w:val="00561B61"/>
    <w:rsid w:val="005621B2"/>
    <w:rsid w:val="005669F4"/>
    <w:rsid w:val="005679B2"/>
    <w:rsid w:val="005833F8"/>
    <w:rsid w:val="00587948"/>
    <w:rsid w:val="005902AE"/>
    <w:rsid w:val="005A2589"/>
    <w:rsid w:val="005A61CF"/>
    <w:rsid w:val="005B240A"/>
    <w:rsid w:val="005B58C8"/>
    <w:rsid w:val="005C5DC5"/>
    <w:rsid w:val="005C76EB"/>
    <w:rsid w:val="005D7AD8"/>
    <w:rsid w:val="005F65F2"/>
    <w:rsid w:val="0060363A"/>
    <w:rsid w:val="00604505"/>
    <w:rsid w:val="00624C7A"/>
    <w:rsid w:val="00625880"/>
    <w:rsid w:val="00627769"/>
    <w:rsid w:val="00633844"/>
    <w:rsid w:val="006340DB"/>
    <w:rsid w:val="006542D5"/>
    <w:rsid w:val="00660AC7"/>
    <w:rsid w:val="00661B3F"/>
    <w:rsid w:val="00684D89"/>
    <w:rsid w:val="00691421"/>
    <w:rsid w:val="006925D6"/>
    <w:rsid w:val="006A2CB6"/>
    <w:rsid w:val="006C0EBB"/>
    <w:rsid w:val="006C2465"/>
    <w:rsid w:val="006C45B3"/>
    <w:rsid w:val="006C48F0"/>
    <w:rsid w:val="006C64D8"/>
    <w:rsid w:val="006D0EAC"/>
    <w:rsid w:val="006E4628"/>
    <w:rsid w:val="006F5643"/>
    <w:rsid w:val="00737717"/>
    <w:rsid w:val="00774A6F"/>
    <w:rsid w:val="0078537D"/>
    <w:rsid w:val="007862F6"/>
    <w:rsid w:val="007A03CF"/>
    <w:rsid w:val="007A170F"/>
    <w:rsid w:val="007A1BF1"/>
    <w:rsid w:val="007C1840"/>
    <w:rsid w:val="007C422B"/>
    <w:rsid w:val="007D596B"/>
    <w:rsid w:val="007F30B0"/>
    <w:rsid w:val="007F5E68"/>
    <w:rsid w:val="00803E98"/>
    <w:rsid w:val="00814134"/>
    <w:rsid w:val="0085336D"/>
    <w:rsid w:val="00863EB4"/>
    <w:rsid w:val="00873214"/>
    <w:rsid w:val="00873962"/>
    <w:rsid w:val="00880D34"/>
    <w:rsid w:val="00884600"/>
    <w:rsid w:val="00893F33"/>
    <w:rsid w:val="00895D6C"/>
    <w:rsid w:val="008A10F7"/>
    <w:rsid w:val="008A246D"/>
    <w:rsid w:val="008B4278"/>
    <w:rsid w:val="008B5248"/>
    <w:rsid w:val="008C2A26"/>
    <w:rsid w:val="008C32D3"/>
    <w:rsid w:val="008C4E1B"/>
    <w:rsid w:val="008C570D"/>
    <w:rsid w:val="008D1882"/>
    <w:rsid w:val="008D27E4"/>
    <w:rsid w:val="008D2C2E"/>
    <w:rsid w:val="008D6441"/>
    <w:rsid w:val="008E1E98"/>
    <w:rsid w:val="008F7407"/>
    <w:rsid w:val="00906D2C"/>
    <w:rsid w:val="00924CB1"/>
    <w:rsid w:val="00926A43"/>
    <w:rsid w:val="00934932"/>
    <w:rsid w:val="0094185D"/>
    <w:rsid w:val="00947AEB"/>
    <w:rsid w:val="009513C5"/>
    <w:rsid w:val="0097475F"/>
    <w:rsid w:val="00976796"/>
    <w:rsid w:val="009917FA"/>
    <w:rsid w:val="009A0709"/>
    <w:rsid w:val="009C4FC4"/>
    <w:rsid w:val="009E012D"/>
    <w:rsid w:val="009E1ABC"/>
    <w:rsid w:val="009E614C"/>
    <w:rsid w:val="009F0301"/>
    <w:rsid w:val="009F299E"/>
    <w:rsid w:val="00A20679"/>
    <w:rsid w:val="00A24DA3"/>
    <w:rsid w:val="00A253FF"/>
    <w:rsid w:val="00A34316"/>
    <w:rsid w:val="00A357C4"/>
    <w:rsid w:val="00A524D5"/>
    <w:rsid w:val="00A53299"/>
    <w:rsid w:val="00A56D08"/>
    <w:rsid w:val="00A62C10"/>
    <w:rsid w:val="00A657BB"/>
    <w:rsid w:val="00A74268"/>
    <w:rsid w:val="00A76F2E"/>
    <w:rsid w:val="00A85F58"/>
    <w:rsid w:val="00A93803"/>
    <w:rsid w:val="00A95223"/>
    <w:rsid w:val="00A95368"/>
    <w:rsid w:val="00AA314D"/>
    <w:rsid w:val="00AA5BDF"/>
    <w:rsid w:val="00AA61E5"/>
    <w:rsid w:val="00AD12A2"/>
    <w:rsid w:val="00AF0AD9"/>
    <w:rsid w:val="00AF2B73"/>
    <w:rsid w:val="00B04F25"/>
    <w:rsid w:val="00B06B43"/>
    <w:rsid w:val="00B06F12"/>
    <w:rsid w:val="00B0743A"/>
    <w:rsid w:val="00B12DB7"/>
    <w:rsid w:val="00B147F3"/>
    <w:rsid w:val="00B17057"/>
    <w:rsid w:val="00B25F24"/>
    <w:rsid w:val="00B26E80"/>
    <w:rsid w:val="00B37B83"/>
    <w:rsid w:val="00B513F2"/>
    <w:rsid w:val="00B63EDB"/>
    <w:rsid w:val="00B76D78"/>
    <w:rsid w:val="00B81C11"/>
    <w:rsid w:val="00B932C0"/>
    <w:rsid w:val="00B951A6"/>
    <w:rsid w:val="00BA3BA8"/>
    <w:rsid w:val="00BB6B54"/>
    <w:rsid w:val="00BB7119"/>
    <w:rsid w:val="00BC24E4"/>
    <w:rsid w:val="00BD21AF"/>
    <w:rsid w:val="00BF42E7"/>
    <w:rsid w:val="00C04495"/>
    <w:rsid w:val="00C2532F"/>
    <w:rsid w:val="00C46062"/>
    <w:rsid w:val="00C46C7B"/>
    <w:rsid w:val="00C62C07"/>
    <w:rsid w:val="00C72779"/>
    <w:rsid w:val="00C77C16"/>
    <w:rsid w:val="00CA4D00"/>
    <w:rsid w:val="00CA7EEC"/>
    <w:rsid w:val="00CB26CB"/>
    <w:rsid w:val="00CB535D"/>
    <w:rsid w:val="00CC2F82"/>
    <w:rsid w:val="00CC50F5"/>
    <w:rsid w:val="00CD6CD9"/>
    <w:rsid w:val="00CE1DB3"/>
    <w:rsid w:val="00CE1EE1"/>
    <w:rsid w:val="00CF4402"/>
    <w:rsid w:val="00D02126"/>
    <w:rsid w:val="00D02FAF"/>
    <w:rsid w:val="00D03418"/>
    <w:rsid w:val="00D073E9"/>
    <w:rsid w:val="00D07F55"/>
    <w:rsid w:val="00D16FAF"/>
    <w:rsid w:val="00D31707"/>
    <w:rsid w:val="00D44FA6"/>
    <w:rsid w:val="00D51B3E"/>
    <w:rsid w:val="00D51BAC"/>
    <w:rsid w:val="00D55F2A"/>
    <w:rsid w:val="00D74AEE"/>
    <w:rsid w:val="00D87BD9"/>
    <w:rsid w:val="00D87DAF"/>
    <w:rsid w:val="00DA13A2"/>
    <w:rsid w:val="00DC2E1E"/>
    <w:rsid w:val="00DD6F4D"/>
    <w:rsid w:val="00DE4729"/>
    <w:rsid w:val="00DF121E"/>
    <w:rsid w:val="00DF4E68"/>
    <w:rsid w:val="00E01A8B"/>
    <w:rsid w:val="00E21387"/>
    <w:rsid w:val="00E445FE"/>
    <w:rsid w:val="00E50765"/>
    <w:rsid w:val="00E83269"/>
    <w:rsid w:val="00E959FE"/>
    <w:rsid w:val="00EA0166"/>
    <w:rsid w:val="00EA11F2"/>
    <w:rsid w:val="00EB0804"/>
    <w:rsid w:val="00EB3150"/>
    <w:rsid w:val="00EB7CF6"/>
    <w:rsid w:val="00EC323C"/>
    <w:rsid w:val="00EC4A32"/>
    <w:rsid w:val="00EE1331"/>
    <w:rsid w:val="00EE261D"/>
    <w:rsid w:val="00EF019B"/>
    <w:rsid w:val="00EF466B"/>
    <w:rsid w:val="00EF5A12"/>
    <w:rsid w:val="00F03EA1"/>
    <w:rsid w:val="00F05E3A"/>
    <w:rsid w:val="00F12E24"/>
    <w:rsid w:val="00F25AD1"/>
    <w:rsid w:val="00F26C6B"/>
    <w:rsid w:val="00F35091"/>
    <w:rsid w:val="00F3773B"/>
    <w:rsid w:val="00F42A91"/>
    <w:rsid w:val="00F42ACE"/>
    <w:rsid w:val="00F62F94"/>
    <w:rsid w:val="00F6547D"/>
    <w:rsid w:val="00F76E66"/>
    <w:rsid w:val="00F76E7D"/>
    <w:rsid w:val="00F804EB"/>
    <w:rsid w:val="00F93367"/>
    <w:rsid w:val="00F93D9B"/>
    <w:rsid w:val="00F968C7"/>
    <w:rsid w:val="00FA2A13"/>
    <w:rsid w:val="00FA72A1"/>
    <w:rsid w:val="00FD22E2"/>
    <w:rsid w:val="00FF21E1"/>
    <w:rsid w:val="00FF427B"/>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7C8E2492"/>
  <w15:chartTrackingRefBased/>
  <w15:docId w15:val="{837C2D3E-10C4-46D2-AE5F-9CD3722D4F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
    <w:link w:val="FootnoteTextChar"/>
    <w:uiPriority w:val="99"/>
    <w:pPr>
      <w:spacing w:after="120"/>
    </w:p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uiPriority w:val="99"/>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link w:val="FootnoteText"/>
    <w:uiPriority w:val="99"/>
    <w:rsid w:val="00C46062"/>
  </w:style>
  <w:style w:type="character" w:styleId="FollowedHyperlink">
    <w:name w:val="FollowedHyperlink"/>
    <w:basedOn w:val="DefaultParagraphFont"/>
    <w:uiPriority w:val="99"/>
    <w:semiHidden/>
    <w:unhideWhenUsed/>
    <w:rsid w:val="00C46062"/>
    <w:rPr>
      <w:color w:val="96607D" w:themeColor="followedHyperlink"/>
      <w:u w:val="single"/>
    </w:rPr>
  </w:style>
  <w:style w:type="character" w:styleId="CommentReference">
    <w:name w:val="annotation reference"/>
    <w:basedOn w:val="DefaultParagraphFont"/>
    <w:uiPriority w:val="99"/>
    <w:semiHidden/>
    <w:unhideWhenUsed/>
    <w:rsid w:val="00053B24"/>
    <w:rPr>
      <w:sz w:val="16"/>
      <w:szCs w:val="16"/>
    </w:rPr>
  </w:style>
  <w:style w:type="paragraph" w:styleId="CommentText">
    <w:name w:val="annotation text"/>
    <w:basedOn w:val="Normal"/>
    <w:link w:val="CommentTextChar"/>
    <w:uiPriority w:val="99"/>
    <w:unhideWhenUsed/>
    <w:rsid w:val="00053B24"/>
    <w:rPr>
      <w:sz w:val="20"/>
    </w:rPr>
  </w:style>
  <w:style w:type="character" w:customStyle="1" w:styleId="CommentTextChar">
    <w:name w:val="Comment Text Char"/>
    <w:basedOn w:val="DefaultParagraphFont"/>
    <w:link w:val="CommentText"/>
    <w:uiPriority w:val="99"/>
    <w:rsid w:val="00053B24"/>
    <w:rPr>
      <w:snapToGrid w:val="0"/>
      <w:kern w:val="28"/>
    </w:rPr>
  </w:style>
  <w:style w:type="paragraph" w:styleId="CommentSubject">
    <w:name w:val="annotation subject"/>
    <w:basedOn w:val="CommentText"/>
    <w:next w:val="CommentText"/>
    <w:link w:val="CommentSubjectChar"/>
    <w:uiPriority w:val="99"/>
    <w:semiHidden/>
    <w:unhideWhenUsed/>
    <w:rsid w:val="00053B24"/>
    <w:rPr>
      <w:b/>
      <w:bCs/>
    </w:rPr>
  </w:style>
  <w:style w:type="character" w:customStyle="1" w:styleId="CommentSubjectChar">
    <w:name w:val="Comment Subject Char"/>
    <w:basedOn w:val="CommentTextChar"/>
    <w:link w:val="CommentSubject"/>
    <w:uiPriority w:val="99"/>
    <w:semiHidden/>
    <w:rsid w:val="00053B24"/>
    <w:rPr>
      <w:b/>
      <w:bCs/>
      <w:snapToGrid w:val="0"/>
      <w:kern w:val="28"/>
    </w:rPr>
  </w:style>
  <w:style w:type="paragraph" w:styleId="Revision">
    <w:name w:val="Revision"/>
    <w:hidden/>
    <w:uiPriority w:val="99"/>
    <w:semiHidden/>
    <w:rsid w:val="00546CDC"/>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FCCOPS@fcc.gov" TargetMode="External" /><Relationship Id="rId11" Type="http://schemas.openxmlformats.org/officeDocument/2006/relationships/hyperlink" Target="mailto:justin.cain@fcc.gov" TargetMode="External" /><Relationship Id="rId12" Type="http://schemas.openxmlformats.org/officeDocument/2006/relationships/hyperlink" Target="mailto:logan.bennett@fcc.gov" TargetMode="External" /><Relationship Id="rId13" Type="http://schemas.openxmlformats.org/officeDocument/2006/relationships/hyperlink" Target="https://www.fcc.gov/Sinlaku" TargetMode="Externa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endnotes" Target="endnotes.xml" /><Relationship Id="rId20" Type="http://schemas.openxmlformats.org/officeDocument/2006/relationships/theme" Target="theme/theme1.xml" /><Relationship Id="rId21" Type="http://schemas.openxmlformats.org/officeDocument/2006/relationships/numbering" Target="numbering.xml" /><Relationship Id="rId2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MDRI@fcc.gov" TargetMode="External" /><Relationship Id="rId7" Type="http://schemas.openxmlformats.org/officeDocument/2006/relationships/hyperlink" Target="mailto:michael.caiafa@fcc.gov" TargetMode="External" /><Relationship Id="rId8" Type="http://schemas.openxmlformats.org/officeDocument/2006/relationships/hyperlink" Target="mailto:juan.chapa@fcc.gov" TargetMode="External" /><Relationship Id="rId9" Type="http://schemas.openxmlformats.org/officeDocument/2006/relationships/hyperlink" Target="mailto:john.healy@fcc.gov" TargetMode="External" /></Relationships>
</file>

<file path=word/_rels/header3.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