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attachedToolbars.bin" ContentType="application/vnd.ms-word.attachedToolbars"/>
  <Override PartName="/word/customizations.xml" ContentType="application/vnd.ms-word.keyMapCustomization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 Generated by Aspose.Words for Java 24.11.0 -->
  <w:body>
    <w:p w:rsidR="00BA3BA8" w:rsidRPr="005E10A2" w14:paraId="05E20BDE" w14:textId="62E970CE">
      <w:pPr>
        <w:jc w:val="right"/>
        <w:rPr>
          <w:b/>
          <w:szCs w:val="22"/>
        </w:rPr>
      </w:pPr>
      <w:r w:rsidRPr="005E10A2">
        <w:rPr>
          <w:b/>
          <w:szCs w:val="22"/>
        </w:rPr>
        <w:t xml:space="preserve">DA </w:t>
      </w:r>
      <w:r w:rsidR="00F53877">
        <w:rPr>
          <w:b/>
          <w:szCs w:val="22"/>
        </w:rPr>
        <w:t>26-407</w:t>
      </w:r>
    </w:p>
    <w:p w:rsidR="00BA3BA8" w:rsidRPr="000E451F" w14:paraId="4BEDFF84" w14:textId="3BE98A67">
      <w:pPr>
        <w:spacing w:before="60"/>
        <w:jc w:val="right"/>
        <w:rPr>
          <w:b/>
          <w:szCs w:val="22"/>
        </w:rPr>
      </w:pPr>
      <w:r w:rsidRPr="005E10A2">
        <w:rPr>
          <w:b/>
          <w:szCs w:val="22"/>
        </w:rPr>
        <w:t>Released</w:t>
      </w:r>
      <w:r w:rsidRPr="005E10A2">
        <w:rPr>
          <w:b/>
          <w:szCs w:val="22"/>
        </w:rPr>
        <w:t>:</w:t>
      </w:r>
      <w:r w:rsidRPr="000E451F">
        <w:rPr>
          <w:b/>
          <w:szCs w:val="22"/>
        </w:rPr>
        <w:t xml:space="preserve">  </w:t>
      </w:r>
      <w:r w:rsidR="005E10A2">
        <w:rPr>
          <w:b/>
          <w:szCs w:val="22"/>
        </w:rPr>
        <w:t>April</w:t>
      </w:r>
      <w:r w:rsidR="005E10A2">
        <w:rPr>
          <w:b/>
          <w:szCs w:val="22"/>
        </w:rPr>
        <w:t xml:space="preserve"> 24, 2026</w:t>
      </w:r>
    </w:p>
    <w:p w:rsidR="00BA3BA8" w:rsidRPr="000E451F" w14:paraId="047049D1" w14:textId="77777777">
      <w:pPr>
        <w:jc w:val="right"/>
        <w:rPr>
          <w:szCs w:val="22"/>
        </w:rPr>
      </w:pPr>
    </w:p>
    <w:p w:rsidR="00BA3BA8" w:rsidRPr="000E451F" w14:paraId="62CC88C0" w14:textId="49C9C3B2">
      <w:pPr>
        <w:spacing w:after="240"/>
        <w:jc w:val="center"/>
        <w:rPr>
          <w:b/>
          <w:caps/>
          <w:szCs w:val="22"/>
        </w:rPr>
      </w:pPr>
      <w:bookmarkStart w:id="0" w:name="_Hlk208930736"/>
      <w:r>
        <w:rPr>
          <w:b/>
          <w:caps/>
          <w:szCs w:val="22"/>
        </w:rPr>
        <w:t>Public safety and homeland security</w:t>
      </w:r>
      <w:r w:rsidRPr="000E451F" w:rsidR="00037058">
        <w:rPr>
          <w:b/>
          <w:caps/>
          <w:szCs w:val="22"/>
        </w:rPr>
        <w:t xml:space="preserve"> Bureau Seeks Comment on </w:t>
      </w:r>
      <w:r>
        <w:rPr>
          <w:b/>
          <w:caps/>
          <w:szCs w:val="22"/>
        </w:rPr>
        <w:t>verizon</w:t>
      </w:r>
      <w:bookmarkEnd w:id="0"/>
      <w:r>
        <w:rPr>
          <w:b/>
          <w:caps/>
          <w:szCs w:val="22"/>
        </w:rPr>
        <w:t xml:space="preserve"> petition for waiver</w:t>
      </w:r>
      <w:r w:rsidR="00625AC4">
        <w:rPr>
          <w:b/>
          <w:caps/>
          <w:szCs w:val="22"/>
        </w:rPr>
        <w:t xml:space="preserve"> of </w:t>
      </w:r>
      <w:r w:rsidR="00D31E75">
        <w:rPr>
          <w:b/>
          <w:caps/>
          <w:szCs w:val="22"/>
        </w:rPr>
        <w:t xml:space="preserve">NExt generation 911 (NG911) </w:t>
      </w:r>
      <w:r w:rsidR="00625AC4">
        <w:rPr>
          <w:b/>
          <w:caps/>
          <w:szCs w:val="22"/>
        </w:rPr>
        <w:t>Pha</w:t>
      </w:r>
      <w:r w:rsidR="001240FC">
        <w:rPr>
          <w:b/>
          <w:caps/>
          <w:szCs w:val="22"/>
        </w:rPr>
        <w:t>se 1</w:t>
      </w:r>
      <w:r w:rsidR="00161CA7">
        <w:rPr>
          <w:b/>
          <w:caps/>
          <w:szCs w:val="22"/>
        </w:rPr>
        <w:t xml:space="preserve"> </w:t>
      </w:r>
      <w:r w:rsidR="00597CC0">
        <w:rPr>
          <w:b/>
          <w:caps/>
          <w:szCs w:val="22"/>
        </w:rPr>
        <w:t>Deadlines</w:t>
      </w:r>
    </w:p>
    <w:p w:rsidR="00BA3BA8" w:rsidRPr="000E451F" w:rsidP="00361E02" w14:paraId="2EA28327" w14:textId="5D3556FD">
      <w:pPr>
        <w:jc w:val="center"/>
        <w:rPr>
          <w:b/>
          <w:szCs w:val="22"/>
        </w:rPr>
      </w:pPr>
      <w:r>
        <w:rPr>
          <w:b/>
          <w:szCs w:val="22"/>
        </w:rPr>
        <w:t>PS</w:t>
      </w:r>
      <w:r w:rsidRPr="000E451F" w:rsidR="00037058">
        <w:rPr>
          <w:b/>
          <w:szCs w:val="22"/>
        </w:rPr>
        <w:t xml:space="preserve"> Docket No</w:t>
      </w:r>
      <w:r w:rsidR="003E4DD4">
        <w:rPr>
          <w:b/>
          <w:szCs w:val="22"/>
        </w:rPr>
        <w:t>s</w:t>
      </w:r>
      <w:r w:rsidRPr="000E451F" w:rsidR="00037058">
        <w:rPr>
          <w:b/>
          <w:szCs w:val="22"/>
        </w:rPr>
        <w:t xml:space="preserve">. </w:t>
      </w:r>
      <w:r w:rsidR="00343EA3">
        <w:rPr>
          <w:b/>
          <w:szCs w:val="22"/>
        </w:rPr>
        <w:t>2</w:t>
      </w:r>
      <w:bookmarkStart w:id="1" w:name="TOChere"/>
      <w:r>
        <w:rPr>
          <w:b/>
          <w:szCs w:val="22"/>
        </w:rPr>
        <w:t>1-479</w:t>
      </w:r>
      <w:r w:rsidR="003E4DD4">
        <w:rPr>
          <w:b/>
          <w:szCs w:val="22"/>
        </w:rPr>
        <w:t xml:space="preserve">, </w:t>
      </w:r>
      <w:r w:rsidR="0017670E">
        <w:rPr>
          <w:b/>
          <w:szCs w:val="22"/>
        </w:rPr>
        <w:t>25-143</w:t>
      </w:r>
    </w:p>
    <w:p w:rsidR="00BA3BA8" w:rsidRPr="000E451F" w14:paraId="0A93FA6C" w14:textId="77777777">
      <w:pPr>
        <w:rPr>
          <w:szCs w:val="22"/>
        </w:rPr>
      </w:pPr>
    </w:p>
    <w:bookmarkEnd w:id="1"/>
    <w:p w:rsidR="00BA3BA8" w:rsidRPr="000E451F" w14:paraId="69FAB8E7" w14:textId="560D3331">
      <w:pPr>
        <w:rPr>
          <w:b/>
          <w:bCs/>
          <w:szCs w:val="22"/>
        </w:rPr>
      </w:pPr>
      <w:r w:rsidRPr="000E451F">
        <w:rPr>
          <w:b/>
          <w:bCs/>
          <w:szCs w:val="22"/>
        </w:rPr>
        <w:t xml:space="preserve">Comments </w:t>
      </w:r>
      <w:r w:rsidR="001E52B1">
        <w:rPr>
          <w:b/>
          <w:bCs/>
          <w:szCs w:val="22"/>
        </w:rPr>
        <w:t>D</w:t>
      </w:r>
      <w:r w:rsidRPr="000E451F">
        <w:rPr>
          <w:b/>
          <w:bCs/>
          <w:szCs w:val="22"/>
        </w:rPr>
        <w:t>ue</w:t>
      </w:r>
      <w:r w:rsidRPr="000E451F">
        <w:rPr>
          <w:b/>
          <w:bCs/>
          <w:szCs w:val="22"/>
        </w:rPr>
        <w:t xml:space="preserve">: </w:t>
      </w:r>
      <w:r w:rsidR="001E52B1">
        <w:rPr>
          <w:b/>
          <w:bCs/>
          <w:szCs w:val="22"/>
        </w:rPr>
        <w:t xml:space="preserve"> </w:t>
      </w:r>
      <w:r w:rsidR="005E10A2">
        <w:rPr>
          <w:b/>
          <w:bCs/>
          <w:szCs w:val="22"/>
        </w:rPr>
        <w:t>May</w:t>
      </w:r>
      <w:r w:rsidR="005E10A2">
        <w:rPr>
          <w:b/>
          <w:bCs/>
          <w:szCs w:val="22"/>
        </w:rPr>
        <w:t xml:space="preserve"> 4, 2026</w:t>
      </w:r>
    </w:p>
    <w:p w:rsidR="00361E02" w:rsidRPr="000E451F" w14:paraId="2CBD6AA4" w14:textId="164BD9D7">
      <w:pPr>
        <w:rPr>
          <w:b/>
          <w:bCs/>
          <w:szCs w:val="22"/>
        </w:rPr>
      </w:pPr>
      <w:r w:rsidRPr="000E451F">
        <w:rPr>
          <w:b/>
          <w:bCs/>
          <w:szCs w:val="22"/>
        </w:rPr>
        <w:t xml:space="preserve">Reply Comments </w:t>
      </w:r>
      <w:r w:rsidR="001E52B1">
        <w:rPr>
          <w:b/>
          <w:bCs/>
          <w:szCs w:val="22"/>
        </w:rPr>
        <w:t>D</w:t>
      </w:r>
      <w:r w:rsidRPr="000E451F">
        <w:rPr>
          <w:b/>
          <w:bCs/>
          <w:szCs w:val="22"/>
        </w:rPr>
        <w:t>ue</w:t>
      </w:r>
      <w:r w:rsidRPr="000E451F">
        <w:rPr>
          <w:b/>
          <w:bCs/>
          <w:szCs w:val="22"/>
        </w:rPr>
        <w:t xml:space="preserve">: </w:t>
      </w:r>
      <w:r w:rsidR="001E52B1">
        <w:rPr>
          <w:b/>
          <w:bCs/>
          <w:szCs w:val="22"/>
        </w:rPr>
        <w:t xml:space="preserve"> </w:t>
      </w:r>
      <w:r w:rsidR="005E10A2">
        <w:rPr>
          <w:b/>
          <w:bCs/>
          <w:szCs w:val="22"/>
        </w:rPr>
        <w:t>May</w:t>
      </w:r>
      <w:r w:rsidR="005E10A2">
        <w:rPr>
          <w:b/>
          <w:bCs/>
          <w:szCs w:val="22"/>
        </w:rPr>
        <w:t xml:space="preserve"> 11, 2026</w:t>
      </w:r>
    </w:p>
    <w:p w:rsidR="00361E02" w:rsidRPr="000E451F" w14:paraId="3D96ECCB" w14:textId="77777777">
      <w:pPr>
        <w:rPr>
          <w:b/>
          <w:bCs/>
          <w:szCs w:val="22"/>
        </w:rPr>
      </w:pPr>
    </w:p>
    <w:p w:rsidR="008D76E5" w:rsidP="00D55486" w14:paraId="2FA33172" w14:textId="0E81660E">
      <w:pPr>
        <w:spacing w:after="120"/>
        <w:ind w:firstLine="720"/>
        <w:rPr>
          <w:bCs/>
          <w:szCs w:val="22"/>
        </w:rPr>
      </w:pPr>
      <w:r w:rsidRPr="000E451F">
        <w:rPr>
          <w:bCs/>
          <w:szCs w:val="22"/>
        </w:rPr>
        <w:t>T</w:t>
      </w:r>
      <w:r w:rsidRPr="000E451F" w:rsidR="00A85E49">
        <w:rPr>
          <w:bCs/>
          <w:szCs w:val="22"/>
        </w:rPr>
        <w:t xml:space="preserve">he </w:t>
      </w:r>
      <w:r w:rsidR="00DB273D">
        <w:rPr>
          <w:bCs/>
          <w:szCs w:val="22"/>
        </w:rPr>
        <w:t>Public Safety and Homeland Security</w:t>
      </w:r>
      <w:r w:rsidRPr="000E451F" w:rsidR="00A85E49">
        <w:rPr>
          <w:bCs/>
          <w:szCs w:val="22"/>
        </w:rPr>
        <w:t xml:space="preserve"> Bureau</w:t>
      </w:r>
      <w:r w:rsidRPr="000E451F" w:rsidR="00361E02">
        <w:rPr>
          <w:bCs/>
          <w:szCs w:val="22"/>
        </w:rPr>
        <w:t xml:space="preserve"> </w:t>
      </w:r>
      <w:r w:rsidR="00223DCD">
        <w:rPr>
          <w:bCs/>
          <w:szCs w:val="22"/>
        </w:rPr>
        <w:t xml:space="preserve">(Bureau) </w:t>
      </w:r>
      <w:r w:rsidRPr="000E451F" w:rsidR="00361E02">
        <w:rPr>
          <w:bCs/>
          <w:szCs w:val="22"/>
        </w:rPr>
        <w:t xml:space="preserve">seeks comment on </w:t>
      </w:r>
      <w:r w:rsidR="00C13BBB">
        <w:rPr>
          <w:bCs/>
          <w:szCs w:val="22"/>
        </w:rPr>
        <w:t xml:space="preserve">a </w:t>
      </w:r>
      <w:r w:rsidRPr="000E451F" w:rsidR="00361E02">
        <w:rPr>
          <w:bCs/>
          <w:szCs w:val="22"/>
        </w:rPr>
        <w:t xml:space="preserve">Petition for </w:t>
      </w:r>
      <w:r w:rsidR="00DB273D">
        <w:rPr>
          <w:bCs/>
          <w:szCs w:val="22"/>
        </w:rPr>
        <w:t>Waiver</w:t>
      </w:r>
      <w:r w:rsidR="00C13BBB">
        <w:rPr>
          <w:bCs/>
          <w:szCs w:val="22"/>
        </w:rPr>
        <w:t xml:space="preserve"> </w:t>
      </w:r>
      <w:r w:rsidRPr="000E451F" w:rsidR="00361E02">
        <w:rPr>
          <w:bCs/>
          <w:szCs w:val="22"/>
        </w:rPr>
        <w:t xml:space="preserve">filed by </w:t>
      </w:r>
      <w:r w:rsidR="00DB273D">
        <w:rPr>
          <w:bCs/>
          <w:szCs w:val="22"/>
        </w:rPr>
        <w:t>Verizon</w:t>
      </w:r>
      <w:r w:rsidR="003E6800">
        <w:rPr>
          <w:bCs/>
          <w:szCs w:val="22"/>
        </w:rPr>
        <w:t xml:space="preserve"> on April 17, 2026</w:t>
      </w:r>
      <w:r w:rsidR="00A37619">
        <w:rPr>
          <w:bCs/>
          <w:szCs w:val="22"/>
        </w:rPr>
        <w:t>.</w:t>
      </w:r>
      <w:r>
        <w:rPr>
          <w:rStyle w:val="FootnoteReference"/>
          <w:bCs/>
          <w:szCs w:val="22"/>
        </w:rPr>
        <w:footnoteReference w:id="3"/>
      </w:r>
      <w:r w:rsidR="00510803">
        <w:rPr>
          <w:bCs/>
          <w:szCs w:val="22"/>
        </w:rPr>
        <w:t xml:space="preserve"> </w:t>
      </w:r>
      <w:r w:rsidR="00D62E37">
        <w:rPr>
          <w:bCs/>
          <w:szCs w:val="22"/>
        </w:rPr>
        <w:t xml:space="preserve"> </w:t>
      </w:r>
      <w:r w:rsidR="00510803">
        <w:rPr>
          <w:bCs/>
          <w:szCs w:val="22"/>
        </w:rPr>
        <w:t xml:space="preserve">Verizon requests </w:t>
      </w:r>
      <w:r w:rsidR="00B06C63">
        <w:rPr>
          <w:bCs/>
          <w:szCs w:val="22"/>
        </w:rPr>
        <w:t xml:space="preserve">to extend the deadlines for </w:t>
      </w:r>
      <w:r w:rsidR="0047388C">
        <w:rPr>
          <w:bCs/>
          <w:szCs w:val="22"/>
        </w:rPr>
        <w:t xml:space="preserve">complying with </w:t>
      </w:r>
      <w:r w:rsidR="00B06C63">
        <w:rPr>
          <w:bCs/>
          <w:szCs w:val="22"/>
        </w:rPr>
        <w:t xml:space="preserve">Next Generation 911 </w:t>
      </w:r>
      <w:r w:rsidR="00CC11D0">
        <w:rPr>
          <w:bCs/>
          <w:szCs w:val="22"/>
        </w:rPr>
        <w:t xml:space="preserve">(NG911) </w:t>
      </w:r>
      <w:r w:rsidR="00B06C63">
        <w:rPr>
          <w:bCs/>
          <w:szCs w:val="22"/>
        </w:rPr>
        <w:t xml:space="preserve">Phase 1 requirements in the Commonwealth of Massachusetts and </w:t>
      </w:r>
      <w:r w:rsidR="0047388C">
        <w:rPr>
          <w:bCs/>
          <w:szCs w:val="22"/>
        </w:rPr>
        <w:t>additional jurisdictions</w:t>
      </w:r>
      <w:r w:rsidR="00510803">
        <w:rPr>
          <w:bCs/>
          <w:szCs w:val="22"/>
        </w:rPr>
        <w:t>.</w:t>
      </w:r>
      <w:r>
        <w:rPr>
          <w:rStyle w:val="FootnoteReference"/>
          <w:bCs/>
          <w:szCs w:val="22"/>
        </w:rPr>
        <w:footnoteReference w:id="4"/>
      </w:r>
      <w:r w:rsidR="00510803">
        <w:rPr>
          <w:bCs/>
          <w:szCs w:val="22"/>
        </w:rPr>
        <w:t xml:space="preserve"> </w:t>
      </w:r>
      <w:r w:rsidR="006A424F">
        <w:rPr>
          <w:bCs/>
          <w:szCs w:val="22"/>
        </w:rPr>
        <w:t xml:space="preserve"> </w:t>
      </w:r>
      <w:r w:rsidR="00510803">
        <w:rPr>
          <w:bCs/>
          <w:szCs w:val="22"/>
        </w:rPr>
        <w:t xml:space="preserve">Specifically, Verizon seeks an extension </w:t>
      </w:r>
      <w:r w:rsidR="0017695A">
        <w:rPr>
          <w:bCs/>
          <w:szCs w:val="22"/>
        </w:rPr>
        <w:t xml:space="preserve">of deadlines </w:t>
      </w:r>
      <w:r w:rsidR="00B374AD">
        <w:rPr>
          <w:bCs/>
          <w:szCs w:val="22"/>
        </w:rPr>
        <w:t xml:space="preserve">for </w:t>
      </w:r>
      <w:r w:rsidR="0023776D">
        <w:rPr>
          <w:bCs/>
          <w:szCs w:val="22"/>
        </w:rPr>
        <w:t xml:space="preserve">it to implement Phase 1 for </w:t>
      </w:r>
      <w:r>
        <w:rPr>
          <w:bCs/>
          <w:szCs w:val="22"/>
        </w:rPr>
        <w:t>its wireline services as follows:</w:t>
      </w:r>
    </w:p>
    <w:p w:rsidR="008D76E5" w:rsidRPr="00C630C9" w:rsidP="00D1520D" w14:paraId="02C0F1DA" w14:textId="0D50B1D6">
      <w:pPr>
        <w:pStyle w:val="ListParagraph"/>
        <w:numPr>
          <w:ilvl w:val="0"/>
          <w:numId w:val="11"/>
        </w:numPr>
        <w:spacing w:after="120"/>
        <w:rPr>
          <w:bCs/>
          <w:szCs w:val="22"/>
        </w:rPr>
      </w:pPr>
      <w:r w:rsidRPr="00C630C9">
        <w:rPr>
          <w:bCs/>
          <w:szCs w:val="22"/>
        </w:rPr>
        <w:t>T</w:t>
      </w:r>
      <w:r w:rsidRPr="00C630C9" w:rsidR="00510803">
        <w:rPr>
          <w:bCs/>
          <w:szCs w:val="22"/>
        </w:rPr>
        <w:t>hrough June 30, 2026</w:t>
      </w:r>
      <w:r w:rsidR="004F3991">
        <w:rPr>
          <w:bCs/>
          <w:szCs w:val="22"/>
        </w:rPr>
        <w:t>,</w:t>
      </w:r>
      <w:r w:rsidRPr="00C630C9" w:rsidR="00510803">
        <w:rPr>
          <w:bCs/>
          <w:szCs w:val="22"/>
        </w:rPr>
        <w:t xml:space="preserve"> for </w:t>
      </w:r>
      <w:r w:rsidR="00B100DE">
        <w:rPr>
          <w:bCs/>
          <w:szCs w:val="22"/>
        </w:rPr>
        <w:t xml:space="preserve">Verizon’s </w:t>
      </w:r>
      <w:r w:rsidRPr="00C630C9" w:rsidR="00510803">
        <w:rPr>
          <w:bCs/>
          <w:szCs w:val="22"/>
        </w:rPr>
        <w:t>wireline services in the Commonwealth of Massachusetts</w:t>
      </w:r>
      <w:r>
        <w:rPr>
          <w:rStyle w:val="FootnoteReference"/>
          <w:bCs/>
          <w:szCs w:val="22"/>
        </w:rPr>
        <w:footnoteReference w:id="5"/>
      </w:r>
      <w:r w:rsidRPr="00C630C9" w:rsidR="00510803">
        <w:rPr>
          <w:bCs/>
          <w:szCs w:val="22"/>
        </w:rPr>
        <w:t xml:space="preserve"> and </w:t>
      </w:r>
      <w:r w:rsidR="007350FD">
        <w:rPr>
          <w:bCs/>
          <w:szCs w:val="22"/>
        </w:rPr>
        <w:t xml:space="preserve">in other </w:t>
      </w:r>
      <w:r w:rsidR="00865B39">
        <w:rPr>
          <w:bCs/>
          <w:szCs w:val="22"/>
        </w:rPr>
        <w:t xml:space="preserve">jurisdictions that filed </w:t>
      </w:r>
      <w:r w:rsidRPr="00C630C9" w:rsidR="00272813">
        <w:rPr>
          <w:bCs/>
          <w:szCs w:val="22"/>
        </w:rPr>
        <w:t xml:space="preserve">Phase 1 requests </w:t>
      </w:r>
      <w:r w:rsidRPr="00C630C9" w:rsidR="009339A1">
        <w:rPr>
          <w:bCs/>
          <w:szCs w:val="22"/>
        </w:rPr>
        <w:t>prior to November 1, 2025</w:t>
      </w:r>
      <w:r w:rsidRPr="00C630C9" w:rsidR="00270411">
        <w:rPr>
          <w:bCs/>
          <w:szCs w:val="22"/>
        </w:rPr>
        <w:t>.</w:t>
      </w:r>
      <w:r>
        <w:rPr>
          <w:rStyle w:val="FootnoteReference"/>
          <w:bCs/>
          <w:szCs w:val="22"/>
        </w:rPr>
        <w:footnoteReference w:id="6"/>
      </w:r>
    </w:p>
    <w:p w:rsidR="00C630C9" w:rsidRPr="00C630C9" w:rsidP="00D1520D" w14:paraId="0CEFCA3A" w14:textId="02C7478C">
      <w:pPr>
        <w:pStyle w:val="ListParagraph"/>
        <w:numPr>
          <w:ilvl w:val="0"/>
          <w:numId w:val="11"/>
        </w:numPr>
        <w:spacing w:after="120"/>
        <w:rPr>
          <w:bCs/>
          <w:szCs w:val="22"/>
        </w:rPr>
      </w:pPr>
      <w:r w:rsidRPr="00C630C9">
        <w:rPr>
          <w:bCs/>
          <w:szCs w:val="22"/>
        </w:rPr>
        <w:t>T</w:t>
      </w:r>
      <w:r w:rsidRPr="00C630C9" w:rsidR="009339A1">
        <w:rPr>
          <w:bCs/>
          <w:szCs w:val="22"/>
        </w:rPr>
        <w:t xml:space="preserve">hrough July 31, </w:t>
      </w:r>
      <w:r w:rsidRPr="00C630C9" w:rsidR="009339A1">
        <w:rPr>
          <w:bCs/>
          <w:szCs w:val="22"/>
        </w:rPr>
        <w:t>2026</w:t>
      </w:r>
      <w:r w:rsidRPr="00C630C9" w:rsidR="009339A1">
        <w:rPr>
          <w:bCs/>
          <w:szCs w:val="22"/>
        </w:rPr>
        <w:t xml:space="preserve"> </w:t>
      </w:r>
      <w:r w:rsidR="005F2F3F">
        <w:rPr>
          <w:bCs/>
          <w:szCs w:val="22"/>
        </w:rPr>
        <w:t xml:space="preserve">for Verizon’s wireline services </w:t>
      </w:r>
      <w:r w:rsidR="00BA264C">
        <w:rPr>
          <w:bCs/>
          <w:szCs w:val="22"/>
        </w:rPr>
        <w:t xml:space="preserve">in </w:t>
      </w:r>
      <w:r w:rsidR="00DD458B">
        <w:rPr>
          <w:bCs/>
          <w:szCs w:val="22"/>
        </w:rPr>
        <w:t xml:space="preserve">jurisdictions </w:t>
      </w:r>
      <w:r w:rsidR="00BA264C">
        <w:rPr>
          <w:bCs/>
          <w:szCs w:val="22"/>
        </w:rPr>
        <w:t xml:space="preserve">that filed Phase 1 requests </w:t>
      </w:r>
      <w:r w:rsidRPr="00C630C9" w:rsidR="009339A1">
        <w:rPr>
          <w:bCs/>
          <w:szCs w:val="22"/>
        </w:rPr>
        <w:t xml:space="preserve">between November 1, </w:t>
      </w:r>
      <w:r w:rsidRPr="00C630C9" w:rsidR="009339A1">
        <w:rPr>
          <w:bCs/>
          <w:szCs w:val="22"/>
        </w:rPr>
        <w:t>2025</w:t>
      </w:r>
      <w:r w:rsidRPr="00C630C9" w:rsidR="009339A1">
        <w:rPr>
          <w:bCs/>
          <w:szCs w:val="22"/>
        </w:rPr>
        <w:t xml:space="preserve"> and January 31, 2026.</w:t>
      </w:r>
      <w:bookmarkStart w:id="2" w:name="_Ref227830503"/>
      <w:r>
        <w:rPr>
          <w:rStyle w:val="FootnoteReference"/>
          <w:bCs/>
          <w:szCs w:val="22"/>
        </w:rPr>
        <w:footnoteReference w:id="7"/>
      </w:r>
      <w:bookmarkEnd w:id="2"/>
    </w:p>
    <w:p w:rsidR="000B56D7" w:rsidP="00D1520D" w14:paraId="04A85E63" w14:textId="75484FE5">
      <w:pPr>
        <w:spacing w:after="120"/>
        <w:rPr>
          <w:bCs/>
          <w:szCs w:val="22"/>
        </w:rPr>
      </w:pPr>
      <w:r>
        <w:rPr>
          <w:bCs/>
          <w:szCs w:val="22"/>
        </w:rPr>
        <w:t xml:space="preserve">In addition, Verizon requests a </w:t>
      </w:r>
      <w:r w:rsidR="009339A1">
        <w:rPr>
          <w:bCs/>
          <w:szCs w:val="22"/>
        </w:rPr>
        <w:t xml:space="preserve">retroactive </w:t>
      </w:r>
      <w:r>
        <w:rPr>
          <w:bCs/>
          <w:szCs w:val="22"/>
        </w:rPr>
        <w:t xml:space="preserve">waiver through March 31, </w:t>
      </w:r>
      <w:r>
        <w:rPr>
          <w:bCs/>
          <w:szCs w:val="22"/>
        </w:rPr>
        <w:t>2026</w:t>
      </w:r>
      <w:r>
        <w:rPr>
          <w:bCs/>
          <w:szCs w:val="22"/>
        </w:rPr>
        <w:t xml:space="preserve"> </w:t>
      </w:r>
      <w:r w:rsidR="00A36FC3">
        <w:rPr>
          <w:bCs/>
          <w:szCs w:val="22"/>
        </w:rPr>
        <w:t>of the Phase 1 deadline</w:t>
      </w:r>
      <w:r w:rsidR="00897CAD">
        <w:rPr>
          <w:bCs/>
          <w:szCs w:val="22"/>
        </w:rPr>
        <w:t xml:space="preserve"> </w:t>
      </w:r>
      <w:r>
        <w:rPr>
          <w:bCs/>
          <w:szCs w:val="22"/>
        </w:rPr>
        <w:t>for its wireless services in the Commonwealth of Massachusetts.</w:t>
      </w:r>
      <w:r>
        <w:rPr>
          <w:rStyle w:val="FootnoteReference"/>
          <w:bCs/>
          <w:szCs w:val="22"/>
        </w:rPr>
        <w:footnoteReference w:id="8"/>
      </w:r>
      <w:r>
        <w:rPr>
          <w:bCs/>
          <w:szCs w:val="22"/>
        </w:rPr>
        <w:t xml:space="preserve"> </w:t>
      </w:r>
    </w:p>
    <w:p w:rsidR="00B06C63" w:rsidRPr="00D55486" w:rsidP="00D55486" w14:paraId="39B7C33E" w14:textId="07F34274">
      <w:pPr>
        <w:spacing w:after="120"/>
        <w:ind w:firstLine="720"/>
        <w:rPr>
          <w:bCs/>
          <w:szCs w:val="22"/>
        </w:rPr>
      </w:pPr>
      <w:r>
        <w:rPr>
          <w:bCs/>
          <w:szCs w:val="22"/>
        </w:rPr>
        <w:t xml:space="preserve">Verizon states </w:t>
      </w:r>
      <w:r w:rsidR="00BB7AF0">
        <w:rPr>
          <w:bCs/>
          <w:szCs w:val="22"/>
        </w:rPr>
        <w:t xml:space="preserve">that </w:t>
      </w:r>
      <w:r>
        <w:rPr>
          <w:bCs/>
          <w:szCs w:val="22"/>
        </w:rPr>
        <w:t>it</w:t>
      </w:r>
      <w:r w:rsidR="003451D6">
        <w:rPr>
          <w:bCs/>
          <w:szCs w:val="22"/>
        </w:rPr>
        <w:t>s wireline</w:t>
      </w:r>
      <w:r w:rsidR="005F2F3F">
        <w:rPr>
          <w:bCs/>
          <w:szCs w:val="22"/>
        </w:rPr>
        <w:t xml:space="preserve"> Phase 1</w:t>
      </w:r>
      <w:r w:rsidR="003451D6">
        <w:rPr>
          <w:bCs/>
          <w:szCs w:val="22"/>
        </w:rPr>
        <w:t xml:space="preserve"> implementation </w:t>
      </w:r>
      <w:r w:rsidR="00E463C0">
        <w:rPr>
          <w:bCs/>
          <w:szCs w:val="22"/>
        </w:rPr>
        <w:t xml:space="preserve">was largely complete </w:t>
      </w:r>
      <w:r w:rsidR="003B1263">
        <w:rPr>
          <w:bCs/>
          <w:szCs w:val="22"/>
        </w:rPr>
        <w:t xml:space="preserve">in Massachusetts and other jurisdictions </w:t>
      </w:r>
      <w:r w:rsidR="004F5DCA">
        <w:rPr>
          <w:bCs/>
          <w:szCs w:val="22"/>
        </w:rPr>
        <w:t>late in the first quarter of 2026</w:t>
      </w:r>
      <w:r w:rsidR="00093690">
        <w:rPr>
          <w:bCs/>
          <w:szCs w:val="22"/>
        </w:rPr>
        <w:t>,</w:t>
      </w:r>
      <w:r w:rsidR="004F5DCA">
        <w:rPr>
          <w:bCs/>
          <w:szCs w:val="22"/>
        </w:rPr>
        <w:t xml:space="preserve"> but that additional time through mid-2026 </w:t>
      </w:r>
      <w:r w:rsidR="00866649">
        <w:rPr>
          <w:bCs/>
          <w:szCs w:val="22"/>
        </w:rPr>
        <w:t>will facilitate more seamless support</w:t>
      </w:r>
      <w:r w:rsidR="007601AE">
        <w:rPr>
          <w:bCs/>
          <w:szCs w:val="22"/>
        </w:rPr>
        <w:t xml:space="preserve"> for certain </w:t>
      </w:r>
      <w:r w:rsidR="003129C5">
        <w:rPr>
          <w:bCs/>
          <w:szCs w:val="22"/>
        </w:rPr>
        <w:t>multi-line telephone system</w:t>
      </w:r>
      <w:r w:rsidR="00C75C16">
        <w:rPr>
          <w:bCs/>
          <w:szCs w:val="22"/>
        </w:rPr>
        <w:t xml:space="preserve"> (</w:t>
      </w:r>
      <w:r w:rsidR="007601AE">
        <w:rPr>
          <w:bCs/>
          <w:szCs w:val="22"/>
        </w:rPr>
        <w:t>MLTS</w:t>
      </w:r>
      <w:r w:rsidR="00C75C16">
        <w:rPr>
          <w:bCs/>
          <w:szCs w:val="22"/>
        </w:rPr>
        <w:t>) users’ caller location functions.</w:t>
      </w:r>
      <w:r>
        <w:rPr>
          <w:rStyle w:val="FootnoteReference"/>
          <w:bCs/>
          <w:szCs w:val="22"/>
        </w:rPr>
        <w:footnoteReference w:id="9"/>
      </w:r>
      <w:r w:rsidR="003B147F">
        <w:rPr>
          <w:bCs/>
          <w:szCs w:val="22"/>
        </w:rPr>
        <w:t xml:space="preserve"> </w:t>
      </w:r>
      <w:r w:rsidR="00993A37">
        <w:rPr>
          <w:bCs/>
          <w:szCs w:val="22"/>
        </w:rPr>
        <w:t xml:space="preserve"> </w:t>
      </w:r>
      <w:r w:rsidR="00C855F1">
        <w:rPr>
          <w:bCs/>
          <w:szCs w:val="22"/>
        </w:rPr>
        <w:t xml:space="preserve">Verizon asserts </w:t>
      </w:r>
      <w:r w:rsidR="007A7BE5">
        <w:rPr>
          <w:bCs/>
          <w:szCs w:val="22"/>
        </w:rPr>
        <w:t xml:space="preserve">that </w:t>
      </w:r>
      <w:r w:rsidR="00C855F1">
        <w:rPr>
          <w:bCs/>
          <w:szCs w:val="22"/>
        </w:rPr>
        <w:t>a waiver is warranted because “the complications of IP connectivity described [in the Petition] are precisely the extraordinary or special circumstances warranting the limited extension requested.”</w:t>
      </w:r>
      <w:r>
        <w:rPr>
          <w:rStyle w:val="FootnoteReference"/>
          <w:bCs/>
          <w:szCs w:val="22"/>
        </w:rPr>
        <w:footnoteReference w:id="10"/>
      </w:r>
      <w:r w:rsidR="00D1520D">
        <w:rPr>
          <w:bCs/>
          <w:szCs w:val="22"/>
        </w:rPr>
        <w:t xml:space="preserve"> </w:t>
      </w:r>
      <w:r w:rsidR="00260678">
        <w:rPr>
          <w:bCs/>
          <w:szCs w:val="22"/>
        </w:rPr>
        <w:t xml:space="preserve"> </w:t>
      </w:r>
      <w:r w:rsidR="00D1520D">
        <w:rPr>
          <w:bCs/>
          <w:szCs w:val="22"/>
        </w:rPr>
        <w:t xml:space="preserve">Alternatively, if the Petition is not granted, Verizon requests </w:t>
      </w:r>
      <w:r w:rsidR="00260678">
        <w:rPr>
          <w:bCs/>
          <w:szCs w:val="22"/>
        </w:rPr>
        <w:t xml:space="preserve">that </w:t>
      </w:r>
      <w:r w:rsidR="00D1520D">
        <w:rPr>
          <w:bCs/>
          <w:szCs w:val="22"/>
        </w:rPr>
        <w:t>the Commission “waive or forbear from enforcing relevant Part 9 requirements for affected MLTS managers and operators” through the time frames requested in the Petition.</w:t>
      </w:r>
      <w:r>
        <w:rPr>
          <w:rStyle w:val="FootnoteReference"/>
          <w:bCs/>
          <w:szCs w:val="22"/>
        </w:rPr>
        <w:footnoteReference w:id="11"/>
      </w:r>
      <w:r w:rsidR="000F73CB">
        <w:rPr>
          <w:bCs/>
          <w:szCs w:val="22"/>
        </w:rPr>
        <w:t xml:space="preserve"> </w:t>
      </w:r>
    </w:p>
    <w:p w:rsidR="00361E02" w:rsidRPr="000E451F" w:rsidP="0068664F" w14:paraId="637B2E1E" w14:textId="2AF7DE0F">
      <w:pPr>
        <w:pStyle w:val="ParaNum"/>
        <w:numPr>
          <w:ilvl w:val="0"/>
          <w:numId w:val="0"/>
        </w:numPr>
        <w:ind w:firstLine="720"/>
        <w:rPr>
          <w:rFonts w:eastAsia="Calibri"/>
          <w:szCs w:val="22"/>
        </w:rPr>
      </w:pPr>
      <w:r w:rsidRPr="000E451F">
        <w:rPr>
          <w:rFonts w:eastAsia="Calibri"/>
          <w:i/>
          <w:iCs/>
          <w:szCs w:val="22"/>
        </w:rPr>
        <w:t>Filing Requirements.</w:t>
      </w:r>
      <w:r w:rsidRPr="000E451F">
        <w:rPr>
          <w:rFonts w:eastAsia="Calibri"/>
          <w:szCs w:val="22"/>
        </w:rPr>
        <w:t xml:space="preserve">  Interested parties may file comments on or before the dates shown on the first page of this document.</w:t>
      </w:r>
      <w:r>
        <w:rPr>
          <w:rStyle w:val="FootnoteReference"/>
          <w:rFonts w:eastAsia="Calibri"/>
          <w:szCs w:val="22"/>
        </w:rPr>
        <w:footnoteReference w:id="12"/>
      </w:r>
      <w:r w:rsidRPr="000E451F">
        <w:rPr>
          <w:rFonts w:eastAsia="Calibri"/>
          <w:szCs w:val="22"/>
        </w:rPr>
        <w:t xml:space="preserve">  </w:t>
      </w:r>
      <w:r w:rsidRPr="00D068A5">
        <w:rPr>
          <w:rFonts w:eastAsia="Calibri"/>
          <w:b/>
          <w:bCs/>
          <w:szCs w:val="22"/>
        </w:rPr>
        <w:t>All comments must reference</w:t>
      </w:r>
      <w:r w:rsidRPr="00D068A5" w:rsidR="00390AC6">
        <w:rPr>
          <w:rFonts w:eastAsia="Calibri"/>
          <w:b/>
          <w:bCs/>
          <w:szCs w:val="22"/>
        </w:rPr>
        <w:t xml:space="preserve"> </w:t>
      </w:r>
      <w:r w:rsidRPr="00D068A5" w:rsidR="00C855F1">
        <w:rPr>
          <w:rFonts w:eastAsia="Calibri"/>
          <w:b/>
          <w:bCs/>
          <w:szCs w:val="22"/>
        </w:rPr>
        <w:t>PS</w:t>
      </w:r>
      <w:r w:rsidRPr="00D068A5">
        <w:rPr>
          <w:rFonts w:eastAsia="Calibri"/>
          <w:b/>
          <w:bCs/>
          <w:szCs w:val="22"/>
        </w:rPr>
        <w:t xml:space="preserve"> Docket No. </w:t>
      </w:r>
      <w:r w:rsidRPr="00D068A5" w:rsidR="00A37619">
        <w:rPr>
          <w:rFonts w:eastAsia="Calibri"/>
          <w:b/>
          <w:bCs/>
          <w:szCs w:val="22"/>
        </w:rPr>
        <w:t>2</w:t>
      </w:r>
      <w:r w:rsidRPr="00D068A5" w:rsidR="00C855F1">
        <w:rPr>
          <w:rFonts w:eastAsia="Calibri"/>
          <w:b/>
          <w:bCs/>
          <w:szCs w:val="22"/>
        </w:rPr>
        <w:t>1-479</w:t>
      </w:r>
      <w:r w:rsidR="00310A9B">
        <w:rPr>
          <w:rFonts w:eastAsia="Calibri"/>
          <w:b/>
          <w:bCs/>
          <w:szCs w:val="22"/>
        </w:rPr>
        <w:t xml:space="preserve"> and should be filed only in that docket</w:t>
      </w:r>
      <w:r w:rsidRPr="00310A9B">
        <w:rPr>
          <w:rFonts w:eastAsia="Calibri"/>
          <w:b/>
          <w:bCs/>
          <w:szCs w:val="22"/>
        </w:rPr>
        <w:t>.</w:t>
      </w:r>
      <w:r w:rsidRPr="000E451F">
        <w:rPr>
          <w:rFonts w:eastAsia="Calibri"/>
          <w:szCs w:val="22"/>
        </w:rPr>
        <w:t xml:space="preserve">  Comments may be filed using the Commission’s Electronic Comment Filing System (ECFS).</w:t>
      </w:r>
      <w:r>
        <w:rPr>
          <w:rStyle w:val="FootnoteReference"/>
          <w:rFonts w:eastAsia="Calibri"/>
          <w:szCs w:val="22"/>
        </w:rPr>
        <w:footnoteReference w:id="13"/>
      </w:r>
      <w:r w:rsidRPr="000E451F">
        <w:rPr>
          <w:rFonts w:eastAsia="Calibri"/>
          <w:szCs w:val="22"/>
        </w:rPr>
        <w:t xml:space="preserve">    </w:t>
      </w:r>
    </w:p>
    <w:p w:rsidR="00361E02" w:rsidRPr="000E451F" w:rsidP="00361E02" w14:paraId="07A5273E" w14:textId="77777777">
      <w:pPr>
        <w:widowControl/>
        <w:numPr>
          <w:ilvl w:val="0"/>
          <w:numId w:val="7"/>
        </w:numPr>
        <w:spacing w:after="120"/>
        <w:ind w:left="1080"/>
        <w:rPr>
          <w:szCs w:val="22"/>
        </w:rPr>
      </w:pPr>
      <w:r w:rsidRPr="000E451F">
        <w:rPr>
          <w:szCs w:val="22"/>
        </w:rPr>
        <w:t xml:space="preserve">Electronic Filers:  Comments may be filed electronically using the Internet by accessing the ECFS:  </w:t>
      </w:r>
      <w:hyperlink r:id="rId6" w:history="1">
        <w:r w:rsidRPr="000E451F">
          <w:rPr>
            <w:color w:val="0000FF"/>
            <w:szCs w:val="22"/>
            <w:u w:val="single"/>
          </w:rPr>
          <w:t>https://www.fcc.gov/ecfs/filings</w:t>
        </w:r>
      </w:hyperlink>
      <w:r w:rsidRPr="000E451F">
        <w:rPr>
          <w:szCs w:val="22"/>
        </w:rPr>
        <w:t xml:space="preserve">.  </w:t>
      </w:r>
    </w:p>
    <w:p w:rsidR="00361E02" w:rsidRPr="000E451F" w:rsidP="00361E02" w14:paraId="65DF300A" w14:textId="49880988">
      <w:pPr>
        <w:widowControl/>
        <w:numPr>
          <w:ilvl w:val="0"/>
          <w:numId w:val="7"/>
        </w:numPr>
        <w:spacing w:after="120"/>
        <w:ind w:left="1080"/>
        <w:rPr>
          <w:szCs w:val="22"/>
        </w:rPr>
      </w:pPr>
      <w:r w:rsidRPr="000E451F">
        <w:rPr>
          <w:szCs w:val="22"/>
        </w:rPr>
        <w:t>Paper Filers</w:t>
      </w:r>
      <w:r w:rsidRPr="000E451F">
        <w:rPr>
          <w:szCs w:val="22"/>
        </w:rPr>
        <w:t>:</w:t>
      </w:r>
      <w:r w:rsidR="002B2D2D">
        <w:rPr>
          <w:szCs w:val="22"/>
        </w:rPr>
        <w:t xml:space="preserve">  </w:t>
      </w:r>
      <w:r w:rsidRPr="000E451F" w:rsidR="002B2D2D">
        <w:rPr>
          <w:szCs w:val="22"/>
        </w:rPr>
        <w:t>Parties</w:t>
      </w:r>
      <w:r w:rsidRPr="000E451F" w:rsidR="002B2D2D">
        <w:rPr>
          <w:szCs w:val="22"/>
        </w:rPr>
        <w:t xml:space="preserve"> who choose to file by paper must file an original and one copy of each filing.  </w:t>
      </w:r>
      <w:r w:rsidRPr="000E451F">
        <w:rPr>
          <w:szCs w:val="22"/>
        </w:rPr>
        <w:t xml:space="preserve">  </w:t>
      </w:r>
    </w:p>
    <w:p w:rsidR="00361E02" w:rsidRPr="0068664F" w:rsidP="0068664F" w14:paraId="282B9F99" w14:textId="336239E7">
      <w:pPr>
        <w:widowControl/>
        <w:numPr>
          <w:ilvl w:val="1"/>
          <w:numId w:val="9"/>
        </w:numPr>
        <w:spacing w:after="120"/>
        <w:rPr>
          <w:szCs w:val="22"/>
        </w:rPr>
      </w:pPr>
      <w:r w:rsidRPr="0068664F">
        <w:rPr>
          <w:szCs w:val="22"/>
        </w:rPr>
        <w:t xml:space="preserve">Filings can be sent by hand or messenger delivery, by commercial overnight courier, or by U.S. Postal Service.  All filings must be addressed to the Commission’s Secretary, Office of the Secretary, </w:t>
      </w:r>
      <w:r w:rsidRPr="0068664F">
        <w:rPr>
          <w:szCs w:val="22"/>
        </w:rPr>
        <w:t>Federal</w:t>
      </w:r>
      <w:r w:rsidRPr="0068664F">
        <w:rPr>
          <w:szCs w:val="22"/>
        </w:rPr>
        <w:t xml:space="preserve"> Communications Commission.</w:t>
      </w:r>
    </w:p>
    <w:p w:rsidR="002A54D4" w:rsidP="1FBEF2FC" w14:paraId="466FCFEB" w14:textId="1E740D3E">
      <w:pPr>
        <w:widowControl/>
        <w:numPr>
          <w:ilvl w:val="1"/>
          <w:numId w:val="10"/>
        </w:numPr>
        <w:spacing w:after="120"/>
        <w:rPr>
          <w:szCs w:val="22"/>
        </w:rPr>
      </w:pPr>
      <w:r w:rsidRPr="002A54D4">
        <w:rPr>
          <w:szCs w:val="22"/>
        </w:rPr>
        <w:t xml:space="preserve">Hand-delivered or messenger-delivered paper filings for the Commission’s Secretary are accepted between 8:00 a.m. and 4:00 p.m. by the FCC’s mailing contractor at 9050 Junction Drive, Annapolis Junction, MD 20701.  All hand deliveries must be </w:t>
      </w:r>
      <w:r w:rsidRPr="002A54D4">
        <w:rPr>
          <w:szCs w:val="22"/>
        </w:rPr>
        <w:t>held</w:t>
      </w:r>
      <w:r w:rsidRPr="002A54D4">
        <w:rPr>
          <w:szCs w:val="22"/>
        </w:rPr>
        <w:t xml:space="preserve"> together with rubber bands or fasteners.  Any envelopes and boxes must be disposed of before entering the building.</w:t>
      </w:r>
      <w:r>
        <w:rPr>
          <w:szCs w:val="22"/>
        </w:rPr>
        <w:t xml:space="preserve"> </w:t>
      </w:r>
    </w:p>
    <w:p w:rsidR="002A54D4" w:rsidP="1FBEF2FC" w14:paraId="3802FD83" w14:textId="5A5421D1">
      <w:pPr>
        <w:widowControl/>
        <w:numPr>
          <w:ilvl w:val="1"/>
          <w:numId w:val="10"/>
        </w:numPr>
        <w:spacing w:after="120"/>
        <w:rPr>
          <w:szCs w:val="22"/>
        </w:rPr>
      </w:pPr>
      <w:r w:rsidRPr="000E451F">
        <w:rPr>
          <w:szCs w:val="22"/>
        </w:rPr>
        <w:t>Commercial courier deliveries (</w:t>
      </w:r>
      <w:r>
        <w:rPr>
          <w:szCs w:val="22"/>
        </w:rPr>
        <w:t>any deliveries not by the U.S. Postal Service</w:t>
      </w:r>
      <w:r w:rsidRPr="000E451F">
        <w:rPr>
          <w:szCs w:val="22"/>
        </w:rPr>
        <w:t>) must be sent to 9050 Junction Drive, Annapolis Junction, MD 20701.</w:t>
      </w:r>
      <w:r>
        <w:rPr>
          <w:szCs w:val="22"/>
        </w:rPr>
        <w:t xml:space="preserve">  </w:t>
      </w:r>
    </w:p>
    <w:p w:rsidR="57F8778D" w:rsidRPr="000E451F" w:rsidP="1FBEF2FC" w14:paraId="748B4966" w14:textId="3A6461A6">
      <w:pPr>
        <w:widowControl/>
        <w:numPr>
          <w:ilvl w:val="1"/>
          <w:numId w:val="10"/>
        </w:numPr>
        <w:spacing w:after="120"/>
        <w:rPr>
          <w:szCs w:val="22"/>
        </w:rPr>
      </w:pPr>
      <w:r w:rsidRPr="000E451F">
        <w:rPr>
          <w:szCs w:val="22"/>
        </w:rPr>
        <w:t>Filings sent by U.S. Postal Service First-Class Mail, Priority Mail, and Priority Mail Express may be addressed to 45 L Street, NE, Washington, DC 20554.</w:t>
      </w:r>
    </w:p>
    <w:p w:rsidR="00361E02" w:rsidRPr="000E451F" w:rsidP="1FBEF2FC" w14:paraId="7371A4A1" w14:textId="4B2DDBAD">
      <w:pPr>
        <w:pStyle w:val="ParaNum"/>
        <w:numPr>
          <w:ilvl w:val="0"/>
          <w:numId w:val="0"/>
        </w:numPr>
        <w:ind w:firstLine="720"/>
        <w:rPr>
          <w:rFonts w:eastAsia="Calibri"/>
          <w:szCs w:val="22"/>
        </w:rPr>
      </w:pPr>
      <w:r w:rsidRPr="000E451F">
        <w:rPr>
          <w:rFonts w:eastAsia="Calibri"/>
          <w:i/>
          <w:iCs/>
          <w:szCs w:val="22"/>
        </w:rPr>
        <w:t xml:space="preserve">Ex </w:t>
      </w:r>
      <w:r w:rsidRPr="000E451F">
        <w:rPr>
          <w:rFonts w:eastAsia="Calibri"/>
          <w:i/>
          <w:iCs/>
          <w:szCs w:val="22"/>
        </w:rPr>
        <w:t>Parte</w:t>
      </w:r>
      <w:r w:rsidRPr="000E451F">
        <w:rPr>
          <w:rFonts w:eastAsia="Calibri"/>
          <w:i/>
          <w:iCs/>
          <w:szCs w:val="22"/>
        </w:rPr>
        <w:t xml:space="preserve"> Rules.</w:t>
      </w:r>
      <w:r w:rsidRPr="000E451F">
        <w:rPr>
          <w:rFonts w:eastAsia="Calibri"/>
          <w:szCs w:val="22"/>
        </w:rPr>
        <w:t xml:space="preserve">  </w:t>
      </w:r>
      <w:r w:rsidRPr="000E451F" w:rsidR="00617486">
        <w:rPr>
          <w:rFonts w:eastAsia="Calibri"/>
          <w:szCs w:val="22"/>
        </w:rPr>
        <w:t xml:space="preserve">The proceeding this Public Notice initiates shall be treated as a “permit-but-disclose” proceeding in accordance with the Commission’s </w:t>
      </w:r>
      <w:r w:rsidRPr="00F30B47" w:rsidR="00617486">
        <w:rPr>
          <w:rFonts w:eastAsia="Calibri"/>
          <w:i/>
          <w:iCs/>
          <w:szCs w:val="22"/>
        </w:rPr>
        <w:t xml:space="preserve">ex </w:t>
      </w:r>
      <w:r w:rsidRPr="00F30B47" w:rsidR="00617486">
        <w:rPr>
          <w:rFonts w:eastAsia="Calibri"/>
          <w:i/>
          <w:iCs/>
          <w:szCs w:val="22"/>
        </w:rPr>
        <w:t>parte</w:t>
      </w:r>
      <w:r w:rsidRPr="000E451F" w:rsidR="00617486">
        <w:rPr>
          <w:rFonts w:eastAsia="Calibri"/>
          <w:szCs w:val="22"/>
        </w:rPr>
        <w:t xml:space="preserve"> rules.</w:t>
      </w:r>
      <w:r>
        <w:rPr>
          <w:rStyle w:val="FootnoteReference"/>
          <w:rFonts w:eastAsia="Calibri"/>
          <w:szCs w:val="22"/>
        </w:rPr>
        <w:footnoteReference w:id="14"/>
      </w:r>
      <w:r w:rsidRPr="000E451F" w:rsidR="00617486">
        <w:rPr>
          <w:rFonts w:eastAsia="Calibri"/>
          <w:szCs w:val="22"/>
        </w:rPr>
        <w:t xml:space="preserve">  Persons making </w:t>
      </w:r>
      <w:r w:rsidRPr="00F30B47" w:rsidR="00617486">
        <w:rPr>
          <w:rFonts w:eastAsia="Calibri"/>
          <w:i/>
          <w:iCs/>
          <w:szCs w:val="22"/>
        </w:rPr>
        <w:t xml:space="preserve">ex </w:t>
      </w:r>
      <w:r w:rsidRPr="00F30B47" w:rsidR="00617486">
        <w:rPr>
          <w:rFonts w:eastAsia="Calibri"/>
          <w:i/>
          <w:iCs/>
          <w:szCs w:val="22"/>
        </w:rPr>
        <w:t>parte</w:t>
      </w:r>
      <w:r w:rsidRPr="000E451F" w:rsidR="00617486">
        <w:rPr>
          <w:rFonts w:eastAsia="Calibri"/>
          <w:szCs w:val="22"/>
        </w:rPr>
        <w:t xml:space="preserve"> presentations must file a copy of any written presentation or a memorandum summarizing any oral presentation within two business days after the presentation (unless a different deadline applicable to the Sunshine period applies).  </w:t>
      </w:r>
      <w:r w:rsidRPr="000E451F" w:rsidR="00617486">
        <w:rPr>
          <w:rFonts w:eastAsia="Calibri"/>
          <w:szCs w:val="22"/>
        </w:rPr>
        <w:t>Persons</w:t>
      </w:r>
      <w:r w:rsidRPr="000E451F" w:rsidR="00617486">
        <w:rPr>
          <w:rFonts w:eastAsia="Calibri"/>
          <w:szCs w:val="22"/>
        </w:rPr>
        <w:t xml:space="preserve"> making oral </w:t>
      </w:r>
      <w:r w:rsidRPr="00F30B47" w:rsidR="00617486">
        <w:rPr>
          <w:rFonts w:eastAsia="Calibri"/>
          <w:i/>
          <w:iCs/>
          <w:szCs w:val="22"/>
        </w:rPr>
        <w:t xml:space="preserve">ex </w:t>
      </w:r>
      <w:r w:rsidRPr="00F30B47" w:rsidR="00617486">
        <w:rPr>
          <w:rFonts w:eastAsia="Calibri"/>
          <w:i/>
          <w:iCs/>
          <w:szCs w:val="22"/>
        </w:rPr>
        <w:t>parte</w:t>
      </w:r>
      <w:r w:rsidRPr="000E451F" w:rsidR="00617486">
        <w:rPr>
          <w:rFonts w:eastAsia="Calibri"/>
          <w:szCs w:val="22"/>
        </w:rPr>
        <w:t xml:space="preserve"> presentations are reminded </w:t>
      </w:r>
      <w:r w:rsidRPr="000E451F" w:rsidR="00617486">
        <w:rPr>
          <w:rFonts w:eastAsia="Calibri"/>
          <w:szCs w:val="22"/>
        </w:rPr>
        <w:t>that memoranda</w:t>
      </w:r>
      <w:r w:rsidRPr="000E451F" w:rsidR="00617486">
        <w:rPr>
          <w:rFonts w:eastAsia="Calibri"/>
          <w:szCs w:val="22"/>
        </w:rPr>
        <w:t xml:space="preserve"> </w:t>
      </w:r>
      <w:r w:rsidRPr="000E451F" w:rsidR="00617486">
        <w:rPr>
          <w:rFonts w:eastAsia="Calibri"/>
          <w:szCs w:val="22"/>
        </w:rPr>
        <w:t xml:space="preserve">summarizing the presentation must (1) list all </w:t>
      </w:r>
      <w:r w:rsidRPr="000E451F" w:rsidR="00617486">
        <w:rPr>
          <w:rFonts w:eastAsia="Calibri"/>
          <w:szCs w:val="22"/>
        </w:rPr>
        <w:t>persons</w:t>
      </w:r>
      <w:r w:rsidRPr="000E451F" w:rsidR="00617486">
        <w:rPr>
          <w:rFonts w:eastAsia="Calibri"/>
          <w:szCs w:val="22"/>
        </w:rPr>
        <w:t xml:space="preserve"> attending or otherwise participating in the meeting at which the </w:t>
      </w:r>
      <w:r w:rsidRPr="00F30B47" w:rsidR="00617486">
        <w:rPr>
          <w:rFonts w:eastAsia="Calibri"/>
          <w:i/>
          <w:iCs/>
          <w:szCs w:val="22"/>
        </w:rPr>
        <w:t xml:space="preserve">ex </w:t>
      </w:r>
      <w:r w:rsidRPr="00F30B47" w:rsidR="00617486">
        <w:rPr>
          <w:rFonts w:eastAsia="Calibri"/>
          <w:i/>
          <w:iCs/>
          <w:szCs w:val="22"/>
        </w:rPr>
        <w:t>parte</w:t>
      </w:r>
      <w:r w:rsidRPr="000E451F" w:rsidR="00617486">
        <w:rPr>
          <w:rFonts w:eastAsia="Calibri"/>
          <w:szCs w:val="22"/>
        </w:rPr>
        <w:t xml:space="preserve"> presentation was made, and (2) summarize all data presented and arguments made during the presentation.  If the presentation consisted in whole or in part of the presentation of data or arguments already reflected in the presenter’s written comments, memoranda or other filings in the proceeding, the presenter may provide citations to such data or arguments in his or her prior comments, memoranda, or other filings (specifying the relevant page and/or paragraph numbers where such data or arguments can be found) in lieu of summarizing them in the memorandum.  Documents shown or given to Commission staff during </w:t>
      </w:r>
      <w:r w:rsidRPr="00F30B47" w:rsidR="00617486">
        <w:rPr>
          <w:rFonts w:eastAsia="Calibri"/>
          <w:i/>
          <w:iCs/>
          <w:szCs w:val="22"/>
        </w:rPr>
        <w:t xml:space="preserve">ex </w:t>
      </w:r>
      <w:r w:rsidRPr="00F30B47" w:rsidR="00617486">
        <w:rPr>
          <w:rFonts w:eastAsia="Calibri"/>
          <w:i/>
          <w:iCs/>
          <w:szCs w:val="22"/>
        </w:rPr>
        <w:t>parte</w:t>
      </w:r>
      <w:r w:rsidRPr="000E451F" w:rsidR="00617486">
        <w:rPr>
          <w:rFonts w:eastAsia="Calibri"/>
          <w:szCs w:val="22"/>
        </w:rPr>
        <w:t xml:space="preserve"> meetings are deemed to be written </w:t>
      </w:r>
      <w:r w:rsidRPr="00F30B47" w:rsidR="00617486">
        <w:rPr>
          <w:rFonts w:eastAsia="Calibri"/>
          <w:i/>
          <w:iCs/>
          <w:szCs w:val="22"/>
        </w:rPr>
        <w:t xml:space="preserve">ex </w:t>
      </w:r>
      <w:r w:rsidRPr="00F30B47" w:rsidR="00617486">
        <w:rPr>
          <w:rFonts w:eastAsia="Calibri"/>
          <w:i/>
          <w:iCs/>
          <w:szCs w:val="22"/>
        </w:rPr>
        <w:t>parte</w:t>
      </w:r>
      <w:r w:rsidRPr="000E451F" w:rsidR="00617486">
        <w:rPr>
          <w:rFonts w:eastAsia="Calibri"/>
          <w:szCs w:val="22"/>
        </w:rPr>
        <w:t xml:space="preserve"> presentations and must be filed consistent with section 1.1206(b).  In proceedings governed by section 1.49(f) or for which the Commission has made available a method of electronic filing, written </w:t>
      </w:r>
      <w:r w:rsidRPr="00F30B47" w:rsidR="00617486">
        <w:rPr>
          <w:rFonts w:eastAsia="Calibri"/>
          <w:i/>
          <w:iCs/>
          <w:szCs w:val="22"/>
        </w:rPr>
        <w:t xml:space="preserve">ex </w:t>
      </w:r>
      <w:r w:rsidRPr="00F30B47" w:rsidR="00617486">
        <w:rPr>
          <w:rFonts w:eastAsia="Calibri"/>
          <w:i/>
          <w:iCs/>
          <w:szCs w:val="22"/>
        </w:rPr>
        <w:t>parte</w:t>
      </w:r>
      <w:r w:rsidRPr="000E451F" w:rsidR="00617486">
        <w:rPr>
          <w:rFonts w:eastAsia="Calibri"/>
          <w:szCs w:val="22"/>
        </w:rPr>
        <w:t xml:space="preserve"> presentations and memoranda summarizing oral </w:t>
      </w:r>
      <w:r w:rsidRPr="00F30B47" w:rsidR="00617486">
        <w:rPr>
          <w:rFonts w:eastAsia="Calibri"/>
          <w:i/>
          <w:iCs/>
          <w:szCs w:val="22"/>
        </w:rPr>
        <w:t xml:space="preserve">ex </w:t>
      </w:r>
      <w:r w:rsidRPr="00F30B47" w:rsidR="00617486">
        <w:rPr>
          <w:rFonts w:eastAsia="Calibri"/>
          <w:i/>
          <w:iCs/>
          <w:szCs w:val="22"/>
        </w:rPr>
        <w:t>parte</w:t>
      </w:r>
      <w:r w:rsidRPr="000E451F" w:rsidR="00617486">
        <w:rPr>
          <w:rFonts w:eastAsia="Calibri"/>
          <w:szCs w:val="22"/>
        </w:rPr>
        <w:t xml:space="preserve"> presentations, and all attachments thereto, must be filed through the electronic comment filing system available for that proceeding, and must be filed in their native format (e.g., .doc, .xml, .ppt, searchable .pdf).  Participants in this proceeding should familiarize themselves with the Commission’s </w:t>
      </w:r>
      <w:r w:rsidRPr="00F30B47" w:rsidR="00617486">
        <w:rPr>
          <w:rFonts w:eastAsia="Calibri"/>
          <w:i/>
          <w:iCs/>
          <w:szCs w:val="22"/>
        </w:rPr>
        <w:t xml:space="preserve">ex </w:t>
      </w:r>
      <w:r w:rsidRPr="00F30B47" w:rsidR="00617486">
        <w:rPr>
          <w:rFonts w:eastAsia="Calibri"/>
          <w:i/>
          <w:iCs/>
          <w:szCs w:val="22"/>
        </w:rPr>
        <w:t>parte</w:t>
      </w:r>
      <w:r w:rsidRPr="000E451F" w:rsidR="00617486">
        <w:rPr>
          <w:rFonts w:eastAsia="Calibri"/>
          <w:szCs w:val="22"/>
        </w:rPr>
        <w:t xml:space="preserve"> rules.</w:t>
      </w:r>
    </w:p>
    <w:p w:rsidR="00361E02" w:rsidRPr="000E451F" w:rsidP="00361E02" w14:paraId="7D18057F" w14:textId="4EFD8270">
      <w:pPr>
        <w:pStyle w:val="ParaNum"/>
        <w:numPr>
          <w:ilvl w:val="0"/>
          <w:numId w:val="0"/>
        </w:numPr>
        <w:ind w:firstLine="720"/>
        <w:rPr>
          <w:rFonts w:eastAsia="Calibri"/>
          <w:szCs w:val="22"/>
        </w:rPr>
      </w:pPr>
      <w:r>
        <w:rPr>
          <w:rFonts w:eastAsia="Calibri"/>
          <w:i/>
          <w:iCs/>
          <w:szCs w:val="22"/>
        </w:rPr>
        <w:t>People with Disabilities</w:t>
      </w:r>
      <w:r w:rsidRPr="000E451F">
        <w:rPr>
          <w:rFonts w:eastAsia="Calibri"/>
          <w:i/>
          <w:iCs/>
          <w:szCs w:val="22"/>
        </w:rPr>
        <w:t>.</w:t>
      </w:r>
      <w:r w:rsidRPr="000E451F">
        <w:rPr>
          <w:rFonts w:eastAsia="Calibri"/>
          <w:szCs w:val="22"/>
        </w:rPr>
        <w:t xml:space="preserve">  To request materials in accessible formats for people with disabilities (Braille, large print, electronic files, audio format), send an e-mail to </w:t>
      </w:r>
      <w:hyperlink r:id="rId7">
        <w:r w:rsidRPr="000E451F">
          <w:rPr>
            <w:rStyle w:val="Hyperlink"/>
            <w:rFonts w:eastAsia="Calibri"/>
            <w:szCs w:val="22"/>
          </w:rPr>
          <w:t>fcc504@fcc.gov</w:t>
        </w:r>
      </w:hyperlink>
      <w:r w:rsidRPr="000E451F">
        <w:rPr>
          <w:rFonts w:eastAsia="Calibri"/>
          <w:szCs w:val="22"/>
        </w:rPr>
        <w:t xml:space="preserve"> or call the Consumer and Governmental Affairs Bureau at 202-418-0530.</w:t>
      </w:r>
    </w:p>
    <w:p w:rsidR="00361E02" w:rsidRPr="000E451F" w:rsidP="00361E02" w14:paraId="1D97C689" w14:textId="2388A00E">
      <w:pPr>
        <w:pStyle w:val="ParaNum"/>
        <w:numPr>
          <w:ilvl w:val="0"/>
          <w:numId w:val="0"/>
        </w:numPr>
        <w:ind w:firstLine="720"/>
        <w:rPr>
          <w:rFonts w:eastAsia="Calibri"/>
          <w:szCs w:val="22"/>
        </w:rPr>
      </w:pPr>
      <w:r w:rsidRPr="000E451F">
        <w:rPr>
          <w:i/>
          <w:iCs/>
          <w:szCs w:val="22"/>
        </w:rPr>
        <w:t>Additional Information.</w:t>
      </w:r>
      <w:r w:rsidRPr="000E451F">
        <w:rPr>
          <w:szCs w:val="22"/>
        </w:rPr>
        <w:t xml:space="preserve">  For additional information on this proceeding, contact </w:t>
      </w:r>
      <w:r w:rsidR="00C855F1">
        <w:rPr>
          <w:szCs w:val="22"/>
        </w:rPr>
        <w:t>Brenda Boykin</w:t>
      </w:r>
      <w:r w:rsidRPr="000E451F">
        <w:rPr>
          <w:szCs w:val="22"/>
        </w:rPr>
        <w:t>,</w:t>
      </w:r>
      <w:r w:rsidR="004749D3">
        <w:rPr>
          <w:szCs w:val="22"/>
        </w:rPr>
        <w:t xml:space="preserve"> Policy</w:t>
      </w:r>
      <w:r w:rsidR="00C855F1">
        <w:rPr>
          <w:szCs w:val="22"/>
        </w:rPr>
        <w:t xml:space="preserve"> and Licensing</w:t>
      </w:r>
      <w:r w:rsidR="004749D3">
        <w:rPr>
          <w:szCs w:val="22"/>
        </w:rPr>
        <w:t xml:space="preserve"> Division, </w:t>
      </w:r>
      <w:r w:rsidR="00C855F1">
        <w:rPr>
          <w:szCs w:val="22"/>
        </w:rPr>
        <w:t>Public Safety and Homeland Security</w:t>
      </w:r>
      <w:r w:rsidR="004749D3">
        <w:rPr>
          <w:szCs w:val="22"/>
        </w:rPr>
        <w:t xml:space="preserve"> Bureau,</w:t>
      </w:r>
      <w:r w:rsidRPr="000E451F">
        <w:rPr>
          <w:szCs w:val="22"/>
        </w:rPr>
        <w:t xml:space="preserve"> at 202-418-</w:t>
      </w:r>
      <w:r w:rsidR="00C855F1">
        <w:rPr>
          <w:szCs w:val="22"/>
        </w:rPr>
        <w:t>2062</w:t>
      </w:r>
      <w:r w:rsidRPr="000E451F">
        <w:rPr>
          <w:szCs w:val="22"/>
        </w:rPr>
        <w:t>, or</w:t>
      </w:r>
      <w:r w:rsidRPr="000E451F" w:rsidR="005A520A">
        <w:rPr>
          <w:szCs w:val="22"/>
        </w:rPr>
        <w:t xml:space="preserve"> </w:t>
      </w:r>
      <w:hyperlink r:id="rId8" w:history="1">
        <w:r w:rsidRPr="004B7F8A" w:rsidR="00C855F1">
          <w:rPr>
            <w:rStyle w:val="Hyperlink"/>
          </w:rPr>
          <w:t>Brenda.Boykin@fcc.gov</w:t>
        </w:r>
      </w:hyperlink>
      <w:r w:rsidR="00C855F1">
        <w:t xml:space="preserve">. </w:t>
      </w:r>
    </w:p>
    <w:p w:rsidR="00361E02" w:rsidRPr="000E451F" w:rsidP="00361E02" w14:paraId="62A830BC" w14:textId="77777777">
      <w:pPr>
        <w:jc w:val="center"/>
        <w:rPr>
          <w:b/>
          <w:bCs/>
          <w:szCs w:val="22"/>
        </w:rPr>
      </w:pPr>
      <w:r w:rsidRPr="000E451F">
        <w:rPr>
          <w:b/>
          <w:bCs/>
          <w:szCs w:val="22"/>
        </w:rPr>
        <w:t>-FCC-</w:t>
      </w:r>
    </w:p>
    <w:p w:rsidR="00361E02" w:rsidRPr="000E451F" w:rsidP="00361E02" w14:paraId="40171D36" w14:textId="1FE1234F">
      <w:pPr>
        <w:rPr>
          <w:szCs w:val="22"/>
        </w:rPr>
      </w:pPr>
    </w:p>
    <w:sectPr>
      <w:headerReference w:type="default" r:id="rId9"/>
      <w:footerReference w:type="even" r:id="rId10"/>
      <w:footerReference w:type="default" r:id="rId11"/>
      <w:headerReference w:type="first" r:id="rId12"/>
      <w:footerReference w:type="first" r:id="rId13"/>
      <w:endnotePr>
        <w:numFmt w:val="decimal"/>
      </w:endnotePr>
      <w:pgSz w:w="12240" w:h="15840"/>
      <w:pgMar w:top="1440" w:right="1440" w:bottom="720" w:left="1440" w:header="630" w:footer="720" w:gutter="0"/>
      <w:pgNumType w:start="1"/>
      <w:cols w:space="720"/>
      <w:noEndnote/>
      <w:titlePg/>
    </w:sectPr>
  </w:body>
</w:document>
</file>

<file path=word/customizations.xml><?xml version="1.0" encoding="utf-8"?>
<wne:tcg xmlns:r="http://schemas.openxmlformats.org/officeDocument/2006/relationships" xmlns:wne="http://schemas.microsoft.com/office/word/2006/wordml">
  <wne:toolbars>
    <wne:acdManifest>
      <wne:acdEntry wne:acdName="acd0"/>
      <wne:acdEntry wne:acdName="acd1"/>
    </wne:acdManifest>
    <wne:toolbarData r:id="rId1"/>
  </wne:toolbars>
  <wne:acds>
    <wne:acd wne:argValue="AgBQAGEAcgBhAE4AdQBtAA==&#10;" wne:acdName="acd0" wne:fciIndexBasedOn="0065"/>
    <wne:acd wne:argValue="AQAAAAAA&#10;" wne:acdName="acd1" wne:fciIndexBasedOn="0065"/>
  </wne:acds>
</wne:tcg>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endnote w:type="separator" w:id="0">
    <w:p w:rsidR="008E557D" w14:paraId="3FBF5907" w14:textId="77777777">
      <w:pPr>
        <w:spacing w:line="20" w:lineRule="exact"/>
      </w:pPr>
    </w:p>
  </w:endnote>
  <w:endnote w:type="continuationSeparator" w:id="1">
    <w:p w:rsidR="008E557D" w14:paraId="351074E0" w14:textId="77777777">
      <w:r>
        <w:t xml:space="preserve"> </w:t>
      </w:r>
    </w:p>
  </w:endnote>
  <w:endnote w:type="continuationNotice" w:id="2">
    <w:p w:rsidR="008E557D" w14:paraId="36DF4B22" w14:textId="77777777">
      <w:r>
        <w:t xml:space="preserve"> </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Bold">
    <w:altName w:val="Times New Roman"/>
    <w:panose1 w:val="02020803070505020304"/>
    <w:charset w:val="00"/>
    <w:family w:val="roman"/>
    <w:notTrueType/>
    <w:pitch w:val="default"/>
    <w:sig w:usb0="00000003" w:usb1="00000000" w:usb2="00000000" w:usb3="00000000" w:csb0="00000001"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PMingLiU">
    <w:panose1 w:val="02010601000101010101"/>
    <w:charset w:val="88"/>
    <w:family w:val="roman"/>
    <w:pitch w:val="variable"/>
    <w:sig w:usb0="A00002FF" w:usb1="28CFFCFA" w:usb2="00000016" w:usb3="00000000" w:csb0="00100001" w:csb1="00000000"/>
  </w:font>
  <w:font w:name="Aptos Display">
    <w:charset w:val="00"/>
    <w:family w:val="swiss"/>
    <w:pitch w:val="variable"/>
    <w:sig w:usb0="20000287" w:usb1="00000003" w:usb2="00000000" w:usb3="00000000" w:csb0="0000019F" w:csb1="00000000"/>
  </w:font>
  <w:font w:name="Aptos">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BA3BA8" w14:paraId="474E678A" w14:textId="77777777">
    <w:pPr>
      <w:pStyle w:val="Footer"/>
      <w:framePr w:wrap="around" w:vAnchor="text" w:hAnchor="margin" w:xAlign="center" w:y="1"/>
    </w:pPr>
    <w:r>
      <w:fldChar w:fldCharType="begin"/>
    </w:r>
    <w:r>
      <w:instrText xml:space="preserve">PAGE  </w:instrText>
    </w:r>
    <w:r>
      <w:fldChar w:fldCharType="separate"/>
    </w:r>
    <w:r>
      <w:fldChar w:fldCharType="end"/>
    </w:r>
  </w:p>
  <w:p w:rsidR="00BA3BA8" w14:paraId="25E6F49F" w14:textId="7777777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BA3BA8" w14:paraId="385F40F9" w14:textId="77777777">
    <w:pPr>
      <w:pStyle w:val="Footer"/>
      <w:jc w:val="center"/>
    </w:pPr>
    <w:r>
      <w:fldChar w:fldCharType="begin"/>
    </w:r>
    <w:r>
      <w:instrText xml:space="preserve"> PAGE   \* MERGEFORMAT </w:instrText>
    </w:r>
    <w:r>
      <w:fldChar w:fldCharType="separate"/>
    </w:r>
    <w:r>
      <w:rPr>
        <w:noProof/>
      </w:rPr>
      <w:t>2</w:t>
    </w:r>
    <w:r>
      <w:rPr>
        <w:noProof/>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BA3BA8" w14:paraId="3FF095F6" w14:textId="77777777">
    <w:pPr>
      <w:pStyle w:val="Footer"/>
      <w:tabs>
        <w:tab w:val="clear" w:pos="8640"/>
      </w:tabs>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footnote w:type="separator" w:id="0">
    <w:p w:rsidR="008E557D" w14:paraId="58A6ADFF" w14:textId="77777777">
      <w:r>
        <w:separator/>
      </w:r>
    </w:p>
  </w:footnote>
  <w:footnote w:type="continuationSeparator" w:id="1">
    <w:p w:rsidR="008E557D" w14:paraId="4B8BEB89" w14:textId="77777777">
      <w:pPr>
        <w:rPr>
          <w:sz w:val="20"/>
        </w:rPr>
      </w:pPr>
      <w:r>
        <w:rPr>
          <w:sz w:val="20"/>
        </w:rPr>
        <w:t xml:space="preserve">(Continued from previous page)  </w:t>
      </w:r>
      <w:r>
        <w:rPr>
          <w:sz w:val="20"/>
        </w:rPr>
        <w:separator/>
      </w:r>
    </w:p>
  </w:footnote>
  <w:footnote w:type="continuationNotice" w:id="2">
    <w:p w:rsidR="008E557D" w14:paraId="5F5DB750" w14:textId="77777777">
      <w:pPr>
        <w:jc w:val="right"/>
        <w:rPr>
          <w:sz w:val="20"/>
        </w:rPr>
      </w:pPr>
      <w:r>
        <w:rPr>
          <w:sz w:val="20"/>
        </w:rPr>
        <w:t>(</w:t>
      </w:r>
      <w:r>
        <w:rPr>
          <w:sz w:val="20"/>
        </w:rPr>
        <w:t>continued</w:t>
      </w:r>
      <w:r>
        <w:rPr>
          <w:sz w:val="20"/>
        </w:rPr>
        <w:t>….)</w:t>
      </w:r>
    </w:p>
  </w:footnote>
  <w:footnote w:id="3">
    <w:p w:rsidR="00361E02" w:rsidRPr="00B83E4B" w:rsidP="002A54D4" w14:paraId="69629AA0" w14:textId="211B8C24">
      <w:pPr>
        <w:pStyle w:val="FootnoteText"/>
      </w:pPr>
      <w:r>
        <w:rPr>
          <w:rStyle w:val="FootnoteReference"/>
        </w:rPr>
        <w:footnoteRef/>
      </w:r>
      <w:r w:rsidR="00EA6CFC">
        <w:t xml:space="preserve"> </w:t>
      </w:r>
      <w:r w:rsidR="00DB273D">
        <w:t>Verizon</w:t>
      </w:r>
      <w:r w:rsidR="006D2750">
        <w:t xml:space="preserve">, Petition for </w:t>
      </w:r>
      <w:r w:rsidR="00DB273D">
        <w:t>Waiver</w:t>
      </w:r>
      <w:r w:rsidR="006D2750">
        <w:t>,</w:t>
      </w:r>
      <w:r w:rsidR="00C13BBB">
        <w:t xml:space="preserve"> </w:t>
      </w:r>
      <w:r w:rsidR="00DB273D">
        <w:t>PS</w:t>
      </w:r>
      <w:r w:rsidR="006D2750">
        <w:t xml:space="preserve"> Docket No. </w:t>
      </w:r>
      <w:r w:rsidR="00C13BBB">
        <w:t>2</w:t>
      </w:r>
      <w:r w:rsidR="00DB273D">
        <w:t>1-479</w:t>
      </w:r>
      <w:r w:rsidR="006D2750">
        <w:t xml:space="preserve"> (filed </w:t>
      </w:r>
      <w:r w:rsidR="00DB273D">
        <w:t>April 17</w:t>
      </w:r>
      <w:r w:rsidR="00893979">
        <w:t>, 202</w:t>
      </w:r>
      <w:r w:rsidR="00DB273D">
        <w:t>6</w:t>
      </w:r>
      <w:r w:rsidR="006D2750">
        <w:t xml:space="preserve">), </w:t>
      </w:r>
      <w:hyperlink r:id="rId1" w:history="1">
        <w:r w:rsidRPr="004B7F8A" w:rsidR="00DB273D">
          <w:rPr>
            <w:rStyle w:val="Hyperlink"/>
          </w:rPr>
          <w:t>https://www.fcc.gov/ecfs/search/search-filings/filing/10417519901088</w:t>
        </w:r>
      </w:hyperlink>
      <w:r w:rsidR="00DB273D">
        <w:t xml:space="preserve"> </w:t>
      </w:r>
      <w:r w:rsidR="006D2750">
        <w:t>(</w:t>
      </w:r>
      <w:r w:rsidR="00DB273D">
        <w:t>Verizon</w:t>
      </w:r>
      <w:r w:rsidR="006D2750">
        <w:t xml:space="preserve"> Petition)</w:t>
      </w:r>
      <w:r w:rsidR="00B83E4B">
        <w:t>.</w:t>
      </w:r>
    </w:p>
  </w:footnote>
  <w:footnote w:id="4">
    <w:p w:rsidR="00512FC5" w14:paraId="70627CA1" w14:textId="5D799852">
      <w:pPr>
        <w:pStyle w:val="FootnoteText"/>
      </w:pPr>
      <w:r>
        <w:rPr>
          <w:rStyle w:val="FootnoteReference"/>
        </w:rPr>
        <w:footnoteRef/>
      </w:r>
      <w:r>
        <w:t xml:space="preserve"> </w:t>
      </w:r>
      <w:r w:rsidRPr="0053710A">
        <w:rPr>
          <w:bCs/>
          <w:szCs w:val="22"/>
        </w:rPr>
        <w:t>Certain originating service providers, including non-rural wireline providers and nationwide Commercial Mobile Radio Service (CMRS) providers, are required to comply with NG911 Phase 1 implementation requirements within six months after receiving a valid request from a 911 Authority.</w:t>
      </w:r>
      <w:r>
        <w:rPr>
          <w:bCs/>
          <w:szCs w:val="22"/>
        </w:rPr>
        <w:t xml:space="preserve">  47 CFR </w:t>
      </w:r>
      <w:r w:rsidRPr="520AE9D0">
        <w:rPr>
          <w:rFonts w:eastAsia="Calibri"/>
        </w:rPr>
        <w:t>§</w:t>
      </w:r>
      <w:r>
        <w:rPr>
          <w:rFonts w:eastAsia="Calibri"/>
        </w:rPr>
        <w:t xml:space="preserve"> 9.30(a)(1); </w:t>
      </w:r>
      <w:r>
        <w:rPr>
          <w:rFonts w:eastAsia="Calibri"/>
          <w:i/>
          <w:iCs/>
        </w:rPr>
        <w:t>see also</w:t>
      </w:r>
      <w:r>
        <w:rPr>
          <w:rFonts w:eastAsia="Calibri"/>
        </w:rPr>
        <w:t xml:space="preserve"> 47 CFR </w:t>
      </w:r>
      <w:r w:rsidRPr="520AE9D0">
        <w:rPr>
          <w:rFonts w:eastAsia="Calibri"/>
        </w:rPr>
        <w:t>§</w:t>
      </w:r>
      <w:r>
        <w:rPr>
          <w:rFonts w:eastAsia="Calibri"/>
        </w:rPr>
        <w:t xml:space="preserve"> 9.29(a).</w:t>
      </w:r>
      <w:r>
        <w:rPr>
          <w:bCs/>
          <w:szCs w:val="22"/>
        </w:rPr>
        <w:t xml:space="preserve"> </w:t>
      </w:r>
      <w:r w:rsidRPr="0053710A">
        <w:rPr>
          <w:bCs/>
          <w:szCs w:val="22"/>
        </w:rPr>
        <w:t xml:space="preserve"> Alternatively, originating service providers and 911 Authorities may establish different terms by mutual consent.</w:t>
      </w:r>
      <w:r w:rsidR="00901945">
        <w:rPr>
          <w:bCs/>
          <w:szCs w:val="22"/>
        </w:rPr>
        <w:t xml:space="preserve"> </w:t>
      </w:r>
      <w:r>
        <w:rPr>
          <w:bCs/>
          <w:szCs w:val="22"/>
        </w:rPr>
        <w:t xml:space="preserve"> 47 CFR </w:t>
      </w:r>
      <w:r w:rsidRPr="520AE9D0">
        <w:rPr>
          <w:rFonts w:eastAsia="Calibri"/>
        </w:rPr>
        <w:t>§</w:t>
      </w:r>
      <w:r>
        <w:rPr>
          <w:rFonts w:eastAsia="Calibri"/>
        </w:rPr>
        <w:t xml:space="preserve"> 9.34.</w:t>
      </w:r>
      <w:r>
        <w:rPr>
          <w:bCs/>
          <w:szCs w:val="22"/>
        </w:rPr>
        <w:t xml:space="preserve">  </w:t>
      </w:r>
    </w:p>
  </w:footnote>
  <w:footnote w:id="5">
    <w:p w:rsidR="00CA4FE5" w14:paraId="7CCB5D8C" w14:textId="321B92B0">
      <w:pPr>
        <w:pStyle w:val="FootnoteText"/>
      </w:pPr>
      <w:r>
        <w:rPr>
          <w:rStyle w:val="FootnoteReference"/>
        </w:rPr>
        <w:footnoteRef/>
      </w:r>
      <w:r>
        <w:t xml:space="preserve"> </w:t>
      </w:r>
      <w:r w:rsidRPr="0081205B">
        <w:rPr>
          <w:i/>
          <w:iCs/>
        </w:rPr>
        <w:t>See</w:t>
      </w:r>
      <w:r>
        <w:t xml:space="preserve"> Massachusetts State 911 Department, 911 Authority Next Generation 911 (NG911) Valid Request Form, PS Docket No. 25-143 (rec. April 4, 2025)</w:t>
      </w:r>
      <w:r w:rsidR="000F73CB">
        <w:t xml:space="preserve">, </w:t>
      </w:r>
      <w:hyperlink r:id="rId2" w:history="1">
        <w:r w:rsidRPr="000F73CB" w:rsidR="000F73CB">
          <w:rPr>
            <w:rStyle w:val="Hyperlink"/>
          </w:rPr>
          <w:t>https://www.fcc.gov/ecfs/filing/10404491711173</w:t>
        </w:r>
      </w:hyperlink>
      <w:r w:rsidR="000F73CB">
        <w:t xml:space="preserve"> </w:t>
      </w:r>
      <w:r>
        <w:t>(</w:t>
      </w:r>
      <w:r w:rsidR="00093690">
        <w:t>Massachusetts</w:t>
      </w:r>
      <w:r>
        <w:t xml:space="preserve"> Phase 1 </w:t>
      </w:r>
      <w:r w:rsidR="00093690">
        <w:t>Request</w:t>
      </w:r>
      <w:r>
        <w:t>).</w:t>
      </w:r>
    </w:p>
  </w:footnote>
  <w:footnote w:id="6">
    <w:p w:rsidR="0081205B" w:rsidRPr="00717609" w:rsidP="0081205B" w14:paraId="2976CF01" w14:textId="6EC7D67D">
      <w:pPr>
        <w:pStyle w:val="FootnoteText"/>
      </w:pPr>
      <w:r>
        <w:rPr>
          <w:rStyle w:val="FootnoteReference"/>
        </w:rPr>
        <w:footnoteRef/>
      </w:r>
      <w:r>
        <w:t xml:space="preserve"> </w:t>
      </w:r>
      <w:r w:rsidR="00CA4FE5">
        <w:t xml:space="preserve">Verizon Petition </w:t>
      </w:r>
      <w:r>
        <w:t>at 9-10.</w:t>
      </w:r>
      <w:r w:rsidR="00223DCD">
        <w:t xml:space="preserve">  The Commission’s NG911 valid request registry posted 95 filings prior to November 1, 2025.  Several requests </w:t>
      </w:r>
      <w:r w:rsidR="009D0206">
        <w:t>that posted</w:t>
      </w:r>
      <w:r w:rsidR="00223DCD">
        <w:t xml:space="preserve"> during this period</w:t>
      </w:r>
      <w:r w:rsidR="009D0206">
        <w:t xml:space="preserve"> </w:t>
      </w:r>
      <w:r w:rsidR="00223DCD">
        <w:t xml:space="preserve">subsequently were amended or withdrawn.  </w:t>
      </w:r>
      <w:r w:rsidR="009D0206">
        <w:t xml:space="preserve">Accordingly, </w:t>
      </w:r>
      <w:r w:rsidR="00223DCD">
        <w:t xml:space="preserve">Bureau staff estimates that 72 Phase 1 valid requests were posted during this period, including Massachusetts.  Interested parties may retrieve requests at </w:t>
      </w:r>
      <w:hyperlink r:id="rId3" w:history="1">
        <w:r w:rsidRPr="0021132E" w:rsidR="00223DCD">
          <w:rPr>
            <w:rStyle w:val="Hyperlink"/>
          </w:rPr>
          <w:t>https://www.fcc.gov/ecfs/search/search-filings</w:t>
        </w:r>
      </w:hyperlink>
      <w:r w:rsidR="00223DCD">
        <w:t xml:space="preserve"> </w:t>
      </w:r>
      <w:r w:rsidR="00125B8C">
        <w:t>by using</w:t>
      </w:r>
      <w:r w:rsidR="00223DCD">
        <w:t xml:space="preserve"> search terms </w:t>
      </w:r>
      <w:r w:rsidRPr="00223DCD" w:rsidR="00223DCD">
        <w:t>Proceedings: 25-143, Date Posted Range: 03/25/2025 - 10/31/2025</w:t>
      </w:r>
      <w:r w:rsidR="00223DCD">
        <w:t>.</w:t>
      </w:r>
      <w:r w:rsidR="00717609">
        <w:t xml:space="preserve">  We note that other </w:t>
      </w:r>
      <w:r w:rsidRPr="00717609" w:rsidR="00717609">
        <w:t xml:space="preserve">911 Authorities </w:t>
      </w:r>
      <w:r w:rsidR="00717609">
        <w:t xml:space="preserve">may have </w:t>
      </w:r>
      <w:r w:rsidRPr="00717609" w:rsidR="00717609">
        <w:t>provided written notice of valid Phase 1 request</w:t>
      </w:r>
      <w:r w:rsidR="00717609">
        <w:t>s</w:t>
      </w:r>
      <w:r w:rsidRPr="00717609" w:rsidR="00717609">
        <w:t xml:space="preserve"> directly to relevant </w:t>
      </w:r>
      <w:r w:rsidR="00717609">
        <w:t>originating service providers</w:t>
      </w:r>
      <w:r w:rsidRPr="00717609" w:rsidR="00717609">
        <w:t xml:space="preserve"> under 47 CFR § 9.31(a)(5)</w:t>
      </w:r>
      <w:r w:rsidR="00717609">
        <w:t>.</w:t>
      </w:r>
    </w:p>
  </w:footnote>
  <w:footnote w:id="7">
    <w:p w:rsidR="00214C58" w:rsidRPr="00C20653" w14:paraId="1664338B" w14:textId="0C126CA7">
      <w:pPr>
        <w:pStyle w:val="FootnoteText"/>
      </w:pPr>
      <w:r>
        <w:rPr>
          <w:rStyle w:val="FootnoteReference"/>
        </w:rPr>
        <w:footnoteRef/>
      </w:r>
      <w:r w:rsidR="0081205B">
        <w:t xml:space="preserve"> </w:t>
      </w:r>
      <w:r w:rsidR="00223DCD">
        <w:t>Verizon Petition</w:t>
      </w:r>
      <w:r w:rsidR="0081205B">
        <w:t xml:space="preserve"> at 10.</w:t>
      </w:r>
      <w:r w:rsidR="00512FC5">
        <w:t xml:space="preserve">  </w:t>
      </w:r>
      <w:r w:rsidR="00223DCD">
        <w:t xml:space="preserve">The Commission’s NG911 valid request registry posted 81 filings between November 1, </w:t>
      </w:r>
      <w:r w:rsidR="00223DCD">
        <w:t>2025</w:t>
      </w:r>
      <w:r w:rsidR="00223DCD">
        <w:t xml:space="preserve"> and January 31, 2026.  As </w:t>
      </w:r>
      <w:r w:rsidR="009D0206">
        <w:t>with</w:t>
      </w:r>
      <w:r w:rsidR="00223DCD">
        <w:t xml:space="preserve"> the earlier period, several requests subsequently were amended or withdrawn.  Additionally, two requests for Phase 2 service</w:t>
      </w:r>
      <w:r w:rsidR="009D0206">
        <w:t xml:space="preserve"> posted to the registry during this period, which we do not consider as covered by Verizon’s waiver request</w:t>
      </w:r>
      <w:r w:rsidR="00223DCD">
        <w:t xml:space="preserve">.  </w:t>
      </w:r>
      <w:r w:rsidR="009D0206">
        <w:t xml:space="preserve">Accordingly, </w:t>
      </w:r>
      <w:r w:rsidR="00223DCD">
        <w:t>Bureau staff estimates that 58 Phase 1 valid requests were posted during this period</w:t>
      </w:r>
      <w:r w:rsidR="0009615B">
        <w:t>.</w:t>
      </w:r>
      <w:r w:rsidR="00223DCD">
        <w:t xml:space="preserve"> </w:t>
      </w:r>
      <w:r w:rsidR="0009615B">
        <w:t xml:space="preserve"> </w:t>
      </w:r>
      <w:r w:rsidR="00223DCD">
        <w:t xml:space="preserve">Interested parties may retrieve requests at </w:t>
      </w:r>
      <w:hyperlink r:id="rId3" w:history="1">
        <w:r w:rsidRPr="0021132E" w:rsidR="00223DCD">
          <w:rPr>
            <w:rStyle w:val="Hyperlink"/>
          </w:rPr>
          <w:t>https://www.fcc.gov/ecfs/search/search-filings</w:t>
        </w:r>
      </w:hyperlink>
      <w:r w:rsidR="00223DCD">
        <w:t xml:space="preserve"> </w:t>
      </w:r>
      <w:r w:rsidR="00125B8C">
        <w:t>by using</w:t>
      </w:r>
      <w:r w:rsidR="00223DCD">
        <w:t xml:space="preserve"> search terms </w:t>
      </w:r>
      <w:r w:rsidRPr="00223DCD" w:rsidR="00223DCD">
        <w:t>Proceedings: 25-143, Date Posted Range: 11/01/2025 - 01/31/2026</w:t>
      </w:r>
      <w:r w:rsidR="009D0206">
        <w:t>.</w:t>
      </w:r>
    </w:p>
  </w:footnote>
  <w:footnote w:id="8">
    <w:p w:rsidR="0081205B" w:rsidRPr="0081205B" w14:paraId="48C97F6E" w14:textId="758F3446">
      <w:pPr>
        <w:pStyle w:val="FootnoteText"/>
      </w:pPr>
      <w:r>
        <w:rPr>
          <w:rStyle w:val="FootnoteReference"/>
        </w:rPr>
        <w:footnoteRef/>
      </w:r>
      <w:r>
        <w:t xml:space="preserve"> </w:t>
      </w:r>
      <w:r>
        <w:rPr>
          <w:i/>
          <w:iCs/>
        </w:rPr>
        <w:t>Id</w:t>
      </w:r>
      <w:r>
        <w:t>. at 9.</w:t>
      </w:r>
      <w:r w:rsidR="007161A5">
        <w:t xml:space="preserve">  </w:t>
      </w:r>
      <w:r w:rsidR="007161A5">
        <w:rPr>
          <w:bCs/>
          <w:szCs w:val="22"/>
        </w:rPr>
        <w:t xml:space="preserve">Verizon states that it has collaborated with the State 911 Department in the Commonwealth of Massachusetts and “after resolving unforeseen technical issues” was Phase 1 compliant for wireless service by March 31, 2026.  </w:t>
      </w:r>
      <w:r w:rsidR="007161A5">
        <w:rPr>
          <w:bCs/>
          <w:i/>
          <w:iCs/>
          <w:szCs w:val="22"/>
        </w:rPr>
        <w:t>Id</w:t>
      </w:r>
      <w:r w:rsidR="007161A5">
        <w:rPr>
          <w:bCs/>
          <w:szCs w:val="22"/>
        </w:rPr>
        <w:t>. at 2.</w:t>
      </w:r>
    </w:p>
  </w:footnote>
  <w:footnote w:id="9">
    <w:p w:rsidR="003B147F" w:rsidRPr="003B147F" w14:paraId="5545E0BB" w14:textId="531B0B7D">
      <w:pPr>
        <w:pStyle w:val="FootnoteText"/>
      </w:pPr>
      <w:r>
        <w:rPr>
          <w:rStyle w:val="FootnoteReference"/>
        </w:rPr>
        <w:footnoteRef/>
      </w:r>
      <w:r>
        <w:t xml:space="preserve"> </w:t>
      </w:r>
      <w:r>
        <w:rPr>
          <w:i/>
          <w:iCs/>
        </w:rPr>
        <w:t>Id</w:t>
      </w:r>
      <w:r>
        <w:t>.</w:t>
      </w:r>
      <w:r w:rsidR="00C75C16">
        <w:t xml:space="preserve"> at 5</w:t>
      </w:r>
      <w:r w:rsidR="003B1263">
        <w:t>-7</w:t>
      </w:r>
      <w:r w:rsidR="00C75C16">
        <w:t>.</w:t>
      </w:r>
    </w:p>
  </w:footnote>
  <w:footnote w:id="10">
    <w:p w:rsidR="00C855F1" w:rsidRPr="00C855F1" w14:paraId="63E0A180" w14:textId="79685A8E">
      <w:pPr>
        <w:pStyle w:val="FootnoteText"/>
      </w:pPr>
      <w:r>
        <w:rPr>
          <w:rStyle w:val="FootnoteReference"/>
        </w:rPr>
        <w:footnoteRef/>
      </w:r>
      <w:r>
        <w:t xml:space="preserve"> </w:t>
      </w:r>
      <w:r>
        <w:rPr>
          <w:i/>
          <w:iCs/>
        </w:rPr>
        <w:t>Id</w:t>
      </w:r>
      <w:r>
        <w:t xml:space="preserve">. at 12. </w:t>
      </w:r>
    </w:p>
  </w:footnote>
  <w:footnote w:id="11">
    <w:p w:rsidR="00D1520D" w:rsidRPr="00362F92" w14:paraId="2AFB9D98" w14:textId="374C0BC4">
      <w:pPr>
        <w:pStyle w:val="FootnoteText"/>
      </w:pPr>
      <w:r>
        <w:rPr>
          <w:rStyle w:val="FootnoteReference"/>
        </w:rPr>
        <w:footnoteRef/>
      </w:r>
      <w:r>
        <w:t xml:space="preserve"> </w:t>
      </w:r>
      <w:r>
        <w:rPr>
          <w:i/>
          <w:iCs/>
        </w:rPr>
        <w:t>Id</w:t>
      </w:r>
      <w:r>
        <w:t>. at 9</w:t>
      </w:r>
      <w:r w:rsidR="004038BF">
        <w:t>;</w:t>
      </w:r>
      <w:r w:rsidR="00362F92">
        <w:t xml:space="preserve"> </w:t>
      </w:r>
      <w:r w:rsidR="004038BF">
        <w:rPr>
          <w:i/>
          <w:iCs/>
        </w:rPr>
        <w:t>s</w:t>
      </w:r>
      <w:r w:rsidR="00362F92">
        <w:rPr>
          <w:i/>
          <w:iCs/>
        </w:rPr>
        <w:t>ee</w:t>
      </w:r>
      <w:r w:rsidR="00362F92">
        <w:t xml:space="preserve"> </w:t>
      </w:r>
      <w:r w:rsidRPr="000A188B" w:rsidR="000E0E84">
        <w:rPr>
          <w:i/>
          <w:iCs/>
        </w:rPr>
        <w:t>also</w:t>
      </w:r>
      <w:r w:rsidR="000E0E84">
        <w:t xml:space="preserve"> </w:t>
      </w:r>
      <w:r w:rsidR="00362F92">
        <w:t>47 CFR part 9, subpart F.</w:t>
      </w:r>
    </w:p>
  </w:footnote>
  <w:footnote w:id="12">
    <w:p w:rsidR="00361E02" w:rsidP="00361E02" w14:paraId="7241FC29" w14:textId="77777777">
      <w:pPr>
        <w:pStyle w:val="FootnoteText"/>
      </w:pPr>
      <w:r>
        <w:rPr>
          <w:rStyle w:val="FootnoteReference"/>
        </w:rPr>
        <w:footnoteRef/>
      </w:r>
      <w:r>
        <w:t xml:space="preserve"> </w:t>
      </w:r>
      <w:r>
        <w:rPr>
          <w:i/>
          <w:iCs/>
        </w:rPr>
        <w:t xml:space="preserve">See </w:t>
      </w:r>
      <w:r w:rsidRPr="520AE9D0">
        <w:rPr>
          <w:rFonts w:eastAsia="Calibri"/>
        </w:rPr>
        <w:t>47 CFR §§ 1.</w:t>
      </w:r>
      <w:r>
        <w:rPr>
          <w:rFonts w:eastAsia="Calibri"/>
        </w:rPr>
        <w:t>1, 1.3, 1.45.</w:t>
      </w:r>
    </w:p>
  </w:footnote>
  <w:footnote w:id="13">
    <w:p w:rsidR="00361E02" w:rsidP="00361E02" w14:paraId="6873B571" w14:textId="77777777">
      <w:pPr>
        <w:pStyle w:val="FootnoteText"/>
      </w:pPr>
      <w:r>
        <w:rPr>
          <w:rStyle w:val="FootnoteReference"/>
        </w:rPr>
        <w:footnoteRef/>
      </w:r>
      <w:r>
        <w:t xml:space="preserve"> </w:t>
      </w:r>
      <w:r w:rsidRPr="520AE9D0">
        <w:rPr>
          <w:rFonts w:eastAsia="Calibri"/>
          <w:i/>
          <w:iCs/>
        </w:rPr>
        <w:t>See</w:t>
      </w:r>
      <w:r w:rsidRPr="520AE9D0">
        <w:rPr>
          <w:rFonts w:eastAsia="Calibri"/>
        </w:rPr>
        <w:t xml:space="preserve"> </w:t>
      </w:r>
      <w:r w:rsidRPr="005E2094">
        <w:rPr>
          <w:i/>
          <w:iCs/>
        </w:rPr>
        <w:t>Electronic Filing of Documents in Rulemaking Proceedings</w:t>
      </w:r>
      <w:r>
        <w:t xml:space="preserve">, GC Docket No. 97-113, Report and Order, 13 FCC </w:t>
      </w:r>
      <w:r>
        <w:t>Rcd</w:t>
      </w:r>
      <w:r>
        <w:t xml:space="preserve"> 11322 (1998).</w:t>
      </w:r>
    </w:p>
  </w:footnote>
  <w:footnote w:id="14">
    <w:p w:rsidR="00617486" w:rsidRPr="001933F7" w:rsidP="00617486" w14:paraId="39514C36" w14:textId="77777777">
      <w:pPr>
        <w:pStyle w:val="FootnoteText"/>
        <w:rPr>
          <w:i/>
          <w:iCs/>
        </w:rPr>
      </w:pPr>
      <w:r w:rsidRPr="001933F7">
        <w:rPr>
          <w:rStyle w:val="FootnoteReference"/>
        </w:rPr>
        <w:footnoteRef/>
      </w:r>
      <w:r w:rsidRPr="001933F7">
        <w:t xml:space="preserve"> 47 CFR § 1.1200 </w:t>
      </w:r>
      <w:r w:rsidRPr="001933F7">
        <w:rPr>
          <w:i/>
          <w:iCs/>
        </w:rPr>
        <w:t>et seq.</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BA3BA8" w14:paraId="4461848E" w14:textId="4AF30E32">
    <w:pPr>
      <w:tabs>
        <w:tab w:val="center" w:pos="4680"/>
        <w:tab w:val="right" w:pos="9360"/>
      </w:tabs>
    </w:pPr>
    <w:r>
      <w:rPr>
        <w:b/>
      </w:rPr>
      <w:tab/>
      <w:t>Federal Communications Commission</w:t>
    </w:r>
    <w:r>
      <w:rPr>
        <w:b/>
      </w:rPr>
      <w:tab/>
    </w:r>
    <w:r w:rsidR="00FD774E">
      <w:rPr>
        <w:b/>
      </w:rPr>
      <w:t xml:space="preserve">DA </w:t>
    </w:r>
    <w:r w:rsidR="003A6F37">
      <w:rPr>
        <w:b/>
      </w:rPr>
      <w:t>26</w:t>
    </w:r>
    <w:r w:rsidR="00F53877">
      <w:rPr>
        <w:b/>
      </w:rPr>
      <w:t>-407</w:t>
    </w:r>
  </w:p>
  <w:p w:rsidR="00BA3BA8" w14:paraId="6C270709" w14:textId="2442455A">
    <w:pPr>
      <w:tabs>
        <w:tab w:val="left" w:pos="-720"/>
      </w:tabs>
      <w:suppressAutoHyphens/>
      <w:spacing w:line="19" w:lineRule="exact"/>
      <w:rPr>
        <w:spacing w:val="-2"/>
      </w:rPr>
    </w:pPr>
    <w:r>
      <w:rPr>
        <w:noProof/>
      </w:rPr>
      <mc:AlternateContent>
        <mc:Choice Requires="wps">
          <w:drawing>
            <wp:anchor distT="0" distB="0" distL="114300" distR="114300" simplePos="0" relativeHeight="251658240" behindDoc="1" locked="0" layoutInCell="0" allowOverlap="1">
              <wp:simplePos x="0" y="0"/>
              <wp:positionH relativeFrom="margin">
                <wp:posOffset>0</wp:posOffset>
              </wp:positionH>
              <wp:positionV relativeFrom="paragraph">
                <wp:posOffset>0</wp:posOffset>
              </wp:positionV>
              <wp:extent cx="5943600" cy="12065"/>
              <wp:effectExtent l="0" t="0" r="0" b="0"/>
              <wp:wrapNone/>
              <wp:docPr id="1997581007" name="Rectangle 2"/>
              <wp:cNvGraphicFramePr/>
              <a:graphic xmlns:a="http://schemas.openxmlformats.org/drawingml/2006/main">
                <a:graphicData uri="http://schemas.microsoft.com/office/word/2010/wordprocessingShape">
                  <wps:wsp xmlns:wps="http://schemas.microsoft.com/office/word/2010/wordprocessingShape">
                    <wps:cNvSpPr>
                      <a:spLocks noChangeArrowheads="1"/>
                    </wps:cNvSpPr>
                    <wps:spPr bwMode="auto">
                      <a:xfrm>
                        <a:off x="0" y="0"/>
                        <a:ext cx="5943600" cy="12065"/>
                      </a:xfrm>
                      <a:prstGeom prst="rect">
                        <a:avLst/>
                      </a:prstGeom>
                      <a:solidFill>
                        <a:srgbClr val="000000"/>
                      </a:solidFill>
                      <a:ln>
                        <a:noFill/>
                      </a:ln>
                      <a:extLst>
                        <a:ext xmlns:a="http://schemas.openxmlformats.org/drawingml/2006/main" uri="{91240B29-F687-4F45-9708-019B960494DF}">
                          <a14:hiddenLine xmlns:a14="http://schemas.microsoft.com/office/drawing/2010/main" w="635">
                            <a:solidFill>
                              <a:srgbClr val="000000"/>
                            </a:solidFill>
                            <a:miter lim="800000"/>
                            <a:headEnd/>
                            <a:tailEnd/>
                          </a14:hiddenLine>
                        </a:ext>
                      </a:extLst>
                    </wps:spPr>
                    <wps:bodyPr rot="0" vert="horz" wrap="square" lIns="91440" tIns="45720" rIns="91440" bIns="45720" anchor="t" anchorCtr="0" upright="1"/>
                  </wps:wsp>
                </a:graphicData>
              </a:graphic>
              <wp14:sizeRelH relativeFrom="page">
                <wp14:pctWidth>0</wp14:pctWidth>
              </wp14:sizeRelH>
              <wp14:sizeRelV relativeFrom="page">
                <wp14:pctHeight>0</wp14:pctHeight>
              </wp14:sizeRelV>
            </wp:anchor>
          </w:drawing>
        </mc:Choice>
        <mc:Fallback>
          <w:pict>
            <v:rect id="Rectangle 2" o:spid="_x0000_s2049" style="width:468pt;height:0.95pt;margin-top:0;margin-left:0;mso-height-percent:0;mso-height-relative:page;mso-position-horizontal-relative:margin;mso-width-percent:0;mso-width-relative:page;mso-wrap-distance-bottom:0;mso-wrap-distance-left:9pt;mso-wrap-distance-right:9pt;mso-wrap-distance-top:0;mso-wrap-style:square;position:absolute;visibility:visible;v-text-anchor:top;z-index:-251657216" o:allowincell="f" fillcolor="black" stroked="f" strokeweight="0.05pt">
              <w10:wrap anchorx="margin"/>
            </v:rect>
          </w:pict>
        </mc:Fallback>
      </mc:AlternateContent>
    </w:r>
  </w:p>
  <w:p w:rsidR="00BA3BA8" w14:paraId="3045E11A" w14:textId="77777777">
    <w:pPr>
      <w:spacing w:before="40"/>
      <w:rPr>
        <w:rFonts w:ascii="Arial" w:hAnsi="Arial" w:cs="Arial"/>
        <w:b/>
        <w:sz w:val="20"/>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BA3BA8" w:rsidRPr="00F03EA1" w:rsidP="00F03EA1" w14:paraId="43155D1A" w14:textId="0F0C6E0F">
    <w:pPr>
      <w:pStyle w:val="Header"/>
    </w:pPr>
    <w:r>
      <w:rPr>
        <w:noProof/>
        <w:snapToGrid/>
      </w:rPr>
      <w:drawing>
        <wp:inline distT="0" distB="0" distL="0" distR="0">
          <wp:extent cx="5969000" cy="1440815"/>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pic:cNvPicPr>
                    <a:picLocks noChangeAspect="1" noChangeArrowheads="1"/>
                  </pic:cNvPicPr>
                </pic:nvPicPr>
                <pic:blipFill>
                  <a:blip xmlns:r="http://schemas.openxmlformats.org/officeDocument/2006/relationships" r:embed="rId1">
                    <a:extLst>
                      <a:ext xmlns:a="http://schemas.openxmlformats.org/drawingml/2006/main" uri="{28A0092B-C50C-407E-A947-70E740481C1C}">
                        <a14:useLocalDpi xmlns:a14="http://schemas.microsoft.com/office/drawing/2010/main" val="0"/>
                      </a:ext>
                    </a:extLst>
                  </a:blip>
                  <a:stretch>
                    <a:fillRect/>
                  </a:stretch>
                </pic:blipFill>
                <pic:spPr bwMode="auto">
                  <a:xfrm>
                    <a:off x="0" y="0"/>
                    <a:ext cx="5969000" cy="1440815"/>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abstractNum w:abstractNumId="0">
    <w:nsid w:val="01D7524E"/>
    <w:multiLevelType w:val="hybridMultilevel"/>
    <w:tmpl w:val="8666856C"/>
    <w:lvl w:ilvl="0">
      <w:start w:val="1"/>
      <w:numFmt w:val="bullet"/>
      <w:lvlText w:val=""/>
      <w:lvlJc w:val="left"/>
      <w:pPr>
        <w:ind w:left="780" w:hanging="360"/>
      </w:pPr>
      <w:rPr>
        <w:rFonts w:ascii="Symbol" w:hAnsi="Symbol" w:hint="default"/>
      </w:rPr>
    </w:lvl>
    <w:lvl w:ilvl="1">
      <w:start w:val="1"/>
      <w:numFmt w:val="bullet"/>
      <w:lvlText w:val="o"/>
      <w:lvlJc w:val="left"/>
      <w:pPr>
        <w:ind w:left="1500" w:hanging="360"/>
      </w:pPr>
      <w:rPr>
        <w:rFonts w:ascii="Courier New" w:hAnsi="Courier New" w:cs="Times New Roman Bold" w:hint="default"/>
      </w:rPr>
    </w:lvl>
    <w:lvl w:ilvl="2" w:tentative="1">
      <w:start w:val="1"/>
      <w:numFmt w:val="bullet"/>
      <w:lvlText w:val=""/>
      <w:lvlJc w:val="left"/>
      <w:pPr>
        <w:ind w:left="2220" w:hanging="360"/>
      </w:pPr>
      <w:rPr>
        <w:rFonts w:ascii="Wingdings" w:hAnsi="Wingdings" w:hint="default"/>
      </w:rPr>
    </w:lvl>
    <w:lvl w:ilvl="3" w:tentative="1">
      <w:start w:val="1"/>
      <w:numFmt w:val="bullet"/>
      <w:lvlText w:val=""/>
      <w:lvlJc w:val="left"/>
      <w:pPr>
        <w:ind w:left="2940" w:hanging="360"/>
      </w:pPr>
      <w:rPr>
        <w:rFonts w:ascii="Symbol" w:hAnsi="Symbol" w:hint="default"/>
      </w:rPr>
    </w:lvl>
    <w:lvl w:ilvl="4" w:tentative="1">
      <w:start w:val="1"/>
      <w:numFmt w:val="bullet"/>
      <w:lvlText w:val="o"/>
      <w:lvlJc w:val="left"/>
      <w:pPr>
        <w:ind w:left="3660" w:hanging="360"/>
      </w:pPr>
      <w:rPr>
        <w:rFonts w:ascii="Courier New" w:hAnsi="Courier New" w:cs="Times New Roman Bold" w:hint="default"/>
      </w:rPr>
    </w:lvl>
    <w:lvl w:ilvl="5" w:tentative="1">
      <w:start w:val="1"/>
      <w:numFmt w:val="bullet"/>
      <w:lvlText w:val=""/>
      <w:lvlJc w:val="left"/>
      <w:pPr>
        <w:ind w:left="4380" w:hanging="360"/>
      </w:pPr>
      <w:rPr>
        <w:rFonts w:ascii="Wingdings" w:hAnsi="Wingdings" w:hint="default"/>
      </w:rPr>
    </w:lvl>
    <w:lvl w:ilvl="6" w:tentative="1">
      <w:start w:val="1"/>
      <w:numFmt w:val="bullet"/>
      <w:lvlText w:val=""/>
      <w:lvlJc w:val="left"/>
      <w:pPr>
        <w:ind w:left="5100" w:hanging="360"/>
      </w:pPr>
      <w:rPr>
        <w:rFonts w:ascii="Symbol" w:hAnsi="Symbol" w:hint="default"/>
      </w:rPr>
    </w:lvl>
    <w:lvl w:ilvl="7" w:tentative="1">
      <w:start w:val="1"/>
      <w:numFmt w:val="bullet"/>
      <w:lvlText w:val="o"/>
      <w:lvlJc w:val="left"/>
      <w:pPr>
        <w:ind w:left="5820" w:hanging="360"/>
      </w:pPr>
      <w:rPr>
        <w:rFonts w:ascii="Courier New" w:hAnsi="Courier New" w:cs="Times New Roman Bold" w:hint="default"/>
      </w:rPr>
    </w:lvl>
    <w:lvl w:ilvl="8" w:tentative="1">
      <w:start w:val="1"/>
      <w:numFmt w:val="bullet"/>
      <w:lvlText w:val=""/>
      <w:lvlJc w:val="left"/>
      <w:pPr>
        <w:ind w:left="6540" w:hanging="360"/>
      </w:pPr>
      <w:rPr>
        <w:rFonts w:ascii="Wingdings" w:hAnsi="Wingdings" w:hint="default"/>
      </w:rPr>
    </w:lvl>
  </w:abstractNum>
  <w:abstractNum w:abstractNumId="1">
    <w:nsid w:val="07BC5696"/>
    <w:multiLevelType w:val="multilevel"/>
    <w:tmpl w:val="5274BDF0"/>
    <w:styleLink w:val="StyleBulletedLatinCourierNewLeft075Hanging0252"/>
    <w:lvl w:ilvl="0">
      <w:start w:val="1"/>
      <w:numFmt w:val="bullet"/>
      <w:lvlText w:val="o"/>
      <w:lvlJc w:val="left"/>
      <w:pPr>
        <w:ind w:left="720" w:hanging="360"/>
      </w:pPr>
      <w:rPr>
        <w:rFonts w:ascii="Times New Roman" w:hAnsi="Times New Roman" w:cs="Times New Roman Bold" w:hint="default"/>
      </w:rPr>
    </w:lvl>
    <w:lvl w:ilvl="1">
      <w:start w:val="1"/>
      <w:numFmt w:val="bullet"/>
      <w:lvlText w:val="o"/>
      <w:lvlJc w:val="left"/>
      <w:pPr>
        <w:ind w:left="1440" w:hanging="360"/>
      </w:pPr>
      <w:rPr>
        <w:rFonts w:ascii="Courier New" w:hAnsi="Courier New"/>
        <w:kern w:val="28"/>
        <w:sz w:val="22"/>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Times New Roman Bold"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Times New Roman Bold" w:hint="default"/>
      </w:rPr>
    </w:lvl>
    <w:lvl w:ilvl="8">
      <w:start w:val="1"/>
      <w:numFmt w:val="bullet"/>
      <w:lvlText w:val=""/>
      <w:lvlJc w:val="left"/>
      <w:pPr>
        <w:ind w:left="6480" w:hanging="360"/>
      </w:pPr>
      <w:rPr>
        <w:rFonts w:ascii="Wingdings" w:hAnsi="Wingdings" w:hint="default"/>
      </w:rPr>
    </w:lvl>
  </w:abstractNum>
  <w:abstractNum w:abstractNumId="2">
    <w:nsid w:val="084B453C"/>
    <w:multiLevelType w:val="singleLevel"/>
    <w:tmpl w:val="40A8E97A"/>
    <w:lvl w:ilvl="0">
      <w:start w:val="1"/>
      <w:numFmt w:val="decimal"/>
      <w:lvlText w:val="%1."/>
      <w:lvlJc w:val="left"/>
      <w:pPr>
        <w:tabs>
          <w:tab w:val="num" w:pos="1080"/>
        </w:tabs>
        <w:ind w:left="0" w:firstLine="720"/>
      </w:pPr>
    </w:lvl>
  </w:abstractNum>
  <w:abstractNum w:abstractNumId="3">
    <w:nsid w:val="1C6F1456"/>
    <w:multiLevelType w:val="multilevel"/>
    <w:tmpl w:val="5274BDF0"/>
    <w:numStyleLink w:val="StyleBulletedLatinCourierNewLeft075Hanging0252"/>
  </w:abstractNum>
  <w:abstractNum w:abstractNumId="4">
    <w:nsid w:val="23F40A0F"/>
    <w:multiLevelType w:val="singleLevel"/>
    <w:tmpl w:val="3244DD0A"/>
    <w:lvl w:ilvl="0">
      <w:start w:val="1"/>
      <w:numFmt w:val="bullet"/>
      <w:pStyle w:val="Bullet"/>
      <w:lvlText w:val=""/>
      <w:lvlJc w:val="left"/>
      <w:pPr>
        <w:tabs>
          <w:tab w:val="num" w:pos="360"/>
        </w:tabs>
        <w:ind w:left="360" w:hanging="360"/>
      </w:pPr>
      <w:rPr>
        <w:rFonts w:ascii="Symbol" w:hAnsi="Symbol" w:hint="default"/>
      </w:rPr>
    </w:lvl>
  </w:abstractNum>
  <w:abstractNum w:abstractNumId="5">
    <w:nsid w:val="248246F3"/>
    <w:multiLevelType w:val="singleLevel"/>
    <w:tmpl w:val="B1F45678"/>
    <w:lvl w:ilvl="0">
      <w:start w:val="1"/>
      <w:numFmt w:val="decimal"/>
      <w:lvlText w:val="%1."/>
      <w:lvlJc w:val="left"/>
      <w:pPr>
        <w:tabs>
          <w:tab w:val="num" w:pos="1080"/>
        </w:tabs>
        <w:ind w:left="0" w:firstLine="720"/>
      </w:pPr>
    </w:lvl>
  </w:abstractNum>
  <w:abstractNum w:abstractNumId="6">
    <w:nsid w:val="27E06CBB"/>
    <w:multiLevelType w:val="multilevel"/>
    <w:tmpl w:val="F1A86982"/>
    <w:lvl w:ilvl="0">
      <w:start w:val="1"/>
      <w:numFmt w:val="upperRoman"/>
      <w:pStyle w:val="Heading1"/>
      <w:lvlText w:val="%1."/>
      <w:lvlJc w:val="left"/>
      <w:pPr>
        <w:tabs>
          <w:tab w:val="num" w:pos="720"/>
        </w:tabs>
        <w:ind w:left="720" w:hanging="720"/>
      </w:pPr>
    </w:lvl>
    <w:lvl w:ilvl="1">
      <w:start w:val="1"/>
      <w:numFmt w:val="upperLetter"/>
      <w:pStyle w:val="Heading2"/>
      <w:lvlText w:val="%2."/>
      <w:lvlJc w:val="left"/>
      <w:pPr>
        <w:tabs>
          <w:tab w:val="num" w:pos="1440"/>
        </w:tabs>
        <w:ind w:left="1440" w:hanging="720"/>
      </w:pPr>
    </w:lvl>
    <w:lvl w:ilvl="2">
      <w:start w:val="1"/>
      <w:numFmt w:val="decimal"/>
      <w:pStyle w:val="Heading3"/>
      <w:lvlText w:val="%3."/>
      <w:lvlJc w:val="left"/>
      <w:pPr>
        <w:tabs>
          <w:tab w:val="num" w:pos="2160"/>
        </w:tabs>
        <w:ind w:left="2160" w:hanging="720"/>
      </w:pPr>
    </w:lvl>
    <w:lvl w:ilvl="3">
      <w:start w:val="1"/>
      <w:numFmt w:val="lowerLetter"/>
      <w:pStyle w:val="Heading4"/>
      <w:lvlText w:val="%4."/>
      <w:lvlJc w:val="left"/>
      <w:pPr>
        <w:tabs>
          <w:tab w:val="num" w:pos="2880"/>
        </w:tabs>
        <w:ind w:left="2880" w:hanging="720"/>
      </w:pPr>
    </w:lvl>
    <w:lvl w:ilvl="4">
      <w:start w:val="1"/>
      <w:numFmt w:val="lowerRoman"/>
      <w:pStyle w:val="Heading5"/>
      <w:lvlText w:val="(%5)"/>
      <w:lvlJc w:val="left"/>
      <w:pPr>
        <w:tabs>
          <w:tab w:val="num" w:pos="3600"/>
        </w:tabs>
        <w:ind w:left="3600" w:hanging="720"/>
      </w:pPr>
    </w:lvl>
    <w:lvl w:ilvl="5">
      <w:start w:val="1"/>
      <w:numFmt w:val="lowerLetter"/>
      <w:pStyle w:val="Heading6"/>
      <w:lvlText w:val="(%6)"/>
      <w:lvlJc w:val="left"/>
      <w:pPr>
        <w:tabs>
          <w:tab w:val="num" w:pos="4320"/>
        </w:tabs>
        <w:ind w:left="4320" w:hanging="720"/>
      </w:pPr>
    </w:lvl>
    <w:lvl w:ilvl="6">
      <w:start w:val="1"/>
      <w:numFmt w:val="lowerRoman"/>
      <w:pStyle w:val="Heading7"/>
      <w:lvlText w:val="(%7)"/>
      <w:lvlJc w:val="left"/>
      <w:pPr>
        <w:tabs>
          <w:tab w:val="num" w:pos="5040"/>
        </w:tabs>
        <w:ind w:left="4320" w:firstLine="0"/>
      </w:pPr>
    </w:lvl>
    <w:lvl w:ilvl="7">
      <w:start w:val="1"/>
      <w:numFmt w:val="lowerLetter"/>
      <w:pStyle w:val="Heading8"/>
      <w:lvlText w:val="(%8)"/>
      <w:lvlJc w:val="left"/>
      <w:pPr>
        <w:tabs>
          <w:tab w:val="num" w:pos="5400"/>
        </w:tabs>
        <w:ind w:left="5040" w:firstLine="0"/>
      </w:pPr>
    </w:lvl>
    <w:lvl w:ilvl="8">
      <w:start w:val="1"/>
      <w:numFmt w:val="lowerRoman"/>
      <w:pStyle w:val="Heading9"/>
      <w:lvlText w:val="(%9)"/>
      <w:lvlJc w:val="left"/>
      <w:pPr>
        <w:tabs>
          <w:tab w:val="num" w:pos="6120"/>
        </w:tabs>
        <w:ind w:left="5760" w:firstLine="0"/>
      </w:pPr>
    </w:lvl>
  </w:abstractNum>
  <w:abstractNum w:abstractNumId="7">
    <w:nsid w:val="2B4F2E7A"/>
    <w:multiLevelType w:val="hybridMultilevel"/>
    <w:tmpl w:val="67E63A62"/>
    <w:lvl w:ilvl="0">
      <w:start w:val="1"/>
      <w:numFmt w:val="bullet"/>
      <w:lvlText w:val=""/>
      <w:lvlJc w:val="left"/>
      <w:pPr>
        <w:ind w:left="1440" w:hanging="360"/>
      </w:pPr>
      <w:rPr>
        <w:rFonts w:ascii="Symbol" w:hAnsi="Symbol" w:hint="default"/>
      </w:rPr>
    </w:lvl>
    <w:lvl w:ilvl="1" w:tentative="1">
      <w:start w:val="1"/>
      <w:numFmt w:val="bullet"/>
      <w:lvlText w:val="o"/>
      <w:lvlJc w:val="left"/>
      <w:pPr>
        <w:ind w:left="2160" w:hanging="360"/>
      </w:pPr>
      <w:rPr>
        <w:rFonts w:ascii="Courier New" w:hAnsi="Courier New" w:cs="Courier New" w:hint="default"/>
      </w:rPr>
    </w:lvl>
    <w:lvl w:ilvl="2" w:tentative="1">
      <w:start w:val="1"/>
      <w:numFmt w:val="bullet"/>
      <w:lvlText w:val=""/>
      <w:lvlJc w:val="left"/>
      <w:pPr>
        <w:ind w:left="2880" w:hanging="360"/>
      </w:pPr>
      <w:rPr>
        <w:rFonts w:ascii="Wingdings" w:hAnsi="Wingdings" w:hint="default"/>
      </w:rPr>
    </w:lvl>
    <w:lvl w:ilvl="3" w:tentative="1">
      <w:start w:val="1"/>
      <w:numFmt w:val="bullet"/>
      <w:lvlText w:val=""/>
      <w:lvlJc w:val="left"/>
      <w:pPr>
        <w:ind w:left="3600" w:hanging="360"/>
      </w:pPr>
      <w:rPr>
        <w:rFonts w:ascii="Symbol" w:hAnsi="Symbol" w:hint="default"/>
      </w:rPr>
    </w:lvl>
    <w:lvl w:ilvl="4" w:tentative="1">
      <w:start w:val="1"/>
      <w:numFmt w:val="bullet"/>
      <w:lvlText w:val="o"/>
      <w:lvlJc w:val="left"/>
      <w:pPr>
        <w:ind w:left="4320" w:hanging="360"/>
      </w:pPr>
      <w:rPr>
        <w:rFonts w:ascii="Courier New" w:hAnsi="Courier New" w:cs="Courier New" w:hint="default"/>
      </w:rPr>
    </w:lvl>
    <w:lvl w:ilvl="5" w:tentative="1">
      <w:start w:val="1"/>
      <w:numFmt w:val="bullet"/>
      <w:lvlText w:val=""/>
      <w:lvlJc w:val="left"/>
      <w:pPr>
        <w:ind w:left="5040" w:hanging="360"/>
      </w:pPr>
      <w:rPr>
        <w:rFonts w:ascii="Wingdings" w:hAnsi="Wingdings" w:hint="default"/>
      </w:rPr>
    </w:lvl>
    <w:lvl w:ilvl="6" w:tentative="1">
      <w:start w:val="1"/>
      <w:numFmt w:val="bullet"/>
      <w:lvlText w:val=""/>
      <w:lvlJc w:val="left"/>
      <w:pPr>
        <w:ind w:left="5760" w:hanging="360"/>
      </w:pPr>
      <w:rPr>
        <w:rFonts w:ascii="Symbol" w:hAnsi="Symbol" w:hint="default"/>
      </w:rPr>
    </w:lvl>
    <w:lvl w:ilvl="7" w:tentative="1">
      <w:start w:val="1"/>
      <w:numFmt w:val="bullet"/>
      <w:lvlText w:val="o"/>
      <w:lvlJc w:val="left"/>
      <w:pPr>
        <w:ind w:left="6480" w:hanging="360"/>
      </w:pPr>
      <w:rPr>
        <w:rFonts w:ascii="Courier New" w:hAnsi="Courier New" w:cs="Courier New" w:hint="default"/>
      </w:rPr>
    </w:lvl>
    <w:lvl w:ilvl="8" w:tentative="1">
      <w:start w:val="1"/>
      <w:numFmt w:val="bullet"/>
      <w:lvlText w:val=""/>
      <w:lvlJc w:val="left"/>
      <w:pPr>
        <w:ind w:left="7200" w:hanging="360"/>
      </w:pPr>
      <w:rPr>
        <w:rFonts w:ascii="Wingdings" w:hAnsi="Wingdings" w:hint="default"/>
      </w:rPr>
    </w:lvl>
  </w:abstractNum>
  <w:abstractNum w:abstractNumId="8">
    <w:nsid w:val="4DF61CE4"/>
    <w:multiLevelType w:val="multilevel"/>
    <w:tmpl w:val="F1A86982"/>
    <w:lvl w:ilvl="0">
      <w:start w:val="1"/>
      <w:numFmt w:val="upperRoman"/>
      <w:lvlText w:val="%1."/>
      <w:lvlJc w:val="left"/>
      <w:pPr>
        <w:tabs>
          <w:tab w:val="num" w:pos="720"/>
        </w:tabs>
        <w:ind w:left="720" w:hanging="720"/>
      </w:pPr>
    </w:lvl>
    <w:lvl w:ilvl="1">
      <w:start w:val="1"/>
      <w:numFmt w:val="upperLetter"/>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lowerLetter"/>
      <w:lvlText w:val="%4."/>
      <w:lvlJc w:val="left"/>
      <w:pPr>
        <w:tabs>
          <w:tab w:val="num" w:pos="2880"/>
        </w:tabs>
        <w:ind w:left="2880" w:hanging="720"/>
      </w:pPr>
    </w:lvl>
    <w:lvl w:ilvl="4">
      <w:start w:val="1"/>
      <w:numFmt w:val="lowerRoman"/>
      <w:lvlText w:val="(%5)"/>
      <w:lvlJc w:val="left"/>
      <w:pPr>
        <w:tabs>
          <w:tab w:val="num" w:pos="3600"/>
        </w:tabs>
        <w:ind w:left="3600" w:hanging="720"/>
      </w:pPr>
    </w:lvl>
    <w:lvl w:ilvl="5">
      <w:start w:val="1"/>
      <w:numFmt w:val="lowerLetter"/>
      <w:lvlText w:val="(%6)"/>
      <w:lvlJc w:val="left"/>
      <w:pPr>
        <w:tabs>
          <w:tab w:val="num" w:pos="4320"/>
        </w:tabs>
        <w:ind w:left="4320" w:hanging="720"/>
      </w:pPr>
    </w:lvl>
    <w:lvl w:ilvl="6">
      <w:start w:val="1"/>
      <w:numFmt w:val="lowerRoman"/>
      <w:lvlText w:val="(%7)"/>
      <w:lvlJc w:val="left"/>
      <w:pPr>
        <w:tabs>
          <w:tab w:val="num" w:pos="5040"/>
        </w:tabs>
        <w:ind w:left="4320" w:firstLine="0"/>
      </w:pPr>
    </w:lvl>
    <w:lvl w:ilvl="7">
      <w:start w:val="1"/>
      <w:numFmt w:val="lowerLetter"/>
      <w:lvlText w:val="(%8)"/>
      <w:lvlJc w:val="left"/>
      <w:pPr>
        <w:tabs>
          <w:tab w:val="num" w:pos="5400"/>
        </w:tabs>
        <w:ind w:left="5040" w:firstLine="0"/>
      </w:pPr>
    </w:lvl>
    <w:lvl w:ilvl="8">
      <w:start w:val="1"/>
      <w:numFmt w:val="lowerRoman"/>
      <w:lvlText w:val="(%9)"/>
      <w:lvlJc w:val="left"/>
      <w:pPr>
        <w:tabs>
          <w:tab w:val="num" w:pos="6120"/>
        </w:tabs>
        <w:ind w:left="5760" w:firstLine="0"/>
      </w:pPr>
    </w:lvl>
  </w:abstractNum>
  <w:abstractNum w:abstractNumId="9">
    <w:nsid w:val="5CD7627A"/>
    <w:multiLevelType w:val="multilevel"/>
    <w:tmpl w:val="5274BDF0"/>
    <w:numStyleLink w:val="StyleBulletedLatinCourierNewLeft075Hanging0252"/>
  </w:abstractNum>
  <w:abstractNum w:abstractNumId="10">
    <w:nsid w:val="61182925"/>
    <w:multiLevelType w:val="singleLevel"/>
    <w:tmpl w:val="D180CED0"/>
    <w:lvl w:ilvl="0">
      <w:start w:val="1"/>
      <w:numFmt w:val="decimal"/>
      <w:pStyle w:val="ParaNum"/>
      <w:lvlText w:val="%1."/>
      <w:lvlJc w:val="left"/>
      <w:pPr>
        <w:tabs>
          <w:tab w:val="num" w:pos="1080"/>
        </w:tabs>
        <w:ind w:left="0" w:firstLine="720"/>
      </w:pPr>
    </w:lvl>
  </w:abstractNum>
  <w:num w:numId="1" w16cid:durableId="2109621477">
    <w:abstractNumId w:val="4"/>
  </w:num>
  <w:num w:numId="2" w16cid:durableId="1095596706">
    <w:abstractNumId w:val="10"/>
  </w:num>
  <w:num w:numId="3" w16cid:durableId="1493375624">
    <w:abstractNumId w:val="6"/>
  </w:num>
  <w:num w:numId="4" w16cid:durableId="294873375">
    <w:abstractNumId w:val="8"/>
  </w:num>
  <w:num w:numId="5" w16cid:durableId="604466313">
    <w:abstractNumId w:val="5"/>
  </w:num>
  <w:num w:numId="6" w16cid:durableId="203444045">
    <w:abstractNumId w:val="2"/>
  </w:num>
  <w:num w:numId="7" w16cid:durableId="665325919">
    <w:abstractNumId w:val="0"/>
  </w:num>
  <w:num w:numId="8" w16cid:durableId="671295278">
    <w:abstractNumId w:val="1"/>
  </w:num>
  <w:num w:numId="9" w16cid:durableId="1927227812">
    <w:abstractNumId w:val="9"/>
  </w:num>
  <w:num w:numId="10" w16cid:durableId="439029373">
    <w:abstractNumId w:val="3"/>
  </w:num>
  <w:num w:numId="11" w16cid:durableId="899484639">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bordersDoNotSurroundHeader/>
  <w:bordersDoNotSurroundFooter/>
  <w:proofState w:spelling="clean" w:grammar="clean"/>
  <w:stylePaneFormatFilter w:val="3F01" w:allStyles="1" w:alternateStyleNames="0" w:clearFormatting="1" w:customStyles="0" w:directFormattingOnNumbering="1" w:directFormattingOnParagraphs="1" w:directFormattingOnRuns="1" w:directFormattingOnTables="1" w:headingStyles="0" w:latentStyles="0" w:numberingStyles="0" w:stylesInUse="0" w:tableStyles="0" w:top3HeadingStyles="1" w:visibleStyles="0"/>
  <w:defaultTabStop w:val="720"/>
  <w:hyphenationZone w:val="950"/>
  <w:doNotHyphenateCaps/>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footnotePr>
    <w:footnote w:id="0"/>
    <w:footnote w:id="1"/>
    <w:footnote w:id="2"/>
  </w:footnotePr>
  <w:endnotePr>
    <w:numFmt w:val="decimal"/>
    <w:endnote w:id="0"/>
    <w:endnote w:id="1"/>
    <w:endnote w:id="2"/>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F466B"/>
    <w:rsid w:val="00037058"/>
    <w:rsid w:val="00037C54"/>
    <w:rsid w:val="000420BD"/>
    <w:rsid w:val="00050C20"/>
    <w:rsid w:val="00053116"/>
    <w:rsid w:val="00053D02"/>
    <w:rsid w:val="000626CA"/>
    <w:rsid w:val="00063E02"/>
    <w:rsid w:val="000705C1"/>
    <w:rsid w:val="00073BBE"/>
    <w:rsid w:val="000810E2"/>
    <w:rsid w:val="00083139"/>
    <w:rsid w:val="00091B27"/>
    <w:rsid w:val="00093690"/>
    <w:rsid w:val="00094FD6"/>
    <w:rsid w:val="0009615B"/>
    <w:rsid w:val="00096AD0"/>
    <w:rsid w:val="00097A18"/>
    <w:rsid w:val="000A188B"/>
    <w:rsid w:val="000A349B"/>
    <w:rsid w:val="000A5041"/>
    <w:rsid w:val="000A73B4"/>
    <w:rsid w:val="000B1A0B"/>
    <w:rsid w:val="000B56D7"/>
    <w:rsid w:val="000B6D66"/>
    <w:rsid w:val="000B7D62"/>
    <w:rsid w:val="000D67A2"/>
    <w:rsid w:val="000E0E84"/>
    <w:rsid w:val="000E4352"/>
    <w:rsid w:val="000E451F"/>
    <w:rsid w:val="000E6533"/>
    <w:rsid w:val="000F4228"/>
    <w:rsid w:val="000F73CB"/>
    <w:rsid w:val="00116245"/>
    <w:rsid w:val="001240FC"/>
    <w:rsid w:val="00125B8C"/>
    <w:rsid w:val="001369A9"/>
    <w:rsid w:val="00143C4F"/>
    <w:rsid w:val="00153E6C"/>
    <w:rsid w:val="00161CA7"/>
    <w:rsid w:val="00161FBA"/>
    <w:rsid w:val="0016419C"/>
    <w:rsid w:val="0017670E"/>
    <w:rsid w:val="0017695A"/>
    <w:rsid w:val="00182B0A"/>
    <w:rsid w:val="00184755"/>
    <w:rsid w:val="00186B51"/>
    <w:rsid w:val="00191C15"/>
    <w:rsid w:val="001933F7"/>
    <w:rsid w:val="001C722D"/>
    <w:rsid w:val="001E52B1"/>
    <w:rsid w:val="001F5F54"/>
    <w:rsid w:val="00204A9F"/>
    <w:rsid w:val="0021132E"/>
    <w:rsid w:val="00214C58"/>
    <w:rsid w:val="00216765"/>
    <w:rsid w:val="00223DCD"/>
    <w:rsid w:val="002321B4"/>
    <w:rsid w:val="0023776D"/>
    <w:rsid w:val="00237AE3"/>
    <w:rsid w:val="00240F1B"/>
    <w:rsid w:val="00260678"/>
    <w:rsid w:val="00262365"/>
    <w:rsid w:val="002629BF"/>
    <w:rsid w:val="002669E3"/>
    <w:rsid w:val="00270411"/>
    <w:rsid w:val="00272813"/>
    <w:rsid w:val="0028523E"/>
    <w:rsid w:val="002853C6"/>
    <w:rsid w:val="00286AC8"/>
    <w:rsid w:val="00294F5F"/>
    <w:rsid w:val="002A54D4"/>
    <w:rsid w:val="002B15AB"/>
    <w:rsid w:val="002B2D2D"/>
    <w:rsid w:val="002B539D"/>
    <w:rsid w:val="002B5625"/>
    <w:rsid w:val="002D0D59"/>
    <w:rsid w:val="002E07F7"/>
    <w:rsid w:val="002E31A7"/>
    <w:rsid w:val="002E6476"/>
    <w:rsid w:val="00310A9B"/>
    <w:rsid w:val="0031272C"/>
    <w:rsid w:val="003129C5"/>
    <w:rsid w:val="0034257F"/>
    <w:rsid w:val="00343EA3"/>
    <w:rsid w:val="003451D6"/>
    <w:rsid w:val="003607C1"/>
    <w:rsid w:val="003611CE"/>
    <w:rsid w:val="00361E02"/>
    <w:rsid w:val="00362F92"/>
    <w:rsid w:val="0037160B"/>
    <w:rsid w:val="00371FA1"/>
    <w:rsid w:val="00390AC6"/>
    <w:rsid w:val="00391C91"/>
    <w:rsid w:val="00395E00"/>
    <w:rsid w:val="003A6F37"/>
    <w:rsid w:val="003B1263"/>
    <w:rsid w:val="003B147F"/>
    <w:rsid w:val="003B4A8A"/>
    <w:rsid w:val="003E08C8"/>
    <w:rsid w:val="003E185C"/>
    <w:rsid w:val="003E4972"/>
    <w:rsid w:val="003E4DD4"/>
    <w:rsid w:val="003E4E7E"/>
    <w:rsid w:val="003E6800"/>
    <w:rsid w:val="003E700A"/>
    <w:rsid w:val="003F4DE9"/>
    <w:rsid w:val="004013FA"/>
    <w:rsid w:val="00401884"/>
    <w:rsid w:val="00401FEF"/>
    <w:rsid w:val="004038BF"/>
    <w:rsid w:val="00407FAC"/>
    <w:rsid w:val="00414CCB"/>
    <w:rsid w:val="00420A9E"/>
    <w:rsid w:val="004246FA"/>
    <w:rsid w:val="0042774B"/>
    <w:rsid w:val="00430183"/>
    <w:rsid w:val="00432694"/>
    <w:rsid w:val="00455B90"/>
    <w:rsid w:val="004721D7"/>
    <w:rsid w:val="0047388C"/>
    <w:rsid w:val="004749D3"/>
    <w:rsid w:val="00486093"/>
    <w:rsid w:val="00486265"/>
    <w:rsid w:val="004B7F8A"/>
    <w:rsid w:val="004C506F"/>
    <w:rsid w:val="004C52CD"/>
    <w:rsid w:val="004D6C0A"/>
    <w:rsid w:val="004D7D46"/>
    <w:rsid w:val="004F130F"/>
    <w:rsid w:val="004F3991"/>
    <w:rsid w:val="004F5DCA"/>
    <w:rsid w:val="00510803"/>
    <w:rsid w:val="00512FC5"/>
    <w:rsid w:val="0052511D"/>
    <w:rsid w:val="0053710A"/>
    <w:rsid w:val="005401E1"/>
    <w:rsid w:val="00540CED"/>
    <w:rsid w:val="00556D0D"/>
    <w:rsid w:val="005714E7"/>
    <w:rsid w:val="00597CC0"/>
    <w:rsid w:val="005A20F0"/>
    <w:rsid w:val="005A520A"/>
    <w:rsid w:val="005A7F72"/>
    <w:rsid w:val="005B33B3"/>
    <w:rsid w:val="005C7BDA"/>
    <w:rsid w:val="005D6293"/>
    <w:rsid w:val="005D654B"/>
    <w:rsid w:val="005E10A2"/>
    <w:rsid w:val="005E2094"/>
    <w:rsid w:val="005E61EE"/>
    <w:rsid w:val="005E7F59"/>
    <w:rsid w:val="005F2F3F"/>
    <w:rsid w:val="005F3240"/>
    <w:rsid w:val="005F6CFF"/>
    <w:rsid w:val="00613CD3"/>
    <w:rsid w:val="00617486"/>
    <w:rsid w:val="00625AC4"/>
    <w:rsid w:val="00636726"/>
    <w:rsid w:val="00650BA3"/>
    <w:rsid w:val="006631E4"/>
    <w:rsid w:val="0068664F"/>
    <w:rsid w:val="00695B25"/>
    <w:rsid w:val="006A3282"/>
    <w:rsid w:val="006A424F"/>
    <w:rsid w:val="006B66EA"/>
    <w:rsid w:val="006C099B"/>
    <w:rsid w:val="006D2750"/>
    <w:rsid w:val="006E3028"/>
    <w:rsid w:val="00703AB6"/>
    <w:rsid w:val="007161A5"/>
    <w:rsid w:val="00717609"/>
    <w:rsid w:val="00720331"/>
    <w:rsid w:val="00720666"/>
    <w:rsid w:val="00721B66"/>
    <w:rsid w:val="00721C7F"/>
    <w:rsid w:val="007306A9"/>
    <w:rsid w:val="007350FD"/>
    <w:rsid w:val="00736D3B"/>
    <w:rsid w:val="00757759"/>
    <w:rsid w:val="007601AE"/>
    <w:rsid w:val="007720C3"/>
    <w:rsid w:val="0077237D"/>
    <w:rsid w:val="0078401B"/>
    <w:rsid w:val="0079045A"/>
    <w:rsid w:val="00794351"/>
    <w:rsid w:val="007A7BE5"/>
    <w:rsid w:val="007C453A"/>
    <w:rsid w:val="007D087D"/>
    <w:rsid w:val="007E0336"/>
    <w:rsid w:val="007F22F9"/>
    <w:rsid w:val="007F46B3"/>
    <w:rsid w:val="00802ACD"/>
    <w:rsid w:val="008053C9"/>
    <w:rsid w:val="0080609A"/>
    <w:rsid w:val="008108A4"/>
    <w:rsid w:val="0081138C"/>
    <w:rsid w:val="0081205B"/>
    <w:rsid w:val="00813003"/>
    <w:rsid w:val="00813FB2"/>
    <w:rsid w:val="0081788E"/>
    <w:rsid w:val="00821056"/>
    <w:rsid w:val="00834592"/>
    <w:rsid w:val="00837C72"/>
    <w:rsid w:val="00844D66"/>
    <w:rsid w:val="00865B39"/>
    <w:rsid w:val="00866649"/>
    <w:rsid w:val="00867C48"/>
    <w:rsid w:val="008875C3"/>
    <w:rsid w:val="00892680"/>
    <w:rsid w:val="00893979"/>
    <w:rsid w:val="00897CAD"/>
    <w:rsid w:val="008A22EA"/>
    <w:rsid w:val="008D5291"/>
    <w:rsid w:val="008D76E5"/>
    <w:rsid w:val="008E1E92"/>
    <w:rsid w:val="008E3332"/>
    <w:rsid w:val="008E3978"/>
    <w:rsid w:val="008E557D"/>
    <w:rsid w:val="008F5935"/>
    <w:rsid w:val="00900EBB"/>
    <w:rsid w:val="00901945"/>
    <w:rsid w:val="009054D1"/>
    <w:rsid w:val="00913F61"/>
    <w:rsid w:val="00925A3A"/>
    <w:rsid w:val="00926FE8"/>
    <w:rsid w:val="00932769"/>
    <w:rsid w:val="009339A1"/>
    <w:rsid w:val="00936F49"/>
    <w:rsid w:val="00940FE0"/>
    <w:rsid w:val="0094588E"/>
    <w:rsid w:val="00950120"/>
    <w:rsid w:val="00954B45"/>
    <w:rsid w:val="009615B8"/>
    <w:rsid w:val="00962170"/>
    <w:rsid w:val="009840CB"/>
    <w:rsid w:val="0098595F"/>
    <w:rsid w:val="009864EB"/>
    <w:rsid w:val="00993A37"/>
    <w:rsid w:val="00994F80"/>
    <w:rsid w:val="009A5436"/>
    <w:rsid w:val="009A7627"/>
    <w:rsid w:val="009B1727"/>
    <w:rsid w:val="009B2050"/>
    <w:rsid w:val="009B4571"/>
    <w:rsid w:val="009C46ED"/>
    <w:rsid w:val="009C6BE8"/>
    <w:rsid w:val="009D0206"/>
    <w:rsid w:val="009E4FC6"/>
    <w:rsid w:val="009E5EC9"/>
    <w:rsid w:val="00A03DBE"/>
    <w:rsid w:val="00A04226"/>
    <w:rsid w:val="00A20679"/>
    <w:rsid w:val="00A233DB"/>
    <w:rsid w:val="00A26777"/>
    <w:rsid w:val="00A271FD"/>
    <w:rsid w:val="00A3367C"/>
    <w:rsid w:val="00A35FB2"/>
    <w:rsid w:val="00A36FC3"/>
    <w:rsid w:val="00A37619"/>
    <w:rsid w:val="00A53CFA"/>
    <w:rsid w:val="00A5409B"/>
    <w:rsid w:val="00A548BB"/>
    <w:rsid w:val="00A72297"/>
    <w:rsid w:val="00A751DE"/>
    <w:rsid w:val="00A75BFE"/>
    <w:rsid w:val="00A76CFF"/>
    <w:rsid w:val="00A85E49"/>
    <w:rsid w:val="00A86280"/>
    <w:rsid w:val="00AB6DF1"/>
    <w:rsid w:val="00AC41F3"/>
    <w:rsid w:val="00AE7CB6"/>
    <w:rsid w:val="00AF6765"/>
    <w:rsid w:val="00B016EC"/>
    <w:rsid w:val="00B06693"/>
    <w:rsid w:val="00B06C63"/>
    <w:rsid w:val="00B100DE"/>
    <w:rsid w:val="00B12C3C"/>
    <w:rsid w:val="00B35CDC"/>
    <w:rsid w:val="00B374AD"/>
    <w:rsid w:val="00B52FB9"/>
    <w:rsid w:val="00B70339"/>
    <w:rsid w:val="00B758B7"/>
    <w:rsid w:val="00B77A4F"/>
    <w:rsid w:val="00B8398A"/>
    <w:rsid w:val="00B83E4B"/>
    <w:rsid w:val="00B87643"/>
    <w:rsid w:val="00BA264C"/>
    <w:rsid w:val="00BA3BA8"/>
    <w:rsid w:val="00BA51FB"/>
    <w:rsid w:val="00BB7AF0"/>
    <w:rsid w:val="00BE1E44"/>
    <w:rsid w:val="00BE2FA2"/>
    <w:rsid w:val="00BF20A6"/>
    <w:rsid w:val="00BF6B28"/>
    <w:rsid w:val="00C03D83"/>
    <w:rsid w:val="00C113A3"/>
    <w:rsid w:val="00C13BBB"/>
    <w:rsid w:val="00C158D6"/>
    <w:rsid w:val="00C20653"/>
    <w:rsid w:val="00C25E6E"/>
    <w:rsid w:val="00C27D5D"/>
    <w:rsid w:val="00C436DC"/>
    <w:rsid w:val="00C44359"/>
    <w:rsid w:val="00C47529"/>
    <w:rsid w:val="00C6022C"/>
    <w:rsid w:val="00C602E2"/>
    <w:rsid w:val="00C60FAA"/>
    <w:rsid w:val="00C623DD"/>
    <w:rsid w:val="00C62524"/>
    <w:rsid w:val="00C630C9"/>
    <w:rsid w:val="00C75C16"/>
    <w:rsid w:val="00C8256F"/>
    <w:rsid w:val="00C855F1"/>
    <w:rsid w:val="00C85AEB"/>
    <w:rsid w:val="00C92E06"/>
    <w:rsid w:val="00C975FE"/>
    <w:rsid w:val="00CA4FE5"/>
    <w:rsid w:val="00CB29A9"/>
    <w:rsid w:val="00CC11D0"/>
    <w:rsid w:val="00CC69CA"/>
    <w:rsid w:val="00CD4355"/>
    <w:rsid w:val="00CF6358"/>
    <w:rsid w:val="00D068A5"/>
    <w:rsid w:val="00D1105E"/>
    <w:rsid w:val="00D12E44"/>
    <w:rsid w:val="00D1520D"/>
    <w:rsid w:val="00D31E75"/>
    <w:rsid w:val="00D55486"/>
    <w:rsid w:val="00D55CA9"/>
    <w:rsid w:val="00D62E37"/>
    <w:rsid w:val="00D76B8E"/>
    <w:rsid w:val="00D86293"/>
    <w:rsid w:val="00D931F0"/>
    <w:rsid w:val="00DB1B5B"/>
    <w:rsid w:val="00DB273D"/>
    <w:rsid w:val="00DB765F"/>
    <w:rsid w:val="00DC461B"/>
    <w:rsid w:val="00DD458B"/>
    <w:rsid w:val="00DE1569"/>
    <w:rsid w:val="00DE3AF1"/>
    <w:rsid w:val="00E15140"/>
    <w:rsid w:val="00E233FD"/>
    <w:rsid w:val="00E4523B"/>
    <w:rsid w:val="00E463C0"/>
    <w:rsid w:val="00E61B75"/>
    <w:rsid w:val="00E637F0"/>
    <w:rsid w:val="00E82959"/>
    <w:rsid w:val="00E832EE"/>
    <w:rsid w:val="00E91F0A"/>
    <w:rsid w:val="00E96A6E"/>
    <w:rsid w:val="00EA21CE"/>
    <w:rsid w:val="00EA6CFC"/>
    <w:rsid w:val="00ED1771"/>
    <w:rsid w:val="00ED3A9A"/>
    <w:rsid w:val="00ED3EFF"/>
    <w:rsid w:val="00ED7792"/>
    <w:rsid w:val="00EE4CAD"/>
    <w:rsid w:val="00EE5942"/>
    <w:rsid w:val="00EF1A42"/>
    <w:rsid w:val="00EF466B"/>
    <w:rsid w:val="00F03EA1"/>
    <w:rsid w:val="00F05DDB"/>
    <w:rsid w:val="00F06602"/>
    <w:rsid w:val="00F13BD6"/>
    <w:rsid w:val="00F225BB"/>
    <w:rsid w:val="00F266F9"/>
    <w:rsid w:val="00F30B47"/>
    <w:rsid w:val="00F350F0"/>
    <w:rsid w:val="00F53877"/>
    <w:rsid w:val="00F64A8E"/>
    <w:rsid w:val="00F7088A"/>
    <w:rsid w:val="00F84761"/>
    <w:rsid w:val="00F85977"/>
    <w:rsid w:val="00F9256D"/>
    <w:rsid w:val="00FB152E"/>
    <w:rsid w:val="00FB4EC5"/>
    <w:rsid w:val="00FC7392"/>
    <w:rsid w:val="00FD774E"/>
    <w:rsid w:val="00FF23DC"/>
    <w:rsid w:val="07CFFE54"/>
    <w:rsid w:val="1FBEF2FC"/>
    <w:rsid w:val="26048295"/>
    <w:rsid w:val="520AE9D0"/>
    <w:rsid w:val="57F8778D"/>
    <w:rsid w:val="66BDD9EA"/>
  </w:rsids>
  <m:mathPr>
    <m:mathFont m:val="Cambria Math"/>
  </m:mathPr>
  <w:themeFontLang w:val="en-US" w:eastAsia="zh-TW"/>
  <w:clrSchemeMapping w:bg1="light1" w:t1="dark1" w:bg2="light2" w:t2="dark2" w:accent1="accent1" w:accent2="accent2" w:accent3="accent3" w:accent4="accent4" w:accent5="accent5" w:accent6="accent6" w:hyperlink="hyperlink" w:followedHyperlink="followedHyperlink"/>
  <w:doNotIncludeSubdocsInStats/>
  <w14:docId w14:val="702C75DA"/>
  <w15:chartTrackingRefBased/>
  <w15:docId w15:val="{90E99A66-D431-4A6F-B4B9-B157FA09D25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nhideWhenUsed="1"/>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pPr>
      <w:widowControl w:val="0"/>
    </w:pPr>
    <w:rPr>
      <w:snapToGrid w:val="0"/>
      <w:kern w:val="28"/>
      <w:sz w:val="22"/>
    </w:rPr>
  </w:style>
  <w:style w:type="paragraph" w:styleId="Heading1">
    <w:name w:val="heading 1"/>
    <w:basedOn w:val="Normal"/>
    <w:next w:val="ParaNum"/>
    <w:qFormat/>
    <w:pPr>
      <w:keepNext/>
      <w:numPr>
        <w:numId w:val="3"/>
      </w:numPr>
      <w:tabs>
        <w:tab w:val="left" w:pos="720"/>
      </w:tabs>
      <w:suppressAutoHyphens/>
      <w:spacing w:after="120"/>
      <w:outlineLvl w:val="0"/>
    </w:pPr>
    <w:rPr>
      <w:rFonts w:ascii="Times New Roman Bold" w:hAnsi="Times New Roman Bold"/>
      <w:b/>
      <w:caps/>
    </w:rPr>
  </w:style>
  <w:style w:type="paragraph" w:styleId="Heading2">
    <w:name w:val="heading 2"/>
    <w:basedOn w:val="Normal"/>
    <w:next w:val="ParaNum"/>
    <w:autoRedefine/>
    <w:qFormat/>
    <w:pPr>
      <w:keepNext/>
      <w:numPr>
        <w:ilvl w:val="1"/>
        <w:numId w:val="3"/>
      </w:numPr>
      <w:spacing w:after="120"/>
      <w:outlineLvl w:val="1"/>
    </w:pPr>
    <w:rPr>
      <w:b/>
    </w:rPr>
  </w:style>
  <w:style w:type="paragraph" w:styleId="Heading3">
    <w:name w:val="heading 3"/>
    <w:basedOn w:val="Normal"/>
    <w:next w:val="ParaNum"/>
    <w:qFormat/>
    <w:pPr>
      <w:keepNext/>
      <w:numPr>
        <w:ilvl w:val="2"/>
        <w:numId w:val="3"/>
      </w:numPr>
      <w:tabs>
        <w:tab w:val="left" w:pos="2160"/>
      </w:tabs>
      <w:spacing w:after="120"/>
      <w:outlineLvl w:val="2"/>
    </w:pPr>
    <w:rPr>
      <w:b/>
    </w:rPr>
  </w:style>
  <w:style w:type="paragraph" w:styleId="Heading4">
    <w:name w:val="heading 4"/>
    <w:basedOn w:val="Normal"/>
    <w:next w:val="ParaNum"/>
    <w:qFormat/>
    <w:pPr>
      <w:keepNext/>
      <w:numPr>
        <w:ilvl w:val="3"/>
        <w:numId w:val="3"/>
      </w:numPr>
      <w:tabs>
        <w:tab w:val="left" w:pos="2880"/>
      </w:tabs>
      <w:spacing w:after="120"/>
      <w:outlineLvl w:val="3"/>
    </w:pPr>
    <w:rPr>
      <w:b/>
    </w:rPr>
  </w:style>
  <w:style w:type="paragraph" w:styleId="Heading5">
    <w:name w:val="heading 5"/>
    <w:basedOn w:val="Normal"/>
    <w:next w:val="ParaNum"/>
    <w:qFormat/>
    <w:pPr>
      <w:keepNext/>
      <w:numPr>
        <w:ilvl w:val="4"/>
        <w:numId w:val="3"/>
      </w:numPr>
      <w:tabs>
        <w:tab w:val="left" w:pos="3600"/>
      </w:tabs>
      <w:suppressAutoHyphens/>
      <w:spacing w:after="120"/>
      <w:outlineLvl w:val="4"/>
    </w:pPr>
    <w:rPr>
      <w:b/>
    </w:rPr>
  </w:style>
  <w:style w:type="paragraph" w:styleId="Heading6">
    <w:name w:val="heading 6"/>
    <w:basedOn w:val="Normal"/>
    <w:next w:val="ParaNum"/>
    <w:qFormat/>
    <w:pPr>
      <w:numPr>
        <w:ilvl w:val="5"/>
        <w:numId w:val="3"/>
      </w:numPr>
      <w:tabs>
        <w:tab w:val="left" w:pos="4320"/>
      </w:tabs>
      <w:spacing w:after="120"/>
      <w:outlineLvl w:val="5"/>
    </w:pPr>
    <w:rPr>
      <w:b/>
    </w:rPr>
  </w:style>
  <w:style w:type="paragraph" w:styleId="Heading7">
    <w:name w:val="heading 7"/>
    <w:basedOn w:val="Normal"/>
    <w:next w:val="ParaNum"/>
    <w:qFormat/>
    <w:pPr>
      <w:numPr>
        <w:ilvl w:val="6"/>
        <w:numId w:val="3"/>
      </w:numPr>
      <w:tabs>
        <w:tab w:val="left" w:pos="5040"/>
      </w:tabs>
      <w:spacing w:after="120"/>
      <w:ind w:left="5040" w:hanging="720"/>
      <w:outlineLvl w:val="6"/>
    </w:pPr>
    <w:rPr>
      <w:b/>
    </w:rPr>
  </w:style>
  <w:style w:type="paragraph" w:styleId="Heading8">
    <w:name w:val="heading 8"/>
    <w:basedOn w:val="Normal"/>
    <w:next w:val="ParaNum"/>
    <w:qFormat/>
    <w:pPr>
      <w:numPr>
        <w:ilvl w:val="7"/>
        <w:numId w:val="3"/>
      </w:numPr>
      <w:tabs>
        <w:tab w:val="clear" w:pos="5400"/>
        <w:tab w:val="left" w:pos="5760"/>
      </w:tabs>
      <w:spacing w:after="120"/>
      <w:ind w:left="5760" w:hanging="720"/>
      <w:outlineLvl w:val="7"/>
    </w:pPr>
    <w:rPr>
      <w:b/>
    </w:rPr>
  </w:style>
  <w:style w:type="paragraph" w:styleId="Heading9">
    <w:name w:val="heading 9"/>
    <w:basedOn w:val="Normal"/>
    <w:next w:val="ParaNum"/>
    <w:qFormat/>
    <w:pPr>
      <w:numPr>
        <w:ilvl w:val="8"/>
        <w:numId w:val="3"/>
      </w:numPr>
      <w:tabs>
        <w:tab w:val="clear" w:pos="6120"/>
        <w:tab w:val="left" w:pos="6480"/>
      </w:tabs>
      <w:spacing w:after="120"/>
      <w:ind w:left="6480" w:hanging="720"/>
      <w:outlineLvl w:val="8"/>
    </w:pPr>
    <w:rPr>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araNum">
    <w:name w:val="ParaNum"/>
    <w:basedOn w:val="Normal"/>
    <w:link w:val="ParaNumChar"/>
    <w:pPr>
      <w:numPr>
        <w:numId w:val="2"/>
      </w:numPr>
      <w:tabs>
        <w:tab w:val="clear" w:pos="1080"/>
        <w:tab w:val="num" w:pos="1440"/>
      </w:tabs>
      <w:spacing w:after="120"/>
    </w:pPr>
  </w:style>
  <w:style w:type="paragraph" w:styleId="EndnoteText">
    <w:name w:val="endnote text"/>
    <w:basedOn w:val="Normal"/>
    <w:semiHidden/>
    <w:rPr>
      <w:sz w:val="20"/>
    </w:rPr>
  </w:style>
  <w:style w:type="character" w:styleId="EndnoteReference">
    <w:name w:val="endnote reference"/>
    <w:semiHidden/>
    <w:rPr>
      <w:vertAlign w:val="superscript"/>
    </w:rPr>
  </w:style>
  <w:style w:type="paragraph" w:styleId="FootnoteText">
    <w:name w:val="footnote text"/>
    <w:link w:val="FootnoteTextChar"/>
    <w:autoRedefine/>
    <w:uiPriority w:val="99"/>
    <w:qFormat/>
    <w:rsid w:val="00695B25"/>
    <w:pPr>
      <w:spacing w:after="120"/>
    </w:pPr>
  </w:style>
  <w:style w:type="character" w:styleId="FootnoteReference">
    <w:name w:val="footnote reference"/>
    <w:aliases w:val="(NECG) Footnote Reference,-E Funotenzeichen,A,Appel note de bas de p,FR,Footnote Reference/,Footnote Reference1,Ref,Style 1,Style 12,Style 124,Style 13,Style 17,Style 20,Style 3,Style 34,Style 4,Style 6,Style 7,Style 9,callout,fr,o"/>
    <w:uiPriority w:val="99"/>
    <w:qFormat/>
    <w:rsid w:val="00094FD6"/>
    <w:rPr>
      <w:rFonts w:ascii="Times New Roman" w:hAnsi="Times New Roman"/>
      <w:dstrike w:val="0"/>
      <w:color w:val="auto"/>
      <w:sz w:val="20"/>
      <w:vertAlign w:val="superscript"/>
    </w:rPr>
  </w:style>
  <w:style w:type="paragraph" w:styleId="TOC1">
    <w:name w:val="toc 1"/>
    <w:basedOn w:val="Normal"/>
    <w:next w:val="Normal"/>
    <w:uiPriority w:val="39"/>
    <w:pPr>
      <w:tabs>
        <w:tab w:val="left" w:pos="360"/>
        <w:tab w:val="right" w:leader="dot" w:pos="9360"/>
      </w:tabs>
      <w:suppressAutoHyphens/>
      <w:ind w:left="360" w:right="720" w:hanging="360"/>
    </w:pPr>
    <w:rPr>
      <w:caps/>
      <w:noProof/>
    </w:rPr>
  </w:style>
  <w:style w:type="paragraph" w:styleId="TOC2">
    <w:name w:val="toc 2"/>
    <w:basedOn w:val="Normal"/>
    <w:next w:val="Normal"/>
    <w:semiHidden/>
    <w:pPr>
      <w:tabs>
        <w:tab w:val="left" w:pos="720"/>
        <w:tab w:val="right" w:leader="dot" w:pos="9360"/>
      </w:tabs>
      <w:suppressAutoHyphens/>
      <w:ind w:left="720" w:right="720" w:hanging="360"/>
    </w:pPr>
    <w:rPr>
      <w:noProof/>
    </w:rPr>
  </w:style>
  <w:style w:type="paragraph" w:styleId="TOC3">
    <w:name w:val="toc 3"/>
    <w:basedOn w:val="Normal"/>
    <w:next w:val="Normal"/>
    <w:semiHidden/>
    <w:pPr>
      <w:tabs>
        <w:tab w:val="left" w:pos="1080"/>
        <w:tab w:val="right" w:leader="dot" w:pos="9360"/>
      </w:tabs>
      <w:suppressAutoHyphens/>
      <w:ind w:left="1080" w:right="720" w:hanging="360"/>
    </w:pPr>
    <w:rPr>
      <w:noProof/>
    </w:rPr>
  </w:style>
  <w:style w:type="paragraph" w:styleId="TOC4">
    <w:name w:val="toc 4"/>
    <w:basedOn w:val="Normal"/>
    <w:next w:val="Normal"/>
    <w:autoRedefine/>
    <w:semiHidden/>
    <w:pPr>
      <w:tabs>
        <w:tab w:val="left" w:pos="1440"/>
        <w:tab w:val="right" w:leader="dot" w:pos="9360"/>
      </w:tabs>
      <w:suppressAutoHyphens/>
      <w:ind w:left="1440" w:right="720" w:hanging="360"/>
    </w:pPr>
    <w:rPr>
      <w:noProof/>
    </w:rPr>
  </w:style>
  <w:style w:type="paragraph" w:styleId="TOC5">
    <w:name w:val="toc 5"/>
    <w:basedOn w:val="Normal"/>
    <w:next w:val="Normal"/>
    <w:autoRedefine/>
    <w:semiHidden/>
    <w:pPr>
      <w:tabs>
        <w:tab w:val="left" w:pos="1800"/>
        <w:tab w:val="right" w:leader="dot" w:pos="9360"/>
      </w:tabs>
      <w:suppressAutoHyphens/>
      <w:ind w:left="1800" w:right="720" w:hanging="360"/>
    </w:pPr>
    <w:rPr>
      <w:noProof/>
    </w:rPr>
  </w:style>
  <w:style w:type="paragraph" w:styleId="TOC6">
    <w:name w:val="toc 6"/>
    <w:basedOn w:val="Normal"/>
    <w:next w:val="Normal"/>
    <w:autoRedefine/>
    <w:semiHidden/>
    <w:pPr>
      <w:tabs>
        <w:tab w:val="left" w:pos="2160"/>
        <w:tab w:val="right" w:leader="dot" w:pos="9360"/>
      </w:tabs>
      <w:suppressAutoHyphens/>
      <w:ind w:left="2160" w:hanging="360"/>
    </w:pPr>
    <w:rPr>
      <w:noProof/>
    </w:rPr>
  </w:style>
  <w:style w:type="paragraph" w:styleId="TOC7">
    <w:name w:val="toc 7"/>
    <w:basedOn w:val="Normal"/>
    <w:next w:val="Normal"/>
    <w:autoRedefine/>
    <w:semiHidden/>
    <w:pPr>
      <w:tabs>
        <w:tab w:val="left" w:pos="2520"/>
        <w:tab w:val="right" w:leader="dot" w:pos="9360"/>
      </w:tabs>
      <w:suppressAutoHyphens/>
      <w:ind w:left="2520" w:hanging="360"/>
    </w:pPr>
    <w:rPr>
      <w:noProof/>
    </w:rPr>
  </w:style>
  <w:style w:type="paragraph" w:styleId="TOC8">
    <w:name w:val="toc 8"/>
    <w:basedOn w:val="Normal"/>
    <w:next w:val="Normal"/>
    <w:autoRedefine/>
    <w:semiHidden/>
    <w:pPr>
      <w:tabs>
        <w:tab w:val="left" w:pos="2880"/>
        <w:tab w:val="right" w:leader="dot" w:pos="9360"/>
      </w:tabs>
      <w:suppressAutoHyphens/>
      <w:ind w:left="2880" w:hanging="360"/>
    </w:pPr>
    <w:rPr>
      <w:noProof/>
    </w:rPr>
  </w:style>
  <w:style w:type="paragraph" w:styleId="TOC9">
    <w:name w:val="toc 9"/>
    <w:basedOn w:val="Normal"/>
    <w:next w:val="Normal"/>
    <w:autoRedefine/>
    <w:semiHidden/>
    <w:pPr>
      <w:tabs>
        <w:tab w:val="left" w:pos="3240"/>
        <w:tab w:val="right" w:leader="dot" w:pos="9360"/>
      </w:tabs>
      <w:suppressAutoHyphens/>
      <w:ind w:left="3240" w:hanging="360"/>
    </w:pPr>
    <w:rPr>
      <w:noProof/>
    </w:rPr>
  </w:style>
  <w:style w:type="paragraph" w:styleId="TOAHeading">
    <w:name w:val="toa heading"/>
    <w:basedOn w:val="Normal"/>
    <w:next w:val="Normal"/>
    <w:semiHidden/>
    <w:pPr>
      <w:tabs>
        <w:tab w:val="right" w:pos="9360"/>
      </w:tabs>
      <w:suppressAutoHyphens/>
    </w:pPr>
  </w:style>
  <w:style w:type="character" w:customStyle="1" w:styleId="EquationCaption">
    <w:name w:val="_Equation Caption"/>
  </w:style>
  <w:style w:type="paragraph" w:styleId="Header">
    <w:name w:val="header"/>
    <w:basedOn w:val="Normal"/>
    <w:autoRedefine/>
    <w:pPr>
      <w:tabs>
        <w:tab w:val="center" w:pos="4680"/>
        <w:tab w:val="right" w:pos="9360"/>
      </w:tabs>
    </w:pPr>
    <w:rPr>
      <w:rFonts w:ascii="Arial" w:hAnsi="Arial" w:cs="Arial"/>
      <w:b/>
      <w:sz w:val="96"/>
      <w:szCs w:val="96"/>
    </w:rPr>
  </w:style>
  <w:style w:type="paragraph" w:styleId="Footer">
    <w:name w:val="footer"/>
    <w:basedOn w:val="Normal"/>
    <w:link w:val="FooterChar"/>
    <w:uiPriority w:val="99"/>
    <w:pPr>
      <w:tabs>
        <w:tab w:val="center" w:pos="4320"/>
        <w:tab w:val="right" w:pos="8640"/>
      </w:tabs>
    </w:pPr>
  </w:style>
  <w:style w:type="character" w:styleId="PageNumber">
    <w:name w:val="page number"/>
    <w:basedOn w:val="DefaultParagraphFont"/>
  </w:style>
  <w:style w:type="paragraph" w:styleId="BlockText">
    <w:name w:val="Block Text"/>
    <w:basedOn w:val="Normal"/>
    <w:pPr>
      <w:spacing w:after="240"/>
      <w:ind w:left="1440" w:right="1440"/>
    </w:pPr>
  </w:style>
  <w:style w:type="paragraph" w:customStyle="1" w:styleId="Paratitle">
    <w:name w:val="Para title"/>
    <w:basedOn w:val="Normal"/>
    <w:pPr>
      <w:tabs>
        <w:tab w:val="center" w:pos="9270"/>
      </w:tabs>
      <w:spacing w:after="240"/>
    </w:pPr>
    <w:rPr>
      <w:spacing w:val="-2"/>
    </w:rPr>
  </w:style>
  <w:style w:type="paragraph" w:customStyle="1" w:styleId="Bullet">
    <w:name w:val="Bullet"/>
    <w:basedOn w:val="Normal"/>
    <w:pPr>
      <w:numPr>
        <w:numId w:val="1"/>
      </w:numPr>
      <w:tabs>
        <w:tab w:val="clear" w:pos="360"/>
        <w:tab w:val="left" w:pos="2160"/>
      </w:tabs>
      <w:spacing w:after="220"/>
      <w:ind w:left="2160" w:hanging="720"/>
    </w:pPr>
  </w:style>
  <w:style w:type="paragraph" w:customStyle="1" w:styleId="TableFormat">
    <w:name w:val="TableFormat"/>
    <w:basedOn w:val="Bullet"/>
    <w:pPr>
      <w:numPr>
        <w:numId w:val="0"/>
      </w:numPr>
      <w:tabs>
        <w:tab w:val="clear" w:pos="2160"/>
        <w:tab w:val="left" w:pos="5040"/>
      </w:tabs>
      <w:ind w:left="5040" w:hanging="3600"/>
    </w:pPr>
  </w:style>
  <w:style w:type="paragraph" w:customStyle="1" w:styleId="TOCTitle">
    <w:name w:val="TOC Title"/>
    <w:basedOn w:val="Normal"/>
    <w:pPr>
      <w:spacing w:before="240" w:after="240"/>
      <w:jc w:val="center"/>
    </w:pPr>
    <w:rPr>
      <w:rFonts w:ascii="Times New Roman Bold" w:hAnsi="Times New Roman Bold"/>
      <w:b/>
      <w:caps/>
      <w:spacing w:val="-2"/>
    </w:rPr>
  </w:style>
  <w:style w:type="paragraph" w:customStyle="1" w:styleId="StyleBoldCentered">
    <w:name w:val="Style Bold Centered"/>
    <w:basedOn w:val="Normal"/>
    <w:pPr>
      <w:jc w:val="center"/>
    </w:pPr>
    <w:rPr>
      <w:rFonts w:ascii="Times New Roman Bold" w:hAnsi="Times New Roman Bold"/>
      <w:b/>
      <w:bCs/>
      <w:caps/>
      <w:szCs w:val="22"/>
    </w:rPr>
  </w:style>
  <w:style w:type="character" w:styleId="Hyperlink">
    <w:name w:val="Hyperlink"/>
    <w:uiPriority w:val="99"/>
    <w:rPr>
      <w:color w:val="0000FF"/>
      <w:u w:val="single"/>
    </w:rPr>
  </w:style>
  <w:style w:type="character" w:customStyle="1" w:styleId="FooterChar">
    <w:name w:val="Footer Char"/>
    <w:link w:val="Footer"/>
    <w:uiPriority w:val="99"/>
    <w:rPr>
      <w:snapToGrid w:val="0"/>
      <w:kern w:val="28"/>
      <w:sz w:val="22"/>
    </w:rPr>
  </w:style>
  <w:style w:type="character" w:styleId="UnresolvedMention">
    <w:name w:val="Unresolved Mention"/>
    <w:uiPriority w:val="99"/>
    <w:semiHidden/>
    <w:unhideWhenUsed/>
    <w:rPr>
      <w:color w:val="605E5C"/>
      <w:shd w:val="clear" w:color="auto" w:fill="E1DFDD"/>
    </w:rPr>
  </w:style>
  <w:style w:type="character" w:customStyle="1" w:styleId="FootnoteTextChar">
    <w:name w:val="Footnote Text Char"/>
    <w:link w:val="FootnoteText"/>
    <w:uiPriority w:val="99"/>
    <w:rsid w:val="00695B25"/>
    <w:rPr>
      <w:lang w:eastAsia="en-US"/>
    </w:rPr>
  </w:style>
  <w:style w:type="character" w:customStyle="1" w:styleId="ParaNumChar">
    <w:name w:val="ParaNum Char"/>
    <w:link w:val="ParaNum"/>
    <w:locked/>
    <w:rsid w:val="00361E02"/>
    <w:rPr>
      <w:snapToGrid w:val="0"/>
      <w:kern w:val="28"/>
      <w:sz w:val="22"/>
    </w:rPr>
  </w:style>
  <w:style w:type="numbering" w:customStyle="1" w:styleId="StyleBulletedLatinCourierNewLeft075Hanging0252">
    <w:name w:val="Style Bulleted (Latin) Courier New Left:  0.75&quot; Hanging:  0.25&quot;...2"/>
    <w:basedOn w:val="NoList"/>
    <w:rsid w:val="00361E02"/>
    <w:pPr>
      <w:numPr>
        <w:numId w:val="8"/>
      </w:numPr>
    </w:pPr>
  </w:style>
  <w:style w:type="character" w:styleId="CommentReference">
    <w:name w:val="annotation reference"/>
    <w:uiPriority w:val="99"/>
    <w:semiHidden/>
    <w:unhideWhenUsed/>
    <w:rsid w:val="008E1E92"/>
    <w:rPr>
      <w:sz w:val="16"/>
      <w:szCs w:val="16"/>
    </w:rPr>
  </w:style>
  <w:style w:type="paragraph" w:styleId="CommentText">
    <w:name w:val="annotation text"/>
    <w:basedOn w:val="Normal"/>
    <w:link w:val="CommentTextChar"/>
    <w:uiPriority w:val="99"/>
    <w:unhideWhenUsed/>
    <w:rsid w:val="008E1E92"/>
    <w:rPr>
      <w:sz w:val="20"/>
    </w:rPr>
  </w:style>
  <w:style w:type="character" w:customStyle="1" w:styleId="CommentTextChar">
    <w:name w:val="Comment Text Char"/>
    <w:link w:val="CommentText"/>
    <w:uiPriority w:val="99"/>
    <w:rsid w:val="008E1E92"/>
    <w:rPr>
      <w:snapToGrid w:val="0"/>
      <w:kern w:val="28"/>
    </w:rPr>
  </w:style>
  <w:style w:type="paragraph" w:styleId="CommentSubject">
    <w:name w:val="annotation subject"/>
    <w:basedOn w:val="CommentText"/>
    <w:next w:val="CommentText"/>
    <w:link w:val="CommentSubjectChar"/>
    <w:uiPriority w:val="99"/>
    <w:semiHidden/>
    <w:unhideWhenUsed/>
    <w:rsid w:val="008E1E92"/>
    <w:rPr>
      <w:b/>
      <w:bCs/>
    </w:rPr>
  </w:style>
  <w:style w:type="character" w:customStyle="1" w:styleId="CommentSubjectChar">
    <w:name w:val="Comment Subject Char"/>
    <w:link w:val="CommentSubject"/>
    <w:uiPriority w:val="99"/>
    <w:semiHidden/>
    <w:rsid w:val="008E1E92"/>
    <w:rPr>
      <w:b/>
      <w:bCs/>
      <w:snapToGrid w:val="0"/>
      <w:kern w:val="28"/>
    </w:rPr>
  </w:style>
  <w:style w:type="paragraph" w:styleId="Revision">
    <w:name w:val="Revision"/>
    <w:hidden/>
    <w:uiPriority w:val="99"/>
    <w:semiHidden/>
    <w:rsid w:val="001F5F54"/>
    <w:rPr>
      <w:snapToGrid w:val="0"/>
      <w:kern w:val="28"/>
      <w:sz w:val="22"/>
    </w:rPr>
  </w:style>
  <w:style w:type="character" w:styleId="FollowedHyperlink">
    <w:name w:val="FollowedHyperlink"/>
    <w:uiPriority w:val="99"/>
    <w:semiHidden/>
    <w:unhideWhenUsed/>
    <w:rsid w:val="000B1A0B"/>
    <w:rPr>
      <w:color w:val="96607D"/>
      <w:u w:val="single"/>
    </w:rPr>
  </w:style>
  <w:style w:type="paragraph" w:styleId="ListParagraph">
    <w:name w:val="List Paragraph"/>
    <w:basedOn w:val="Normal"/>
    <w:uiPriority w:val="34"/>
    <w:qFormat/>
    <w:rsid w:val="00C630C9"/>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webSettings>
</file>

<file path=word/_rels/customizations.xml.rels><?xml version="1.0" encoding="utf-8" standalone="yes"?><Relationships xmlns="http://schemas.openxmlformats.org/package/2006/relationships"><Relationship Id="rId1" Type="http://schemas.microsoft.com/office/2006/relationships/attachedToolbars" Target="attachedToolbars.bin" /></Relationships>
</file>

<file path=word/_rels/document.xml.rels><?xml version="1.0" encoding="utf-8" standalone="yes"?><Relationships xmlns="http://schemas.openxmlformats.org/package/2006/relationships"><Relationship Id="rId1" Type="http://schemas.openxmlformats.org/officeDocument/2006/relationships/footnotes" Target="footnotes.xml" /><Relationship Id="rId10" Type="http://schemas.openxmlformats.org/officeDocument/2006/relationships/footer" Target="footer1.xml" /><Relationship Id="rId11" Type="http://schemas.openxmlformats.org/officeDocument/2006/relationships/footer" Target="footer2.xml" /><Relationship Id="rId12" Type="http://schemas.openxmlformats.org/officeDocument/2006/relationships/header" Target="header2.xml" /><Relationship Id="rId13" Type="http://schemas.openxmlformats.org/officeDocument/2006/relationships/footer" Target="footer3.xml" /><Relationship Id="rId14" Type="http://schemas.microsoft.com/office/2006/relationships/keyMapCustomizations" Target="customizations.xml" /><Relationship Id="rId15" Type="http://schemas.openxmlformats.org/officeDocument/2006/relationships/theme" Target="theme/theme1.xml" /><Relationship Id="rId16" Type="http://schemas.openxmlformats.org/officeDocument/2006/relationships/numbering" Target="numbering.xml" /><Relationship Id="rId17" Type="http://schemas.openxmlformats.org/officeDocument/2006/relationships/styles" Target="styles.xml" /><Relationship Id="rId2" Type="http://schemas.openxmlformats.org/officeDocument/2006/relationships/endnotes" Target="endnot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ntTable" Target="fontTable.xml" /><Relationship Id="rId6" Type="http://schemas.openxmlformats.org/officeDocument/2006/relationships/hyperlink" Target="https://www.fcc.gov/ecfs/filings" TargetMode="External" /><Relationship Id="rId7" Type="http://schemas.openxmlformats.org/officeDocument/2006/relationships/hyperlink" Target="mailto:fcc504@fcc.gov" TargetMode="External" /><Relationship Id="rId8" Type="http://schemas.openxmlformats.org/officeDocument/2006/relationships/hyperlink" Target="mailto:Brenda.Boykin@fcc.gov" TargetMode="External" /><Relationship Id="rId9" Type="http://schemas.openxmlformats.org/officeDocument/2006/relationships/header" Target="header1.xml" /></Relationships>
</file>

<file path=word/_rels/footnotes.xml.rels><?xml version="1.0" encoding="utf-8" standalone="yes"?><Relationships xmlns="http://schemas.openxmlformats.org/package/2006/relationships"><Relationship Id="rId1" Type="http://schemas.openxmlformats.org/officeDocument/2006/relationships/hyperlink" Target="https://www.fcc.gov/ecfs/search/search-filings/filing/10417519901088" TargetMode="External" /><Relationship Id="rId2" Type="http://schemas.openxmlformats.org/officeDocument/2006/relationships/hyperlink" Target="https://www.fcc.gov/ecfs/filing/10404491711173" TargetMode="External" /><Relationship Id="rId3" Type="http://schemas.openxmlformats.org/officeDocument/2006/relationships/hyperlink" Target="https://www.fcc.gov/ecfs/search/search-filings" TargetMode="External" /></Relationships>
</file>

<file path=word/_rels/header2.xml.rels><?xml version="1.0" encoding="utf-8" standalone="yes"?><Relationships xmlns="http://schemas.openxmlformats.org/package/2006/relationships"><Relationship Id="rId1" Type="http://schemas.openxmlformats.org/officeDocument/2006/relationships/image" Target="media/image1.png"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0</TotalTime>
  <Pages>0</Pages>
  <Words>0</Words>
  <Characters>0</Characters>
  <Application>Microsoft Office Word</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0</cp:revision>
</cp:coreProperties>
</file>