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204CE3" w:rsidP="0000664E" w14:paraId="0A906B9E" w14:textId="06A78C1D">
      <w:pPr>
        <w:jc w:val="center"/>
        <w:rPr>
          <w:sz w:val="22"/>
          <w:szCs w:val="22"/>
        </w:rPr>
      </w:pPr>
      <w:r>
        <w:rPr>
          <w:sz w:val="22"/>
          <w:szCs w:val="22"/>
        </w:rPr>
        <w:t xml:space="preserve">April </w:t>
      </w:r>
      <w:r w:rsidR="00B203F1">
        <w:rPr>
          <w:sz w:val="22"/>
          <w:szCs w:val="22"/>
        </w:rPr>
        <w:t>28,</w:t>
      </w:r>
      <w:r w:rsidR="0000664E">
        <w:rPr>
          <w:sz w:val="22"/>
          <w:szCs w:val="22"/>
        </w:rPr>
        <w:t xml:space="preserve"> 202</w:t>
      </w:r>
      <w:r w:rsidR="00306704">
        <w:rPr>
          <w:sz w:val="22"/>
          <w:szCs w:val="22"/>
        </w:rPr>
        <w:t>6</w:t>
      </w:r>
    </w:p>
    <w:p w:rsidR="0000664E" w:rsidP="00C611E8" w14:paraId="323F3C0A" w14:textId="77777777">
      <w:pPr>
        <w:jc w:val="center"/>
        <w:rPr>
          <w:sz w:val="22"/>
          <w:szCs w:val="22"/>
        </w:rPr>
      </w:pPr>
    </w:p>
    <w:p w:rsidR="009B26A2" w:rsidRPr="00677158" w:rsidP="009B4A75" w14:paraId="0D4B32E7" w14:textId="4C75B01E">
      <w:pPr>
        <w:pStyle w:val="ParaNum"/>
        <w:numPr>
          <w:ilvl w:val="0"/>
          <w:numId w:val="0"/>
        </w:numPr>
        <w:spacing w:after="0"/>
      </w:pP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sidRPr="00677158">
        <w:t xml:space="preserve">DA </w:t>
      </w:r>
      <w:r w:rsidRPr="00677158" w:rsidR="00306704">
        <w:t>26</w:t>
      </w:r>
      <w:r w:rsidRPr="00677158">
        <w:t>-</w:t>
      </w:r>
      <w:r w:rsidR="00076DA3">
        <w:t>417</w:t>
      </w:r>
    </w:p>
    <w:p w:rsidR="009B26A2" w:rsidRPr="00677158" w:rsidP="009B26A2" w14:paraId="590F8656" w14:textId="18EC8344">
      <w:pPr>
        <w:pStyle w:val="ParaNum"/>
        <w:numPr>
          <w:ilvl w:val="0"/>
          <w:numId w:val="0"/>
        </w:numPr>
        <w:spacing w:after="0"/>
      </w:pPr>
    </w:p>
    <w:p w:rsidR="00106762" w:rsidRPr="00677158" w:rsidP="009B26A2" w14:paraId="7CB713AF" w14:textId="77777777">
      <w:pPr>
        <w:pStyle w:val="ParaNum"/>
        <w:numPr>
          <w:ilvl w:val="0"/>
          <w:numId w:val="0"/>
        </w:numPr>
        <w:spacing w:after="0"/>
      </w:pPr>
      <w:r w:rsidRPr="00677158">
        <w:t>Gray Television Licensee, LLC</w:t>
      </w:r>
    </w:p>
    <w:p w:rsidR="00106762" w:rsidRPr="00C66946" w:rsidP="00106762" w14:paraId="167B20C8" w14:textId="77777777">
      <w:pPr>
        <w:pStyle w:val="ParaNum"/>
        <w:numPr>
          <w:ilvl w:val="0"/>
          <w:numId w:val="0"/>
        </w:numPr>
        <w:spacing w:after="0"/>
        <w:rPr>
          <w:lang w:val="pt-BR"/>
        </w:rPr>
      </w:pPr>
      <w:r w:rsidRPr="00C66946">
        <w:rPr>
          <w:lang w:val="pt-BR"/>
        </w:rPr>
        <w:t>c/o Henry H. Wendel, Esq.</w:t>
      </w:r>
    </w:p>
    <w:p w:rsidR="00106762" w:rsidP="00106762" w14:paraId="0CA5440B" w14:textId="77777777">
      <w:pPr>
        <w:pStyle w:val="ParaNum"/>
        <w:numPr>
          <w:ilvl w:val="0"/>
          <w:numId w:val="0"/>
        </w:numPr>
        <w:spacing w:after="0"/>
      </w:pPr>
      <w:r>
        <w:t>Cooley LLP</w:t>
      </w:r>
    </w:p>
    <w:p w:rsidR="00106762" w:rsidP="00106762" w14:paraId="3B3013FE" w14:textId="77777777">
      <w:pPr>
        <w:pStyle w:val="ParaNum"/>
        <w:numPr>
          <w:ilvl w:val="0"/>
          <w:numId w:val="0"/>
        </w:numPr>
        <w:spacing w:after="0"/>
      </w:pPr>
      <w:r>
        <w:t>1299 Pennsylvania Avenue, NW</w:t>
      </w:r>
    </w:p>
    <w:p w:rsidR="00106762" w:rsidP="00106762" w14:paraId="3E7BC161" w14:textId="77777777">
      <w:pPr>
        <w:pStyle w:val="ParaNum"/>
        <w:numPr>
          <w:ilvl w:val="0"/>
          <w:numId w:val="0"/>
        </w:numPr>
        <w:spacing w:after="0"/>
      </w:pPr>
      <w:r>
        <w:t>Suite 700</w:t>
      </w:r>
    </w:p>
    <w:p w:rsidR="00106762" w:rsidP="00106762" w14:paraId="2CB6725E" w14:textId="77777777">
      <w:pPr>
        <w:pStyle w:val="ParaNum"/>
        <w:numPr>
          <w:ilvl w:val="0"/>
          <w:numId w:val="0"/>
        </w:numPr>
        <w:spacing w:after="0"/>
      </w:pPr>
      <w:r>
        <w:t>Washington, DC 2004</w:t>
      </w:r>
    </w:p>
    <w:p w:rsidR="00106762" w:rsidP="00106762" w14:paraId="6E4E489A" w14:textId="77777777">
      <w:pPr>
        <w:pStyle w:val="ParaNum"/>
        <w:numPr>
          <w:ilvl w:val="0"/>
          <w:numId w:val="0"/>
        </w:numPr>
        <w:spacing w:after="0"/>
      </w:pPr>
    </w:p>
    <w:p w:rsidR="0065430A" w:rsidP="008A06BA" w14:paraId="0157B7AB" w14:textId="77777777">
      <w:pPr>
        <w:pStyle w:val="ParaNum"/>
        <w:numPr>
          <w:ilvl w:val="0"/>
          <w:numId w:val="0"/>
        </w:numPr>
        <w:spacing w:after="0"/>
      </w:pPr>
      <w:r>
        <w:t>Scripps Broadcasting Holding</w:t>
      </w:r>
      <w:r w:rsidR="0052739E">
        <w:t>s LLC</w:t>
      </w:r>
    </w:p>
    <w:p w:rsidR="008A06BA" w:rsidRPr="00076DA3" w:rsidP="008A06BA" w14:paraId="65487191" w14:textId="7072DB65">
      <w:pPr>
        <w:pStyle w:val="ParaNum"/>
        <w:numPr>
          <w:ilvl w:val="0"/>
          <w:numId w:val="0"/>
        </w:numPr>
        <w:spacing w:after="0"/>
        <w:rPr>
          <w:lang w:val="es-ES"/>
        </w:rPr>
      </w:pPr>
      <w:r w:rsidRPr="00076DA3">
        <w:rPr>
          <w:lang w:val="es-ES"/>
        </w:rPr>
        <w:t xml:space="preserve">ION </w:t>
      </w:r>
      <w:r w:rsidRPr="00076DA3">
        <w:rPr>
          <w:lang w:val="es-ES"/>
        </w:rPr>
        <w:t>Television</w:t>
      </w:r>
      <w:r w:rsidRPr="00076DA3">
        <w:rPr>
          <w:lang w:val="es-ES"/>
        </w:rPr>
        <w:t xml:space="preserve"> </w:t>
      </w:r>
      <w:r w:rsidRPr="00076DA3">
        <w:rPr>
          <w:lang w:val="es-ES"/>
        </w:rPr>
        <w:t>License</w:t>
      </w:r>
      <w:r w:rsidRPr="00076DA3">
        <w:rPr>
          <w:lang w:val="es-ES"/>
        </w:rPr>
        <w:t>, LLC</w:t>
      </w:r>
    </w:p>
    <w:p w:rsidR="0052739E" w:rsidRPr="00076DA3" w:rsidP="008A06BA" w14:paraId="1F500AD1" w14:textId="121C0F7E">
      <w:pPr>
        <w:pStyle w:val="ParaNum"/>
        <w:numPr>
          <w:ilvl w:val="0"/>
          <w:numId w:val="0"/>
        </w:numPr>
        <w:spacing w:after="0"/>
        <w:rPr>
          <w:lang w:val="es-ES"/>
        </w:rPr>
      </w:pPr>
      <w:r w:rsidRPr="00076DA3">
        <w:rPr>
          <w:lang w:val="es-ES"/>
        </w:rPr>
        <w:t xml:space="preserve">c/o </w:t>
      </w:r>
      <w:r w:rsidRPr="00076DA3">
        <w:rPr>
          <w:lang w:val="es-ES"/>
        </w:rPr>
        <w:t>Coe</w:t>
      </w:r>
      <w:r w:rsidRPr="00076DA3">
        <w:rPr>
          <w:lang w:val="es-ES"/>
        </w:rPr>
        <w:t xml:space="preserve"> W. Ramsay</w:t>
      </w:r>
      <w:r w:rsidRPr="00076DA3" w:rsidR="00675A6B">
        <w:rPr>
          <w:lang w:val="es-ES"/>
        </w:rPr>
        <w:t>, Esq.</w:t>
      </w:r>
    </w:p>
    <w:p w:rsidR="00770B28" w:rsidP="008A06BA" w14:paraId="742CD08F" w14:textId="126B67D6">
      <w:pPr>
        <w:pStyle w:val="ParaNum"/>
        <w:numPr>
          <w:ilvl w:val="0"/>
          <w:numId w:val="0"/>
        </w:numPr>
        <w:spacing w:after="0"/>
      </w:pPr>
      <w:r>
        <w:t>Brooks, Pierce</w:t>
      </w:r>
      <w:r w:rsidR="00EB3EB8">
        <w:t>, McLendon, Humphrey</w:t>
      </w:r>
      <w:r w:rsidR="007B03B2">
        <w:t xml:space="preserve"> &amp; Leonard, LLP</w:t>
      </w:r>
    </w:p>
    <w:p w:rsidR="00770B28" w:rsidP="008A06BA" w14:paraId="74EEB37A" w14:textId="183C1823">
      <w:pPr>
        <w:pStyle w:val="ParaNum"/>
        <w:numPr>
          <w:ilvl w:val="0"/>
          <w:numId w:val="0"/>
        </w:numPr>
        <w:spacing w:after="0"/>
      </w:pPr>
      <w:r>
        <w:t>150 Fayetteville Street</w:t>
      </w:r>
    </w:p>
    <w:p w:rsidR="00770B28" w:rsidP="008A06BA" w14:paraId="692C574C" w14:textId="1257644C">
      <w:pPr>
        <w:pStyle w:val="ParaNum"/>
        <w:numPr>
          <w:ilvl w:val="0"/>
          <w:numId w:val="0"/>
        </w:numPr>
        <w:spacing w:after="0"/>
      </w:pPr>
      <w:r>
        <w:t>Suite 1700</w:t>
      </w:r>
    </w:p>
    <w:p w:rsidR="00770B28" w:rsidP="008A06BA" w14:paraId="11803091" w14:textId="13645437">
      <w:pPr>
        <w:pStyle w:val="ParaNum"/>
        <w:numPr>
          <w:ilvl w:val="0"/>
          <w:numId w:val="0"/>
        </w:numPr>
        <w:spacing w:after="0"/>
      </w:pPr>
      <w:r>
        <w:t>Raleigh, NC 27601</w:t>
      </w:r>
    </w:p>
    <w:p w:rsidR="001E149B" w:rsidP="008A06BA" w14:paraId="05219CFD" w14:textId="77777777">
      <w:pPr>
        <w:pStyle w:val="ParaNum"/>
        <w:numPr>
          <w:ilvl w:val="0"/>
          <w:numId w:val="0"/>
        </w:numPr>
        <w:spacing w:after="0"/>
      </w:pPr>
    </w:p>
    <w:p w:rsidR="00275370" w:rsidP="008A06BA" w14:paraId="6A940426" w14:textId="0E47BECC">
      <w:pPr>
        <w:pStyle w:val="ParaNum"/>
        <w:numPr>
          <w:ilvl w:val="0"/>
          <w:numId w:val="0"/>
        </w:numPr>
        <w:spacing w:after="0"/>
      </w:pPr>
      <w:r>
        <w:t>American Television Alliance</w:t>
      </w:r>
    </w:p>
    <w:p w:rsidR="00FB19E1" w:rsidP="008A06BA" w14:paraId="56E71D53" w14:textId="2FC73679">
      <w:pPr>
        <w:pStyle w:val="ParaNum"/>
        <w:numPr>
          <w:ilvl w:val="0"/>
          <w:numId w:val="0"/>
        </w:numPr>
        <w:spacing w:after="0"/>
      </w:pPr>
      <w:r>
        <w:t xml:space="preserve">c/o Michael </w:t>
      </w:r>
      <w:r w:rsidR="009E50BE">
        <w:t>Nilsson, Esq.</w:t>
      </w:r>
    </w:p>
    <w:p w:rsidR="009E50BE" w:rsidP="008A06BA" w14:paraId="6AF6A6D2" w14:textId="34791058">
      <w:pPr>
        <w:pStyle w:val="ParaNum"/>
        <w:numPr>
          <w:ilvl w:val="0"/>
          <w:numId w:val="0"/>
        </w:numPr>
        <w:spacing w:after="0"/>
      </w:pPr>
      <w:r>
        <w:t>HWG LLP</w:t>
      </w:r>
    </w:p>
    <w:p w:rsidR="009E50BE" w:rsidP="008A06BA" w14:paraId="52288AA6" w14:textId="17D63792">
      <w:pPr>
        <w:pStyle w:val="ParaNum"/>
        <w:numPr>
          <w:ilvl w:val="0"/>
          <w:numId w:val="0"/>
        </w:numPr>
        <w:spacing w:after="0"/>
      </w:pPr>
      <w:r>
        <w:t>1919 M Street, NW</w:t>
      </w:r>
    </w:p>
    <w:p w:rsidR="000D2CE7" w:rsidP="008A06BA" w14:paraId="7F5AADC9" w14:textId="5F5DFD37">
      <w:pPr>
        <w:pStyle w:val="ParaNum"/>
        <w:numPr>
          <w:ilvl w:val="0"/>
          <w:numId w:val="0"/>
        </w:numPr>
        <w:spacing w:after="0"/>
      </w:pPr>
      <w:r>
        <w:t>Eighth Floor</w:t>
      </w:r>
    </w:p>
    <w:p w:rsidR="000D2CE7" w:rsidP="008A06BA" w14:paraId="1AEB48EE" w14:textId="2C3B8307">
      <w:pPr>
        <w:pStyle w:val="ParaNum"/>
        <w:numPr>
          <w:ilvl w:val="0"/>
          <w:numId w:val="0"/>
        </w:numPr>
        <w:spacing w:after="0"/>
      </w:pPr>
      <w:r>
        <w:t>Washington, DC 20036</w:t>
      </w:r>
    </w:p>
    <w:p w:rsidR="0038572D" w:rsidP="008A06BA" w14:paraId="164338DB" w14:textId="77777777">
      <w:pPr>
        <w:pStyle w:val="ParaNum"/>
        <w:numPr>
          <w:ilvl w:val="0"/>
          <w:numId w:val="0"/>
        </w:numPr>
        <w:spacing w:after="0"/>
      </w:pPr>
    </w:p>
    <w:p w:rsidR="0038572D" w:rsidP="008A06BA" w14:paraId="219C5B1D" w14:textId="65CFF720">
      <w:pPr>
        <w:pStyle w:val="ParaNum"/>
        <w:numPr>
          <w:ilvl w:val="0"/>
          <w:numId w:val="0"/>
        </w:numPr>
        <w:spacing w:after="0"/>
      </w:pPr>
      <w:r>
        <w:t>NCTA</w:t>
      </w:r>
      <w:r w:rsidR="00B427C1">
        <w:t xml:space="preserve"> – </w:t>
      </w:r>
      <w:r w:rsidR="00B32A93">
        <w:t>The Internet &amp; Television Association</w:t>
      </w:r>
    </w:p>
    <w:p w:rsidR="00B32A93" w:rsidP="008A06BA" w14:paraId="576944B0" w14:textId="54C359A7">
      <w:pPr>
        <w:pStyle w:val="ParaNum"/>
        <w:numPr>
          <w:ilvl w:val="0"/>
          <w:numId w:val="0"/>
        </w:numPr>
        <w:spacing w:after="0"/>
      </w:pPr>
      <w:r>
        <w:t xml:space="preserve">c/o Russell </w:t>
      </w:r>
      <w:r w:rsidR="00EA3882">
        <w:t>Hanser, Esq.</w:t>
      </w:r>
    </w:p>
    <w:p w:rsidR="00EA3882" w:rsidP="008A06BA" w14:paraId="48184148" w14:textId="5BDBBD48">
      <w:pPr>
        <w:pStyle w:val="ParaNum"/>
        <w:numPr>
          <w:ilvl w:val="0"/>
          <w:numId w:val="0"/>
        </w:numPr>
        <w:spacing w:after="0"/>
      </w:pPr>
      <w:r>
        <w:t>25 Massachus</w:t>
      </w:r>
      <w:r w:rsidR="00BE3F8D">
        <w:t>etts Avenue, NW</w:t>
      </w:r>
    </w:p>
    <w:p w:rsidR="00BE3F8D" w:rsidP="008A06BA" w14:paraId="55DA1877" w14:textId="3F668940">
      <w:pPr>
        <w:pStyle w:val="ParaNum"/>
        <w:numPr>
          <w:ilvl w:val="0"/>
          <w:numId w:val="0"/>
        </w:numPr>
        <w:spacing w:after="0"/>
      </w:pPr>
      <w:r>
        <w:t>Suite 100</w:t>
      </w:r>
    </w:p>
    <w:p w:rsidR="00BE3F8D" w:rsidP="008A06BA" w14:paraId="7842266C" w14:textId="67DFE662">
      <w:pPr>
        <w:pStyle w:val="ParaNum"/>
        <w:numPr>
          <w:ilvl w:val="0"/>
          <w:numId w:val="0"/>
        </w:numPr>
        <w:spacing w:after="0"/>
      </w:pPr>
      <w:r>
        <w:t>Washington, DC 20001</w:t>
      </w:r>
    </w:p>
    <w:p w:rsidR="0000664E" w:rsidRPr="0023331F" w:rsidP="00950BCE" w14:paraId="4A2EDBB3" w14:textId="0C6DEC40">
      <w:pPr>
        <w:pStyle w:val="ParaNum"/>
        <w:numPr>
          <w:ilvl w:val="0"/>
          <w:numId w:val="0"/>
        </w:numPr>
        <w:spacing w:after="0"/>
      </w:pPr>
      <w:r w:rsidRPr="008A06BA">
        <w:t xml:space="preserve"> </w:t>
      </w:r>
    </w:p>
    <w:p w:rsidR="00FA1A26" w:rsidP="00FA1D0A" w14:paraId="53811F64" w14:textId="77777777">
      <w:pPr>
        <w:pStyle w:val="ParaNum"/>
        <w:numPr>
          <w:ilvl w:val="0"/>
          <w:numId w:val="0"/>
        </w:numPr>
        <w:spacing w:after="0"/>
        <w:ind w:left="4320" w:firstLine="720"/>
      </w:pPr>
      <w:r>
        <w:t>In re:</w:t>
      </w:r>
      <w:r w:rsidR="00F71FBA">
        <w:tab/>
      </w:r>
      <w:r w:rsidR="00616858">
        <w:t>Applications</w:t>
      </w:r>
      <w:r w:rsidR="00363B15">
        <w:t xml:space="preserve"> for Assignment of </w:t>
      </w:r>
    </w:p>
    <w:p w:rsidR="00F71FBA" w:rsidRPr="00677158" w:rsidP="00404417" w14:paraId="6E50434A" w14:textId="6AD048AE">
      <w:pPr>
        <w:pStyle w:val="ParaNum"/>
        <w:numPr>
          <w:ilvl w:val="0"/>
          <w:numId w:val="0"/>
        </w:numPr>
        <w:spacing w:after="0"/>
        <w:ind w:left="5040" w:firstLine="720"/>
        <w:rPr>
          <w:lang w:val="pt-BR"/>
        </w:rPr>
      </w:pPr>
      <w:r w:rsidRPr="00677158">
        <w:rPr>
          <w:lang w:val="pt-BR"/>
        </w:rPr>
        <w:t>License</w:t>
      </w:r>
      <w:r w:rsidRPr="00677158" w:rsidR="00306704">
        <w:rPr>
          <w:lang w:val="pt-BR"/>
        </w:rPr>
        <w:t>s</w:t>
      </w:r>
    </w:p>
    <w:p w:rsidR="00BB669A" w:rsidRPr="00C66946" w:rsidP="00616858" w14:paraId="0FD0991C" w14:textId="012BCDA2">
      <w:pPr>
        <w:pStyle w:val="ParaNum"/>
        <w:numPr>
          <w:ilvl w:val="0"/>
          <w:numId w:val="0"/>
        </w:numPr>
        <w:spacing w:after="0"/>
        <w:ind w:left="6480" w:hanging="720"/>
        <w:rPr>
          <w:lang w:val="pt-BR"/>
        </w:rPr>
      </w:pPr>
      <w:r w:rsidRPr="00C66946">
        <w:rPr>
          <w:lang w:val="pt-BR"/>
        </w:rPr>
        <w:t xml:space="preserve">LMS File Nos. 0000275451 </w:t>
      </w:r>
      <w:r w:rsidRPr="00C66946">
        <w:rPr>
          <w:i/>
          <w:iCs/>
          <w:lang w:val="pt-BR"/>
        </w:rPr>
        <w:t>et a</w:t>
      </w:r>
      <w:r w:rsidRPr="00C66946" w:rsidR="00FA1D0A">
        <w:rPr>
          <w:i/>
          <w:iCs/>
          <w:lang w:val="pt-BR"/>
        </w:rPr>
        <w:t>l.</w:t>
      </w:r>
    </w:p>
    <w:p w:rsidR="006202A0" w:rsidRPr="00C66946" w:rsidP="006202A0" w14:paraId="2B5A9D61" w14:textId="77777777">
      <w:pPr>
        <w:pStyle w:val="ParaNum"/>
        <w:numPr>
          <w:ilvl w:val="0"/>
          <w:numId w:val="0"/>
        </w:numPr>
        <w:rPr>
          <w:lang w:val="pt-BR"/>
        </w:rPr>
      </w:pPr>
    </w:p>
    <w:p w:rsidR="001F313B" w:rsidP="00631052" w14:paraId="1B35310F" w14:textId="5C170842">
      <w:pPr>
        <w:pStyle w:val="ParaNum"/>
        <w:numPr>
          <w:ilvl w:val="0"/>
          <w:numId w:val="0"/>
        </w:numPr>
      </w:pPr>
      <w:r>
        <w:t xml:space="preserve">Dear </w:t>
      </w:r>
      <w:r w:rsidR="00631052">
        <w:t>Counsel</w:t>
      </w:r>
      <w:r>
        <w:t>,</w:t>
      </w:r>
    </w:p>
    <w:p w:rsidR="007F49AA" w:rsidRPr="007F49AA" w:rsidP="007F49AA" w14:paraId="370E7F2D" w14:textId="39013208">
      <w:pPr>
        <w:spacing w:after="120"/>
        <w:ind w:firstLine="720"/>
        <w:rPr>
          <w:snapToGrid w:val="0"/>
          <w:kern w:val="28"/>
          <w:sz w:val="22"/>
        </w:rPr>
      </w:pPr>
      <w:r w:rsidRPr="007F49AA">
        <w:rPr>
          <w:snapToGrid w:val="0"/>
          <w:kern w:val="28"/>
          <w:sz w:val="22"/>
        </w:rPr>
        <w:t xml:space="preserve">The </w:t>
      </w:r>
      <w:r w:rsidR="00EA2DDE">
        <w:rPr>
          <w:snapToGrid w:val="0"/>
          <w:kern w:val="28"/>
          <w:sz w:val="22"/>
        </w:rPr>
        <w:t>Video Division</w:t>
      </w:r>
      <w:r w:rsidRPr="007F49AA">
        <w:rPr>
          <w:snapToGrid w:val="0"/>
          <w:kern w:val="28"/>
          <w:sz w:val="22"/>
        </w:rPr>
        <w:t xml:space="preserve"> has before it applications</w:t>
      </w:r>
      <w:r w:rsidR="00DC3C53">
        <w:rPr>
          <w:snapToGrid w:val="0"/>
          <w:kern w:val="28"/>
          <w:sz w:val="22"/>
        </w:rPr>
        <w:t xml:space="preserve"> (Applications)</w:t>
      </w:r>
      <w:r w:rsidRPr="007F49AA">
        <w:rPr>
          <w:snapToGrid w:val="0"/>
          <w:kern w:val="28"/>
          <w:sz w:val="22"/>
        </w:rPr>
        <w:t xml:space="preserve"> that seek consent to the </w:t>
      </w:r>
      <w:r w:rsidR="00207361">
        <w:rPr>
          <w:snapToGrid w:val="0"/>
          <w:kern w:val="28"/>
          <w:sz w:val="22"/>
        </w:rPr>
        <w:t xml:space="preserve">proposed exchange of </w:t>
      </w:r>
      <w:r w:rsidR="004E24F3">
        <w:rPr>
          <w:snapToGrid w:val="0"/>
          <w:kern w:val="28"/>
          <w:sz w:val="22"/>
        </w:rPr>
        <w:t xml:space="preserve">television </w:t>
      </w:r>
      <w:r w:rsidR="00207361">
        <w:rPr>
          <w:snapToGrid w:val="0"/>
          <w:kern w:val="28"/>
          <w:sz w:val="22"/>
        </w:rPr>
        <w:t>station</w:t>
      </w:r>
      <w:r w:rsidRPr="007F49AA">
        <w:rPr>
          <w:snapToGrid w:val="0"/>
          <w:kern w:val="28"/>
          <w:sz w:val="22"/>
        </w:rPr>
        <w:t xml:space="preserve"> licenses </w:t>
      </w:r>
      <w:r w:rsidR="006B797B">
        <w:rPr>
          <w:snapToGrid w:val="0"/>
          <w:kern w:val="28"/>
          <w:sz w:val="22"/>
        </w:rPr>
        <w:t xml:space="preserve">(Transaction) </w:t>
      </w:r>
      <w:r w:rsidR="00207361">
        <w:rPr>
          <w:snapToGrid w:val="0"/>
          <w:kern w:val="28"/>
          <w:sz w:val="22"/>
        </w:rPr>
        <w:t>between</w:t>
      </w:r>
      <w:r w:rsidRPr="007F49AA">
        <w:rPr>
          <w:snapToGrid w:val="0"/>
          <w:kern w:val="28"/>
          <w:sz w:val="22"/>
        </w:rPr>
        <w:t xml:space="preserve"> Gray Television Licensee, LLC (Gray)</w:t>
      </w:r>
      <w:r w:rsidR="0098545C">
        <w:rPr>
          <w:snapToGrid w:val="0"/>
          <w:kern w:val="28"/>
          <w:sz w:val="22"/>
        </w:rPr>
        <w:t>, on the one hand,</w:t>
      </w:r>
      <w:r w:rsidR="003C2C47">
        <w:rPr>
          <w:snapToGrid w:val="0"/>
          <w:kern w:val="28"/>
          <w:sz w:val="22"/>
        </w:rPr>
        <w:t xml:space="preserve"> </w:t>
      </w:r>
      <w:r w:rsidR="00C75EC5">
        <w:rPr>
          <w:snapToGrid w:val="0"/>
          <w:kern w:val="28"/>
          <w:sz w:val="22"/>
        </w:rPr>
        <w:t>and Scripps Broadcasting Holdings LLC and</w:t>
      </w:r>
      <w:r w:rsidRPr="007F49AA">
        <w:rPr>
          <w:snapToGrid w:val="0"/>
          <w:kern w:val="28"/>
          <w:sz w:val="22"/>
        </w:rPr>
        <w:t xml:space="preserve"> ION Television License, LLC (</w:t>
      </w:r>
      <w:r w:rsidR="009271BD">
        <w:rPr>
          <w:snapToGrid w:val="0"/>
          <w:kern w:val="28"/>
          <w:sz w:val="22"/>
        </w:rPr>
        <w:t>collectively, Scripps, and</w:t>
      </w:r>
      <w:r w:rsidR="008C36EF">
        <w:rPr>
          <w:snapToGrid w:val="0"/>
          <w:kern w:val="28"/>
          <w:sz w:val="22"/>
        </w:rPr>
        <w:t xml:space="preserve"> together with Gray, the Applicants</w:t>
      </w:r>
      <w:r w:rsidRPr="007F49AA">
        <w:rPr>
          <w:snapToGrid w:val="0"/>
          <w:kern w:val="28"/>
          <w:sz w:val="22"/>
        </w:rPr>
        <w:t>)</w:t>
      </w:r>
      <w:r w:rsidR="0098545C">
        <w:rPr>
          <w:snapToGrid w:val="0"/>
          <w:kern w:val="28"/>
          <w:sz w:val="22"/>
        </w:rPr>
        <w:t>, on the other</w:t>
      </w:r>
      <w:r w:rsidRPr="007F49AA">
        <w:rPr>
          <w:snapToGrid w:val="0"/>
          <w:kern w:val="28"/>
          <w:sz w:val="22"/>
        </w:rPr>
        <w:t>.</w:t>
      </w:r>
      <w:r>
        <w:rPr>
          <w:snapToGrid w:val="0"/>
          <w:kern w:val="28"/>
          <w:vertAlign w:val="superscript"/>
        </w:rPr>
        <w:footnoteReference w:id="2"/>
      </w:r>
      <w:r w:rsidRPr="007F49AA">
        <w:rPr>
          <w:snapToGrid w:val="0"/>
          <w:kern w:val="28"/>
          <w:sz w:val="22"/>
        </w:rPr>
        <w:t xml:space="preserve">  The American Television Alliance (ATVA) and NCTA – The Internet &amp; Television Association (NCTA) filed comments arguing </w:t>
      </w:r>
      <w:r w:rsidR="00870E37">
        <w:rPr>
          <w:snapToGrid w:val="0"/>
          <w:kern w:val="28"/>
          <w:sz w:val="22"/>
        </w:rPr>
        <w:t>that</w:t>
      </w:r>
      <w:r w:rsidR="00F40C11">
        <w:rPr>
          <w:snapToGrid w:val="0"/>
          <w:kern w:val="28"/>
          <w:sz w:val="22"/>
        </w:rPr>
        <w:t xml:space="preserve">, </w:t>
      </w:r>
      <w:r w:rsidR="003831B8">
        <w:rPr>
          <w:snapToGrid w:val="0"/>
          <w:kern w:val="28"/>
          <w:sz w:val="22"/>
        </w:rPr>
        <w:t>despite</w:t>
      </w:r>
      <w:r w:rsidR="00F40C11">
        <w:rPr>
          <w:snapToGrid w:val="0"/>
          <w:kern w:val="28"/>
          <w:sz w:val="22"/>
        </w:rPr>
        <w:t xml:space="preserve"> certifying</w:t>
      </w:r>
      <w:r w:rsidR="00870E37">
        <w:rPr>
          <w:snapToGrid w:val="0"/>
          <w:kern w:val="28"/>
          <w:sz w:val="22"/>
        </w:rPr>
        <w:t xml:space="preserve"> compliance with the </w:t>
      </w:r>
      <w:r w:rsidR="007D4BB6">
        <w:rPr>
          <w:snapToGrid w:val="0"/>
          <w:kern w:val="28"/>
          <w:sz w:val="22"/>
        </w:rPr>
        <w:t>Local Television Ownership Rule</w:t>
      </w:r>
      <w:r w:rsidR="008B0FFF">
        <w:rPr>
          <w:snapToGrid w:val="0"/>
          <w:kern w:val="28"/>
          <w:sz w:val="22"/>
        </w:rPr>
        <w:t>,</w:t>
      </w:r>
      <w:r>
        <w:rPr>
          <w:rStyle w:val="FootnoteReference"/>
          <w:snapToGrid w:val="0"/>
          <w:kern w:val="28"/>
        </w:rPr>
        <w:footnoteReference w:id="3"/>
      </w:r>
      <w:r w:rsidR="00325CEF">
        <w:rPr>
          <w:snapToGrid w:val="0"/>
          <w:kern w:val="28"/>
          <w:sz w:val="22"/>
        </w:rPr>
        <w:t xml:space="preserve"> the Applicants</w:t>
      </w:r>
      <w:r w:rsidR="00870E37">
        <w:rPr>
          <w:snapToGrid w:val="0"/>
          <w:kern w:val="28"/>
          <w:sz w:val="22"/>
        </w:rPr>
        <w:t xml:space="preserve"> nonetheless </w:t>
      </w:r>
      <w:r w:rsidR="00870E37">
        <w:rPr>
          <w:snapToGrid w:val="0"/>
          <w:kern w:val="28"/>
          <w:sz w:val="22"/>
        </w:rPr>
        <w:t xml:space="preserve">have the burden </w:t>
      </w:r>
      <w:r w:rsidR="00AD0D33">
        <w:rPr>
          <w:snapToGrid w:val="0"/>
          <w:kern w:val="28"/>
          <w:sz w:val="22"/>
        </w:rPr>
        <w:t>of</w:t>
      </w:r>
      <w:r w:rsidR="00870E37">
        <w:rPr>
          <w:snapToGrid w:val="0"/>
          <w:kern w:val="28"/>
          <w:sz w:val="22"/>
        </w:rPr>
        <w:t xml:space="preserve"> mak</w:t>
      </w:r>
      <w:r w:rsidR="00AD0D33">
        <w:rPr>
          <w:snapToGrid w:val="0"/>
          <w:kern w:val="28"/>
          <w:sz w:val="22"/>
        </w:rPr>
        <w:t>ing</w:t>
      </w:r>
      <w:r w:rsidR="00870E37">
        <w:rPr>
          <w:snapToGrid w:val="0"/>
          <w:kern w:val="28"/>
          <w:sz w:val="22"/>
        </w:rPr>
        <w:t xml:space="preserve"> a case-specific showing </w:t>
      </w:r>
      <w:r w:rsidRPr="00934608" w:rsidR="00870E37">
        <w:rPr>
          <w:snapToGrid w:val="0"/>
          <w:kern w:val="28"/>
          <w:sz w:val="22"/>
        </w:rPr>
        <w:t xml:space="preserve">that </w:t>
      </w:r>
      <w:r w:rsidR="00870E37">
        <w:rPr>
          <w:snapToGrid w:val="0"/>
          <w:kern w:val="28"/>
          <w:sz w:val="22"/>
        </w:rPr>
        <w:t>the</w:t>
      </w:r>
      <w:r w:rsidRPr="00934608" w:rsidR="00870E37">
        <w:rPr>
          <w:snapToGrid w:val="0"/>
          <w:kern w:val="28"/>
          <w:sz w:val="22"/>
        </w:rPr>
        <w:t xml:space="preserve"> </w:t>
      </w:r>
      <w:r w:rsidR="000A6AC6">
        <w:rPr>
          <w:snapToGrid w:val="0"/>
          <w:kern w:val="28"/>
          <w:sz w:val="22"/>
        </w:rPr>
        <w:t xml:space="preserve">public interest </w:t>
      </w:r>
      <w:r w:rsidRPr="00934608" w:rsidR="00870E37">
        <w:rPr>
          <w:snapToGrid w:val="0"/>
          <w:kern w:val="28"/>
          <w:sz w:val="22"/>
        </w:rPr>
        <w:t xml:space="preserve">benefits of </w:t>
      </w:r>
      <w:r w:rsidR="00870E37">
        <w:rPr>
          <w:snapToGrid w:val="0"/>
          <w:kern w:val="28"/>
          <w:sz w:val="22"/>
        </w:rPr>
        <w:t xml:space="preserve">owning two stations in the market </w:t>
      </w:r>
      <w:r w:rsidRPr="00934608" w:rsidR="00870E37">
        <w:rPr>
          <w:snapToGrid w:val="0"/>
          <w:kern w:val="28"/>
          <w:sz w:val="22"/>
        </w:rPr>
        <w:t>outweigh the harms</w:t>
      </w:r>
      <w:r w:rsidR="00AB5D11">
        <w:rPr>
          <w:snapToGrid w:val="0"/>
          <w:kern w:val="28"/>
          <w:sz w:val="22"/>
        </w:rPr>
        <w:t>.</w:t>
      </w:r>
      <w:bookmarkStart w:id="0" w:name="_Ref532206807"/>
      <w:r>
        <w:rPr>
          <w:snapToGrid w:val="0"/>
          <w:kern w:val="28"/>
          <w:sz w:val="22"/>
          <w:vertAlign w:val="superscript"/>
        </w:rPr>
        <w:footnoteReference w:id="4"/>
      </w:r>
      <w:bookmarkEnd w:id="0"/>
      <w:r w:rsidRPr="007F49AA">
        <w:rPr>
          <w:snapToGrid w:val="0"/>
          <w:kern w:val="28"/>
          <w:sz w:val="22"/>
        </w:rPr>
        <w:t xml:space="preserve"> </w:t>
      </w:r>
      <w:r w:rsidR="0041449E">
        <w:rPr>
          <w:snapToGrid w:val="0"/>
          <w:kern w:val="28"/>
          <w:sz w:val="22"/>
        </w:rPr>
        <w:t xml:space="preserve"> </w:t>
      </w:r>
      <w:r w:rsidR="00520DF3">
        <w:rPr>
          <w:snapToGrid w:val="0"/>
          <w:kern w:val="28"/>
          <w:sz w:val="22"/>
        </w:rPr>
        <w:t xml:space="preserve">They further contend that the Applicants </w:t>
      </w:r>
      <w:r w:rsidR="00B11F38">
        <w:rPr>
          <w:snapToGrid w:val="0"/>
          <w:kern w:val="28"/>
          <w:sz w:val="22"/>
        </w:rPr>
        <w:t>“</w:t>
      </w:r>
      <w:r w:rsidRPr="00B11F38" w:rsidR="00B11F38">
        <w:rPr>
          <w:snapToGrid w:val="0"/>
          <w:kern w:val="28"/>
          <w:sz w:val="22"/>
        </w:rPr>
        <w:t xml:space="preserve">have not yet made a showing that this transaction is in the public interest, nor have they addressed </w:t>
      </w:r>
      <w:r w:rsidR="006836E1">
        <w:rPr>
          <w:snapToGrid w:val="0"/>
          <w:kern w:val="28"/>
          <w:sz w:val="22"/>
        </w:rPr>
        <w:t>[</w:t>
      </w:r>
      <w:r w:rsidR="00F230AF">
        <w:rPr>
          <w:snapToGrid w:val="0"/>
          <w:kern w:val="28"/>
          <w:sz w:val="22"/>
        </w:rPr>
        <w:t>potential</w:t>
      </w:r>
      <w:r w:rsidR="006836E1">
        <w:rPr>
          <w:snapToGrid w:val="0"/>
          <w:kern w:val="28"/>
          <w:sz w:val="22"/>
        </w:rPr>
        <w:t>]</w:t>
      </w:r>
      <w:r w:rsidRPr="00B11F38" w:rsidR="00B11F38">
        <w:rPr>
          <w:snapToGrid w:val="0"/>
          <w:kern w:val="28"/>
          <w:sz w:val="22"/>
        </w:rPr>
        <w:t xml:space="preserve"> harms that would result from the transaction</w:t>
      </w:r>
      <w:r w:rsidR="00F230AF">
        <w:rPr>
          <w:snapToGrid w:val="0"/>
          <w:kern w:val="28"/>
          <w:sz w:val="22"/>
        </w:rPr>
        <w:t>,</w:t>
      </w:r>
      <w:r w:rsidR="006836E1">
        <w:rPr>
          <w:snapToGrid w:val="0"/>
          <w:kern w:val="28"/>
          <w:sz w:val="22"/>
        </w:rPr>
        <w:t>”</w:t>
      </w:r>
      <w:r>
        <w:rPr>
          <w:rStyle w:val="FootnoteReference"/>
          <w:snapToGrid w:val="0"/>
          <w:kern w:val="28"/>
        </w:rPr>
        <w:footnoteReference w:id="5"/>
      </w:r>
      <w:r w:rsidR="002C39E6">
        <w:rPr>
          <w:snapToGrid w:val="0"/>
          <w:kern w:val="28"/>
          <w:sz w:val="22"/>
        </w:rPr>
        <w:t xml:space="preserve"> </w:t>
      </w:r>
      <w:r w:rsidR="00033144">
        <w:rPr>
          <w:snapToGrid w:val="0"/>
          <w:kern w:val="28"/>
          <w:sz w:val="22"/>
        </w:rPr>
        <w:t xml:space="preserve">specifically </w:t>
      </w:r>
      <w:r w:rsidR="007A5FAF">
        <w:rPr>
          <w:snapToGrid w:val="0"/>
          <w:kern w:val="28"/>
          <w:sz w:val="22"/>
        </w:rPr>
        <w:t xml:space="preserve">concerning the retransmission consent process. </w:t>
      </w:r>
      <w:r w:rsidR="002C39E6">
        <w:rPr>
          <w:snapToGrid w:val="0"/>
          <w:kern w:val="28"/>
          <w:sz w:val="22"/>
        </w:rPr>
        <w:t xml:space="preserve"> F</w:t>
      </w:r>
      <w:r w:rsidRPr="007F49AA">
        <w:rPr>
          <w:snapToGrid w:val="0"/>
          <w:kern w:val="28"/>
          <w:sz w:val="22"/>
        </w:rPr>
        <w:t>or the reasons set forth below</w:t>
      </w:r>
      <w:r w:rsidR="002C39E6">
        <w:rPr>
          <w:snapToGrid w:val="0"/>
          <w:kern w:val="28"/>
          <w:sz w:val="22"/>
        </w:rPr>
        <w:t xml:space="preserve">, </w:t>
      </w:r>
      <w:r w:rsidR="003E4881">
        <w:rPr>
          <w:snapToGrid w:val="0"/>
          <w:kern w:val="28"/>
          <w:sz w:val="22"/>
        </w:rPr>
        <w:t>we find these arguments to be without merit</w:t>
      </w:r>
      <w:r w:rsidR="00FB61C4">
        <w:rPr>
          <w:snapToGrid w:val="0"/>
          <w:kern w:val="28"/>
          <w:sz w:val="22"/>
        </w:rPr>
        <w:t xml:space="preserve">, and we </w:t>
      </w:r>
      <w:r w:rsidR="009A2ABA">
        <w:rPr>
          <w:snapToGrid w:val="0"/>
          <w:kern w:val="28"/>
          <w:sz w:val="22"/>
        </w:rPr>
        <w:t>deny the Informal Objections and grant the Applications</w:t>
      </w:r>
      <w:r w:rsidRPr="007F49AA">
        <w:rPr>
          <w:snapToGrid w:val="0"/>
          <w:kern w:val="28"/>
          <w:sz w:val="22"/>
        </w:rPr>
        <w:t xml:space="preserve">.  </w:t>
      </w:r>
    </w:p>
    <w:p w:rsidR="007F49AA" w:rsidRPr="007F49AA" w:rsidP="007F49AA" w14:paraId="4231B50B" w14:textId="64EF4FAC">
      <w:pPr>
        <w:spacing w:after="120"/>
        <w:ind w:firstLine="720"/>
        <w:rPr>
          <w:snapToGrid w:val="0"/>
          <w:kern w:val="28"/>
          <w:sz w:val="22"/>
        </w:rPr>
      </w:pPr>
      <w:r w:rsidRPr="007F49AA">
        <w:rPr>
          <w:i/>
          <w:iCs/>
          <w:snapToGrid w:val="0"/>
          <w:kern w:val="28"/>
          <w:sz w:val="22"/>
        </w:rPr>
        <w:t>Transaction</w:t>
      </w:r>
      <w:r w:rsidRPr="007F49AA">
        <w:rPr>
          <w:snapToGrid w:val="0"/>
          <w:kern w:val="28"/>
          <w:sz w:val="22"/>
        </w:rPr>
        <w:t xml:space="preserve">.  </w:t>
      </w:r>
      <w:r w:rsidR="008D2882">
        <w:rPr>
          <w:snapToGrid w:val="0"/>
          <w:kern w:val="28"/>
          <w:sz w:val="22"/>
        </w:rPr>
        <w:t>The Transaction</w:t>
      </w:r>
      <w:r w:rsidR="00FE43AC">
        <w:rPr>
          <w:snapToGrid w:val="0"/>
          <w:kern w:val="28"/>
          <w:sz w:val="22"/>
        </w:rPr>
        <w:t xml:space="preserve"> would result in </w:t>
      </w:r>
      <w:r w:rsidR="003D3400">
        <w:rPr>
          <w:snapToGrid w:val="0"/>
          <w:kern w:val="28"/>
          <w:sz w:val="22"/>
        </w:rPr>
        <w:t xml:space="preserve">each of </w:t>
      </w:r>
      <w:r w:rsidR="00923D2E">
        <w:rPr>
          <w:snapToGrid w:val="0"/>
          <w:kern w:val="28"/>
          <w:sz w:val="22"/>
        </w:rPr>
        <w:t xml:space="preserve">Gray and Scripps </w:t>
      </w:r>
      <w:r w:rsidR="0003153B">
        <w:rPr>
          <w:snapToGrid w:val="0"/>
          <w:kern w:val="28"/>
          <w:sz w:val="22"/>
        </w:rPr>
        <w:t>owning</w:t>
      </w:r>
      <w:r w:rsidR="00923D2E">
        <w:rPr>
          <w:snapToGrid w:val="0"/>
          <w:kern w:val="28"/>
          <w:sz w:val="22"/>
        </w:rPr>
        <w:t xml:space="preserve"> </w:t>
      </w:r>
      <w:r w:rsidR="00056E1D">
        <w:rPr>
          <w:snapToGrid w:val="0"/>
          <w:kern w:val="28"/>
          <w:sz w:val="22"/>
        </w:rPr>
        <w:t xml:space="preserve">more than one </w:t>
      </w:r>
      <w:r w:rsidR="00F34AB3">
        <w:rPr>
          <w:snapToGrid w:val="0"/>
          <w:kern w:val="28"/>
          <w:sz w:val="22"/>
        </w:rPr>
        <w:t xml:space="preserve">full power television </w:t>
      </w:r>
      <w:r w:rsidR="00056E1D">
        <w:rPr>
          <w:snapToGrid w:val="0"/>
          <w:kern w:val="28"/>
          <w:sz w:val="22"/>
        </w:rPr>
        <w:t>station ranked among the top four</w:t>
      </w:r>
      <w:r w:rsidR="003D3400">
        <w:rPr>
          <w:snapToGrid w:val="0"/>
          <w:kern w:val="28"/>
          <w:sz w:val="22"/>
        </w:rPr>
        <w:t xml:space="preserve"> in </w:t>
      </w:r>
      <w:r w:rsidR="00421D79">
        <w:rPr>
          <w:snapToGrid w:val="0"/>
          <w:kern w:val="28"/>
          <w:sz w:val="22"/>
        </w:rPr>
        <w:t>certain</w:t>
      </w:r>
      <w:r w:rsidRPr="007F49AA">
        <w:rPr>
          <w:snapToGrid w:val="0"/>
          <w:kern w:val="28"/>
          <w:sz w:val="22"/>
        </w:rPr>
        <w:t xml:space="preserve"> Nielsen Designated Market Areas (DMA)</w:t>
      </w:r>
      <w:r w:rsidR="004F5DBF">
        <w:rPr>
          <w:snapToGrid w:val="0"/>
          <w:kern w:val="28"/>
          <w:sz w:val="22"/>
        </w:rPr>
        <w:t>, as follows:</w:t>
      </w:r>
      <w:r>
        <w:rPr>
          <w:rStyle w:val="FootnoteReference"/>
          <w:snapToGrid w:val="0"/>
          <w:kern w:val="28"/>
        </w:rPr>
        <w:footnoteReference w:id="6"/>
      </w:r>
      <w:r w:rsidRPr="007F49AA">
        <w:rPr>
          <w:snapToGrid w:val="0"/>
          <w:kern w:val="28"/>
          <w:sz w:val="22"/>
        </w:rPr>
        <w:t xml:space="preserve">  </w:t>
      </w:r>
    </w:p>
    <w:p w:rsidR="007F49AA" w:rsidRPr="007F49AA" w:rsidP="007F49AA" w14:paraId="4C550A87" w14:textId="7DE93E29">
      <w:pPr>
        <w:widowControl w:val="0"/>
        <w:numPr>
          <w:ilvl w:val="0"/>
          <w:numId w:val="2"/>
        </w:numPr>
        <w:spacing w:after="120"/>
        <w:rPr>
          <w:snapToGrid w:val="0"/>
          <w:kern w:val="28"/>
          <w:sz w:val="22"/>
        </w:rPr>
      </w:pPr>
      <w:r w:rsidRPr="007F49AA">
        <w:rPr>
          <w:snapToGrid w:val="0"/>
          <w:kern w:val="28"/>
          <w:sz w:val="22"/>
          <w:u w:val="single"/>
        </w:rPr>
        <w:t>Colorado Springs</w:t>
      </w:r>
      <w:r w:rsidR="004F5DBF">
        <w:rPr>
          <w:snapToGrid w:val="0"/>
          <w:kern w:val="28"/>
          <w:sz w:val="22"/>
          <w:u w:val="single"/>
        </w:rPr>
        <w:t>-</w:t>
      </w:r>
      <w:r w:rsidRPr="007F49AA">
        <w:rPr>
          <w:snapToGrid w:val="0"/>
          <w:kern w:val="28"/>
          <w:sz w:val="22"/>
          <w:u w:val="single"/>
        </w:rPr>
        <w:t>Pueblo</w:t>
      </w:r>
      <w:r w:rsidRPr="007F49AA">
        <w:rPr>
          <w:snapToGrid w:val="0"/>
          <w:kern w:val="28"/>
          <w:sz w:val="22"/>
        </w:rPr>
        <w:t>.  Scripps currently owns KOAA-TV</w:t>
      </w:r>
      <w:r w:rsidR="00CE7DCF">
        <w:rPr>
          <w:snapToGrid w:val="0"/>
          <w:kern w:val="28"/>
          <w:sz w:val="22"/>
        </w:rPr>
        <w:t>, Pueblo, Colorado,</w:t>
      </w:r>
      <w:r w:rsidRPr="007F49AA">
        <w:rPr>
          <w:snapToGrid w:val="0"/>
          <w:kern w:val="28"/>
          <w:sz w:val="22"/>
        </w:rPr>
        <w:t xml:space="preserve"> and </w:t>
      </w:r>
      <w:r w:rsidR="00CE7DCF">
        <w:rPr>
          <w:snapToGrid w:val="0"/>
          <w:kern w:val="28"/>
          <w:sz w:val="22"/>
        </w:rPr>
        <w:t>would</w:t>
      </w:r>
      <w:r w:rsidRPr="007F49AA">
        <w:rPr>
          <w:snapToGrid w:val="0"/>
          <w:kern w:val="28"/>
          <w:sz w:val="22"/>
        </w:rPr>
        <w:t xml:space="preserve"> acquire KKTV</w:t>
      </w:r>
      <w:r w:rsidR="00012044">
        <w:rPr>
          <w:snapToGrid w:val="0"/>
          <w:kern w:val="28"/>
          <w:sz w:val="22"/>
        </w:rPr>
        <w:t>(TV), Colorado Springs, Colorado</w:t>
      </w:r>
      <w:r w:rsidRPr="007F49AA">
        <w:rPr>
          <w:snapToGrid w:val="0"/>
          <w:kern w:val="28"/>
          <w:sz w:val="22"/>
        </w:rPr>
        <w:t>.</w:t>
      </w:r>
    </w:p>
    <w:p w:rsidR="007F49AA" w:rsidRPr="007F49AA" w:rsidP="007F49AA" w14:paraId="7581B2E8" w14:textId="301C2F84">
      <w:pPr>
        <w:widowControl w:val="0"/>
        <w:numPr>
          <w:ilvl w:val="0"/>
          <w:numId w:val="2"/>
        </w:numPr>
        <w:spacing w:after="120"/>
        <w:rPr>
          <w:snapToGrid w:val="0"/>
          <w:kern w:val="28"/>
          <w:sz w:val="22"/>
        </w:rPr>
      </w:pPr>
      <w:r w:rsidRPr="007F49AA">
        <w:rPr>
          <w:snapToGrid w:val="0"/>
          <w:kern w:val="28"/>
          <w:sz w:val="22"/>
          <w:u w:val="single"/>
        </w:rPr>
        <w:t>Lansing</w:t>
      </w:r>
      <w:r w:rsidRPr="007F49AA">
        <w:rPr>
          <w:snapToGrid w:val="0"/>
          <w:kern w:val="28"/>
          <w:sz w:val="22"/>
        </w:rPr>
        <w:t xml:space="preserve">.  Gray </w:t>
      </w:r>
      <w:r w:rsidR="00843A8A">
        <w:rPr>
          <w:snapToGrid w:val="0"/>
          <w:kern w:val="28"/>
          <w:sz w:val="22"/>
        </w:rPr>
        <w:t xml:space="preserve">currently </w:t>
      </w:r>
      <w:r w:rsidRPr="007F49AA">
        <w:rPr>
          <w:snapToGrid w:val="0"/>
          <w:kern w:val="28"/>
          <w:sz w:val="22"/>
        </w:rPr>
        <w:t>owns WILX-TV</w:t>
      </w:r>
      <w:r w:rsidR="00843A8A">
        <w:rPr>
          <w:snapToGrid w:val="0"/>
          <w:kern w:val="28"/>
          <w:sz w:val="22"/>
        </w:rPr>
        <w:t>, Onondaga, Michigan,</w:t>
      </w:r>
      <w:r w:rsidRPr="007F49AA">
        <w:rPr>
          <w:snapToGrid w:val="0"/>
          <w:kern w:val="28"/>
          <w:sz w:val="22"/>
        </w:rPr>
        <w:t xml:space="preserve"> and </w:t>
      </w:r>
      <w:r w:rsidR="00843A8A">
        <w:rPr>
          <w:snapToGrid w:val="0"/>
          <w:kern w:val="28"/>
          <w:sz w:val="22"/>
        </w:rPr>
        <w:t>would</w:t>
      </w:r>
      <w:r w:rsidRPr="007F49AA">
        <w:rPr>
          <w:snapToGrid w:val="0"/>
          <w:kern w:val="28"/>
          <w:sz w:val="22"/>
        </w:rPr>
        <w:t xml:space="preserve"> acquire WSYM-TV</w:t>
      </w:r>
      <w:r w:rsidR="00843A8A">
        <w:rPr>
          <w:snapToGrid w:val="0"/>
          <w:kern w:val="28"/>
          <w:sz w:val="22"/>
        </w:rPr>
        <w:t>, Lansing, Michigan</w:t>
      </w:r>
      <w:r w:rsidRPr="007F49AA">
        <w:rPr>
          <w:snapToGrid w:val="0"/>
          <w:kern w:val="28"/>
          <w:sz w:val="22"/>
        </w:rPr>
        <w:t>.</w:t>
      </w:r>
    </w:p>
    <w:p w:rsidR="00EF48E8" w:rsidRPr="00EF48E8" w:rsidP="00EF48E8" w14:paraId="12A61B04" w14:textId="77777777">
      <w:pPr>
        <w:spacing w:after="120"/>
        <w:ind w:firstLine="720"/>
        <w:rPr>
          <w:snapToGrid w:val="0"/>
          <w:kern w:val="28"/>
          <w:sz w:val="22"/>
        </w:rPr>
      </w:pPr>
      <w:r w:rsidRPr="007F49AA">
        <w:rPr>
          <w:i/>
          <w:iCs/>
          <w:snapToGrid w:val="0"/>
          <w:kern w:val="28"/>
          <w:sz w:val="22"/>
        </w:rPr>
        <w:t>Background.</w:t>
      </w:r>
      <w:r w:rsidRPr="00404417">
        <w:rPr>
          <w:snapToGrid w:val="0"/>
          <w:kern w:val="28"/>
          <w:sz w:val="22"/>
        </w:rPr>
        <w:t xml:space="preserve">  </w:t>
      </w:r>
      <w:r w:rsidRPr="00EF48E8">
        <w:rPr>
          <w:snapToGrid w:val="0"/>
          <w:kern w:val="28"/>
          <w:sz w:val="22"/>
        </w:rPr>
        <w:t>The Local Television Ownership Rule, as reflected in the Code of Federal Regulations, provides that an entity may own two television stations licensed in the same DMA if:  “(i) the digital noise limited service contours of the stations . . . do not overlap; or (ii) at the time the application to acquire . . . the station(s) is filed, at least one of the stations is not ranked among the top-four stations in the DMA, based on the Sunday to Saturday, 7 a.m. to 1 a.m. daypart audience share ratings averaged over a 12-month period immediately preceding the date of the application, as measured by Nielsen Media Research or by any comparable professional, accepted audience ratings service.”</w:t>
      </w:r>
      <w:r>
        <w:rPr>
          <w:snapToGrid w:val="0"/>
          <w:kern w:val="28"/>
          <w:sz w:val="22"/>
          <w:vertAlign w:val="superscript"/>
        </w:rPr>
        <w:footnoteReference w:id="7"/>
      </w:r>
      <w:r w:rsidRPr="00EF48E8">
        <w:rPr>
          <w:snapToGrid w:val="0"/>
          <w:kern w:val="28"/>
          <w:sz w:val="22"/>
        </w:rPr>
        <w:t xml:space="preserve">  However, the court in </w:t>
      </w:r>
      <w:r w:rsidRPr="00EF48E8">
        <w:rPr>
          <w:i/>
          <w:iCs/>
          <w:snapToGrid w:val="0"/>
          <w:kern w:val="28"/>
          <w:sz w:val="22"/>
        </w:rPr>
        <w:t>Zimmer Radio</w:t>
      </w:r>
      <w:r w:rsidRPr="00EF48E8">
        <w:rPr>
          <w:snapToGrid w:val="0"/>
          <w:kern w:val="28"/>
          <w:sz w:val="22"/>
        </w:rPr>
        <w:t xml:space="preserve"> vacated the latter provision—the Top-Four Prohibition—such that ownership of any two stations in a single DMA is now rule compliant (the Two-Station Limit).</w:t>
      </w:r>
      <w:r>
        <w:rPr>
          <w:snapToGrid w:val="0"/>
          <w:kern w:val="28"/>
          <w:sz w:val="22"/>
          <w:vertAlign w:val="superscript"/>
        </w:rPr>
        <w:footnoteReference w:id="8"/>
      </w:r>
      <w:r w:rsidRPr="00EF48E8">
        <w:rPr>
          <w:snapToGrid w:val="0"/>
          <w:kern w:val="28"/>
          <w:sz w:val="22"/>
        </w:rPr>
        <w:t xml:space="preserve">  </w:t>
      </w:r>
    </w:p>
    <w:p w:rsidR="006A4185" w:rsidP="008A681A" w14:paraId="16D532F0" w14:textId="27005CBF">
      <w:pPr>
        <w:spacing w:after="120"/>
        <w:rPr>
          <w:snapToGrid w:val="0"/>
          <w:kern w:val="28"/>
          <w:sz w:val="22"/>
        </w:rPr>
      </w:pPr>
      <w:r>
        <w:rPr>
          <w:snapToGrid w:val="0"/>
          <w:kern w:val="28"/>
          <w:sz w:val="22"/>
        </w:rPr>
        <w:tab/>
      </w:r>
      <w:r w:rsidR="00EC75BD">
        <w:rPr>
          <w:i/>
          <w:iCs/>
          <w:snapToGrid w:val="0"/>
          <w:kern w:val="28"/>
          <w:sz w:val="22"/>
        </w:rPr>
        <w:t>Pleadings</w:t>
      </w:r>
      <w:r w:rsidR="00EC75BD">
        <w:rPr>
          <w:snapToGrid w:val="0"/>
          <w:kern w:val="28"/>
          <w:sz w:val="22"/>
        </w:rPr>
        <w:t xml:space="preserve">.  </w:t>
      </w:r>
      <w:r w:rsidR="00C32D7F">
        <w:rPr>
          <w:snapToGrid w:val="0"/>
          <w:kern w:val="28"/>
          <w:sz w:val="22"/>
        </w:rPr>
        <w:t>ATVA argues that “[n]</w:t>
      </w:r>
      <w:r w:rsidR="00C32D7F">
        <w:rPr>
          <w:snapToGrid w:val="0"/>
          <w:kern w:val="28"/>
          <w:sz w:val="22"/>
        </w:rPr>
        <w:t>othing</w:t>
      </w:r>
      <w:r w:rsidR="00C32D7F">
        <w:rPr>
          <w:snapToGrid w:val="0"/>
          <w:kern w:val="28"/>
          <w:sz w:val="22"/>
        </w:rPr>
        <w:t xml:space="preserve"> in </w:t>
      </w:r>
      <w:r w:rsidRPr="008B0687" w:rsidR="00C32D7F">
        <w:rPr>
          <w:i/>
          <w:iCs/>
          <w:snapToGrid w:val="0"/>
          <w:kern w:val="28"/>
          <w:sz w:val="22"/>
        </w:rPr>
        <w:t>Zimmer Radio</w:t>
      </w:r>
      <w:r w:rsidR="00C32D7F">
        <w:rPr>
          <w:snapToGrid w:val="0"/>
          <w:kern w:val="28"/>
          <w:sz w:val="22"/>
        </w:rPr>
        <w:t xml:space="preserve">” </w:t>
      </w:r>
      <w:r w:rsidR="00511F24">
        <w:rPr>
          <w:snapToGrid w:val="0"/>
          <w:kern w:val="28"/>
          <w:sz w:val="22"/>
        </w:rPr>
        <w:t xml:space="preserve">alters </w:t>
      </w:r>
      <w:r w:rsidR="006E5C46">
        <w:rPr>
          <w:snapToGrid w:val="0"/>
          <w:kern w:val="28"/>
          <w:sz w:val="22"/>
        </w:rPr>
        <w:t xml:space="preserve">the Applicants’ obligation to show, or the </w:t>
      </w:r>
      <w:r w:rsidR="00DD17BC">
        <w:rPr>
          <w:snapToGrid w:val="0"/>
          <w:kern w:val="28"/>
          <w:sz w:val="22"/>
        </w:rPr>
        <w:t xml:space="preserve">Commission’s obligation to find, that the Transaction </w:t>
      </w:r>
      <w:r w:rsidR="00FB363D">
        <w:rPr>
          <w:snapToGrid w:val="0"/>
          <w:kern w:val="28"/>
          <w:sz w:val="22"/>
        </w:rPr>
        <w:t>serves the public interest, convenience, and necessity</w:t>
      </w:r>
      <w:r w:rsidR="002C137A">
        <w:rPr>
          <w:snapToGrid w:val="0"/>
          <w:kern w:val="28"/>
          <w:sz w:val="22"/>
        </w:rPr>
        <w:t xml:space="preserve">, </w:t>
      </w:r>
      <w:r w:rsidR="00A25B41">
        <w:rPr>
          <w:snapToGrid w:val="0"/>
          <w:kern w:val="28"/>
          <w:sz w:val="22"/>
        </w:rPr>
        <w:t xml:space="preserve">including that </w:t>
      </w:r>
      <w:r w:rsidR="00734BB2">
        <w:rPr>
          <w:snapToGrid w:val="0"/>
          <w:kern w:val="28"/>
          <w:sz w:val="22"/>
        </w:rPr>
        <w:t>“</w:t>
      </w:r>
      <w:r w:rsidRPr="00734BB2" w:rsidR="00734BB2">
        <w:rPr>
          <w:snapToGrid w:val="0"/>
          <w:kern w:val="28"/>
          <w:sz w:val="22"/>
        </w:rPr>
        <w:t>the potential public interest benefits of the proposed transaction outweigh the public interest harms</w:t>
      </w:r>
      <w:r w:rsidR="00FB363D">
        <w:rPr>
          <w:snapToGrid w:val="0"/>
          <w:kern w:val="28"/>
          <w:sz w:val="22"/>
        </w:rPr>
        <w:t>.</w:t>
      </w:r>
      <w:r w:rsidR="00734BB2">
        <w:rPr>
          <w:snapToGrid w:val="0"/>
          <w:kern w:val="28"/>
          <w:sz w:val="22"/>
        </w:rPr>
        <w:t>”</w:t>
      </w:r>
      <w:r>
        <w:rPr>
          <w:rStyle w:val="FootnoteReference"/>
          <w:snapToGrid w:val="0"/>
          <w:kern w:val="28"/>
        </w:rPr>
        <w:footnoteReference w:id="9"/>
      </w:r>
      <w:r w:rsidR="00FB363D">
        <w:rPr>
          <w:snapToGrid w:val="0"/>
          <w:kern w:val="28"/>
          <w:sz w:val="22"/>
        </w:rPr>
        <w:t xml:space="preserve">  </w:t>
      </w:r>
      <w:r w:rsidR="001865B0">
        <w:rPr>
          <w:snapToGrid w:val="0"/>
          <w:kern w:val="28"/>
          <w:sz w:val="22"/>
        </w:rPr>
        <w:t xml:space="preserve">It asserts that </w:t>
      </w:r>
      <w:r w:rsidR="003F4E4E">
        <w:rPr>
          <w:snapToGrid w:val="0"/>
          <w:kern w:val="28"/>
          <w:sz w:val="22"/>
        </w:rPr>
        <w:t xml:space="preserve">the court </w:t>
      </w:r>
      <w:r w:rsidR="002540E9">
        <w:rPr>
          <w:snapToGrid w:val="0"/>
          <w:kern w:val="28"/>
          <w:sz w:val="22"/>
        </w:rPr>
        <w:t>“</w:t>
      </w:r>
      <w:r w:rsidRPr="002540E9" w:rsidR="002540E9">
        <w:rPr>
          <w:snapToGrid w:val="0"/>
          <w:kern w:val="28"/>
          <w:sz w:val="22"/>
        </w:rPr>
        <w:t xml:space="preserve">simply found that the Commission’s </w:t>
      </w:r>
      <w:r w:rsidRPr="008B0687" w:rsidR="002540E9">
        <w:rPr>
          <w:i/>
          <w:iCs/>
          <w:snapToGrid w:val="0"/>
          <w:kern w:val="28"/>
          <w:sz w:val="22"/>
        </w:rPr>
        <w:t>blanket</w:t>
      </w:r>
      <w:r w:rsidRPr="002540E9" w:rsidR="002540E9">
        <w:rPr>
          <w:snapToGrid w:val="0"/>
          <w:kern w:val="28"/>
          <w:sz w:val="22"/>
        </w:rPr>
        <w:t xml:space="preserve"> prohibition was unsupported by the record in three particular circumstances</w:t>
      </w:r>
      <w:r w:rsidR="003F4E4E">
        <w:rPr>
          <w:snapToGrid w:val="0"/>
          <w:kern w:val="28"/>
          <w:sz w:val="22"/>
        </w:rPr>
        <w:t>,” no</w:t>
      </w:r>
      <w:r w:rsidR="000A04E3">
        <w:rPr>
          <w:snapToGrid w:val="0"/>
          <w:kern w:val="28"/>
          <w:sz w:val="22"/>
        </w:rPr>
        <w:t xml:space="preserve">ne of which is present in </w:t>
      </w:r>
      <w:r w:rsidR="000A04E3">
        <w:rPr>
          <w:snapToGrid w:val="0"/>
          <w:kern w:val="28"/>
          <w:sz w:val="22"/>
        </w:rPr>
        <w:t xml:space="preserve">the Transaction, and that </w:t>
      </w:r>
      <w:r w:rsidR="00271899">
        <w:rPr>
          <w:snapToGrid w:val="0"/>
          <w:kern w:val="28"/>
          <w:sz w:val="22"/>
        </w:rPr>
        <w:t>“</w:t>
      </w:r>
      <w:r w:rsidRPr="00271899" w:rsidR="00271899">
        <w:rPr>
          <w:snapToGrid w:val="0"/>
          <w:kern w:val="28"/>
          <w:sz w:val="22"/>
        </w:rPr>
        <w:t>Section 310(d) continues to oblige the Commission to determine whether Applicants have carried their burden</w:t>
      </w:r>
      <w:r w:rsidR="00271899">
        <w:rPr>
          <w:snapToGrid w:val="0"/>
          <w:kern w:val="28"/>
          <w:sz w:val="22"/>
        </w:rPr>
        <w:t>.”</w:t>
      </w:r>
      <w:r>
        <w:rPr>
          <w:rStyle w:val="FootnoteReference"/>
          <w:snapToGrid w:val="0"/>
          <w:kern w:val="28"/>
        </w:rPr>
        <w:footnoteReference w:id="10"/>
      </w:r>
      <w:r w:rsidR="00F04DCF">
        <w:rPr>
          <w:snapToGrid w:val="0"/>
          <w:kern w:val="28"/>
          <w:sz w:val="22"/>
        </w:rPr>
        <w:t xml:space="preserve">  In short, ATVA contends that “</w:t>
      </w:r>
      <w:r w:rsidRPr="008B0687" w:rsidR="00F04DCF">
        <w:rPr>
          <w:i/>
          <w:iCs/>
          <w:snapToGrid w:val="0"/>
          <w:kern w:val="28"/>
          <w:sz w:val="22"/>
        </w:rPr>
        <w:t>Zimmer Radio’s</w:t>
      </w:r>
      <w:r w:rsidRPr="00F04DCF" w:rsidR="00F04DCF">
        <w:rPr>
          <w:snapToGrid w:val="0"/>
          <w:kern w:val="28"/>
          <w:sz w:val="22"/>
        </w:rPr>
        <w:t xml:space="preserve"> analysis is irrelevant</w:t>
      </w:r>
      <w:r w:rsidR="00F04DCF">
        <w:rPr>
          <w:snapToGrid w:val="0"/>
          <w:kern w:val="28"/>
          <w:sz w:val="22"/>
        </w:rPr>
        <w:t>”</w:t>
      </w:r>
      <w:r w:rsidR="003D5DA9">
        <w:rPr>
          <w:snapToGrid w:val="0"/>
          <w:kern w:val="28"/>
          <w:sz w:val="22"/>
        </w:rPr>
        <w:t xml:space="preserve"> to Commission consideration of the Transaction.</w:t>
      </w:r>
      <w:r>
        <w:rPr>
          <w:rStyle w:val="FootnoteReference"/>
          <w:snapToGrid w:val="0"/>
          <w:kern w:val="28"/>
        </w:rPr>
        <w:footnoteReference w:id="11"/>
      </w:r>
      <w:r w:rsidR="008A681A">
        <w:rPr>
          <w:snapToGrid w:val="0"/>
          <w:kern w:val="28"/>
          <w:sz w:val="22"/>
        </w:rPr>
        <w:t xml:space="preserve">  </w:t>
      </w:r>
      <w:r w:rsidR="0038432B">
        <w:rPr>
          <w:snapToGrid w:val="0"/>
          <w:kern w:val="28"/>
          <w:sz w:val="22"/>
        </w:rPr>
        <w:t xml:space="preserve">NCTA likewise </w:t>
      </w:r>
      <w:r w:rsidR="00CC0EDC">
        <w:rPr>
          <w:snapToGrid w:val="0"/>
          <w:kern w:val="28"/>
          <w:sz w:val="22"/>
        </w:rPr>
        <w:t>suggests that the Commission’s review</w:t>
      </w:r>
      <w:r w:rsidR="006E5600">
        <w:rPr>
          <w:snapToGrid w:val="0"/>
          <w:kern w:val="28"/>
          <w:sz w:val="22"/>
        </w:rPr>
        <w:t xml:space="preserve"> of the Applications should proceed “[i]</w:t>
      </w:r>
      <w:r w:rsidR="006E5600">
        <w:rPr>
          <w:snapToGrid w:val="0"/>
          <w:kern w:val="28"/>
          <w:sz w:val="22"/>
        </w:rPr>
        <w:t>rrespective</w:t>
      </w:r>
      <w:r w:rsidR="006E5600">
        <w:rPr>
          <w:snapToGrid w:val="0"/>
          <w:kern w:val="28"/>
          <w:sz w:val="22"/>
        </w:rPr>
        <w:t xml:space="preserve"> of the Eigh</w:t>
      </w:r>
      <w:r w:rsidR="00D219B6">
        <w:rPr>
          <w:snapToGrid w:val="0"/>
          <w:kern w:val="28"/>
          <w:sz w:val="22"/>
        </w:rPr>
        <w:t>th Circuit decision</w:t>
      </w:r>
      <w:r w:rsidR="009360B3">
        <w:rPr>
          <w:snapToGrid w:val="0"/>
          <w:kern w:val="28"/>
          <w:sz w:val="22"/>
        </w:rPr>
        <w:t>,</w:t>
      </w:r>
      <w:r w:rsidR="00D219B6">
        <w:rPr>
          <w:snapToGrid w:val="0"/>
          <w:kern w:val="28"/>
          <w:sz w:val="22"/>
        </w:rPr>
        <w:t xml:space="preserve">” </w:t>
      </w:r>
      <w:r w:rsidR="009360B3">
        <w:rPr>
          <w:snapToGrid w:val="0"/>
          <w:kern w:val="28"/>
          <w:sz w:val="22"/>
        </w:rPr>
        <w:t>and that there is “no disputing” that “</w:t>
      </w:r>
      <w:r w:rsidR="00D219B6">
        <w:rPr>
          <w:snapToGrid w:val="0"/>
          <w:kern w:val="28"/>
          <w:sz w:val="22"/>
        </w:rPr>
        <w:t xml:space="preserve"> </w:t>
      </w:r>
      <w:r w:rsidRPr="009360B3" w:rsidR="009360B3">
        <w:rPr>
          <w:snapToGrid w:val="0"/>
          <w:kern w:val="28"/>
          <w:sz w:val="22"/>
        </w:rPr>
        <w:t>the Commission must take a hard look at the applicants’ assertions of benefits, weighed against the predictable, concrete harm to consumers from common ownership of two or more top-four stations</w:t>
      </w:r>
      <w:r w:rsidR="009360B3">
        <w:rPr>
          <w:snapToGrid w:val="0"/>
          <w:kern w:val="28"/>
          <w:sz w:val="22"/>
        </w:rPr>
        <w:t>.”</w:t>
      </w:r>
      <w:r>
        <w:rPr>
          <w:rStyle w:val="FootnoteReference"/>
          <w:snapToGrid w:val="0"/>
          <w:kern w:val="28"/>
        </w:rPr>
        <w:footnoteReference w:id="12"/>
      </w:r>
    </w:p>
    <w:p w:rsidR="008A681A" w:rsidRPr="007F49AA" w:rsidP="008A681A" w14:paraId="5F58BFDC" w14:textId="4211916C">
      <w:pPr>
        <w:spacing w:after="120"/>
        <w:rPr>
          <w:snapToGrid w:val="0"/>
          <w:kern w:val="28"/>
          <w:sz w:val="22"/>
        </w:rPr>
      </w:pPr>
      <w:r>
        <w:rPr>
          <w:snapToGrid w:val="0"/>
          <w:kern w:val="28"/>
          <w:sz w:val="22"/>
        </w:rPr>
        <w:tab/>
      </w:r>
      <w:r w:rsidR="003E7F8B">
        <w:rPr>
          <w:snapToGrid w:val="0"/>
          <w:kern w:val="28"/>
          <w:sz w:val="22"/>
        </w:rPr>
        <w:t xml:space="preserve">Shifting to </w:t>
      </w:r>
      <w:r w:rsidR="00013A72">
        <w:rPr>
          <w:snapToGrid w:val="0"/>
          <w:kern w:val="28"/>
          <w:sz w:val="22"/>
        </w:rPr>
        <w:t xml:space="preserve">application of </w:t>
      </w:r>
      <w:r w:rsidR="002B656A">
        <w:rPr>
          <w:snapToGrid w:val="0"/>
          <w:kern w:val="28"/>
          <w:sz w:val="22"/>
        </w:rPr>
        <w:t xml:space="preserve">its </w:t>
      </w:r>
      <w:r w:rsidR="007C2DAB">
        <w:rPr>
          <w:snapToGrid w:val="0"/>
          <w:kern w:val="28"/>
          <w:sz w:val="22"/>
        </w:rPr>
        <w:t>desired balancing test</w:t>
      </w:r>
      <w:r w:rsidR="002B656A">
        <w:rPr>
          <w:snapToGrid w:val="0"/>
          <w:kern w:val="28"/>
          <w:sz w:val="22"/>
        </w:rPr>
        <w:t xml:space="preserve">, </w:t>
      </w:r>
      <w:r w:rsidR="00CC4840">
        <w:rPr>
          <w:snapToGrid w:val="0"/>
          <w:kern w:val="28"/>
          <w:sz w:val="22"/>
        </w:rPr>
        <w:t xml:space="preserve">ATVA argues that </w:t>
      </w:r>
      <w:r w:rsidR="00DD55E8">
        <w:rPr>
          <w:snapToGrid w:val="0"/>
          <w:kern w:val="28"/>
          <w:sz w:val="22"/>
        </w:rPr>
        <w:t>“</w:t>
      </w:r>
      <w:r w:rsidRPr="00DD55E8" w:rsidR="00DD55E8">
        <w:rPr>
          <w:snapToGrid w:val="0"/>
          <w:kern w:val="28"/>
          <w:sz w:val="22"/>
        </w:rPr>
        <w:t>the top-four duopolies created or perpetuated by the proposed transaction would have anticompetitive effects</w:t>
      </w:r>
      <w:r w:rsidR="00DD55E8">
        <w:rPr>
          <w:snapToGrid w:val="0"/>
          <w:kern w:val="28"/>
          <w:sz w:val="22"/>
        </w:rPr>
        <w:t xml:space="preserve">” on </w:t>
      </w:r>
      <w:r w:rsidR="00792167">
        <w:rPr>
          <w:snapToGrid w:val="0"/>
          <w:kern w:val="28"/>
          <w:sz w:val="22"/>
        </w:rPr>
        <w:t>the product markets</w:t>
      </w:r>
      <w:r w:rsidR="00643803">
        <w:rPr>
          <w:snapToGrid w:val="0"/>
          <w:kern w:val="28"/>
          <w:sz w:val="22"/>
        </w:rPr>
        <w:t xml:space="preserve"> for retransmission consent and spot advertising</w:t>
      </w:r>
      <w:r w:rsidR="00CD279A">
        <w:rPr>
          <w:snapToGrid w:val="0"/>
          <w:kern w:val="28"/>
          <w:sz w:val="22"/>
        </w:rPr>
        <w:t xml:space="preserve">, such that </w:t>
      </w:r>
      <w:r w:rsidR="00901CEF">
        <w:rPr>
          <w:snapToGrid w:val="0"/>
          <w:kern w:val="28"/>
          <w:sz w:val="22"/>
        </w:rPr>
        <w:t>the Transaction</w:t>
      </w:r>
      <w:r w:rsidR="00CD279A">
        <w:rPr>
          <w:snapToGrid w:val="0"/>
          <w:kern w:val="28"/>
          <w:sz w:val="22"/>
        </w:rPr>
        <w:t xml:space="preserve"> “</w:t>
      </w:r>
      <w:r w:rsidRPr="00CD279A" w:rsidR="00CD279A">
        <w:rPr>
          <w:snapToGrid w:val="0"/>
          <w:kern w:val="28"/>
          <w:sz w:val="22"/>
        </w:rPr>
        <w:t>would tend to raise prices</w:t>
      </w:r>
      <w:r w:rsidR="00CD279A">
        <w:rPr>
          <w:snapToGrid w:val="0"/>
          <w:kern w:val="28"/>
          <w:sz w:val="22"/>
        </w:rPr>
        <w:t>.”</w:t>
      </w:r>
      <w:r>
        <w:rPr>
          <w:rStyle w:val="FootnoteReference"/>
          <w:snapToGrid w:val="0"/>
          <w:kern w:val="28"/>
        </w:rPr>
        <w:footnoteReference w:id="13"/>
      </w:r>
      <w:r w:rsidR="00CD279A">
        <w:rPr>
          <w:snapToGrid w:val="0"/>
          <w:kern w:val="28"/>
          <w:sz w:val="22"/>
        </w:rPr>
        <w:t xml:space="preserve">  </w:t>
      </w:r>
      <w:r w:rsidR="002D20D4">
        <w:rPr>
          <w:snapToGrid w:val="0"/>
          <w:kern w:val="28"/>
          <w:sz w:val="22"/>
        </w:rPr>
        <w:t>ATVA further observes that the Applications are “</w:t>
      </w:r>
      <w:r w:rsidRPr="002D20D4" w:rsidR="002D20D4">
        <w:rPr>
          <w:snapToGrid w:val="0"/>
          <w:kern w:val="28"/>
          <w:sz w:val="22"/>
        </w:rPr>
        <w:t>notably silent on these issues</w:t>
      </w:r>
      <w:r w:rsidR="002D20D4">
        <w:rPr>
          <w:snapToGrid w:val="0"/>
          <w:kern w:val="28"/>
          <w:sz w:val="22"/>
        </w:rPr>
        <w:t xml:space="preserve">,” </w:t>
      </w:r>
      <w:r w:rsidR="0048789E">
        <w:rPr>
          <w:snapToGrid w:val="0"/>
          <w:kern w:val="28"/>
          <w:sz w:val="22"/>
        </w:rPr>
        <w:t>a</w:t>
      </w:r>
      <w:r w:rsidR="00F705FB">
        <w:rPr>
          <w:snapToGrid w:val="0"/>
          <w:kern w:val="28"/>
          <w:sz w:val="22"/>
        </w:rPr>
        <w:t xml:space="preserve"> “failure” that</w:t>
      </w:r>
      <w:r w:rsidR="00FE5C94">
        <w:rPr>
          <w:snapToGrid w:val="0"/>
          <w:kern w:val="28"/>
          <w:sz w:val="22"/>
        </w:rPr>
        <w:t>, unless remedied,</w:t>
      </w:r>
      <w:r w:rsidR="00F705FB">
        <w:rPr>
          <w:snapToGrid w:val="0"/>
          <w:kern w:val="28"/>
          <w:sz w:val="22"/>
        </w:rPr>
        <w:t xml:space="preserve"> it contends</w:t>
      </w:r>
      <w:r w:rsidR="002629FF">
        <w:rPr>
          <w:snapToGrid w:val="0"/>
          <w:kern w:val="28"/>
          <w:sz w:val="22"/>
        </w:rPr>
        <w:t xml:space="preserve"> </w:t>
      </w:r>
      <w:r w:rsidR="00E153A9">
        <w:rPr>
          <w:snapToGrid w:val="0"/>
          <w:kern w:val="28"/>
          <w:sz w:val="22"/>
        </w:rPr>
        <w:t>“</w:t>
      </w:r>
      <w:r w:rsidRPr="00E153A9" w:rsidR="00E153A9">
        <w:rPr>
          <w:snapToGrid w:val="0"/>
          <w:kern w:val="28"/>
          <w:sz w:val="22"/>
        </w:rPr>
        <w:t>would preclude grant of the application given the Administrative Procedure Act’s</w:t>
      </w:r>
      <w:r w:rsidR="006F77F1">
        <w:rPr>
          <w:snapToGrid w:val="0"/>
          <w:kern w:val="28"/>
          <w:sz w:val="22"/>
        </w:rPr>
        <w:t xml:space="preserve"> . . .</w:t>
      </w:r>
      <w:r w:rsidRPr="00E153A9" w:rsidR="00E153A9">
        <w:rPr>
          <w:snapToGrid w:val="0"/>
          <w:kern w:val="28"/>
          <w:sz w:val="22"/>
        </w:rPr>
        <w:t xml:space="preserve"> requirement of reasoned decision-making, including consideration of all relevant factors.”</w:t>
      </w:r>
      <w:r>
        <w:rPr>
          <w:rStyle w:val="FootnoteReference"/>
          <w:snapToGrid w:val="0"/>
          <w:kern w:val="28"/>
        </w:rPr>
        <w:footnoteReference w:id="14"/>
      </w:r>
      <w:r w:rsidR="006F77F1">
        <w:rPr>
          <w:snapToGrid w:val="0"/>
          <w:kern w:val="28"/>
          <w:sz w:val="22"/>
        </w:rPr>
        <w:t xml:space="preserve">  </w:t>
      </w:r>
      <w:r w:rsidR="008F3CD1">
        <w:rPr>
          <w:snapToGrid w:val="0"/>
          <w:kern w:val="28"/>
          <w:sz w:val="22"/>
        </w:rPr>
        <w:t xml:space="preserve">As for public interest benefits articulated by the Applicants, ATVA </w:t>
      </w:r>
      <w:r w:rsidR="00CD4E8B">
        <w:rPr>
          <w:snapToGrid w:val="0"/>
          <w:kern w:val="28"/>
          <w:sz w:val="22"/>
        </w:rPr>
        <w:t>contends that they rely</w:t>
      </w:r>
      <w:r w:rsidR="00EE2777">
        <w:rPr>
          <w:snapToGrid w:val="0"/>
          <w:kern w:val="28"/>
          <w:sz w:val="22"/>
        </w:rPr>
        <w:t xml:space="preserve"> on broad assertions</w:t>
      </w:r>
      <w:r w:rsidR="0052449F">
        <w:rPr>
          <w:snapToGrid w:val="0"/>
          <w:kern w:val="28"/>
          <w:sz w:val="22"/>
        </w:rPr>
        <w:t xml:space="preserve"> and flawed economic analyses, </w:t>
      </w:r>
      <w:r w:rsidR="0002663D">
        <w:rPr>
          <w:snapToGrid w:val="0"/>
          <w:kern w:val="28"/>
          <w:sz w:val="22"/>
        </w:rPr>
        <w:t xml:space="preserve">resulting in justifications for the Transaction that are </w:t>
      </w:r>
      <w:r w:rsidR="00291D42">
        <w:rPr>
          <w:snapToGrid w:val="0"/>
          <w:kern w:val="28"/>
          <w:sz w:val="22"/>
        </w:rPr>
        <w:t xml:space="preserve">“irrelevant to local market conditions,” </w:t>
      </w:r>
      <w:r w:rsidR="00FB5591">
        <w:rPr>
          <w:snapToGrid w:val="0"/>
          <w:kern w:val="28"/>
          <w:sz w:val="22"/>
        </w:rPr>
        <w:t>“</w:t>
      </w:r>
      <w:r w:rsidR="00AA3D77">
        <w:rPr>
          <w:snapToGrid w:val="0"/>
          <w:kern w:val="28"/>
          <w:sz w:val="22"/>
        </w:rPr>
        <w:t>unsupported,” and “unverifiable.”</w:t>
      </w:r>
      <w:r>
        <w:rPr>
          <w:rStyle w:val="FootnoteReference"/>
          <w:snapToGrid w:val="0"/>
          <w:kern w:val="28"/>
        </w:rPr>
        <w:footnoteReference w:id="15"/>
      </w:r>
      <w:r w:rsidR="00DC715E">
        <w:rPr>
          <w:snapToGrid w:val="0"/>
          <w:kern w:val="28"/>
          <w:sz w:val="22"/>
        </w:rPr>
        <w:t xml:space="preserve">  NCTA again concurs, </w:t>
      </w:r>
      <w:r w:rsidR="00121149">
        <w:rPr>
          <w:snapToGrid w:val="0"/>
          <w:kern w:val="28"/>
          <w:sz w:val="22"/>
        </w:rPr>
        <w:t>claiming that the Applicants “</w:t>
      </w:r>
      <w:r w:rsidRPr="00121149" w:rsidR="00121149">
        <w:rPr>
          <w:snapToGrid w:val="0"/>
          <w:kern w:val="28"/>
          <w:sz w:val="22"/>
        </w:rPr>
        <w:t>make only general assertions about market size and unsubstantiated claims about the need for consolidation to support local news in those markets</w:t>
      </w:r>
      <w:r w:rsidR="00E70F3B">
        <w:rPr>
          <w:snapToGrid w:val="0"/>
          <w:kern w:val="28"/>
          <w:sz w:val="22"/>
        </w:rPr>
        <w:t>” that are “</w:t>
      </w:r>
      <w:r w:rsidRPr="009B5754" w:rsidR="009B5754">
        <w:rPr>
          <w:snapToGrid w:val="0"/>
          <w:kern w:val="28"/>
          <w:sz w:val="22"/>
        </w:rPr>
        <w:t>insufficient to overcome the long-accepted understanding that creation of duopolies—particularly among top-four stations—puts upward pressure on retransmission consent fees and consumer prices for multichannel video services</w:t>
      </w:r>
      <w:r w:rsidR="00F8692B">
        <w:rPr>
          <w:snapToGrid w:val="0"/>
          <w:kern w:val="28"/>
          <w:sz w:val="22"/>
        </w:rPr>
        <w:t>.”</w:t>
      </w:r>
      <w:r>
        <w:rPr>
          <w:rStyle w:val="FootnoteReference"/>
          <w:snapToGrid w:val="0"/>
          <w:kern w:val="28"/>
        </w:rPr>
        <w:footnoteReference w:id="16"/>
      </w:r>
      <w:r w:rsidR="00F8692B">
        <w:rPr>
          <w:snapToGrid w:val="0"/>
          <w:kern w:val="28"/>
          <w:sz w:val="22"/>
        </w:rPr>
        <w:t xml:space="preserve"> </w:t>
      </w:r>
      <w:r w:rsidR="00F85AD1">
        <w:rPr>
          <w:snapToGrid w:val="0"/>
          <w:kern w:val="28"/>
          <w:sz w:val="22"/>
        </w:rPr>
        <w:t xml:space="preserve"> </w:t>
      </w:r>
      <w:r w:rsidRPr="00EC1A73" w:rsidR="00EC1A73">
        <w:rPr>
          <w:snapToGrid w:val="0"/>
          <w:kern w:val="28"/>
          <w:sz w:val="22"/>
        </w:rPr>
        <w:t xml:space="preserve">NCTA also contends that the Applicants’ </w:t>
      </w:r>
      <w:r w:rsidR="0088418B">
        <w:rPr>
          <w:snapToGrid w:val="0"/>
          <w:kern w:val="28"/>
          <w:sz w:val="22"/>
        </w:rPr>
        <w:t>claims regarding</w:t>
      </w:r>
      <w:r w:rsidRPr="00EC1A73" w:rsidR="00EC1A73">
        <w:rPr>
          <w:snapToGrid w:val="0"/>
          <w:kern w:val="28"/>
          <w:sz w:val="22"/>
        </w:rPr>
        <w:t xml:space="preserve"> increas</w:t>
      </w:r>
      <w:r w:rsidR="0088418B">
        <w:rPr>
          <w:snapToGrid w:val="0"/>
          <w:kern w:val="28"/>
          <w:sz w:val="22"/>
        </w:rPr>
        <w:t>ed</w:t>
      </w:r>
      <w:r w:rsidRPr="00EC1A73" w:rsidR="00EC1A73">
        <w:rPr>
          <w:snapToGrid w:val="0"/>
          <w:kern w:val="28"/>
          <w:sz w:val="22"/>
        </w:rPr>
        <w:t xml:space="preserve"> local news production are unsupported by data and do not constitute actual commitments.</w:t>
      </w:r>
      <w:r>
        <w:rPr>
          <w:snapToGrid w:val="0"/>
          <w:kern w:val="28"/>
          <w:sz w:val="22"/>
          <w:vertAlign w:val="superscript"/>
        </w:rPr>
        <w:footnoteReference w:id="17"/>
      </w:r>
      <w:r w:rsidR="00F8692B">
        <w:rPr>
          <w:snapToGrid w:val="0"/>
          <w:kern w:val="28"/>
          <w:sz w:val="22"/>
        </w:rPr>
        <w:t xml:space="preserve"> </w:t>
      </w:r>
    </w:p>
    <w:p w:rsidR="00952C63" w:rsidP="007F49AA" w14:paraId="7FA3F0D6" w14:textId="16AE8463">
      <w:pPr>
        <w:spacing w:after="120"/>
        <w:ind w:firstLine="720"/>
        <w:rPr>
          <w:snapToGrid w:val="0"/>
          <w:kern w:val="28"/>
          <w:sz w:val="22"/>
        </w:rPr>
      </w:pPr>
      <w:r w:rsidRPr="007F49AA">
        <w:rPr>
          <w:snapToGrid w:val="0"/>
          <w:kern w:val="28"/>
          <w:sz w:val="22"/>
        </w:rPr>
        <w:t xml:space="preserve">The Applicants </w:t>
      </w:r>
      <w:r w:rsidR="00C6350A">
        <w:rPr>
          <w:snapToGrid w:val="0"/>
          <w:kern w:val="28"/>
          <w:sz w:val="22"/>
        </w:rPr>
        <w:t xml:space="preserve">jointly </w:t>
      </w:r>
      <w:r w:rsidRPr="007F49AA">
        <w:rPr>
          <w:snapToGrid w:val="0"/>
          <w:kern w:val="28"/>
          <w:sz w:val="22"/>
        </w:rPr>
        <w:t xml:space="preserve">respond that </w:t>
      </w:r>
      <w:r w:rsidR="0085560E">
        <w:rPr>
          <w:snapToGrid w:val="0"/>
          <w:kern w:val="28"/>
          <w:sz w:val="22"/>
        </w:rPr>
        <w:t>“[u]</w:t>
      </w:r>
      <w:r w:rsidRPr="0085560E" w:rsidR="0085560E">
        <w:rPr>
          <w:snapToGrid w:val="0"/>
          <w:kern w:val="28"/>
          <w:sz w:val="22"/>
        </w:rPr>
        <w:t>nder</w:t>
      </w:r>
      <w:r w:rsidRPr="0085560E" w:rsidR="0085560E">
        <w:rPr>
          <w:snapToGrid w:val="0"/>
          <w:kern w:val="28"/>
          <w:sz w:val="22"/>
        </w:rPr>
        <w:t xml:space="preserve"> the correct standard of review</w:t>
      </w:r>
      <w:r w:rsidR="0085560E">
        <w:rPr>
          <w:snapToGrid w:val="0"/>
          <w:kern w:val="28"/>
          <w:sz w:val="22"/>
        </w:rPr>
        <w:t xml:space="preserve"> . . . </w:t>
      </w:r>
      <w:r w:rsidRPr="0085560E" w:rsidR="0085560E">
        <w:rPr>
          <w:snapToGrid w:val="0"/>
          <w:kern w:val="28"/>
          <w:sz w:val="22"/>
        </w:rPr>
        <w:t xml:space="preserve">it is clear that the Applications are more than sufficient, because they demonstrate compliance with the Commission’s rules and the relevant statute as modified by the Eighth Circuit’s decision in </w:t>
      </w:r>
      <w:r w:rsidRPr="008B0687" w:rsidR="0085560E">
        <w:rPr>
          <w:i/>
          <w:iCs/>
          <w:snapToGrid w:val="0"/>
          <w:kern w:val="28"/>
          <w:sz w:val="22"/>
        </w:rPr>
        <w:t>Zimmer Radio</w:t>
      </w:r>
      <w:r w:rsidR="0085560E">
        <w:rPr>
          <w:snapToGrid w:val="0"/>
          <w:kern w:val="28"/>
          <w:sz w:val="22"/>
        </w:rPr>
        <w:t>.”</w:t>
      </w:r>
      <w:r>
        <w:rPr>
          <w:rStyle w:val="FootnoteReference"/>
          <w:snapToGrid w:val="0"/>
          <w:kern w:val="28"/>
        </w:rPr>
        <w:footnoteReference w:id="18"/>
      </w:r>
      <w:r w:rsidR="0085560E">
        <w:rPr>
          <w:snapToGrid w:val="0"/>
          <w:kern w:val="28"/>
          <w:sz w:val="22"/>
        </w:rPr>
        <w:t xml:space="preserve">  </w:t>
      </w:r>
      <w:r w:rsidR="009D637D">
        <w:rPr>
          <w:snapToGrid w:val="0"/>
          <w:kern w:val="28"/>
          <w:sz w:val="22"/>
        </w:rPr>
        <w:t>More is required, they assert, “</w:t>
      </w:r>
      <w:r w:rsidRPr="007B1C17" w:rsidR="007B1C17">
        <w:rPr>
          <w:snapToGrid w:val="0"/>
          <w:kern w:val="28"/>
          <w:sz w:val="22"/>
        </w:rPr>
        <w:t xml:space="preserve">only if the Commission or a petitioner identifies concrete </w:t>
      </w:r>
      <w:r w:rsidR="007B1C17">
        <w:rPr>
          <w:snapToGrid w:val="0"/>
          <w:kern w:val="28"/>
          <w:sz w:val="22"/>
        </w:rPr>
        <w:t>‘</w:t>
      </w:r>
      <w:r w:rsidRPr="007B1C17" w:rsidR="007B1C17">
        <w:rPr>
          <w:snapToGrid w:val="0"/>
          <w:kern w:val="28"/>
          <w:sz w:val="22"/>
        </w:rPr>
        <w:t>public interest harms</w:t>
      </w:r>
      <w:r w:rsidR="007B1C17">
        <w:rPr>
          <w:snapToGrid w:val="0"/>
          <w:kern w:val="28"/>
          <w:sz w:val="22"/>
        </w:rPr>
        <w:t>’</w:t>
      </w:r>
      <w:r w:rsidRPr="007B1C17" w:rsidR="007B1C17">
        <w:rPr>
          <w:snapToGrid w:val="0"/>
          <w:kern w:val="28"/>
          <w:sz w:val="22"/>
        </w:rPr>
        <w:t xml:space="preserve"> resulting from the transaction </w:t>
      </w:r>
      <w:r w:rsidR="007B1C17">
        <w:rPr>
          <w:snapToGrid w:val="0"/>
          <w:kern w:val="28"/>
          <w:sz w:val="22"/>
        </w:rPr>
        <w:t>‘</w:t>
      </w:r>
      <w:r w:rsidRPr="007B1C17" w:rsidR="007B1C17">
        <w:rPr>
          <w:snapToGrid w:val="0"/>
          <w:kern w:val="28"/>
          <w:sz w:val="22"/>
        </w:rPr>
        <w:t>substantially frustrating or impairing the objectives or implementation of the Act or related statutes.</w:t>
      </w:r>
      <w:r w:rsidR="007B1C17">
        <w:rPr>
          <w:snapToGrid w:val="0"/>
          <w:kern w:val="28"/>
          <w:sz w:val="22"/>
        </w:rPr>
        <w:t>’”</w:t>
      </w:r>
      <w:r>
        <w:rPr>
          <w:rStyle w:val="FootnoteReference"/>
          <w:snapToGrid w:val="0"/>
          <w:kern w:val="28"/>
        </w:rPr>
        <w:footnoteReference w:id="19"/>
      </w:r>
      <w:r w:rsidR="007B1C17">
        <w:rPr>
          <w:snapToGrid w:val="0"/>
          <w:kern w:val="28"/>
          <w:sz w:val="22"/>
        </w:rPr>
        <w:t xml:space="preserve">  </w:t>
      </w:r>
      <w:r w:rsidR="006E1C9B">
        <w:rPr>
          <w:snapToGrid w:val="0"/>
          <w:kern w:val="28"/>
          <w:sz w:val="22"/>
        </w:rPr>
        <w:t>The</w:t>
      </w:r>
      <w:r w:rsidR="00643C00">
        <w:rPr>
          <w:snapToGrid w:val="0"/>
          <w:kern w:val="28"/>
          <w:sz w:val="22"/>
        </w:rPr>
        <w:t xml:space="preserve">y also </w:t>
      </w:r>
      <w:r w:rsidR="003B198A">
        <w:rPr>
          <w:snapToGrid w:val="0"/>
          <w:kern w:val="28"/>
          <w:sz w:val="22"/>
        </w:rPr>
        <w:t xml:space="preserve">state that ATVA </w:t>
      </w:r>
      <w:r w:rsidR="00381807">
        <w:rPr>
          <w:snapToGrid w:val="0"/>
          <w:kern w:val="28"/>
          <w:sz w:val="22"/>
        </w:rPr>
        <w:t xml:space="preserve">articulates a “strained reading” of </w:t>
      </w:r>
      <w:r w:rsidRPr="008B0687" w:rsidR="00381807">
        <w:rPr>
          <w:i/>
          <w:iCs/>
          <w:snapToGrid w:val="0"/>
          <w:kern w:val="28"/>
          <w:sz w:val="22"/>
        </w:rPr>
        <w:t xml:space="preserve">Zimmer </w:t>
      </w:r>
      <w:r w:rsidRPr="008B0687" w:rsidR="00381807">
        <w:rPr>
          <w:i/>
          <w:iCs/>
          <w:snapToGrid w:val="0"/>
          <w:kern w:val="28"/>
          <w:sz w:val="22"/>
        </w:rPr>
        <w:t>Radio</w:t>
      </w:r>
      <w:r w:rsidR="00381807">
        <w:rPr>
          <w:snapToGrid w:val="0"/>
          <w:kern w:val="28"/>
          <w:sz w:val="22"/>
        </w:rPr>
        <w:t xml:space="preserve">, </w:t>
      </w:r>
      <w:r w:rsidR="00FF0DE2">
        <w:rPr>
          <w:snapToGrid w:val="0"/>
          <w:kern w:val="28"/>
          <w:sz w:val="22"/>
        </w:rPr>
        <w:t xml:space="preserve">where </w:t>
      </w:r>
      <w:r w:rsidR="00BD0A8B">
        <w:rPr>
          <w:snapToGrid w:val="0"/>
          <w:kern w:val="28"/>
          <w:sz w:val="22"/>
        </w:rPr>
        <w:t>“</w:t>
      </w:r>
      <w:r w:rsidRPr="00BD0A8B" w:rsidR="00BD0A8B">
        <w:rPr>
          <w:snapToGrid w:val="0"/>
          <w:kern w:val="28"/>
          <w:sz w:val="22"/>
        </w:rPr>
        <w:t>any transaction that falls outside three narrow constructs does not comply with the local television ownership rule as modified by the decision</w:t>
      </w:r>
      <w:r w:rsidR="00BD0A8B">
        <w:rPr>
          <w:snapToGrid w:val="0"/>
          <w:kern w:val="28"/>
          <w:sz w:val="22"/>
        </w:rPr>
        <w:t>.”</w:t>
      </w:r>
      <w:r>
        <w:rPr>
          <w:rStyle w:val="FootnoteReference"/>
          <w:snapToGrid w:val="0"/>
          <w:kern w:val="28"/>
        </w:rPr>
        <w:footnoteReference w:id="20"/>
      </w:r>
      <w:r w:rsidR="00BD0A8B">
        <w:rPr>
          <w:snapToGrid w:val="0"/>
          <w:kern w:val="28"/>
          <w:sz w:val="22"/>
        </w:rPr>
        <w:t xml:space="preserve">  </w:t>
      </w:r>
      <w:r w:rsidR="00E65578">
        <w:rPr>
          <w:snapToGrid w:val="0"/>
          <w:kern w:val="28"/>
          <w:sz w:val="22"/>
        </w:rPr>
        <w:t>The</w:t>
      </w:r>
      <w:r w:rsidR="00BD43F8">
        <w:rPr>
          <w:snapToGrid w:val="0"/>
          <w:kern w:val="28"/>
          <w:sz w:val="22"/>
        </w:rPr>
        <w:t xml:space="preserve"> Applicants</w:t>
      </w:r>
      <w:r w:rsidR="00E65578">
        <w:rPr>
          <w:snapToGrid w:val="0"/>
          <w:kern w:val="28"/>
          <w:sz w:val="22"/>
        </w:rPr>
        <w:t xml:space="preserve"> </w:t>
      </w:r>
      <w:r w:rsidR="00E73F7B">
        <w:rPr>
          <w:snapToGrid w:val="0"/>
          <w:kern w:val="28"/>
          <w:sz w:val="22"/>
        </w:rPr>
        <w:t xml:space="preserve">urge the Commission to </w:t>
      </w:r>
      <w:r w:rsidR="009D5ABC">
        <w:rPr>
          <w:snapToGrid w:val="0"/>
          <w:kern w:val="28"/>
          <w:sz w:val="22"/>
        </w:rPr>
        <w:t xml:space="preserve">once again </w:t>
      </w:r>
      <w:r w:rsidR="00A358DF">
        <w:rPr>
          <w:snapToGrid w:val="0"/>
          <w:kern w:val="28"/>
          <w:sz w:val="22"/>
        </w:rPr>
        <w:t>reject the “</w:t>
      </w:r>
      <w:r w:rsidRPr="00A358DF" w:rsidR="00A358DF">
        <w:rPr>
          <w:snapToGrid w:val="0"/>
          <w:kern w:val="28"/>
          <w:sz w:val="22"/>
        </w:rPr>
        <w:t>claim that the purported impact of the Transactions on privately negotiated retransmission consent agreements justifies denial of the Applications</w:t>
      </w:r>
      <w:r w:rsidR="00F51B85">
        <w:rPr>
          <w:snapToGrid w:val="0"/>
          <w:kern w:val="28"/>
          <w:sz w:val="22"/>
        </w:rPr>
        <w:t>.</w:t>
      </w:r>
      <w:r w:rsidR="00A358DF">
        <w:rPr>
          <w:snapToGrid w:val="0"/>
          <w:kern w:val="28"/>
          <w:sz w:val="22"/>
        </w:rPr>
        <w:t>”</w:t>
      </w:r>
      <w:r>
        <w:rPr>
          <w:rStyle w:val="FootnoteReference"/>
          <w:snapToGrid w:val="0"/>
          <w:kern w:val="28"/>
        </w:rPr>
        <w:footnoteReference w:id="21"/>
      </w:r>
      <w:r w:rsidR="00F51B85">
        <w:rPr>
          <w:snapToGrid w:val="0"/>
          <w:kern w:val="28"/>
          <w:sz w:val="22"/>
        </w:rPr>
        <w:t xml:space="preserve"> </w:t>
      </w:r>
      <w:r w:rsidR="00A358DF">
        <w:rPr>
          <w:snapToGrid w:val="0"/>
          <w:kern w:val="28"/>
          <w:sz w:val="22"/>
        </w:rPr>
        <w:t xml:space="preserve"> </w:t>
      </w:r>
      <w:r w:rsidR="00C13C95">
        <w:rPr>
          <w:snapToGrid w:val="0"/>
          <w:kern w:val="28"/>
          <w:sz w:val="22"/>
        </w:rPr>
        <w:t>The</w:t>
      </w:r>
      <w:r w:rsidR="007617D1">
        <w:rPr>
          <w:snapToGrid w:val="0"/>
          <w:kern w:val="28"/>
          <w:sz w:val="22"/>
        </w:rPr>
        <w:t>y</w:t>
      </w:r>
      <w:r w:rsidR="00C13C95">
        <w:rPr>
          <w:snapToGrid w:val="0"/>
          <w:kern w:val="28"/>
          <w:sz w:val="22"/>
        </w:rPr>
        <w:t xml:space="preserve"> further </w:t>
      </w:r>
      <w:r w:rsidR="00651274">
        <w:rPr>
          <w:snapToGrid w:val="0"/>
          <w:kern w:val="28"/>
          <w:sz w:val="22"/>
        </w:rPr>
        <w:t xml:space="preserve">assert that </w:t>
      </w:r>
      <w:r w:rsidR="007B129F">
        <w:rPr>
          <w:snapToGrid w:val="0"/>
          <w:kern w:val="28"/>
          <w:sz w:val="22"/>
        </w:rPr>
        <w:t xml:space="preserve">neither ATVA nor NCTA provides </w:t>
      </w:r>
      <w:r w:rsidRPr="007B129F" w:rsidR="007B129F">
        <w:rPr>
          <w:snapToGrid w:val="0"/>
          <w:kern w:val="28"/>
          <w:sz w:val="22"/>
        </w:rPr>
        <w:t>credible evidence indicating that</w:t>
      </w:r>
      <w:r w:rsidR="005A0952">
        <w:rPr>
          <w:snapToGrid w:val="0"/>
          <w:kern w:val="28"/>
          <w:sz w:val="22"/>
        </w:rPr>
        <w:t xml:space="preserve"> </w:t>
      </w:r>
      <w:r w:rsidR="008A4C4C">
        <w:rPr>
          <w:snapToGrid w:val="0"/>
          <w:kern w:val="28"/>
          <w:sz w:val="22"/>
        </w:rPr>
        <w:t>the Transaction</w:t>
      </w:r>
      <w:r w:rsidRPr="007B129F" w:rsidR="007B129F">
        <w:rPr>
          <w:snapToGrid w:val="0"/>
          <w:kern w:val="28"/>
          <w:sz w:val="22"/>
        </w:rPr>
        <w:t xml:space="preserve"> will give Gray or Scripps market power</w:t>
      </w:r>
      <w:r w:rsidR="008A4C4C">
        <w:rPr>
          <w:snapToGrid w:val="0"/>
          <w:kern w:val="28"/>
          <w:sz w:val="22"/>
        </w:rPr>
        <w:t xml:space="preserve"> </w:t>
      </w:r>
      <w:r w:rsidRPr="007B129F" w:rsidR="007B129F">
        <w:rPr>
          <w:snapToGrid w:val="0"/>
          <w:kern w:val="28"/>
          <w:sz w:val="22"/>
        </w:rPr>
        <w:t>sufficient to extract supercompetitive retransmission consent rates</w:t>
      </w:r>
      <w:r w:rsidR="006A1A4C">
        <w:rPr>
          <w:snapToGrid w:val="0"/>
          <w:kern w:val="28"/>
          <w:sz w:val="22"/>
        </w:rPr>
        <w:t xml:space="preserve"> and</w:t>
      </w:r>
      <w:r w:rsidR="00174B8F">
        <w:rPr>
          <w:snapToGrid w:val="0"/>
          <w:kern w:val="28"/>
          <w:sz w:val="22"/>
        </w:rPr>
        <w:t xml:space="preserve"> that </w:t>
      </w:r>
      <w:r w:rsidR="00EF4BF4">
        <w:rPr>
          <w:snapToGrid w:val="0"/>
          <w:kern w:val="28"/>
          <w:sz w:val="22"/>
        </w:rPr>
        <w:t>ATVA’s</w:t>
      </w:r>
      <w:r w:rsidR="0071612B">
        <w:rPr>
          <w:snapToGrid w:val="0"/>
          <w:kern w:val="28"/>
          <w:sz w:val="22"/>
        </w:rPr>
        <w:t xml:space="preserve"> arguments concerning </w:t>
      </w:r>
      <w:r w:rsidR="005E5E14">
        <w:rPr>
          <w:snapToGrid w:val="0"/>
          <w:kern w:val="28"/>
          <w:sz w:val="22"/>
        </w:rPr>
        <w:t xml:space="preserve">the competitive impact of the Transaction on </w:t>
      </w:r>
      <w:r w:rsidR="00B55C94">
        <w:rPr>
          <w:snapToGrid w:val="0"/>
          <w:kern w:val="28"/>
          <w:sz w:val="22"/>
        </w:rPr>
        <w:t>retransmission consent and advertising rates are inherently flawed.</w:t>
      </w:r>
      <w:r>
        <w:rPr>
          <w:rStyle w:val="FootnoteReference"/>
          <w:snapToGrid w:val="0"/>
          <w:kern w:val="28"/>
        </w:rPr>
        <w:footnoteReference w:id="22"/>
      </w:r>
    </w:p>
    <w:p w:rsidR="007F49AA" w:rsidRPr="007F49AA" w:rsidP="007F49AA" w14:paraId="48CF28C1" w14:textId="379D415B">
      <w:pPr>
        <w:spacing w:after="120"/>
        <w:ind w:firstLine="720"/>
        <w:rPr>
          <w:snapToGrid w:val="0"/>
          <w:kern w:val="28"/>
          <w:sz w:val="22"/>
        </w:rPr>
      </w:pPr>
      <w:r>
        <w:rPr>
          <w:snapToGrid w:val="0"/>
          <w:kern w:val="28"/>
          <w:sz w:val="22"/>
        </w:rPr>
        <w:t xml:space="preserve">In reply, </w:t>
      </w:r>
      <w:r w:rsidRPr="007F49AA">
        <w:rPr>
          <w:snapToGrid w:val="0"/>
          <w:kern w:val="28"/>
          <w:sz w:val="22"/>
        </w:rPr>
        <w:t xml:space="preserve">ATVA </w:t>
      </w:r>
      <w:r w:rsidR="009A6D14">
        <w:rPr>
          <w:snapToGrid w:val="0"/>
          <w:kern w:val="28"/>
          <w:sz w:val="22"/>
        </w:rPr>
        <w:t xml:space="preserve">reiterates </w:t>
      </w:r>
      <w:r w:rsidR="00A57481">
        <w:rPr>
          <w:snapToGrid w:val="0"/>
          <w:kern w:val="28"/>
          <w:sz w:val="22"/>
        </w:rPr>
        <w:t>its position that</w:t>
      </w:r>
      <w:r w:rsidR="00A47BBF">
        <w:rPr>
          <w:snapToGrid w:val="0"/>
          <w:kern w:val="28"/>
          <w:sz w:val="22"/>
        </w:rPr>
        <w:t>, under section 310(d) of the Act, the Applicants “</w:t>
      </w:r>
      <w:r w:rsidRPr="00A47BBF" w:rsidR="00A47BBF">
        <w:rPr>
          <w:snapToGrid w:val="0"/>
          <w:kern w:val="28"/>
          <w:sz w:val="22"/>
        </w:rPr>
        <w:t>bear the burden of proving, by a preponderance of the evidence, that the proposed transaction, on balance, serves the public interest</w:t>
      </w:r>
      <w:r w:rsidR="00A47BBF">
        <w:rPr>
          <w:snapToGrid w:val="0"/>
          <w:kern w:val="28"/>
          <w:sz w:val="22"/>
        </w:rPr>
        <w:t>.”</w:t>
      </w:r>
      <w:r>
        <w:rPr>
          <w:rStyle w:val="FootnoteReference"/>
          <w:snapToGrid w:val="0"/>
          <w:kern w:val="28"/>
        </w:rPr>
        <w:footnoteReference w:id="23"/>
      </w:r>
      <w:r w:rsidR="00A47BBF">
        <w:rPr>
          <w:snapToGrid w:val="0"/>
          <w:kern w:val="28"/>
          <w:sz w:val="22"/>
        </w:rPr>
        <w:t xml:space="preserve"> </w:t>
      </w:r>
      <w:r w:rsidR="00A57481">
        <w:rPr>
          <w:snapToGrid w:val="0"/>
          <w:kern w:val="28"/>
          <w:sz w:val="22"/>
        </w:rPr>
        <w:t xml:space="preserve"> </w:t>
      </w:r>
      <w:r w:rsidR="009F19EF">
        <w:rPr>
          <w:snapToGrid w:val="0"/>
          <w:kern w:val="28"/>
          <w:sz w:val="22"/>
        </w:rPr>
        <w:t xml:space="preserve">It </w:t>
      </w:r>
      <w:r w:rsidR="00855550">
        <w:rPr>
          <w:snapToGrid w:val="0"/>
          <w:kern w:val="28"/>
          <w:sz w:val="22"/>
        </w:rPr>
        <w:t>claims</w:t>
      </w:r>
      <w:r w:rsidRPr="007F49AA">
        <w:rPr>
          <w:snapToGrid w:val="0"/>
          <w:kern w:val="28"/>
          <w:sz w:val="22"/>
        </w:rPr>
        <w:t xml:space="preserve"> that the Applicants </w:t>
      </w:r>
      <w:r w:rsidR="009B52A4">
        <w:rPr>
          <w:snapToGrid w:val="0"/>
          <w:kern w:val="28"/>
          <w:sz w:val="22"/>
        </w:rPr>
        <w:t>“</w:t>
      </w:r>
      <w:r w:rsidR="00855550">
        <w:rPr>
          <w:snapToGrid w:val="0"/>
          <w:kern w:val="28"/>
          <w:sz w:val="22"/>
        </w:rPr>
        <w:t xml:space="preserve">misstate the </w:t>
      </w:r>
      <w:r w:rsidR="009B52A4">
        <w:rPr>
          <w:snapToGrid w:val="0"/>
          <w:kern w:val="28"/>
          <w:sz w:val="22"/>
        </w:rPr>
        <w:t xml:space="preserve">applicable legal standard for transaction review” </w:t>
      </w:r>
      <w:r w:rsidR="009F19EF">
        <w:rPr>
          <w:snapToGrid w:val="0"/>
          <w:kern w:val="28"/>
          <w:sz w:val="22"/>
        </w:rPr>
        <w:t xml:space="preserve">and attempt to </w:t>
      </w:r>
      <w:r w:rsidR="00093C25">
        <w:rPr>
          <w:snapToGrid w:val="0"/>
          <w:kern w:val="28"/>
          <w:sz w:val="22"/>
        </w:rPr>
        <w:t>“</w:t>
      </w:r>
      <w:r w:rsidRPr="00093C25" w:rsidR="00093C25">
        <w:rPr>
          <w:snapToGrid w:val="0"/>
          <w:kern w:val="28"/>
          <w:sz w:val="22"/>
        </w:rPr>
        <w:t>reverse the burden of proof</w:t>
      </w:r>
      <w:r w:rsidR="001C431A">
        <w:rPr>
          <w:snapToGrid w:val="0"/>
          <w:kern w:val="28"/>
          <w:sz w:val="22"/>
        </w:rPr>
        <w:t>.</w:t>
      </w:r>
      <w:r w:rsidR="00093C25">
        <w:rPr>
          <w:snapToGrid w:val="0"/>
          <w:kern w:val="28"/>
          <w:sz w:val="22"/>
        </w:rPr>
        <w:t>”</w:t>
      </w:r>
      <w:r>
        <w:rPr>
          <w:rStyle w:val="FootnoteReference"/>
          <w:snapToGrid w:val="0"/>
          <w:kern w:val="28"/>
        </w:rPr>
        <w:footnoteReference w:id="24"/>
      </w:r>
      <w:r w:rsidR="00093C25">
        <w:rPr>
          <w:snapToGrid w:val="0"/>
          <w:kern w:val="28"/>
          <w:sz w:val="22"/>
        </w:rPr>
        <w:t xml:space="preserve">  </w:t>
      </w:r>
      <w:r w:rsidR="00920A1B">
        <w:rPr>
          <w:snapToGrid w:val="0"/>
          <w:kern w:val="28"/>
          <w:sz w:val="22"/>
        </w:rPr>
        <w:t>ATVA denies the Applicants’ characterization of</w:t>
      </w:r>
      <w:r w:rsidR="00542F35">
        <w:rPr>
          <w:snapToGrid w:val="0"/>
          <w:kern w:val="28"/>
          <w:sz w:val="22"/>
        </w:rPr>
        <w:t xml:space="preserve"> its reading of </w:t>
      </w:r>
      <w:r w:rsidRPr="008B0687" w:rsidR="00542F35">
        <w:rPr>
          <w:i/>
          <w:iCs/>
          <w:snapToGrid w:val="0"/>
          <w:kern w:val="28"/>
          <w:sz w:val="22"/>
        </w:rPr>
        <w:t>Zimmer Radio</w:t>
      </w:r>
      <w:r w:rsidR="00542F35">
        <w:rPr>
          <w:snapToGrid w:val="0"/>
          <w:kern w:val="28"/>
          <w:sz w:val="22"/>
        </w:rPr>
        <w:t xml:space="preserve">, </w:t>
      </w:r>
      <w:r w:rsidR="00312E5A">
        <w:rPr>
          <w:snapToGrid w:val="0"/>
          <w:kern w:val="28"/>
          <w:sz w:val="22"/>
        </w:rPr>
        <w:t xml:space="preserve">instead arguing that </w:t>
      </w:r>
      <w:r w:rsidR="00C06FA4">
        <w:rPr>
          <w:snapToGrid w:val="0"/>
          <w:kern w:val="28"/>
          <w:sz w:val="22"/>
        </w:rPr>
        <w:t xml:space="preserve">the court’s </w:t>
      </w:r>
      <w:r w:rsidR="00312E5A">
        <w:rPr>
          <w:snapToGrid w:val="0"/>
          <w:kern w:val="28"/>
          <w:sz w:val="22"/>
        </w:rPr>
        <w:t>“</w:t>
      </w:r>
      <w:r w:rsidRPr="00312E5A" w:rsidR="00312E5A">
        <w:rPr>
          <w:snapToGrid w:val="0"/>
          <w:kern w:val="28"/>
          <w:sz w:val="22"/>
        </w:rPr>
        <w:t xml:space="preserve">finding that not </w:t>
      </w:r>
      <w:r w:rsidRPr="008B0687" w:rsidR="00312E5A">
        <w:rPr>
          <w:i/>
          <w:iCs/>
          <w:snapToGrid w:val="0"/>
          <w:kern w:val="28"/>
          <w:sz w:val="22"/>
        </w:rPr>
        <w:t>all</w:t>
      </w:r>
      <w:r w:rsidRPr="00312E5A" w:rsidR="00312E5A">
        <w:rPr>
          <w:snapToGrid w:val="0"/>
          <w:kern w:val="28"/>
          <w:sz w:val="22"/>
        </w:rPr>
        <w:t xml:space="preserve"> Top Four duopolies necessarily disserve the public interest—and that a blanket rule is thus unjustified—does not amount to a finding that </w:t>
      </w:r>
      <w:r w:rsidRPr="008B0687" w:rsidR="00312E5A">
        <w:rPr>
          <w:i/>
          <w:iCs/>
          <w:snapToGrid w:val="0"/>
          <w:kern w:val="28"/>
          <w:sz w:val="22"/>
        </w:rPr>
        <w:t>all</w:t>
      </w:r>
      <w:r w:rsidRPr="00312E5A" w:rsidR="00312E5A">
        <w:rPr>
          <w:snapToGrid w:val="0"/>
          <w:kern w:val="28"/>
          <w:sz w:val="22"/>
        </w:rPr>
        <w:t xml:space="preserve"> duopolies are permissible under the public interest standard of Section 310(d)</w:t>
      </w:r>
      <w:r w:rsidR="00C06FA4">
        <w:rPr>
          <w:snapToGrid w:val="0"/>
          <w:kern w:val="28"/>
          <w:sz w:val="22"/>
        </w:rPr>
        <w:t>.”</w:t>
      </w:r>
      <w:r>
        <w:rPr>
          <w:rStyle w:val="FootnoteReference"/>
          <w:snapToGrid w:val="0"/>
          <w:kern w:val="28"/>
        </w:rPr>
        <w:footnoteReference w:id="25"/>
      </w:r>
      <w:r w:rsidR="00C06FA4">
        <w:rPr>
          <w:snapToGrid w:val="0"/>
          <w:kern w:val="28"/>
          <w:sz w:val="22"/>
        </w:rPr>
        <w:t xml:space="preserve"> </w:t>
      </w:r>
      <w:r w:rsidRPr="007F49AA">
        <w:rPr>
          <w:snapToGrid w:val="0"/>
          <w:kern w:val="28"/>
          <w:sz w:val="22"/>
        </w:rPr>
        <w:t xml:space="preserve"> </w:t>
      </w:r>
      <w:r w:rsidR="006E392E">
        <w:rPr>
          <w:snapToGrid w:val="0"/>
          <w:kern w:val="28"/>
          <w:sz w:val="22"/>
        </w:rPr>
        <w:t xml:space="preserve">ATVA further asserts that </w:t>
      </w:r>
      <w:r w:rsidR="001D45BC">
        <w:rPr>
          <w:snapToGrid w:val="0"/>
          <w:kern w:val="28"/>
          <w:sz w:val="22"/>
        </w:rPr>
        <w:t xml:space="preserve">the Applicants </w:t>
      </w:r>
      <w:r w:rsidR="00851E81">
        <w:rPr>
          <w:snapToGrid w:val="0"/>
          <w:kern w:val="28"/>
          <w:sz w:val="22"/>
        </w:rPr>
        <w:t>misapply the Commission’s longstanding competition principles</w:t>
      </w:r>
      <w:r w:rsidR="00D741F9">
        <w:rPr>
          <w:snapToGrid w:val="0"/>
          <w:kern w:val="28"/>
          <w:sz w:val="22"/>
        </w:rPr>
        <w:t xml:space="preserve"> and </w:t>
      </w:r>
      <w:r w:rsidRPr="00D741F9" w:rsidR="00D741F9">
        <w:rPr>
          <w:snapToGrid w:val="0"/>
          <w:kern w:val="28"/>
          <w:sz w:val="22"/>
        </w:rPr>
        <w:t>continue to offer no concrete detail to support their required public interest showing</w:t>
      </w:r>
      <w:r w:rsidRPr="007F49AA">
        <w:rPr>
          <w:snapToGrid w:val="0"/>
          <w:kern w:val="28"/>
          <w:sz w:val="22"/>
        </w:rPr>
        <w:t>.</w:t>
      </w:r>
      <w:r>
        <w:rPr>
          <w:snapToGrid w:val="0"/>
          <w:kern w:val="28"/>
          <w:vertAlign w:val="superscript"/>
        </w:rPr>
        <w:footnoteReference w:id="26"/>
      </w:r>
    </w:p>
    <w:p w:rsidR="004904EF" w:rsidP="004904EF" w14:paraId="01EFB553" w14:textId="40197A25">
      <w:pPr>
        <w:pStyle w:val="ParaNum"/>
        <w:numPr>
          <w:ilvl w:val="0"/>
          <w:numId w:val="0"/>
        </w:numPr>
      </w:pPr>
      <w:r>
        <w:rPr>
          <w:i/>
          <w:iCs/>
        </w:rPr>
        <w:tab/>
      </w:r>
      <w:r w:rsidRPr="007F49AA" w:rsidR="007F49AA">
        <w:rPr>
          <w:i/>
          <w:iCs/>
        </w:rPr>
        <w:t>Discussion.</w:t>
      </w:r>
      <w:r w:rsidRPr="008B0687" w:rsidR="009D52C5">
        <w:t xml:space="preserve">  </w:t>
      </w:r>
      <w:r w:rsidRPr="0084607F">
        <w:rPr>
          <w:szCs w:val="22"/>
        </w:rPr>
        <w:t>Section 310(d) of the Act provides that no station license shall be transferred or assigned except upon application to the Commission and upon a finding by the Commission “that the public interest, convenience, and necessity will be served thereby.”</w:t>
      </w:r>
      <w:r>
        <w:rPr>
          <w:rStyle w:val="FootnoteReference"/>
          <w:szCs w:val="22"/>
        </w:rPr>
        <w:footnoteReference w:id="27"/>
      </w:r>
      <w:r>
        <w:rPr>
          <w:szCs w:val="22"/>
        </w:rPr>
        <w:t xml:space="preserve">  </w:t>
      </w:r>
      <w:r w:rsidRPr="0083425D">
        <w:t>In making this determination, we first assess whether the proposed transaction complies with the specific provisions of the Act, other applicable statutes, and the Commission’s rules.</w:t>
      </w:r>
      <w:r>
        <w:rPr>
          <w:sz w:val="20"/>
          <w:vertAlign w:val="superscript"/>
        </w:rPr>
        <w:footnoteReference w:id="28"/>
      </w:r>
      <w:r>
        <w:t xml:space="preserve">  </w:t>
      </w:r>
      <w:r w:rsidRPr="0083425D">
        <w:t>If the proposed transaction does not violate a statute or rule, we then consider whether the transaction could result in public interest harms by substantially frustrating or impairing the objectives or implementation of the Act or related statutes.</w:t>
      </w:r>
      <w:r>
        <w:rPr>
          <w:sz w:val="20"/>
          <w:vertAlign w:val="superscript"/>
        </w:rPr>
        <w:footnoteReference w:id="29"/>
      </w:r>
      <w:r w:rsidRPr="0083425D">
        <w:t xml:space="preserve">  </w:t>
      </w:r>
      <w:r>
        <w:t>For the reasons explained below, we find that the transaction fully complies with the Commission’s rules, including the post-</w:t>
      </w:r>
      <w:r w:rsidRPr="009D3354">
        <w:rPr>
          <w:i/>
          <w:iCs/>
        </w:rPr>
        <w:t>Zimmer</w:t>
      </w:r>
      <w:r w:rsidRPr="009D3354">
        <w:t xml:space="preserve"> </w:t>
      </w:r>
      <w:r>
        <w:t xml:space="preserve">Local Television Ownership Rule, and there are no </w:t>
      </w:r>
      <w:r>
        <w:rPr>
          <w:szCs w:val="22"/>
        </w:rPr>
        <w:t>issues or potential public interest harms identified in the record that would require further consideration.</w:t>
      </w:r>
      <w:r w:rsidR="00EC75BD">
        <w:rPr>
          <w:szCs w:val="22"/>
        </w:rPr>
        <w:t xml:space="preserve">  </w:t>
      </w:r>
      <w:r w:rsidRPr="00EC75BD" w:rsidR="00EC75BD">
        <w:rPr>
          <w:szCs w:val="22"/>
        </w:rPr>
        <w:t xml:space="preserve">Notably, while the Commission will consider transaction-specific objections to otherwise rule-compliant transactions, we find that </w:t>
      </w:r>
      <w:r w:rsidR="00EC75BD">
        <w:rPr>
          <w:szCs w:val="22"/>
        </w:rPr>
        <w:t xml:space="preserve">neither </w:t>
      </w:r>
      <w:r w:rsidR="00EC75BD">
        <w:rPr>
          <w:szCs w:val="22"/>
        </w:rPr>
        <w:t xml:space="preserve">ATVA nor NTCA </w:t>
      </w:r>
      <w:r w:rsidRPr="00EC75BD" w:rsidR="00EC75BD">
        <w:rPr>
          <w:szCs w:val="22"/>
        </w:rPr>
        <w:t>has advance</w:t>
      </w:r>
      <w:r w:rsidR="00916D4B">
        <w:rPr>
          <w:szCs w:val="22"/>
        </w:rPr>
        <w:t>d</w:t>
      </w:r>
      <w:r w:rsidRPr="00EC75BD" w:rsidR="00EC75BD">
        <w:rPr>
          <w:szCs w:val="22"/>
        </w:rPr>
        <w:t xml:space="preserve"> any such objections.</w:t>
      </w:r>
      <w:r>
        <w:rPr>
          <w:szCs w:val="22"/>
        </w:rPr>
        <w:t xml:space="preserve">  Accordingly, we </w:t>
      </w:r>
      <w:r w:rsidRPr="0083425D">
        <w:t>conclude that grant of the Applications will result in public interest benefits and serve the public interest, convenience, and necessity</w:t>
      </w:r>
      <w:r w:rsidR="00270CC8">
        <w:t>.</w:t>
      </w:r>
    </w:p>
    <w:p w:rsidR="001869AE" w:rsidRPr="007031CC" w:rsidP="001869AE" w14:paraId="479EC1AA" w14:textId="2ED539D2">
      <w:pPr>
        <w:spacing w:after="120"/>
        <w:ind w:firstLine="720"/>
        <w:rPr>
          <w:snapToGrid w:val="0"/>
          <w:kern w:val="28"/>
          <w:sz w:val="22"/>
          <w:szCs w:val="22"/>
        </w:rPr>
      </w:pPr>
      <w:r>
        <w:rPr>
          <w:snapToGrid w:val="0"/>
          <w:kern w:val="28"/>
          <w:sz w:val="22"/>
          <w:szCs w:val="22"/>
        </w:rPr>
        <w:t xml:space="preserve">In recent decisions issued subsequent to the close of the pleading cycle in this proceeding, we have considered and rejected arguments </w:t>
      </w:r>
      <w:r w:rsidR="001F242E">
        <w:rPr>
          <w:snapToGrid w:val="0"/>
          <w:kern w:val="28"/>
          <w:sz w:val="22"/>
          <w:szCs w:val="22"/>
        </w:rPr>
        <w:t xml:space="preserve">substantially similar to those </w:t>
      </w:r>
      <w:r>
        <w:rPr>
          <w:snapToGrid w:val="0"/>
          <w:kern w:val="28"/>
          <w:sz w:val="22"/>
          <w:szCs w:val="22"/>
        </w:rPr>
        <w:t>raised by ATVA and NCTA.</w:t>
      </w:r>
      <w:r>
        <w:rPr>
          <w:snapToGrid w:val="0"/>
          <w:kern w:val="28"/>
          <w:sz w:val="22"/>
          <w:szCs w:val="22"/>
          <w:vertAlign w:val="superscript"/>
        </w:rPr>
        <w:footnoteReference w:id="30"/>
      </w:r>
      <w:r w:rsidRPr="00312B47">
        <w:rPr>
          <w:snapToGrid w:val="0"/>
          <w:kern w:val="28"/>
          <w:sz w:val="22"/>
          <w:szCs w:val="22"/>
        </w:rPr>
        <w:t xml:space="preserve">  In </w:t>
      </w:r>
      <w:r w:rsidR="00457478">
        <w:rPr>
          <w:snapToGrid w:val="0"/>
          <w:kern w:val="28"/>
          <w:sz w:val="22"/>
          <w:szCs w:val="22"/>
        </w:rPr>
        <w:t>particular</w:t>
      </w:r>
      <w:r w:rsidRPr="00312B47">
        <w:rPr>
          <w:snapToGrid w:val="0"/>
          <w:kern w:val="28"/>
          <w:sz w:val="22"/>
          <w:szCs w:val="22"/>
        </w:rPr>
        <w:t xml:space="preserve">, we recognized that “the Two-Station Limit, without restriction, now </w:t>
      </w:r>
      <w:r w:rsidRPr="00312B47">
        <w:rPr>
          <w:i/>
          <w:iCs/>
          <w:snapToGrid w:val="0"/>
          <w:kern w:val="28"/>
          <w:sz w:val="22"/>
          <w:szCs w:val="22"/>
        </w:rPr>
        <w:t>is</w:t>
      </w:r>
      <w:r w:rsidRPr="00312B47">
        <w:rPr>
          <w:snapToGrid w:val="0"/>
          <w:kern w:val="28"/>
          <w:sz w:val="22"/>
          <w:szCs w:val="22"/>
        </w:rPr>
        <w:t xml:space="preserve"> the Local Television Ownership Rule.”</w:t>
      </w:r>
      <w:r>
        <w:rPr>
          <w:snapToGrid w:val="0"/>
          <w:kern w:val="28"/>
          <w:sz w:val="22"/>
          <w:szCs w:val="22"/>
          <w:vertAlign w:val="superscript"/>
        </w:rPr>
        <w:footnoteReference w:id="31"/>
      </w:r>
      <w:r w:rsidRPr="00312B47">
        <w:rPr>
          <w:snapToGrid w:val="0"/>
          <w:kern w:val="28"/>
          <w:sz w:val="22"/>
          <w:szCs w:val="22"/>
        </w:rPr>
        <w:t xml:space="preserve">  We also rejected the contention that the Commission must engage in a balancing process pursuant to Section 310(d) of the Act before granting an application, explaining that “[w]here the Commission has adopted a specific, numerical ownership limit, as it has with the Two-Station Limit, an applicant satisfies its initial burden of showing that the transaction is in compliance with the Act and the Commission’s rules and policies related to competition and diversity by correctly certifying compliance with that limit.”</w:t>
      </w:r>
      <w:r>
        <w:rPr>
          <w:snapToGrid w:val="0"/>
          <w:kern w:val="28"/>
          <w:sz w:val="22"/>
          <w:szCs w:val="22"/>
          <w:vertAlign w:val="superscript"/>
        </w:rPr>
        <w:footnoteReference w:id="32"/>
      </w:r>
      <w:r>
        <w:rPr>
          <w:snapToGrid w:val="0"/>
          <w:kern w:val="28"/>
          <w:sz w:val="22"/>
          <w:szCs w:val="22"/>
        </w:rPr>
        <w:t xml:space="preserve">  </w:t>
      </w:r>
    </w:p>
    <w:p w:rsidR="00C20DBE" w:rsidRPr="00312B47" w:rsidP="001869AE" w14:paraId="5B442EDB" w14:textId="27B94ECF">
      <w:pPr>
        <w:spacing w:after="120"/>
        <w:ind w:firstLine="720"/>
        <w:rPr>
          <w:snapToGrid w:val="0"/>
          <w:kern w:val="28"/>
          <w:sz w:val="22"/>
          <w:szCs w:val="22"/>
        </w:rPr>
      </w:pPr>
      <w:r w:rsidRPr="00312B47">
        <w:rPr>
          <w:snapToGrid w:val="0"/>
          <w:kern w:val="28"/>
          <w:sz w:val="22"/>
          <w:szCs w:val="22"/>
        </w:rPr>
        <w:t>We find that the Application</w:t>
      </w:r>
      <w:r>
        <w:rPr>
          <w:snapToGrid w:val="0"/>
          <w:kern w:val="28"/>
          <w:sz w:val="22"/>
          <w:szCs w:val="22"/>
        </w:rPr>
        <w:t>s</w:t>
      </w:r>
      <w:r w:rsidRPr="00312B47">
        <w:rPr>
          <w:snapToGrid w:val="0"/>
          <w:kern w:val="28"/>
          <w:sz w:val="22"/>
          <w:szCs w:val="22"/>
        </w:rPr>
        <w:t xml:space="preserve"> fully compl</w:t>
      </w:r>
      <w:r>
        <w:rPr>
          <w:snapToGrid w:val="0"/>
          <w:kern w:val="28"/>
          <w:sz w:val="22"/>
          <w:szCs w:val="22"/>
        </w:rPr>
        <w:t>y</w:t>
      </w:r>
      <w:r w:rsidRPr="00312B47">
        <w:rPr>
          <w:snapToGrid w:val="0"/>
          <w:kern w:val="28"/>
          <w:sz w:val="22"/>
          <w:szCs w:val="22"/>
        </w:rPr>
        <w:t xml:space="preserve"> with the Two-Station Limit, and </w:t>
      </w:r>
      <w:r>
        <w:rPr>
          <w:snapToGrid w:val="0"/>
          <w:kern w:val="28"/>
          <w:sz w:val="22"/>
          <w:szCs w:val="22"/>
        </w:rPr>
        <w:t>ATVA and NCTA have</w:t>
      </w:r>
      <w:r w:rsidRPr="00312B47">
        <w:rPr>
          <w:snapToGrid w:val="0"/>
          <w:kern w:val="28"/>
          <w:sz w:val="22"/>
          <w:szCs w:val="22"/>
        </w:rPr>
        <w:t xml:space="preserve"> failed to provide any transaction-specific arguments that raise a substantial and material question of fact sufficient to show that grant of the Application</w:t>
      </w:r>
      <w:r w:rsidR="005E118D">
        <w:rPr>
          <w:snapToGrid w:val="0"/>
          <w:kern w:val="28"/>
          <w:sz w:val="22"/>
          <w:szCs w:val="22"/>
        </w:rPr>
        <w:t>s</w:t>
      </w:r>
      <w:r w:rsidRPr="00312B47">
        <w:rPr>
          <w:snapToGrid w:val="0"/>
          <w:kern w:val="28"/>
          <w:sz w:val="22"/>
          <w:szCs w:val="22"/>
        </w:rPr>
        <w:t xml:space="preserve"> </w:t>
      </w:r>
      <w:r w:rsidRPr="00312B47">
        <w:rPr>
          <w:rFonts w:eastAsia="Calibri"/>
          <w:sz w:val="22"/>
          <w:szCs w:val="22"/>
        </w:rPr>
        <w:t xml:space="preserve">would be </w:t>
      </w:r>
      <w:r w:rsidRPr="00312B47">
        <w:rPr>
          <w:rFonts w:eastAsia="Calibri"/>
          <w:i/>
          <w:sz w:val="22"/>
          <w:szCs w:val="22"/>
        </w:rPr>
        <w:t>prima facie</w:t>
      </w:r>
      <w:r w:rsidRPr="00312B47">
        <w:rPr>
          <w:rFonts w:eastAsia="Calibri"/>
          <w:sz w:val="22"/>
          <w:szCs w:val="22"/>
        </w:rPr>
        <w:t xml:space="preserve"> inconsistent with the public interest.</w:t>
      </w:r>
      <w:r>
        <w:rPr>
          <w:rStyle w:val="FootnoteReference"/>
          <w:rFonts w:eastAsia="Calibri"/>
          <w:sz w:val="22"/>
          <w:szCs w:val="22"/>
        </w:rPr>
        <w:footnoteReference w:id="33"/>
      </w:r>
      <w:r w:rsidRPr="00312B47">
        <w:rPr>
          <w:rFonts w:eastAsia="Calibri"/>
          <w:sz w:val="22"/>
          <w:szCs w:val="22"/>
        </w:rPr>
        <w:t xml:space="preserve"> </w:t>
      </w:r>
      <w:r w:rsidRPr="00312B47">
        <w:rPr>
          <w:snapToGrid w:val="0"/>
          <w:kern w:val="28"/>
          <w:sz w:val="22"/>
          <w:szCs w:val="22"/>
        </w:rPr>
        <w:t xml:space="preserve"> </w:t>
      </w:r>
      <w:r w:rsidRPr="00312B47">
        <w:rPr>
          <w:snapToGrid w:val="0"/>
          <w:kern w:val="28"/>
          <w:sz w:val="22"/>
          <w:szCs w:val="22"/>
        </w:rPr>
        <w:t xml:space="preserve">The </w:t>
      </w:r>
      <w:r w:rsidR="00306704">
        <w:rPr>
          <w:snapToGrid w:val="0"/>
          <w:kern w:val="28"/>
          <w:sz w:val="22"/>
          <w:szCs w:val="22"/>
        </w:rPr>
        <w:t>Informal Objections</w:t>
      </w:r>
      <w:r w:rsidRPr="00312B47">
        <w:rPr>
          <w:snapToGrid w:val="0"/>
          <w:kern w:val="28"/>
          <w:sz w:val="22"/>
          <w:szCs w:val="22"/>
        </w:rPr>
        <w:t xml:space="preserve"> focus primarily on </w:t>
      </w:r>
      <w:r w:rsidR="00B5094D">
        <w:rPr>
          <w:snapToGrid w:val="0"/>
          <w:kern w:val="28"/>
          <w:sz w:val="22"/>
          <w:szCs w:val="22"/>
        </w:rPr>
        <w:t xml:space="preserve">alleged </w:t>
      </w:r>
      <w:r w:rsidRPr="00312B47">
        <w:rPr>
          <w:snapToGrid w:val="0"/>
          <w:kern w:val="28"/>
          <w:sz w:val="22"/>
          <w:szCs w:val="22"/>
        </w:rPr>
        <w:t>retransmission consent harms raised by the proposed combinations.</w:t>
      </w:r>
      <w:r>
        <w:rPr>
          <w:rStyle w:val="FootnoteReference"/>
          <w:snapToGrid w:val="0"/>
          <w:kern w:val="28"/>
          <w:sz w:val="22"/>
          <w:szCs w:val="22"/>
        </w:rPr>
        <w:footnoteReference w:id="34"/>
      </w:r>
      <w:r w:rsidRPr="00312B47">
        <w:rPr>
          <w:snapToGrid w:val="0"/>
          <w:kern w:val="28"/>
          <w:sz w:val="22"/>
          <w:szCs w:val="22"/>
        </w:rPr>
        <w:t xml:space="preserve">  However, </w:t>
      </w:r>
      <w:r w:rsidR="007C32AB">
        <w:rPr>
          <w:snapToGrid w:val="0"/>
          <w:kern w:val="28"/>
          <w:sz w:val="22"/>
          <w:szCs w:val="22"/>
        </w:rPr>
        <w:t xml:space="preserve">as we have </w:t>
      </w:r>
      <w:r w:rsidR="0066509A">
        <w:rPr>
          <w:snapToGrid w:val="0"/>
          <w:kern w:val="28"/>
          <w:sz w:val="22"/>
          <w:szCs w:val="22"/>
        </w:rPr>
        <w:t>determined in previous decisions, we find these</w:t>
      </w:r>
      <w:r w:rsidR="00E847CB">
        <w:rPr>
          <w:snapToGrid w:val="0"/>
          <w:kern w:val="28"/>
          <w:sz w:val="22"/>
          <w:szCs w:val="22"/>
        </w:rPr>
        <w:t xml:space="preserve"> alleged harms to be</w:t>
      </w:r>
      <w:r w:rsidRPr="00312B47">
        <w:rPr>
          <w:snapToGrid w:val="0"/>
          <w:kern w:val="28"/>
          <w:sz w:val="22"/>
          <w:szCs w:val="22"/>
        </w:rPr>
        <w:t xml:space="preserve"> speculative.</w:t>
      </w:r>
      <w:r>
        <w:rPr>
          <w:snapToGrid w:val="0"/>
          <w:kern w:val="28"/>
          <w:sz w:val="22"/>
          <w:szCs w:val="22"/>
          <w:vertAlign w:val="superscript"/>
        </w:rPr>
        <w:footnoteReference w:id="35"/>
      </w:r>
      <w:r w:rsidRPr="00312B47">
        <w:rPr>
          <w:snapToGrid w:val="0"/>
          <w:kern w:val="28"/>
          <w:sz w:val="22"/>
          <w:szCs w:val="22"/>
        </w:rPr>
        <w:t xml:space="preserve">  </w:t>
      </w:r>
      <w:r w:rsidR="00336317">
        <w:rPr>
          <w:snapToGrid w:val="0"/>
          <w:kern w:val="28"/>
          <w:sz w:val="22"/>
          <w:szCs w:val="22"/>
        </w:rPr>
        <w:t xml:space="preserve">Moreover, </w:t>
      </w:r>
      <w:r w:rsidRPr="00312B47">
        <w:rPr>
          <w:snapToGrid w:val="0"/>
          <w:kern w:val="28"/>
          <w:sz w:val="22"/>
          <w:szCs w:val="22"/>
        </w:rPr>
        <w:t>the Commission has found on multiple occasions in the past that issues of broad applicability, such as the effect of common ownership of two top-four stations on the market for retransmission consent, are best handled in a rulemaking of industry</w:t>
      </w:r>
      <w:r w:rsidRPr="00312B47">
        <w:rPr>
          <w:snapToGrid w:val="0"/>
          <w:kern w:val="28"/>
          <w:sz w:val="22"/>
          <w:szCs w:val="22"/>
        </w:rPr>
        <w:noBreakHyphen/>
        <w:t>wide effect</w:t>
      </w:r>
      <w:r w:rsidR="001C34F1">
        <w:rPr>
          <w:snapToGrid w:val="0"/>
          <w:kern w:val="28"/>
          <w:sz w:val="22"/>
          <w:szCs w:val="22"/>
        </w:rPr>
        <w:t>,</w:t>
      </w:r>
      <w:r>
        <w:rPr>
          <w:snapToGrid w:val="0"/>
          <w:kern w:val="28"/>
          <w:sz w:val="22"/>
          <w:szCs w:val="22"/>
          <w:vertAlign w:val="superscript"/>
        </w:rPr>
        <w:footnoteReference w:id="36"/>
      </w:r>
      <w:r w:rsidRPr="00312B47">
        <w:rPr>
          <w:snapToGrid w:val="0"/>
          <w:kern w:val="28"/>
          <w:sz w:val="22"/>
          <w:szCs w:val="22"/>
        </w:rPr>
        <w:t xml:space="preserve"> </w:t>
      </w:r>
      <w:r w:rsidR="001C34F1">
        <w:rPr>
          <w:snapToGrid w:val="0"/>
          <w:kern w:val="28"/>
          <w:sz w:val="22"/>
          <w:szCs w:val="22"/>
        </w:rPr>
        <w:t>and</w:t>
      </w:r>
      <w:r w:rsidRPr="00312B47">
        <w:rPr>
          <w:snapToGrid w:val="0"/>
          <w:kern w:val="28"/>
          <w:sz w:val="22"/>
          <w:szCs w:val="22"/>
        </w:rPr>
        <w:t xml:space="preserve"> </w:t>
      </w:r>
      <w:r w:rsidR="001C34F1">
        <w:rPr>
          <w:snapToGrid w:val="0"/>
          <w:kern w:val="28"/>
          <w:sz w:val="22"/>
          <w:szCs w:val="22"/>
        </w:rPr>
        <w:t>w</w:t>
      </w:r>
      <w:r w:rsidRPr="00312B47">
        <w:rPr>
          <w:snapToGrid w:val="0"/>
          <w:kern w:val="28"/>
          <w:sz w:val="22"/>
          <w:szCs w:val="22"/>
        </w:rPr>
        <w:t xml:space="preserve">e </w:t>
      </w:r>
      <w:r w:rsidR="001C34F1">
        <w:rPr>
          <w:snapToGrid w:val="0"/>
          <w:kern w:val="28"/>
          <w:sz w:val="22"/>
          <w:szCs w:val="22"/>
        </w:rPr>
        <w:t>reiterate</w:t>
      </w:r>
      <w:r w:rsidRPr="00312B47">
        <w:rPr>
          <w:snapToGrid w:val="0"/>
          <w:kern w:val="28"/>
          <w:sz w:val="22"/>
          <w:szCs w:val="22"/>
        </w:rPr>
        <w:t xml:space="preserve"> that we will not consider such issues in an adjudication involving rule-compliant broadcast television duopolies.</w:t>
      </w:r>
      <w:r>
        <w:rPr>
          <w:snapToGrid w:val="0"/>
          <w:kern w:val="28"/>
          <w:sz w:val="22"/>
          <w:szCs w:val="22"/>
          <w:vertAlign w:val="superscript"/>
        </w:rPr>
        <w:footnoteReference w:id="37"/>
      </w:r>
    </w:p>
    <w:p w:rsidR="007F49AA" w:rsidRPr="007F49AA" w:rsidP="00404417" w14:paraId="0D383C19" w14:textId="6210DF72">
      <w:pPr>
        <w:spacing w:after="120"/>
        <w:ind w:firstLine="720"/>
        <w:rPr>
          <w:snapToGrid w:val="0"/>
          <w:kern w:val="28"/>
          <w:sz w:val="22"/>
          <w:szCs w:val="22"/>
        </w:rPr>
      </w:pPr>
      <w:r>
        <w:rPr>
          <w:snapToGrid w:val="0"/>
          <w:kern w:val="28"/>
          <w:sz w:val="22"/>
          <w:szCs w:val="22"/>
        </w:rPr>
        <w:t xml:space="preserve">Finally, </w:t>
      </w:r>
      <w:r w:rsidR="000D4368">
        <w:rPr>
          <w:snapToGrid w:val="0"/>
          <w:kern w:val="28"/>
          <w:sz w:val="22"/>
          <w:szCs w:val="22"/>
        </w:rPr>
        <w:t xml:space="preserve">based on </w:t>
      </w:r>
      <w:r>
        <w:rPr>
          <w:snapToGrid w:val="0"/>
          <w:kern w:val="28"/>
          <w:sz w:val="22"/>
          <w:szCs w:val="22"/>
        </w:rPr>
        <w:t>our own review of the Transaction</w:t>
      </w:r>
      <w:r w:rsidR="000D4368">
        <w:rPr>
          <w:snapToGrid w:val="0"/>
          <w:kern w:val="28"/>
          <w:sz w:val="22"/>
          <w:szCs w:val="22"/>
        </w:rPr>
        <w:t xml:space="preserve">, we have not identified any </w:t>
      </w:r>
      <w:r w:rsidR="00097FBF">
        <w:rPr>
          <w:snapToGrid w:val="0"/>
          <w:kern w:val="28"/>
          <w:sz w:val="22"/>
          <w:szCs w:val="22"/>
        </w:rPr>
        <w:t xml:space="preserve">other </w:t>
      </w:r>
      <w:r w:rsidR="000D4368">
        <w:rPr>
          <w:snapToGrid w:val="0"/>
          <w:kern w:val="28"/>
          <w:sz w:val="22"/>
          <w:szCs w:val="22"/>
        </w:rPr>
        <w:t xml:space="preserve">issues </w:t>
      </w:r>
      <w:r w:rsidR="00C66E48">
        <w:rPr>
          <w:snapToGrid w:val="0"/>
          <w:kern w:val="28"/>
          <w:sz w:val="22"/>
          <w:szCs w:val="22"/>
        </w:rPr>
        <w:t>or potential public interest harms that would require further consideration.</w:t>
      </w:r>
      <w:r w:rsidR="004A05FB">
        <w:rPr>
          <w:snapToGrid w:val="0"/>
          <w:kern w:val="28"/>
          <w:sz w:val="22"/>
          <w:szCs w:val="22"/>
        </w:rPr>
        <w:t xml:space="preserve">  </w:t>
      </w:r>
      <w:r w:rsidRPr="005B56EB" w:rsidR="004A05FB">
        <w:rPr>
          <w:snapToGrid w:val="0"/>
          <w:kern w:val="28"/>
          <w:sz w:val="22"/>
          <w:szCs w:val="22"/>
        </w:rPr>
        <w:t xml:space="preserve">To the contrary, we find that </w:t>
      </w:r>
      <w:r w:rsidRPr="00404417" w:rsidR="00336797">
        <w:rPr>
          <w:snapToGrid w:val="0"/>
          <w:kern w:val="28"/>
          <w:sz w:val="22"/>
          <w:szCs w:val="22"/>
        </w:rPr>
        <w:t>synergies</w:t>
      </w:r>
      <w:r w:rsidRPr="005B56EB" w:rsidR="004A05FB">
        <w:rPr>
          <w:snapToGrid w:val="0"/>
          <w:kern w:val="28"/>
          <w:sz w:val="22"/>
          <w:szCs w:val="22"/>
        </w:rPr>
        <w:t xml:space="preserve"> created by the </w:t>
      </w:r>
      <w:r w:rsidRPr="00404417" w:rsidR="00336797">
        <w:rPr>
          <w:snapToGrid w:val="0"/>
          <w:kern w:val="28"/>
          <w:sz w:val="22"/>
          <w:szCs w:val="22"/>
        </w:rPr>
        <w:t>T</w:t>
      </w:r>
      <w:r w:rsidRPr="005B56EB" w:rsidR="004A05FB">
        <w:rPr>
          <w:snapToGrid w:val="0"/>
          <w:kern w:val="28"/>
          <w:sz w:val="22"/>
          <w:szCs w:val="22"/>
        </w:rPr>
        <w:t>ransaction could benefit viewers through “</w:t>
      </w:r>
      <w:r w:rsidRPr="00404417" w:rsidR="003345F9">
        <w:rPr>
          <w:snapToGrid w:val="0"/>
          <w:kern w:val="28"/>
          <w:sz w:val="22"/>
          <w:szCs w:val="22"/>
        </w:rPr>
        <w:t>increased quality and quantity of local news and other locally produced programming</w:t>
      </w:r>
      <w:r w:rsidRPr="005B56EB" w:rsidR="004A05FB">
        <w:rPr>
          <w:snapToGrid w:val="0"/>
          <w:kern w:val="28"/>
          <w:sz w:val="22"/>
          <w:szCs w:val="22"/>
        </w:rPr>
        <w:t>.”</w:t>
      </w:r>
      <w:r>
        <w:rPr>
          <w:snapToGrid w:val="0"/>
          <w:kern w:val="28"/>
          <w:sz w:val="22"/>
          <w:szCs w:val="22"/>
          <w:vertAlign w:val="superscript"/>
        </w:rPr>
        <w:footnoteReference w:id="38"/>
      </w:r>
    </w:p>
    <w:p w:rsidR="007F49AA" w:rsidRPr="007F49AA" w:rsidP="007F49AA" w14:paraId="41663F75" w14:textId="3C58FED7">
      <w:pPr>
        <w:spacing w:after="120"/>
        <w:ind w:firstLine="720"/>
        <w:rPr>
          <w:snapToGrid w:val="0"/>
          <w:kern w:val="28"/>
          <w:sz w:val="22"/>
        </w:rPr>
      </w:pPr>
      <w:r w:rsidRPr="007F49AA">
        <w:rPr>
          <w:snapToGrid w:val="0"/>
          <w:kern w:val="28"/>
          <w:sz w:val="22"/>
        </w:rPr>
        <w:t xml:space="preserve">Accordingly, having reviewed the Applications and the record in this matter, </w:t>
      </w:r>
      <w:r w:rsidRPr="007F49AA">
        <w:rPr>
          <w:b/>
          <w:bCs/>
          <w:snapToGrid w:val="0"/>
          <w:kern w:val="28"/>
          <w:sz w:val="22"/>
        </w:rPr>
        <w:t>IT IS ORDERED</w:t>
      </w:r>
      <w:r w:rsidRPr="007F49AA">
        <w:rPr>
          <w:snapToGrid w:val="0"/>
          <w:kern w:val="28"/>
          <w:sz w:val="22"/>
        </w:rPr>
        <w:t xml:space="preserve">, pursuant to sections 4(i) and (j), and 310(d) of the Communications Act of 1934, as amended, 47 U.S.C. </w:t>
      </w:r>
      <w:r w:rsidRPr="00C8384E" w:rsidR="00C8384E">
        <w:rPr>
          <w:snapToGrid w:val="0"/>
          <w:kern w:val="28"/>
          <w:sz w:val="22"/>
        </w:rPr>
        <w:t>§</w:t>
      </w:r>
      <w:r w:rsidRPr="007F49AA">
        <w:rPr>
          <w:snapToGrid w:val="0"/>
          <w:kern w:val="28"/>
          <w:sz w:val="22"/>
        </w:rPr>
        <w:t>§</w:t>
      </w:r>
      <w:r w:rsidR="00C8384E">
        <w:rPr>
          <w:snapToGrid w:val="0"/>
          <w:kern w:val="28"/>
          <w:sz w:val="22"/>
        </w:rPr>
        <w:t> </w:t>
      </w:r>
      <w:r w:rsidRPr="007F49AA">
        <w:rPr>
          <w:snapToGrid w:val="0"/>
          <w:kern w:val="28"/>
          <w:sz w:val="22"/>
        </w:rPr>
        <w:t xml:space="preserve">154(i), 154(j), 310(d), that the applications listed in the Appendix seeking consent to assign the licenses for certain broadcast television stations from Gray Television Licensee, LLC to ION Television License, LLC, and from Scripps Broadcasting Holdings LLC to Gray Television Licensee, LLC, </w:t>
      </w:r>
      <w:r w:rsidRPr="007F49AA">
        <w:rPr>
          <w:b/>
          <w:bCs/>
          <w:snapToGrid w:val="0"/>
          <w:kern w:val="28"/>
          <w:sz w:val="22"/>
        </w:rPr>
        <w:t>ARE GRANTED</w:t>
      </w:r>
      <w:r w:rsidRPr="007F49AA">
        <w:rPr>
          <w:snapToGrid w:val="0"/>
          <w:kern w:val="28"/>
          <w:sz w:val="22"/>
        </w:rPr>
        <w:t>.</w:t>
      </w:r>
    </w:p>
    <w:p w:rsidR="007F49AA" w:rsidRPr="007F49AA" w:rsidP="007F49AA" w14:paraId="0A9D4413" w14:textId="77777777">
      <w:pPr>
        <w:spacing w:after="120"/>
        <w:ind w:firstLine="720"/>
        <w:rPr>
          <w:snapToGrid w:val="0"/>
          <w:kern w:val="28"/>
          <w:sz w:val="22"/>
        </w:rPr>
      </w:pPr>
      <w:r w:rsidRPr="007F49AA">
        <w:rPr>
          <w:b/>
          <w:bCs/>
          <w:snapToGrid w:val="0"/>
          <w:kern w:val="28"/>
          <w:sz w:val="22"/>
        </w:rPr>
        <w:t>IT IS FURTHER ORDERED</w:t>
      </w:r>
      <w:r w:rsidRPr="007F49AA">
        <w:rPr>
          <w:snapToGrid w:val="0"/>
          <w:kern w:val="28"/>
          <w:sz w:val="22"/>
        </w:rPr>
        <w:t xml:space="preserve">, pursuant to Sections 4(i) and (j), 309, and 310(d) of the Communications Act of 1934, as amended, 47 U.S.C. §§ 154(i), 154(j), 309, 310(d), that the pleadings and other requests for Commission action, addressed herein, filed by the American Television Alliance and NCTA – the Internet &amp; Television Association </w:t>
      </w:r>
      <w:r w:rsidRPr="007F49AA">
        <w:rPr>
          <w:b/>
          <w:bCs/>
          <w:snapToGrid w:val="0"/>
          <w:kern w:val="28"/>
          <w:sz w:val="22"/>
        </w:rPr>
        <w:t>ARE DENIED</w:t>
      </w:r>
      <w:r w:rsidRPr="007F49AA">
        <w:rPr>
          <w:snapToGrid w:val="0"/>
          <w:kern w:val="28"/>
          <w:sz w:val="22"/>
        </w:rPr>
        <w:t>.</w:t>
      </w:r>
    </w:p>
    <w:p w:rsidR="0046386A" w:rsidP="0046386A" w14:paraId="4E25A8EB" w14:textId="77777777">
      <w:pPr>
        <w:ind w:left="4320"/>
      </w:pPr>
    </w:p>
    <w:p w:rsidR="0046386A" w:rsidRPr="00C611E8" w:rsidP="00306704" w14:paraId="0B7B66B2" w14:textId="6CB441DC">
      <w:pPr>
        <w:keepNext/>
        <w:ind w:left="4320" w:firstLine="720"/>
        <w:rPr>
          <w:sz w:val="22"/>
          <w:szCs w:val="22"/>
        </w:rPr>
      </w:pPr>
      <w:r w:rsidRPr="00C611E8">
        <w:rPr>
          <w:sz w:val="22"/>
          <w:szCs w:val="22"/>
        </w:rPr>
        <w:t>Sincerely,</w:t>
      </w:r>
    </w:p>
    <w:p w:rsidR="0046386A" w:rsidRPr="00C611E8" w:rsidP="00306704" w14:paraId="36DFC36A" w14:textId="77777777">
      <w:pPr>
        <w:keepNext/>
        <w:ind w:left="4320"/>
        <w:rPr>
          <w:sz w:val="22"/>
          <w:szCs w:val="22"/>
        </w:rPr>
      </w:pPr>
    </w:p>
    <w:p w:rsidR="0046386A" w:rsidRPr="00C611E8" w:rsidP="00306704" w14:paraId="7D0E3B07" w14:textId="276DBBCF">
      <w:pPr>
        <w:keepNext/>
        <w:ind w:left="4320"/>
        <w:rPr>
          <w:sz w:val="22"/>
          <w:szCs w:val="22"/>
        </w:rPr>
      </w:pPr>
      <w:r>
        <w:rPr>
          <w:sz w:val="22"/>
          <w:szCs w:val="22"/>
        </w:rPr>
        <w:tab/>
        <w:t>/s/</w:t>
      </w:r>
    </w:p>
    <w:p w:rsidR="0046386A" w:rsidRPr="00C611E8" w:rsidP="00306704" w14:paraId="181F6800" w14:textId="77777777">
      <w:pPr>
        <w:keepNext/>
        <w:rPr>
          <w:sz w:val="22"/>
          <w:szCs w:val="22"/>
        </w:rPr>
      </w:pPr>
    </w:p>
    <w:p w:rsidR="0046386A" w:rsidRPr="00C611E8" w:rsidP="00306704" w14:paraId="07E5775C" w14:textId="0517B688">
      <w:pPr>
        <w:keepNext/>
        <w:rPr>
          <w:sz w:val="22"/>
          <w:szCs w:val="22"/>
        </w:rPr>
      </w:pPr>
      <w:r w:rsidRPr="00C611E8">
        <w:rPr>
          <w:sz w:val="22"/>
          <w:szCs w:val="22"/>
        </w:rPr>
        <w:tab/>
      </w:r>
      <w:r w:rsidRPr="00C611E8">
        <w:rPr>
          <w:sz w:val="22"/>
          <w:szCs w:val="22"/>
        </w:rPr>
        <w:tab/>
      </w:r>
      <w:r w:rsidRPr="00C611E8">
        <w:rPr>
          <w:sz w:val="22"/>
          <w:szCs w:val="22"/>
        </w:rPr>
        <w:tab/>
      </w:r>
      <w:r w:rsidRPr="00C611E8">
        <w:rPr>
          <w:sz w:val="22"/>
          <w:szCs w:val="22"/>
        </w:rPr>
        <w:tab/>
      </w:r>
      <w:r w:rsidRPr="00C611E8">
        <w:rPr>
          <w:sz w:val="22"/>
          <w:szCs w:val="22"/>
        </w:rPr>
        <w:tab/>
      </w:r>
      <w:r w:rsidRPr="00C611E8">
        <w:rPr>
          <w:sz w:val="22"/>
          <w:szCs w:val="22"/>
        </w:rPr>
        <w:tab/>
      </w:r>
      <w:r w:rsidR="0000664E">
        <w:rPr>
          <w:sz w:val="22"/>
          <w:szCs w:val="22"/>
        </w:rPr>
        <w:tab/>
      </w:r>
      <w:r w:rsidR="00904C4D">
        <w:rPr>
          <w:sz w:val="22"/>
          <w:szCs w:val="22"/>
        </w:rPr>
        <w:t>David J. Brown</w:t>
      </w:r>
      <w:r w:rsidRPr="00C611E8">
        <w:rPr>
          <w:sz w:val="22"/>
          <w:szCs w:val="22"/>
        </w:rPr>
        <w:tab/>
      </w:r>
      <w:r w:rsidRPr="00C611E8">
        <w:rPr>
          <w:sz w:val="22"/>
          <w:szCs w:val="22"/>
        </w:rPr>
        <w:tab/>
      </w:r>
      <w:r w:rsidRPr="00C611E8">
        <w:rPr>
          <w:sz w:val="22"/>
          <w:szCs w:val="22"/>
        </w:rPr>
        <w:tab/>
      </w:r>
    </w:p>
    <w:p w:rsidR="00904C4D" w:rsidP="00306704" w14:paraId="718EE75F" w14:textId="2B2C6E02">
      <w:pPr>
        <w:keepNext/>
        <w:rPr>
          <w:sz w:val="22"/>
          <w:szCs w:val="22"/>
        </w:rPr>
      </w:pPr>
      <w:r w:rsidRPr="00C611E8">
        <w:rPr>
          <w:sz w:val="22"/>
          <w:szCs w:val="22"/>
        </w:rPr>
        <w:tab/>
      </w:r>
      <w:r w:rsidRPr="00C611E8">
        <w:rPr>
          <w:sz w:val="22"/>
          <w:szCs w:val="22"/>
        </w:rPr>
        <w:tab/>
      </w:r>
      <w:r w:rsidRPr="00C611E8">
        <w:rPr>
          <w:sz w:val="22"/>
          <w:szCs w:val="22"/>
        </w:rPr>
        <w:tab/>
      </w:r>
      <w:r w:rsidRPr="00C611E8">
        <w:rPr>
          <w:sz w:val="22"/>
          <w:szCs w:val="22"/>
        </w:rPr>
        <w:tab/>
      </w:r>
      <w:r w:rsidRPr="00C611E8">
        <w:rPr>
          <w:sz w:val="22"/>
          <w:szCs w:val="22"/>
        </w:rPr>
        <w:tab/>
      </w:r>
      <w:r w:rsidRPr="00C611E8">
        <w:rPr>
          <w:sz w:val="22"/>
          <w:szCs w:val="22"/>
        </w:rPr>
        <w:tab/>
      </w:r>
      <w:r w:rsidR="0000664E">
        <w:rPr>
          <w:sz w:val="22"/>
          <w:szCs w:val="22"/>
        </w:rPr>
        <w:tab/>
      </w:r>
      <w:r w:rsidRPr="00C611E8">
        <w:rPr>
          <w:sz w:val="22"/>
          <w:szCs w:val="22"/>
        </w:rPr>
        <w:t xml:space="preserve">Chief, </w:t>
      </w:r>
      <w:r>
        <w:rPr>
          <w:sz w:val="22"/>
          <w:szCs w:val="22"/>
        </w:rPr>
        <w:t>Video Division</w:t>
      </w:r>
    </w:p>
    <w:p w:rsidR="000B615C" w:rsidP="00021504" w14:paraId="5855E929" w14:textId="16FE34A0">
      <w:pPr>
        <w:ind w:left="1440" w:firstLine="720"/>
        <w:rPr>
          <w:sz w:val="22"/>
          <w:szCs w:val="22"/>
        </w:rPr>
      </w:pPr>
      <w:r>
        <w:rPr>
          <w:sz w:val="22"/>
          <w:szCs w:val="22"/>
        </w:rPr>
        <w:tab/>
      </w:r>
      <w:r>
        <w:rPr>
          <w:sz w:val="22"/>
          <w:szCs w:val="22"/>
        </w:rPr>
        <w:tab/>
      </w:r>
      <w:r>
        <w:rPr>
          <w:sz w:val="22"/>
          <w:szCs w:val="22"/>
        </w:rPr>
        <w:tab/>
      </w:r>
      <w:r>
        <w:rPr>
          <w:sz w:val="22"/>
          <w:szCs w:val="22"/>
        </w:rPr>
        <w:tab/>
        <w:t>Media Bureau</w:t>
      </w:r>
    </w:p>
    <w:p w:rsidR="00631052" w14:paraId="4FB12CCE" w14:textId="043F0AA4">
      <w:pPr>
        <w:rPr>
          <w:sz w:val="22"/>
          <w:szCs w:val="22"/>
        </w:rPr>
      </w:pPr>
    </w:p>
    <w:p w:rsidR="00C8384E" w14:paraId="559474CD" w14:textId="09B51D6C">
      <w:pPr>
        <w:rPr>
          <w:sz w:val="22"/>
          <w:szCs w:val="22"/>
        </w:rPr>
      </w:pPr>
      <w:r>
        <w:rPr>
          <w:sz w:val="22"/>
          <w:szCs w:val="22"/>
        </w:rPr>
        <w:br w:type="page"/>
      </w:r>
    </w:p>
    <w:p w:rsidR="009B4A75" w14:paraId="04366C8A" w14:textId="77777777">
      <w:pPr>
        <w:rPr>
          <w:sz w:val="22"/>
          <w:szCs w:val="22"/>
        </w:rPr>
      </w:pPr>
    </w:p>
    <w:p w:rsidR="00631052" w:rsidRPr="00631052" w:rsidP="00631052" w14:paraId="65D1738A" w14:textId="77777777">
      <w:pPr>
        <w:jc w:val="center"/>
        <w:rPr>
          <w:b/>
          <w:snapToGrid w:val="0"/>
          <w:kern w:val="28"/>
          <w:sz w:val="22"/>
          <w:u w:val="single"/>
        </w:rPr>
      </w:pPr>
      <w:r w:rsidRPr="00631052">
        <w:rPr>
          <w:b/>
          <w:snapToGrid w:val="0"/>
          <w:kern w:val="28"/>
          <w:sz w:val="22"/>
          <w:u w:val="single"/>
        </w:rPr>
        <w:t>Attachment</w:t>
      </w:r>
    </w:p>
    <w:p w:rsidR="00631052" w:rsidRPr="00631052" w:rsidP="00631052" w14:paraId="2F4A7483" w14:textId="77777777">
      <w:pPr>
        <w:jc w:val="center"/>
        <w:rPr>
          <w:b/>
          <w:snapToGrid w:val="0"/>
          <w:kern w:val="28"/>
          <w:sz w:val="22"/>
        </w:rPr>
      </w:pPr>
    </w:p>
    <w:p w:rsidR="00631052" w:rsidRPr="00631052" w:rsidP="00631052" w14:paraId="56649756" w14:textId="77777777">
      <w:pPr>
        <w:jc w:val="center"/>
        <w:rPr>
          <w:b/>
          <w:snapToGrid w:val="0"/>
          <w:kern w:val="28"/>
          <w:sz w:val="22"/>
        </w:rPr>
      </w:pPr>
      <w:r w:rsidRPr="00631052">
        <w:rPr>
          <w:b/>
          <w:snapToGrid w:val="0"/>
          <w:kern w:val="28"/>
          <w:sz w:val="22"/>
        </w:rPr>
        <w:t>Proposed License Assignment from Gray Television Licensee, LLC to</w:t>
      </w:r>
    </w:p>
    <w:p w:rsidR="00631052" w:rsidRPr="00631052" w:rsidP="00631052" w14:paraId="6C0E9E99" w14:textId="77777777">
      <w:pPr>
        <w:jc w:val="center"/>
        <w:rPr>
          <w:b/>
          <w:snapToGrid w:val="0"/>
          <w:kern w:val="28"/>
          <w:sz w:val="22"/>
        </w:rPr>
      </w:pPr>
      <w:r w:rsidRPr="00631052">
        <w:rPr>
          <w:b/>
          <w:snapToGrid w:val="0"/>
          <w:kern w:val="28"/>
          <w:sz w:val="22"/>
        </w:rPr>
        <w:t>ION Television License, LLC</w:t>
      </w:r>
    </w:p>
    <w:p w:rsidR="00631052" w:rsidRPr="00631052" w:rsidP="00631052" w14:paraId="07E7440E" w14:textId="77777777">
      <w:pPr>
        <w:rPr>
          <w:b/>
          <w:snapToGrid w:val="0"/>
          <w:kern w:val="28"/>
          <w:sz w:val="22"/>
        </w:rPr>
      </w:pPr>
    </w:p>
    <w:tbl>
      <w:tblPr>
        <w:tblW w:w="7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5"/>
        <w:gridCol w:w="990"/>
        <w:gridCol w:w="1980"/>
        <w:gridCol w:w="2617"/>
      </w:tblGrid>
      <w:tr w14:paraId="2E681741" w14:textId="77777777" w:rsidTr="00A51168">
        <w:tblPrEx>
          <w:tblW w:w="7112" w:type="dxa"/>
          <w:tblLayout w:type="fixed"/>
          <w:tblLook w:val="04A0"/>
        </w:tblPrEx>
        <w:tc>
          <w:tcPr>
            <w:tcW w:w="1525" w:type="dxa"/>
          </w:tcPr>
          <w:p w:rsidR="00631052" w:rsidRPr="00631052" w:rsidP="00631052" w14:paraId="4E2A72ED" w14:textId="77777777">
            <w:pPr>
              <w:rPr>
                <w:b/>
                <w:snapToGrid w:val="0"/>
                <w:kern w:val="28"/>
                <w:sz w:val="22"/>
              </w:rPr>
            </w:pPr>
            <w:r w:rsidRPr="00631052">
              <w:rPr>
                <w:b/>
                <w:snapToGrid w:val="0"/>
                <w:kern w:val="28"/>
                <w:sz w:val="22"/>
              </w:rPr>
              <w:t>Call Sign</w:t>
            </w:r>
          </w:p>
        </w:tc>
        <w:tc>
          <w:tcPr>
            <w:tcW w:w="990" w:type="dxa"/>
          </w:tcPr>
          <w:p w:rsidR="00631052" w:rsidRPr="00631052" w:rsidP="00631052" w14:paraId="4D87BD85" w14:textId="77777777">
            <w:pPr>
              <w:rPr>
                <w:b/>
                <w:snapToGrid w:val="0"/>
                <w:kern w:val="28"/>
                <w:sz w:val="22"/>
              </w:rPr>
            </w:pPr>
            <w:r w:rsidRPr="00631052">
              <w:rPr>
                <w:b/>
                <w:snapToGrid w:val="0"/>
                <w:kern w:val="28"/>
                <w:sz w:val="22"/>
              </w:rPr>
              <w:t>Facility ID No.</w:t>
            </w:r>
          </w:p>
        </w:tc>
        <w:tc>
          <w:tcPr>
            <w:tcW w:w="1980" w:type="dxa"/>
          </w:tcPr>
          <w:p w:rsidR="00631052" w:rsidRPr="00631052" w:rsidP="00631052" w14:paraId="6B7E85D5" w14:textId="77777777">
            <w:pPr>
              <w:rPr>
                <w:b/>
                <w:snapToGrid w:val="0"/>
                <w:kern w:val="28"/>
                <w:sz w:val="22"/>
              </w:rPr>
            </w:pPr>
            <w:r w:rsidRPr="00631052">
              <w:rPr>
                <w:b/>
                <w:snapToGrid w:val="0"/>
                <w:kern w:val="28"/>
                <w:sz w:val="22"/>
              </w:rPr>
              <w:t>LMS File No.</w:t>
            </w:r>
          </w:p>
        </w:tc>
        <w:tc>
          <w:tcPr>
            <w:tcW w:w="2617" w:type="dxa"/>
          </w:tcPr>
          <w:p w:rsidR="00631052" w:rsidRPr="00631052" w:rsidP="00631052" w14:paraId="6FE13982" w14:textId="77777777">
            <w:pPr>
              <w:rPr>
                <w:b/>
                <w:snapToGrid w:val="0"/>
                <w:kern w:val="28"/>
                <w:sz w:val="22"/>
              </w:rPr>
            </w:pPr>
            <w:r w:rsidRPr="00631052">
              <w:rPr>
                <w:b/>
                <w:snapToGrid w:val="0"/>
                <w:kern w:val="28"/>
                <w:sz w:val="22"/>
              </w:rPr>
              <w:t>Community of License</w:t>
            </w:r>
          </w:p>
        </w:tc>
      </w:tr>
      <w:tr w14:paraId="308E99A6" w14:textId="77777777" w:rsidTr="00A51168">
        <w:tblPrEx>
          <w:tblW w:w="7112" w:type="dxa"/>
          <w:tblLayout w:type="fixed"/>
          <w:tblLook w:val="04A0"/>
        </w:tblPrEx>
        <w:tc>
          <w:tcPr>
            <w:tcW w:w="1525" w:type="dxa"/>
            <w:vAlign w:val="center"/>
          </w:tcPr>
          <w:p w:rsidR="00631052" w:rsidRPr="00631052" w:rsidP="00631052" w14:paraId="6A50E929" w14:textId="77777777">
            <w:pPr>
              <w:rPr>
                <w:snapToGrid w:val="0"/>
                <w:kern w:val="28"/>
                <w:sz w:val="22"/>
              </w:rPr>
            </w:pPr>
            <w:r w:rsidRPr="00631052">
              <w:rPr>
                <w:snapToGrid w:val="0"/>
                <w:kern w:val="28"/>
                <w:sz w:val="22"/>
              </w:rPr>
              <w:t>KKTV</w:t>
            </w:r>
          </w:p>
        </w:tc>
        <w:tc>
          <w:tcPr>
            <w:tcW w:w="990" w:type="dxa"/>
            <w:vAlign w:val="center"/>
          </w:tcPr>
          <w:p w:rsidR="00631052" w:rsidRPr="00631052" w:rsidP="00631052" w14:paraId="3D0DADD9" w14:textId="77777777">
            <w:pPr>
              <w:rPr>
                <w:snapToGrid w:val="0"/>
                <w:kern w:val="28"/>
                <w:sz w:val="22"/>
              </w:rPr>
            </w:pPr>
            <w:r w:rsidRPr="00631052">
              <w:rPr>
                <w:snapToGrid w:val="0"/>
                <w:kern w:val="28"/>
                <w:sz w:val="22"/>
              </w:rPr>
              <w:t>35037</w:t>
            </w:r>
          </w:p>
        </w:tc>
        <w:tc>
          <w:tcPr>
            <w:tcW w:w="1980" w:type="dxa"/>
            <w:vAlign w:val="center"/>
          </w:tcPr>
          <w:p w:rsidR="00631052" w:rsidRPr="00631052" w:rsidP="00631052" w14:paraId="50D34382" w14:textId="77777777">
            <w:pPr>
              <w:rPr>
                <w:snapToGrid w:val="0"/>
                <w:kern w:val="28"/>
                <w:sz w:val="22"/>
              </w:rPr>
            </w:pPr>
            <w:r w:rsidRPr="00631052">
              <w:rPr>
                <w:snapToGrid w:val="0"/>
                <w:kern w:val="28"/>
                <w:sz w:val="22"/>
              </w:rPr>
              <w:t>0000275451</w:t>
            </w:r>
          </w:p>
        </w:tc>
        <w:tc>
          <w:tcPr>
            <w:tcW w:w="2617" w:type="dxa"/>
            <w:vAlign w:val="center"/>
          </w:tcPr>
          <w:p w:rsidR="00631052" w:rsidRPr="00631052" w:rsidP="00631052" w14:paraId="53D1BEB9" w14:textId="77777777">
            <w:pPr>
              <w:rPr>
                <w:snapToGrid w:val="0"/>
                <w:kern w:val="28"/>
                <w:sz w:val="22"/>
              </w:rPr>
            </w:pPr>
            <w:r w:rsidRPr="00631052">
              <w:rPr>
                <w:snapToGrid w:val="0"/>
                <w:kern w:val="28"/>
                <w:sz w:val="22"/>
              </w:rPr>
              <w:t>COLORADO SPRINGS, CO</w:t>
            </w:r>
          </w:p>
        </w:tc>
      </w:tr>
      <w:tr w14:paraId="5F1E8C70" w14:textId="77777777" w:rsidTr="00A51168">
        <w:tblPrEx>
          <w:tblW w:w="7112" w:type="dxa"/>
          <w:tblLayout w:type="fixed"/>
          <w:tblLook w:val="04A0"/>
        </w:tblPrEx>
        <w:tc>
          <w:tcPr>
            <w:tcW w:w="1525" w:type="dxa"/>
            <w:vAlign w:val="center"/>
          </w:tcPr>
          <w:p w:rsidR="00631052" w:rsidRPr="00631052" w:rsidP="00631052" w14:paraId="69A931FF" w14:textId="77777777">
            <w:pPr>
              <w:rPr>
                <w:snapToGrid w:val="0"/>
                <w:kern w:val="28"/>
                <w:sz w:val="22"/>
              </w:rPr>
            </w:pPr>
            <w:r w:rsidRPr="00631052">
              <w:rPr>
                <w:snapToGrid w:val="0"/>
                <w:kern w:val="28"/>
                <w:sz w:val="22"/>
              </w:rPr>
              <w:t>K30QH-D</w:t>
            </w:r>
          </w:p>
        </w:tc>
        <w:tc>
          <w:tcPr>
            <w:tcW w:w="990" w:type="dxa"/>
            <w:vAlign w:val="center"/>
          </w:tcPr>
          <w:p w:rsidR="00631052" w:rsidRPr="00631052" w:rsidP="00631052" w14:paraId="1AEFE26C" w14:textId="77777777">
            <w:pPr>
              <w:rPr>
                <w:snapToGrid w:val="0"/>
                <w:kern w:val="28"/>
                <w:sz w:val="22"/>
              </w:rPr>
            </w:pPr>
            <w:r w:rsidRPr="00631052">
              <w:rPr>
                <w:snapToGrid w:val="0"/>
                <w:kern w:val="28"/>
                <w:sz w:val="22"/>
              </w:rPr>
              <w:t>167733</w:t>
            </w:r>
          </w:p>
        </w:tc>
        <w:tc>
          <w:tcPr>
            <w:tcW w:w="1980" w:type="dxa"/>
            <w:vAlign w:val="center"/>
          </w:tcPr>
          <w:p w:rsidR="00631052" w:rsidRPr="00631052" w:rsidP="00631052" w14:paraId="7FCE1A74" w14:textId="77777777">
            <w:pPr>
              <w:rPr>
                <w:snapToGrid w:val="0"/>
                <w:kern w:val="28"/>
                <w:sz w:val="22"/>
              </w:rPr>
            </w:pPr>
            <w:r w:rsidRPr="00631052">
              <w:rPr>
                <w:snapToGrid w:val="0"/>
                <w:kern w:val="28"/>
                <w:sz w:val="22"/>
              </w:rPr>
              <w:t>0000275452</w:t>
            </w:r>
          </w:p>
        </w:tc>
        <w:tc>
          <w:tcPr>
            <w:tcW w:w="2617" w:type="dxa"/>
            <w:vAlign w:val="center"/>
          </w:tcPr>
          <w:p w:rsidR="00631052" w:rsidRPr="00631052" w:rsidP="00631052" w14:paraId="20D9D073" w14:textId="77777777">
            <w:pPr>
              <w:rPr>
                <w:snapToGrid w:val="0"/>
                <w:kern w:val="28"/>
                <w:sz w:val="22"/>
              </w:rPr>
            </w:pPr>
            <w:r w:rsidRPr="00631052">
              <w:rPr>
                <w:snapToGrid w:val="0"/>
                <w:kern w:val="28"/>
                <w:sz w:val="22"/>
              </w:rPr>
              <w:t>BURLEY, ETC., ID</w:t>
            </w:r>
          </w:p>
        </w:tc>
      </w:tr>
      <w:tr w14:paraId="17877FB7" w14:textId="77777777" w:rsidTr="00A51168">
        <w:tblPrEx>
          <w:tblW w:w="7112" w:type="dxa"/>
          <w:tblLayout w:type="fixed"/>
          <w:tblLook w:val="04A0"/>
        </w:tblPrEx>
        <w:tc>
          <w:tcPr>
            <w:tcW w:w="1525" w:type="dxa"/>
            <w:vAlign w:val="center"/>
          </w:tcPr>
          <w:p w:rsidR="00631052" w:rsidRPr="00631052" w:rsidP="00631052" w14:paraId="31FE9B86" w14:textId="77777777">
            <w:pPr>
              <w:rPr>
                <w:snapToGrid w:val="0"/>
                <w:kern w:val="28"/>
                <w:sz w:val="22"/>
              </w:rPr>
            </w:pPr>
            <w:r w:rsidRPr="00631052">
              <w:rPr>
                <w:snapToGrid w:val="0"/>
                <w:kern w:val="28"/>
                <w:sz w:val="22"/>
              </w:rPr>
              <w:t>K13ZI-D</w:t>
            </w:r>
          </w:p>
        </w:tc>
        <w:tc>
          <w:tcPr>
            <w:tcW w:w="990" w:type="dxa"/>
            <w:vAlign w:val="center"/>
          </w:tcPr>
          <w:p w:rsidR="00631052" w:rsidRPr="00631052" w:rsidP="00631052" w14:paraId="0FA140AB" w14:textId="77777777">
            <w:pPr>
              <w:rPr>
                <w:snapToGrid w:val="0"/>
                <w:kern w:val="28"/>
                <w:sz w:val="22"/>
              </w:rPr>
            </w:pPr>
            <w:r w:rsidRPr="00631052">
              <w:rPr>
                <w:snapToGrid w:val="0"/>
                <w:kern w:val="28"/>
                <w:sz w:val="22"/>
              </w:rPr>
              <w:t>35036</w:t>
            </w:r>
          </w:p>
        </w:tc>
        <w:tc>
          <w:tcPr>
            <w:tcW w:w="1980" w:type="dxa"/>
            <w:vAlign w:val="center"/>
          </w:tcPr>
          <w:p w:rsidR="00631052" w:rsidRPr="00631052" w:rsidP="00631052" w14:paraId="383AA38F" w14:textId="77777777">
            <w:pPr>
              <w:rPr>
                <w:snapToGrid w:val="0"/>
                <w:kern w:val="28"/>
                <w:sz w:val="22"/>
              </w:rPr>
            </w:pPr>
            <w:r w:rsidRPr="00631052">
              <w:rPr>
                <w:snapToGrid w:val="0"/>
                <w:kern w:val="28"/>
                <w:sz w:val="22"/>
              </w:rPr>
              <w:t>0000275453</w:t>
            </w:r>
          </w:p>
        </w:tc>
        <w:tc>
          <w:tcPr>
            <w:tcW w:w="2617" w:type="dxa"/>
            <w:vAlign w:val="center"/>
          </w:tcPr>
          <w:p w:rsidR="00631052" w:rsidRPr="00631052" w:rsidP="00631052" w14:paraId="3CA16AB5" w14:textId="77777777">
            <w:pPr>
              <w:rPr>
                <w:snapToGrid w:val="0"/>
                <w:kern w:val="28"/>
                <w:sz w:val="22"/>
              </w:rPr>
            </w:pPr>
            <w:r w:rsidRPr="00631052">
              <w:rPr>
                <w:snapToGrid w:val="0"/>
                <w:kern w:val="28"/>
                <w:sz w:val="22"/>
              </w:rPr>
              <w:t>COLORADO SPRINGS, CO</w:t>
            </w:r>
          </w:p>
        </w:tc>
      </w:tr>
      <w:tr w14:paraId="4BD56094" w14:textId="77777777" w:rsidTr="00A51168">
        <w:tblPrEx>
          <w:tblW w:w="7112" w:type="dxa"/>
          <w:tblLayout w:type="fixed"/>
          <w:tblLook w:val="04A0"/>
        </w:tblPrEx>
        <w:tc>
          <w:tcPr>
            <w:tcW w:w="1525" w:type="dxa"/>
            <w:vAlign w:val="center"/>
          </w:tcPr>
          <w:p w:rsidR="00631052" w:rsidRPr="00631052" w:rsidP="00631052" w14:paraId="443B60C7" w14:textId="77777777">
            <w:pPr>
              <w:rPr>
                <w:snapToGrid w:val="0"/>
                <w:kern w:val="28"/>
                <w:sz w:val="22"/>
              </w:rPr>
            </w:pPr>
            <w:r w:rsidRPr="00631052">
              <w:rPr>
                <w:snapToGrid w:val="0"/>
                <w:kern w:val="28"/>
                <w:sz w:val="22"/>
              </w:rPr>
              <w:t>KMVT</w:t>
            </w:r>
          </w:p>
        </w:tc>
        <w:tc>
          <w:tcPr>
            <w:tcW w:w="990" w:type="dxa"/>
            <w:vAlign w:val="center"/>
          </w:tcPr>
          <w:p w:rsidR="00631052" w:rsidRPr="00631052" w:rsidP="00631052" w14:paraId="34FC8F34" w14:textId="77777777">
            <w:pPr>
              <w:rPr>
                <w:snapToGrid w:val="0"/>
                <w:kern w:val="28"/>
                <w:sz w:val="22"/>
              </w:rPr>
            </w:pPr>
            <w:r w:rsidRPr="00631052">
              <w:rPr>
                <w:snapToGrid w:val="0"/>
                <w:kern w:val="28"/>
                <w:sz w:val="22"/>
              </w:rPr>
              <w:t>35200</w:t>
            </w:r>
          </w:p>
        </w:tc>
        <w:tc>
          <w:tcPr>
            <w:tcW w:w="1980" w:type="dxa"/>
            <w:vAlign w:val="center"/>
          </w:tcPr>
          <w:p w:rsidR="00631052" w:rsidRPr="00631052" w:rsidP="00631052" w14:paraId="580EA0B8" w14:textId="77777777">
            <w:pPr>
              <w:rPr>
                <w:snapToGrid w:val="0"/>
                <w:kern w:val="28"/>
                <w:sz w:val="22"/>
              </w:rPr>
            </w:pPr>
            <w:r w:rsidRPr="00631052">
              <w:rPr>
                <w:snapToGrid w:val="0"/>
                <w:kern w:val="28"/>
                <w:sz w:val="22"/>
              </w:rPr>
              <w:t>0000275454</w:t>
            </w:r>
          </w:p>
        </w:tc>
        <w:tc>
          <w:tcPr>
            <w:tcW w:w="2617" w:type="dxa"/>
            <w:vAlign w:val="center"/>
          </w:tcPr>
          <w:p w:rsidR="00631052" w:rsidRPr="00631052" w:rsidP="00631052" w14:paraId="4438A316" w14:textId="77777777">
            <w:pPr>
              <w:rPr>
                <w:snapToGrid w:val="0"/>
                <w:kern w:val="28"/>
                <w:sz w:val="22"/>
              </w:rPr>
            </w:pPr>
            <w:r w:rsidRPr="00631052">
              <w:rPr>
                <w:snapToGrid w:val="0"/>
                <w:kern w:val="28"/>
                <w:sz w:val="22"/>
              </w:rPr>
              <w:t>TWIN FALLS, ID</w:t>
            </w:r>
          </w:p>
        </w:tc>
      </w:tr>
      <w:tr w14:paraId="13CE6385" w14:textId="77777777" w:rsidTr="00A51168">
        <w:tblPrEx>
          <w:tblW w:w="7112" w:type="dxa"/>
          <w:tblLayout w:type="fixed"/>
          <w:tblLook w:val="04A0"/>
        </w:tblPrEx>
        <w:tc>
          <w:tcPr>
            <w:tcW w:w="1525" w:type="dxa"/>
            <w:vAlign w:val="center"/>
          </w:tcPr>
          <w:p w:rsidR="00631052" w:rsidRPr="00631052" w:rsidP="00631052" w14:paraId="53E6E295" w14:textId="77777777">
            <w:pPr>
              <w:rPr>
                <w:snapToGrid w:val="0"/>
                <w:kern w:val="28"/>
                <w:sz w:val="22"/>
              </w:rPr>
            </w:pPr>
            <w:r w:rsidRPr="00631052">
              <w:rPr>
                <w:snapToGrid w:val="0"/>
                <w:kern w:val="28"/>
                <w:sz w:val="22"/>
              </w:rPr>
              <w:t>K32OG-D</w:t>
            </w:r>
          </w:p>
        </w:tc>
        <w:tc>
          <w:tcPr>
            <w:tcW w:w="990" w:type="dxa"/>
            <w:vAlign w:val="center"/>
          </w:tcPr>
          <w:p w:rsidR="00631052" w:rsidRPr="00631052" w:rsidP="00631052" w14:paraId="5B8F5FA5" w14:textId="77777777">
            <w:pPr>
              <w:rPr>
                <w:snapToGrid w:val="0"/>
                <w:kern w:val="28"/>
                <w:sz w:val="22"/>
              </w:rPr>
            </w:pPr>
            <w:r w:rsidRPr="00631052">
              <w:rPr>
                <w:snapToGrid w:val="0"/>
                <w:kern w:val="28"/>
                <w:sz w:val="22"/>
              </w:rPr>
              <w:t>185447</w:t>
            </w:r>
          </w:p>
        </w:tc>
        <w:tc>
          <w:tcPr>
            <w:tcW w:w="1980" w:type="dxa"/>
            <w:vAlign w:val="center"/>
          </w:tcPr>
          <w:p w:rsidR="00631052" w:rsidRPr="00631052" w:rsidP="00631052" w14:paraId="26551DE7" w14:textId="77777777">
            <w:pPr>
              <w:rPr>
                <w:snapToGrid w:val="0"/>
                <w:kern w:val="28"/>
                <w:sz w:val="22"/>
              </w:rPr>
            </w:pPr>
            <w:r w:rsidRPr="00631052">
              <w:rPr>
                <w:snapToGrid w:val="0"/>
                <w:kern w:val="28"/>
                <w:sz w:val="22"/>
              </w:rPr>
              <w:t>0000275455</w:t>
            </w:r>
          </w:p>
        </w:tc>
        <w:tc>
          <w:tcPr>
            <w:tcW w:w="2617" w:type="dxa"/>
            <w:vAlign w:val="center"/>
          </w:tcPr>
          <w:p w:rsidR="00631052" w:rsidRPr="00631052" w:rsidP="00631052" w14:paraId="2A68DC0B" w14:textId="77777777">
            <w:pPr>
              <w:rPr>
                <w:snapToGrid w:val="0"/>
                <w:kern w:val="28"/>
                <w:sz w:val="22"/>
              </w:rPr>
            </w:pPr>
            <w:r w:rsidRPr="00631052">
              <w:rPr>
                <w:snapToGrid w:val="0"/>
                <w:kern w:val="28"/>
                <w:sz w:val="22"/>
              </w:rPr>
              <w:t>PUEBLO, CO</w:t>
            </w:r>
          </w:p>
        </w:tc>
      </w:tr>
      <w:tr w14:paraId="6450C370" w14:textId="77777777" w:rsidTr="00A51168">
        <w:tblPrEx>
          <w:tblW w:w="7112" w:type="dxa"/>
          <w:tblLayout w:type="fixed"/>
          <w:tblLook w:val="04A0"/>
        </w:tblPrEx>
        <w:tc>
          <w:tcPr>
            <w:tcW w:w="1525" w:type="dxa"/>
            <w:vAlign w:val="center"/>
          </w:tcPr>
          <w:p w:rsidR="00631052" w:rsidRPr="00631052" w:rsidP="00631052" w14:paraId="6FCCB0C4" w14:textId="77777777">
            <w:pPr>
              <w:rPr>
                <w:snapToGrid w:val="0"/>
                <w:kern w:val="28"/>
                <w:sz w:val="22"/>
              </w:rPr>
            </w:pPr>
            <w:r w:rsidRPr="00631052">
              <w:rPr>
                <w:snapToGrid w:val="0"/>
                <w:kern w:val="28"/>
                <w:sz w:val="22"/>
              </w:rPr>
              <w:t>KKCO</w:t>
            </w:r>
          </w:p>
        </w:tc>
        <w:tc>
          <w:tcPr>
            <w:tcW w:w="990" w:type="dxa"/>
            <w:vAlign w:val="center"/>
          </w:tcPr>
          <w:p w:rsidR="00631052" w:rsidRPr="00631052" w:rsidP="00631052" w14:paraId="1AA64C09" w14:textId="77777777">
            <w:pPr>
              <w:rPr>
                <w:snapToGrid w:val="0"/>
                <w:kern w:val="28"/>
                <w:sz w:val="22"/>
              </w:rPr>
            </w:pPr>
            <w:r w:rsidRPr="00631052">
              <w:rPr>
                <w:snapToGrid w:val="0"/>
                <w:kern w:val="28"/>
                <w:sz w:val="22"/>
              </w:rPr>
              <w:t>24766</w:t>
            </w:r>
          </w:p>
        </w:tc>
        <w:tc>
          <w:tcPr>
            <w:tcW w:w="1980" w:type="dxa"/>
            <w:vAlign w:val="center"/>
          </w:tcPr>
          <w:p w:rsidR="00631052" w:rsidRPr="00631052" w:rsidP="00631052" w14:paraId="78BFC06B" w14:textId="77777777">
            <w:pPr>
              <w:rPr>
                <w:snapToGrid w:val="0"/>
                <w:kern w:val="28"/>
                <w:sz w:val="22"/>
              </w:rPr>
            </w:pPr>
            <w:r w:rsidRPr="00631052">
              <w:rPr>
                <w:snapToGrid w:val="0"/>
                <w:kern w:val="28"/>
                <w:sz w:val="22"/>
              </w:rPr>
              <w:t>0000275456</w:t>
            </w:r>
          </w:p>
        </w:tc>
        <w:tc>
          <w:tcPr>
            <w:tcW w:w="2617" w:type="dxa"/>
            <w:vAlign w:val="center"/>
          </w:tcPr>
          <w:p w:rsidR="00631052" w:rsidRPr="00631052" w:rsidP="00631052" w14:paraId="6F45D030" w14:textId="77777777">
            <w:pPr>
              <w:rPr>
                <w:snapToGrid w:val="0"/>
                <w:kern w:val="28"/>
                <w:sz w:val="22"/>
              </w:rPr>
            </w:pPr>
            <w:r w:rsidRPr="00631052">
              <w:rPr>
                <w:snapToGrid w:val="0"/>
                <w:kern w:val="28"/>
                <w:sz w:val="22"/>
              </w:rPr>
              <w:t>GRAND JUNCTION, CO</w:t>
            </w:r>
          </w:p>
        </w:tc>
      </w:tr>
      <w:tr w14:paraId="1C02C6F5" w14:textId="77777777" w:rsidTr="00A51168">
        <w:tblPrEx>
          <w:tblW w:w="7112" w:type="dxa"/>
          <w:tblLayout w:type="fixed"/>
          <w:tblLook w:val="04A0"/>
        </w:tblPrEx>
        <w:tc>
          <w:tcPr>
            <w:tcW w:w="1525" w:type="dxa"/>
            <w:vAlign w:val="center"/>
          </w:tcPr>
          <w:p w:rsidR="00631052" w:rsidRPr="00631052" w:rsidP="00631052" w14:paraId="09667F3A" w14:textId="77777777">
            <w:pPr>
              <w:rPr>
                <w:snapToGrid w:val="0"/>
                <w:kern w:val="28"/>
                <w:sz w:val="22"/>
              </w:rPr>
            </w:pPr>
            <w:r w:rsidRPr="00631052">
              <w:rPr>
                <w:snapToGrid w:val="0"/>
                <w:kern w:val="28"/>
                <w:sz w:val="22"/>
              </w:rPr>
              <w:t>K19NE-D</w:t>
            </w:r>
          </w:p>
        </w:tc>
        <w:tc>
          <w:tcPr>
            <w:tcW w:w="990" w:type="dxa"/>
            <w:vAlign w:val="center"/>
          </w:tcPr>
          <w:p w:rsidR="00631052" w:rsidRPr="00631052" w:rsidP="00631052" w14:paraId="3C2B77E3" w14:textId="77777777">
            <w:pPr>
              <w:rPr>
                <w:snapToGrid w:val="0"/>
                <w:kern w:val="28"/>
                <w:sz w:val="22"/>
              </w:rPr>
            </w:pPr>
            <w:r w:rsidRPr="00631052">
              <w:rPr>
                <w:snapToGrid w:val="0"/>
                <w:kern w:val="28"/>
                <w:sz w:val="22"/>
              </w:rPr>
              <w:t>186350</w:t>
            </w:r>
          </w:p>
        </w:tc>
        <w:tc>
          <w:tcPr>
            <w:tcW w:w="1980" w:type="dxa"/>
            <w:vAlign w:val="center"/>
          </w:tcPr>
          <w:p w:rsidR="00631052" w:rsidRPr="00631052" w:rsidP="00631052" w14:paraId="6AA3128F" w14:textId="77777777">
            <w:pPr>
              <w:rPr>
                <w:snapToGrid w:val="0"/>
                <w:kern w:val="28"/>
                <w:sz w:val="22"/>
              </w:rPr>
            </w:pPr>
            <w:r w:rsidRPr="00631052">
              <w:rPr>
                <w:snapToGrid w:val="0"/>
                <w:kern w:val="28"/>
                <w:sz w:val="22"/>
              </w:rPr>
              <w:t>0000275457</w:t>
            </w:r>
          </w:p>
        </w:tc>
        <w:tc>
          <w:tcPr>
            <w:tcW w:w="2617" w:type="dxa"/>
            <w:vAlign w:val="center"/>
          </w:tcPr>
          <w:p w:rsidR="00631052" w:rsidRPr="00631052" w:rsidP="00631052" w14:paraId="0D0BE2A7" w14:textId="77777777">
            <w:pPr>
              <w:rPr>
                <w:snapToGrid w:val="0"/>
                <w:kern w:val="28"/>
                <w:sz w:val="22"/>
              </w:rPr>
            </w:pPr>
            <w:r w:rsidRPr="00631052">
              <w:rPr>
                <w:snapToGrid w:val="0"/>
                <w:kern w:val="28"/>
                <w:sz w:val="22"/>
              </w:rPr>
              <w:t>GATEWAY, CO</w:t>
            </w:r>
          </w:p>
        </w:tc>
      </w:tr>
      <w:tr w14:paraId="2F9D87BA" w14:textId="77777777" w:rsidTr="00A51168">
        <w:tblPrEx>
          <w:tblW w:w="7112" w:type="dxa"/>
          <w:tblLayout w:type="fixed"/>
          <w:tblLook w:val="04A0"/>
        </w:tblPrEx>
        <w:tc>
          <w:tcPr>
            <w:tcW w:w="1525" w:type="dxa"/>
            <w:vAlign w:val="center"/>
          </w:tcPr>
          <w:p w:rsidR="00631052" w:rsidRPr="00631052" w:rsidP="00631052" w14:paraId="319777E0" w14:textId="77777777">
            <w:pPr>
              <w:rPr>
                <w:snapToGrid w:val="0"/>
                <w:kern w:val="28"/>
                <w:sz w:val="22"/>
              </w:rPr>
            </w:pPr>
            <w:r w:rsidRPr="00631052">
              <w:rPr>
                <w:snapToGrid w:val="0"/>
                <w:kern w:val="28"/>
                <w:sz w:val="22"/>
              </w:rPr>
              <w:t>K25FZ-D</w:t>
            </w:r>
          </w:p>
        </w:tc>
        <w:tc>
          <w:tcPr>
            <w:tcW w:w="990" w:type="dxa"/>
            <w:vAlign w:val="center"/>
          </w:tcPr>
          <w:p w:rsidR="00631052" w:rsidRPr="00631052" w:rsidP="00631052" w14:paraId="1ADEA22C" w14:textId="77777777">
            <w:pPr>
              <w:rPr>
                <w:snapToGrid w:val="0"/>
                <w:kern w:val="28"/>
                <w:sz w:val="22"/>
              </w:rPr>
            </w:pPr>
            <w:r w:rsidRPr="00631052">
              <w:rPr>
                <w:snapToGrid w:val="0"/>
                <w:kern w:val="28"/>
                <w:sz w:val="22"/>
              </w:rPr>
              <w:t>70103</w:t>
            </w:r>
          </w:p>
        </w:tc>
        <w:tc>
          <w:tcPr>
            <w:tcW w:w="1980" w:type="dxa"/>
            <w:vAlign w:val="center"/>
          </w:tcPr>
          <w:p w:rsidR="00631052" w:rsidRPr="00631052" w:rsidP="00631052" w14:paraId="6A0024A2" w14:textId="77777777">
            <w:pPr>
              <w:rPr>
                <w:snapToGrid w:val="0"/>
                <w:kern w:val="28"/>
                <w:sz w:val="22"/>
              </w:rPr>
            </w:pPr>
            <w:r w:rsidRPr="00631052">
              <w:rPr>
                <w:snapToGrid w:val="0"/>
                <w:kern w:val="28"/>
                <w:sz w:val="22"/>
              </w:rPr>
              <w:t>0000275458</w:t>
            </w:r>
          </w:p>
        </w:tc>
        <w:tc>
          <w:tcPr>
            <w:tcW w:w="2617" w:type="dxa"/>
            <w:vAlign w:val="center"/>
          </w:tcPr>
          <w:p w:rsidR="00631052" w:rsidRPr="00631052" w:rsidP="00631052" w14:paraId="228A52F7" w14:textId="77777777">
            <w:pPr>
              <w:rPr>
                <w:snapToGrid w:val="0"/>
                <w:kern w:val="28"/>
                <w:sz w:val="22"/>
              </w:rPr>
            </w:pPr>
            <w:r w:rsidRPr="00631052">
              <w:rPr>
                <w:snapToGrid w:val="0"/>
                <w:kern w:val="28"/>
                <w:sz w:val="22"/>
              </w:rPr>
              <w:t>GRAND JUNCTION, CO</w:t>
            </w:r>
          </w:p>
        </w:tc>
      </w:tr>
      <w:tr w14:paraId="7ED63C14" w14:textId="77777777" w:rsidTr="00A51168">
        <w:tblPrEx>
          <w:tblW w:w="7112" w:type="dxa"/>
          <w:tblLayout w:type="fixed"/>
          <w:tblLook w:val="04A0"/>
        </w:tblPrEx>
        <w:tc>
          <w:tcPr>
            <w:tcW w:w="1525" w:type="dxa"/>
            <w:vAlign w:val="center"/>
          </w:tcPr>
          <w:p w:rsidR="00631052" w:rsidRPr="00631052" w:rsidP="00631052" w14:paraId="496CB4AD" w14:textId="77777777">
            <w:pPr>
              <w:rPr>
                <w:snapToGrid w:val="0"/>
                <w:kern w:val="28"/>
                <w:sz w:val="22"/>
              </w:rPr>
            </w:pPr>
            <w:r w:rsidRPr="00631052">
              <w:rPr>
                <w:snapToGrid w:val="0"/>
                <w:kern w:val="28"/>
                <w:sz w:val="22"/>
              </w:rPr>
              <w:t>K28AD-D</w:t>
            </w:r>
          </w:p>
        </w:tc>
        <w:tc>
          <w:tcPr>
            <w:tcW w:w="990" w:type="dxa"/>
            <w:vAlign w:val="center"/>
          </w:tcPr>
          <w:p w:rsidR="00631052" w:rsidRPr="00631052" w:rsidP="00631052" w14:paraId="6A5C1CF9" w14:textId="77777777">
            <w:pPr>
              <w:rPr>
                <w:snapToGrid w:val="0"/>
                <w:kern w:val="28"/>
                <w:sz w:val="22"/>
              </w:rPr>
            </w:pPr>
            <w:r w:rsidRPr="00631052">
              <w:rPr>
                <w:snapToGrid w:val="0"/>
                <w:kern w:val="28"/>
                <w:sz w:val="22"/>
              </w:rPr>
              <w:t>52575</w:t>
            </w:r>
          </w:p>
        </w:tc>
        <w:tc>
          <w:tcPr>
            <w:tcW w:w="1980" w:type="dxa"/>
            <w:vAlign w:val="center"/>
          </w:tcPr>
          <w:p w:rsidR="00631052" w:rsidRPr="00631052" w:rsidP="00631052" w14:paraId="6AD06B46" w14:textId="77777777">
            <w:pPr>
              <w:rPr>
                <w:snapToGrid w:val="0"/>
                <w:kern w:val="28"/>
                <w:sz w:val="22"/>
              </w:rPr>
            </w:pPr>
            <w:r w:rsidRPr="00631052">
              <w:rPr>
                <w:snapToGrid w:val="0"/>
                <w:kern w:val="28"/>
                <w:sz w:val="22"/>
              </w:rPr>
              <w:t>0000275459</w:t>
            </w:r>
          </w:p>
        </w:tc>
        <w:tc>
          <w:tcPr>
            <w:tcW w:w="2617" w:type="dxa"/>
            <w:vAlign w:val="center"/>
          </w:tcPr>
          <w:p w:rsidR="00631052" w:rsidRPr="00631052" w:rsidP="00631052" w14:paraId="58B04F12" w14:textId="77777777">
            <w:pPr>
              <w:rPr>
                <w:snapToGrid w:val="0"/>
                <w:kern w:val="28"/>
                <w:sz w:val="22"/>
              </w:rPr>
            </w:pPr>
            <w:r w:rsidRPr="00631052">
              <w:rPr>
                <w:snapToGrid w:val="0"/>
                <w:kern w:val="28"/>
                <w:sz w:val="22"/>
              </w:rPr>
              <w:t>MONTROSE, CO</w:t>
            </w:r>
          </w:p>
        </w:tc>
      </w:tr>
      <w:tr w14:paraId="58796838" w14:textId="77777777" w:rsidTr="00A51168">
        <w:tblPrEx>
          <w:tblW w:w="7112" w:type="dxa"/>
          <w:tblLayout w:type="fixed"/>
          <w:tblLook w:val="04A0"/>
        </w:tblPrEx>
        <w:tc>
          <w:tcPr>
            <w:tcW w:w="1525" w:type="dxa"/>
            <w:vAlign w:val="center"/>
          </w:tcPr>
          <w:p w:rsidR="00631052" w:rsidRPr="00631052" w:rsidP="00631052" w14:paraId="7BCBC399" w14:textId="77777777">
            <w:pPr>
              <w:rPr>
                <w:snapToGrid w:val="0"/>
                <w:kern w:val="28"/>
                <w:sz w:val="22"/>
              </w:rPr>
            </w:pPr>
            <w:r w:rsidRPr="00631052">
              <w:rPr>
                <w:snapToGrid w:val="0"/>
                <w:kern w:val="28"/>
                <w:sz w:val="22"/>
              </w:rPr>
              <w:t>KSVT-LD</w:t>
            </w:r>
          </w:p>
        </w:tc>
        <w:tc>
          <w:tcPr>
            <w:tcW w:w="990" w:type="dxa"/>
            <w:vAlign w:val="center"/>
          </w:tcPr>
          <w:p w:rsidR="00631052" w:rsidRPr="00631052" w:rsidP="00631052" w14:paraId="531BB9FE" w14:textId="77777777">
            <w:pPr>
              <w:rPr>
                <w:snapToGrid w:val="0"/>
                <w:kern w:val="28"/>
                <w:sz w:val="22"/>
              </w:rPr>
            </w:pPr>
            <w:r w:rsidRPr="00631052">
              <w:rPr>
                <w:snapToGrid w:val="0"/>
                <w:kern w:val="28"/>
                <w:sz w:val="22"/>
              </w:rPr>
              <w:t>167735</w:t>
            </w:r>
          </w:p>
        </w:tc>
        <w:tc>
          <w:tcPr>
            <w:tcW w:w="1980" w:type="dxa"/>
            <w:vAlign w:val="center"/>
          </w:tcPr>
          <w:p w:rsidR="00631052" w:rsidRPr="00631052" w:rsidP="00631052" w14:paraId="69BB3763" w14:textId="77777777">
            <w:pPr>
              <w:rPr>
                <w:snapToGrid w:val="0"/>
                <w:kern w:val="28"/>
                <w:sz w:val="22"/>
              </w:rPr>
            </w:pPr>
            <w:r w:rsidRPr="00631052">
              <w:rPr>
                <w:snapToGrid w:val="0"/>
                <w:kern w:val="28"/>
                <w:sz w:val="22"/>
              </w:rPr>
              <w:t>0000275460</w:t>
            </w:r>
          </w:p>
        </w:tc>
        <w:tc>
          <w:tcPr>
            <w:tcW w:w="2617" w:type="dxa"/>
            <w:vAlign w:val="center"/>
          </w:tcPr>
          <w:p w:rsidR="00631052" w:rsidRPr="00631052" w:rsidP="00631052" w14:paraId="4E48C34E" w14:textId="77777777">
            <w:pPr>
              <w:rPr>
                <w:snapToGrid w:val="0"/>
                <w:kern w:val="28"/>
                <w:sz w:val="22"/>
              </w:rPr>
            </w:pPr>
            <w:r w:rsidRPr="00631052">
              <w:rPr>
                <w:snapToGrid w:val="0"/>
                <w:kern w:val="28"/>
                <w:sz w:val="22"/>
              </w:rPr>
              <w:t>TWIN FALLS, ID</w:t>
            </w:r>
          </w:p>
        </w:tc>
      </w:tr>
      <w:tr w14:paraId="783A88DE" w14:textId="77777777" w:rsidTr="00A51168">
        <w:tblPrEx>
          <w:tblW w:w="7112" w:type="dxa"/>
          <w:tblLayout w:type="fixed"/>
          <w:tblLook w:val="04A0"/>
        </w:tblPrEx>
        <w:tc>
          <w:tcPr>
            <w:tcW w:w="1525" w:type="dxa"/>
            <w:vAlign w:val="center"/>
          </w:tcPr>
          <w:p w:rsidR="00631052" w:rsidRPr="00631052" w:rsidP="00631052" w14:paraId="44A000DD" w14:textId="77777777">
            <w:pPr>
              <w:rPr>
                <w:snapToGrid w:val="0"/>
                <w:kern w:val="28"/>
                <w:sz w:val="22"/>
              </w:rPr>
            </w:pPr>
            <w:r w:rsidRPr="00631052">
              <w:rPr>
                <w:snapToGrid w:val="0"/>
                <w:kern w:val="28"/>
                <w:sz w:val="22"/>
              </w:rPr>
              <w:t>KJCT-LP</w:t>
            </w:r>
          </w:p>
        </w:tc>
        <w:tc>
          <w:tcPr>
            <w:tcW w:w="990" w:type="dxa"/>
            <w:vAlign w:val="center"/>
          </w:tcPr>
          <w:p w:rsidR="00631052" w:rsidRPr="00631052" w:rsidP="00631052" w14:paraId="494DF3EE" w14:textId="77777777">
            <w:pPr>
              <w:rPr>
                <w:snapToGrid w:val="0"/>
                <w:kern w:val="28"/>
                <w:sz w:val="22"/>
              </w:rPr>
            </w:pPr>
            <w:r w:rsidRPr="00631052">
              <w:rPr>
                <w:snapToGrid w:val="0"/>
                <w:kern w:val="28"/>
                <w:sz w:val="22"/>
              </w:rPr>
              <w:t>128473</w:t>
            </w:r>
          </w:p>
        </w:tc>
        <w:tc>
          <w:tcPr>
            <w:tcW w:w="1980" w:type="dxa"/>
            <w:vAlign w:val="center"/>
          </w:tcPr>
          <w:p w:rsidR="00631052" w:rsidRPr="00631052" w:rsidP="00631052" w14:paraId="4E93BC8A" w14:textId="77777777">
            <w:pPr>
              <w:rPr>
                <w:snapToGrid w:val="0"/>
                <w:kern w:val="28"/>
                <w:sz w:val="22"/>
              </w:rPr>
            </w:pPr>
            <w:r w:rsidRPr="00631052">
              <w:rPr>
                <w:snapToGrid w:val="0"/>
                <w:kern w:val="28"/>
                <w:sz w:val="22"/>
              </w:rPr>
              <w:t>0000275461</w:t>
            </w:r>
          </w:p>
        </w:tc>
        <w:tc>
          <w:tcPr>
            <w:tcW w:w="2617" w:type="dxa"/>
            <w:vAlign w:val="center"/>
          </w:tcPr>
          <w:p w:rsidR="00631052" w:rsidRPr="00631052" w:rsidP="00631052" w14:paraId="14B4D420" w14:textId="77777777">
            <w:pPr>
              <w:rPr>
                <w:snapToGrid w:val="0"/>
                <w:kern w:val="28"/>
                <w:sz w:val="22"/>
              </w:rPr>
            </w:pPr>
            <w:r w:rsidRPr="00631052">
              <w:rPr>
                <w:snapToGrid w:val="0"/>
                <w:kern w:val="28"/>
                <w:sz w:val="22"/>
              </w:rPr>
              <w:t>GRAND JUNCTION, CO</w:t>
            </w:r>
          </w:p>
        </w:tc>
      </w:tr>
      <w:tr w14:paraId="11D225D7" w14:textId="77777777" w:rsidTr="00A51168">
        <w:tblPrEx>
          <w:tblW w:w="7112" w:type="dxa"/>
          <w:tblLayout w:type="fixed"/>
          <w:tblLook w:val="04A0"/>
        </w:tblPrEx>
        <w:tc>
          <w:tcPr>
            <w:tcW w:w="1525" w:type="dxa"/>
            <w:vAlign w:val="center"/>
          </w:tcPr>
          <w:p w:rsidR="00631052" w:rsidRPr="00631052" w:rsidP="00631052" w14:paraId="78A1A428" w14:textId="77777777">
            <w:pPr>
              <w:rPr>
                <w:snapToGrid w:val="0"/>
                <w:kern w:val="28"/>
                <w:sz w:val="22"/>
              </w:rPr>
            </w:pPr>
            <w:r w:rsidRPr="00631052">
              <w:rPr>
                <w:snapToGrid w:val="0"/>
                <w:kern w:val="28"/>
                <w:sz w:val="22"/>
              </w:rPr>
              <w:t>K23NW-D</w:t>
            </w:r>
          </w:p>
        </w:tc>
        <w:tc>
          <w:tcPr>
            <w:tcW w:w="990" w:type="dxa"/>
            <w:vAlign w:val="center"/>
          </w:tcPr>
          <w:p w:rsidR="00631052" w:rsidRPr="00631052" w:rsidP="00631052" w14:paraId="6C2387F1" w14:textId="77777777">
            <w:pPr>
              <w:rPr>
                <w:snapToGrid w:val="0"/>
                <w:kern w:val="28"/>
                <w:sz w:val="22"/>
              </w:rPr>
            </w:pPr>
            <w:r w:rsidRPr="00631052">
              <w:rPr>
                <w:snapToGrid w:val="0"/>
                <w:kern w:val="28"/>
                <w:sz w:val="22"/>
              </w:rPr>
              <w:t>167155</w:t>
            </w:r>
          </w:p>
        </w:tc>
        <w:tc>
          <w:tcPr>
            <w:tcW w:w="1980" w:type="dxa"/>
            <w:vAlign w:val="center"/>
          </w:tcPr>
          <w:p w:rsidR="00631052" w:rsidRPr="00631052" w:rsidP="00631052" w14:paraId="2A231AAB" w14:textId="77777777">
            <w:pPr>
              <w:rPr>
                <w:snapToGrid w:val="0"/>
                <w:kern w:val="28"/>
                <w:sz w:val="22"/>
              </w:rPr>
            </w:pPr>
            <w:r w:rsidRPr="00631052">
              <w:rPr>
                <w:snapToGrid w:val="0"/>
                <w:kern w:val="28"/>
                <w:sz w:val="22"/>
              </w:rPr>
              <w:t>0000275462</w:t>
            </w:r>
          </w:p>
        </w:tc>
        <w:tc>
          <w:tcPr>
            <w:tcW w:w="2617" w:type="dxa"/>
            <w:vAlign w:val="center"/>
          </w:tcPr>
          <w:p w:rsidR="00631052" w:rsidRPr="00631052" w:rsidP="00631052" w14:paraId="1FC2DE2D" w14:textId="77777777">
            <w:pPr>
              <w:rPr>
                <w:snapToGrid w:val="0"/>
                <w:kern w:val="28"/>
                <w:sz w:val="22"/>
              </w:rPr>
            </w:pPr>
            <w:r w:rsidRPr="00631052">
              <w:rPr>
                <w:snapToGrid w:val="0"/>
                <w:kern w:val="28"/>
                <w:sz w:val="22"/>
              </w:rPr>
              <w:t>MONTROSE, CO</w:t>
            </w:r>
          </w:p>
        </w:tc>
      </w:tr>
      <w:tr w14:paraId="4D77D6D9" w14:textId="77777777" w:rsidTr="00A51168">
        <w:tblPrEx>
          <w:tblW w:w="7112" w:type="dxa"/>
          <w:tblLayout w:type="fixed"/>
          <w:tblLook w:val="04A0"/>
        </w:tblPrEx>
        <w:tc>
          <w:tcPr>
            <w:tcW w:w="1525" w:type="dxa"/>
            <w:vAlign w:val="center"/>
          </w:tcPr>
          <w:p w:rsidR="00631052" w:rsidRPr="00631052" w:rsidP="00631052" w14:paraId="46025324" w14:textId="77777777">
            <w:pPr>
              <w:rPr>
                <w:snapToGrid w:val="0"/>
                <w:kern w:val="28"/>
                <w:sz w:val="22"/>
              </w:rPr>
            </w:pPr>
            <w:r w:rsidRPr="00631052">
              <w:rPr>
                <w:snapToGrid w:val="0"/>
                <w:kern w:val="28"/>
                <w:sz w:val="22"/>
              </w:rPr>
              <w:t>K31IV-D</w:t>
            </w:r>
          </w:p>
        </w:tc>
        <w:tc>
          <w:tcPr>
            <w:tcW w:w="990" w:type="dxa"/>
            <w:vAlign w:val="center"/>
          </w:tcPr>
          <w:p w:rsidR="00631052" w:rsidRPr="00631052" w:rsidP="00631052" w14:paraId="623C6218" w14:textId="77777777">
            <w:pPr>
              <w:rPr>
                <w:snapToGrid w:val="0"/>
                <w:kern w:val="28"/>
                <w:sz w:val="22"/>
              </w:rPr>
            </w:pPr>
            <w:r w:rsidRPr="00631052">
              <w:rPr>
                <w:snapToGrid w:val="0"/>
                <w:kern w:val="28"/>
                <w:sz w:val="22"/>
              </w:rPr>
              <w:t>35038</w:t>
            </w:r>
          </w:p>
        </w:tc>
        <w:tc>
          <w:tcPr>
            <w:tcW w:w="1980" w:type="dxa"/>
            <w:vAlign w:val="center"/>
          </w:tcPr>
          <w:p w:rsidR="00631052" w:rsidRPr="00631052" w:rsidP="00631052" w14:paraId="418C20A4" w14:textId="77777777">
            <w:pPr>
              <w:rPr>
                <w:snapToGrid w:val="0"/>
                <w:kern w:val="28"/>
                <w:sz w:val="22"/>
              </w:rPr>
            </w:pPr>
            <w:r w:rsidRPr="00631052">
              <w:rPr>
                <w:snapToGrid w:val="0"/>
                <w:kern w:val="28"/>
                <w:sz w:val="22"/>
              </w:rPr>
              <w:t>0000275463</w:t>
            </w:r>
          </w:p>
        </w:tc>
        <w:tc>
          <w:tcPr>
            <w:tcW w:w="2617" w:type="dxa"/>
            <w:vAlign w:val="center"/>
          </w:tcPr>
          <w:p w:rsidR="00631052" w:rsidRPr="00631052" w:rsidP="00631052" w14:paraId="37CCF8F6" w14:textId="77777777">
            <w:pPr>
              <w:rPr>
                <w:snapToGrid w:val="0"/>
                <w:kern w:val="28"/>
                <w:sz w:val="22"/>
              </w:rPr>
            </w:pPr>
            <w:r w:rsidRPr="00631052">
              <w:rPr>
                <w:snapToGrid w:val="0"/>
                <w:kern w:val="28"/>
                <w:sz w:val="22"/>
              </w:rPr>
              <w:t>ROMEO, CO</w:t>
            </w:r>
          </w:p>
        </w:tc>
      </w:tr>
      <w:tr w14:paraId="35365D87" w14:textId="77777777" w:rsidTr="00A51168">
        <w:tblPrEx>
          <w:tblW w:w="7112" w:type="dxa"/>
          <w:tblLayout w:type="fixed"/>
          <w:tblLook w:val="04A0"/>
        </w:tblPrEx>
        <w:tc>
          <w:tcPr>
            <w:tcW w:w="1525" w:type="dxa"/>
            <w:vAlign w:val="center"/>
          </w:tcPr>
          <w:p w:rsidR="00631052" w:rsidRPr="00631052" w:rsidP="00631052" w14:paraId="097A28BD" w14:textId="77777777">
            <w:pPr>
              <w:rPr>
                <w:snapToGrid w:val="0"/>
                <w:kern w:val="28"/>
                <w:sz w:val="22"/>
              </w:rPr>
            </w:pPr>
            <w:r w:rsidRPr="00631052">
              <w:rPr>
                <w:snapToGrid w:val="0"/>
                <w:kern w:val="28"/>
                <w:sz w:val="22"/>
              </w:rPr>
              <w:t>K21JK-D</w:t>
            </w:r>
          </w:p>
        </w:tc>
        <w:tc>
          <w:tcPr>
            <w:tcW w:w="990" w:type="dxa"/>
            <w:vAlign w:val="center"/>
          </w:tcPr>
          <w:p w:rsidR="00631052" w:rsidRPr="00631052" w:rsidP="00631052" w14:paraId="2E798F56" w14:textId="77777777">
            <w:pPr>
              <w:rPr>
                <w:snapToGrid w:val="0"/>
                <w:kern w:val="28"/>
                <w:sz w:val="22"/>
              </w:rPr>
            </w:pPr>
            <w:r w:rsidRPr="00631052">
              <w:rPr>
                <w:snapToGrid w:val="0"/>
                <w:kern w:val="28"/>
                <w:sz w:val="22"/>
              </w:rPr>
              <w:t>168357</w:t>
            </w:r>
          </w:p>
        </w:tc>
        <w:tc>
          <w:tcPr>
            <w:tcW w:w="1980" w:type="dxa"/>
            <w:vAlign w:val="center"/>
          </w:tcPr>
          <w:p w:rsidR="00631052" w:rsidRPr="00631052" w:rsidP="00631052" w14:paraId="087CA452" w14:textId="77777777">
            <w:pPr>
              <w:rPr>
                <w:snapToGrid w:val="0"/>
                <w:kern w:val="28"/>
                <w:sz w:val="22"/>
              </w:rPr>
            </w:pPr>
            <w:r w:rsidRPr="00631052">
              <w:rPr>
                <w:snapToGrid w:val="0"/>
                <w:kern w:val="28"/>
                <w:sz w:val="22"/>
              </w:rPr>
              <w:t>0000275464</w:t>
            </w:r>
          </w:p>
        </w:tc>
        <w:tc>
          <w:tcPr>
            <w:tcW w:w="2617" w:type="dxa"/>
            <w:vAlign w:val="center"/>
          </w:tcPr>
          <w:p w:rsidR="00631052" w:rsidRPr="00631052" w:rsidP="00631052" w14:paraId="30B89B9B" w14:textId="77777777">
            <w:pPr>
              <w:rPr>
                <w:snapToGrid w:val="0"/>
                <w:kern w:val="28"/>
                <w:sz w:val="22"/>
              </w:rPr>
            </w:pPr>
            <w:r w:rsidRPr="00631052">
              <w:rPr>
                <w:snapToGrid w:val="0"/>
                <w:kern w:val="28"/>
                <w:sz w:val="22"/>
              </w:rPr>
              <w:t>MONTROSE, CO</w:t>
            </w:r>
          </w:p>
        </w:tc>
      </w:tr>
    </w:tbl>
    <w:p w:rsidR="00631052" w:rsidRPr="00631052" w:rsidP="00631052" w14:paraId="01AEE42E" w14:textId="77777777">
      <w:pPr>
        <w:rPr>
          <w:snapToGrid w:val="0"/>
          <w:kern w:val="28"/>
          <w:sz w:val="22"/>
        </w:rPr>
      </w:pPr>
    </w:p>
    <w:p w:rsidR="00631052" w:rsidRPr="00631052" w:rsidP="00631052" w14:paraId="2D746DE9" w14:textId="77777777">
      <w:pPr>
        <w:jc w:val="center"/>
        <w:rPr>
          <w:b/>
          <w:snapToGrid w:val="0"/>
          <w:kern w:val="28"/>
          <w:sz w:val="22"/>
        </w:rPr>
      </w:pPr>
      <w:r w:rsidRPr="00631052">
        <w:rPr>
          <w:b/>
          <w:snapToGrid w:val="0"/>
          <w:kern w:val="28"/>
          <w:sz w:val="22"/>
        </w:rPr>
        <w:t>Proposed License Assignment from Scripps Broadcasting Holdings LLC to Gray Television Licensee, LLC</w:t>
      </w:r>
    </w:p>
    <w:p w:rsidR="00631052" w:rsidRPr="00631052" w:rsidP="00631052" w14:paraId="66A95C23" w14:textId="77777777">
      <w:pPr>
        <w:rPr>
          <w:b/>
          <w:snapToGrid w:val="0"/>
          <w:kern w:val="28"/>
          <w:sz w:val="22"/>
        </w:rPr>
      </w:pPr>
    </w:p>
    <w:tbl>
      <w:tblPr>
        <w:tblW w:w="7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5"/>
        <w:gridCol w:w="990"/>
        <w:gridCol w:w="1980"/>
        <w:gridCol w:w="2617"/>
      </w:tblGrid>
      <w:tr w14:paraId="2AC822C5" w14:textId="77777777" w:rsidTr="00A51168">
        <w:tblPrEx>
          <w:tblW w:w="7112" w:type="dxa"/>
          <w:tblLayout w:type="fixed"/>
          <w:tblLook w:val="04A0"/>
        </w:tblPrEx>
        <w:tc>
          <w:tcPr>
            <w:tcW w:w="1525" w:type="dxa"/>
          </w:tcPr>
          <w:p w:rsidR="00631052" w:rsidRPr="00631052" w:rsidP="00631052" w14:paraId="0A40890E" w14:textId="77777777">
            <w:pPr>
              <w:rPr>
                <w:b/>
                <w:snapToGrid w:val="0"/>
                <w:kern w:val="28"/>
                <w:sz w:val="22"/>
              </w:rPr>
            </w:pPr>
            <w:r w:rsidRPr="00631052">
              <w:rPr>
                <w:b/>
                <w:snapToGrid w:val="0"/>
                <w:kern w:val="28"/>
                <w:sz w:val="22"/>
              </w:rPr>
              <w:t>Call Sign</w:t>
            </w:r>
          </w:p>
        </w:tc>
        <w:tc>
          <w:tcPr>
            <w:tcW w:w="990" w:type="dxa"/>
          </w:tcPr>
          <w:p w:rsidR="00631052" w:rsidRPr="00631052" w:rsidP="00631052" w14:paraId="68D6857F" w14:textId="77777777">
            <w:pPr>
              <w:rPr>
                <w:b/>
                <w:snapToGrid w:val="0"/>
                <w:kern w:val="28"/>
                <w:sz w:val="22"/>
              </w:rPr>
            </w:pPr>
            <w:r w:rsidRPr="00631052">
              <w:rPr>
                <w:b/>
                <w:snapToGrid w:val="0"/>
                <w:kern w:val="28"/>
                <w:sz w:val="22"/>
              </w:rPr>
              <w:t>Facility ID No.</w:t>
            </w:r>
          </w:p>
        </w:tc>
        <w:tc>
          <w:tcPr>
            <w:tcW w:w="1980" w:type="dxa"/>
          </w:tcPr>
          <w:p w:rsidR="00631052" w:rsidRPr="00631052" w:rsidP="00631052" w14:paraId="08CC47CF" w14:textId="77777777">
            <w:pPr>
              <w:rPr>
                <w:b/>
                <w:snapToGrid w:val="0"/>
                <w:kern w:val="28"/>
                <w:sz w:val="22"/>
              </w:rPr>
            </w:pPr>
            <w:r w:rsidRPr="00631052">
              <w:rPr>
                <w:b/>
                <w:snapToGrid w:val="0"/>
                <w:kern w:val="28"/>
                <w:sz w:val="22"/>
              </w:rPr>
              <w:t>LMS File No.</w:t>
            </w:r>
          </w:p>
        </w:tc>
        <w:tc>
          <w:tcPr>
            <w:tcW w:w="2617" w:type="dxa"/>
          </w:tcPr>
          <w:p w:rsidR="00631052" w:rsidRPr="00631052" w:rsidP="00631052" w14:paraId="1FEB8E8B" w14:textId="77777777">
            <w:pPr>
              <w:rPr>
                <w:b/>
                <w:snapToGrid w:val="0"/>
                <w:kern w:val="28"/>
                <w:sz w:val="22"/>
              </w:rPr>
            </w:pPr>
            <w:r w:rsidRPr="00631052">
              <w:rPr>
                <w:b/>
                <w:snapToGrid w:val="0"/>
                <w:kern w:val="28"/>
                <w:sz w:val="22"/>
              </w:rPr>
              <w:t>Community of License</w:t>
            </w:r>
          </w:p>
        </w:tc>
      </w:tr>
      <w:tr w14:paraId="20714A8A" w14:textId="77777777" w:rsidTr="00A51168">
        <w:tblPrEx>
          <w:tblW w:w="7112" w:type="dxa"/>
          <w:tblLayout w:type="fixed"/>
          <w:tblLook w:val="04A0"/>
        </w:tblPrEx>
        <w:tc>
          <w:tcPr>
            <w:tcW w:w="1525" w:type="dxa"/>
            <w:vAlign w:val="center"/>
          </w:tcPr>
          <w:p w:rsidR="00631052" w:rsidRPr="00631052" w:rsidP="00631052" w14:paraId="5AEAA2DA" w14:textId="77777777">
            <w:pPr>
              <w:rPr>
                <w:snapToGrid w:val="0"/>
                <w:kern w:val="28"/>
                <w:sz w:val="22"/>
              </w:rPr>
            </w:pPr>
            <w:r w:rsidRPr="00631052">
              <w:rPr>
                <w:snapToGrid w:val="0"/>
                <w:kern w:val="28"/>
                <w:sz w:val="22"/>
              </w:rPr>
              <w:t>KATC</w:t>
            </w:r>
          </w:p>
        </w:tc>
        <w:tc>
          <w:tcPr>
            <w:tcW w:w="990" w:type="dxa"/>
            <w:vAlign w:val="center"/>
          </w:tcPr>
          <w:p w:rsidR="00631052" w:rsidRPr="00631052" w:rsidP="00631052" w14:paraId="76766361" w14:textId="77777777">
            <w:pPr>
              <w:rPr>
                <w:snapToGrid w:val="0"/>
                <w:kern w:val="28"/>
                <w:sz w:val="22"/>
              </w:rPr>
            </w:pPr>
            <w:r w:rsidRPr="00631052">
              <w:rPr>
                <w:snapToGrid w:val="0"/>
                <w:kern w:val="28"/>
                <w:sz w:val="22"/>
              </w:rPr>
              <w:t>33471</w:t>
            </w:r>
          </w:p>
        </w:tc>
        <w:tc>
          <w:tcPr>
            <w:tcW w:w="1980" w:type="dxa"/>
            <w:vAlign w:val="center"/>
          </w:tcPr>
          <w:p w:rsidR="00631052" w:rsidRPr="00631052" w:rsidP="00631052" w14:paraId="36CF6671" w14:textId="77777777">
            <w:pPr>
              <w:rPr>
                <w:snapToGrid w:val="0"/>
                <w:kern w:val="28"/>
                <w:sz w:val="22"/>
              </w:rPr>
            </w:pPr>
            <w:r w:rsidRPr="00631052">
              <w:rPr>
                <w:snapToGrid w:val="0"/>
                <w:kern w:val="28"/>
                <w:sz w:val="22"/>
              </w:rPr>
              <w:t>0000275465</w:t>
            </w:r>
          </w:p>
        </w:tc>
        <w:tc>
          <w:tcPr>
            <w:tcW w:w="2617" w:type="dxa"/>
            <w:vAlign w:val="center"/>
          </w:tcPr>
          <w:p w:rsidR="00631052" w:rsidRPr="00631052" w:rsidP="00631052" w14:paraId="4D99CD99" w14:textId="77777777">
            <w:pPr>
              <w:rPr>
                <w:snapToGrid w:val="0"/>
                <w:kern w:val="28"/>
                <w:sz w:val="22"/>
              </w:rPr>
            </w:pPr>
            <w:r w:rsidRPr="00631052">
              <w:rPr>
                <w:snapToGrid w:val="0"/>
                <w:kern w:val="28"/>
                <w:sz w:val="22"/>
              </w:rPr>
              <w:t>LAFAYETTE, LA</w:t>
            </w:r>
          </w:p>
        </w:tc>
      </w:tr>
      <w:tr w14:paraId="74D9315B" w14:textId="77777777" w:rsidTr="00A51168">
        <w:tblPrEx>
          <w:tblW w:w="7112" w:type="dxa"/>
          <w:tblLayout w:type="fixed"/>
          <w:tblLook w:val="04A0"/>
        </w:tblPrEx>
        <w:tc>
          <w:tcPr>
            <w:tcW w:w="1525" w:type="dxa"/>
            <w:vAlign w:val="center"/>
          </w:tcPr>
          <w:p w:rsidR="00631052" w:rsidRPr="00631052" w:rsidP="00631052" w14:paraId="35454F73" w14:textId="77777777">
            <w:pPr>
              <w:rPr>
                <w:snapToGrid w:val="0"/>
                <w:kern w:val="28"/>
                <w:sz w:val="22"/>
              </w:rPr>
            </w:pPr>
            <w:r w:rsidRPr="00631052">
              <w:rPr>
                <w:snapToGrid w:val="0"/>
                <w:kern w:val="28"/>
                <w:sz w:val="22"/>
              </w:rPr>
              <w:t>WSYM-TV</w:t>
            </w:r>
          </w:p>
        </w:tc>
        <w:tc>
          <w:tcPr>
            <w:tcW w:w="990" w:type="dxa"/>
            <w:vAlign w:val="center"/>
          </w:tcPr>
          <w:p w:rsidR="00631052" w:rsidRPr="00631052" w:rsidP="00631052" w14:paraId="3F05B4E9" w14:textId="77777777">
            <w:pPr>
              <w:rPr>
                <w:snapToGrid w:val="0"/>
                <w:kern w:val="28"/>
                <w:sz w:val="22"/>
              </w:rPr>
            </w:pPr>
            <w:r w:rsidRPr="00631052">
              <w:rPr>
                <w:snapToGrid w:val="0"/>
                <w:kern w:val="28"/>
                <w:sz w:val="22"/>
              </w:rPr>
              <w:t>74094</w:t>
            </w:r>
          </w:p>
        </w:tc>
        <w:tc>
          <w:tcPr>
            <w:tcW w:w="1980" w:type="dxa"/>
            <w:vAlign w:val="center"/>
          </w:tcPr>
          <w:p w:rsidR="00631052" w:rsidRPr="00631052" w:rsidP="00631052" w14:paraId="58FA2915" w14:textId="77777777">
            <w:pPr>
              <w:rPr>
                <w:snapToGrid w:val="0"/>
                <w:kern w:val="28"/>
                <w:sz w:val="22"/>
              </w:rPr>
            </w:pPr>
            <w:r w:rsidRPr="00631052">
              <w:rPr>
                <w:snapToGrid w:val="0"/>
                <w:kern w:val="28"/>
                <w:sz w:val="22"/>
              </w:rPr>
              <w:t>0000275466</w:t>
            </w:r>
          </w:p>
        </w:tc>
        <w:tc>
          <w:tcPr>
            <w:tcW w:w="2617" w:type="dxa"/>
            <w:vAlign w:val="center"/>
          </w:tcPr>
          <w:p w:rsidR="00631052" w:rsidRPr="00631052" w:rsidP="00631052" w14:paraId="1006EDB0" w14:textId="77777777">
            <w:pPr>
              <w:rPr>
                <w:snapToGrid w:val="0"/>
                <w:kern w:val="28"/>
                <w:sz w:val="22"/>
              </w:rPr>
            </w:pPr>
            <w:r w:rsidRPr="00631052">
              <w:rPr>
                <w:snapToGrid w:val="0"/>
                <w:kern w:val="28"/>
                <w:sz w:val="22"/>
              </w:rPr>
              <w:t>LANSING, MI</w:t>
            </w:r>
          </w:p>
        </w:tc>
      </w:tr>
    </w:tbl>
    <w:p w:rsidR="00631052" w:rsidRPr="00631052" w:rsidP="00631052" w14:paraId="4B4767A5" w14:textId="77777777">
      <w:pPr>
        <w:rPr>
          <w:snapToGrid w:val="0"/>
          <w:kern w:val="28"/>
          <w:sz w:val="22"/>
        </w:rPr>
      </w:pPr>
    </w:p>
    <w:p w:rsidR="00631052" w:rsidRPr="00904C4D" w:rsidP="00631052" w14:paraId="2B745C92" w14:textId="77777777">
      <w:pPr>
        <w:rPr>
          <w:sz w:val="22"/>
          <w:szCs w:val="22"/>
        </w:rPr>
      </w:pPr>
    </w:p>
    <w:sectPr>
      <w:footerReference w:type="default" r:id="rId5"/>
      <w:headerReference w:type="first" r:id="rId6"/>
      <w:pgSz w:w="12240" w:h="15840" w:code="1"/>
      <w:pgMar w:top="1987" w:right="1440" w:bottom="1440" w:left="1440"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F313B" w:rsidP="001F313B" w14:paraId="48B3EB5F" w14:textId="665403B6">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10A7A" w14:paraId="23B8AB09" w14:textId="77777777">
      <w:r>
        <w:separator/>
      </w:r>
    </w:p>
  </w:footnote>
  <w:footnote w:type="continuationSeparator" w:id="1">
    <w:p w:rsidR="00910A7A" w14:paraId="7D7CA238" w14:textId="77777777">
      <w:r>
        <w:continuationSeparator/>
      </w:r>
    </w:p>
  </w:footnote>
  <w:footnote w:id="2">
    <w:p w:rsidR="007F49AA" w:rsidP="007F49AA" w14:paraId="4E4934D7" w14:textId="4569CDBD">
      <w:pPr>
        <w:pStyle w:val="FootnoteText"/>
      </w:pPr>
      <w:r>
        <w:rPr>
          <w:rStyle w:val="FootnoteReference"/>
        </w:rPr>
        <w:footnoteRef/>
      </w:r>
      <w:r>
        <w:t xml:space="preserve"> </w:t>
      </w:r>
      <w:r w:rsidR="006E61CC">
        <w:t>The A</w:t>
      </w:r>
      <w:r w:rsidR="00C978BC">
        <w:t>ttachment</w:t>
      </w:r>
      <w:r w:rsidR="006E61CC">
        <w:t xml:space="preserve"> provides a complete list of the Applications and the subject broadcast television station licenses</w:t>
      </w:r>
      <w:r w:rsidR="00C978BC">
        <w:t>.</w:t>
      </w:r>
    </w:p>
  </w:footnote>
  <w:footnote w:id="3">
    <w:p w:rsidR="007D4BB6" w14:paraId="528E3856" w14:textId="10C3189B">
      <w:pPr>
        <w:pStyle w:val="FootnoteText"/>
      </w:pPr>
      <w:r>
        <w:rPr>
          <w:rStyle w:val="FootnoteReference"/>
        </w:rPr>
        <w:footnoteRef/>
      </w:r>
      <w:r>
        <w:t xml:space="preserve"> </w:t>
      </w:r>
      <w:r w:rsidRPr="00C775A7">
        <w:t>47 CFR § 73.3555(b)</w:t>
      </w:r>
      <w:r>
        <w:t xml:space="preserve"> (</w:t>
      </w:r>
      <w:r w:rsidRPr="00404417">
        <w:t>vacated in part</w:t>
      </w:r>
      <w:r w:rsidR="00BC6444">
        <w:rPr>
          <w:i/>
          <w:iCs/>
        </w:rPr>
        <w:t xml:space="preserve"> </w:t>
      </w:r>
      <w:r w:rsidRPr="00F5101E" w:rsidR="00BC6444">
        <w:t xml:space="preserve">by </w:t>
      </w:r>
      <w:r w:rsidRPr="00F5101E" w:rsidR="00BC6444">
        <w:rPr>
          <w:i/>
          <w:iCs/>
        </w:rPr>
        <w:t>Zimmer Radio</w:t>
      </w:r>
      <w:r w:rsidRPr="00EE4E32" w:rsidR="00BC6444">
        <w:rPr>
          <w:i/>
          <w:iCs/>
        </w:rPr>
        <w:t xml:space="preserve"> of Mid-Missouri, Inc. v. FCC et al., </w:t>
      </w:r>
      <w:r w:rsidRPr="000E31E2" w:rsidR="00BC6444">
        <w:t>145 F.4th 828</w:t>
      </w:r>
      <w:r w:rsidRPr="00EE4E32" w:rsidR="00BC6444">
        <w:rPr>
          <w:i/>
          <w:iCs/>
        </w:rPr>
        <w:t xml:space="preserve"> </w:t>
      </w:r>
      <w:r w:rsidRPr="000E31E2" w:rsidR="00BC6444">
        <w:t>(8th Cir. 2025)</w:t>
      </w:r>
      <w:r w:rsidR="00BC6444">
        <w:t xml:space="preserve"> (</w:t>
      </w:r>
      <w:r w:rsidRPr="000E31E2" w:rsidR="00BC6444">
        <w:rPr>
          <w:i/>
          <w:iCs/>
        </w:rPr>
        <w:t>Zimmer Radio</w:t>
      </w:r>
      <w:r w:rsidRPr="00F5101E" w:rsidR="00BC6444">
        <w:t>)</w:t>
      </w:r>
      <w:r w:rsidR="00BC6444">
        <w:t xml:space="preserve"> (Local Television Ownership Rule)</w:t>
      </w:r>
      <w:r>
        <w:t>)</w:t>
      </w:r>
      <w:r w:rsidRPr="00C775A7">
        <w:t>.</w:t>
      </w:r>
      <w:r>
        <w:t xml:space="preserve">  </w:t>
      </w:r>
    </w:p>
  </w:footnote>
  <w:footnote w:id="4">
    <w:p w:rsidR="0054664F" w:rsidP="0054664F" w14:paraId="450965BB" w14:textId="76BA42AE">
      <w:pPr>
        <w:pStyle w:val="FootnoteText"/>
      </w:pPr>
      <w:r>
        <w:rPr>
          <w:rStyle w:val="FootnoteReference"/>
        </w:rPr>
        <w:footnoteRef/>
      </w:r>
      <w:r>
        <w:t xml:space="preserve"> Comments of the American Television Alliance at ii</w:t>
      </w:r>
      <w:r w:rsidR="00642B3A">
        <w:t>, LMS Pleading File No. 0000</w:t>
      </w:r>
      <w:r w:rsidR="005E4293">
        <w:t>277367</w:t>
      </w:r>
      <w:r>
        <w:t xml:space="preserve"> (filed Aug. 29, 2025) (ATVA Objection); </w:t>
      </w:r>
      <w:r w:rsidRPr="001C6CD7">
        <w:rPr>
          <w:i/>
          <w:iCs/>
        </w:rPr>
        <w:t>see also</w:t>
      </w:r>
      <w:r>
        <w:t xml:space="preserve"> Comments of NCTA – the Internet &amp; Television Association at 1</w:t>
      </w:r>
      <w:r w:rsidR="005E4293">
        <w:t>, LMS File No. 0000277365</w:t>
      </w:r>
      <w:r>
        <w:t xml:space="preserve"> (filed Aug. 29, 2025) (asserting that “</w:t>
      </w:r>
      <w:r w:rsidRPr="00785F1A">
        <w:t>the Commission must</w:t>
      </w:r>
      <w:r>
        <w:t xml:space="preserve"> . . . </w:t>
      </w:r>
      <w:r w:rsidRPr="00785F1A">
        <w:t>take a hard look at these applications</w:t>
      </w:r>
      <w:r>
        <w:t xml:space="preserve"> . . . </w:t>
      </w:r>
      <w:r w:rsidRPr="00785F1A">
        <w:t>to ensure that public interest harms do not outweigh the Transaction’s benefits</w:t>
      </w:r>
      <w:r>
        <w:t xml:space="preserve">”) (NCTA Objection).  </w:t>
      </w:r>
      <w:r w:rsidRPr="003E2B02">
        <w:t>N</w:t>
      </w:r>
      <w:r>
        <w:t>either</w:t>
      </w:r>
      <w:r w:rsidRPr="003E2B02">
        <w:t xml:space="preserve"> </w:t>
      </w:r>
      <w:r w:rsidR="0018108E">
        <w:t>ATVA nor NCTA</w:t>
      </w:r>
      <w:r w:rsidRPr="003E2B02">
        <w:t xml:space="preserve"> ha</w:t>
      </w:r>
      <w:r>
        <w:t>s</w:t>
      </w:r>
      <w:r w:rsidRPr="003E2B02">
        <w:t xml:space="preserve"> asserted standing as a petitioner to deny pursuant to Section 309(d)(1) of the</w:t>
      </w:r>
      <w:r>
        <w:t xml:space="preserve"> Communications Act of 1934 (Act).  47 U.S.C. § 309(d)(1).  Accordingly, w</w:t>
      </w:r>
      <w:r w:rsidRPr="003E2B02">
        <w:t>e will</w:t>
      </w:r>
      <w:r>
        <w:t xml:space="preserve"> </w:t>
      </w:r>
      <w:r w:rsidRPr="003E2B02">
        <w:t>consider the</w:t>
      </w:r>
      <w:r>
        <w:t>ir filings</w:t>
      </w:r>
      <w:r w:rsidRPr="003E2B02">
        <w:t xml:space="preserve"> as informal objections </w:t>
      </w:r>
      <w:r w:rsidR="00E56A34">
        <w:t>(</w:t>
      </w:r>
      <w:r w:rsidR="009A2ABA">
        <w:t xml:space="preserve">Informal Objections) </w:t>
      </w:r>
      <w:r w:rsidRPr="003E2B02">
        <w:t xml:space="preserve">pursuant to Section 73.3587 of the </w:t>
      </w:r>
      <w:r>
        <w:t>Commission’s r</w:t>
      </w:r>
      <w:r w:rsidRPr="003E2B02">
        <w:t>ules.  47 CFR §</w:t>
      </w:r>
      <w:r>
        <w:t xml:space="preserve"> </w:t>
      </w:r>
      <w:r w:rsidRPr="003E2B02">
        <w:t>73.3587.</w:t>
      </w:r>
    </w:p>
  </w:footnote>
  <w:footnote w:id="5">
    <w:p w:rsidR="006836E1" w14:paraId="4ED5D0D5" w14:textId="69DF0E33">
      <w:pPr>
        <w:pStyle w:val="FootnoteText"/>
      </w:pPr>
      <w:r>
        <w:rPr>
          <w:rStyle w:val="FootnoteReference"/>
        </w:rPr>
        <w:footnoteRef/>
      </w:r>
      <w:r>
        <w:t xml:space="preserve"> ATVA Objection at ii; </w:t>
      </w:r>
      <w:r w:rsidRPr="008B0687" w:rsidR="00B45F4A">
        <w:rPr>
          <w:i/>
          <w:iCs/>
        </w:rPr>
        <w:t>see also</w:t>
      </w:r>
      <w:r w:rsidR="00B45F4A">
        <w:t xml:space="preserve"> NCTA Objection at </w:t>
      </w:r>
      <w:r w:rsidR="00EC0807">
        <w:t xml:space="preserve">4 (stating </w:t>
      </w:r>
      <w:r w:rsidR="006C475E">
        <w:t>that the Applicants “</w:t>
      </w:r>
      <w:r w:rsidRPr="006C475E" w:rsidR="006C475E">
        <w:t>make only general assertions</w:t>
      </w:r>
      <w:r w:rsidR="006C475E">
        <w:t xml:space="preserve"> . . . </w:t>
      </w:r>
      <w:r w:rsidRPr="00C02178" w:rsidR="00C02178">
        <w:t>and unsubstantiated claims</w:t>
      </w:r>
      <w:r w:rsidR="00D86BB7">
        <w:t>”).</w:t>
      </w:r>
    </w:p>
  </w:footnote>
  <w:footnote w:id="6">
    <w:p w:rsidR="00A932AA" w14:paraId="13FC5961" w14:textId="3D35638F">
      <w:pPr>
        <w:pStyle w:val="FootnoteText"/>
      </w:pPr>
      <w:r>
        <w:rPr>
          <w:rStyle w:val="FootnoteReference"/>
        </w:rPr>
        <w:footnoteRef/>
      </w:r>
      <w:r>
        <w:t xml:space="preserve"> </w:t>
      </w:r>
      <w:r w:rsidR="001A468E">
        <w:t xml:space="preserve">Applications, Comprehensive Exhibit at </w:t>
      </w:r>
      <w:r w:rsidR="000E717E">
        <w:t xml:space="preserve">1-2.  </w:t>
      </w:r>
      <w:r w:rsidR="001A468E">
        <w:t xml:space="preserve">Gray would also acquire </w:t>
      </w:r>
      <w:r w:rsidR="009E1E80">
        <w:t xml:space="preserve">the following </w:t>
      </w:r>
      <w:r w:rsidR="00337CF4">
        <w:t>full power television stations</w:t>
      </w:r>
      <w:r w:rsidR="00667EBE">
        <w:t xml:space="preserve"> in the Transaction</w:t>
      </w:r>
      <w:r w:rsidR="00337CF4">
        <w:t>: (</w:t>
      </w:r>
      <w:r w:rsidR="002113AF">
        <w:t xml:space="preserve">1) </w:t>
      </w:r>
      <w:r w:rsidR="001A468E">
        <w:t>KATC(TV), Lafayette, Louisiana, in the Lafayette, LA DMA</w:t>
      </w:r>
      <w:r w:rsidR="00585B75">
        <w:t xml:space="preserve">; (2) </w:t>
      </w:r>
      <w:r w:rsidR="003F543A">
        <w:t xml:space="preserve">KKCO(TV), Grand Junction, Colorado, in the Grand Junction-Montrose DMA; and </w:t>
      </w:r>
      <w:r w:rsidR="000A63CC">
        <w:t>KMVT(TV), Twin Falls, Idaho, in the Twin Falls DMA</w:t>
      </w:r>
      <w:r w:rsidR="001A468E">
        <w:t>.</w:t>
      </w:r>
    </w:p>
  </w:footnote>
  <w:footnote w:id="7">
    <w:p w:rsidR="00EF48E8" w:rsidP="00EF48E8" w14:paraId="575EC053" w14:textId="1DD0BEC5">
      <w:pPr>
        <w:pStyle w:val="FootnoteText"/>
        <w:widowControl w:val="0"/>
      </w:pPr>
      <w:r>
        <w:rPr>
          <w:rStyle w:val="FootnoteReference"/>
        </w:rPr>
        <w:footnoteRef/>
      </w:r>
      <w:r>
        <w:t xml:space="preserve"> </w:t>
      </w:r>
      <w:r w:rsidRPr="00C92002">
        <w:t>47 CFR § 73.3555(b)</w:t>
      </w:r>
      <w:r>
        <w:t xml:space="preserve"> </w:t>
      </w:r>
      <w:r w:rsidRPr="00F5101E">
        <w:t xml:space="preserve">(vacated in part by </w:t>
      </w:r>
      <w:r w:rsidRPr="00F5101E">
        <w:rPr>
          <w:i/>
          <w:iCs/>
        </w:rPr>
        <w:t>Zimmer Radio</w:t>
      </w:r>
      <w:r w:rsidR="00BC6444">
        <w:t>)</w:t>
      </w:r>
      <w:r w:rsidRPr="00C92002">
        <w:t xml:space="preserve">.  </w:t>
      </w:r>
    </w:p>
  </w:footnote>
  <w:footnote w:id="8">
    <w:p w:rsidR="00EF48E8" w:rsidRPr="009F0AC7" w:rsidP="00EF48E8" w14:paraId="69051A8C" w14:textId="77777777">
      <w:pPr>
        <w:pStyle w:val="FootnoteText"/>
      </w:pPr>
      <w:r>
        <w:rPr>
          <w:rStyle w:val="FootnoteReference"/>
        </w:rPr>
        <w:footnoteRef/>
      </w:r>
      <w:r>
        <w:t xml:space="preserve"> </w:t>
      </w:r>
      <w:r>
        <w:rPr>
          <w:i/>
          <w:iCs/>
        </w:rPr>
        <w:t xml:space="preserve">See </w:t>
      </w:r>
      <w:r w:rsidRPr="00933E5B">
        <w:rPr>
          <w:i/>
          <w:iCs/>
        </w:rPr>
        <w:t>Letter from Chief, Video Division to Sinclair</w:t>
      </w:r>
      <w:r>
        <w:rPr>
          <w:i/>
          <w:iCs/>
        </w:rPr>
        <w:t>,</w:t>
      </w:r>
      <w:r w:rsidRPr="00933E5B">
        <w:rPr>
          <w:i/>
          <w:iCs/>
        </w:rPr>
        <w:t xml:space="preserve"> Inc., et al.</w:t>
      </w:r>
      <w:r w:rsidRPr="0090515D">
        <w:t>, Letter Order,</w:t>
      </w:r>
      <w:r>
        <w:t xml:space="preserve"> DA 26-108</w:t>
      </w:r>
      <w:r w:rsidRPr="0090515D">
        <w:t xml:space="preserve"> (</w:t>
      </w:r>
      <w:r>
        <w:t>MB</w:t>
      </w:r>
      <w:r w:rsidRPr="0090515D">
        <w:t xml:space="preserve"> Feb. 3, 2026) (</w:t>
      </w:r>
      <w:r w:rsidRPr="002F1208">
        <w:rPr>
          <w:i/>
          <w:iCs/>
        </w:rPr>
        <w:t>Sinclair</w:t>
      </w:r>
      <w:r>
        <w:rPr>
          <w:i/>
          <w:iCs/>
        </w:rPr>
        <w:noBreakHyphen/>
      </w:r>
      <w:r w:rsidRPr="002F1208">
        <w:rPr>
          <w:i/>
          <w:iCs/>
        </w:rPr>
        <w:t>Cunningham-Roberts Letter Order</w:t>
      </w:r>
      <w:r w:rsidRPr="0090515D">
        <w:t>)</w:t>
      </w:r>
      <w:r>
        <w:t>.</w:t>
      </w:r>
    </w:p>
  </w:footnote>
  <w:footnote w:id="9">
    <w:p w:rsidR="00FB363D" w14:paraId="6CB99266" w14:textId="1D0FA081">
      <w:pPr>
        <w:pStyle w:val="FootnoteText"/>
      </w:pPr>
      <w:r>
        <w:rPr>
          <w:rStyle w:val="FootnoteReference"/>
        </w:rPr>
        <w:footnoteRef/>
      </w:r>
      <w:r>
        <w:t xml:space="preserve"> ATVA Objection at </w:t>
      </w:r>
      <w:r w:rsidR="00A3097D">
        <w:t xml:space="preserve">6; </w:t>
      </w:r>
      <w:r w:rsidRPr="008B0687" w:rsidR="00A3097D">
        <w:rPr>
          <w:i/>
          <w:iCs/>
        </w:rPr>
        <w:t>see also</w:t>
      </w:r>
      <w:r w:rsidR="00A3097D">
        <w:t xml:space="preserve"> 47 U.S.C. § 310(d).</w:t>
      </w:r>
    </w:p>
  </w:footnote>
  <w:footnote w:id="10">
    <w:p w:rsidR="00271899" w14:paraId="6250EEB3" w14:textId="47E0D42B">
      <w:pPr>
        <w:pStyle w:val="FootnoteText"/>
      </w:pPr>
      <w:r>
        <w:rPr>
          <w:rStyle w:val="FootnoteReference"/>
        </w:rPr>
        <w:footnoteRef/>
      </w:r>
      <w:r>
        <w:t xml:space="preserve"> ATVA Objection at 6 (emphasis in original).  </w:t>
      </w:r>
      <w:r w:rsidR="00CB579F">
        <w:t>ATVA characterizes these</w:t>
      </w:r>
      <w:r w:rsidR="00A44BCE">
        <w:t xml:space="preserve"> circumstances as</w:t>
      </w:r>
      <w:r w:rsidR="00F01630">
        <w:t>:</w:t>
      </w:r>
      <w:r w:rsidR="00F36AF4">
        <w:t xml:space="preserve"> </w:t>
      </w:r>
      <w:r w:rsidRPr="00F36AF4" w:rsidR="00F36AF4">
        <w:t xml:space="preserve">(1) where the merger involves especially weak stations; (2) where </w:t>
      </w:r>
      <w:r w:rsidR="00B2120A">
        <w:t>the top four</w:t>
      </w:r>
      <w:r w:rsidR="00711A48">
        <w:t xml:space="preserve"> stations are not all</w:t>
      </w:r>
      <w:r w:rsidRPr="00F36AF4" w:rsidR="00F36AF4">
        <w:t xml:space="preserve"> affiliated with the major networks; and (3) where stations </w:t>
      </w:r>
      <w:r w:rsidR="00AB3901">
        <w:t xml:space="preserve">outside the top four </w:t>
      </w:r>
      <w:r w:rsidRPr="00F36AF4" w:rsidR="00F36AF4">
        <w:t>produce local news, thus offsetting the effects of the merger</w:t>
      </w:r>
      <w:r w:rsidR="00F01630">
        <w:t xml:space="preserve">.  </w:t>
      </w:r>
      <w:r w:rsidRPr="008B0687" w:rsidR="00F01630">
        <w:rPr>
          <w:i/>
          <w:iCs/>
        </w:rPr>
        <w:t>Id.</w:t>
      </w:r>
      <w:r w:rsidR="00F01630">
        <w:t xml:space="preserve"> at 6-8.</w:t>
      </w:r>
      <w:r w:rsidR="00F36AF4">
        <w:t xml:space="preserve"> </w:t>
      </w:r>
    </w:p>
  </w:footnote>
  <w:footnote w:id="11">
    <w:p w:rsidR="003D5DA9" w14:paraId="78423A3E" w14:textId="3D9D429F">
      <w:pPr>
        <w:pStyle w:val="FootnoteText"/>
      </w:pPr>
      <w:r>
        <w:rPr>
          <w:rStyle w:val="FootnoteReference"/>
        </w:rPr>
        <w:footnoteRef/>
      </w:r>
      <w:r>
        <w:t xml:space="preserve"> </w:t>
      </w:r>
      <w:r w:rsidR="00722CEB">
        <w:t>ATVA Objection at 8.</w:t>
      </w:r>
    </w:p>
  </w:footnote>
  <w:footnote w:id="12">
    <w:p w:rsidR="009360B3" w:rsidP="009360B3" w14:paraId="691BD637" w14:textId="6BF3510E">
      <w:pPr>
        <w:pStyle w:val="FootnoteText"/>
      </w:pPr>
      <w:r>
        <w:rPr>
          <w:rStyle w:val="FootnoteReference"/>
        </w:rPr>
        <w:footnoteRef/>
      </w:r>
      <w:r>
        <w:t xml:space="preserve"> NCTA Objection at 1</w:t>
      </w:r>
      <w:r w:rsidR="00E30BD8">
        <w:t xml:space="preserve"> &amp; n.3</w:t>
      </w:r>
      <w:r>
        <w:t>.</w:t>
      </w:r>
    </w:p>
  </w:footnote>
  <w:footnote w:id="13">
    <w:p w:rsidR="00CD279A" w14:paraId="688759F2" w14:textId="379F91C0">
      <w:pPr>
        <w:pStyle w:val="FootnoteText"/>
      </w:pPr>
      <w:r>
        <w:rPr>
          <w:rStyle w:val="FootnoteReference"/>
        </w:rPr>
        <w:footnoteRef/>
      </w:r>
      <w:r>
        <w:t xml:space="preserve"> ATVA Objection at </w:t>
      </w:r>
      <w:r w:rsidR="006F77F1">
        <w:t>9.</w:t>
      </w:r>
    </w:p>
  </w:footnote>
  <w:footnote w:id="14">
    <w:p w:rsidR="006F77F1" w:rsidRPr="006F77F1" w14:paraId="4B842A8C" w14:textId="66AB64DA">
      <w:pPr>
        <w:pStyle w:val="FootnoteText"/>
      </w:pPr>
      <w:r>
        <w:rPr>
          <w:rStyle w:val="FootnoteReference"/>
        </w:rPr>
        <w:footnoteRef/>
      </w:r>
      <w:r>
        <w:t xml:space="preserve"> </w:t>
      </w:r>
      <w:r w:rsidRPr="008B0687">
        <w:rPr>
          <w:i/>
          <w:iCs/>
        </w:rPr>
        <w:t>Id.</w:t>
      </w:r>
      <w:r>
        <w:t xml:space="preserve"> (citing </w:t>
      </w:r>
      <w:r w:rsidRPr="007C67A9" w:rsidR="007C67A9">
        <w:t>Michigan v. EPA, 576 U.S. 743, 750 (2015)</w:t>
      </w:r>
      <w:r w:rsidR="007C67A9">
        <w:t xml:space="preserve"> (internal quotations omitted)</w:t>
      </w:r>
      <w:r w:rsidR="00716841">
        <w:t xml:space="preserve">; </w:t>
      </w:r>
      <w:r w:rsidRPr="008B0687" w:rsidR="00716841">
        <w:rPr>
          <w:i/>
          <w:iCs/>
        </w:rPr>
        <w:t>see als</w:t>
      </w:r>
      <w:r w:rsidRPr="008B0687" w:rsidR="000B48F6">
        <w:rPr>
          <w:i/>
          <w:iCs/>
        </w:rPr>
        <w:t>o id.</w:t>
      </w:r>
      <w:r w:rsidR="000B48F6">
        <w:t xml:space="preserve"> at 10-</w:t>
      </w:r>
      <w:r w:rsidR="00B5274C">
        <w:t>16</w:t>
      </w:r>
      <w:r w:rsidR="00E2386F">
        <w:t xml:space="preserve"> (providing Herfindahl-Hirschman</w:t>
      </w:r>
      <w:r w:rsidR="004C4E21">
        <w:t xml:space="preserve"> calculations for the </w:t>
      </w:r>
      <w:r w:rsidR="00A45E8C">
        <w:t>markets involved in the Transaction).</w:t>
      </w:r>
    </w:p>
  </w:footnote>
  <w:footnote w:id="15">
    <w:p w:rsidR="00AA3D77" w14:paraId="65C47F24" w14:textId="33F6447F">
      <w:pPr>
        <w:pStyle w:val="FootnoteText"/>
      </w:pPr>
      <w:r>
        <w:rPr>
          <w:rStyle w:val="FootnoteReference"/>
        </w:rPr>
        <w:footnoteRef/>
      </w:r>
      <w:r>
        <w:t xml:space="preserve"> ATVA Objection at 16-29.</w:t>
      </w:r>
    </w:p>
  </w:footnote>
  <w:footnote w:id="16">
    <w:p w:rsidR="00F8692B" w14:paraId="3782D6B4" w14:textId="0A10D58B">
      <w:pPr>
        <w:pStyle w:val="FootnoteText"/>
      </w:pPr>
      <w:r>
        <w:rPr>
          <w:rStyle w:val="FootnoteReference"/>
        </w:rPr>
        <w:footnoteRef/>
      </w:r>
      <w:r>
        <w:t xml:space="preserve"> NCTA Objection at 4.</w:t>
      </w:r>
    </w:p>
  </w:footnote>
  <w:footnote w:id="17">
    <w:p w:rsidR="00EC1A73" w:rsidRPr="00775C3C" w:rsidP="00EC1A73" w14:paraId="1E41C20A" w14:textId="77777777">
      <w:pPr>
        <w:pStyle w:val="FootnoteText"/>
      </w:pPr>
      <w:r>
        <w:rPr>
          <w:rStyle w:val="FootnoteReference"/>
        </w:rPr>
        <w:footnoteRef/>
      </w:r>
      <w:r>
        <w:t xml:space="preserve"> </w:t>
      </w:r>
      <w:r>
        <w:rPr>
          <w:i/>
          <w:iCs/>
        </w:rPr>
        <w:t>Id</w:t>
      </w:r>
      <w:r>
        <w:t>. at 4.</w:t>
      </w:r>
    </w:p>
  </w:footnote>
  <w:footnote w:id="18">
    <w:p w:rsidR="0085560E" w14:paraId="094DB763" w14:textId="00706D06">
      <w:pPr>
        <w:pStyle w:val="FootnoteText"/>
      </w:pPr>
      <w:r>
        <w:rPr>
          <w:rStyle w:val="FootnoteReference"/>
        </w:rPr>
        <w:footnoteRef/>
      </w:r>
      <w:r>
        <w:t xml:space="preserve"> Joint Opposition to Comments</w:t>
      </w:r>
      <w:r w:rsidR="00B55840">
        <w:t xml:space="preserve"> </w:t>
      </w:r>
      <w:r w:rsidR="002E5BC7">
        <w:t xml:space="preserve">of Gray Television Licensee, LLC, Scripps Broadcasting Holdings LLC, and ION Television License, LLC </w:t>
      </w:r>
      <w:r w:rsidR="00B55840">
        <w:t>at 4</w:t>
      </w:r>
      <w:r w:rsidR="00FF0D3B">
        <w:t>, LMS Pleading File No. 0000</w:t>
      </w:r>
      <w:r w:rsidR="00464B09">
        <w:t>278356</w:t>
      </w:r>
      <w:r w:rsidR="00B55840">
        <w:t xml:space="preserve"> (filed Sep. 15, 2025) (Joint Opposition).</w:t>
      </w:r>
    </w:p>
  </w:footnote>
  <w:footnote w:id="19">
    <w:p w:rsidR="007B1C17" w14:paraId="36337D04" w14:textId="7A5043A0">
      <w:pPr>
        <w:pStyle w:val="FootnoteText"/>
      </w:pPr>
      <w:r>
        <w:rPr>
          <w:rStyle w:val="FootnoteReference"/>
        </w:rPr>
        <w:footnoteRef/>
      </w:r>
      <w:r>
        <w:t xml:space="preserve"> </w:t>
      </w:r>
      <w:r w:rsidRPr="009B26A2">
        <w:rPr>
          <w:i/>
          <w:iCs/>
        </w:rPr>
        <w:t>Id.</w:t>
      </w:r>
      <w:r>
        <w:t xml:space="preserve"> at 8 (quoting</w:t>
      </w:r>
      <w:r w:rsidR="00131288">
        <w:t xml:space="preserve"> </w:t>
      </w:r>
      <w:r w:rsidRPr="008B0687" w:rsidR="00131288">
        <w:rPr>
          <w:i/>
          <w:iCs/>
        </w:rPr>
        <w:t>Consent to Transfer Control of Media General, Inc. to Nexstar Media Group, Inc.</w:t>
      </w:r>
      <w:r w:rsidRPr="00131288" w:rsidR="00131288">
        <w:t xml:space="preserve">, Memorandum Opinion and Order, 32 FCC </w:t>
      </w:r>
      <w:r w:rsidRPr="00131288" w:rsidR="00131288">
        <w:t>Rcd</w:t>
      </w:r>
      <w:r w:rsidRPr="00131288" w:rsidR="00131288">
        <w:t xml:space="preserve"> 183, 191-192 (2017)</w:t>
      </w:r>
      <w:r w:rsidR="00131288">
        <w:t>.</w:t>
      </w:r>
      <w:r>
        <w:t xml:space="preserve"> </w:t>
      </w:r>
    </w:p>
  </w:footnote>
  <w:footnote w:id="20">
    <w:p w:rsidR="00BD0A8B" w14:paraId="46C3BF7B" w14:textId="44393C8A">
      <w:pPr>
        <w:pStyle w:val="FootnoteText"/>
      </w:pPr>
      <w:r>
        <w:rPr>
          <w:rStyle w:val="FootnoteReference"/>
        </w:rPr>
        <w:footnoteRef/>
      </w:r>
      <w:r>
        <w:t xml:space="preserve"> </w:t>
      </w:r>
      <w:r w:rsidR="00E02B77">
        <w:t>Joint Opposition</w:t>
      </w:r>
      <w:r>
        <w:t xml:space="preserve"> at </w:t>
      </w:r>
      <w:r w:rsidR="00BD43F8">
        <w:t>8.</w:t>
      </w:r>
    </w:p>
  </w:footnote>
  <w:footnote w:id="21">
    <w:p w:rsidR="00F51B85" w14:paraId="738AA71A" w14:textId="54271407">
      <w:pPr>
        <w:pStyle w:val="FootnoteText"/>
      </w:pPr>
      <w:r>
        <w:rPr>
          <w:rStyle w:val="FootnoteReference"/>
        </w:rPr>
        <w:footnoteRef/>
      </w:r>
      <w:r>
        <w:t xml:space="preserve"> </w:t>
      </w:r>
      <w:r w:rsidRPr="008B0687">
        <w:rPr>
          <w:i/>
          <w:iCs/>
        </w:rPr>
        <w:t>Id.</w:t>
      </w:r>
      <w:r>
        <w:t xml:space="preserve"> at </w:t>
      </w:r>
      <w:r w:rsidR="009D5ABC">
        <w:t>7 &amp; n.21 (</w:t>
      </w:r>
      <w:r w:rsidR="00837F60">
        <w:t xml:space="preserve">citing </w:t>
      </w:r>
      <w:r w:rsidR="0070458A">
        <w:t xml:space="preserve">various Commission decisions declining to </w:t>
      </w:r>
      <w:r w:rsidR="009C1B10">
        <w:t xml:space="preserve">consider </w:t>
      </w:r>
      <w:r w:rsidRPr="009C1B10" w:rsidR="009C1B10">
        <w:t>arguments about retransmission consent rates</w:t>
      </w:r>
      <w:r w:rsidR="00D663AB">
        <w:t xml:space="preserve"> in an adjudicatory context).</w:t>
      </w:r>
    </w:p>
  </w:footnote>
  <w:footnote w:id="22">
    <w:p w:rsidR="00B55C94" w14:paraId="1A82AD0C" w14:textId="382A4713">
      <w:pPr>
        <w:pStyle w:val="FootnoteText"/>
      </w:pPr>
      <w:r>
        <w:rPr>
          <w:rStyle w:val="FootnoteReference"/>
        </w:rPr>
        <w:footnoteRef/>
      </w:r>
      <w:r>
        <w:t xml:space="preserve"> </w:t>
      </w:r>
      <w:r w:rsidRPr="009B26A2">
        <w:rPr>
          <w:i/>
          <w:iCs/>
        </w:rPr>
        <w:t>Id.</w:t>
      </w:r>
      <w:r>
        <w:t xml:space="preserve"> at </w:t>
      </w:r>
      <w:r w:rsidR="00997D72">
        <w:t>12-21.</w:t>
      </w:r>
    </w:p>
  </w:footnote>
  <w:footnote w:id="23">
    <w:p w:rsidR="00A47BBF" w14:paraId="2D7F2763" w14:textId="3C11C62A">
      <w:pPr>
        <w:pStyle w:val="FootnoteText"/>
      </w:pPr>
      <w:r>
        <w:rPr>
          <w:rStyle w:val="FootnoteReference"/>
        </w:rPr>
        <w:footnoteRef/>
      </w:r>
      <w:r>
        <w:t xml:space="preserve"> </w:t>
      </w:r>
      <w:r w:rsidR="00EF2B97">
        <w:t xml:space="preserve">Reply </w:t>
      </w:r>
      <w:r w:rsidRPr="00F41C82" w:rsidR="00EF2B97">
        <w:t>Comments of the American Television Alliance</w:t>
      </w:r>
      <w:r w:rsidR="00EF2B97">
        <w:t xml:space="preserve"> </w:t>
      </w:r>
      <w:r w:rsidRPr="00F41C82" w:rsidR="00EF2B97">
        <w:t>at 3</w:t>
      </w:r>
      <w:r w:rsidR="00C90997">
        <w:t>, LMS Pleading File No. 0000</w:t>
      </w:r>
      <w:r w:rsidR="00E50A24">
        <w:t>278756</w:t>
      </w:r>
      <w:r w:rsidRPr="00F41C82" w:rsidR="00EF2B97">
        <w:t xml:space="preserve"> (filed Aug. 29, 2025)</w:t>
      </w:r>
      <w:r w:rsidR="00690572">
        <w:t xml:space="preserve"> (</w:t>
      </w:r>
      <w:r w:rsidR="00E35735">
        <w:t xml:space="preserve">quoting </w:t>
      </w:r>
      <w:r w:rsidRPr="008B0687" w:rsidR="00E35735">
        <w:rPr>
          <w:i/>
          <w:iCs/>
        </w:rPr>
        <w:t>Applications of AT&amp;T Inc. and DIRECTV for Consent to Assign or Transfer Control of Licenses and Authorizations</w:t>
      </w:r>
      <w:r w:rsidRPr="00E35735" w:rsidR="00E35735">
        <w:t xml:space="preserve">, Memorandum Opinion and Order, 30 FCC </w:t>
      </w:r>
      <w:r w:rsidRPr="00E35735" w:rsidR="00E35735">
        <w:t>Rcd</w:t>
      </w:r>
      <w:r w:rsidRPr="00E35735" w:rsidR="00E35735">
        <w:t>. 9131, 9134</w:t>
      </w:r>
      <w:r w:rsidR="00943A72">
        <w:t>, para.</w:t>
      </w:r>
      <w:r w:rsidRPr="00E35735" w:rsidR="00E35735">
        <w:t xml:space="preserve"> 18 (2015</w:t>
      </w:r>
      <w:r w:rsidR="00E35735">
        <w:t>)).</w:t>
      </w:r>
    </w:p>
  </w:footnote>
  <w:footnote w:id="24">
    <w:p w:rsidR="001C431A" w14:paraId="16D36B74" w14:textId="0EB38687">
      <w:pPr>
        <w:pStyle w:val="FootnoteText"/>
      </w:pPr>
      <w:r>
        <w:rPr>
          <w:rStyle w:val="FootnoteReference"/>
        </w:rPr>
        <w:footnoteRef/>
      </w:r>
      <w:r>
        <w:t xml:space="preserve"> </w:t>
      </w:r>
      <w:r w:rsidRPr="008B0687" w:rsidR="00F94C9D">
        <w:rPr>
          <w:i/>
          <w:iCs/>
        </w:rPr>
        <w:t>Id.</w:t>
      </w:r>
      <w:r w:rsidR="00F94C9D">
        <w:t xml:space="preserve"> at 4-5.</w:t>
      </w:r>
    </w:p>
  </w:footnote>
  <w:footnote w:id="25">
    <w:p w:rsidR="00C06FA4" w14:paraId="51450137" w14:textId="2282ECEC">
      <w:pPr>
        <w:pStyle w:val="FootnoteText"/>
      </w:pPr>
      <w:r>
        <w:rPr>
          <w:rStyle w:val="FootnoteReference"/>
        </w:rPr>
        <w:footnoteRef/>
      </w:r>
      <w:r>
        <w:t xml:space="preserve"> </w:t>
      </w:r>
      <w:r w:rsidRPr="008B0687">
        <w:rPr>
          <w:i/>
          <w:iCs/>
        </w:rPr>
        <w:t>Id.</w:t>
      </w:r>
      <w:r>
        <w:t xml:space="preserve"> at 6 (emphasis in original).</w:t>
      </w:r>
    </w:p>
  </w:footnote>
  <w:footnote w:id="26">
    <w:p w:rsidR="007F49AA" w:rsidP="007F49AA" w14:paraId="4B6C577A" w14:textId="4071EB71">
      <w:pPr>
        <w:pStyle w:val="FootnoteText"/>
      </w:pPr>
      <w:r>
        <w:rPr>
          <w:rStyle w:val="FootnoteReference"/>
        </w:rPr>
        <w:footnoteRef/>
      </w:r>
      <w:r w:rsidR="00D741F9">
        <w:t xml:space="preserve"> </w:t>
      </w:r>
      <w:r w:rsidRPr="008B0687" w:rsidR="00D741F9">
        <w:rPr>
          <w:i/>
          <w:iCs/>
        </w:rPr>
        <w:t>Id.</w:t>
      </w:r>
      <w:r w:rsidR="00D741F9">
        <w:t xml:space="preserve"> at 9-24.</w:t>
      </w:r>
    </w:p>
  </w:footnote>
  <w:footnote w:id="27">
    <w:p w:rsidR="004904EF" w:rsidP="000A6AC6" w14:paraId="24E0432D" w14:textId="62421BC0">
      <w:pPr>
        <w:pStyle w:val="FootnoteText"/>
      </w:pPr>
      <w:r>
        <w:rPr>
          <w:rStyle w:val="FootnoteReference"/>
        </w:rPr>
        <w:footnoteRef/>
      </w:r>
      <w:r>
        <w:t xml:space="preserve"> </w:t>
      </w:r>
      <w:bookmarkStart w:id="1" w:name="_Hlk216883754"/>
      <w:r>
        <w:t>47 U.S.C. § 310(d)</w:t>
      </w:r>
      <w:bookmarkEnd w:id="1"/>
      <w:r>
        <w:t xml:space="preserve">.  </w:t>
      </w:r>
    </w:p>
  </w:footnote>
  <w:footnote w:id="28">
    <w:p w:rsidR="004904EF" w:rsidP="000A6AC6" w14:paraId="4A7DEB97" w14:textId="3F3C14B2">
      <w:pPr>
        <w:pStyle w:val="FootnoteText"/>
        <w:widowControl w:val="0"/>
      </w:pPr>
      <w:r>
        <w:rPr>
          <w:rStyle w:val="FootnoteReference"/>
        </w:rPr>
        <w:footnoteRef/>
      </w:r>
      <w:r>
        <w:t xml:space="preserve"> </w:t>
      </w:r>
      <w:r w:rsidRPr="009B26A2" w:rsidR="000A6AC6">
        <w:rPr>
          <w:i/>
          <w:iCs/>
        </w:rPr>
        <w:t>Applications for Consent to the Transfer of Control of Paramount Global</w:t>
      </w:r>
      <w:r w:rsidR="000A6AC6">
        <w:t xml:space="preserve">, </w:t>
      </w:r>
      <w:r w:rsidR="00C77D0F">
        <w:t xml:space="preserve">Memorandum Opinion and Order, </w:t>
      </w:r>
      <w:r w:rsidR="000A6AC6">
        <w:t xml:space="preserve">40 FCC </w:t>
      </w:r>
      <w:r w:rsidR="000A6AC6">
        <w:t>Rcd</w:t>
      </w:r>
      <w:r w:rsidR="000A6AC6">
        <w:t xml:space="preserve"> 5689, 5701</w:t>
      </w:r>
      <w:r w:rsidR="0079095C">
        <w:t>,</w:t>
      </w:r>
      <w:r w:rsidR="000A6AC6">
        <w:t xml:space="preserve"> para. 25 (2025). </w:t>
      </w:r>
      <w:r w:rsidRPr="0019130C" w:rsidR="000A6AC6">
        <w:t xml:space="preserve"> </w:t>
      </w:r>
    </w:p>
  </w:footnote>
  <w:footnote w:id="29">
    <w:p w:rsidR="004904EF" w:rsidP="004904EF" w14:paraId="5BC3DC51" w14:textId="7FD2368E">
      <w:pPr>
        <w:pStyle w:val="FootnoteText"/>
        <w:widowControl w:val="0"/>
      </w:pPr>
      <w:r>
        <w:rPr>
          <w:rStyle w:val="FootnoteReference"/>
        </w:rPr>
        <w:footnoteRef/>
      </w:r>
      <w:r>
        <w:t xml:space="preserve"> </w:t>
      </w:r>
      <w:r w:rsidR="000A6AC6">
        <w:rPr>
          <w:i/>
          <w:iCs/>
        </w:rPr>
        <w:t>Id.</w:t>
      </w:r>
    </w:p>
  </w:footnote>
  <w:footnote w:id="30">
    <w:p w:rsidR="001869AE" w:rsidP="001869AE" w14:paraId="167BFB28" w14:textId="3C7D5FF4">
      <w:pPr>
        <w:pStyle w:val="FootnoteText"/>
      </w:pPr>
      <w:r>
        <w:rPr>
          <w:rStyle w:val="FootnoteReference"/>
        </w:rPr>
        <w:footnoteRef/>
      </w:r>
      <w:r>
        <w:t xml:space="preserve"> </w:t>
      </w:r>
      <w:r w:rsidRPr="00D06B1C">
        <w:rPr>
          <w:i/>
          <w:iCs/>
        </w:rPr>
        <w:t>See</w:t>
      </w:r>
      <w:r>
        <w:t xml:space="preserve"> </w:t>
      </w:r>
      <w:r w:rsidRPr="005471C5">
        <w:rPr>
          <w:i/>
          <w:iCs/>
        </w:rPr>
        <w:t>Sinclair-Cunningham-Roberts Letter Order</w:t>
      </w:r>
      <w:r w:rsidR="00346726">
        <w:t xml:space="preserve">; </w:t>
      </w:r>
      <w:r w:rsidRPr="00C441B2" w:rsidR="00C441B2">
        <w:rPr>
          <w:i/>
          <w:iCs/>
        </w:rPr>
        <w:t>Letter from Chief, Video Division to Sinclair Inc., et al.</w:t>
      </w:r>
      <w:r w:rsidRPr="00C441B2" w:rsidR="00C441B2">
        <w:t>, Letter Order, DA 26-117 (MB Mar. 9, 2026) (</w:t>
      </w:r>
      <w:r w:rsidRPr="00C441B2" w:rsidR="00C441B2">
        <w:rPr>
          <w:i/>
          <w:iCs/>
        </w:rPr>
        <w:t>Sinclair-HSH-Cunningham-Deerfield Letter Order</w:t>
      </w:r>
      <w:r w:rsidRPr="00C441B2" w:rsidR="00C441B2">
        <w:t>)</w:t>
      </w:r>
      <w:r>
        <w:t>.</w:t>
      </w:r>
    </w:p>
  </w:footnote>
  <w:footnote w:id="31">
    <w:p w:rsidR="001869AE" w:rsidRPr="009F0AC7" w:rsidP="001869AE" w14:paraId="2B2D23EF" w14:textId="77777777">
      <w:pPr>
        <w:pStyle w:val="FootnoteText"/>
      </w:pPr>
      <w:r>
        <w:rPr>
          <w:rStyle w:val="FootnoteReference"/>
        </w:rPr>
        <w:footnoteRef/>
      </w:r>
      <w:r>
        <w:t xml:space="preserve"> </w:t>
      </w:r>
      <w:r>
        <w:rPr>
          <w:i/>
          <w:iCs/>
        </w:rPr>
        <w:t>Sinclair-Cunningham-Roberts</w:t>
      </w:r>
      <w:r w:rsidRPr="009F0AC7">
        <w:rPr>
          <w:i/>
          <w:iCs/>
        </w:rPr>
        <w:t xml:space="preserve"> Letter Order</w:t>
      </w:r>
      <w:r>
        <w:t xml:space="preserve"> at 8 (emphasis in original).</w:t>
      </w:r>
    </w:p>
  </w:footnote>
  <w:footnote w:id="32">
    <w:p w:rsidR="001869AE" w:rsidRPr="00D847E7" w:rsidP="001869AE" w14:paraId="7DC864A8" w14:textId="77777777">
      <w:pPr>
        <w:pStyle w:val="FootnoteText"/>
      </w:pPr>
      <w:r>
        <w:rPr>
          <w:rStyle w:val="FootnoteReference"/>
        </w:rPr>
        <w:footnoteRef/>
      </w:r>
      <w:r>
        <w:t xml:space="preserve"> </w:t>
      </w:r>
      <w:r>
        <w:rPr>
          <w:i/>
          <w:iCs/>
        </w:rPr>
        <w:t>Id</w:t>
      </w:r>
      <w:r>
        <w:t>.</w:t>
      </w:r>
    </w:p>
  </w:footnote>
  <w:footnote w:id="33">
    <w:p w:rsidR="001869AE" w:rsidP="001869AE" w14:paraId="0BCA8343" w14:textId="77777777">
      <w:pPr>
        <w:pStyle w:val="FootnoteText"/>
        <w:widowControl w:val="0"/>
      </w:pPr>
      <w:r>
        <w:rPr>
          <w:rStyle w:val="FootnoteReference"/>
        </w:rPr>
        <w:footnoteRef/>
      </w:r>
      <w:r>
        <w:t xml:space="preserve"> 47 U.S.C. § 309(d)(1); </w:t>
      </w:r>
      <w:r w:rsidRPr="008B0687">
        <w:rPr>
          <w:i/>
          <w:iCs/>
        </w:rPr>
        <w:t>see also</w:t>
      </w:r>
      <w:r>
        <w:t xml:space="preserve"> 47 CFR § 73.3584.</w:t>
      </w:r>
    </w:p>
  </w:footnote>
  <w:footnote w:id="34">
    <w:p w:rsidR="001869AE" w:rsidRPr="00404417" w:rsidP="001869AE" w14:paraId="731A4920" w14:textId="11E18B5B">
      <w:pPr>
        <w:pStyle w:val="FootnoteText"/>
        <w:rPr>
          <w:u w:val="single"/>
        </w:rPr>
      </w:pPr>
      <w:r>
        <w:rPr>
          <w:rStyle w:val="FootnoteReference"/>
        </w:rPr>
        <w:footnoteRef/>
      </w:r>
      <w:r>
        <w:t xml:space="preserve"> </w:t>
      </w:r>
      <w:r>
        <w:rPr>
          <w:i/>
          <w:iCs/>
        </w:rPr>
        <w:t>See</w:t>
      </w:r>
      <w:r>
        <w:t xml:space="preserve">, </w:t>
      </w:r>
      <w:r>
        <w:rPr>
          <w:i/>
          <w:iCs/>
        </w:rPr>
        <w:t>e.g.</w:t>
      </w:r>
      <w:r>
        <w:t xml:space="preserve">, </w:t>
      </w:r>
      <w:r w:rsidR="00306704">
        <w:t>NCTA Objection at 4 (“</w:t>
      </w:r>
      <w:r w:rsidRPr="00306704" w:rsidR="00306704">
        <w:t xml:space="preserve">The applicants’ assertions about benefits are insufficient to overcome the long-accepted understanding that creation of duopolies—particularly among top-four stations—puts upward pressure on retransmission consent fees and consumer prices for multichannel video services, which also places cable operators and other MVPDs at a competitive disadvantage compared with online video providers. </w:t>
      </w:r>
      <w:r w:rsidR="00306704">
        <w:t xml:space="preserve"> </w:t>
      </w:r>
      <w:r w:rsidRPr="00306704" w:rsidR="00306704">
        <w:t>The risk of this harm is exacerbated in the markets where this transaction would lead to common ownership of the two top-rated stations.</w:t>
      </w:r>
      <w:r w:rsidR="00306704">
        <w:t xml:space="preserve">”); ATVA </w:t>
      </w:r>
      <w:r w:rsidRPr="00202A43" w:rsidR="00306704">
        <w:t xml:space="preserve">Objection at 10-14 (arguing that </w:t>
      </w:r>
      <w:r w:rsidRPr="00404417" w:rsidR="00306704">
        <w:t>retransmission consent prices would increase because of the Transaction)</w:t>
      </w:r>
      <w:r w:rsidRPr="00202A43">
        <w:t>.</w:t>
      </w:r>
    </w:p>
  </w:footnote>
  <w:footnote w:id="35">
    <w:p w:rsidR="001869AE" w:rsidP="001869AE" w14:paraId="52743BC6" w14:textId="0910AA71">
      <w:pPr>
        <w:pStyle w:val="FootnoteText"/>
      </w:pPr>
      <w:r>
        <w:rPr>
          <w:rStyle w:val="FootnoteReference"/>
        </w:rPr>
        <w:footnoteRef/>
      </w:r>
      <w:r>
        <w:t xml:space="preserve"> </w:t>
      </w:r>
      <w:r w:rsidRPr="00C95FB6">
        <w:rPr>
          <w:i/>
          <w:iCs/>
        </w:rPr>
        <w:t>Sinclair-Cunningham-Roberts Letter Order</w:t>
      </w:r>
      <w:r w:rsidRPr="009D362D">
        <w:t xml:space="preserve"> at </w:t>
      </w:r>
      <w:r>
        <w:t>9 (“</w:t>
      </w:r>
      <w:r w:rsidRPr="001D6322">
        <w:t xml:space="preserve">In essence, DIRECTV argues that additional scale will lead to increased retransmission consent rates, which it will pass along to consumers. </w:t>
      </w:r>
      <w:r w:rsidR="00306704">
        <w:t xml:space="preserve"> </w:t>
      </w:r>
      <w:r w:rsidRPr="001D6322">
        <w:t>We find this argument, as it relates to these transactions, to be speculative and unsupported by any transaction-specific evidence.</w:t>
      </w:r>
      <w:r>
        <w:t xml:space="preserve">”); </w:t>
      </w:r>
      <w:r w:rsidRPr="0065338B">
        <w:rPr>
          <w:i/>
          <w:iCs/>
        </w:rPr>
        <w:t>Sinclair</w:t>
      </w:r>
      <w:r w:rsidR="00306704">
        <w:rPr>
          <w:i/>
          <w:iCs/>
        </w:rPr>
        <w:noBreakHyphen/>
      </w:r>
      <w:r w:rsidRPr="0065338B">
        <w:rPr>
          <w:i/>
          <w:iCs/>
        </w:rPr>
        <w:t>HSH</w:t>
      </w:r>
      <w:r w:rsidR="00306704">
        <w:rPr>
          <w:i/>
          <w:iCs/>
        </w:rPr>
        <w:noBreakHyphen/>
      </w:r>
      <w:r w:rsidRPr="0065338B">
        <w:rPr>
          <w:i/>
          <w:iCs/>
        </w:rPr>
        <w:t>Cunningham-Deerfield Letter Orde</w:t>
      </w:r>
      <w:r>
        <w:rPr>
          <w:i/>
          <w:iCs/>
        </w:rPr>
        <w:t xml:space="preserve">r </w:t>
      </w:r>
      <w:r>
        <w:t>at 6.</w:t>
      </w:r>
    </w:p>
  </w:footnote>
  <w:footnote w:id="36">
    <w:p w:rsidR="001869AE" w:rsidRPr="001C014C" w:rsidP="001869AE" w14:paraId="5025EB2D" w14:textId="77777777">
      <w:pPr>
        <w:pStyle w:val="FootnoteText"/>
      </w:pPr>
      <w:r>
        <w:rPr>
          <w:rStyle w:val="FootnoteReference"/>
        </w:rPr>
        <w:footnoteRef/>
      </w:r>
      <w:r>
        <w:t xml:space="preserve"> </w:t>
      </w:r>
      <w:r>
        <w:rPr>
          <w:i/>
          <w:iCs/>
        </w:rPr>
        <w:t>Id</w:t>
      </w:r>
      <w:r>
        <w:t xml:space="preserve">.; </w:t>
      </w:r>
      <w:r>
        <w:rPr>
          <w:i/>
          <w:iCs/>
        </w:rPr>
        <w:t>ACME Television, Inc.</w:t>
      </w:r>
      <w:r>
        <w:t xml:space="preserve">, Letter Decision, 26 FCC </w:t>
      </w:r>
      <w:r>
        <w:t>Rcd</w:t>
      </w:r>
      <w:r>
        <w:t xml:space="preserve"> 5189, 5192 (MB 2011), </w:t>
      </w:r>
      <w:r w:rsidRPr="00E511E2">
        <w:rPr>
          <w:szCs w:val="22"/>
        </w:rPr>
        <w:t>citing</w:t>
      </w:r>
      <w:r w:rsidRPr="005D1ECD">
        <w:rPr>
          <w:i/>
          <w:iCs/>
          <w:szCs w:val="22"/>
        </w:rPr>
        <w:t xml:space="preserve"> </w:t>
      </w:r>
      <w:hyperlink r:id="rId1" w:anchor="co_pp_sp_4493_6599" w:history="1">
        <w:r w:rsidRPr="001C014C">
          <w:rPr>
            <w:i/>
            <w:iCs/>
            <w:szCs w:val="22"/>
          </w:rPr>
          <w:t>Pine Bluff Radio, Inc.</w:t>
        </w:r>
        <w:r w:rsidRPr="001C014C">
          <w:rPr>
            <w:szCs w:val="22"/>
          </w:rPr>
          <w:t xml:space="preserve">, Memorandum Opinion and Order, 14 FCC </w:t>
        </w:r>
        <w:r w:rsidRPr="001C014C">
          <w:rPr>
            <w:szCs w:val="22"/>
          </w:rPr>
          <w:t>Rcd</w:t>
        </w:r>
        <w:r w:rsidRPr="001C014C">
          <w:rPr>
            <w:szCs w:val="22"/>
          </w:rPr>
          <w:t xml:space="preserve"> 6594, 6599 (1999)</w:t>
        </w:r>
      </w:hyperlink>
      <w:r w:rsidRPr="001C014C">
        <w:rPr>
          <w:szCs w:val="22"/>
        </w:rPr>
        <w:t xml:space="preserve">; </w:t>
      </w:r>
      <w:hyperlink r:id="rId2" w:anchor="co_pp_sp_4493_11148" w:history="1">
        <w:r w:rsidRPr="001C014C">
          <w:rPr>
            <w:i/>
            <w:iCs/>
            <w:szCs w:val="22"/>
          </w:rPr>
          <w:t>Application of Great Empire Broadcasting, Inc. and Journal Broadcasting Corp.</w:t>
        </w:r>
        <w:r w:rsidRPr="001C014C">
          <w:rPr>
            <w:szCs w:val="22"/>
          </w:rPr>
          <w:t xml:space="preserve">, Memorandum Opinion and Order, 14 FCC </w:t>
        </w:r>
        <w:r w:rsidRPr="001C014C">
          <w:rPr>
            <w:szCs w:val="22"/>
          </w:rPr>
          <w:t>Rcd</w:t>
        </w:r>
        <w:r w:rsidRPr="001C014C">
          <w:rPr>
            <w:szCs w:val="22"/>
          </w:rPr>
          <w:t xml:space="preserve"> 11145, 11148 (1999)</w:t>
        </w:r>
      </w:hyperlink>
      <w:r>
        <w:rPr>
          <w:szCs w:val="22"/>
        </w:rPr>
        <w:t xml:space="preserve">.  </w:t>
      </w:r>
      <w:r>
        <w:rPr>
          <w:i/>
          <w:iCs/>
          <w:szCs w:val="22"/>
        </w:rPr>
        <w:t>See, also,</w:t>
      </w:r>
      <w:r w:rsidRPr="001C014C">
        <w:rPr>
          <w:szCs w:val="22"/>
        </w:rPr>
        <w:t xml:space="preserve"> </w:t>
      </w:r>
      <w:r w:rsidRPr="001C014C">
        <w:rPr>
          <w:i/>
          <w:iCs/>
          <w:szCs w:val="22"/>
        </w:rPr>
        <w:t>Community Television of Southern California v. Gottfried,</w:t>
      </w:r>
      <w:r w:rsidRPr="001C014C">
        <w:rPr>
          <w:szCs w:val="22"/>
        </w:rPr>
        <w:t xml:space="preserve"> 459 U.S. 499, 511 (1983) (“[A] rulemaking is generally a better, fairer, and more effective method of implementing a new industry wide policy than uneven application of conditions in isolated [adjudicatory] proceedings.”)</w:t>
      </w:r>
      <w:r>
        <w:rPr>
          <w:szCs w:val="22"/>
        </w:rPr>
        <w:t>.</w:t>
      </w:r>
    </w:p>
  </w:footnote>
  <w:footnote w:id="37">
    <w:p w:rsidR="001869AE" w:rsidP="001869AE" w14:paraId="59BC0BCA" w14:textId="77777777">
      <w:pPr>
        <w:pStyle w:val="FootnoteText"/>
      </w:pPr>
      <w:r>
        <w:rPr>
          <w:rStyle w:val="FootnoteReference"/>
        </w:rPr>
        <w:footnoteRef/>
      </w:r>
      <w:r>
        <w:t xml:space="preserve"> </w:t>
      </w:r>
      <w:r>
        <w:rPr>
          <w:i/>
          <w:iCs/>
        </w:rPr>
        <w:t>Sinclair-Cunningham-Roberts</w:t>
      </w:r>
      <w:r w:rsidRPr="00AE291E">
        <w:rPr>
          <w:i/>
          <w:iCs/>
        </w:rPr>
        <w:t xml:space="preserve"> Letter Order</w:t>
      </w:r>
      <w:r w:rsidRPr="00AE291E">
        <w:t xml:space="preserve"> at 7</w:t>
      </w:r>
      <w:r>
        <w:t>-8</w:t>
      </w:r>
      <w:r w:rsidRPr="00AE291E">
        <w:t>.</w:t>
      </w:r>
    </w:p>
  </w:footnote>
  <w:footnote w:id="38">
    <w:p w:rsidR="004A05FB" w:rsidRPr="00A64DB5" w:rsidP="004A05FB" w14:paraId="7BB6C004" w14:textId="32A901DE">
      <w:pPr>
        <w:pStyle w:val="FootnoteText"/>
        <w:widowControl w:val="0"/>
      </w:pPr>
      <w:r w:rsidRPr="00A64DB5">
        <w:rPr>
          <w:rStyle w:val="FootnoteReference"/>
        </w:rPr>
        <w:footnoteRef/>
      </w:r>
      <w:r w:rsidRPr="00A64DB5">
        <w:t xml:space="preserve"> Joint Opposition at </w:t>
      </w:r>
      <w:r w:rsidR="005B56EB">
        <w:t>21</w:t>
      </w:r>
      <w:r w:rsidRPr="00A64DB5">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B54DB" w14:paraId="5526A9CF" w14:textId="29B91DD6">
    <w:pPr>
      <w:pStyle w:val="Header"/>
      <w:tabs>
        <w:tab w:val="clear" w:pos="4320"/>
        <w:tab w:val="clear" w:pos="8640"/>
      </w:tabs>
      <w:spacing w:before="360" w:line="228" w:lineRule="auto"/>
      <w:jc w:val="center"/>
    </w:pPr>
    <w:r>
      <w:rPr>
        <w:noProof/>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Pr>
        <w:rFonts w:ascii="CG Times (W1)" w:hAnsi="CG Times (W1)"/>
        <w:sz w:val="28"/>
      </w:rPr>
      <w:t>Federal Communications Commission</w:t>
    </w:r>
  </w:p>
  <w:p w:rsidR="002B54DB" w:rsidP="001333F1" w14:paraId="474D5F50" w14:textId="77777777">
    <w:pPr>
      <w:tabs>
        <w:tab w:val="center" w:pos="4680"/>
        <w:tab w:val="left" w:pos="8400"/>
      </w:tabs>
    </w:pPr>
    <w:r>
      <w:rPr>
        <w:rFonts w:ascii="CG Times (W1)" w:hAnsi="CG Times (W1)"/>
        <w:sz w:val="28"/>
      </w:rPr>
      <w:tab/>
    </w:r>
    <w:r>
      <w:rPr>
        <w:rFonts w:ascii="CG Times (W1)" w:hAnsi="CG Times (W1)"/>
        <w:sz w:val="28"/>
      </w:rPr>
      <w:t>Washington, D.C. 20554</w:t>
    </w:r>
    <w:r>
      <w:rPr>
        <w:rFonts w:ascii="CG Times (W1)" w:hAnsi="CG Times (W1)"/>
        <w:sz w:val="28"/>
      </w:rPr>
      <w:tab/>
    </w:r>
  </w:p>
  <w:p w:rsidR="002B54DB" w14:paraId="1E4EEAEE" w14:textId="77777777">
    <w:pPr>
      <w:pStyle w:val="Header"/>
      <w:tabs>
        <w:tab w:val="clear" w:pos="4320"/>
      </w:tabs>
      <w:jc w:val="center"/>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4DF0F11"/>
    <w:multiLevelType w:val="hybridMultilevel"/>
    <w:tmpl w:val="4148EBB0"/>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468015921">
    <w:abstractNumId w:val="1"/>
  </w:num>
  <w:num w:numId="2" w16cid:durableId="670058917">
    <w:abstractNumId w:val="0"/>
  </w:num>
  <w:num w:numId="3" w16cid:durableId="225187286">
    <w:abstractNumId w:val="1"/>
  </w:num>
  <w:num w:numId="4" w16cid:durableId="7302272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displayHorizontalDrawingGridEvery w:val="0"/>
  <w:displayVerticalDrawingGridEvery w:val="0"/>
  <w:doNotUseMarginsForDrawingGridOrigin/>
  <w:noPunctuationKerning/>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CE3"/>
    <w:rsid w:val="0000236A"/>
    <w:rsid w:val="00003B11"/>
    <w:rsid w:val="000053E2"/>
    <w:rsid w:val="0000664E"/>
    <w:rsid w:val="0000724C"/>
    <w:rsid w:val="00012044"/>
    <w:rsid w:val="00013A72"/>
    <w:rsid w:val="000140EE"/>
    <w:rsid w:val="000141A2"/>
    <w:rsid w:val="00015DC4"/>
    <w:rsid w:val="0001697E"/>
    <w:rsid w:val="00016C86"/>
    <w:rsid w:val="00017C5B"/>
    <w:rsid w:val="00017EA0"/>
    <w:rsid w:val="00021504"/>
    <w:rsid w:val="00022B51"/>
    <w:rsid w:val="00023C67"/>
    <w:rsid w:val="00025447"/>
    <w:rsid w:val="00025FD3"/>
    <w:rsid w:val="0002663D"/>
    <w:rsid w:val="000277D0"/>
    <w:rsid w:val="0003153B"/>
    <w:rsid w:val="0003256C"/>
    <w:rsid w:val="00032F72"/>
    <w:rsid w:val="00033144"/>
    <w:rsid w:val="00035AB1"/>
    <w:rsid w:val="00035EA3"/>
    <w:rsid w:val="00036276"/>
    <w:rsid w:val="00041AF0"/>
    <w:rsid w:val="000425D8"/>
    <w:rsid w:val="00043B86"/>
    <w:rsid w:val="000443D9"/>
    <w:rsid w:val="00045E86"/>
    <w:rsid w:val="00052C21"/>
    <w:rsid w:val="00053756"/>
    <w:rsid w:val="00054692"/>
    <w:rsid w:val="00055AAF"/>
    <w:rsid w:val="00056E1D"/>
    <w:rsid w:val="000632C4"/>
    <w:rsid w:val="00063DA7"/>
    <w:rsid w:val="00064D8A"/>
    <w:rsid w:val="00066619"/>
    <w:rsid w:val="00070F47"/>
    <w:rsid w:val="0007373D"/>
    <w:rsid w:val="0007495E"/>
    <w:rsid w:val="00076DA3"/>
    <w:rsid w:val="000843A1"/>
    <w:rsid w:val="00093C25"/>
    <w:rsid w:val="00097FBF"/>
    <w:rsid w:val="000A04E3"/>
    <w:rsid w:val="000A0C20"/>
    <w:rsid w:val="000A0FF9"/>
    <w:rsid w:val="000A4D6D"/>
    <w:rsid w:val="000A60EF"/>
    <w:rsid w:val="000A63CC"/>
    <w:rsid w:val="000A6AC6"/>
    <w:rsid w:val="000B0438"/>
    <w:rsid w:val="000B2241"/>
    <w:rsid w:val="000B3B95"/>
    <w:rsid w:val="000B3BE5"/>
    <w:rsid w:val="000B48F6"/>
    <w:rsid w:val="000B615C"/>
    <w:rsid w:val="000B74D6"/>
    <w:rsid w:val="000B7691"/>
    <w:rsid w:val="000C1059"/>
    <w:rsid w:val="000C58B3"/>
    <w:rsid w:val="000C772A"/>
    <w:rsid w:val="000C78B4"/>
    <w:rsid w:val="000D2CE7"/>
    <w:rsid w:val="000D4368"/>
    <w:rsid w:val="000D4E06"/>
    <w:rsid w:val="000D5076"/>
    <w:rsid w:val="000D5E20"/>
    <w:rsid w:val="000D6CED"/>
    <w:rsid w:val="000E31E2"/>
    <w:rsid w:val="000E717E"/>
    <w:rsid w:val="000E726C"/>
    <w:rsid w:val="000F2264"/>
    <w:rsid w:val="000F6293"/>
    <w:rsid w:val="00100461"/>
    <w:rsid w:val="0010224F"/>
    <w:rsid w:val="0010254E"/>
    <w:rsid w:val="00105D0D"/>
    <w:rsid w:val="00106351"/>
    <w:rsid w:val="00106762"/>
    <w:rsid w:val="00106BCF"/>
    <w:rsid w:val="00111DB0"/>
    <w:rsid w:val="00113525"/>
    <w:rsid w:val="001161CD"/>
    <w:rsid w:val="00116E15"/>
    <w:rsid w:val="00120442"/>
    <w:rsid w:val="00121149"/>
    <w:rsid w:val="00121892"/>
    <w:rsid w:val="0012519F"/>
    <w:rsid w:val="00125DE7"/>
    <w:rsid w:val="001270B3"/>
    <w:rsid w:val="0013026E"/>
    <w:rsid w:val="00131288"/>
    <w:rsid w:val="001333F1"/>
    <w:rsid w:val="001355CF"/>
    <w:rsid w:val="00136619"/>
    <w:rsid w:val="00136E10"/>
    <w:rsid w:val="00136E84"/>
    <w:rsid w:val="00137FEE"/>
    <w:rsid w:val="001410AF"/>
    <w:rsid w:val="00141902"/>
    <w:rsid w:val="0014262D"/>
    <w:rsid w:val="00142E7D"/>
    <w:rsid w:val="00143ABB"/>
    <w:rsid w:val="00145E8C"/>
    <w:rsid w:val="00146E00"/>
    <w:rsid w:val="001472ED"/>
    <w:rsid w:val="001507AF"/>
    <w:rsid w:val="00150D37"/>
    <w:rsid w:val="0015241F"/>
    <w:rsid w:val="00152A7C"/>
    <w:rsid w:val="001533DA"/>
    <w:rsid w:val="0015719C"/>
    <w:rsid w:val="00157AA2"/>
    <w:rsid w:val="00157B15"/>
    <w:rsid w:val="001604CE"/>
    <w:rsid w:val="00160BCC"/>
    <w:rsid w:val="00161B33"/>
    <w:rsid w:val="00161C5C"/>
    <w:rsid w:val="001640C6"/>
    <w:rsid w:val="0016775F"/>
    <w:rsid w:val="00174B8F"/>
    <w:rsid w:val="001752D5"/>
    <w:rsid w:val="001753D0"/>
    <w:rsid w:val="0017596F"/>
    <w:rsid w:val="00176650"/>
    <w:rsid w:val="00177425"/>
    <w:rsid w:val="0018108E"/>
    <w:rsid w:val="001813A3"/>
    <w:rsid w:val="00181D67"/>
    <w:rsid w:val="001822C0"/>
    <w:rsid w:val="001865B0"/>
    <w:rsid w:val="001869AE"/>
    <w:rsid w:val="00187DD4"/>
    <w:rsid w:val="00187FE2"/>
    <w:rsid w:val="0019130C"/>
    <w:rsid w:val="00193F05"/>
    <w:rsid w:val="001A0CB8"/>
    <w:rsid w:val="001A2D5D"/>
    <w:rsid w:val="001A468E"/>
    <w:rsid w:val="001A57E7"/>
    <w:rsid w:val="001A5CAB"/>
    <w:rsid w:val="001A60B2"/>
    <w:rsid w:val="001A6658"/>
    <w:rsid w:val="001A7765"/>
    <w:rsid w:val="001B0A24"/>
    <w:rsid w:val="001B3E85"/>
    <w:rsid w:val="001B4142"/>
    <w:rsid w:val="001C014C"/>
    <w:rsid w:val="001C34F1"/>
    <w:rsid w:val="001C431A"/>
    <w:rsid w:val="001C64B0"/>
    <w:rsid w:val="001C6CD7"/>
    <w:rsid w:val="001C798E"/>
    <w:rsid w:val="001D45BC"/>
    <w:rsid w:val="001D4B04"/>
    <w:rsid w:val="001D6322"/>
    <w:rsid w:val="001E0774"/>
    <w:rsid w:val="001E149B"/>
    <w:rsid w:val="001E1A94"/>
    <w:rsid w:val="001E29D2"/>
    <w:rsid w:val="001E29FC"/>
    <w:rsid w:val="001E3138"/>
    <w:rsid w:val="001E345F"/>
    <w:rsid w:val="001E3D67"/>
    <w:rsid w:val="001F242E"/>
    <w:rsid w:val="001F2907"/>
    <w:rsid w:val="001F313B"/>
    <w:rsid w:val="001F61F1"/>
    <w:rsid w:val="001F7A8A"/>
    <w:rsid w:val="0020016C"/>
    <w:rsid w:val="002025BC"/>
    <w:rsid w:val="00202A43"/>
    <w:rsid w:val="002039DF"/>
    <w:rsid w:val="00204CE3"/>
    <w:rsid w:val="0020685E"/>
    <w:rsid w:val="00207053"/>
    <w:rsid w:val="00207361"/>
    <w:rsid w:val="002111E3"/>
    <w:rsid w:val="002113AF"/>
    <w:rsid w:val="0021141C"/>
    <w:rsid w:val="002165D6"/>
    <w:rsid w:val="0022089C"/>
    <w:rsid w:val="0023329F"/>
    <w:rsid w:val="0023331F"/>
    <w:rsid w:val="002343D0"/>
    <w:rsid w:val="00240B44"/>
    <w:rsid w:val="0024291B"/>
    <w:rsid w:val="00247433"/>
    <w:rsid w:val="00253585"/>
    <w:rsid w:val="002540E9"/>
    <w:rsid w:val="00255423"/>
    <w:rsid w:val="00255DD5"/>
    <w:rsid w:val="00261F4D"/>
    <w:rsid w:val="002629FF"/>
    <w:rsid w:val="00263B39"/>
    <w:rsid w:val="00266516"/>
    <w:rsid w:val="00270CC8"/>
    <w:rsid w:val="00271899"/>
    <w:rsid w:val="0027309D"/>
    <w:rsid w:val="002736FD"/>
    <w:rsid w:val="00274ACE"/>
    <w:rsid w:val="00274E95"/>
    <w:rsid w:val="00275370"/>
    <w:rsid w:val="00275DFB"/>
    <w:rsid w:val="00280324"/>
    <w:rsid w:val="00282DA0"/>
    <w:rsid w:val="00291359"/>
    <w:rsid w:val="00291BF7"/>
    <w:rsid w:val="00291D42"/>
    <w:rsid w:val="00293EE4"/>
    <w:rsid w:val="002949B4"/>
    <w:rsid w:val="002975AF"/>
    <w:rsid w:val="002A0333"/>
    <w:rsid w:val="002A1002"/>
    <w:rsid w:val="002A20F2"/>
    <w:rsid w:val="002A3053"/>
    <w:rsid w:val="002A5C0F"/>
    <w:rsid w:val="002A6BC1"/>
    <w:rsid w:val="002B033E"/>
    <w:rsid w:val="002B238C"/>
    <w:rsid w:val="002B2505"/>
    <w:rsid w:val="002B3A28"/>
    <w:rsid w:val="002B54DB"/>
    <w:rsid w:val="002B656A"/>
    <w:rsid w:val="002C137A"/>
    <w:rsid w:val="002C1EB6"/>
    <w:rsid w:val="002C2BDF"/>
    <w:rsid w:val="002C39E6"/>
    <w:rsid w:val="002C65C2"/>
    <w:rsid w:val="002C73E1"/>
    <w:rsid w:val="002D09B3"/>
    <w:rsid w:val="002D20D4"/>
    <w:rsid w:val="002D2B8F"/>
    <w:rsid w:val="002D5E5A"/>
    <w:rsid w:val="002D7653"/>
    <w:rsid w:val="002E09E9"/>
    <w:rsid w:val="002E210D"/>
    <w:rsid w:val="002E4CA2"/>
    <w:rsid w:val="002E4F64"/>
    <w:rsid w:val="002E5614"/>
    <w:rsid w:val="002E597D"/>
    <w:rsid w:val="002E5BC7"/>
    <w:rsid w:val="002E5DB8"/>
    <w:rsid w:val="002F1208"/>
    <w:rsid w:val="002F40D8"/>
    <w:rsid w:val="002F589E"/>
    <w:rsid w:val="002F685F"/>
    <w:rsid w:val="00300558"/>
    <w:rsid w:val="003010D4"/>
    <w:rsid w:val="00303139"/>
    <w:rsid w:val="00306704"/>
    <w:rsid w:val="003103AC"/>
    <w:rsid w:val="00312B47"/>
    <w:rsid w:val="00312E5A"/>
    <w:rsid w:val="003148E3"/>
    <w:rsid w:val="003150CA"/>
    <w:rsid w:val="0031560B"/>
    <w:rsid w:val="00321CAA"/>
    <w:rsid w:val="00324BA8"/>
    <w:rsid w:val="0032545A"/>
    <w:rsid w:val="003255A0"/>
    <w:rsid w:val="00325CEF"/>
    <w:rsid w:val="00327E30"/>
    <w:rsid w:val="003309FE"/>
    <w:rsid w:val="0033103F"/>
    <w:rsid w:val="00333640"/>
    <w:rsid w:val="003345F9"/>
    <w:rsid w:val="00336317"/>
    <w:rsid w:val="00336797"/>
    <w:rsid w:val="00337CF4"/>
    <w:rsid w:val="00346726"/>
    <w:rsid w:val="00355784"/>
    <w:rsid w:val="00360961"/>
    <w:rsid w:val="00362234"/>
    <w:rsid w:val="00363B15"/>
    <w:rsid w:val="00364A89"/>
    <w:rsid w:val="0036729D"/>
    <w:rsid w:val="003677F5"/>
    <w:rsid w:val="00367AC4"/>
    <w:rsid w:val="00367C10"/>
    <w:rsid w:val="00371AF0"/>
    <w:rsid w:val="00372ECD"/>
    <w:rsid w:val="00373EF5"/>
    <w:rsid w:val="00381042"/>
    <w:rsid w:val="00381807"/>
    <w:rsid w:val="003828B0"/>
    <w:rsid w:val="003831B8"/>
    <w:rsid w:val="0038432B"/>
    <w:rsid w:val="0038572D"/>
    <w:rsid w:val="00385C1C"/>
    <w:rsid w:val="00390DC5"/>
    <w:rsid w:val="00391894"/>
    <w:rsid w:val="00392198"/>
    <w:rsid w:val="003923C6"/>
    <w:rsid w:val="00396C8A"/>
    <w:rsid w:val="0039707E"/>
    <w:rsid w:val="003A0E67"/>
    <w:rsid w:val="003A45FF"/>
    <w:rsid w:val="003A5C9F"/>
    <w:rsid w:val="003B198A"/>
    <w:rsid w:val="003B34CA"/>
    <w:rsid w:val="003B4E9C"/>
    <w:rsid w:val="003B64E1"/>
    <w:rsid w:val="003C2C47"/>
    <w:rsid w:val="003C31CC"/>
    <w:rsid w:val="003C4AE2"/>
    <w:rsid w:val="003C6104"/>
    <w:rsid w:val="003D0360"/>
    <w:rsid w:val="003D075B"/>
    <w:rsid w:val="003D3400"/>
    <w:rsid w:val="003D4E2F"/>
    <w:rsid w:val="003D5DA9"/>
    <w:rsid w:val="003E0C39"/>
    <w:rsid w:val="003E225B"/>
    <w:rsid w:val="003E2B02"/>
    <w:rsid w:val="003E4881"/>
    <w:rsid w:val="003E7F8B"/>
    <w:rsid w:val="003F20FB"/>
    <w:rsid w:val="003F22FC"/>
    <w:rsid w:val="003F35A3"/>
    <w:rsid w:val="003F4E4E"/>
    <w:rsid w:val="003F543A"/>
    <w:rsid w:val="00400B76"/>
    <w:rsid w:val="0040405F"/>
    <w:rsid w:val="00404417"/>
    <w:rsid w:val="004048E7"/>
    <w:rsid w:val="0040619C"/>
    <w:rsid w:val="00407142"/>
    <w:rsid w:val="00411922"/>
    <w:rsid w:val="004134C7"/>
    <w:rsid w:val="0041449E"/>
    <w:rsid w:val="00414719"/>
    <w:rsid w:val="00414D78"/>
    <w:rsid w:val="004168C9"/>
    <w:rsid w:val="00420B40"/>
    <w:rsid w:val="00421D79"/>
    <w:rsid w:val="00422188"/>
    <w:rsid w:val="0042417C"/>
    <w:rsid w:val="00426AD4"/>
    <w:rsid w:val="00430858"/>
    <w:rsid w:val="0043276C"/>
    <w:rsid w:val="004331B7"/>
    <w:rsid w:val="004365FB"/>
    <w:rsid w:val="00436E8C"/>
    <w:rsid w:val="00443D32"/>
    <w:rsid w:val="00445ACA"/>
    <w:rsid w:val="00445BC9"/>
    <w:rsid w:val="00447235"/>
    <w:rsid w:val="00450F3E"/>
    <w:rsid w:val="00452719"/>
    <w:rsid w:val="00452D02"/>
    <w:rsid w:val="0045465F"/>
    <w:rsid w:val="00457478"/>
    <w:rsid w:val="00457869"/>
    <w:rsid w:val="00462200"/>
    <w:rsid w:val="0046386A"/>
    <w:rsid w:val="00464B09"/>
    <w:rsid w:val="004662F9"/>
    <w:rsid w:val="00467907"/>
    <w:rsid w:val="0047497C"/>
    <w:rsid w:val="00475A09"/>
    <w:rsid w:val="004814BE"/>
    <w:rsid w:val="00485039"/>
    <w:rsid w:val="0048789E"/>
    <w:rsid w:val="004904EF"/>
    <w:rsid w:val="00491FE4"/>
    <w:rsid w:val="00494DD4"/>
    <w:rsid w:val="00495996"/>
    <w:rsid w:val="00497388"/>
    <w:rsid w:val="004A05FB"/>
    <w:rsid w:val="004A079C"/>
    <w:rsid w:val="004A25C4"/>
    <w:rsid w:val="004A2F6F"/>
    <w:rsid w:val="004A396A"/>
    <w:rsid w:val="004A6181"/>
    <w:rsid w:val="004B1CF2"/>
    <w:rsid w:val="004B267F"/>
    <w:rsid w:val="004B2DEE"/>
    <w:rsid w:val="004B2FDA"/>
    <w:rsid w:val="004B3440"/>
    <w:rsid w:val="004C27F4"/>
    <w:rsid w:val="004C4D57"/>
    <w:rsid w:val="004C4E21"/>
    <w:rsid w:val="004D08E8"/>
    <w:rsid w:val="004D15E8"/>
    <w:rsid w:val="004D2605"/>
    <w:rsid w:val="004D3B53"/>
    <w:rsid w:val="004D5036"/>
    <w:rsid w:val="004D5088"/>
    <w:rsid w:val="004D7CA8"/>
    <w:rsid w:val="004E0208"/>
    <w:rsid w:val="004E24F3"/>
    <w:rsid w:val="004E323D"/>
    <w:rsid w:val="004E32F0"/>
    <w:rsid w:val="004E3B5C"/>
    <w:rsid w:val="004E3E29"/>
    <w:rsid w:val="004E5F59"/>
    <w:rsid w:val="004F11EF"/>
    <w:rsid w:val="004F5DBF"/>
    <w:rsid w:val="00500C5E"/>
    <w:rsid w:val="00500F3E"/>
    <w:rsid w:val="00501962"/>
    <w:rsid w:val="005069F9"/>
    <w:rsid w:val="00507E43"/>
    <w:rsid w:val="00510E06"/>
    <w:rsid w:val="00511842"/>
    <w:rsid w:val="00511F24"/>
    <w:rsid w:val="00513FCF"/>
    <w:rsid w:val="00520DF3"/>
    <w:rsid w:val="00523A56"/>
    <w:rsid w:val="0052449F"/>
    <w:rsid w:val="0052722C"/>
    <w:rsid w:val="0052739E"/>
    <w:rsid w:val="00531B0E"/>
    <w:rsid w:val="00533D62"/>
    <w:rsid w:val="0053506F"/>
    <w:rsid w:val="0053580D"/>
    <w:rsid w:val="00536DE8"/>
    <w:rsid w:val="00537B31"/>
    <w:rsid w:val="005403C8"/>
    <w:rsid w:val="005409D3"/>
    <w:rsid w:val="0054184A"/>
    <w:rsid w:val="00541A91"/>
    <w:rsid w:val="00542E60"/>
    <w:rsid w:val="00542F35"/>
    <w:rsid w:val="0054664F"/>
    <w:rsid w:val="005471C5"/>
    <w:rsid w:val="005471E1"/>
    <w:rsid w:val="0054752D"/>
    <w:rsid w:val="0054769A"/>
    <w:rsid w:val="005508A9"/>
    <w:rsid w:val="00553AEE"/>
    <w:rsid w:val="00555973"/>
    <w:rsid w:val="005570B1"/>
    <w:rsid w:val="005613B4"/>
    <w:rsid w:val="00562111"/>
    <w:rsid w:val="00562B8D"/>
    <w:rsid w:val="00572A00"/>
    <w:rsid w:val="005846CA"/>
    <w:rsid w:val="00585B75"/>
    <w:rsid w:val="00591137"/>
    <w:rsid w:val="005A0952"/>
    <w:rsid w:val="005B0A01"/>
    <w:rsid w:val="005B56EB"/>
    <w:rsid w:val="005B657E"/>
    <w:rsid w:val="005C2C80"/>
    <w:rsid w:val="005C626B"/>
    <w:rsid w:val="005D0D04"/>
    <w:rsid w:val="005D1ECD"/>
    <w:rsid w:val="005D537C"/>
    <w:rsid w:val="005E118D"/>
    <w:rsid w:val="005E4293"/>
    <w:rsid w:val="005E5E14"/>
    <w:rsid w:val="005E5E2B"/>
    <w:rsid w:val="005E73B3"/>
    <w:rsid w:val="005E7F9D"/>
    <w:rsid w:val="005F2446"/>
    <w:rsid w:val="0060314B"/>
    <w:rsid w:val="00606840"/>
    <w:rsid w:val="006079CF"/>
    <w:rsid w:val="00611E8F"/>
    <w:rsid w:val="00613060"/>
    <w:rsid w:val="00613768"/>
    <w:rsid w:val="00616858"/>
    <w:rsid w:val="006202A0"/>
    <w:rsid w:val="00622420"/>
    <w:rsid w:val="00623C3B"/>
    <w:rsid w:val="006253D0"/>
    <w:rsid w:val="00631052"/>
    <w:rsid w:val="00631DDF"/>
    <w:rsid w:val="006329B9"/>
    <w:rsid w:val="00636768"/>
    <w:rsid w:val="00642337"/>
    <w:rsid w:val="00642B3A"/>
    <w:rsid w:val="00643803"/>
    <w:rsid w:val="006439D1"/>
    <w:rsid w:val="00643C00"/>
    <w:rsid w:val="006458B8"/>
    <w:rsid w:val="00645A6A"/>
    <w:rsid w:val="00647063"/>
    <w:rsid w:val="00651274"/>
    <w:rsid w:val="00651BDA"/>
    <w:rsid w:val="0065246F"/>
    <w:rsid w:val="0065338B"/>
    <w:rsid w:val="0065430A"/>
    <w:rsid w:val="00657FC8"/>
    <w:rsid w:val="00660262"/>
    <w:rsid w:val="0066509A"/>
    <w:rsid w:val="00665A09"/>
    <w:rsid w:val="00666407"/>
    <w:rsid w:val="006672CA"/>
    <w:rsid w:val="00667EBE"/>
    <w:rsid w:val="006732CB"/>
    <w:rsid w:val="00674956"/>
    <w:rsid w:val="00675A6B"/>
    <w:rsid w:val="00676003"/>
    <w:rsid w:val="00677158"/>
    <w:rsid w:val="0068020C"/>
    <w:rsid w:val="006836E1"/>
    <w:rsid w:val="00684D0F"/>
    <w:rsid w:val="006873E3"/>
    <w:rsid w:val="006873F5"/>
    <w:rsid w:val="00690572"/>
    <w:rsid w:val="00696DD7"/>
    <w:rsid w:val="006A1A4C"/>
    <w:rsid w:val="006A4185"/>
    <w:rsid w:val="006A4D0E"/>
    <w:rsid w:val="006B231F"/>
    <w:rsid w:val="006B752F"/>
    <w:rsid w:val="006B797B"/>
    <w:rsid w:val="006C048C"/>
    <w:rsid w:val="006C0BDD"/>
    <w:rsid w:val="006C475E"/>
    <w:rsid w:val="006C695A"/>
    <w:rsid w:val="006D6F1C"/>
    <w:rsid w:val="006E0520"/>
    <w:rsid w:val="006E0D79"/>
    <w:rsid w:val="006E14EF"/>
    <w:rsid w:val="006E1C9B"/>
    <w:rsid w:val="006E2EB5"/>
    <w:rsid w:val="006E31C3"/>
    <w:rsid w:val="006E392E"/>
    <w:rsid w:val="006E4279"/>
    <w:rsid w:val="006E51D3"/>
    <w:rsid w:val="006E5600"/>
    <w:rsid w:val="006E56E0"/>
    <w:rsid w:val="006E5C46"/>
    <w:rsid w:val="006E61CC"/>
    <w:rsid w:val="006F1B1F"/>
    <w:rsid w:val="006F2C7F"/>
    <w:rsid w:val="006F40D4"/>
    <w:rsid w:val="006F6B13"/>
    <w:rsid w:val="006F77F1"/>
    <w:rsid w:val="007031CC"/>
    <w:rsid w:val="007037B6"/>
    <w:rsid w:val="0070458A"/>
    <w:rsid w:val="00711A48"/>
    <w:rsid w:val="00712458"/>
    <w:rsid w:val="0071612B"/>
    <w:rsid w:val="00716841"/>
    <w:rsid w:val="00716F47"/>
    <w:rsid w:val="00720333"/>
    <w:rsid w:val="00720B68"/>
    <w:rsid w:val="00722CEB"/>
    <w:rsid w:val="00723754"/>
    <w:rsid w:val="00724B97"/>
    <w:rsid w:val="007348BE"/>
    <w:rsid w:val="00734BB2"/>
    <w:rsid w:val="0074073D"/>
    <w:rsid w:val="00742FC1"/>
    <w:rsid w:val="00744730"/>
    <w:rsid w:val="0074795F"/>
    <w:rsid w:val="00750E14"/>
    <w:rsid w:val="007524B9"/>
    <w:rsid w:val="00753397"/>
    <w:rsid w:val="00753D57"/>
    <w:rsid w:val="00760763"/>
    <w:rsid w:val="00760A7E"/>
    <w:rsid w:val="00760C70"/>
    <w:rsid w:val="007617D1"/>
    <w:rsid w:val="007629AA"/>
    <w:rsid w:val="00762C59"/>
    <w:rsid w:val="00762C71"/>
    <w:rsid w:val="00762E37"/>
    <w:rsid w:val="00764B5D"/>
    <w:rsid w:val="00765A5C"/>
    <w:rsid w:val="00770B28"/>
    <w:rsid w:val="00771393"/>
    <w:rsid w:val="00772E7C"/>
    <w:rsid w:val="007736C6"/>
    <w:rsid w:val="0077462E"/>
    <w:rsid w:val="00774FB4"/>
    <w:rsid w:val="00775C3C"/>
    <w:rsid w:val="007775F7"/>
    <w:rsid w:val="00777F26"/>
    <w:rsid w:val="00780083"/>
    <w:rsid w:val="00782460"/>
    <w:rsid w:val="00783A07"/>
    <w:rsid w:val="0078534B"/>
    <w:rsid w:val="00785F1A"/>
    <w:rsid w:val="007861B6"/>
    <w:rsid w:val="0078764D"/>
    <w:rsid w:val="007878DB"/>
    <w:rsid w:val="0079082B"/>
    <w:rsid w:val="0079095C"/>
    <w:rsid w:val="00790A7C"/>
    <w:rsid w:val="00792167"/>
    <w:rsid w:val="0079367F"/>
    <w:rsid w:val="00795BC7"/>
    <w:rsid w:val="00797548"/>
    <w:rsid w:val="00797D22"/>
    <w:rsid w:val="007A0238"/>
    <w:rsid w:val="007A03F9"/>
    <w:rsid w:val="007A5161"/>
    <w:rsid w:val="007A5420"/>
    <w:rsid w:val="007A5FAF"/>
    <w:rsid w:val="007A7A38"/>
    <w:rsid w:val="007B03B2"/>
    <w:rsid w:val="007B129F"/>
    <w:rsid w:val="007B1C17"/>
    <w:rsid w:val="007B1DAF"/>
    <w:rsid w:val="007B217C"/>
    <w:rsid w:val="007B2BA6"/>
    <w:rsid w:val="007B2DE4"/>
    <w:rsid w:val="007B381B"/>
    <w:rsid w:val="007B62C2"/>
    <w:rsid w:val="007B6DD0"/>
    <w:rsid w:val="007C2C20"/>
    <w:rsid w:val="007C2DAB"/>
    <w:rsid w:val="007C32AB"/>
    <w:rsid w:val="007C458F"/>
    <w:rsid w:val="007C5366"/>
    <w:rsid w:val="007C67A9"/>
    <w:rsid w:val="007D28D1"/>
    <w:rsid w:val="007D4284"/>
    <w:rsid w:val="007D4BB6"/>
    <w:rsid w:val="007D4D4D"/>
    <w:rsid w:val="007D68CC"/>
    <w:rsid w:val="007E176A"/>
    <w:rsid w:val="007E2F29"/>
    <w:rsid w:val="007E4C41"/>
    <w:rsid w:val="007E6172"/>
    <w:rsid w:val="007E7DB2"/>
    <w:rsid w:val="007F49AA"/>
    <w:rsid w:val="008001C5"/>
    <w:rsid w:val="008018BB"/>
    <w:rsid w:val="00803E1E"/>
    <w:rsid w:val="00804C0E"/>
    <w:rsid w:val="00810C8D"/>
    <w:rsid w:val="008119BE"/>
    <w:rsid w:val="00812133"/>
    <w:rsid w:val="008175D5"/>
    <w:rsid w:val="00822939"/>
    <w:rsid w:val="0082488B"/>
    <w:rsid w:val="00826D57"/>
    <w:rsid w:val="00827181"/>
    <w:rsid w:val="0083214B"/>
    <w:rsid w:val="008324C4"/>
    <w:rsid w:val="00832AD8"/>
    <w:rsid w:val="00832C32"/>
    <w:rsid w:val="0083425D"/>
    <w:rsid w:val="00837F60"/>
    <w:rsid w:val="00843A8A"/>
    <w:rsid w:val="00843CC3"/>
    <w:rsid w:val="0084607F"/>
    <w:rsid w:val="008515BA"/>
    <w:rsid w:val="00851E81"/>
    <w:rsid w:val="008521AC"/>
    <w:rsid w:val="0085260E"/>
    <w:rsid w:val="00853808"/>
    <w:rsid w:val="00855550"/>
    <w:rsid w:val="0085560E"/>
    <w:rsid w:val="00856FF5"/>
    <w:rsid w:val="00857EE5"/>
    <w:rsid w:val="00860277"/>
    <w:rsid w:val="00864E62"/>
    <w:rsid w:val="00864E7A"/>
    <w:rsid w:val="008703C2"/>
    <w:rsid w:val="00870D13"/>
    <w:rsid w:val="00870E37"/>
    <w:rsid w:val="008716AD"/>
    <w:rsid w:val="008813C3"/>
    <w:rsid w:val="0088418B"/>
    <w:rsid w:val="0089058F"/>
    <w:rsid w:val="0089693A"/>
    <w:rsid w:val="008972E4"/>
    <w:rsid w:val="00897FC6"/>
    <w:rsid w:val="008A06BA"/>
    <w:rsid w:val="008A3CD8"/>
    <w:rsid w:val="008A4C4C"/>
    <w:rsid w:val="008A681A"/>
    <w:rsid w:val="008B0687"/>
    <w:rsid w:val="008B06E5"/>
    <w:rsid w:val="008B0FFF"/>
    <w:rsid w:val="008B16A5"/>
    <w:rsid w:val="008C36EF"/>
    <w:rsid w:val="008C3EBD"/>
    <w:rsid w:val="008D2882"/>
    <w:rsid w:val="008D3124"/>
    <w:rsid w:val="008D7704"/>
    <w:rsid w:val="008E12BE"/>
    <w:rsid w:val="008E363C"/>
    <w:rsid w:val="008E453D"/>
    <w:rsid w:val="008E4ABD"/>
    <w:rsid w:val="008E5D97"/>
    <w:rsid w:val="008E690F"/>
    <w:rsid w:val="008E6956"/>
    <w:rsid w:val="008F125A"/>
    <w:rsid w:val="008F2367"/>
    <w:rsid w:val="008F33CB"/>
    <w:rsid w:val="008F38BE"/>
    <w:rsid w:val="008F3CD1"/>
    <w:rsid w:val="008F4941"/>
    <w:rsid w:val="008F738C"/>
    <w:rsid w:val="0090093D"/>
    <w:rsid w:val="009010DB"/>
    <w:rsid w:val="00901CEF"/>
    <w:rsid w:val="00902218"/>
    <w:rsid w:val="0090478A"/>
    <w:rsid w:val="00904C4D"/>
    <w:rsid w:val="0090515D"/>
    <w:rsid w:val="009058C8"/>
    <w:rsid w:val="00905EB2"/>
    <w:rsid w:val="00907199"/>
    <w:rsid w:val="00910A7A"/>
    <w:rsid w:val="009116A9"/>
    <w:rsid w:val="00913FBB"/>
    <w:rsid w:val="00916933"/>
    <w:rsid w:val="00916AC6"/>
    <w:rsid w:val="00916D4B"/>
    <w:rsid w:val="009209FC"/>
    <w:rsid w:val="00920A1B"/>
    <w:rsid w:val="00923D2E"/>
    <w:rsid w:val="00924ED4"/>
    <w:rsid w:val="0092541D"/>
    <w:rsid w:val="0092623C"/>
    <w:rsid w:val="009271BD"/>
    <w:rsid w:val="00927DF9"/>
    <w:rsid w:val="00933E5B"/>
    <w:rsid w:val="00934608"/>
    <w:rsid w:val="009360B3"/>
    <w:rsid w:val="00936229"/>
    <w:rsid w:val="00936C9C"/>
    <w:rsid w:val="00940FF6"/>
    <w:rsid w:val="009435E3"/>
    <w:rsid w:val="00943A72"/>
    <w:rsid w:val="00945159"/>
    <w:rsid w:val="009468FE"/>
    <w:rsid w:val="00947565"/>
    <w:rsid w:val="00947A64"/>
    <w:rsid w:val="00950BCE"/>
    <w:rsid w:val="00952C63"/>
    <w:rsid w:val="00955FD0"/>
    <w:rsid w:val="00956575"/>
    <w:rsid w:val="00957EFF"/>
    <w:rsid w:val="00960201"/>
    <w:rsid w:val="00961726"/>
    <w:rsid w:val="00961A39"/>
    <w:rsid w:val="009637E5"/>
    <w:rsid w:val="00964423"/>
    <w:rsid w:val="00964EC5"/>
    <w:rsid w:val="00966D4C"/>
    <w:rsid w:val="009717F2"/>
    <w:rsid w:val="00971E11"/>
    <w:rsid w:val="00972222"/>
    <w:rsid w:val="0097229E"/>
    <w:rsid w:val="00975AA5"/>
    <w:rsid w:val="00975C6F"/>
    <w:rsid w:val="00976113"/>
    <w:rsid w:val="00982074"/>
    <w:rsid w:val="00984F3C"/>
    <w:rsid w:val="009851F0"/>
    <w:rsid w:val="0098545C"/>
    <w:rsid w:val="009879D1"/>
    <w:rsid w:val="0099670F"/>
    <w:rsid w:val="00996C01"/>
    <w:rsid w:val="00997D72"/>
    <w:rsid w:val="009A0C8B"/>
    <w:rsid w:val="009A238E"/>
    <w:rsid w:val="009A2ABA"/>
    <w:rsid w:val="009A4538"/>
    <w:rsid w:val="009A52C0"/>
    <w:rsid w:val="009A6D14"/>
    <w:rsid w:val="009B26A2"/>
    <w:rsid w:val="009B39D0"/>
    <w:rsid w:val="009B3DFA"/>
    <w:rsid w:val="009B4A75"/>
    <w:rsid w:val="009B52A4"/>
    <w:rsid w:val="009B5754"/>
    <w:rsid w:val="009B6EC1"/>
    <w:rsid w:val="009B7964"/>
    <w:rsid w:val="009C0AEF"/>
    <w:rsid w:val="009C1B10"/>
    <w:rsid w:val="009C331F"/>
    <w:rsid w:val="009D3354"/>
    <w:rsid w:val="009D362D"/>
    <w:rsid w:val="009D52C5"/>
    <w:rsid w:val="009D539B"/>
    <w:rsid w:val="009D57C4"/>
    <w:rsid w:val="009D5ABC"/>
    <w:rsid w:val="009D5BCD"/>
    <w:rsid w:val="009D637D"/>
    <w:rsid w:val="009E11E3"/>
    <w:rsid w:val="009E19BC"/>
    <w:rsid w:val="009E1E80"/>
    <w:rsid w:val="009E2936"/>
    <w:rsid w:val="009E50BE"/>
    <w:rsid w:val="009E796F"/>
    <w:rsid w:val="009F0AC7"/>
    <w:rsid w:val="009F19EF"/>
    <w:rsid w:val="009F3FC4"/>
    <w:rsid w:val="009F4EB9"/>
    <w:rsid w:val="009F613C"/>
    <w:rsid w:val="00A00CFB"/>
    <w:rsid w:val="00A01226"/>
    <w:rsid w:val="00A03808"/>
    <w:rsid w:val="00A06A3D"/>
    <w:rsid w:val="00A06E31"/>
    <w:rsid w:val="00A1007B"/>
    <w:rsid w:val="00A14DD0"/>
    <w:rsid w:val="00A152E3"/>
    <w:rsid w:val="00A161E2"/>
    <w:rsid w:val="00A16F19"/>
    <w:rsid w:val="00A22333"/>
    <w:rsid w:val="00A25B41"/>
    <w:rsid w:val="00A26733"/>
    <w:rsid w:val="00A271EA"/>
    <w:rsid w:val="00A2742B"/>
    <w:rsid w:val="00A2779C"/>
    <w:rsid w:val="00A3097D"/>
    <w:rsid w:val="00A30C8A"/>
    <w:rsid w:val="00A358DF"/>
    <w:rsid w:val="00A3709B"/>
    <w:rsid w:val="00A42200"/>
    <w:rsid w:val="00A42C75"/>
    <w:rsid w:val="00A43462"/>
    <w:rsid w:val="00A4486F"/>
    <w:rsid w:val="00A44BCE"/>
    <w:rsid w:val="00A45E8C"/>
    <w:rsid w:val="00A46014"/>
    <w:rsid w:val="00A47BBF"/>
    <w:rsid w:val="00A529DA"/>
    <w:rsid w:val="00A54575"/>
    <w:rsid w:val="00A57481"/>
    <w:rsid w:val="00A62BDD"/>
    <w:rsid w:val="00A635CD"/>
    <w:rsid w:val="00A64853"/>
    <w:rsid w:val="00A64DB5"/>
    <w:rsid w:val="00A656DA"/>
    <w:rsid w:val="00A70EF9"/>
    <w:rsid w:val="00A72769"/>
    <w:rsid w:val="00A74D89"/>
    <w:rsid w:val="00A80005"/>
    <w:rsid w:val="00A8199B"/>
    <w:rsid w:val="00A84EEB"/>
    <w:rsid w:val="00A856D6"/>
    <w:rsid w:val="00A875B6"/>
    <w:rsid w:val="00A90D3E"/>
    <w:rsid w:val="00A91313"/>
    <w:rsid w:val="00A932AA"/>
    <w:rsid w:val="00A94101"/>
    <w:rsid w:val="00AA19D4"/>
    <w:rsid w:val="00AA3D77"/>
    <w:rsid w:val="00AA42DF"/>
    <w:rsid w:val="00AB0083"/>
    <w:rsid w:val="00AB2645"/>
    <w:rsid w:val="00AB3901"/>
    <w:rsid w:val="00AB4F38"/>
    <w:rsid w:val="00AB5A57"/>
    <w:rsid w:val="00AB5D11"/>
    <w:rsid w:val="00AB5EB4"/>
    <w:rsid w:val="00AB657F"/>
    <w:rsid w:val="00AB6626"/>
    <w:rsid w:val="00AC0E9E"/>
    <w:rsid w:val="00AC38A9"/>
    <w:rsid w:val="00AC513D"/>
    <w:rsid w:val="00AC5174"/>
    <w:rsid w:val="00AD0ABD"/>
    <w:rsid w:val="00AD0D33"/>
    <w:rsid w:val="00AD7C4C"/>
    <w:rsid w:val="00AE0417"/>
    <w:rsid w:val="00AE087F"/>
    <w:rsid w:val="00AE0C4A"/>
    <w:rsid w:val="00AE1D5F"/>
    <w:rsid w:val="00AE291E"/>
    <w:rsid w:val="00AE6EC7"/>
    <w:rsid w:val="00AE7A71"/>
    <w:rsid w:val="00AF0734"/>
    <w:rsid w:val="00AF45F8"/>
    <w:rsid w:val="00B032D5"/>
    <w:rsid w:val="00B03B50"/>
    <w:rsid w:val="00B04B48"/>
    <w:rsid w:val="00B06889"/>
    <w:rsid w:val="00B074C9"/>
    <w:rsid w:val="00B0797C"/>
    <w:rsid w:val="00B11F38"/>
    <w:rsid w:val="00B160F6"/>
    <w:rsid w:val="00B163E0"/>
    <w:rsid w:val="00B174E0"/>
    <w:rsid w:val="00B203F1"/>
    <w:rsid w:val="00B2120A"/>
    <w:rsid w:val="00B2198C"/>
    <w:rsid w:val="00B22D60"/>
    <w:rsid w:val="00B2466F"/>
    <w:rsid w:val="00B2548D"/>
    <w:rsid w:val="00B25AE2"/>
    <w:rsid w:val="00B304B2"/>
    <w:rsid w:val="00B32A93"/>
    <w:rsid w:val="00B347BC"/>
    <w:rsid w:val="00B35945"/>
    <w:rsid w:val="00B37AC5"/>
    <w:rsid w:val="00B4059B"/>
    <w:rsid w:val="00B427C1"/>
    <w:rsid w:val="00B42B39"/>
    <w:rsid w:val="00B4559A"/>
    <w:rsid w:val="00B45F4A"/>
    <w:rsid w:val="00B461B2"/>
    <w:rsid w:val="00B46FD2"/>
    <w:rsid w:val="00B5094D"/>
    <w:rsid w:val="00B50F2B"/>
    <w:rsid w:val="00B5274C"/>
    <w:rsid w:val="00B53DB5"/>
    <w:rsid w:val="00B53FE4"/>
    <w:rsid w:val="00B55840"/>
    <w:rsid w:val="00B55C94"/>
    <w:rsid w:val="00B608CD"/>
    <w:rsid w:val="00B610E0"/>
    <w:rsid w:val="00B6674B"/>
    <w:rsid w:val="00B66BBC"/>
    <w:rsid w:val="00B743D9"/>
    <w:rsid w:val="00B75F6D"/>
    <w:rsid w:val="00B76F90"/>
    <w:rsid w:val="00B82399"/>
    <w:rsid w:val="00B83DE8"/>
    <w:rsid w:val="00B9538D"/>
    <w:rsid w:val="00BA0EFA"/>
    <w:rsid w:val="00BA1AB1"/>
    <w:rsid w:val="00BA2029"/>
    <w:rsid w:val="00BA21DA"/>
    <w:rsid w:val="00BA36BD"/>
    <w:rsid w:val="00BA3D7E"/>
    <w:rsid w:val="00BA6132"/>
    <w:rsid w:val="00BA74C3"/>
    <w:rsid w:val="00BA75CE"/>
    <w:rsid w:val="00BB1A03"/>
    <w:rsid w:val="00BB242C"/>
    <w:rsid w:val="00BB386D"/>
    <w:rsid w:val="00BB4AA4"/>
    <w:rsid w:val="00BB4CE5"/>
    <w:rsid w:val="00BB669A"/>
    <w:rsid w:val="00BB6FB2"/>
    <w:rsid w:val="00BC27C0"/>
    <w:rsid w:val="00BC36CE"/>
    <w:rsid w:val="00BC4DE9"/>
    <w:rsid w:val="00BC63DD"/>
    <w:rsid w:val="00BC6444"/>
    <w:rsid w:val="00BC7E20"/>
    <w:rsid w:val="00BD0A8B"/>
    <w:rsid w:val="00BD23A1"/>
    <w:rsid w:val="00BD43F8"/>
    <w:rsid w:val="00BD4BBA"/>
    <w:rsid w:val="00BD7E88"/>
    <w:rsid w:val="00BE08E8"/>
    <w:rsid w:val="00BE0C1D"/>
    <w:rsid w:val="00BE2E8F"/>
    <w:rsid w:val="00BE3F8D"/>
    <w:rsid w:val="00BE4F5A"/>
    <w:rsid w:val="00BE5918"/>
    <w:rsid w:val="00BE6E75"/>
    <w:rsid w:val="00BF00D4"/>
    <w:rsid w:val="00BF0718"/>
    <w:rsid w:val="00BF5749"/>
    <w:rsid w:val="00C016A5"/>
    <w:rsid w:val="00C02178"/>
    <w:rsid w:val="00C025B9"/>
    <w:rsid w:val="00C06FA4"/>
    <w:rsid w:val="00C1050D"/>
    <w:rsid w:val="00C13C95"/>
    <w:rsid w:val="00C13EBE"/>
    <w:rsid w:val="00C20986"/>
    <w:rsid w:val="00C20DBE"/>
    <w:rsid w:val="00C26D57"/>
    <w:rsid w:val="00C26DE3"/>
    <w:rsid w:val="00C30419"/>
    <w:rsid w:val="00C3049D"/>
    <w:rsid w:val="00C3078D"/>
    <w:rsid w:val="00C311DA"/>
    <w:rsid w:val="00C3281C"/>
    <w:rsid w:val="00C32D7F"/>
    <w:rsid w:val="00C347C1"/>
    <w:rsid w:val="00C42386"/>
    <w:rsid w:val="00C441B2"/>
    <w:rsid w:val="00C512FF"/>
    <w:rsid w:val="00C51547"/>
    <w:rsid w:val="00C51B76"/>
    <w:rsid w:val="00C52D9C"/>
    <w:rsid w:val="00C52E74"/>
    <w:rsid w:val="00C553F6"/>
    <w:rsid w:val="00C55438"/>
    <w:rsid w:val="00C611E8"/>
    <w:rsid w:val="00C6135D"/>
    <w:rsid w:val="00C626C8"/>
    <w:rsid w:val="00C6350A"/>
    <w:rsid w:val="00C65E3D"/>
    <w:rsid w:val="00C66946"/>
    <w:rsid w:val="00C66E48"/>
    <w:rsid w:val="00C71B24"/>
    <w:rsid w:val="00C720ED"/>
    <w:rsid w:val="00C75EC5"/>
    <w:rsid w:val="00C7642E"/>
    <w:rsid w:val="00C7742F"/>
    <w:rsid w:val="00C775A7"/>
    <w:rsid w:val="00C77D0F"/>
    <w:rsid w:val="00C8384E"/>
    <w:rsid w:val="00C84CFA"/>
    <w:rsid w:val="00C85D5E"/>
    <w:rsid w:val="00C85FB9"/>
    <w:rsid w:val="00C87712"/>
    <w:rsid w:val="00C90778"/>
    <w:rsid w:val="00C90997"/>
    <w:rsid w:val="00C92002"/>
    <w:rsid w:val="00C94344"/>
    <w:rsid w:val="00C950E6"/>
    <w:rsid w:val="00C95217"/>
    <w:rsid w:val="00C95FB6"/>
    <w:rsid w:val="00C962B4"/>
    <w:rsid w:val="00C97499"/>
    <w:rsid w:val="00C978BC"/>
    <w:rsid w:val="00CA0A7F"/>
    <w:rsid w:val="00CA1F59"/>
    <w:rsid w:val="00CA4678"/>
    <w:rsid w:val="00CB28C7"/>
    <w:rsid w:val="00CB2CF1"/>
    <w:rsid w:val="00CB579F"/>
    <w:rsid w:val="00CB5C89"/>
    <w:rsid w:val="00CC0EDC"/>
    <w:rsid w:val="00CC4840"/>
    <w:rsid w:val="00CC4A8F"/>
    <w:rsid w:val="00CD279A"/>
    <w:rsid w:val="00CD3590"/>
    <w:rsid w:val="00CD4E8B"/>
    <w:rsid w:val="00CD6699"/>
    <w:rsid w:val="00CE0879"/>
    <w:rsid w:val="00CE41EF"/>
    <w:rsid w:val="00CE5E63"/>
    <w:rsid w:val="00CE6F93"/>
    <w:rsid w:val="00CE7DCF"/>
    <w:rsid w:val="00CF128C"/>
    <w:rsid w:val="00CF1EB8"/>
    <w:rsid w:val="00CF591D"/>
    <w:rsid w:val="00CF6AD1"/>
    <w:rsid w:val="00D0128E"/>
    <w:rsid w:val="00D047C6"/>
    <w:rsid w:val="00D06B1C"/>
    <w:rsid w:val="00D10FF1"/>
    <w:rsid w:val="00D13DA6"/>
    <w:rsid w:val="00D14C74"/>
    <w:rsid w:val="00D1703B"/>
    <w:rsid w:val="00D17D5A"/>
    <w:rsid w:val="00D20510"/>
    <w:rsid w:val="00D219B6"/>
    <w:rsid w:val="00D2370F"/>
    <w:rsid w:val="00D242E2"/>
    <w:rsid w:val="00D25169"/>
    <w:rsid w:val="00D25DAB"/>
    <w:rsid w:val="00D31FC4"/>
    <w:rsid w:val="00D33D8B"/>
    <w:rsid w:val="00D4753D"/>
    <w:rsid w:val="00D51889"/>
    <w:rsid w:val="00D54B7F"/>
    <w:rsid w:val="00D621BB"/>
    <w:rsid w:val="00D632EF"/>
    <w:rsid w:val="00D6632C"/>
    <w:rsid w:val="00D663AB"/>
    <w:rsid w:val="00D70895"/>
    <w:rsid w:val="00D741F9"/>
    <w:rsid w:val="00D7749F"/>
    <w:rsid w:val="00D813B2"/>
    <w:rsid w:val="00D81923"/>
    <w:rsid w:val="00D82E03"/>
    <w:rsid w:val="00D847E7"/>
    <w:rsid w:val="00D868E0"/>
    <w:rsid w:val="00D86BB7"/>
    <w:rsid w:val="00D87244"/>
    <w:rsid w:val="00D87487"/>
    <w:rsid w:val="00D90DE8"/>
    <w:rsid w:val="00D914DF"/>
    <w:rsid w:val="00D915C5"/>
    <w:rsid w:val="00D91D33"/>
    <w:rsid w:val="00D930EE"/>
    <w:rsid w:val="00D93EC0"/>
    <w:rsid w:val="00DB2778"/>
    <w:rsid w:val="00DB4208"/>
    <w:rsid w:val="00DB4C35"/>
    <w:rsid w:val="00DB4D74"/>
    <w:rsid w:val="00DB6875"/>
    <w:rsid w:val="00DC2208"/>
    <w:rsid w:val="00DC3C53"/>
    <w:rsid w:val="00DC3CBA"/>
    <w:rsid w:val="00DC463A"/>
    <w:rsid w:val="00DC715E"/>
    <w:rsid w:val="00DD17BC"/>
    <w:rsid w:val="00DD55E8"/>
    <w:rsid w:val="00DE0D3B"/>
    <w:rsid w:val="00DE5F88"/>
    <w:rsid w:val="00DE66AD"/>
    <w:rsid w:val="00DE66F3"/>
    <w:rsid w:val="00DF22EB"/>
    <w:rsid w:val="00DF2883"/>
    <w:rsid w:val="00DF380D"/>
    <w:rsid w:val="00DF6DD0"/>
    <w:rsid w:val="00E023AA"/>
    <w:rsid w:val="00E02B77"/>
    <w:rsid w:val="00E02ECC"/>
    <w:rsid w:val="00E063EF"/>
    <w:rsid w:val="00E068CA"/>
    <w:rsid w:val="00E07BEC"/>
    <w:rsid w:val="00E12988"/>
    <w:rsid w:val="00E13F3E"/>
    <w:rsid w:val="00E153A9"/>
    <w:rsid w:val="00E155F0"/>
    <w:rsid w:val="00E157E5"/>
    <w:rsid w:val="00E15C5F"/>
    <w:rsid w:val="00E20145"/>
    <w:rsid w:val="00E20B45"/>
    <w:rsid w:val="00E21E28"/>
    <w:rsid w:val="00E226D4"/>
    <w:rsid w:val="00E22A99"/>
    <w:rsid w:val="00E2386F"/>
    <w:rsid w:val="00E2387A"/>
    <w:rsid w:val="00E30BD8"/>
    <w:rsid w:val="00E32452"/>
    <w:rsid w:val="00E324B7"/>
    <w:rsid w:val="00E3327A"/>
    <w:rsid w:val="00E338BB"/>
    <w:rsid w:val="00E35735"/>
    <w:rsid w:val="00E359B2"/>
    <w:rsid w:val="00E36CBE"/>
    <w:rsid w:val="00E40A71"/>
    <w:rsid w:val="00E421AF"/>
    <w:rsid w:val="00E439C7"/>
    <w:rsid w:val="00E4529F"/>
    <w:rsid w:val="00E47CE0"/>
    <w:rsid w:val="00E5043A"/>
    <w:rsid w:val="00E50A24"/>
    <w:rsid w:val="00E511E2"/>
    <w:rsid w:val="00E56A34"/>
    <w:rsid w:val="00E63398"/>
    <w:rsid w:val="00E63C21"/>
    <w:rsid w:val="00E64878"/>
    <w:rsid w:val="00E65458"/>
    <w:rsid w:val="00E65578"/>
    <w:rsid w:val="00E65BBC"/>
    <w:rsid w:val="00E7006D"/>
    <w:rsid w:val="00E70F3B"/>
    <w:rsid w:val="00E70F75"/>
    <w:rsid w:val="00E7160B"/>
    <w:rsid w:val="00E73F7B"/>
    <w:rsid w:val="00E76D12"/>
    <w:rsid w:val="00E804A0"/>
    <w:rsid w:val="00E819C2"/>
    <w:rsid w:val="00E824C5"/>
    <w:rsid w:val="00E82832"/>
    <w:rsid w:val="00E828F8"/>
    <w:rsid w:val="00E83326"/>
    <w:rsid w:val="00E847CB"/>
    <w:rsid w:val="00E9023F"/>
    <w:rsid w:val="00E908EE"/>
    <w:rsid w:val="00E91A6E"/>
    <w:rsid w:val="00E94278"/>
    <w:rsid w:val="00E95D8A"/>
    <w:rsid w:val="00E969AA"/>
    <w:rsid w:val="00EA19A6"/>
    <w:rsid w:val="00EA2DDE"/>
    <w:rsid w:val="00EA3882"/>
    <w:rsid w:val="00EB00C5"/>
    <w:rsid w:val="00EB2037"/>
    <w:rsid w:val="00EB2E89"/>
    <w:rsid w:val="00EB3EB8"/>
    <w:rsid w:val="00EB4252"/>
    <w:rsid w:val="00EB56E8"/>
    <w:rsid w:val="00EB5A34"/>
    <w:rsid w:val="00EB647A"/>
    <w:rsid w:val="00EB6CE6"/>
    <w:rsid w:val="00EB6EF3"/>
    <w:rsid w:val="00EC0807"/>
    <w:rsid w:val="00EC1A73"/>
    <w:rsid w:val="00EC3563"/>
    <w:rsid w:val="00EC580C"/>
    <w:rsid w:val="00EC75BD"/>
    <w:rsid w:val="00ED197F"/>
    <w:rsid w:val="00ED3D18"/>
    <w:rsid w:val="00ED4B4B"/>
    <w:rsid w:val="00EE2777"/>
    <w:rsid w:val="00EE4E32"/>
    <w:rsid w:val="00EF2B97"/>
    <w:rsid w:val="00EF48E8"/>
    <w:rsid w:val="00EF4BF4"/>
    <w:rsid w:val="00EF5E25"/>
    <w:rsid w:val="00EF7B36"/>
    <w:rsid w:val="00EF7B58"/>
    <w:rsid w:val="00F0144A"/>
    <w:rsid w:val="00F01630"/>
    <w:rsid w:val="00F02C3D"/>
    <w:rsid w:val="00F04DCF"/>
    <w:rsid w:val="00F1092B"/>
    <w:rsid w:val="00F15070"/>
    <w:rsid w:val="00F230AF"/>
    <w:rsid w:val="00F31339"/>
    <w:rsid w:val="00F3164C"/>
    <w:rsid w:val="00F3277B"/>
    <w:rsid w:val="00F337BC"/>
    <w:rsid w:val="00F34AB3"/>
    <w:rsid w:val="00F35954"/>
    <w:rsid w:val="00F36AF4"/>
    <w:rsid w:val="00F40C11"/>
    <w:rsid w:val="00F41C82"/>
    <w:rsid w:val="00F434C4"/>
    <w:rsid w:val="00F43557"/>
    <w:rsid w:val="00F5101E"/>
    <w:rsid w:val="00F51B85"/>
    <w:rsid w:val="00F524AB"/>
    <w:rsid w:val="00F53E1B"/>
    <w:rsid w:val="00F57224"/>
    <w:rsid w:val="00F5722E"/>
    <w:rsid w:val="00F6326C"/>
    <w:rsid w:val="00F66C70"/>
    <w:rsid w:val="00F700D1"/>
    <w:rsid w:val="00F705FB"/>
    <w:rsid w:val="00F71F8C"/>
    <w:rsid w:val="00F71FBA"/>
    <w:rsid w:val="00F727E7"/>
    <w:rsid w:val="00F773B7"/>
    <w:rsid w:val="00F815E8"/>
    <w:rsid w:val="00F828BA"/>
    <w:rsid w:val="00F82FA9"/>
    <w:rsid w:val="00F83B95"/>
    <w:rsid w:val="00F85616"/>
    <w:rsid w:val="00F85AD1"/>
    <w:rsid w:val="00F8692B"/>
    <w:rsid w:val="00F8777D"/>
    <w:rsid w:val="00F92868"/>
    <w:rsid w:val="00F92CE2"/>
    <w:rsid w:val="00F94C9D"/>
    <w:rsid w:val="00F95752"/>
    <w:rsid w:val="00FA1A26"/>
    <w:rsid w:val="00FA1D0A"/>
    <w:rsid w:val="00FA21A3"/>
    <w:rsid w:val="00FA236A"/>
    <w:rsid w:val="00FA2AA9"/>
    <w:rsid w:val="00FA4437"/>
    <w:rsid w:val="00FA6B34"/>
    <w:rsid w:val="00FB0B56"/>
    <w:rsid w:val="00FB19E1"/>
    <w:rsid w:val="00FB363D"/>
    <w:rsid w:val="00FB5591"/>
    <w:rsid w:val="00FB56DD"/>
    <w:rsid w:val="00FB600B"/>
    <w:rsid w:val="00FB61C4"/>
    <w:rsid w:val="00FB6385"/>
    <w:rsid w:val="00FC16C1"/>
    <w:rsid w:val="00FC1C89"/>
    <w:rsid w:val="00FC3106"/>
    <w:rsid w:val="00FC423C"/>
    <w:rsid w:val="00FC53DF"/>
    <w:rsid w:val="00FC61B2"/>
    <w:rsid w:val="00FD2CF0"/>
    <w:rsid w:val="00FD2E91"/>
    <w:rsid w:val="00FE02B2"/>
    <w:rsid w:val="00FE1571"/>
    <w:rsid w:val="00FE188A"/>
    <w:rsid w:val="00FE2915"/>
    <w:rsid w:val="00FE43AC"/>
    <w:rsid w:val="00FE5C94"/>
    <w:rsid w:val="00FE6DD4"/>
    <w:rsid w:val="00FE76F5"/>
    <w:rsid w:val="00FF0B99"/>
    <w:rsid w:val="00FF0D3B"/>
    <w:rsid w:val="00FF0DE2"/>
    <w:rsid w:val="00FF2299"/>
    <w:rsid w:val="00FF513E"/>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4:docId w14:val="23CD4C15"/>
  <w15:chartTrackingRefBased/>
  <w15:docId w15:val="{4916ECB9-4E70-40CB-B78D-79B010CD2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ParaNum">
    <w:name w:val="ParaNum"/>
    <w:basedOn w:val="Normal"/>
    <w:link w:val="ParaNumChar"/>
    <w:rsid w:val="000B615C"/>
    <w:pPr>
      <w:widowControl w:val="0"/>
      <w:numPr>
        <w:numId w:val="1"/>
      </w:numPr>
      <w:spacing w:after="120"/>
    </w:pPr>
    <w:rPr>
      <w:snapToGrid w:val="0"/>
      <w:kern w:val="28"/>
      <w:sz w:val="22"/>
    </w:rPr>
  </w:style>
  <w:style w:type="paragraph" w:styleId="FootnoteText">
    <w:name w:val="footnote text"/>
    <w:aliases w:val="Footnote Text Char Char Char4 Char,Footnote Text Char1,Footnote Text Char2,Footnote Text Char4 Char1 Char,Footnote Text Char4 Char1 Char Char Char Char,Footnote Text Char7 Char,Footnote Text Char7 Char Char Char Char,f,fn,fn Char Char"/>
    <w:link w:val="FootnoteTextChar"/>
    <w:rsid w:val="000B615C"/>
    <w:pPr>
      <w:spacing w:after="120"/>
    </w:pPr>
  </w:style>
  <w:style w:type="character" w:customStyle="1" w:styleId="FootnoteTextChar">
    <w:name w:val="Footnote Text Char"/>
    <w:aliases w:val="Footnote Text Char Char Char4 Char Char,Footnote Text Char1 Char,Footnote Text Char2 Char,Footnote Text Char4 Char1 Char Char,Footnote Text Char4 Char1 Char Char Char Char Char,Footnote Text Char7 Char Char,f Char,fn Char"/>
    <w:basedOn w:val="DefaultParagraphFont"/>
    <w:link w:val="FootnoteText"/>
    <w:rsid w:val="000B615C"/>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Ref,Style 1"/>
    <w:rsid w:val="000B615C"/>
    <w:rPr>
      <w:rFonts w:ascii="Times New Roman" w:hAnsi="Times New Roman"/>
      <w:dstrike w:val="0"/>
      <w:color w:val="auto"/>
      <w:sz w:val="20"/>
      <w:vertAlign w:val="superscript"/>
    </w:rPr>
  </w:style>
  <w:style w:type="character" w:styleId="CommentReference">
    <w:name w:val="annotation reference"/>
    <w:uiPriority w:val="99"/>
    <w:rsid w:val="000B615C"/>
    <w:rPr>
      <w:sz w:val="16"/>
      <w:szCs w:val="16"/>
    </w:rPr>
  </w:style>
  <w:style w:type="paragraph" w:styleId="CommentText">
    <w:name w:val="annotation text"/>
    <w:basedOn w:val="Normal"/>
    <w:link w:val="CommentTextChar"/>
    <w:uiPriority w:val="99"/>
    <w:rsid w:val="000B615C"/>
    <w:pPr>
      <w:widowControl w:val="0"/>
    </w:pPr>
    <w:rPr>
      <w:snapToGrid w:val="0"/>
      <w:kern w:val="28"/>
    </w:rPr>
  </w:style>
  <w:style w:type="character" w:customStyle="1" w:styleId="CommentTextChar">
    <w:name w:val="Comment Text Char"/>
    <w:link w:val="CommentText"/>
    <w:uiPriority w:val="99"/>
    <w:rsid w:val="000B615C"/>
    <w:rPr>
      <w:snapToGrid w:val="0"/>
      <w:kern w:val="28"/>
    </w:rPr>
  </w:style>
  <w:style w:type="character" w:customStyle="1" w:styleId="FooterChar">
    <w:name w:val="Footer Char"/>
    <w:basedOn w:val="DefaultParagraphFont"/>
    <w:link w:val="Footer"/>
    <w:uiPriority w:val="99"/>
    <w:rsid w:val="001F313B"/>
  </w:style>
  <w:style w:type="paragraph" w:styleId="Revision">
    <w:name w:val="Revision"/>
    <w:hidden/>
    <w:uiPriority w:val="99"/>
    <w:semiHidden/>
    <w:rsid w:val="00462200"/>
  </w:style>
  <w:style w:type="paragraph" w:styleId="CommentSubject">
    <w:name w:val="annotation subject"/>
    <w:basedOn w:val="CommentText"/>
    <w:next w:val="CommentText"/>
    <w:link w:val="CommentSubjectChar"/>
    <w:uiPriority w:val="99"/>
    <w:semiHidden/>
    <w:unhideWhenUsed/>
    <w:rsid w:val="00A635CD"/>
    <w:pPr>
      <w:widowControl/>
    </w:pPr>
    <w:rPr>
      <w:b/>
      <w:bCs/>
      <w:snapToGrid/>
      <w:kern w:val="0"/>
    </w:rPr>
  </w:style>
  <w:style w:type="character" w:customStyle="1" w:styleId="CommentSubjectChar">
    <w:name w:val="Comment Subject Char"/>
    <w:basedOn w:val="CommentTextChar"/>
    <w:link w:val="CommentSubject"/>
    <w:uiPriority w:val="99"/>
    <w:semiHidden/>
    <w:rsid w:val="00A635CD"/>
    <w:rPr>
      <w:b/>
      <w:bCs/>
      <w:snapToGrid/>
      <w:kern w:val="28"/>
    </w:rPr>
  </w:style>
  <w:style w:type="character" w:styleId="Hyperlink">
    <w:name w:val="Hyperlink"/>
    <w:basedOn w:val="DefaultParagraphFont"/>
    <w:uiPriority w:val="99"/>
    <w:unhideWhenUsed/>
    <w:rsid w:val="008E453D"/>
    <w:rPr>
      <w:color w:val="467886" w:themeColor="hyperlink"/>
      <w:u w:val="single"/>
    </w:rPr>
  </w:style>
  <w:style w:type="character" w:styleId="UnresolvedMention">
    <w:name w:val="Unresolved Mention"/>
    <w:basedOn w:val="DefaultParagraphFont"/>
    <w:uiPriority w:val="99"/>
    <w:semiHidden/>
    <w:unhideWhenUsed/>
    <w:rsid w:val="008E453D"/>
    <w:rPr>
      <w:color w:val="605E5C"/>
      <w:shd w:val="clear" w:color="auto" w:fill="E1DFDD"/>
    </w:rPr>
  </w:style>
  <w:style w:type="character" w:customStyle="1" w:styleId="ParaNumChar">
    <w:name w:val="ParaNum Char"/>
    <w:link w:val="ParaNum"/>
    <w:rsid w:val="004904EF"/>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header" Target="header1.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footnotes.xml.rels><?xml version="1.0" encoding="utf-8" standalone="yes"?><Relationships xmlns="http://schemas.openxmlformats.org/package/2006/relationships"><Relationship Id="rId1" Type="http://schemas.openxmlformats.org/officeDocument/2006/relationships/hyperlink" Target="https://1.next.westlaw.com/Link/Document/FullText?findType=Y&amp;serNum=1999286447&amp;pubNum=0004493&amp;originatingDoc=I7eec777262af11e0af6af9916f973d19&amp;refType=CA&amp;fi=co_pp_sp_4493_6599&amp;originationContext=document&amp;transitionType=DocumentItem&amp;ppcid=6f78063e24c04b82881e202ac4143e26&amp;contextData=(sc.Search)" TargetMode="External" /><Relationship Id="rId2" Type="http://schemas.openxmlformats.org/officeDocument/2006/relationships/hyperlink" Target="https://1.next.westlaw.com/Link/Document/FullText?findType=Y&amp;serNum=1999287258&amp;pubNum=0004493&amp;originatingDoc=I7eec777262af11e0af6af9916f973d19&amp;refType=CA&amp;fi=co_pp_sp_4493_11148&amp;originationContext=document&amp;transitionType=DocumentItem&amp;ppcid=6f78063e24c04b82881e202ac4143e26&amp;contextData=(sc.Search)"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