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37BF26DC"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3B42A6A8" w14:textId="77777777">
      <w:pPr>
        <w:pStyle w:val="StyleBoldCentered"/>
      </w:pPr>
      <w:r>
        <w:t>F</w:t>
      </w:r>
      <w:r>
        <w:rPr>
          <w:caps w:val="0"/>
        </w:rPr>
        <w:t>ederal Communications Commission</w:t>
      </w:r>
    </w:p>
    <w:p w:rsidR="004C2EE3" w:rsidP="00096D8C" w14:paraId="0700419E" w14:textId="77777777">
      <w:pPr>
        <w:pStyle w:val="StyleBoldCentered"/>
      </w:pPr>
      <w:r>
        <w:rPr>
          <w:caps w:val="0"/>
        </w:rPr>
        <w:t>Washington, D.C. 20554</w:t>
      </w:r>
    </w:p>
    <w:p w:rsidR="004C2EE3" w:rsidP="0070224F" w14:paraId="2FE201EC" w14:textId="77777777"/>
    <w:p w:rsidR="004C2EE3" w:rsidP="0070224F" w14:paraId="0C708511" w14:textId="77777777"/>
    <w:tbl>
      <w:tblPr>
        <w:tblW w:w="0" w:type="auto"/>
        <w:tblLayout w:type="fixed"/>
        <w:tblLook w:val="0000"/>
      </w:tblPr>
      <w:tblGrid>
        <w:gridCol w:w="4698"/>
        <w:gridCol w:w="630"/>
        <w:gridCol w:w="4248"/>
      </w:tblGrid>
      <w:tr w14:paraId="34331400" w14:textId="77777777" w:rsidTr="000929BC">
        <w:tblPrEx>
          <w:tblW w:w="0" w:type="auto"/>
          <w:tblLayout w:type="fixed"/>
          <w:tblLook w:val="0000"/>
        </w:tblPrEx>
        <w:tc>
          <w:tcPr>
            <w:tcW w:w="4698" w:type="dxa"/>
          </w:tcPr>
          <w:p w:rsidR="0098712D" w:rsidP="000929BC" w14:paraId="51545E8D" w14:textId="77777777">
            <w:pPr>
              <w:tabs>
                <w:tab w:val="center" w:pos="4680"/>
              </w:tabs>
              <w:suppressAutoHyphens/>
              <w:rPr>
                <w:spacing w:val="-2"/>
              </w:rPr>
            </w:pPr>
            <w:r>
              <w:rPr>
                <w:spacing w:val="-2"/>
              </w:rPr>
              <w:t xml:space="preserve">In the Matter of </w:t>
            </w:r>
          </w:p>
          <w:p w:rsidR="0098712D" w:rsidP="000929BC" w14:paraId="2CBC1FDD" w14:textId="77777777">
            <w:pPr>
              <w:tabs>
                <w:tab w:val="center" w:pos="4680"/>
              </w:tabs>
              <w:suppressAutoHyphens/>
              <w:rPr>
                <w:spacing w:val="-2"/>
              </w:rPr>
            </w:pPr>
          </w:p>
          <w:p w:rsidR="0098712D" w:rsidP="000929BC" w14:paraId="481F368E" w14:textId="77777777">
            <w:pPr>
              <w:tabs>
                <w:tab w:val="center" w:pos="4680"/>
              </w:tabs>
              <w:suppressAutoHyphens/>
              <w:rPr>
                <w:spacing w:val="-2"/>
              </w:rPr>
            </w:pPr>
            <w:r>
              <w:rPr>
                <w:spacing w:val="-2"/>
              </w:rPr>
              <w:t xml:space="preserve">Application of SPB LLC </w:t>
            </w:r>
          </w:p>
          <w:p w:rsidR="0098712D" w:rsidP="000929BC" w14:paraId="707CB42F" w14:textId="77777777">
            <w:pPr>
              <w:tabs>
                <w:tab w:val="center" w:pos="4680"/>
              </w:tabs>
              <w:suppressAutoHyphens/>
              <w:rPr>
                <w:spacing w:val="-2"/>
              </w:rPr>
            </w:pPr>
          </w:p>
          <w:p w:rsidR="0098712D" w:rsidP="000929BC" w14:paraId="7B195DAA" w14:textId="77777777">
            <w:pPr>
              <w:tabs>
                <w:tab w:val="center" w:pos="4680"/>
              </w:tabs>
              <w:suppressAutoHyphens/>
              <w:rPr>
                <w:spacing w:val="-2"/>
              </w:rPr>
            </w:pPr>
            <w:r>
              <w:rPr>
                <w:spacing w:val="-2"/>
              </w:rPr>
              <w:t xml:space="preserve">For Renewal of Licensee for </w:t>
            </w:r>
          </w:p>
          <w:p w:rsidR="0098712D" w:rsidRPr="007115F7" w:rsidP="000929BC" w14:paraId="172B46DC" w14:textId="77777777">
            <w:pPr>
              <w:tabs>
                <w:tab w:val="center" w:pos="4680"/>
              </w:tabs>
              <w:suppressAutoHyphens/>
              <w:rPr>
                <w:spacing w:val="-2"/>
              </w:rPr>
            </w:pPr>
            <w:r>
              <w:rPr>
                <w:spacing w:val="-2"/>
              </w:rPr>
              <w:t>Station WABG(AM), Greenwood, Mississippi</w:t>
            </w:r>
          </w:p>
        </w:tc>
        <w:tc>
          <w:tcPr>
            <w:tcW w:w="630" w:type="dxa"/>
          </w:tcPr>
          <w:p w:rsidR="0098712D" w:rsidP="000929BC" w14:paraId="724A2263" w14:textId="77777777">
            <w:pPr>
              <w:tabs>
                <w:tab w:val="center" w:pos="4680"/>
              </w:tabs>
              <w:suppressAutoHyphens/>
              <w:rPr>
                <w:b/>
                <w:spacing w:val="-2"/>
              </w:rPr>
            </w:pPr>
            <w:r>
              <w:rPr>
                <w:b/>
                <w:spacing w:val="-2"/>
              </w:rPr>
              <w:t>)</w:t>
            </w:r>
          </w:p>
          <w:p w:rsidR="0098712D" w:rsidP="000929BC" w14:paraId="21162036" w14:textId="77777777">
            <w:pPr>
              <w:tabs>
                <w:tab w:val="center" w:pos="4680"/>
              </w:tabs>
              <w:suppressAutoHyphens/>
              <w:rPr>
                <w:b/>
                <w:spacing w:val="-2"/>
              </w:rPr>
            </w:pPr>
            <w:r>
              <w:rPr>
                <w:b/>
                <w:spacing w:val="-2"/>
              </w:rPr>
              <w:t>)</w:t>
            </w:r>
          </w:p>
          <w:p w:rsidR="0098712D" w:rsidP="000929BC" w14:paraId="68DE6EFD" w14:textId="77777777">
            <w:pPr>
              <w:tabs>
                <w:tab w:val="center" w:pos="4680"/>
              </w:tabs>
              <w:suppressAutoHyphens/>
              <w:rPr>
                <w:b/>
                <w:spacing w:val="-2"/>
              </w:rPr>
            </w:pPr>
            <w:r>
              <w:rPr>
                <w:b/>
                <w:spacing w:val="-2"/>
              </w:rPr>
              <w:t>)</w:t>
            </w:r>
          </w:p>
          <w:p w:rsidR="0098712D" w:rsidP="000929BC" w14:paraId="3854C2AB" w14:textId="77777777">
            <w:pPr>
              <w:tabs>
                <w:tab w:val="center" w:pos="4680"/>
              </w:tabs>
              <w:suppressAutoHyphens/>
              <w:rPr>
                <w:b/>
                <w:spacing w:val="-2"/>
              </w:rPr>
            </w:pPr>
            <w:r>
              <w:rPr>
                <w:b/>
                <w:spacing w:val="-2"/>
              </w:rPr>
              <w:t>)</w:t>
            </w:r>
          </w:p>
          <w:p w:rsidR="0098712D" w:rsidP="000929BC" w14:paraId="26BCDD09" w14:textId="77777777">
            <w:pPr>
              <w:tabs>
                <w:tab w:val="center" w:pos="4680"/>
              </w:tabs>
              <w:suppressAutoHyphens/>
              <w:rPr>
                <w:b/>
                <w:spacing w:val="-2"/>
              </w:rPr>
            </w:pPr>
            <w:r>
              <w:rPr>
                <w:b/>
                <w:spacing w:val="-2"/>
              </w:rPr>
              <w:t>)</w:t>
            </w:r>
          </w:p>
          <w:p w:rsidR="0098712D" w:rsidRPr="003A2939" w:rsidP="000929BC" w14:paraId="36785D9D" w14:textId="77777777">
            <w:pPr>
              <w:tabs>
                <w:tab w:val="center" w:pos="4680"/>
              </w:tabs>
              <w:suppressAutoHyphens/>
              <w:rPr>
                <w:b/>
                <w:spacing w:val="-2"/>
              </w:rPr>
            </w:pPr>
            <w:r>
              <w:rPr>
                <w:b/>
                <w:spacing w:val="-2"/>
              </w:rPr>
              <w:t>)</w:t>
            </w:r>
          </w:p>
        </w:tc>
        <w:tc>
          <w:tcPr>
            <w:tcW w:w="4248" w:type="dxa"/>
          </w:tcPr>
          <w:p w:rsidR="0098712D" w:rsidP="000929BC" w14:paraId="42AC247B" w14:textId="77777777">
            <w:pPr>
              <w:tabs>
                <w:tab w:val="center" w:pos="4680"/>
              </w:tabs>
              <w:suppressAutoHyphens/>
              <w:rPr>
                <w:spacing w:val="-2"/>
              </w:rPr>
            </w:pPr>
          </w:p>
          <w:p w:rsidR="0098712D" w:rsidP="000929BC" w14:paraId="6100515B" w14:textId="77777777">
            <w:pPr>
              <w:pStyle w:val="TOAHeading"/>
              <w:tabs>
                <w:tab w:val="center" w:pos="4680"/>
                <w:tab w:val="clear" w:pos="9360"/>
              </w:tabs>
              <w:rPr>
                <w:spacing w:val="-2"/>
              </w:rPr>
            </w:pPr>
          </w:p>
          <w:p w:rsidR="0098712D" w:rsidP="000929BC" w14:paraId="643E059F" w14:textId="77777777">
            <w:pPr>
              <w:tabs>
                <w:tab w:val="center" w:pos="4680"/>
              </w:tabs>
              <w:suppressAutoHyphens/>
              <w:rPr>
                <w:spacing w:val="-2"/>
              </w:rPr>
            </w:pPr>
            <w:r>
              <w:rPr>
                <w:spacing w:val="-2"/>
              </w:rPr>
              <w:t>CD Acct. No. MB-</w:t>
            </w:r>
            <w:r w:rsidRPr="007A47C5">
              <w:rPr>
                <w:spacing w:val="-2"/>
              </w:rPr>
              <w:t>202641410001</w:t>
            </w:r>
          </w:p>
          <w:p w:rsidR="0098712D" w:rsidP="000929BC" w14:paraId="3A6A7E60" w14:textId="77777777">
            <w:pPr>
              <w:tabs>
                <w:tab w:val="center" w:pos="4680"/>
              </w:tabs>
              <w:suppressAutoHyphens/>
              <w:rPr>
                <w:spacing w:val="-2"/>
              </w:rPr>
            </w:pPr>
            <w:r>
              <w:rPr>
                <w:spacing w:val="-2"/>
              </w:rPr>
              <w:t>FRN</w:t>
            </w:r>
            <w:r>
              <w:rPr>
                <w:spacing w:val="-2"/>
              </w:rPr>
              <w:t xml:space="preserve">:  </w:t>
            </w:r>
            <w:r w:rsidRPr="003A2939">
              <w:rPr>
                <w:spacing w:val="-2"/>
              </w:rPr>
              <w:t>0017051509</w:t>
            </w:r>
          </w:p>
          <w:p w:rsidR="0098712D" w:rsidP="000929BC" w14:paraId="227F0C02" w14:textId="77777777">
            <w:pPr>
              <w:tabs>
                <w:tab w:val="center" w:pos="4680"/>
              </w:tabs>
              <w:suppressAutoHyphens/>
              <w:rPr>
                <w:spacing w:val="-2"/>
              </w:rPr>
            </w:pPr>
            <w:r>
              <w:rPr>
                <w:spacing w:val="-2"/>
              </w:rPr>
              <w:t>Facility ID No. 25238</w:t>
            </w:r>
          </w:p>
          <w:p w:rsidR="0098712D" w:rsidRPr="003A2939" w:rsidP="000929BC" w14:paraId="7EFC681D" w14:textId="77777777">
            <w:pPr>
              <w:tabs>
                <w:tab w:val="center" w:pos="4680"/>
              </w:tabs>
              <w:suppressAutoHyphens/>
              <w:rPr>
                <w:b/>
                <w:bCs/>
                <w:spacing w:val="-2"/>
              </w:rPr>
            </w:pPr>
            <w:r>
              <w:rPr>
                <w:spacing w:val="-2"/>
              </w:rPr>
              <w:t xml:space="preserve">File No. </w:t>
            </w:r>
            <w:r w:rsidRPr="005149D3">
              <w:rPr>
                <w:color w:val="000000"/>
                <w:szCs w:val="22"/>
              </w:rPr>
              <w:t>0000106654</w:t>
            </w:r>
          </w:p>
        </w:tc>
      </w:tr>
      <w:tr w14:paraId="683024FC" w14:textId="77777777">
        <w:tblPrEx>
          <w:tblW w:w="0" w:type="auto"/>
          <w:tblLayout w:type="fixed"/>
          <w:tblLook w:val="0000"/>
        </w:tblPrEx>
        <w:tc>
          <w:tcPr>
            <w:tcW w:w="4698" w:type="dxa"/>
          </w:tcPr>
          <w:p w:rsidR="004C2EE3" w:rsidRPr="007115F7" w:rsidP="007115F7" w14:paraId="36E72080" w14:textId="560EDA5B">
            <w:pPr>
              <w:tabs>
                <w:tab w:val="center" w:pos="4680"/>
              </w:tabs>
              <w:suppressAutoHyphens/>
              <w:rPr>
                <w:spacing w:val="-2"/>
              </w:rPr>
            </w:pPr>
            <w:r>
              <w:rPr>
                <w:spacing w:val="-2"/>
              </w:rPr>
              <w:t>In the Matter of</w:t>
            </w:r>
          </w:p>
        </w:tc>
        <w:tc>
          <w:tcPr>
            <w:tcW w:w="630" w:type="dxa"/>
          </w:tcPr>
          <w:p w:rsidR="004C2EE3" w:rsidRPr="0098712D" w14:paraId="7FBD98FB" w14:textId="132A4433">
            <w:pPr>
              <w:tabs>
                <w:tab w:val="center" w:pos="4680"/>
              </w:tabs>
              <w:suppressAutoHyphens/>
              <w:rPr>
                <w:b/>
                <w:spacing w:val="-2"/>
              </w:rPr>
            </w:pPr>
            <w:r>
              <w:rPr>
                <w:b/>
                <w:spacing w:val="-2"/>
              </w:rPr>
              <w:t>)</w:t>
            </w:r>
          </w:p>
        </w:tc>
        <w:tc>
          <w:tcPr>
            <w:tcW w:w="4248" w:type="dxa"/>
          </w:tcPr>
          <w:p w:rsidR="004C2EE3" w14:paraId="7923A9A5" w14:textId="04072742">
            <w:pPr>
              <w:tabs>
                <w:tab w:val="center" w:pos="4680"/>
              </w:tabs>
              <w:suppressAutoHyphens/>
              <w:rPr>
                <w:spacing w:val="-2"/>
              </w:rPr>
            </w:pPr>
          </w:p>
        </w:tc>
      </w:tr>
    </w:tbl>
    <w:p w:rsidR="004C2EE3" w:rsidP="0070224F" w14:paraId="1A07D61A" w14:textId="77777777"/>
    <w:p w:rsidR="00841AB1" w:rsidP="00F021FA" w14:paraId="39AD7545" w14:textId="3C1A0BBC">
      <w:pPr>
        <w:pStyle w:val="StyleBoldCentered"/>
      </w:pPr>
      <w:r>
        <w:t>order</w:t>
      </w:r>
      <w:r w:rsidR="00377EFE">
        <w:t xml:space="preserve"> on reconsideration</w:t>
      </w:r>
    </w:p>
    <w:p w:rsidR="004C2EE3" w14:paraId="4E789907" w14:textId="77777777">
      <w:pPr>
        <w:tabs>
          <w:tab w:val="left" w:pos="-720"/>
        </w:tabs>
        <w:suppressAutoHyphens/>
        <w:spacing w:line="227" w:lineRule="auto"/>
        <w:rPr>
          <w:spacing w:val="-2"/>
        </w:rPr>
      </w:pPr>
    </w:p>
    <w:p w:rsidR="004C2EE3" w:rsidP="00133F79" w14:paraId="03938DE5" w14:textId="1B683250">
      <w:pPr>
        <w:tabs>
          <w:tab w:val="left" w:pos="720"/>
          <w:tab w:val="right" w:pos="9360"/>
        </w:tabs>
        <w:suppressAutoHyphens/>
        <w:spacing w:line="227" w:lineRule="auto"/>
        <w:rPr>
          <w:spacing w:val="-2"/>
        </w:rPr>
      </w:pPr>
      <w:r>
        <w:rPr>
          <w:b/>
          <w:spacing w:val="-2"/>
        </w:rPr>
        <w:t>Adopted</w:t>
      </w:r>
      <w:r>
        <w:rPr>
          <w:b/>
          <w:spacing w:val="-2"/>
        </w:rPr>
        <w:t xml:space="preserve">:  </w:t>
      </w:r>
      <w:r w:rsidR="008B5B66">
        <w:rPr>
          <w:b/>
          <w:spacing w:val="-2"/>
        </w:rPr>
        <w:t>May</w:t>
      </w:r>
      <w:r w:rsidR="008B5B66">
        <w:rPr>
          <w:b/>
          <w:spacing w:val="-2"/>
        </w:rPr>
        <w:t xml:space="preserve"> 1</w:t>
      </w:r>
      <w:r w:rsidR="0098712D">
        <w:rPr>
          <w:b/>
          <w:spacing w:val="-2"/>
        </w:rPr>
        <w:t xml:space="preserve">, </w:t>
      </w:r>
      <w:r w:rsidR="0098712D">
        <w:rPr>
          <w:b/>
          <w:spacing w:val="-2"/>
        </w:rPr>
        <w:t>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8B5B66">
        <w:rPr>
          <w:b/>
          <w:spacing w:val="-2"/>
        </w:rPr>
        <w:t>May</w:t>
      </w:r>
      <w:r w:rsidR="008B5B66">
        <w:rPr>
          <w:b/>
          <w:spacing w:val="-2"/>
        </w:rPr>
        <w:t xml:space="preserve"> 1</w:t>
      </w:r>
      <w:r w:rsidR="0098712D">
        <w:rPr>
          <w:b/>
          <w:spacing w:val="-2"/>
        </w:rPr>
        <w:t>, 2026</w:t>
      </w:r>
    </w:p>
    <w:p w:rsidR="00822CE0" w14:paraId="4EB73054" w14:textId="77777777"/>
    <w:p w:rsidR="004C2EE3" w14:paraId="64C5F1D0" w14:textId="58DD224B">
      <w:pPr>
        <w:rPr>
          <w:spacing w:val="-2"/>
        </w:rPr>
      </w:pPr>
      <w:r>
        <w:t xml:space="preserve">By </w:t>
      </w:r>
      <w:r w:rsidR="004E4A22">
        <w:t>the</w:t>
      </w:r>
      <w:r w:rsidR="002A2D2E">
        <w:t xml:space="preserve"> </w:t>
      </w:r>
      <w:r w:rsidR="0098712D">
        <w:rPr>
          <w:spacing w:val="-2"/>
        </w:rPr>
        <w:t>Chief, Audio Division, Media Bureau</w:t>
      </w:r>
      <w:r>
        <w:rPr>
          <w:spacing w:val="-2"/>
        </w:rPr>
        <w:t>:</w:t>
      </w:r>
    </w:p>
    <w:p w:rsidR="00822CE0" w14:paraId="18DA969A" w14:textId="77777777">
      <w:pPr>
        <w:rPr>
          <w:spacing w:val="-2"/>
        </w:rPr>
      </w:pPr>
    </w:p>
    <w:p w:rsidR="00F400AD" w:rsidP="00F400AD" w14:paraId="423B7C71" w14:textId="12A0B512">
      <w:pPr>
        <w:pStyle w:val="ParaNum"/>
      </w:pPr>
      <w:r>
        <w:t>By this Order on R</w:t>
      </w:r>
      <w:r w:rsidR="0068074A">
        <w:t>e</w:t>
      </w:r>
      <w:r>
        <w:t>consideration</w:t>
      </w:r>
      <w:r w:rsidR="0068074A">
        <w:t>, we modify on our own motion</w:t>
      </w:r>
      <w:r w:rsidR="00794726">
        <w:t xml:space="preserve"> a Memorandum Opinion and Order</w:t>
      </w:r>
      <w:r w:rsidR="006E2F38">
        <w:t xml:space="preserve"> (</w:t>
      </w:r>
      <w:r w:rsidR="006243C6">
        <w:rPr>
          <w:i/>
          <w:iCs/>
        </w:rPr>
        <w:t>MO&amp;O</w:t>
      </w:r>
      <w:r w:rsidR="006E2F38">
        <w:t>)</w:t>
      </w:r>
      <w:r w:rsidR="009864DC">
        <w:t xml:space="preserve"> </w:t>
      </w:r>
      <w:r w:rsidR="00B27F3D">
        <w:t xml:space="preserve">in the above-captioned proceeding </w:t>
      </w:r>
      <w:r w:rsidR="00794726">
        <w:t xml:space="preserve">adopting a </w:t>
      </w:r>
      <w:r w:rsidR="006E2F38">
        <w:t>consent decree (</w:t>
      </w:r>
      <w:r w:rsidR="00794726">
        <w:t>Consent Decree</w:t>
      </w:r>
      <w:r w:rsidR="006E2F38">
        <w:t>)</w:t>
      </w:r>
      <w:r w:rsidR="00794726">
        <w:t xml:space="preserve"> entered into by the </w:t>
      </w:r>
      <w:r w:rsidR="00B27F3D">
        <w:t xml:space="preserve">Media </w:t>
      </w:r>
      <w:r w:rsidR="00794726">
        <w:t>Bureau</w:t>
      </w:r>
      <w:r w:rsidR="00B27F3D">
        <w:t xml:space="preserve"> (Bureau)</w:t>
      </w:r>
      <w:r w:rsidR="00794726">
        <w:t xml:space="preserve"> and SPB LLC</w:t>
      </w:r>
      <w:r w:rsidR="004D245D">
        <w:t xml:space="preserve"> (Licensee)</w:t>
      </w:r>
      <w:r w:rsidR="00794726">
        <w:t>, licensee of station WABG(AM), Greenwood, Mississippi</w:t>
      </w:r>
      <w:r w:rsidR="006E2F38">
        <w:t xml:space="preserve"> (Station)</w:t>
      </w:r>
      <w:r w:rsidR="00794726">
        <w:t>.</w:t>
      </w:r>
      <w:r>
        <w:rPr>
          <w:rStyle w:val="FootnoteReference"/>
        </w:rPr>
        <w:footnoteReference w:id="3"/>
      </w:r>
      <w:r w:rsidR="00794726">
        <w:t xml:space="preserve">  </w:t>
      </w:r>
      <w:r w:rsidR="006E2F38">
        <w:t xml:space="preserve">In the </w:t>
      </w:r>
      <w:r w:rsidR="006243C6">
        <w:rPr>
          <w:i/>
          <w:iCs/>
        </w:rPr>
        <w:t>MO&amp;O</w:t>
      </w:r>
      <w:r w:rsidR="006E2F38">
        <w:rPr>
          <w:i/>
          <w:iCs/>
        </w:rPr>
        <w:t xml:space="preserve"> </w:t>
      </w:r>
      <w:r w:rsidR="006E2F38">
        <w:t xml:space="preserve">the Bureau found that the public interest would be served by approving the Consent Decree and terminating all proceedings related to the Bureau’s investigation of </w:t>
      </w:r>
      <w:r w:rsidR="00417B3A">
        <w:t xml:space="preserve">the Station’s </w:t>
      </w:r>
      <w:r w:rsidR="006E2F38">
        <w:t>potential violations of the Communications Act of 1934, as amended (Act), and the Commission’s rules</w:t>
      </w:r>
      <w:r w:rsidR="00EC2F32">
        <w:t xml:space="preserve"> (Rules)—including</w:t>
      </w:r>
      <w:r w:rsidRPr="00EC2F32" w:rsidR="00EC2F32">
        <w:t xml:space="preserve"> </w:t>
      </w:r>
      <w:r w:rsidR="00EC2F32">
        <w:t>the Commission’s online public inspection file (OPIF) rule</w:t>
      </w:r>
      <w:r>
        <w:rPr>
          <w:rStyle w:val="FootnoteReference"/>
        </w:rPr>
        <w:footnoteReference w:id="4"/>
      </w:r>
      <w:r w:rsidR="00EC2F32">
        <w:t>—</w:t>
      </w:r>
      <w:r w:rsidR="006E2F38">
        <w:t xml:space="preserve">in connection with </w:t>
      </w:r>
      <w:r w:rsidR="00EC2F32">
        <w:t xml:space="preserve">Licensee’s </w:t>
      </w:r>
      <w:r w:rsidR="006E2F38">
        <w:t>application for renewal of license for the Station</w:t>
      </w:r>
      <w:r w:rsidR="00F25973">
        <w:t xml:space="preserve"> (Application)</w:t>
      </w:r>
      <w:r w:rsidR="006E2F38">
        <w:t>.</w:t>
      </w:r>
      <w:r>
        <w:rPr>
          <w:rStyle w:val="FootnoteReference"/>
        </w:rPr>
        <w:footnoteReference w:id="5"/>
      </w:r>
      <w:r w:rsidR="006E2F38">
        <w:t xml:space="preserve">  Among other things, the Consent Decree provided that the Bureau agreed to grant the Application </w:t>
      </w:r>
      <w:r w:rsidR="00D413C3">
        <w:t>upon</w:t>
      </w:r>
      <w:r w:rsidR="006E2F38">
        <w:t xml:space="preserve"> the following conditions hav</w:t>
      </w:r>
      <w:r w:rsidR="00D413C3">
        <w:t>ing</w:t>
      </w:r>
      <w:r w:rsidR="006E2F38">
        <w:t xml:space="preserve"> been met:  1) the voluntary contribution to the United States Treasury in the amount of one thousand dollars ($1,000.00), referenced in paragraph 17 of the Consent Decree, has been fully and timely satisfied; and 2)</w:t>
      </w:r>
      <w:r w:rsidR="00275DA0">
        <w:t> </w:t>
      </w:r>
      <w:r w:rsidR="006E2F38">
        <w:t xml:space="preserve">there are no issues </w:t>
      </w:r>
      <w:r w:rsidR="00D36F4C">
        <w:t>that would preclude the grant of the Application</w:t>
      </w:r>
      <w:r w:rsidR="00275DA0">
        <w:t>, other than the violations that were the subject of the Consent Decree</w:t>
      </w:r>
      <w:r w:rsidR="00D36F4C">
        <w:t>.</w:t>
      </w:r>
      <w:bookmarkStart w:id="0" w:name="_Ref228450745"/>
      <w:r>
        <w:rPr>
          <w:rStyle w:val="FootnoteReference"/>
        </w:rPr>
        <w:footnoteReference w:id="6"/>
      </w:r>
      <w:bookmarkEnd w:id="0"/>
      <w:r w:rsidR="00A313B6">
        <w:t xml:space="preserve">  </w:t>
      </w:r>
      <w:r w:rsidR="004A343F">
        <w:t>Licensee further agreed to adopt a compliance plan to ensure future compliance with the Act and the Rules, including the OPIF rule.</w:t>
      </w:r>
      <w:r>
        <w:rPr>
          <w:rStyle w:val="FootnoteReference"/>
        </w:rPr>
        <w:footnoteReference w:id="7"/>
      </w:r>
    </w:p>
    <w:p w:rsidR="00412FC5" w:rsidP="00794726" w14:paraId="14D043DA" w14:textId="69D4B5FE">
      <w:pPr>
        <w:pStyle w:val="ParaNum"/>
      </w:pPr>
      <w:r>
        <w:t xml:space="preserve">Following the release of the </w:t>
      </w:r>
      <w:r w:rsidR="00275DA0">
        <w:rPr>
          <w:i/>
          <w:iCs/>
        </w:rPr>
        <w:t>MO&amp;O</w:t>
      </w:r>
      <w:r>
        <w:t xml:space="preserve"> and </w:t>
      </w:r>
      <w:r w:rsidR="00130B31">
        <w:t xml:space="preserve">the </w:t>
      </w:r>
      <w:r>
        <w:t xml:space="preserve">Consent Decree on April 1, 2026, the Bureau learned that the Station </w:t>
      </w:r>
      <w:r w:rsidR="00F400AD">
        <w:t>continued to violate the OPIF rule.  Specifically, the Bureau learned that</w:t>
      </w:r>
      <w:r w:rsidR="000C189D">
        <w:t>—less than ten days after the Consent Decree was signed—</w:t>
      </w:r>
      <w:r w:rsidR="00F400AD">
        <w:t xml:space="preserve">the Station </w:t>
      </w:r>
      <w:r>
        <w:t xml:space="preserve">failed to upload </w:t>
      </w:r>
      <w:r w:rsidR="004342D8">
        <w:t xml:space="preserve">to </w:t>
      </w:r>
      <w:r w:rsidR="004D245D">
        <w:t xml:space="preserve">its </w:t>
      </w:r>
      <w:r w:rsidR="004342D8">
        <w:t>OPIF</w:t>
      </w:r>
      <w:r>
        <w:rPr>
          <w:rStyle w:val="FootnoteReference"/>
        </w:rPr>
        <w:footnoteReference w:id="8"/>
      </w:r>
      <w:r w:rsidR="004342D8">
        <w:t xml:space="preserve"> by April 10, 2026, </w:t>
      </w:r>
      <w:r>
        <w:t>a quarterly issues</w:t>
      </w:r>
      <w:r w:rsidR="00640353">
        <w:t xml:space="preserve"> and </w:t>
      </w:r>
      <w:r>
        <w:t xml:space="preserve">programs list for the full </w:t>
      </w:r>
      <w:r w:rsidR="00F400AD">
        <w:t xml:space="preserve">quarter </w:t>
      </w:r>
      <w:r>
        <w:t>of January 2026 through March 2026</w:t>
      </w:r>
      <w:r w:rsidR="00F400AD">
        <w:t xml:space="preserve">, </w:t>
      </w:r>
      <w:r w:rsidR="004342D8">
        <w:t>in violation of</w:t>
      </w:r>
      <w:r w:rsidR="00F400AD">
        <w:t xml:space="preserve"> the OPIF rule</w:t>
      </w:r>
      <w:r>
        <w:t>.</w:t>
      </w:r>
      <w:r>
        <w:rPr>
          <w:rStyle w:val="FootnoteReference"/>
        </w:rPr>
        <w:footnoteReference w:id="9"/>
      </w:r>
      <w:r>
        <w:t xml:space="preserve">  Because this violation occurred after the release of the Consent Decree, it is a new violation </w:t>
      </w:r>
      <w:r w:rsidR="003E6CE9">
        <w:t xml:space="preserve">and therefore not subject to the terms of the Consent Decree providing that the Bureau </w:t>
      </w:r>
      <w:r w:rsidR="003E6CE9">
        <w:t>would grant the Application after full and timely satisfaction of the voluntary contribution required by the Consent Decree, notwithstanding the violations that were the subject of the Consent Decree.</w:t>
      </w:r>
      <w:r>
        <w:rPr>
          <w:rStyle w:val="FootnoteReference"/>
        </w:rPr>
        <w:footnoteReference w:id="10"/>
      </w:r>
      <w:r w:rsidR="003E6CE9">
        <w:t xml:space="preserve">  Accordingly, pursuant to the terms of the Consent Decree, section 309(k) of the Act, and section 1.113 of the Commission’s rules,</w:t>
      </w:r>
      <w:r>
        <w:rPr>
          <w:rStyle w:val="FootnoteReference"/>
        </w:rPr>
        <w:footnoteReference w:id="11"/>
      </w:r>
      <w:r w:rsidR="003E6CE9">
        <w:t xml:space="preserve"> we</w:t>
      </w:r>
      <w:r w:rsidR="004806E2">
        <w:t xml:space="preserve"> find that it is appropriate for the Bureau to</w:t>
      </w:r>
      <w:r w:rsidR="003E6CE9">
        <w:t xml:space="preserve"> consider the Licensee’s </w:t>
      </w:r>
      <w:r w:rsidR="004806E2">
        <w:t>new violation of the OPIF rule in connection with our review of the Application</w:t>
      </w:r>
      <w:r w:rsidR="004342D8">
        <w:t>,</w:t>
      </w:r>
      <w:r w:rsidR="00142434">
        <w:t xml:space="preserve"> and </w:t>
      </w:r>
      <w:r w:rsidR="004342D8">
        <w:t xml:space="preserve">we </w:t>
      </w:r>
      <w:r w:rsidR="00142434">
        <w:t xml:space="preserve">hereby modify the </w:t>
      </w:r>
      <w:r w:rsidR="004342D8">
        <w:rPr>
          <w:i/>
          <w:iCs/>
        </w:rPr>
        <w:t>MO&amp;O</w:t>
      </w:r>
      <w:r w:rsidR="00142434">
        <w:rPr>
          <w:i/>
          <w:iCs/>
        </w:rPr>
        <w:t xml:space="preserve"> </w:t>
      </w:r>
      <w:r w:rsidR="00142434">
        <w:t>on our own motion</w:t>
      </w:r>
      <w:r w:rsidR="004806E2">
        <w:t>.</w:t>
      </w:r>
      <w:r w:rsidR="003E6CE9">
        <w:t xml:space="preserve"> </w:t>
      </w:r>
    </w:p>
    <w:p w:rsidR="004806E2" w:rsidP="004806E2" w14:paraId="3358B7BA" w14:textId="388B8257">
      <w:pPr>
        <w:pStyle w:val="ParaNum"/>
      </w:pPr>
      <w:r w:rsidRPr="008D30C5">
        <w:t>In evaluating an application for license renewal, the Commission</w:t>
      </w:r>
      <w:r>
        <w:t>’</w:t>
      </w:r>
      <w:r w:rsidRPr="008D30C5">
        <w:t xml:space="preserve">s decision is governed by </w:t>
      </w:r>
      <w:r>
        <w:t>section</w:t>
      </w:r>
      <w:r w:rsidRPr="008D30C5">
        <w:t xml:space="preserve"> 309(k) of the Act.</w:t>
      </w:r>
      <w:bookmarkStart w:id="1" w:name="FN[FN15]"/>
      <w:bookmarkEnd w:id="1"/>
      <w:r>
        <w:rPr>
          <w:rStyle w:val="FootnoteReference"/>
          <w:szCs w:val="22"/>
        </w:rPr>
        <w:footnoteReference w:id="12"/>
      </w:r>
      <w:r w:rsidRPr="008D30C5">
        <w:t xml:space="preserve">  That section provides that if, upon consideration of the application and pleadings, we find that (1) the </w:t>
      </w:r>
      <w:r>
        <w:t>S</w:t>
      </w:r>
      <w:r w:rsidRPr="008D30C5">
        <w:t xml:space="preserve">tation has served the public interest, convenience, and necessity; (2) there have been no serious violations of the Act or the </w:t>
      </w:r>
      <w:r w:rsidR="004A343F">
        <w:t>Rules</w:t>
      </w:r>
      <w:r w:rsidRPr="008D30C5">
        <w:t xml:space="preserve">; and (3) there have been no other violations which, taken together, constitute a pattern of abuse, we are to grant the </w:t>
      </w:r>
      <w:r w:rsidR="004A343F">
        <w:t>a</w:t>
      </w:r>
      <w:r w:rsidRPr="008D30C5" w:rsidR="004A343F">
        <w:t>pplication</w:t>
      </w:r>
      <w:r w:rsidRPr="008D30C5">
        <w:t>.</w:t>
      </w:r>
      <w:bookmarkStart w:id="2" w:name="FN[FN16]"/>
      <w:bookmarkEnd w:id="2"/>
      <w:r>
        <w:rPr>
          <w:rStyle w:val="FootnoteReference"/>
          <w:szCs w:val="22"/>
        </w:rPr>
        <w:footnoteReference w:id="13"/>
      </w:r>
      <w:r w:rsidRPr="008D30C5">
        <w:t xml:space="preserve">  </w:t>
      </w:r>
      <w:r w:rsidR="001D3BC4">
        <w:t>H</w:t>
      </w:r>
      <w:r w:rsidRPr="008D30C5">
        <w:t xml:space="preserve">owever, </w:t>
      </w:r>
      <w:r w:rsidR="00D413C3">
        <w:t xml:space="preserve">if </w:t>
      </w:r>
      <w:r w:rsidRPr="008D30C5">
        <w:t xml:space="preserve">the </w:t>
      </w:r>
      <w:r>
        <w:t>L</w:t>
      </w:r>
      <w:r w:rsidRPr="008D30C5">
        <w:t xml:space="preserve">icensee fails to meet that standard, the Commission may deny the </w:t>
      </w:r>
      <w:r w:rsidR="004A343F">
        <w:t>a</w:t>
      </w:r>
      <w:r w:rsidRPr="008D30C5" w:rsidR="004A343F">
        <w:t>pplication</w:t>
      </w:r>
      <w:r w:rsidRPr="008D30C5">
        <w:t xml:space="preserve">—after notice and opportunity for a hearing under </w:t>
      </w:r>
      <w:r>
        <w:t>section</w:t>
      </w:r>
      <w:r w:rsidRPr="008D30C5">
        <w:t xml:space="preserve"> 309(e) of the Act—or grant the application “on terms and conditions that are appropriate, including a renewal for a term less than the maximum otherwise permitted.”</w:t>
      </w:r>
      <w:bookmarkStart w:id="3" w:name="FN[FN17]"/>
      <w:bookmarkEnd w:id="3"/>
      <w:r>
        <w:rPr>
          <w:rStyle w:val="FootnoteReference"/>
          <w:szCs w:val="22"/>
        </w:rPr>
        <w:footnoteReference w:id="14"/>
      </w:r>
    </w:p>
    <w:p w:rsidR="00B85843" w:rsidP="00B85843" w14:paraId="5EC0C9C2" w14:textId="5243F334">
      <w:pPr>
        <w:pStyle w:val="ParaNum"/>
      </w:pPr>
      <w:bookmarkStart w:id="4" w:name="sp_999_2"/>
      <w:bookmarkStart w:id="5" w:name="SDU_2"/>
      <w:bookmarkEnd w:id="4"/>
      <w:bookmarkEnd w:id="5"/>
      <w:r w:rsidRPr="008D30C5">
        <w:t xml:space="preserve">It is clear to us that </w:t>
      </w:r>
      <w:r>
        <w:t xml:space="preserve">the </w:t>
      </w:r>
      <w:r w:rsidRPr="008D30C5">
        <w:t xml:space="preserve">Licensee’s conduct has fallen far short of the standard of compliance with the Act and the </w:t>
      </w:r>
      <w:r w:rsidR="004A343F">
        <w:t>Rules</w:t>
      </w:r>
      <w:r w:rsidRPr="008D30C5">
        <w:t xml:space="preserve"> that would </w:t>
      </w:r>
      <w:r w:rsidRPr="008D30C5">
        <w:t>warrant  routine</w:t>
      </w:r>
      <w:r w:rsidRPr="008D30C5">
        <w:t xml:space="preserve"> license renewal.  </w:t>
      </w:r>
      <w:r>
        <w:t xml:space="preserve">After the </w:t>
      </w:r>
      <w:r w:rsidRPr="008D30C5">
        <w:t>Licensee apparently failed to prepare</w:t>
      </w:r>
      <w:r>
        <w:t xml:space="preserve">, file, and upload timely to the OPIF </w:t>
      </w:r>
      <w:r w:rsidRPr="008D30C5">
        <w:t>any issues and programs lists and</w:t>
      </w:r>
      <w:r>
        <w:t xml:space="preserve"> </w:t>
      </w:r>
      <w:r w:rsidR="00F60D05">
        <w:t xml:space="preserve">subsequently </w:t>
      </w:r>
      <w:r>
        <w:t xml:space="preserve">agreed to implement </w:t>
      </w:r>
      <w:r w:rsidR="00303E32">
        <w:t xml:space="preserve">a </w:t>
      </w:r>
      <w:r>
        <w:t xml:space="preserve">comprehensive </w:t>
      </w:r>
      <w:r w:rsidR="00303E32">
        <w:t>c</w:t>
      </w:r>
      <w:r>
        <w:t xml:space="preserve">ompliance </w:t>
      </w:r>
      <w:r w:rsidR="00303E32">
        <w:t>plan as set forth in the Consent Decree,</w:t>
      </w:r>
      <w:r>
        <w:rPr>
          <w:rStyle w:val="FootnoteReference"/>
        </w:rPr>
        <w:footnoteReference w:id="15"/>
      </w:r>
      <w:r w:rsidR="00303E32">
        <w:t xml:space="preserve"> the Licensee continued its pattern of noncompliance with the OPIF rule</w:t>
      </w:r>
      <w:r w:rsidRPr="008D30C5">
        <w:t>.</w:t>
      </w:r>
      <w:r>
        <w:rPr>
          <w:rStyle w:val="FootnoteReference"/>
        </w:rPr>
        <w:footnoteReference w:id="16"/>
      </w:r>
      <w:r w:rsidRPr="008D30C5">
        <w:t xml:space="preserve">  </w:t>
      </w:r>
      <w:r w:rsidR="00BF7304">
        <w:t>Additionally, this violation occurred</w:t>
      </w:r>
      <w:r w:rsidR="00A02E75">
        <w:t xml:space="preserve"> only</w:t>
      </w:r>
      <w:r w:rsidR="00BF7304">
        <w:t xml:space="preserve"> </w:t>
      </w:r>
      <w:r w:rsidRPr="00EC2F32" w:rsidR="00BF7304">
        <w:rPr>
          <w:i/>
          <w:iCs/>
        </w:rPr>
        <w:t>days</w:t>
      </w:r>
      <w:r w:rsidR="00BF7304">
        <w:t xml:space="preserve"> after Licensee entered into the Consent Decree to resolve </w:t>
      </w:r>
      <w:r w:rsidR="00EC653A">
        <w:t xml:space="preserve">those </w:t>
      </w:r>
      <w:r w:rsidR="00BF7304">
        <w:t>prior violations.</w:t>
      </w:r>
    </w:p>
    <w:p w:rsidR="004806E2" w:rsidRPr="008D30C5" w:rsidP="00B85843" w14:paraId="6D8D2CB0" w14:textId="53F862DC">
      <w:pPr>
        <w:pStyle w:val="ParaNum"/>
      </w:pPr>
      <w:r w:rsidRPr="008D30C5">
        <w:t>The</w:t>
      </w:r>
      <w:r w:rsidR="00303E32">
        <w:t xml:space="preserve"> OPIF’s quarterly</w:t>
      </w:r>
      <w:r w:rsidRPr="008D30C5">
        <w:t xml:space="preserve"> issues and programs lists are a significant and representative indication that a licensee is providing substantial service to meet the needs and interests of its community.</w:t>
      </w:r>
      <w:r>
        <w:rPr>
          <w:vertAlign w:val="superscript"/>
        </w:rPr>
        <w:footnoteReference w:id="17"/>
      </w:r>
      <w:r w:rsidRPr="008D30C5">
        <w:t xml:space="preserve">  In addition, the OPIF </w:t>
      </w:r>
      <w:r w:rsidR="00303E32">
        <w:t>r</w:t>
      </w:r>
      <w:r w:rsidRPr="008D30C5">
        <w:t>ule safeguards the public</w:t>
      </w:r>
      <w:r w:rsidR="00303E32">
        <w:t>’</w:t>
      </w:r>
      <w:r w:rsidRPr="008D30C5">
        <w:t xml:space="preserve">s ability to assess the </w:t>
      </w:r>
      <w:r w:rsidR="00303E32">
        <w:t>Station’s</w:t>
      </w:r>
      <w:r w:rsidRPr="008D30C5">
        <w:t xml:space="preserve"> service and to meaningfully participate in the </w:t>
      </w:r>
      <w:r w:rsidR="00303E32">
        <w:t>Station’s</w:t>
      </w:r>
      <w:r w:rsidRPr="008D30C5">
        <w:t xml:space="preserve"> renewal process, and ensure</w:t>
      </w:r>
      <w:r w:rsidR="00303E32">
        <w:t>s</w:t>
      </w:r>
      <w:r w:rsidRPr="008D30C5">
        <w:t xml:space="preserve"> the </w:t>
      </w:r>
      <w:r w:rsidR="00303E32">
        <w:t>S</w:t>
      </w:r>
      <w:r w:rsidRPr="008D30C5">
        <w:t>tatio</w:t>
      </w:r>
      <w:r w:rsidR="00FF2E66">
        <w:t>n’</w:t>
      </w:r>
      <w:r w:rsidRPr="008D30C5">
        <w:t>s accessibility to and nexus with its community to serve and respond to community programming needs.</w:t>
      </w:r>
      <w:r>
        <w:rPr>
          <w:vertAlign w:val="superscript"/>
        </w:rPr>
        <w:footnoteReference w:id="18"/>
      </w:r>
      <w:r w:rsidRPr="008D30C5">
        <w:t xml:space="preserve">  As such, the </w:t>
      </w:r>
      <w:r w:rsidR="00303E32">
        <w:t xml:space="preserve">OPIF’s </w:t>
      </w:r>
      <w:r w:rsidRPr="008D30C5">
        <w:t>public information requirements are integral components of a licensee</w:t>
      </w:r>
      <w:r w:rsidR="00303E32">
        <w:t>’</w:t>
      </w:r>
      <w:r w:rsidRPr="008D30C5">
        <w:t>s obligation to serve the public interest and meet its community service obligations.</w:t>
      </w:r>
    </w:p>
    <w:p w:rsidR="004806E2" w:rsidRPr="008D30C5" w:rsidP="00303E32" w14:paraId="5BF85F23" w14:textId="6C829CDE">
      <w:pPr>
        <w:pStyle w:val="ParaNum"/>
      </w:pPr>
      <w:r w:rsidRPr="008D30C5">
        <w:t>We believe that</w:t>
      </w:r>
      <w:r w:rsidR="00303E32">
        <w:t xml:space="preserve"> the</w:t>
      </w:r>
      <w:r w:rsidRPr="008D30C5">
        <w:t xml:space="preserve"> Licensee’s </w:t>
      </w:r>
      <w:r w:rsidR="00303E32">
        <w:t xml:space="preserve">continued </w:t>
      </w:r>
      <w:r w:rsidRPr="008D30C5">
        <w:t xml:space="preserve">violation of </w:t>
      </w:r>
      <w:r>
        <w:t>section</w:t>
      </w:r>
      <w:r w:rsidRPr="008D30C5">
        <w:t>s 73.3526(e)(12) and 73.3526(b)(2) of the Rules</w:t>
      </w:r>
      <w:r>
        <w:rPr>
          <w:rStyle w:val="FootnoteReference"/>
          <w:szCs w:val="22"/>
        </w:rPr>
        <w:footnoteReference w:id="19"/>
      </w:r>
      <w:r w:rsidRPr="008D30C5">
        <w:t xml:space="preserve"> </w:t>
      </w:r>
      <w:r w:rsidR="00303E32">
        <w:t>are</w:t>
      </w:r>
      <w:r w:rsidRPr="008D30C5">
        <w:t xml:space="preserve"> “serious” violations</w:t>
      </w:r>
      <w:r w:rsidR="002700F5">
        <w:t xml:space="preserve"> within the meaning of section 309(k)</w:t>
      </w:r>
      <w:r w:rsidR="0059613C">
        <w:t>(1)(B)</w:t>
      </w:r>
      <w:r w:rsidR="002700F5">
        <w:t xml:space="preserve"> of the </w:t>
      </w:r>
      <w:r w:rsidR="002700F5">
        <w:t>Act</w:t>
      </w:r>
      <w:r w:rsidRPr="008D30C5">
        <w:t>,</w:t>
      </w:r>
      <w:r>
        <w:rPr>
          <w:vertAlign w:val="superscript"/>
        </w:rPr>
        <w:footnoteReference w:id="20"/>
      </w:r>
      <w:r w:rsidRPr="008D30C5">
        <w:t xml:space="preserve"> as they </w:t>
      </w:r>
      <w:r w:rsidR="00303E32">
        <w:t>deny</w:t>
      </w:r>
      <w:r w:rsidRPr="008D30C5">
        <w:t xml:space="preserve"> both the public and the Commission </w:t>
      </w:r>
      <w:r w:rsidR="00303E32">
        <w:t>the</w:t>
      </w:r>
      <w:r w:rsidRPr="008D30C5">
        <w:t xml:space="preserve"> opportunity to review and comment on the Station’s programming during the license term.  The record here further indicates that these </w:t>
      </w:r>
      <w:r w:rsidR="00303E32">
        <w:t xml:space="preserve">are </w:t>
      </w:r>
      <w:r w:rsidRPr="008D30C5">
        <w:t xml:space="preserve">willful and repeated violations, </w:t>
      </w:r>
      <w:r w:rsidR="00303E32">
        <w:t xml:space="preserve">and </w:t>
      </w:r>
      <w:r w:rsidRPr="008D30C5">
        <w:t xml:space="preserve">when considered together, </w:t>
      </w:r>
      <w:r w:rsidR="00303E32">
        <w:t xml:space="preserve">they </w:t>
      </w:r>
      <w:r w:rsidRPr="008D30C5">
        <w:t xml:space="preserve">constitute a pattern of abuse over </w:t>
      </w:r>
      <w:r>
        <w:t>a number</w:t>
      </w:r>
      <w:r w:rsidRPr="008D30C5">
        <w:t xml:space="preserve"> of years</w:t>
      </w:r>
      <w:r w:rsidR="00303E32">
        <w:t>—</w:t>
      </w:r>
      <w:r>
        <w:t xml:space="preserve">apparently </w:t>
      </w:r>
      <w:r w:rsidR="00303E32">
        <w:t>more than a</w:t>
      </w:r>
      <w:r>
        <w:t xml:space="preserve"> full license term</w:t>
      </w:r>
      <w:r w:rsidR="00303E32">
        <w:t>—</w:t>
      </w:r>
      <w:r w:rsidRPr="008D30C5">
        <w:t xml:space="preserve">by </w:t>
      </w:r>
      <w:r w:rsidR="00303E32">
        <w:t xml:space="preserve">the </w:t>
      </w:r>
      <w:r w:rsidRPr="008D30C5">
        <w:t>Licensee.</w:t>
      </w:r>
      <w:r>
        <w:rPr>
          <w:vertAlign w:val="superscript"/>
        </w:rPr>
        <w:footnoteReference w:id="21"/>
      </w:r>
      <w:r w:rsidRPr="008D30C5">
        <w:t xml:space="preserve">  </w:t>
      </w:r>
      <w:r w:rsidR="00142434">
        <w:t>A</w:t>
      </w:r>
      <w:r w:rsidRPr="008D30C5">
        <w:t xml:space="preserve">lthough we are concerned with Licensee’s failure to create </w:t>
      </w:r>
      <w:r w:rsidR="00EC43A6">
        <w:t xml:space="preserve">the </w:t>
      </w:r>
      <w:r w:rsidRPr="008D30C5">
        <w:t xml:space="preserve">required quarterly issues and programs lists, and to upload these lists into the OPIF, we find that </w:t>
      </w:r>
      <w:r w:rsidR="00142434">
        <w:t xml:space="preserve">the </w:t>
      </w:r>
      <w:r w:rsidRPr="008D30C5">
        <w:t xml:space="preserve">Licensee’s </w:t>
      </w:r>
      <w:r w:rsidR="00142434">
        <w:t>continued violation</w:t>
      </w:r>
      <w:r w:rsidRPr="008D30C5">
        <w:t xml:space="preserve"> of the </w:t>
      </w:r>
      <w:r w:rsidR="00142434">
        <w:t>OPIF rule</w:t>
      </w:r>
      <w:r w:rsidRPr="008D30C5">
        <w:t xml:space="preserve"> do</w:t>
      </w:r>
      <w:r w:rsidR="00142434">
        <w:t>es</w:t>
      </w:r>
      <w:r w:rsidRPr="008D30C5">
        <w:t xml:space="preserve"> not rise to such a level that designation for evidentiary hearing on the issue of whether to deny </w:t>
      </w:r>
      <w:r w:rsidR="00142434">
        <w:t>the Application</w:t>
      </w:r>
      <w:r w:rsidRPr="008D30C5">
        <w:t xml:space="preserve"> is warranted.</w:t>
      </w:r>
      <w:r>
        <w:rPr>
          <w:vertAlign w:val="superscript"/>
        </w:rPr>
        <w:footnoteReference w:id="22"/>
      </w:r>
      <w:r w:rsidRPr="008D30C5">
        <w:t xml:space="preserve">  </w:t>
      </w:r>
    </w:p>
    <w:p w:rsidR="004806E2" w:rsidRPr="008D30C5" w:rsidP="00142434" w14:paraId="62669DA6" w14:textId="59FDAE29">
      <w:pPr>
        <w:pStyle w:val="ParaNum"/>
      </w:pPr>
      <w:bookmarkStart w:id="6" w:name="_Ref228195301"/>
      <w:r w:rsidRPr="008D30C5">
        <w:t xml:space="preserve">On </w:t>
      </w:r>
      <w:r w:rsidRPr="008D30C5">
        <w:rPr>
          <w:shd w:val="clear" w:color="auto" w:fill="FFFFFF"/>
        </w:rPr>
        <w:t>the facts presented here, we conclude that a short-term license renewal is the appropriate sanction.</w:t>
      </w:r>
      <w:r>
        <w:rPr>
          <w:rStyle w:val="FootnoteReference"/>
          <w:shd w:val="clear" w:color="auto" w:fill="FFFFFF"/>
        </w:rPr>
        <w:footnoteReference w:id="23"/>
      </w:r>
      <w:r w:rsidRPr="008D30C5">
        <w:t xml:space="preserve">  W</w:t>
      </w:r>
      <w:r w:rsidRPr="008D30C5">
        <w:rPr>
          <w:shd w:val="clear" w:color="auto" w:fill="FFFFFF"/>
        </w:rPr>
        <w:t xml:space="preserve">e believe that </w:t>
      </w:r>
      <w:r w:rsidR="00142434">
        <w:rPr>
          <w:shd w:val="clear" w:color="auto" w:fill="FFFFFF"/>
        </w:rPr>
        <w:t xml:space="preserve">this </w:t>
      </w:r>
      <w:r w:rsidRPr="008D30C5">
        <w:rPr>
          <w:shd w:val="clear" w:color="auto" w:fill="FFFFFF"/>
        </w:rPr>
        <w:t>additional measure</w:t>
      </w:r>
      <w:r w:rsidR="00142434">
        <w:rPr>
          <w:shd w:val="clear" w:color="auto" w:fill="FFFFFF"/>
        </w:rPr>
        <w:t xml:space="preserve"> is </w:t>
      </w:r>
      <w:r w:rsidRPr="008D30C5">
        <w:rPr>
          <w:shd w:val="clear" w:color="auto" w:fill="FFFFFF"/>
        </w:rPr>
        <w:t xml:space="preserve">necessary to ensure that </w:t>
      </w:r>
      <w:r w:rsidR="00142434">
        <w:rPr>
          <w:shd w:val="clear" w:color="auto" w:fill="FFFFFF"/>
        </w:rPr>
        <w:t xml:space="preserve">the </w:t>
      </w:r>
      <w:r w:rsidRPr="008D30C5">
        <w:rPr>
          <w:shd w:val="clear" w:color="auto" w:fill="FFFFFF"/>
        </w:rPr>
        <w:t xml:space="preserve">Licensee endeavors in the future to provide the broadcast service it is licensed to provide and comply with its obligations as a licensee.  </w:t>
      </w:r>
      <w:r w:rsidRPr="008D30C5">
        <w:t xml:space="preserve">Accordingly, pursuant to </w:t>
      </w:r>
      <w:r>
        <w:t>section</w:t>
      </w:r>
      <w:r w:rsidRPr="008D30C5">
        <w:t xml:space="preserve"> 309(k)(2) of the Act,</w:t>
      </w:r>
      <w:r>
        <w:rPr>
          <w:rStyle w:val="FootnoteReference"/>
          <w:szCs w:val="22"/>
        </w:rPr>
        <w:footnoteReference w:id="24"/>
      </w:r>
      <w:r w:rsidRPr="008D30C5">
        <w:t xml:space="preserve"> we will grant the Station a short-term license renewal by separate action</w:t>
      </w:r>
      <w:r w:rsidR="00142434">
        <w:t xml:space="preserve">, provided that </w:t>
      </w:r>
      <w:r w:rsidR="00820EB7">
        <w:t>1) the voluntary contribution referenced in paragraph 17 of the Consent Decree has been fully and timely satisfied; and 2) there are no issues that would preclude the grant of the Application</w:t>
      </w:r>
      <w:r w:rsidRPr="008D30C5">
        <w:t xml:space="preserve">.  The new license term will be limited to a period of </w:t>
      </w:r>
      <w:r w:rsidR="00142434">
        <w:t>one</w:t>
      </w:r>
      <w:r w:rsidRPr="008D30C5">
        <w:t xml:space="preserve"> year.</w:t>
      </w:r>
      <w:r>
        <w:rPr>
          <w:rStyle w:val="FootnoteReference"/>
          <w:color w:val="000000"/>
          <w:szCs w:val="22"/>
        </w:rPr>
        <w:footnoteReference w:id="25"/>
      </w:r>
      <w:r w:rsidRPr="008D30C5">
        <w:t xml:space="preserve">  This limited renewal period will afford the Commission an opportunity to review the Station’s compliance with the Act and the FCC’s rules and to take whatever corrective </w:t>
      </w:r>
      <w:r w:rsidRPr="008D30C5">
        <w:t>actions</w:t>
      </w:r>
      <w:r w:rsidRPr="008D30C5">
        <w:t>, if any, that may be warranted at that time.</w:t>
      </w:r>
      <w:bookmarkEnd w:id="6"/>
      <w:r w:rsidRPr="008D30C5">
        <w:t xml:space="preserve">  </w:t>
      </w:r>
    </w:p>
    <w:p w:rsidR="00142434" w:rsidRPr="00142434" w:rsidP="00142434" w14:paraId="5A13839F" w14:textId="364BE485">
      <w:pPr>
        <w:pStyle w:val="ParaNum"/>
        <w:rPr>
          <w:snapToGrid/>
        </w:rPr>
      </w:pPr>
      <w:r w:rsidRPr="00142434">
        <w:rPr>
          <w:b/>
          <w:bCs/>
          <w:snapToGrid/>
          <w:bdr w:val="none" w:sz="0" w:space="0" w:color="auto" w:frame="1"/>
        </w:rPr>
        <w:t>ACCORDINGLY, IT IS ORDERED</w:t>
      </w:r>
      <w:r w:rsidRPr="00142434">
        <w:rPr>
          <w:snapToGrid/>
        </w:rPr>
        <w:t>, pursuant to sections 0.283 and</w:t>
      </w:r>
      <w:r>
        <w:rPr>
          <w:snapToGrid/>
        </w:rPr>
        <w:t xml:space="preserve"> 1.113</w:t>
      </w:r>
      <w:r w:rsidRPr="00142434">
        <w:rPr>
          <w:snapToGrid/>
        </w:rPr>
        <w:t> of the Commission</w:t>
      </w:r>
      <w:r w:rsidR="00FD0691">
        <w:rPr>
          <w:snapToGrid/>
        </w:rPr>
        <w:t>’</w:t>
      </w:r>
      <w:r w:rsidRPr="00142434">
        <w:rPr>
          <w:snapToGrid/>
        </w:rPr>
        <w:t>s rules, </w:t>
      </w:r>
      <w:r w:rsidRPr="00142434">
        <w:t>47 CFR §§ 0.283</w:t>
      </w:r>
      <w:r w:rsidRPr="00142434">
        <w:rPr>
          <w:snapToGrid/>
        </w:rPr>
        <w:t> and</w:t>
      </w:r>
      <w:r>
        <w:rPr>
          <w:snapToGrid/>
        </w:rPr>
        <w:t xml:space="preserve"> 1.113,</w:t>
      </w:r>
      <w:r w:rsidRPr="00142434">
        <w:rPr>
          <w:snapToGrid/>
        </w:rPr>
        <w:t xml:space="preserve"> that the Memorandum Opinion and Order, DA 26-136, </w:t>
      </w:r>
      <w:r w:rsidRPr="00142434">
        <w:rPr>
          <w:b/>
          <w:bCs/>
          <w:snapToGrid/>
          <w:bdr w:val="none" w:sz="0" w:space="0" w:color="auto" w:frame="1"/>
        </w:rPr>
        <w:t>IS</w:t>
      </w:r>
      <w:r>
        <w:rPr>
          <w:b/>
          <w:bCs/>
          <w:snapToGrid/>
          <w:bdr w:val="none" w:sz="0" w:space="0" w:color="auto" w:frame="1"/>
        </w:rPr>
        <w:t xml:space="preserve"> </w:t>
      </w:r>
      <w:r w:rsidRPr="00142434">
        <w:rPr>
          <w:b/>
          <w:bCs/>
        </w:rPr>
        <w:t>MODIFIED</w:t>
      </w:r>
      <w:r w:rsidRPr="00142434">
        <w:t xml:space="preserve"> as set forth in paragraph </w:t>
      </w:r>
      <w:r w:rsidRPr="00142434">
        <w:fldChar w:fldCharType="begin"/>
      </w:r>
      <w:r w:rsidRPr="00142434">
        <w:instrText xml:space="preserve"> REF _Ref228195301 \r \h </w:instrText>
      </w:r>
      <w:r w:rsidRPr="00142434">
        <w:fldChar w:fldCharType="separate"/>
      </w:r>
      <w:r w:rsidR="000C189D">
        <w:t>7</w:t>
      </w:r>
      <w:r w:rsidRPr="00142434">
        <w:fldChar w:fldCharType="end"/>
      </w:r>
      <w:r w:rsidRPr="00142434">
        <w:t xml:space="preserve"> above</w:t>
      </w:r>
      <w:r>
        <w:rPr>
          <w:snapToGrid/>
          <w:bdr w:val="none" w:sz="0" w:space="0" w:color="auto" w:frame="1"/>
        </w:rPr>
        <w:t>.</w:t>
      </w:r>
    </w:p>
    <w:p w:rsidR="00142434" w:rsidRPr="00142434" w:rsidP="00142434" w14:paraId="39AD5A68" w14:textId="684F148C">
      <w:pPr>
        <w:pStyle w:val="ParaNum"/>
        <w:rPr>
          <w:snapToGrid/>
        </w:rPr>
      </w:pPr>
      <w:r w:rsidRPr="00142434">
        <w:rPr>
          <w:b/>
          <w:bCs/>
          <w:snapToGrid/>
          <w:bdr w:val="none" w:sz="0" w:space="0" w:color="auto" w:frame="1"/>
        </w:rPr>
        <w:t>IT IS FURTHER ORDERED</w:t>
      </w:r>
      <w:r w:rsidRPr="00142434">
        <w:rPr>
          <w:snapToGrid/>
        </w:rPr>
        <w:t> that, pursuant to section 1.102(b)(1) of the Commission</w:t>
      </w:r>
      <w:r w:rsidR="00E14E03">
        <w:rPr>
          <w:snapToGrid/>
        </w:rPr>
        <w:t>’</w:t>
      </w:r>
      <w:r w:rsidRPr="00142434">
        <w:rPr>
          <w:snapToGrid/>
        </w:rPr>
        <w:t>s rules</w:t>
      </w:r>
      <w:r w:rsidRPr="00142434">
        <w:t xml:space="preserve">, 47 CFR § 1.102(b)(1), </w:t>
      </w:r>
      <w:r w:rsidRPr="00142434">
        <w:rPr>
          <w:snapToGrid/>
        </w:rPr>
        <w:t>this Order </w:t>
      </w:r>
      <w:r w:rsidRPr="00142434">
        <w:rPr>
          <w:b/>
          <w:bCs/>
          <w:snapToGrid/>
          <w:bdr w:val="none" w:sz="0" w:space="0" w:color="auto" w:frame="1"/>
        </w:rPr>
        <w:t>SHALL BE EFFECTIVE</w:t>
      </w:r>
      <w:r w:rsidRPr="00142434">
        <w:rPr>
          <w:snapToGrid/>
        </w:rPr>
        <w:t> upon release.</w:t>
      </w:r>
    </w:p>
    <w:p w:rsidR="00EB358C" w:rsidP="00794726" w14:paraId="576920AA" w14:textId="77777777">
      <w:pPr>
        <w:pStyle w:val="ParaNum"/>
      </w:pPr>
      <w:r w:rsidRPr="00EB358C">
        <w:rPr>
          <w:b/>
          <w:bCs/>
        </w:rPr>
        <w:t>IT IS FURTHER ORDERED</w:t>
      </w:r>
      <w:r w:rsidRPr="00EB358C">
        <w:t xml:space="preserve"> that the investigation by the Media Bureau of the matters noted above </w:t>
      </w:r>
      <w:r w:rsidRPr="00EB358C">
        <w:rPr>
          <w:b/>
          <w:bCs/>
        </w:rPr>
        <w:t>IS TERMINATED</w:t>
      </w:r>
      <w:r w:rsidRPr="00EB358C">
        <w:t xml:space="preserve">. </w:t>
      </w:r>
    </w:p>
    <w:p w:rsidR="00EB358C" w:rsidP="00794726" w14:paraId="0D2746DB" w14:textId="043D9AA8">
      <w:pPr>
        <w:pStyle w:val="ParaNum"/>
      </w:pPr>
      <w:r w:rsidRPr="00EB358C">
        <w:rPr>
          <w:b/>
          <w:bCs/>
        </w:rPr>
        <w:t>IT IS FURTHER ORDERED</w:t>
      </w:r>
      <w:r w:rsidRPr="00EB358C">
        <w:t xml:space="preserve"> that, pursuant to 47 CFR § 73.3526(e)(10), a copy of this Order and as otherwise required all related investigatory materials </w:t>
      </w:r>
      <w:r w:rsidRPr="00EB358C">
        <w:rPr>
          <w:b/>
          <w:bCs/>
        </w:rPr>
        <w:t>SHALL BE RETAINED</w:t>
      </w:r>
      <w:r w:rsidRPr="00EB358C">
        <w:t xml:space="preserve"> in the above-captioned Station’s online public inspection file until grant of the next license renewal application. </w:t>
      </w:r>
    </w:p>
    <w:p w:rsidR="00003E79" w:rsidRPr="00007268" w:rsidP="005976F1" w14:paraId="4002DD34" w14:textId="54887FDB">
      <w:pPr>
        <w:pStyle w:val="ParaNum"/>
        <w:widowControl/>
        <w:rPr>
          <w:b/>
        </w:rPr>
      </w:pPr>
      <w:r>
        <w:rPr>
          <w:b/>
          <w:bCs/>
        </w:rPr>
        <w:br w:type="column"/>
      </w:r>
      <w:r w:rsidRPr="00EB358C" w:rsidR="00EB358C">
        <w:rPr>
          <w:b/>
          <w:bCs/>
        </w:rPr>
        <w:t>IT IS FURTHER ORDERED</w:t>
      </w:r>
      <w:r w:rsidRPr="00EB358C" w:rsidR="00EB358C">
        <w:t xml:space="preserve"> that copies of this Order and Consent Decree </w:t>
      </w:r>
      <w:r w:rsidRPr="00EB358C" w:rsidR="00EB358C">
        <w:rPr>
          <w:b/>
          <w:bCs/>
        </w:rPr>
        <w:t>SHALL BE SENT</w:t>
      </w:r>
      <w:r w:rsidRPr="00EB358C" w:rsidR="00EB358C">
        <w:t>, by First Class and Certified Mail, Return Receipt Requested, to: SPB LLC, c/o Bennie J. Wells, Studio B, 699 Matson Road, Columbus, MS 39705-9102.</w:t>
      </w:r>
    </w:p>
    <w:p w:rsidR="00003E79" w:rsidRPr="005C58C1" w:rsidP="00003E79" w14:paraId="48ECF23A" w14:textId="77777777">
      <w:pPr>
        <w:tabs>
          <w:tab w:val="left" w:pos="720"/>
          <w:tab w:val="left" w:pos="1430"/>
          <w:tab w:val="left" w:pos="4680"/>
        </w:tabs>
        <w:rPr>
          <w:szCs w:val="22"/>
        </w:rPr>
      </w:pPr>
    </w:p>
    <w:p w:rsidR="00003E79" w:rsidRPr="005C58C1" w:rsidP="00003E79" w14:paraId="451568D9" w14:textId="77777777">
      <w:pPr>
        <w:tabs>
          <w:tab w:val="left" w:pos="720"/>
          <w:tab w:val="left" w:pos="4320"/>
        </w:tabs>
        <w:jc w:val="both"/>
        <w:rPr>
          <w:szCs w:val="22"/>
        </w:rPr>
      </w:pPr>
      <w:r w:rsidRPr="005C58C1">
        <w:rPr>
          <w:szCs w:val="22"/>
        </w:rPr>
        <w:tab/>
      </w:r>
      <w:r w:rsidRPr="005C58C1">
        <w:rPr>
          <w:szCs w:val="22"/>
        </w:rPr>
        <w:tab/>
        <w:t>FEDERAL COMMUNICATIONS COMMISSION</w:t>
      </w:r>
    </w:p>
    <w:p w:rsidR="00003E79" w:rsidRPr="005C58C1" w:rsidP="00003E79" w14:paraId="61641523" w14:textId="77777777">
      <w:pPr>
        <w:tabs>
          <w:tab w:val="left" w:pos="720"/>
          <w:tab w:val="left" w:pos="4680"/>
        </w:tabs>
        <w:jc w:val="both"/>
        <w:rPr>
          <w:szCs w:val="22"/>
        </w:rPr>
      </w:pPr>
    </w:p>
    <w:p w:rsidR="00003E79" w:rsidP="00003E79" w14:paraId="578BC46B" w14:textId="77777777">
      <w:pPr>
        <w:tabs>
          <w:tab w:val="left" w:pos="720"/>
          <w:tab w:val="left" w:pos="4680"/>
        </w:tabs>
        <w:jc w:val="both"/>
        <w:rPr>
          <w:szCs w:val="22"/>
        </w:rPr>
      </w:pPr>
    </w:p>
    <w:p w:rsidR="00003E79" w:rsidRPr="005C58C1" w:rsidP="00003E79" w14:paraId="27FB1B82" w14:textId="77777777">
      <w:pPr>
        <w:tabs>
          <w:tab w:val="left" w:pos="720"/>
          <w:tab w:val="left" w:pos="4680"/>
        </w:tabs>
        <w:jc w:val="both"/>
        <w:rPr>
          <w:szCs w:val="22"/>
        </w:rPr>
      </w:pPr>
    </w:p>
    <w:p w:rsidR="00003E79" w:rsidP="00003E79" w14:paraId="675B0D83" w14:textId="77777777">
      <w:pPr>
        <w:tabs>
          <w:tab w:val="left" w:pos="720"/>
          <w:tab w:val="left" w:pos="4320"/>
        </w:tabs>
        <w:rPr>
          <w:szCs w:val="22"/>
        </w:rPr>
      </w:pPr>
      <w:r w:rsidRPr="005C58C1">
        <w:rPr>
          <w:szCs w:val="22"/>
        </w:rPr>
        <w:tab/>
      </w:r>
      <w:r w:rsidRPr="005C58C1">
        <w:rPr>
          <w:szCs w:val="22"/>
        </w:rPr>
        <w:tab/>
      </w:r>
      <w:r w:rsidRPr="000C62AD">
        <w:rPr>
          <w:szCs w:val="22"/>
        </w:rPr>
        <w:t xml:space="preserve">Albert Shuldiner       </w:t>
      </w:r>
    </w:p>
    <w:p w:rsidR="00003E79" w:rsidP="00003E79" w14:paraId="2B2238C7" w14:textId="77777777">
      <w:pPr>
        <w:tabs>
          <w:tab w:val="left" w:pos="720"/>
          <w:tab w:val="left" w:pos="4320"/>
        </w:tabs>
        <w:rPr>
          <w:szCs w:val="22"/>
        </w:rPr>
      </w:pPr>
      <w:r>
        <w:rPr>
          <w:szCs w:val="22"/>
        </w:rPr>
        <w:tab/>
      </w:r>
      <w:r>
        <w:rPr>
          <w:szCs w:val="22"/>
        </w:rPr>
        <w:tab/>
      </w:r>
      <w:r w:rsidRPr="000C62AD">
        <w:rPr>
          <w:szCs w:val="22"/>
        </w:rPr>
        <w:t xml:space="preserve">Chief, Audio Division   </w:t>
      </w:r>
    </w:p>
    <w:p w:rsidR="004806E2" w:rsidRPr="00003E79" w:rsidP="00003E79" w14:paraId="648ECF32" w14:textId="7E769D47">
      <w:pPr>
        <w:tabs>
          <w:tab w:val="left" w:pos="720"/>
          <w:tab w:val="left" w:pos="4320"/>
        </w:tabs>
        <w:rPr>
          <w:szCs w:val="22"/>
        </w:rPr>
      </w:pPr>
      <w:r>
        <w:rPr>
          <w:szCs w:val="22"/>
        </w:rPr>
        <w:tab/>
      </w:r>
      <w:r>
        <w:rPr>
          <w:szCs w:val="22"/>
        </w:rPr>
        <w:tab/>
      </w:r>
      <w:r w:rsidRPr="000C62AD">
        <w:rPr>
          <w:szCs w:val="22"/>
        </w:rPr>
        <w:t>Media Bureau</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1795C" w14:paraId="1FC1AA9A" w14:textId="77777777">
      <w:pPr>
        <w:spacing w:line="20" w:lineRule="exact"/>
      </w:pPr>
    </w:p>
  </w:endnote>
  <w:endnote w:type="continuationSeparator" w:id="1">
    <w:p w:rsidR="0061795C" w14:paraId="09B1DDD2" w14:textId="77777777">
      <w:r>
        <w:t xml:space="preserve"> </w:t>
      </w:r>
    </w:p>
  </w:endnote>
  <w:endnote w:type="continuationNotice" w:id="2">
    <w:p w:rsidR="0061795C" w14:paraId="569B699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959CE6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6550A82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259487F0"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4E2FCA58"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4707365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1795C" w14:paraId="14E58AB7" w14:textId="77777777">
      <w:r>
        <w:separator/>
      </w:r>
    </w:p>
  </w:footnote>
  <w:footnote w:type="continuationSeparator" w:id="1">
    <w:p w:rsidR="0061795C" w:rsidP="00C721AC" w14:paraId="442F1205" w14:textId="77777777">
      <w:pPr>
        <w:spacing w:before="120"/>
        <w:rPr>
          <w:sz w:val="20"/>
        </w:rPr>
      </w:pPr>
      <w:r>
        <w:rPr>
          <w:sz w:val="20"/>
        </w:rPr>
        <w:t xml:space="preserve">(Continued from previous page)  </w:t>
      </w:r>
      <w:r>
        <w:rPr>
          <w:sz w:val="20"/>
        </w:rPr>
        <w:separator/>
      </w:r>
    </w:p>
  </w:footnote>
  <w:footnote w:type="continuationNotice" w:id="2">
    <w:p w:rsidR="0061795C" w:rsidP="00C721AC" w14:paraId="29178C35" w14:textId="77777777">
      <w:pPr>
        <w:jc w:val="right"/>
        <w:rPr>
          <w:sz w:val="20"/>
        </w:rPr>
      </w:pPr>
      <w:r>
        <w:rPr>
          <w:sz w:val="20"/>
        </w:rPr>
        <w:t>(</w:t>
      </w:r>
      <w:r>
        <w:rPr>
          <w:sz w:val="20"/>
        </w:rPr>
        <w:t>continued</w:t>
      </w:r>
      <w:r>
        <w:rPr>
          <w:sz w:val="20"/>
        </w:rPr>
        <w:t>….)</w:t>
      </w:r>
    </w:p>
  </w:footnote>
  <w:footnote w:id="3">
    <w:p w:rsidR="00794726" w:rsidRPr="00794726" w14:paraId="5E26BAC7" w14:textId="06FA0556">
      <w:pPr>
        <w:pStyle w:val="FootnoteText"/>
      </w:pPr>
      <w:r>
        <w:rPr>
          <w:rStyle w:val="FootnoteReference"/>
        </w:rPr>
        <w:footnoteRef/>
      </w:r>
      <w:r>
        <w:t xml:space="preserve"> </w:t>
      </w:r>
      <w:r>
        <w:rPr>
          <w:i/>
          <w:iCs/>
        </w:rPr>
        <w:t>SBP LLC</w:t>
      </w:r>
      <w:r>
        <w:t>, Memorandum Opinion and Order, DA 26-136</w:t>
      </w:r>
      <w:r w:rsidR="006E2F38">
        <w:t xml:space="preserve">, </w:t>
      </w:r>
      <w:r w:rsidRPr="006E2F38" w:rsidR="006E2F38">
        <w:t>2026 WL 1013286</w:t>
      </w:r>
      <w:r w:rsidR="006E2F38">
        <w:t xml:space="preserve"> (MB-AD Apr. 1, 2026)</w:t>
      </w:r>
      <w:r w:rsidR="00003E79">
        <w:t xml:space="preserve"> (</w:t>
      </w:r>
      <w:r w:rsidR="006243C6">
        <w:rPr>
          <w:i/>
          <w:iCs/>
        </w:rPr>
        <w:t>MO&amp;O</w:t>
      </w:r>
      <w:r w:rsidR="00003E79">
        <w:t>)</w:t>
      </w:r>
      <w:r w:rsidR="006E2F38">
        <w:t>.</w:t>
      </w:r>
    </w:p>
  </w:footnote>
  <w:footnote w:id="4">
    <w:p w:rsidR="00EC2F32" w:rsidP="00EC2F32" w14:paraId="6A40D516" w14:textId="77777777">
      <w:pPr>
        <w:pStyle w:val="FootnoteText"/>
      </w:pPr>
      <w:r>
        <w:rPr>
          <w:rStyle w:val="FootnoteReference"/>
        </w:rPr>
        <w:footnoteRef/>
      </w:r>
      <w:r>
        <w:t xml:space="preserve"> 47 CFR § 73.3526.</w:t>
      </w:r>
    </w:p>
  </w:footnote>
  <w:footnote w:id="5">
    <w:p w:rsidR="00003E79" w:rsidRPr="00003E79" w14:paraId="59ADB07B" w14:textId="45CFF73F">
      <w:pPr>
        <w:pStyle w:val="FootnoteText"/>
      </w:pPr>
      <w:r>
        <w:rPr>
          <w:rStyle w:val="FootnoteReference"/>
        </w:rPr>
        <w:footnoteRef/>
      </w:r>
      <w:r>
        <w:t xml:space="preserve"> </w:t>
      </w:r>
      <w:r w:rsidR="00A313B6">
        <w:rPr>
          <w:i/>
          <w:iCs/>
        </w:rPr>
        <w:t>MO&amp;O</w:t>
      </w:r>
      <w:r w:rsidR="00663645">
        <w:t xml:space="preserve"> at *4, para. 10.</w:t>
      </w:r>
    </w:p>
  </w:footnote>
  <w:footnote w:id="6">
    <w:p w:rsidR="00640265" w:rsidRPr="00640265" w14:paraId="0D522721" w14:textId="235790C4">
      <w:pPr>
        <w:pStyle w:val="FootnoteText"/>
      </w:pPr>
      <w:r>
        <w:rPr>
          <w:rStyle w:val="FootnoteReference"/>
        </w:rPr>
        <w:footnoteRef/>
      </w:r>
      <w:r>
        <w:t xml:space="preserve"> </w:t>
      </w:r>
      <w:r w:rsidR="004D245D">
        <w:rPr>
          <w:i/>
          <w:iCs/>
        </w:rPr>
        <w:t>Id.</w:t>
      </w:r>
      <w:r>
        <w:rPr>
          <w:i/>
          <w:iCs/>
        </w:rPr>
        <w:t xml:space="preserve"> </w:t>
      </w:r>
      <w:r w:rsidR="00520C8D">
        <w:t>A</w:t>
      </w:r>
      <w:r>
        <w:t xml:space="preserve">ttach., Consent Decree </w:t>
      </w:r>
      <w:r w:rsidR="00E96094">
        <w:t>at para. 20</w:t>
      </w:r>
      <w:r w:rsidR="00871EB1">
        <w:t xml:space="preserve"> (Consent Decree)</w:t>
      </w:r>
      <w:r w:rsidR="00E96094">
        <w:t>.</w:t>
      </w:r>
    </w:p>
  </w:footnote>
  <w:footnote w:id="7">
    <w:p w:rsidR="004A343F" w:rsidRPr="004A343F" w14:paraId="5686944B" w14:textId="6606898A">
      <w:pPr>
        <w:pStyle w:val="FootnoteText"/>
      </w:pPr>
      <w:r>
        <w:rPr>
          <w:rStyle w:val="FootnoteReference"/>
        </w:rPr>
        <w:footnoteRef/>
      </w:r>
      <w:r>
        <w:t xml:space="preserve"> </w:t>
      </w:r>
      <w:r w:rsidR="00EC43A6">
        <w:t>Consent Decree</w:t>
      </w:r>
      <w:r>
        <w:t xml:space="preserve"> at para. 13.</w:t>
      </w:r>
    </w:p>
  </w:footnote>
  <w:footnote w:id="8">
    <w:p w:rsidR="004D245D" w14:paraId="04D531AD" w14:textId="23D75F08">
      <w:pPr>
        <w:pStyle w:val="FootnoteText"/>
      </w:pPr>
      <w:r>
        <w:rPr>
          <w:rStyle w:val="FootnoteReference"/>
        </w:rPr>
        <w:footnoteRef/>
      </w:r>
      <w:r>
        <w:t xml:space="preserve"> </w:t>
      </w:r>
      <w:r w:rsidRPr="00F7299C">
        <w:t>WABG(AM)</w:t>
      </w:r>
      <w:r>
        <w:t xml:space="preserve"> Online Public Inspection File, </w:t>
      </w:r>
      <w:r w:rsidRPr="00F7299C">
        <w:t>https://publicfiles.fcc.gov/am-profile/WABG?id=25238</w:t>
      </w:r>
      <w:r>
        <w:t xml:space="preserve"> (last visited Apr. </w:t>
      </w:r>
      <w:r w:rsidR="0056065B">
        <w:t>30</w:t>
      </w:r>
      <w:r>
        <w:t>, 2026).</w:t>
      </w:r>
    </w:p>
  </w:footnote>
  <w:footnote w:id="9">
    <w:p w:rsidR="00EB638E" w14:paraId="1B89F09B" w14:textId="18657EF7">
      <w:pPr>
        <w:pStyle w:val="FootnoteText"/>
      </w:pPr>
      <w:r>
        <w:rPr>
          <w:rStyle w:val="FootnoteReference"/>
        </w:rPr>
        <w:footnoteRef/>
      </w:r>
      <w:r>
        <w:t xml:space="preserve"> </w:t>
      </w:r>
      <w:r w:rsidR="00EC2F32">
        <w:t>47 CFR</w:t>
      </w:r>
      <w:r w:rsidR="00A33EF0">
        <w:t xml:space="preserve"> </w:t>
      </w:r>
      <w:r w:rsidR="00EB5C52">
        <w:t>§ 73.3526(b)(2), (e)(12)</w:t>
      </w:r>
      <w:r w:rsidR="004D245D">
        <w:t xml:space="preserve"> (“</w:t>
      </w:r>
      <w:r w:rsidRPr="004D245D" w:rsidR="004D245D">
        <w:t>The list for each calendar quarter is to be filed by the tenth day of the succeeding calendar quarter (e.g., January 10 for the quarter October—December, April 10 for the quarter January—March, etc.).</w:t>
      </w:r>
      <w:r w:rsidR="004D245D">
        <w:t>”).</w:t>
      </w:r>
      <w:r w:rsidR="00EB5C52">
        <w:t xml:space="preserve"> </w:t>
      </w:r>
    </w:p>
  </w:footnote>
  <w:footnote w:id="10">
    <w:p w:rsidR="00871EB1" w14:paraId="419EBB33" w14:textId="11FF6CAB">
      <w:pPr>
        <w:pStyle w:val="FootnoteText"/>
      </w:pPr>
      <w:r>
        <w:rPr>
          <w:rStyle w:val="FootnoteReference"/>
        </w:rPr>
        <w:footnoteRef/>
      </w:r>
      <w:r>
        <w:t xml:space="preserve"> Consent Decree at para. </w:t>
      </w:r>
      <w:r w:rsidR="00B17F74">
        <w:t>20.</w:t>
      </w:r>
    </w:p>
  </w:footnote>
  <w:footnote w:id="11">
    <w:p w:rsidR="00C97F28" w14:paraId="49353BB6" w14:textId="7596C554">
      <w:pPr>
        <w:pStyle w:val="FootnoteText"/>
      </w:pPr>
      <w:r>
        <w:rPr>
          <w:rStyle w:val="FootnoteReference"/>
        </w:rPr>
        <w:footnoteRef/>
      </w:r>
      <w:r>
        <w:t xml:space="preserve"> </w:t>
      </w:r>
      <w:r w:rsidR="00A02E75">
        <w:t xml:space="preserve">Consent Decree at paras. 10, 20; </w:t>
      </w:r>
      <w:r>
        <w:t>47 U.S.C. § 309(k); 47 CFR § 1.113.</w:t>
      </w:r>
    </w:p>
  </w:footnote>
  <w:footnote w:id="12">
    <w:p w:rsidR="004806E2" w:rsidRPr="006F7D37" w:rsidP="004806E2" w14:paraId="15BAE4A4" w14:textId="77777777">
      <w:pPr>
        <w:pStyle w:val="FootnoteText"/>
      </w:pPr>
      <w:r w:rsidRPr="006F7D37">
        <w:rPr>
          <w:rStyle w:val="FootnoteReference"/>
        </w:rPr>
        <w:footnoteRef/>
      </w:r>
      <w:r w:rsidRPr="006F7D37">
        <w:t xml:space="preserve"> </w:t>
      </w:r>
      <w:hyperlink r:id="rId1" w:tgtFrame="_top" w:history="1">
        <w:r w:rsidRPr="006F7D37">
          <w:rPr>
            <w:rStyle w:val="Hyperlink"/>
            <w:color w:val="auto"/>
            <w:u w:val="none"/>
          </w:rPr>
          <w:t>47 U.S.C. § 309(k)</w:t>
        </w:r>
      </w:hyperlink>
      <w:r w:rsidRPr="006F7D37">
        <w:t xml:space="preserve">. </w:t>
      </w:r>
    </w:p>
  </w:footnote>
  <w:footnote w:id="13">
    <w:p w:rsidR="004806E2" w:rsidRPr="006F7D37" w:rsidP="004806E2" w14:paraId="3DE21A4E" w14:textId="4BD5D9AA">
      <w:pPr>
        <w:pStyle w:val="FootnoteText"/>
      </w:pPr>
      <w:r w:rsidRPr="006F7D37">
        <w:rPr>
          <w:rStyle w:val="FootnoteReference"/>
        </w:rPr>
        <w:footnoteRef/>
      </w:r>
      <w:r w:rsidRPr="006F7D37">
        <w:t xml:space="preserve"> </w:t>
      </w:r>
      <w:hyperlink r:id="rId2" w:tgtFrame="_top" w:history="1">
        <w:r w:rsidR="00AF7F41">
          <w:rPr>
            <w:rStyle w:val="Hyperlink"/>
            <w:i/>
            <w:iCs/>
            <w:color w:val="auto"/>
            <w:u w:val="none"/>
          </w:rPr>
          <w:t>Id.</w:t>
        </w:r>
        <w:r w:rsidRPr="006F7D37">
          <w:rPr>
            <w:rStyle w:val="Hyperlink"/>
            <w:color w:val="auto"/>
            <w:u w:val="none"/>
          </w:rPr>
          <w:t xml:space="preserve"> § 309(k)(1)</w:t>
        </w:r>
      </w:hyperlink>
      <w:r w:rsidRPr="006F7D37">
        <w:t>.</w:t>
      </w:r>
    </w:p>
  </w:footnote>
  <w:footnote w:id="14">
    <w:p w:rsidR="004806E2" w:rsidRPr="006F7D37" w:rsidP="004806E2" w14:paraId="2617FB0E" w14:textId="1ED3E57E">
      <w:pPr>
        <w:pStyle w:val="FootnoteText"/>
      </w:pPr>
      <w:r w:rsidRPr="006F7D37">
        <w:rPr>
          <w:rStyle w:val="FootnoteReference"/>
        </w:rPr>
        <w:footnoteRef/>
      </w:r>
      <w:r w:rsidRPr="006F7D37">
        <w:t xml:space="preserve"> </w:t>
      </w:r>
      <w:hyperlink r:id="rId3" w:tgtFrame="_top" w:history="1">
        <w:r w:rsidR="00AF7F41">
          <w:rPr>
            <w:rStyle w:val="Hyperlink"/>
            <w:i/>
            <w:iCs/>
            <w:color w:val="auto"/>
            <w:u w:val="none"/>
          </w:rPr>
          <w:t>Id.</w:t>
        </w:r>
        <w:r w:rsidRPr="006F7D37">
          <w:rPr>
            <w:rStyle w:val="Hyperlink"/>
            <w:color w:val="auto"/>
            <w:u w:val="none"/>
          </w:rPr>
          <w:t xml:space="preserve"> § 309</w:t>
        </w:r>
        <w:r w:rsidR="000D39A9">
          <w:rPr>
            <w:rStyle w:val="Hyperlink"/>
            <w:color w:val="auto"/>
            <w:u w:val="none"/>
          </w:rPr>
          <w:t xml:space="preserve">(e), </w:t>
        </w:r>
        <w:r w:rsidRPr="006F7D37">
          <w:rPr>
            <w:rStyle w:val="Hyperlink"/>
            <w:color w:val="auto"/>
            <w:u w:val="none"/>
          </w:rPr>
          <w:t>(k)(2)</w:t>
        </w:r>
      </w:hyperlink>
      <w:r w:rsidRPr="006F7D37">
        <w:t xml:space="preserve">, </w:t>
      </w:r>
      <w:hyperlink r:id="rId4" w:tgtFrame="_top" w:history="1">
        <w:r w:rsidRPr="006F7D37">
          <w:rPr>
            <w:rStyle w:val="Hyperlink"/>
            <w:color w:val="auto"/>
            <w:u w:val="none"/>
          </w:rPr>
          <w:t>(k)(3)</w:t>
        </w:r>
      </w:hyperlink>
      <w:r w:rsidRPr="006F7D37">
        <w:t xml:space="preserve">. </w:t>
      </w:r>
    </w:p>
  </w:footnote>
  <w:footnote w:id="15">
    <w:p w:rsidR="005D499E" w:rsidRPr="005D499E" w14:paraId="163EDCC0" w14:textId="7E1DD746">
      <w:pPr>
        <w:pStyle w:val="FootnoteText"/>
      </w:pPr>
      <w:r>
        <w:rPr>
          <w:rStyle w:val="FootnoteReference"/>
        </w:rPr>
        <w:footnoteRef/>
      </w:r>
      <w:r>
        <w:t xml:space="preserve"> </w:t>
      </w:r>
      <w:r>
        <w:rPr>
          <w:i/>
          <w:iCs/>
        </w:rPr>
        <w:t>MO&amp;O</w:t>
      </w:r>
      <w:r w:rsidR="00790432">
        <w:t xml:space="preserve"> at *3, paras. 7, 9</w:t>
      </w:r>
      <w:r w:rsidR="00405AF2">
        <w:t>; Consent Decree at paras. 5</w:t>
      </w:r>
      <w:r w:rsidR="00C6070D">
        <w:t>, 11-16.</w:t>
      </w:r>
    </w:p>
  </w:footnote>
  <w:footnote w:id="16">
    <w:p w:rsidR="005D499E" w:rsidRPr="005D499E" w14:paraId="2D0DB125" w14:textId="341D14E9">
      <w:pPr>
        <w:pStyle w:val="FootnoteText"/>
        <w:rPr>
          <w:b/>
          <w:bCs/>
        </w:rPr>
      </w:pPr>
      <w:r>
        <w:rPr>
          <w:rStyle w:val="FootnoteReference"/>
        </w:rPr>
        <w:footnoteRef/>
      </w:r>
      <w:r>
        <w:t xml:space="preserve"> </w:t>
      </w:r>
      <w:r w:rsidR="000D39A9">
        <w:t xml:space="preserve">47 CFR § 73.3526(b)(2), (e)(12); </w:t>
      </w:r>
      <w:r w:rsidRPr="00F7299C" w:rsidR="000D39A9">
        <w:t>WABG(AM)</w:t>
      </w:r>
      <w:r w:rsidR="000D39A9">
        <w:t xml:space="preserve"> Online Public Inspection File, </w:t>
      </w:r>
      <w:r w:rsidRPr="00F7299C" w:rsidR="000D39A9">
        <w:t>https://publicfiles.fcc.gov/am-profile/WABG?id=25238</w:t>
      </w:r>
      <w:r w:rsidR="000D39A9">
        <w:t xml:space="preserve"> (last visited Apr. </w:t>
      </w:r>
      <w:r w:rsidR="0056065B">
        <w:t>30</w:t>
      </w:r>
      <w:r w:rsidR="000D39A9">
        <w:t>, 2026)</w:t>
      </w:r>
      <w:r>
        <w:t>.</w:t>
      </w:r>
    </w:p>
  </w:footnote>
  <w:footnote w:id="17">
    <w:p w:rsidR="004806E2" w:rsidRPr="00BE008E" w:rsidP="004806E2" w14:paraId="0106FDF7" w14:textId="1CEC12D5">
      <w:pPr>
        <w:pStyle w:val="Footer"/>
        <w:spacing w:after="120"/>
        <w:rPr>
          <w:sz w:val="20"/>
        </w:rPr>
      </w:pPr>
      <w:r w:rsidRPr="00BE008E">
        <w:rPr>
          <w:rStyle w:val="FootnoteReference"/>
        </w:rPr>
        <w:footnoteRef/>
      </w:r>
      <w:r w:rsidRPr="00BE008E">
        <w:rPr>
          <w:sz w:val="20"/>
        </w:rPr>
        <w:t xml:space="preserve"> </w:t>
      </w:r>
      <w:r w:rsidRPr="00BE008E">
        <w:rPr>
          <w:i/>
          <w:sz w:val="20"/>
        </w:rPr>
        <w:t>See Formulation of Policies and Rules to Broadcast Renewal Applicants</w:t>
      </w:r>
      <w:r w:rsidRPr="00BE008E">
        <w:rPr>
          <w:iCs/>
          <w:sz w:val="20"/>
        </w:rPr>
        <w:t>,</w:t>
      </w:r>
      <w:r w:rsidRPr="00BE008E">
        <w:rPr>
          <w:i/>
          <w:sz w:val="20"/>
        </w:rPr>
        <w:t xml:space="preserve"> </w:t>
      </w:r>
      <w:r w:rsidRPr="00BE008E">
        <w:rPr>
          <w:sz w:val="20"/>
        </w:rPr>
        <w:t xml:space="preserve">Third Further Notice of Inquiry and Notice of Proposed Rule Making, </w:t>
      </w:r>
      <w:hyperlink r:id="rId5" w:history="1">
        <w:r w:rsidRPr="00BE008E">
          <w:rPr>
            <w:sz w:val="20"/>
          </w:rPr>
          <w:t>4 FCC Rcd 6363, 6365, para. 17 (1989)</w:t>
        </w:r>
      </w:hyperlink>
      <w:r w:rsidRPr="00BE008E" w:rsidR="00E65CB2">
        <w:rPr>
          <w:sz w:val="20"/>
        </w:rPr>
        <w:t xml:space="preserve">; </w:t>
      </w:r>
      <w:r w:rsidRPr="00BE008E" w:rsidR="00E65CB2">
        <w:rPr>
          <w:i/>
          <w:iCs/>
          <w:sz w:val="20"/>
        </w:rPr>
        <w:t>Hubbard’s Advertising Agency, Inc.</w:t>
      </w:r>
      <w:r w:rsidRPr="00BE008E" w:rsidR="00E65CB2">
        <w:rPr>
          <w:sz w:val="20"/>
        </w:rPr>
        <w:t>, Memorandum Opinion and Order and Notice of Apparent Liability for Forfeiture, 34 FCC Rcd 8178</w:t>
      </w:r>
      <w:r w:rsidRPr="00BE008E" w:rsidR="003F1557">
        <w:rPr>
          <w:sz w:val="20"/>
        </w:rPr>
        <w:t>,</w:t>
      </w:r>
      <w:r w:rsidRPr="00BE008E" w:rsidR="00BE008E">
        <w:rPr>
          <w:sz w:val="20"/>
        </w:rPr>
        <w:t xml:space="preserve"> </w:t>
      </w:r>
      <w:r w:rsidR="00BE008E">
        <w:rPr>
          <w:sz w:val="20"/>
        </w:rPr>
        <w:t>20</w:t>
      </w:r>
      <w:r w:rsidRPr="00BE008E" w:rsidR="00BE008E">
        <w:rPr>
          <w:sz w:val="20"/>
        </w:rPr>
        <w:t>19 WL 4646008</w:t>
      </w:r>
      <w:r w:rsidR="00BE008E">
        <w:rPr>
          <w:sz w:val="20"/>
        </w:rPr>
        <w:t>, at *3</w:t>
      </w:r>
      <w:r w:rsidR="00781585">
        <w:rPr>
          <w:sz w:val="20"/>
        </w:rPr>
        <w:t>,</w:t>
      </w:r>
      <w:r w:rsidR="00BE008E">
        <w:rPr>
          <w:sz w:val="20"/>
        </w:rPr>
        <w:t xml:space="preserve"> para.</w:t>
      </w:r>
      <w:r w:rsidRPr="00BE008E" w:rsidR="003F1557">
        <w:rPr>
          <w:sz w:val="20"/>
        </w:rPr>
        <w:t xml:space="preserve"> </w:t>
      </w:r>
      <w:r w:rsidR="00781585">
        <w:rPr>
          <w:sz w:val="20"/>
        </w:rPr>
        <w:t>9</w:t>
      </w:r>
      <w:r w:rsidRPr="00BE008E" w:rsidR="00E65CB2">
        <w:rPr>
          <w:sz w:val="20"/>
        </w:rPr>
        <w:t xml:space="preserve"> (MB-AD 2019</w:t>
      </w:r>
      <w:r w:rsidRPr="00BE008E" w:rsidR="00B53261">
        <w:rPr>
          <w:sz w:val="20"/>
        </w:rPr>
        <w:t>)</w:t>
      </w:r>
      <w:r w:rsidR="00781585">
        <w:rPr>
          <w:sz w:val="20"/>
        </w:rPr>
        <w:t xml:space="preserve"> (</w:t>
      </w:r>
      <w:r w:rsidR="00781585">
        <w:rPr>
          <w:i/>
          <w:iCs/>
          <w:sz w:val="20"/>
        </w:rPr>
        <w:t>Hubbard’s Advertising</w:t>
      </w:r>
      <w:r w:rsidR="00781585">
        <w:rPr>
          <w:sz w:val="20"/>
        </w:rPr>
        <w:t>)</w:t>
      </w:r>
      <w:r w:rsidRPr="00BE008E">
        <w:rPr>
          <w:sz w:val="20"/>
        </w:rPr>
        <w:t>.</w:t>
      </w:r>
    </w:p>
  </w:footnote>
  <w:footnote w:id="18">
    <w:p w:rsidR="004806E2" w:rsidRPr="006F7D37" w:rsidP="004806E2" w14:paraId="044990DA" w14:textId="319B4601">
      <w:pPr>
        <w:pStyle w:val="Footer"/>
        <w:spacing w:after="120"/>
        <w:rPr>
          <w:sz w:val="20"/>
        </w:rPr>
      </w:pPr>
      <w:r w:rsidRPr="006F7D37">
        <w:rPr>
          <w:rStyle w:val="FootnoteReference"/>
        </w:rPr>
        <w:footnoteRef/>
      </w:r>
      <w:r w:rsidRPr="006F7D37">
        <w:rPr>
          <w:sz w:val="20"/>
        </w:rPr>
        <w:t xml:space="preserve"> </w:t>
      </w:r>
      <w:r w:rsidRPr="006F7D37">
        <w:rPr>
          <w:i/>
          <w:sz w:val="20"/>
        </w:rPr>
        <w:t>See</w:t>
      </w:r>
      <w:r w:rsidRPr="006F7D37">
        <w:rPr>
          <w:sz w:val="20"/>
        </w:rPr>
        <w:t xml:space="preserve"> </w:t>
      </w:r>
      <w:r w:rsidRPr="006F7D37">
        <w:rPr>
          <w:i/>
          <w:sz w:val="20"/>
        </w:rPr>
        <w:t>Forfeiture Policy Statemen</w:t>
      </w:r>
      <w:r w:rsidR="005F7FFB">
        <w:rPr>
          <w:i/>
          <w:sz w:val="20"/>
        </w:rPr>
        <w:t>t</w:t>
      </w:r>
      <w:r w:rsidR="00372283">
        <w:rPr>
          <w:i/>
          <w:sz w:val="20"/>
        </w:rPr>
        <w:t xml:space="preserve"> and Amendment of Section 1.80(b) of the Rules to Incorporate the Forfeiture Guidelines</w:t>
      </w:r>
      <w:r w:rsidRPr="006F7D37">
        <w:rPr>
          <w:sz w:val="20"/>
        </w:rPr>
        <w:t xml:space="preserve">, </w:t>
      </w:r>
      <w:r w:rsidR="005F7FFB">
        <w:rPr>
          <w:sz w:val="20"/>
        </w:rPr>
        <w:t xml:space="preserve">Report and Order, </w:t>
      </w:r>
      <w:r w:rsidRPr="006F7D37">
        <w:rPr>
          <w:sz w:val="20"/>
        </w:rPr>
        <w:t xml:space="preserve">12 FCC Rcd </w:t>
      </w:r>
      <w:r w:rsidR="005F7FFB">
        <w:rPr>
          <w:sz w:val="20"/>
        </w:rPr>
        <w:t>17087,</w:t>
      </w:r>
      <w:r w:rsidRPr="006F7D37">
        <w:rPr>
          <w:sz w:val="20"/>
        </w:rPr>
        <w:t xml:space="preserve"> 17104-05, para.</w:t>
      </w:r>
      <w:r>
        <w:rPr>
          <w:sz w:val="20"/>
        </w:rPr>
        <w:t xml:space="preserve"> </w:t>
      </w:r>
      <w:r w:rsidRPr="006F7D37">
        <w:rPr>
          <w:sz w:val="20"/>
        </w:rPr>
        <w:t>39</w:t>
      </w:r>
      <w:r w:rsidR="005F7FFB">
        <w:rPr>
          <w:sz w:val="20"/>
        </w:rPr>
        <w:t xml:space="preserve"> (1997)</w:t>
      </w:r>
      <w:r w:rsidRPr="006F7D37">
        <w:rPr>
          <w:sz w:val="20"/>
        </w:rPr>
        <w:t>.</w:t>
      </w:r>
    </w:p>
  </w:footnote>
  <w:footnote w:id="19">
    <w:p w:rsidR="004806E2" w:rsidRPr="000E2586" w:rsidP="004806E2" w14:paraId="15469D71" w14:textId="559FC89F">
      <w:pPr>
        <w:pStyle w:val="FootnoteText"/>
      </w:pPr>
      <w:r w:rsidRPr="000E2586">
        <w:rPr>
          <w:rStyle w:val="FootnoteReference"/>
        </w:rPr>
        <w:footnoteRef/>
      </w:r>
      <w:r w:rsidRPr="000E2586">
        <w:t xml:space="preserve"> 47 CFR § 73.3526(b)(2)</w:t>
      </w:r>
      <w:r w:rsidR="002700F5">
        <w:t>, (e)(12)</w:t>
      </w:r>
      <w:r>
        <w:t>.</w:t>
      </w:r>
    </w:p>
  </w:footnote>
  <w:footnote w:id="20">
    <w:p w:rsidR="004806E2" w:rsidRPr="001C2556" w:rsidP="004806E2" w14:paraId="5112B766" w14:textId="055F4231">
      <w:pPr>
        <w:pStyle w:val="Footer"/>
        <w:spacing w:after="120"/>
        <w:rPr>
          <w:sz w:val="20"/>
        </w:rPr>
      </w:pPr>
      <w:r w:rsidRPr="001C2556">
        <w:rPr>
          <w:rStyle w:val="FootnoteReference"/>
        </w:rPr>
        <w:footnoteRef/>
      </w:r>
      <w:r w:rsidRPr="001C2556">
        <w:rPr>
          <w:sz w:val="20"/>
        </w:rPr>
        <w:t xml:space="preserve"> </w:t>
      </w:r>
      <w:r w:rsidRPr="001C2556">
        <w:rPr>
          <w:i/>
          <w:sz w:val="20"/>
        </w:rPr>
        <w:t xml:space="preserve">See </w:t>
      </w:r>
      <w:r w:rsidRPr="001C2556">
        <w:rPr>
          <w:sz w:val="20"/>
        </w:rPr>
        <w:t>47 U.S.C. § 309(k)(1)(</w:t>
      </w:r>
      <w:r w:rsidR="0059613C">
        <w:rPr>
          <w:sz w:val="20"/>
        </w:rPr>
        <w:t>B</w:t>
      </w:r>
      <w:r w:rsidRPr="001C2556">
        <w:rPr>
          <w:sz w:val="20"/>
        </w:rPr>
        <w:t>)</w:t>
      </w:r>
      <w:r w:rsidR="002700F5">
        <w:rPr>
          <w:sz w:val="20"/>
        </w:rPr>
        <w:t xml:space="preserve">; 47 CFR </w:t>
      </w:r>
      <w:r w:rsidR="00C47E89">
        <w:rPr>
          <w:sz w:val="20"/>
        </w:rPr>
        <w:t>§ 73.3591</w:t>
      </w:r>
      <w:r w:rsidR="0059613C">
        <w:rPr>
          <w:sz w:val="20"/>
        </w:rPr>
        <w:t>(d) (“Renewal applications . . . will be governed by the criteria established in 47 U.S.C. § 309(k).”)</w:t>
      </w:r>
      <w:r w:rsidRPr="001C2556">
        <w:rPr>
          <w:sz w:val="20"/>
        </w:rPr>
        <w:t>.</w:t>
      </w:r>
    </w:p>
  </w:footnote>
  <w:footnote w:id="21">
    <w:p w:rsidR="004806E2" w:rsidRPr="001C2556" w:rsidP="004806E2" w14:paraId="5612993A" w14:textId="5AB80FFA">
      <w:pPr>
        <w:pStyle w:val="Footer"/>
        <w:spacing w:after="120"/>
        <w:rPr>
          <w:sz w:val="20"/>
        </w:rPr>
      </w:pPr>
      <w:r w:rsidRPr="001C2556">
        <w:rPr>
          <w:rStyle w:val="FootnoteReference"/>
        </w:rPr>
        <w:footnoteRef/>
      </w:r>
      <w:r w:rsidRPr="001C2556">
        <w:rPr>
          <w:sz w:val="20"/>
        </w:rPr>
        <w:t xml:space="preserve"> </w:t>
      </w:r>
      <w:r w:rsidRPr="001C2556">
        <w:rPr>
          <w:i/>
          <w:sz w:val="20"/>
        </w:rPr>
        <w:t>See</w:t>
      </w:r>
      <w:r w:rsidRPr="001C2556">
        <w:rPr>
          <w:sz w:val="20"/>
        </w:rPr>
        <w:t xml:space="preserve"> 47 U.S.C. § 309(k)(1)(c)</w:t>
      </w:r>
      <w:r w:rsidR="00C6070D">
        <w:rPr>
          <w:sz w:val="20"/>
        </w:rPr>
        <w:t xml:space="preserve">; Consent Decree at paras. </w:t>
      </w:r>
      <w:r w:rsidR="00EA52EA">
        <w:rPr>
          <w:sz w:val="20"/>
        </w:rPr>
        <w:t xml:space="preserve">5, 11; </w:t>
      </w:r>
      <w:r w:rsidRPr="00F7299C" w:rsidR="00AE3B68">
        <w:rPr>
          <w:sz w:val="20"/>
        </w:rPr>
        <w:t>WABG(AM)</w:t>
      </w:r>
      <w:r w:rsidRPr="00AE3B68" w:rsidR="00AE3B68">
        <w:rPr>
          <w:sz w:val="20"/>
        </w:rPr>
        <w:t xml:space="preserve"> Online Public Inspection File, </w:t>
      </w:r>
      <w:r w:rsidRPr="00F7299C" w:rsidR="00AE3B68">
        <w:rPr>
          <w:sz w:val="20"/>
        </w:rPr>
        <w:t>https://publicfiles.fcc.gov/am-profile/WABG?id=25238</w:t>
      </w:r>
      <w:r w:rsidRPr="00AE3B68" w:rsidR="00AE3B68">
        <w:rPr>
          <w:sz w:val="20"/>
        </w:rPr>
        <w:t xml:space="preserve"> (last visited Apr. </w:t>
      </w:r>
      <w:r w:rsidR="0056065B">
        <w:rPr>
          <w:sz w:val="20"/>
        </w:rPr>
        <w:t>30</w:t>
      </w:r>
      <w:r w:rsidRPr="00AE3B68" w:rsidR="00AE3B68">
        <w:rPr>
          <w:sz w:val="20"/>
        </w:rPr>
        <w:t>, 2026)</w:t>
      </w:r>
      <w:r w:rsidRPr="001C2556">
        <w:rPr>
          <w:sz w:val="20"/>
        </w:rPr>
        <w:t>.</w:t>
      </w:r>
    </w:p>
  </w:footnote>
  <w:footnote w:id="22">
    <w:p w:rsidR="004806E2" w:rsidRPr="001C2556" w:rsidP="004806E2" w14:paraId="228D3BEF" w14:textId="73896C23">
      <w:pPr>
        <w:pStyle w:val="Footer"/>
        <w:spacing w:after="120"/>
        <w:rPr>
          <w:sz w:val="20"/>
        </w:rPr>
      </w:pPr>
      <w:r w:rsidRPr="001C2556">
        <w:rPr>
          <w:rStyle w:val="FootnoteReference"/>
        </w:rPr>
        <w:footnoteRef/>
      </w:r>
      <w:r w:rsidRPr="001C2556">
        <w:rPr>
          <w:sz w:val="20"/>
        </w:rPr>
        <w:t xml:space="preserve"> </w:t>
      </w:r>
      <w:r>
        <w:rPr>
          <w:sz w:val="20"/>
        </w:rPr>
        <w:t>W</w:t>
      </w:r>
      <w:r w:rsidRPr="001C2556">
        <w:rPr>
          <w:sz w:val="20"/>
        </w:rPr>
        <w:t>e do not find</w:t>
      </w:r>
      <w:r w:rsidR="00FC6F8E">
        <w:rPr>
          <w:sz w:val="20"/>
        </w:rPr>
        <w:t>, based on the current record,</w:t>
      </w:r>
      <w:r w:rsidRPr="001C2556">
        <w:rPr>
          <w:sz w:val="20"/>
        </w:rPr>
        <w:t xml:space="preserve"> that </w:t>
      </w:r>
      <w:r w:rsidR="00FC6F8E">
        <w:rPr>
          <w:sz w:val="20"/>
        </w:rPr>
        <w:t xml:space="preserve">the </w:t>
      </w:r>
      <w:r w:rsidRPr="001C2556">
        <w:rPr>
          <w:sz w:val="20"/>
        </w:rPr>
        <w:t xml:space="preserve">Licensee’s operation of the Station </w:t>
      </w:r>
      <w:r w:rsidR="00FC6F8E">
        <w:rPr>
          <w:sz w:val="20"/>
        </w:rPr>
        <w:t>has been</w:t>
      </w:r>
      <w:r w:rsidRPr="001C2556">
        <w:rPr>
          <w:sz w:val="20"/>
        </w:rPr>
        <w:t xml:space="preserve"> </w:t>
      </w:r>
      <w:r w:rsidR="00FC6F8E">
        <w:rPr>
          <w:sz w:val="20"/>
        </w:rPr>
        <w:t>“</w:t>
      </w:r>
      <w:r w:rsidRPr="001C2556">
        <w:rPr>
          <w:sz w:val="20"/>
        </w:rPr>
        <w:t xml:space="preserve">conducted in an exceedingly careless, inept and negligent manner and that Licensee is either incapable of correcting or unwilling to correct the operating deficiencies.”  </w:t>
      </w:r>
      <w:r w:rsidRPr="001C2556">
        <w:rPr>
          <w:i/>
          <w:sz w:val="20"/>
        </w:rPr>
        <w:t>Heart of the Black Hills Stations</w:t>
      </w:r>
      <w:r w:rsidRPr="00B07CA1">
        <w:rPr>
          <w:iCs/>
          <w:sz w:val="20"/>
        </w:rPr>
        <w:t>,</w:t>
      </w:r>
      <w:r w:rsidRPr="001C2556">
        <w:rPr>
          <w:i/>
          <w:sz w:val="20"/>
        </w:rPr>
        <w:t xml:space="preserve"> </w:t>
      </w:r>
      <w:r w:rsidRPr="001C2556">
        <w:rPr>
          <w:sz w:val="20"/>
        </w:rPr>
        <w:t>Decision, 32 FCC 2d 196, 198</w:t>
      </w:r>
      <w:r>
        <w:rPr>
          <w:sz w:val="20"/>
        </w:rPr>
        <w:t>, para. 6</w:t>
      </w:r>
      <w:r w:rsidRPr="001C2556">
        <w:rPr>
          <w:sz w:val="20"/>
        </w:rPr>
        <w:t xml:space="preserve"> (1971).  Nor do we find on the record here that “the number, nature and extent” of the violations indicate that “the licensee cannot be relied upon to operate [the station] in the future in accordance with the requirements of its licenses and the Commission’s Rules.”  </w:t>
      </w:r>
      <w:r w:rsidRPr="001C2556">
        <w:rPr>
          <w:i/>
          <w:sz w:val="20"/>
        </w:rPr>
        <w:t xml:space="preserve">Id. </w:t>
      </w:r>
      <w:r w:rsidRPr="001C2556">
        <w:rPr>
          <w:sz w:val="20"/>
        </w:rPr>
        <w:t>at 200</w:t>
      </w:r>
      <w:r>
        <w:rPr>
          <w:sz w:val="20"/>
        </w:rPr>
        <w:t>, para. 10</w:t>
      </w:r>
      <w:r w:rsidRPr="001C2556">
        <w:rPr>
          <w:sz w:val="20"/>
        </w:rPr>
        <w:t>.</w:t>
      </w:r>
    </w:p>
  </w:footnote>
  <w:footnote w:id="23">
    <w:p w:rsidR="00FC6F8E" w:rsidRPr="00EE4E4A" w14:paraId="633C56D9" w14:textId="745B1F3C">
      <w:pPr>
        <w:pStyle w:val="FootnoteText"/>
      </w:pPr>
      <w:r>
        <w:rPr>
          <w:rStyle w:val="FootnoteReference"/>
        </w:rPr>
        <w:footnoteRef/>
      </w:r>
      <w:r>
        <w:t xml:space="preserve"> </w:t>
      </w:r>
      <w:r w:rsidR="00E9109E">
        <w:rPr>
          <w:i/>
          <w:iCs/>
        </w:rPr>
        <w:t>See, e.g.</w:t>
      </w:r>
      <w:r w:rsidR="00E9109E">
        <w:t xml:space="preserve">, </w:t>
      </w:r>
      <w:r w:rsidR="00E9109E">
        <w:rPr>
          <w:i/>
          <w:iCs/>
        </w:rPr>
        <w:t xml:space="preserve">Hubbard’s Advertising </w:t>
      </w:r>
      <w:r w:rsidR="00D94B25">
        <w:t xml:space="preserve"> (granting short-term renewal where licensee apparently failed to upload quarterly issues and programs lists to the OPIF for </w:t>
      </w:r>
      <w:r w:rsidR="00396374">
        <w:t>at least two</w:t>
      </w:r>
      <w:r w:rsidR="00D94B25">
        <w:t xml:space="preserve"> full license term</w:t>
      </w:r>
      <w:r w:rsidR="00396374">
        <w:t>s</w:t>
      </w:r>
      <w:r w:rsidR="00D94B25">
        <w:t>)</w:t>
      </w:r>
      <w:r w:rsidR="00AE1DA0">
        <w:t xml:space="preserve">; </w:t>
      </w:r>
      <w:r w:rsidR="00AE1DA0">
        <w:rPr>
          <w:i/>
        </w:rPr>
        <w:t>Rama Commc’ns, Inc.</w:t>
      </w:r>
      <w:r w:rsidRPr="00B07CA1" w:rsidR="00AE1DA0">
        <w:rPr>
          <w:iCs/>
        </w:rPr>
        <w:t>,</w:t>
      </w:r>
      <w:r w:rsidR="00AE1DA0">
        <w:rPr>
          <w:i/>
        </w:rPr>
        <w:t xml:space="preserve"> </w:t>
      </w:r>
      <w:r w:rsidRPr="001C2556" w:rsidR="00AE1DA0">
        <w:t xml:space="preserve">Memorandum Opinion and Order and Notice of Apparent Liability, </w:t>
      </w:r>
      <w:r w:rsidR="00AE1DA0">
        <w:t>31</w:t>
      </w:r>
      <w:r w:rsidRPr="001C2556" w:rsidR="00AE1DA0">
        <w:t xml:space="preserve"> FCC Rcd </w:t>
      </w:r>
      <w:r w:rsidR="00AE1DA0">
        <w:t>6939</w:t>
      </w:r>
      <w:r w:rsidRPr="001C2556" w:rsidR="00AE1DA0">
        <w:t xml:space="preserve"> (MB 201</w:t>
      </w:r>
      <w:r w:rsidR="00AE1DA0">
        <w:t>6</w:t>
      </w:r>
      <w:r w:rsidRPr="001C2556" w:rsidR="00AE1DA0">
        <w:t>) (</w:t>
      </w:r>
      <w:r w:rsidR="00AE1DA0">
        <w:t>short</w:t>
      </w:r>
      <w:r w:rsidRPr="001C2556" w:rsidR="00AE1DA0">
        <w:t>-</w:t>
      </w:r>
      <w:r w:rsidR="00AE1DA0">
        <w:t>term</w:t>
      </w:r>
      <w:r w:rsidRPr="001C2556" w:rsidR="00AE1DA0">
        <w:t xml:space="preserve"> renewal granted for failing to prepare issues</w:t>
      </w:r>
      <w:r w:rsidR="00AE1DA0">
        <w:t xml:space="preserve"> and p</w:t>
      </w:r>
      <w:r w:rsidRPr="001C2556" w:rsidR="00AE1DA0">
        <w:t>rograms lists during the license term)</w:t>
      </w:r>
      <w:r w:rsidR="00E02A44">
        <w:t>.</w:t>
      </w:r>
    </w:p>
  </w:footnote>
  <w:footnote w:id="24">
    <w:p w:rsidR="00FD0691" w:rsidRPr="001C2556" w:rsidP="00FD0691" w14:paraId="4B69D026" w14:textId="77777777">
      <w:pPr>
        <w:pStyle w:val="FootnoteText"/>
      </w:pPr>
      <w:r w:rsidRPr="001C2556">
        <w:rPr>
          <w:rStyle w:val="FootnoteReference"/>
        </w:rPr>
        <w:footnoteRef/>
      </w:r>
      <w:r w:rsidRPr="001C2556">
        <w:t xml:space="preserve"> </w:t>
      </w:r>
      <w:r w:rsidRPr="001C2556">
        <w:rPr>
          <w:i/>
        </w:rPr>
        <w:t>See</w:t>
      </w:r>
      <w:r w:rsidRPr="001C2556">
        <w:t xml:space="preserve"> 47 U.S.C. § 309(k)(2).</w:t>
      </w:r>
    </w:p>
  </w:footnote>
  <w:footnote w:id="25">
    <w:p w:rsidR="004806E2" w:rsidRPr="001C2556" w:rsidP="004806E2" w14:paraId="1DE752ED" w14:textId="740F4E35">
      <w:pPr>
        <w:pStyle w:val="Footer"/>
        <w:spacing w:after="120"/>
        <w:rPr>
          <w:sz w:val="20"/>
        </w:rPr>
      </w:pPr>
      <w:r w:rsidRPr="001C2556">
        <w:rPr>
          <w:rStyle w:val="FootnoteReference"/>
        </w:rPr>
        <w:footnoteRef/>
      </w:r>
      <w:r w:rsidRPr="001C2556">
        <w:rPr>
          <w:sz w:val="20"/>
        </w:rPr>
        <w:t xml:space="preserve"> </w:t>
      </w:r>
      <w:r w:rsidRPr="00EC43A6" w:rsidR="00EC43A6">
        <w:rPr>
          <w:i/>
          <w:sz w:val="20"/>
        </w:rPr>
        <w:t>See</w:t>
      </w:r>
      <w:r w:rsidRPr="00A02E75" w:rsidR="00EC43A6">
        <w:rPr>
          <w:iCs/>
          <w:sz w:val="20"/>
        </w:rPr>
        <w:t xml:space="preserve"> </w:t>
      </w:r>
      <w:r w:rsidR="00974BF4">
        <w:rPr>
          <w:i/>
          <w:sz w:val="20"/>
        </w:rPr>
        <w:t>id.</w:t>
      </w:r>
      <w:r w:rsidRPr="00A02E75" w:rsidR="00EC43A6">
        <w:rPr>
          <w:iCs/>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C8C6E83" w14:textId="460B1D26">
    <w:pPr>
      <w:pStyle w:val="Header"/>
      <w:rPr>
        <w:b w:val="0"/>
      </w:rPr>
    </w:pPr>
    <w:r>
      <w:tab/>
      <w:t>Federal Communications Commission</w:t>
    </w:r>
    <w:r>
      <w:tab/>
    </w:r>
    <w:r w:rsidR="00EB358C">
      <w:t>DA 26-</w:t>
    </w:r>
    <w:r w:rsidR="009110AF">
      <w:t>434</w:t>
    </w:r>
  </w:p>
  <w:p w:rsidR="00D25FB5" w14:paraId="5278582D" w14:textId="39E6CDA5">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6DDBA637"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228DB2D" w14:textId="18C97B77">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98712D">
      <w:rPr>
        <w:spacing w:val="-2"/>
      </w:rPr>
      <w:t>DA 26-</w:t>
    </w:r>
    <w:r>
      <w:rPr>
        <w:spacing w:val="-2"/>
      </w:rPr>
      <w:t>434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3034A11"/>
    <w:multiLevelType w:val="hybridMultilevel"/>
    <w:tmpl w:val="205E0BCE"/>
    <w:lvl w:ilvl="0">
      <w:start w:val="2"/>
      <w:numFmt w:val="decimal"/>
      <w:lvlText w:val="%1."/>
      <w:lvlJc w:val="left"/>
      <w:pPr>
        <w:tabs>
          <w:tab w:val="num" w:pos="1440"/>
        </w:tabs>
        <w:ind w:left="1440" w:hanging="72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090ECA20"/>
    <w:lvl w:ilvl="0">
      <w:start w:val="1"/>
      <w:numFmt w:val="decimal"/>
      <w:pStyle w:val="ParaNum"/>
      <w:lvlText w:val="%1."/>
      <w:lvlJc w:val="left"/>
      <w:pPr>
        <w:tabs>
          <w:tab w:val="num" w:pos="1080"/>
        </w:tabs>
        <w:ind w:left="0" w:firstLine="720"/>
      </w:pPr>
      <w:rPr>
        <w:b w:val="0"/>
        <w:bCs/>
      </w:rPr>
    </w:lvl>
  </w:abstractNum>
  <w:num w:numId="1" w16cid:durableId="327024921">
    <w:abstractNumId w:val="2"/>
  </w:num>
  <w:num w:numId="2" w16cid:durableId="1087967845">
    <w:abstractNumId w:val="6"/>
  </w:num>
  <w:num w:numId="3" w16cid:durableId="1309746341">
    <w:abstractNumId w:val="4"/>
  </w:num>
  <w:num w:numId="4" w16cid:durableId="2052920314">
    <w:abstractNumId w:val="5"/>
  </w:num>
  <w:num w:numId="5" w16cid:durableId="125508522">
    <w:abstractNumId w:val="3"/>
  </w:num>
  <w:num w:numId="6" w16cid:durableId="2046758053">
    <w:abstractNumId w:val="1"/>
  </w:num>
  <w:num w:numId="7" w16cid:durableId="17751282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712D"/>
    <w:rsid w:val="00003E79"/>
    <w:rsid w:val="00007268"/>
    <w:rsid w:val="00036039"/>
    <w:rsid w:val="00037F90"/>
    <w:rsid w:val="00057B60"/>
    <w:rsid w:val="00060B39"/>
    <w:rsid w:val="000875BF"/>
    <w:rsid w:val="000929BC"/>
    <w:rsid w:val="00096D8C"/>
    <w:rsid w:val="000C0B65"/>
    <w:rsid w:val="000C189D"/>
    <w:rsid w:val="000C62AD"/>
    <w:rsid w:val="000C7C80"/>
    <w:rsid w:val="000D39A9"/>
    <w:rsid w:val="000E05FE"/>
    <w:rsid w:val="000E2586"/>
    <w:rsid w:val="000E3D42"/>
    <w:rsid w:val="00122BD5"/>
    <w:rsid w:val="00130B31"/>
    <w:rsid w:val="00133F79"/>
    <w:rsid w:val="0013548F"/>
    <w:rsid w:val="00141A1E"/>
    <w:rsid w:val="00142434"/>
    <w:rsid w:val="00194A66"/>
    <w:rsid w:val="001A7E4A"/>
    <w:rsid w:val="001C2556"/>
    <w:rsid w:val="001D0103"/>
    <w:rsid w:val="001D3BC4"/>
    <w:rsid w:val="001D6BCF"/>
    <w:rsid w:val="001E01CA"/>
    <w:rsid w:val="001F5508"/>
    <w:rsid w:val="00204266"/>
    <w:rsid w:val="00216438"/>
    <w:rsid w:val="00231EC1"/>
    <w:rsid w:val="002700F5"/>
    <w:rsid w:val="002705AD"/>
    <w:rsid w:val="00275CF5"/>
    <w:rsid w:val="00275DA0"/>
    <w:rsid w:val="0028301F"/>
    <w:rsid w:val="00285017"/>
    <w:rsid w:val="002A2D2E"/>
    <w:rsid w:val="002C00E8"/>
    <w:rsid w:val="003007A6"/>
    <w:rsid w:val="00303E32"/>
    <w:rsid w:val="00307690"/>
    <w:rsid w:val="00322C1F"/>
    <w:rsid w:val="0034057C"/>
    <w:rsid w:val="00343749"/>
    <w:rsid w:val="003660ED"/>
    <w:rsid w:val="00372283"/>
    <w:rsid w:val="003769F7"/>
    <w:rsid w:val="00377C4A"/>
    <w:rsid w:val="00377EFE"/>
    <w:rsid w:val="00396374"/>
    <w:rsid w:val="003A2939"/>
    <w:rsid w:val="003B0550"/>
    <w:rsid w:val="003B694F"/>
    <w:rsid w:val="003B7F3B"/>
    <w:rsid w:val="003E6CE9"/>
    <w:rsid w:val="003F1557"/>
    <w:rsid w:val="003F171C"/>
    <w:rsid w:val="00405AF2"/>
    <w:rsid w:val="00412FC5"/>
    <w:rsid w:val="00416DDC"/>
    <w:rsid w:val="00417B3A"/>
    <w:rsid w:val="00422276"/>
    <w:rsid w:val="00423AB1"/>
    <w:rsid w:val="004242F1"/>
    <w:rsid w:val="004342D8"/>
    <w:rsid w:val="00443701"/>
    <w:rsid w:val="00445A00"/>
    <w:rsid w:val="00451B0F"/>
    <w:rsid w:val="004806E2"/>
    <w:rsid w:val="004A343F"/>
    <w:rsid w:val="004B0B3A"/>
    <w:rsid w:val="004C2EE3"/>
    <w:rsid w:val="004C3214"/>
    <w:rsid w:val="004C79D9"/>
    <w:rsid w:val="004D09CD"/>
    <w:rsid w:val="004D245D"/>
    <w:rsid w:val="004E4A22"/>
    <w:rsid w:val="00511968"/>
    <w:rsid w:val="005149D3"/>
    <w:rsid w:val="00520C8D"/>
    <w:rsid w:val="00527161"/>
    <w:rsid w:val="00544A1E"/>
    <w:rsid w:val="005541BE"/>
    <w:rsid w:val="0055614C"/>
    <w:rsid w:val="0056065B"/>
    <w:rsid w:val="00566D06"/>
    <w:rsid w:val="005743D4"/>
    <w:rsid w:val="00580B5B"/>
    <w:rsid w:val="0059613C"/>
    <w:rsid w:val="005976F1"/>
    <w:rsid w:val="005B06B5"/>
    <w:rsid w:val="005C58C1"/>
    <w:rsid w:val="005D499E"/>
    <w:rsid w:val="005E14C2"/>
    <w:rsid w:val="005E2FFA"/>
    <w:rsid w:val="005E4B77"/>
    <w:rsid w:val="005F7FFB"/>
    <w:rsid w:val="00607BA5"/>
    <w:rsid w:val="0061180A"/>
    <w:rsid w:val="0061795C"/>
    <w:rsid w:val="006243C6"/>
    <w:rsid w:val="00626EB6"/>
    <w:rsid w:val="0064006D"/>
    <w:rsid w:val="00640265"/>
    <w:rsid w:val="00640353"/>
    <w:rsid w:val="00655D03"/>
    <w:rsid w:val="00663645"/>
    <w:rsid w:val="00665036"/>
    <w:rsid w:val="0068074A"/>
    <w:rsid w:val="00683388"/>
    <w:rsid w:val="00683F84"/>
    <w:rsid w:val="006859CA"/>
    <w:rsid w:val="006860F0"/>
    <w:rsid w:val="006A6A81"/>
    <w:rsid w:val="006B75B3"/>
    <w:rsid w:val="006E2F38"/>
    <w:rsid w:val="006E70D0"/>
    <w:rsid w:val="006F7393"/>
    <w:rsid w:val="006F7D37"/>
    <w:rsid w:val="0070224F"/>
    <w:rsid w:val="007115F7"/>
    <w:rsid w:val="00721154"/>
    <w:rsid w:val="0075470F"/>
    <w:rsid w:val="0077217E"/>
    <w:rsid w:val="00781585"/>
    <w:rsid w:val="00785689"/>
    <w:rsid w:val="00787F19"/>
    <w:rsid w:val="00790432"/>
    <w:rsid w:val="00794726"/>
    <w:rsid w:val="0079754B"/>
    <w:rsid w:val="007A1E6D"/>
    <w:rsid w:val="007A47C5"/>
    <w:rsid w:val="007B0EB2"/>
    <w:rsid w:val="007E4176"/>
    <w:rsid w:val="00810B6F"/>
    <w:rsid w:val="00815F60"/>
    <w:rsid w:val="00820EB7"/>
    <w:rsid w:val="00822CE0"/>
    <w:rsid w:val="008410E7"/>
    <w:rsid w:val="00841AB1"/>
    <w:rsid w:val="0086460D"/>
    <w:rsid w:val="00871EB1"/>
    <w:rsid w:val="00893D7D"/>
    <w:rsid w:val="008B5B66"/>
    <w:rsid w:val="008C68F1"/>
    <w:rsid w:val="008D30C5"/>
    <w:rsid w:val="009110AF"/>
    <w:rsid w:val="00911FDE"/>
    <w:rsid w:val="00921803"/>
    <w:rsid w:val="00926503"/>
    <w:rsid w:val="00942265"/>
    <w:rsid w:val="009726D8"/>
    <w:rsid w:val="00974BF4"/>
    <w:rsid w:val="009864DC"/>
    <w:rsid w:val="0098712D"/>
    <w:rsid w:val="009A0BF8"/>
    <w:rsid w:val="009B3062"/>
    <w:rsid w:val="009D38ED"/>
    <w:rsid w:val="009D4FDF"/>
    <w:rsid w:val="009D7308"/>
    <w:rsid w:val="009F76DB"/>
    <w:rsid w:val="00A02E75"/>
    <w:rsid w:val="00A313B6"/>
    <w:rsid w:val="00A32C3B"/>
    <w:rsid w:val="00A33EF0"/>
    <w:rsid w:val="00A45F4F"/>
    <w:rsid w:val="00A517D2"/>
    <w:rsid w:val="00A600A9"/>
    <w:rsid w:val="00A63888"/>
    <w:rsid w:val="00A765A8"/>
    <w:rsid w:val="00A8590A"/>
    <w:rsid w:val="00AA4447"/>
    <w:rsid w:val="00AA55B7"/>
    <w:rsid w:val="00AA5B9E"/>
    <w:rsid w:val="00AB1EDF"/>
    <w:rsid w:val="00AB2407"/>
    <w:rsid w:val="00AB53DF"/>
    <w:rsid w:val="00AE1DA0"/>
    <w:rsid w:val="00AE3B68"/>
    <w:rsid w:val="00AF367D"/>
    <w:rsid w:val="00AF7F41"/>
    <w:rsid w:val="00B07CA1"/>
    <w:rsid w:val="00B07E5C"/>
    <w:rsid w:val="00B17F74"/>
    <w:rsid w:val="00B27F3D"/>
    <w:rsid w:val="00B516AD"/>
    <w:rsid w:val="00B53261"/>
    <w:rsid w:val="00B811F7"/>
    <w:rsid w:val="00B85843"/>
    <w:rsid w:val="00BA5DC6"/>
    <w:rsid w:val="00BA6196"/>
    <w:rsid w:val="00BC6D8C"/>
    <w:rsid w:val="00BD2248"/>
    <w:rsid w:val="00BE008E"/>
    <w:rsid w:val="00BF7304"/>
    <w:rsid w:val="00C34006"/>
    <w:rsid w:val="00C36B4C"/>
    <w:rsid w:val="00C426B1"/>
    <w:rsid w:val="00C47E89"/>
    <w:rsid w:val="00C6070D"/>
    <w:rsid w:val="00C66160"/>
    <w:rsid w:val="00C721AC"/>
    <w:rsid w:val="00C75154"/>
    <w:rsid w:val="00C90D6A"/>
    <w:rsid w:val="00C97F28"/>
    <w:rsid w:val="00CA247E"/>
    <w:rsid w:val="00CA6D21"/>
    <w:rsid w:val="00CC72B6"/>
    <w:rsid w:val="00D0218D"/>
    <w:rsid w:val="00D25FB5"/>
    <w:rsid w:val="00D36F4C"/>
    <w:rsid w:val="00D413C3"/>
    <w:rsid w:val="00D44223"/>
    <w:rsid w:val="00D60DFD"/>
    <w:rsid w:val="00D700B7"/>
    <w:rsid w:val="00D94B25"/>
    <w:rsid w:val="00DA2529"/>
    <w:rsid w:val="00DA610A"/>
    <w:rsid w:val="00DB130A"/>
    <w:rsid w:val="00DB2EBB"/>
    <w:rsid w:val="00DC10A1"/>
    <w:rsid w:val="00DC655F"/>
    <w:rsid w:val="00DD0B59"/>
    <w:rsid w:val="00DD1272"/>
    <w:rsid w:val="00DD7EBD"/>
    <w:rsid w:val="00DE5678"/>
    <w:rsid w:val="00DE6157"/>
    <w:rsid w:val="00DF62B6"/>
    <w:rsid w:val="00E02A44"/>
    <w:rsid w:val="00E03CDF"/>
    <w:rsid w:val="00E04756"/>
    <w:rsid w:val="00E055C2"/>
    <w:rsid w:val="00E07225"/>
    <w:rsid w:val="00E12D4F"/>
    <w:rsid w:val="00E14E03"/>
    <w:rsid w:val="00E5409F"/>
    <w:rsid w:val="00E65CB2"/>
    <w:rsid w:val="00E9109E"/>
    <w:rsid w:val="00E96094"/>
    <w:rsid w:val="00EA52EA"/>
    <w:rsid w:val="00EB358C"/>
    <w:rsid w:val="00EB5C52"/>
    <w:rsid w:val="00EB638E"/>
    <w:rsid w:val="00EC2F32"/>
    <w:rsid w:val="00EC43A6"/>
    <w:rsid w:val="00EC653A"/>
    <w:rsid w:val="00EE4E4A"/>
    <w:rsid w:val="00EE6488"/>
    <w:rsid w:val="00F021FA"/>
    <w:rsid w:val="00F25973"/>
    <w:rsid w:val="00F32911"/>
    <w:rsid w:val="00F400AD"/>
    <w:rsid w:val="00F60D05"/>
    <w:rsid w:val="00F62E97"/>
    <w:rsid w:val="00F64209"/>
    <w:rsid w:val="00F7299C"/>
    <w:rsid w:val="00F84424"/>
    <w:rsid w:val="00F87F92"/>
    <w:rsid w:val="00F9197D"/>
    <w:rsid w:val="00F93BF5"/>
    <w:rsid w:val="00FC6F8E"/>
    <w:rsid w:val="00FD0691"/>
    <w:rsid w:val="00FD08A0"/>
    <w:rsid w:val="00FF2E6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13D7176"/>
  <w15:chartTrackingRefBased/>
  <w15:docId w15:val="{DD6941A7-127A-4973-AB88-43BCC45E3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4 Char,Footnote Text Char1,Footnote Text Char4 Char1 Char,Footnote Text Char4 Char1 Char Char Char Char,Footnote Text Char7 Char,Footnote Text Char7 Char Char Char Char,f,fn,rrfootnote"/>
    <w:link w:val="FootnoteTextChar2"/>
    <w:rsid w:val="000E3D42"/>
    <w:pPr>
      <w:spacing w:after="120"/>
    </w:pPr>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2">
    <w:name w:val="Footnote Text Char2"/>
    <w:aliases w:val="Footnote Text Char Char,Footnote Text Char Char Char4 Char Char,Footnote Text Char1 Char,Footnote Text Char4 Char1 Char Char,Footnote Text Char4 Char1 Char Char Char Char Char,Footnote Text Char7 Char Char,f Char,fn Char"/>
    <w:link w:val="FootnoteText"/>
    <w:rsid w:val="004806E2"/>
  </w:style>
  <w:style w:type="character" w:customStyle="1" w:styleId="ParaNumChar">
    <w:name w:val="ParaNum Char"/>
    <w:link w:val="ParaNum"/>
    <w:locked/>
    <w:rsid w:val="004806E2"/>
    <w:rPr>
      <w:snapToGrid w:val="0"/>
      <w:kern w:val="28"/>
      <w:sz w:val="22"/>
    </w:rPr>
  </w:style>
  <w:style w:type="character" w:styleId="Strong">
    <w:name w:val="Strong"/>
    <w:uiPriority w:val="22"/>
    <w:qFormat/>
    <w:rsid w:val="00142434"/>
    <w:rPr>
      <w:b/>
      <w:bCs/>
    </w:rPr>
  </w:style>
  <w:style w:type="character" w:customStyle="1" w:styleId="cosearchterm">
    <w:name w:val="co_searchterm"/>
    <w:basedOn w:val="DefaultParagraphFont"/>
    <w:rsid w:val="00142434"/>
  </w:style>
  <w:style w:type="character" w:styleId="UnresolvedMention">
    <w:name w:val="Unresolved Mention"/>
    <w:uiPriority w:val="99"/>
    <w:semiHidden/>
    <w:unhideWhenUsed/>
    <w:rsid w:val="00871EB1"/>
    <w:rPr>
      <w:color w:val="605E5C"/>
      <w:shd w:val="clear" w:color="auto" w:fill="E1DFDD"/>
    </w:rPr>
  </w:style>
  <w:style w:type="paragraph" w:styleId="Revision">
    <w:name w:val="Revision"/>
    <w:hidden/>
    <w:uiPriority w:val="99"/>
    <w:semiHidden/>
    <w:rsid w:val="00D700B7"/>
    <w:rPr>
      <w:snapToGrid w:val="0"/>
      <w:kern w:val="28"/>
      <w:sz w:val="22"/>
    </w:rPr>
  </w:style>
  <w:style w:type="character" w:styleId="CommentReference">
    <w:name w:val="annotation reference"/>
    <w:rsid w:val="00417B3A"/>
    <w:rPr>
      <w:sz w:val="16"/>
      <w:szCs w:val="16"/>
    </w:rPr>
  </w:style>
  <w:style w:type="paragraph" w:styleId="CommentText">
    <w:name w:val="annotation text"/>
    <w:basedOn w:val="Normal"/>
    <w:link w:val="CommentTextChar"/>
    <w:rsid w:val="00417B3A"/>
    <w:rPr>
      <w:sz w:val="20"/>
    </w:rPr>
  </w:style>
  <w:style w:type="character" w:customStyle="1" w:styleId="CommentTextChar">
    <w:name w:val="Comment Text Char"/>
    <w:link w:val="CommentText"/>
    <w:rsid w:val="00417B3A"/>
    <w:rPr>
      <w:snapToGrid w:val="0"/>
      <w:kern w:val="28"/>
    </w:rPr>
  </w:style>
  <w:style w:type="paragraph" w:styleId="CommentSubject">
    <w:name w:val="annotation subject"/>
    <w:basedOn w:val="CommentText"/>
    <w:next w:val="CommentText"/>
    <w:link w:val="CommentSubjectChar"/>
    <w:rsid w:val="00417B3A"/>
    <w:rPr>
      <w:b/>
      <w:bCs/>
    </w:rPr>
  </w:style>
  <w:style w:type="character" w:customStyle="1" w:styleId="CommentSubjectChar">
    <w:name w:val="Comment Subject Char"/>
    <w:link w:val="CommentSubject"/>
    <w:rsid w:val="00417B3A"/>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web2.westlaw.com/find/default.wl?mt=Westlaw&amp;db=1000546&amp;docname=47USCAS309&amp;rp=%2ffind%2fdefault.wl&amp;findtype=L&amp;ordoc=2027483449&amp;tc=-1&amp;vr=2.0&amp;fn=_top&amp;sv=Split&amp;tf=-1&amp;referencepositiontype=T&amp;pbc=C72E4A26&amp;referenceposition=SP%3b340a00009b6f3&amp;rs=WLW13.07" TargetMode="External" /><Relationship Id="rId2" Type="http://schemas.openxmlformats.org/officeDocument/2006/relationships/hyperlink" Target="http://web2.westlaw.com/find/default.wl?mt=Westlaw&amp;db=1000546&amp;docname=47USCAS309&amp;rp=%2ffind%2fdefault.wl&amp;findtype=L&amp;ordoc=2027483449&amp;tc=-1&amp;vr=2.0&amp;fn=_top&amp;sv=Split&amp;tf=-1&amp;referencepositiontype=T&amp;pbc=C72E4A26&amp;referenceposition=SP%3b24c8000086311&amp;rs=WLW13.07" TargetMode="External" /><Relationship Id="rId3" Type="http://schemas.openxmlformats.org/officeDocument/2006/relationships/hyperlink" Target="http://web2.westlaw.com/find/default.wl?mt=Westlaw&amp;db=1000546&amp;docname=47USCAS309&amp;rp=%2ffind%2fdefault.wl&amp;findtype=L&amp;ordoc=2027483449&amp;tc=-1&amp;vr=2.0&amp;fn=_top&amp;sv=Split&amp;tf=-1&amp;referencepositiontype=T&amp;pbc=C72E4A26&amp;referenceposition=SP%3b5d640000e1eb7&amp;rs=WLW13.07" TargetMode="External" /><Relationship Id="rId4" Type="http://schemas.openxmlformats.org/officeDocument/2006/relationships/hyperlink" Target="http://web2.westlaw.com/find/default.wl?mt=Westlaw&amp;db=1000546&amp;docname=47USCAS309&amp;rp=%2ffind%2fdefault.wl&amp;findtype=L&amp;ordoc=2027483449&amp;tc=-1&amp;vr=2.0&amp;fn=_top&amp;sv=Split&amp;tf=-1&amp;referencepositiontype=T&amp;pbc=C72E4A26&amp;referenceposition=SP%3b014300009b763&amp;rs=WLW13.07" TargetMode="External" /><Relationship Id="rId5" Type="http://schemas.openxmlformats.org/officeDocument/2006/relationships/hyperlink" Target="http://www.westlaw.com/Find/Default.wl?rs=dfa1.0&amp;vr=2.0&amp;DB=4493&amp;FindType=Y&amp;ReferencePositionType=S&amp;SerialNum=1989192022&amp;ReferencePosition=6365"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christopher.clark\FCC\FCC%20-%20NAL\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