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78327E" w:rsidP="0078327E" w14:paraId="60E4DD5C" w14:textId="77777777">
      <w:pPr>
        <w:jc w:val="right"/>
        <w:rPr>
          <w:sz w:val="24"/>
        </w:rPr>
      </w:pPr>
    </w:p>
    <w:p w:rsidR="0078327E" w:rsidRPr="00671E2B" w:rsidP="0078327E" w14:paraId="470CEF7C" w14:textId="6716FC37">
      <w:pPr>
        <w:jc w:val="right"/>
        <w:rPr>
          <w:b/>
          <w:szCs w:val="22"/>
        </w:rPr>
      </w:pPr>
      <w:bookmarkStart w:id="0" w:name="TOChere"/>
      <w:r w:rsidRPr="00671E2B">
        <w:rPr>
          <w:b/>
          <w:szCs w:val="22"/>
        </w:rPr>
        <w:t xml:space="preserve">DA </w:t>
      </w:r>
      <w:r w:rsidR="007A67CE">
        <w:rPr>
          <w:b/>
          <w:szCs w:val="22"/>
        </w:rPr>
        <w:t>26-</w:t>
      </w:r>
      <w:r w:rsidR="00B527F3">
        <w:rPr>
          <w:b/>
          <w:szCs w:val="22"/>
        </w:rPr>
        <w:t>438</w:t>
      </w:r>
    </w:p>
    <w:p w:rsidR="0078327E" w:rsidRPr="00671E2B" w:rsidP="0078327E" w14:paraId="564C3273" w14:textId="00B5A8A2">
      <w:pPr>
        <w:spacing w:before="60"/>
        <w:jc w:val="right"/>
        <w:rPr>
          <w:b/>
          <w:szCs w:val="22"/>
        </w:rPr>
      </w:pPr>
      <w:r w:rsidRPr="00671E2B">
        <w:rPr>
          <w:b/>
          <w:szCs w:val="22"/>
        </w:rPr>
        <w:t xml:space="preserve">Released:  </w:t>
      </w:r>
      <w:r w:rsidR="00B527F3">
        <w:rPr>
          <w:b/>
          <w:szCs w:val="22"/>
        </w:rPr>
        <w:t>May 4</w:t>
      </w:r>
      <w:r w:rsidRPr="00671E2B">
        <w:rPr>
          <w:b/>
          <w:szCs w:val="22"/>
        </w:rPr>
        <w:t xml:space="preserve">, </w:t>
      </w:r>
      <w:r w:rsidR="007A67CE">
        <w:rPr>
          <w:b/>
          <w:szCs w:val="22"/>
        </w:rPr>
        <w:t>2026</w:t>
      </w:r>
    </w:p>
    <w:p w:rsidR="0078327E" w:rsidP="0078327E" w14:paraId="44384DC7" w14:textId="77777777">
      <w:pPr>
        <w:jc w:val="right"/>
        <w:rPr>
          <w:sz w:val="24"/>
        </w:rPr>
      </w:pPr>
    </w:p>
    <w:p w:rsidR="00A84C58" w:rsidP="0078327E" w14:paraId="4CBC8192" w14:textId="77777777">
      <w:pPr>
        <w:jc w:val="center"/>
        <w:rPr>
          <w:b/>
          <w:bCs/>
        </w:rPr>
      </w:pPr>
      <w:r w:rsidRPr="004C5AB3">
        <w:rPr>
          <w:b/>
          <w:bCs/>
        </w:rPr>
        <w:t xml:space="preserve">BROADCAST AUXILIARY </w:t>
      </w:r>
      <w:r>
        <w:rPr>
          <w:b/>
          <w:bCs/>
        </w:rPr>
        <w:t xml:space="preserve">SERVICE </w:t>
      </w:r>
      <w:r w:rsidRPr="004C5AB3">
        <w:rPr>
          <w:b/>
          <w:bCs/>
        </w:rPr>
        <w:t xml:space="preserve">FREQUENCY COORDINATOR </w:t>
      </w:r>
    </w:p>
    <w:p w:rsidR="0078327E" w:rsidRPr="004C5AB3" w:rsidP="00A84C58" w14:paraId="638B2002" w14:textId="78B85980">
      <w:pPr>
        <w:jc w:val="center"/>
        <w:rPr>
          <w:b/>
          <w:bCs/>
        </w:rPr>
      </w:pPr>
      <w:r w:rsidRPr="004C5AB3">
        <w:rPr>
          <w:b/>
          <w:bCs/>
        </w:rPr>
        <w:t>DESIGNATED</w:t>
      </w:r>
      <w:r w:rsidR="00A84C58">
        <w:rPr>
          <w:b/>
          <w:bCs/>
        </w:rPr>
        <w:t xml:space="preserve"> </w:t>
      </w:r>
      <w:r w:rsidRPr="004C5AB3">
        <w:rPr>
          <w:b/>
          <w:bCs/>
        </w:rPr>
        <w:t xml:space="preserve">FOR THE </w:t>
      </w:r>
      <w:r w:rsidRPr="00A84C58" w:rsidR="00A84C58">
        <w:rPr>
          <w:b/>
          <w:bCs/>
        </w:rPr>
        <w:t xml:space="preserve">FIFA </w:t>
      </w:r>
      <w:r w:rsidR="00A84C58">
        <w:rPr>
          <w:b/>
          <w:bCs/>
        </w:rPr>
        <w:t>WORLD CUP</w:t>
      </w:r>
      <w:r w:rsidRPr="00A84C58" w:rsidR="00A84C58">
        <w:rPr>
          <w:b/>
          <w:bCs/>
        </w:rPr>
        <w:t xml:space="preserve"> </w:t>
      </w:r>
      <w:r w:rsidR="0077250C">
        <w:rPr>
          <w:b/>
          <w:bCs/>
        </w:rPr>
        <w:t>2026</w:t>
      </w:r>
    </w:p>
    <w:p w:rsidR="0078327E" w:rsidP="0078327E" w14:paraId="6B57D16E" w14:textId="77777777">
      <w:pPr>
        <w:jc w:val="center"/>
        <w:rPr>
          <w:b/>
          <w:bCs/>
        </w:rPr>
      </w:pPr>
    </w:p>
    <w:p w:rsidR="0078327E" w:rsidP="00AA3EBC" w14:paraId="230A4799" w14:textId="56C22961">
      <w:pPr>
        <w:ind w:firstLine="720"/>
      </w:pPr>
      <w:r w:rsidRPr="00DD0E6D">
        <w:t xml:space="preserve">By this Public Notice, the Wireless Telecommunications Bureau (WTB) and the Media Bureau (MB) </w:t>
      </w:r>
      <w:r w:rsidRPr="00DD0E6D" w:rsidR="008D40A3">
        <w:t>grant the</w:t>
      </w:r>
      <w:r w:rsidRPr="00DD0E6D">
        <w:t xml:space="preserve"> request from </w:t>
      </w:r>
      <w:r w:rsidRPr="00DD0E6D" w:rsidR="00BD22B9">
        <w:t>FWC</w:t>
      </w:r>
      <w:r w:rsidRPr="00DD0E6D" w:rsidR="00DD0E6D">
        <w:t xml:space="preserve"> </w:t>
      </w:r>
      <w:r w:rsidRPr="00DD0E6D" w:rsidR="00BD22B9">
        <w:t>2026 US, Inc. (</w:t>
      </w:r>
      <w:bookmarkStart w:id="1" w:name="_Hlk199333329"/>
      <w:r w:rsidRPr="00DD0E6D" w:rsidR="00BD22B9">
        <w:t>FWC</w:t>
      </w:r>
      <w:r w:rsidR="0014713F">
        <w:t xml:space="preserve"> </w:t>
      </w:r>
      <w:r w:rsidRPr="00DD0E6D" w:rsidR="00BD22B9">
        <w:t>2026</w:t>
      </w:r>
      <w:bookmarkEnd w:id="1"/>
      <w:r w:rsidRPr="00DD0E6D" w:rsidR="00BD22B9">
        <w:t>)</w:t>
      </w:r>
      <w:r>
        <w:rPr>
          <w:rStyle w:val="FootnoteReference"/>
        </w:rPr>
        <w:footnoteReference w:id="3"/>
      </w:r>
      <w:r w:rsidRPr="00DD0E6D">
        <w:t xml:space="preserve"> to designate </w:t>
      </w:r>
      <w:r w:rsidRPr="00DD0E6D" w:rsidR="004550D1">
        <w:t xml:space="preserve">Mr. Louis Libin </w:t>
      </w:r>
      <w:r w:rsidRPr="00DD0E6D">
        <w:t xml:space="preserve">as the single point of contact for coordinating Broadcast Auxiliary Service (BAS) operations during the upcoming </w:t>
      </w:r>
      <w:r w:rsidRPr="00DD0E6D" w:rsidR="00B948F4">
        <w:t xml:space="preserve">FIFA World Cup </w:t>
      </w:r>
      <w:r w:rsidRPr="00DD0E6D" w:rsidR="007A67CE">
        <w:t>2026</w:t>
      </w:r>
      <w:r w:rsidRPr="00DD0E6D" w:rsidR="00B948F4">
        <w:t xml:space="preserve"> (</w:t>
      </w:r>
      <w:r w:rsidRPr="00DD0E6D" w:rsidR="007A67CE">
        <w:t>WC26</w:t>
      </w:r>
      <w:r w:rsidRPr="00DD0E6D" w:rsidR="00B948F4">
        <w:t>)</w:t>
      </w:r>
      <w:r w:rsidRPr="00DD0E6D">
        <w:t xml:space="preserve">.  In addition, </w:t>
      </w:r>
      <w:r w:rsidRPr="00DD0E6D" w:rsidR="007A17F0">
        <w:t>to the extent necessary</w:t>
      </w:r>
      <w:r w:rsidRPr="00DD0E6D" w:rsidR="003D5607">
        <w:t xml:space="preserve">, </w:t>
      </w:r>
      <w:r w:rsidRPr="00DD0E6D">
        <w:t>we grant waiver</w:t>
      </w:r>
      <w:r w:rsidRPr="00DD0E6D" w:rsidR="003D5607">
        <w:t>s</w:t>
      </w:r>
      <w:r w:rsidRPr="00DD0E6D">
        <w:t xml:space="preserve"> requested by </w:t>
      </w:r>
      <w:r w:rsidRPr="00DD0E6D" w:rsidR="00DB50CF">
        <w:rPr>
          <w:snapToGrid/>
          <w:kern w:val="0"/>
        </w:rPr>
        <w:t>FWC</w:t>
      </w:r>
      <w:r w:rsidRPr="00DD0E6D" w:rsidR="00DD0E6D">
        <w:rPr>
          <w:snapToGrid/>
          <w:kern w:val="0"/>
        </w:rPr>
        <w:t xml:space="preserve"> </w:t>
      </w:r>
      <w:r w:rsidRPr="00DD0E6D" w:rsidR="00DB50CF">
        <w:rPr>
          <w:snapToGrid/>
          <w:kern w:val="0"/>
        </w:rPr>
        <w:t xml:space="preserve">2026 </w:t>
      </w:r>
      <w:r w:rsidRPr="00DD0E6D">
        <w:t>to permit low-power auxiliary operators</w:t>
      </w:r>
      <w:r>
        <w:rPr>
          <w:rStyle w:val="FootnoteReference"/>
        </w:rPr>
        <w:footnoteReference w:id="4"/>
      </w:r>
      <w:r w:rsidRPr="00DD0E6D">
        <w:t xml:space="preserve"> to </w:t>
      </w:r>
      <w:r w:rsidR="009D68C1">
        <w:t>operate within protected contours</w:t>
      </w:r>
      <w:r w:rsidRPr="00DD0E6D">
        <w:t xml:space="preserve">, as well as the related maximum power level, when operating </w:t>
      </w:r>
      <w:r w:rsidRPr="00DD0E6D" w:rsidR="00F75496">
        <w:t>within</w:t>
      </w:r>
      <w:r w:rsidRPr="00DD0E6D" w:rsidR="003D5607">
        <w:t xml:space="preserve"> the </w:t>
      </w:r>
      <w:r w:rsidRPr="00DD0E6D" w:rsidR="009E2197">
        <w:t>designated areas</w:t>
      </w:r>
      <w:r w:rsidRPr="00DD0E6D" w:rsidR="003D5607">
        <w:t xml:space="preserve"> </w:t>
      </w:r>
      <w:r w:rsidRPr="00DD0E6D" w:rsidR="001C0D05">
        <w:t>during this</w:t>
      </w:r>
      <w:r w:rsidRPr="00DD0E6D">
        <w:t xml:space="preserve"> event.</w:t>
      </w:r>
    </w:p>
    <w:p w:rsidR="0078327E" w:rsidP="0078327E" w14:paraId="75E22878" w14:textId="77777777"/>
    <w:p w:rsidR="0078327E" w:rsidP="00AA3EBC" w14:paraId="00377AE2" w14:textId="0C74ACD7">
      <w:pPr>
        <w:ind w:firstLine="720"/>
      </w:pPr>
      <w:r>
        <w:t xml:space="preserve">BAS </w:t>
      </w:r>
      <w:r w:rsidRPr="00F40D53">
        <w:t xml:space="preserve">stations, which are licensed under Part 74 of the Commission’s rules, make it possible for television and radio stations </w:t>
      </w:r>
      <w:r w:rsidR="00DF4AE7">
        <w:t>and</w:t>
      </w:r>
      <w:r w:rsidRPr="00F40D53">
        <w:t xml:space="preserve"> networks to transmi</w:t>
      </w:r>
      <w:r>
        <w:t>t</w:t>
      </w:r>
      <w:r w:rsidRPr="00F40D53">
        <w:t xml:space="preserve"> program material </w:t>
      </w:r>
      <w:r>
        <w:t>between various locations (e.g., from remote</w:t>
      </w:r>
      <w:r w:rsidRPr="00F40D53">
        <w:t xml:space="preserve"> sites of breaking news stories or other live events to television studios</w:t>
      </w:r>
      <w:r>
        <w:t xml:space="preserve">, </w:t>
      </w:r>
      <w:r w:rsidRPr="00F40D53">
        <w:t>from studios to broadcasting transmitters for delivery to consumers, and between broadcast stations</w:t>
      </w:r>
      <w:r>
        <w:t>)</w:t>
      </w:r>
      <w:r w:rsidRPr="00F40D53">
        <w:t>.</w:t>
      </w:r>
      <w:r>
        <w:rPr>
          <w:rStyle w:val="FootnoteReference"/>
        </w:rPr>
        <w:footnoteReference w:id="5"/>
      </w:r>
      <w:r w:rsidRPr="008C40A1">
        <w:t xml:space="preserve">  In addition to licensed BAS stations, </w:t>
      </w:r>
      <w:r>
        <w:t>s</w:t>
      </w:r>
      <w:r w:rsidRPr="008C40A1">
        <w:t xml:space="preserve">ection 74.24 of the Commission’s rules allows eligible broadcasters to operate </w:t>
      </w:r>
      <w:r>
        <w:t>BAS</w:t>
      </w:r>
      <w:r w:rsidRPr="008C40A1">
        <w:t xml:space="preserve"> stations on a short-term basis, not to exceed 720 hours annually, without prior Commission authorization.</w:t>
      </w:r>
      <w:r>
        <w:rPr>
          <w:rStyle w:val="FootnoteReference"/>
        </w:rPr>
        <w:footnoteReference w:id="6"/>
      </w:r>
      <w:r w:rsidRPr="008C40A1">
        <w:t xml:space="preserve"> </w:t>
      </w:r>
    </w:p>
    <w:p w:rsidR="0078327E" w:rsidRPr="008C40A1" w:rsidP="0078327E" w14:paraId="6B71EA2B" w14:textId="77777777"/>
    <w:p w:rsidR="008B0B0A" w:rsidP="00AA3EBC" w14:paraId="39D61D12" w14:textId="521DF390">
      <w:pPr>
        <w:ind w:firstLine="720"/>
      </w:pPr>
      <w:r w:rsidRPr="008C40A1">
        <w:t xml:space="preserve">In connection with major events such as </w:t>
      </w:r>
      <w:r w:rsidR="007056E2">
        <w:t>national political conventions</w:t>
      </w:r>
      <w:r w:rsidR="00C014FC">
        <w:t xml:space="preserve">, Presidential </w:t>
      </w:r>
      <w:r w:rsidR="007056E2">
        <w:t>i</w:t>
      </w:r>
      <w:r w:rsidR="00C014FC">
        <w:t xml:space="preserve">naugurations, </w:t>
      </w:r>
      <w:r w:rsidR="007056E2">
        <w:t xml:space="preserve">the </w:t>
      </w:r>
      <w:r w:rsidR="00C014FC">
        <w:t>Olympic Games</w:t>
      </w:r>
      <w:r w:rsidR="0016760D">
        <w:t>, and the</w:t>
      </w:r>
      <w:r w:rsidR="001D26FF">
        <w:t xml:space="preserve"> 2025 </w:t>
      </w:r>
      <w:r w:rsidR="00BB34D9">
        <w:t xml:space="preserve">FIFA </w:t>
      </w:r>
      <w:r w:rsidR="001D26FF">
        <w:t>Club World Cup</w:t>
      </w:r>
      <w:r w:rsidR="00284FFA">
        <w:t xml:space="preserve"> (CWC25)</w:t>
      </w:r>
      <w:r w:rsidR="0016760D">
        <w:t xml:space="preserve">, </w:t>
      </w:r>
      <w:r>
        <w:t>WTB and MB</w:t>
      </w:r>
      <w:r w:rsidRPr="008C40A1">
        <w:t xml:space="preserve"> </w:t>
      </w:r>
      <w:r>
        <w:t xml:space="preserve">have </w:t>
      </w:r>
      <w:r w:rsidRPr="008C40A1">
        <w:t xml:space="preserve">designated </w:t>
      </w:r>
      <w:r>
        <w:t>a BAS</w:t>
      </w:r>
      <w:r w:rsidRPr="008C40A1">
        <w:t xml:space="preserve"> frequency coordinator and required prior coordination of all BAS operations, including operations pursuant to </w:t>
      </w:r>
      <w:r>
        <w:t>s</w:t>
      </w:r>
      <w:r w:rsidRPr="008C40A1">
        <w:t>ection 74.24 of the Commission’s rules.</w:t>
      </w:r>
      <w:r>
        <w:rPr>
          <w:rStyle w:val="FootnoteReference"/>
        </w:rPr>
        <w:footnoteReference w:id="7"/>
      </w:r>
      <w:r w:rsidRPr="008C40A1">
        <w:t xml:space="preserve">  </w:t>
      </w:r>
      <w:r>
        <w:t xml:space="preserve">We took these actions pursuant to our </w:t>
      </w:r>
      <w:r>
        <w:t xml:space="preserve">authority under section </w:t>
      </w:r>
      <w:r w:rsidRPr="00130A68">
        <w:rPr>
          <w:iCs/>
        </w:rPr>
        <w:t>74.24(g)(2)</w:t>
      </w:r>
      <w:r>
        <w:rPr>
          <w:rStyle w:val="FootnoteReference"/>
        </w:rPr>
        <w:footnoteReference w:id="8"/>
      </w:r>
      <w:r>
        <w:rPr>
          <w:iCs/>
        </w:rPr>
        <w:t xml:space="preserve"> and </w:t>
      </w:r>
      <w:r>
        <w:t xml:space="preserve">in response to our </w:t>
      </w:r>
      <w:r w:rsidRPr="00D6034D">
        <w:t>concern that uncoordinated use of BAS stations on a special temporary authority basis could result in spectrum congestion and harmful interference.</w:t>
      </w:r>
      <w:r>
        <w:rPr>
          <w:rStyle w:val="FootnoteReference"/>
        </w:rPr>
        <w:footnoteReference w:id="9"/>
      </w:r>
      <w:r w:rsidRPr="00D6034D">
        <w:t xml:space="preserve">  We believe that the potential for a similar situation exists during </w:t>
      </w:r>
      <w:r w:rsidRPr="00D6034D" w:rsidR="009D3AFD">
        <w:t>WC26</w:t>
      </w:r>
      <w:r w:rsidR="00284FFA">
        <w:t>.</w:t>
      </w:r>
      <w:r w:rsidR="008960B2">
        <w:t xml:space="preserve"> </w:t>
      </w:r>
      <w:r w:rsidR="00CE0729">
        <w:t xml:space="preserve"> </w:t>
      </w:r>
      <w:r w:rsidRPr="00D6034D" w:rsidR="00783BA4">
        <w:t xml:space="preserve">As </w:t>
      </w:r>
      <w:r w:rsidRPr="00D6034D" w:rsidR="009D3AFD">
        <w:rPr>
          <w:snapToGrid/>
          <w:kern w:val="0"/>
        </w:rPr>
        <w:t>FWC</w:t>
      </w:r>
      <w:r w:rsidRPr="00D6034D" w:rsidR="001A282C">
        <w:rPr>
          <w:snapToGrid/>
          <w:kern w:val="0"/>
        </w:rPr>
        <w:t xml:space="preserve"> </w:t>
      </w:r>
      <w:r w:rsidRPr="00D6034D" w:rsidR="009D3AFD">
        <w:rPr>
          <w:snapToGrid/>
          <w:kern w:val="0"/>
        </w:rPr>
        <w:t xml:space="preserve">2026 </w:t>
      </w:r>
      <w:r w:rsidRPr="00D6034D" w:rsidR="00783BA4">
        <w:t>notes,</w:t>
      </w:r>
      <w:r w:rsidRPr="00D6034D" w:rsidR="00C12EB8">
        <w:t xml:space="preserve"> </w:t>
      </w:r>
      <w:r w:rsidRPr="00D6034D" w:rsidR="009D3AFD">
        <w:t>WC26</w:t>
      </w:r>
      <w:r w:rsidRPr="00D6034D" w:rsidR="00783BA4">
        <w:t xml:space="preserve"> </w:t>
      </w:r>
      <w:r w:rsidRPr="00D6034D" w:rsidR="00C12EB8">
        <w:t xml:space="preserve">will bring together </w:t>
      </w:r>
      <w:r w:rsidRPr="00D6034D" w:rsidR="000D1094">
        <w:t>48</w:t>
      </w:r>
      <w:r w:rsidRPr="00D6034D" w:rsidR="00D6034D">
        <w:t xml:space="preserve"> </w:t>
      </w:r>
      <w:r w:rsidRPr="00D6034D" w:rsidR="00074302">
        <w:t xml:space="preserve">soccer teams </w:t>
      </w:r>
      <w:r w:rsidRPr="00D6034D" w:rsidR="001B687C">
        <w:t>from across the glob</w:t>
      </w:r>
      <w:r w:rsidR="007E7A1B">
        <w:t>e</w:t>
      </w:r>
      <w:r w:rsidR="001D3D42">
        <w:t xml:space="preserve"> for 104 matches across 11 venues</w:t>
      </w:r>
      <w:r w:rsidR="007E7A1B">
        <w:t>,</w:t>
      </w:r>
      <w:r>
        <w:rPr>
          <w:rStyle w:val="FootnoteReference"/>
        </w:rPr>
        <w:footnoteReference w:id="10"/>
      </w:r>
      <w:r w:rsidR="007E7A1B">
        <w:t xml:space="preserve"> with</w:t>
      </w:r>
      <w:r w:rsidRPr="00D6034D" w:rsidR="00823393">
        <w:t xml:space="preserve"> </w:t>
      </w:r>
      <w:r w:rsidRPr="00D6034D" w:rsidR="001E1CD8">
        <w:t>6 billion</w:t>
      </w:r>
      <w:r w:rsidRPr="00D6034D" w:rsidR="00823393">
        <w:t xml:space="preserve"> global viewers </w:t>
      </w:r>
      <w:r w:rsidRPr="00D6034D" w:rsidR="000E0FA3">
        <w:t xml:space="preserve">expected </w:t>
      </w:r>
      <w:r w:rsidRPr="00D6034D" w:rsidR="00BA0635">
        <w:t xml:space="preserve">to watch </w:t>
      </w:r>
      <w:r w:rsidRPr="00D6034D" w:rsidR="00823393">
        <w:t>through broadcast, streaming</w:t>
      </w:r>
      <w:r w:rsidRPr="00D6034D" w:rsidR="00724258">
        <w:t>,</w:t>
      </w:r>
      <w:r w:rsidRPr="00D6034D" w:rsidR="00823393">
        <w:t xml:space="preserve"> and digital platforms</w:t>
      </w:r>
      <w:r w:rsidRPr="00D6034D" w:rsidR="00702777">
        <w:t xml:space="preserve">.  </w:t>
      </w:r>
      <w:r w:rsidRPr="00D6034D" w:rsidR="00C12EB8">
        <w:t xml:space="preserve">As a result, </w:t>
      </w:r>
      <w:r w:rsidRPr="00D6034D" w:rsidR="000D1094">
        <w:rPr>
          <w:snapToGrid/>
          <w:kern w:val="0"/>
        </w:rPr>
        <w:t>FWC</w:t>
      </w:r>
      <w:r w:rsidRPr="00D6034D" w:rsidR="001A282C">
        <w:rPr>
          <w:snapToGrid/>
          <w:kern w:val="0"/>
        </w:rPr>
        <w:t xml:space="preserve"> </w:t>
      </w:r>
      <w:r w:rsidRPr="00D6034D" w:rsidR="000D1094">
        <w:rPr>
          <w:snapToGrid/>
          <w:kern w:val="0"/>
        </w:rPr>
        <w:t xml:space="preserve">2026 </w:t>
      </w:r>
      <w:r w:rsidRPr="00D6034D" w:rsidR="00730BEA">
        <w:t xml:space="preserve">expects </w:t>
      </w:r>
      <w:r w:rsidRPr="00D6034D" w:rsidR="001B0696">
        <w:t>extensive video</w:t>
      </w:r>
      <w:r w:rsidRPr="00D6034D" w:rsidR="0007430E">
        <w:t xml:space="preserve">, </w:t>
      </w:r>
      <w:r w:rsidRPr="00D6034D" w:rsidR="001B0696">
        <w:t>audio</w:t>
      </w:r>
      <w:r w:rsidRPr="00D6034D" w:rsidR="00DF4AE7">
        <w:t>,</w:t>
      </w:r>
      <w:r w:rsidRPr="00D6034D" w:rsidR="001B0696">
        <w:t xml:space="preserve"> and data coverage </w:t>
      </w:r>
      <w:r w:rsidRPr="00D6034D" w:rsidR="0007430E">
        <w:t xml:space="preserve">of </w:t>
      </w:r>
      <w:r w:rsidRPr="00D6034D" w:rsidR="000D1094">
        <w:t>WC26</w:t>
      </w:r>
      <w:r w:rsidRPr="00D6034D" w:rsidR="00AC7C1B">
        <w:t>—</w:t>
      </w:r>
      <w:r w:rsidRPr="00D6034D" w:rsidR="001B0696">
        <w:t>and consequently, extensive use of wireless equipment</w:t>
      </w:r>
      <w:r w:rsidRPr="00D6034D" w:rsidR="003A4EAB">
        <w:t>.</w:t>
      </w:r>
      <w:r>
        <w:rPr>
          <w:rStyle w:val="FootnoteReference"/>
        </w:rPr>
        <w:footnoteReference w:id="11"/>
      </w:r>
      <w:r w:rsidRPr="00D6034D" w:rsidR="002E5380">
        <w:t xml:space="preserve"> </w:t>
      </w:r>
      <w:r w:rsidR="0078734B">
        <w:t xml:space="preserve"> </w:t>
      </w:r>
      <w:r w:rsidR="007B2508">
        <w:t xml:space="preserve">FWC 2026 </w:t>
      </w:r>
      <w:r w:rsidRPr="00D6034D" w:rsidR="003A4EAB">
        <w:t>argues that s</w:t>
      </w:r>
      <w:r w:rsidRPr="00D6034D" w:rsidR="000B27D8">
        <w:t xml:space="preserve">uccessful coordination </w:t>
      </w:r>
      <w:r w:rsidRPr="00D6034D" w:rsidR="0007517B">
        <w:t xml:space="preserve">of these RF communications </w:t>
      </w:r>
      <w:r w:rsidRPr="00D6034D" w:rsidR="000B27D8">
        <w:t xml:space="preserve">will </w:t>
      </w:r>
      <w:r w:rsidRPr="00D6034D" w:rsidR="00CA63CD">
        <w:t xml:space="preserve">minimize </w:t>
      </w:r>
      <w:r w:rsidR="00F32992">
        <w:t xml:space="preserve">the potential for harmful </w:t>
      </w:r>
      <w:r w:rsidRPr="00D6034D" w:rsidR="00CA63CD">
        <w:t>interference</w:t>
      </w:r>
      <w:r w:rsidRPr="00D6034D" w:rsidR="009648C3">
        <w:t xml:space="preserve"> and ensure</w:t>
      </w:r>
      <w:r w:rsidRPr="00D6034D" w:rsidR="00CF6CE0">
        <w:t xml:space="preserve"> the operational integrity of </w:t>
      </w:r>
      <w:r w:rsidRPr="00D6034D" w:rsidR="005818A4">
        <w:t>WC26</w:t>
      </w:r>
      <w:r w:rsidR="00077202">
        <w:t>.</w:t>
      </w:r>
      <w:r>
        <w:rPr>
          <w:rStyle w:val="FootnoteReference"/>
        </w:rPr>
        <w:footnoteReference w:id="12"/>
      </w:r>
      <w:r w:rsidR="00077202">
        <w:t xml:space="preserve"> </w:t>
      </w:r>
      <w:r>
        <w:t xml:space="preserve"> </w:t>
      </w:r>
      <w:r w:rsidR="00B04F2B">
        <w:t>This</w:t>
      </w:r>
      <w:r>
        <w:t xml:space="preserve"> </w:t>
      </w:r>
      <w:r w:rsidR="00890A4C">
        <w:t xml:space="preserve">request </w:t>
      </w:r>
      <w:r w:rsidR="00F26991">
        <w:t>aligns with the</w:t>
      </w:r>
      <w:r>
        <w:t xml:space="preserve"> </w:t>
      </w:r>
      <w:r w:rsidR="00B04F2B">
        <w:t xml:space="preserve">virtually identical relief </w:t>
      </w:r>
      <w:r w:rsidR="00890A4C">
        <w:t xml:space="preserve">we </w:t>
      </w:r>
      <w:r w:rsidR="00B04F2B">
        <w:t>granted to FWC 2026 in advance of CWC25</w:t>
      </w:r>
      <w:r w:rsidR="00FD5B0B">
        <w:t xml:space="preserve">, </w:t>
      </w:r>
      <w:r w:rsidR="00124788">
        <w:t xml:space="preserve">which allowed FWC 2026 to address </w:t>
      </w:r>
      <w:r w:rsidRPr="00A467EF" w:rsidR="00124788">
        <w:t>spectrum congestion and harmful interference</w:t>
      </w:r>
      <w:r w:rsidR="00CD6C79">
        <w:t xml:space="preserve"> concerns</w:t>
      </w:r>
      <w:r w:rsidR="00FD5B0B">
        <w:t>.</w:t>
      </w:r>
      <w:r>
        <w:rPr>
          <w:rStyle w:val="FootnoteReference"/>
        </w:rPr>
        <w:footnoteReference w:id="13"/>
      </w:r>
    </w:p>
    <w:p w:rsidR="0078327E" w:rsidRPr="008C40A1" w:rsidP="0078327E" w14:paraId="5EE4F4D7" w14:textId="77777777"/>
    <w:p w:rsidR="0078327E" w:rsidP="00AA3EBC" w14:paraId="52A2E05E" w14:textId="5933756A">
      <w:pPr>
        <w:ind w:firstLine="720"/>
      </w:pPr>
      <w:r>
        <w:t>Accordingly, we</w:t>
      </w:r>
      <w:r w:rsidRPr="001A282C" w:rsidR="003962E5">
        <w:t xml:space="preserve"> find that appointing Louis Libin as </w:t>
      </w:r>
      <w:r w:rsidRPr="001A282C" w:rsidR="00924EA3">
        <w:t>the</w:t>
      </w:r>
      <w:r w:rsidRPr="001A282C" w:rsidR="003962E5">
        <w:t xml:space="preserve"> special frequency coordinator </w:t>
      </w:r>
      <w:r w:rsidRPr="001A282C" w:rsidR="00340850">
        <w:t xml:space="preserve">will </w:t>
      </w:r>
      <w:r w:rsidRPr="001A282C" w:rsidR="003962E5">
        <w:t xml:space="preserve">facilitate </w:t>
      </w:r>
      <w:r w:rsidRPr="001A282C" w:rsidR="000D1094">
        <w:t>WC26</w:t>
      </w:r>
      <w:r w:rsidR="00232846">
        <w:t>,</w:t>
      </w:r>
      <w:r w:rsidRPr="001A282C" w:rsidR="003962E5">
        <w:t xml:space="preserve"> and </w:t>
      </w:r>
      <w:r w:rsidRPr="001A282C" w:rsidR="00340850">
        <w:t xml:space="preserve">will </w:t>
      </w:r>
      <w:r w:rsidRPr="001A282C" w:rsidR="003962E5">
        <w:t xml:space="preserve">serve the public </w:t>
      </w:r>
      <w:r w:rsidRPr="001A282C" w:rsidR="00924EA3">
        <w:t xml:space="preserve">interest. </w:t>
      </w:r>
      <w:r w:rsidRPr="001A282C" w:rsidR="00D032B6">
        <w:t xml:space="preserve"> </w:t>
      </w:r>
      <w:r w:rsidRPr="001A282C" w:rsidR="00184C9E">
        <w:t xml:space="preserve">Mr. Libin has extensive experience in </w:t>
      </w:r>
      <w:r w:rsidRPr="001A282C" w:rsidR="00E02D19">
        <w:t>coordinating</w:t>
      </w:r>
      <w:r w:rsidRPr="001A282C" w:rsidR="00184C9E">
        <w:t xml:space="preserve"> frequency use for a variety of national and international events.</w:t>
      </w:r>
      <w:r>
        <w:rPr>
          <w:rStyle w:val="FootnoteReference"/>
        </w:rPr>
        <w:footnoteReference w:id="14"/>
      </w:r>
      <w:r w:rsidRPr="001A282C" w:rsidR="00184C9E">
        <w:t xml:space="preserve">  </w:t>
      </w:r>
      <w:r w:rsidRPr="001A282C" w:rsidR="008D741F">
        <w:t>Mr.</w:t>
      </w:r>
      <w:r w:rsidRPr="001A282C" w:rsidR="003962E5">
        <w:t xml:space="preserve"> Libin</w:t>
      </w:r>
      <w:r w:rsidRPr="001A282C" w:rsidR="008D741F">
        <w:t xml:space="preserve"> will be</w:t>
      </w:r>
      <w:r w:rsidRPr="001A282C" w:rsidR="003962E5">
        <w:t xml:space="preserve"> the single point of contact for coordinating </w:t>
      </w:r>
      <w:r w:rsidRPr="001A282C" w:rsidR="00BA4F60">
        <w:t>all use of Part 74 frequencies</w:t>
      </w:r>
      <w:r w:rsidRPr="001A282C" w:rsidR="003B124F">
        <w:t xml:space="preserve"> </w:t>
      </w:r>
      <w:r w:rsidRPr="001A282C" w:rsidR="00172651">
        <w:t>within a five-kilometer radius</w:t>
      </w:r>
      <w:r w:rsidRPr="001A282C" w:rsidR="00806986">
        <w:t xml:space="preserve"> of</w:t>
      </w:r>
      <w:r w:rsidRPr="001A282C" w:rsidR="00172651">
        <w:t xml:space="preserve"> </w:t>
      </w:r>
      <w:r w:rsidRPr="001A282C" w:rsidR="00806986">
        <w:t>the coordinates</w:t>
      </w:r>
      <w:r w:rsidRPr="001A282C" w:rsidR="005D4B5B">
        <w:t xml:space="preserve"> </w:t>
      </w:r>
      <w:r w:rsidRPr="001A282C" w:rsidR="00616031">
        <w:t xml:space="preserve">listed in </w:t>
      </w:r>
      <w:r w:rsidRPr="001A282C" w:rsidR="00624FE5">
        <w:t>A</w:t>
      </w:r>
      <w:r w:rsidRPr="001A282C" w:rsidR="00616031">
        <w:t>ttachment A</w:t>
      </w:r>
      <w:r w:rsidRPr="001A282C" w:rsidR="005A3FD3">
        <w:t xml:space="preserve"> during the specifi</w:t>
      </w:r>
      <w:r w:rsidRPr="001A282C" w:rsidR="0002590A">
        <w:t>ed dates</w:t>
      </w:r>
      <w:r w:rsidRPr="001A282C" w:rsidR="003962E5">
        <w:t>.</w:t>
      </w:r>
      <w:r>
        <w:rPr>
          <w:rStyle w:val="FootnoteReference"/>
        </w:rPr>
        <w:footnoteReference w:id="15"/>
      </w:r>
      <w:r w:rsidRPr="001A282C" w:rsidR="003962E5">
        <w:t xml:space="preserve">  </w:t>
      </w:r>
      <w:r w:rsidRPr="001A282C" w:rsidR="00B72E4B">
        <w:t xml:space="preserve">The designated frequency coordination period will start five days before each venue’s initial match and conclude one day after each venue’s last match so that </w:t>
      </w:r>
      <w:r w:rsidRPr="001A282C" w:rsidR="000D1094">
        <w:rPr>
          <w:snapToGrid/>
          <w:kern w:val="0"/>
        </w:rPr>
        <w:t>FWC</w:t>
      </w:r>
      <w:r w:rsidRPr="001A282C" w:rsidR="001A282C">
        <w:rPr>
          <w:snapToGrid/>
          <w:kern w:val="0"/>
        </w:rPr>
        <w:t xml:space="preserve"> </w:t>
      </w:r>
      <w:r w:rsidRPr="001A282C" w:rsidR="000D1094">
        <w:rPr>
          <w:snapToGrid/>
          <w:kern w:val="0"/>
        </w:rPr>
        <w:t xml:space="preserve">2026 </w:t>
      </w:r>
      <w:r w:rsidRPr="001A282C" w:rsidR="00B72E4B">
        <w:t xml:space="preserve">can prepare the RF environment </w:t>
      </w:r>
      <w:r w:rsidRPr="001A282C" w:rsidR="00901166">
        <w:t>to</w:t>
      </w:r>
      <w:r w:rsidRPr="001A282C" w:rsidR="00B72E4B">
        <w:t xml:space="preserve"> ensure spectrum readiness before matches begin and </w:t>
      </w:r>
      <w:r w:rsidRPr="001A282C" w:rsidR="00901166">
        <w:t xml:space="preserve">can oversee </w:t>
      </w:r>
      <w:r w:rsidRPr="001A282C" w:rsidR="00B72E4B">
        <w:t>a controlled shutdown of the venue</w:t>
      </w:r>
      <w:r w:rsidRPr="001A282C" w:rsidR="00BA69C8">
        <w:t>s</w:t>
      </w:r>
      <w:r w:rsidRPr="001A282C" w:rsidR="00B72E4B">
        <w:t>.</w:t>
      </w:r>
      <w:r>
        <w:rPr>
          <w:rStyle w:val="FootnoteReference"/>
        </w:rPr>
        <w:footnoteReference w:id="16"/>
      </w:r>
      <w:r w:rsidRPr="001A282C" w:rsidR="00FA33FE">
        <w:t xml:space="preserve">  </w:t>
      </w:r>
      <w:r w:rsidRPr="001A282C" w:rsidR="00DC66F5">
        <w:t>T</w:t>
      </w:r>
      <w:r w:rsidRPr="001A282C" w:rsidR="003962E5">
        <w:t xml:space="preserve">his designation will </w:t>
      </w:r>
      <w:r w:rsidRPr="001A282C" w:rsidR="00FA33FE">
        <w:t xml:space="preserve">also </w:t>
      </w:r>
      <w:r w:rsidRPr="001A282C" w:rsidR="003962E5">
        <w:t>allow for advance</w:t>
      </w:r>
      <w:r w:rsidRPr="008C1A56" w:rsidR="003962E5">
        <w:t xml:space="preserve"> coordination of </w:t>
      </w:r>
      <w:r w:rsidRPr="00E501FE" w:rsidR="00E501FE">
        <w:t xml:space="preserve">auxiliary broadcast frequency usage in the designated areas. </w:t>
      </w:r>
      <w:r w:rsidR="003229AF">
        <w:t xml:space="preserve"> </w:t>
      </w:r>
      <w:r w:rsidRPr="00E501FE" w:rsidR="00E501FE">
        <w:t xml:space="preserve">To minimize harmful interference, all Parts 74, 78 and 101 licensees sharing spectrum available under Part 74 of the Commission’s </w:t>
      </w:r>
      <w:r w:rsidR="0042663C">
        <w:t>r</w:t>
      </w:r>
      <w:r w:rsidRPr="00E501FE" w:rsidR="00E501FE">
        <w:t>ules and operating in the designated area</w:t>
      </w:r>
      <w:r w:rsidR="001C0D05">
        <w:t>s</w:t>
      </w:r>
      <w:r w:rsidRPr="00E501FE" w:rsidR="00E501FE">
        <w:t xml:space="preserve"> are covered by this action.</w:t>
      </w:r>
    </w:p>
    <w:p w:rsidR="0078327E" w:rsidP="0078327E" w14:paraId="4D864F03" w14:textId="77777777"/>
    <w:p w:rsidR="0078327E" w:rsidP="00AA3EBC" w14:paraId="34921044" w14:textId="32EEF339">
      <w:pPr>
        <w:widowControl/>
        <w:ind w:firstLine="720"/>
      </w:pPr>
      <w:r w:rsidRPr="001A282C">
        <w:t xml:space="preserve">Mr. Libin can be reached for the purposes of frequency coordination by phone at (516) 374-6700 or by email at </w:t>
      </w:r>
      <w:hyperlink r:id="rId6" w:history="1">
        <w:r w:rsidRPr="001A282C">
          <w:rPr>
            <w:rStyle w:val="Hyperlink"/>
          </w:rPr>
          <w:t>louislibin@broad-comm.com</w:t>
        </w:r>
      </w:hyperlink>
      <w:r w:rsidRPr="001A282C">
        <w:t>.  Mr. Libin</w:t>
      </w:r>
      <w:r w:rsidRPr="008C40A1">
        <w:t xml:space="preserve"> will provide assistance and database access to all local and non-local Part 74 licensees, </w:t>
      </w:r>
      <w:r>
        <w:t>as well as</w:t>
      </w:r>
      <w:r w:rsidRPr="008C40A1">
        <w:t xml:space="preserve"> Part 78 and 101 licensees authorized to share spectrum available under Part 74 in the designated areas, for temporary fixed, mobile, and portable installations.  </w:t>
      </w:r>
    </w:p>
    <w:p w:rsidR="0078327E" w:rsidP="0078327E" w14:paraId="6286C2F0" w14:textId="77777777"/>
    <w:p w:rsidR="0078327E" w:rsidRPr="001A282C" w:rsidP="00AA3EBC" w14:paraId="66F160E7" w14:textId="35E55248">
      <w:pPr>
        <w:ind w:firstLine="720"/>
      </w:pPr>
      <w:bookmarkStart w:id="2" w:name="_Hlk41897696"/>
      <w:r w:rsidRPr="008C40A1">
        <w:t>In addition to the operations discussed above, we note the potential use of unlicensed next</w:t>
      </w:r>
      <w:r>
        <w:t>-</w:t>
      </w:r>
      <w:r w:rsidRPr="001A282C">
        <w:t xml:space="preserve">generation devices operating in TV white spaces.  </w:t>
      </w:r>
      <w:r w:rsidRPr="001A282C" w:rsidR="003B1428">
        <w:t>In 2013, t</w:t>
      </w:r>
      <w:r w:rsidRPr="001A282C">
        <w:t xml:space="preserve">he Commission established a White Spaces (WS) database to provide licensed BAS, and other protected spectrum users, a means for </w:t>
      </w:r>
      <w:r w:rsidRPr="001A282C" w:rsidR="00D34C15">
        <w:t xml:space="preserve">registering their operations for </w:t>
      </w:r>
      <w:r w:rsidRPr="001A282C">
        <w:t xml:space="preserve">protection from </w:t>
      </w:r>
      <w:r w:rsidR="00103493">
        <w:t xml:space="preserve">harmful </w:t>
      </w:r>
      <w:r w:rsidRPr="001A282C">
        <w:t>interference caused by the operation of these unlicensed devices.</w:t>
      </w:r>
      <w:r>
        <w:rPr>
          <w:rStyle w:val="FootnoteReference"/>
        </w:rPr>
        <w:footnoteReference w:id="17"/>
      </w:r>
      <w:r w:rsidRPr="001A282C">
        <w:t xml:space="preserve">  Registration in the WS database is only for protection from white space devices; the WS database does not provide coordination among BAS operations and is not a substitute for coordination through</w:t>
      </w:r>
      <w:r w:rsidRPr="001A282C" w:rsidR="001A282C">
        <w:t xml:space="preserve"> </w:t>
      </w:r>
      <w:r w:rsidRPr="001A282C" w:rsidR="00CD0DF5">
        <w:t>Mr.</w:t>
      </w:r>
      <w:r w:rsidRPr="001A282C" w:rsidR="00AB77DF">
        <w:t> </w:t>
      </w:r>
      <w:r w:rsidRPr="001A282C" w:rsidR="00CD0DF5">
        <w:t>Libin</w:t>
      </w:r>
      <w:r w:rsidRPr="001A282C">
        <w:t>.</w:t>
      </w:r>
    </w:p>
    <w:p w:rsidR="005C4A21" w:rsidRPr="001A282C" w:rsidP="0078327E" w14:paraId="6C756DCC" w14:textId="77777777"/>
    <w:bookmarkEnd w:id="2"/>
    <w:p w:rsidR="00853FFC" w:rsidRPr="001A282C" w:rsidP="00AA3EBC" w14:paraId="1D40F301" w14:textId="5EF81F96">
      <w:pPr>
        <w:ind w:firstLine="720"/>
      </w:pPr>
      <w:r w:rsidRPr="001A282C">
        <w:rPr>
          <w:snapToGrid/>
          <w:kern w:val="0"/>
        </w:rPr>
        <w:t>FWC</w:t>
      </w:r>
      <w:r w:rsidRPr="001A282C" w:rsidR="001A282C">
        <w:rPr>
          <w:snapToGrid/>
          <w:kern w:val="0"/>
        </w:rPr>
        <w:t xml:space="preserve"> </w:t>
      </w:r>
      <w:r w:rsidRPr="001A282C">
        <w:rPr>
          <w:snapToGrid/>
          <w:kern w:val="0"/>
        </w:rPr>
        <w:t xml:space="preserve">2026 </w:t>
      </w:r>
      <w:r w:rsidRPr="001A282C" w:rsidR="00CD0DF5">
        <w:t>also requests that</w:t>
      </w:r>
      <w:r w:rsidRPr="001A282C" w:rsidR="003566E5">
        <w:t>, to the extent necessary,</w:t>
      </w:r>
      <w:r w:rsidRPr="001A282C" w:rsidR="00CD0DF5">
        <w:t xml:space="preserve"> the Commission grant a waiver of the distance-separation requirement of section 74.802 of the Commission’s rules</w:t>
      </w:r>
      <w:r w:rsidRPr="001A282C" w:rsidR="00CD0DF5">
        <w:rPr>
          <w:szCs w:val="22"/>
        </w:rPr>
        <w:t>,</w:t>
      </w:r>
      <w:r w:rsidRPr="001A282C" w:rsidR="00CD0DF5">
        <w:t xml:space="preserve"> to permit the use of low power auxiliary stations</w:t>
      </w:r>
      <w:r w:rsidR="0093683D">
        <w:t xml:space="preserve"> (LPAS)</w:t>
      </w:r>
      <w:r w:rsidRPr="001A282C" w:rsidR="00CD0DF5">
        <w:t xml:space="preserve">, not to exceed </w:t>
      </w:r>
      <w:r w:rsidRPr="001A282C" w:rsidR="00456B65">
        <w:t xml:space="preserve">1 </w:t>
      </w:r>
      <w:r w:rsidRPr="001A282C" w:rsidR="00CD0DF5">
        <w:t xml:space="preserve">watt of power on channels allocated for TV broadcasting where the nearest operating </w:t>
      </w:r>
      <w:r w:rsidRPr="001A282C" w:rsidR="00311C69">
        <w:t xml:space="preserve">television </w:t>
      </w:r>
      <w:r w:rsidRPr="001A282C" w:rsidR="00CD0DF5">
        <w:t xml:space="preserve">station </w:t>
      </w:r>
      <w:r w:rsidRPr="001A282C" w:rsidR="00311C69">
        <w:t xml:space="preserve">transmitter </w:t>
      </w:r>
      <w:r w:rsidRPr="001A282C" w:rsidR="00CD0DF5">
        <w:t xml:space="preserve">is located at least 40 kilometers from the event </w:t>
      </w:r>
      <w:r w:rsidRPr="001A282C" w:rsidR="00311C69">
        <w:t xml:space="preserve">venues </w:t>
      </w:r>
      <w:r w:rsidRPr="001A282C" w:rsidR="00054E4A">
        <w:t>listed in Attachment A</w:t>
      </w:r>
      <w:r w:rsidRPr="001A282C" w:rsidR="00CD0DF5">
        <w:t>.</w:t>
      </w:r>
      <w:r>
        <w:rPr>
          <w:rStyle w:val="FootnoteReference"/>
        </w:rPr>
        <w:footnoteReference w:id="18"/>
      </w:r>
      <w:r w:rsidRPr="001A282C" w:rsidR="0082271A">
        <w:t xml:space="preserve">  </w:t>
      </w:r>
      <w:r w:rsidRPr="001A282C" w:rsidR="00892C74">
        <w:t xml:space="preserve">Similarly, </w:t>
      </w:r>
      <w:r w:rsidRPr="001A282C" w:rsidR="00AB77DF">
        <w:rPr>
          <w:snapToGrid/>
          <w:kern w:val="0"/>
        </w:rPr>
        <w:t>FWC</w:t>
      </w:r>
      <w:r w:rsidRPr="001A282C" w:rsidR="001A282C">
        <w:rPr>
          <w:snapToGrid/>
          <w:kern w:val="0"/>
        </w:rPr>
        <w:t xml:space="preserve"> </w:t>
      </w:r>
      <w:r w:rsidRPr="001A282C" w:rsidR="00AB77DF">
        <w:rPr>
          <w:snapToGrid/>
          <w:kern w:val="0"/>
        </w:rPr>
        <w:t xml:space="preserve">2026 </w:t>
      </w:r>
      <w:r w:rsidRPr="001A282C" w:rsidR="009F27E1">
        <w:t xml:space="preserve">requests that the Commission grant a waiver of </w:t>
      </w:r>
      <w:r w:rsidRPr="001A282C" w:rsidR="00C05311">
        <w:t>section 74.</w:t>
      </w:r>
      <w:r w:rsidRPr="001A282C" w:rsidR="008551B3">
        <w:t>861,</w:t>
      </w:r>
      <w:r>
        <w:rPr>
          <w:rStyle w:val="FootnoteReference"/>
        </w:rPr>
        <w:footnoteReference w:id="19"/>
      </w:r>
      <w:r w:rsidRPr="001A282C" w:rsidR="008551B3">
        <w:t xml:space="preserve"> </w:t>
      </w:r>
      <w:r w:rsidRPr="001A282C" w:rsidR="004F7B9F">
        <w:t xml:space="preserve">which </w:t>
      </w:r>
      <w:r w:rsidRPr="001A282C" w:rsidR="00E27404">
        <w:t>limits the power</w:t>
      </w:r>
      <w:r w:rsidRPr="001A282C" w:rsidR="004F7B9F">
        <w:t xml:space="preserve"> </w:t>
      </w:r>
      <w:r w:rsidRPr="001A282C" w:rsidR="00202353">
        <w:t>f</w:t>
      </w:r>
      <w:r w:rsidRPr="001A282C" w:rsidR="00446221">
        <w:t xml:space="preserve">or </w:t>
      </w:r>
      <w:r w:rsidR="0093683D">
        <w:t>LPAS</w:t>
      </w:r>
      <w:r w:rsidRPr="001A282C" w:rsidR="00446221">
        <w:t xml:space="preserve"> operating in the 600 MHz duplex gap and the bands allocated for TV broadcasting</w:t>
      </w:r>
      <w:r w:rsidRPr="001A282C" w:rsidR="00980955">
        <w:t>.</w:t>
      </w:r>
      <w:r>
        <w:rPr>
          <w:rStyle w:val="FootnoteReference"/>
        </w:rPr>
        <w:footnoteReference w:id="20"/>
      </w:r>
    </w:p>
    <w:p w:rsidR="00853FFC" w:rsidRPr="001A282C" w:rsidP="00AC5ABF" w14:paraId="0B14E979" w14:textId="77777777"/>
    <w:p w:rsidR="007A7919" w:rsidP="00AA3EBC" w14:paraId="2F15F500" w14:textId="783BD68C">
      <w:pPr>
        <w:ind w:firstLine="720"/>
      </w:pPr>
      <w:r w:rsidRPr="001A282C">
        <w:rPr>
          <w:snapToGrid/>
          <w:kern w:val="0"/>
        </w:rPr>
        <w:t>FWC</w:t>
      </w:r>
      <w:r w:rsidRPr="001A282C" w:rsidR="001A282C">
        <w:rPr>
          <w:snapToGrid/>
          <w:kern w:val="0"/>
        </w:rPr>
        <w:t xml:space="preserve"> </w:t>
      </w:r>
      <w:r w:rsidRPr="001A282C">
        <w:rPr>
          <w:snapToGrid/>
          <w:kern w:val="0"/>
        </w:rPr>
        <w:t xml:space="preserve">2026 </w:t>
      </w:r>
      <w:r w:rsidRPr="001A282C" w:rsidR="00723F0E">
        <w:t xml:space="preserve">requests </w:t>
      </w:r>
      <w:r w:rsidRPr="001A282C" w:rsidR="00243D4A">
        <w:t>th</w:t>
      </w:r>
      <w:r w:rsidRPr="001A282C" w:rsidR="001259D0">
        <w:t>e</w:t>
      </w:r>
      <w:r w:rsidRPr="001A282C" w:rsidR="00723F0E">
        <w:t>se</w:t>
      </w:r>
      <w:r w:rsidRPr="001A282C">
        <w:t xml:space="preserve"> waiver</w:t>
      </w:r>
      <w:r w:rsidRPr="001A282C" w:rsidR="00723F0E">
        <w:t>s</w:t>
      </w:r>
      <w:r w:rsidRPr="001A282C">
        <w:t xml:space="preserve"> </w:t>
      </w:r>
      <w:r w:rsidR="00FE75F5">
        <w:t xml:space="preserve">to </w:t>
      </w:r>
      <w:r w:rsidRPr="001A282C">
        <w:t>“accommodate specialized equipment required for reliable and robust operations in large, open-air stadium environments</w:t>
      </w:r>
      <w:r w:rsidRPr="001A282C" w:rsidR="00BD3CDF">
        <w:t>,</w:t>
      </w:r>
      <w:r w:rsidRPr="001A282C">
        <w:t>”</w:t>
      </w:r>
      <w:r w:rsidRPr="001A282C" w:rsidR="00A107D9">
        <w:rPr>
          <w:rStyle w:val="FootnoteReference"/>
        </w:rPr>
        <w:t xml:space="preserve"> </w:t>
      </w:r>
      <w:r w:rsidRPr="001A282C" w:rsidR="00C975B1">
        <w:t>i</w:t>
      </w:r>
      <w:r w:rsidRPr="001A282C" w:rsidR="00BD3CDF">
        <w:t xml:space="preserve">ncluding equipment </w:t>
      </w:r>
      <w:r w:rsidRPr="001A282C">
        <w:t>necessary to support international broadcast systems, in-stadium long-range coordination, wireless intercoms, and public safety communications.</w:t>
      </w:r>
      <w:r>
        <w:rPr>
          <w:rStyle w:val="FootnoteReference"/>
        </w:rPr>
        <w:footnoteReference w:id="21"/>
      </w:r>
      <w:r w:rsidRPr="001A282C">
        <w:t xml:space="preserve">  </w:t>
      </w:r>
      <w:r w:rsidRPr="001A282C">
        <w:rPr>
          <w:snapToGrid/>
          <w:kern w:val="0"/>
        </w:rPr>
        <w:t>FWC</w:t>
      </w:r>
      <w:r w:rsidRPr="001A282C" w:rsidR="001A282C">
        <w:rPr>
          <w:snapToGrid/>
          <w:kern w:val="0"/>
        </w:rPr>
        <w:t xml:space="preserve"> </w:t>
      </w:r>
      <w:r w:rsidRPr="001A282C">
        <w:rPr>
          <w:snapToGrid/>
          <w:kern w:val="0"/>
        </w:rPr>
        <w:t xml:space="preserve">2026 </w:t>
      </w:r>
      <w:r w:rsidRPr="001A282C" w:rsidR="002F67AB">
        <w:t xml:space="preserve">states that </w:t>
      </w:r>
      <w:r w:rsidRPr="001A282C" w:rsidR="00EE015C">
        <w:t xml:space="preserve">detailed </w:t>
      </w:r>
      <w:r w:rsidRPr="001A282C" w:rsidR="00563E16">
        <w:t xml:space="preserve">on-site spectrum analysis and related spectrum measurements </w:t>
      </w:r>
      <w:r w:rsidR="002125FC">
        <w:t>have been completed “at each venue,” and commits to further</w:t>
      </w:r>
      <w:r w:rsidR="00137E8E">
        <w:t xml:space="preserve"> detailed on-site analysis at all</w:t>
      </w:r>
      <w:r w:rsidRPr="001A282C" w:rsidR="00563E16">
        <w:t xml:space="preserve"> identified locations to ensure interference-free operations</w:t>
      </w:r>
      <w:r w:rsidRPr="001A282C" w:rsidR="00F1420C">
        <w:t>.</w:t>
      </w:r>
      <w:r>
        <w:rPr>
          <w:rStyle w:val="FootnoteReference"/>
        </w:rPr>
        <w:footnoteReference w:id="22"/>
      </w:r>
      <w:r w:rsidRPr="001A282C" w:rsidR="00F1420C">
        <w:t xml:space="preserve">  </w:t>
      </w:r>
      <w:r w:rsidRPr="001A282C">
        <w:rPr>
          <w:snapToGrid/>
          <w:kern w:val="0"/>
        </w:rPr>
        <w:t>FWC</w:t>
      </w:r>
      <w:r w:rsidR="001A282C">
        <w:rPr>
          <w:snapToGrid/>
          <w:kern w:val="0"/>
        </w:rPr>
        <w:t> </w:t>
      </w:r>
      <w:r w:rsidRPr="001A282C">
        <w:rPr>
          <w:snapToGrid/>
          <w:kern w:val="0"/>
        </w:rPr>
        <w:t xml:space="preserve">2026 </w:t>
      </w:r>
      <w:r w:rsidRPr="001A282C" w:rsidR="00231E85">
        <w:t xml:space="preserve">further commits </w:t>
      </w:r>
      <w:r w:rsidR="00610CE4">
        <w:t>to coordinating</w:t>
      </w:r>
      <w:r w:rsidRPr="001A282C" w:rsidR="00610CE4">
        <w:t xml:space="preserve"> </w:t>
      </w:r>
      <w:r w:rsidRPr="001A282C" w:rsidR="00231E85">
        <w:t xml:space="preserve">all frequencies </w:t>
      </w:r>
      <w:r w:rsidRPr="001A282C" w:rsidR="00670B49">
        <w:t>used for LPAS</w:t>
      </w:r>
      <w:r w:rsidR="00E0077D">
        <w:t xml:space="preserve"> </w:t>
      </w:r>
      <w:r w:rsidRPr="001A282C" w:rsidR="00042594">
        <w:t xml:space="preserve">with existing authorized licenses, and </w:t>
      </w:r>
      <w:r w:rsidR="00610CE4">
        <w:t>to using</w:t>
      </w:r>
      <w:r w:rsidRPr="001A282C" w:rsidR="00610CE4">
        <w:t xml:space="preserve"> </w:t>
      </w:r>
      <w:r w:rsidRPr="001A282C" w:rsidR="00042594">
        <w:t xml:space="preserve">frequency coordination and interference mitigation protocols to </w:t>
      </w:r>
      <w:r w:rsidRPr="001A282C" w:rsidR="00FE1880">
        <w:t xml:space="preserve">protect primary </w:t>
      </w:r>
      <w:r w:rsidRPr="001A282C" w:rsidR="00EF36A6">
        <w:t>and</w:t>
      </w:r>
      <w:r w:rsidRPr="001A282C" w:rsidR="00FE1880">
        <w:t xml:space="preserve"> co-channel users from harmful interference.</w:t>
      </w:r>
      <w:r>
        <w:rPr>
          <w:rStyle w:val="FootnoteReference"/>
        </w:rPr>
        <w:footnoteReference w:id="23"/>
      </w:r>
      <w:r w:rsidRPr="001A282C" w:rsidR="00FE1880">
        <w:t xml:space="preserve">  </w:t>
      </w:r>
      <w:r w:rsidRPr="001A282C">
        <w:rPr>
          <w:snapToGrid/>
          <w:kern w:val="0"/>
        </w:rPr>
        <w:t>FWC</w:t>
      </w:r>
      <w:r w:rsidRPr="001A282C" w:rsidR="001A282C">
        <w:rPr>
          <w:snapToGrid/>
          <w:kern w:val="0"/>
        </w:rPr>
        <w:t xml:space="preserve"> </w:t>
      </w:r>
      <w:r w:rsidRPr="001A282C">
        <w:rPr>
          <w:snapToGrid/>
          <w:kern w:val="0"/>
        </w:rPr>
        <w:t xml:space="preserve">2026 </w:t>
      </w:r>
      <w:r w:rsidRPr="001A282C" w:rsidR="004303D9">
        <w:t>sta</w:t>
      </w:r>
      <w:r w:rsidRPr="001A282C" w:rsidR="000F1B39">
        <w:t xml:space="preserve">tes that </w:t>
      </w:r>
      <w:r w:rsidRPr="001A282C" w:rsidR="00871C61">
        <w:t>LPAS devices operating below 941.5 MHz will not exceed 250 milliwatts (</w:t>
      </w:r>
      <w:r w:rsidRPr="001A282C" w:rsidR="00871C61">
        <w:t>mW</w:t>
      </w:r>
      <w:r w:rsidRPr="001A282C" w:rsidR="00871C61">
        <w:t xml:space="preserve">) of </w:t>
      </w:r>
      <w:r w:rsidRPr="001A282C" w:rsidR="00DC7144">
        <w:t>conduct</w:t>
      </w:r>
      <w:r w:rsidRPr="001A282C" w:rsidR="00EB7288">
        <w:t>ed</w:t>
      </w:r>
      <w:r w:rsidRPr="001A282C" w:rsidR="00DC7144">
        <w:t xml:space="preserve"> </w:t>
      </w:r>
      <w:r w:rsidRPr="001A282C" w:rsidR="00871C61">
        <w:t>power</w:t>
      </w:r>
      <w:r w:rsidRPr="001A282C" w:rsidR="00B41AD2">
        <w:t xml:space="preserve">, and that </w:t>
      </w:r>
      <w:r w:rsidRPr="001A282C" w:rsidR="00DD5360">
        <w:t xml:space="preserve">LPAS devices operating in the 941.5–960 MHz band will not exceed 1 watt (W) of </w:t>
      </w:r>
      <w:r w:rsidRPr="001A282C" w:rsidR="00EB7288">
        <w:t xml:space="preserve">conducted </w:t>
      </w:r>
      <w:r w:rsidRPr="001A282C" w:rsidR="00DD5360">
        <w:t>power.</w:t>
      </w:r>
      <w:r>
        <w:rPr>
          <w:rStyle w:val="FootnoteReference"/>
        </w:rPr>
        <w:footnoteReference w:id="24"/>
      </w:r>
    </w:p>
    <w:p w:rsidR="007A7919" w:rsidP="00E7225E" w14:paraId="496F2FFE" w14:textId="77777777"/>
    <w:p w:rsidR="00980955" w:rsidP="005B098E" w14:paraId="49021BDD" w14:textId="74416CCC">
      <w:pPr>
        <w:widowControl/>
        <w:ind w:firstLine="720"/>
      </w:pPr>
      <w:r w:rsidRPr="00243DA2">
        <w:t>FWC</w:t>
      </w:r>
      <w:r w:rsidRPr="00243DA2" w:rsidR="00243DA2">
        <w:t xml:space="preserve"> </w:t>
      </w:r>
      <w:r w:rsidRPr="00243DA2">
        <w:t xml:space="preserve">2026 </w:t>
      </w:r>
      <w:r w:rsidRPr="00243DA2" w:rsidR="00C44430">
        <w:t>confirms that</w:t>
      </w:r>
      <w:r w:rsidRPr="00243DA2" w:rsidR="002D1E6E">
        <w:t xml:space="preserve"> LPAS operations will </w:t>
      </w:r>
      <w:r w:rsidRPr="00243DA2" w:rsidR="00123EA5">
        <w:t>otherwise be in full</w:t>
      </w:r>
      <w:r w:rsidRPr="00243DA2" w:rsidR="00D60D9B">
        <w:t xml:space="preserve"> compliance with the </w:t>
      </w:r>
      <w:r w:rsidRPr="00243DA2">
        <w:t xml:space="preserve">technical standards outlined in </w:t>
      </w:r>
      <w:r w:rsidRPr="00243DA2" w:rsidR="00C44430">
        <w:t>the Commissi</w:t>
      </w:r>
      <w:r w:rsidRPr="00243DA2" w:rsidR="00DA1361">
        <w:t>o</w:t>
      </w:r>
      <w:r w:rsidRPr="00243DA2" w:rsidR="00C44430">
        <w:t>n’s rules (</w:t>
      </w:r>
      <w:r w:rsidRPr="00243DA2">
        <w:t>including</w:t>
      </w:r>
      <w:r w:rsidRPr="00243DA2" w:rsidR="00C44430">
        <w:t xml:space="preserve"> those relating to</w:t>
      </w:r>
      <w:r w:rsidRPr="00243DA2">
        <w:t xml:space="preserve"> emissions masks, spurious emissions, and modulation protocols</w:t>
      </w:r>
      <w:r w:rsidRPr="00243DA2" w:rsidR="00C44430">
        <w:t>)</w:t>
      </w:r>
      <w:r w:rsidRPr="00243DA2">
        <w:t>.</w:t>
      </w:r>
      <w:r>
        <w:rPr>
          <w:rStyle w:val="FootnoteReference"/>
        </w:rPr>
        <w:footnoteReference w:id="25"/>
      </w:r>
      <w:r w:rsidRPr="00243DA2">
        <w:t xml:space="preserve"> </w:t>
      </w:r>
      <w:r w:rsidRPr="00243DA2" w:rsidR="00C44430">
        <w:t xml:space="preserve"> </w:t>
      </w:r>
      <w:r w:rsidRPr="00243DA2">
        <w:rPr>
          <w:snapToGrid/>
          <w:kern w:val="0"/>
        </w:rPr>
        <w:t>FWC</w:t>
      </w:r>
      <w:r w:rsidRPr="00243DA2" w:rsidR="00243DA2">
        <w:rPr>
          <w:snapToGrid/>
          <w:kern w:val="0"/>
        </w:rPr>
        <w:t xml:space="preserve"> </w:t>
      </w:r>
      <w:r w:rsidRPr="00243DA2">
        <w:rPr>
          <w:snapToGrid/>
          <w:kern w:val="0"/>
        </w:rPr>
        <w:t xml:space="preserve">2026 </w:t>
      </w:r>
      <w:r w:rsidRPr="00243DA2" w:rsidR="00C44430">
        <w:t>further</w:t>
      </w:r>
      <w:r w:rsidRPr="00243DA2">
        <w:t xml:space="preserve"> commits to field testing during the five days </w:t>
      </w:r>
      <w:r w:rsidRPr="00243DA2">
        <w:t xml:space="preserve">leading up to the first match at a </w:t>
      </w:r>
      <w:r w:rsidRPr="00243DA2" w:rsidR="0014383A">
        <w:t>v</w:t>
      </w:r>
      <w:r w:rsidRPr="00243DA2">
        <w:t>enue, and one day prior</w:t>
      </w:r>
      <w:r w:rsidRPr="000A07BC">
        <w:t xml:space="preserve"> to each match, confirming that emissions remain within safe and non-interfering parameters.</w:t>
      </w:r>
      <w:r>
        <w:rPr>
          <w:rStyle w:val="FootnoteReference"/>
        </w:rPr>
        <w:footnoteReference w:id="26"/>
      </w:r>
      <w:r w:rsidRPr="00871C61" w:rsidR="00871C61">
        <w:t xml:space="preserve"> </w:t>
      </w:r>
    </w:p>
    <w:p w:rsidR="00980955" w:rsidP="0078327E" w14:paraId="330E50C9" w14:textId="77777777">
      <w:pPr>
        <w:widowControl/>
        <w:autoSpaceDE w:val="0"/>
        <w:autoSpaceDN w:val="0"/>
        <w:adjustRightInd w:val="0"/>
      </w:pPr>
    </w:p>
    <w:p w:rsidR="0078327E" w:rsidRPr="0036199B" w:rsidP="00AA3EBC" w14:paraId="33366872" w14:textId="1BFBC1CB">
      <w:pPr>
        <w:widowControl/>
        <w:ind w:firstLine="720"/>
        <w:rPr>
          <w:b/>
          <w:bCs/>
        </w:rPr>
      </w:pPr>
      <w:r w:rsidRPr="00243DA2">
        <w:rPr>
          <w:snapToGrid/>
          <w:kern w:val="0"/>
        </w:rPr>
        <w:t>FWC</w:t>
      </w:r>
      <w:r w:rsidRPr="00243DA2" w:rsidR="00243DA2">
        <w:rPr>
          <w:snapToGrid/>
          <w:kern w:val="0"/>
        </w:rPr>
        <w:t xml:space="preserve"> </w:t>
      </w:r>
      <w:r w:rsidRPr="00243DA2">
        <w:rPr>
          <w:snapToGrid/>
          <w:kern w:val="0"/>
        </w:rPr>
        <w:t>2026’s</w:t>
      </w:r>
      <w:r w:rsidRPr="00243DA2" w:rsidR="002B2BAF">
        <w:rPr>
          <w:snapToGrid/>
          <w:kern w:val="0"/>
        </w:rPr>
        <w:t xml:space="preserve"> </w:t>
      </w:r>
      <w:r w:rsidRPr="00243DA2" w:rsidR="00754688">
        <w:t xml:space="preserve">request </w:t>
      </w:r>
      <w:r w:rsidRPr="00243DA2">
        <w:t>for relief</w:t>
      </w:r>
      <w:r w:rsidRPr="00243DA2" w:rsidR="00754688">
        <w:t xml:space="preserve"> is similar </w:t>
      </w:r>
      <w:r w:rsidRPr="00243DA2" w:rsidR="0036199B">
        <w:t xml:space="preserve">to </w:t>
      </w:r>
      <w:r w:rsidRPr="00243DA2" w:rsidR="00754688">
        <w:t>re</w:t>
      </w:r>
      <w:r w:rsidRPr="00243DA2" w:rsidR="00E011F4">
        <w:t>quests</w:t>
      </w:r>
      <w:r w:rsidRPr="00243DA2" w:rsidR="00754688">
        <w:t xml:space="preserve"> </w:t>
      </w:r>
      <w:r w:rsidRPr="00243DA2" w:rsidR="0036199B">
        <w:t xml:space="preserve">that WTB and MB have </w:t>
      </w:r>
      <w:r w:rsidRPr="00243DA2" w:rsidR="00E011F4">
        <w:t>previously</w:t>
      </w:r>
      <w:r w:rsidRPr="00243DA2" w:rsidR="0036199B">
        <w:t xml:space="preserve"> granted </w:t>
      </w:r>
      <w:r w:rsidRPr="00243DA2" w:rsidR="00754688">
        <w:t>for</w:t>
      </w:r>
      <w:r w:rsidR="00A15A0D">
        <w:t xml:space="preserve"> events such as</w:t>
      </w:r>
      <w:r w:rsidRPr="00243DA2" w:rsidR="00754688">
        <w:t xml:space="preserve"> </w:t>
      </w:r>
      <w:r w:rsidR="00575CCE">
        <w:t>n</w:t>
      </w:r>
      <w:r w:rsidRPr="00243DA2" w:rsidR="00754688">
        <w:t xml:space="preserve">ational </w:t>
      </w:r>
      <w:r w:rsidR="00575CCE">
        <w:t>political</w:t>
      </w:r>
      <w:r w:rsidRPr="00243DA2" w:rsidR="00754688">
        <w:t xml:space="preserve"> </w:t>
      </w:r>
      <w:r w:rsidR="00575CCE">
        <w:t>c</w:t>
      </w:r>
      <w:r w:rsidRPr="00243DA2" w:rsidR="00754688">
        <w:t xml:space="preserve">onventions, </w:t>
      </w:r>
      <w:r w:rsidR="00575CCE">
        <w:t>p</w:t>
      </w:r>
      <w:r w:rsidRPr="00243DA2" w:rsidR="00754688">
        <w:t xml:space="preserve">residential </w:t>
      </w:r>
      <w:r w:rsidR="00575CCE">
        <w:t>i</w:t>
      </w:r>
      <w:r w:rsidRPr="00243DA2" w:rsidR="00754688">
        <w:t xml:space="preserve">naugurations, </w:t>
      </w:r>
      <w:r w:rsidR="00A15A0D">
        <w:t xml:space="preserve">the </w:t>
      </w:r>
      <w:r w:rsidRPr="00243DA2" w:rsidR="00754688">
        <w:t>Olympic Games</w:t>
      </w:r>
      <w:r w:rsidR="009668E5">
        <w:t>, and the</w:t>
      </w:r>
      <w:r w:rsidR="00A15A0D">
        <w:t xml:space="preserve"> CWC25</w:t>
      </w:r>
      <w:r w:rsidRPr="00243DA2" w:rsidR="00754688">
        <w:t>.</w:t>
      </w:r>
      <w:r>
        <w:rPr>
          <w:rStyle w:val="FootnoteReference"/>
        </w:rPr>
        <w:footnoteReference w:id="27"/>
      </w:r>
      <w:r w:rsidRPr="00243DA2" w:rsidR="00754688">
        <w:t xml:space="preserve">  </w:t>
      </w:r>
      <w:r w:rsidR="0094533A">
        <w:t>G</w:t>
      </w:r>
      <w:r w:rsidRPr="00243DA2" w:rsidR="00DC2AA5">
        <w:rPr>
          <w:snapToGrid/>
          <w:kern w:val="0"/>
        </w:rPr>
        <w:t>iven the planning measures</w:t>
      </w:r>
      <w:r w:rsidRPr="00243DA2" w:rsidR="004830EA">
        <w:rPr>
          <w:snapToGrid/>
          <w:kern w:val="0"/>
        </w:rPr>
        <w:t>,</w:t>
      </w:r>
      <w:r w:rsidRPr="00243DA2" w:rsidR="00DC2AA5">
        <w:rPr>
          <w:snapToGrid/>
          <w:kern w:val="0"/>
        </w:rPr>
        <w:t xml:space="preserve"> </w:t>
      </w:r>
      <w:r w:rsidRPr="00243DA2" w:rsidR="003B4333">
        <w:rPr>
          <w:snapToGrid/>
          <w:kern w:val="0"/>
        </w:rPr>
        <w:t>coordination</w:t>
      </w:r>
      <w:r w:rsidRPr="00243DA2" w:rsidR="004830EA">
        <w:rPr>
          <w:snapToGrid/>
          <w:kern w:val="0"/>
        </w:rPr>
        <w:t>,</w:t>
      </w:r>
      <w:r w:rsidRPr="00243DA2" w:rsidR="003B4333">
        <w:rPr>
          <w:snapToGrid/>
          <w:kern w:val="0"/>
        </w:rPr>
        <w:t xml:space="preserve"> and mitigation </w:t>
      </w:r>
      <w:r w:rsidRPr="00243DA2" w:rsidR="00DC2AA5">
        <w:rPr>
          <w:snapToGrid/>
          <w:kern w:val="0"/>
        </w:rPr>
        <w:t>commitments</w:t>
      </w:r>
      <w:r w:rsidRPr="00243DA2" w:rsidR="003B4333">
        <w:rPr>
          <w:snapToGrid/>
          <w:kern w:val="0"/>
        </w:rPr>
        <w:t xml:space="preserve"> that FWC</w:t>
      </w:r>
      <w:r w:rsidRPr="00243DA2" w:rsidR="00243DA2">
        <w:rPr>
          <w:snapToGrid/>
          <w:kern w:val="0"/>
        </w:rPr>
        <w:t xml:space="preserve"> </w:t>
      </w:r>
      <w:r w:rsidRPr="00243DA2" w:rsidR="003B4333">
        <w:rPr>
          <w:snapToGrid/>
          <w:kern w:val="0"/>
        </w:rPr>
        <w:t>2026</w:t>
      </w:r>
      <w:r w:rsidRPr="00243DA2" w:rsidR="00B16473">
        <w:rPr>
          <w:snapToGrid/>
          <w:kern w:val="0"/>
        </w:rPr>
        <w:t xml:space="preserve"> has</w:t>
      </w:r>
      <w:r w:rsidRPr="00243DA2" w:rsidR="003B4333">
        <w:rPr>
          <w:snapToGrid/>
          <w:kern w:val="0"/>
        </w:rPr>
        <w:t xml:space="preserve"> </w:t>
      </w:r>
      <w:r w:rsidRPr="00243DA2" w:rsidR="00B13A79">
        <w:rPr>
          <w:snapToGrid/>
          <w:kern w:val="0"/>
        </w:rPr>
        <w:t>undertake</w:t>
      </w:r>
      <w:r w:rsidRPr="00243DA2" w:rsidR="00B16473">
        <w:rPr>
          <w:snapToGrid/>
          <w:kern w:val="0"/>
        </w:rPr>
        <w:t>n</w:t>
      </w:r>
      <w:r w:rsidRPr="00243DA2" w:rsidR="00DC2AA5">
        <w:rPr>
          <w:snapToGrid/>
          <w:kern w:val="0"/>
        </w:rPr>
        <w:t>, we do not anticipate that grant</w:t>
      </w:r>
      <w:r w:rsidRPr="00243DA2" w:rsidR="00580E3E">
        <w:rPr>
          <w:snapToGrid/>
          <w:kern w:val="0"/>
        </w:rPr>
        <w:t>ing</w:t>
      </w:r>
      <w:r w:rsidRPr="00243DA2" w:rsidR="00DC2AA5">
        <w:rPr>
          <w:snapToGrid/>
          <w:kern w:val="0"/>
        </w:rPr>
        <w:t xml:space="preserve"> the requested relief will result in harmful interference between low power auxiliary operations at the </w:t>
      </w:r>
      <w:r w:rsidRPr="00243DA2" w:rsidR="00A90463">
        <w:rPr>
          <w:snapToGrid/>
          <w:kern w:val="0"/>
        </w:rPr>
        <w:t>venues</w:t>
      </w:r>
      <w:r w:rsidRPr="00243DA2" w:rsidR="00DC2AA5">
        <w:rPr>
          <w:snapToGrid/>
          <w:kern w:val="0"/>
        </w:rPr>
        <w:t xml:space="preserve"> and TV broadcasting operations.</w:t>
      </w:r>
      <w:r>
        <w:rPr>
          <w:rStyle w:val="FootnoteReference"/>
          <w:snapToGrid/>
          <w:kern w:val="0"/>
        </w:rPr>
        <w:footnoteReference w:id="28"/>
      </w:r>
      <w:r w:rsidRPr="00243DA2" w:rsidR="00DC2AA5">
        <w:rPr>
          <w:snapToGrid/>
          <w:kern w:val="0"/>
        </w:rPr>
        <w:t xml:space="preserve">  </w:t>
      </w:r>
      <w:r w:rsidR="00E51734">
        <w:rPr>
          <w:snapToGrid/>
          <w:kern w:val="0"/>
        </w:rPr>
        <w:t>In addition</w:t>
      </w:r>
      <w:r w:rsidRPr="00243DA2" w:rsidR="00CD0DF5">
        <w:rPr>
          <w:snapToGrid/>
          <w:kern w:val="0"/>
        </w:rPr>
        <w:t xml:space="preserve">, </w:t>
      </w:r>
      <w:r w:rsidRPr="00243DA2" w:rsidR="00791E81">
        <w:rPr>
          <w:snapToGrid/>
          <w:kern w:val="0"/>
        </w:rPr>
        <w:t>FWC</w:t>
      </w:r>
      <w:r w:rsidRPr="00243DA2" w:rsidR="00243DA2">
        <w:rPr>
          <w:snapToGrid/>
          <w:kern w:val="0"/>
        </w:rPr>
        <w:t xml:space="preserve"> </w:t>
      </w:r>
      <w:r w:rsidRPr="00243DA2" w:rsidR="00791E81">
        <w:rPr>
          <w:snapToGrid/>
          <w:kern w:val="0"/>
        </w:rPr>
        <w:t>2026 will conduct a</w:t>
      </w:r>
      <w:r w:rsidRPr="00243DA2" w:rsidR="004D4884">
        <w:rPr>
          <w:snapToGrid/>
          <w:kern w:val="0"/>
        </w:rPr>
        <w:t>dditional spectrum measurements at each venue</w:t>
      </w:r>
      <w:r w:rsidRPr="00243DA2" w:rsidR="00037A95">
        <w:rPr>
          <w:snapToGrid/>
          <w:kern w:val="0"/>
        </w:rPr>
        <w:t>,</w:t>
      </w:r>
      <w:r w:rsidRPr="00243DA2" w:rsidR="004D4884">
        <w:rPr>
          <w:snapToGrid/>
          <w:kern w:val="0"/>
        </w:rPr>
        <w:t xml:space="preserve"> both prior to</w:t>
      </w:r>
      <w:r w:rsidRPr="00243DA2" w:rsidR="00037A95">
        <w:rPr>
          <w:snapToGrid/>
          <w:kern w:val="0"/>
        </w:rPr>
        <w:t>,</w:t>
      </w:r>
      <w:r w:rsidRPr="00243DA2" w:rsidR="004D4884">
        <w:rPr>
          <w:snapToGrid/>
          <w:kern w:val="0"/>
        </w:rPr>
        <w:t xml:space="preserve"> and during </w:t>
      </w:r>
      <w:r w:rsidRPr="00243DA2">
        <w:t>WC26</w:t>
      </w:r>
      <w:r w:rsidRPr="00243DA2" w:rsidR="00BE707A">
        <w:t>,</w:t>
      </w:r>
      <w:r w:rsidRPr="00243DA2" w:rsidR="00037A95">
        <w:t xml:space="preserve"> </w:t>
      </w:r>
      <w:r w:rsidRPr="00243DA2" w:rsidR="004D4884">
        <w:rPr>
          <w:snapToGrid/>
          <w:kern w:val="0"/>
        </w:rPr>
        <w:t>to help support interference-free performance and to enable the rapid identification and resolution of issues that may arise.</w:t>
      </w:r>
      <w:r>
        <w:rPr>
          <w:rStyle w:val="FootnoteReference"/>
          <w:snapToGrid/>
          <w:kern w:val="0"/>
        </w:rPr>
        <w:footnoteReference w:id="29"/>
      </w:r>
      <w:r w:rsidRPr="00243DA2" w:rsidR="00791E81">
        <w:rPr>
          <w:snapToGrid/>
          <w:kern w:val="0"/>
        </w:rPr>
        <w:t xml:space="preserve">  </w:t>
      </w:r>
      <w:r w:rsidRPr="00243DA2" w:rsidR="00B16ADD">
        <w:t xml:space="preserve">Accordingly, </w:t>
      </w:r>
      <w:r w:rsidRPr="00243DA2" w:rsidR="0022199E">
        <w:t xml:space="preserve">to </w:t>
      </w:r>
      <w:r w:rsidRPr="00243DA2" w:rsidR="00CD0DF5">
        <w:rPr>
          <w:snapToGrid/>
          <w:kern w:val="0"/>
        </w:rPr>
        <w:t xml:space="preserve">facilitate </w:t>
      </w:r>
      <w:r w:rsidRPr="00243DA2" w:rsidR="00B16ADD">
        <w:t xml:space="preserve">public safety and the operational integrity of </w:t>
      </w:r>
      <w:r w:rsidRPr="00243DA2" w:rsidR="00EA00E7">
        <w:t xml:space="preserve">this </w:t>
      </w:r>
      <w:r w:rsidRPr="00243DA2" w:rsidR="001052CC">
        <w:t xml:space="preserve">major </w:t>
      </w:r>
      <w:r w:rsidRPr="00243DA2" w:rsidR="00EA00E7">
        <w:t>international event</w:t>
      </w:r>
      <w:r w:rsidRPr="00243DA2" w:rsidR="0022199E">
        <w:t>, we grant the requested relief</w:t>
      </w:r>
      <w:r w:rsidRPr="00243DA2" w:rsidR="00DC2AA5">
        <w:t>.</w:t>
      </w:r>
    </w:p>
    <w:p w:rsidR="00B462E1" w:rsidRPr="008C40A1" w:rsidP="0078327E" w14:paraId="1DF51A7D" w14:textId="77777777"/>
    <w:p w:rsidR="0078327E" w:rsidRPr="008C40A1" w:rsidP="00AA3EBC" w14:paraId="38A73908" w14:textId="5B25FECB">
      <w:pPr>
        <w:ind w:firstLine="720"/>
      </w:pPr>
      <w:bookmarkStart w:id="3" w:name="_Hlk199431989"/>
      <w:r w:rsidRPr="008C40A1">
        <w:t>Action by Chiefs, Broadband Division, Wireless Telecommunications Bureau</w:t>
      </w:r>
      <w:r w:rsidR="00B408E4">
        <w:t>,</w:t>
      </w:r>
      <w:r w:rsidRPr="008C40A1">
        <w:t xml:space="preserve"> and </w:t>
      </w:r>
      <w:r>
        <w:t>Video</w:t>
      </w:r>
      <w:r w:rsidRPr="008C40A1">
        <w:t xml:space="preserve"> Division, Media Bureau</w:t>
      </w:r>
      <w:bookmarkEnd w:id="3"/>
      <w:r w:rsidRPr="008C40A1">
        <w:t xml:space="preserve">. </w:t>
      </w:r>
    </w:p>
    <w:p w:rsidR="0078327E" w:rsidRPr="008C40A1" w:rsidP="0078327E" w14:paraId="0243BB88" w14:textId="77777777"/>
    <w:p w:rsidR="000958AE" w:rsidP="000B63D6" w14:paraId="73ABC715" w14:textId="01FC3384">
      <w:pPr>
        <w:jc w:val="center"/>
        <w:rPr>
          <w:b/>
          <w:bCs/>
        </w:rPr>
      </w:pPr>
      <w:r w:rsidRPr="00B46A88">
        <w:rPr>
          <w:b/>
          <w:bCs/>
        </w:rPr>
        <w:t>- FCC -</w:t>
      </w:r>
    </w:p>
    <w:p w:rsidR="000958AE" w14:paraId="6EAC373B" w14:textId="4E5BA54D">
      <w:pPr>
        <w:widowControl/>
      </w:pPr>
      <w:r>
        <w:rPr>
          <w:b/>
          <w:bCs/>
        </w:rPr>
        <w:br w:type="page"/>
      </w:r>
    </w:p>
    <w:p w:rsidR="000958AE" w:rsidP="0078327E" w14:paraId="3E94D9CB" w14:textId="758A9277">
      <w:pPr>
        <w:jc w:val="center"/>
      </w:pPr>
      <w:r>
        <w:rPr>
          <w:b/>
          <w:bCs/>
        </w:rPr>
        <w:t>ATTACHMENT A</w:t>
      </w:r>
    </w:p>
    <w:p w:rsidR="0078327E" w:rsidRPr="00930ECF" w:rsidP="0078327E" w14:paraId="2ABE59EB" w14:textId="77777777"/>
    <w:tbl>
      <w:tblPr>
        <w:tblStyle w:val="TableGrid"/>
        <w:tblW w:w="9715" w:type="dxa"/>
        <w:jc w:val="center"/>
        <w:tblLook w:val="04A0"/>
      </w:tblPr>
      <w:tblGrid>
        <w:gridCol w:w="1870"/>
        <w:gridCol w:w="1870"/>
        <w:gridCol w:w="1870"/>
        <w:gridCol w:w="1870"/>
        <w:gridCol w:w="2235"/>
      </w:tblGrid>
      <w:tr w14:paraId="7A94B601" w14:textId="77777777" w:rsidTr="00E27404">
        <w:tblPrEx>
          <w:tblW w:w="9715" w:type="dxa"/>
          <w:jc w:val="center"/>
          <w:tblLook w:val="04A0"/>
        </w:tblPrEx>
        <w:trPr>
          <w:jc w:val="center"/>
        </w:trPr>
        <w:tc>
          <w:tcPr>
            <w:tcW w:w="1870" w:type="dxa"/>
            <w:vMerge w:val="restart"/>
            <w:shd w:val="clear" w:color="auto" w:fill="D1D1D1" w:themeFill="background2" w:themeFillShade="E6"/>
            <w:vAlign w:val="center"/>
          </w:tcPr>
          <w:bookmarkEnd w:id="0"/>
          <w:p w:rsidR="000704DE" w:rsidRPr="00FF3408" w:rsidP="0091723E" w14:paraId="3E65E62A" w14:textId="06AE4881">
            <w:pPr>
              <w:jc w:val="center"/>
              <w:rPr>
                <w:b/>
                <w:bCs/>
                <w:sz w:val="24"/>
              </w:rPr>
            </w:pPr>
            <w:r w:rsidRPr="00FF3408">
              <w:rPr>
                <w:b/>
                <w:bCs/>
                <w:sz w:val="24"/>
              </w:rPr>
              <w:t>Location</w:t>
            </w:r>
          </w:p>
        </w:tc>
        <w:tc>
          <w:tcPr>
            <w:tcW w:w="1870" w:type="dxa"/>
            <w:vMerge w:val="restart"/>
            <w:shd w:val="clear" w:color="auto" w:fill="D1D1D1" w:themeFill="background2" w:themeFillShade="E6"/>
            <w:vAlign w:val="center"/>
          </w:tcPr>
          <w:p w:rsidR="000704DE" w:rsidRPr="00FF3408" w:rsidP="002C2543" w14:paraId="663BBA96" w14:textId="1C60FAD4">
            <w:pPr>
              <w:jc w:val="center"/>
              <w:rPr>
                <w:b/>
                <w:bCs/>
                <w:sz w:val="24"/>
              </w:rPr>
            </w:pPr>
            <w:r w:rsidRPr="00FF3408">
              <w:rPr>
                <w:b/>
                <w:bCs/>
                <w:sz w:val="24"/>
              </w:rPr>
              <w:t>Venue</w:t>
            </w:r>
          </w:p>
        </w:tc>
        <w:tc>
          <w:tcPr>
            <w:tcW w:w="3740" w:type="dxa"/>
            <w:gridSpan w:val="2"/>
            <w:shd w:val="clear" w:color="auto" w:fill="D1D1D1" w:themeFill="background2" w:themeFillShade="E6"/>
          </w:tcPr>
          <w:p w:rsidR="000704DE" w:rsidRPr="00FF3408" w:rsidP="002C2543" w14:paraId="5E15FD91" w14:textId="4A7F6734">
            <w:pPr>
              <w:jc w:val="center"/>
              <w:rPr>
                <w:b/>
                <w:bCs/>
                <w:sz w:val="24"/>
              </w:rPr>
            </w:pPr>
            <w:r w:rsidRPr="00FF3408">
              <w:rPr>
                <w:b/>
                <w:bCs/>
                <w:sz w:val="24"/>
              </w:rPr>
              <w:t>Center Coordinates</w:t>
            </w:r>
          </w:p>
        </w:tc>
        <w:tc>
          <w:tcPr>
            <w:tcW w:w="2235" w:type="dxa"/>
            <w:vMerge w:val="restart"/>
            <w:shd w:val="clear" w:color="auto" w:fill="D1D1D1" w:themeFill="background2" w:themeFillShade="E6"/>
            <w:vAlign w:val="center"/>
          </w:tcPr>
          <w:p w:rsidR="000704DE" w:rsidRPr="00FF3408" w:rsidP="002C2543" w14:paraId="0CAD975E" w14:textId="7938AB63">
            <w:pPr>
              <w:jc w:val="center"/>
              <w:rPr>
                <w:b/>
                <w:bCs/>
                <w:sz w:val="24"/>
              </w:rPr>
            </w:pPr>
            <w:r w:rsidRPr="00FF3408">
              <w:rPr>
                <w:b/>
                <w:bCs/>
                <w:sz w:val="24"/>
              </w:rPr>
              <w:t>Dates</w:t>
            </w:r>
          </w:p>
        </w:tc>
      </w:tr>
      <w:tr w14:paraId="0948EE72" w14:textId="77777777" w:rsidTr="00E27404">
        <w:tblPrEx>
          <w:tblW w:w="9715" w:type="dxa"/>
          <w:jc w:val="center"/>
          <w:tblLook w:val="04A0"/>
        </w:tblPrEx>
        <w:trPr>
          <w:jc w:val="center"/>
        </w:trPr>
        <w:tc>
          <w:tcPr>
            <w:tcW w:w="1870" w:type="dxa"/>
            <w:vMerge/>
          </w:tcPr>
          <w:p w:rsidR="000704DE" w:rsidP="002C2543" w14:paraId="361741CB" w14:textId="77777777">
            <w:pPr>
              <w:jc w:val="center"/>
              <w:rPr>
                <w:sz w:val="24"/>
              </w:rPr>
            </w:pPr>
          </w:p>
        </w:tc>
        <w:tc>
          <w:tcPr>
            <w:tcW w:w="1870" w:type="dxa"/>
            <w:vMerge/>
          </w:tcPr>
          <w:p w:rsidR="000704DE" w:rsidP="002C2543" w14:paraId="3543E549" w14:textId="77777777">
            <w:pPr>
              <w:jc w:val="center"/>
              <w:rPr>
                <w:sz w:val="24"/>
              </w:rPr>
            </w:pPr>
          </w:p>
        </w:tc>
        <w:tc>
          <w:tcPr>
            <w:tcW w:w="1870" w:type="dxa"/>
            <w:shd w:val="clear" w:color="auto" w:fill="D1D1D1" w:themeFill="background2" w:themeFillShade="E6"/>
          </w:tcPr>
          <w:p w:rsidR="000704DE" w:rsidRPr="004C0BEE" w:rsidP="002C2543" w14:paraId="08BFE183" w14:textId="7D1E6C0F">
            <w:pPr>
              <w:jc w:val="center"/>
              <w:rPr>
                <w:b/>
                <w:bCs/>
                <w:i/>
                <w:iCs/>
                <w:sz w:val="24"/>
              </w:rPr>
            </w:pPr>
            <w:r w:rsidRPr="004C0BEE">
              <w:rPr>
                <w:b/>
                <w:bCs/>
                <w:i/>
                <w:iCs/>
                <w:sz w:val="24"/>
              </w:rPr>
              <w:t>Degrees N</w:t>
            </w:r>
          </w:p>
        </w:tc>
        <w:tc>
          <w:tcPr>
            <w:tcW w:w="1870" w:type="dxa"/>
            <w:shd w:val="clear" w:color="auto" w:fill="D1D1D1" w:themeFill="background2" w:themeFillShade="E6"/>
          </w:tcPr>
          <w:p w:rsidR="000704DE" w:rsidRPr="004C0BEE" w:rsidP="002C2543" w14:paraId="443B16B6" w14:textId="696C3377">
            <w:pPr>
              <w:jc w:val="center"/>
              <w:rPr>
                <w:b/>
                <w:bCs/>
                <w:i/>
                <w:iCs/>
                <w:sz w:val="24"/>
              </w:rPr>
            </w:pPr>
            <w:r w:rsidRPr="004C0BEE">
              <w:rPr>
                <w:b/>
                <w:bCs/>
                <w:i/>
                <w:iCs/>
                <w:sz w:val="24"/>
              </w:rPr>
              <w:t>Degrees W</w:t>
            </w:r>
          </w:p>
        </w:tc>
        <w:tc>
          <w:tcPr>
            <w:tcW w:w="2235" w:type="dxa"/>
            <w:vMerge/>
          </w:tcPr>
          <w:p w:rsidR="000704DE" w:rsidP="002C2543" w14:paraId="29E31FD5" w14:textId="77777777">
            <w:pPr>
              <w:jc w:val="center"/>
              <w:rPr>
                <w:sz w:val="24"/>
              </w:rPr>
            </w:pPr>
          </w:p>
        </w:tc>
      </w:tr>
      <w:tr w14:paraId="15C8D35A" w14:textId="77777777" w:rsidTr="00C76866">
        <w:tblPrEx>
          <w:tblW w:w="9715" w:type="dxa"/>
          <w:jc w:val="center"/>
          <w:tblLook w:val="04A0"/>
        </w:tblPrEx>
        <w:trPr>
          <w:jc w:val="center"/>
        </w:trPr>
        <w:tc>
          <w:tcPr>
            <w:tcW w:w="1870" w:type="dxa"/>
            <w:vAlign w:val="center"/>
          </w:tcPr>
          <w:p w:rsidR="00F85E02" w:rsidRPr="007A133C" w:rsidP="00C76866" w14:paraId="109132D8" w14:textId="4E825D40">
            <w:pPr>
              <w:spacing w:before="120" w:after="120"/>
              <w:jc w:val="center"/>
              <w:rPr>
                <w:sz w:val="24"/>
              </w:rPr>
            </w:pPr>
            <w:r>
              <w:rPr>
                <w:sz w:val="24"/>
              </w:rPr>
              <w:t>Inglewood, CA</w:t>
            </w:r>
          </w:p>
        </w:tc>
        <w:tc>
          <w:tcPr>
            <w:tcW w:w="1870" w:type="dxa"/>
            <w:vAlign w:val="center"/>
          </w:tcPr>
          <w:p w:rsidR="00F85E02" w:rsidRPr="007A133C" w:rsidP="00C76866" w14:paraId="2D5853EC" w14:textId="10A93F12">
            <w:pPr>
              <w:spacing w:before="120" w:after="120"/>
              <w:jc w:val="center"/>
              <w:rPr>
                <w:sz w:val="24"/>
              </w:rPr>
            </w:pPr>
            <w:r>
              <w:rPr>
                <w:sz w:val="24"/>
              </w:rPr>
              <w:t>SoFi Stadium</w:t>
            </w:r>
          </w:p>
        </w:tc>
        <w:tc>
          <w:tcPr>
            <w:tcW w:w="1870" w:type="dxa"/>
            <w:vAlign w:val="center"/>
          </w:tcPr>
          <w:p w:rsidR="00F85E02" w:rsidRPr="007A133C" w:rsidP="00C76866" w14:paraId="30985B34" w14:textId="3C415D68">
            <w:pPr>
              <w:spacing w:before="120" w:after="120"/>
              <w:jc w:val="center"/>
              <w:rPr>
                <w:sz w:val="24"/>
              </w:rPr>
            </w:pPr>
            <w:r>
              <w:rPr>
                <w:sz w:val="24"/>
              </w:rPr>
              <w:t>33.9535</w:t>
            </w:r>
          </w:p>
        </w:tc>
        <w:tc>
          <w:tcPr>
            <w:tcW w:w="1870" w:type="dxa"/>
            <w:vAlign w:val="center"/>
          </w:tcPr>
          <w:p w:rsidR="00F85E02" w:rsidRPr="007A133C" w:rsidP="00C76866" w14:paraId="5FEFA4E4" w14:textId="435215FA">
            <w:pPr>
              <w:spacing w:before="120" w:after="120"/>
              <w:jc w:val="center"/>
              <w:rPr>
                <w:sz w:val="24"/>
              </w:rPr>
            </w:pPr>
            <w:r>
              <w:rPr>
                <w:sz w:val="24"/>
              </w:rPr>
              <w:t>118.3396</w:t>
            </w:r>
          </w:p>
        </w:tc>
        <w:tc>
          <w:tcPr>
            <w:tcW w:w="2235" w:type="dxa"/>
            <w:vAlign w:val="center"/>
          </w:tcPr>
          <w:p w:rsidR="00F85E02" w:rsidP="00C76866" w14:paraId="0795B837" w14:textId="52BB7697">
            <w:pPr>
              <w:spacing w:before="120" w:after="120"/>
              <w:jc w:val="center"/>
              <w:rPr>
                <w:sz w:val="24"/>
              </w:rPr>
            </w:pPr>
            <w:r>
              <w:rPr>
                <w:sz w:val="24"/>
              </w:rPr>
              <w:t>6/12/26–7/10/26</w:t>
            </w:r>
          </w:p>
        </w:tc>
      </w:tr>
      <w:tr w14:paraId="61722074" w14:textId="77777777" w:rsidTr="00C76866">
        <w:tblPrEx>
          <w:tblW w:w="9715" w:type="dxa"/>
          <w:jc w:val="center"/>
          <w:tblLook w:val="04A0"/>
        </w:tblPrEx>
        <w:trPr>
          <w:jc w:val="center"/>
        </w:trPr>
        <w:tc>
          <w:tcPr>
            <w:tcW w:w="1870" w:type="dxa"/>
            <w:vAlign w:val="center"/>
          </w:tcPr>
          <w:p w:rsidR="00F85E02" w:rsidRPr="007A133C" w:rsidP="00C76866" w14:paraId="3D0F4262" w14:textId="541A80A2">
            <w:pPr>
              <w:spacing w:before="120" w:after="120"/>
              <w:jc w:val="center"/>
              <w:rPr>
                <w:sz w:val="24"/>
              </w:rPr>
            </w:pPr>
            <w:r>
              <w:rPr>
                <w:sz w:val="24"/>
              </w:rPr>
              <w:t>Boston, MA</w:t>
            </w:r>
          </w:p>
        </w:tc>
        <w:tc>
          <w:tcPr>
            <w:tcW w:w="1870" w:type="dxa"/>
            <w:vAlign w:val="center"/>
          </w:tcPr>
          <w:p w:rsidR="00F85E02" w:rsidRPr="007A133C" w:rsidP="00C76866" w14:paraId="0D726F10" w14:textId="74FCC171">
            <w:pPr>
              <w:spacing w:before="120" w:after="120"/>
              <w:jc w:val="center"/>
              <w:rPr>
                <w:sz w:val="24"/>
              </w:rPr>
            </w:pPr>
            <w:r>
              <w:rPr>
                <w:sz w:val="24"/>
              </w:rPr>
              <w:t>Gillette Stadium</w:t>
            </w:r>
          </w:p>
        </w:tc>
        <w:tc>
          <w:tcPr>
            <w:tcW w:w="1870" w:type="dxa"/>
            <w:vAlign w:val="center"/>
          </w:tcPr>
          <w:p w:rsidR="00F85E02" w:rsidRPr="007A133C" w:rsidP="00C76866" w14:paraId="7A1B7AE5" w14:textId="5A94B4EB">
            <w:pPr>
              <w:spacing w:before="120" w:after="120"/>
              <w:jc w:val="center"/>
              <w:rPr>
                <w:sz w:val="24"/>
              </w:rPr>
            </w:pPr>
            <w:r>
              <w:rPr>
                <w:sz w:val="24"/>
              </w:rPr>
              <w:t>42.0909</w:t>
            </w:r>
          </w:p>
        </w:tc>
        <w:tc>
          <w:tcPr>
            <w:tcW w:w="1870" w:type="dxa"/>
            <w:vAlign w:val="center"/>
          </w:tcPr>
          <w:p w:rsidR="00F85E02" w:rsidRPr="007A133C" w:rsidP="00C76866" w14:paraId="0B46AB57" w14:textId="143EAF60">
            <w:pPr>
              <w:spacing w:before="120" w:after="120"/>
              <w:jc w:val="center"/>
              <w:rPr>
                <w:sz w:val="24"/>
              </w:rPr>
            </w:pPr>
            <w:r>
              <w:rPr>
                <w:sz w:val="24"/>
              </w:rPr>
              <w:t>71.2643</w:t>
            </w:r>
          </w:p>
        </w:tc>
        <w:tc>
          <w:tcPr>
            <w:tcW w:w="2235" w:type="dxa"/>
            <w:vAlign w:val="center"/>
          </w:tcPr>
          <w:p w:rsidR="00F85E02" w:rsidP="00C76866" w14:paraId="3127DDBB" w14:textId="065A3272">
            <w:pPr>
              <w:spacing w:before="120" w:after="120"/>
              <w:jc w:val="center"/>
              <w:rPr>
                <w:sz w:val="24"/>
              </w:rPr>
            </w:pPr>
            <w:r>
              <w:rPr>
                <w:sz w:val="24"/>
              </w:rPr>
              <w:t>6/13/26–</w:t>
            </w:r>
            <w:r w:rsidR="00196B37">
              <w:rPr>
                <w:sz w:val="24"/>
              </w:rPr>
              <w:t>7/9/26</w:t>
            </w:r>
          </w:p>
        </w:tc>
      </w:tr>
      <w:tr w14:paraId="70ABABCE" w14:textId="77777777" w:rsidTr="00C76866">
        <w:tblPrEx>
          <w:tblW w:w="9715" w:type="dxa"/>
          <w:jc w:val="center"/>
          <w:tblLook w:val="04A0"/>
        </w:tblPrEx>
        <w:trPr>
          <w:jc w:val="center"/>
        </w:trPr>
        <w:tc>
          <w:tcPr>
            <w:tcW w:w="1870" w:type="dxa"/>
            <w:vAlign w:val="center"/>
          </w:tcPr>
          <w:p w:rsidR="00BA2349" w:rsidP="00C76866" w14:paraId="64C351EC" w14:textId="3D854495">
            <w:pPr>
              <w:spacing w:before="120" w:after="120"/>
              <w:jc w:val="center"/>
              <w:rPr>
                <w:sz w:val="24"/>
              </w:rPr>
            </w:pPr>
            <w:r w:rsidRPr="007A133C">
              <w:rPr>
                <w:sz w:val="24"/>
              </w:rPr>
              <w:t>Miami Gardens</w:t>
            </w:r>
            <w:r w:rsidR="0046120B">
              <w:rPr>
                <w:sz w:val="24"/>
              </w:rPr>
              <w:t>,</w:t>
            </w:r>
            <w:r w:rsidRPr="007A133C">
              <w:rPr>
                <w:sz w:val="24"/>
              </w:rPr>
              <w:t xml:space="preserve"> FL</w:t>
            </w:r>
          </w:p>
        </w:tc>
        <w:tc>
          <w:tcPr>
            <w:tcW w:w="1870" w:type="dxa"/>
            <w:vAlign w:val="center"/>
          </w:tcPr>
          <w:p w:rsidR="00BA2349" w:rsidP="00C76866" w14:paraId="342AB163" w14:textId="3B0BDCC4">
            <w:pPr>
              <w:spacing w:before="120" w:after="120"/>
              <w:jc w:val="center"/>
              <w:rPr>
                <w:sz w:val="24"/>
              </w:rPr>
            </w:pPr>
            <w:r w:rsidRPr="007A133C">
              <w:rPr>
                <w:sz w:val="24"/>
              </w:rPr>
              <w:t>Hard Rock Stadium</w:t>
            </w:r>
          </w:p>
        </w:tc>
        <w:tc>
          <w:tcPr>
            <w:tcW w:w="1870" w:type="dxa"/>
            <w:vAlign w:val="center"/>
          </w:tcPr>
          <w:p w:rsidR="00BA2349" w:rsidP="00C76866" w14:paraId="64E3F6F5" w14:textId="07CB3921">
            <w:pPr>
              <w:spacing w:before="120" w:after="120"/>
              <w:jc w:val="center"/>
              <w:rPr>
                <w:sz w:val="24"/>
              </w:rPr>
            </w:pPr>
            <w:r w:rsidRPr="007A133C">
              <w:rPr>
                <w:sz w:val="24"/>
              </w:rPr>
              <w:t>25.9583</w:t>
            </w:r>
          </w:p>
        </w:tc>
        <w:tc>
          <w:tcPr>
            <w:tcW w:w="1870" w:type="dxa"/>
            <w:vAlign w:val="center"/>
          </w:tcPr>
          <w:p w:rsidR="00BA2349" w:rsidP="00C76866" w14:paraId="18860699" w14:textId="58C4BA88">
            <w:pPr>
              <w:spacing w:before="120" w:after="120"/>
              <w:jc w:val="center"/>
              <w:rPr>
                <w:sz w:val="24"/>
              </w:rPr>
            </w:pPr>
            <w:r w:rsidRPr="007A133C">
              <w:rPr>
                <w:sz w:val="24"/>
              </w:rPr>
              <w:t>80.2396</w:t>
            </w:r>
          </w:p>
        </w:tc>
        <w:tc>
          <w:tcPr>
            <w:tcW w:w="2235" w:type="dxa"/>
            <w:vAlign w:val="center"/>
          </w:tcPr>
          <w:p w:rsidR="00BA2349" w:rsidP="00C76866" w14:paraId="68B7DD24" w14:textId="7F28BD36">
            <w:pPr>
              <w:spacing w:before="120" w:after="120"/>
              <w:jc w:val="center"/>
              <w:rPr>
                <w:sz w:val="24"/>
              </w:rPr>
            </w:pPr>
            <w:r>
              <w:rPr>
                <w:sz w:val="24"/>
              </w:rPr>
              <w:t>6/15/26–7/18/26</w:t>
            </w:r>
          </w:p>
        </w:tc>
      </w:tr>
      <w:tr w14:paraId="48BB7D6D" w14:textId="77777777" w:rsidTr="00C76866">
        <w:tblPrEx>
          <w:tblW w:w="9715" w:type="dxa"/>
          <w:jc w:val="center"/>
          <w:tblLook w:val="04A0"/>
        </w:tblPrEx>
        <w:trPr>
          <w:jc w:val="center"/>
        </w:trPr>
        <w:tc>
          <w:tcPr>
            <w:tcW w:w="1870" w:type="dxa"/>
            <w:vAlign w:val="center"/>
          </w:tcPr>
          <w:p w:rsidR="0046120B" w:rsidRPr="00F14CF3" w:rsidP="00C76866" w14:paraId="37CFA4C3" w14:textId="15BE54CC">
            <w:pPr>
              <w:spacing w:before="120" w:after="120"/>
              <w:jc w:val="center"/>
              <w:rPr>
                <w:sz w:val="24"/>
              </w:rPr>
            </w:pPr>
            <w:r>
              <w:rPr>
                <w:sz w:val="24"/>
              </w:rPr>
              <w:t>Dallas</w:t>
            </w:r>
            <w:r>
              <w:rPr>
                <w:sz w:val="24"/>
              </w:rPr>
              <w:t>, TX</w:t>
            </w:r>
          </w:p>
        </w:tc>
        <w:tc>
          <w:tcPr>
            <w:tcW w:w="1870" w:type="dxa"/>
            <w:vAlign w:val="center"/>
          </w:tcPr>
          <w:p w:rsidR="0046120B" w:rsidRPr="00F14CF3" w:rsidP="00C76866" w14:paraId="33F0AC4D" w14:textId="799A01A3">
            <w:pPr>
              <w:spacing w:before="120" w:after="120"/>
              <w:jc w:val="center"/>
              <w:rPr>
                <w:sz w:val="24"/>
              </w:rPr>
            </w:pPr>
            <w:r>
              <w:rPr>
                <w:sz w:val="24"/>
              </w:rPr>
              <w:t>AT&amp;T Stadium</w:t>
            </w:r>
          </w:p>
        </w:tc>
        <w:tc>
          <w:tcPr>
            <w:tcW w:w="1870" w:type="dxa"/>
            <w:vAlign w:val="center"/>
          </w:tcPr>
          <w:p w:rsidR="0046120B" w:rsidRPr="00F14CF3" w:rsidP="00C76866" w14:paraId="330EC92F" w14:textId="7C5BD785">
            <w:pPr>
              <w:spacing w:before="120" w:after="120"/>
              <w:jc w:val="center"/>
              <w:rPr>
                <w:sz w:val="24"/>
              </w:rPr>
            </w:pPr>
            <w:r>
              <w:rPr>
                <w:sz w:val="24"/>
              </w:rPr>
              <w:t>32.7477</w:t>
            </w:r>
          </w:p>
        </w:tc>
        <w:tc>
          <w:tcPr>
            <w:tcW w:w="1870" w:type="dxa"/>
            <w:vAlign w:val="center"/>
          </w:tcPr>
          <w:p w:rsidR="0046120B" w:rsidRPr="00F14CF3" w:rsidP="00C76866" w14:paraId="5948E74A" w14:textId="609A1855">
            <w:pPr>
              <w:spacing w:before="120" w:after="120"/>
              <w:jc w:val="center"/>
              <w:rPr>
                <w:sz w:val="24"/>
              </w:rPr>
            </w:pPr>
            <w:r>
              <w:rPr>
                <w:sz w:val="24"/>
              </w:rPr>
              <w:t>97.0927</w:t>
            </w:r>
          </w:p>
        </w:tc>
        <w:tc>
          <w:tcPr>
            <w:tcW w:w="2235" w:type="dxa"/>
            <w:vAlign w:val="center"/>
          </w:tcPr>
          <w:p w:rsidR="0046120B" w:rsidP="00C76866" w14:paraId="5CDDEC34" w14:textId="218ED32C">
            <w:pPr>
              <w:spacing w:before="120" w:after="120"/>
              <w:jc w:val="center"/>
              <w:rPr>
                <w:sz w:val="24"/>
              </w:rPr>
            </w:pPr>
            <w:r>
              <w:rPr>
                <w:sz w:val="24"/>
              </w:rPr>
              <w:t>6/15/26–7/14/26</w:t>
            </w:r>
          </w:p>
        </w:tc>
      </w:tr>
      <w:tr w14:paraId="6B50ED1B" w14:textId="77777777" w:rsidTr="00C76866">
        <w:tblPrEx>
          <w:tblW w:w="9715" w:type="dxa"/>
          <w:jc w:val="center"/>
          <w:tblLook w:val="04A0"/>
        </w:tblPrEx>
        <w:trPr>
          <w:jc w:val="center"/>
        </w:trPr>
        <w:tc>
          <w:tcPr>
            <w:tcW w:w="1870" w:type="dxa"/>
            <w:vAlign w:val="center"/>
          </w:tcPr>
          <w:p w:rsidR="0046120B" w:rsidRPr="00F14CF3" w:rsidP="00C76866" w14:paraId="71C27F5C" w14:textId="18D3F72C">
            <w:pPr>
              <w:spacing w:before="120" w:after="120"/>
              <w:jc w:val="center"/>
              <w:rPr>
                <w:sz w:val="24"/>
              </w:rPr>
            </w:pPr>
            <w:r>
              <w:rPr>
                <w:sz w:val="24"/>
              </w:rPr>
              <w:t>Houston, TX</w:t>
            </w:r>
          </w:p>
        </w:tc>
        <w:tc>
          <w:tcPr>
            <w:tcW w:w="1870" w:type="dxa"/>
            <w:vAlign w:val="center"/>
          </w:tcPr>
          <w:p w:rsidR="0046120B" w:rsidRPr="00F14CF3" w:rsidP="00C76866" w14:paraId="4D9CE235" w14:textId="0617B3B2">
            <w:pPr>
              <w:spacing w:before="120" w:after="120"/>
              <w:jc w:val="center"/>
              <w:rPr>
                <w:sz w:val="24"/>
              </w:rPr>
            </w:pPr>
            <w:r>
              <w:rPr>
                <w:sz w:val="24"/>
              </w:rPr>
              <w:t>NRG Stadium</w:t>
            </w:r>
          </w:p>
        </w:tc>
        <w:tc>
          <w:tcPr>
            <w:tcW w:w="1870" w:type="dxa"/>
            <w:vAlign w:val="center"/>
          </w:tcPr>
          <w:p w:rsidR="0046120B" w:rsidRPr="00F14CF3" w:rsidP="00C76866" w14:paraId="169EF9C7" w14:textId="3A5E6F26">
            <w:pPr>
              <w:spacing w:before="120" w:after="120"/>
              <w:jc w:val="center"/>
              <w:rPr>
                <w:sz w:val="24"/>
              </w:rPr>
            </w:pPr>
            <w:r>
              <w:rPr>
                <w:sz w:val="24"/>
              </w:rPr>
              <w:t>29.6848</w:t>
            </w:r>
          </w:p>
        </w:tc>
        <w:tc>
          <w:tcPr>
            <w:tcW w:w="1870" w:type="dxa"/>
            <w:vAlign w:val="center"/>
          </w:tcPr>
          <w:p w:rsidR="0046120B" w:rsidRPr="00F14CF3" w:rsidP="00C76866" w14:paraId="6BE0F7B2" w14:textId="211D6693">
            <w:pPr>
              <w:spacing w:before="120" w:after="120"/>
              <w:jc w:val="center"/>
              <w:rPr>
                <w:sz w:val="24"/>
              </w:rPr>
            </w:pPr>
            <w:r>
              <w:rPr>
                <w:sz w:val="24"/>
              </w:rPr>
              <w:t>95.4116</w:t>
            </w:r>
          </w:p>
        </w:tc>
        <w:tc>
          <w:tcPr>
            <w:tcW w:w="2235" w:type="dxa"/>
            <w:vAlign w:val="center"/>
          </w:tcPr>
          <w:p w:rsidR="0046120B" w:rsidP="00C76866" w14:paraId="308B4E8B" w14:textId="2B8850FA">
            <w:pPr>
              <w:spacing w:before="120" w:after="120"/>
              <w:jc w:val="center"/>
              <w:rPr>
                <w:sz w:val="24"/>
              </w:rPr>
            </w:pPr>
            <w:r>
              <w:rPr>
                <w:sz w:val="24"/>
              </w:rPr>
              <w:t>6/14/26–7/4/26</w:t>
            </w:r>
          </w:p>
        </w:tc>
      </w:tr>
      <w:tr w14:paraId="69B62C3F" w14:textId="77777777" w:rsidTr="00C76866">
        <w:tblPrEx>
          <w:tblW w:w="9715" w:type="dxa"/>
          <w:jc w:val="center"/>
          <w:tblLook w:val="04A0"/>
        </w:tblPrEx>
        <w:trPr>
          <w:jc w:val="center"/>
        </w:trPr>
        <w:tc>
          <w:tcPr>
            <w:tcW w:w="1870" w:type="dxa"/>
            <w:vAlign w:val="center"/>
          </w:tcPr>
          <w:p w:rsidR="00BA2349" w:rsidP="00C76866" w14:paraId="3E4887CC" w14:textId="0EBDBC58">
            <w:pPr>
              <w:spacing w:before="120" w:after="120"/>
              <w:jc w:val="center"/>
              <w:rPr>
                <w:sz w:val="24"/>
              </w:rPr>
            </w:pPr>
            <w:r w:rsidRPr="00F14CF3">
              <w:rPr>
                <w:sz w:val="24"/>
              </w:rPr>
              <w:t>Atlanta</w:t>
            </w:r>
            <w:r w:rsidR="00791200">
              <w:rPr>
                <w:sz w:val="24"/>
              </w:rPr>
              <w:t>,</w:t>
            </w:r>
            <w:r w:rsidRPr="00F14CF3">
              <w:rPr>
                <w:sz w:val="24"/>
              </w:rPr>
              <w:t xml:space="preserve"> GA</w:t>
            </w:r>
          </w:p>
        </w:tc>
        <w:tc>
          <w:tcPr>
            <w:tcW w:w="1870" w:type="dxa"/>
            <w:vAlign w:val="center"/>
          </w:tcPr>
          <w:p w:rsidR="00BA2349" w:rsidP="00C76866" w14:paraId="7F8E7226" w14:textId="2E883E93">
            <w:pPr>
              <w:spacing w:before="120" w:after="120"/>
              <w:jc w:val="center"/>
              <w:rPr>
                <w:sz w:val="24"/>
              </w:rPr>
            </w:pPr>
            <w:r w:rsidRPr="00F14CF3">
              <w:rPr>
                <w:sz w:val="24"/>
              </w:rPr>
              <w:t>Mercedez Benz Stadium</w:t>
            </w:r>
          </w:p>
        </w:tc>
        <w:tc>
          <w:tcPr>
            <w:tcW w:w="1870" w:type="dxa"/>
            <w:vAlign w:val="center"/>
          </w:tcPr>
          <w:p w:rsidR="00BA2349" w:rsidP="00C76866" w14:paraId="16BE223B" w14:textId="3ED8BBC7">
            <w:pPr>
              <w:spacing w:before="120" w:after="120"/>
              <w:jc w:val="center"/>
              <w:rPr>
                <w:sz w:val="24"/>
              </w:rPr>
            </w:pPr>
            <w:r w:rsidRPr="00F14CF3">
              <w:rPr>
                <w:sz w:val="24"/>
              </w:rPr>
              <w:t>33.7553</w:t>
            </w:r>
          </w:p>
        </w:tc>
        <w:tc>
          <w:tcPr>
            <w:tcW w:w="1870" w:type="dxa"/>
            <w:vAlign w:val="center"/>
          </w:tcPr>
          <w:p w:rsidR="00BA2349" w:rsidP="00C76866" w14:paraId="1733DFD1" w14:textId="50603724">
            <w:pPr>
              <w:spacing w:before="120" w:after="120"/>
              <w:jc w:val="center"/>
              <w:rPr>
                <w:sz w:val="24"/>
              </w:rPr>
            </w:pPr>
            <w:r w:rsidRPr="00F14CF3">
              <w:rPr>
                <w:sz w:val="24"/>
              </w:rPr>
              <w:t>84.4006</w:t>
            </w:r>
          </w:p>
        </w:tc>
        <w:tc>
          <w:tcPr>
            <w:tcW w:w="2235" w:type="dxa"/>
            <w:vAlign w:val="center"/>
          </w:tcPr>
          <w:p w:rsidR="00BA2349" w:rsidP="00C76866" w14:paraId="3C1E191C" w14:textId="2622A114">
            <w:pPr>
              <w:spacing w:before="120" w:after="120"/>
              <w:jc w:val="center"/>
              <w:rPr>
                <w:sz w:val="24"/>
              </w:rPr>
            </w:pPr>
            <w:r>
              <w:rPr>
                <w:sz w:val="24"/>
              </w:rPr>
              <w:t>6/15/26–7/15/26</w:t>
            </w:r>
          </w:p>
        </w:tc>
      </w:tr>
      <w:tr w14:paraId="22292895" w14:textId="77777777" w:rsidTr="00C76866">
        <w:tblPrEx>
          <w:tblW w:w="9715" w:type="dxa"/>
          <w:jc w:val="center"/>
          <w:tblLook w:val="04A0"/>
        </w:tblPrEx>
        <w:trPr>
          <w:jc w:val="center"/>
        </w:trPr>
        <w:tc>
          <w:tcPr>
            <w:tcW w:w="1870" w:type="dxa"/>
            <w:vAlign w:val="center"/>
          </w:tcPr>
          <w:p w:rsidR="00BA2349" w:rsidP="00C76866" w14:paraId="0CCC6E5E" w14:textId="57AA343E">
            <w:pPr>
              <w:spacing w:before="120" w:after="120"/>
              <w:jc w:val="center"/>
              <w:rPr>
                <w:sz w:val="24"/>
              </w:rPr>
            </w:pPr>
            <w:r w:rsidRPr="00F14CF3">
              <w:rPr>
                <w:sz w:val="24"/>
              </w:rPr>
              <w:t>East Rutherford</w:t>
            </w:r>
            <w:r w:rsidR="009A57AD">
              <w:rPr>
                <w:sz w:val="24"/>
              </w:rPr>
              <w:t>,</w:t>
            </w:r>
            <w:r w:rsidRPr="00F14CF3">
              <w:rPr>
                <w:sz w:val="24"/>
              </w:rPr>
              <w:t xml:space="preserve"> NJ</w:t>
            </w:r>
          </w:p>
        </w:tc>
        <w:tc>
          <w:tcPr>
            <w:tcW w:w="1870" w:type="dxa"/>
            <w:vAlign w:val="center"/>
          </w:tcPr>
          <w:p w:rsidR="00BA2349" w:rsidP="00C76866" w14:paraId="19B2BAD5" w14:textId="515CCE2B">
            <w:pPr>
              <w:spacing w:before="120" w:after="120"/>
              <w:jc w:val="center"/>
              <w:rPr>
                <w:sz w:val="24"/>
              </w:rPr>
            </w:pPr>
            <w:r w:rsidRPr="00F14CF3">
              <w:rPr>
                <w:sz w:val="24"/>
              </w:rPr>
              <w:t>Met Life Stadium</w:t>
            </w:r>
          </w:p>
        </w:tc>
        <w:tc>
          <w:tcPr>
            <w:tcW w:w="1870" w:type="dxa"/>
            <w:vAlign w:val="center"/>
          </w:tcPr>
          <w:p w:rsidR="00BA2349" w:rsidP="00C76866" w14:paraId="78B63712" w14:textId="1815A13C">
            <w:pPr>
              <w:spacing w:before="120" w:after="120"/>
              <w:jc w:val="center"/>
              <w:rPr>
                <w:sz w:val="24"/>
              </w:rPr>
            </w:pPr>
            <w:r w:rsidRPr="00F14CF3">
              <w:rPr>
                <w:sz w:val="24"/>
              </w:rPr>
              <w:t>40.8135</w:t>
            </w:r>
          </w:p>
        </w:tc>
        <w:tc>
          <w:tcPr>
            <w:tcW w:w="1870" w:type="dxa"/>
            <w:vAlign w:val="center"/>
          </w:tcPr>
          <w:p w:rsidR="00BA2349" w:rsidP="00C76866" w14:paraId="016BA880" w14:textId="4645303A">
            <w:pPr>
              <w:spacing w:before="120" w:after="120"/>
              <w:jc w:val="center"/>
              <w:rPr>
                <w:sz w:val="24"/>
              </w:rPr>
            </w:pPr>
            <w:r w:rsidRPr="00F14CF3">
              <w:rPr>
                <w:sz w:val="24"/>
              </w:rPr>
              <w:t>74.0745</w:t>
            </w:r>
          </w:p>
        </w:tc>
        <w:tc>
          <w:tcPr>
            <w:tcW w:w="2235" w:type="dxa"/>
            <w:vAlign w:val="center"/>
          </w:tcPr>
          <w:p w:rsidR="00BA2349" w:rsidP="00C76866" w14:paraId="1A2BECD3" w14:textId="286CC317">
            <w:pPr>
              <w:spacing w:before="120" w:after="120"/>
              <w:jc w:val="center"/>
              <w:rPr>
                <w:sz w:val="24"/>
              </w:rPr>
            </w:pPr>
            <w:r>
              <w:rPr>
                <w:sz w:val="24"/>
              </w:rPr>
              <w:t>6/13/26–7/19/26</w:t>
            </w:r>
          </w:p>
        </w:tc>
      </w:tr>
      <w:tr w14:paraId="1E7213ED" w14:textId="77777777" w:rsidTr="00C76866">
        <w:tblPrEx>
          <w:tblW w:w="9715" w:type="dxa"/>
          <w:jc w:val="center"/>
          <w:tblLook w:val="04A0"/>
        </w:tblPrEx>
        <w:trPr>
          <w:jc w:val="center"/>
        </w:trPr>
        <w:tc>
          <w:tcPr>
            <w:tcW w:w="1870" w:type="dxa"/>
            <w:vAlign w:val="center"/>
          </w:tcPr>
          <w:p w:rsidR="007F53E8" w:rsidRPr="00F14CF3" w:rsidP="00C76866" w14:paraId="28563496" w14:textId="7029A594">
            <w:pPr>
              <w:spacing w:before="120" w:after="120"/>
              <w:jc w:val="center"/>
              <w:rPr>
                <w:sz w:val="24"/>
              </w:rPr>
            </w:pPr>
            <w:r>
              <w:rPr>
                <w:sz w:val="24"/>
              </w:rPr>
              <w:t>San Fransico, CA</w:t>
            </w:r>
          </w:p>
        </w:tc>
        <w:tc>
          <w:tcPr>
            <w:tcW w:w="1870" w:type="dxa"/>
            <w:vAlign w:val="center"/>
          </w:tcPr>
          <w:p w:rsidR="007F53E8" w:rsidRPr="00F14CF3" w:rsidP="00C76866" w14:paraId="0E2C1B43" w14:textId="73EC9F26">
            <w:pPr>
              <w:spacing w:before="120" w:after="120"/>
              <w:jc w:val="center"/>
              <w:rPr>
                <w:sz w:val="24"/>
              </w:rPr>
            </w:pPr>
            <w:r>
              <w:rPr>
                <w:sz w:val="24"/>
              </w:rPr>
              <w:t>Levi’s Stadium</w:t>
            </w:r>
          </w:p>
        </w:tc>
        <w:tc>
          <w:tcPr>
            <w:tcW w:w="1870" w:type="dxa"/>
            <w:vAlign w:val="center"/>
          </w:tcPr>
          <w:p w:rsidR="007F53E8" w:rsidRPr="00F14CF3" w:rsidP="00C76866" w14:paraId="4D1E98BB" w14:textId="2815E33F">
            <w:pPr>
              <w:spacing w:before="120" w:after="120"/>
              <w:jc w:val="center"/>
              <w:rPr>
                <w:sz w:val="24"/>
              </w:rPr>
            </w:pPr>
            <w:r>
              <w:rPr>
                <w:sz w:val="24"/>
              </w:rPr>
              <w:t>37.4032</w:t>
            </w:r>
          </w:p>
        </w:tc>
        <w:tc>
          <w:tcPr>
            <w:tcW w:w="1870" w:type="dxa"/>
            <w:vAlign w:val="center"/>
          </w:tcPr>
          <w:p w:rsidR="007F53E8" w:rsidRPr="00F14CF3" w:rsidP="00C76866" w14:paraId="29D60B09" w14:textId="771F4532">
            <w:pPr>
              <w:spacing w:before="120" w:after="120"/>
              <w:jc w:val="center"/>
              <w:rPr>
                <w:sz w:val="24"/>
              </w:rPr>
            </w:pPr>
            <w:r>
              <w:rPr>
                <w:sz w:val="24"/>
              </w:rPr>
              <w:t>121.9698</w:t>
            </w:r>
          </w:p>
        </w:tc>
        <w:tc>
          <w:tcPr>
            <w:tcW w:w="2235" w:type="dxa"/>
            <w:vAlign w:val="center"/>
          </w:tcPr>
          <w:p w:rsidR="007F53E8" w:rsidP="00C76866" w14:paraId="13722E97" w14:textId="4E4C05D0">
            <w:pPr>
              <w:spacing w:before="120" w:after="120"/>
              <w:jc w:val="center"/>
              <w:rPr>
                <w:sz w:val="24"/>
              </w:rPr>
            </w:pPr>
            <w:r>
              <w:rPr>
                <w:sz w:val="24"/>
              </w:rPr>
              <w:t>6/13/26–7/1/26</w:t>
            </w:r>
          </w:p>
        </w:tc>
      </w:tr>
      <w:tr w14:paraId="0B2E7506" w14:textId="77777777" w:rsidTr="00C76866">
        <w:tblPrEx>
          <w:tblW w:w="9715" w:type="dxa"/>
          <w:jc w:val="center"/>
          <w:tblLook w:val="04A0"/>
        </w:tblPrEx>
        <w:trPr>
          <w:jc w:val="center"/>
        </w:trPr>
        <w:tc>
          <w:tcPr>
            <w:tcW w:w="1870" w:type="dxa"/>
            <w:vAlign w:val="center"/>
          </w:tcPr>
          <w:p w:rsidR="00BA2349" w:rsidP="00C76866" w14:paraId="3A05B6FC" w14:textId="1FF17FBA">
            <w:pPr>
              <w:spacing w:before="120" w:after="120"/>
              <w:jc w:val="center"/>
              <w:rPr>
                <w:sz w:val="24"/>
              </w:rPr>
            </w:pPr>
            <w:r w:rsidRPr="00E121E7">
              <w:rPr>
                <w:sz w:val="24"/>
              </w:rPr>
              <w:t>Philadelphia</w:t>
            </w:r>
            <w:r w:rsidR="00791200">
              <w:rPr>
                <w:sz w:val="24"/>
              </w:rPr>
              <w:t>,</w:t>
            </w:r>
            <w:r w:rsidRPr="00E121E7">
              <w:rPr>
                <w:sz w:val="24"/>
              </w:rPr>
              <w:t xml:space="preserve"> PA</w:t>
            </w:r>
          </w:p>
        </w:tc>
        <w:tc>
          <w:tcPr>
            <w:tcW w:w="1870" w:type="dxa"/>
            <w:vAlign w:val="center"/>
          </w:tcPr>
          <w:p w:rsidR="00BA2349" w:rsidP="00C76866" w14:paraId="0849BE89" w14:textId="7B21BA08">
            <w:pPr>
              <w:spacing w:before="120" w:after="120"/>
              <w:jc w:val="center"/>
              <w:rPr>
                <w:sz w:val="24"/>
              </w:rPr>
            </w:pPr>
            <w:r w:rsidRPr="00E121E7">
              <w:rPr>
                <w:sz w:val="24"/>
              </w:rPr>
              <w:t>Lincoln Financial Field</w:t>
            </w:r>
          </w:p>
        </w:tc>
        <w:tc>
          <w:tcPr>
            <w:tcW w:w="1870" w:type="dxa"/>
            <w:vAlign w:val="center"/>
          </w:tcPr>
          <w:p w:rsidR="00BA2349" w:rsidP="00C76866" w14:paraId="101F5135" w14:textId="756A0B12">
            <w:pPr>
              <w:spacing w:before="120" w:after="120"/>
              <w:jc w:val="center"/>
              <w:rPr>
                <w:sz w:val="24"/>
              </w:rPr>
            </w:pPr>
            <w:r w:rsidRPr="00E121E7">
              <w:rPr>
                <w:sz w:val="24"/>
              </w:rPr>
              <w:t>39.9014</w:t>
            </w:r>
          </w:p>
        </w:tc>
        <w:tc>
          <w:tcPr>
            <w:tcW w:w="1870" w:type="dxa"/>
            <w:vAlign w:val="center"/>
          </w:tcPr>
          <w:p w:rsidR="00BA2349" w:rsidP="00C76866" w14:paraId="1C7B2404" w14:textId="4163A1A2">
            <w:pPr>
              <w:spacing w:before="120" w:after="120"/>
              <w:jc w:val="center"/>
              <w:rPr>
                <w:sz w:val="24"/>
              </w:rPr>
            </w:pPr>
            <w:r w:rsidRPr="00E121E7">
              <w:rPr>
                <w:sz w:val="24"/>
              </w:rPr>
              <w:t>75.1676</w:t>
            </w:r>
          </w:p>
        </w:tc>
        <w:tc>
          <w:tcPr>
            <w:tcW w:w="2235" w:type="dxa"/>
            <w:vAlign w:val="center"/>
          </w:tcPr>
          <w:p w:rsidR="00BA2349" w:rsidP="00C76866" w14:paraId="3B21650D" w14:textId="550416E7">
            <w:pPr>
              <w:spacing w:before="120" w:after="120"/>
              <w:jc w:val="center"/>
              <w:rPr>
                <w:sz w:val="24"/>
              </w:rPr>
            </w:pPr>
            <w:r>
              <w:rPr>
                <w:sz w:val="24"/>
              </w:rPr>
              <w:t>6/14/26–7/4/26</w:t>
            </w:r>
          </w:p>
        </w:tc>
      </w:tr>
      <w:tr w14:paraId="37F7F93F" w14:textId="77777777" w:rsidTr="00C76866">
        <w:tblPrEx>
          <w:tblW w:w="9715" w:type="dxa"/>
          <w:jc w:val="center"/>
          <w:tblLook w:val="04A0"/>
        </w:tblPrEx>
        <w:trPr>
          <w:jc w:val="center"/>
        </w:trPr>
        <w:tc>
          <w:tcPr>
            <w:tcW w:w="1870" w:type="dxa"/>
            <w:vAlign w:val="center"/>
          </w:tcPr>
          <w:p w:rsidR="007F53E8" w:rsidRPr="0031563E" w:rsidP="00C76866" w14:paraId="71E42E50" w14:textId="3A008836">
            <w:pPr>
              <w:spacing w:before="120" w:after="120"/>
              <w:jc w:val="center"/>
              <w:rPr>
                <w:sz w:val="24"/>
              </w:rPr>
            </w:pPr>
            <w:r>
              <w:rPr>
                <w:sz w:val="24"/>
              </w:rPr>
              <w:t>Kansas City, MO</w:t>
            </w:r>
          </w:p>
        </w:tc>
        <w:tc>
          <w:tcPr>
            <w:tcW w:w="1870" w:type="dxa"/>
            <w:vAlign w:val="center"/>
          </w:tcPr>
          <w:p w:rsidR="007F53E8" w:rsidRPr="0031563E" w:rsidP="0046120B" w14:paraId="59D1B789" w14:textId="7FB39348">
            <w:pPr>
              <w:spacing w:before="120" w:after="120"/>
              <w:jc w:val="center"/>
              <w:rPr>
                <w:sz w:val="24"/>
              </w:rPr>
            </w:pPr>
            <w:r>
              <w:rPr>
                <w:sz w:val="24"/>
              </w:rPr>
              <w:t>Arrowhead Stadium</w:t>
            </w:r>
          </w:p>
        </w:tc>
        <w:tc>
          <w:tcPr>
            <w:tcW w:w="1870" w:type="dxa"/>
            <w:vAlign w:val="center"/>
          </w:tcPr>
          <w:p w:rsidR="007F53E8" w:rsidRPr="0031563E" w:rsidP="0046120B" w14:paraId="5D7AE200" w14:textId="34CA961D">
            <w:pPr>
              <w:spacing w:before="120" w:after="120"/>
              <w:jc w:val="center"/>
              <w:rPr>
                <w:sz w:val="24"/>
              </w:rPr>
            </w:pPr>
            <w:r>
              <w:rPr>
                <w:sz w:val="24"/>
              </w:rPr>
              <w:t>39.0448</w:t>
            </w:r>
          </w:p>
        </w:tc>
        <w:tc>
          <w:tcPr>
            <w:tcW w:w="1870" w:type="dxa"/>
            <w:vAlign w:val="center"/>
          </w:tcPr>
          <w:p w:rsidR="007F53E8" w:rsidRPr="0031563E" w:rsidP="00C76866" w14:paraId="4E3D1508" w14:textId="3E2B51E5">
            <w:pPr>
              <w:spacing w:before="120" w:after="120"/>
              <w:jc w:val="center"/>
              <w:rPr>
                <w:sz w:val="24"/>
              </w:rPr>
            </w:pPr>
            <w:r>
              <w:rPr>
                <w:sz w:val="24"/>
              </w:rPr>
              <w:t>94.4838</w:t>
            </w:r>
          </w:p>
        </w:tc>
        <w:tc>
          <w:tcPr>
            <w:tcW w:w="2235" w:type="dxa"/>
            <w:vAlign w:val="center"/>
          </w:tcPr>
          <w:p w:rsidR="007F53E8" w:rsidP="00C76866" w14:paraId="185CB77D" w14:textId="26A8C19C">
            <w:pPr>
              <w:spacing w:before="120" w:after="120"/>
              <w:jc w:val="center"/>
              <w:rPr>
                <w:sz w:val="24"/>
              </w:rPr>
            </w:pPr>
            <w:r>
              <w:rPr>
                <w:sz w:val="24"/>
              </w:rPr>
              <w:t>6/16/26–7/11/26</w:t>
            </w:r>
          </w:p>
        </w:tc>
      </w:tr>
      <w:tr w14:paraId="1716EBA5" w14:textId="77777777" w:rsidTr="00C76866">
        <w:tblPrEx>
          <w:tblW w:w="9715" w:type="dxa"/>
          <w:jc w:val="center"/>
          <w:tblLook w:val="04A0"/>
        </w:tblPrEx>
        <w:trPr>
          <w:jc w:val="center"/>
        </w:trPr>
        <w:tc>
          <w:tcPr>
            <w:tcW w:w="1870" w:type="dxa"/>
            <w:vAlign w:val="center"/>
          </w:tcPr>
          <w:p w:rsidR="00BA2349" w:rsidP="00C76866" w14:paraId="0884E8FD" w14:textId="33183BF0">
            <w:pPr>
              <w:spacing w:before="120" w:after="120"/>
              <w:jc w:val="center"/>
              <w:rPr>
                <w:sz w:val="24"/>
              </w:rPr>
            </w:pPr>
            <w:r w:rsidRPr="0031563E">
              <w:rPr>
                <w:sz w:val="24"/>
              </w:rPr>
              <w:t>Seattle</w:t>
            </w:r>
            <w:r w:rsidR="001D0B2B">
              <w:rPr>
                <w:sz w:val="24"/>
              </w:rPr>
              <w:t>,</w:t>
            </w:r>
            <w:r w:rsidRPr="0031563E">
              <w:rPr>
                <w:sz w:val="24"/>
              </w:rPr>
              <w:t xml:space="preserve"> WA</w:t>
            </w:r>
          </w:p>
        </w:tc>
        <w:tc>
          <w:tcPr>
            <w:tcW w:w="1870" w:type="dxa"/>
            <w:vAlign w:val="center"/>
          </w:tcPr>
          <w:p w:rsidR="00BA2349" w:rsidP="0046120B" w14:paraId="6DEAE708" w14:textId="53FA1F07">
            <w:pPr>
              <w:spacing w:before="120" w:after="120"/>
              <w:jc w:val="center"/>
              <w:rPr>
                <w:sz w:val="24"/>
              </w:rPr>
            </w:pPr>
            <w:r w:rsidRPr="0031563E">
              <w:rPr>
                <w:sz w:val="24"/>
              </w:rPr>
              <w:t>Lumen Field</w:t>
            </w:r>
          </w:p>
        </w:tc>
        <w:tc>
          <w:tcPr>
            <w:tcW w:w="1870" w:type="dxa"/>
            <w:vAlign w:val="center"/>
          </w:tcPr>
          <w:p w:rsidR="00BA2349" w:rsidP="0046120B" w14:paraId="67AE15CA" w14:textId="11675994">
            <w:pPr>
              <w:spacing w:before="120" w:after="120"/>
              <w:jc w:val="center"/>
              <w:rPr>
                <w:sz w:val="24"/>
              </w:rPr>
            </w:pPr>
            <w:r w:rsidRPr="0031563E">
              <w:rPr>
                <w:sz w:val="24"/>
              </w:rPr>
              <w:t>47.5952</w:t>
            </w:r>
          </w:p>
        </w:tc>
        <w:tc>
          <w:tcPr>
            <w:tcW w:w="1870" w:type="dxa"/>
            <w:vAlign w:val="center"/>
          </w:tcPr>
          <w:p w:rsidR="00BA2349" w:rsidP="00C76866" w14:paraId="1C86D834" w14:textId="5F583110">
            <w:pPr>
              <w:spacing w:before="120" w:after="120"/>
              <w:jc w:val="center"/>
              <w:rPr>
                <w:sz w:val="24"/>
              </w:rPr>
            </w:pPr>
            <w:r w:rsidRPr="0031563E">
              <w:rPr>
                <w:sz w:val="24"/>
              </w:rPr>
              <w:t>122.3316</w:t>
            </w:r>
          </w:p>
        </w:tc>
        <w:tc>
          <w:tcPr>
            <w:tcW w:w="2235" w:type="dxa"/>
            <w:vAlign w:val="center"/>
          </w:tcPr>
          <w:p w:rsidR="00BA2349" w:rsidP="00C76866" w14:paraId="7C20F2FE" w14:textId="0FA3D645">
            <w:pPr>
              <w:spacing w:before="120" w:after="120"/>
              <w:jc w:val="center"/>
              <w:rPr>
                <w:sz w:val="24"/>
              </w:rPr>
            </w:pPr>
            <w:r>
              <w:rPr>
                <w:sz w:val="24"/>
              </w:rPr>
              <w:t>6/15/26–7/6/26</w:t>
            </w:r>
          </w:p>
        </w:tc>
      </w:tr>
    </w:tbl>
    <w:p w:rsidR="00A6701B" w:rsidRPr="0078327E" w:rsidP="0078327E" w14:paraId="4A0A7234" w14:textId="77777777"/>
    <w:sectPr>
      <w:headerReference w:type="default" r:id="rId7"/>
      <w:footerReference w:type="even" r:id="rId8"/>
      <w:footerReference w:type="default" r:id="rId9"/>
      <w:headerReference w:type="first" r:id="rId10"/>
      <w:endnotePr>
        <w:numFmt w:val="decimal"/>
      </w:endnotePr>
      <w:pgSz w:w="12240" w:h="15840"/>
      <w:pgMar w:top="1440" w:right="1440" w:bottom="720" w:left="1440" w:header="63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C3369D" w14:paraId="6A7E6947" w14:textId="77777777">
      <w:r>
        <w:separator/>
      </w:r>
    </w:p>
  </w:endnote>
  <w:endnote w:type="continuationSeparator" w:id="1">
    <w:p w:rsidR="00C3369D" w14:paraId="38E3DCCC"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 New Roman Bold">
    <w:altName w:val="Times New Roman"/>
    <w:panose1 w:val="02020803070505020304"/>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 w:name="Yu Mincho">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536AA" w14:paraId="71975A8C" w14:textId="77777777">
    <w:pPr>
      <w:pStyle w:val="Footer"/>
      <w:framePr w:wrap="around" w:vAnchor="text" w:hAnchor="margin" w:xAlign="center" w:y="1"/>
    </w:pPr>
    <w:r>
      <w:fldChar w:fldCharType="begin"/>
    </w:r>
    <w:r>
      <w:instrText xml:space="preserve">PAGE  </w:instrText>
    </w:r>
    <w:r>
      <w:fldChar w:fldCharType="separate"/>
    </w:r>
    <w:r>
      <w:fldChar w:fldCharType="end"/>
    </w:r>
  </w:p>
  <w:p w:rsidR="007536AA" w14:paraId="5679ABB6"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536AA" w14:paraId="3E21AC47"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C3369D" w14:paraId="606A59B5" w14:textId="77777777">
      <w:r>
        <w:separator/>
      </w:r>
    </w:p>
  </w:footnote>
  <w:footnote w:type="continuationSeparator" w:id="1">
    <w:p w:rsidR="00C3369D" w14:paraId="0566B3CF" w14:textId="77777777">
      <w:pPr>
        <w:rPr>
          <w:sz w:val="20"/>
        </w:rPr>
      </w:pPr>
      <w:r>
        <w:rPr>
          <w:sz w:val="20"/>
        </w:rPr>
        <w:t xml:space="preserve">(Continued from previous page)  </w:t>
      </w:r>
      <w:r>
        <w:rPr>
          <w:sz w:val="20"/>
        </w:rPr>
        <w:separator/>
      </w:r>
    </w:p>
  </w:footnote>
  <w:footnote w:type="continuationNotice" w:id="2">
    <w:p w:rsidR="00C3369D" w14:paraId="14899CDE" w14:textId="77777777">
      <w:pPr>
        <w:jc w:val="right"/>
        <w:rPr>
          <w:sz w:val="20"/>
        </w:rPr>
      </w:pPr>
      <w:r>
        <w:rPr>
          <w:sz w:val="20"/>
        </w:rPr>
        <w:t>(continued….)</w:t>
      </w:r>
    </w:p>
  </w:footnote>
  <w:footnote w:id="3">
    <w:p w:rsidR="0078327E" w:rsidRPr="007D642C" w:rsidP="0078327E" w14:paraId="1AC04BEC" w14:textId="45F2BF87">
      <w:pPr>
        <w:pStyle w:val="FootnoteText"/>
        <w:spacing w:before="120" w:after="0"/>
      </w:pPr>
      <w:r w:rsidRPr="007D642C">
        <w:rPr>
          <w:rStyle w:val="FootnoteReference"/>
          <w:sz w:val="20"/>
        </w:rPr>
        <w:footnoteRef/>
      </w:r>
      <w:r w:rsidRPr="007D642C" w:rsidR="00DD0E6D">
        <w:t xml:space="preserve"> </w:t>
      </w:r>
      <w:r w:rsidRPr="007D642C" w:rsidR="00BD22B9">
        <w:t>FWC</w:t>
      </w:r>
      <w:r w:rsidRPr="007D642C" w:rsidR="00DD0E6D">
        <w:t xml:space="preserve"> </w:t>
      </w:r>
      <w:r w:rsidRPr="007D642C" w:rsidR="00BD22B9">
        <w:t xml:space="preserve">2026 is a subsidiary of Fédération </w:t>
      </w:r>
      <w:r w:rsidRPr="007D642C" w:rsidR="00BD22B9">
        <w:t>Internationale</w:t>
      </w:r>
      <w:r w:rsidRPr="007D642C" w:rsidR="00BD22B9">
        <w:t xml:space="preserve"> de Football Association (FIFA). </w:t>
      </w:r>
      <w:r w:rsidRPr="007D642C" w:rsidR="00C15C71">
        <w:t xml:space="preserve"> </w:t>
      </w:r>
      <w:r w:rsidRPr="007D642C">
        <w:t xml:space="preserve">On </w:t>
      </w:r>
      <w:r w:rsidR="00E42663">
        <w:t>March 1</w:t>
      </w:r>
      <w:r w:rsidR="001E7EB8">
        <w:t>7</w:t>
      </w:r>
      <w:r w:rsidRPr="007D642C">
        <w:t xml:space="preserve">, </w:t>
      </w:r>
      <w:r w:rsidRPr="007D642C" w:rsidR="00DD0E6D">
        <w:t>2026</w:t>
      </w:r>
      <w:r w:rsidRPr="007D642C">
        <w:t xml:space="preserve">, </w:t>
      </w:r>
      <w:r w:rsidRPr="007D642C" w:rsidR="00BD22B9">
        <w:t>FWC</w:t>
      </w:r>
      <w:r w:rsidRPr="007D642C" w:rsidR="00DD0E6D">
        <w:t xml:space="preserve"> </w:t>
      </w:r>
      <w:r w:rsidRPr="007D642C" w:rsidR="00BD22B9">
        <w:t>2026</w:t>
      </w:r>
      <w:r w:rsidRPr="007D642C">
        <w:t xml:space="preserve"> requested that Louis Libin</w:t>
      </w:r>
      <w:r w:rsidRPr="007D642C" w:rsidR="00CA453A">
        <w:t xml:space="preserve"> </w:t>
      </w:r>
      <w:r w:rsidRPr="007D642C">
        <w:t xml:space="preserve">be designated as a special frequency coordinator and RF spectrum manager for the </w:t>
      </w:r>
      <w:r w:rsidRPr="007D642C" w:rsidR="00CA453A">
        <w:t>FIFA World Cup 202</w:t>
      </w:r>
      <w:r w:rsidR="00041A3F">
        <w:t>6</w:t>
      </w:r>
      <w:r w:rsidRPr="007D642C">
        <w:t xml:space="preserve">.  </w:t>
      </w:r>
      <w:r w:rsidRPr="007D642C">
        <w:rPr>
          <w:i/>
          <w:iCs/>
        </w:rPr>
        <w:t xml:space="preserve">See </w:t>
      </w:r>
      <w:r w:rsidRPr="007D642C">
        <w:t xml:space="preserve">Letter from </w:t>
      </w:r>
      <w:r w:rsidRPr="007D642C" w:rsidR="00DC0804">
        <w:t>Stefan Timmermans, Director of Event Technology &amp; Operations</w:t>
      </w:r>
      <w:r w:rsidRPr="007D642C" w:rsidR="00BE3366">
        <w:t>,</w:t>
      </w:r>
      <w:r w:rsidRPr="007D642C" w:rsidR="00E714DD">
        <w:t xml:space="preserve"> and Juan Morales</w:t>
      </w:r>
      <w:r w:rsidRPr="007D642C" w:rsidR="00E674FD">
        <w:t>,</w:t>
      </w:r>
      <w:r w:rsidRPr="007D642C" w:rsidR="00B3763E">
        <w:t xml:space="preserve"> Spectrum &amp; Radio Technology Manager</w:t>
      </w:r>
      <w:r w:rsidRPr="007D642C">
        <w:t xml:space="preserve">, </w:t>
      </w:r>
      <w:r w:rsidR="002E4413">
        <w:t xml:space="preserve">FWC 2026, </w:t>
      </w:r>
      <w:r w:rsidRPr="007D642C">
        <w:t xml:space="preserve">to Marlene H. Dortch, Secretary, </w:t>
      </w:r>
      <w:r w:rsidRPr="007D642C" w:rsidR="00BE3366">
        <w:t>FCC</w:t>
      </w:r>
      <w:r w:rsidR="00EC6C2E">
        <w:t xml:space="preserve">, INBOX-74.24 </w:t>
      </w:r>
      <w:r w:rsidRPr="007D642C">
        <w:t xml:space="preserve">(filed </w:t>
      </w:r>
      <w:r w:rsidR="001E7EB8">
        <w:t>March 17, 2026</w:t>
      </w:r>
      <w:r w:rsidRPr="007D642C">
        <w:t>)</w:t>
      </w:r>
      <w:r w:rsidR="00C42709">
        <w:t>,</w:t>
      </w:r>
      <w:r w:rsidRPr="007D642C">
        <w:t xml:space="preserve"> </w:t>
      </w:r>
      <w:hyperlink r:id="rId1" w:history="1">
        <w:r w:rsidRPr="008C5981" w:rsidR="002E4413">
          <w:rPr>
            <w:rStyle w:val="Hyperlink"/>
          </w:rPr>
          <w:t>https://www.fcc.gov/ecfs/document/1031706338689/1</w:t>
        </w:r>
      </w:hyperlink>
      <w:r w:rsidR="00C42709">
        <w:t xml:space="preserve"> (</w:t>
      </w:r>
      <w:r w:rsidRPr="007D642C" w:rsidR="00C42709">
        <w:t>FWC 2026 WC Request)</w:t>
      </w:r>
      <w:r w:rsidR="00EF1F13">
        <w:t>.</w:t>
      </w:r>
    </w:p>
  </w:footnote>
  <w:footnote w:id="4">
    <w:p w:rsidR="0078327E" w:rsidRPr="007D642C" w:rsidP="0078327E" w14:paraId="0C37101C" w14:textId="77777777">
      <w:pPr>
        <w:pStyle w:val="FootnoteText"/>
        <w:spacing w:before="120" w:after="0"/>
      </w:pPr>
      <w:r w:rsidRPr="007D642C">
        <w:rPr>
          <w:rStyle w:val="FootnoteReference"/>
          <w:sz w:val="20"/>
        </w:rPr>
        <w:footnoteRef/>
      </w:r>
      <w:r w:rsidRPr="007D642C">
        <w:t xml:space="preserve"> Low-power auxiliary operations are a subset of BAS operations.</w:t>
      </w:r>
    </w:p>
  </w:footnote>
  <w:footnote w:id="5">
    <w:p w:rsidR="0078327E" w:rsidRPr="007D642C" w:rsidP="0078327E" w14:paraId="21C16161" w14:textId="31E81E13">
      <w:pPr>
        <w:pStyle w:val="FootnoteText"/>
        <w:spacing w:before="120" w:after="0"/>
      </w:pPr>
      <w:r w:rsidRPr="007D642C">
        <w:rPr>
          <w:rStyle w:val="FootnoteReference"/>
          <w:sz w:val="20"/>
        </w:rPr>
        <w:footnoteRef/>
      </w:r>
      <w:r w:rsidRPr="007D642C">
        <w:t xml:space="preserve"> </w:t>
      </w:r>
      <w:r w:rsidRPr="007D642C">
        <w:rPr>
          <w:i/>
          <w:iCs/>
        </w:rPr>
        <w:t xml:space="preserve">See </w:t>
      </w:r>
      <w:r w:rsidRPr="007D642C">
        <w:t>47 CFR §</w:t>
      </w:r>
      <w:r w:rsidRPr="007D642C" w:rsidR="00FB733F">
        <w:t>§</w:t>
      </w:r>
      <w:r w:rsidRPr="007D642C">
        <w:t xml:space="preserve"> 74.531(a), 74.631(a).  </w:t>
      </w:r>
    </w:p>
  </w:footnote>
  <w:footnote w:id="6">
    <w:p w:rsidR="0078327E" w:rsidRPr="007D642C" w:rsidP="0011641F" w14:paraId="12C18209" w14:textId="18E5B500">
      <w:pPr>
        <w:pStyle w:val="FootnoteText"/>
        <w:spacing w:before="120"/>
      </w:pPr>
      <w:r w:rsidRPr="007D642C">
        <w:rPr>
          <w:rStyle w:val="FootnoteReference"/>
          <w:sz w:val="20"/>
        </w:rPr>
        <w:footnoteRef/>
      </w:r>
      <w:r w:rsidRPr="007D642C">
        <w:t xml:space="preserve"> </w:t>
      </w:r>
      <w:r w:rsidRPr="007D642C">
        <w:rPr>
          <w:i/>
          <w:iCs/>
        </w:rPr>
        <w:t xml:space="preserve">See </w:t>
      </w:r>
      <w:r w:rsidRPr="007D642C" w:rsidR="004528CC">
        <w:rPr>
          <w:i/>
          <w:iCs/>
        </w:rPr>
        <w:t>id.</w:t>
      </w:r>
      <w:r w:rsidRPr="007D642C">
        <w:t xml:space="preserve"> § 74.24(d).</w:t>
      </w:r>
    </w:p>
  </w:footnote>
  <w:footnote w:id="7">
    <w:p w:rsidR="00047270" w:rsidRPr="007D642C" w:rsidP="00047270" w14:paraId="051114D8" w14:textId="556F4159">
      <w:pPr>
        <w:pStyle w:val="FootnoteText"/>
      </w:pPr>
      <w:r w:rsidRPr="007D642C">
        <w:rPr>
          <w:rStyle w:val="FootnoteReference"/>
          <w:sz w:val="20"/>
        </w:rPr>
        <w:footnoteRef/>
      </w:r>
      <w:r w:rsidRPr="007D642C">
        <w:t xml:space="preserve"> </w:t>
      </w:r>
      <w:r w:rsidRPr="007D642C">
        <w:rPr>
          <w:i/>
          <w:iCs/>
        </w:rPr>
        <w:t>See</w:t>
      </w:r>
      <w:r w:rsidRPr="007D642C" w:rsidR="008960B2">
        <w:rPr>
          <w:i/>
          <w:iCs/>
        </w:rPr>
        <w:t>,</w:t>
      </w:r>
      <w:r w:rsidRPr="007D642C">
        <w:rPr>
          <w:i/>
          <w:iCs/>
        </w:rPr>
        <w:t xml:space="preserve"> e.g.</w:t>
      </w:r>
      <w:r w:rsidRPr="007D642C">
        <w:t xml:space="preserve">, </w:t>
      </w:r>
      <w:r w:rsidRPr="007D642C" w:rsidR="00DB6A22">
        <w:rPr>
          <w:i/>
          <w:iCs/>
        </w:rPr>
        <w:t>Broadcast Auxiliary Service Frequency Coordinator Designated for the FIFA Club World Cup 2025</w:t>
      </w:r>
      <w:r w:rsidRPr="007D642C" w:rsidR="00DB6A22">
        <w:t xml:space="preserve">, 40 FCC </w:t>
      </w:r>
      <w:r w:rsidRPr="007D642C" w:rsidR="00DB6A22">
        <w:t>Rcd</w:t>
      </w:r>
      <w:r w:rsidRPr="007D642C" w:rsidR="00DB6A22">
        <w:t xml:space="preserve"> 3932</w:t>
      </w:r>
      <w:r w:rsidRPr="007D642C" w:rsidR="00E86ED5">
        <w:t xml:space="preserve"> (WTB &amp; MB 2025)</w:t>
      </w:r>
      <w:r w:rsidRPr="007D642C" w:rsidR="00DB6A22">
        <w:rPr>
          <w:i/>
          <w:iCs/>
        </w:rPr>
        <w:t xml:space="preserve"> </w:t>
      </w:r>
      <w:r w:rsidRPr="007D642C" w:rsidR="00CD0F43">
        <w:t>(</w:t>
      </w:r>
      <w:r w:rsidRPr="007D642C" w:rsidR="00075898">
        <w:t>CWC25 BAS Coordinator Public Notice</w:t>
      </w:r>
      <w:r w:rsidRPr="007D642C" w:rsidR="00CD0F43">
        <w:t>)</w:t>
      </w:r>
      <w:r w:rsidRPr="007D642C" w:rsidR="00964F6D">
        <w:t xml:space="preserve">; </w:t>
      </w:r>
      <w:r w:rsidRPr="007D642C">
        <w:rPr>
          <w:i/>
          <w:iCs/>
        </w:rPr>
        <w:t>Broadcast Auxiliary Frequency Coordinator Designated for the 2024 National Political Conventions and the 2025 Presidential Inauguration</w:t>
      </w:r>
      <w:r w:rsidRPr="007D642C">
        <w:t xml:space="preserve">, Public Notice, 39 FCC </w:t>
      </w:r>
      <w:r w:rsidRPr="007D642C">
        <w:t>Rcd</w:t>
      </w:r>
      <w:r w:rsidRPr="007D642C">
        <w:t xml:space="preserve"> 6730 (WTB &amp; MB 2024) (2024 BAS Coordinator Public Notice); </w:t>
      </w:r>
      <w:r w:rsidRPr="007D642C">
        <w:rPr>
          <w:i/>
          <w:iCs/>
        </w:rPr>
        <w:t>Auxiliary Broadcast Frequency Coordinator Designated for the 2020 National Political Conventions and the 2021 Presidential Inauguration</w:t>
      </w:r>
      <w:r w:rsidRPr="007D642C">
        <w:t xml:space="preserve">, Public Notice, 35 FCC </w:t>
      </w:r>
      <w:r w:rsidRPr="007D642C">
        <w:t>Rcd</w:t>
      </w:r>
      <w:r w:rsidRPr="007D642C">
        <w:t xml:space="preserve"> 6988 (WTB &amp; MB 2020) (2020 BAS Coordinator Public Notice); </w:t>
      </w:r>
      <w:r w:rsidRPr="007D642C">
        <w:rPr>
          <w:i/>
          <w:iCs/>
        </w:rPr>
        <w:t>Auxiliary Broadcast Frequency Coordinator Designated for the 2002 Olympic Winter Games in Salt Lake City, UT</w:t>
      </w:r>
      <w:r w:rsidRPr="007D642C">
        <w:t xml:space="preserve">, Public Notice, 16 FCC </w:t>
      </w:r>
      <w:r w:rsidRPr="007D642C">
        <w:t>Rcd</w:t>
      </w:r>
      <w:r w:rsidRPr="007D642C">
        <w:t xml:space="preserve"> 683 (WTB 2001)</w:t>
      </w:r>
      <w:r w:rsidRPr="007D642C" w:rsidR="001755AA">
        <w:t xml:space="preserve"> (2</w:t>
      </w:r>
      <w:r w:rsidRPr="007D642C" w:rsidR="00A454F2">
        <w:t>001 Olympic Games BAS Coordinator Public Notice)</w:t>
      </w:r>
      <w:r w:rsidRPr="007D642C" w:rsidR="00964F6D">
        <w:t>.</w:t>
      </w:r>
    </w:p>
  </w:footnote>
  <w:footnote w:id="8">
    <w:p w:rsidR="0078327E" w:rsidRPr="007D642C" w:rsidP="0078327E" w14:paraId="19AA226C" w14:textId="21FB6119">
      <w:pPr>
        <w:pStyle w:val="FootnoteText"/>
        <w:spacing w:before="120" w:after="0"/>
        <w:rPr>
          <w:iCs/>
        </w:rPr>
      </w:pPr>
      <w:r w:rsidRPr="007D642C">
        <w:rPr>
          <w:rStyle w:val="FootnoteReference"/>
          <w:sz w:val="20"/>
        </w:rPr>
        <w:footnoteRef/>
      </w:r>
      <w:r w:rsidRPr="007D642C">
        <w:rPr>
          <w:rStyle w:val="FootnoteReference"/>
          <w:sz w:val="20"/>
          <w:vertAlign w:val="baseline"/>
        </w:rPr>
        <w:t xml:space="preserve"> </w:t>
      </w:r>
      <w:r w:rsidRPr="007D642C">
        <w:t xml:space="preserve">“The Commission may designate a frequency coordinator as the single point of contact for short-term operation under section 74.24 for advance coordination of major national and international events.  Once designated, all short-term auxiliary broadcast use under section 74.24 must be coordinated in advance through the designated coordinator.”  </w:t>
      </w:r>
      <w:r w:rsidRPr="007D642C">
        <w:rPr>
          <w:iCs/>
        </w:rPr>
        <w:t xml:space="preserve">47 CFR § 74.24(g)(2).  All coordination must be done on a non-discriminatory basis, and all licensees must abide by the decision of the coordinator.  The Commission will be the final arbiter of any disputes.  </w:t>
      </w:r>
      <w:r w:rsidRPr="007D642C" w:rsidR="000D1B0D">
        <w:rPr>
          <w:i/>
        </w:rPr>
        <w:t>See</w:t>
      </w:r>
      <w:r w:rsidRPr="007D642C" w:rsidR="001167AE">
        <w:rPr>
          <w:i/>
        </w:rPr>
        <w:t>, e.g.</w:t>
      </w:r>
      <w:r w:rsidRPr="007D642C" w:rsidR="001167AE">
        <w:rPr>
          <w:iCs/>
        </w:rPr>
        <w:t>,</w:t>
      </w:r>
      <w:r w:rsidRPr="007D642C" w:rsidR="000D1B0D">
        <w:rPr>
          <w:i/>
        </w:rPr>
        <w:t xml:space="preserve"> </w:t>
      </w:r>
      <w:r w:rsidRPr="007D642C" w:rsidR="00531481">
        <w:rPr>
          <w:i/>
        </w:rPr>
        <w:t>Auxiliary Broadcast Frequency Coordinator Designated for the Republican National Convention in Cleveland, Ohio, the Democratic National Convention in Philadelphia, Pennsylvania, and the Presidential Inauguration in Washington, D.C.</w:t>
      </w:r>
      <w:r w:rsidRPr="007D642C" w:rsidR="00FC5422">
        <w:rPr>
          <w:iCs/>
        </w:rPr>
        <w:t>,</w:t>
      </w:r>
      <w:r w:rsidRPr="007D642C" w:rsidR="00FC5422">
        <w:rPr>
          <w:i/>
        </w:rPr>
        <w:t xml:space="preserve"> </w:t>
      </w:r>
      <w:r w:rsidRPr="007D642C" w:rsidR="00FC5422">
        <w:rPr>
          <w:iCs/>
        </w:rPr>
        <w:t xml:space="preserve">Public Notice, </w:t>
      </w:r>
      <w:r w:rsidRPr="007D642C" w:rsidR="000F0992">
        <w:rPr>
          <w:iCs/>
        </w:rPr>
        <w:t xml:space="preserve">31 FCC </w:t>
      </w:r>
      <w:r w:rsidRPr="007D642C" w:rsidR="000F0992">
        <w:rPr>
          <w:iCs/>
        </w:rPr>
        <w:t>Rcd</w:t>
      </w:r>
      <w:r w:rsidRPr="007D642C" w:rsidR="000F0992">
        <w:rPr>
          <w:iCs/>
        </w:rPr>
        <w:t xml:space="preserve"> 7305</w:t>
      </w:r>
      <w:r w:rsidRPr="007D642C" w:rsidR="00FC5422">
        <w:rPr>
          <w:iCs/>
        </w:rPr>
        <w:t xml:space="preserve"> (WTB &amp; MB</w:t>
      </w:r>
      <w:r w:rsidRPr="007D642C" w:rsidR="00A56CED">
        <w:rPr>
          <w:iCs/>
        </w:rPr>
        <w:t xml:space="preserve"> 2016)</w:t>
      </w:r>
      <w:r w:rsidRPr="007D642C" w:rsidR="00973CD8">
        <w:rPr>
          <w:iCs/>
        </w:rPr>
        <w:t xml:space="preserve"> (2016 BAS Coordinator Public Notice)</w:t>
      </w:r>
      <w:r w:rsidRPr="007D642C" w:rsidR="0060527C">
        <w:rPr>
          <w:iCs/>
        </w:rPr>
        <w:t>.</w:t>
      </w:r>
    </w:p>
  </w:footnote>
  <w:footnote w:id="9">
    <w:p w:rsidR="0078327E" w:rsidRPr="007D642C" w:rsidP="00127CC8" w14:paraId="2EF75AAF" w14:textId="715A016B">
      <w:pPr>
        <w:pStyle w:val="FootnoteText"/>
        <w:spacing w:before="120"/>
      </w:pPr>
      <w:r w:rsidRPr="007D642C">
        <w:rPr>
          <w:rStyle w:val="FootnoteReference"/>
          <w:sz w:val="20"/>
        </w:rPr>
        <w:footnoteRef/>
      </w:r>
      <w:r w:rsidRPr="007D642C">
        <w:t xml:space="preserve"> </w:t>
      </w:r>
      <w:r w:rsidRPr="007D642C" w:rsidR="00973CD8">
        <w:rPr>
          <w:i/>
          <w:iCs/>
        </w:rPr>
        <w:t xml:space="preserve">See </w:t>
      </w:r>
      <w:r w:rsidRPr="007D642C" w:rsidR="00973CD8">
        <w:t>2016 BAS Coordinator Public Notice</w:t>
      </w:r>
      <w:r w:rsidRPr="007D642C" w:rsidR="00D873B7">
        <w:t>;</w:t>
      </w:r>
      <w:r w:rsidRPr="007D642C">
        <w:t xml:space="preserve"> </w:t>
      </w:r>
      <w:r w:rsidRPr="007D642C" w:rsidR="005F72D4">
        <w:rPr>
          <w:i/>
          <w:iCs/>
        </w:rPr>
        <w:t xml:space="preserve">see also </w:t>
      </w:r>
      <w:r w:rsidRPr="007D642C" w:rsidR="005F72D4">
        <w:t>2020 BAS Coordinator Public Notice</w:t>
      </w:r>
      <w:r w:rsidRPr="007D642C">
        <w:t xml:space="preserve"> at 6989. </w:t>
      </w:r>
      <w:r w:rsidRPr="007D642C">
        <w:rPr>
          <w:i/>
          <w:iCs/>
        </w:rPr>
        <w:t xml:space="preserve"> </w:t>
      </w:r>
    </w:p>
  </w:footnote>
  <w:footnote w:id="10">
    <w:p w:rsidR="004F780E" w:rsidRPr="007D642C" w:rsidP="004F780E" w14:paraId="1745896A" w14:textId="7925912A">
      <w:pPr>
        <w:pStyle w:val="FootnoteText"/>
      </w:pPr>
      <w:r w:rsidRPr="007D642C">
        <w:rPr>
          <w:rStyle w:val="FootnoteReference"/>
          <w:sz w:val="20"/>
        </w:rPr>
        <w:footnoteRef/>
      </w:r>
      <w:r w:rsidRPr="007D642C">
        <w:t xml:space="preserve"> </w:t>
      </w:r>
      <w:r w:rsidRPr="007D642C">
        <w:rPr>
          <w:i/>
          <w:iCs/>
        </w:rPr>
        <w:t>See</w:t>
      </w:r>
      <w:r w:rsidRPr="007D642C">
        <w:t xml:space="preserve"> FWC 2026 Request at 2.</w:t>
      </w:r>
      <w:r w:rsidRPr="007D642C" w:rsidR="00D6034D">
        <w:t xml:space="preserve"> </w:t>
      </w:r>
      <w:r w:rsidRPr="007D642C">
        <w:t xml:space="preserve"> </w:t>
      </w:r>
      <w:r w:rsidRPr="007D642C" w:rsidR="00D6034D">
        <w:t>WC26</w:t>
      </w:r>
      <w:r w:rsidRPr="007D642C">
        <w:t xml:space="preserve"> will take place across </w:t>
      </w:r>
      <w:r w:rsidRPr="007D642C" w:rsidR="00D6034D">
        <w:t>11</w:t>
      </w:r>
      <w:r w:rsidRPr="007D642C">
        <w:t xml:space="preserve"> venues in the United States from </w:t>
      </w:r>
      <w:r w:rsidRPr="007D642C" w:rsidR="0078734B">
        <w:t xml:space="preserve">June 11 to July 19, </w:t>
      </w:r>
      <w:r w:rsidRPr="007D642C">
        <w:t>202</w:t>
      </w:r>
      <w:r w:rsidRPr="007D642C" w:rsidR="0078734B">
        <w:t>6</w:t>
      </w:r>
      <w:r w:rsidRPr="007D642C">
        <w:t xml:space="preserve">. </w:t>
      </w:r>
      <w:r w:rsidRPr="007D642C" w:rsidR="00D6034D">
        <w:t xml:space="preserve"> </w:t>
      </w:r>
      <w:r w:rsidRPr="007D642C" w:rsidR="00D6034D">
        <w:rPr>
          <w:i/>
          <w:iCs/>
        </w:rPr>
        <w:t>Id.</w:t>
      </w:r>
    </w:p>
  </w:footnote>
  <w:footnote w:id="11">
    <w:p w:rsidR="002E5380" w:rsidRPr="007D642C" w:rsidP="002E5380" w14:paraId="41FA8FCF" w14:textId="4C1BD399">
      <w:pPr>
        <w:pStyle w:val="FootnoteText"/>
      </w:pPr>
      <w:r w:rsidRPr="007D642C">
        <w:rPr>
          <w:rStyle w:val="FootnoteReference"/>
          <w:sz w:val="20"/>
        </w:rPr>
        <w:footnoteRef/>
      </w:r>
      <w:r w:rsidRPr="007D642C">
        <w:t xml:space="preserve"> </w:t>
      </w:r>
      <w:r w:rsidRPr="007D642C">
        <w:rPr>
          <w:i/>
          <w:iCs/>
        </w:rPr>
        <w:t>See</w:t>
      </w:r>
      <w:r w:rsidRPr="007D642C">
        <w:t xml:space="preserve"> </w:t>
      </w:r>
      <w:r w:rsidRPr="007D642C" w:rsidR="0078734B">
        <w:rPr>
          <w:i/>
          <w:iCs/>
        </w:rPr>
        <w:t>id.</w:t>
      </w:r>
      <w:r w:rsidRPr="007D642C" w:rsidR="0078734B">
        <w:t xml:space="preserve"> at</w:t>
      </w:r>
      <w:r w:rsidRPr="007D642C">
        <w:t xml:space="preserve"> 2, 5.</w:t>
      </w:r>
      <w:r w:rsidRPr="007D642C">
        <w:rPr>
          <w:snapToGrid w:val="0"/>
          <w:kern w:val="28"/>
        </w:rPr>
        <w:t xml:space="preserve">  </w:t>
      </w:r>
      <w:r w:rsidRPr="007D642C">
        <w:t>For example, FWC</w:t>
      </w:r>
      <w:r w:rsidR="00AB64D7">
        <w:t xml:space="preserve"> </w:t>
      </w:r>
      <w:r w:rsidRPr="007D642C">
        <w:t xml:space="preserve">2026 anticipates that over 2,700 pieces of equipment, such as interruptible foldback systems for real time communication, wireless intercoms and talkbacks for production crews, and RF audio links for sound mixing and audio routing, will be utilized during </w:t>
      </w:r>
      <w:r w:rsidRPr="007D642C" w:rsidR="00CC0F8C">
        <w:t>WC26</w:t>
      </w:r>
      <w:r w:rsidRPr="007D642C">
        <w:t xml:space="preserve"> to support over 300 media agencies.</w:t>
      </w:r>
      <w:r w:rsidRPr="007D642C" w:rsidR="009E4D20">
        <w:t xml:space="preserve">  </w:t>
      </w:r>
      <w:r w:rsidRPr="007D642C" w:rsidR="009E4D20">
        <w:rPr>
          <w:i/>
          <w:iCs/>
        </w:rPr>
        <w:t>Id.</w:t>
      </w:r>
    </w:p>
  </w:footnote>
  <w:footnote w:id="12">
    <w:p w:rsidR="002E5380" w:rsidRPr="007D642C" w:rsidP="002E5380" w14:paraId="2AF75C8D" w14:textId="77777777">
      <w:pPr>
        <w:pStyle w:val="FootnoteText"/>
      </w:pPr>
      <w:r w:rsidRPr="007D642C">
        <w:rPr>
          <w:rStyle w:val="FootnoteReference"/>
          <w:sz w:val="20"/>
        </w:rPr>
        <w:footnoteRef/>
      </w:r>
      <w:r w:rsidRPr="007D642C">
        <w:t xml:space="preserve"> </w:t>
      </w:r>
      <w:r w:rsidRPr="007D642C">
        <w:rPr>
          <w:i/>
          <w:iCs/>
        </w:rPr>
        <w:t>Id.</w:t>
      </w:r>
    </w:p>
  </w:footnote>
  <w:footnote w:id="13">
    <w:p w:rsidR="00FD5B0B" w:rsidRPr="00FD5B0B" w14:paraId="2C043D6A" w14:textId="3A15AAC3">
      <w:pPr>
        <w:pStyle w:val="FootnoteText"/>
      </w:pPr>
      <w:r>
        <w:rPr>
          <w:rStyle w:val="FootnoteReference"/>
        </w:rPr>
        <w:footnoteRef/>
      </w:r>
      <w:r>
        <w:t xml:space="preserve"> </w:t>
      </w:r>
      <w:r>
        <w:rPr>
          <w:i/>
          <w:iCs/>
        </w:rPr>
        <w:t>See</w:t>
      </w:r>
      <w:r w:rsidR="00747B87">
        <w:rPr>
          <w:i/>
          <w:iCs/>
        </w:rPr>
        <w:t>, e.g.</w:t>
      </w:r>
      <w:r w:rsidR="00747B87">
        <w:t>,</w:t>
      </w:r>
      <w:r>
        <w:rPr>
          <w:i/>
          <w:iCs/>
        </w:rPr>
        <w:t xml:space="preserve"> </w:t>
      </w:r>
      <w:r w:rsidRPr="007D642C">
        <w:t>CWC25 BAS Coordinator Public Notice</w:t>
      </w:r>
      <w:r w:rsidR="0001303B">
        <w:t xml:space="preserve">; </w:t>
      </w:r>
      <w:r w:rsidRPr="0001303B" w:rsidR="0001303B">
        <w:t>2024 BAS Coordinator Public Notice; 2020 BAS Coordinator Public Notice.</w:t>
      </w:r>
    </w:p>
  </w:footnote>
  <w:footnote w:id="14">
    <w:p w:rsidR="00184C9E" w:rsidRPr="007D642C" w14:paraId="76AE24D8" w14:textId="775A1FD1">
      <w:pPr>
        <w:pStyle w:val="FootnoteText"/>
      </w:pPr>
      <w:r w:rsidRPr="007D642C">
        <w:rPr>
          <w:rStyle w:val="FootnoteReference"/>
          <w:sz w:val="20"/>
        </w:rPr>
        <w:footnoteRef/>
      </w:r>
      <w:r w:rsidRPr="007D642C">
        <w:t xml:space="preserve"> </w:t>
      </w:r>
      <w:r w:rsidRPr="007D642C" w:rsidR="00D90B90">
        <w:rPr>
          <w:i/>
          <w:iCs/>
        </w:rPr>
        <w:t>See</w:t>
      </w:r>
      <w:r w:rsidRPr="007D642C">
        <w:t xml:space="preserve"> </w:t>
      </w:r>
      <w:r w:rsidRPr="007D642C" w:rsidR="00090588">
        <w:t>CWC25 BAS Coordinator Public Notice</w:t>
      </w:r>
      <w:r w:rsidRPr="007D642C" w:rsidR="00E86ED5">
        <w:t xml:space="preserve"> at 2</w:t>
      </w:r>
      <w:r w:rsidRPr="007D642C" w:rsidR="006A77EE">
        <w:t>.</w:t>
      </w:r>
      <w:r w:rsidRPr="007D642C" w:rsidR="0062590F">
        <w:rPr>
          <w:highlight w:val="yellow"/>
        </w:rPr>
        <w:t xml:space="preserve"> </w:t>
      </w:r>
    </w:p>
  </w:footnote>
  <w:footnote w:id="15">
    <w:p w:rsidR="005E2840" w:rsidRPr="007D642C" w:rsidP="00946473" w14:paraId="3C88D3C7" w14:textId="06296839">
      <w:pPr>
        <w:pStyle w:val="FootnoteText"/>
        <w:spacing w:before="120"/>
      </w:pPr>
      <w:r w:rsidRPr="007D642C">
        <w:rPr>
          <w:rStyle w:val="FootnoteReference"/>
          <w:sz w:val="20"/>
        </w:rPr>
        <w:footnoteRef/>
      </w:r>
      <w:r w:rsidRPr="007D642C">
        <w:t xml:space="preserve"> This coordination requirement applies to BAS operators, as well as to providers of other radio services that are permitted to use Part 74 frequencies</w:t>
      </w:r>
      <w:r w:rsidR="00AB64D7">
        <w:t xml:space="preserve"> that</w:t>
      </w:r>
      <w:r w:rsidRPr="007D642C">
        <w:t xml:space="preserve"> will be operating in the designated areas during the applicable time periods.  The Commission’s rules permit providers of cable television relay service and fixed microwave service to use Part 74 frequencies for temporary fixed, mobile, and portable installations.  </w:t>
      </w:r>
      <w:r w:rsidRPr="007D642C">
        <w:rPr>
          <w:i/>
          <w:iCs/>
        </w:rPr>
        <w:t xml:space="preserve">See </w:t>
      </w:r>
      <w:r w:rsidRPr="007D642C">
        <w:t>47 CFR §</w:t>
      </w:r>
      <w:r w:rsidRPr="007D642C" w:rsidR="00527E22">
        <w:t>§</w:t>
      </w:r>
      <w:r w:rsidRPr="007D642C">
        <w:t xml:space="preserve"> 78.18</w:t>
      </w:r>
      <w:r w:rsidRPr="007D642C" w:rsidR="00527E22">
        <w:t>,</w:t>
      </w:r>
      <w:r w:rsidRPr="007D642C">
        <w:t xml:space="preserve"> 101.803(b).  </w:t>
      </w:r>
      <w:r w:rsidRPr="007D642C" w:rsidR="0076668B">
        <w:t>We remind licensees to consult Federal Aviation Administration flight advisories for national special security events for airspace restrictions or other requirements.</w:t>
      </w:r>
    </w:p>
  </w:footnote>
  <w:footnote w:id="16">
    <w:p w:rsidR="00FA33FE" w:rsidRPr="007D642C" w:rsidP="00FA33FE" w14:paraId="0F7B2315" w14:textId="559F7090">
      <w:pPr>
        <w:pStyle w:val="FootnoteText"/>
      </w:pPr>
      <w:r w:rsidRPr="007D642C">
        <w:rPr>
          <w:rStyle w:val="FootnoteReference"/>
          <w:sz w:val="20"/>
        </w:rPr>
        <w:footnoteRef/>
      </w:r>
      <w:r w:rsidRPr="007D642C">
        <w:t xml:space="preserve"> </w:t>
      </w:r>
      <w:r w:rsidRPr="007D642C">
        <w:rPr>
          <w:i/>
          <w:iCs/>
        </w:rPr>
        <w:t>See</w:t>
      </w:r>
      <w:r w:rsidRPr="007D642C">
        <w:t xml:space="preserve"> FWC</w:t>
      </w:r>
      <w:r w:rsidRPr="007D642C" w:rsidR="001A282C">
        <w:t xml:space="preserve"> </w:t>
      </w:r>
      <w:r w:rsidRPr="007D642C">
        <w:t xml:space="preserve">2026 Request at </w:t>
      </w:r>
      <w:r w:rsidRPr="007D642C" w:rsidR="00E7271A">
        <w:t>3</w:t>
      </w:r>
      <w:r w:rsidRPr="007D642C">
        <w:t xml:space="preserve">.  </w:t>
      </w:r>
    </w:p>
  </w:footnote>
  <w:footnote w:id="17">
    <w:p w:rsidR="0078327E" w:rsidRPr="007D642C" w:rsidP="00946473" w14:paraId="492EA903" w14:textId="6157EB5B">
      <w:pPr>
        <w:spacing w:after="120"/>
        <w:rPr>
          <w:rStyle w:val="FootnoteReference"/>
          <w:kern w:val="0"/>
          <w:sz w:val="20"/>
        </w:rPr>
      </w:pPr>
      <w:r w:rsidRPr="007D642C">
        <w:rPr>
          <w:rStyle w:val="FootnoteReference"/>
          <w:sz w:val="20"/>
        </w:rPr>
        <w:footnoteRef/>
      </w:r>
      <w:r w:rsidRPr="007D642C">
        <w:rPr>
          <w:sz w:val="20"/>
        </w:rPr>
        <w:t xml:space="preserve"> The only WS Database </w:t>
      </w:r>
      <w:r w:rsidRPr="007D642C" w:rsidR="00C2769E">
        <w:rPr>
          <w:sz w:val="20"/>
        </w:rPr>
        <w:t>Administrator</w:t>
      </w:r>
      <w:r w:rsidRPr="007D642C">
        <w:rPr>
          <w:sz w:val="20"/>
        </w:rPr>
        <w:t xml:space="preserve"> currently operational is Red Technologies</w:t>
      </w:r>
      <w:r w:rsidRPr="007D642C" w:rsidR="00A02132">
        <w:rPr>
          <w:sz w:val="20"/>
        </w:rPr>
        <w:t>—</w:t>
      </w:r>
      <w:hyperlink r:id="rId2" w:history="1">
        <w:r w:rsidRPr="007D642C">
          <w:rPr>
            <w:rStyle w:val="Hyperlink"/>
            <w:sz w:val="20"/>
          </w:rPr>
          <w:t>https://usa.wavedb.com/</w:t>
        </w:r>
      </w:hyperlink>
      <w:r w:rsidR="00EF14DF">
        <w:rPr>
          <w:sz w:val="20"/>
        </w:rPr>
        <w:t>.</w:t>
      </w:r>
    </w:p>
  </w:footnote>
  <w:footnote w:id="18">
    <w:p w:rsidR="0078327E" w:rsidRPr="007D642C" w:rsidP="0087027C" w14:paraId="1E16A3FF" w14:textId="74F06D54">
      <w:pPr>
        <w:pStyle w:val="FootnoteText"/>
      </w:pPr>
      <w:r w:rsidRPr="007D642C">
        <w:rPr>
          <w:rStyle w:val="FootnoteReference"/>
          <w:sz w:val="20"/>
        </w:rPr>
        <w:footnoteRef/>
      </w:r>
      <w:r w:rsidRPr="007D642C">
        <w:t xml:space="preserve"> </w:t>
      </w:r>
      <w:r w:rsidRPr="007D642C" w:rsidR="00C33D74">
        <w:t>FWC</w:t>
      </w:r>
      <w:r w:rsidRPr="007D642C" w:rsidR="00964F6D">
        <w:t xml:space="preserve"> </w:t>
      </w:r>
      <w:r w:rsidRPr="007D642C" w:rsidR="00C33D74">
        <w:t>2026 Request</w:t>
      </w:r>
      <w:r w:rsidRPr="007D642C">
        <w:t xml:space="preserve"> at 3</w:t>
      </w:r>
      <w:r w:rsidRPr="007D642C" w:rsidR="00042B18">
        <w:t>–</w:t>
      </w:r>
      <w:r w:rsidRPr="007D642C" w:rsidR="005717A6">
        <w:t>5</w:t>
      </w:r>
      <w:r w:rsidRPr="007D642C">
        <w:t xml:space="preserve">.  Section 74.802 of the Commission’s rules limits operation of </w:t>
      </w:r>
      <w:r w:rsidR="00041A3F">
        <w:t>LPAS</w:t>
      </w:r>
      <w:r w:rsidRPr="007D642C">
        <w:t xml:space="preserve"> </w:t>
      </w:r>
      <w:r w:rsidRPr="007D642C">
        <w:rPr>
          <w:color w:val="000000"/>
          <w:shd w:val="clear" w:color="auto" w:fill="FFFFFF"/>
        </w:rPr>
        <w:t xml:space="preserve">to locations at least </w:t>
      </w:r>
      <w:r w:rsidRPr="007D642C" w:rsidR="00B715D3">
        <w:rPr>
          <w:color w:val="000000"/>
          <w:shd w:val="clear" w:color="auto" w:fill="FFFFFF"/>
        </w:rPr>
        <w:t>four</w:t>
      </w:r>
      <w:r w:rsidRPr="007D642C">
        <w:rPr>
          <w:color w:val="000000"/>
          <w:shd w:val="clear" w:color="auto" w:fill="FFFFFF"/>
        </w:rPr>
        <w:t xml:space="preserve"> kilometers outside the protected contours of co-channel TV stations</w:t>
      </w:r>
      <w:r w:rsidRPr="007D642C">
        <w:t>.  47 CFR § 74.802(b)(1).</w:t>
      </w:r>
    </w:p>
  </w:footnote>
  <w:footnote w:id="19">
    <w:p w:rsidR="008551B3" w:rsidRPr="007D642C" w14:paraId="73E380B2" w14:textId="02267BCF">
      <w:pPr>
        <w:pStyle w:val="FootnoteText"/>
      </w:pPr>
      <w:r w:rsidRPr="007D642C">
        <w:rPr>
          <w:rStyle w:val="FootnoteReference"/>
          <w:sz w:val="20"/>
        </w:rPr>
        <w:footnoteRef/>
      </w:r>
      <w:r w:rsidRPr="007D642C">
        <w:t xml:space="preserve"> </w:t>
      </w:r>
      <w:r w:rsidRPr="007D642C" w:rsidR="007B3CE9">
        <w:t>FWC</w:t>
      </w:r>
      <w:r w:rsidRPr="007D642C" w:rsidR="00964F6D">
        <w:t xml:space="preserve"> </w:t>
      </w:r>
      <w:r w:rsidRPr="007D642C" w:rsidR="007B3CE9">
        <w:t>2026</w:t>
      </w:r>
      <w:r w:rsidRPr="007D642C" w:rsidR="005C6B51">
        <w:t xml:space="preserve"> Request at </w:t>
      </w:r>
      <w:r w:rsidRPr="007D642C" w:rsidR="00297157">
        <w:t>4</w:t>
      </w:r>
      <w:r w:rsidRPr="007D642C" w:rsidR="00042B18">
        <w:t>–</w:t>
      </w:r>
      <w:r w:rsidRPr="007D642C" w:rsidR="001756BF">
        <w:t>5.</w:t>
      </w:r>
    </w:p>
  </w:footnote>
  <w:footnote w:id="20">
    <w:p w:rsidR="00980955" w:rsidRPr="007D642C" w14:paraId="29AB8734" w14:textId="64F548D6">
      <w:pPr>
        <w:pStyle w:val="FootnoteText"/>
      </w:pPr>
      <w:r w:rsidRPr="007D642C">
        <w:rPr>
          <w:rStyle w:val="FootnoteReference"/>
          <w:sz w:val="20"/>
        </w:rPr>
        <w:footnoteRef/>
      </w:r>
      <w:r w:rsidRPr="007D642C">
        <w:t xml:space="preserve"> 47 CFR §</w:t>
      </w:r>
      <w:r w:rsidRPr="007D642C" w:rsidR="002D5DB1">
        <w:t> </w:t>
      </w:r>
      <w:r w:rsidRPr="007D642C">
        <w:t>74.861(</w:t>
      </w:r>
      <w:r w:rsidRPr="007D642C" w:rsidR="00C453DB">
        <w:t>e</w:t>
      </w:r>
      <w:r w:rsidRPr="007D642C">
        <w:t>)(1)(ii).</w:t>
      </w:r>
      <w:r w:rsidRPr="007D642C" w:rsidR="00A02132">
        <w:t xml:space="preserve"> </w:t>
      </w:r>
      <w:r w:rsidRPr="007D642C" w:rsidR="00FD44BF">
        <w:t xml:space="preserve"> Specifically, the power in the 470</w:t>
      </w:r>
      <w:r w:rsidR="007D642C">
        <w:t>–</w:t>
      </w:r>
      <w:r w:rsidRPr="007D642C" w:rsidR="00FD44BF">
        <w:t xml:space="preserve">608 MHz band may not exceed 250 </w:t>
      </w:r>
      <w:r w:rsidRPr="007D642C" w:rsidR="00FD44BF">
        <w:t>mW</w:t>
      </w:r>
      <w:r w:rsidRPr="007D642C" w:rsidR="00FD44BF">
        <w:t xml:space="preserve"> conducted power. </w:t>
      </w:r>
    </w:p>
  </w:footnote>
  <w:footnote w:id="21">
    <w:p w:rsidR="001756BF" w:rsidRPr="007D642C" w14:paraId="06021E76" w14:textId="77B9F307">
      <w:pPr>
        <w:pStyle w:val="FootnoteText"/>
      </w:pPr>
      <w:r w:rsidRPr="007D642C">
        <w:rPr>
          <w:rStyle w:val="FootnoteReference"/>
          <w:sz w:val="20"/>
        </w:rPr>
        <w:footnoteRef/>
      </w:r>
      <w:r w:rsidRPr="007D642C">
        <w:t xml:space="preserve"> </w:t>
      </w:r>
      <w:r w:rsidRPr="007D642C" w:rsidR="00DE2357">
        <w:t xml:space="preserve">FWCC 2026 Request at </w:t>
      </w:r>
      <w:r w:rsidRPr="007D642C" w:rsidR="00DF2927">
        <w:t>5.</w:t>
      </w:r>
    </w:p>
  </w:footnote>
  <w:footnote w:id="22">
    <w:p w:rsidR="00F1420C" w:rsidRPr="007D642C" w14:paraId="56AD483E" w14:textId="78A6FE75">
      <w:pPr>
        <w:pStyle w:val="FootnoteText"/>
      </w:pPr>
      <w:r w:rsidRPr="007D642C">
        <w:rPr>
          <w:rStyle w:val="FootnoteReference"/>
          <w:sz w:val="20"/>
        </w:rPr>
        <w:footnoteRef/>
      </w:r>
      <w:r w:rsidRPr="007D642C">
        <w:t xml:space="preserve"> </w:t>
      </w:r>
      <w:r w:rsidRPr="007D642C">
        <w:rPr>
          <w:i/>
          <w:iCs/>
        </w:rPr>
        <w:t>Id.</w:t>
      </w:r>
      <w:r w:rsidRPr="007D642C" w:rsidR="00085B72">
        <w:rPr>
          <w:i/>
          <w:iCs/>
        </w:rPr>
        <w:t xml:space="preserve"> </w:t>
      </w:r>
      <w:r w:rsidRPr="007D642C">
        <w:t>at 4.</w:t>
      </w:r>
    </w:p>
  </w:footnote>
  <w:footnote w:id="23">
    <w:p w:rsidR="00FE1880" w:rsidRPr="007D642C" w14:paraId="7F595F03" w14:textId="6D415676">
      <w:pPr>
        <w:pStyle w:val="FootnoteText"/>
      </w:pPr>
      <w:r w:rsidRPr="007D642C">
        <w:rPr>
          <w:rStyle w:val="FootnoteReference"/>
          <w:sz w:val="20"/>
        </w:rPr>
        <w:footnoteRef/>
      </w:r>
      <w:r w:rsidRPr="007D642C">
        <w:t xml:space="preserve"> </w:t>
      </w:r>
      <w:r w:rsidRPr="007D642C" w:rsidR="001D46B2">
        <w:rPr>
          <w:i/>
          <w:iCs/>
        </w:rPr>
        <w:t>Id.</w:t>
      </w:r>
      <w:r w:rsidRPr="007D642C" w:rsidR="00C66478">
        <w:rPr>
          <w:i/>
          <w:iCs/>
        </w:rPr>
        <w:t xml:space="preserve"> </w:t>
      </w:r>
      <w:r w:rsidRPr="007D642C" w:rsidR="00C66478">
        <w:t>at 5.</w:t>
      </w:r>
    </w:p>
  </w:footnote>
  <w:footnote w:id="24">
    <w:p w:rsidR="00DD5360" w:rsidRPr="007D642C" w14:paraId="0985989C" w14:textId="32525617">
      <w:pPr>
        <w:pStyle w:val="FootnoteText"/>
      </w:pPr>
      <w:r w:rsidRPr="007D642C">
        <w:rPr>
          <w:rStyle w:val="FootnoteReference"/>
          <w:sz w:val="20"/>
        </w:rPr>
        <w:footnoteRef/>
      </w:r>
      <w:r w:rsidRPr="007D642C">
        <w:t xml:space="preserve"> </w:t>
      </w:r>
      <w:r w:rsidRPr="007D642C" w:rsidR="00B339CB">
        <w:rPr>
          <w:i/>
          <w:iCs/>
        </w:rPr>
        <w:t>Id.</w:t>
      </w:r>
      <w:r w:rsidR="0073210C">
        <w:t xml:space="preserve"> </w:t>
      </w:r>
      <w:r w:rsidR="00D3679D">
        <w:t>at 3–4</w:t>
      </w:r>
      <w:r w:rsidRPr="007D642C" w:rsidR="00E01C37">
        <w:t>.</w:t>
      </w:r>
    </w:p>
  </w:footnote>
  <w:footnote w:id="25">
    <w:p w:rsidR="00B23262" w:rsidRPr="007D642C" w14:paraId="4793822C" w14:textId="09078398">
      <w:pPr>
        <w:pStyle w:val="FootnoteText"/>
      </w:pPr>
      <w:r w:rsidRPr="007D642C">
        <w:rPr>
          <w:rStyle w:val="FootnoteReference"/>
          <w:sz w:val="20"/>
        </w:rPr>
        <w:footnoteRef/>
      </w:r>
      <w:r w:rsidRPr="007D642C">
        <w:t xml:space="preserve"> </w:t>
      </w:r>
      <w:r w:rsidR="003F7BCA">
        <w:rPr>
          <w:i/>
          <w:iCs/>
        </w:rPr>
        <w:t>Id.</w:t>
      </w:r>
      <w:r w:rsidRPr="007D642C">
        <w:t xml:space="preserve"> at 5.  </w:t>
      </w:r>
    </w:p>
  </w:footnote>
  <w:footnote w:id="26">
    <w:p w:rsidR="00C44430" w:rsidRPr="007D642C" w14:paraId="29B33C05" w14:textId="0B2D750A">
      <w:pPr>
        <w:pStyle w:val="FootnoteText"/>
      </w:pPr>
      <w:r w:rsidRPr="007D642C">
        <w:rPr>
          <w:rStyle w:val="FootnoteReference"/>
          <w:sz w:val="20"/>
        </w:rPr>
        <w:footnoteRef/>
      </w:r>
      <w:r w:rsidRPr="007D642C">
        <w:t xml:space="preserve"> </w:t>
      </w:r>
      <w:r w:rsidRPr="007D642C" w:rsidR="00B339CB">
        <w:rPr>
          <w:i/>
          <w:iCs/>
        </w:rPr>
        <w:t>Id.</w:t>
      </w:r>
      <w:r w:rsidRPr="007D642C" w:rsidR="00801E99">
        <w:rPr>
          <w:i/>
          <w:iCs/>
        </w:rPr>
        <w:t xml:space="preserve"> </w:t>
      </w:r>
      <w:r w:rsidRPr="007D642C" w:rsidR="00801E99">
        <w:t xml:space="preserve">at </w:t>
      </w:r>
      <w:r w:rsidRPr="007D642C" w:rsidR="00591FF7">
        <w:t>3, 5–6.</w:t>
      </w:r>
    </w:p>
  </w:footnote>
  <w:footnote w:id="27">
    <w:p w:rsidR="00754688" w:rsidRPr="007D642C" w:rsidP="00207D68" w14:paraId="14DD3B18" w14:textId="79C10BD8">
      <w:pPr>
        <w:pStyle w:val="FootnoteText"/>
        <w:spacing w:before="120"/>
      </w:pPr>
      <w:r w:rsidRPr="007D642C">
        <w:rPr>
          <w:rStyle w:val="FootnoteReference"/>
          <w:sz w:val="20"/>
        </w:rPr>
        <w:footnoteRef/>
      </w:r>
      <w:r w:rsidRPr="007D642C">
        <w:t xml:space="preserve"> </w:t>
      </w:r>
      <w:r w:rsidRPr="007D642C">
        <w:rPr>
          <w:i/>
          <w:iCs/>
        </w:rPr>
        <w:t>See</w:t>
      </w:r>
      <w:r w:rsidRPr="007D642C">
        <w:t xml:space="preserve"> </w:t>
      </w:r>
      <w:r w:rsidRPr="007D642C" w:rsidR="00331762">
        <w:t xml:space="preserve">CWC25 BAS Coordinator Public Notice; </w:t>
      </w:r>
      <w:r w:rsidRPr="007D642C">
        <w:t>2024 BAS Coordinator Public Notice; 2020 BAS Coordinator Public Notice; 2001 Olympic Games BAS Coordinator Public Notice</w:t>
      </w:r>
      <w:r w:rsidRPr="007D642C" w:rsidR="00FD065E">
        <w:t>.</w:t>
      </w:r>
    </w:p>
  </w:footnote>
  <w:footnote w:id="28">
    <w:p w:rsidR="00DC2AA5" w:rsidRPr="007D642C" w:rsidP="00DC2AA5" w14:paraId="107A73AD" w14:textId="03379F1B">
      <w:pPr>
        <w:pStyle w:val="FootnoteText"/>
      </w:pPr>
      <w:r w:rsidRPr="007D642C">
        <w:rPr>
          <w:rStyle w:val="FootnoteReference"/>
          <w:sz w:val="20"/>
        </w:rPr>
        <w:footnoteRef/>
      </w:r>
      <w:r w:rsidRPr="007D642C">
        <w:t xml:space="preserve"> The references in this Public Notice to the “requested relief” include waiver</w:t>
      </w:r>
      <w:r w:rsidR="0042016A">
        <w:t>s</w:t>
      </w:r>
      <w:r w:rsidRPr="007D642C">
        <w:t xml:space="preserve"> of section 74.802 and section 74.861.</w:t>
      </w:r>
    </w:p>
  </w:footnote>
  <w:footnote w:id="29">
    <w:p w:rsidR="00791E81" w:rsidRPr="007D642C" w14:paraId="7EF74DFE" w14:textId="12748BE6">
      <w:pPr>
        <w:pStyle w:val="FootnoteText"/>
      </w:pPr>
      <w:r w:rsidRPr="007D642C">
        <w:rPr>
          <w:rStyle w:val="FootnoteReference"/>
          <w:sz w:val="20"/>
        </w:rPr>
        <w:footnoteRef/>
      </w:r>
      <w:r w:rsidRPr="007D642C">
        <w:t xml:space="preserve"> FWC</w:t>
      </w:r>
      <w:r w:rsidRPr="007D642C" w:rsidR="00243DA2">
        <w:t xml:space="preserve"> </w:t>
      </w:r>
      <w:r w:rsidRPr="007D642C">
        <w:t xml:space="preserve">2026 Request at </w:t>
      </w:r>
      <w:r w:rsidRPr="007D642C" w:rsidR="00BC4D0B">
        <w:t>4</w:t>
      </w:r>
      <w:r w:rsidRPr="007D642C">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536AA" w14:paraId="09F7D3B6" w14:textId="1279C71D">
    <w:pPr>
      <w:tabs>
        <w:tab w:val="center" w:pos="4680"/>
        <w:tab w:val="right" w:pos="9360"/>
      </w:tabs>
    </w:pPr>
    <w:r>
      <w:rPr>
        <w:b/>
      </w:rPr>
      <w:tab/>
      <w:t>Federal Communications Commission</w:t>
    </w:r>
    <w:r>
      <w:rPr>
        <w:b/>
      </w:rPr>
      <w:tab/>
    </w:r>
    <w:r w:rsidRPr="00671E2B" w:rsidR="00AD514C">
      <w:rPr>
        <w:b/>
        <w:szCs w:val="22"/>
      </w:rPr>
      <w:t xml:space="preserve">DA </w:t>
    </w:r>
    <w:r w:rsidR="007A67CE">
      <w:rPr>
        <w:b/>
        <w:szCs w:val="22"/>
      </w:rPr>
      <w:t>26</w:t>
    </w:r>
    <w:r w:rsidRPr="00671E2B" w:rsidR="00961857">
      <w:rPr>
        <w:b/>
        <w:szCs w:val="22"/>
      </w:rPr>
      <w:t>-</w:t>
    </w:r>
    <w:r w:rsidR="00B527F3">
      <w:rPr>
        <w:b/>
        <w:szCs w:val="22"/>
      </w:rPr>
      <w:t>438</w:t>
    </w:r>
  </w:p>
  <w:p w:rsidR="007536AA" w14:paraId="0381AAF0" w14:textId="6943E7CD">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299220999" name="Rectangle 15"/>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xtLst>
                        <a:ext xmlns:a="http://schemas.openxmlformats.org/drawingml/2006/main" uri="{91240B29-F687-4F45-9708-019B960494DF}">
                          <a14:hiddenLine xmlns:a14="http://schemas.microsoft.com/office/drawing/2010/main" w="635">
                            <a:solidFill>
                              <a:srgbClr val="000000"/>
                            </a:solidFill>
                            <a:miter lim="800000"/>
                            <a:headEnd/>
                            <a:tailEnd/>
                          </a14:hiddenLine>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15"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7536AA" w14:paraId="2087670C" w14:textId="77777777">
    <w:pPr>
      <w:spacing w:before="40"/>
      <w:rPr>
        <w:rFonts w:ascii="Arial" w:hAnsi="Arial" w:cs="Arial"/>
        <w:b/>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536AA" w14:paraId="64493452" w14:textId="4BED0366">
    <w:pPr>
      <w:pStyle w:val="Header"/>
    </w:pPr>
    <w:r>
      <w:rPr>
        <w:noProof/>
        <w:snapToGrid/>
      </w:rPr>
      <w:drawing>
        <wp:inline distT="0" distB="0" distL="0" distR="0">
          <wp:extent cx="5943600" cy="14287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943600" cy="142875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6982D3D"/>
    <w:multiLevelType w:val="hybridMultilevel"/>
    <w:tmpl w:val="515E1A54"/>
    <w:lvl w:ilvl="0">
      <w:start w:val="0"/>
      <w:numFmt w:val="bullet"/>
      <w:lvlText w:val="•"/>
      <w:lvlJc w:val="left"/>
      <w:pPr>
        <w:ind w:left="1080" w:hanging="360"/>
      </w:pPr>
      <w:rPr>
        <w:rFonts w:ascii="Times New Roman" w:eastAsia="Times New Roman" w:hAnsi="Times New Roman" w:cs="Times New Roman" w:hint="default"/>
      </w:rPr>
    </w:lvl>
    <w:lvl w:ilvl="1" w:tentative="1">
      <w:start w:val="1"/>
      <w:numFmt w:val="bullet"/>
      <w:lvlText w:val="o"/>
      <w:lvlJc w:val="left"/>
      <w:pPr>
        <w:ind w:left="1800" w:hanging="360"/>
      </w:pPr>
      <w:rPr>
        <w:rFonts w:ascii="Courier New" w:hAnsi="Courier New" w:cs="Courier New" w:hint="default"/>
      </w:rPr>
    </w:lvl>
    <w:lvl w:ilvl="2" w:tentative="1">
      <w:start w:val="1"/>
      <w:numFmt w:val="bullet"/>
      <w:lvlText w:val=""/>
      <w:lvlJc w:val="left"/>
      <w:pPr>
        <w:ind w:left="2520" w:hanging="360"/>
      </w:pPr>
      <w:rPr>
        <w:rFonts w:ascii="Wingdings" w:hAnsi="Wingdings" w:hint="default"/>
      </w:rPr>
    </w:lvl>
    <w:lvl w:ilvl="3" w:tentative="1">
      <w:start w:val="1"/>
      <w:numFmt w:val="bullet"/>
      <w:lvlText w:val=""/>
      <w:lvlJc w:val="left"/>
      <w:pPr>
        <w:ind w:left="3240" w:hanging="360"/>
      </w:pPr>
      <w:rPr>
        <w:rFonts w:ascii="Symbol" w:hAnsi="Symbol" w:hint="default"/>
      </w:rPr>
    </w:lvl>
    <w:lvl w:ilvl="4" w:tentative="1">
      <w:start w:val="1"/>
      <w:numFmt w:val="bullet"/>
      <w:lvlText w:val="o"/>
      <w:lvlJc w:val="left"/>
      <w:pPr>
        <w:ind w:left="3960" w:hanging="360"/>
      </w:pPr>
      <w:rPr>
        <w:rFonts w:ascii="Courier New" w:hAnsi="Courier New" w:cs="Courier New" w:hint="default"/>
      </w:rPr>
    </w:lvl>
    <w:lvl w:ilvl="5" w:tentative="1">
      <w:start w:val="1"/>
      <w:numFmt w:val="bullet"/>
      <w:lvlText w:val=""/>
      <w:lvlJc w:val="left"/>
      <w:pPr>
        <w:ind w:left="4680" w:hanging="360"/>
      </w:pPr>
      <w:rPr>
        <w:rFonts w:ascii="Wingdings" w:hAnsi="Wingdings" w:hint="default"/>
      </w:rPr>
    </w:lvl>
    <w:lvl w:ilvl="6" w:tentative="1">
      <w:start w:val="1"/>
      <w:numFmt w:val="bullet"/>
      <w:lvlText w:val=""/>
      <w:lvlJc w:val="left"/>
      <w:pPr>
        <w:ind w:left="5400" w:hanging="360"/>
      </w:pPr>
      <w:rPr>
        <w:rFonts w:ascii="Symbol" w:hAnsi="Symbol" w:hint="default"/>
      </w:rPr>
    </w:lvl>
    <w:lvl w:ilvl="7" w:tentative="1">
      <w:start w:val="1"/>
      <w:numFmt w:val="bullet"/>
      <w:lvlText w:val="o"/>
      <w:lvlJc w:val="left"/>
      <w:pPr>
        <w:ind w:left="6120" w:hanging="360"/>
      </w:pPr>
      <w:rPr>
        <w:rFonts w:ascii="Courier New" w:hAnsi="Courier New" w:cs="Courier New" w:hint="default"/>
      </w:rPr>
    </w:lvl>
    <w:lvl w:ilvl="8" w:tentative="1">
      <w:start w:val="1"/>
      <w:numFmt w:val="bullet"/>
      <w:lvlText w:val=""/>
      <w:lvlJc w:val="left"/>
      <w:pPr>
        <w:ind w:left="6840" w:hanging="360"/>
      </w:pPr>
      <w:rPr>
        <w:rFonts w:ascii="Wingdings" w:hAnsi="Wingdings" w:hint="default"/>
      </w:rPr>
    </w:lvl>
  </w:abstractNum>
  <w:abstractNum w:abstractNumId="1">
    <w:nsid w:val="084B453C"/>
    <w:multiLevelType w:val="singleLevel"/>
    <w:tmpl w:val="40A8E97A"/>
    <w:lvl w:ilvl="0">
      <w:start w:val="1"/>
      <w:numFmt w:val="decimal"/>
      <w:lvlText w:val="%1."/>
      <w:lvlJc w:val="left"/>
      <w:pPr>
        <w:tabs>
          <w:tab w:val="num" w:pos="1080"/>
        </w:tabs>
        <w:ind w:left="0" w:firstLine="720"/>
      </w:pPr>
    </w:lvl>
  </w:abstractNum>
  <w:abstractNum w:abstractNumId="2">
    <w:nsid w:val="23F40A0F"/>
    <w:multiLevelType w:val="singleLevel"/>
    <w:tmpl w:val="3244DD0A"/>
    <w:lvl w:ilvl="0">
      <w:start w:val="1"/>
      <w:numFmt w:val="bullet"/>
      <w:pStyle w:val="Bullet"/>
      <w:lvlText w:val=""/>
      <w:lvlJc w:val="left"/>
      <w:pPr>
        <w:tabs>
          <w:tab w:val="num" w:pos="360"/>
        </w:tabs>
        <w:ind w:left="360" w:hanging="360"/>
      </w:pPr>
      <w:rPr>
        <w:rFonts w:ascii="Symbol" w:hAnsi="Symbol" w:hint="default"/>
      </w:rPr>
    </w:lvl>
  </w:abstractNum>
  <w:abstractNum w:abstractNumId="3">
    <w:nsid w:val="248246F3"/>
    <w:multiLevelType w:val="singleLevel"/>
    <w:tmpl w:val="B1F45678"/>
    <w:lvl w:ilvl="0">
      <w:start w:val="1"/>
      <w:numFmt w:val="decimal"/>
      <w:lvlText w:val="%1."/>
      <w:lvlJc w:val="left"/>
      <w:pPr>
        <w:tabs>
          <w:tab w:val="num" w:pos="1080"/>
        </w:tabs>
        <w:ind w:left="0" w:firstLine="720"/>
      </w:pPr>
    </w:lvl>
  </w:abstractNum>
  <w:abstractNum w:abstractNumId="4">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5">
    <w:nsid w:val="3094476F"/>
    <w:multiLevelType w:val="hybridMultilevel"/>
    <w:tmpl w:val="56522174"/>
    <w:lvl w:ilvl="0">
      <w:start w:val="0"/>
      <w:numFmt w:val="bullet"/>
      <w:lvlText w:val="•"/>
      <w:lvlJc w:val="left"/>
      <w:pPr>
        <w:ind w:left="1080" w:hanging="360"/>
      </w:pPr>
      <w:rPr>
        <w:rFonts w:ascii="Times New Roman" w:eastAsia="Times New Roman" w:hAnsi="Times New Roman" w:cs="Times New Roman" w:hint="default"/>
      </w:rPr>
    </w:lvl>
    <w:lvl w:ilvl="1" w:tentative="1">
      <w:start w:val="1"/>
      <w:numFmt w:val="bullet"/>
      <w:lvlText w:val="o"/>
      <w:lvlJc w:val="left"/>
      <w:pPr>
        <w:ind w:left="1800" w:hanging="360"/>
      </w:pPr>
      <w:rPr>
        <w:rFonts w:ascii="Courier New" w:hAnsi="Courier New" w:cs="Courier New" w:hint="default"/>
      </w:rPr>
    </w:lvl>
    <w:lvl w:ilvl="2" w:tentative="1">
      <w:start w:val="1"/>
      <w:numFmt w:val="bullet"/>
      <w:lvlText w:val=""/>
      <w:lvlJc w:val="left"/>
      <w:pPr>
        <w:ind w:left="2520" w:hanging="360"/>
      </w:pPr>
      <w:rPr>
        <w:rFonts w:ascii="Wingdings" w:hAnsi="Wingdings" w:hint="default"/>
      </w:rPr>
    </w:lvl>
    <w:lvl w:ilvl="3" w:tentative="1">
      <w:start w:val="1"/>
      <w:numFmt w:val="bullet"/>
      <w:lvlText w:val=""/>
      <w:lvlJc w:val="left"/>
      <w:pPr>
        <w:ind w:left="3240" w:hanging="360"/>
      </w:pPr>
      <w:rPr>
        <w:rFonts w:ascii="Symbol" w:hAnsi="Symbol" w:hint="default"/>
      </w:rPr>
    </w:lvl>
    <w:lvl w:ilvl="4" w:tentative="1">
      <w:start w:val="1"/>
      <w:numFmt w:val="bullet"/>
      <w:lvlText w:val="o"/>
      <w:lvlJc w:val="left"/>
      <w:pPr>
        <w:ind w:left="3960" w:hanging="360"/>
      </w:pPr>
      <w:rPr>
        <w:rFonts w:ascii="Courier New" w:hAnsi="Courier New" w:cs="Courier New" w:hint="default"/>
      </w:rPr>
    </w:lvl>
    <w:lvl w:ilvl="5" w:tentative="1">
      <w:start w:val="1"/>
      <w:numFmt w:val="bullet"/>
      <w:lvlText w:val=""/>
      <w:lvlJc w:val="left"/>
      <w:pPr>
        <w:ind w:left="4680" w:hanging="360"/>
      </w:pPr>
      <w:rPr>
        <w:rFonts w:ascii="Wingdings" w:hAnsi="Wingdings" w:hint="default"/>
      </w:rPr>
    </w:lvl>
    <w:lvl w:ilvl="6" w:tentative="1">
      <w:start w:val="1"/>
      <w:numFmt w:val="bullet"/>
      <w:lvlText w:val=""/>
      <w:lvlJc w:val="left"/>
      <w:pPr>
        <w:ind w:left="5400" w:hanging="360"/>
      </w:pPr>
      <w:rPr>
        <w:rFonts w:ascii="Symbol" w:hAnsi="Symbol" w:hint="default"/>
      </w:rPr>
    </w:lvl>
    <w:lvl w:ilvl="7" w:tentative="1">
      <w:start w:val="1"/>
      <w:numFmt w:val="bullet"/>
      <w:lvlText w:val="o"/>
      <w:lvlJc w:val="left"/>
      <w:pPr>
        <w:ind w:left="6120" w:hanging="360"/>
      </w:pPr>
      <w:rPr>
        <w:rFonts w:ascii="Courier New" w:hAnsi="Courier New" w:cs="Courier New" w:hint="default"/>
      </w:rPr>
    </w:lvl>
    <w:lvl w:ilvl="8" w:tentative="1">
      <w:start w:val="1"/>
      <w:numFmt w:val="bullet"/>
      <w:lvlText w:val=""/>
      <w:lvlJc w:val="left"/>
      <w:pPr>
        <w:ind w:left="6840" w:hanging="360"/>
      </w:pPr>
      <w:rPr>
        <w:rFonts w:ascii="Wingdings" w:hAnsi="Wingdings" w:hint="default"/>
      </w:rPr>
    </w:lvl>
  </w:abstractNum>
  <w:abstractNum w:abstractNumId="6">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7">
    <w:nsid w:val="61182925"/>
    <w:multiLevelType w:val="singleLevel"/>
    <w:tmpl w:val="D180CED0"/>
    <w:lvl w:ilvl="0">
      <w:start w:val="1"/>
      <w:numFmt w:val="decimal"/>
      <w:pStyle w:val="ParaNum"/>
      <w:lvlText w:val="%1."/>
      <w:lvlJc w:val="left"/>
      <w:pPr>
        <w:tabs>
          <w:tab w:val="num" w:pos="1080"/>
        </w:tabs>
        <w:ind w:left="0" w:firstLine="720"/>
      </w:pPr>
    </w:lvl>
  </w:abstractNum>
  <w:num w:numId="1" w16cid:durableId="1703627402">
    <w:abstractNumId w:val="2"/>
  </w:num>
  <w:num w:numId="2" w16cid:durableId="1798066208">
    <w:abstractNumId w:val="7"/>
  </w:num>
  <w:num w:numId="3" w16cid:durableId="1279143178">
    <w:abstractNumId w:val="4"/>
  </w:num>
  <w:num w:numId="4" w16cid:durableId="1663386001">
    <w:abstractNumId w:val="6"/>
  </w:num>
  <w:num w:numId="5" w16cid:durableId="1469739590">
    <w:abstractNumId w:val="3"/>
  </w:num>
  <w:num w:numId="6" w16cid:durableId="1320571302">
    <w:abstractNumId w:val="1"/>
  </w:num>
  <w:num w:numId="7" w16cid:durableId="2130199019">
    <w:abstractNumId w:val="0"/>
  </w:num>
  <w:num w:numId="8" w16cid:durableId="61009094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6701B"/>
    <w:rsid w:val="000070BC"/>
    <w:rsid w:val="000127CB"/>
    <w:rsid w:val="0001303B"/>
    <w:rsid w:val="00013B0B"/>
    <w:rsid w:val="00013ED0"/>
    <w:rsid w:val="0002161B"/>
    <w:rsid w:val="000225BE"/>
    <w:rsid w:val="0002464D"/>
    <w:rsid w:val="0002590A"/>
    <w:rsid w:val="00037A95"/>
    <w:rsid w:val="00037B78"/>
    <w:rsid w:val="000401BB"/>
    <w:rsid w:val="00041A3F"/>
    <w:rsid w:val="00042594"/>
    <w:rsid w:val="00042B18"/>
    <w:rsid w:val="00047270"/>
    <w:rsid w:val="00051600"/>
    <w:rsid w:val="00054E4A"/>
    <w:rsid w:val="00055C5B"/>
    <w:rsid w:val="00055FC7"/>
    <w:rsid w:val="000560E6"/>
    <w:rsid w:val="00056480"/>
    <w:rsid w:val="00057709"/>
    <w:rsid w:val="00060A6C"/>
    <w:rsid w:val="00061EE9"/>
    <w:rsid w:val="000641A6"/>
    <w:rsid w:val="00064673"/>
    <w:rsid w:val="000704DE"/>
    <w:rsid w:val="00071A8D"/>
    <w:rsid w:val="00073F4A"/>
    <w:rsid w:val="00074302"/>
    <w:rsid w:val="0007430E"/>
    <w:rsid w:val="0007517B"/>
    <w:rsid w:val="00075898"/>
    <w:rsid w:val="00077202"/>
    <w:rsid w:val="000841DA"/>
    <w:rsid w:val="00084FB6"/>
    <w:rsid w:val="00085A3A"/>
    <w:rsid w:val="00085B72"/>
    <w:rsid w:val="00086384"/>
    <w:rsid w:val="000902B1"/>
    <w:rsid w:val="00090588"/>
    <w:rsid w:val="000909EE"/>
    <w:rsid w:val="00092FBF"/>
    <w:rsid w:val="00094934"/>
    <w:rsid w:val="000953A1"/>
    <w:rsid w:val="000958AE"/>
    <w:rsid w:val="00096BE5"/>
    <w:rsid w:val="000A07BC"/>
    <w:rsid w:val="000A31BC"/>
    <w:rsid w:val="000A47E8"/>
    <w:rsid w:val="000A49EF"/>
    <w:rsid w:val="000A5FEF"/>
    <w:rsid w:val="000A7C28"/>
    <w:rsid w:val="000B0AA9"/>
    <w:rsid w:val="000B27D8"/>
    <w:rsid w:val="000B4DC5"/>
    <w:rsid w:val="000B60FD"/>
    <w:rsid w:val="000B63D6"/>
    <w:rsid w:val="000C027F"/>
    <w:rsid w:val="000C0AB1"/>
    <w:rsid w:val="000C628E"/>
    <w:rsid w:val="000D1094"/>
    <w:rsid w:val="000D1B0D"/>
    <w:rsid w:val="000D218E"/>
    <w:rsid w:val="000D3B07"/>
    <w:rsid w:val="000E0FA3"/>
    <w:rsid w:val="000E35FF"/>
    <w:rsid w:val="000E563A"/>
    <w:rsid w:val="000E61BB"/>
    <w:rsid w:val="000F0992"/>
    <w:rsid w:val="000F1B39"/>
    <w:rsid w:val="000F2DCB"/>
    <w:rsid w:val="000F2DEB"/>
    <w:rsid w:val="000F522C"/>
    <w:rsid w:val="000F7D04"/>
    <w:rsid w:val="0010015A"/>
    <w:rsid w:val="001003FF"/>
    <w:rsid w:val="0010067B"/>
    <w:rsid w:val="00103493"/>
    <w:rsid w:val="001052CC"/>
    <w:rsid w:val="001054AC"/>
    <w:rsid w:val="00107B84"/>
    <w:rsid w:val="001106D2"/>
    <w:rsid w:val="0011641F"/>
    <w:rsid w:val="001167AE"/>
    <w:rsid w:val="00116FE5"/>
    <w:rsid w:val="001220BA"/>
    <w:rsid w:val="001220E8"/>
    <w:rsid w:val="00123EA5"/>
    <w:rsid w:val="00124788"/>
    <w:rsid w:val="0012490B"/>
    <w:rsid w:val="001259D0"/>
    <w:rsid w:val="00125E37"/>
    <w:rsid w:val="00127CC8"/>
    <w:rsid w:val="00130A68"/>
    <w:rsid w:val="001315AB"/>
    <w:rsid w:val="00133352"/>
    <w:rsid w:val="001378E2"/>
    <w:rsid w:val="00137E8E"/>
    <w:rsid w:val="0014383A"/>
    <w:rsid w:val="001444DF"/>
    <w:rsid w:val="00146195"/>
    <w:rsid w:val="0014713F"/>
    <w:rsid w:val="00147755"/>
    <w:rsid w:val="00147C68"/>
    <w:rsid w:val="00147D49"/>
    <w:rsid w:val="00150CD6"/>
    <w:rsid w:val="00157400"/>
    <w:rsid w:val="001576F6"/>
    <w:rsid w:val="00157CFD"/>
    <w:rsid w:val="00160919"/>
    <w:rsid w:val="0016760D"/>
    <w:rsid w:val="001719A3"/>
    <w:rsid w:val="00172651"/>
    <w:rsid w:val="00175246"/>
    <w:rsid w:val="001755AA"/>
    <w:rsid w:val="001756BF"/>
    <w:rsid w:val="00181BB4"/>
    <w:rsid w:val="00184C9E"/>
    <w:rsid w:val="00194824"/>
    <w:rsid w:val="001953AB"/>
    <w:rsid w:val="00196B37"/>
    <w:rsid w:val="001A06EA"/>
    <w:rsid w:val="001A282C"/>
    <w:rsid w:val="001A34C5"/>
    <w:rsid w:val="001A69EC"/>
    <w:rsid w:val="001B0696"/>
    <w:rsid w:val="001B606B"/>
    <w:rsid w:val="001B687C"/>
    <w:rsid w:val="001B7F69"/>
    <w:rsid w:val="001C0D05"/>
    <w:rsid w:val="001D0B2B"/>
    <w:rsid w:val="001D19DD"/>
    <w:rsid w:val="001D1C5B"/>
    <w:rsid w:val="001D23CF"/>
    <w:rsid w:val="001D26FF"/>
    <w:rsid w:val="001D2A0A"/>
    <w:rsid w:val="001D3D42"/>
    <w:rsid w:val="001D46B2"/>
    <w:rsid w:val="001D4CC6"/>
    <w:rsid w:val="001E0D98"/>
    <w:rsid w:val="001E1CD8"/>
    <w:rsid w:val="001E4FFA"/>
    <w:rsid w:val="001E7EB8"/>
    <w:rsid w:val="001F08E2"/>
    <w:rsid w:val="001F2CB7"/>
    <w:rsid w:val="001F3711"/>
    <w:rsid w:val="001F59E7"/>
    <w:rsid w:val="001F602C"/>
    <w:rsid w:val="001F7288"/>
    <w:rsid w:val="00201600"/>
    <w:rsid w:val="00202353"/>
    <w:rsid w:val="0020248A"/>
    <w:rsid w:val="00207D68"/>
    <w:rsid w:val="0021045D"/>
    <w:rsid w:val="002125FC"/>
    <w:rsid w:val="002138F3"/>
    <w:rsid w:val="00213CEB"/>
    <w:rsid w:val="00214F1E"/>
    <w:rsid w:val="00217B6A"/>
    <w:rsid w:val="00217E63"/>
    <w:rsid w:val="0022013A"/>
    <w:rsid w:val="0022050F"/>
    <w:rsid w:val="0022199E"/>
    <w:rsid w:val="002250E6"/>
    <w:rsid w:val="00225281"/>
    <w:rsid w:val="00227157"/>
    <w:rsid w:val="002275CE"/>
    <w:rsid w:val="00227EA1"/>
    <w:rsid w:val="00231E85"/>
    <w:rsid w:val="0023229D"/>
    <w:rsid w:val="00232846"/>
    <w:rsid w:val="00232C71"/>
    <w:rsid w:val="002357B8"/>
    <w:rsid w:val="00243D4A"/>
    <w:rsid w:val="00243DA2"/>
    <w:rsid w:val="00245028"/>
    <w:rsid w:val="002470E9"/>
    <w:rsid w:val="00262254"/>
    <w:rsid w:val="00263E8E"/>
    <w:rsid w:val="002667D0"/>
    <w:rsid w:val="00266EEE"/>
    <w:rsid w:val="00270746"/>
    <w:rsid w:val="00274410"/>
    <w:rsid w:val="00275270"/>
    <w:rsid w:val="002768E8"/>
    <w:rsid w:val="00281F90"/>
    <w:rsid w:val="00284106"/>
    <w:rsid w:val="00284FFA"/>
    <w:rsid w:val="0029459C"/>
    <w:rsid w:val="00297157"/>
    <w:rsid w:val="002A2262"/>
    <w:rsid w:val="002A3098"/>
    <w:rsid w:val="002A318E"/>
    <w:rsid w:val="002A4394"/>
    <w:rsid w:val="002B26D8"/>
    <w:rsid w:val="002B2BAF"/>
    <w:rsid w:val="002B49B1"/>
    <w:rsid w:val="002C2543"/>
    <w:rsid w:val="002C4CE5"/>
    <w:rsid w:val="002C6080"/>
    <w:rsid w:val="002D0676"/>
    <w:rsid w:val="002D1E6E"/>
    <w:rsid w:val="002D5DB1"/>
    <w:rsid w:val="002D6158"/>
    <w:rsid w:val="002D65D8"/>
    <w:rsid w:val="002D7E3F"/>
    <w:rsid w:val="002E1387"/>
    <w:rsid w:val="002E1701"/>
    <w:rsid w:val="002E19D3"/>
    <w:rsid w:val="002E26C6"/>
    <w:rsid w:val="002E4413"/>
    <w:rsid w:val="002E5380"/>
    <w:rsid w:val="002E5855"/>
    <w:rsid w:val="002F0704"/>
    <w:rsid w:val="002F5DBB"/>
    <w:rsid w:val="002F674A"/>
    <w:rsid w:val="002F67AB"/>
    <w:rsid w:val="003020DC"/>
    <w:rsid w:val="00303E46"/>
    <w:rsid w:val="003042D2"/>
    <w:rsid w:val="003044DE"/>
    <w:rsid w:val="00305ED0"/>
    <w:rsid w:val="00306A85"/>
    <w:rsid w:val="00311C69"/>
    <w:rsid w:val="0031563E"/>
    <w:rsid w:val="00320201"/>
    <w:rsid w:val="003229AF"/>
    <w:rsid w:val="0033147D"/>
    <w:rsid w:val="00331762"/>
    <w:rsid w:val="00336417"/>
    <w:rsid w:val="00340544"/>
    <w:rsid w:val="00340850"/>
    <w:rsid w:val="00341A96"/>
    <w:rsid w:val="00344750"/>
    <w:rsid w:val="00344EA6"/>
    <w:rsid w:val="003512CD"/>
    <w:rsid w:val="00352519"/>
    <w:rsid w:val="0035336E"/>
    <w:rsid w:val="003535E6"/>
    <w:rsid w:val="003566E5"/>
    <w:rsid w:val="003603B0"/>
    <w:rsid w:val="0036199B"/>
    <w:rsid w:val="00365A41"/>
    <w:rsid w:val="00365F94"/>
    <w:rsid w:val="00371415"/>
    <w:rsid w:val="00377285"/>
    <w:rsid w:val="00377B3E"/>
    <w:rsid w:val="00377E37"/>
    <w:rsid w:val="00382CDD"/>
    <w:rsid w:val="00382CEC"/>
    <w:rsid w:val="00385278"/>
    <w:rsid w:val="0038539D"/>
    <w:rsid w:val="0039352C"/>
    <w:rsid w:val="003962E5"/>
    <w:rsid w:val="003973EB"/>
    <w:rsid w:val="003A17D7"/>
    <w:rsid w:val="003A4EAB"/>
    <w:rsid w:val="003B124F"/>
    <w:rsid w:val="003B1428"/>
    <w:rsid w:val="003B2EEE"/>
    <w:rsid w:val="003B3682"/>
    <w:rsid w:val="003B37C5"/>
    <w:rsid w:val="003B4333"/>
    <w:rsid w:val="003B5E82"/>
    <w:rsid w:val="003C0DAD"/>
    <w:rsid w:val="003C2B3F"/>
    <w:rsid w:val="003C31CD"/>
    <w:rsid w:val="003C4AE0"/>
    <w:rsid w:val="003C5842"/>
    <w:rsid w:val="003D1573"/>
    <w:rsid w:val="003D5607"/>
    <w:rsid w:val="003E4CB3"/>
    <w:rsid w:val="003E5DD0"/>
    <w:rsid w:val="003E713B"/>
    <w:rsid w:val="003F0810"/>
    <w:rsid w:val="003F11FA"/>
    <w:rsid w:val="003F1F1C"/>
    <w:rsid w:val="003F40E0"/>
    <w:rsid w:val="003F5125"/>
    <w:rsid w:val="003F7BCA"/>
    <w:rsid w:val="0040150F"/>
    <w:rsid w:val="004052C9"/>
    <w:rsid w:val="00407024"/>
    <w:rsid w:val="00410280"/>
    <w:rsid w:val="00415588"/>
    <w:rsid w:val="0042016A"/>
    <w:rsid w:val="00423745"/>
    <w:rsid w:val="00423FBA"/>
    <w:rsid w:val="004253DF"/>
    <w:rsid w:val="0042663C"/>
    <w:rsid w:val="004303D9"/>
    <w:rsid w:val="00435C14"/>
    <w:rsid w:val="00437D4D"/>
    <w:rsid w:val="00442C4C"/>
    <w:rsid w:val="00446221"/>
    <w:rsid w:val="00447A58"/>
    <w:rsid w:val="00450F59"/>
    <w:rsid w:val="004528CC"/>
    <w:rsid w:val="004538D5"/>
    <w:rsid w:val="004550D1"/>
    <w:rsid w:val="00455A2A"/>
    <w:rsid w:val="00456B65"/>
    <w:rsid w:val="0045746D"/>
    <w:rsid w:val="0046047C"/>
    <w:rsid w:val="0046120B"/>
    <w:rsid w:val="00466F21"/>
    <w:rsid w:val="0047137D"/>
    <w:rsid w:val="00474F5B"/>
    <w:rsid w:val="00475FCD"/>
    <w:rsid w:val="00476BED"/>
    <w:rsid w:val="00480299"/>
    <w:rsid w:val="00481A1F"/>
    <w:rsid w:val="004830EA"/>
    <w:rsid w:val="00483336"/>
    <w:rsid w:val="004871A6"/>
    <w:rsid w:val="004877BD"/>
    <w:rsid w:val="00495720"/>
    <w:rsid w:val="004977DB"/>
    <w:rsid w:val="004A0D58"/>
    <w:rsid w:val="004A14F2"/>
    <w:rsid w:val="004A6790"/>
    <w:rsid w:val="004B4A50"/>
    <w:rsid w:val="004C0BEE"/>
    <w:rsid w:val="004C5AB3"/>
    <w:rsid w:val="004D0642"/>
    <w:rsid w:val="004D3761"/>
    <w:rsid w:val="004D4884"/>
    <w:rsid w:val="004D57C5"/>
    <w:rsid w:val="004E4F3E"/>
    <w:rsid w:val="004E51F5"/>
    <w:rsid w:val="004F09D9"/>
    <w:rsid w:val="004F3469"/>
    <w:rsid w:val="004F780E"/>
    <w:rsid w:val="004F7B9F"/>
    <w:rsid w:val="00500958"/>
    <w:rsid w:val="005018FF"/>
    <w:rsid w:val="00505DDA"/>
    <w:rsid w:val="0050711D"/>
    <w:rsid w:val="0051311B"/>
    <w:rsid w:val="005176C1"/>
    <w:rsid w:val="005200F9"/>
    <w:rsid w:val="00520105"/>
    <w:rsid w:val="0052271D"/>
    <w:rsid w:val="00522BC1"/>
    <w:rsid w:val="00522CD2"/>
    <w:rsid w:val="005247F1"/>
    <w:rsid w:val="0052731E"/>
    <w:rsid w:val="00527E22"/>
    <w:rsid w:val="00531481"/>
    <w:rsid w:val="00542B24"/>
    <w:rsid w:val="00546C8C"/>
    <w:rsid w:val="005511AC"/>
    <w:rsid w:val="005530C2"/>
    <w:rsid w:val="00562FD4"/>
    <w:rsid w:val="00563E16"/>
    <w:rsid w:val="00564829"/>
    <w:rsid w:val="0056607D"/>
    <w:rsid w:val="00567A87"/>
    <w:rsid w:val="0057081A"/>
    <w:rsid w:val="00570F8B"/>
    <w:rsid w:val="00571762"/>
    <w:rsid w:val="005717A6"/>
    <w:rsid w:val="005725EC"/>
    <w:rsid w:val="00572F20"/>
    <w:rsid w:val="005740B5"/>
    <w:rsid w:val="005745AC"/>
    <w:rsid w:val="00575CCE"/>
    <w:rsid w:val="00575DB8"/>
    <w:rsid w:val="00580906"/>
    <w:rsid w:val="00580E3E"/>
    <w:rsid w:val="00581290"/>
    <w:rsid w:val="005818A4"/>
    <w:rsid w:val="00583D3D"/>
    <w:rsid w:val="0058731E"/>
    <w:rsid w:val="00590E14"/>
    <w:rsid w:val="005910E9"/>
    <w:rsid w:val="00591FF7"/>
    <w:rsid w:val="00594ECE"/>
    <w:rsid w:val="00595100"/>
    <w:rsid w:val="005A3FD3"/>
    <w:rsid w:val="005A6E1C"/>
    <w:rsid w:val="005B098E"/>
    <w:rsid w:val="005B0A68"/>
    <w:rsid w:val="005B10C5"/>
    <w:rsid w:val="005C1C42"/>
    <w:rsid w:val="005C21E2"/>
    <w:rsid w:val="005C283B"/>
    <w:rsid w:val="005C4019"/>
    <w:rsid w:val="005C4A21"/>
    <w:rsid w:val="005C6433"/>
    <w:rsid w:val="005C6B51"/>
    <w:rsid w:val="005D3B91"/>
    <w:rsid w:val="005D4B5B"/>
    <w:rsid w:val="005D7F02"/>
    <w:rsid w:val="005E2487"/>
    <w:rsid w:val="005E2840"/>
    <w:rsid w:val="005E319D"/>
    <w:rsid w:val="005F2740"/>
    <w:rsid w:val="005F7088"/>
    <w:rsid w:val="005F72D4"/>
    <w:rsid w:val="005F7D9C"/>
    <w:rsid w:val="0060527C"/>
    <w:rsid w:val="0060539D"/>
    <w:rsid w:val="00605EB4"/>
    <w:rsid w:val="00610CE4"/>
    <w:rsid w:val="00611D5F"/>
    <w:rsid w:val="006138C2"/>
    <w:rsid w:val="00616031"/>
    <w:rsid w:val="00617461"/>
    <w:rsid w:val="006237A4"/>
    <w:rsid w:val="00624FE5"/>
    <w:rsid w:val="0062590F"/>
    <w:rsid w:val="00632963"/>
    <w:rsid w:val="00634470"/>
    <w:rsid w:val="00637050"/>
    <w:rsid w:val="00637AD3"/>
    <w:rsid w:val="00642FCB"/>
    <w:rsid w:val="00646C01"/>
    <w:rsid w:val="00646E7C"/>
    <w:rsid w:val="00647E46"/>
    <w:rsid w:val="0065027E"/>
    <w:rsid w:val="00655351"/>
    <w:rsid w:val="00655574"/>
    <w:rsid w:val="00656DB5"/>
    <w:rsid w:val="00657874"/>
    <w:rsid w:val="0066198D"/>
    <w:rsid w:val="00662D3B"/>
    <w:rsid w:val="00667D4F"/>
    <w:rsid w:val="00670B49"/>
    <w:rsid w:val="00671E2B"/>
    <w:rsid w:val="0067434E"/>
    <w:rsid w:val="0067642C"/>
    <w:rsid w:val="00676EE5"/>
    <w:rsid w:val="00677747"/>
    <w:rsid w:val="00685FF5"/>
    <w:rsid w:val="006A1ECA"/>
    <w:rsid w:val="006A4FB9"/>
    <w:rsid w:val="006A5116"/>
    <w:rsid w:val="006A553D"/>
    <w:rsid w:val="006A663B"/>
    <w:rsid w:val="006A66FF"/>
    <w:rsid w:val="006A77EE"/>
    <w:rsid w:val="006B3790"/>
    <w:rsid w:val="006B435F"/>
    <w:rsid w:val="006C17A6"/>
    <w:rsid w:val="006C1A2A"/>
    <w:rsid w:val="006C4430"/>
    <w:rsid w:val="006C59DA"/>
    <w:rsid w:val="006C70E4"/>
    <w:rsid w:val="006C7B7F"/>
    <w:rsid w:val="006D47D7"/>
    <w:rsid w:val="006E3206"/>
    <w:rsid w:val="006E5A7A"/>
    <w:rsid w:val="006E6D28"/>
    <w:rsid w:val="006F4D30"/>
    <w:rsid w:val="007006CE"/>
    <w:rsid w:val="00701DF2"/>
    <w:rsid w:val="00702777"/>
    <w:rsid w:val="00703564"/>
    <w:rsid w:val="007056E2"/>
    <w:rsid w:val="00706F35"/>
    <w:rsid w:val="00706F42"/>
    <w:rsid w:val="0071062A"/>
    <w:rsid w:val="0071178B"/>
    <w:rsid w:val="00712B66"/>
    <w:rsid w:val="00712FE5"/>
    <w:rsid w:val="00715281"/>
    <w:rsid w:val="0071665E"/>
    <w:rsid w:val="007207D4"/>
    <w:rsid w:val="007217CD"/>
    <w:rsid w:val="00722961"/>
    <w:rsid w:val="00723F0E"/>
    <w:rsid w:val="00724258"/>
    <w:rsid w:val="00724512"/>
    <w:rsid w:val="00730BEA"/>
    <w:rsid w:val="007310D2"/>
    <w:rsid w:val="0073210C"/>
    <w:rsid w:val="00733764"/>
    <w:rsid w:val="0073475D"/>
    <w:rsid w:val="007410DC"/>
    <w:rsid w:val="007440E4"/>
    <w:rsid w:val="00744344"/>
    <w:rsid w:val="00745FD4"/>
    <w:rsid w:val="00747B87"/>
    <w:rsid w:val="00751CF4"/>
    <w:rsid w:val="007536AA"/>
    <w:rsid w:val="00754688"/>
    <w:rsid w:val="00755754"/>
    <w:rsid w:val="00761433"/>
    <w:rsid w:val="00763F16"/>
    <w:rsid w:val="00764178"/>
    <w:rsid w:val="0076668B"/>
    <w:rsid w:val="007666D2"/>
    <w:rsid w:val="00770611"/>
    <w:rsid w:val="0077250C"/>
    <w:rsid w:val="0077431D"/>
    <w:rsid w:val="00774984"/>
    <w:rsid w:val="00781E37"/>
    <w:rsid w:val="0078327E"/>
    <w:rsid w:val="00783A31"/>
    <w:rsid w:val="00783BA4"/>
    <w:rsid w:val="007844E6"/>
    <w:rsid w:val="0078734B"/>
    <w:rsid w:val="00787371"/>
    <w:rsid w:val="00787FD9"/>
    <w:rsid w:val="00791200"/>
    <w:rsid w:val="0079174B"/>
    <w:rsid w:val="00791E81"/>
    <w:rsid w:val="0079278A"/>
    <w:rsid w:val="007966AD"/>
    <w:rsid w:val="007A133C"/>
    <w:rsid w:val="007A17F0"/>
    <w:rsid w:val="007A1D8F"/>
    <w:rsid w:val="007A67CE"/>
    <w:rsid w:val="007A6B70"/>
    <w:rsid w:val="007A6C69"/>
    <w:rsid w:val="007A7919"/>
    <w:rsid w:val="007B2508"/>
    <w:rsid w:val="007B3CE9"/>
    <w:rsid w:val="007B4793"/>
    <w:rsid w:val="007B4F42"/>
    <w:rsid w:val="007D08D7"/>
    <w:rsid w:val="007D0908"/>
    <w:rsid w:val="007D1628"/>
    <w:rsid w:val="007D25C4"/>
    <w:rsid w:val="007D37F3"/>
    <w:rsid w:val="007D5CAE"/>
    <w:rsid w:val="007D642C"/>
    <w:rsid w:val="007E0935"/>
    <w:rsid w:val="007E27D8"/>
    <w:rsid w:val="007E7A1B"/>
    <w:rsid w:val="007F0EB0"/>
    <w:rsid w:val="007F17DA"/>
    <w:rsid w:val="007F27D7"/>
    <w:rsid w:val="007F53E8"/>
    <w:rsid w:val="007F53E9"/>
    <w:rsid w:val="00800626"/>
    <w:rsid w:val="00801E99"/>
    <w:rsid w:val="00804100"/>
    <w:rsid w:val="00805424"/>
    <w:rsid w:val="008062CC"/>
    <w:rsid w:val="00806986"/>
    <w:rsid w:val="008136E2"/>
    <w:rsid w:val="0082271A"/>
    <w:rsid w:val="00823393"/>
    <w:rsid w:val="00826C61"/>
    <w:rsid w:val="00853FFC"/>
    <w:rsid w:val="008544A0"/>
    <w:rsid w:val="008551B3"/>
    <w:rsid w:val="00856A9C"/>
    <w:rsid w:val="00863691"/>
    <w:rsid w:val="00866DED"/>
    <w:rsid w:val="0087027C"/>
    <w:rsid w:val="00871C61"/>
    <w:rsid w:val="008752D8"/>
    <w:rsid w:val="00876A89"/>
    <w:rsid w:val="00880613"/>
    <w:rsid w:val="00881D49"/>
    <w:rsid w:val="00885880"/>
    <w:rsid w:val="00887A5F"/>
    <w:rsid w:val="00890A4C"/>
    <w:rsid w:val="00892C74"/>
    <w:rsid w:val="008960B2"/>
    <w:rsid w:val="0089707D"/>
    <w:rsid w:val="008A362E"/>
    <w:rsid w:val="008A44E5"/>
    <w:rsid w:val="008A5361"/>
    <w:rsid w:val="008A59C6"/>
    <w:rsid w:val="008B0B0A"/>
    <w:rsid w:val="008B27AC"/>
    <w:rsid w:val="008B2A8A"/>
    <w:rsid w:val="008B4B8E"/>
    <w:rsid w:val="008B7F1B"/>
    <w:rsid w:val="008C1923"/>
    <w:rsid w:val="008C1A56"/>
    <w:rsid w:val="008C40A1"/>
    <w:rsid w:val="008C5981"/>
    <w:rsid w:val="008C6C34"/>
    <w:rsid w:val="008D0C0C"/>
    <w:rsid w:val="008D40A3"/>
    <w:rsid w:val="008D4280"/>
    <w:rsid w:val="008D66FF"/>
    <w:rsid w:val="008D741F"/>
    <w:rsid w:val="008D7D83"/>
    <w:rsid w:val="008E0DAA"/>
    <w:rsid w:val="008E2A97"/>
    <w:rsid w:val="008E473A"/>
    <w:rsid w:val="008F2999"/>
    <w:rsid w:val="00900399"/>
    <w:rsid w:val="00901166"/>
    <w:rsid w:val="00901936"/>
    <w:rsid w:val="009068C3"/>
    <w:rsid w:val="009079D2"/>
    <w:rsid w:val="00913E31"/>
    <w:rsid w:val="009141E4"/>
    <w:rsid w:val="00914FC6"/>
    <w:rsid w:val="00916F8E"/>
    <w:rsid w:val="0091723E"/>
    <w:rsid w:val="0092113E"/>
    <w:rsid w:val="00921210"/>
    <w:rsid w:val="00921CE5"/>
    <w:rsid w:val="00924212"/>
    <w:rsid w:val="00924EA3"/>
    <w:rsid w:val="0092547B"/>
    <w:rsid w:val="00930ECF"/>
    <w:rsid w:val="009311D5"/>
    <w:rsid w:val="00932BE1"/>
    <w:rsid w:val="00935129"/>
    <w:rsid w:val="00935DCD"/>
    <w:rsid w:val="0093683D"/>
    <w:rsid w:val="00943BE6"/>
    <w:rsid w:val="0094533A"/>
    <w:rsid w:val="009453A2"/>
    <w:rsid w:val="00946473"/>
    <w:rsid w:val="009467EA"/>
    <w:rsid w:val="00961857"/>
    <w:rsid w:val="009624B5"/>
    <w:rsid w:val="009627BC"/>
    <w:rsid w:val="00962F4C"/>
    <w:rsid w:val="009648C3"/>
    <w:rsid w:val="00964F6D"/>
    <w:rsid w:val="00965C71"/>
    <w:rsid w:val="009668E5"/>
    <w:rsid w:val="0096743F"/>
    <w:rsid w:val="009718D4"/>
    <w:rsid w:val="00973CD8"/>
    <w:rsid w:val="00976BAD"/>
    <w:rsid w:val="00980955"/>
    <w:rsid w:val="00981810"/>
    <w:rsid w:val="0098262A"/>
    <w:rsid w:val="009906F4"/>
    <w:rsid w:val="0099441B"/>
    <w:rsid w:val="00995753"/>
    <w:rsid w:val="009A0324"/>
    <w:rsid w:val="009A57AD"/>
    <w:rsid w:val="009A5F8A"/>
    <w:rsid w:val="009A689B"/>
    <w:rsid w:val="009B2608"/>
    <w:rsid w:val="009B6B3E"/>
    <w:rsid w:val="009D1AA4"/>
    <w:rsid w:val="009D3AFD"/>
    <w:rsid w:val="009D68C1"/>
    <w:rsid w:val="009D69BB"/>
    <w:rsid w:val="009E2197"/>
    <w:rsid w:val="009E2A54"/>
    <w:rsid w:val="009E376D"/>
    <w:rsid w:val="009E41A1"/>
    <w:rsid w:val="009E4D20"/>
    <w:rsid w:val="009E57E4"/>
    <w:rsid w:val="009E6C50"/>
    <w:rsid w:val="009F27E1"/>
    <w:rsid w:val="009F3AFA"/>
    <w:rsid w:val="009F3BFE"/>
    <w:rsid w:val="009F4336"/>
    <w:rsid w:val="009F46DB"/>
    <w:rsid w:val="00A00FE3"/>
    <w:rsid w:val="00A02132"/>
    <w:rsid w:val="00A0226E"/>
    <w:rsid w:val="00A03769"/>
    <w:rsid w:val="00A046A0"/>
    <w:rsid w:val="00A06583"/>
    <w:rsid w:val="00A06E22"/>
    <w:rsid w:val="00A0721C"/>
    <w:rsid w:val="00A107D9"/>
    <w:rsid w:val="00A15A0D"/>
    <w:rsid w:val="00A21BBF"/>
    <w:rsid w:val="00A22C3F"/>
    <w:rsid w:val="00A25612"/>
    <w:rsid w:val="00A270C8"/>
    <w:rsid w:val="00A27A96"/>
    <w:rsid w:val="00A3469E"/>
    <w:rsid w:val="00A355B7"/>
    <w:rsid w:val="00A35A63"/>
    <w:rsid w:val="00A3783B"/>
    <w:rsid w:val="00A4218C"/>
    <w:rsid w:val="00A44A78"/>
    <w:rsid w:val="00A454F2"/>
    <w:rsid w:val="00A45BC0"/>
    <w:rsid w:val="00A4607C"/>
    <w:rsid w:val="00A467EF"/>
    <w:rsid w:val="00A47C2E"/>
    <w:rsid w:val="00A52F8F"/>
    <w:rsid w:val="00A5344C"/>
    <w:rsid w:val="00A56CED"/>
    <w:rsid w:val="00A61AA1"/>
    <w:rsid w:val="00A668FD"/>
    <w:rsid w:val="00A66C40"/>
    <w:rsid w:val="00A66EAA"/>
    <w:rsid w:val="00A6701B"/>
    <w:rsid w:val="00A74C8F"/>
    <w:rsid w:val="00A8248C"/>
    <w:rsid w:val="00A82B45"/>
    <w:rsid w:val="00A84C58"/>
    <w:rsid w:val="00A85CFB"/>
    <w:rsid w:val="00A86B4C"/>
    <w:rsid w:val="00A874E1"/>
    <w:rsid w:val="00A90463"/>
    <w:rsid w:val="00A928FE"/>
    <w:rsid w:val="00A9448D"/>
    <w:rsid w:val="00A96462"/>
    <w:rsid w:val="00A9773F"/>
    <w:rsid w:val="00AA3EBC"/>
    <w:rsid w:val="00AA6ABF"/>
    <w:rsid w:val="00AB64D7"/>
    <w:rsid w:val="00AB77DF"/>
    <w:rsid w:val="00AC0EA3"/>
    <w:rsid w:val="00AC4234"/>
    <w:rsid w:val="00AC5ABF"/>
    <w:rsid w:val="00AC5C6B"/>
    <w:rsid w:val="00AC67A5"/>
    <w:rsid w:val="00AC6B88"/>
    <w:rsid w:val="00AC7C1B"/>
    <w:rsid w:val="00AD3535"/>
    <w:rsid w:val="00AD3EB5"/>
    <w:rsid w:val="00AD514C"/>
    <w:rsid w:val="00AD6196"/>
    <w:rsid w:val="00AE1A71"/>
    <w:rsid w:val="00AE534A"/>
    <w:rsid w:val="00AE6E2D"/>
    <w:rsid w:val="00AE7C22"/>
    <w:rsid w:val="00AF08AB"/>
    <w:rsid w:val="00AF164F"/>
    <w:rsid w:val="00AF5D62"/>
    <w:rsid w:val="00B025E7"/>
    <w:rsid w:val="00B0266E"/>
    <w:rsid w:val="00B04F2B"/>
    <w:rsid w:val="00B0562D"/>
    <w:rsid w:val="00B11F37"/>
    <w:rsid w:val="00B133CB"/>
    <w:rsid w:val="00B13A79"/>
    <w:rsid w:val="00B15347"/>
    <w:rsid w:val="00B16473"/>
    <w:rsid w:val="00B16ADD"/>
    <w:rsid w:val="00B20073"/>
    <w:rsid w:val="00B200CE"/>
    <w:rsid w:val="00B20363"/>
    <w:rsid w:val="00B220C0"/>
    <w:rsid w:val="00B23262"/>
    <w:rsid w:val="00B24E5A"/>
    <w:rsid w:val="00B31902"/>
    <w:rsid w:val="00B339CB"/>
    <w:rsid w:val="00B33A44"/>
    <w:rsid w:val="00B34DF5"/>
    <w:rsid w:val="00B35BFB"/>
    <w:rsid w:val="00B35F6A"/>
    <w:rsid w:val="00B3763E"/>
    <w:rsid w:val="00B408E4"/>
    <w:rsid w:val="00B41AD2"/>
    <w:rsid w:val="00B44014"/>
    <w:rsid w:val="00B44B5C"/>
    <w:rsid w:val="00B462E1"/>
    <w:rsid w:val="00B46A88"/>
    <w:rsid w:val="00B47256"/>
    <w:rsid w:val="00B50196"/>
    <w:rsid w:val="00B527F3"/>
    <w:rsid w:val="00B61E40"/>
    <w:rsid w:val="00B62BD4"/>
    <w:rsid w:val="00B6434B"/>
    <w:rsid w:val="00B64632"/>
    <w:rsid w:val="00B715D3"/>
    <w:rsid w:val="00B72E4B"/>
    <w:rsid w:val="00B8741A"/>
    <w:rsid w:val="00B901A3"/>
    <w:rsid w:val="00B911E7"/>
    <w:rsid w:val="00B91A88"/>
    <w:rsid w:val="00B91EFC"/>
    <w:rsid w:val="00B948F4"/>
    <w:rsid w:val="00BA0635"/>
    <w:rsid w:val="00BA2349"/>
    <w:rsid w:val="00BA4F60"/>
    <w:rsid w:val="00BA69C8"/>
    <w:rsid w:val="00BB3045"/>
    <w:rsid w:val="00BB32E3"/>
    <w:rsid w:val="00BB33D8"/>
    <w:rsid w:val="00BB34D9"/>
    <w:rsid w:val="00BB3BE3"/>
    <w:rsid w:val="00BC44C3"/>
    <w:rsid w:val="00BC4D0B"/>
    <w:rsid w:val="00BC59A7"/>
    <w:rsid w:val="00BC6BF7"/>
    <w:rsid w:val="00BC6F11"/>
    <w:rsid w:val="00BD22B9"/>
    <w:rsid w:val="00BD3CDF"/>
    <w:rsid w:val="00BD6734"/>
    <w:rsid w:val="00BD7F53"/>
    <w:rsid w:val="00BE032F"/>
    <w:rsid w:val="00BE2C02"/>
    <w:rsid w:val="00BE3366"/>
    <w:rsid w:val="00BE707A"/>
    <w:rsid w:val="00BF675D"/>
    <w:rsid w:val="00BF6E36"/>
    <w:rsid w:val="00C014FC"/>
    <w:rsid w:val="00C0331B"/>
    <w:rsid w:val="00C05311"/>
    <w:rsid w:val="00C07748"/>
    <w:rsid w:val="00C109E8"/>
    <w:rsid w:val="00C12EB8"/>
    <w:rsid w:val="00C13EC7"/>
    <w:rsid w:val="00C15C71"/>
    <w:rsid w:val="00C22CFC"/>
    <w:rsid w:val="00C24149"/>
    <w:rsid w:val="00C2769E"/>
    <w:rsid w:val="00C32D18"/>
    <w:rsid w:val="00C3369D"/>
    <w:rsid w:val="00C33D74"/>
    <w:rsid w:val="00C34B86"/>
    <w:rsid w:val="00C41862"/>
    <w:rsid w:val="00C42709"/>
    <w:rsid w:val="00C44430"/>
    <w:rsid w:val="00C453DB"/>
    <w:rsid w:val="00C46FBB"/>
    <w:rsid w:val="00C60918"/>
    <w:rsid w:val="00C62AF5"/>
    <w:rsid w:val="00C6358A"/>
    <w:rsid w:val="00C64ED2"/>
    <w:rsid w:val="00C66478"/>
    <w:rsid w:val="00C67EC0"/>
    <w:rsid w:val="00C70B38"/>
    <w:rsid w:val="00C70CB1"/>
    <w:rsid w:val="00C76866"/>
    <w:rsid w:val="00C82BB7"/>
    <w:rsid w:val="00C85D0D"/>
    <w:rsid w:val="00C85E90"/>
    <w:rsid w:val="00C861B9"/>
    <w:rsid w:val="00C96A7C"/>
    <w:rsid w:val="00C975B1"/>
    <w:rsid w:val="00CA453A"/>
    <w:rsid w:val="00CA63CD"/>
    <w:rsid w:val="00CA64D2"/>
    <w:rsid w:val="00CB0614"/>
    <w:rsid w:val="00CB10C7"/>
    <w:rsid w:val="00CB2546"/>
    <w:rsid w:val="00CB7242"/>
    <w:rsid w:val="00CC0F8C"/>
    <w:rsid w:val="00CC1D1D"/>
    <w:rsid w:val="00CC4876"/>
    <w:rsid w:val="00CC4986"/>
    <w:rsid w:val="00CD0DF5"/>
    <w:rsid w:val="00CD0F43"/>
    <w:rsid w:val="00CD3C50"/>
    <w:rsid w:val="00CD3E2D"/>
    <w:rsid w:val="00CD44B5"/>
    <w:rsid w:val="00CD65AF"/>
    <w:rsid w:val="00CD6C79"/>
    <w:rsid w:val="00CE0729"/>
    <w:rsid w:val="00CE31CE"/>
    <w:rsid w:val="00CF02CA"/>
    <w:rsid w:val="00CF0A5C"/>
    <w:rsid w:val="00CF2647"/>
    <w:rsid w:val="00CF2974"/>
    <w:rsid w:val="00CF6CE0"/>
    <w:rsid w:val="00D029D3"/>
    <w:rsid w:val="00D032B6"/>
    <w:rsid w:val="00D052B3"/>
    <w:rsid w:val="00D058F1"/>
    <w:rsid w:val="00D076F1"/>
    <w:rsid w:val="00D11D71"/>
    <w:rsid w:val="00D12360"/>
    <w:rsid w:val="00D12A94"/>
    <w:rsid w:val="00D13385"/>
    <w:rsid w:val="00D15622"/>
    <w:rsid w:val="00D156C6"/>
    <w:rsid w:val="00D15D88"/>
    <w:rsid w:val="00D246BA"/>
    <w:rsid w:val="00D270CB"/>
    <w:rsid w:val="00D34C15"/>
    <w:rsid w:val="00D351F4"/>
    <w:rsid w:val="00D36438"/>
    <w:rsid w:val="00D3679D"/>
    <w:rsid w:val="00D37E6E"/>
    <w:rsid w:val="00D4202B"/>
    <w:rsid w:val="00D46674"/>
    <w:rsid w:val="00D5254B"/>
    <w:rsid w:val="00D551B7"/>
    <w:rsid w:val="00D5744F"/>
    <w:rsid w:val="00D577AE"/>
    <w:rsid w:val="00D57DFC"/>
    <w:rsid w:val="00D6034D"/>
    <w:rsid w:val="00D60D9B"/>
    <w:rsid w:val="00D629E8"/>
    <w:rsid w:val="00D66DF2"/>
    <w:rsid w:val="00D67665"/>
    <w:rsid w:val="00D702BF"/>
    <w:rsid w:val="00D70461"/>
    <w:rsid w:val="00D71560"/>
    <w:rsid w:val="00D85E7C"/>
    <w:rsid w:val="00D85EC6"/>
    <w:rsid w:val="00D873B7"/>
    <w:rsid w:val="00D90B90"/>
    <w:rsid w:val="00D92D1C"/>
    <w:rsid w:val="00D93A6F"/>
    <w:rsid w:val="00D97391"/>
    <w:rsid w:val="00D9784A"/>
    <w:rsid w:val="00DA1361"/>
    <w:rsid w:val="00DB50CF"/>
    <w:rsid w:val="00DB5A41"/>
    <w:rsid w:val="00DB6A22"/>
    <w:rsid w:val="00DB7096"/>
    <w:rsid w:val="00DC0804"/>
    <w:rsid w:val="00DC096C"/>
    <w:rsid w:val="00DC0F28"/>
    <w:rsid w:val="00DC20A3"/>
    <w:rsid w:val="00DC2AA5"/>
    <w:rsid w:val="00DC2DB8"/>
    <w:rsid w:val="00DC353A"/>
    <w:rsid w:val="00DC3CF5"/>
    <w:rsid w:val="00DC3FB6"/>
    <w:rsid w:val="00DC4519"/>
    <w:rsid w:val="00DC66F5"/>
    <w:rsid w:val="00DC7144"/>
    <w:rsid w:val="00DD02C6"/>
    <w:rsid w:val="00DD0CB0"/>
    <w:rsid w:val="00DD0E6D"/>
    <w:rsid w:val="00DD5360"/>
    <w:rsid w:val="00DD6D71"/>
    <w:rsid w:val="00DD7941"/>
    <w:rsid w:val="00DE169C"/>
    <w:rsid w:val="00DE2357"/>
    <w:rsid w:val="00DE4A7B"/>
    <w:rsid w:val="00DE720E"/>
    <w:rsid w:val="00DE76EC"/>
    <w:rsid w:val="00DF18A1"/>
    <w:rsid w:val="00DF2927"/>
    <w:rsid w:val="00DF2F9F"/>
    <w:rsid w:val="00DF4AE7"/>
    <w:rsid w:val="00E0077D"/>
    <w:rsid w:val="00E011F4"/>
    <w:rsid w:val="00E01C37"/>
    <w:rsid w:val="00E02D19"/>
    <w:rsid w:val="00E055D9"/>
    <w:rsid w:val="00E06C22"/>
    <w:rsid w:val="00E06C35"/>
    <w:rsid w:val="00E07B50"/>
    <w:rsid w:val="00E11B31"/>
    <w:rsid w:val="00E121E7"/>
    <w:rsid w:val="00E136B0"/>
    <w:rsid w:val="00E167A9"/>
    <w:rsid w:val="00E235ED"/>
    <w:rsid w:val="00E26529"/>
    <w:rsid w:val="00E27404"/>
    <w:rsid w:val="00E27634"/>
    <w:rsid w:val="00E32E94"/>
    <w:rsid w:val="00E35D93"/>
    <w:rsid w:val="00E3739B"/>
    <w:rsid w:val="00E40575"/>
    <w:rsid w:val="00E42663"/>
    <w:rsid w:val="00E47D42"/>
    <w:rsid w:val="00E501FE"/>
    <w:rsid w:val="00E508DB"/>
    <w:rsid w:val="00E50F30"/>
    <w:rsid w:val="00E51734"/>
    <w:rsid w:val="00E54A99"/>
    <w:rsid w:val="00E55F81"/>
    <w:rsid w:val="00E5759E"/>
    <w:rsid w:val="00E63000"/>
    <w:rsid w:val="00E669D8"/>
    <w:rsid w:val="00E674FD"/>
    <w:rsid w:val="00E714DD"/>
    <w:rsid w:val="00E7225E"/>
    <w:rsid w:val="00E7271A"/>
    <w:rsid w:val="00E73059"/>
    <w:rsid w:val="00E74213"/>
    <w:rsid w:val="00E74751"/>
    <w:rsid w:val="00E75062"/>
    <w:rsid w:val="00E77004"/>
    <w:rsid w:val="00E77643"/>
    <w:rsid w:val="00E81593"/>
    <w:rsid w:val="00E833DB"/>
    <w:rsid w:val="00E84EFF"/>
    <w:rsid w:val="00E85781"/>
    <w:rsid w:val="00E86ED5"/>
    <w:rsid w:val="00E9033F"/>
    <w:rsid w:val="00EA00E7"/>
    <w:rsid w:val="00EA07D4"/>
    <w:rsid w:val="00EA60CF"/>
    <w:rsid w:val="00EA73DD"/>
    <w:rsid w:val="00EB17A7"/>
    <w:rsid w:val="00EB7288"/>
    <w:rsid w:val="00EB7913"/>
    <w:rsid w:val="00EB79DF"/>
    <w:rsid w:val="00EB7E58"/>
    <w:rsid w:val="00EC1246"/>
    <w:rsid w:val="00EC4340"/>
    <w:rsid w:val="00EC6C2E"/>
    <w:rsid w:val="00ED24AA"/>
    <w:rsid w:val="00ED7FE5"/>
    <w:rsid w:val="00EE015C"/>
    <w:rsid w:val="00EE5DCB"/>
    <w:rsid w:val="00EE6164"/>
    <w:rsid w:val="00EE7EC4"/>
    <w:rsid w:val="00EF09D1"/>
    <w:rsid w:val="00EF14DF"/>
    <w:rsid w:val="00EF1F13"/>
    <w:rsid w:val="00EF361F"/>
    <w:rsid w:val="00EF36A6"/>
    <w:rsid w:val="00EF5CC3"/>
    <w:rsid w:val="00F02604"/>
    <w:rsid w:val="00F041D5"/>
    <w:rsid w:val="00F06EB6"/>
    <w:rsid w:val="00F12D8F"/>
    <w:rsid w:val="00F1420C"/>
    <w:rsid w:val="00F14382"/>
    <w:rsid w:val="00F14CF3"/>
    <w:rsid w:val="00F15BE8"/>
    <w:rsid w:val="00F26991"/>
    <w:rsid w:val="00F32992"/>
    <w:rsid w:val="00F329D2"/>
    <w:rsid w:val="00F36E28"/>
    <w:rsid w:val="00F40D53"/>
    <w:rsid w:val="00F47489"/>
    <w:rsid w:val="00F4773F"/>
    <w:rsid w:val="00F544DA"/>
    <w:rsid w:val="00F57518"/>
    <w:rsid w:val="00F75496"/>
    <w:rsid w:val="00F8311E"/>
    <w:rsid w:val="00F85E02"/>
    <w:rsid w:val="00F879B4"/>
    <w:rsid w:val="00F87B0B"/>
    <w:rsid w:val="00F91D7F"/>
    <w:rsid w:val="00F9249F"/>
    <w:rsid w:val="00F97AAB"/>
    <w:rsid w:val="00FA2C5A"/>
    <w:rsid w:val="00FA33FE"/>
    <w:rsid w:val="00FB09D7"/>
    <w:rsid w:val="00FB1292"/>
    <w:rsid w:val="00FB54AC"/>
    <w:rsid w:val="00FB5CFC"/>
    <w:rsid w:val="00FB733F"/>
    <w:rsid w:val="00FC0DB7"/>
    <w:rsid w:val="00FC1993"/>
    <w:rsid w:val="00FC5422"/>
    <w:rsid w:val="00FC6C91"/>
    <w:rsid w:val="00FD065E"/>
    <w:rsid w:val="00FD0707"/>
    <w:rsid w:val="00FD44AE"/>
    <w:rsid w:val="00FD44BF"/>
    <w:rsid w:val="00FD5B0B"/>
    <w:rsid w:val="00FD5B8F"/>
    <w:rsid w:val="00FD7EFB"/>
    <w:rsid w:val="00FE1880"/>
    <w:rsid w:val="00FE2FF2"/>
    <w:rsid w:val="00FE3059"/>
    <w:rsid w:val="00FE38E6"/>
    <w:rsid w:val="00FE75F5"/>
    <w:rsid w:val="00FF1ED4"/>
    <w:rsid w:val="00FF2A79"/>
    <w:rsid w:val="00FF3408"/>
    <w:rsid w:val="00FF6682"/>
    <w:rsid w:val="42EC6671"/>
    <w:rsid w:val="4644EAB5"/>
    <w:rsid w:val="47CEF633"/>
    <w:rsid w:val="564F6600"/>
    <w:rsid w:val="60D31517"/>
  </w:rsids>
  <m:mathPr>
    <m:mathFont m:val="Cambria Math"/>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14:docId w14:val="336C2671"/>
  <w15:chartTrackingRefBased/>
  <w15:docId w15:val="{68AB984C-ECCE-499C-ADD8-BBE0DC8F08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78327E"/>
    <w:pPr>
      <w:widowControl w:val="0"/>
    </w:pPr>
    <w:rPr>
      <w:snapToGrid w:val="0"/>
      <w:kern w:val="28"/>
      <w:sz w:val="22"/>
    </w:rPr>
  </w:style>
  <w:style w:type="paragraph" w:styleId="Heading1">
    <w:name w:val="heading 1"/>
    <w:basedOn w:val="Normal"/>
    <w:next w:val="ParaNum"/>
    <w:qFormat/>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pPr>
      <w:keepNext/>
      <w:numPr>
        <w:ilvl w:val="1"/>
        <w:numId w:val="3"/>
      </w:numPr>
      <w:spacing w:after="120"/>
      <w:outlineLvl w:val="1"/>
    </w:pPr>
    <w:rPr>
      <w:b/>
    </w:rPr>
  </w:style>
  <w:style w:type="paragraph" w:styleId="Heading3">
    <w:name w:val="heading 3"/>
    <w:basedOn w:val="Normal"/>
    <w:next w:val="ParaNum"/>
    <w:qFormat/>
    <w:pPr>
      <w:keepNext/>
      <w:numPr>
        <w:ilvl w:val="2"/>
        <w:numId w:val="3"/>
      </w:numPr>
      <w:tabs>
        <w:tab w:val="left" w:pos="2160"/>
      </w:tabs>
      <w:spacing w:after="120"/>
      <w:outlineLvl w:val="2"/>
    </w:pPr>
    <w:rPr>
      <w:b/>
    </w:rPr>
  </w:style>
  <w:style w:type="paragraph" w:styleId="Heading4">
    <w:name w:val="heading 4"/>
    <w:basedOn w:val="Normal"/>
    <w:next w:val="ParaNum"/>
    <w:qFormat/>
    <w:pPr>
      <w:keepNext/>
      <w:numPr>
        <w:ilvl w:val="3"/>
        <w:numId w:val="3"/>
      </w:numPr>
      <w:tabs>
        <w:tab w:val="left" w:pos="2880"/>
      </w:tabs>
      <w:spacing w:after="120"/>
      <w:outlineLvl w:val="3"/>
    </w:pPr>
    <w:rPr>
      <w:b/>
    </w:rPr>
  </w:style>
  <w:style w:type="paragraph" w:styleId="Heading5">
    <w:name w:val="heading 5"/>
    <w:basedOn w:val="Normal"/>
    <w:next w:val="ParaNum"/>
    <w:qFormat/>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pPr>
      <w:numPr>
        <w:ilvl w:val="5"/>
        <w:numId w:val="3"/>
      </w:numPr>
      <w:tabs>
        <w:tab w:val="left" w:pos="4320"/>
      </w:tabs>
      <w:spacing w:after="120"/>
      <w:outlineLvl w:val="5"/>
    </w:pPr>
    <w:rPr>
      <w:b/>
    </w:rPr>
  </w:style>
  <w:style w:type="paragraph" w:styleId="Heading7">
    <w:name w:val="heading 7"/>
    <w:basedOn w:val="Normal"/>
    <w:next w:val="ParaNum"/>
    <w:qFormat/>
    <w:pPr>
      <w:numPr>
        <w:ilvl w:val="6"/>
        <w:numId w:val="3"/>
      </w:numPr>
      <w:tabs>
        <w:tab w:val="left" w:pos="5040"/>
      </w:tabs>
      <w:spacing w:after="120"/>
      <w:ind w:left="5040" w:hanging="720"/>
      <w:outlineLvl w:val="6"/>
    </w:pPr>
    <w:rPr>
      <w:b/>
    </w:rPr>
  </w:style>
  <w:style w:type="paragraph" w:styleId="Heading8">
    <w:name w:val="heading 8"/>
    <w:basedOn w:val="Normal"/>
    <w:next w:val="ParaNum"/>
    <w:qFormat/>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aliases w:val="Footnote Text Char Char Char Char,Footnote Text Char1 Char,Footnote Text Char1 Char Char,Footnote Text Char1 Char Char Char1 Char Char,Footnote Text Char2,Footnote Text Char2 Char,Footnote Text Char2 Char Char1 Char Char"/>
    <w:link w:val="FootnoteTextChar"/>
    <w:semiHidden/>
    <w:pPr>
      <w:spacing w:after="120"/>
    </w:pPr>
  </w:style>
  <w:style w:type="character" w:styleId="FootnoteReference">
    <w:name w:val="footnote reference"/>
    <w:aliases w:val="(NECG) Footnote Reference,Appel note de bas de p,FR,Footnote Reference/,Style 12,Style 124,Style 13,Style 17,Style 3,Style 6,fr,o"/>
    <w:semiHidden/>
    <w:rPr>
      <w:rFonts w:ascii="Times New Roman" w:hAnsi="Times New Roman"/>
      <w:dstrike w:val="0"/>
      <w:color w:val="auto"/>
      <w:sz w:val="22"/>
      <w:vertAlign w:val="superscript"/>
    </w:rPr>
  </w:style>
  <w:style w:type="paragraph" w:styleId="TOC1">
    <w:name w:val="toc 1"/>
    <w:basedOn w:val="Normal"/>
    <w:next w:val="Normal"/>
    <w:uiPriority w:val="39"/>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rFonts w:ascii="Arial" w:hAnsi="Arial" w:cs="Arial"/>
      <w:b/>
      <w:sz w:val="96"/>
      <w:szCs w:val="96"/>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numPr>
        <w:numId w:val="1"/>
      </w:numPr>
      <w:tabs>
        <w:tab w:val="clear" w:pos="360"/>
        <w:tab w:val="left" w:pos="2160"/>
      </w:tabs>
      <w:spacing w:after="220"/>
      <w:ind w:left="2160" w:hanging="720"/>
    </w:pPr>
  </w:style>
  <w:style w:type="paragraph" w:customStyle="1" w:styleId="TableFormat">
    <w:name w:val="TableFormat"/>
    <w:basedOn w:val="Bullet"/>
    <w:pPr>
      <w:numPr>
        <w:numId w:val="0"/>
      </w:num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pPr>
      <w:jc w:val="center"/>
    </w:pPr>
    <w:rPr>
      <w:rFonts w:ascii="Times New Roman Bold" w:hAnsi="Times New Roman Bold"/>
      <w:b/>
      <w:bCs/>
      <w:caps/>
      <w:szCs w:val="22"/>
    </w:rPr>
  </w:style>
  <w:style w:type="character" w:styleId="Hyperlink">
    <w:name w:val="Hyperlink"/>
    <w:uiPriority w:val="99"/>
    <w:rPr>
      <w:color w:val="0000FF"/>
      <w:u w:val="single"/>
    </w:rPr>
  </w:style>
  <w:style w:type="character" w:customStyle="1" w:styleId="FooterChar">
    <w:name w:val="Footer Char"/>
    <w:link w:val="Footer"/>
    <w:uiPriority w:val="99"/>
    <w:rPr>
      <w:snapToGrid w:val="0"/>
      <w:kern w:val="28"/>
      <w:sz w:val="22"/>
    </w:rPr>
  </w:style>
  <w:style w:type="character" w:styleId="UnresolvedMention">
    <w:name w:val="Unresolved Mention"/>
    <w:uiPriority w:val="99"/>
    <w:semiHidden/>
    <w:unhideWhenUsed/>
    <w:rPr>
      <w:color w:val="605E5C"/>
      <w:shd w:val="clear" w:color="auto" w:fill="E1DFDD"/>
    </w:rPr>
  </w:style>
  <w:style w:type="character" w:customStyle="1" w:styleId="FootnoteTextChar">
    <w:name w:val="Footnote Text Char"/>
    <w:aliases w:val="Footnote Text Char Char Char Char Char,Footnote Text Char1 Char Char1,Footnote Text Char1 Char Char Char,Footnote Text Char1 Char Char Char1 Char Char Char,Footnote Text Char2 Char1,Footnote Text Char2 Char Char"/>
    <w:link w:val="FootnoteText"/>
    <w:uiPriority w:val="99"/>
    <w:semiHidden/>
    <w:rsid w:val="0078327E"/>
  </w:style>
  <w:style w:type="paragraph" w:styleId="ListParagraph">
    <w:name w:val="List Paragraph"/>
    <w:basedOn w:val="Normal"/>
    <w:uiPriority w:val="34"/>
    <w:qFormat/>
    <w:rsid w:val="0078327E"/>
    <w:pPr>
      <w:ind w:left="720"/>
      <w:contextualSpacing/>
    </w:pPr>
  </w:style>
  <w:style w:type="paragraph" w:styleId="Revision">
    <w:name w:val="Revision"/>
    <w:hidden/>
    <w:uiPriority w:val="99"/>
    <w:semiHidden/>
    <w:rsid w:val="007A6C69"/>
    <w:rPr>
      <w:snapToGrid w:val="0"/>
      <w:kern w:val="28"/>
      <w:sz w:val="22"/>
    </w:rPr>
  </w:style>
  <w:style w:type="character" w:styleId="CommentReference">
    <w:name w:val="annotation reference"/>
    <w:basedOn w:val="DefaultParagraphFont"/>
    <w:uiPriority w:val="99"/>
    <w:semiHidden/>
    <w:unhideWhenUsed/>
    <w:rsid w:val="00013ED0"/>
    <w:rPr>
      <w:sz w:val="16"/>
      <w:szCs w:val="16"/>
    </w:rPr>
  </w:style>
  <w:style w:type="paragraph" w:styleId="CommentText">
    <w:name w:val="annotation text"/>
    <w:basedOn w:val="Normal"/>
    <w:link w:val="CommentTextChar"/>
    <w:uiPriority w:val="99"/>
    <w:unhideWhenUsed/>
    <w:rsid w:val="00013ED0"/>
    <w:rPr>
      <w:sz w:val="20"/>
    </w:rPr>
  </w:style>
  <w:style w:type="character" w:customStyle="1" w:styleId="CommentTextChar">
    <w:name w:val="Comment Text Char"/>
    <w:basedOn w:val="DefaultParagraphFont"/>
    <w:link w:val="CommentText"/>
    <w:uiPriority w:val="99"/>
    <w:rsid w:val="00013ED0"/>
    <w:rPr>
      <w:snapToGrid w:val="0"/>
      <w:kern w:val="28"/>
    </w:rPr>
  </w:style>
  <w:style w:type="paragraph" w:styleId="CommentSubject">
    <w:name w:val="annotation subject"/>
    <w:basedOn w:val="CommentText"/>
    <w:next w:val="CommentText"/>
    <w:link w:val="CommentSubjectChar"/>
    <w:uiPriority w:val="99"/>
    <w:semiHidden/>
    <w:unhideWhenUsed/>
    <w:rsid w:val="00013ED0"/>
    <w:rPr>
      <w:b/>
      <w:bCs/>
    </w:rPr>
  </w:style>
  <w:style w:type="character" w:customStyle="1" w:styleId="CommentSubjectChar">
    <w:name w:val="Comment Subject Char"/>
    <w:basedOn w:val="CommentTextChar"/>
    <w:link w:val="CommentSubject"/>
    <w:uiPriority w:val="99"/>
    <w:semiHidden/>
    <w:rsid w:val="00013ED0"/>
    <w:rPr>
      <w:b/>
      <w:bCs/>
      <w:snapToGrid w:val="0"/>
      <w:kern w:val="28"/>
    </w:rPr>
  </w:style>
  <w:style w:type="table" w:styleId="TableGrid">
    <w:name w:val="Table Grid"/>
    <w:basedOn w:val="TableNormal"/>
    <w:uiPriority w:val="59"/>
    <w:rsid w:val="00BA234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7A133C"/>
    <w:pPr>
      <w:autoSpaceDE w:val="0"/>
      <w:autoSpaceDN w:val="0"/>
      <w:adjustRightInd w:val="0"/>
    </w:pPr>
    <w:rPr>
      <w:color w:val="000000"/>
      <w:sz w:val="24"/>
      <w:szCs w:val="24"/>
    </w:rPr>
  </w:style>
  <w:style w:type="character" w:styleId="PlaceholderText">
    <w:name w:val="Placeholder Text"/>
    <w:basedOn w:val="DefaultParagraphFont"/>
    <w:uiPriority w:val="99"/>
    <w:semiHidden/>
    <w:rsid w:val="00FB733F"/>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eader" Target="header2.xml" /><Relationship Id="rId11" Type="http://schemas.openxmlformats.org/officeDocument/2006/relationships/theme" Target="theme/theme1.xml" /><Relationship Id="rId12" Type="http://schemas.openxmlformats.org/officeDocument/2006/relationships/numbering" Target="numbering.xml" /><Relationship Id="rId13"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yperlink" Target="mailto:louislibin@broad-comm.com" TargetMode="External" /><Relationship Id="rId7" Type="http://schemas.openxmlformats.org/officeDocument/2006/relationships/header" Target="header1.xml" /><Relationship Id="rId8" Type="http://schemas.openxmlformats.org/officeDocument/2006/relationships/footer" Target="footer1.xml" /><Relationship Id="rId9" Type="http://schemas.openxmlformats.org/officeDocument/2006/relationships/footer" Target="footer2.xml" /></Relationships>
</file>

<file path=word/_rels/footnotes.xml.rels><?xml version="1.0" encoding="utf-8" standalone="yes"?><Relationships xmlns="http://schemas.openxmlformats.org/package/2006/relationships"><Relationship Id="rId1" Type="http://schemas.openxmlformats.org/officeDocument/2006/relationships/hyperlink" Target="https://www.fcc.gov/ecfs/document/1031706338689/1" TargetMode="External" /><Relationship Id="rId2" Type="http://schemas.openxmlformats.org/officeDocument/2006/relationships/hyperlink" Target="https://usa.wavedb.com/" TargetMode="Externa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Public%20Notice%20Portrait.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Public Notice Portrait</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