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42107" w:rsidP="00C42107" w14:paraId="0BFB8265" w14:textId="439BF2DD">
      <w:pPr>
        <w:pStyle w:val="ParaNum"/>
        <w:numPr>
          <w:ilvl w:val="0"/>
          <w:numId w:val="0"/>
        </w:numPr>
        <w:spacing w:after="0"/>
        <w:ind w:left="6480"/>
        <w:rPr>
          <w:b/>
          <w:bCs/>
          <w:lang w:val="pt-BR"/>
        </w:rPr>
      </w:pPr>
      <w:r w:rsidRPr="00957EAF">
        <w:rPr>
          <w:b/>
          <w:bCs/>
          <w:lang w:val="pt-BR"/>
        </w:rPr>
        <w:t>DA 26-</w:t>
      </w:r>
      <w:r w:rsidR="00E07DD4">
        <w:rPr>
          <w:b/>
          <w:bCs/>
          <w:lang w:val="pt-BR"/>
        </w:rPr>
        <w:t>441</w:t>
      </w:r>
    </w:p>
    <w:p w:rsidR="00C42107" w:rsidRPr="00957EAF" w:rsidP="00C42107" w14:paraId="4AC6017B" w14:textId="729B44D9">
      <w:pPr>
        <w:pStyle w:val="ParaNum"/>
        <w:numPr>
          <w:ilvl w:val="0"/>
          <w:numId w:val="0"/>
        </w:numPr>
        <w:spacing w:after="0"/>
        <w:ind w:left="6480"/>
        <w:rPr>
          <w:b/>
          <w:bCs/>
          <w:lang w:val="pt-BR"/>
        </w:rPr>
      </w:pPr>
      <w:r>
        <w:rPr>
          <w:b/>
          <w:bCs/>
          <w:lang w:val="pt-BR"/>
        </w:rPr>
        <w:t xml:space="preserve">Released: </w:t>
      </w:r>
      <w:r w:rsidR="000B7EA0">
        <w:rPr>
          <w:b/>
          <w:bCs/>
          <w:lang w:val="pt-BR"/>
        </w:rPr>
        <w:t xml:space="preserve">May </w:t>
      </w:r>
      <w:r w:rsidR="00E07DD4">
        <w:rPr>
          <w:b/>
          <w:bCs/>
          <w:lang w:val="pt-BR"/>
        </w:rPr>
        <w:t>6</w:t>
      </w:r>
      <w:r>
        <w:rPr>
          <w:b/>
          <w:bCs/>
          <w:lang w:val="pt-BR"/>
        </w:rPr>
        <w:t>, 2026</w:t>
      </w:r>
    </w:p>
    <w:p w:rsidR="00C42107" w:rsidRPr="009B26A2" w:rsidP="00C42107" w14:paraId="2933ACA4" w14:textId="77777777">
      <w:pPr>
        <w:pStyle w:val="ParaNum"/>
        <w:numPr>
          <w:ilvl w:val="0"/>
          <w:numId w:val="0"/>
        </w:numPr>
        <w:spacing w:after="0"/>
        <w:rPr>
          <w:lang w:val="pt-BR"/>
        </w:rPr>
      </w:pPr>
    </w:p>
    <w:p w:rsidR="00C42107" w:rsidRPr="00646A1F" w:rsidP="00C42107" w14:paraId="3E72EB11" w14:textId="1A519935">
      <w:pPr>
        <w:widowControl w:val="0"/>
        <w:rPr>
          <w:sz w:val="22"/>
          <w:szCs w:val="22"/>
        </w:rPr>
      </w:pPr>
      <w:r>
        <w:rPr>
          <w:sz w:val="22"/>
          <w:szCs w:val="22"/>
        </w:rPr>
        <w:t>Gray Television Licensee, LLC</w:t>
      </w:r>
    </w:p>
    <w:p w:rsidR="00C42107" w:rsidRPr="00646A1F" w:rsidP="00C42107" w14:paraId="59B0BCB2" w14:textId="16773096">
      <w:pPr>
        <w:widowControl w:val="0"/>
        <w:rPr>
          <w:sz w:val="22"/>
          <w:szCs w:val="22"/>
        </w:rPr>
      </w:pPr>
      <w:r w:rsidRPr="00646A1F">
        <w:rPr>
          <w:sz w:val="22"/>
          <w:szCs w:val="22"/>
        </w:rPr>
        <w:t xml:space="preserve">c/o </w:t>
      </w:r>
      <w:r w:rsidR="00B42ADF">
        <w:rPr>
          <w:sz w:val="22"/>
          <w:szCs w:val="22"/>
        </w:rPr>
        <w:t>Henry</w:t>
      </w:r>
      <w:r w:rsidR="001A396A">
        <w:rPr>
          <w:sz w:val="22"/>
          <w:szCs w:val="22"/>
        </w:rPr>
        <w:t xml:space="preserve"> H.</w:t>
      </w:r>
      <w:r w:rsidR="00B42ADF">
        <w:rPr>
          <w:sz w:val="22"/>
          <w:szCs w:val="22"/>
        </w:rPr>
        <w:t xml:space="preserve"> Wendel</w:t>
      </w:r>
    </w:p>
    <w:p w:rsidR="00C42107" w:rsidRPr="00646A1F" w:rsidP="00C42107" w14:paraId="6C43EA7A" w14:textId="1E52085B">
      <w:pPr>
        <w:widowControl w:val="0"/>
        <w:rPr>
          <w:sz w:val="22"/>
          <w:szCs w:val="22"/>
        </w:rPr>
      </w:pPr>
      <w:r>
        <w:rPr>
          <w:sz w:val="22"/>
          <w:szCs w:val="22"/>
        </w:rPr>
        <w:t>Cooley</w:t>
      </w:r>
      <w:r w:rsidRPr="00646A1F">
        <w:rPr>
          <w:sz w:val="22"/>
          <w:szCs w:val="22"/>
        </w:rPr>
        <w:t xml:space="preserve"> LLP</w:t>
      </w:r>
    </w:p>
    <w:p w:rsidR="00C42107" w:rsidP="00C42107" w14:paraId="04874728" w14:textId="7438EDBA">
      <w:pPr>
        <w:widowControl w:val="0"/>
        <w:rPr>
          <w:sz w:val="22"/>
          <w:szCs w:val="22"/>
        </w:rPr>
      </w:pPr>
      <w:r w:rsidRPr="00646A1F">
        <w:rPr>
          <w:sz w:val="22"/>
          <w:szCs w:val="22"/>
        </w:rPr>
        <w:t>12</w:t>
      </w:r>
      <w:r w:rsidR="001A396A">
        <w:rPr>
          <w:sz w:val="22"/>
          <w:szCs w:val="22"/>
        </w:rPr>
        <w:t>99 Pennsyl</w:t>
      </w:r>
      <w:r w:rsidR="00E00464">
        <w:rPr>
          <w:sz w:val="22"/>
          <w:szCs w:val="22"/>
        </w:rPr>
        <w:t>v</w:t>
      </w:r>
      <w:r w:rsidR="001A396A">
        <w:rPr>
          <w:sz w:val="22"/>
          <w:szCs w:val="22"/>
        </w:rPr>
        <w:t>ania Avenue, NW</w:t>
      </w:r>
    </w:p>
    <w:p w:rsidR="001A396A" w:rsidRPr="00646A1F" w:rsidP="00C42107" w14:paraId="32D8088C" w14:textId="7F330150">
      <w:pPr>
        <w:widowControl w:val="0"/>
        <w:rPr>
          <w:sz w:val="22"/>
          <w:szCs w:val="22"/>
        </w:rPr>
      </w:pPr>
      <w:r>
        <w:rPr>
          <w:sz w:val="22"/>
          <w:szCs w:val="22"/>
        </w:rPr>
        <w:t>S</w:t>
      </w:r>
      <w:r w:rsidR="00D75319">
        <w:rPr>
          <w:sz w:val="22"/>
          <w:szCs w:val="22"/>
        </w:rPr>
        <w:t>uite 700</w:t>
      </w:r>
    </w:p>
    <w:p w:rsidR="00C42107" w:rsidRPr="00646A1F" w:rsidP="00C42107" w14:paraId="54C16E52" w14:textId="49246F31">
      <w:pPr>
        <w:widowControl w:val="0"/>
        <w:rPr>
          <w:sz w:val="22"/>
          <w:szCs w:val="22"/>
        </w:rPr>
      </w:pPr>
      <w:r w:rsidRPr="00646A1F">
        <w:rPr>
          <w:sz w:val="22"/>
          <w:szCs w:val="22"/>
        </w:rPr>
        <w:t>Washington, DC  200</w:t>
      </w:r>
      <w:r w:rsidR="00D75319">
        <w:rPr>
          <w:sz w:val="22"/>
          <w:szCs w:val="22"/>
        </w:rPr>
        <w:t>04-2400</w:t>
      </w:r>
    </w:p>
    <w:p w:rsidR="00C42107" w:rsidRPr="00646A1F" w:rsidP="00C42107" w14:paraId="1BB220C0" w14:textId="77777777">
      <w:pPr>
        <w:widowControl w:val="0"/>
        <w:rPr>
          <w:sz w:val="22"/>
          <w:szCs w:val="22"/>
        </w:rPr>
      </w:pPr>
    </w:p>
    <w:p w:rsidR="00B62F38" w:rsidP="00B62F38" w14:paraId="7CCDF936" w14:textId="66BFEC5C">
      <w:pPr>
        <w:widowControl w:val="0"/>
        <w:rPr>
          <w:sz w:val="22"/>
          <w:szCs w:val="22"/>
        </w:rPr>
      </w:pPr>
      <w:r>
        <w:rPr>
          <w:sz w:val="22"/>
          <w:szCs w:val="22"/>
        </w:rPr>
        <w:t>S</w:t>
      </w:r>
      <w:r w:rsidR="009B6982">
        <w:rPr>
          <w:sz w:val="22"/>
          <w:szCs w:val="22"/>
        </w:rPr>
        <w:t xml:space="preserve">agamoreHill of Columbus GA, LLC et </w:t>
      </w:r>
      <w:r w:rsidR="00122633">
        <w:rPr>
          <w:sz w:val="22"/>
          <w:szCs w:val="22"/>
        </w:rPr>
        <w:t>al.</w:t>
      </w:r>
    </w:p>
    <w:p w:rsidR="00B62F38" w:rsidRPr="00B62F38" w:rsidP="00B62F38" w14:paraId="3A0FB3FC" w14:textId="18617921">
      <w:pPr>
        <w:widowControl w:val="0"/>
        <w:rPr>
          <w:sz w:val="22"/>
          <w:szCs w:val="22"/>
        </w:rPr>
      </w:pPr>
      <w:r>
        <w:rPr>
          <w:sz w:val="22"/>
          <w:szCs w:val="22"/>
        </w:rPr>
        <w:t xml:space="preserve">c/o </w:t>
      </w:r>
      <w:r w:rsidRPr="00B62F38">
        <w:rPr>
          <w:sz w:val="22"/>
          <w:szCs w:val="22"/>
        </w:rPr>
        <w:t xml:space="preserve">Scott Woodworth </w:t>
      </w:r>
    </w:p>
    <w:p w:rsidR="00B62F38" w:rsidRPr="00B62F38" w:rsidP="00B62F38" w14:paraId="0778ABBC" w14:textId="77777777">
      <w:pPr>
        <w:widowControl w:val="0"/>
        <w:rPr>
          <w:sz w:val="22"/>
          <w:szCs w:val="22"/>
        </w:rPr>
      </w:pPr>
      <w:r w:rsidRPr="00B62F38">
        <w:rPr>
          <w:sz w:val="22"/>
          <w:szCs w:val="22"/>
        </w:rPr>
        <w:t>Edinger Associates PLLC</w:t>
      </w:r>
    </w:p>
    <w:p w:rsidR="00C42107" w:rsidP="00C42107" w14:paraId="7670BF2A" w14:textId="3B104445">
      <w:pPr>
        <w:widowControl w:val="0"/>
        <w:rPr>
          <w:sz w:val="22"/>
          <w:szCs w:val="22"/>
        </w:rPr>
      </w:pPr>
      <w:r>
        <w:rPr>
          <w:sz w:val="22"/>
          <w:szCs w:val="22"/>
        </w:rPr>
        <w:t>1725 I Street, NW</w:t>
      </w:r>
    </w:p>
    <w:p w:rsidR="00255069" w:rsidP="00C42107" w14:paraId="7A37FDAD" w14:textId="380C5CCD">
      <w:pPr>
        <w:widowControl w:val="0"/>
        <w:rPr>
          <w:sz w:val="22"/>
          <w:szCs w:val="22"/>
        </w:rPr>
      </w:pPr>
      <w:r>
        <w:rPr>
          <w:sz w:val="22"/>
          <w:szCs w:val="22"/>
        </w:rPr>
        <w:t>Suite 300</w:t>
      </w:r>
    </w:p>
    <w:p w:rsidR="00255069" w:rsidRPr="00646A1F" w:rsidP="00C42107" w14:paraId="385E478B" w14:textId="5B89E3A7">
      <w:pPr>
        <w:widowControl w:val="0"/>
        <w:rPr>
          <w:sz w:val="22"/>
          <w:szCs w:val="22"/>
        </w:rPr>
      </w:pPr>
      <w:r>
        <w:rPr>
          <w:sz w:val="22"/>
          <w:szCs w:val="22"/>
        </w:rPr>
        <w:t>Washington, DC  20006</w:t>
      </w:r>
    </w:p>
    <w:p w:rsidR="00C42107" w:rsidP="00C42107" w14:paraId="5E62A7B7" w14:textId="77777777">
      <w:pPr>
        <w:widowControl w:val="0"/>
        <w:rPr>
          <w:sz w:val="22"/>
          <w:szCs w:val="22"/>
        </w:rPr>
      </w:pPr>
    </w:p>
    <w:p w:rsidR="002F1ED8" w:rsidRPr="002F1ED8" w:rsidP="002F1ED8" w14:paraId="616D459E" w14:textId="7E3ABA5F">
      <w:pPr>
        <w:widowControl w:val="0"/>
        <w:rPr>
          <w:sz w:val="22"/>
          <w:szCs w:val="22"/>
        </w:rPr>
      </w:pPr>
      <w:r w:rsidRPr="002F1ED8">
        <w:rPr>
          <w:sz w:val="22"/>
          <w:szCs w:val="22"/>
        </w:rPr>
        <w:t>Gray Television Licensee, LLC</w:t>
      </w:r>
    </w:p>
    <w:p w:rsidR="002F1ED8" w:rsidP="002F1ED8" w14:paraId="219B1537" w14:textId="632AFAB9">
      <w:pPr>
        <w:widowControl w:val="0"/>
        <w:rPr>
          <w:sz w:val="22"/>
          <w:szCs w:val="22"/>
        </w:rPr>
      </w:pPr>
      <w:r w:rsidRPr="002F1ED8">
        <w:rPr>
          <w:sz w:val="22"/>
          <w:szCs w:val="22"/>
        </w:rPr>
        <w:t>c/o</w:t>
      </w:r>
      <w:r>
        <w:rPr>
          <w:sz w:val="22"/>
          <w:szCs w:val="22"/>
        </w:rPr>
        <w:t xml:space="preserve"> </w:t>
      </w:r>
      <w:r w:rsidR="00DB5612">
        <w:rPr>
          <w:sz w:val="22"/>
          <w:szCs w:val="22"/>
        </w:rPr>
        <w:t>Joan Stewart</w:t>
      </w:r>
    </w:p>
    <w:p w:rsidR="00DB5612" w:rsidP="002F1ED8" w14:paraId="201E7ECC" w14:textId="6B84B997">
      <w:pPr>
        <w:widowControl w:val="0"/>
        <w:rPr>
          <w:sz w:val="22"/>
          <w:szCs w:val="22"/>
        </w:rPr>
      </w:pPr>
      <w:r>
        <w:rPr>
          <w:sz w:val="22"/>
          <w:szCs w:val="22"/>
        </w:rPr>
        <w:t>Wiley Rein LLP</w:t>
      </w:r>
    </w:p>
    <w:p w:rsidR="00DB5612" w:rsidP="002F1ED8" w14:paraId="2C38973C" w14:textId="39050034">
      <w:pPr>
        <w:widowControl w:val="0"/>
        <w:rPr>
          <w:sz w:val="22"/>
          <w:szCs w:val="22"/>
        </w:rPr>
      </w:pPr>
      <w:r>
        <w:rPr>
          <w:sz w:val="22"/>
          <w:szCs w:val="22"/>
        </w:rPr>
        <w:t>2050 M Street, NW</w:t>
      </w:r>
    </w:p>
    <w:p w:rsidR="00DB5612" w:rsidP="002F1ED8" w14:paraId="79AAF78F" w14:textId="4159DCDD">
      <w:pPr>
        <w:widowControl w:val="0"/>
        <w:rPr>
          <w:sz w:val="22"/>
          <w:szCs w:val="22"/>
        </w:rPr>
      </w:pPr>
      <w:r>
        <w:rPr>
          <w:sz w:val="22"/>
          <w:szCs w:val="22"/>
        </w:rPr>
        <w:t>Washington, DC  20036</w:t>
      </w:r>
    </w:p>
    <w:p w:rsidR="002F1ED8" w:rsidP="00C42107" w14:paraId="1B37337F" w14:textId="77777777">
      <w:pPr>
        <w:widowControl w:val="0"/>
        <w:rPr>
          <w:sz w:val="22"/>
          <w:szCs w:val="22"/>
        </w:rPr>
      </w:pPr>
    </w:p>
    <w:p w:rsidR="00331E65" w:rsidP="00C42107" w14:paraId="4E40F699" w14:textId="3BDCD318">
      <w:pPr>
        <w:widowControl w:val="0"/>
        <w:rPr>
          <w:sz w:val="22"/>
          <w:szCs w:val="22"/>
        </w:rPr>
      </w:pPr>
      <w:r>
        <w:rPr>
          <w:sz w:val="22"/>
          <w:szCs w:val="22"/>
        </w:rPr>
        <w:t>Independence Television Company et al.</w:t>
      </w:r>
    </w:p>
    <w:p w:rsidR="00111503" w:rsidP="00C42107" w14:paraId="3F7A4AD2" w14:textId="7CD3390F">
      <w:pPr>
        <w:widowControl w:val="0"/>
        <w:rPr>
          <w:sz w:val="22"/>
          <w:szCs w:val="22"/>
        </w:rPr>
      </w:pPr>
      <w:r>
        <w:rPr>
          <w:sz w:val="22"/>
          <w:szCs w:val="22"/>
        </w:rPr>
        <w:t>c/o Jason Rademacher</w:t>
      </w:r>
    </w:p>
    <w:p w:rsidR="00F068ED" w:rsidP="00C42107" w14:paraId="584CECA2" w14:textId="77C48F23">
      <w:pPr>
        <w:widowControl w:val="0"/>
        <w:rPr>
          <w:sz w:val="22"/>
          <w:szCs w:val="22"/>
        </w:rPr>
      </w:pPr>
      <w:r>
        <w:rPr>
          <w:sz w:val="22"/>
          <w:szCs w:val="22"/>
        </w:rPr>
        <w:t>Cooley LLP</w:t>
      </w:r>
    </w:p>
    <w:p w:rsidR="00F068ED" w:rsidP="00C42107" w14:paraId="7F8403C0" w14:textId="503B30A4">
      <w:pPr>
        <w:widowControl w:val="0"/>
        <w:rPr>
          <w:sz w:val="22"/>
          <w:szCs w:val="22"/>
        </w:rPr>
      </w:pPr>
      <w:r>
        <w:rPr>
          <w:sz w:val="22"/>
          <w:szCs w:val="22"/>
        </w:rPr>
        <w:t>1299 Pennsylvania Avenue, NW</w:t>
      </w:r>
    </w:p>
    <w:p w:rsidR="000B7EA0" w:rsidP="00C42107" w14:paraId="01613D94" w14:textId="77777777">
      <w:pPr>
        <w:widowControl w:val="0"/>
        <w:rPr>
          <w:sz w:val="22"/>
          <w:szCs w:val="22"/>
        </w:rPr>
      </w:pPr>
      <w:r>
        <w:rPr>
          <w:sz w:val="22"/>
          <w:szCs w:val="22"/>
        </w:rPr>
        <w:t>Suite 700</w:t>
      </w:r>
      <w:r>
        <w:rPr>
          <w:sz w:val="22"/>
          <w:szCs w:val="22"/>
        </w:rPr>
        <w:t xml:space="preserve"> </w:t>
      </w:r>
    </w:p>
    <w:p w:rsidR="00F068ED" w:rsidP="00C42107" w14:paraId="0528766E" w14:textId="71C082A7">
      <w:pPr>
        <w:widowControl w:val="0"/>
        <w:rPr>
          <w:sz w:val="22"/>
          <w:szCs w:val="22"/>
        </w:rPr>
      </w:pPr>
      <w:r>
        <w:rPr>
          <w:sz w:val="22"/>
          <w:szCs w:val="22"/>
        </w:rPr>
        <w:t>Washi</w:t>
      </w:r>
      <w:r w:rsidR="00331E65">
        <w:rPr>
          <w:sz w:val="22"/>
          <w:szCs w:val="22"/>
        </w:rPr>
        <w:t>n</w:t>
      </w:r>
      <w:r>
        <w:rPr>
          <w:sz w:val="22"/>
          <w:szCs w:val="22"/>
        </w:rPr>
        <w:t>g</w:t>
      </w:r>
      <w:r w:rsidR="00331E65">
        <w:rPr>
          <w:sz w:val="22"/>
          <w:szCs w:val="22"/>
        </w:rPr>
        <w:t>ton, D</w:t>
      </w:r>
      <w:r w:rsidR="00BF4360">
        <w:rPr>
          <w:sz w:val="22"/>
          <w:szCs w:val="22"/>
        </w:rPr>
        <w:t>C  20004-2400</w:t>
      </w:r>
    </w:p>
    <w:p w:rsidR="00111503" w:rsidRPr="00646A1F" w:rsidP="00C42107" w14:paraId="65EC116A" w14:textId="77777777">
      <w:pPr>
        <w:widowControl w:val="0"/>
        <w:rPr>
          <w:sz w:val="22"/>
          <w:szCs w:val="22"/>
        </w:rPr>
      </w:pPr>
    </w:p>
    <w:p w:rsidR="00C42107" w:rsidRPr="00646A1F" w:rsidP="00C42107" w14:paraId="09C90242" w14:textId="77777777">
      <w:pPr>
        <w:widowControl w:val="0"/>
        <w:rPr>
          <w:sz w:val="22"/>
          <w:szCs w:val="22"/>
        </w:rPr>
      </w:pPr>
      <w:r w:rsidRPr="00646A1F">
        <w:rPr>
          <w:sz w:val="22"/>
          <w:szCs w:val="22"/>
        </w:rPr>
        <w:t>DIRECTV, LLC</w:t>
      </w:r>
    </w:p>
    <w:p w:rsidR="00C42107" w:rsidRPr="00646A1F" w:rsidP="00C42107" w14:paraId="7F684B3B" w14:textId="77777777">
      <w:pPr>
        <w:widowControl w:val="0"/>
        <w:rPr>
          <w:sz w:val="22"/>
          <w:szCs w:val="22"/>
        </w:rPr>
      </w:pPr>
      <w:r w:rsidRPr="00646A1F">
        <w:rPr>
          <w:sz w:val="22"/>
          <w:szCs w:val="22"/>
        </w:rPr>
        <w:t>c/o Michael Nilsson</w:t>
      </w:r>
    </w:p>
    <w:p w:rsidR="00C42107" w:rsidRPr="00646A1F" w:rsidP="00C42107" w14:paraId="5F1B0B8C" w14:textId="77777777">
      <w:pPr>
        <w:widowControl w:val="0"/>
        <w:rPr>
          <w:sz w:val="22"/>
          <w:szCs w:val="22"/>
        </w:rPr>
      </w:pPr>
      <w:r w:rsidRPr="00646A1F">
        <w:rPr>
          <w:sz w:val="22"/>
          <w:szCs w:val="22"/>
        </w:rPr>
        <w:t>HWG LLP</w:t>
      </w:r>
    </w:p>
    <w:p w:rsidR="00C42107" w:rsidRPr="00646A1F" w:rsidP="00C42107" w14:paraId="2B96D01A" w14:textId="77777777">
      <w:pPr>
        <w:widowControl w:val="0"/>
        <w:rPr>
          <w:sz w:val="22"/>
          <w:szCs w:val="22"/>
        </w:rPr>
      </w:pPr>
      <w:r w:rsidRPr="00646A1F">
        <w:rPr>
          <w:sz w:val="22"/>
          <w:szCs w:val="22"/>
        </w:rPr>
        <w:t>1919 M Street, NW</w:t>
      </w:r>
    </w:p>
    <w:p w:rsidR="00C42107" w:rsidRPr="00646A1F" w:rsidP="00C42107" w14:paraId="53BA51E8" w14:textId="77777777">
      <w:pPr>
        <w:widowControl w:val="0"/>
        <w:rPr>
          <w:sz w:val="22"/>
          <w:szCs w:val="22"/>
        </w:rPr>
      </w:pPr>
      <w:r w:rsidRPr="00646A1F">
        <w:rPr>
          <w:sz w:val="22"/>
          <w:szCs w:val="22"/>
        </w:rPr>
        <w:t>Washington, DC  20036</w:t>
      </w:r>
    </w:p>
    <w:p w:rsidR="00C42107" w:rsidP="00C42107" w14:paraId="2DE510AB" w14:textId="77777777">
      <w:pPr>
        <w:widowControl w:val="0"/>
        <w:rPr>
          <w:sz w:val="22"/>
          <w:szCs w:val="22"/>
        </w:rPr>
      </w:pPr>
    </w:p>
    <w:p w:rsidR="00236EDB" w:rsidRPr="00236EDB" w:rsidP="00236EDB" w14:paraId="4C114F75" w14:textId="77777777">
      <w:pPr>
        <w:widowControl w:val="0"/>
        <w:rPr>
          <w:sz w:val="22"/>
          <w:szCs w:val="22"/>
        </w:rPr>
      </w:pPr>
      <w:r w:rsidRPr="00236EDB">
        <w:rPr>
          <w:sz w:val="22"/>
          <w:szCs w:val="22"/>
        </w:rPr>
        <w:t>Georgia Cable Association</w:t>
      </w:r>
    </w:p>
    <w:p w:rsidR="00236EDB" w:rsidRPr="00236EDB" w:rsidP="00236EDB" w14:paraId="4F2208C1" w14:textId="77777777">
      <w:pPr>
        <w:widowControl w:val="0"/>
        <w:rPr>
          <w:sz w:val="22"/>
          <w:szCs w:val="22"/>
        </w:rPr>
      </w:pPr>
      <w:r w:rsidRPr="00236EDB">
        <w:rPr>
          <w:sz w:val="22"/>
          <w:szCs w:val="22"/>
        </w:rPr>
        <w:t>c/o Hunter Hopkins, Executive Director</w:t>
      </w:r>
    </w:p>
    <w:p w:rsidR="00236EDB" w:rsidRPr="00236EDB" w:rsidP="00236EDB" w14:paraId="67B6B85E" w14:textId="77777777">
      <w:pPr>
        <w:widowControl w:val="0"/>
        <w:rPr>
          <w:sz w:val="22"/>
          <w:szCs w:val="22"/>
        </w:rPr>
      </w:pPr>
      <w:r w:rsidRPr="00236EDB">
        <w:rPr>
          <w:sz w:val="22"/>
          <w:szCs w:val="22"/>
        </w:rPr>
        <w:t>PO Box 6758</w:t>
      </w:r>
    </w:p>
    <w:p w:rsidR="00236EDB" w:rsidRPr="00236EDB" w:rsidP="00236EDB" w14:paraId="67CBC956" w14:textId="77777777">
      <w:pPr>
        <w:widowControl w:val="0"/>
        <w:rPr>
          <w:sz w:val="22"/>
          <w:szCs w:val="22"/>
        </w:rPr>
      </w:pPr>
      <w:r w:rsidRPr="00236EDB">
        <w:rPr>
          <w:sz w:val="22"/>
          <w:szCs w:val="22"/>
        </w:rPr>
        <w:t>Athens, GA 30604</w:t>
      </w:r>
    </w:p>
    <w:p w:rsidR="00236EDB" w:rsidRPr="00236EDB" w:rsidP="00236EDB" w14:paraId="0FF7C442" w14:textId="77777777">
      <w:pPr>
        <w:widowControl w:val="0"/>
        <w:rPr>
          <w:sz w:val="22"/>
          <w:szCs w:val="22"/>
        </w:rPr>
      </w:pPr>
    </w:p>
    <w:p w:rsidR="00236EDB" w:rsidRPr="00236EDB" w:rsidP="00D50FFD" w14:paraId="2F30CD8D" w14:textId="77777777">
      <w:pPr>
        <w:keepNext/>
        <w:widowControl w:val="0"/>
        <w:rPr>
          <w:sz w:val="22"/>
          <w:szCs w:val="22"/>
        </w:rPr>
      </w:pPr>
      <w:r w:rsidRPr="00236EDB">
        <w:rPr>
          <w:sz w:val="22"/>
          <w:szCs w:val="22"/>
        </w:rPr>
        <w:t>Illinois Broadband &amp; Cable Association</w:t>
      </w:r>
    </w:p>
    <w:p w:rsidR="00236EDB" w:rsidRPr="00236EDB" w:rsidP="00D50FFD" w14:paraId="7E4A6F30" w14:textId="77777777">
      <w:pPr>
        <w:keepNext/>
        <w:widowControl w:val="0"/>
        <w:rPr>
          <w:sz w:val="22"/>
          <w:szCs w:val="22"/>
        </w:rPr>
      </w:pPr>
      <w:r w:rsidRPr="00236EDB">
        <w:rPr>
          <w:sz w:val="22"/>
          <w:szCs w:val="22"/>
        </w:rPr>
        <w:t>c/o Joe Handley, President</w:t>
      </w:r>
    </w:p>
    <w:p w:rsidR="00236EDB" w:rsidRPr="00236EDB" w:rsidP="00D50FFD" w14:paraId="089883E5" w14:textId="77777777">
      <w:pPr>
        <w:keepNext/>
        <w:widowControl w:val="0"/>
        <w:rPr>
          <w:sz w:val="22"/>
          <w:szCs w:val="22"/>
        </w:rPr>
      </w:pPr>
      <w:r w:rsidRPr="00236EDB">
        <w:rPr>
          <w:sz w:val="22"/>
          <w:szCs w:val="22"/>
        </w:rPr>
        <w:t>98 West Lawrence</w:t>
      </w:r>
    </w:p>
    <w:p w:rsidR="00236EDB" w:rsidRPr="00236EDB" w:rsidP="00236EDB" w14:paraId="5E089A9E" w14:textId="77777777">
      <w:pPr>
        <w:widowControl w:val="0"/>
        <w:rPr>
          <w:sz w:val="22"/>
          <w:szCs w:val="22"/>
        </w:rPr>
      </w:pPr>
      <w:r w:rsidRPr="00236EDB">
        <w:rPr>
          <w:sz w:val="22"/>
          <w:szCs w:val="22"/>
        </w:rPr>
        <w:t>Springfield, IL 62704</w:t>
      </w:r>
    </w:p>
    <w:p w:rsidR="00236EDB" w:rsidRPr="00236EDB" w:rsidP="00236EDB" w14:paraId="0B20829B" w14:textId="77777777">
      <w:pPr>
        <w:widowControl w:val="0"/>
        <w:rPr>
          <w:sz w:val="22"/>
          <w:szCs w:val="22"/>
        </w:rPr>
      </w:pPr>
    </w:p>
    <w:p w:rsidR="00236EDB" w:rsidRPr="00236EDB" w:rsidP="00D50FFD" w14:paraId="793F3AAA" w14:textId="77777777">
      <w:pPr>
        <w:keepNext/>
        <w:widowControl w:val="0"/>
        <w:rPr>
          <w:sz w:val="22"/>
          <w:szCs w:val="22"/>
        </w:rPr>
      </w:pPr>
      <w:r w:rsidRPr="00236EDB">
        <w:rPr>
          <w:sz w:val="22"/>
          <w:szCs w:val="22"/>
        </w:rPr>
        <w:t>Indiana Cable and Broadband Association</w:t>
      </w:r>
    </w:p>
    <w:p w:rsidR="00236EDB" w:rsidRPr="00236EDB" w:rsidP="00D50FFD" w14:paraId="09BA7B1B" w14:textId="77777777">
      <w:pPr>
        <w:keepNext/>
        <w:widowControl w:val="0"/>
        <w:rPr>
          <w:sz w:val="22"/>
          <w:szCs w:val="22"/>
        </w:rPr>
      </w:pPr>
      <w:r w:rsidRPr="00236EDB">
        <w:rPr>
          <w:sz w:val="22"/>
          <w:szCs w:val="22"/>
        </w:rPr>
        <w:t>c/o Joseph Dant, Executive Director</w:t>
      </w:r>
    </w:p>
    <w:p w:rsidR="00236EDB" w:rsidRPr="00236EDB" w:rsidP="00D50FFD" w14:paraId="52116B49" w14:textId="77777777">
      <w:pPr>
        <w:keepNext/>
        <w:widowControl w:val="0"/>
        <w:rPr>
          <w:sz w:val="22"/>
          <w:szCs w:val="22"/>
        </w:rPr>
      </w:pPr>
      <w:r w:rsidRPr="00236EDB">
        <w:rPr>
          <w:sz w:val="22"/>
          <w:szCs w:val="22"/>
        </w:rPr>
        <w:t>150 W. Market Street</w:t>
      </w:r>
    </w:p>
    <w:p w:rsidR="00236EDB" w:rsidRPr="00236EDB" w:rsidP="00D50FFD" w14:paraId="014DBD5E" w14:textId="77777777">
      <w:pPr>
        <w:keepNext/>
        <w:widowControl w:val="0"/>
        <w:rPr>
          <w:sz w:val="22"/>
          <w:szCs w:val="22"/>
        </w:rPr>
      </w:pPr>
      <w:r w:rsidRPr="00236EDB">
        <w:rPr>
          <w:sz w:val="22"/>
          <w:szCs w:val="22"/>
        </w:rPr>
        <w:t>Suite 412</w:t>
      </w:r>
    </w:p>
    <w:p w:rsidR="00236EDB" w:rsidRPr="00236EDB" w:rsidP="00236EDB" w14:paraId="1E667D91" w14:textId="77777777">
      <w:pPr>
        <w:widowControl w:val="0"/>
        <w:rPr>
          <w:sz w:val="22"/>
          <w:szCs w:val="22"/>
        </w:rPr>
      </w:pPr>
      <w:r w:rsidRPr="00236EDB">
        <w:rPr>
          <w:sz w:val="22"/>
          <w:szCs w:val="22"/>
        </w:rPr>
        <w:t>Indianapolis, IN 46204</w:t>
      </w:r>
    </w:p>
    <w:p w:rsidR="00236EDB" w:rsidRPr="00236EDB" w:rsidP="00236EDB" w14:paraId="5CEBE2EA" w14:textId="77777777">
      <w:pPr>
        <w:widowControl w:val="0"/>
        <w:rPr>
          <w:sz w:val="22"/>
          <w:szCs w:val="22"/>
        </w:rPr>
      </w:pPr>
    </w:p>
    <w:p w:rsidR="00236EDB" w:rsidRPr="00236EDB" w:rsidP="00236EDB" w14:paraId="606D1C09" w14:textId="77777777">
      <w:pPr>
        <w:widowControl w:val="0"/>
        <w:rPr>
          <w:sz w:val="22"/>
          <w:szCs w:val="22"/>
        </w:rPr>
      </w:pPr>
      <w:r w:rsidRPr="00236EDB">
        <w:rPr>
          <w:sz w:val="22"/>
          <w:szCs w:val="22"/>
        </w:rPr>
        <w:t>Tennessee Cable &amp; Broadband Association</w:t>
      </w:r>
    </w:p>
    <w:p w:rsidR="00236EDB" w:rsidRPr="00236EDB" w:rsidP="00236EDB" w14:paraId="54D97284" w14:textId="77777777">
      <w:pPr>
        <w:widowControl w:val="0"/>
        <w:rPr>
          <w:sz w:val="22"/>
          <w:szCs w:val="22"/>
        </w:rPr>
      </w:pPr>
      <w:r w:rsidRPr="00236EDB">
        <w:rPr>
          <w:sz w:val="22"/>
          <w:szCs w:val="22"/>
        </w:rPr>
        <w:t>c/o Ann Marie Walp, President</w:t>
      </w:r>
    </w:p>
    <w:p w:rsidR="00236EDB" w:rsidRPr="00236EDB" w:rsidP="00236EDB" w14:paraId="350B0559" w14:textId="77777777">
      <w:pPr>
        <w:widowControl w:val="0"/>
        <w:rPr>
          <w:sz w:val="22"/>
          <w:szCs w:val="22"/>
        </w:rPr>
      </w:pPr>
      <w:r w:rsidRPr="00236EDB">
        <w:rPr>
          <w:sz w:val="22"/>
          <w:szCs w:val="22"/>
        </w:rPr>
        <w:t>414 Union Street</w:t>
      </w:r>
    </w:p>
    <w:p w:rsidR="00236EDB" w:rsidRPr="00236EDB" w:rsidP="00236EDB" w14:paraId="02D9078B" w14:textId="77777777">
      <w:pPr>
        <w:widowControl w:val="0"/>
        <w:rPr>
          <w:sz w:val="22"/>
          <w:szCs w:val="22"/>
        </w:rPr>
      </w:pPr>
      <w:r w:rsidRPr="00236EDB">
        <w:rPr>
          <w:sz w:val="22"/>
          <w:szCs w:val="22"/>
        </w:rPr>
        <w:t>Suite 1900</w:t>
      </w:r>
    </w:p>
    <w:p w:rsidR="00236EDB" w:rsidRPr="00236EDB" w:rsidP="00236EDB" w14:paraId="5B031BAA" w14:textId="77777777">
      <w:pPr>
        <w:widowControl w:val="0"/>
        <w:rPr>
          <w:sz w:val="22"/>
          <w:szCs w:val="22"/>
        </w:rPr>
      </w:pPr>
      <w:r w:rsidRPr="00236EDB">
        <w:rPr>
          <w:sz w:val="22"/>
          <w:szCs w:val="22"/>
        </w:rPr>
        <w:t>Nashville, Tennessee 37219</w:t>
      </w:r>
    </w:p>
    <w:p w:rsidR="00D50FFD" w:rsidP="00236EDB" w14:paraId="02789AC7" w14:textId="77777777">
      <w:pPr>
        <w:widowControl w:val="0"/>
        <w:rPr>
          <w:sz w:val="22"/>
          <w:szCs w:val="22"/>
        </w:rPr>
      </w:pPr>
    </w:p>
    <w:p w:rsidR="00236EDB" w:rsidRPr="00236EDB" w:rsidP="00236EDB" w14:paraId="21491D22" w14:textId="1017F758">
      <w:pPr>
        <w:widowControl w:val="0"/>
        <w:rPr>
          <w:sz w:val="22"/>
          <w:szCs w:val="22"/>
        </w:rPr>
      </w:pPr>
      <w:r w:rsidRPr="00236EDB">
        <w:rPr>
          <w:sz w:val="22"/>
          <w:szCs w:val="22"/>
        </w:rPr>
        <w:t>Business Forward</w:t>
      </w:r>
    </w:p>
    <w:p w:rsidR="00236EDB" w:rsidRPr="00236EDB" w:rsidP="00236EDB" w14:paraId="0CEF59B3" w14:textId="77777777">
      <w:pPr>
        <w:widowControl w:val="0"/>
        <w:rPr>
          <w:sz w:val="22"/>
          <w:szCs w:val="22"/>
        </w:rPr>
      </w:pPr>
      <w:r w:rsidRPr="00236EDB">
        <w:rPr>
          <w:sz w:val="22"/>
          <w:szCs w:val="22"/>
        </w:rPr>
        <w:t>c/o Jim Doyle, President</w:t>
      </w:r>
    </w:p>
    <w:p w:rsidR="00236EDB" w:rsidRPr="00236EDB" w:rsidP="00236EDB" w14:paraId="5550F248" w14:textId="77777777">
      <w:pPr>
        <w:widowControl w:val="0"/>
        <w:rPr>
          <w:sz w:val="22"/>
          <w:szCs w:val="22"/>
        </w:rPr>
      </w:pPr>
      <w:r w:rsidRPr="00236EDB">
        <w:rPr>
          <w:sz w:val="22"/>
          <w:szCs w:val="22"/>
        </w:rPr>
        <w:t>601 13th Street, NW</w:t>
      </w:r>
    </w:p>
    <w:p w:rsidR="00236EDB" w:rsidRPr="00236EDB" w:rsidP="00236EDB" w14:paraId="1D6B8E39" w14:textId="77777777">
      <w:pPr>
        <w:widowControl w:val="0"/>
        <w:rPr>
          <w:sz w:val="22"/>
          <w:szCs w:val="22"/>
        </w:rPr>
      </w:pPr>
      <w:r w:rsidRPr="00236EDB">
        <w:rPr>
          <w:sz w:val="22"/>
          <w:szCs w:val="22"/>
        </w:rPr>
        <w:t>Floor 12</w:t>
      </w:r>
    </w:p>
    <w:p w:rsidR="00236EDB" w:rsidRPr="00236EDB" w:rsidP="00236EDB" w14:paraId="423BE0EC" w14:textId="77777777">
      <w:pPr>
        <w:widowControl w:val="0"/>
        <w:rPr>
          <w:sz w:val="22"/>
          <w:szCs w:val="22"/>
        </w:rPr>
      </w:pPr>
      <w:r w:rsidRPr="00236EDB">
        <w:rPr>
          <w:sz w:val="22"/>
          <w:szCs w:val="22"/>
        </w:rPr>
        <w:t>Washington, DC 20005</w:t>
      </w:r>
    </w:p>
    <w:p w:rsidR="00236EDB" w:rsidRPr="00236EDB" w:rsidP="00236EDB" w14:paraId="0E308AC4" w14:textId="77777777">
      <w:pPr>
        <w:widowControl w:val="0"/>
        <w:rPr>
          <w:sz w:val="22"/>
          <w:szCs w:val="22"/>
        </w:rPr>
      </w:pPr>
    </w:p>
    <w:p w:rsidR="00236EDB" w:rsidRPr="00236EDB" w:rsidP="00236EDB" w14:paraId="77482A30" w14:textId="77777777">
      <w:pPr>
        <w:widowControl w:val="0"/>
        <w:rPr>
          <w:sz w:val="22"/>
          <w:szCs w:val="22"/>
        </w:rPr>
      </w:pPr>
      <w:r w:rsidRPr="00236EDB">
        <w:rPr>
          <w:sz w:val="22"/>
          <w:szCs w:val="22"/>
        </w:rPr>
        <w:t>Asian Americans Advancing Justice</w:t>
      </w:r>
    </w:p>
    <w:p w:rsidR="00236EDB" w:rsidRPr="00236EDB" w:rsidP="00236EDB" w14:paraId="26875AFE" w14:textId="77777777">
      <w:pPr>
        <w:widowControl w:val="0"/>
        <w:rPr>
          <w:sz w:val="22"/>
          <w:szCs w:val="22"/>
        </w:rPr>
      </w:pPr>
      <w:r w:rsidRPr="00236EDB">
        <w:rPr>
          <w:sz w:val="22"/>
          <w:szCs w:val="22"/>
        </w:rPr>
        <w:t>c/o Lia Nitake, Senior Director of Technology, Telecommunications, and Media</w:t>
      </w:r>
    </w:p>
    <w:p w:rsidR="00236EDB" w:rsidRPr="00236EDB" w:rsidP="00236EDB" w14:paraId="31BA76F3" w14:textId="77777777">
      <w:pPr>
        <w:widowControl w:val="0"/>
        <w:rPr>
          <w:sz w:val="22"/>
          <w:szCs w:val="22"/>
        </w:rPr>
      </w:pPr>
      <w:r w:rsidRPr="00236EDB">
        <w:rPr>
          <w:sz w:val="22"/>
          <w:szCs w:val="22"/>
        </w:rPr>
        <w:t>1620 L Street, NW</w:t>
      </w:r>
    </w:p>
    <w:p w:rsidR="00236EDB" w:rsidRPr="00236EDB" w:rsidP="00236EDB" w14:paraId="5972165A" w14:textId="77777777">
      <w:pPr>
        <w:widowControl w:val="0"/>
        <w:rPr>
          <w:sz w:val="22"/>
          <w:szCs w:val="22"/>
        </w:rPr>
      </w:pPr>
      <w:r w:rsidRPr="00236EDB">
        <w:rPr>
          <w:sz w:val="22"/>
          <w:szCs w:val="22"/>
        </w:rPr>
        <w:t>Suite 1050</w:t>
      </w:r>
    </w:p>
    <w:p w:rsidR="00236EDB" w:rsidP="00236EDB" w14:paraId="08D05EE1" w14:textId="77777777">
      <w:pPr>
        <w:widowControl w:val="0"/>
        <w:rPr>
          <w:sz w:val="22"/>
          <w:szCs w:val="22"/>
        </w:rPr>
      </w:pPr>
      <w:r w:rsidRPr="00236EDB">
        <w:rPr>
          <w:sz w:val="22"/>
          <w:szCs w:val="22"/>
        </w:rPr>
        <w:t>Washington, DC 20036</w:t>
      </w:r>
    </w:p>
    <w:p w:rsidR="00A65226" w:rsidP="00236EDB" w14:paraId="4AB68EBA" w14:textId="77777777">
      <w:pPr>
        <w:widowControl w:val="0"/>
        <w:rPr>
          <w:sz w:val="22"/>
          <w:szCs w:val="22"/>
        </w:rPr>
      </w:pPr>
    </w:p>
    <w:p w:rsidR="00EE5F74" w:rsidRPr="00EE5F74" w:rsidP="00EE5F74" w14:paraId="4D318D91" w14:textId="77777777">
      <w:pPr>
        <w:widowControl w:val="0"/>
        <w:rPr>
          <w:sz w:val="22"/>
          <w:szCs w:val="22"/>
        </w:rPr>
      </w:pPr>
      <w:r w:rsidRPr="00EE5F74">
        <w:rPr>
          <w:sz w:val="22"/>
          <w:szCs w:val="22"/>
        </w:rPr>
        <w:t>Christopher Ruddy</w:t>
      </w:r>
    </w:p>
    <w:p w:rsidR="00EE5F74" w:rsidRPr="00EE5F74" w:rsidP="00EE5F74" w14:paraId="0110D337" w14:textId="77777777">
      <w:pPr>
        <w:widowControl w:val="0"/>
        <w:rPr>
          <w:sz w:val="22"/>
          <w:szCs w:val="22"/>
        </w:rPr>
      </w:pPr>
      <w:r w:rsidRPr="00EE5F74">
        <w:rPr>
          <w:sz w:val="22"/>
          <w:szCs w:val="22"/>
        </w:rPr>
        <w:t>Chief Executive Officer</w:t>
      </w:r>
    </w:p>
    <w:p w:rsidR="00EE5F74" w:rsidRPr="00EE5F74" w:rsidP="00EE5F74" w14:paraId="7D8388CB" w14:textId="77777777">
      <w:pPr>
        <w:widowControl w:val="0"/>
        <w:rPr>
          <w:sz w:val="22"/>
          <w:szCs w:val="22"/>
        </w:rPr>
      </w:pPr>
      <w:r w:rsidRPr="00EE5F74">
        <w:rPr>
          <w:sz w:val="22"/>
          <w:szCs w:val="22"/>
        </w:rPr>
        <w:t>Newsmax Media, Inc.</w:t>
      </w:r>
    </w:p>
    <w:p w:rsidR="00EE5F74" w:rsidRPr="00EE5F74" w:rsidP="00EE5F74" w14:paraId="3A23CD35" w14:textId="77777777">
      <w:pPr>
        <w:widowControl w:val="0"/>
        <w:rPr>
          <w:sz w:val="22"/>
          <w:szCs w:val="22"/>
        </w:rPr>
      </w:pPr>
      <w:r w:rsidRPr="00EE5F74">
        <w:rPr>
          <w:sz w:val="22"/>
          <w:szCs w:val="22"/>
        </w:rPr>
        <w:t>750 Park of Commerce Drive</w:t>
      </w:r>
    </w:p>
    <w:p w:rsidR="00EE5F74" w:rsidRPr="00EE5F74" w:rsidP="00EE5F74" w14:paraId="0A843A35" w14:textId="77777777">
      <w:pPr>
        <w:widowControl w:val="0"/>
        <w:rPr>
          <w:sz w:val="22"/>
          <w:szCs w:val="22"/>
        </w:rPr>
      </w:pPr>
      <w:r w:rsidRPr="00EE5F74">
        <w:rPr>
          <w:sz w:val="22"/>
          <w:szCs w:val="22"/>
        </w:rPr>
        <w:t>Suite 100</w:t>
      </w:r>
    </w:p>
    <w:p w:rsidR="00A65226" w:rsidRPr="00236EDB" w:rsidP="00EE5F74" w14:paraId="65C2E9BD" w14:textId="0DB9AF77">
      <w:pPr>
        <w:widowControl w:val="0"/>
        <w:rPr>
          <w:sz w:val="22"/>
          <w:szCs w:val="22"/>
        </w:rPr>
      </w:pPr>
      <w:r w:rsidRPr="00EE5F74">
        <w:rPr>
          <w:sz w:val="22"/>
          <w:szCs w:val="22"/>
        </w:rPr>
        <w:t>Boca Raton, FL 33487</w:t>
      </w:r>
    </w:p>
    <w:p w:rsidR="00236EDB" w:rsidRPr="00646A1F" w:rsidP="00C42107" w14:paraId="0AD23BF8" w14:textId="77777777">
      <w:pPr>
        <w:widowControl w:val="0"/>
        <w:rPr>
          <w:sz w:val="22"/>
          <w:szCs w:val="22"/>
        </w:rPr>
      </w:pPr>
    </w:p>
    <w:p w:rsidR="00C42107" w:rsidP="004E07C8" w14:paraId="3EF2DA36" w14:textId="6F935E53">
      <w:pPr>
        <w:pStyle w:val="ParaNum"/>
        <w:numPr>
          <w:ilvl w:val="0"/>
          <w:numId w:val="0"/>
        </w:numPr>
        <w:spacing w:after="0"/>
        <w:ind w:left="4680" w:hanging="720"/>
      </w:pPr>
      <w:r>
        <w:t>Re:</w:t>
      </w:r>
      <w:r>
        <w:tab/>
      </w:r>
      <w:r w:rsidRPr="00C448FB">
        <w:t>Applications for Assignment of License</w:t>
      </w:r>
      <w:r>
        <w:t xml:space="preserve">s </w:t>
      </w:r>
      <w:r w:rsidRPr="00F079D0">
        <w:t>from</w:t>
      </w:r>
      <w:r w:rsidR="001233D4">
        <w:br/>
      </w:r>
      <w:r w:rsidR="001233D4">
        <w:br/>
      </w:r>
      <w:r w:rsidRPr="001233D4" w:rsidR="001233D4">
        <w:rPr>
          <w:bCs/>
        </w:rPr>
        <w:t>SagamoreHill of Columbus, GA</w:t>
      </w:r>
      <w:r w:rsidRPr="00F079D0">
        <w:t>,</w:t>
      </w:r>
      <w:r w:rsidRPr="00C448FB">
        <w:t xml:space="preserve"> </w:t>
      </w:r>
      <w:r w:rsidR="009B6982">
        <w:t>LLC</w:t>
      </w:r>
      <w:r w:rsidR="00E67F34">
        <w:t>,</w:t>
      </w:r>
    </w:p>
    <w:p w:rsidR="00E5729A" w:rsidP="00E5729A" w14:paraId="35A2C99D" w14:textId="5F2D1A0A">
      <w:pPr>
        <w:pStyle w:val="ParaNum"/>
        <w:numPr>
          <w:ilvl w:val="0"/>
          <w:numId w:val="0"/>
        </w:numPr>
        <w:spacing w:after="0"/>
        <w:ind w:left="4680"/>
      </w:pPr>
      <w:r w:rsidRPr="00C448FB">
        <w:t>LMS File No. 0000276</w:t>
      </w:r>
      <w:r w:rsidR="00E26AA2">
        <w:t>662</w:t>
      </w:r>
      <w:r w:rsidR="00B57A44">
        <w:t>;</w:t>
      </w:r>
    </w:p>
    <w:p w:rsidR="00E5729A" w:rsidP="00E5729A" w14:paraId="20E28827" w14:textId="77777777">
      <w:pPr>
        <w:pStyle w:val="ParaNum"/>
        <w:numPr>
          <w:ilvl w:val="0"/>
          <w:numId w:val="0"/>
        </w:numPr>
        <w:spacing w:after="0"/>
        <w:ind w:left="4680"/>
      </w:pPr>
    </w:p>
    <w:p w:rsidR="00E5729A" w:rsidP="00E5729A" w14:paraId="3A640BA1" w14:textId="4BBC6BAD">
      <w:pPr>
        <w:pStyle w:val="ParaNum"/>
        <w:numPr>
          <w:ilvl w:val="0"/>
          <w:numId w:val="0"/>
        </w:numPr>
        <w:spacing w:after="0"/>
        <w:ind w:left="4680"/>
      </w:pPr>
      <w:r>
        <w:t>SagamoreHill of Lubbock,</w:t>
      </w:r>
      <w:r w:rsidR="00736CBB">
        <w:t xml:space="preserve"> LLC,</w:t>
      </w:r>
    </w:p>
    <w:p w:rsidR="00724123" w:rsidP="00E5729A" w14:paraId="547A94D4" w14:textId="39C8323B">
      <w:pPr>
        <w:pStyle w:val="ParaNum"/>
        <w:numPr>
          <w:ilvl w:val="0"/>
          <w:numId w:val="0"/>
        </w:numPr>
        <w:spacing w:after="0"/>
        <w:ind w:left="4680"/>
        <w:rPr>
          <w:snapToGrid/>
          <w:kern w:val="0"/>
          <w:sz w:val="20"/>
          <w:szCs w:val="22"/>
        </w:rPr>
      </w:pPr>
      <w:r>
        <w:t>LMS File Nos. 0000</w:t>
      </w:r>
      <w:r>
        <w:t>276663</w:t>
      </w:r>
      <w:r w:rsidRPr="00017064" w:rsidR="00B57A44">
        <w:rPr>
          <w:szCs w:val="22"/>
        </w:rPr>
        <w:t>;</w:t>
      </w:r>
      <w:r w:rsidRPr="006D5E51" w:rsidR="00C42107">
        <w:rPr>
          <w:snapToGrid/>
          <w:kern w:val="0"/>
          <w:szCs w:val="22"/>
        </w:rPr>
        <w:t xml:space="preserve"> </w:t>
      </w:r>
      <w:r w:rsidRPr="006D5E51" w:rsidR="00CF07FF">
        <w:rPr>
          <w:snapToGrid/>
          <w:kern w:val="0"/>
          <w:szCs w:val="22"/>
        </w:rPr>
        <w:t>and</w:t>
      </w:r>
    </w:p>
    <w:p w:rsidR="00B57A44" w:rsidP="00E5729A" w14:paraId="236C540B" w14:textId="77777777">
      <w:pPr>
        <w:pStyle w:val="ParaNum"/>
        <w:numPr>
          <w:ilvl w:val="0"/>
          <w:numId w:val="0"/>
        </w:numPr>
        <w:spacing w:after="0"/>
        <w:ind w:left="4680"/>
        <w:rPr>
          <w:snapToGrid/>
          <w:kern w:val="0"/>
          <w:sz w:val="20"/>
          <w:szCs w:val="22"/>
        </w:rPr>
      </w:pPr>
    </w:p>
    <w:p w:rsidR="00B57A44" w:rsidRPr="006D5E51" w:rsidP="00E5729A" w14:paraId="073B5585" w14:textId="787F761C">
      <w:pPr>
        <w:pStyle w:val="ParaNum"/>
        <w:numPr>
          <w:ilvl w:val="0"/>
          <w:numId w:val="0"/>
        </w:numPr>
        <w:spacing w:after="0"/>
        <w:ind w:left="4680"/>
        <w:rPr>
          <w:snapToGrid/>
          <w:kern w:val="0"/>
          <w:szCs w:val="22"/>
        </w:rPr>
      </w:pPr>
      <w:r w:rsidRPr="006D5E51">
        <w:rPr>
          <w:snapToGrid/>
          <w:kern w:val="0"/>
          <w:szCs w:val="22"/>
        </w:rPr>
        <w:t>Subsidiaries of Block Communications, Inc.,</w:t>
      </w:r>
    </w:p>
    <w:p w:rsidR="00CF07FF" w:rsidRPr="00B5748C" w:rsidP="00E5729A" w14:paraId="3D908947" w14:textId="6F00F130">
      <w:pPr>
        <w:pStyle w:val="ParaNum"/>
        <w:numPr>
          <w:ilvl w:val="0"/>
          <w:numId w:val="0"/>
        </w:numPr>
        <w:spacing w:after="0"/>
        <w:ind w:left="4680"/>
        <w:rPr>
          <w:snapToGrid/>
          <w:kern w:val="0"/>
          <w:sz w:val="20"/>
          <w:szCs w:val="22"/>
          <w:lang w:val="es-ES"/>
        </w:rPr>
      </w:pPr>
      <w:r w:rsidRPr="00B5748C">
        <w:rPr>
          <w:snapToGrid/>
          <w:kern w:val="0"/>
          <w:szCs w:val="22"/>
          <w:lang w:val="es-ES"/>
        </w:rPr>
        <w:t xml:space="preserve">LMS File Nos. </w:t>
      </w:r>
      <w:r w:rsidRPr="00B5748C" w:rsidR="00E67F34">
        <w:rPr>
          <w:snapToGrid/>
          <w:kern w:val="0"/>
          <w:szCs w:val="22"/>
          <w:lang w:val="es-ES"/>
        </w:rPr>
        <w:t>0000276772</w:t>
      </w:r>
      <w:r w:rsidRPr="00B5748C" w:rsidR="00457222">
        <w:rPr>
          <w:snapToGrid/>
          <w:kern w:val="0"/>
          <w:szCs w:val="22"/>
          <w:lang w:val="es-ES"/>
        </w:rPr>
        <w:t xml:space="preserve"> et al.</w:t>
      </w:r>
    </w:p>
    <w:p w:rsidR="00724123" w:rsidRPr="00B5748C" w:rsidP="00E5729A" w14:paraId="5975FBF0" w14:textId="77777777">
      <w:pPr>
        <w:pStyle w:val="ParaNum"/>
        <w:numPr>
          <w:ilvl w:val="0"/>
          <w:numId w:val="0"/>
        </w:numPr>
        <w:spacing w:after="0"/>
        <w:ind w:left="4680"/>
        <w:rPr>
          <w:lang w:val="es-ES"/>
        </w:rPr>
      </w:pPr>
    </w:p>
    <w:p w:rsidR="00C42107" w:rsidP="00E5729A" w14:paraId="3E50CD4F" w14:textId="7DAC639A">
      <w:pPr>
        <w:pStyle w:val="ParaNum"/>
        <w:numPr>
          <w:ilvl w:val="0"/>
          <w:numId w:val="0"/>
        </w:numPr>
        <w:spacing w:after="0"/>
        <w:ind w:left="4680"/>
      </w:pPr>
      <w:r w:rsidRPr="003F3580">
        <w:t xml:space="preserve">to </w:t>
      </w:r>
      <w:r w:rsidRPr="001171C8" w:rsidR="001171C8">
        <w:t>Gray Television Licensee, LLC</w:t>
      </w:r>
    </w:p>
    <w:p w:rsidR="00B91C37" w:rsidRPr="00E5729A" w:rsidP="00E5729A" w14:paraId="00D04DB0" w14:textId="77777777">
      <w:pPr>
        <w:pStyle w:val="ParaNum"/>
        <w:numPr>
          <w:ilvl w:val="0"/>
          <w:numId w:val="0"/>
        </w:numPr>
        <w:spacing w:after="0"/>
        <w:ind w:left="4680"/>
      </w:pPr>
    </w:p>
    <w:p w:rsidR="00C42107" w:rsidRPr="009F24B0" w:rsidP="00C42107" w14:paraId="3CE12D96" w14:textId="77777777">
      <w:pPr>
        <w:pStyle w:val="ParaNum"/>
        <w:numPr>
          <w:ilvl w:val="0"/>
          <w:numId w:val="0"/>
        </w:numPr>
      </w:pPr>
      <w:r w:rsidRPr="009F24B0">
        <w:t>Dear Counsel:</w:t>
      </w:r>
    </w:p>
    <w:p w:rsidR="000474E7" w:rsidRPr="009F24B0" w:rsidP="000474E7" w14:paraId="70D4F634" w14:textId="512F678A">
      <w:pPr>
        <w:spacing w:after="120"/>
        <w:ind w:firstLine="720"/>
        <w:rPr>
          <w:snapToGrid w:val="0"/>
          <w:kern w:val="28"/>
          <w:sz w:val="22"/>
        </w:rPr>
      </w:pPr>
      <w:r w:rsidRPr="009F24B0">
        <w:rPr>
          <w:snapToGrid w:val="0"/>
          <w:kern w:val="28"/>
          <w:sz w:val="22"/>
        </w:rPr>
        <w:t>The Video Division, Media Bureau</w:t>
      </w:r>
      <w:r w:rsidRPr="009F24B0" w:rsidR="0008625F">
        <w:rPr>
          <w:snapToGrid w:val="0"/>
          <w:kern w:val="28"/>
          <w:sz w:val="22"/>
        </w:rPr>
        <w:t xml:space="preserve"> (Bureau)</w:t>
      </w:r>
      <w:r w:rsidRPr="009F24B0">
        <w:rPr>
          <w:snapToGrid w:val="0"/>
          <w:kern w:val="28"/>
          <w:sz w:val="22"/>
        </w:rPr>
        <w:t xml:space="preserve">, has before it </w:t>
      </w:r>
      <w:r w:rsidRPr="009F24B0" w:rsidR="007615F6">
        <w:rPr>
          <w:snapToGrid w:val="0"/>
          <w:kern w:val="28"/>
          <w:sz w:val="22"/>
        </w:rPr>
        <w:t xml:space="preserve">two sets of </w:t>
      </w:r>
      <w:r w:rsidRPr="009F24B0" w:rsidR="00D66C6A">
        <w:rPr>
          <w:snapToGrid w:val="0"/>
          <w:kern w:val="28"/>
          <w:sz w:val="22"/>
        </w:rPr>
        <w:t>applications (collectively, Applications) see</w:t>
      </w:r>
      <w:r w:rsidRPr="009F24B0" w:rsidR="00750937">
        <w:rPr>
          <w:snapToGrid w:val="0"/>
          <w:kern w:val="28"/>
          <w:sz w:val="22"/>
        </w:rPr>
        <w:t xml:space="preserve">king consent </w:t>
      </w:r>
      <w:r w:rsidRPr="009F24B0">
        <w:rPr>
          <w:snapToGrid w:val="0"/>
          <w:kern w:val="28"/>
          <w:sz w:val="22"/>
        </w:rPr>
        <w:t xml:space="preserve">to the assignment of broadcast television station </w:t>
      </w:r>
      <w:r w:rsidRPr="009F24B0" w:rsidR="00457222">
        <w:rPr>
          <w:snapToGrid w:val="0"/>
          <w:kern w:val="28"/>
          <w:sz w:val="22"/>
        </w:rPr>
        <w:t xml:space="preserve">licenses </w:t>
      </w:r>
      <w:r w:rsidRPr="009F24B0" w:rsidR="005C1E3C">
        <w:rPr>
          <w:snapToGrid w:val="0"/>
          <w:kern w:val="28"/>
          <w:sz w:val="22"/>
        </w:rPr>
        <w:t>from</w:t>
      </w:r>
      <w:r w:rsidRPr="009F24B0" w:rsidR="005C2452">
        <w:rPr>
          <w:snapToGrid w:val="0"/>
          <w:kern w:val="28"/>
          <w:sz w:val="22"/>
        </w:rPr>
        <w:t>:</w:t>
      </w:r>
      <w:r w:rsidRPr="009F24B0" w:rsidR="005C1E3C">
        <w:rPr>
          <w:snapToGrid w:val="0"/>
          <w:kern w:val="28"/>
          <w:sz w:val="22"/>
        </w:rPr>
        <w:t xml:space="preserve"> (1) subsidiaries of SagamoreHill Broadcasting II, LLC (</w:t>
      </w:r>
      <w:r w:rsidRPr="009F24B0" w:rsidR="00150C88">
        <w:rPr>
          <w:snapToGrid w:val="0"/>
          <w:kern w:val="28"/>
          <w:sz w:val="22"/>
        </w:rPr>
        <w:t xml:space="preserve">SagamoreHill) to Gray Television Licensee, LLC </w:t>
      </w:r>
      <w:r w:rsidRPr="009F24B0" w:rsidR="00150C88">
        <w:rPr>
          <w:snapToGrid w:val="0"/>
          <w:kern w:val="28"/>
          <w:sz w:val="22"/>
        </w:rPr>
        <w:t>(Gray</w:t>
      </w:r>
      <w:r w:rsidRPr="009F24B0" w:rsidR="00257AF8">
        <w:rPr>
          <w:snapToGrid w:val="0"/>
          <w:kern w:val="28"/>
          <w:sz w:val="22"/>
        </w:rPr>
        <w:t>) (SagamoreHill Applications); and (2)</w:t>
      </w:r>
      <w:r w:rsidRPr="009F24B0" w:rsidR="005C2452">
        <w:rPr>
          <w:snapToGrid w:val="0"/>
          <w:kern w:val="28"/>
          <w:sz w:val="22"/>
        </w:rPr>
        <w:t xml:space="preserve"> </w:t>
      </w:r>
      <w:r w:rsidRPr="009F24B0" w:rsidR="006E563F">
        <w:rPr>
          <w:snapToGrid w:val="0"/>
          <w:kern w:val="28"/>
          <w:sz w:val="22"/>
        </w:rPr>
        <w:t>subsidiaries of Block Communications, Inc. (Block)</w:t>
      </w:r>
      <w:r w:rsidRPr="009F24B0" w:rsidR="00AE2E2F">
        <w:rPr>
          <w:snapToGrid w:val="0"/>
          <w:kern w:val="28"/>
          <w:sz w:val="22"/>
        </w:rPr>
        <w:t xml:space="preserve"> </w:t>
      </w:r>
      <w:r w:rsidRPr="009F24B0" w:rsidR="00A446AA">
        <w:rPr>
          <w:snapToGrid w:val="0"/>
          <w:kern w:val="28"/>
          <w:sz w:val="22"/>
        </w:rPr>
        <w:t>to Gray</w:t>
      </w:r>
      <w:r w:rsidRPr="009F24B0" w:rsidR="001A2B93">
        <w:rPr>
          <w:snapToGrid w:val="0"/>
          <w:kern w:val="28"/>
          <w:sz w:val="22"/>
        </w:rPr>
        <w:t xml:space="preserve"> (Block Applications)</w:t>
      </w:r>
      <w:r w:rsidRPr="009F24B0" w:rsidR="006E563F">
        <w:rPr>
          <w:snapToGrid w:val="0"/>
          <w:kern w:val="28"/>
          <w:sz w:val="22"/>
        </w:rPr>
        <w:t>.</w:t>
      </w:r>
      <w:r>
        <w:rPr>
          <w:snapToGrid w:val="0"/>
          <w:kern w:val="28"/>
          <w:sz w:val="22"/>
          <w:vertAlign w:val="superscript"/>
        </w:rPr>
        <w:footnoteReference w:id="2"/>
      </w:r>
      <w:r w:rsidRPr="009F24B0">
        <w:rPr>
          <w:snapToGrid w:val="0"/>
          <w:kern w:val="28"/>
          <w:sz w:val="22"/>
        </w:rPr>
        <w:t xml:space="preserve">  </w:t>
      </w:r>
      <w:r w:rsidRPr="009F24B0" w:rsidR="00960114">
        <w:rPr>
          <w:snapToGrid w:val="0"/>
          <w:kern w:val="28"/>
          <w:sz w:val="22"/>
        </w:rPr>
        <w:t>The Applications include request</w:t>
      </w:r>
      <w:r w:rsidRPr="009F24B0" w:rsidR="00A61915">
        <w:rPr>
          <w:snapToGrid w:val="0"/>
          <w:kern w:val="28"/>
          <w:sz w:val="22"/>
        </w:rPr>
        <w:t>s</w:t>
      </w:r>
      <w:r w:rsidRPr="009F24B0" w:rsidR="00960114">
        <w:rPr>
          <w:snapToGrid w:val="0"/>
          <w:kern w:val="28"/>
          <w:sz w:val="22"/>
        </w:rPr>
        <w:t xml:space="preserve"> for </w:t>
      </w:r>
      <w:r w:rsidRPr="009F24B0" w:rsidR="00960114">
        <w:rPr>
          <w:snapToGrid w:val="0"/>
          <w:kern w:val="28"/>
          <w:sz w:val="22"/>
        </w:rPr>
        <w:t>waiver</w:t>
      </w:r>
      <w:r w:rsidRPr="009F24B0" w:rsidR="00960114">
        <w:rPr>
          <w:snapToGrid w:val="0"/>
          <w:kern w:val="28"/>
          <w:sz w:val="22"/>
        </w:rPr>
        <w:t xml:space="preserve"> of the Local Television Ownership Rule</w:t>
      </w:r>
      <w:r>
        <w:rPr>
          <w:snapToGrid w:val="0"/>
          <w:kern w:val="28"/>
          <w:sz w:val="22"/>
          <w:vertAlign w:val="superscript"/>
        </w:rPr>
        <w:footnoteReference w:id="3"/>
      </w:r>
      <w:r w:rsidRPr="009F24B0" w:rsidR="00960114">
        <w:rPr>
          <w:snapToGrid w:val="0"/>
          <w:kern w:val="28"/>
          <w:sz w:val="22"/>
        </w:rPr>
        <w:t xml:space="preserve"> to allow </w:t>
      </w:r>
      <w:r w:rsidRPr="009F24B0" w:rsidR="002A54E3">
        <w:rPr>
          <w:snapToGrid w:val="0"/>
          <w:kern w:val="28"/>
          <w:sz w:val="22"/>
        </w:rPr>
        <w:t xml:space="preserve">Gray </w:t>
      </w:r>
      <w:r w:rsidRPr="009F24B0" w:rsidR="00960114">
        <w:rPr>
          <w:snapToGrid w:val="0"/>
          <w:kern w:val="28"/>
          <w:sz w:val="22"/>
        </w:rPr>
        <w:t xml:space="preserve">to own three </w:t>
      </w:r>
      <w:r w:rsidRPr="009F24B0">
        <w:rPr>
          <w:snapToGrid w:val="0"/>
          <w:kern w:val="28"/>
          <w:sz w:val="22"/>
        </w:rPr>
        <w:t xml:space="preserve">full power </w:t>
      </w:r>
      <w:r w:rsidRPr="009F24B0" w:rsidR="00960114">
        <w:rPr>
          <w:snapToGrid w:val="0"/>
          <w:kern w:val="28"/>
          <w:sz w:val="22"/>
        </w:rPr>
        <w:t>television stations in the</w:t>
      </w:r>
      <w:r w:rsidRPr="009F24B0" w:rsidR="00856BBE">
        <w:rPr>
          <w:snapToGrid w:val="0"/>
          <w:kern w:val="28"/>
          <w:sz w:val="22"/>
        </w:rPr>
        <w:t xml:space="preserve"> Lubbock</w:t>
      </w:r>
      <w:r w:rsidRPr="009F24B0" w:rsidR="001852B4">
        <w:rPr>
          <w:snapToGrid w:val="0"/>
          <w:kern w:val="28"/>
          <w:sz w:val="22"/>
        </w:rPr>
        <w:t>, TX</w:t>
      </w:r>
      <w:r w:rsidRPr="009F24B0" w:rsidR="00E1036F">
        <w:rPr>
          <w:snapToGrid w:val="0"/>
          <w:kern w:val="28"/>
          <w:sz w:val="22"/>
        </w:rPr>
        <w:t xml:space="preserve"> and</w:t>
      </w:r>
      <w:r w:rsidRPr="009F24B0" w:rsidR="00960114">
        <w:rPr>
          <w:snapToGrid w:val="0"/>
          <w:kern w:val="28"/>
          <w:sz w:val="22"/>
        </w:rPr>
        <w:t xml:space="preserve"> </w:t>
      </w:r>
      <w:r w:rsidRPr="009F24B0" w:rsidR="00E1036F">
        <w:rPr>
          <w:snapToGrid w:val="0"/>
          <w:kern w:val="28"/>
          <w:sz w:val="22"/>
        </w:rPr>
        <w:t xml:space="preserve">Louisville, KY </w:t>
      </w:r>
      <w:r w:rsidRPr="009F24B0" w:rsidR="00960114">
        <w:rPr>
          <w:snapToGrid w:val="0"/>
          <w:kern w:val="28"/>
          <w:sz w:val="22"/>
        </w:rPr>
        <w:t>Designated Market Area</w:t>
      </w:r>
      <w:r w:rsidRPr="009F24B0" w:rsidR="00B206BD">
        <w:rPr>
          <w:snapToGrid w:val="0"/>
          <w:kern w:val="28"/>
          <w:sz w:val="22"/>
        </w:rPr>
        <w:t>s</w:t>
      </w:r>
      <w:r w:rsidRPr="009F24B0" w:rsidR="00960114">
        <w:rPr>
          <w:snapToGrid w:val="0"/>
          <w:kern w:val="28"/>
          <w:sz w:val="22"/>
        </w:rPr>
        <w:t xml:space="preserve"> (DMA</w:t>
      </w:r>
      <w:r w:rsidRPr="009F24B0" w:rsidR="00827D9B">
        <w:rPr>
          <w:snapToGrid w:val="0"/>
          <w:kern w:val="28"/>
          <w:sz w:val="22"/>
        </w:rPr>
        <w:t>s</w:t>
      </w:r>
      <w:r w:rsidRPr="009F24B0" w:rsidR="00960114">
        <w:rPr>
          <w:snapToGrid w:val="0"/>
          <w:kern w:val="28"/>
          <w:sz w:val="22"/>
        </w:rPr>
        <w:t>).</w:t>
      </w:r>
      <w:r w:rsidRPr="009F24B0" w:rsidR="00B05F7A">
        <w:rPr>
          <w:snapToGrid w:val="0"/>
          <w:kern w:val="28"/>
          <w:sz w:val="22"/>
        </w:rPr>
        <w:t xml:space="preserve">  </w:t>
      </w:r>
    </w:p>
    <w:p w:rsidR="000474E7" w:rsidRPr="009F24B0" w:rsidP="000474E7" w14:paraId="6F344EDC" w14:textId="22A3FB84">
      <w:pPr>
        <w:spacing w:after="120"/>
        <w:ind w:firstLine="720"/>
        <w:rPr>
          <w:snapToGrid w:val="0"/>
          <w:kern w:val="28"/>
          <w:sz w:val="22"/>
        </w:rPr>
      </w:pPr>
      <w:r w:rsidRPr="009F24B0">
        <w:rPr>
          <w:snapToGrid w:val="0"/>
          <w:kern w:val="28"/>
          <w:sz w:val="22"/>
        </w:rPr>
        <w:t>DIRECTV, LLC (DIRECTV) filed a petition to deny the Applications.</w:t>
      </w:r>
      <w:r>
        <w:rPr>
          <w:snapToGrid w:val="0"/>
          <w:kern w:val="28"/>
          <w:sz w:val="22"/>
          <w:vertAlign w:val="superscript"/>
        </w:rPr>
        <w:footnoteReference w:id="4"/>
      </w:r>
      <w:r w:rsidRPr="009F24B0">
        <w:rPr>
          <w:snapToGrid w:val="0"/>
          <w:kern w:val="28"/>
          <w:sz w:val="22"/>
        </w:rPr>
        <w:t xml:space="preserve">  In addition, </w:t>
      </w:r>
      <w:r w:rsidRPr="009F24B0" w:rsidR="004E7927">
        <w:rPr>
          <w:snapToGrid w:val="0"/>
          <w:kern w:val="28"/>
          <w:sz w:val="22"/>
        </w:rPr>
        <w:t>five</w:t>
      </w:r>
      <w:r w:rsidRPr="009F24B0">
        <w:rPr>
          <w:snapToGrid w:val="0"/>
          <w:kern w:val="28"/>
          <w:sz w:val="22"/>
        </w:rPr>
        <w:t xml:space="preserve"> entities filed objections or comments </w:t>
      </w:r>
      <w:r w:rsidR="00B5743D">
        <w:rPr>
          <w:snapToGrid w:val="0"/>
          <w:kern w:val="28"/>
          <w:sz w:val="22"/>
        </w:rPr>
        <w:t>opposing</w:t>
      </w:r>
      <w:r w:rsidRPr="009F24B0" w:rsidR="00B5743D">
        <w:rPr>
          <w:snapToGrid w:val="0"/>
          <w:kern w:val="28"/>
          <w:sz w:val="22"/>
        </w:rPr>
        <w:t xml:space="preserve"> </w:t>
      </w:r>
      <w:r w:rsidRPr="009F24B0">
        <w:rPr>
          <w:snapToGrid w:val="0"/>
          <w:kern w:val="28"/>
          <w:sz w:val="22"/>
        </w:rPr>
        <w:t>the Applications, which we will treat as informal objections (collectively, Objections), pursuant to section 73.3587 of the Commission’s rules:</w:t>
      </w:r>
      <w:r>
        <w:rPr>
          <w:snapToGrid w:val="0"/>
          <w:kern w:val="28"/>
          <w:sz w:val="22"/>
          <w:vertAlign w:val="superscript"/>
        </w:rPr>
        <w:footnoteReference w:id="5"/>
      </w:r>
      <w:r w:rsidRPr="009F24B0">
        <w:rPr>
          <w:snapToGrid w:val="0"/>
          <w:kern w:val="28"/>
          <w:sz w:val="22"/>
        </w:rPr>
        <w:t xml:space="preserve"> </w:t>
      </w:r>
      <w:r w:rsidRPr="009F24B0" w:rsidR="0035098D">
        <w:rPr>
          <w:snapToGrid w:val="0"/>
          <w:kern w:val="28"/>
          <w:sz w:val="22"/>
        </w:rPr>
        <w:t xml:space="preserve"> </w:t>
      </w:r>
      <w:r w:rsidRPr="009F24B0">
        <w:rPr>
          <w:snapToGrid w:val="0"/>
          <w:kern w:val="28"/>
          <w:sz w:val="22"/>
        </w:rPr>
        <w:t>(1) Georgia Cable Association, Illinois Broadband &amp; Cable Association, Indiana Cable and Broadband Association, and Tennessee Cable &amp; Broadband Association (collectively, Cable Associations);</w:t>
      </w:r>
      <w:r>
        <w:rPr>
          <w:snapToGrid w:val="0"/>
          <w:kern w:val="28"/>
          <w:sz w:val="22"/>
          <w:vertAlign w:val="superscript"/>
        </w:rPr>
        <w:footnoteReference w:id="6"/>
      </w:r>
      <w:r w:rsidRPr="009F24B0">
        <w:rPr>
          <w:snapToGrid w:val="0"/>
          <w:kern w:val="28"/>
          <w:sz w:val="22"/>
        </w:rPr>
        <w:t xml:space="preserve"> (2) Business Forward;</w:t>
      </w:r>
      <w:r>
        <w:rPr>
          <w:snapToGrid w:val="0"/>
          <w:kern w:val="28"/>
          <w:sz w:val="22"/>
          <w:vertAlign w:val="superscript"/>
        </w:rPr>
        <w:footnoteReference w:id="7"/>
      </w:r>
      <w:r w:rsidRPr="009F24B0">
        <w:rPr>
          <w:snapToGrid w:val="0"/>
          <w:kern w:val="28"/>
          <w:sz w:val="22"/>
        </w:rPr>
        <w:t xml:space="preserve"> (3) a coalition of Asian American, Native Hawaiian, and Pacific Islander communities (AANHPI Coalition);</w:t>
      </w:r>
      <w:r>
        <w:rPr>
          <w:snapToGrid w:val="0"/>
          <w:kern w:val="28"/>
          <w:sz w:val="22"/>
          <w:vertAlign w:val="superscript"/>
        </w:rPr>
        <w:footnoteReference w:id="8"/>
      </w:r>
      <w:r w:rsidRPr="009F24B0">
        <w:rPr>
          <w:snapToGrid w:val="0"/>
          <w:kern w:val="28"/>
          <w:sz w:val="22"/>
        </w:rPr>
        <w:t xml:space="preserve"> (4) a coalition of civil rights, consumer protection, and public interest organizations (Civil Rights Coalition)</w:t>
      </w:r>
      <w:r w:rsidRPr="009F24B0" w:rsidR="00337C83">
        <w:rPr>
          <w:snapToGrid w:val="0"/>
          <w:kern w:val="28"/>
          <w:sz w:val="22"/>
        </w:rPr>
        <w:t>;</w:t>
      </w:r>
      <w:r>
        <w:rPr>
          <w:snapToGrid w:val="0"/>
          <w:kern w:val="28"/>
          <w:sz w:val="22"/>
          <w:vertAlign w:val="superscript"/>
        </w:rPr>
        <w:footnoteReference w:id="9"/>
      </w:r>
      <w:r w:rsidRPr="009F24B0">
        <w:rPr>
          <w:snapToGrid w:val="0"/>
          <w:kern w:val="28"/>
          <w:sz w:val="22"/>
        </w:rPr>
        <w:t xml:space="preserve"> </w:t>
      </w:r>
      <w:r w:rsidRPr="009F24B0" w:rsidR="00337C83">
        <w:rPr>
          <w:snapToGrid w:val="0"/>
          <w:kern w:val="28"/>
          <w:sz w:val="22"/>
        </w:rPr>
        <w:t xml:space="preserve">and </w:t>
      </w:r>
      <w:r w:rsidRPr="009F24B0" w:rsidR="00F90FAC">
        <w:rPr>
          <w:snapToGrid w:val="0"/>
          <w:kern w:val="28"/>
          <w:sz w:val="22"/>
        </w:rPr>
        <w:t xml:space="preserve">(5) </w:t>
      </w:r>
      <w:r w:rsidRPr="009F24B0" w:rsidR="00337C83">
        <w:rPr>
          <w:snapToGrid w:val="0"/>
          <w:kern w:val="28"/>
          <w:sz w:val="22"/>
        </w:rPr>
        <w:t>Newsmax Media, Inc.</w:t>
      </w:r>
      <w:r w:rsidRPr="009F24B0" w:rsidR="00B91C37">
        <w:rPr>
          <w:snapToGrid w:val="0"/>
          <w:kern w:val="28"/>
          <w:sz w:val="22"/>
        </w:rPr>
        <w:t xml:space="preserve"> (Newsmax).</w:t>
      </w:r>
      <w:r>
        <w:rPr>
          <w:snapToGrid w:val="0"/>
          <w:kern w:val="28"/>
          <w:sz w:val="22"/>
          <w:vertAlign w:val="superscript"/>
        </w:rPr>
        <w:footnoteReference w:id="10"/>
      </w:r>
      <w:r w:rsidRPr="009F24B0" w:rsidR="00337C83">
        <w:rPr>
          <w:snapToGrid w:val="0"/>
          <w:kern w:val="28"/>
          <w:sz w:val="22"/>
        </w:rPr>
        <w:t xml:space="preserve"> </w:t>
      </w:r>
      <w:r w:rsidRPr="009F24B0">
        <w:rPr>
          <w:snapToGrid w:val="0"/>
          <w:kern w:val="28"/>
          <w:sz w:val="22"/>
        </w:rPr>
        <w:t xml:space="preserve"> </w:t>
      </w:r>
    </w:p>
    <w:p w:rsidR="00AB4452" w:rsidRPr="009F24B0" w:rsidP="000474E7" w14:paraId="37557C92" w14:textId="50C11379">
      <w:pPr>
        <w:spacing w:after="120"/>
        <w:ind w:firstLine="720"/>
        <w:rPr>
          <w:snapToGrid w:val="0"/>
          <w:kern w:val="28"/>
          <w:sz w:val="22"/>
        </w:rPr>
      </w:pPr>
      <w:r w:rsidRPr="009F24B0">
        <w:rPr>
          <w:snapToGrid w:val="0"/>
          <w:kern w:val="28"/>
          <w:sz w:val="22"/>
        </w:rPr>
        <w:t xml:space="preserve">For the reasons set forth below, </w:t>
      </w:r>
      <w:r w:rsidRPr="009F24B0" w:rsidR="00FD5D71">
        <w:rPr>
          <w:snapToGrid w:val="0"/>
          <w:kern w:val="28"/>
          <w:sz w:val="22"/>
        </w:rPr>
        <w:t>we deny the Petition and Objections</w:t>
      </w:r>
      <w:r w:rsidRPr="009F24B0" w:rsidR="006B6A89">
        <w:rPr>
          <w:snapToGrid w:val="0"/>
          <w:kern w:val="28"/>
          <w:sz w:val="22"/>
        </w:rPr>
        <w:t xml:space="preserve">.  </w:t>
      </w:r>
      <w:r w:rsidRPr="009F24B0" w:rsidR="003F3BAD">
        <w:rPr>
          <w:snapToGrid w:val="0"/>
          <w:kern w:val="28"/>
          <w:sz w:val="22"/>
        </w:rPr>
        <w:t xml:space="preserve">We also grant the requests for waiver of the Commission’s Local Television Ownership Rule.  </w:t>
      </w:r>
      <w:r w:rsidRPr="009F24B0" w:rsidR="006B6A89">
        <w:rPr>
          <w:snapToGrid w:val="0"/>
          <w:kern w:val="28"/>
          <w:sz w:val="22"/>
        </w:rPr>
        <w:t xml:space="preserve">After carefully and thoroughly </w:t>
      </w:r>
      <w:r w:rsidRPr="009F24B0" w:rsidR="006B6A89">
        <w:rPr>
          <w:snapToGrid w:val="0"/>
          <w:kern w:val="28"/>
          <w:sz w:val="22"/>
        </w:rPr>
        <w:t xml:space="preserve">reviewing the record, we find that there are no material public interest harms arising from the </w:t>
      </w:r>
      <w:r w:rsidRPr="009F24B0" w:rsidR="006D0E0B">
        <w:rPr>
          <w:snapToGrid w:val="0"/>
          <w:kern w:val="28"/>
          <w:sz w:val="22"/>
        </w:rPr>
        <w:t>T</w:t>
      </w:r>
      <w:r w:rsidRPr="009F24B0" w:rsidR="006B6A89">
        <w:rPr>
          <w:snapToGrid w:val="0"/>
          <w:kern w:val="28"/>
          <w:sz w:val="22"/>
        </w:rPr>
        <w:t>ransaction</w:t>
      </w:r>
      <w:r w:rsidRPr="009F24B0" w:rsidR="0054112F">
        <w:rPr>
          <w:snapToGrid w:val="0"/>
          <w:kern w:val="28"/>
          <w:sz w:val="22"/>
        </w:rPr>
        <w:t>s</w:t>
      </w:r>
      <w:r w:rsidRPr="009F24B0" w:rsidR="006B6A89">
        <w:rPr>
          <w:snapToGrid w:val="0"/>
          <w:kern w:val="28"/>
          <w:sz w:val="22"/>
        </w:rPr>
        <w:t>.  We further find that certain transaction-related public interest benefits are likely to be realized, especially given Gray’s reaffirmed commitment to “strong local news and information programming.”</w:t>
      </w:r>
      <w:r>
        <w:rPr>
          <w:snapToGrid w:val="0"/>
          <w:kern w:val="28"/>
          <w:sz w:val="22"/>
          <w:vertAlign w:val="superscript"/>
        </w:rPr>
        <w:footnoteReference w:id="11"/>
      </w:r>
      <w:r w:rsidRPr="009F24B0" w:rsidR="006B6A89">
        <w:rPr>
          <w:snapToGrid w:val="0"/>
          <w:kern w:val="28"/>
          <w:sz w:val="22"/>
        </w:rPr>
        <w:t xml:space="preserve">  Accordingly, we grant the Applications.</w:t>
      </w:r>
    </w:p>
    <w:p w:rsidR="00756172" w:rsidRPr="009F24B0" w:rsidP="00756172" w14:paraId="3367CC41" w14:textId="77777777">
      <w:pPr>
        <w:spacing w:after="120"/>
        <w:ind w:firstLine="720"/>
        <w:rPr>
          <w:snapToGrid w:val="0"/>
          <w:kern w:val="28"/>
          <w:sz w:val="22"/>
        </w:rPr>
      </w:pPr>
      <w:r w:rsidRPr="009F24B0">
        <w:rPr>
          <w:snapToGrid w:val="0"/>
          <w:kern w:val="28"/>
          <w:sz w:val="22"/>
          <w:u w:val="single"/>
        </w:rPr>
        <w:t>Transactions</w:t>
      </w:r>
      <w:r w:rsidRPr="009F24B0">
        <w:rPr>
          <w:snapToGrid w:val="0"/>
          <w:kern w:val="28"/>
          <w:sz w:val="22"/>
        </w:rPr>
        <w:t>.</w:t>
      </w:r>
      <w:r w:rsidRPr="009F24B0">
        <w:rPr>
          <w:snapToGrid w:val="0"/>
          <w:kern w:val="28"/>
          <w:sz w:val="22"/>
        </w:rPr>
        <w:t xml:space="preserve">  As set forth in the Applications,</w:t>
      </w:r>
      <w:r>
        <w:rPr>
          <w:snapToGrid w:val="0"/>
          <w:kern w:val="28"/>
          <w:sz w:val="22"/>
          <w:vertAlign w:val="superscript"/>
        </w:rPr>
        <w:footnoteReference w:id="12"/>
      </w:r>
      <w:r w:rsidRPr="009F24B0">
        <w:rPr>
          <w:snapToGrid w:val="0"/>
          <w:kern w:val="28"/>
          <w:sz w:val="22"/>
        </w:rPr>
        <w:t xml:space="preserve"> Gray proposes </w:t>
      </w:r>
      <w:r w:rsidRPr="009F24B0">
        <w:rPr>
          <w:snapToGrid w:val="0"/>
          <w:kern w:val="28"/>
          <w:sz w:val="22"/>
        </w:rPr>
        <w:t>to own</w:t>
      </w:r>
      <w:r w:rsidRPr="009F24B0">
        <w:rPr>
          <w:snapToGrid w:val="0"/>
          <w:kern w:val="28"/>
          <w:sz w:val="22"/>
        </w:rPr>
        <w:t xml:space="preserve"> two full power stations (Duopoly) in the following DMA:</w:t>
      </w:r>
    </w:p>
    <w:p w:rsidR="00756172" w:rsidRPr="009F24B0" w:rsidP="00756172" w14:paraId="3013B135" w14:textId="77777777">
      <w:pPr>
        <w:numPr>
          <w:ilvl w:val="0"/>
          <w:numId w:val="24"/>
        </w:numPr>
        <w:spacing w:after="120"/>
        <w:rPr>
          <w:snapToGrid w:val="0"/>
          <w:kern w:val="28"/>
          <w:sz w:val="22"/>
        </w:rPr>
      </w:pPr>
      <w:r w:rsidRPr="009F24B0">
        <w:rPr>
          <w:snapToGrid w:val="0"/>
          <w:kern w:val="28"/>
          <w:sz w:val="22"/>
          <w:u w:val="single"/>
        </w:rPr>
        <w:t>Columbus, GA-Opelika, AL</w:t>
      </w:r>
      <w:r w:rsidRPr="009F24B0">
        <w:rPr>
          <w:snapToGrid w:val="0"/>
          <w:kern w:val="28"/>
          <w:sz w:val="22"/>
        </w:rPr>
        <w:t>.  WTVM(TV), Columbus, Georgia, and WLTZ(TV), Columbus, Georgia.</w:t>
      </w:r>
    </w:p>
    <w:p w:rsidR="00756172" w:rsidRPr="009F24B0" w:rsidP="006D5E51" w14:paraId="7E81FEB0" w14:textId="77777777">
      <w:pPr>
        <w:spacing w:after="120"/>
        <w:rPr>
          <w:snapToGrid w:val="0"/>
          <w:kern w:val="28"/>
          <w:sz w:val="22"/>
        </w:rPr>
      </w:pPr>
      <w:r w:rsidRPr="009F24B0">
        <w:rPr>
          <w:snapToGrid w:val="0"/>
          <w:kern w:val="28"/>
          <w:sz w:val="22"/>
        </w:rPr>
        <w:t>Gray proposes to own three full power stations (Triopoly) in the following two DMAs:</w:t>
      </w:r>
    </w:p>
    <w:p w:rsidR="006D5E51" w:rsidRPr="009F24B0" w:rsidP="006D5E51" w14:paraId="0FBF641D" w14:textId="69AD4897">
      <w:pPr>
        <w:numPr>
          <w:ilvl w:val="0"/>
          <w:numId w:val="24"/>
        </w:numPr>
        <w:spacing w:after="120"/>
        <w:rPr>
          <w:snapToGrid w:val="0"/>
          <w:kern w:val="28"/>
          <w:sz w:val="22"/>
        </w:rPr>
      </w:pPr>
      <w:r w:rsidRPr="009F24B0">
        <w:rPr>
          <w:snapToGrid w:val="0"/>
          <w:kern w:val="28"/>
          <w:sz w:val="22"/>
          <w:u w:val="single"/>
        </w:rPr>
        <w:t>Lubbock, TX</w:t>
      </w:r>
      <w:r w:rsidRPr="009F24B0">
        <w:rPr>
          <w:snapToGrid w:val="0"/>
          <w:kern w:val="28"/>
          <w:sz w:val="22"/>
        </w:rPr>
        <w:t>.  KCBD(TV) and KJTV-TV, Lubbock, Texas, and KLCW-TV, Wolfforth, Texas.</w:t>
      </w:r>
    </w:p>
    <w:p w:rsidR="000650E2" w:rsidRPr="009F24B0" w:rsidP="000650E2" w14:paraId="5EB248AF" w14:textId="3B7B9993">
      <w:pPr>
        <w:numPr>
          <w:ilvl w:val="0"/>
          <w:numId w:val="24"/>
        </w:numPr>
        <w:spacing w:after="120"/>
        <w:rPr>
          <w:snapToGrid w:val="0"/>
          <w:kern w:val="28"/>
          <w:sz w:val="22"/>
          <w:u w:val="single"/>
        </w:rPr>
      </w:pPr>
      <w:r w:rsidRPr="009F24B0">
        <w:rPr>
          <w:snapToGrid w:val="0"/>
          <w:kern w:val="28"/>
          <w:sz w:val="22"/>
          <w:u w:val="single"/>
        </w:rPr>
        <w:t>Louisville, KY.</w:t>
      </w:r>
      <w:r w:rsidRPr="009F24B0">
        <w:rPr>
          <w:snapToGrid w:val="0"/>
          <w:kern w:val="28"/>
          <w:sz w:val="22"/>
        </w:rPr>
        <w:t xml:space="preserve">  WAVE(TV) and WDRB(TV), Louisville, Kentucky, and WBKI(TV), Salem, Indiana.</w:t>
      </w:r>
    </w:p>
    <w:p w:rsidR="003F7619" w:rsidRPr="009F24B0" w:rsidP="000F78BF" w14:paraId="47DB5C2C" w14:textId="6700DBF2">
      <w:pPr>
        <w:spacing w:after="120"/>
        <w:ind w:firstLine="720"/>
        <w:rPr>
          <w:snapToGrid w:val="0"/>
          <w:kern w:val="28"/>
          <w:sz w:val="22"/>
        </w:rPr>
      </w:pPr>
      <w:r w:rsidRPr="009F24B0">
        <w:rPr>
          <w:snapToGrid w:val="0"/>
          <w:kern w:val="28"/>
          <w:sz w:val="22"/>
          <w:u w:val="single"/>
        </w:rPr>
        <w:t>Background</w:t>
      </w:r>
      <w:r w:rsidRPr="009F24B0" w:rsidR="00C42107">
        <w:rPr>
          <w:snapToGrid w:val="0"/>
          <w:kern w:val="28"/>
          <w:sz w:val="22"/>
        </w:rPr>
        <w:t xml:space="preserve">.  </w:t>
      </w:r>
      <w:r w:rsidRPr="009F24B0">
        <w:rPr>
          <w:snapToGrid w:val="0"/>
          <w:kern w:val="28"/>
          <w:sz w:val="22"/>
        </w:rPr>
        <w:t>The Local Television Ownership Rule, as reflected in the Code of Federal Regulations, provides that an entity may own two television stations licensed in the same DMA if:  “(i)</w:t>
      </w:r>
      <w:r w:rsidRPr="009F24B0" w:rsidR="004E2328">
        <w:rPr>
          <w:snapToGrid w:val="0"/>
          <w:kern w:val="28"/>
          <w:sz w:val="22"/>
        </w:rPr>
        <w:t> </w:t>
      </w:r>
      <w:r w:rsidRPr="009F24B0">
        <w:rPr>
          <w:snapToGrid w:val="0"/>
          <w:kern w:val="28"/>
          <w:sz w:val="22"/>
        </w:rPr>
        <w:t>the digital noise limited service contours of the stations . . . do not overlap; or (ii) at the time the application to acquire . . . the station(s) is filed, at least one of the stations is not ranked among the top-four stations in the DMA, based on the Sunday to Saturday, 7 a.m. to 1 a.m. daypart audience share ratings averaged over a 12-month period immediately preceding the date of the application, as measured by Nielsen Media Research or by any comparable professional, accepted audience ratings service.”</w:t>
      </w:r>
      <w:r>
        <w:rPr>
          <w:snapToGrid w:val="0"/>
          <w:kern w:val="28"/>
          <w:sz w:val="22"/>
          <w:vertAlign w:val="superscript"/>
        </w:rPr>
        <w:footnoteReference w:id="13"/>
      </w:r>
      <w:r w:rsidRPr="009F24B0">
        <w:rPr>
          <w:snapToGrid w:val="0"/>
          <w:kern w:val="28"/>
          <w:sz w:val="22"/>
        </w:rPr>
        <w:t xml:space="preserve">  However, the court in </w:t>
      </w:r>
      <w:r w:rsidRPr="009F24B0">
        <w:rPr>
          <w:i/>
          <w:iCs/>
          <w:snapToGrid w:val="0"/>
          <w:kern w:val="28"/>
          <w:sz w:val="22"/>
        </w:rPr>
        <w:t>Zimmer Radio</w:t>
      </w:r>
      <w:r w:rsidRPr="009F24B0">
        <w:rPr>
          <w:snapToGrid w:val="0"/>
          <w:kern w:val="28"/>
          <w:sz w:val="22"/>
        </w:rPr>
        <w:t xml:space="preserve"> vacated the latter provision—the Top-Four Prohibition—such that ownership of any two stations in a single DMA is now rule compliant.</w:t>
      </w:r>
      <w:r>
        <w:rPr>
          <w:snapToGrid w:val="0"/>
          <w:kern w:val="28"/>
          <w:sz w:val="22"/>
          <w:vertAlign w:val="superscript"/>
        </w:rPr>
        <w:footnoteReference w:id="14"/>
      </w:r>
      <w:r w:rsidRPr="009F24B0">
        <w:rPr>
          <w:snapToGrid w:val="0"/>
          <w:kern w:val="28"/>
          <w:sz w:val="22"/>
        </w:rPr>
        <w:t xml:space="preserve">  Ownership of more than two stations, however, is impermissible, unless the Commission finds good cause to waive application of the Local Television Ownership Rule.</w:t>
      </w:r>
    </w:p>
    <w:p w:rsidR="00EA06E2" w:rsidRPr="009F24B0" w:rsidP="000F78BF" w14:paraId="7281B247" w14:textId="5B104382">
      <w:pPr>
        <w:spacing w:after="120"/>
        <w:ind w:firstLine="720"/>
        <w:rPr>
          <w:snapToGrid w:val="0"/>
          <w:kern w:val="28"/>
          <w:sz w:val="22"/>
        </w:rPr>
      </w:pPr>
      <w:r w:rsidRPr="009F24B0">
        <w:rPr>
          <w:snapToGrid w:val="0"/>
          <w:kern w:val="28"/>
          <w:sz w:val="22"/>
        </w:rPr>
        <w:t xml:space="preserve">The Applicants filed the Applications prior to the issuance of the mandate in </w:t>
      </w:r>
      <w:r w:rsidRPr="009F24B0">
        <w:rPr>
          <w:i/>
          <w:iCs/>
          <w:snapToGrid w:val="0"/>
          <w:kern w:val="28"/>
          <w:sz w:val="22"/>
        </w:rPr>
        <w:t>Zimmer Radio</w:t>
      </w:r>
      <w:r w:rsidRPr="009F24B0">
        <w:rPr>
          <w:snapToGrid w:val="0"/>
          <w:kern w:val="28"/>
          <w:sz w:val="22"/>
        </w:rPr>
        <w:t>.</w:t>
      </w:r>
      <w:r>
        <w:rPr>
          <w:rStyle w:val="FootnoteReference"/>
          <w:snapToGrid w:val="0"/>
          <w:kern w:val="28"/>
        </w:rPr>
        <w:footnoteReference w:id="15"/>
      </w:r>
      <w:r w:rsidRPr="009F24B0">
        <w:rPr>
          <w:snapToGrid w:val="0"/>
          <w:kern w:val="28"/>
          <w:sz w:val="22"/>
        </w:rPr>
        <w:t xml:space="preserve"> </w:t>
      </w:r>
      <w:r w:rsidRPr="009F24B0" w:rsidR="00D970E7">
        <w:rPr>
          <w:snapToGrid w:val="0"/>
          <w:kern w:val="28"/>
          <w:sz w:val="22"/>
        </w:rPr>
        <w:t xml:space="preserve">  </w:t>
      </w:r>
      <w:r w:rsidRPr="009F24B0" w:rsidR="00B8086E">
        <w:rPr>
          <w:snapToGrid w:val="0"/>
          <w:kern w:val="28"/>
          <w:sz w:val="22"/>
        </w:rPr>
        <w:t>Consistent with the Local Television Ownership Rule in effect at the time the Applications were filed,</w:t>
      </w:r>
      <w:r>
        <w:rPr>
          <w:rStyle w:val="FootnoteReference"/>
          <w:snapToGrid w:val="0"/>
          <w:kern w:val="28"/>
        </w:rPr>
        <w:footnoteReference w:id="16"/>
      </w:r>
      <w:r w:rsidRPr="009F24B0" w:rsidR="004F517E">
        <w:rPr>
          <w:snapToGrid w:val="0"/>
          <w:kern w:val="28"/>
          <w:sz w:val="22"/>
        </w:rPr>
        <w:t xml:space="preserve"> </w:t>
      </w:r>
      <w:r w:rsidRPr="009F24B0" w:rsidR="008B71BC">
        <w:rPr>
          <w:snapToGrid w:val="0"/>
          <w:kern w:val="28"/>
          <w:sz w:val="22"/>
        </w:rPr>
        <w:t>Gray</w:t>
      </w:r>
      <w:r w:rsidRPr="009F24B0" w:rsidR="00B72DB5">
        <w:rPr>
          <w:snapToGrid w:val="0"/>
          <w:kern w:val="28"/>
          <w:sz w:val="22"/>
        </w:rPr>
        <w:t xml:space="preserve"> </w:t>
      </w:r>
      <w:r w:rsidRPr="009F24B0" w:rsidR="000C3646">
        <w:rPr>
          <w:snapToGrid w:val="0"/>
          <w:kern w:val="28"/>
          <w:sz w:val="22"/>
        </w:rPr>
        <w:t>request</w:t>
      </w:r>
      <w:r w:rsidRPr="009F24B0" w:rsidR="003D2634">
        <w:rPr>
          <w:snapToGrid w:val="0"/>
          <w:kern w:val="28"/>
          <w:sz w:val="22"/>
        </w:rPr>
        <w:t xml:space="preserve">ed </w:t>
      </w:r>
      <w:r w:rsidRPr="009F24B0" w:rsidR="003D2D71">
        <w:rPr>
          <w:snapToGrid w:val="0"/>
          <w:kern w:val="28"/>
          <w:sz w:val="22"/>
        </w:rPr>
        <w:t>grant pursuant to either</w:t>
      </w:r>
      <w:r w:rsidRPr="009F24B0" w:rsidR="000404A7">
        <w:rPr>
          <w:snapToGrid w:val="0"/>
          <w:kern w:val="28"/>
          <w:sz w:val="22"/>
        </w:rPr>
        <w:t xml:space="preserve"> a </w:t>
      </w:r>
      <w:r w:rsidRPr="009F24B0" w:rsidR="003109DD">
        <w:rPr>
          <w:snapToGrid w:val="0"/>
          <w:kern w:val="28"/>
          <w:sz w:val="22"/>
        </w:rPr>
        <w:t>failing station waiver</w:t>
      </w:r>
      <w:r>
        <w:rPr>
          <w:snapToGrid w:val="0"/>
          <w:kern w:val="28"/>
          <w:sz w:val="22"/>
          <w:vertAlign w:val="superscript"/>
        </w:rPr>
        <w:footnoteReference w:id="17"/>
      </w:r>
      <w:r w:rsidRPr="009F24B0" w:rsidR="00D970E7">
        <w:rPr>
          <w:snapToGrid w:val="0"/>
          <w:kern w:val="28"/>
          <w:sz w:val="22"/>
        </w:rPr>
        <w:t xml:space="preserve"> or </w:t>
      </w:r>
      <w:r w:rsidRPr="009F24B0" w:rsidR="00155B57">
        <w:rPr>
          <w:snapToGrid w:val="0"/>
          <w:kern w:val="28"/>
          <w:sz w:val="22"/>
        </w:rPr>
        <w:t>the Commission’s general waiver process.</w:t>
      </w:r>
      <w:r>
        <w:rPr>
          <w:rStyle w:val="FootnoteReference"/>
          <w:snapToGrid w:val="0"/>
          <w:kern w:val="28"/>
        </w:rPr>
        <w:footnoteReference w:id="18"/>
      </w:r>
    </w:p>
    <w:p w:rsidR="00E616EE" w:rsidRPr="009F24B0" w:rsidP="000F78BF" w14:paraId="5256AAA0" w14:textId="2BA67918">
      <w:pPr>
        <w:spacing w:after="120"/>
        <w:ind w:firstLine="720"/>
        <w:rPr>
          <w:snapToGrid w:val="0"/>
          <w:kern w:val="28"/>
          <w:sz w:val="22"/>
        </w:rPr>
      </w:pPr>
      <w:r w:rsidRPr="009F24B0">
        <w:rPr>
          <w:snapToGrid w:val="0"/>
          <w:kern w:val="28"/>
          <w:sz w:val="22"/>
        </w:rPr>
        <w:t xml:space="preserve">On September 22, 2025, the Bureau released a single Public Notice, accepting for filing and establishing a pleading cycle for three sets of assignment applications, including the Applications, </w:t>
      </w:r>
      <w:r w:rsidRPr="009F24B0" w:rsidR="0076084B">
        <w:rPr>
          <w:snapToGrid w:val="0"/>
          <w:kern w:val="28"/>
          <w:sz w:val="22"/>
        </w:rPr>
        <w:t xml:space="preserve">from various licensees </w:t>
      </w:r>
      <w:r w:rsidRPr="009F24B0">
        <w:rPr>
          <w:snapToGrid w:val="0"/>
          <w:kern w:val="28"/>
          <w:sz w:val="22"/>
        </w:rPr>
        <w:t>to Gray.</w:t>
      </w:r>
      <w:r>
        <w:rPr>
          <w:snapToGrid w:val="0"/>
          <w:kern w:val="28"/>
          <w:sz w:val="22"/>
          <w:vertAlign w:val="superscript"/>
        </w:rPr>
        <w:footnoteReference w:id="19"/>
      </w:r>
      <w:r w:rsidRPr="009F24B0">
        <w:rPr>
          <w:snapToGrid w:val="0"/>
          <w:kern w:val="28"/>
          <w:sz w:val="22"/>
        </w:rPr>
        <w:t xml:space="preserve">  It did so purely “as a matter of administrative convenience,”</w:t>
      </w:r>
      <w:r>
        <w:rPr>
          <w:snapToGrid w:val="0"/>
          <w:kern w:val="28"/>
          <w:sz w:val="22"/>
          <w:vertAlign w:val="superscript"/>
        </w:rPr>
        <w:footnoteReference w:id="20"/>
      </w:r>
      <w:r w:rsidRPr="009F24B0">
        <w:rPr>
          <w:snapToGrid w:val="0"/>
          <w:kern w:val="28"/>
          <w:sz w:val="22"/>
        </w:rPr>
        <w:t xml:space="preserve"> not because the Transactions are financially or legally connected.  The Bureau further “emphasize[d] that [it] will not necessarily process these applications simultaneously.”</w:t>
      </w:r>
      <w:r>
        <w:rPr>
          <w:snapToGrid w:val="0"/>
          <w:kern w:val="28"/>
          <w:sz w:val="22"/>
          <w:vertAlign w:val="superscript"/>
        </w:rPr>
        <w:footnoteReference w:id="21"/>
      </w:r>
    </w:p>
    <w:p w:rsidR="006E0592" w:rsidRPr="009F24B0" w:rsidP="006E0592" w14:paraId="2CB1097D" w14:textId="7B14F429">
      <w:pPr>
        <w:spacing w:after="120"/>
        <w:ind w:firstLine="720"/>
        <w:rPr>
          <w:snapToGrid w:val="0"/>
          <w:kern w:val="28"/>
          <w:sz w:val="22"/>
        </w:rPr>
      </w:pPr>
      <w:r w:rsidRPr="009F24B0">
        <w:rPr>
          <w:snapToGrid w:val="0"/>
          <w:kern w:val="28"/>
          <w:sz w:val="22"/>
        </w:rPr>
        <w:t>On April 30, 2026, the United States Department of Justice (DOJ) granted Gray’s request for early termination of the waiting period provided by Section 7A(b)(2) of the Clayton Act and Sections 803.10(b) and 803.11(c) of the Premerger Notification Rules.</w:t>
      </w:r>
    </w:p>
    <w:p w:rsidR="003B0783" w:rsidRPr="009F24B0" w:rsidP="003B0783" w14:paraId="08D32AF1" w14:textId="4A9B4F3C">
      <w:pPr>
        <w:spacing w:after="120"/>
        <w:ind w:firstLine="720"/>
        <w:rPr>
          <w:snapToGrid w:val="0"/>
          <w:kern w:val="28"/>
          <w:sz w:val="22"/>
        </w:rPr>
      </w:pPr>
      <w:r w:rsidRPr="009F24B0">
        <w:rPr>
          <w:i/>
          <w:iCs/>
          <w:snapToGrid w:val="0"/>
          <w:kern w:val="28"/>
          <w:sz w:val="22"/>
        </w:rPr>
        <w:t>Pleadings</w:t>
      </w:r>
      <w:r w:rsidRPr="009F24B0">
        <w:rPr>
          <w:snapToGrid w:val="0"/>
          <w:kern w:val="28"/>
          <w:sz w:val="22"/>
        </w:rPr>
        <w:t>.  DIRECTV asserts in its Petition that it has standing to file, alleging direct economic harm due to higher input prices that it claims it will have to pay as a result of the Transaction</w:t>
      </w:r>
      <w:r w:rsidRPr="009F24B0" w:rsidR="00E23898">
        <w:rPr>
          <w:snapToGrid w:val="0"/>
          <w:kern w:val="28"/>
          <w:sz w:val="22"/>
        </w:rPr>
        <w:t>s</w:t>
      </w:r>
      <w:r w:rsidRPr="009F24B0">
        <w:rPr>
          <w:snapToGrid w:val="0"/>
          <w:kern w:val="28"/>
          <w:sz w:val="22"/>
        </w:rPr>
        <w:t>.</w:t>
      </w:r>
      <w:r>
        <w:rPr>
          <w:snapToGrid w:val="0"/>
          <w:kern w:val="28"/>
          <w:sz w:val="22"/>
          <w:vertAlign w:val="superscript"/>
        </w:rPr>
        <w:footnoteReference w:id="22"/>
      </w:r>
      <w:r w:rsidRPr="009F24B0">
        <w:rPr>
          <w:snapToGrid w:val="0"/>
          <w:kern w:val="28"/>
          <w:sz w:val="22"/>
        </w:rPr>
        <w:t xml:space="preserve">  DIRECTV maintains that </w:t>
      </w:r>
      <w:r w:rsidRPr="009F24B0">
        <w:rPr>
          <w:i/>
          <w:iCs/>
          <w:snapToGrid w:val="0"/>
          <w:kern w:val="28"/>
          <w:sz w:val="22"/>
        </w:rPr>
        <w:t>Zimmer Radio</w:t>
      </w:r>
      <w:r w:rsidRPr="009F24B0">
        <w:rPr>
          <w:snapToGrid w:val="0"/>
          <w:kern w:val="28"/>
          <w:sz w:val="22"/>
        </w:rPr>
        <w:t xml:space="preserve"> does not affect the Applicants’ affirmative obligation under section 310(d) of the Communications Act of 1934, as amended (Act) to show that the proposed license transfer is in the public interest.</w:t>
      </w:r>
      <w:r>
        <w:rPr>
          <w:snapToGrid w:val="0"/>
          <w:kern w:val="28"/>
          <w:sz w:val="22"/>
          <w:vertAlign w:val="superscript"/>
        </w:rPr>
        <w:footnoteReference w:id="23"/>
      </w:r>
      <w:r w:rsidRPr="009F24B0">
        <w:rPr>
          <w:snapToGrid w:val="0"/>
          <w:kern w:val="28"/>
          <w:sz w:val="22"/>
        </w:rPr>
        <w:t xml:space="preserve">  In addition, DIRECTV and the Objectors raise concerns that the Transaction</w:t>
      </w:r>
      <w:r w:rsidRPr="009F24B0" w:rsidR="0054112F">
        <w:rPr>
          <w:snapToGrid w:val="0"/>
          <w:kern w:val="28"/>
          <w:sz w:val="22"/>
        </w:rPr>
        <w:t>s</w:t>
      </w:r>
      <w:r w:rsidRPr="009F24B0">
        <w:rPr>
          <w:snapToGrid w:val="0"/>
          <w:kern w:val="28"/>
          <w:sz w:val="22"/>
        </w:rPr>
        <w:t xml:space="preserve"> would lead to harms as a result of increased levels of market control.  They claim that the Transaction</w:t>
      </w:r>
      <w:r w:rsidRPr="009F24B0" w:rsidR="0054112F">
        <w:rPr>
          <w:snapToGrid w:val="0"/>
          <w:kern w:val="28"/>
          <w:sz w:val="22"/>
        </w:rPr>
        <w:t>s</w:t>
      </w:r>
      <w:r w:rsidRPr="009F24B0">
        <w:rPr>
          <w:snapToGrid w:val="0"/>
          <w:kern w:val="28"/>
          <w:sz w:val="22"/>
        </w:rPr>
        <w:t xml:space="preserve"> would increase retransmission consent rates by giving broadcasters more leverage over distributors in retransmission consent negotiations, which</w:t>
      </w:r>
      <w:r w:rsidRPr="009F24B0" w:rsidR="00FB0995">
        <w:rPr>
          <w:snapToGrid w:val="0"/>
          <w:kern w:val="28"/>
          <w:sz w:val="22"/>
        </w:rPr>
        <w:t xml:space="preserve"> would</w:t>
      </w:r>
      <w:r w:rsidRPr="009F24B0">
        <w:rPr>
          <w:snapToGrid w:val="0"/>
          <w:kern w:val="28"/>
          <w:sz w:val="22"/>
        </w:rPr>
        <w:t xml:space="preserve"> ultimately flow through to satellite and cable customers.</w:t>
      </w:r>
      <w:r>
        <w:rPr>
          <w:snapToGrid w:val="0"/>
          <w:kern w:val="28"/>
          <w:sz w:val="22"/>
          <w:vertAlign w:val="superscript"/>
        </w:rPr>
        <w:footnoteReference w:id="24"/>
      </w:r>
      <w:r w:rsidRPr="009F24B0">
        <w:rPr>
          <w:snapToGrid w:val="0"/>
          <w:kern w:val="28"/>
          <w:sz w:val="22"/>
        </w:rPr>
        <w:t xml:space="preserve">  </w:t>
      </w:r>
    </w:p>
    <w:p w:rsidR="003B0783" w:rsidRPr="009F24B0" w:rsidP="003B0783" w14:paraId="28232576" w14:textId="4904643F">
      <w:pPr>
        <w:spacing w:after="120"/>
        <w:ind w:firstLine="720"/>
        <w:rPr>
          <w:snapToGrid w:val="0"/>
          <w:kern w:val="28"/>
          <w:sz w:val="22"/>
        </w:rPr>
      </w:pPr>
      <w:r w:rsidRPr="009F24B0">
        <w:rPr>
          <w:snapToGrid w:val="0"/>
          <w:kern w:val="28"/>
          <w:sz w:val="22"/>
        </w:rPr>
        <w:t>DIRECTV and Business Forward assert that the Transaction</w:t>
      </w:r>
      <w:r w:rsidRPr="009F24B0" w:rsidR="0054112F">
        <w:rPr>
          <w:snapToGrid w:val="0"/>
          <w:kern w:val="28"/>
          <w:sz w:val="22"/>
        </w:rPr>
        <w:t>s</w:t>
      </w:r>
      <w:r w:rsidRPr="009F24B0">
        <w:rPr>
          <w:snapToGrid w:val="0"/>
          <w:kern w:val="28"/>
          <w:sz w:val="22"/>
        </w:rPr>
        <w:t xml:space="preserve"> will increase prices for local advertisers that rely on broadcast television spot advertisements.</w:t>
      </w:r>
      <w:r>
        <w:rPr>
          <w:snapToGrid w:val="0"/>
          <w:kern w:val="28"/>
          <w:sz w:val="22"/>
          <w:vertAlign w:val="superscript"/>
        </w:rPr>
        <w:footnoteReference w:id="25"/>
      </w:r>
      <w:r w:rsidRPr="009F24B0">
        <w:rPr>
          <w:snapToGrid w:val="0"/>
          <w:kern w:val="28"/>
          <w:sz w:val="22"/>
        </w:rPr>
        <w:t xml:space="preserve">  DIRECTV and the Cable Associations further argue that the Applicants’ claim that consolidation is necessary to support local news in the affected markets is speculative and not transaction-specific, and that Gray fails to offer firm commitments to increase local service.</w:t>
      </w:r>
      <w:r>
        <w:rPr>
          <w:snapToGrid w:val="0"/>
          <w:kern w:val="28"/>
          <w:sz w:val="22"/>
          <w:vertAlign w:val="superscript"/>
        </w:rPr>
        <w:footnoteReference w:id="26"/>
      </w:r>
      <w:r w:rsidRPr="009F24B0">
        <w:rPr>
          <w:snapToGrid w:val="0"/>
          <w:kern w:val="28"/>
          <w:sz w:val="22"/>
        </w:rPr>
        <w:t xml:space="preserve">  The AANHPI Coalition argues that the proposed acquisitions not only would </w:t>
      </w:r>
      <w:r w:rsidRPr="009F24B0">
        <w:rPr>
          <w:snapToGrid w:val="0"/>
          <w:kern w:val="28"/>
          <w:sz w:val="22"/>
        </w:rPr>
        <w:t>curtail competition, but also diminish localism as more stations fall under one owner’s programming model; shrink viewpoint diversity, leaving fewer independent editorial voices; and further marginalize minority communities in ownership, coverage, and visibility.</w:t>
      </w:r>
      <w:r>
        <w:rPr>
          <w:snapToGrid w:val="0"/>
          <w:kern w:val="28"/>
          <w:sz w:val="22"/>
          <w:vertAlign w:val="superscript"/>
        </w:rPr>
        <w:footnoteReference w:id="27"/>
      </w:r>
      <w:r w:rsidRPr="009F24B0">
        <w:rPr>
          <w:snapToGrid w:val="0"/>
          <w:kern w:val="28"/>
          <w:sz w:val="22"/>
        </w:rPr>
        <w:t xml:space="preserve">  The Civil Rights Coalition also raises concerns that such consolidation will reduce local news and increase duplication, and that the </w:t>
      </w:r>
      <w:r w:rsidRPr="009F24B0" w:rsidR="003A64FA">
        <w:rPr>
          <w:snapToGrid w:val="0"/>
          <w:kern w:val="28"/>
          <w:sz w:val="22"/>
        </w:rPr>
        <w:t>Applications</w:t>
      </w:r>
      <w:r w:rsidRPr="009F24B0">
        <w:rPr>
          <w:snapToGrid w:val="0"/>
          <w:kern w:val="28"/>
          <w:sz w:val="22"/>
        </w:rPr>
        <w:t xml:space="preserve"> fail to make an affirmative demonstration that the stations will serve the public interest, convenience, and necessity more broadly with regard to </w:t>
      </w:r>
      <w:r w:rsidRPr="009F24B0" w:rsidR="00780B46">
        <w:rPr>
          <w:snapToGrid w:val="0"/>
          <w:kern w:val="28"/>
          <w:sz w:val="22"/>
        </w:rPr>
        <w:t xml:space="preserve">their </w:t>
      </w:r>
      <w:r w:rsidRPr="009F24B0">
        <w:rPr>
          <w:snapToGrid w:val="0"/>
          <w:kern w:val="28"/>
          <w:sz w:val="22"/>
        </w:rPr>
        <w:t>anti-competitive effects, implications for localism, consequences for ownership and viewpoint diversity, and broader impact on consumers and communities.</w:t>
      </w:r>
      <w:r>
        <w:rPr>
          <w:snapToGrid w:val="0"/>
          <w:kern w:val="28"/>
          <w:sz w:val="22"/>
          <w:vertAlign w:val="superscript"/>
        </w:rPr>
        <w:footnoteReference w:id="28"/>
      </w:r>
    </w:p>
    <w:p w:rsidR="003B0783" w:rsidRPr="009F24B0" w:rsidP="003B0783" w14:paraId="6760E566" w14:textId="7F080D8F">
      <w:pPr>
        <w:spacing w:after="120"/>
        <w:ind w:firstLine="720"/>
        <w:rPr>
          <w:snapToGrid w:val="0"/>
          <w:kern w:val="28"/>
          <w:sz w:val="22"/>
        </w:rPr>
      </w:pPr>
      <w:r w:rsidRPr="009F24B0">
        <w:rPr>
          <w:snapToGrid w:val="0"/>
          <w:kern w:val="28"/>
          <w:sz w:val="22"/>
        </w:rPr>
        <w:t>In their Opposition, the Applicants claim that none of the Objectors have standing, asserting that DIRECTV’s claim to injury is speculative, and that the Objectors fail to make even a cursory effort to demonstrate how the Transaction</w:t>
      </w:r>
      <w:r w:rsidRPr="009F24B0" w:rsidR="00B8380B">
        <w:rPr>
          <w:snapToGrid w:val="0"/>
          <w:kern w:val="28"/>
          <w:sz w:val="22"/>
        </w:rPr>
        <w:t>s</w:t>
      </w:r>
      <w:r w:rsidRPr="009F24B0">
        <w:rPr>
          <w:snapToGrid w:val="0"/>
          <w:kern w:val="28"/>
          <w:sz w:val="22"/>
        </w:rPr>
        <w:t xml:space="preserve"> would cause a direct injury.</w:t>
      </w:r>
      <w:r>
        <w:rPr>
          <w:snapToGrid w:val="0"/>
          <w:kern w:val="28"/>
          <w:sz w:val="22"/>
          <w:vertAlign w:val="superscript"/>
        </w:rPr>
        <w:footnoteReference w:id="29"/>
      </w:r>
      <w:r w:rsidRPr="009F24B0">
        <w:rPr>
          <w:snapToGrid w:val="0"/>
          <w:kern w:val="28"/>
          <w:sz w:val="22"/>
        </w:rPr>
        <w:t xml:space="preserve">  The Applicants argue that the Commission should find good cause to waive the Local Television Ownership Rule, and that they have demonstrated that it is in the public interest to do so based on the unique characteristics of the markets and stations at issue.</w:t>
      </w:r>
      <w:r>
        <w:rPr>
          <w:snapToGrid w:val="0"/>
          <w:kern w:val="28"/>
          <w:sz w:val="22"/>
          <w:vertAlign w:val="superscript"/>
        </w:rPr>
        <w:footnoteReference w:id="30"/>
      </w:r>
      <w:r w:rsidRPr="009F24B0">
        <w:rPr>
          <w:snapToGrid w:val="0"/>
          <w:kern w:val="28"/>
          <w:sz w:val="22"/>
        </w:rPr>
        <w:t xml:space="preserve">  The Applicants reiterate the arguments made in their Applications that the Transaction</w:t>
      </w:r>
      <w:r w:rsidRPr="009F24B0" w:rsidR="00B8380B">
        <w:rPr>
          <w:snapToGrid w:val="0"/>
          <w:kern w:val="28"/>
          <w:sz w:val="22"/>
        </w:rPr>
        <w:t>s</w:t>
      </w:r>
      <w:r w:rsidRPr="009F24B0">
        <w:rPr>
          <w:snapToGrid w:val="0"/>
          <w:kern w:val="28"/>
          <w:sz w:val="22"/>
        </w:rPr>
        <w:t xml:space="preserve"> will produce significant public interest benefits, including the generation of “synergies that can be used to invest in the quality and quantity of locally produced content in the communities where the Applicants operate.”</w:t>
      </w:r>
      <w:r>
        <w:rPr>
          <w:snapToGrid w:val="0"/>
          <w:kern w:val="28"/>
          <w:sz w:val="22"/>
          <w:vertAlign w:val="superscript"/>
        </w:rPr>
        <w:footnoteReference w:id="31"/>
      </w:r>
      <w:r w:rsidRPr="009F24B0">
        <w:rPr>
          <w:snapToGrid w:val="0"/>
          <w:kern w:val="28"/>
          <w:sz w:val="22"/>
        </w:rPr>
        <w:t xml:space="preserve">  The Applicants ask that the Commission again dismiss the claim that retransmission consent outcomes form any basis for denying or delaying broadcast transactions,</w:t>
      </w:r>
      <w:r>
        <w:rPr>
          <w:snapToGrid w:val="0"/>
          <w:kern w:val="28"/>
          <w:sz w:val="22"/>
          <w:vertAlign w:val="superscript"/>
        </w:rPr>
        <w:footnoteReference w:id="32"/>
      </w:r>
      <w:r w:rsidRPr="009F24B0">
        <w:rPr>
          <w:snapToGrid w:val="0"/>
          <w:kern w:val="28"/>
          <w:sz w:val="22"/>
        </w:rPr>
        <w:t xml:space="preserve"> and contend that DIRECTV’s arguments regarding the effect of the Transaction</w:t>
      </w:r>
      <w:r w:rsidRPr="009F24B0" w:rsidR="003D5455">
        <w:rPr>
          <w:snapToGrid w:val="0"/>
          <w:kern w:val="28"/>
          <w:sz w:val="22"/>
        </w:rPr>
        <w:t>s</w:t>
      </w:r>
      <w:r w:rsidRPr="009F24B0">
        <w:rPr>
          <w:snapToGrid w:val="0"/>
          <w:kern w:val="28"/>
          <w:sz w:val="22"/>
        </w:rPr>
        <w:t xml:space="preserve"> on spot advertising rates are generalized, speculative, and improper in the context of this adjudicatory proceeding.</w:t>
      </w:r>
      <w:r>
        <w:rPr>
          <w:snapToGrid w:val="0"/>
          <w:kern w:val="28"/>
          <w:sz w:val="22"/>
          <w:vertAlign w:val="superscript"/>
        </w:rPr>
        <w:footnoteReference w:id="33"/>
      </w:r>
    </w:p>
    <w:p w:rsidR="000B48AF" w:rsidRPr="009F24B0" w:rsidP="000F78BF" w14:paraId="0D6794F7" w14:textId="263198FF">
      <w:pPr>
        <w:spacing w:after="120"/>
        <w:ind w:firstLine="720"/>
        <w:rPr>
          <w:snapToGrid w:val="0"/>
          <w:kern w:val="28"/>
          <w:sz w:val="22"/>
        </w:rPr>
      </w:pPr>
      <w:r w:rsidRPr="009F24B0">
        <w:rPr>
          <w:snapToGrid w:val="0"/>
          <w:kern w:val="28"/>
          <w:sz w:val="22"/>
        </w:rPr>
        <w:t>With regard to the SagamoreHill Applications before us, DIRECTV argues that the SagamoreHill Applicants</w:t>
      </w:r>
      <w:r w:rsidRPr="009F24B0" w:rsidR="00EA173E">
        <w:rPr>
          <w:snapToGrid w:val="0"/>
          <w:kern w:val="28"/>
          <w:sz w:val="22"/>
        </w:rPr>
        <w:t>’</w:t>
      </w:r>
      <w:r w:rsidRPr="009F24B0">
        <w:rPr>
          <w:snapToGrid w:val="0"/>
          <w:kern w:val="28"/>
          <w:sz w:val="22"/>
        </w:rPr>
        <w:t xml:space="preserve"> showings with regard to asserted benefits are “woefully insufficient.”</w:t>
      </w:r>
      <w:r>
        <w:rPr>
          <w:rStyle w:val="FootnoteReference"/>
          <w:snapToGrid w:val="0"/>
          <w:kern w:val="28"/>
        </w:rPr>
        <w:footnoteReference w:id="34"/>
      </w:r>
      <w:r w:rsidRPr="009F24B0">
        <w:rPr>
          <w:snapToGrid w:val="0"/>
          <w:kern w:val="28"/>
          <w:sz w:val="22"/>
        </w:rPr>
        <w:t xml:space="preserve">  DIRECTV </w:t>
      </w:r>
      <w:r w:rsidRPr="009F24B0" w:rsidR="00FB6F51">
        <w:rPr>
          <w:snapToGrid w:val="0"/>
          <w:kern w:val="28"/>
          <w:sz w:val="22"/>
        </w:rPr>
        <w:t>questions</w:t>
      </w:r>
      <w:r w:rsidRPr="009F24B0">
        <w:rPr>
          <w:snapToGrid w:val="0"/>
          <w:kern w:val="28"/>
          <w:sz w:val="22"/>
        </w:rPr>
        <w:t xml:space="preserve"> the SagamoreHill Applicants’ claims that the transfers of the Lubbock</w:t>
      </w:r>
      <w:r w:rsidRPr="009F24B0" w:rsidR="002B4795">
        <w:rPr>
          <w:snapToGrid w:val="0"/>
          <w:kern w:val="28"/>
          <w:sz w:val="22"/>
        </w:rPr>
        <w:t xml:space="preserve">, </w:t>
      </w:r>
      <w:r w:rsidRPr="009F24B0" w:rsidR="00E47CE4">
        <w:rPr>
          <w:snapToGrid w:val="0"/>
          <w:kern w:val="28"/>
          <w:sz w:val="22"/>
        </w:rPr>
        <w:t xml:space="preserve">TX </w:t>
      </w:r>
      <w:r w:rsidRPr="009F24B0">
        <w:rPr>
          <w:snapToGrid w:val="0"/>
          <w:kern w:val="28"/>
          <w:sz w:val="22"/>
        </w:rPr>
        <w:t xml:space="preserve">and </w:t>
      </w:r>
      <w:r w:rsidRPr="009F24B0" w:rsidR="004D56B3">
        <w:rPr>
          <w:snapToGrid w:val="0"/>
          <w:kern w:val="28"/>
          <w:sz w:val="22"/>
        </w:rPr>
        <w:t xml:space="preserve">Columbus, GA-Opelika, AL </w:t>
      </w:r>
      <w:r w:rsidRPr="009F24B0">
        <w:rPr>
          <w:snapToGrid w:val="0"/>
          <w:kern w:val="28"/>
          <w:sz w:val="22"/>
        </w:rPr>
        <w:t xml:space="preserve">stations will create </w:t>
      </w:r>
      <w:r w:rsidRPr="009F24B0" w:rsidR="00931FE0">
        <w:rPr>
          <w:snapToGrid w:val="0"/>
          <w:kern w:val="28"/>
          <w:sz w:val="22"/>
        </w:rPr>
        <w:t>“</w:t>
      </w:r>
      <w:r w:rsidRPr="009F24B0">
        <w:rPr>
          <w:snapToGrid w:val="0"/>
          <w:kern w:val="28"/>
          <w:sz w:val="22"/>
        </w:rPr>
        <w:t>synergies</w:t>
      </w:r>
      <w:r w:rsidRPr="009F24B0" w:rsidR="00931FE0">
        <w:rPr>
          <w:snapToGrid w:val="0"/>
          <w:kern w:val="28"/>
          <w:sz w:val="22"/>
        </w:rPr>
        <w:t>.”</w:t>
      </w:r>
      <w:r>
        <w:rPr>
          <w:rStyle w:val="FootnoteReference"/>
          <w:snapToGrid w:val="0"/>
          <w:kern w:val="28"/>
        </w:rPr>
        <w:footnoteReference w:id="35"/>
      </w:r>
      <w:r w:rsidRPr="009F24B0" w:rsidR="00931FE0">
        <w:rPr>
          <w:snapToGrid w:val="0"/>
          <w:kern w:val="28"/>
          <w:sz w:val="22"/>
        </w:rPr>
        <w:t xml:space="preserve">  </w:t>
      </w:r>
      <w:r w:rsidRPr="009F24B0" w:rsidR="0088593D">
        <w:rPr>
          <w:snapToGrid w:val="0"/>
          <w:kern w:val="28"/>
          <w:sz w:val="22"/>
        </w:rPr>
        <w:t>DIRECTV asserts that the</w:t>
      </w:r>
      <w:r w:rsidRPr="009F24B0" w:rsidR="008B7918">
        <w:rPr>
          <w:snapToGrid w:val="0"/>
          <w:kern w:val="28"/>
          <w:sz w:val="22"/>
        </w:rPr>
        <w:t xml:space="preserve"> SagamoreHill</w:t>
      </w:r>
      <w:r w:rsidRPr="009F24B0" w:rsidR="0088593D">
        <w:rPr>
          <w:snapToGrid w:val="0"/>
          <w:kern w:val="28"/>
          <w:sz w:val="22"/>
        </w:rPr>
        <w:t xml:space="preserve"> Applicants “speculate” that Gray will</w:t>
      </w:r>
      <w:r w:rsidRPr="009F24B0" w:rsidR="00674CA7">
        <w:rPr>
          <w:snapToGrid w:val="0"/>
          <w:kern w:val="28"/>
          <w:sz w:val="22"/>
        </w:rPr>
        <w:t>, among other “asserted benefits,”</w:t>
      </w:r>
      <w:r w:rsidRPr="009F24B0" w:rsidR="0088593D">
        <w:rPr>
          <w:snapToGrid w:val="0"/>
          <w:kern w:val="28"/>
          <w:sz w:val="22"/>
        </w:rPr>
        <w:t xml:space="preserve"> look to increase local news and entertainment programming</w:t>
      </w:r>
      <w:r w:rsidRPr="009F24B0" w:rsidR="00AA0BAA">
        <w:rPr>
          <w:snapToGrid w:val="0"/>
          <w:kern w:val="28"/>
          <w:sz w:val="22"/>
        </w:rPr>
        <w:t>, without describing any “specific, measurable, or verifiable plans.”</w:t>
      </w:r>
      <w:r>
        <w:rPr>
          <w:rStyle w:val="FootnoteReference"/>
          <w:snapToGrid w:val="0"/>
          <w:kern w:val="28"/>
        </w:rPr>
        <w:footnoteReference w:id="36"/>
      </w:r>
      <w:r w:rsidRPr="009F24B0">
        <w:rPr>
          <w:snapToGrid w:val="0"/>
          <w:kern w:val="28"/>
          <w:sz w:val="22"/>
        </w:rPr>
        <w:t xml:space="preserve">  It also asserts that the SagamoreHill Applicants’ statement that Gray hopes to </w:t>
      </w:r>
      <w:r w:rsidRPr="009F24B0" w:rsidR="00B7673A">
        <w:rPr>
          <w:snapToGrid w:val="0"/>
          <w:kern w:val="28"/>
          <w:sz w:val="22"/>
        </w:rPr>
        <w:t>“</w:t>
      </w:r>
      <w:r w:rsidRPr="009F24B0">
        <w:rPr>
          <w:snapToGrid w:val="0"/>
          <w:kern w:val="28"/>
          <w:sz w:val="22"/>
        </w:rPr>
        <w:t>increase local news</w:t>
      </w:r>
      <w:r w:rsidRPr="009F24B0" w:rsidR="00B7673A">
        <w:rPr>
          <w:snapToGrid w:val="0"/>
          <w:kern w:val="28"/>
          <w:sz w:val="22"/>
        </w:rPr>
        <w:t>”</w:t>
      </w:r>
      <w:r w:rsidRPr="009F24B0">
        <w:rPr>
          <w:snapToGrid w:val="0"/>
          <w:kern w:val="28"/>
          <w:sz w:val="22"/>
        </w:rPr>
        <w:t xml:space="preserve"> for each station is questionable, because Gray already provides </w:t>
      </w:r>
      <w:r w:rsidRPr="009F24B0" w:rsidR="00DE3E2F">
        <w:rPr>
          <w:snapToGrid w:val="0"/>
          <w:kern w:val="28"/>
          <w:sz w:val="22"/>
        </w:rPr>
        <w:t>“</w:t>
      </w:r>
      <w:r w:rsidRPr="009F24B0">
        <w:rPr>
          <w:snapToGrid w:val="0"/>
          <w:kern w:val="28"/>
          <w:sz w:val="22"/>
        </w:rPr>
        <w:t>news and other services</w:t>
      </w:r>
      <w:r w:rsidRPr="009F24B0" w:rsidR="00DE3E2F">
        <w:rPr>
          <w:snapToGrid w:val="0"/>
          <w:kern w:val="28"/>
          <w:sz w:val="22"/>
        </w:rPr>
        <w:t>”</w:t>
      </w:r>
      <w:r w:rsidRPr="009F24B0">
        <w:rPr>
          <w:snapToGrid w:val="0"/>
          <w:kern w:val="28"/>
          <w:sz w:val="22"/>
        </w:rPr>
        <w:t xml:space="preserve"> to both stations pursuant to shared </w:t>
      </w:r>
      <w:r w:rsidRPr="009F24B0">
        <w:rPr>
          <w:snapToGrid w:val="0"/>
          <w:kern w:val="28"/>
          <w:sz w:val="22"/>
        </w:rPr>
        <w:t>services arrangements and any</w:t>
      </w:r>
      <w:r w:rsidRPr="009F24B0" w:rsidR="000944EB">
        <w:rPr>
          <w:snapToGrid w:val="0"/>
          <w:kern w:val="28"/>
          <w:sz w:val="22"/>
        </w:rPr>
        <w:t xml:space="preserve"> such</w:t>
      </w:r>
      <w:r w:rsidRPr="009F24B0">
        <w:rPr>
          <w:snapToGrid w:val="0"/>
          <w:kern w:val="28"/>
          <w:sz w:val="22"/>
        </w:rPr>
        <w:t xml:space="preserve"> synergies </w:t>
      </w:r>
      <w:r w:rsidRPr="009F24B0" w:rsidR="000944EB">
        <w:rPr>
          <w:snapToGrid w:val="0"/>
          <w:kern w:val="28"/>
          <w:sz w:val="22"/>
        </w:rPr>
        <w:t xml:space="preserve">“should already be realized </w:t>
      </w:r>
      <w:r w:rsidRPr="009F24B0">
        <w:rPr>
          <w:snapToGrid w:val="0"/>
          <w:kern w:val="28"/>
          <w:sz w:val="22"/>
        </w:rPr>
        <w:t>through the current partnerships.</w:t>
      </w:r>
      <w:r w:rsidRPr="009F24B0" w:rsidR="000944EB">
        <w:rPr>
          <w:snapToGrid w:val="0"/>
          <w:kern w:val="28"/>
          <w:sz w:val="22"/>
        </w:rPr>
        <w:t>”</w:t>
      </w:r>
      <w:r>
        <w:rPr>
          <w:rStyle w:val="FootnoteReference"/>
          <w:snapToGrid w:val="0"/>
          <w:kern w:val="28"/>
        </w:rPr>
        <w:footnoteReference w:id="37"/>
      </w:r>
    </w:p>
    <w:p w:rsidR="003B0783" w:rsidRPr="009F24B0" w:rsidP="003B0783" w14:paraId="0B4D697A" w14:textId="2200DB0B">
      <w:pPr>
        <w:spacing w:after="120"/>
        <w:ind w:firstLine="720"/>
        <w:rPr>
          <w:snapToGrid w:val="0"/>
          <w:kern w:val="28"/>
          <w:sz w:val="22"/>
        </w:rPr>
      </w:pPr>
      <w:r w:rsidRPr="009F24B0">
        <w:rPr>
          <w:snapToGrid w:val="0"/>
          <w:kern w:val="28"/>
          <w:sz w:val="22"/>
        </w:rPr>
        <w:t>In an informal objection filed months after the record in this proceeding closed, Newsmax reiterates the arguments that the Transaction</w:t>
      </w:r>
      <w:r w:rsidRPr="009F24B0" w:rsidR="003D5455">
        <w:rPr>
          <w:snapToGrid w:val="0"/>
          <w:kern w:val="28"/>
          <w:sz w:val="22"/>
        </w:rPr>
        <w:t>s</w:t>
      </w:r>
      <w:r w:rsidRPr="009F24B0">
        <w:rPr>
          <w:snapToGrid w:val="0"/>
          <w:kern w:val="28"/>
          <w:sz w:val="22"/>
        </w:rPr>
        <w:t xml:space="preserve"> would weaken competition for local news and raise costs for consumers, and also claims that the Bureau lacks authority to approve Top-Four combinations.</w:t>
      </w:r>
      <w:r>
        <w:rPr>
          <w:snapToGrid w:val="0"/>
          <w:kern w:val="28"/>
          <w:sz w:val="22"/>
          <w:vertAlign w:val="superscript"/>
        </w:rPr>
        <w:footnoteReference w:id="38"/>
      </w:r>
      <w:r w:rsidRPr="009F24B0">
        <w:rPr>
          <w:snapToGrid w:val="0"/>
          <w:kern w:val="28"/>
          <w:sz w:val="22"/>
        </w:rPr>
        <w:t xml:space="preserve">  Gray filed a response asserting that the Newsmax Objection warrants no further comment, because it raises no fact or argument that has not been fully addressed in this proceeding previously, other than to attack a media merger that does not involve the Applicants.</w:t>
      </w:r>
      <w:r>
        <w:rPr>
          <w:snapToGrid w:val="0"/>
          <w:kern w:val="28"/>
          <w:sz w:val="22"/>
          <w:vertAlign w:val="superscript"/>
        </w:rPr>
        <w:footnoteReference w:id="39"/>
      </w:r>
    </w:p>
    <w:p w:rsidR="00B24954" w:rsidRPr="009F24B0" w:rsidP="00B24954" w14:paraId="05EBAE5D" w14:textId="245D7123">
      <w:pPr>
        <w:spacing w:after="120"/>
        <w:ind w:firstLine="720"/>
        <w:rPr>
          <w:snapToGrid w:val="0"/>
          <w:kern w:val="28"/>
          <w:sz w:val="22"/>
        </w:rPr>
      </w:pPr>
      <w:r w:rsidRPr="009F24B0">
        <w:rPr>
          <w:snapToGrid w:val="0"/>
          <w:kern w:val="28"/>
          <w:sz w:val="22"/>
          <w:u w:val="single"/>
        </w:rPr>
        <w:t>Standing</w:t>
      </w:r>
      <w:r w:rsidRPr="009F24B0">
        <w:rPr>
          <w:snapToGrid w:val="0"/>
          <w:kern w:val="28"/>
          <w:sz w:val="22"/>
        </w:rPr>
        <w:t>.  Under the Act, only a “party in interest” has standing to file a petition to deny.</w:t>
      </w:r>
      <w:r>
        <w:rPr>
          <w:snapToGrid w:val="0"/>
          <w:kern w:val="28"/>
          <w:sz w:val="22"/>
          <w:vertAlign w:val="superscript"/>
        </w:rPr>
        <w:footnoteReference w:id="40"/>
      </w:r>
      <w:r w:rsidRPr="009F24B0">
        <w:rPr>
          <w:snapToGrid w:val="0"/>
          <w:kern w:val="28"/>
          <w:sz w:val="22"/>
        </w:rPr>
        <w:t xml:space="preserve">  In addition to containing the necessary factual allegations to support a </w:t>
      </w:r>
      <w:r w:rsidRPr="009F24B0">
        <w:rPr>
          <w:i/>
          <w:iCs/>
          <w:snapToGrid w:val="0"/>
          <w:kern w:val="28"/>
          <w:sz w:val="22"/>
        </w:rPr>
        <w:t xml:space="preserve">prima facie </w:t>
      </w:r>
      <w:r w:rsidRPr="009F24B0">
        <w:rPr>
          <w:snapToGrid w:val="0"/>
          <w:kern w:val="28"/>
          <w:sz w:val="22"/>
        </w:rPr>
        <w:t>case that grant of the application would be inconsistent with the public interest, convenience, and necessity, a petition to deny must contain specific allegations of fact demonstrating that the petitioner is a party in interest.</w:t>
      </w:r>
      <w:r>
        <w:rPr>
          <w:snapToGrid w:val="0"/>
          <w:kern w:val="28"/>
          <w:sz w:val="22"/>
          <w:vertAlign w:val="superscript"/>
        </w:rPr>
        <w:footnoteReference w:id="41"/>
      </w:r>
      <w:r w:rsidRPr="009F24B0">
        <w:rPr>
          <w:snapToGrid w:val="0"/>
          <w:kern w:val="28"/>
          <w:sz w:val="22"/>
        </w:rPr>
        <w:t xml:space="preserve">  The allegations of fact, except for those of which official notice may be taken, must be supported by an affidavit or declaration under penalty of perjury of someone with personal knowledge of the facts alleged.</w:t>
      </w:r>
      <w:r>
        <w:rPr>
          <w:snapToGrid w:val="0"/>
          <w:kern w:val="28"/>
          <w:sz w:val="22"/>
          <w:vertAlign w:val="superscript"/>
        </w:rPr>
        <w:footnoteReference w:id="42"/>
      </w:r>
      <w:r w:rsidRPr="009F24B0">
        <w:rPr>
          <w:snapToGrid w:val="0"/>
          <w:kern w:val="28"/>
          <w:sz w:val="22"/>
        </w:rPr>
        <w:t xml:space="preserve">  In the broadcast regulatory context, standing is generally shown in one of three ways: (1) as a competitor in the market subject to signal interference; (2) as a competitor in the market subject to economic harm; or (3) as a resident of the station’s service area or regular listener or viewer of the station.</w:t>
      </w:r>
      <w:r>
        <w:rPr>
          <w:snapToGrid w:val="0"/>
          <w:kern w:val="28"/>
          <w:sz w:val="22"/>
          <w:vertAlign w:val="superscript"/>
        </w:rPr>
        <w:footnoteReference w:id="43"/>
      </w:r>
      <w:r w:rsidRPr="009F24B0">
        <w:rPr>
          <w:snapToGrid w:val="0"/>
          <w:kern w:val="28"/>
          <w:sz w:val="22"/>
        </w:rPr>
        <w:t xml:space="preserve">  An organization can establish standing on behalf of its members if it provides an affidavit or declaration “of one or more individuals entitled to standing indicating that the group represents local residents and that the petition is filed on their behalf.”</w:t>
      </w:r>
      <w:r>
        <w:rPr>
          <w:snapToGrid w:val="0"/>
          <w:kern w:val="28"/>
          <w:sz w:val="22"/>
          <w:vertAlign w:val="superscript"/>
        </w:rPr>
        <w:footnoteReference w:id="44"/>
      </w:r>
      <w:r w:rsidRPr="009F24B0">
        <w:rPr>
          <w:snapToGrid w:val="0"/>
          <w:kern w:val="28"/>
          <w:sz w:val="22"/>
        </w:rPr>
        <w:t xml:space="preserve">  In general, a petitioner in a</w:t>
      </w:r>
      <w:r w:rsidRPr="009F24B0" w:rsidR="001220D4">
        <w:rPr>
          <w:snapToGrid w:val="0"/>
          <w:kern w:val="28"/>
          <w:sz w:val="22"/>
        </w:rPr>
        <w:t>n assignment or</w:t>
      </w:r>
      <w:r w:rsidRPr="009F24B0">
        <w:rPr>
          <w:snapToGrid w:val="0"/>
          <w:kern w:val="28"/>
          <w:sz w:val="22"/>
        </w:rPr>
        <w:t xml:space="preserve"> transfer proceeding also must allege and prove that: (1) it has suffered or will suffer an injury in fact; (2) there is a causal link between the proposed transfer and the injury in fact; and (3) not granting the </w:t>
      </w:r>
      <w:r w:rsidRPr="009F24B0" w:rsidR="0058220C">
        <w:rPr>
          <w:snapToGrid w:val="0"/>
          <w:kern w:val="28"/>
          <w:sz w:val="22"/>
        </w:rPr>
        <w:t xml:space="preserve">assignment or </w:t>
      </w:r>
      <w:r w:rsidRPr="009F24B0">
        <w:rPr>
          <w:snapToGrid w:val="0"/>
          <w:kern w:val="28"/>
          <w:sz w:val="22"/>
        </w:rPr>
        <w:t>transfer would remedy or prevent the injury in fact.</w:t>
      </w:r>
      <w:r>
        <w:rPr>
          <w:snapToGrid w:val="0"/>
          <w:kern w:val="28"/>
          <w:sz w:val="22"/>
          <w:vertAlign w:val="superscript"/>
        </w:rPr>
        <w:footnoteReference w:id="45"/>
      </w:r>
      <w:r w:rsidRPr="009F24B0">
        <w:rPr>
          <w:snapToGrid w:val="0"/>
          <w:kern w:val="28"/>
          <w:sz w:val="22"/>
        </w:rPr>
        <w:t xml:space="preserve">  Consistent with Commission </w:t>
      </w:r>
      <w:r w:rsidRPr="009F24B0">
        <w:rPr>
          <w:snapToGrid w:val="0"/>
          <w:kern w:val="28"/>
          <w:sz w:val="22"/>
        </w:rPr>
        <w:t>practice, to the extent that we find standing has not been established, we will treat such pleading as an informal objection and address the arguments raised.</w:t>
      </w:r>
      <w:r>
        <w:rPr>
          <w:snapToGrid w:val="0"/>
          <w:kern w:val="28"/>
          <w:sz w:val="22"/>
          <w:vertAlign w:val="superscript"/>
        </w:rPr>
        <w:footnoteReference w:id="46"/>
      </w:r>
    </w:p>
    <w:p w:rsidR="00B24954" w:rsidRPr="009F24B0" w:rsidP="00B24954" w14:paraId="3D8CD477" w14:textId="61A66E11">
      <w:pPr>
        <w:spacing w:after="120"/>
        <w:ind w:firstLine="720"/>
        <w:rPr>
          <w:snapToGrid w:val="0"/>
          <w:kern w:val="28"/>
          <w:sz w:val="22"/>
        </w:rPr>
      </w:pPr>
      <w:r w:rsidRPr="009F24B0">
        <w:rPr>
          <w:snapToGrid w:val="0"/>
          <w:kern w:val="28"/>
          <w:sz w:val="22"/>
        </w:rPr>
        <w:t>Consistent with Commission precedent, we determine that DIRECTV’s claims that the Transaction</w:t>
      </w:r>
      <w:r w:rsidRPr="009F24B0" w:rsidR="00780B46">
        <w:rPr>
          <w:snapToGrid w:val="0"/>
          <w:kern w:val="28"/>
          <w:sz w:val="22"/>
        </w:rPr>
        <w:t>s</w:t>
      </w:r>
      <w:r w:rsidRPr="009F24B0">
        <w:rPr>
          <w:snapToGrid w:val="0"/>
          <w:kern w:val="28"/>
          <w:sz w:val="22"/>
        </w:rPr>
        <w:t xml:space="preserve"> will have specific, negative effects on it, specifically related to retransmission consent fee negotiations, and that those harms can be cured by dismissal or denial of the applications underlying the Transaction</w:t>
      </w:r>
      <w:r w:rsidRPr="009F24B0" w:rsidR="00780B46">
        <w:rPr>
          <w:snapToGrid w:val="0"/>
          <w:kern w:val="28"/>
          <w:sz w:val="22"/>
        </w:rPr>
        <w:t>s</w:t>
      </w:r>
      <w:r w:rsidRPr="009F24B0">
        <w:rPr>
          <w:snapToGrid w:val="0"/>
          <w:kern w:val="28"/>
          <w:sz w:val="22"/>
        </w:rPr>
        <w:t>, are sufficient to establish standing with regard to the Applications.</w:t>
      </w:r>
      <w:r>
        <w:rPr>
          <w:snapToGrid w:val="0"/>
          <w:kern w:val="28"/>
          <w:sz w:val="22"/>
          <w:vertAlign w:val="superscript"/>
        </w:rPr>
        <w:footnoteReference w:id="47"/>
      </w:r>
      <w:r w:rsidRPr="009F24B0">
        <w:rPr>
          <w:snapToGrid w:val="0"/>
          <w:kern w:val="28"/>
          <w:sz w:val="22"/>
        </w:rPr>
        <w:t xml:space="preserve">  Accordingly, we find that DIRECTV qualifies as a party-in-interest in this proceeding.</w:t>
      </w:r>
    </w:p>
    <w:p w:rsidR="0030163B" w:rsidRPr="009F24B0" w:rsidP="00B24954" w14:paraId="57E80DB4" w14:textId="5F7BF999">
      <w:pPr>
        <w:spacing w:after="120"/>
        <w:ind w:firstLine="720"/>
        <w:rPr>
          <w:snapToGrid w:val="0"/>
          <w:kern w:val="28"/>
          <w:sz w:val="22"/>
        </w:rPr>
      </w:pPr>
      <w:r w:rsidRPr="009F24B0">
        <w:rPr>
          <w:snapToGrid w:val="0"/>
          <w:kern w:val="28"/>
          <w:sz w:val="22"/>
        </w:rPr>
        <w:t xml:space="preserve">The Objectors all submitted their pleadings as comments, without any attached affidavits, and </w:t>
      </w:r>
      <w:r w:rsidRPr="009F24B0">
        <w:rPr>
          <w:snapToGrid w:val="0"/>
          <w:kern w:val="28"/>
          <w:sz w:val="22"/>
        </w:rPr>
        <w:t>do</w:t>
      </w:r>
      <w:r w:rsidRPr="009F24B0">
        <w:rPr>
          <w:snapToGrid w:val="0"/>
          <w:kern w:val="28"/>
          <w:sz w:val="22"/>
        </w:rPr>
        <w:t xml:space="preserve"> not seek standing. </w:t>
      </w:r>
      <w:r w:rsidRPr="009F24B0" w:rsidR="00780B46">
        <w:rPr>
          <w:snapToGrid w:val="0"/>
          <w:kern w:val="28"/>
          <w:sz w:val="22"/>
        </w:rPr>
        <w:t xml:space="preserve"> </w:t>
      </w:r>
      <w:r w:rsidRPr="009F24B0">
        <w:rPr>
          <w:snapToGrid w:val="0"/>
          <w:kern w:val="28"/>
          <w:sz w:val="22"/>
        </w:rPr>
        <w:t>Consistent with Commission practice, however, we will consider these pleadings as informal objections, pursuant to section 73.3587 of the Commission’s rules,</w:t>
      </w:r>
      <w:r>
        <w:rPr>
          <w:rStyle w:val="FootnoteReference"/>
          <w:snapToGrid w:val="0"/>
          <w:kern w:val="28"/>
        </w:rPr>
        <w:footnoteReference w:id="48"/>
      </w:r>
      <w:r w:rsidRPr="009F24B0">
        <w:rPr>
          <w:snapToGrid w:val="0"/>
          <w:kern w:val="28"/>
          <w:sz w:val="22"/>
        </w:rPr>
        <w:t xml:space="preserve"> and address their arguments.</w:t>
      </w:r>
    </w:p>
    <w:p w:rsidR="00630DB6" w:rsidRPr="009F24B0" w:rsidP="000F78BF" w14:paraId="63F3D75C" w14:textId="760C0162">
      <w:pPr>
        <w:spacing w:after="120"/>
        <w:ind w:firstLine="720"/>
        <w:rPr>
          <w:snapToGrid w:val="0"/>
          <w:kern w:val="28"/>
          <w:sz w:val="22"/>
        </w:rPr>
      </w:pPr>
      <w:r w:rsidRPr="009F24B0">
        <w:rPr>
          <w:snapToGrid w:val="0"/>
          <w:kern w:val="28"/>
          <w:sz w:val="22"/>
          <w:u w:val="single"/>
        </w:rPr>
        <w:t>Discussion</w:t>
      </w:r>
      <w:r w:rsidRPr="009F24B0">
        <w:rPr>
          <w:snapToGrid w:val="0"/>
          <w:kern w:val="28"/>
          <w:sz w:val="22"/>
        </w:rPr>
        <w:t xml:space="preserve">.  </w:t>
      </w:r>
      <w:r w:rsidRPr="009F24B0" w:rsidR="00A16998">
        <w:rPr>
          <w:snapToGrid w:val="0"/>
          <w:kern w:val="28"/>
          <w:sz w:val="22"/>
        </w:rPr>
        <w:t>Section 310(d) of the Act provides that no station license shall be transferred or assigned except upon application to the Commission and upon a finding by the Commission “that the public interest, convenience, and necessity will be served thereby.”</w:t>
      </w:r>
      <w:r>
        <w:rPr>
          <w:snapToGrid w:val="0"/>
          <w:kern w:val="28"/>
          <w:sz w:val="22"/>
          <w:vertAlign w:val="superscript"/>
        </w:rPr>
        <w:footnoteReference w:id="49"/>
      </w:r>
      <w:r w:rsidRPr="009F24B0" w:rsidR="00A16998">
        <w:rPr>
          <w:snapToGrid w:val="0"/>
          <w:kern w:val="28"/>
          <w:sz w:val="22"/>
        </w:rPr>
        <w:t xml:space="preserve">  In making this determination, we first assess whether the proposed transaction complies with the specific provisions of the Act, other applicable statutes, and the Commission’s rules.</w:t>
      </w:r>
      <w:r>
        <w:rPr>
          <w:snapToGrid w:val="0"/>
          <w:kern w:val="28"/>
          <w:sz w:val="22"/>
          <w:vertAlign w:val="superscript"/>
        </w:rPr>
        <w:footnoteReference w:id="50"/>
      </w:r>
      <w:r w:rsidRPr="009F24B0" w:rsidR="00A16998">
        <w:rPr>
          <w:snapToGrid w:val="0"/>
          <w:kern w:val="28"/>
          <w:sz w:val="22"/>
        </w:rPr>
        <w:t xml:space="preserve">  If the proposed transaction does not violate a statute or rule, we then consider whether the transaction could result in public interest harms by substantially frustrating or impairing the objectives or implementation of the Act or related statutes.</w:t>
      </w:r>
      <w:r>
        <w:rPr>
          <w:snapToGrid w:val="0"/>
          <w:kern w:val="28"/>
          <w:sz w:val="22"/>
          <w:vertAlign w:val="superscript"/>
        </w:rPr>
        <w:footnoteReference w:id="51"/>
      </w:r>
      <w:r w:rsidRPr="009F24B0" w:rsidR="00A16998">
        <w:rPr>
          <w:snapToGrid w:val="0"/>
          <w:kern w:val="28"/>
          <w:sz w:val="22"/>
        </w:rPr>
        <w:t xml:space="preserve">  </w:t>
      </w:r>
    </w:p>
    <w:p w:rsidR="002B3388" w:rsidRPr="009F24B0" w:rsidP="002B3388" w14:paraId="1C374CD4" w14:textId="77777777">
      <w:pPr>
        <w:spacing w:after="120"/>
        <w:ind w:firstLine="720"/>
        <w:rPr>
          <w:snapToGrid w:val="0"/>
          <w:kern w:val="28"/>
          <w:sz w:val="22"/>
        </w:rPr>
      </w:pPr>
      <w:r w:rsidRPr="009F24B0">
        <w:rPr>
          <w:snapToGrid w:val="0"/>
          <w:kern w:val="28"/>
          <w:sz w:val="22"/>
        </w:rPr>
        <w:t>The Commission’s rules may be waived for good cause shown.</w:t>
      </w:r>
      <w:r>
        <w:rPr>
          <w:snapToGrid w:val="0"/>
          <w:kern w:val="28"/>
          <w:sz w:val="22"/>
          <w:vertAlign w:val="superscript"/>
        </w:rPr>
        <w:footnoteReference w:id="52"/>
      </w:r>
      <w:r w:rsidRPr="009F24B0">
        <w:rPr>
          <w:snapToGrid w:val="0"/>
          <w:kern w:val="28"/>
          <w:sz w:val="22"/>
        </w:rPr>
        <w:t xml:space="preserve">  When an applicant seeks waiver of a rule, it must plead with particularity the facts and circumstances which warrant such action.</w:t>
      </w:r>
      <w:r>
        <w:rPr>
          <w:snapToGrid w:val="0"/>
          <w:kern w:val="28"/>
          <w:sz w:val="22"/>
          <w:vertAlign w:val="superscript"/>
        </w:rPr>
        <w:footnoteReference w:id="53"/>
      </w:r>
      <w:r w:rsidRPr="009F24B0">
        <w:rPr>
          <w:snapToGrid w:val="0"/>
          <w:kern w:val="28"/>
          <w:sz w:val="22"/>
        </w:rPr>
        <w:t xml:space="preserve">  Waiver is appropriate “if special circumstances warrant a deviation from the general rule and such deviation will serve the public interest.”</w:t>
      </w:r>
      <w:r>
        <w:rPr>
          <w:snapToGrid w:val="0"/>
          <w:kern w:val="28"/>
          <w:sz w:val="22"/>
          <w:vertAlign w:val="superscript"/>
        </w:rPr>
        <w:footnoteReference w:id="54"/>
      </w:r>
      <w:r w:rsidRPr="009F24B0">
        <w:rPr>
          <w:snapToGrid w:val="0"/>
          <w:kern w:val="28"/>
          <w:sz w:val="22"/>
        </w:rPr>
        <w:t xml:space="preserve">  In making this determination, the Commission may take into account considerations of hardship, equity, or more effective implementation of overall policy on an individual basis.</w:t>
      </w:r>
      <w:r>
        <w:rPr>
          <w:snapToGrid w:val="0"/>
          <w:kern w:val="28"/>
          <w:sz w:val="22"/>
          <w:vertAlign w:val="superscript"/>
        </w:rPr>
        <w:footnoteReference w:id="55"/>
      </w:r>
      <w:r w:rsidRPr="009F24B0">
        <w:rPr>
          <w:snapToGrid w:val="0"/>
          <w:kern w:val="28"/>
          <w:sz w:val="22"/>
        </w:rPr>
        <w:t xml:space="preserve"> </w:t>
      </w:r>
    </w:p>
    <w:p w:rsidR="002B72E5" w:rsidRPr="009F24B0" w:rsidP="002B3388" w14:paraId="4A6381C1" w14:textId="327883D5">
      <w:pPr>
        <w:spacing w:after="120"/>
        <w:ind w:firstLine="720"/>
        <w:rPr>
          <w:snapToGrid w:val="0"/>
          <w:kern w:val="28"/>
          <w:sz w:val="22"/>
        </w:rPr>
      </w:pPr>
      <w:r w:rsidRPr="009F24B0">
        <w:rPr>
          <w:i/>
          <w:iCs/>
          <w:snapToGrid w:val="0"/>
          <w:kern w:val="28"/>
          <w:sz w:val="22"/>
        </w:rPr>
        <w:t>Rule-Compliant</w:t>
      </w:r>
      <w:r w:rsidRPr="009F24B0" w:rsidR="00B765A6">
        <w:rPr>
          <w:i/>
          <w:iCs/>
          <w:snapToGrid w:val="0"/>
          <w:kern w:val="28"/>
          <w:sz w:val="22"/>
        </w:rPr>
        <w:t xml:space="preserve"> Market</w:t>
      </w:r>
      <w:r w:rsidRPr="009F24B0" w:rsidR="00FD42A0">
        <w:rPr>
          <w:i/>
          <w:iCs/>
          <w:snapToGrid w:val="0"/>
          <w:kern w:val="28"/>
          <w:sz w:val="22"/>
        </w:rPr>
        <w:t>s</w:t>
      </w:r>
      <w:r w:rsidRPr="009F24B0" w:rsidR="001B5FCE">
        <w:rPr>
          <w:snapToGrid w:val="0"/>
          <w:kern w:val="28"/>
          <w:sz w:val="22"/>
        </w:rPr>
        <w:t xml:space="preserve">.  </w:t>
      </w:r>
      <w:r w:rsidRPr="009F24B0">
        <w:rPr>
          <w:snapToGrid w:val="0"/>
          <w:kern w:val="28"/>
          <w:sz w:val="22"/>
        </w:rPr>
        <w:t xml:space="preserve">We find that </w:t>
      </w:r>
      <w:r w:rsidRPr="009F24B0" w:rsidR="003C7F8B">
        <w:rPr>
          <w:snapToGrid w:val="0"/>
          <w:kern w:val="28"/>
          <w:sz w:val="22"/>
        </w:rPr>
        <w:t>Gray’s</w:t>
      </w:r>
      <w:r w:rsidRPr="009F24B0">
        <w:rPr>
          <w:snapToGrid w:val="0"/>
          <w:kern w:val="28"/>
          <w:sz w:val="22"/>
        </w:rPr>
        <w:t xml:space="preserve"> proposed </w:t>
      </w:r>
      <w:r w:rsidRPr="009F24B0" w:rsidR="003C7F8B">
        <w:rPr>
          <w:snapToGrid w:val="0"/>
          <w:kern w:val="28"/>
          <w:sz w:val="22"/>
        </w:rPr>
        <w:t>Duopoly</w:t>
      </w:r>
      <w:r w:rsidRPr="009F24B0" w:rsidR="0036782E">
        <w:rPr>
          <w:snapToGrid w:val="0"/>
          <w:kern w:val="28"/>
          <w:sz w:val="22"/>
        </w:rPr>
        <w:t xml:space="preserve"> in the</w:t>
      </w:r>
      <w:r w:rsidRPr="009F24B0" w:rsidR="00D3294A">
        <w:rPr>
          <w:snapToGrid w:val="0"/>
          <w:kern w:val="28"/>
          <w:sz w:val="22"/>
        </w:rPr>
        <w:t> </w:t>
      </w:r>
      <w:r w:rsidRPr="009F24B0" w:rsidR="004D56B3">
        <w:rPr>
          <w:snapToGrid w:val="0"/>
          <w:kern w:val="28"/>
          <w:sz w:val="22"/>
        </w:rPr>
        <w:t>Columbus, GA-Opelika, AL</w:t>
      </w:r>
      <w:r w:rsidRPr="009F24B0" w:rsidR="003C7F8B">
        <w:rPr>
          <w:snapToGrid w:val="0"/>
          <w:kern w:val="28"/>
          <w:sz w:val="22"/>
        </w:rPr>
        <w:t xml:space="preserve"> DMA, as well as its</w:t>
      </w:r>
      <w:r w:rsidRPr="009F24B0" w:rsidR="00821F83">
        <w:rPr>
          <w:snapToGrid w:val="0"/>
          <w:kern w:val="28"/>
          <w:sz w:val="22"/>
        </w:rPr>
        <w:t xml:space="preserve"> acquisition of a first full power station in the</w:t>
      </w:r>
      <w:r w:rsidRPr="009F24B0" w:rsidR="00D3294A">
        <w:rPr>
          <w:snapToGrid w:val="0"/>
          <w:kern w:val="28"/>
          <w:sz w:val="22"/>
        </w:rPr>
        <w:t xml:space="preserve"> </w:t>
      </w:r>
      <w:r w:rsidRPr="009F24B0" w:rsidR="0036782E">
        <w:rPr>
          <w:snapToGrid w:val="0"/>
          <w:kern w:val="28"/>
          <w:sz w:val="22"/>
        </w:rPr>
        <w:t>Lima</w:t>
      </w:r>
      <w:r w:rsidRPr="009F24B0" w:rsidR="00626862">
        <w:rPr>
          <w:snapToGrid w:val="0"/>
          <w:kern w:val="28"/>
          <w:sz w:val="22"/>
        </w:rPr>
        <w:t>, OH</w:t>
      </w:r>
      <w:r w:rsidRPr="009F24B0" w:rsidR="0036782E">
        <w:rPr>
          <w:snapToGrid w:val="0"/>
          <w:kern w:val="28"/>
          <w:sz w:val="22"/>
        </w:rPr>
        <w:t xml:space="preserve"> and</w:t>
      </w:r>
      <w:r w:rsidRPr="009F24B0" w:rsidR="00D3294A">
        <w:rPr>
          <w:snapToGrid w:val="0"/>
          <w:kern w:val="28"/>
          <w:sz w:val="22"/>
        </w:rPr>
        <w:t xml:space="preserve"> </w:t>
      </w:r>
      <w:r w:rsidRPr="009F24B0" w:rsidR="001D3371">
        <w:rPr>
          <w:snapToGrid w:val="0"/>
          <w:kern w:val="28"/>
          <w:sz w:val="22"/>
        </w:rPr>
        <w:t>Champaign-Urbana &amp; Springfield-Decatur, IL</w:t>
      </w:r>
      <w:r w:rsidRPr="009F24B0" w:rsidR="00580945">
        <w:rPr>
          <w:snapToGrid w:val="0"/>
          <w:kern w:val="28"/>
          <w:sz w:val="22"/>
        </w:rPr>
        <w:t xml:space="preserve"> </w:t>
      </w:r>
      <w:r w:rsidRPr="009F24B0" w:rsidR="00821F83">
        <w:rPr>
          <w:snapToGrid w:val="0"/>
          <w:kern w:val="28"/>
          <w:sz w:val="22"/>
        </w:rPr>
        <w:t>DMA</w:t>
      </w:r>
      <w:r w:rsidRPr="009F24B0" w:rsidR="009742CA">
        <w:rPr>
          <w:snapToGrid w:val="0"/>
          <w:kern w:val="28"/>
          <w:sz w:val="22"/>
        </w:rPr>
        <w:t>s</w:t>
      </w:r>
      <w:r w:rsidRPr="009F24B0" w:rsidR="00821F83">
        <w:rPr>
          <w:snapToGrid w:val="0"/>
          <w:kern w:val="28"/>
          <w:sz w:val="22"/>
        </w:rPr>
        <w:t>,</w:t>
      </w:r>
      <w:r w:rsidRPr="009F24B0" w:rsidR="009742CA">
        <w:rPr>
          <w:snapToGrid w:val="0"/>
          <w:kern w:val="28"/>
          <w:sz w:val="22"/>
        </w:rPr>
        <w:t xml:space="preserve"> </w:t>
      </w:r>
      <w:r w:rsidRPr="009F24B0">
        <w:rPr>
          <w:snapToGrid w:val="0"/>
          <w:kern w:val="28"/>
          <w:sz w:val="22"/>
        </w:rPr>
        <w:t>fully compl</w:t>
      </w:r>
      <w:r w:rsidRPr="009F24B0" w:rsidR="009742CA">
        <w:rPr>
          <w:snapToGrid w:val="0"/>
          <w:kern w:val="28"/>
          <w:sz w:val="22"/>
        </w:rPr>
        <w:t>y</w:t>
      </w:r>
      <w:r w:rsidRPr="009F24B0">
        <w:rPr>
          <w:snapToGrid w:val="0"/>
          <w:kern w:val="28"/>
          <w:sz w:val="22"/>
        </w:rPr>
        <w:t xml:space="preserve"> with the Commission’s rules, including the post</w:t>
      </w:r>
      <w:r w:rsidRPr="009F24B0" w:rsidR="009742CA">
        <w:rPr>
          <w:snapToGrid w:val="0"/>
          <w:kern w:val="28"/>
          <w:sz w:val="22"/>
        </w:rPr>
        <w:noBreakHyphen/>
      </w:r>
      <w:r w:rsidRPr="009F24B0">
        <w:rPr>
          <w:i/>
          <w:iCs/>
          <w:snapToGrid w:val="0"/>
          <w:kern w:val="28"/>
          <w:sz w:val="22"/>
        </w:rPr>
        <w:t>Zimmer Radio</w:t>
      </w:r>
      <w:r w:rsidRPr="009F24B0">
        <w:rPr>
          <w:snapToGrid w:val="0"/>
          <w:kern w:val="28"/>
          <w:sz w:val="22"/>
        </w:rPr>
        <w:t xml:space="preserve"> Local Television Ownership Rule.</w:t>
      </w:r>
      <w:r>
        <w:rPr>
          <w:snapToGrid w:val="0"/>
          <w:kern w:val="28"/>
          <w:sz w:val="22"/>
          <w:vertAlign w:val="superscript"/>
        </w:rPr>
        <w:footnoteReference w:id="56"/>
      </w:r>
      <w:r w:rsidRPr="009F24B0">
        <w:rPr>
          <w:snapToGrid w:val="0"/>
          <w:kern w:val="28"/>
          <w:sz w:val="22"/>
        </w:rPr>
        <w:t xml:space="preserve">  </w:t>
      </w:r>
      <w:r w:rsidRPr="009F24B0" w:rsidR="00E06C21">
        <w:rPr>
          <w:sz w:val="22"/>
          <w:szCs w:val="22"/>
        </w:rPr>
        <w:t xml:space="preserve">Further, as discussed below, we find that there are no </w:t>
      </w:r>
      <w:r w:rsidRPr="009F24B0" w:rsidR="00E06C21">
        <w:rPr>
          <w:sz w:val="22"/>
          <w:szCs w:val="22"/>
        </w:rPr>
        <w:t>cognizable public interest harms identified in the record that would require further consideration of these station acquisitions</w:t>
      </w:r>
      <w:r w:rsidRPr="009F24B0">
        <w:rPr>
          <w:snapToGrid w:val="0"/>
          <w:kern w:val="28"/>
          <w:sz w:val="22"/>
        </w:rPr>
        <w:t>.</w:t>
      </w:r>
      <w:r>
        <w:rPr>
          <w:snapToGrid w:val="0"/>
          <w:kern w:val="28"/>
          <w:sz w:val="22"/>
          <w:vertAlign w:val="superscript"/>
        </w:rPr>
        <w:footnoteReference w:id="57"/>
      </w:r>
      <w:r w:rsidRPr="009F24B0" w:rsidR="00301271">
        <w:rPr>
          <w:snapToGrid w:val="0"/>
          <w:kern w:val="28"/>
          <w:sz w:val="22"/>
        </w:rPr>
        <w:t xml:space="preserve">  </w:t>
      </w:r>
      <w:r w:rsidRPr="009F24B0">
        <w:rPr>
          <w:snapToGrid w:val="0"/>
          <w:kern w:val="28"/>
          <w:sz w:val="22"/>
        </w:rPr>
        <w:t xml:space="preserve">Accordingly, we conclude that </w:t>
      </w:r>
      <w:r w:rsidRPr="009F24B0" w:rsidR="00026A8A">
        <w:rPr>
          <w:snapToGrid w:val="0"/>
          <w:kern w:val="28"/>
          <w:sz w:val="22"/>
        </w:rPr>
        <w:t xml:space="preserve">granting consent to </w:t>
      </w:r>
      <w:r w:rsidRPr="009F24B0" w:rsidR="00523C22">
        <w:rPr>
          <w:snapToGrid w:val="0"/>
          <w:kern w:val="28"/>
          <w:sz w:val="22"/>
        </w:rPr>
        <w:t xml:space="preserve">these </w:t>
      </w:r>
      <w:r w:rsidRPr="009F24B0" w:rsidR="00026A8A">
        <w:rPr>
          <w:snapToGrid w:val="0"/>
          <w:kern w:val="28"/>
          <w:sz w:val="22"/>
        </w:rPr>
        <w:t>assign</w:t>
      </w:r>
      <w:r w:rsidRPr="009F24B0" w:rsidR="00523C22">
        <w:rPr>
          <w:snapToGrid w:val="0"/>
          <w:kern w:val="28"/>
          <w:sz w:val="22"/>
        </w:rPr>
        <w:t>ments of license</w:t>
      </w:r>
      <w:r w:rsidRPr="009F24B0" w:rsidR="00026A8A">
        <w:rPr>
          <w:snapToGrid w:val="0"/>
          <w:kern w:val="28"/>
          <w:sz w:val="22"/>
        </w:rPr>
        <w:t xml:space="preserve"> to Gray</w:t>
      </w:r>
      <w:r w:rsidRPr="009F24B0">
        <w:rPr>
          <w:snapToGrid w:val="0"/>
          <w:kern w:val="28"/>
          <w:sz w:val="22"/>
        </w:rPr>
        <w:t xml:space="preserve"> will serve the public interest, convenience, and necessity.</w:t>
      </w:r>
    </w:p>
    <w:p w:rsidR="00CB766D" w:rsidRPr="009F24B0" w:rsidP="002B3388" w14:paraId="520EBADB" w14:textId="21475568">
      <w:pPr>
        <w:spacing w:after="120"/>
        <w:ind w:firstLine="720"/>
        <w:rPr>
          <w:snapToGrid w:val="0"/>
          <w:kern w:val="28"/>
          <w:sz w:val="22"/>
        </w:rPr>
      </w:pPr>
      <w:r w:rsidRPr="009F24B0">
        <w:rPr>
          <w:i/>
          <w:iCs/>
          <w:snapToGrid w:val="0"/>
          <w:kern w:val="28"/>
          <w:sz w:val="22"/>
        </w:rPr>
        <w:t>Triopolies</w:t>
      </w:r>
      <w:r w:rsidRPr="009F24B0">
        <w:rPr>
          <w:snapToGrid w:val="0"/>
          <w:kern w:val="28"/>
          <w:sz w:val="22"/>
        </w:rPr>
        <w:t xml:space="preserve">.  </w:t>
      </w:r>
      <w:r w:rsidRPr="009F24B0" w:rsidR="00D315F3">
        <w:rPr>
          <w:snapToGrid w:val="0"/>
          <w:kern w:val="28"/>
          <w:sz w:val="22"/>
        </w:rPr>
        <w:t xml:space="preserve">As set forth in the Applications, Gray proposes to own Triopolies in </w:t>
      </w:r>
      <w:r w:rsidRPr="009F24B0" w:rsidR="00D315F3">
        <w:rPr>
          <w:snapToGrid w:val="0"/>
          <w:kern w:val="28"/>
          <w:sz w:val="22"/>
        </w:rPr>
        <w:t>the Lubbock</w:t>
      </w:r>
      <w:r w:rsidRPr="009F24B0" w:rsidR="00D315F3">
        <w:rPr>
          <w:snapToGrid w:val="0"/>
          <w:kern w:val="28"/>
          <w:sz w:val="22"/>
        </w:rPr>
        <w:t xml:space="preserve">, </w:t>
      </w:r>
      <w:r w:rsidRPr="009F24B0" w:rsidR="00400798">
        <w:rPr>
          <w:snapToGrid w:val="0"/>
          <w:kern w:val="28"/>
          <w:sz w:val="22"/>
        </w:rPr>
        <w:t>TX and Louisville, KY DMAs and, therefore, seeks waivers of the Local Television Ownership Rule.</w:t>
      </w:r>
    </w:p>
    <w:p w:rsidR="003740E6" w:rsidRPr="009F24B0" w:rsidP="000F78BF" w14:paraId="23F5C16E" w14:textId="4DAC6A01">
      <w:pPr>
        <w:spacing w:after="120"/>
        <w:ind w:firstLine="720"/>
        <w:rPr>
          <w:snapToGrid w:val="0"/>
          <w:kern w:val="28"/>
          <w:sz w:val="22"/>
        </w:rPr>
      </w:pPr>
      <w:r w:rsidRPr="009F24B0">
        <w:rPr>
          <w:i/>
          <w:iCs/>
          <w:snapToGrid w:val="0"/>
          <w:kern w:val="28"/>
          <w:sz w:val="22"/>
        </w:rPr>
        <w:t>Lubbock, TX</w:t>
      </w:r>
      <w:r w:rsidRPr="009F24B0" w:rsidR="00026A8A">
        <w:rPr>
          <w:snapToGrid w:val="0"/>
          <w:kern w:val="28"/>
          <w:sz w:val="22"/>
        </w:rPr>
        <w:t>.</w:t>
      </w:r>
      <w:r w:rsidRPr="009F24B0" w:rsidR="000A44A2">
        <w:rPr>
          <w:snapToGrid w:val="0"/>
          <w:kern w:val="28"/>
          <w:sz w:val="22"/>
        </w:rPr>
        <w:t xml:space="preserve">  </w:t>
      </w:r>
      <w:r w:rsidRPr="009F24B0" w:rsidR="00817503">
        <w:rPr>
          <w:snapToGrid w:val="0"/>
          <w:kern w:val="28"/>
          <w:sz w:val="22"/>
        </w:rPr>
        <w:t>Gray</w:t>
      </w:r>
      <w:r w:rsidRPr="009F24B0" w:rsidR="00495025">
        <w:rPr>
          <w:snapToGrid w:val="0"/>
          <w:kern w:val="28"/>
          <w:sz w:val="22"/>
        </w:rPr>
        <w:t xml:space="preserve"> owns and operates KCBD</w:t>
      </w:r>
      <w:r w:rsidRPr="009F24B0" w:rsidR="005A38D5">
        <w:rPr>
          <w:snapToGrid w:val="0"/>
          <w:kern w:val="28"/>
          <w:sz w:val="22"/>
        </w:rPr>
        <w:t xml:space="preserve">, the top-ranked station in the </w:t>
      </w:r>
      <w:r w:rsidRPr="009F24B0" w:rsidR="00D7537F">
        <w:rPr>
          <w:snapToGrid w:val="0"/>
          <w:kern w:val="28"/>
          <w:sz w:val="22"/>
        </w:rPr>
        <w:t>Lubbock</w:t>
      </w:r>
      <w:r w:rsidRPr="009F24B0" w:rsidR="0069744D">
        <w:rPr>
          <w:snapToGrid w:val="0"/>
          <w:kern w:val="28"/>
          <w:sz w:val="22"/>
        </w:rPr>
        <w:t>, TX</w:t>
      </w:r>
      <w:r w:rsidRPr="009F24B0" w:rsidR="00D7537F">
        <w:rPr>
          <w:snapToGrid w:val="0"/>
          <w:kern w:val="28"/>
          <w:sz w:val="22"/>
        </w:rPr>
        <w:t xml:space="preserve"> </w:t>
      </w:r>
      <w:r w:rsidRPr="009F24B0" w:rsidR="005A38D5">
        <w:rPr>
          <w:snapToGrid w:val="0"/>
          <w:kern w:val="28"/>
          <w:sz w:val="22"/>
        </w:rPr>
        <w:t>market</w:t>
      </w:r>
      <w:r w:rsidRPr="009F24B0" w:rsidR="00B7491E">
        <w:rPr>
          <w:snapToGrid w:val="0"/>
          <w:kern w:val="28"/>
          <w:sz w:val="22"/>
        </w:rPr>
        <w:t xml:space="preserve">, as well as KLCW-TV, the </w:t>
      </w:r>
      <w:r w:rsidRPr="009F24B0" w:rsidR="00E169E8">
        <w:rPr>
          <w:snapToGrid w:val="0"/>
          <w:kern w:val="28"/>
          <w:sz w:val="22"/>
        </w:rPr>
        <w:t>tenth-ranked station in the DMA.</w:t>
      </w:r>
      <w:r>
        <w:rPr>
          <w:rStyle w:val="FootnoteReference"/>
          <w:snapToGrid w:val="0"/>
          <w:kern w:val="28"/>
        </w:rPr>
        <w:footnoteReference w:id="58"/>
      </w:r>
      <w:r w:rsidRPr="009F24B0" w:rsidR="002D7454">
        <w:rPr>
          <w:snapToGrid w:val="0"/>
          <w:kern w:val="28"/>
          <w:sz w:val="22"/>
        </w:rPr>
        <w:t xml:space="preserve">  </w:t>
      </w:r>
      <w:r w:rsidRPr="009F24B0" w:rsidR="00653545">
        <w:rPr>
          <w:snapToGrid w:val="0"/>
          <w:kern w:val="28"/>
          <w:sz w:val="22"/>
        </w:rPr>
        <w:t xml:space="preserve">The </w:t>
      </w:r>
      <w:r w:rsidRPr="009F24B0" w:rsidR="00024D64">
        <w:rPr>
          <w:snapToGrid w:val="0"/>
          <w:kern w:val="28"/>
          <w:sz w:val="22"/>
        </w:rPr>
        <w:t>SagamoreHill Applicants explain that with “overall broadcast revenue continuing to shrink over recent years, all four Big Four affiliate owners are competing for a decreasing share of revenue that is critical to supporting local news gathering operations in the market.”</w:t>
      </w:r>
      <w:r>
        <w:rPr>
          <w:rStyle w:val="FootnoteReference"/>
          <w:snapToGrid w:val="0"/>
          <w:kern w:val="28"/>
        </w:rPr>
        <w:footnoteReference w:id="59"/>
      </w:r>
      <w:r w:rsidRPr="009F24B0" w:rsidR="00024D64">
        <w:rPr>
          <w:snapToGrid w:val="0"/>
          <w:kern w:val="28"/>
          <w:sz w:val="22"/>
        </w:rPr>
        <w:t xml:space="preserve">  </w:t>
      </w:r>
      <w:r w:rsidRPr="009F24B0" w:rsidR="00DF3E90">
        <w:rPr>
          <w:snapToGrid w:val="0"/>
          <w:kern w:val="28"/>
          <w:sz w:val="22"/>
        </w:rPr>
        <w:t>Further complicating</w:t>
      </w:r>
      <w:r w:rsidRPr="009F24B0" w:rsidR="00522DF4">
        <w:rPr>
          <w:snapToGrid w:val="0"/>
          <w:kern w:val="28"/>
          <w:sz w:val="22"/>
        </w:rPr>
        <w:t xml:space="preserve"> this picture</w:t>
      </w:r>
      <w:r w:rsidRPr="009F24B0" w:rsidR="00024D64">
        <w:rPr>
          <w:snapToGrid w:val="0"/>
          <w:kern w:val="28"/>
          <w:sz w:val="22"/>
        </w:rPr>
        <w:t>, t</w:t>
      </w:r>
      <w:r w:rsidRPr="009F24B0" w:rsidR="002010AD">
        <w:rPr>
          <w:snapToGrid w:val="0"/>
          <w:kern w:val="28"/>
          <w:sz w:val="22"/>
        </w:rPr>
        <w:t>he Lubbock</w:t>
      </w:r>
      <w:r w:rsidRPr="009F24B0" w:rsidR="0069744D">
        <w:rPr>
          <w:snapToGrid w:val="0"/>
          <w:kern w:val="28"/>
          <w:sz w:val="22"/>
        </w:rPr>
        <w:t>, TX</w:t>
      </w:r>
      <w:r w:rsidRPr="009F24B0" w:rsidR="002010AD">
        <w:rPr>
          <w:snapToGrid w:val="0"/>
          <w:kern w:val="28"/>
          <w:sz w:val="22"/>
        </w:rPr>
        <w:t xml:space="preserve"> DMA is ranked </w:t>
      </w:r>
      <w:r w:rsidRPr="009F24B0" w:rsidR="00665EDE">
        <w:rPr>
          <w:snapToGrid w:val="0"/>
          <w:kern w:val="28"/>
          <w:sz w:val="22"/>
        </w:rPr>
        <w:t>14</w:t>
      </w:r>
      <w:r w:rsidRPr="009F24B0" w:rsidR="006F7A94">
        <w:rPr>
          <w:snapToGrid w:val="0"/>
          <w:kern w:val="28"/>
          <w:sz w:val="22"/>
        </w:rPr>
        <w:t>0th</w:t>
      </w:r>
      <w:r w:rsidRPr="009F24B0" w:rsidR="00665EDE">
        <w:rPr>
          <w:snapToGrid w:val="0"/>
          <w:kern w:val="28"/>
          <w:sz w:val="22"/>
        </w:rPr>
        <w:t xml:space="preserve"> in the country and serves approximately 177</w:t>
      </w:r>
      <w:r w:rsidRPr="009F24B0" w:rsidR="00D51207">
        <w:rPr>
          <w:snapToGrid w:val="0"/>
          <w:kern w:val="28"/>
          <w:sz w:val="22"/>
        </w:rPr>
        <w:t>,000 television households spread across 18 counties, with a corresponding population of</w:t>
      </w:r>
      <w:r w:rsidRPr="009F24B0" w:rsidR="0033694C">
        <w:rPr>
          <w:snapToGrid w:val="0"/>
          <w:kern w:val="28"/>
          <w:sz w:val="22"/>
        </w:rPr>
        <w:t xml:space="preserve"> just under 470,000 spread out over </w:t>
      </w:r>
      <w:r w:rsidRPr="009F24B0" w:rsidR="0006656D">
        <w:rPr>
          <w:snapToGrid w:val="0"/>
          <w:kern w:val="28"/>
          <w:sz w:val="22"/>
        </w:rPr>
        <w:t>17,000 square miles.</w:t>
      </w:r>
      <w:r>
        <w:rPr>
          <w:rStyle w:val="FootnoteReference"/>
          <w:snapToGrid w:val="0"/>
          <w:kern w:val="28"/>
        </w:rPr>
        <w:footnoteReference w:id="60"/>
      </w:r>
      <w:r w:rsidRPr="009F24B0" w:rsidR="002010AD">
        <w:rPr>
          <w:snapToGrid w:val="0"/>
          <w:kern w:val="28"/>
          <w:sz w:val="22"/>
        </w:rPr>
        <w:t xml:space="preserve">  </w:t>
      </w:r>
      <w:r w:rsidRPr="009F24B0" w:rsidR="002D7454">
        <w:rPr>
          <w:snapToGrid w:val="0"/>
          <w:kern w:val="28"/>
          <w:sz w:val="22"/>
        </w:rPr>
        <w:t xml:space="preserve">The SagamoreHill Applicants contend that </w:t>
      </w:r>
      <w:r w:rsidRPr="009F24B0" w:rsidR="00E45903">
        <w:rPr>
          <w:snapToGrid w:val="0"/>
          <w:kern w:val="28"/>
          <w:sz w:val="22"/>
        </w:rPr>
        <w:t>the “</w:t>
      </w:r>
      <w:r w:rsidRPr="009F24B0" w:rsidR="00A74DC7">
        <w:rPr>
          <w:snapToGrid w:val="0"/>
          <w:kern w:val="28"/>
          <w:sz w:val="22"/>
        </w:rPr>
        <w:t>large geographic area and low population density</w:t>
      </w:r>
      <w:r w:rsidRPr="009F24B0" w:rsidR="00E45903">
        <w:rPr>
          <w:snapToGrid w:val="0"/>
          <w:kern w:val="28"/>
          <w:sz w:val="22"/>
        </w:rPr>
        <w:t>”</w:t>
      </w:r>
      <w:r w:rsidRPr="009F24B0" w:rsidR="00A74DC7">
        <w:rPr>
          <w:snapToGrid w:val="0"/>
          <w:kern w:val="28"/>
          <w:sz w:val="22"/>
        </w:rPr>
        <w:t xml:space="preserve"> of Lubbock make </w:t>
      </w:r>
      <w:r w:rsidRPr="009F24B0" w:rsidR="002010AD">
        <w:rPr>
          <w:snapToGrid w:val="0"/>
          <w:kern w:val="28"/>
          <w:sz w:val="22"/>
        </w:rPr>
        <w:t>it a challenging market to serve.</w:t>
      </w:r>
      <w:r>
        <w:rPr>
          <w:rStyle w:val="FootnoteReference"/>
          <w:snapToGrid w:val="0"/>
          <w:kern w:val="28"/>
        </w:rPr>
        <w:footnoteReference w:id="61"/>
      </w:r>
      <w:r w:rsidRPr="009F24B0" w:rsidR="00E3570E">
        <w:rPr>
          <w:snapToGrid w:val="0"/>
          <w:kern w:val="28"/>
          <w:sz w:val="22"/>
        </w:rPr>
        <w:t xml:space="preserve">  They </w:t>
      </w:r>
      <w:r w:rsidRPr="009F24B0" w:rsidR="00845956">
        <w:rPr>
          <w:snapToGrid w:val="0"/>
          <w:kern w:val="28"/>
          <w:sz w:val="22"/>
        </w:rPr>
        <w:t xml:space="preserve">further </w:t>
      </w:r>
      <w:r w:rsidRPr="009F24B0" w:rsidR="00E3570E">
        <w:rPr>
          <w:snapToGrid w:val="0"/>
          <w:kern w:val="28"/>
          <w:sz w:val="22"/>
        </w:rPr>
        <w:t xml:space="preserve">explain that Gray has firsthand </w:t>
      </w:r>
      <w:r w:rsidRPr="009F24B0" w:rsidR="00596B0C">
        <w:rPr>
          <w:snapToGrid w:val="0"/>
          <w:kern w:val="28"/>
          <w:sz w:val="22"/>
        </w:rPr>
        <w:t>knowledge of the difficulties in serving this market</w:t>
      </w:r>
      <w:r w:rsidRPr="009F24B0" w:rsidR="00FB0CD3">
        <w:rPr>
          <w:snapToGrid w:val="0"/>
          <w:kern w:val="28"/>
          <w:sz w:val="22"/>
        </w:rPr>
        <w:t xml:space="preserve"> as a result of its acquisition of KLCW-TV in 2021 pursuant to </w:t>
      </w:r>
      <w:r w:rsidRPr="009F24B0" w:rsidR="001D1B27">
        <w:rPr>
          <w:snapToGrid w:val="0"/>
          <w:kern w:val="28"/>
          <w:sz w:val="22"/>
        </w:rPr>
        <w:t>a failing station waiver.</w:t>
      </w:r>
      <w:r>
        <w:rPr>
          <w:rStyle w:val="FootnoteReference"/>
          <w:snapToGrid w:val="0"/>
          <w:kern w:val="28"/>
        </w:rPr>
        <w:footnoteReference w:id="62"/>
      </w:r>
      <w:r w:rsidRPr="009F24B0" w:rsidR="00127D24">
        <w:rPr>
          <w:snapToGrid w:val="0"/>
          <w:kern w:val="28"/>
          <w:sz w:val="22"/>
        </w:rPr>
        <w:t xml:space="preserve">  Despite Gray’s investment of substantial resources to improve </w:t>
      </w:r>
      <w:r w:rsidRPr="009F24B0" w:rsidR="00BB61F5">
        <w:rPr>
          <w:snapToGrid w:val="0"/>
          <w:kern w:val="28"/>
          <w:sz w:val="22"/>
        </w:rPr>
        <w:t xml:space="preserve">that station’s programming and facilities, KLCW-TV </w:t>
      </w:r>
      <w:r w:rsidRPr="009F24B0" w:rsidR="002E2B09">
        <w:rPr>
          <w:snapToGrid w:val="0"/>
          <w:kern w:val="28"/>
          <w:sz w:val="22"/>
        </w:rPr>
        <w:t>continues to have less than one percent of market share</w:t>
      </w:r>
      <w:r w:rsidRPr="009F24B0" w:rsidR="003463B8">
        <w:rPr>
          <w:snapToGrid w:val="0"/>
          <w:kern w:val="28"/>
          <w:sz w:val="22"/>
        </w:rPr>
        <w:t xml:space="preserve"> and, if operated as a stand-alone station, would continue to lose money every year.</w:t>
      </w:r>
      <w:r>
        <w:rPr>
          <w:rStyle w:val="FootnoteReference"/>
          <w:snapToGrid w:val="0"/>
          <w:kern w:val="28"/>
        </w:rPr>
        <w:footnoteReference w:id="63"/>
      </w:r>
    </w:p>
    <w:p w:rsidR="007770C8" w:rsidRPr="009F24B0" w:rsidP="00387BC5" w14:paraId="6B76BB3D" w14:textId="673DB620">
      <w:pPr>
        <w:spacing w:after="120"/>
        <w:ind w:firstLine="720"/>
        <w:rPr>
          <w:snapToGrid w:val="0"/>
          <w:kern w:val="28"/>
          <w:sz w:val="22"/>
        </w:rPr>
      </w:pPr>
      <w:r w:rsidRPr="009F24B0">
        <w:rPr>
          <w:snapToGrid w:val="0"/>
          <w:kern w:val="28"/>
          <w:sz w:val="22"/>
        </w:rPr>
        <w:t xml:space="preserve">Gray states that if the Transactions are approved, it will </w:t>
      </w:r>
      <w:r w:rsidRPr="009F24B0" w:rsidR="002F59FC">
        <w:rPr>
          <w:snapToGrid w:val="0"/>
          <w:kern w:val="28"/>
          <w:sz w:val="22"/>
        </w:rPr>
        <w:t>“immediately look to increase local news and entertainment programming produced by KJTV-TV.”</w:t>
      </w:r>
      <w:r>
        <w:rPr>
          <w:rStyle w:val="FootnoteReference"/>
          <w:snapToGrid w:val="0"/>
          <w:kern w:val="28"/>
        </w:rPr>
        <w:footnoteReference w:id="64"/>
      </w:r>
      <w:r w:rsidRPr="009F24B0" w:rsidR="002F59FC">
        <w:rPr>
          <w:snapToGrid w:val="0"/>
          <w:kern w:val="28"/>
          <w:sz w:val="22"/>
        </w:rPr>
        <w:t xml:space="preserve">  </w:t>
      </w:r>
      <w:r w:rsidRPr="009F24B0" w:rsidR="00202B5B">
        <w:rPr>
          <w:snapToGrid w:val="0"/>
          <w:kern w:val="28"/>
          <w:sz w:val="22"/>
        </w:rPr>
        <w:t xml:space="preserve">Today, “KJTV-TV airs 22.5 hours of news a week.  If Gray is permitted to acquire KJTV-TV, Gray anticipates quickly adding seven hours of local </w:t>
      </w:r>
      <w:r w:rsidRPr="009F24B0" w:rsidR="00202B5B">
        <w:rPr>
          <w:snapToGrid w:val="0"/>
          <w:kern w:val="28"/>
          <w:sz w:val="22"/>
        </w:rPr>
        <w:t>news per week (two hours of original, live news and 5 hours of news that is simulcast).”</w:t>
      </w:r>
      <w:r>
        <w:rPr>
          <w:rStyle w:val="FootnoteReference"/>
          <w:snapToGrid w:val="0"/>
          <w:kern w:val="28"/>
        </w:rPr>
        <w:footnoteReference w:id="65"/>
      </w:r>
      <w:r w:rsidRPr="009F24B0" w:rsidR="00387BC5">
        <w:rPr>
          <w:snapToGrid w:val="0"/>
          <w:kern w:val="28"/>
          <w:sz w:val="22"/>
        </w:rPr>
        <w:t xml:space="preserve">  In addition, under </w:t>
      </w:r>
      <w:r w:rsidRPr="009F24B0" w:rsidR="00876207">
        <w:rPr>
          <w:snapToGrid w:val="0"/>
          <w:kern w:val="28"/>
          <w:sz w:val="22"/>
        </w:rPr>
        <w:t xml:space="preserve">its </w:t>
      </w:r>
      <w:r w:rsidRPr="009F24B0" w:rsidR="00387BC5">
        <w:rPr>
          <w:snapToGrid w:val="0"/>
          <w:kern w:val="28"/>
          <w:sz w:val="22"/>
        </w:rPr>
        <w:t>ownership, “Gray will expand coverage of local emergencies and provide live breaking news coverage to KJTV-TV’s viewers.”</w:t>
      </w:r>
      <w:r>
        <w:rPr>
          <w:rStyle w:val="FootnoteReference"/>
          <w:snapToGrid w:val="0"/>
          <w:kern w:val="28"/>
        </w:rPr>
        <w:footnoteReference w:id="66"/>
      </w:r>
    </w:p>
    <w:p w:rsidR="00E613C3" w:rsidRPr="009F24B0" w:rsidP="00E613C3" w14:paraId="421F5F8D" w14:textId="4D3BB0AF">
      <w:pPr>
        <w:spacing w:after="120"/>
        <w:ind w:firstLine="720"/>
        <w:rPr>
          <w:snapToGrid w:val="0"/>
          <w:kern w:val="28"/>
          <w:sz w:val="22"/>
        </w:rPr>
      </w:pPr>
      <w:bookmarkStart w:id="1" w:name="a0d3g7u0u4_ref"/>
      <w:bookmarkStart w:id="2" w:name="a0d3g7u0u4_reffirst_footref"/>
      <w:bookmarkStart w:id="3" w:name="a0c5d2g7f7_ref"/>
      <w:bookmarkStart w:id="4" w:name="a0c5d2g7f7_reffirst_footref"/>
      <w:bookmarkEnd w:id="1"/>
      <w:bookmarkEnd w:id="2"/>
      <w:bookmarkEnd w:id="3"/>
      <w:bookmarkEnd w:id="4"/>
      <w:r w:rsidRPr="009F24B0">
        <w:rPr>
          <w:snapToGrid w:val="0"/>
          <w:kern w:val="28"/>
          <w:sz w:val="22"/>
        </w:rPr>
        <w:t xml:space="preserve">We find that special circumstances warrant grant of </w:t>
      </w:r>
      <w:r w:rsidRPr="009F24B0" w:rsidR="00012E7B">
        <w:rPr>
          <w:snapToGrid w:val="0"/>
          <w:kern w:val="28"/>
          <w:sz w:val="22"/>
        </w:rPr>
        <w:t>the</w:t>
      </w:r>
      <w:r w:rsidRPr="009F24B0" w:rsidR="009B6A82">
        <w:rPr>
          <w:snapToGrid w:val="0"/>
          <w:kern w:val="28"/>
          <w:sz w:val="22"/>
        </w:rPr>
        <w:t xml:space="preserve"> w</w:t>
      </w:r>
      <w:r w:rsidRPr="009F24B0">
        <w:rPr>
          <w:snapToGrid w:val="0"/>
          <w:kern w:val="28"/>
          <w:sz w:val="22"/>
        </w:rPr>
        <w:t xml:space="preserve">aiver </w:t>
      </w:r>
      <w:r w:rsidRPr="009F24B0" w:rsidR="009B6A82">
        <w:rPr>
          <w:snapToGrid w:val="0"/>
          <w:kern w:val="28"/>
          <w:sz w:val="22"/>
        </w:rPr>
        <w:t>r</w:t>
      </w:r>
      <w:r w:rsidRPr="009F24B0">
        <w:rPr>
          <w:snapToGrid w:val="0"/>
          <w:kern w:val="28"/>
          <w:sz w:val="22"/>
        </w:rPr>
        <w:t>equest</w:t>
      </w:r>
      <w:r w:rsidRPr="009F24B0" w:rsidR="00F73966">
        <w:rPr>
          <w:snapToGrid w:val="0"/>
          <w:kern w:val="28"/>
          <w:sz w:val="22"/>
        </w:rPr>
        <w:t xml:space="preserve"> to </w:t>
      </w:r>
      <w:r w:rsidRPr="009F24B0" w:rsidR="00012E7B">
        <w:rPr>
          <w:snapToGrid w:val="0"/>
          <w:kern w:val="28"/>
          <w:sz w:val="22"/>
        </w:rPr>
        <w:t>permit Gray to own three full power stations and that such degree of common ownership will not hurt competition in the Lubbock, TX market, but bolster it</w:t>
      </w:r>
      <w:r w:rsidRPr="009F24B0">
        <w:rPr>
          <w:snapToGrid w:val="0"/>
          <w:kern w:val="28"/>
          <w:sz w:val="22"/>
        </w:rPr>
        <w:t>.</w:t>
      </w:r>
      <w:r>
        <w:rPr>
          <w:snapToGrid w:val="0"/>
          <w:kern w:val="28"/>
          <w:sz w:val="22"/>
          <w:vertAlign w:val="superscript"/>
        </w:rPr>
        <w:footnoteReference w:id="67"/>
      </w:r>
      <w:r w:rsidRPr="009F24B0">
        <w:rPr>
          <w:snapToGrid w:val="0"/>
          <w:kern w:val="28"/>
          <w:sz w:val="22"/>
        </w:rPr>
        <w:t xml:space="preserve">  </w:t>
      </w:r>
      <w:r w:rsidRPr="009F24B0" w:rsidR="003D74DD">
        <w:rPr>
          <w:snapToGrid w:val="0"/>
          <w:kern w:val="28"/>
          <w:sz w:val="22"/>
        </w:rPr>
        <w:t>Gray’s commitment to increase local news programming on KJTV-TV will benefit not just viewers, but also advertisers, by providing higher quality advertising availabilities.  Furthermore, requiring divestiture of one station, such as the tenth-ranked KLCW-TV, to an independent buyer (in the event one could be found) is not likely to produce significant public interest benefits</w:t>
      </w:r>
      <w:r w:rsidRPr="009F24B0" w:rsidR="002C633B">
        <w:rPr>
          <w:snapToGrid w:val="0"/>
          <w:kern w:val="28"/>
          <w:sz w:val="22"/>
        </w:rPr>
        <w:t>.</w:t>
      </w:r>
      <w:r>
        <w:rPr>
          <w:rStyle w:val="FootnoteReference"/>
          <w:snapToGrid w:val="0"/>
          <w:kern w:val="28"/>
        </w:rPr>
        <w:footnoteReference w:id="68"/>
      </w:r>
      <w:r w:rsidRPr="009F24B0" w:rsidR="00AA11B7">
        <w:rPr>
          <w:snapToGrid w:val="0"/>
          <w:kern w:val="28"/>
          <w:sz w:val="22"/>
        </w:rPr>
        <w:t xml:space="preserve"> </w:t>
      </w:r>
      <w:r w:rsidRPr="009F24B0" w:rsidR="00F17C0F">
        <w:rPr>
          <w:snapToGrid w:val="0"/>
          <w:kern w:val="28"/>
          <w:sz w:val="22"/>
          <w:szCs w:val="22"/>
        </w:rPr>
        <w:t xml:space="preserve"> </w:t>
      </w:r>
      <w:r w:rsidRPr="009F24B0" w:rsidR="00013367">
        <w:rPr>
          <w:snapToGrid w:val="0"/>
          <w:kern w:val="28"/>
          <w:sz w:val="22"/>
        </w:rPr>
        <w:t>We agree with the</w:t>
      </w:r>
      <w:r w:rsidRPr="009F24B0" w:rsidR="008677AD">
        <w:rPr>
          <w:snapToGrid w:val="0"/>
          <w:kern w:val="28"/>
          <w:sz w:val="22"/>
        </w:rPr>
        <w:t xml:space="preserve"> SagamoreHill Applicants that “the public interest will best be served if Gray is permitted to acquire KJTV-TV, without being forced to divest </w:t>
      </w:r>
      <w:r w:rsidRPr="009F24B0" w:rsidR="008861C2">
        <w:rPr>
          <w:snapToGrid w:val="0"/>
          <w:kern w:val="28"/>
          <w:sz w:val="22"/>
        </w:rPr>
        <w:t xml:space="preserve">[KLCW-TV], so Gray can generate additional synergies </w:t>
      </w:r>
      <w:r w:rsidRPr="009F24B0" w:rsidR="00D23E8F">
        <w:rPr>
          <w:snapToGrid w:val="0"/>
          <w:kern w:val="28"/>
          <w:sz w:val="22"/>
        </w:rPr>
        <w:t>that can be reinvested into the Lubbock market to the benefit of viewers in Lubbock.”</w:t>
      </w:r>
      <w:r>
        <w:rPr>
          <w:rStyle w:val="FootnoteReference"/>
          <w:snapToGrid w:val="0"/>
          <w:kern w:val="28"/>
        </w:rPr>
        <w:footnoteReference w:id="69"/>
      </w:r>
      <w:r w:rsidRPr="009F24B0" w:rsidR="00227507">
        <w:rPr>
          <w:snapToGrid w:val="0"/>
          <w:kern w:val="28"/>
          <w:sz w:val="22"/>
        </w:rPr>
        <w:t xml:space="preserve">  </w:t>
      </w:r>
      <w:r w:rsidRPr="009F24B0" w:rsidR="0098392A">
        <w:rPr>
          <w:snapToGrid w:val="0"/>
          <w:kern w:val="28"/>
          <w:sz w:val="22"/>
        </w:rPr>
        <w:t>Thus, strict compliance with the Local Television Ownership Rule would be inconsistent with the purpose of that rule—promoting competition among broadcast television stations—and, therefore, inconsistent with the public interest.</w:t>
      </w:r>
      <w:r>
        <w:rPr>
          <w:rStyle w:val="FootnoteReference"/>
          <w:snapToGrid w:val="0"/>
          <w:kern w:val="28"/>
        </w:rPr>
        <w:footnoteReference w:id="70"/>
      </w:r>
      <w:r w:rsidRPr="009F24B0" w:rsidR="0098392A">
        <w:rPr>
          <w:snapToGrid w:val="0"/>
          <w:kern w:val="28"/>
          <w:sz w:val="22"/>
        </w:rPr>
        <w:t xml:space="preserve"> </w:t>
      </w:r>
      <w:r w:rsidRPr="009F24B0" w:rsidR="0098392A">
        <w:rPr>
          <w:snapToGrid w:val="0"/>
          <w:kern w:val="28"/>
          <w:sz w:val="22"/>
        </w:rPr>
        <w:t xml:space="preserve"> Moreover, we find that grant will result in more effective implementation of Commission policy by preserving and promoting increased local programming in the Lubbock, TX DMA.</w:t>
      </w:r>
      <w:r w:rsidRPr="009F24B0" w:rsidR="0098392A">
        <w:rPr>
          <w:snapToGrid w:val="0"/>
          <w:kern w:val="28"/>
          <w:sz w:val="22"/>
        </w:rPr>
        <w:t xml:space="preserve"> </w:t>
      </w:r>
    </w:p>
    <w:p w:rsidR="004E2E97" w:rsidRPr="009F24B0" w:rsidP="001B014C" w14:paraId="6D2BEB1D" w14:textId="5F5F79E7">
      <w:pPr>
        <w:spacing w:after="120"/>
        <w:ind w:firstLine="720"/>
        <w:rPr>
          <w:snapToGrid w:val="0"/>
          <w:kern w:val="28"/>
          <w:sz w:val="22"/>
        </w:rPr>
      </w:pPr>
      <w:r w:rsidRPr="009F24B0">
        <w:rPr>
          <w:i/>
          <w:iCs/>
          <w:snapToGrid w:val="0"/>
          <w:kern w:val="28"/>
          <w:sz w:val="22"/>
        </w:rPr>
        <w:t>Louisville</w:t>
      </w:r>
      <w:r w:rsidRPr="009F24B0" w:rsidR="00EE687D">
        <w:rPr>
          <w:i/>
          <w:iCs/>
          <w:snapToGrid w:val="0"/>
          <w:kern w:val="28"/>
          <w:sz w:val="22"/>
        </w:rPr>
        <w:t>, KY</w:t>
      </w:r>
      <w:r w:rsidRPr="009F24B0">
        <w:rPr>
          <w:snapToGrid w:val="0"/>
          <w:kern w:val="28"/>
          <w:sz w:val="22"/>
        </w:rPr>
        <w:t xml:space="preserve">.  </w:t>
      </w:r>
      <w:r w:rsidRPr="009F24B0" w:rsidR="000754ED">
        <w:rPr>
          <w:snapToGrid w:val="0"/>
          <w:kern w:val="28"/>
          <w:sz w:val="22"/>
        </w:rPr>
        <w:t xml:space="preserve">Gray </w:t>
      </w:r>
      <w:r w:rsidRPr="009F24B0" w:rsidR="00577D32">
        <w:rPr>
          <w:snapToGrid w:val="0"/>
          <w:kern w:val="28"/>
          <w:sz w:val="22"/>
        </w:rPr>
        <w:t>ow</w:t>
      </w:r>
      <w:r w:rsidRPr="009F24B0" w:rsidR="00EF235C">
        <w:rPr>
          <w:snapToGrid w:val="0"/>
          <w:kern w:val="28"/>
          <w:sz w:val="22"/>
        </w:rPr>
        <w:t xml:space="preserve">ns WAVE(TV), </w:t>
      </w:r>
      <w:r w:rsidRPr="009F24B0" w:rsidR="00397BFB">
        <w:rPr>
          <w:snapToGrid w:val="0"/>
          <w:kern w:val="28"/>
          <w:sz w:val="22"/>
        </w:rPr>
        <w:t>Louisville, Kentucky,</w:t>
      </w:r>
      <w:r w:rsidRPr="009F24B0" w:rsidR="006622AF">
        <w:rPr>
          <w:snapToGrid w:val="0"/>
          <w:kern w:val="28"/>
          <w:sz w:val="22"/>
        </w:rPr>
        <w:t xml:space="preserve"> and proposes to acquire </w:t>
      </w:r>
      <w:r w:rsidRPr="009F24B0" w:rsidR="006204CC">
        <w:rPr>
          <w:snapToGrid w:val="0"/>
          <w:kern w:val="28"/>
          <w:sz w:val="22"/>
        </w:rPr>
        <w:t>WDRB(TV), Louisville, Kentucky</w:t>
      </w:r>
      <w:r w:rsidRPr="009F24B0" w:rsidR="001C6899">
        <w:rPr>
          <w:snapToGrid w:val="0"/>
          <w:kern w:val="28"/>
          <w:sz w:val="22"/>
        </w:rPr>
        <w:t xml:space="preserve"> and WBKI</w:t>
      </w:r>
      <w:r w:rsidRPr="009F24B0" w:rsidR="009223E2">
        <w:rPr>
          <w:snapToGrid w:val="0"/>
          <w:kern w:val="28"/>
          <w:sz w:val="22"/>
        </w:rPr>
        <w:t>(TV)</w:t>
      </w:r>
      <w:r w:rsidRPr="009F24B0" w:rsidR="001C6899">
        <w:rPr>
          <w:snapToGrid w:val="0"/>
          <w:kern w:val="28"/>
          <w:sz w:val="22"/>
        </w:rPr>
        <w:t>, Salem, Indiana.</w:t>
      </w:r>
      <w:r>
        <w:rPr>
          <w:rStyle w:val="FootnoteReference"/>
          <w:snapToGrid w:val="0"/>
          <w:kern w:val="28"/>
        </w:rPr>
        <w:footnoteReference w:id="71"/>
      </w:r>
      <w:r w:rsidRPr="009F24B0" w:rsidR="0051034F">
        <w:rPr>
          <w:snapToGrid w:val="0"/>
          <w:kern w:val="28"/>
          <w:sz w:val="22"/>
        </w:rPr>
        <w:t xml:space="preserve">  Louisville</w:t>
      </w:r>
      <w:r w:rsidRPr="009F24B0" w:rsidR="00EE687D">
        <w:rPr>
          <w:snapToGrid w:val="0"/>
          <w:kern w:val="28"/>
          <w:sz w:val="22"/>
        </w:rPr>
        <w:t>, KY</w:t>
      </w:r>
      <w:r w:rsidRPr="009F24B0" w:rsidR="0051034F">
        <w:rPr>
          <w:snapToGrid w:val="0"/>
          <w:kern w:val="28"/>
          <w:sz w:val="22"/>
        </w:rPr>
        <w:t xml:space="preserve"> is the 4</w:t>
      </w:r>
      <w:r w:rsidRPr="009F24B0" w:rsidR="005B01E4">
        <w:rPr>
          <w:snapToGrid w:val="0"/>
          <w:kern w:val="28"/>
          <w:sz w:val="22"/>
        </w:rPr>
        <w:t>9th</w:t>
      </w:r>
      <w:r w:rsidRPr="009F24B0" w:rsidR="0051034F">
        <w:rPr>
          <w:snapToGrid w:val="0"/>
          <w:kern w:val="28"/>
          <w:sz w:val="22"/>
        </w:rPr>
        <w:t xml:space="preserve">-ranked </w:t>
      </w:r>
      <w:r w:rsidRPr="009F24B0" w:rsidR="0051034F">
        <w:rPr>
          <w:snapToGrid w:val="0"/>
          <w:kern w:val="28"/>
          <w:sz w:val="22"/>
        </w:rPr>
        <w:t xml:space="preserve">DMA, and has </w:t>
      </w:r>
      <w:r w:rsidRPr="009F24B0" w:rsidR="00613A87">
        <w:rPr>
          <w:snapToGrid w:val="0"/>
          <w:kern w:val="28"/>
          <w:sz w:val="22"/>
        </w:rPr>
        <w:t xml:space="preserve">five </w:t>
      </w:r>
      <w:r w:rsidRPr="009F24B0" w:rsidR="0051034F">
        <w:rPr>
          <w:snapToGrid w:val="0"/>
          <w:kern w:val="28"/>
          <w:sz w:val="22"/>
        </w:rPr>
        <w:t>full</w:t>
      </w:r>
      <w:r w:rsidRPr="009F24B0" w:rsidR="00A674B0">
        <w:rPr>
          <w:snapToGrid w:val="0"/>
          <w:kern w:val="28"/>
          <w:sz w:val="22"/>
        </w:rPr>
        <w:t xml:space="preserve"> </w:t>
      </w:r>
      <w:r w:rsidRPr="009F24B0" w:rsidR="0051034F">
        <w:rPr>
          <w:snapToGrid w:val="0"/>
          <w:kern w:val="28"/>
          <w:sz w:val="22"/>
        </w:rPr>
        <w:t xml:space="preserve">power </w:t>
      </w:r>
      <w:r w:rsidRPr="009F24B0" w:rsidR="00613A87">
        <w:rPr>
          <w:snapToGrid w:val="0"/>
          <w:kern w:val="28"/>
          <w:sz w:val="22"/>
        </w:rPr>
        <w:t xml:space="preserve">commercial </w:t>
      </w:r>
      <w:r w:rsidRPr="009F24B0" w:rsidR="0051034F">
        <w:rPr>
          <w:snapToGrid w:val="0"/>
          <w:kern w:val="28"/>
          <w:sz w:val="22"/>
        </w:rPr>
        <w:t>stations.</w:t>
      </w:r>
      <w:r>
        <w:rPr>
          <w:snapToGrid w:val="0"/>
          <w:kern w:val="28"/>
          <w:sz w:val="22"/>
          <w:vertAlign w:val="superscript"/>
        </w:rPr>
        <w:footnoteReference w:id="72"/>
      </w:r>
      <w:r w:rsidRPr="009F24B0" w:rsidR="001C6899">
        <w:rPr>
          <w:snapToGrid w:val="0"/>
          <w:kern w:val="28"/>
          <w:sz w:val="22"/>
        </w:rPr>
        <w:t xml:space="preserve">  WBKI</w:t>
      </w:r>
      <w:r w:rsidRPr="009F24B0" w:rsidR="006204CC">
        <w:rPr>
          <w:snapToGrid w:val="0"/>
          <w:kern w:val="28"/>
          <w:sz w:val="22"/>
        </w:rPr>
        <w:t xml:space="preserve"> </w:t>
      </w:r>
      <w:r w:rsidRPr="009F24B0" w:rsidR="009223E2">
        <w:rPr>
          <w:snapToGrid w:val="0"/>
          <w:kern w:val="28"/>
          <w:sz w:val="22"/>
        </w:rPr>
        <w:t xml:space="preserve">is the </w:t>
      </w:r>
      <w:r w:rsidRPr="009F24B0" w:rsidR="00F04976">
        <w:rPr>
          <w:snapToGrid w:val="0"/>
          <w:kern w:val="28"/>
          <w:sz w:val="22"/>
        </w:rPr>
        <w:t>fifth</w:t>
      </w:r>
      <w:r w:rsidRPr="009F24B0" w:rsidR="009223E2">
        <w:rPr>
          <w:snapToGrid w:val="0"/>
          <w:kern w:val="28"/>
          <w:sz w:val="22"/>
        </w:rPr>
        <w:t>-ranked station in market</w:t>
      </w:r>
      <w:r w:rsidRPr="009F24B0" w:rsidR="00C35289">
        <w:rPr>
          <w:snapToGrid w:val="0"/>
          <w:kern w:val="28"/>
          <w:sz w:val="22"/>
        </w:rPr>
        <w:t>,</w:t>
      </w:r>
      <w:r>
        <w:rPr>
          <w:rStyle w:val="FootnoteReference"/>
          <w:snapToGrid w:val="0"/>
          <w:kern w:val="28"/>
        </w:rPr>
        <w:footnoteReference w:id="73"/>
      </w:r>
      <w:r w:rsidRPr="009F24B0" w:rsidR="00AC69A3">
        <w:rPr>
          <w:snapToGrid w:val="0"/>
          <w:kern w:val="28"/>
          <w:sz w:val="22"/>
        </w:rPr>
        <w:t xml:space="preserve"> </w:t>
      </w:r>
      <w:r w:rsidRPr="009F24B0" w:rsidR="00C35289">
        <w:rPr>
          <w:snapToGrid w:val="0"/>
          <w:kern w:val="28"/>
          <w:sz w:val="22"/>
        </w:rPr>
        <w:t>and has cons</w:t>
      </w:r>
      <w:r w:rsidRPr="009F24B0" w:rsidR="00B16CEB">
        <w:rPr>
          <w:snapToGrid w:val="0"/>
          <w:kern w:val="28"/>
          <w:sz w:val="22"/>
        </w:rPr>
        <w:t>istently generated the lowest advertising revenue share.</w:t>
      </w:r>
      <w:r>
        <w:rPr>
          <w:rStyle w:val="FootnoteReference"/>
          <w:snapToGrid w:val="0"/>
          <w:kern w:val="28"/>
        </w:rPr>
        <w:footnoteReference w:id="74"/>
      </w:r>
      <w:r w:rsidRPr="009F24B0" w:rsidR="004C73CF">
        <w:rPr>
          <w:snapToGrid w:val="0"/>
          <w:kern w:val="28"/>
          <w:sz w:val="22"/>
        </w:rPr>
        <w:t xml:space="preserve">  </w:t>
      </w:r>
      <w:r w:rsidRPr="009F24B0" w:rsidR="00847CE4">
        <w:rPr>
          <w:snapToGrid w:val="0"/>
          <w:kern w:val="28"/>
          <w:sz w:val="22"/>
        </w:rPr>
        <w:t>The Block Applicants provide</w:t>
      </w:r>
      <w:r w:rsidRPr="009F24B0" w:rsidR="001B014C">
        <w:rPr>
          <w:snapToGrid w:val="0"/>
          <w:kern w:val="28"/>
          <w:sz w:val="22"/>
        </w:rPr>
        <w:t xml:space="preserve"> that “unlike local broadcast advertising revenue in Louisville, local advertising revenue for </w:t>
      </w:r>
      <w:r w:rsidRPr="009F24B0" w:rsidR="00340099">
        <w:rPr>
          <w:snapToGrid w:val="0"/>
          <w:kern w:val="28"/>
          <w:sz w:val="22"/>
        </w:rPr>
        <w:t>[connected TV (CTV)]</w:t>
      </w:r>
      <w:r w:rsidRPr="009F24B0" w:rsidR="001B014C">
        <w:rPr>
          <w:snapToGrid w:val="0"/>
          <w:kern w:val="28"/>
          <w:sz w:val="22"/>
        </w:rPr>
        <w:t xml:space="preserve"> and streaming services is growing – approximately 18% per year. </w:t>
      </w:r>
      <w:r w:rsidRPr="009F24B0" w:rsidR="00136C6C">
        <w:rPr>
          <w:snapToGrid w:val="0"/>
          <w:kern w:val="28"/>
          <w:sz w:val="22"/>
        </w:rPr>
        <w:t xml:space="preserve"> </w:t>
      </w:r>
      <w:r w:rsidRPr="009F24B0" w:rsidR="001B014C">
        <w:rPr>
          <w:snapToGrid w:val="0"/>
          <w:kern w:val="28"/>
          <w:sz w:val="22"/>
        </w:rPr>
        <w:t>In fact, by 2028, BIA estimates that CTV and streaming services will earn more local video advertising revenue than every television station in the Louisville DMA.”</w:t>
      </w:r>
      <w:r>
        <w:rPr>
          <w:rStyle w:val="FootnoteReference"/>
          <w:snapToGrid w:val="0"/>
          <w:kern w:val="28"/>
        </w:rPr>
        <w:footnoteReference w:id="75"/>
      </w:r>
    </w:p>
    <w:p w:rsidR="00877D80" w:rsidRPr="009F24B0" w:rsidP="000F78BF" w14:paraId="27CBDF16" w14:textId="57C7343E">
      <w:pPr>
        <w:spacing w:after="120"/>
        <w:ind w:firstLine="720"/>
        <w:rPr>
          <w:snapToGrid w:val="0"/>
          <w:kern w:val="28"/>
          <w:sz w:val="22"/>
          <w:highlight w:val="yellow"/>
        </w:rPr>
      </w:pPr>
      <w:r w:rsidRPr="009F24B0">
        <w:rPr>
          <w:snapToGrid w:val="0"/>
          <w:kern w:val="28"/>
          <w:sz w:val="22"/>
        </w:rPr>
        <w:t xml:space="preserve">In support of </w:t>
      </w:r>
      <w:r w:rsidRPr="009F24B0" w:rsidR="006E01B4">
        <w:rPr>
          <w:snapToGrid w:val="0"/>
          <w:kern w:val="28"/>
          <w:sz w:val="22"/>
        </w:rPr>
        <w:t xml:space="preserve">their </w:t>
      </w:r>
      <w:r w:rsidRPr="009F24B0" w:rsidR="00C63049">
        <w:rPr>
          <w:snapToGrid w:val="0"/>
          <w:kern w:val="28"/>
          <w:sz w:val="22"/>
        </w:rPr>
        <w:t xml:space="preserve">request to waive the </w:t>
      </w:r>
      <w:r w:rsidRPr="009F24B0" w:rsidR="001E6D12">
        <w:rPr>
          <w:snapToGrid w:val="0"/>
          <w:kern w:val="28"/>
          <w:sz w:val="22"/>
        </w:rPr>
        <w:t xml:space="preserve">Local </w:t>
      </w:r>
      <w:r w:rsidRPr="009F24B0" w:rsidR="00C63049">
        <w:rPr>
          <w:snapToGrid w:val="0"/>
          <w:kern w:val="28"/>
          <w:sz w:val="22"/>
        </w:rPr>
        <w:t xml:space="preserve">Television Ownership Rule, </w:t>
      </w:r>
      <w:r w:rsidRPr="009F24B0" w:rsidR="00694A71">
        <w:rPr>
          <w:snapToGrid w:val="0"/>
          <w:kern w:val="28"/>
          <w:sz w:val="22"/>
        </w:rPr>
        <w:t>the Block Applicants submit that “through enhanced local news programming investments and capabilities, the Transaction</w:t>
      </w:r>
      <w:r w:rsidRPr="009F24B0" w:rsidR="001A5897">
        <w:rPr>
          <w:snapToGrid w:val="0"/>
          <w:kern w:val="28"/>
          <w:sz w:val="22"/>
        </w:rPr>
        <w:t>s</w:t>
      </w:r>
      <w:r w:rsidRPr="009F24B0" w:rsidR="00694A71">
        <w:rPr>
          <w:snapToGrid w:val="0"/>
          <w:kern w:val="28"/>
          <w:sz w:val="22"/>
        </w:rPr>
        <w:t xml:space="preserve"> will empower WAVE, WDRB, and WBKI to better serve Louisville DMA viewers”</w:t>
      </w:r>
      <w:r>
        <w:rPr>
          <w:rStyle w:val="FootnoteReference"/>
          <w:snapToGrid w:val="0"/>
          <w:kern w:val="28"/>
        </w:rPr>
        <w:footnoteReference w:id="76"/>
      </w:r>
      <w:r w:rsidRPr="009F24B0" w:rsidR="00694A71">
        <w:rPr>
          <w:snapToGrid w:val="0"/>
          <w:kern w:val="28"/>
          <w:sz w:val="22"/>
        </w:rPr>
        <w:t xml:space="preserve"> by allowing these stations’ to “offer more hours for local news programming, expand Louisville residents’ access to local news, increase local sports coverage, and augment advertising revenue in the market.”</w:t>
      </w:r>
      <w:r>
        <w:rPr>
          <w:rStyle w:val="FootnoteReference"/>
          <w:snapToGrid w:val="0"/>
          <w:kern w:val="28"/>
        </w:rPr>
        <w:footnoteReference w:id="77"/>
      </w:r>
      <w:r w:rsidRPr="009F24B0" w:rsidR="00694A71">
        <w:rPr>
          <w:snapToGrid w:val="0"/>
          <w:kern w:val="28"/>
          <w:sz w:val="22"/>
        </w:rPr>
        <w:t xml:space="preserve">  </w:t>
      </w:r>
      <w:r w:rsidRPr="009F24B0" w:rsidR="003E5ABB">
        <w:rPr>
          <w:snapToGrid w:val="0"/>
          <w:kern w:val="28"/>
          <w:sz w:val="22"/>
        </w:rPr>
        <w:t>Specifically,</w:t>
      </w:r>
      <w:r w:rsidRPr="009F24B0" w:rsidR="00C54D86">
        <w:rPr>
          <w:snapToGrid w:val="0"/>
          <w:kern w:val="28"/>
          <w:sz w:val="22"/>
        </w:rPr>
        <w:t xml:space="preserve"> “Gray anticipates producing 120 hours of live local news and lifestyle per week to the stations based on WAVE and WDRB’s current programming.”</w:t>
      </w:r>
      <w:r>
        <w:rPr>
          <w:rStyle w:val="FootnoteReference"/>
          <w:snapToGrid w:val="0"/>
          <w:kern w:val="28"/>
        </w:rPr>
        <w:footnoteReference w:id="78"/>
      </w:r>
    </w:p>
    <w:p w:rsidR="008E75ED" w:rsidRPr="009F24B0" w:rsidP="00E75005" w14:paraId="3D2E9028" w14:textId="102C24EA">
      <w:pPr>
        <w:spacing w:after="120"/>
        <w:ind w:firstLine="720"/>
        <w:rPr>
          <w:snapToGrid w:val="0"/>
          <w:kern w:val="28"/>
          <w:sz w:val="22"/>
        </w:rPr>
      </w:pPr>
      <w:r w:rsidRPr="009F24B0">
        <w:rPr>
          <w:snapToGrid w:val="0"/>
          <w:kern w:val="28"/>
          <w:sz w:val="22"/>
        </w:rPr>
        <w:t xml:space="preserve">In further support of </w:t>
      </w:r>
      <w:r w:rsidRPr="009F24B0" w:rsidR="00C47E8E">
        <w:rPr>
          <w:snapToGrid w:val="0"/>
          <w:kern w:val="28"/>
          <w:sz w:val="22"/>
        </w:rPr>
        <w:t>their</w:t>
      </w:r>
      <w:r w:rsidRPr="009F24B0">
        <w:rPr>
          <w:snapToGrid w:val="0"/>
          <w:kern w:val="28"/>
          <w:sz w:val="22"/>
        </w:rPr>
        <w:t xml:space="preserve"> waiver request, t</w:t>
      </w:r>
      <w:r w:rsidRPr="009F24B0" w:rsidR="00604943">
        <w:rPr>
          <w:snapToGrid w:val="0"/>
          <w:kern w:val="28"/>
          <w:sz w:val="22"/>
        </w:rPr>
        <w:t>he Block Applicants</w:t>
      </w:r>
      <w:r w:rsidRPr="009F24B0">
        <w:rPr>
          <w:snapToGrid w:val="0"/>
          <w:kern w:val="28"/>
          <w:sz w:val="22"/>
        </w:rPr>
        <w:t xml:space="preserve"> maintain that given the weakness of WBKI, which Gray asserts shows signs of “failing</w:t>
      </w:r>
      <w:r w:rsidRPr="009F24B0" w:rsidR="00CF7B7B">
        <w:rPr>
          <w:snapToGrid w:val="0"/>
          <w:kern w:val="28"/>
          <w:sz w:val="22"/>
        </w:rPr>
        <w:t>,</w:t>
      </w:r>
      <w:r w:rsidRPr="009F24B0">
        <w:rPr>
          <w:snapToGrid w:val="0"/>
          <w:kern w:val="28"/>
          <w:sz w:val="22"/>
        </w:rPr>
        <w:t>”</w:t>
      </w:r>
      <w:r>
        <w:rPr>
          <w:rStyle w:val="FootnoteReference"/>
          <w:snapToGrid w:val="0"/>
          <w:kern w:val="28"/>
        </w:rPr>
        <w:footnoteReference w:id="79"/>
      </w:r>
      <w:r w:rsidRPr="009F24B0" w:rsidR="00CF7B7B">
        <w:rPr>
          <w:snapToGrid w:val="0"/>
          <w:kern w:val="28"/>
          <w:sz w:val="22"/>
        </w:rPr>
        <w:t xml:space="preserve"> combined ownership would </w:t>
      </w:r>
      <w:r w:rsidRPr="009F24B0" w:rsidR="007D129C">
        <w:rPr>
          <w:snapToGrid w:val="0"/>
          <w:kern w:val="28"/>
          <w:sz w:val="22"/>
        </w:rPr>
        <w:t>result in “substantial public benefits to Louisville residents.”</w:t>
      </w:r>
      <w:r>
        <w:rPr>
          <w:rStyle w:val="FootnoteReference"/>
          <w:snapToGrid w:val="0"/>
          <w:kern w:val="28"/>
        </w:rPr>
        <w:footnoteReference w:id="80"/>
      </w:r>
      <w:r w:rsidRPr="009F24B0" w:rsidR="007D129C">
        <w:rPr>
          <w:snapToGrid w:val="0"/>
          <w:kern w:val="28"/>
          <w:sz w:val="22"/>
        </w:rPr>
        <w:t xml:space="preserve"> </w:t>
      </w:r>
      <w:r w:rsidRPr="009F24B0" w:rsidR="00E75005">
        <w:rPr>
          <w:snapToGrid w:val="0"/>
          <w:kern w:val="28"/>
          <w:sz w:val="22"/>
        </w:rPr>
        <w:t xml:space="preserve"> In addition, the Block Applicants assert that WBKI’s circumstances would be “even bleaker if the station were sold to an independent third party.”</w:t>
      </w:r>
      <w:r>
        <w:rPr>
          <w:rStyle w:val="FootnoteReference"/>
          <w:snapToGrid w:val="0"/>
          <w:kern w:val="28"/>
        </w:rPr>
        <w:footnoteReference w:id="81"/>
      </w:r>
      <w:r w:rsidRPr="009F24B0" w:rsidR="00E75005">
        <w:rPr>
          <w:snapToGrid w:val="0"/>
          <w:kern w:val="28"/>
          <w:sz w:val="22"/>
        </w:rPr>
        <w:t xml:space="preserve">  Specifically, “[w]ithout the efficiencies of sharing facilities, employees, advertising sales, and other operations with WDRB (and, as a result of the Transaction, WAVE), WBKI would face even lower viewership and revenue.”</w:t>
      </w:r>
      <w:r>
        <w:rPr>
          <w:rStyle w:val="FootnoteReference"/>
          <w:snapToGrid w:val="0"/>
          <w:kern w:val="28"/>
        </w:rPr>
        <w:footnoteReference w:id="82"/>
      </w:r>
      <w:r w:rsidRPr="009F24B0" w:rsidR="00B16C6C">
        <w:rPr>
          <w:snapToGrid w:val="0"/>
          <w:kern w:val="28"/>
          <w:sz w:val="22"/>
        </w:rPr>
        <w:t xml:space="preserve">  </w:t>
      </w:r>
      <w:r w:rsidRPr="009F24B0" w:rsidR="005E47C6">
        <w:rPr>
          <w:snapToGrid w:val="0"/>
          <w:kern w:val="28"/>
          <w:sz w:val="22"/>
        </w:rPr>
        <w:t>Instead, if the Applications are granted, “Gray plans to utilize its resources to reinvigorate WBKI with local programming that would be prohibitively expensive and logistically challenging for WBKI to produce and deliver as a stand-alone station.”</w:t>
      </w:r>
      <w:r>
        <w:rPr>
          <w:rStyle w:val="FootnoteReference"/>
          <w:snapToGrid w:val="0"/>
          <w:kern w:val="28"/>
        </w:rPr>
        <w:footnoteReference w:id="83"/>
      </w:r>
    </w:p>
    <w:p w:rsidR="007D2C90" w:rsidRPr="009F24B0" w:rsidP="000F78BF" w14:paraId="614AF751" w14:textId="31C3399B">
      <w:pPr>
        <w:spacing w:after="120"/>
        <w:ind w:firstLine="720"/>
        <w:rPr>
          <w:snapToGrid w:val="0"/>
          <w:kern w:val="28"/>
          <w:sz w:val="22"/>
        </w:rPr>
      </w:pPr>
      <w:r w:rsidRPr="009F24B0">
        <w:rPr>
          <w:snapToGrid w:val="0"/>
          <w:kern w:val="28"/>
          <w:sz w:val="22"/>
        </w:rPr>
        <w:t>More specifically, the Block Applicants</w:t>
      </w:r>
      <w:r w:rsidRPr="009F24B0" w:rsidR="00DD21B8">
        <w:rPr>
          <w:snapToGrid w:val="0"/>
          <w:kern w:val="28"/>
          <w:sz w:val="22"/>
        </w:rPr>
        <w:t xml:space="preserve"> and the </w:t>
      </w:r>
      <w:r w:rsidRPr="00914955" w:rsidR="00DD21B8">
        <w:rPr>
          <w:kern w:val="28"/>
          <w:sz w:val="22"/>
        </w:rPr>
        <w:t>Gray Localism Commitment Letter</w:t>
      </w:r>
      <w:r w:rsidRPr="009F24B0">
        <w:rPr>
          <w:snapToGrid w:val="0"/>
          <w:kern w:val="28"/>
          <w:sz w:val="22"/>
        </w:rPr>
        <w:t xml:space="preserve"> </w:t>
      </w:r>
      <w:r w:rsidRPr="009F24B0" w:rsidR="00F16C01">
        <w:rPr>
          <w:snapToGrid w:val="0"/>
          <w:kern w:val="28"/>
          <w:sz w:val="22"/>
        </w:rPr>
        <w:t xml:space="preserve">document </w:t>
      </w:r>
      <w:r w:rsidRPr="009F24B0" w:rsidR="00CD42AB">
        <w:rPr>
          <w:snapToGrid w:val="0"/>
          <w:kern w:val="28"/>
          <w:sz w:val="22"/>
        </w:rPr>
        <w:t xml:space="preserve">several </w:t>
      </w:r>
      <w:r w:rsidRPr="009F24B0" w:rsidR="003F1062">
        <w:rPr>
          <w:snapToGrid w:val="0"/>
          <w:kern w:val="28"/>
          <w:sz w:val="22"/>
        </w:rPr>
        <w:t xml:space="preserve">ways </w:t>
      </w:r>
      <w:r w:rsidRPr="009F24B0" w:rsidR="007365A9">
        <w:rPr>
          <w:snapToGrid w:val="0"/>
          <w:kern w:val="28"/>
          <w:sz w:val="22"/>
        </w:rPr>
        <w:t xml:space="preserve">that Gray </w:t>
      </w:r>
      <w:r w:rsidRPr="009F24B0" w:rsidR="003F1062">
        <w:rPr>
          <w:snapToGrid w:val="0"/>
          <w:kern w:val="28"/>
          <w:sz w:val="22"/>
        </w:rPr>
        <w:t xml:space="preserve">will improve service </w:t>
      </w:r>
      <w:r w:rsidRPr="009F24B0" w:rsidR="007365A9">
        <w:rPr>
          <w:snapToGrid w:val="0"/>
          <w:kern w:val="28"/>
          <w:sz w:val="22"/>
        </w:rPr>
        <w:t>based upon the combine</w:t>
      </w:r>
      <w:r w:rsidRPr="009F24B0" w:rsidR="00DD21B8">
        <w:rPr>
          <w:snapToGrid w:val="0"/>
          <w:kern w:val="28"/>
          <w:sz w:val="22"/>
        </w:rPr>
        <w:t>d</w:t>
      </w:r>
      <w:r w:rsidRPr="009F24B0" w:rsidR="007365A9">
        <w:rPr>
          <w:snapToGrid w:val="0"/>
          <w:kern w:val="28"/>
          <w:sz w:val="22"/>
        </w:rPr>
        <w:t xml:space="preserve"> ownership of WAVE, WDRB, and </w:t>
      </w:r>
      <w:r w:rsidRPr="009F24B0" w:rsidR="007365A9">
        <w:rPr>
          <w:snapToGrid w:val="0"/>
          <w:kern w:val="28"/>
          <w:sz w:val="22"/>
        </w:rPr>
        <w:t>WBKI</w:t>
      </w:r>
      <w:r w:rsidRPr="009F24B0" w:rsidR="00E55E6F">
        <w:rPr>
          <w:snapToGrid w:val="0"/>
          <w:kern w:val="28"/>
          <w:sz w:val="22"/>
        </w:rPr>
        <w:t xml:space="preserve">.  First, </w:t>
      </w:r>
      <w:r w:rsidRPr="009F24B0" w:rsidR="007365A9">
        <w:rPr>
          <w:snapToGrid w:val="0"/>
          <w:kern w:val="28"/>
          <w:sz w:val="22"/>
        </w:rPr>
        <w:t>Gray</w:t>
      </w:r>
      <w:r w:rsidRPr="009F24B0" w:rsidR="00A94BB5">
        <w:rPr>
          <w:snapToGrid w:val="0"/>
          <w:kern w:val="28"/>
          <w:sz w:val="22"/>
        </w:rPr>
        <w:t xml:space="preserve"> will be able to increase and enhance quality of programming </w:t>
      </w:r>
      <w:r w:rsidRPr="009F24B0" w:rsidR="00104157">
        <w:rPr>
          <w:snapToGrid w:val="0"/>
          <w:kern w:val="28"/>
          <w:sz w:val="22"/>
        </w:rPr>
        <w:t>through synergies, most notably combining their operations into a single studio</w:t>
      </w:r>
      <w:r w:rsidRPr="009F24B0" w:rsidR="007F762D">
        <w:rPr>
          <w:snapToGrid w:val="0"/>
          <w:kern w:val="28"/>
          <w:sz w:val="22"/>
        </w:rPr>
        <w:t xml:space="preserve">, </w:t>
      </w:r>
      <w:r w:rsidRPr="009F24B0" w:rsidR="006B5CD1">
        <w:rPr>
          <w:snapToGrid w:val="0"/>
          <w:kern w:val="28"/>
          <w:sz w:val="22"/>
        </w:rPr>
        <w:t>which</w:t>
      </w:r>
      <w:r w:rsidRPr="009F24B0" w:rsidR="007955C9">
        <w:rPr>
          <w:snapToGrid w:val="0"/>
          <w:kern w:val="28"/>
          <w:sz w:val="22"/>
        </w:rPr>
        <w:t xml:space="preserve"> also</w:t>
      </w:r>
      <w:r w:rsidRPr="009F24B0" w:rsidR="007F762D">
        <w:rPr>
          <w:snapToGrid w:val="0"/>
          <w:kern w:val="28"/>
          <w:sz w:val="22"/>
        </w:rPr>
        <w:t xml:space="preserve"> “will enable hiring more report</w:t>
      </w:r>
      <w:r w:rsidRPr="009F24B0" w:rsidR="0007240E">
        <w:rPr>
          <w:snapToGrid w:val="0"/>
          <w:kern w:val="28"/>
          <w:sz w:val="22"/>
        </w:rPr>
        <w:t>e</w:t>
      </w:r>
      <w:r w:rsidRPr="009F24B0" w:rsidR="007F762D">
        <w:rPr>
          <w:snapToGrid w:val="0"/>
          <w:kern w:val="28"/>
          <w:sz w:val="22"/>
        </w:rPr>
        <w:t>rs, producers, and other newsroom staf</w:t>
      </w:r>
      <w:r w:rsidRPr="009F24B0" w:rsidR="00EE5A53">
        <w:rPr>
          <w:snapToGrid w:val="0"/>
          <w:kern w:val="28"/>
          <w:sz w:val="22"/>
        </w:rPr>
        <w:t>f</w:t>
      </w:r>
      <w:r w:rsidRPr="009F24B0" w:rsidR="00AC6B6C">
        <w:rPr>
          <w:snapToGrid w:val="0"/>
          <w:kern w:val="28"/>
          <w:sz w:val="22"/>
        </w:rPr>
        <w:t>—facilitating more local news stories</w:t>
      </w:r>
      <w:r w:rsidRPr="009F24B0" w:rsidR="00104157">
        <w:rPr>
          <w:snapToGrid w:val="0"/>
          <w:kern w:val="28"/>
          <w:sz w:val="22"/>
        </w:rPr>
        <w:t>.</w:t>
      </w:r>
      <w:r w:rsidRPr="009F24B0" w:rsidR="00AC6B6C">
        <w:rPr>
          <w:snapToGrid w:val="0"/>
          <w:kern w:val="28"/>
          <w:sz w:val="22"/>
        </w:rPr>
        <w:t>”</w:t>
      </w:r>
      <w:r>
        <w:rPr>
          <w:rStyle w:val="FootnoteReference"/>
          <w:snapToGrid w:val="0"/>
          <w:kern w:val="28"/>
        </w:rPr>
        <w:footnoteReference w:id="84"/>
      </w:r>
      <w:r w:rsidRPr="009F24B0" w:rsidR="00647ECF">
        <w:rPr>
          <w:snapToGrid w:val="0"/>
          <w:kern w:val="28"/>
          <w:sz w:val="22"/>
        </w:rPr>
        <w:t xml:space="preserve">  </w:t>
      </w:r>
      <w:r w:rsidRPr="009F24B0" w:rsidR="00964094">
        <w:rPr>
          <w:snapToGrid w:val="0"/>
          <w:kern w:val="28"/>
          <w:sz w:val="22"/>
        </w:rPr>
        <w:t>Gray also commits that it “will add investigators to its news staff in Louisville to bolster the strong news department.”</w:t>
      </w:r>
      <w:r>
        <w:rPr>
          <w:rStyle w:val="FootnoteReference"/>
          <w:snapToGrid w:val="0"/>
          <w:kern w:val="28"/>
        </w:rPr>
        <w:footnoteReference w:id="85"/>
      </w:r>
      <w:r w:rsidRPr="009F24B0" w:rsidR="00964094">
        <w:rPr>
          <w:snapToGrid w:val="0"/>
          <w:kern w:val="28"/>
          <w:sz w:val="22"/>
        </w:rPr>
        <w:t xml:space="preserve">  </w:t>
      </w:r>
      <w:r w:rsidRPr="009F24B0" w:rsidR="00647ECF">
        <w:rPr>
          <w:snapToGrid w:val="0"/>
          <w:kern w:val="28"/>
          <w:sz w:val="22"/>
        </w:rPr>
        <w:t>Second,</w:t>
      </w:r>
      <w:r w:rsidRPr="009F24B0" w:rsidR="007D76A1">
        <w:rPr>
          <w:snapToGrid w:val="0"/>
          <w:kern w:val="28"/>
          <w:sz w:val="22"/>
        </w:rPr>
        <w:t xml:space="preserve"> “adding WDRB and WBKI to Gray’s WAVE creates more time blocks for local news coverage that could benefit Louisville DMA viewers.”</w:t>
      </w:r>
      <w:r>
        <w:rPr>
          <w:rStyle w:val="FootnoteReference"/>
          <w:snapToGrid w:val="0"/>
          <w:kern w:val="28"/>
        </w:rPr>
        <w:footnoteReference w:id="86"/>
      </w:r>
      <w:r w:rsidRPr="009F24B0" w:rsidR="007D76A1">
        <w:rPr>
          <w:snapToGrid w:val="0"/>
          <w:kern w:val="28"/>
          <w:sz w:val="22"/>
        </w:rPr>
        <w:t xml:space="preserve">  For example, WDRB’s “current 30 hours of syndicated programming per week would provide the capacity to develop more local news programming that will further meet the needs of Louisville DMA viewers.</w:t>
      </w:r>
      <w:r w:rsidRPr="009F24B0" w:rsidR="00876779">
        <w:rPr>
          <w:snapToGrid w:val="0"/>
          <w:kern w:val="28"/>
          <w:sz w:val="22"/>
        </w:rPr>
        <w:t>”</w:t>
      </w:r>
      <w:r>
        <w:rPr>
          <w:rStyle w:val="FootnoteReference"/>
          <w:snapToGrid w:val="0"/>
          <w:kern w:val="28"/>
        </w:rPr>
        <w:footnoteReference w:id="87"/>
      </w:r>
      <w:r w:rsidRPr="009F24B0" w:rsidR="00876779">
        <w:rPr>
          <w:snapToGrid w:val="0"/>
          <w:kern w:val="28"/>
          <w:sz w:val="22"/>
        </w:rPr>
        <w:t xml:space="preserve">  Gray has already, at WAVE, replaced </w:t>
      </w:r>
      <w:r w:rsidRPr="009F24B0" w:rsidR="002D6AD9">
        <w:rPr>
          <w:snapToGrid w:val="0"/>
          <w:kern w:val="28"/>
          <w:sz w:val="22"/>
        </w:rPr>
        <w:t>“</w:t>
      </w:r>
      <w:r w:rsidRPr="009F24B0" w:rsidR="00876779">
        <w:rPr>
          <w:snapToGrid w:val="0"/>
          <w:kern w:val="28"/>
          <w:sz w:val="22"/>
        </w:rPr>
        <w:t xml:space="preserve">all of its nationally syndicated content with locally produced content and </w:t>
      </w:r>
      <w:r w:rsidRPr="009F24B0" w:rsidR="00E57308">
        <w:rPr>
          <w:snapToGrid w:val="0"/>
          <w:kern w:val="28"/>
          <w:sz w:val="22"/>
        </w:rPr>
        <w:t>other news programming that Gray produces</w:t>
      </w:r>
      <w:r w:rsidRPr="009F24B0" w:rsidR="00876779">
        <w:rPr>
          <w:snapToGrid w:val="0"/>
          <w:kern w:val="28"/>
          <w:sz w:val="22"/>
        </w:rPr>
        <w:t>.”</w:t>
      </w:r>
      <w:r>
        <w:rPr>
          <w:rStyle w:val="FootnoteReference"/>
          <w:snapToGrid w:val="0"/>
          <w:kern w:val="28"/>
        </w:rPr>
        <w:footnoteReference w:id="88"/>
      </w:r>
      <w:r w:rsidRPr="009F24B0" w:rsidR="00876779">
        <w:rPr>
          <w:snapToGrid w:val="0"/>
          <w:kern w:val="28"/>
          <w:sz w:val="22"/>
        </w:rPr>
        <w:t xml:space="preserve">  </w:t>
      </w:r>
      <w:r w:rsidRPr="00414670" w:rsidR="00876779">
        <w:rPr>
          <w:kern w:val="28"/>
          <w:sz w:val="22"/>
        </w:rPr>
        <w:t>Gray</w:t>
      </w:r>
      <w:r w:rsidRPr="00414670" w:rsidR="00E57308">
        <w:rPr>
          <w:snapToGrid w:val="0"/>
          <w:kern w:val="28"/>
          <w:sz w:val="22"/>
        </w:rPr>
        <w:t xml:space="preserve"> states that it</w:t>
      </w:r>
      <w:r w:rsidRPr="00414670" w:rsidR="00876779">
        <w:rPr>
          <w:snapToGrid w:val="0"/>
          <w:kern w:val="28"/>
          <w:sz w:val="22"/>
        </w:rPr>
        <w:t xml:space="preserve"> will look to </w:t>
      </w:r>
      <w:r w:rsidRPr="00414670" w:rsidR="00E57308">
        <w:rPr>
          <w:snapToGrid w:val="0"/>
          <w:kern w:val="28"/>
          <w:sz w:val="22"/>
        </w:rPr>
        <w:t>follow the same playbook at</w:t>
      </w:r>
      <w:r w:rsidRPr="00414670" w:rsidR="00876779">
        <w:rPr>
          <w:snapToGrid w:val="0"/>
          <w:kern w:val="28"/>
          <w:sz w:val="22"/>
        </w:rPr>
        <w:t xml:space="preserve"> WDRB and WBKI</w:t>
      </w:r>
      <w:r w:rsidRPr="00414670" w:rsidR="007841B5">
        <w:rPr>
          <w:snapToGrid w:val="0"/>
          <w:kern w:val="28"/>
          <w:sz w:val="22"/>
        </w:rPr>
        <w:t>.</w:t>
      </w:r>
      <w:r>
        <w:rPr>
          <w:rStyle w:val="FootnoteReference"/>
          <w:snapToGrid w:val="0"/>
          <w:kern w:val="28"/>
        </w:rPr>
        <w:footnoteReference w:id="89"/>
      </w:r>
      <w:r w:rsidRPr="00414670" w:rsidR="007841B5">
        <w:rPr>
          <w:snapToGrid w:val="0"/>
          <w:kern w:val="28"/>
          <w:sz w:val="22"/>
        </w:rPr>
        <w:t xml:space="preserve">  </w:t>
      </w:r>
      <w:r w:rsidRPr="00414670" w:rsidR="009E090C">
        <w:rPr>
          <w:snapToGrid w:val="0"/>
          <w:kern w:val="28"/>
          <w:sz w:val="22"/>
        </w:rPr>
        <w:t xml:space="preserve">Third, </w:t>
      </w:r>
      <w:r w:rsidRPr="00414670" w:rsidR="001A7A98">
        <w:rPr>
          <w:snapToGrid w:val="0"/>
          <w:kern w:val="28"/>
          <w:sz w:val="22"/>
        </w:rPr>
        <w:t xml:space="preserve">according to </w:t>
      </w:r>
      <w:r w:rsidRPr="00414670" w:rsidR="001A7A98">
        <w:rPr>
          <w:kern w:val="28"/>
          <w:sz w:val="22"/>
        </w:rPr>
        <w:t>Gray</w:t>
      </w:r>
      <w:r w:rsidRPr="00414670" w:rsidR="001A7A98">
        <w:rPr>
          <w:snapToGrid w:val="0"/>
          <w:kern w:val="28"/>
          <w:sz w:val="22"/>
        </w:rPr>
        <w:t xml:space="preserve">, </w:t>
      </w:r>
      <w:r w:rsidRPr="00414670" w:rsidR="006C1EE3">
        <w:rPr>
          <w:snapToGrid w:val="0"/>
          <w:kern w:val="28"/>
          <w:sz w:val="22"/>
        </w:rPr>
        <w:t>combining WAVE, WDRB, and WBKI</w:t>
      </w:r>
      <w:r w:rsidRPr="00414670" w:rsidR="001A7A98">
        <w:rPr>
          <w:snapToGrid w:val="0"/>
          <w:kern w:val="28"/>
          <w:sz w:val="22"/>
        </w:rPr>
        <w:t xml:space="preserve"> will expand Gray’s livestreaming capability and allow all of those stations to reach viewer</w:t>
      </w:r>
      <w:r w:rsidRPr="00414670" w:rsidR="004D6B1C">
        <w:rPr>
          <w:snapToGrid w:val="0"/>
          <w:kern w:val="28"/>
          <w:sz w:val="22"/>
        </w:rPr>
        <w:t>s who do not have access to over-the-air broadcast news programming.</w:t>
      </w:r>
      <w:r>
        <w:rPr>
          <w:rStyle w:val="FootnoteReference"/>
          <w:snapToGrid w:val="0"/>
          <w:kern w:val="28"/>
        </w:rPr>
        <w:footnoteReference w:id="90"/>
      </w:r>
      <w:r w:rsidRPr="00414670" w:rsidR="005D1649">
        <w:rPr>
          <w:snapToGrid w:val="0"/>
          <w:kern w:val="28"/>
          <w:sz w:val="22"/>
        </w:rPr>
        <w:t xml:space="preserve">  Fourth, </w:t>
      </w:r>
      <w:r w:rsidRPr="00414670" w:rsidR="002D2F07">
        <w:rPr>
          <w:snapToGrid w:val="0"/>
          <w:kern w:val="28"/>
          <w:sz w:val="22"/>
        </w:rPr>
        <w:t>grant of the Block Applications</w:t>
      </w:r>
      <w:r w:rsidRPr="00414670" w:rsidR="00CB06D8">
        <w:rPr>
          <w:snapToGrid w:val="0"/>
          <w:kern w:val="28"/>
          <w:sz w:val="22"/>
        </w:rPr>
        <w:t xml:space="preserve"> will provide </w:t>
      </w:r>
      <w:r w:rsidRPr="00414670" w:rsidR="00B364FE">
        <w:rPr>
          <w:snapToGrid w:val="0"/>
          <w:kern w:val="28"/>
          <w:sz w:val="22"/>
        </w:rPr>
        <w:t xml:space="preserve">Louisville </w:t>
      </w:r>
      <w:r w:rsidRPr="00414670" w:rsidR="00D31835">
        <w:rPr>
          <w:snapToGrid w:val="0"/>
          <w:kern w:val="28"/>
          <w:sz w:val="22"/>
        </w:rPr>
        <w:t>viewers with more live local sports for free.</w:t>
      </w:r>
      <w:r>
        <w:rPr>
          <w:rStyle w:val="FootnoteReference"/>
          <w:snapToGrid w:val="0"/>
          <w:kern w:val="28"/>
        </w:rPr>
        <w:footnoteReference w:id="91"/>
      </w:r>
      <w:r w:rsidRPr="00414670" w:rsidR="00421CCE">
        <w:rPr>
          <w:snapToGrid w:val="0"/>
          <w:kern w:val="28"/>
          <w:sz w:val="22"/>
        </w:rPr>
        <w:t xml:space="preserve">  Gray </w:t>
      </w:r>
      <w:r w:rsidRPr="00414670" w:rsidR="00AB12BF">
        <w:rPr>
          <w:snapToGrid w:val="0"/>
          <w:kern w:val="28"/>
          <w:sz w:val="22"/>
        </w:rPr>
        <w:t>emphasizes that it will have more opportunities to shift locally</w:t>
      </w:r>
      <w:r w:rsidRPr="00414670" w:rsidR="00BF7C28">
        <w:rPr>
          <w:snapToGrid w:val="0"/>
          <w:kern w:val="28"/>
          <w:sz w:val="22"/>
        </w:rPr>
        <w:t>-produced programming to an acquired Block station if a network preempts its e</w:t>
      </w:r>
      <w:r w:rsidRPr="00414670" w:rsidR="00CC531A">
        <w:rPr>
          <w:snapToGrid w:val="0"/>
          <w:kern w:val="28"/>
          <w:sz w:val="22"/>
        </w:rPr>
        <w:t>xisting local programming.</w:t>
      </w:r>
      <w:r>
        <w:rPr>
          <w:rStyle w:val="FootnoteReference"/>
          <w:snapToGrid w:val="0"/>
          <w:kern w:val="28"/>
        </w:rPr>
        <w:footnoteReference w:id="92"/>
      </w:r>
      <w:r w:rsidRPr="00414670" w:rsidR="003F4312">
        <w:rPr>
          <w:snapToGrid w:val="0"/>
          <w:kern w:val="28"/>
          <w:sz w:val="22"/>
        </w:rPr>
        <w:t xml:space="preserve">  Fifth, </w:t>
      </w:r>
      <w:r w:rsidRPr="00414670" w:rsidR="00961685">
        <w:rPr>
          <w:kern w:val="28"/>
          <w:sz w:val="22"/>
        </w:rPr>
        <w:t>Gray</w:t>
      </w:r>
      <w:r w:rsidRPr="00414670" w:rsidR="00961685">
        <w:rPr>
          <w:snapToGrid w:val="0"/>
          <w:kern w:val="28"/>
          <w:sz w:val="22"/>
        </w:rPr>
        <w:t xml:space="preserve"> asserts that </w:t>
      </w:r>
      <w:r w:rsidRPr="00414670" w:rsidR="00C2028B">
        <w:rPr>
          <w:snapToGrid w:val="0"/>
          <w:kern w:val="28"/>
          <w:sz w:val="22"/>
        </w:rPr>
        <w:t xml:space="preserve">grant of the Block Applications </w:t>
      </w:r>
      <w:r w:rsidRPr="00414670" w:rsidR="005A04F0">
        <w:rPr>
          <w:snapToGrid w:val="0"/>
          <w:kern w:val="28"/>
          <w:sz w:val="22"/>
        </w:rPr>
        <w:t xml:space="preserve">will </w:t>
      </w:r>
      <w:r w:rsidRPr="00414670" w:rsidR="003E3C99">
        <w:rPr>
          <w:snapToGrid w:val="0"/>
          <w:kern w:val="28"/>
          <w:sz w:val="22"/>
        </w:rPr>
        <w:t>enable</w:t>
      </w:r>
      <w:r w:rsidRPr="00414670" w:rsidR="005A04F0">
        <w:rPr>
          <w:snapToGrid w:val="0"/>
          <w:kern w:val="28"/>
          <w:sz w:val="22"/>
        </w:rPr>
        <w:t xml:space="preserve"> the Block stations </w:t>
      </w:r>
      <w:r w:rsidRPr="00414670" w:rsidR="004F0251">
        <w:rPr>
          <w:snapToGrid w:val="0"/>
          <w:kern w:val="28"/>
          <w:sz w:val="22"/>
        </w:rPr>
        <w:t xml:space="preserve">to leverage </w:t>
      </w:r>
      <w:r w:rsidRPr="00414670" w:rsidR="005A04F0">
        <w:rPr>
          <w:snapToGrid w:val="0"/>
          <w:kern w:val="28"/>
          <w:sz w:val="22"/>
        </w:rPr>
        <w:t>Gray’s</w:t>
      </w:r>
      <w:r w:rsidRPr="00414670" w:rsidR="004F0251">
        <w:rPr>
          <w:snapToGrid w:val="0"/>
          <w:kern w:val="28"/>
          <w:sz w:val="22"/>
        </w:rPr>
        <w:t xml:space="preserve"> digital resources</w:t>
      </w:r>
      <w:r w:rsidRPr="00414670" w:rsidR="003E3C99">
        <w:rPr>
          <w:snapToGrid w:val="0"/>
          <w:kern w:val="28"/>
          <w:sz w:val="22"/>
        </w:rPr>
        <w:t>,</w:t>
      </w:r>
      <w:r w:rsidRPr="00414670" w:rsidR="004F0251">
        <w:rPr>
          <w:snapToGrid w:val="0"/>
          <w:kern w:val="28"/>
          <w:sz w:val="22"/>
        </w:rPr>
        <w:t xml:space="preserve"> </w:t>
      </w:r>
      <w:r w:rsidRPr="00414670" w:rsidR="003E3C99">
        <w:rPr>
          <w:snapToGrid w:val="0"/>
          <w:kern w:val="28"/>
          <w:sz w:val="22"/>
        </w:rPr>
        <w:t>which</w:t>
      </w:r>
      <w:r w:rsidRPr="00414670" w:rsidR="009047CC">
        <w:rPr>
          <w:snapToGrid w:val="0"/>
          <w:kern w:val="28"/>
          <w:sz w:val="22"/>
        </w:rPr>
        <w:t xml:space="preserve"> will</w:t>
      </w:r>
      <w:r w:rsidRPr="009F24B0" w:rsidR="004F0251">
        <w:rPr>
          <w:snapToGrid w:val="0"/>
          <w:kern w:val="28"/>
          <w:sz w:val="22"/>
        </w:rPr>
        <w:t xml:space="preserve"> </w:t>
      </w:r>
      <w:r w:rsidRPr="009F24B0" w:rsidR="00974B0C">
        <w:rPr>
          <w:snapToGrid w:val="0"/>
          <w:kern w:val="28"/>
          <w:sz w:val="22"/>
        </w:rPr>
        <w:t>“</w:t>
      </w:r>
      <w:r w:rsidRPr="009F24B0" w:rsidR="00C14533">
        <w:rPr>
          <w:snapToGrid w:val="0"/>
          <w:kern w:val="28"/>
          <w:sz w:val="22"/>
        </w:rPr>
        <w:t>all</w:t>
      </w:r>
      <w:r w:rsidRPr="009F24B0" w:rsidR="00C2028B">
        <w:rPr>
          <w:snapToGrid w:val="0"/>
          <w:kern w:val="28"/>
          <w:sz w:val="22"/>
        </w:rPr>
        <w:t>ow</w:t>
      </w:r>
      <w:r w:rsidRPr="009F24B0" w:rsidR="00B174D9">
        <w:rPr>
          <w:snapToGrid w:val="0"/>
          <w:kern w:val="28"/>
          <w:sz w:val="22"/>
        </w:rPr>
        <w:t xml:space="preserve"> </w:t>
      </w:r>
      <w:r w:rsidRPr="009F24B0" w:rsidR="00974B0C">
        <w:rPr>
          <w:snapToGrid w:val="0"/>
          <w:kern w:val="28"/>
          <w:sz w:val="22"/>
        </w:rPr>
        <w:t>the stations</w:t>
      </w:r>
      <w:r w:rsidRPr="009F24B0" w:rsidR="004F0251">
        <w:rPr>
          <w:snapToGrid w:val="0"/>
          <w:kern w:val="28"/>
          <w:sz w:val="22"/>
        </w:rPr>
        <w:t xml:space="preserve"> </w:t>
      </w:r>
      <w:r w:rsidRPr="009F24B0" w:rsidR="00B174D9">
        <w:rPr>
          <w:snapToGrid w:val="0"/>
          <w:kern w:val="28"/>
          <w:sz w:val="22"/>
        </w:rPr>
        <w:t>to</w:t>
      </w:r>
      <w:r w:rsidRPr="009F24B0" w:rsidR="00C2028B">
        <w:rPr>
          <w:snapToGrid w:val="0"/>
          <w:kern w:val="28"/>
          <w:sz w:val="22"/>
        </w:rPr>
        <w:t xml:space="preserve"> </w:t>
      </w:r>
      <w:r w:rsidRPr="009F24B0" w:rsidR="00974B0C">
        <w:rPr>
          <w:snapToGrid w:val="0"/>
          <w:kern w:val="28"/>
          <w:sz w:val="22"/>
        </w:rPr>
        <w:t>bett</w:t>
      </w:r>
      <w:r w:rsidRPr="009F24B0" w:rsidR="008E2026">
        <w:rPr>
          <w:snapToGrid w:val="0"/>
          <w:kern w:val="28"/>
          <w:sz w:val="22"/>
        </w:rPr>
        <w:t>er compete for advertising revenue and serve their local viewers.”</w:t>
      </w:r>
      <w:r>
        <w:rPr>
          <w:rStyle w:val="FootnoteReference"/>
          <w:snapToGrid w:val="0"/>
          <w:kern w:val="28"/>
        </w:rPr>
        <w:footnoteReference w:id="93"/>
      </w:r>
    </w:p>
    <w:p w:rsidR="00F12616" w:rsidRPr="009F24B0" w:rsidP="0047218D" w14:paraId="7F329131" w14:textId="2E5C4ADF">
      <w:pPr>
        <w:spacing w:after="120"/>
        <w:ind w:firstLine="720"/>
        <w:rPr>
          <w:snapToGrid w:val="0"/>
          <w:kern w:val="28"/>
          <w:sz w:val="22"/>
        </w:rPr>
      </w:pPr>
      <w:r w:rsidRPr="009F24B0">
        <w:rPr>
          <w:snapToGrid w:val="0"/>
          <w:kern w:val="28"/>
          <w:sz w:val="22"/>
        </w:rPr>
        <w:t>We find that special circumstances warrant grant</w:t>
      </w:r>
      <w:r w:rsidRPr="009F24B0" w:rsidR="00321E25">
        <w:rPr>
          <w:snapToGrid w:val="0"/>
          <w:kern w:val="28"/>
          <w:sz w:val="22"/>
        </w:rPr>
        <w:t xml:space="preserve"> of the waiver request to permit Gray to own three full power stations and that such degree of common ownership will not hurt competition in the Louisville, KY market, but bolster it</w:t>
      </w:r>
      <w:r w:rsidRPr="009F24B0">
        <w:rPr>
          <w:snapToGrid w:val="0"/>
          <w:kern w:val="28"/>
          <w:sz w:val="22"/>
        </w:rPr>
        <w:t>.</w:t>
      </w:r>
      <w:r>
        <w:rPr>
          <w:snapToGrid w:val="0"/>
          <w:kern w:val="28"/>
          <w:sz w:val="22"/>
          <w:vertAlign w:val="superscript"/>
        </w:rPr>
        <w:footnoteReference w:id="94"/>
      </w:r>
      <w:r w:rsidRPr="009F24B0">
        <w:rPr>
          <w:snapToGrid w:val="0"/>
          <w:kern w:val="28"/>
          <w:sz w:val="22"/>
        </w:rPr>
        <w:t xml:space="preserve">  </w:t>
      </w:r>
      <w:r w:rsidRPr="009F24B0" w:rsidR="002D36B7">
        <w:rPr>
          <w:snapToGrid w:val="0"/>
          <w:kern w:val="28"/>
          <w:sz w:val="22"/>
        </w:rPr>
        <w:t>Gray’s commitment to increase</w:t>
      </w:r>
      <w:r w:rsidRPr="009F24B0" w:rsidR="000E5877">
        <w:rPr>
          <w:snapToGrid w:val="0"/>
          <w:kern w:val="28"/>
          <w:sz w:val="22"/>
        </w:rPr>
        <w:t xml:space="preserve"> and enhance local programming on WBKI will benefit not just </w:t>
      </w:r>
      <w:r w:rsidRPr="009F24B0" w:rsidR="0001023B">
        <w:rPr>
          <w:snapToGrid w:val="0"/>
          <w:kern w:val="28"/>
          <w:sz w:val="22"/>
        </w:rPr>
        <w:t xml:space="preserve">viewers, but also advertisers by </w:t>
      </w:r>
      <w:r w:rsidRPr="009F24B0" w:rsidR="00297ABD">
        <w:rPr>
          <w:snapToGrid w:val="0"/>
          <w:kern w:val="28"/>
          <w:sz w:val="22"/>
        </w:rPr>
        <w:t>preserving competition for local</w:t>
      </w:r>
      <w:r w:rsidRPr="009F24B0" w:rsidR="0001023B">
        <w:rPr>
          <w:snapToGrid w:val="0"/>
          <w:kern w:val="28"/>
          <w:sz w:val="22"/>
        </w:rPr>
        <w:t xml:space="preserve"> advertising availabilities. </w:t>
      </w:r>
      <w:r w:rsidRPr="009F24B0" w:rsidR="005C4701">
        <w:rPr>
          <w:snapToGrid w:val="0"/>
          <w:kern w:val="28"/>
          <w:sz w:val="22"/>
        </w:rPr>
        <w:t xml:space="preserve"> Furthermore, requiring divestiture of one station, such as the low-ranked WBKI, to an independent buyer (in the event one could be found) is not likely to produce significant public interest benefits.</w:t>
      </w:r>
      <w:r>
        <w:rPr>
          <w:snapToGrid w:val="0"/>
          <w:kern w:val="28"/>
          <w:sz w:val="22"/>
          <w:vertAlign w:val="superscript"/>
        </w:rPr>
        <w:footnoteReference w:id="95"/>
      </w:r>
      <w:r w:rsidRPr="009F24B0">
        <w:rPr>
          <w:snapToGrid w:val="0"/>
          <w:kern w:val="28"/>
          <w:sz w:val="22"/>
        </w:rPr>
        <w:t xml:space="preserve">  We agree with the </w:t>
      </w:r>
      <w:r w:rsidRPr="009F24B0" w:rsidR="009B00ED">
        <w:rPr>
          <w:snapToGrid w:val="0"/>
          <w:kern w:val="28"/>
          <w:sz w:val="22"/>
        </w:rPr>
        <w:t>Block</w:t>
      </w:r>
      <w:r w:rsidRPr="009F24B0">
        <w:rPr>
          <w:snapToGrid w:val="0"/>
          <w:kern w:val="28"/>
          <w:sz w:val="22"/>
        </w:rPr>
        <w:t xml:space="preserve"> Applicants that </w:t>
      </w:r>
      <w:r w:rsidRPr="009F24B0" w:rsidR="00AE42AE">
        <w:rPr>
          <w:snapToGrid w:val="0"/>
          <w:kern w:val="28"/>
          <w:sz w:val="22"/>
        </w:rPr>
        <w:t xml:space="preserve">common ownership of WBKI, </w:t>
      </w:r>
      <w:r w:rsidRPr="009F24B0" w:rsidR="00AE42AE">
        <w:rPr>
          <w:snapToGrid w:val="0"/>
          <w:kern w:val="28"/>
          <w:sz w:val="22"/>
        </w:rPr>
        <w:t>WDRB, and WAVE will result in substantial public benefits to Louisville residents, and that “[t]hese benefits are particularly pronounced</w:t>
      </w:r>
      <w:r w:rsidRPr="009F24B0" w:rsidR="00142272">
        <w:rPr>
          <w:snapToGrid w:val="0"/>
          <w:kern w:val="28"/>
          <w:sz w:val="22"/>
        </w:rPr>
        <w:t xml:space="preserve"> with regard to WBKI, which lacks the ability to deliver high-quality network, syndicated, and local programming as an independently operated station</w:t>
      </w:r>
      <w:r w:rsidRPr="009F24B0">
        <w:rPr>
          <w:snapToGrid w:val="0"/>
          <w:kern w:val="28"/>
          <w:sz w:val="22"/>
        </w:rPr>
        <w:t>.”</w:t>
      </w:r>
      <w:r>
        <w:rPr>
          <w:snapToGrid w:val="0"/>
          <w:kern w:val="28"/>
          <w:sz w:val="22"/>
          <w:vertAlign w:val="superscript"/>
        </w:rPr>
        <w:footnoteReference w:id="96"/>
      </w:r>
      <w:r w:rsidRPr="009F24B0">
        <w:rPr>
          <w:snapToGrid w:val="0"/>
          <w:kern w:val="28"/>
          <w:sz w:val="22"/>
        </w:rPr>
        <w:t xml:space="preserve">  </w:t>
      </w:r>
      <w:r w:rsidRPr="009F24B0" w:rsidR="0047218D">
        <w:rPr>
          <w:snapToGrid w:val="0"/>
          <w:kern w:val="28"/>
          <w:sz w:val="22"/>
        </w:rPr>
        <w:t>Thus, strict compliance with the Local Television Ownership Rule would be inconsistent with the purpose of that rule—promoting competition among broadcast television stations—and, therefore, inconsistent with the public interest.</w:t>
      </w:r>
      <w:r>
        <w:rPr>
          <w:rStyle w:val="FootnoteReference"/>
          <w:snapToGrid w:val="0"/>
          <w:kern w:val="28"/>
        </w:rPr>
        <w:footnoteReference w:id="97"/>
      </w:r>
      <w:r w:rsidRPr="009F24B0" w:rsidR="0047218D">
        <w:rPr>
          <w:snapToGrid w:val="0"/>
          <w:kern w:val="28"/>
          <w:sz w:val="22"/>
        </w:rPr>
        <w:t xml:space="preserve"> </w:t>
      </w:r>
      <w:r w:rsidRPr="009F24B0" w:rsidR="0047218D">
        <w:rPr>
          <w:snapToGrid w:val="0"/>
          <w:kern w:val="28"/>
          <w:sz w:val="22"/>
        </w:rPr>
        <w:t xml:space="preserve"> Moreover, we find that grant will result in more effective implementation of Commission policy by preserving and promoting increased local programming in the Louisville, KY DMA.</w:t>
      </w:r>
      <w:r w:rsidRPr="009F24B0" w:rsidR="0047218D">
        <w:rPr>
          <w:snapToGrid w:val="0"/>
          <w:kern w:val="28"/>
          <w:sz w:val="22"/>
        </w:rPr>
        <w:t xml:space="preserve"> </w:t>
      </w:r>
    </w:p>
    <w:p w:rsidR="00AF3D35" w:rsidRPr="009F24B0" w:rsidP="00C30865" w14:paraId="2A33C3A3" w14:textId="0C3CA631">
      <w:pPr>
        <w:spacing w:after="120"/>
        <w:ind w:firstLine="720"/>
        <w:rPr>
          <w:snapToGrid w:val="0"/>
          <w:kern w:val="28"/>
          <w:sz w:val="22"/>
        </w:rPr>
      </w:pPr>
      <w:r w:rsidRPr="009F24B0">
        <w:rPr>
          <w:i/>
          <w:iCs/>
          <w:snapToGrid w:val="0"/>
          <w:kern w:val="28"/>
          <w:sz w:val="22"/>
        </w:rPr>
        <w:t>Potential Public Interest Harms</w:t>
      </w:r>
      <w:r w:rsidRPr="009F24B0">
        <w:rPr>
          <w:snapToGrid w:val="0"/>
          <w:kern w:val="28"/>
          <w:sz w:val="22"/>
        </w:rPr>
        <w:t xml:space="preserve">.  </w:t>
      </w:r>
      <w:r w:rsidRPr="009F24B0">
        <w:rPr>
          <w:snapToGrid w:val="0"/>
          <w:kern w:val="28"/>
          <w:sz w:val="22"/>
        </w:rPr>
        <w:t xml:space="preserve">DIRECTV, the Cable Associations, and Business Forward raise allegations of prospective </w:t>
      </w:r>
      <w:r w:rsidRPr="009F24B0">
        <w:rPr>
          <w:snapToGrid w:val="0"/>
          <w:kern w:val="28"/>
          <w:sz w:val="22"/>
        </w:rPr>
        <w:t>harms</w:t>
      </w:r>
      <w:r w:rsidRPr="009F24B0">
        <w:rPr>
          <w:snapToGrid w:val="0"/>
          <w:kern w:val="28"/>
          <w:sz w:val="22"/>
        </w:rPr>
        <w:t xml:space="preserve"> resulting from the proposed combinations with respect to retransmission consent.  Specifically, they argue that Gray will have enhanced leverage to demand higher retransmission consent fees from MVPDs that will result in higher prices for MVPD customers.</w:t>
      </w:r>
      <w:r>
        <w:rPr>
          <w:snapToGrid w:val="0"/>
          <w:kern w:val="28"/>
          <w:sz w:val="22"/>
          <w:vertAlign w:val="superscript"/>
        </w:rPr>
        <w:footnoteReference w:id="98"/>
      </w:r>
      <w:r w:rsidRPr="009F24B0">
        <w:rPr>
          <w:snapToGrid w:val="0"/>
          <w:kern w:val="28"/>
          <w:sz w:val="22"/>
        </w:rPr>
        <w:t xml:space="preserve">  However, the Commission has stated that an increase in retransmission consent rates by itself is not necessarily a public interest harm.</w:t>
      </w:r>
      <w:r>
        <w:rPr>
          <w:snapToGrid w:val="0"/>
          <w:kern w:val="28"/>
          <w:sz w:val="22"/>
          <w:vertAlign w:val="superscript"/>
        </w:rPr>
        <w:footnoteReference w:id="99"/>
      </w:r>
      <w:r w:rsidRPr="009F24B0">
        <w:rPr>
          <w:snapToGrid w:val="0"/>
          <w:kern w:val="28"/>
          <w:sz w:val="22"/>
        </w:rPr>
        <w:t xml:space="preserve">  Instead, the Commission has found a public interest harm exists only where an increase is not the product of “competitive marketplace considerations.”</w:t>
      </w:r>
      <w:r>
        <w:rPr>
          <w:snapToGrid w:val="0"/>
          <w:kern w:val="28"/>
          <w:sz w:val="22"/>
          <w:vertAlign w:val="superscript"/>
        </w:rPr>
        <w:footnoteReference w:id="100"/>
      </w:r>
      <w:r w:rsidRPr="009F24B0">
        <w:rPr>
          <w:snapToGrid w:val="0"/>
          <w:kern w:val="28"/>
          <w:sz w:val="22"/>
        </w:rPr>
        <w:t xml:space="preserve">  Over the years, the Commission has consistently affirmed Congress’s intent, in creating the retransmission consent regime, to “establish a marketplace for the disposition of the rights to retransmit broadcast signals” but not to “dictate the outcome of the ensuing marketplace negotiations.”</w:t>
      </w:r>
      <w:r>
        <w:rPr>
          <w:snapToGrid w:val="0"/>
          <w:kern w:val="28"/>
          <w:sz w:val="22"/>
          <w:vertAlign w:val="superscript"/>
        </w:rPr>
        <w:footnoteReference w:id="101"/>
      </w:r>
      <w:r w:rsidRPr="009F24B0">
        <w:rPr>
          <w:snapToGrid w:val="0"/>
          <w:kern w:val="28"/>
          <w:sz w:val="22"/>
        </w:rPr>
        <w:t xml:space="preserve">  We reiterate that issues of broad applicability, such as the effect of broadcast industry consolidation on the retransmission consent process, are best handled in a rulemaking of industry</w:t>
      </w:r>
      <w:r w:rsidRPr="009F24B0">
        <w:rPr>
          <w:snapToGrid w:val="0"/>
          <w:kern w:val="28"/>
          <w:sz w:val="22"/>
        </w:rPr>
        <w:noBreakHyphen/>
        <w:t>wide effect.</w:t>
      </w:r>
      <w:r>
        <w:rPr>
          <w:snapToGrid w:val="0"/>
          <w:kern w:val="28"/>
          <w:sz w:val="22"/>
          <w:vertAlign w:val="superscript"/>
        </w:rPr>
        <w:footnoteReference w:id="102"/>
      </w:r>
      <w:r w:rsidRPr="009F24B0">
        <w:rPr>
          <w:snapToGrid w:val="0"/>
          <w:kern w:val="28"/>
          <w:sz w:val="22"/>
        </w:rPr>
        <w:t xml:space="preserve">  Accordingly, we find that the allegations regarding retransmission consent do not raise a substantial and material question of fact as to whether grant of the Applications would serve the public interest.</w:t>
      </w:r>
    </w:p>
    <w:p w:rsidR="00AF3D35" w:rsidRPr="00AF3D35" w:rsidP="00AF3D35" w14:paraId="1EE51849" w14:textId="7B5B127B">
      <w:pPr>
        <w:spacing w:after="120"/>
        <w:ind w:firstLine="720"/>
        <w:rPr>
          <w:snapToGrid w:val="0"/>
          <w:kern w:val="28"/>
          <w:sz w:val="22"/>
        </w:rPr>
      </w:pPr>
      <w:r w:rsidRPr="009F24B0">
        <w:rPr>
          <w:snapToGrid w:val="0"/>
          <w:kern w:val="28"/>
          <w:sz w:val="22"/>
        </w:rPr>
        <w:t xml:space="preserve">We also find no merit to the claims made by DIRECTV and Business Forward that there will be </w:t>
      </w:r>
      <w:r w:rsidRPr="009F24B0">
        <w:rPr>
          <w:snapToGrid w:val="0"/>
          <w:kern w:val="28"/>
          <w:sz w:val="22"/>
        </w:rPr>
        <w:t>harms</w:t>
      </w:r>
      <w:r w:rsidRPr="009F24B0">
        <w:rPr>
          <w:snapToGrid w:val="0"/>
          <w:kern w:val="28"/>
          <w:sz w:val="22"/>
        </w:rPr>
        <w:t xml:space="preserve"> to the local spot advertising market.  Their argument takes an outdated and unduly narrow view of </w:t>
      </w:r>
      <w:r w:rsidRPr="00AF3D35">
        <w:rPr>
          <w:snapToGrid w:val="0"/>
          <w:kern w:val="28"/>
          <w:sz w:val="22"/>
        </w:rPr>
        <w:t>the competitive environment, in which digital advertising does</w:t>
      </w:r>
      <w:r w:rsidR="00192DFB">
        <w:rPr>
          <w:snapToGrid w:val="0"/>
          <w:kern w:val="28"/>
          <w:sz w:val="22"/>
        </w:rPr>
        <w:t xml:space="preserve"> </w:t>
      </w:r>
      <w:r w:rsidRPr="00AF3D35">
        <w:rPr>
          <w:snapToGrid w:val="0"/>
          <w:kern w:val="28"/>
          <w:sz w:val="22"/>
        </w:rPr>
        <w:t>n</w:t>
      </w:r>
      <w:r w:rsidR="00192DFB">
        <w:rPr>
          <w:snapToGrid w:val="0"/>
          <w:kern w:val="28"/>
          <w:sz w:val="22"/>
        </w:rPr>
        <w:t>o</w:t>
      </w:r>
      <w:r w:rsidRPr="00AF3D35">
        <w:rPr>
          <w:snapToGrid w:val="0"/>
          <w:kern w:val="28"/>
          <w:sz w:val="22"/>
        </w:rPr>
        <w:t>t serve as a substitute for traditional local television ads, and streamers and cable providers do</w:t>
      </w:r>
      <w:r w:rsidR="00BD6752">
        <w:rPr>
          <w:snapToGrid w:val="0"/>
          <w:kern w:val="28"/>
          <w:sz w:val="22"/>
        </w:rPr>
        <w:t xml:space="preserve"> </w:t>
      </w:r>
      <w:r w:rsidRPr="00AF3D35">
        <w:rPr>
          <w:snapToGrid w:val="0"/>
          <w:kern w:val="28"/>
          <w:sz w:val="22"/>
        </w:rPr>
        <w:t>n</w:t>
      </w:r>
      <w:r w:rsidR="00BD6752">
        <w:rPr>
          <w:snapToGrid w:val="0"/>
          <w:kern w:val="28"/>
          <w:sz w:val="22"/>
        </w:rPr>
        <w:t>o</w:t>
      </w:r>
      <w:r w:rsidRPr="00AF3D35">
        <w:rPr>
          <w:snapToGrid w:val="0"/>
          <w:kern w:val="28"/>
          <w:sz w:val="22"/>
        </w:rPr>
        <w:t>t offer targeted and DMA-wide advertising options.</w:t>
      </w:r>
      <w:r>
        <w:rPr>
          <w:snapToGrid w:val="0"/>
          <w:kern w:val="28"/>
          <w:sz w:val="22"/>
          <w:vertAlign w:val="superscript"/>
        </w:rPr>
        <w:footnoteReference w:id="103"/>
      </w:r>
      <w:r w:rsidRPr="00AF3D35">
        <w:rPr>
          <w:snapToGrid w:val="0"/>
          <w:kern w:val="28"/>
          <w:sz w:val="22"/>
        </w:rPr>
        <w:t xml:space="preserve">  Moreover, the Commission has never defined a market for spot advertising, and, to the extent that the Commission is to consider such an argument, we believe it is better addressed in the context of a rulemaking of industry</w:t>
      </w:r>
      <w:r w:rsidRPr="00AF3D35">
        <w:rPr>
          <w:snapToGrid w:val="0"/>
          <w:kern w:val="28"/>
          <w:sz w:val="22"/>
        </w:rPr>
        <w:noBreakHyphen/>
        <w:t>wide nature.</w:t>
      </w:r>
    </w:p>
    <w:p w:rsidR="00CF6B22" w:rsidRPr="00CF6B22" w:rsidP="00DA0B01" w14:paraId="600D129B" w14:textId="17555C0E">
      <w:pPr>
        <w:spacing w:after="120"/>
        <w:ind w:firstLine="720"/>
        <w:rPr>
          <w:snapToGrid w:val="0"/>
          <w:kern w:val="28"/>
          <w:sz w:val="22"/>
        </w:rPr>
      </w:pPr>
      <w:r w:rsidRPr="00CF6B22">
        <w:rPr>
          <w:snapToGrid w:val="0"/>
          <w:kern w:val="28"/>
          <w:sz w:val="22"/>
        </w:rPr>
        <w:t>Multiple Objectors raise concerns regarding localism and viewpoint diversity.</w:t>
      </w:r>
      <w:r>
        <w:rPr>
          <w:snapToGrid w:val="0"/>
          <w:kern w:val="28"/>
          <w:sz w:val="22"/>
          <w:vertAlign w:val="superscript"/>
        </w:rPr>
        <w:footnoteReference w:id="104"/>
      </w:r>
      <w:r w:rsidRPr="00CF6B22">
        <w:rPr>
          <w:snapToGrid w:val="0"/>
          <w:kern w:val="28"/>
          <w:sz w:val="22"/>
        </w:rPr>
        <w:t xml:space="preserve">  We find that these arguments regarding the prospective impact on localism do not raise a substantial and material question of fact as to whether grant of the Applications would serve the public interest.  None of the contentions that localism would decline are specific to the Transaction</w:t>
      </w:r>
      <w:r w:rsidR="00747A5F">
        <w:rPr>
          <w:snapToGrid w:val="0"/>
          <w:kern w:val="28"/>
          <w:sz w:val="22"/>
        </w:rPr>
        <w:t>s</w:t>
      </w:r>
      <w:r w:rsidRPr="00CF6B22">
        <w:rPr>
          <w:snapToGrid w:val="0"/>
          <w:kern w:val="28"/>
          <w:sz w:val="22"/>
        </w:rPr>
        <w:t xml:space="preserve"> before us, much less to the </w:t>
      </w:r>
      <w:r w:rsidR="004141E3">
        <w:rPr>
          <w:snapToGrid w:val="0"/>
          <w:kern w:val="28"/>
          <w:sz w:val="22"/>
        </w:rPr>
        <w:t>Lubbock, TX</w:t>
      </w:r>
      <w:r w:rsidRPr="00CF6B22">
        <w:rPr>
          <w:snapToGrid w:val="0"/>
          <w:kern w:val="28"/>
          <w:sz w:val="22"/>
        </w:rPr>
        <w:t xml:space="preserve"> and </w:t>
      </w:r>
      <w:r w:rsidR="000F615A">
        <w:rPr>
          <w:snapToGrid w:val="0"/>
          <w:kern w:val="28"/>
          <w:sz w:val="22"/>
        </w:rPr>
        <w:t>Louisville, KY</w:t>
      </w:r>
      <w:r w:rsidRPr="00CF6B22">
        <w:rPr>
          <w:snapToGrid w:val="0"/>
          <w:kern w:val="28"/>
          <w:sz w:val="22"/>
        </w:rPr>
        <w:t xml:space="preserve"> DMAs.  Rather, they are all cursory and conclusory criticisms of </w:t>
      </w:r>
      <w:r w:rsidRPr="00CF6B22">
        <w:rPr>
          <w:snapToGrid w:val="0"/>
          <w:kern w:val="28"/>
          <w:sz w:val="22"/>
        </w:rPr>
        <w:t>consolidation, and</w:t>
      </w:r>
      <w:r w:rsidRPr="00CF6B22">
        <w:rPr>
          <w:snapToGrid w:val="0"/>
          <w:kern w:val="28"/>
          <w:sz w:val="22"/>
        </w:rPr>
        <w:t xml:space="preserve"> are not particular to Gray’s ownership or management.  Gray’s assertion that it “has a long history of expanding local service in markets where it </w:t>
      </w:r>
      <w:r w:rsidR="00163078">
        <w:rPr>
          <w:snapToGrid w:val="0"/>
          <w:kern w:val="28"/>
          <w:sz w:val="22"/>
        </w:rPr>
        <w:t>operates two stations</w:t>
      </w:r>
      <w:r w:rsidRPr="00CF6B22">
        <w:rPr>
          <w:snapToGrid w:val="0"/>
          <w:kern w:val="28"/>
          <w:sz w:val="22"/>
        </w:rPr>
        <w:t xml:space="preserve">, including </w:t>
      </w:r>
      <w:r w:rsidRPr="008002BE" w:rsidR="008002BE">
        <w:rPr>
          <w:snapToGrid w:val="0"/>
          <w:kern w:val="28"/>
          <w:sz w:val="22"/>
        </w:rPr>
        <w:t>numerous markets where it has received waivers to acquire failing stations where existing Gray</w:t>
      </w:r>
      <w:r w:rsidR="00DA0B01">
        <w:rPr>
          <w:snapToGrid w:val="0"/>
          <w:kern w:val="28"/>
          <w:sz w:val="22"/>
        </w:rPr>
        <w:t xml:space="preserve"> </w:t>
      </w:r>
      <w:r w:rsidRPr="008002BE" w:rsidR="008002BE">
        <w:rPr>
          <w:snapToGrid w:val="0"/>
          <w:kern w:val="28"/>
          <w:sz w:val="22"/>
        </w:rPr>
        <w:t>stations are leaders in their markets</w:t>
      </w:r>
      <w:r w:rsidRPr="00CF6B22">
        <w:rPr>
          <w:snapToGrid w:val="0"/>
          <w:kern w:val="28"/>
          <w:sz w:val="22"/>
        </w:rPr>
        <w:t>,”</w:t>
      </w:r>
      <w:r>
        <w:rPr>
          <w:snapToGrid w:val="0"/>
          <w:kern w:val="28"/>
          <w:sz w:val="22"/>
          <w:vertAlign w:val="superscript"/>
        </w:rPr>
        <w:footnoteReference w:id="105"/>
      </w:r>
      <w:r w:rsidRPr="00CF6B22">
        <w:rPr>
          <w:snapToGrid w:val="0"/>
          <w:kern w:val="28"/>
          <w:sz w:val="22"/>
        </w:rPr>
        <w:t xml:space="preserve"> is unchallenged by the Objectors.  </w:t>
      </w:r>
    </w:p>
    <w:p w:rsidR="00BC3ABF" w:rsidRPr="00407A45" w:rsidP="00407A45" w14:paraId="597682ED" w14:textId="55B193E3">
      <w:pPr>
        <w:spacing w:after="120"/>
        <w:ind w:firstLine="720"/>
        <w:rPr>
          <w:snapToGrid w:val="0"/>
          <w:kern w:val="28"/>
          <w:sz w:val="22"/>
        </w:rPr>
      </w:pPr>
      <w:r>
        <w:rPr>
          <w:i/>
          <w:iCs/>
          <w:snapToGrid w:val="0"/>
          <w:kern w:val="28"/>
          <w:sz w:val="22"/>
        </w:rPr>
        <w:t xml:space="preserve">Potential Public Interest </w:t>
      </w:r>
      <w:r w:rsidRPr="009239E6">
        <w:rPr>
          <w:i/>
          <w:iCs/>
          <w:snapToGrid w:val="0"/>
          <w:kern w:val="28"/>
          <w:sz w:val="22"/>
        </w:rPr>
        <w:t>Benefits</w:t>
      </w:r>
      <w:r>
        <w:rPr>
          <w:snapToGrid w:val="0"/>
          <w:kern w:val="28"/>
          <w:sz w:val="22"/>
        </w:rPr>
        <w:t xml:space="preserve">.  </w:t>
      </w:r>
      <w:r w:rsidRPr="009239E6" w:rsidR="00407A45">
        <w:rPr>
          <w:snapToGrid w:val="0"/>
          <w:kern w:val="28"/>
          <w:sz w:val="22"/>
        </w:rPr>
        <w:t>We</w:t>
      </w:r>
      <w:r w:rsidRPr="00407A45" w:rsidR="00407A45">
        <w:rPr>
          <w:snapToGrid w:val="0"/>
          <w:kern w:val="28"/>
          <w:sz w:val="22"/>
        </w:rPr>
        <w:t xml:space="preserve"> next review the potential public interest benefits.  The Commission finds a claimed benefit to be cognizable only if it is:  (1) transaction-related; (2) verifiable; and (3) likely to flow through to consumers and not inure solely to the benefit of the company.</w:t>
      </w:r>
      <w:r>
        <w:rPr>
          <w:snapToGrid w:val="0"/>
          <w:kern w:val="28"/>
          <w:sz w:val="22"/>
          <w:vertAlign w:val="superscript"/>
        </w:rPr>
        <w:footnoteReference w:id="106"/>
      </w:r>
      <w:r w:rsidRPr="00407A45" w:rsidR="00407A45">
        <w:rPr>
          <w:snapToGrid w:val="0"/>
          <w:kern w:val="28"/>
          <w:sz w:val="22"/>
        </w:rPr>
        <w:t xml:space="preserve">  Here, we find that the record indicates that </w:t>
      </w:r>
      <w:r w:rsidR="006F5F91">
        <w:rPr>
          <w:snapToGrid w:val="0"/>
          <w:kern w:val="28"/>
          <w:sz w:val="22"/>
        </w:rPr>
        <w:t>grant of the Applications</w:t>
      </w:r>
      <w:r w:rsidRPr="00407A45" w:rsidR="00407A45">
        <w:rPr>
          <w:snapToGrid w:val="0"/>
          <w:kern w:val="28"/>
          <w:sz w:val="22"/>
        </w:rPr>
        <w:t xml:space="preserve"> will produce public interest benefits to viewers of </w:t>
      </w:r>
      <w:r w:rsidR="006F5F91">
        <w:rPr>
          <w:snapToGrid w:val="0"/>
          <w:kern w:val="28"/>
          <w:sz w:val="22"/>
        </w:rPr>
        <w:t>the Applicants’</w:t>
      </w:r>
      <w:r w:rsidRPr="00407A45" w:rsidR="00407A45">
        <w:rPr>
          <w:snapToGrid w:val="0"/>
          <w:kern w:val="28"/>
          <w:sz w:val="22"/>
        </w:rPr>
        <w:t xml:space="preserve"> stations, including by “creating conditions that naturally lead to increased local programming production and improved service in each market.”</w:t>
      </w:r>
      <w:r>
        <w:rPr>
          <w:snapToGrid w:val="0"/>
          <w:kern w:val="28"/>
          <w:sz w:val="22"/>
          <w:vertAlign w:val="superscript"/>
        </w:rPr>
        <w:footnoteReference w:id="107"/>
      </w:r>
      <w:r w:rsidRPr="00407A45" w:rsidR="00407A45">
        <w:rPr>
          <w:snapToGrid w:val="0"/>
          <w:kern w:val="28"/>
          <w:sz w:val="22"/>
        </w:rPr>
        <w:t xml:space="preserve">  We also recognize Gray’s commitments with respect to its hiring practices.</w:t>
      </w:r>
      <w:r>
        <w:rPr>
          <w:snapToGrid w:val="0"/>
          <w:kern w:val="28"/>
          <w:sz w:val="22"/>
          <w:vertAlign w:val="superscript"/>
        </w:rPr>
        <w:footnoteReference w:id="108"/>
      </w:r>
      <w:r w:rsidRPr="00407A45" w:rsidR="00407A45">
        <w:rPr>
          <w:snapToGrid w:val="0"/>
          <w:kern w:val="28"/>
          <w:sz w:val="22"/>
        </w:rPr>
        <w:t xml:space="preserve"> </w:t>
      </w:r>
    </w:p>
    <w:p w:rsidR="00407A45" w:rsidRPr="00407A45" w:rsidP="00407A45" w14:paraId="35A01D62" w14:textId="6DD097F7">
      <w:pPr>
        <w:spacing w:after="120"/>
        <w:ind w:firstLine="720"/>
        <w:rPr>
          <w:snapToGrid w:val="0"/>
          <w:kern w:val="28"/>
          <w:sz w:val="22"/>
        </w:rPr>
      </w:pPr>
      <w:r w:rsidRPr="006D5E51">
        <w:rPr>
          <w:snapToGrid w:val="0"/>
          <w:kern w:val="28"/>
          <w:sz w:val="22"/>
        </w:rPr>
        <w:t>Gray</w:t>
      </w:r>
      <w:r w:rsidRPr="006D5E51" w:rsidR="00246EBC">
        <w:rPr>
          <w:snapToGrid w:val="0"/>
          <w:kern w:val="28"/>
          <w:sz w:val="22"/>
        </w:rPr>
        <w:t xml:space="preserve"> commits to making its Washington, D.C., News Bureau available</w:t>
      </w:r>
      <w:r w:rsidRPr="006D5E51" w:rsidR="00AD6EC4">
        <w:rPr>
          <w:snapToGrid w:val="0"/>
          <w:kern w:val="28"/>
          <w:sz w:val="22"/>
        </w:rPr>
        <w:t xml:space="preserve"> to </w:t>
      </w:r>
      <w:r w:rsidRPr="006D5E51" w:rsidR="0057185D">
        <w:rPr>
          <w:snapToGrid w:val="0"/>
          <w:kern w:val="28"/>
          <w:sz w:val="22"/>
        </w:rPr>
        <w:t>“any station that it acquires from . . . SagamoreHill[] or Block that wishes to connect local viewers with their lawmakers in Washington, D.C.”</w:t>
      </w:r>
      <w:r>
        <w:rPr>
          <w:rStyle w:val="FootnoteReference"/>
          <w:snapToGrid w:val="0"/>
          <w:kern w:val="28"/>
        </w:rPr>
        <w:footnoteReference w:id="109"/>
      </w:r>
      <w:r w:rsidRPr="006D5E51" w:rsidR="0057185D">
        <w:rPr>
          <w:snapToGrid w:val="0"/>
          <w:kern w:val="28"/>
          <w:sz w:val="22"/>
        </w:rPr>
        <w:t xml:space="preserve">  Gray</w:t>
      </w:r>
      <w:r w:rsidRPr="006D5E51" w:rsidR="006D04E7">
        <w:rPr>
          <w:snapToGrid w:val="0"/>
          <w:kern w:val="28"/>
          <w:sz w:val="22"/>
        </w:rPr>
        <w:t xml:space="preserve"> submits that it has had “great success integrating previously acquired stations with its renowned team of D.C.-based journalists and will use the same process to expand the D.C. Bureau’s coverage to all of affected DMAs.”</w:t>
      </w:r>
      <w:r>
        <w:rPr>
          <w:rStyle w:val="FootnoteReference"/>
          <w:snapToGrid w:val="0"/>
          <w:kern w:val="28"/>
        </w:rPr>
        <w:footnoteReference w:id="110"/>
      </w:r>
      <w:r w:rsidRPr="006D5E51" w:rsidR="009F1854">
        <w:rPr>
          <w:snapToGrid w:val="0"/>
          <w:kern w:val="28"/>
          <w:sz w:val="22"/>
        </w:rPr>
        <w:t xml:space="preserve"> </w:t>
      </w:r>
      <w:r w:rsidRPr="006D04E7">
        <w:rPr>
          <w:snapToGrid w:val="0"/>
          <w:kern w:val="28"/>
          <w:sz w:val="22"/>
        </w:rPr>
        <w:t xml:space="preserve"> We have previously found that expanded access to Washington, DC, and state news bureaus that results from a transaction “provide[s] transaction</w:t>
      </w:r>
      <w:r w:rsidRPr="006D04E7">
        <w:rPr>
          <w:snapToGrid w:val="0"/>
          <w:kern w:val="28"/>
          <w:sz w:val="22"/>
        </w:rPr>
        <w:noBreakHyphen/>
        <w:t>specific, public interest benefits” to viewers</w:t>
      </w:r>
      <w:r>
        <w:rPr>
          <w:snapToGrid w:val="0"/>
          <w:kern w:val="28"/>
          <w:sz w:val="22"/>
          <w:vertAlign w:val="superscript"/>
        </w:rPr>
        <w:footnoteReference w:id="111"/>
      </w:r>
      <w:r w:rsidRPr="006D04E7">
        <w:rPr>
          <w:snapToGrid w:val="0"/>
          <w:kern w:val="28"/>
          <w:sz w:val="22"/>
        </w:rPr>
        <w:t xml:space="preserve"> and that even shared news sources provide public interest benefits when stations did not have prior access to those sources.</w:t>
      </w:r>
      <w:r>
        <w:rPr>
          <w:snapToGrid w:val="0"/>
          <w:kern w:val="28"/>
          <w:sz w:val="22"/>
          <w:vertAlign w:val="superscript"/>
        </w:rPr>
        <w:footnoteReference w:id="112"/>
      </w:r>
    </w:p>
    <w:p w:rsidR="00407A45" w:rsidRPr="00407A45" w:rsidP="00407A45" w14:paraId="5A9418A9" w14:textId="22642318">
      <w:pPr>
        <w:spacing w:after="120"/>
        <w:ind w:firstLine="720"/>
        <w:rPr>
          <w:snapToGrid w:val="0"/>
          <w:kern w:val="28"/>
          <w:sz w:val="22"/>
        </w:rPr>
      </w:pPr>
      <w:r w:rsidRPr="00407A45">
        <w:rPr>
          <w:snapToGrid w:val="0"/>
          <w:kern w:val="28"/>
          <w:sz w:val="22"/>
        </w:rPr>
        <w:t>The Applicants identify additional investments that Gray has committed to make that will further strengthen its stations’ service to their communities.  Gray has made a number of commitments to localism, most notably increasing the amount and availability of local programming in the aggregate in the acquisition markets, and launching a new application that distributes local content for each of the Big Four-affiliated stations in the affected markets.</w:t>
      </w:r>
      <w:r>
        <w:rPr>
          <w:snapToGrid w:val="0"/>
          <w:kern w:val="28"/>
          <w:sz w:val="22"/>
          <w:vertAlign w:val="superscript"/>
        </w:rPr>
        <w:footnoteReference w:id="113"/>
      </w:r>
      <w:r w:rsidRPr="00407A45">
        <w:rPr>
          <w:snapToGrid w:val="0"/>
          <w:kern w:val="28"/>
          <w:sz w:val="22"/>
        </w:rPr>
        <w:t xml:space="preserve">  We find these measures to be in the public interest.</w:t>
      </w:r>
    </w:p>
    <w:p w:rsidR="00407A45" w:rsidRPr="00407A45" w:rsidP="00407A45" w14:paraId="7E82DFFC" w14:textId="0B952B8C">
      <w:pPr>
        <w:spacing w:after="120"/>
        <w:ind w:firstLine="720"/>
        <w:rPr>
          <w:snapToGrid w:val="0"/>
          <w:kern w:val="28"/>
          <w:sz w:val="22"/>
        </w:rPr>
      </w:pPr>
      <w:r w:rsidRPr="00407A45">
        <w:rPr>
          <w:snapToGrid w:val="0"/>
          <w:kern w:val="28"/>
          <w:sz w:val="22"/>
        </w:rPr>
        <w:t>We recognize Gray’s commitment to equal opportunity employment and nondiscrimination as strengthening its service in the public interest.</w:t>
      </w:r>
      <w:r>
        <w:rPr>
          <w:snapToGrid w:val="0"/>
          <w:kern w:val="28"/>
          <w:sz w:val="22"/>
          <w:vertAlign w:val="superscript"/>
        </w:rPr>
        <w:footnoteReference w:id="114"/>
      </w:r>
      <w:r w:rsidRPr="00407A45">
        <w:rPr>
          <w:snapToGrid w:val="0"/>
          <w:kern w:val="28"/>
          <w:sz w:val="22"/>
        </w:rPr>
        <w:t xml:space="preserve">  Gray states that it does not have DEI programs in place today and will not establish such initiatives.  Gray further summarizes the changes it has made to its practices to promote equal employment and nondiscrimination and additional commitments it will make upon closing the proposed Transaction</w:t>
      </w:r>
      <w:r w:rsidR="00B20C57">
        <w:rPr>
          <w:snapToGrid w:val="0"/>
          <w:kern w:val="28"/>
          <w:sz w:val="22"/>
        </w:rPr>
        <w:t>s</w:t>
      </w:r>
      <w:r w:rsidRPr="00407A45">
        <w:rPr>
          <w:snapToGrid w:val="0"/>
          <w:kern w:val="28"/>
          <w:sz w:val="22"/>
        </w:rPr>
        <w:t>, including to its hiring and promoting practices, training, compensation, supplier and vendor selection, leadership structure and job functions, employee groups, and public and internal messaging.</w:t>
      </w:r>
      <w:r>
        <w:rPr>
          <w:snapToGrid w:val="0"/>
          <w:kern w:val="28"/>
          <w:sz w:val="22"/>
          <w:vertAlign w:val="superscript"/>
        </w:rPr>
        <w:footnoteReference w:id="115"/>
      </w:r>
      <w:r w:rsidRPr="00407A45">
        <w:rPr>
          <w:snapToGrid w:val="0"/>
          <w:kern w:val="28"/>
          <w:sz w:val="22"/>
        </w:rPr>
        <w:t xml:space="preserve">  We accept Gray’s commitment as firm and definite, and expect that these changes will prevent DEI discrimination in the post-transaction company, as consistent with the law and public interest.</w:t>
      </w:r>
      <w:r>
        <w:rPr>
          <w:snapToGrid w:val="0"/>
          <w:kern w:val="28"/>
          <w:sz w:val="22"/>
          <w:vertAlign w:val="superscript"/>
        </w:rPr>
        <w:footnoteReference w:id="116"/>
      </w:r>
    </w:p>
    <w:p w:rsidR="00407A45" w:rsidRPr="00407A45" w:rsidP="00407A45" w14:paraId="7DD7C985" w14:textId="77777777">
      <w:pPr>
        <w:spacing w:after="120"/>
        <w:ind w:firstLine="720"/>
        <w:rPr>
          <w:snapToGrid w:val="0"/>
          <w:kern w:val="28"/>
          <w:sz w:val="22"/>
        </w:rPr>
      </w:pPr>
      <w:r w:rsidRPr="00407A45">
        <w:rPr>
          <w:snapToGrid w:val="0"/>
          <w:kern w:val="28"/>
          <w:sz w:val="22"/>
        </w:rPr>
        <w:t>The Commission has acknowledged that a transaction enabling a combined company to emerge as a stronger competitor in the marketplace is a transaction-specific benefit to consumers.</w:t>
      </w:r>
      <w:r>
        <w:rPr>
          <w:snapToGrid w:val="0"/>
          <w:kern w:val="28"/>
          <w:sz w:val="22"/>
          <w:vertAlign w:val="superscript"/>
        </w:rPr>
        <w:footnoteReference w:id="117"/>
      </w:r>
      <w:r w:rsidRPr="00407A45">
        <w:rPr>
          <w:snapToGrid w:val="0"/>
          <w:kern w:val="28"/>
          <w:sz w:val="22"/>
        </w:rPr>
        <w:t xml:space="preserve">  Overall, </w:t>
      </w:r>
      <w:r w:rsidRPr="00407A45">
        <w:rPr>
          <w:snapToGrid w:val="0"/>
          <w:kern w:val="28"/>
          <w:sz w:val="22"/>
        </w:rPr>
        <w:t>based on the record before us, we find that grant of the Applications is likely to result in public interest benefits and therefore we find that a grant serves the public interest, convenience, and necessity.</w:t>
      </w:r>
    </w:p>
    <w:p w:rsidR="00CF6B22" w:rsidRPr="00C31BED" w:rsidP="00E613C3" w14:paraId="7490F666" w14:textId="09706E04">
      <w:pPr>
        <w:spacing w:after="120"/>
        <w:ind w:firstLine="720"/>
        <w:rPr>
          <w:i/>
          <w:iCs/>
          <w:snapToGrid w:val="0"/>
          <w:kern w:val="28"/>
          <w:sz w:val="22"/>
        </w:rPr>
      </w:pPr>
      <w:r>
        <w:rPr>
          <w:snapToGrid w:val="0"/>
          <w:kern w:val="28"/>
          <w:sz w:val="22"/>
          <w:u w:val="single"/>
        </w:rPr>
        <w:t>Conclusion</w:t>
      </w:r>
      <w:r>
        <w:rPr>
          <w:snapToGrid w:val="0"/>
          <w:kern w:val="28"/>
          <w:sz w:val="22"/>
        </w:rPr>
        <w:t xml:space="preserve">.  </w:t>
      </w:r>
      <w:r w:rsidR="001E7260">
        <w:rPr>
          <w:snapToGrid w:val="0"/>
          <w:kern w:val="28"/>
          <w:sz w:val="22"/>
        </w:rPr>
        <w:t xml:space="preserve">Pursuant to a </w:t>
      </w:r>
      <w:r w:rsidRPr="005508AD" w:rsidR="005508AD">
        <w:rPr>
          <w:snapToGrid w:val="0"/>
          <w:kern w:val="28"/>
          <w:sz w:val="22"/>
        </w:rPr>
        <w:t>detailed review of the Applications and related filings in this proceeding, as well as a thorough analysis of the potential harms and benefits of the Transaction</w:t>
      </w:r>
      <w:r w:rsidR="002C12B6">
        <w:rPr>
          <w:snapToGrid w:val="0"/>
          <w:kern w:val="28"/>
          <w:sz w:val="22"/>
        </w:rPr>
        <w:t>s</w:t>
      </w:r>
      <w:r w:rsidRPr="005508AD" w:rsidR="005508AD">
        <w:rPr>
          <w:snapToGrid w:val="0"/>
          <w:kern w:val="28"/>
          <w:sz w:val="22"/>
        </w:rPr>
        <w:t xml:space="preserve">, </w:t>
      </w:r>
      <w:r w:rsidR="001E7260">
        <w:rPr>
          <w:snapToGrid w:val="0"/>
          <w:kern w:val="28"/>
          <w:sz w:val="22"/>
        </w:rPr>
        <w:t>and subject to</w:t>
      </w:r>
      <w:r w:rsidRPr="005508AD" w:rsidR="005508AD">
        <w:rPr>
          <w:snapToGrid w:val="0"/>
          <w:kern w:val="28"/>
          <w:sz w:val="22"/>
        </w:rPr>
        <w:t xml:space="preserve"> the firm and definite commitments of the Applicants to take certain actions, as set forth above</w:t>
      </w:r>
      <w:r w:rsidR="001E7260">
        <w:rPr>
          <w:snapToGrid w:val="0"/>
          <w:kern w:val="28"/>
          <w:sz w:val="22"/>
        </w:rPr>
        <w:t>,</w:t>
      </w:r>
      <w:r w:rsidRPr="005508AD" w:rsidR="005508AD">
        <w:rPr>
          <w:snapToGrid w:val="0"/>
          <w:kern w:val="28"/>
          <w:sz w:val="22"/>
        </w:rPr>
        <w:t xml:space="preserve"> we find that the Applicants are fully qualified and</w:t>
      </w:r>
      <w:r w:rsidR="006D5E51">
        <w:rPr>
          <w:snapToGrid w:val="0"/>
          <w:kern w:val="28"/>
          <w:sz w:val="22"/>
        </w:rPr>
        <w:t xml:space="preserve"> </w:t>
      </w:r>
      <w:r w:rsidRPr="005508AD" w:rsidR="005508AD">
        <w:rPr>
          <w:snapToGrid w:val="0"/>
          <w:kern w:val="28"/>
          <w:sz w:val="22"/>
        </w:rPr>
        <w:t>that grant of the Applications will result in public interest benefits</w:t>
      </w:r>
      <w:r w:rsidR="001E7260">
        <w:rPr>
          <w:snapToGrid w:val="0"/>
          <w:kern w:val="28"/>
          <w:sz w:val="22"/>
        </w:rPr>
        <w:t>.  We, therefore, conclude that grant of the Applications will</w:t>
      </w:r>
      <w:r w:rsidRPr="005508AD" w:rsidR="005508AD">
        <w:rPr>
          <w:snapToGrid w:val="0"/>
          <w:kern w:val="28"/>
          <w:sz w:val="22"/>
        </w:rPr>
        <w:t xml:space="preserve"> serve the public interest, convenience, and necessit</w:t>
      </w:r>
      <w:r w:rsidR="001E7260">
        <w:rPr>
          <w:snapToGrid w:val="0"/>
          <w:kern w:val="28"/>
          <w:sz w:val="22"/>
        </w:rPr>
        <w:t>y</w:t>
      </w:r>
      <w:r w:rsidR="005508AD">
        <w:rPr>
          <w:snapToGrid w:val="0"/>
          <w:kern w:val="28"/>
          <w:sz w:val="22"/>
        </w:rPr>
        <w:t>.</w:t>
      </w:r>
    </w:p>
    <w:p w:rsidR="00C55905" w:rsidP="000F78BF" w14:paraId="0DAE9662" w14:textId="0890D830">
      <w:pPr>
        <w:spacing w:after="120"/>
        <w:ind w:firstLine="720"/>
        <w:rPr>
          <w:snapToGrid w:val="0"/>
          <w:kern w:val="28"/>
          <w:sz w:val="22"/>
        </w:rPr>
      </w:pPr>
      <w:r w:rsidRPr="008E3999">
        <w:rPr>
          <w:snapToGrid w:val="0"/>
          <w:kern w:val="28"/>
          <w:sz w:val="22"/>
        </w:rPr>
        <w:t xml:space="preserve">Accordingly, having reviewed the Applications and the record in this matter, </w:t>
      </w:r>
      <w:r w:rsidRPr="008E3999">
        <w:rPr>
          <w:b/>
          <w:bCs/>
          <w:snapToGrid w:val="0"/>
          <w:kern w:val="28"/>
          <w:sz w:val="22"/>
        </w:rPr>
        <w:t>IT IS ORDERED</w:t>
      </w:r>
      <w:r w:rsidRPr="008E3999">
        <w:rPr>
          <w:snapToGrid w:val="0"/>
          <w:kern w:val="28"/>
          <w:sz w:val="22"/>
        </w:rPr>
        <w:t xml:space="preserve">, pursuant </w:t>
      </w:r>
      <w:r w:rsidRPr="00BF41F2" w:rsidR="00BF41F2">
        <w:rPr>
          <w:snapToGrid w:val="0"/>
          <w:kern w:val="28"/>
          <w:sz w:val="22"/>
        </w:rPr>
        <w:t>to sections 4(i) and (j), and 310(d) of the Communications Act of 1934, as amended, 47 U.S.C. §§ 154(i), 154(j), 310(d)</w:t>
      </w:r>
      <w:r w:rsidRPr="0015555A">
        <w:rPr>
          <w:snapToGrid w:val="0"/>
          <w:kern w:val="28"/>
          <w:sz w:val="22"/>
        </w:rPr>
        <w:t>,</w:t>
      </w:r>
      <w:r w:rsidRPr="008E3999">
        <w:rPr>
          <w:snapToGrid w:val="0"/>
          <w:kern w:val="28"/>
          <w:sz w:val="22"/>
        </w:rPr>
        <w:t xml:space="preserve"> that the applications listed in the Attachment seeking consent to assign the licenses for certain broadcast television stations from </w:t>
      </w:r>
      <w:r w:rsidRPr="008922C0" w:rsidR="008922C0">
        <w:rPr>
          <w:bCs/>
          <w:snapToGrid w:val="0"/>
          <w:kern w:val="28"/>
          <w:sz w:val="22"/>
        </w:rPr>
        <w:t>SagamoreHill of Columbus, GA</w:t>
      </w:r>
      <w:r w:rsidRPr="008922C0" w:rsidR="008922C0">
        <w:rPr>
          <w:snapToGrid w:val="0"/>
          <w:kern w:val="28"/>
          <w:sz w:val="22"/>
        </w:rPr>
        <w:t xml:space="preserve">, LLC; SagamoreHill of Lubbock, </w:t>
      </w:r>
      <w:r w:rsidR="00A319A6">
        <w:rPr>
          <w:snapToGrid w:val="0"/>
          <w:kern w:val="28"/>
          <w:sz w:val="22"/>
        </w:rPr>
        <w:t xml:space="preserve">LLC; </w:t>
      </w:r>
      <w:r w:rsidR="00EA7F73">
        <w:rPr>
          <w:snapToGrid w:val="0"/>
          <w:kern w:val="28"/>
          <w:sz w:val="22"/>
        </w:rPr>
        <w:t xml:space="preserve">and </w:t>
      </w:r>
      <w:r w:rsidRPr="008922C0" w:rsidR="008922C0">
        <w:rPr>
          <w:snapToGrid w:val="0"/>
          <w:kern w:val="28"/>
          <w:sz w:val="22"/>
        </w:rPr>
        <w:t>subsidiaries of Block Communications, Inc. to Gray</w:t>
      </w:r>
      <w:r w:rsidR="004E6E29">
        <w:rPr>
          <w:snapToGrid w:val="0"/>
          <w:kern w:val="28"/>
          <w:sz w:val="22"/>
        </w:rPr>
        <w:t xml:space="preserve"> Television License</w:t>
      </w:r>
      <w:r w:rsidR="00072697">
        <w:rPr>
          <w:snapToGrid w:val="0"/>
          <w:kern w:val="28"/>
          <w:sz w:val="22"/>
        </w:rPr>
        <w:t>e</w:t>
      </w:r>
      <w:r w:rsidR="004E6E29">
        <w:rPr>
          <w:snapToGrid w:val="0"/>
          <w:kern w:val="28"/>
          <w:sz w:val="22"/>
        </w:rPr>
        <w:t>, LLC</w:t>
      </w:r>
      <w:r w:rsidR="0008159F">
        <w:rPr>
          <w:snapToGrid w:val="0"/>
          <w:kern w:val="28"/>
          <w:sz w:val="22"/>
        </w:rPr>
        <w:t>,</w:t>
      </w:r>
      <w:r w:rsidR="004E6E29">
        <w:rPr>
          <w:snapToGrid w:val="0"/>
          <w:kern w:val="28"/>
          <w:sz w:val="22"/>
        </w:rPr>
        <w:t xml:space="preserve"> </w:t>
      </w:r>
      <w:r w:rsidRPr="008E3999">
        <w:rPr>
          <w:b/>
          <w:bCs/>
          <w:snapToGrid w:val="0"/>
          <w:kern w:val="28"/>
          <w:sz w:val="22"/>
        </w:rPr>
        <w:t>ARE GRANTED</w:t>
      </w:r>
      <w:r w:rsidRPr="008E3999">
        <w:rPr>
          <w:snapToGrid w:val="0"/>
          <w:kern w:val="28"/>
          <w:sz w:val="22"/>
        </w:rPr>
        <w:t>.</w:t>
      </w:r>
    </w:p>
    <w:p w:rsidR="008A4BC2" w:rsidRPr="001F63FD" w:rsidP="000F78BF" w14:paraId="5EC9E1B5" w14:textId="5EACB3E7">
      <w:pPr>
        <w:spacing w:after="120"/>
        <w:ind w:firstLine="720"/>
        <w:rPr>
          <w:b/>
          <w:bCs/>
          <w:snapToGrid w:val="0"/>
          <w:kern w:val="28"/>
          <w:sz w:val="22"/>
          <w:szCs w:val="22"/>
        </w:rPr>
      </w:pPr>
      <w:r w:rsidRPr="006D5E51">
        <w:rPr>
          <w:b/>
          <w:bCs/>
          <w:sz w:val="22"/>
          <w:szCs w:val="22"/>
        </w:rPr>
        <w:t xml:space="preserve">IT IS </w:t>
      </w:r>
      <w:r w:rsidRPr="006D5E51" w:rsidR="000C265D">
        <w:rPr>
          <w:b/>
          <w:bCs/>
          <w:sz w:val="22"/>
          <w:szCs w:val="22"/>
        </w:rPr>
        <w:t xml:space="preserve">FURTHER </w:t>
      </w:r>
      <w:r w:rsidRPr="006D5E51">
        <w:rPr>
          <w:b/>
          <w:bCs/>
          <w:sz w:val="22"/>
          <w:szCs w:val="22"/>
        </w:rPr>
        <w:t>ORDERED</w:t>
      </w:r>
      <w:r w:rsidRPr="006D5E51">
        <w:rPr>
          <w:sz w:val="22"/>
          <w:szCs w:val="22"/>
        </w:rPr>
        <w:t xml:space="preserve"> that, pursuant to section 1.3 of the Commission’s rules, 47 CFR </w:t>
      </w:r>
      <w:r w:rsidRPr="006D5E51">
        <w:rPr>
          <w:rFonts w:eastAsia="Calibri"/>
          <w:sz w:val="22"/>
          <w:szCs w:val="22"/>
        </w:rPr>
        <w:t xml:space="preserve">§ </w:t>
      </w:r>
      <w:r w:rsidRPr="006D5E51">
        <w:rPr>
          <w:sz w:val="22"/>
          <w:szCs w:val="22"/>
        </w:rPr>
        <w:t xml:space="preserve">1.3, the requests of Gray Television Licensee, LLC, for waiver of section 73.3555(b) of the Commission’s rules, 47 CFR </w:t>
      </w:r>
      <w:r w:rsidRPr="006D5E51">
        <w:rPr>
          <w:rFonts w:eastAsia="Calibri"/>
          <w:sz w:val="22"/>
          <w:szCs w:val="22"/>
        </w:rPr>
        <w:t xml:space="preserve">§ </w:t>
      </w:r>
      <w:r w:rsidRPr="006D5E51">
        <w:rPr>
          <w:sz w:val="22"/>
          <w:szCs w:val="22"/>
        </w:rPr>
        <w:t xml:space="preserve">73.3555(b) (vacated in part by </w:t>
      </w:r>
      <w:r w:rsidRPr="006D5E51">
        <w:rPr>
          <w:i/>
          <w:iCs/>
          <w:sz w:val="22"/>
          <w:szCs w:val="22"/>
        </w:rPr>
        <w:t>Zimmer Radio</w:t>
      </w:r>
      <w:r w:rsidRPr="006D5E51">
        <w:rPr>
          <w:sz w:val="22"/>
          <w:szCs w:val="22"/>
        </w:rPr>
        <w:t xml:space="preserve">), </w:t>
      </w:r>
      <w:r w:rsidRPr="006D5E51">
        <w:rPr>
          <w:b/>
          <w:bCs/>
          <w:sz w:val="22"/>
          <w:szCs w:val="22"/>
        </w:rPr>
        <w:t>ARE GRANTED</w:t>
      </w:r>
      <w:r w:rsidRPr="006D5E51" w:rsidR="000C265D">
        <w:rPr>
          <w:b/>
          <w:bCs/>
          <w:sz w:val="22"/>
          <w:szCs w:val="22"/>
        </w:rPr>
        <w:t>.</w:t>
      </w:r>
    </w:p>
    <w:p w:rsidR="0034367E" w:rsidRPr="00E06AE6" w:rsidP="00E06AE6" w14:paraId="7F8A420F" w14:textId="29155FF6">
      <w:pPr>
        <w:tabs>
          <w:tab w:val="num" w:pos="1440"/>
        </w:tabs>
        <w:spacing w:after="120"/>
        <w:ind w:firstLine="720"/>
        <w:rPr>
          <w:snapToGrid w:val="0"/>
          <w:kern w:val="28"/>
          <w:sz w:val="22"/>
          <w:szCs w:val="22"/>
        </w:rPr>
      </w:pPr>
      <w:r w:rsidRPr="00E06AE6">
        <w:rPr>
          <w:b/>
          <w:bCs/>
          <w:snapToGrid w:val="0"/>
          <w:kern w:val="28"/>
          <w:sz w:val="22"/>
        </w:rPr>
        <w:t>IT IS FURTHER ORDERED</w:t>
      </w:r>
      <w:r w:rsidRPr="00E06AE6">
        <w:rPr>
          <w:snapToGrid w:val="0"/>
          <w:kern w:val="28"/>
          <w:sz w:val="22"/>
        </w:rPr>
        <w:t xml:space="preserve">, pursuant to sections 4(i) and (j), 309, and 310(d) of the Communications Act of 1934, as amended, 47 U.S.C. §§ 154(i), 154(j), 309, 310(d), that, only with respect to the Applications, the Petition to Deny (LMS Pleading File No. 0000280897) filed by DIRECTV, LLC, and the Objections, as defined herein (LMS Pleading File Nos. 0000284189; 0000284195; 0000284451; 0000284499; and 0000295742), </w:t>
      </w:r>
      <w:r w:rsidRPr="00E06AE6">
        <w:rPr>
          <w:b/>
          <w:bCs/>
          <w:snapToGrid w:val="0"/>
          <w:kern w:val="28"/>
          <w:sz w:val="22"/>
        </w:rPr>
        <w:t>ARE DENIED</w:t>
      </w:r>
      <w:r w:rsidRPr="0034367E">
        <w:rPr>
          <w:bCs/>
          <w:snapToGrid w:val="0"/>
          <w:kern w:val="28"/>
          <w:sz w:val="22"/>
        </w:rPr>
        <w:t>.</w:t>
      </w:r>
    </w:p>
    <w:p w:rsidR="00C55905" w:rsidRPr="00ED03B7" w:rsidP="00C55905" w14:paraId="151E648E" w14:textId="39395656">
      <w:pPr>
        <w:widowControl w:val="0"/>
        <w:spacing w:after="120"/>
        <w:ind w:firstLine="720"/>
        <w:rPr>
          <w:snapToGrid w:val="0"/>
          <w:kern w:val="28"/>
          <w:sz w:val="22"/>
          <w:szCs w:val="22"/>
        </w:rPr>
      </w:pPr>
      <w:r w:rsidRPr="00CF25BF">
        <w:rPr>
          <w:snapToGrid w:val="0"/>
          <w:kern w:val="28"/>
          <w:sz w:val="22"/>
        </w:rPr>
        <w:t xml:space="preserve">These actions are taken pursuant to Sections 0.61 and 0.283 of the Commission’s rules, 47 CFR §§ 0.61, 0.283, and Sections 4(i) and (j), 47 U.S.C. §§ 154(i), 154(j).  </w:t>
      </w:r>
    </w:p>
    <w:p w:rsidR="00C55905" w:rsidP="00C55905" w14:paraId="4A0466BD" w14:textId="77777777">
      <w:pPr>
        <w:widowControl w:val="0"/>
        <w:ind w:left="4320"/>
      </w:pPr>
    </w:p>
    <w:p w:rsidR="00C55905" w:rsidRPr="00C611E8" w:rsidP="00C55905" w14:paraId="25E6419F" w14:textId="77777777">
      <w:pPr>
        <w:widowControl w:val="0"/>
        <w:ind w:left="4320" w:firstLine="720"/>
        <w:rPr>
          <w:sz w:val="22"/>
          <w:szCs w:val="22"/>
        </w:rPr>
      </w:pPr>
      <w:r w:rsidRPr="00C611E8">
        <w:rPr>
          <w:sz w:val="22"/>
          <w:szCs w:val="22"/>
        </w:rPr>
        <w:t>Sincerely,</w:t>
      </w:r>
    </w:p>
    <w:p w:rsidR="00C55905" w:rsidRPr="00C611E8" w:rsidP="00C55905" w14:paraId="0D7025E4" w14:textId="77777777">
      <w:pPr>
        <w:widowControl w:val="0"/>
        <w:ind w:left="4320"/>
        <w:rPr>
          <w:sz w:val="22"/>
          <w:szCs w:val="22"/>
        </w:rPr>
      </w:pPr>
    </w:p>
    <w:p w:rsidR="00C55905" w:rsidRPr="00C611E8" w:rsidP="00C55905" w14:paraId="226A46FD" w14:textId="77777777">
      <w:pPr>
        <w:widowControl w:val="0"/>
        <w:ind w:left="4320"/>
        <w:rPr>
          <w:sz w:val="22"/>
          <w:szCs w:val="22"/>
        </w:rPr>
      </w:pPr>
      <w:r>
        <w:rPr>
          <w:sz w:val="22"/>
          <w:szCs w:val="22"/>
        </w:rPr>
        <w:tab/>
        <w:t xml:space="preserve">   /s/</w:t>
      </w:r>
    </w:p>
    <w:p w:rsidR="00C55905" w:rsidRPr="00C611E8" w:rsidP="00C55905" w14:paraId="6232235C" w14:textId="77777777">
      <w:pPr>
        <w:widowControl w:val="0"/>
        <w:rPr>
          <w:sz w:val="22"/>
          <w:szCs w:val="22"/>
        </w:rPr>
      </w:pPr>
    </w:p>
    <w:p w:rsidR="00C55905" w:rsidRPr="00C611E8" w:rsidP="00C55905" w14:paraId="38837D41" w14:textId="77777777">
      <w:pPr>
        <w:widowControl w:val="0"/>
        <w:rPr>
          <w:sz w:val="22"/>
          <w:szCs w:val="22"/>
        </w:rPr>
      </w:pP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Pr>
          <w:sz w:val="22"/>
          <w:szCs w:val="22"/>
        </w:rPr>
        <w:tab/>
        <w:t>David J. Brown</w:t>
      </w:r>
      <w:r w:rsidRPr="00C611E8">
        <w:rPr>
          <w:sz w:val="22"/>
          <w:szCs w:val="22"/>
        </w:rPr>
        <w:tab/>
      </w:r>
      <w:r w:rsidRPr="00C611E8">
        <w:rPr>
          <w:sz w:val="22"/>
          <w:szCs w:val="22"/>
        </w:rPr>
        <w:tab/>
      </w:r>
      <w:r w:rsidRPr="00C611E8">
        <w:rPr>
          <w:sz w:val="22"/>
          <w:szCs w:val="22"/>
        </w:rPr>
        <w:tab/>
      </w:r>
    </w:p>
    <w:p w:rsidR="00C55905" w:rsidP="00C55905" w14:paraId="2768F19E" w14:textId="77777777">
      <w:pPr>
        <w:widowControl w:val="0"/>
        <w:rPr>
          <w:sz w:val="22"/>
          <w:szCs w:val="22"/>
        </w:rPr>
      </w:pP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sidRPr="00C611E8">
        <w:rPr>
          <w:sz w:val="22"/>
          <w:szCs w:val="22"/>
        </w:rPr>
        <w:tab/>
      </w:r>
      <w:r>
        <w:rPr>
          <w:sz w:val="22"/>
          <w:szCs w:val="22"/>
        </w:rPr>
        <w:tab/>
      </w:r>
      <w:r w:rsidRPr="00C611E8">
        <w:rPr>
          <w:sz w:val="22"/>
          <w:szCs w:val="22"/>
        </w:rPr>
        <w:t xml:space="preserve">Chief, </w:t>
      </w:r>
      <w:r>
        <w:rPr>
          <w:sz w:val="22"/>
          <w:szCs w:val="22"/>
        </w:rPr>
        <w:t>Video Division</w:t>
      </w:r>
    </w:p>
    <w:p w:rsidR="00C55905" w:rsidP="00C55905" w14:paraId="000A0D6C" w14:textId="77777777">
      <w:pPr>
        <w:widowControl w:val="0"/>
        <w:ind w:left="1440" w:firstLine="720"/>
        <w:rPr>
          <w:sz w:val="22"/>
          <w:szCs w:val="22"/>
        </w:rPr>
      </w:pPr>
      <w:r>
        <w:rPr>
          <w:sz w:val="22"/>
          <w:szCs w:val="22"/>
        </w:rPr>
        <w:tab/>
      </w:r>
      <w:r>
        <w:rPr>
          <w:sz w:val="22"/>
          <w:szCs w:val="22"/>
        </w:rPr>
        <w:tab/>
      </w:r>
      <w:r>
        <w:rPr>
          <w:sz w:val="22"/>
          <w:szCs w:val="22"/>
        </w:rPr>
        <w:tab/>
      </w:r>
      <w:r>
        <w:rPr>
          <w:sz w:val="22"/>
          <w:szCs w:val="22"/>
        </w:rPr>
        <w:tab/>
        <w:t>Media Bureau</w:t>
      </w:r>
    </w:p>
    <w:p w:rsidR="00877F0D" w14:paraId="3A55217C" w14:textId="77777777">
      <w:pPr>
        <w:rPr>
          <w:sz w:val="22"/>
          <w:szCs w:val="22"/>
        </w:rPr>
      </w:pPr>
      <w:r>
        <w:rPr>
          <w:sz w:val="22"/>
          <w:szCs w:val="22"/>
        </w:rPr>
        <w:br w:type="page"/>
      </w:r>
    </w:p>
    <w:p w:rsidR="00C55905" w:rsidRPr="00631052" w:rsidP="00877F0D" w14:paraId="1CB1A59A" w14:textId="6EF252DB">
      <w:pPr>
        <w:widowControl w:val="0"/>
        <w:jc w:val="center"/>
        <w:rPr>
          <w:b/>
          <w:snapToGrid w:val="0"/>
          <w:kern w:val="28"/>
          <w:sz w:val="22"/>
          <w:u w:val="single"/>
        </w:rPr>
      </w:pPr>
      <w:r w:rsidRPr="00631052">
        <w:rPr>
          <w:b/>
          <w:snapToGrid w:val="0"/>
          <w:kern w:val="28"/>
          <w:sz w:val="22"/>
          <w:u w:val="single"/>
        </w:rPr>
        <w:t>Atta</w:t>
      </w:r>
      <w:r w:rsidR="00877F0D">
        <w:rPr>
          <w:b/>
          <w:snapToGrid w:val="0"/>
          <w:kern w:val="28"/>
          <w:sz w:val="22"/>
          <w:u w:val="single"/>
        </w:rPr>
        <w:t>c</w:t>
      </w:r>
      <w:r w:rsidRPr="00631052">
        <w:rPr>
          <w:b/>
          <w:snapToGrid w:val="0"/>
          <w:kern w:val="28"/>
          <w:sz w:val="22"/>
          <w:u w:val="single"/>
        </w:rPr>
        <w:t>hment</w:t>
      </w:r>
    </w:p>
    <w:p w:rsidR="00C55905" w:rsidRPr="00631052" w:rsidP="00C55905" w14:paraId="662AD5B8" w14:textId="77777777">
      <w:pPr>
        <w:widowControl w:val="0"/>
        <w:jc w:val="center"/>
        <w:rPr>
          <w:b/>
          <w:snapToGrid w:val="0"/>
          <w:kern w:val="28"/>
          <w:sz w:val="22"/>
        </w:rPr>
      </w:pPr>
    </w:p>
    <w:p w:rsidR="00C55905" w:rsidRPr="0057787A" w:rsidP="001D6818" w14:paraId="3BB1F962" w14:textId="71162EA5">
      <w:pPr>
        <w:widowControl w:val="0"/>
        <w:spacing w:after="120"/>
        <w:jc w:val="center"/>
        <w:rPr>
          <w:b/>
          <w:snapToGrid w:val="0"/>
          <w:kern w:val="28"/>
          <w:sz w:val="22"/>
        </w:rPr>
      </w:pPr>
      <w:r>
        <w:rPr>
          <w:b/>
          <w:snapToGrid w:val="0"/>
          <w:kern w:val="28"/>
          <w:sz w:val="22"/>
        </w:rPr>
        <w:t xml:space="preserve">Assignment from </w:t>
      </w:r>
      <w:r w:rsidR="00282991">
        <w:rPr>
          <w:b/>
          <w:snapToGrid w:val="0"/>
          <w:kern w:val="28"/>
          <w:sz w:val="22"/>
        </w:rPr>
        <w:t>SagamoreHill of Columbus, G</w:t>
      </w:r>
      <w:r w:rsidR="00703607">
        <w:rPr>
          <w:b/>
          <w:snapToGrid w:val="0"/>
          <w:kern w:val="28"/>
          <w:sz w:val="22"/>
        </w:rPr>
        <w:t>A</w:t>
      </w:r>
      <w:r w:rsidR="009B6982">
        <w:rPr>
          <w:b/>
          <w:snapToGrid w:val="0"/>
          <w:kern w:val="28"/>
          <w:sz w:val="22"/>
        </w:rPr>
        <w:t>, LLC</w:t>
      </w:r>
    </w:p>
    <w:tbl>
      <w:tblPr>
        <w:tblW w:w="8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8"/>
        <w:gridCol w:w="2137"/>
        <w:gridCol w:w="1800"/>
        <w:gridCol w:w="2610"/>
      </w:tblGrid>
      <w:tr w14:paraId="7F17CB4C" w14:textId="77777777" w:rsidTr="00414670">
        <w:tblPrEx>
          <w:tblW w:w="8095" w:type="dxa"/>
          <w:jc w:val="center"/>
          <w:tblLayout w:type="fixed"/>
          <w:tblLook w:val="04A0"/>
        </w:tblPrEx>
        <w:trPr>
          <w:jc w:val="center"/>
        </w:trPr>
        <w:tc>
          <w:tcPr>
            <w:tcW w:w="1548" w:type="dxa"/>
          </w:tcPr>
          <w:p w:rsidR="00C55905" w:rsidRPr="0057787A" w:rsidP="003A0418" w14:paraId="14D2490E" w14:textId="77777777">
            <w:pPr>
              <w:widowControl w:val="0"/>
              <w:jc w:val="center"/>
              <w:rPr>
                <w:b/>
                <w:snapToGrid w:val="0"/>
                <w:kern w:val="28"/>
                <w:sz w:val="22"/>
              </w:rPr>
            </w:pPr>
            <w:r w:rsidRPr="0057787A">
              <w:rPr>
                <w:b/>
                <w:snapToGrid w:val="0"/>
                <w:kern w:val="28"/>
                <w:sz w:val="22"/>
              </w:rPr>
              <w:t>Call Sign</w:t>
            </w:r>
          </w:p>
        </w:tc>
        <w:tc>
          <w:tcPr>
            <w:tcW w:w="2137" w:type="dxa"/>
          </w:tcPr>
          <w:p w:rsidR="00C55905" w:rsidRPr="0057787A" w:rsidP="003A0418" w14:paraId="62494E90" w14:textId="77777777">
            <w:pPr>
              <w:widowControl w:val="0"/>
              <w:jc w:val="center"/>
              <w:rPr>
                <w:b/>
                <w:snapToGrid w:val="0"/>
                <w:kern w:val="28"/>
                <w:sz w:val="22"/>
              </w:rPr>
            </w:pPr>
            <w:r w:rsidRPr="0057787A">
              <w:rPr>
                <w:b/>
                <w:snapToGrid w:val="0"/>
                <w:kern w:val="28"/>
                <w:sz w:val="22"/>
              </w:rPr>
              <w:t>Community of License</w:t>
            </w:r>
          </w:p>
        </w:tc>
        <w:tc>
          <w:tcPr>
            <w:tcW w:w="1800" w:type="dxa"/>
          </w:tcPr>
          <w:p w:rsidR="00C55905" w:rsidRPr="0057787A" w:rsidP="003A0418" w14:paraId="3157D829" w14:textId="77777777">
            <w:pPr>
              <w:widowControl w:val="0"/>
              <w:jc w:val="center"/>
              <w:rPr>
                <w:b/>
                <w:snapToGrid w:val="0"/>
                <w:kern w:val="28"/>
                <w:sz w:val="22"/>
              </w:rPr>
            </w:pPr>
            <w:r w:rsidRPr="0057787A">
              <w:rPr>
                <w:b/>
                <w:snapToGrid w:val="0"/>
                <w:kern w:val="28"/>
                <w:sz w:val="22"/>
              </w:rPr>
              <w:t>Facility ID No.</w:t>
            </w:r>
          </w:p>
        </w:tc>
        <w:tc>
          <w:tcPr>
            <w:tcW w:w="2610" w:type="dxa"/>
          </w:tcPr>
          <w:p w:rsidR="00C55905" w:rsidRPr="0057787A" w:rsidP="003A0418" w14:paraId="120C5B50" w14:textId="77777777">
            <w:pPr>
              <w:widowControl w:val="0"/>
              <w:jc w:val="center"/>
              <w:rPr>
                <w:b/>
                <w:snapToGrid w:val="0"/>
                <w:kern w:val="28"/>
                <w:sz w:val="22"/>
              </w:rPr>
            </w:pPr>
            <w:r w:rsidRPr="0057787A">
              <w:rPr>
                <w:b/>
                <w:snapToGrid w:val="0"/>
                <w:kern w:val="28"/>
                <w:sz w:val="22"/>
              </w:rPr>
              <w:t>LMS File No.</w:t>
            </w:r>
          </w:p>
        </w:tc>
      </w:tr>
      <w:tr w14:paraId="1AD0F847" w14:textId="77777777" w:rsidTr="00414670">
        <w:tblPrEx>
          <w:tblW w:w="8095" w:type="dxa"/>
          <w:jc w:val="center"/>
          <w:tblLayout w:type="fixed"/>
          <w:tblLook w:val="04A0"/>
        </w:tblPrEx>
        <w:trPr>
          <w:jc w:val="center"/>
        </w:trPr>
        <w:tc>
          <w:tcPr>
            <w:tcW w:w="1548" w:type="dxa"/>
            <w:vAlign w:val="center"/>
          </w:tcPr>
          <w:p w:rsidR="00C55905" w:rsidRPr="0057787A" w:rsidP="003A0418" w14:paraId="4EDF2E80" w14:textId="65690A0F">
            <w:pPr>
              <w:widowControl w:val="0"/>
              <w:jc w:val="center"/>
              <w:rPr>
                <w:bCs/>
                <w:snapToGrid w:val="0"/>
                <w:kern w:val="28"/>
                <w:sz w:val="22"/>
              </w:rPr>
            </w:pPr>
            <w:r>
              <w:rPr>
                <w:bCs/>
                <w:snapToGrid w:val="0"/>
                <w:kern w:val="28"/>
                <w:sz w:val="22"/>
              </w:rPr>
              <w:t>WLTZ</w:t>
            </w:r>
          </w:p>
        </w:tc>
        <w:tc>
          <w:tcPr>
            <w:tcW w:w="2137" w:type="dxa"/>
            <w:vAlign w:val="center"/>
          </w:tcPr>
          <w:p w:rsidR="00C55905" w:rsidRPr="0057787A" w:rsidP="003A0418" w14:paraId="6307C322" w14:textId="3831ABEB">
            <w:pPr>
              <w:widowControl w:val="0"/>
              <w:jc w:val="center"/>
              <w:rPr>
                <w:bCs/>
                <w:snapToGrid w:val="0"/>
                <w:kern w:val="28"/>
                <w:sz w:val="22"/>
              </w:rPr>
            </w:pPr>
            <w:r>
              <w:rPr>
                <w:bCs/>
                <w:snapToGrid w:val="0"/>
                <w:kern w:val="28"/>
                <w:sz w:val="22"/>
              </w:rPr>
              <w:t>COLUMBUS, GA</w:t>
            </w:r>
          </w:p>
        </w:tc>
        <w:tc>
          <w:tcPr>
            <w:tcW w:w="1800" w:type="dxa"/>
            <w:vAlign w:val="center"/>
          </w:tcPr>
          <w:p w:rsidR="00C55905" w:rsidRPr="0057787A" w:rsidP="003A0418" w14:paraId="3BD5D900" w14:textId="2452BA11">
            <w:pPr>
              <w:widowControl w:val="0"/>
              <w:jc w:val="center"/>
              <w:rPr>
                <w:bCs/>
                <w:snapToGrid w:val="0"/>
                <w:kern w:val="28"/>
                <w:sz w:val="22"/>
              </w:rPr>
            </w:pPr>
            <w:r w:rsidRPr="0057787A">
              <w:rPr>
                <w:bCs/>
                <w:snapToGrid w:val="0"/>
                <w:kern w:val="28"/>
                <w:sz w:val="22"/>
              </w:rPr>
              <w:t>3</w:t>
            </w:r>
            <w:r w:rsidR="003873E4">
              <w:rPr>
                <w:bCs/>
                <w:snapToGrid w:val="0"/>
                <w:kern w:val="28"/>
                <w:sz w:val="22"/>
              </w:rPr>
              <w:t>7179</w:t>
            </w:r>
          </w:p>
        </w:tc>
        <w:tc>
          <w:tcPr>
            <w:tcW w:w="2610" w:type="dxa"/>
            <w:vAlign w:val="center"/>
          </w:tcPr>
          <w:p w:rsidR="00C55905" w:rsidRPr="0057787A" w:rsidP="003A0418" w14:paraId="15F2B330" w14:textId="50E7C1EE">
            <w:pPr>
              <w:widowControl w:val="0"/>
              <w:jc w:val="center"/>
              <w:rPr>
                <w:bCs/>
                <w:snapToGrid w:val="0"/>
                <w:kern w:val="28"/>
                <w:sz w:val="22"/>
              </w:rPr>
            </w:pPr>
            <w:r w:rsidRPr="0057787A">
              <w:rPr>
                <w:bCs/>
                <w:snapToGrid w:val="0"/>
                <w:kern w:val="28"/>
                <w:sz w:val="22"/>
              </w:rPr>
              <w:t>0000276</w:t>
            </w:r>
            <w:r w:rsidR="003873E4">
              <w:rPr>
                <w:bCs/>
                <w:snapToGrid w:val="0"/>
                <w:kern w:val="28"/>
                <w:sz w:val="22"/>
              </w:rPr>
              <w:t>662</w:t>
            </w:r>
          </w:p>
        </w:tc>
      </w:tr>
    </w:tbl>
    <w:p w:rsidR="00C55905" w:rsidRPr="0057787A" w:rsidP="00C55905" w14:paraId="192540F6" w14:textId="77777777">
      <w:pPr>
        <w:widowControl w:val="0"/>
        <w:jc w:val="center"/>
        <w:rPr>
          <w:bCs/>
          <w:snapToGrid w:val="0"/>
          <w:kern w:val="28"/>
          <w:sz w:val="22"/>
        </w:rPr>
      </w:pPr>
    </w:p>
    <w:p w:rsidR="00703607" w:rsidRPr="00703607" w:rsidP="001D6818" w14:paraId="421583FD" w14:textId="0B6A7A32">
      <w:pPr>
        <w:widowControl w:val="0"/>
        <w:spacing w:after="120"/>
        <w:jc w:val="center"/>
        <w:rPr>
          <w:b/>
          <w:snapToGrid w:val="0"/>
          <w:kern w:val="28"/>
          <w:sz w:val="22"/>
        </w:rPr>
      </w:pPr>
      <w:r w:rsidRPr="00703607">
        <w:rPr>
          <w:b/>
          <w:snapToGrid w:val="0"/>
          <w:kern w:val="28"/>
          <w:sz w:val="22"/>
        </w:rPr>
        <w:t xml:space="preserve">Assignment from SagamoreHill of </w:t>
      </w:r>
      <w:r>
        <w:rPr>
          <w:b/>
          <w:snapToGrid w:val="0"/>
          <w:kern w:val="28"/>
          <w:sz w:val="22"/>
        </w:rPr>
        <w:t>Lubbock</w:t>
      </w:r>
      <w:r w:rsidR="00430CFC">
        <w:rPr>
          <w:b/>
          <w:snapToGrid w:val="0"/>
          <w:kern w:val="28"/>
          <w:sz w:val="22"/>
        </w:rPr>
        <w:t>, LLC</w:t>
      </w:r>
    </w:p>
    <w:tbl>
      <w:tblPr>
        <w:tblW w:w="8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8"/>
        <w:gridCol w:w="2137"/>
        <w:gridCol w:w="1800"/>
        <w:gridCol w:w="2610"/>
      </w:tblGrid>
      <w:tr w14:paraId="33C7B1B6" w14:textId="77777777" w:rsidTr="00414670">
        <w:tblPrEx>
          <w:tblW w:w="8095" w:type="dxa"/>
          <w:jc w:val="center"/>
          <w:tblLayout w:type="fixed"/>
          <w:tblLook w:val="04A0"/>
        </w:tblPrEx>
        <w:trPr>
          <w:jc w:val="center"/>
        </w:trPr>
        <w:tc>
          <w:tcPr>
            <w:tcW w:w="1548" w:type="dxa"/>
          </w:tcPr>
          <w:p w:rsidR="00C55905" w:rsidRPr="0057787A" w:rsidP="003A0418" w14:paraId="623235E5" w14:textId="77777777">
            <w:pPr>
              <w:widowControl w:val="0"/>
              <w:jc w:val="center"/>
              <w:rPr>
                <w:b/>
                <w:snapToGrid w:val="0"/>
                <w:kern w:val="28"/>
                <w:sz w:val="22"/>
              </w:rPr>
            </w:pPr>
            <w:r w:rsidRPr="0057787A">
              <w:rPr>
                <w:b/>
                <w:snapToGrid w:val="0"/>
                <w:kern w:val="28"/>
                <w:sz w:val="22"/>
              </w:rPr>
              <w:t>Call Sign</w:t>
            </w:r>
          </w:p>
        </w:tc>
        <w:tc>
          <w:tcPr>
            <w:tcW w:w="2137" w:type="dxa"/>
          </w:tcPr>
          <w:p w:rsidR="00C55905" w:rsidRPr="0057787A" w:rsidP="003A0418" w14:paraId="3B4A759F" w14:textId="77777777">
            <w:pPr>
              <w:widowControl w:val="0"/>
              <w:jc w:val="center"/>
              <w:rPr>
                <w:b/>
                <w:snapToGrid w:val="0"/>
                <w:kern w:val="28"/>
                <w:sz w:val="22"/>
              </w:rPr>
            </w:pPr>
            <w:r w:rsidRPr="0057787A">
              <w:rPr>
                <w:b/>
                <w:snapToGrid w:val="0"/>
                <w:kern w:val="28"/>
                <w:sz w:val="22"/>
              </w:rPr>
              <w:t>Community of License</w:t>
            </w:r>
          </w:p>
        </w:tc>
        <w:tc>
          <w:tcPr>
            <w:tcW w:w="1800" w:type="dxa"/>
          </w:tcPr>
          <w:p w:rsidR="00C55905" w:rsidRPr="0057787A" w:rsidP="003A0418" w14:paraId="328F3007" w14:textId="77777777">
            <w:pPr>
              <w:widowControl w:val="0"/>
              <w:jc w:val="center"/>
              <w:rPr>
                <w:b/>
                <w:snapToGrid w:val="0"/>
                <w:kern w:val="28"/>
                <w:sz w:val="22"/>
              </w:rPr>
            </w:pPr>
            <w:r w:rsidRPr="0057787A">
              <w:rPr>
                <w:b/>
                <w:snapToGrid w:val="0"/>
                <w:kern w:val="28"/>
                <w:sz w:val="22"/>
              </w:rPr>
              <w:t>Facility ID No.</w:t>
            </w:r>
          </w:p>
        </w:tc>
        <w:tc>
          <w:tcPr>
            <w:tcW w:w="2610" w:type="dxa"/>
          </w:tcPr>
          <w:p w:rsidR="00C55905" w:rsidRPr="0057787A" w:rsidP="003A0418" w14:paraId="3A323929" w14:textId="77777777">
            <w:pPr>
              <w:widowControl w:val="0"/>
              <w:jc w:val="center"/>
              <w:rPr>
                <w:b/>
                <w:snapToGrid w:val="0"/>
                <w:kern w:val="28"/>
                <w:sz w:val="22"/>
              </w:rPr>
            </w:pPr>
            <w:r w:rsidRPr="0057787A">
              <w:rPr>
                <w:b/>
                <w:snapToGrid w:val="0"/>
                <w:kern w:val="28"/>
                <w:sz w:val="22"/>
              </w:rPr>
              <w:t>LMS File No.</w:t>
            </w:r>
          </w:p>
        </w:tc>
      </w:tr>
      <w:tr w14:paraId="383A5B94" w14:textId="77777777" w:rsidTr="00414670">
        <w:tblPrEx>
          <w:tblW w:w="8095" w:type="dxa"/>
          <w:jc w:val="center"/>
          <w:tblLayout w:type="fixed"/>
          <w:tblLook w:val="04A0"/>
        </w:tblPrEx>
        <w:trPr>
          <w:jc w:val="center"/>
        </w:trPr>
        <w:tc>
          <w:tcPr>
            <w:tcW w:w="1548" w:type="dxa"/>
            <w:vAlign w:val="center"/>
          </w:tcPr>
          <w:p w:rsidR="00C55905" w:rsidRPr="0057787A" w:rsidP="003A0418" w14:paraId="0EF96877" w14:textId="6BE821C0">
            <w:pPr>
              <w:widowControl w:val="0"/>
              <w:jc w:val="center"/>
              <w:rPr>
                <w:snapToGrid w:val="0"/>
                <w:kern w:val="28"/>
                <w:sz w:val="22"/>
              </w:rPr>
            </w:pPr>
            <w:r>
              <w:rPr>
                <w:snapToGrid w:val="0"/>
                <w:kern w:val="28"/>
                <w:sz w:val="22"/>
              </w:rPr>
              <w:t>KJTV-TV</w:t>
            </w:r>
          </w:p>
        </w:tc>
        <w:tc>
          <w:tcPr>
            <w:tcW w:w="2137" w:type="dxa"/>
            <w:vAlign w:val="center"/>
          </w:tcPr>
          <w:p w:rsidR="00C55905" w:rsidRPr="0057787A" w:rsidP="003A0418" w14:paraId="11294C70" w14:textId="7D730BB1">
            <w:pPr>
              <w:widowControl w:val="0"/>
              <w:jc w:val="center"/>
              <w:rPr>
                <w:snapToGrid w:val="0"/>
                <w:kern w:val="28"/>
                <w:sz w:val="22"/>
              </w:rPr>
            </w:pPr>
            <w:r>
              <w:rPr>
                <w:snapToGrid w:val="0"/>
                <w:kern w:val="28"/>
                <w:sz w:val="22"/>
              </w:rPr>
              <w:t>LUBBOCK, TX</w:t>
            </w:r>
          </w:p>
        </w:tc>
        <w:tc>
          <w:tcPr>
            <w:tcW w:w="1800" w:type="dxa"/>
            <w:vAlign w:val="center"/>
          </w:tcPr>
          <w:p w:rsidR="00C55905" w:rsidRPr="0057787A" w:rsidP="003A0418" w14:paraId="786628CB" w14:textId="6D8E9DD6">
            <w:pPr>
              <w:widowControl w:val="0"/>
              <w:jc w:val="center"/>
              <w:rPr>
                <w:snapToGrid w:val="0"/>
                <w:kern w:val="28"/>
                <w:sz w:val="22"/>
              </w:rPr>
            </w:pPr>
            <w:r>
              <w:rPr>
                <w:snapToGrid w:val="0"/>
                <w:kern w:val="28"/>
                <w:sz w:val="22"/>
              </w:rPr>
              <w:t>55031</w:t>
            </w:r>
          </w:p>
        </w:tc>
        <w:tc>
          <w:tcPr>
            <w:tcW w:w="2610" w:type="dxa"/>
            <w:vAlign w:val="center"/>
          </w:tcPr>
          <w:p w:rsidR="00C55905" w:rsidRPr="0057787A" w:rsidP="003A0418" w14:paraId="0237F839" w14:textId="7CB0ABBB">
            <w:pPr>
              <w:widowControl w:val="0"/>
              <w:jc w:val="center"/>
              <w:rPr>
                <w:snapToGrid w:val="0"/>
                <w:kern w:val="28"/>
                <w:sz w:val="22"/>
              </w:rPr>
            </w:pPr>
            <w:r w:rsidRPr="0057787A">
              <w:rPr>
                <w:snapToGrid w:val="0"/>
                <w:kern w:val="28"/>
                <w:sz w:val="22"/>
              </w:rPr>
              <w:t>0000276</w:t>
            </w:r>
            <w:r w:rsidR="0025379B">
              <w:rPr>
                <w:snapToGrid w:val="0"/>
                <w:kern w:val="28"/>
                <w:sz w:val="22"/>
              </w:rPr>
              <w:t>663</w:t>
            </w:r>
          </w:p>
        </w:tc>
      </w:tr>
      <w:tr w14:paraId="16E14208" w14:textId="77777777" w:rsidTr="00414670">
        <w:tblPrEx>
          <w:tblW w:w="8095" w:type="dxa"/>
          <w:jc w:val="center"/>
          <w:tblLayout w:type="fixed"/>
          <w:tblLook w:val="04A0"/>
        </w:tblPrEx>
        <w:trPr>
          <w:jc w:val="center"/>
        </w:trPr>
        <w:tc>
          <w:tcPr>
            <w:tcW w:w="1548" w:type="dxa"/>
            <w:vAlign w:val="center"/>
          </w:tcPr>
          <w:p w:rsidR="00C55905" w:rsidRPr="0057787A" w:rsidP="003A0418" w14:paraId="31D81170" w14:textId="44CFBF1C">
            <w:pPr>
              <w:widowControl w:val="0"/>
              <w:jc w:val="center"/>
              <w:rPr>
                <w:snapToGrid w:val="0"/>
                <w:kern w:val="28"/>
                <w:sz w:val="22"/>
              </w:rPr>
            </w:pPr>
            <w:r>
              <w:rPr>
                <w:snapToGrid w:val="0"/>
                <w:kern w:val="28"/>
                <w:sz w:val="22"/>
              </w:rPr>
              <w:t>KJTV-CD</w:t>
            </w:r>
          </w:p>
        </w:tc>
        <w:tc>
          <w:tcPr>
            <w:tcW w:w="2137" w:type="dxa"/>
            <w:vAlign w:val="center"/>
          </w:tcPr>
          <w:p w:rsidR="00C55905" w:rsidRPr="0057787A" w:rsidP="003A0418" w14:paraId="4921C9E8" w14:textId="3D0D8D8A">
            <w:pPr>
              <w:widowControl w:val="0"/>
              <w:jc w:val="center"/>
              <w:rPr>
                <w:snapToGrid w:val="0"/>
                <w:kern w:val="28"/>
                <w:sz w:val="22"/>
              </w:rPr>
            </w:pPr>
            <w:r>
              <w:rPr>
                <w:snapToGrid w:val="0"/>
                <w:kern w:val="28"/>
                <w:sz w:val="22"/>
              </w:rPr>
              <w:t>WOLFFORTH, TX</w:t>
            </w:r>
          </w:p>
        </w:tc>
        <w:tc>
          <w:tcPr>
            <w:tcW w:w="1800" w:type="dxa"/>
            <w:vAlign w:val="center"/>
          </w:tcPr>
          <w:p w:rsidR="00C55905" w:rsidRPr="0057787A" w:rsidP="003A0418" w14:paraId="304BA96A" w14:textId="2AA78825">
            <w:pPr>
              <w:widowControl w:val="0"/>
              <w:jc w:val="center"/>
              <w:rPr>
                <w:snapToGrid w:val="0"/>
                <w:kern w:val="28"/>
                <w:sz w:val="22"/>
              </w:rPr>
            </w:pPr>
            <w:r>
              <w:rPr>
                <w:snapToGrid w:val="0"/>
                <w:kern w:val="28"/>
                <w:sz w:val="22"/>
              </w:rPr>
              <w:t>168090</w:t>
            </w:r>
          </w:p>
        </w:tc>
        <w:tc>
          <w:tcPr>
            <w:tcW w:w="2610" w:type="dxa"/>
            <w:vAlign w:val="center"/>
          </w:tcPr>
          <w:p w:rsidR="00C55905" w:rsidRPr="0057787A" w:rsidP="003A0418" w14:paraId="61AF2312" w14:textId="3FDB8188">
            <w:pPr>
              <w:widowControl w:val="0"/>
              <w:jc w:val="center"/>
              <w:rPr>
                <w:snapToGrid w:val="0"/>
                <w:kern w:val="28"/>
                <w:sz w:val="22"/>
              </w:rPr>
            </w:pPr>
            <w:r w:rsidRPr="0057787A">
              <w:rPr>
                <w:snapToGrid w:val="0"/>
                <w:kern w:val="28"/>
                <w:sz w:val="22"/>
              </w:rPr>
              <w:t>0000276</w:t>
            </w:r>
            <w:r w:rsidR="000756A2">
              <w:rPr>
                <w:snapToGrid w:val="0"/>
                <w:kern w:val="28"/>
                <w:sz w:val="22"/>
              </w:rPr>
              <w:t>664</w:t>
            </w:r>
          </w:p>
        </w:tc>
      </w:tr>
      <w:tr w14:paraId="4F1FDD7D" w14:textId="77777777" w:rsidTr="00414670">
        <w:tblPrEx>
          <w:tblW w:w="8095" w:type="dxa"/>
          <w:jc w:val="center"/>
          <w:tblLayout w:type="fixed"/>
          <w:tblLook w:val="04A0"/>
        </w:tblPrEx>
        <w:trPr>
          <w:jc w:val="center"/>
        </w:trPr>
        <w:tc>
          <w:tcPr>
            <w:tcW w:w="1548" w:type="dxa"/>
            <w:vAlign w:val="center"/>
          </w:tcPr>
          <w:p w:rsidR="00C55905" w:rsidRPr="0057787A" w:rsidP="003A0418" w14:paraId="5AAEF43D" w14:textId="550D2082">
            <w:pPr>
              <w:widowControl w:val="0"/>
              <w:jc w:val="center"/>
              <w:rPr>
                <w:snapToGrid w:val="0"/>
                <w:kern w:val="28"/>
                <w:sz w:val="22"/>
              </w:rPr>
            </w:pPr>
            <w:r w:rsidRPr="0057787A">
              <w:rPr>
                <w:snapToGrid w:val="0"/>
                <w:kern w:val="28"/>
                <w:sz w:val="22"/>
              </w:rPr>
              <w:t>K</w:t>
            </w:r>
            <w:r w:rsidR="000756A2">
              <w:rPr>
                <w:snapToGrid w:val="0"/>
                <w:kern w:val="28"/>
                <w:sz w:val="22"/>
              </w:rPr>
              <w:t>19KT-D</w:t>
            </w:r>
          </w:p>
        </w:tc>
        <w:tc>
          <w:tcPr>
            <w:tcW w:w="2137" w:type="dxa"/>
            <w:vAlign w:val="center"/>
          </w:tcPr>
          <w:p w:rsidR="00C55905" w:rsidRPr="0057787A" w:rsidP="003A0418" w14:paraId="04DC9F02" w14:textId="2CE85137">
            <w:pPr>
              <w:widowControl w:val="0"/>
              <w:jc w:val="center"/>
              <w:rPr>
                <w:snapToGrid w:val="0"/>
                <w:kern w:val="28"/>
                <w:sz w:val="22"/>
              </w:rPr>
            </w:pPr>
            <w:r>
              <w:rPr>
                <w:snapToGrid w:val="0"/>
                <w:kern w:val="28"/>
                <w:sz w:val="22"/>
              </w:rPr>
              <w:t>HOBBS, NM</w:t>
            </w:r>
          </w:p>
        </w:tc>
        <w:tc>
          <w:tcPr>
            <w:tcW w:w="1800" w:type="dxa"/>
            <w:vAlign w:val="center"/>
          </w:tcPr>
          <w:p w:rsidR="00C55905" w:rsidRPr="0057787A" w:rsidP="003A0418" w14:paraId="1ECCB0D9" w14:textId="43B77964">
            <w:pPr>
              <w:widowControl w:val="0"/>
              <w:jc w:val="center"/>
              <w:rPr>
                <w:snapToGrid w:val="0"/>
                <w:kern w:val="28"/>
                <w:sz w:val="22"/>
              </w:rPr>
            </w:pPr>
            <w:r>
              <w:rPr>
                <w:snapToGrid w:val="0"/>
                <w:kern w:val="28"/>
                <w:sz w:val="22"/>
              </w:rPr>
              <w:t>55034</w:t>
            </w:r>
          </w:p>
        </w:tc>
        <w:tc>
          <w:tcPr>
            <w:tcW w:w="2610" w:type="dxa"/>
            <w:vAlign w:val="center"/>
          </w:tcPr>
          <w:p w:rsidR="00C55905" w:rsidRPr="0057787A" w:rsidP="003A0418" w14:paraId="2DA93340" w14:textId="264A9E67">
            <w:pPr>
              <w:widowControl w:val="0"/>
              <w:jc w:val="center"/>
              <w:rPr>
                <w:snapToGrid w:val="0"/>
                <w:kern w:val="28"/>
                <w:sz w:val="22"/>
              </w:rPr>
            </w:pPr>
            <w:r w:rsidRPr="0057787A">
              <w:rPr>
                <w:snapToGrid w:val="0"/>
                <w:kern w:val="28"/>
                <w:sz w:val="22"/>
              </w:rPr>
              <w:t>0000276</w:t>
            </w:r>
            <w:r w:rsidR="00160B0B">
              <w:rPr>
                <w:snapToGrid w:val="0"/>
                <w:kern w:val="28"/>
                <w:sz w:val="22"/>
              </w:rPr>
              <w:t>665</w:t>
            </w:r>
          </w:p>
        </w:tc>
      </w:tr>
    </w:tbl>
    <w:p w:rsidR="00204CE3" w14:paraId="1804BD02" w14:textId="77777777">
      <w:pPr>
        <w:rPr>
          <w:sz w:val="22"/>
          <w:szCs w:val="22"/>
        </w:rPr>
      </w:pPr>
    </w:p>
    <w:p w:rsidR="00430CFC" w:rsidRPr="00430CFC" w:rsidP="00430CFC" w14:paraId="6E7E6E8B" w14:textId="0AFC8A47">
      <w:pPr>
        <w:widowControl w:val="0"/>
        <w:jc w:val="center"/>
        <w:rPr>
          <w:b/>
          <w:sz w:val="22"/>
          <w:szCs w:val="22"/>
        </w:rPr>
      </w:pPr>
      <w:r>
        <w:rPr>
          <w:b/>
          <w:sz w:val="22"/>
          <w:szCs w:val="22"/>
        </w:rPr>
        <w:t xml:space="preserve">Assignment from </w:t>
      </w:r>
      <w:r w:rsidR="00103F65">
        <w:rPr>
          <w:b/>
          <w:sz w:val="22"/>
          <w:szCs w:val="22"/>
        </w:rPr>
        <w:t>Independence Television Company</w:t>
      </w:r>
    </w:p>
    <w:p w:rsidR="00430CFC" w:rsidRPr="00430CFC" w:rsidP="00430CFC" w14:paraId="0363C4A2" w14:textId="77777777">
      <w:pPr>
        <w:rPr>
          <w:sz w:val="22"/>
          <w:szCs w:val="22"/>
        </w:rPr>
      </w:pPr>
    </w:p>
    <w:tbl>
      <w:tblPr>
        <w:tblW w:w="8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8"/>
        <w:gridCol w:w="2137"/>
        <w:gridCol w:w="1800"/>
        <w:gridCol w:w="2610"/>
      </w:tblGrid>
      <w:tr w14:paraId="272AAB0A" w14:textId="77777777" w:rsidTr="00414670">
        <w:tblPrEx>
          <w:tblW w:w="8095" w:type="dxa"/>
          <w:jc w:val="center"/>
          <w:tblLayout w:type="fixed"/>
          <w:tblLook w:val="04A0"/>
        </w:tblPrEx>
        <w:trPr>
          <w:jc w:val="center"/>
        </w:trPr>
        <w:tc>
          <w:tcPr>
            <w:tcW w:w="1548" w:type="dxa"/>
          </w:tcPr>
          <w:p w:rsidR="00430CFC" w:rsidRPr="00430CFC" w:rsidP="00103F65" w14:paraId="257B3154" w14:textId="77777777">
            <w:pPr>
              <w:jc w:val="center"/>
              <w:rPr>
                <w:b/>
                <w:sz w:val="22"/>
                <w:szCs w:val="22"/>
              </w:rPr>
            </w:pPr>
            <w:r w:rsidRPr="00430CFC">
              <w:rPr>
                <w:b/>
                <w:sz w:val="22"/>
                <w:szCs w:val="22"/>
              </w:rPr>
              <w:t>Call Sign</w:t>
            </w:r>
          </w:p>
        </w:tc>
        <w:tc>
          <w:tcPr>
            <w:tcW w:w="2137" w:type="dxa"/>
          </w:tcPr>
          <w:p w:rsidR="00430CFC" w:rsidRPr="00430CFC" w:rsidP="00103F65" w14:paraId="02201905" w14:textId="77777777">
            <w:pPr>
              <w:jc w:val="center"/>
              <w:rPr>
                <w:b/>
                <w:sz w:val="22"/>
                <w:szCs w:val="22"/>
              </w:rPr>
            </w:pPr>
            <w:r w:rsidRPr="00430CFC">
              <w:rPr>
                <w:b/>
                <w:sz w:val="22"/>
                <w:szCs w:val="22"/>
              </w:rPr>
              <w:t>Community of License</w:t>
            </w:r>
          </w:p>
        </w:tc>
        <w:tc>
          <w:tcPr>
            <w:tcW w:w="1800" w:type="dxa"/>
          </w:tcPr>
          <w:p w:rsidR="00430CFC" w:rsidRPr="00430CFC" w:rsidP="00103F65" w14:paraId="246C7C75" w14:textId="77777777">
            <w:pPr>
              <w:jc w:val="center"/>
              <w:rPr>
                <w:b/>
                <w:sz w:val="22"/>
                <w:szCs w:val="22"/>
              </w:rPr>
            </w:pPr>
            <w:r w:rsidRPr="00430CFC">
              <w:rPr>
                <w:b/>
                <w:sz w:val="22"/>
                <w:szCs w:val="22"/>
              </w:rPr>
              <w:t>Facility ID No.</w:t>
            </w:r>
          </w:p>
        </w:tc>
        <w:tc>
          <w:tcPr>
            <w:tcW w:w="2610" w:type="dxa"/>
          </w:tcPr>
          <w:p w:rsidR="00430CFC" w:rsidRPr="00430CFC" w:rsidP="00103F65" w14:paraId="70EF4B5A" w14:textId="77777777">
            <w:pPr>
              <w:jc w:val="center"/>
              <w:rPr>
                <w:b/>
                <w:sz w:val="22"/>
                <w:szCs w:val="22"/>
              </w:rPr>
            </w:pPr>
            <w:r w:rsidRPr="00430CFC">
              <w:rPr>
                <w:b/>
                <w:sz w:val="22"/>
                <w:szCs w:val="22"/>
              </w:rPr>
              <w:t>LMS File No.</w:t>
            </w:r>
          </w:p>
        </w:tc>
      </w:tr>
      <w:tr w14:paraId="099DB1BA" w14:textId="77777777" w:rsidTr="00414670">
        <w:tblPrEx>
          <w:tblW w:w="8095" w:type="dxa"/>
          <w:jc w:val="center"/>
          <w:tblLayout w:type="fixed"/>
          <w:tblLook w:val="04A0"/>
        </w:tblPrEx>
        <w:trPr>
          <w:jc w:val="center"/>
        </w:trPr>
        <w:tc>
          <w:tcPr>
            <w:tcW w:w="1548" w:type="dxa"/>
            <w:vAlign w:val="center"/>
          </w:tcPr>
          <w:p w:rsidR="00430CFC" w:rsidRPr="00430CFC" w:rsidP="00103F65" w14:paraId="2AF0757A" w14:textId="53811714">
            <w:pPr>
              <w:jc w:val="center"/>
              <w:rPr>
                <w:sz w:val="22"/>
                <w:szCs w:val="22"/>
              </w:rPr>
            </w:pPr>
            <w:r>
              <w:rPr>
                <w:sz w:val="22"/>
                <w:szCs w:val="22"/>
              </w:rPr>
              <w:t>WDRB</w:t>
            </w:r>
          </w:p>
        </w:tc>
        <w:tc>
          <w:tcPr>
            <w:tcW w:w="2137" w:type="dxa"/>
            <w:vAlign w:val="center"/>
          </w:tcPr>
          <w:p w:rsidR="00430CFC" w:rsidRPr="00430CFC" w:rsidP="00103F65" w14:paraId="65D790CD" w14:textId="45ED88C7">
            <w:pPr>
              <w:jc w:val="center"/>
              <w:rPr>
                <w:sz w:val="22"/>
                <w:szCs w:val="22"/>
              </w:rPr>
            </w:pPr>
            <w:r>
              <w:rPr>
                <w:sz w:val="22"/>
                <w:szCs w:val="22"/>
              </w:rPr>
              <w:t xml:space="preserve">LOUISVILLE, </w:t>
            </w:r>
            <w:r w:rsidR="00B80A1A">
              <w:rPr>
                <w:sz w:val="22"/>
                <w:szCs w:val="22"/>
              </w:rPr>
              <w:t>KY</w:t>
            </w:r>
          </w:p>
        </w:tc>
        <w:tc>
          <w:tcPr>
            <w:tcW w:w="1800" w:type="dxa"/>
            <w:vAlign w:val="center"/>
          </w:tcPr>
          <w:p w:rsidR="00430CFC" w:rsidRPr="00430CFC" w:rsidP="00103F65" w14:paraId="19DAED41" w14:textId="65BC2AEE">
            <w:pPr>
              <w:jc w:val="center"/>
              <w:rPr>
                <w:sz w:val="22"/>
                <w:szCs w:val="22"/>
              </w:rPr>
            </w:pPr>
            <w:r>
              <w:rPr>
                <w:sz w:val="22"/>
                <w:szCs w:val="22"/>
              </w:rPr>
              <w:t>28476</w:t>
            </w:r>
          </w:p>
        </w:tc>
        <w:tc>
          <w:tcPr>
            <w:tcW w:w="2610" w:type="dxa"/>
            <w:vAlign w:val="center"/>
          </w:tcPr>
          <w:p w:rsidR="00430CFC" w:rsidRPr="00430CFC" w:rsidP="00103F65" w14:paraId="7ECC95D9" w14:textId="19EE8D22">
            <w:pPr>
              <w:jc w:val="center"/>
              <w:rPr>
                <w:sz w:val="22"/>
                <w:szCs w:val="22"/>
              </w:rPr>
            </w:pPr>
            <w:r w:rsidRPr="00430CFC">
              <w:rPr>
                <w:sz w:val="22"/>
                <w:szCs w:val="22"/>
              </w:rPr>
              <w:t>0000276</w:t>
            </w:r>
            <w:r w:rsidR="00B80A1A">
              <w:rPr>
                <w:sz w:val="22"/>
                <w:szCs w:val="22"/>
              </w:rPr>
              <w:t>772</w:t>
            </w:r>
          </w:p>
        </w:tc>
      </w:tr>
      <w:tr w14:paraId="55BF0065" w14:textId="77777777" w:rsidTr="00414670">
        <w:tblPrEx>
          <w:tblW w:w="8095" w:type="dxa"/>
          <w:jc w:val="center"/>
          <w:tblLayout w:type="fixed"/>
          <w:tblLook w:val="04A0"/>
        </w:tblPrEx>
        <w:trPr>
          <w:jc w:val="center"/>
        </w:trPr>
        <w:tc>
          <w:tcPr>
            <w:tcW w:w="1548" w:type="dxa"/>
            <w:vAlign w:val="center"/>
          </w:tcPr>
          <w:p w:rsidR="00430CFC" w:rsidRPr="00430CFC" w:rsidP="00103F65" w14:paraId="01B7E4D8" w14:textId="4F796CB0">
            <w:pPr>
              <w:jc w:val="center"/>
              <w:rPr>
                <w:sz w:val="22"/>
                <w:szCs w:val="22"/>
              </w:rPr>
            </w:pPr>
            <w:r>
              <w:rPr>
                <w:sz w:val="22"/>
                <w:szCs w:val="22"/>
              </w:rPr>
              <w:t>WBKI</w:t>
            </w:r>
          </w:p>
        </w:tc>
        <w:tc>
          <w:tcPr>
            <w:tcW w:w="2137" w:type="dxa"/>
            <w:vAlign w:val="center"/>
          </w:tcPr>
          <w:p w:rsidR="00430CFC" w:rsidRPr="00430CFC" w:rsidP="00103F65" w14:paraId="06D2F5C2" w14:textId="27E06B79">
            <w:pPr>
              <w:jc w:val="center"/>
              <w:rPr>
                <w:sz w:val="22"/>
                <w:szCs w:val="22"/>
              </w:rPr>
            </w:pPr>
            <w:r>
              <w:rPr>
                <w:sz w:val="22"/>
                <w:szCs w:val="22"/>
              </w:rPr>
              <w:t>SALEM, IN</w:t>
            </w:r>
          </w:p>
        </w:tc>
        <w:tc>
          <w:tcPr>
            <w:tcW w:w="1800" w:type="dxa"/>
            <w:vAlign w:val="center"/>
          </w:tcPr>
          <w:p w:rsidR="00430CFC" w:rsidRPr="00430CFC" w:rsidP="00103F65" w14:paraId="662ACB4C" w14:textId="0AF5A746">
            <w:pPr>
              <w:jc w:val="center"/>
              <w:rPr>
                <w:sz w:val="22"/>
                <w:szCs w:val="22"/>
              </w:rPr>
            </w:pPr>
            <w:r>
              <w:rPr>
                <w:sz w:val="22"/>
                <w:szCs w:val="22"/>
              </w:rPr>
              <w:t>34167</w:t>
            </w:r>
          </w:p>
        </w:tc>
        <w:tc>
          <w:tcPr>
            <w:tcW w:w="2610" w:type="dxa"/>
            <w:vAlign w:val="center"/>
          </w:tcPr>
          <w:p w:rsidR="00430CFC" w:rsidRPr="00430CFC" w:rsidP="00103F65" w14:paraId="12C61FCF" w14:textId="74489699">
            <w:pPr>
              <w:jc w:val="center"/>
              <w:rPr>
                <w:sz w:val="22"/>
                <w:szCs w:val="22"/>
              </w:rPr>
            </w:pPr>
            <w:r w:rsidRPr="00430CFC">
              <w:rPr>
                <w:sz w:val="22"/>
                <w:szCs w:val="22"/>
              </w:rPr>
              <w:t>0000276</w:t>
            </w:r>
            <w:r w:rsidR="00B80A1A">
              <w:rPr>
                <w:sz w:val="22"/>
                <w:szCs w:val="22"/>
              </w:rPr>
              <w:t>773</w:t>
            </w:r>
          </w:p>
        </w:tc>
      </w:tr>
    </w:tbl>
    <w:p w:rsidR="00430CFC" w14:paraId="0CBE5789" w14:textId="77777777">
      <w:pPr>
        <w:rPr>
          <w:sz w:val="22"/>
          <w:szCs w:val="22"/>
        </w:rPr>
      </w:pPr>
    </w:p>
    <w:p w:rsidR="00855284" w:rsidRPr="00855284" w:rsidP="001D6818" w14:paraId="03D093E2" w14:textId="71F979FC">
      <w:pPr>
        <w:spacing w:after="120"/>
        <w:jc w:val="center"/>
        <w:rPr>
          <w:b/>
          <w:sz w:val="22"/>
          <w:szCs w:val="22"/>
        </w:rPr>
      </w:pPr>
      <w:r>
        <w:rPr>
          <w:b/>
          <w:sz w:val="22"/>
          <w:szCs w:val="22"/>
        </w:rPr>
        <w:t xml:space="preserve">Assignment from </w:t>
      </w:r>
      <w:r w:rsidR="00232A96">
        <w:rPr>
          <w:b/>
          <w:sz w:val="22"/>
          <w:szCs w:val="22"/>
        </w:rPr>
        <w:t>Lima Communications Corporation</w:t>
      </w:r>
    </w:p>
    <w:tbl>
      <w:tblPr>
        <w:tblW w:w="8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8"/>
        <w:gridCol w:w="2137"/>
        <w:gridCol w:w="1800"/>
        <w:gridCol w:w="2610"/>
      </w:tblGrid>
      <w:tr w14:paraId="51305167" w14:textId="77777777" w:rsidTr="00414670">
        <w:tblPrEx>
          <w:tblW w:w="8095" w:type="dxa"/>
          <w:jc w:val="center"/>
          <w:tblLayout w:type="fixed"/>
          <w:tblLook w:val="04A0"/>
        </w:tblPrEx>
        <w:trPr>
          <w:jc w:val="center"/>
        </w:trPr>
        <w:tc>
          <w:tcPr>
            <w:tcW w:w="1548" w:type="dxa"/>
          </w:tcPr>
          <w:p w:rsidR="00855284" w:rsidRPr="00855284" w:rsidP="00855284" w14:paraId="0D28D414" w14:textId="77777777">
            <w:pPr>
              <w:jc w:val="center"/>
              <w:rPr>
                <w:b/>
                <w:sz w:val="22"/>
                <w:szCs w:val="22"/>
              </w:rPr>
            </w:pPr>
            <w:r w:rsidRPr="00855284">
              <w:rPr>
                <w:b/>
                <w:sz w:val="22"/>
                <w:szCs w:val="22"/>
              </w:rPr>
              <w:t>Call Sign</w:t>
            </w:r>
          </w:p>
        </w:tc>
        <w:tc>
          <w:tcPr>
            <w:tcW w:w="2137" w:type="dxa"/>
          </w:tcPr>
          <w:p w:rsidR="00855284" w:rsidRPr="00855284" w:rsidP="00855284" w14:paraId="725CBE3B" w14:textId="77777777">
            <w:pPr>
              <w:jc w:val="center"/>
              <w:rPr>
                <w:b/>
                <w:sz w:val="22"/>
                <w:szCs w:val="22"/>
              </w:rPr>
            </w:pPr>
            <w:r w:rsidRPr="00855284">
              <w:rPr>
                <w:b/>
                <w:sz w:val="22"/>
                <w:szCs w:val="22"/>
              </w:rPr>
              <w:t>Community of License</w:t>
            </w:r>
          </w:p>
        </w:tc>
        <w:tc>
          <w:tcPr>
            <w:tcW w:w="1800" w:type="dxa"/>
          </w:tcPr>
          <w:p w:rsidR="00855284" w:rsidRPr="00855284" w:rsidP="00855284" w14:paraId="6AFADBC3" w14:textId="77777777">
            <w:pPr>
              <w:jc w:val="center"/>
              <w:rPr>
                <w:b/>
                <w:sz w:val="22"/>
                <w:szCs w:val="22"/>
              </w:rPr>
            </w:pPr>
            <w:r w:rsidRPr="00855284">
              <w:rPr>
                <w:b/>
                <w:sz w:val="22"/>
                <w:szCs w:val="22"/>
              </w:rPr>
              <w:t>Facility ID No.</w:t>
            </w:r>
          </w:p>
        </w:tc>
        <w:tc>
          <w:tcPr>
            <w:tcW w:w="2610" w:type="dxa"/>
          </w:tcPr>
          <w:p w:rsidR="00855284" w:rsidRPr="00855284" w:rsidP="00855284" w14:paraId="34CDAB45" w14:textId="77777777">
            <w:pPr>
              <w:jc w:val="center"/>
              <w:rPr>
                <w:b/>
                <w:sz w:val="22"/>
                <w:szCs w:val="22"/>
              </w:rPr>
            </w:pPr>
            <w:r w:rsidRPr="00855284">
              <w:rPr>
                <w:b/>
                <w:sz w:val="22"/>
                <w:szCs w:val="22"/>
              </w:rPr>
              <w:t>LMS File No.</w:t>
            </w:r>
          </w:p>
        </w:tc>
      </w:tr>
      <w:tr w14:paraId="617188EA" w14:textId="77777777" w:rsidTr="00414670">
        <w:tblPrEx>
          <w:tblW w:w="8095" w:type="dxa"/>
          <w:jc w:val="center"/>
          <w:tblLayout w:type="fixed"/>
          <w:tblLook w:val="04A0"/>
        </w:tblPrEx>
        <w:trPr>
          <w:jc w:val="center"/>
        </w:trPr>
        <w:tc>
          <w:tcPr>
            <w:tcW w:w="1548" w:type="dxa"/>
            <w:vAlign w:val="center"/>
          </w:tcPr>
          <w:p w:rsidR="00855284" w:rsidRPr="00855284" w:rsidP="00855284" w14:paraId="45AFC65E" w14:textId="4FE7C053">
            <w:pPr>
              <w:jc w:val="center"/>
              <w:rPr>
                <w:sz w:val="22"/>
                <w:szCs w:val="22"/>
              </w:rPr>
            </w:pPr>
            <w:r>
              <w:rPr>
                <w:sz w:val="22"/>
                <w:szCs w:val="22"/>
              </w:rPr>
              <w:t>WLIO</w:t>
            </w:r>
            <w:r w:rsidR="005F7127">
              <w:rPr>
                <w:sz w:val="22"/>
                <w:szCs w:val="22"/>
              </w:rPr>
              <w:t>-TV</w:t>
            </w:r>
          </w:p>
        </w:tc>
        <w:tc>
          <w:tcPr>
            <w:tcW w:w="2137" w:type="dxa"/>
            <w:vAlign w:val="center"/>
          </w:tcPr>
          <w:p w:rsidR="00855284" w:rsidRPr="00855284" w:rsidP="00855284" w14:paraId="0359D7D9" w14:textId="40AC8C2F">
            <w:pPr>
              <w:jc w:val="center"/>
              <w:rPr>
                <w:sz w:val="22"/>
                <w:szCs w:val="22"/>
              </w:rPr>
            </w:pPr>
            <w:r>
              <w:rPr>
                <w:sz w:val="22"/>
                <w:szCs w:val="22"/>
              </w:rPr>
              <w:t>LIMA, OH</w:t>
            </w:r>
          </w:p>
        </w:tc>
        <w:tc>
          <w:tcPr>
            <w:tcW w:w="1800" w:type="dxa"/>
            <w:vAlign w:val="center"/>
          </w:tcPr>
          <w:p w:rsidR="00855284" w:rsidRPr="00855284" w:rsidP="00855284" w14:paraId="28BA4F30" w14:textId="28EF5A03">
            <w:pPr>
              <w:jc w:val="center"/>
              <w:rPr>
                <w:sz w:val="22"/>
                <w:szCs w:val="22"/>
              </w:rPr>
            </w:pPr>
            <w:r>
              <w:rPr>
                <w:sz w:val="22"/>
                <w:szCs w:val="22"/>
              </w:rPr>
              <w:t>37503</w:t>
            </w:r>
          </w:p>
        </w:tc>
        <w:tc>
          <w:tcPr>
            <w:tcW w:w="2610" w:type="dxa"/>
            <w:vAlign w:val="center"/>
          </w:tcPr>
          <w:p w:rsidR="00855284" w:rsidRPr="00855284" w:rsidP="00855284" w14:paraId="0E7CB67D" w14:textId="67180274">
            <w:pPr>
              <w:jc w:val="center"/>
              <w:rPr>
                <w:sz w:val="22"/>
                <w:szCs w:val="22"/>
              </w:rPr>
            </w:pPr>
            <w:r w:rsidRPr="00855284">
              <w:rPr>
                <w:sz w:val="22"/>
                <w:szCs w:val="22"/>
              </w:rPr>
              <w:t>00002767</w:t>
            </w:r>
            <w:r w:rsidR="00F5364C">
              <w:rPr>
                <w:sz w:val="22"/>
                <w:szCs w:val="22"/>
              </w:rPr>
              <w:t>78</w:t>
            </w:r>
          </w:p>
        </w:tc>
      </w:tr>
    </w:tbl>
    <w:p w:rsidR="00855284" w:rsidRPr="00855284" w:rsidP="00855284" w14:paraId="0D05723B" w14:textId="77777777">
      <w:pPr>
        <w:rPr>
          <w:sz w:val="22"/>
          <w:szCs w:val="22"/>
        </w:rPr>
      </w:pPr>
    </w:p>
    <w:p w:rsidR="00C54E07" w:rsidRPr="00C54E07" w:rsidP="001D6818" w14:paraId="6AB40F51" w14:textId="70E04E19">
      <w:pPr>
        <w:spacing w:after="120"/>
        <w:jc w:val="center"/>
        <w:rPr>
          <w:b/>
          <w:sz w:val="22"/>
          <w:szCs w:val="22"/>
        </w:rPr>
      </w:pPr>
      <w:r>
        <w:rPr>
          <w:b/>
          <w:sz w:val="22"/>
          <w:szCs w:val="22"/>
        </w:rPr>
        <w:t xml:space="preserve">Assignment from </w:t>
      </w:r>
      <w:r>
        <w:rPr>
          <w:b/>
          <w:sz w:val="22"/>
          <w:szCs w:val="22"/>
        </w:rPr>
        <w:t>W</w:t>
      </w:r>
      <w:r w:rsidR="0028405C">
        <w:rPr>
          <w:b/>
          <w:sz w:val="22"/>
          <w:szCs w:val="22"/>
        </w:rPr>
        <w:t>AND TV, Inc.</w:t>
      </w:r>
    </w:p>
    <w:tbl>
      <w:tblPr>
        <w:tblW w:w="8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8"/>
        <w:gridCol w:w="2137"/>
        <w:gridCol w:w="1800"/>
        <w:gridCol w:w="2610"/>
      </w:tblGrid>
      <w:tr w14:paraId="3C09DC81" w14:textId="77777777" w:rsidTr="00414670">
        <w:tblPrEx>
          <w:tblW w:w="8095" w:type="dxa"/>
          <w:jc w:val="center"/>
          <w:tblLayout w:type="fixed"/>
          <w:tblLook w:val="04A0"/>
        </w:tblPrEx>
        <w:trPr>
          <w:jc w:val="center"/>
        </w:trPr>
        <w:tc>
          <w:tcPr>
            <w:tcW w:w="1548" w:type="dxa"/>
          </w:tcPr>
          <w:p w:rsidR="00C54E07" w:rsidRPr="00C54E07" w:rsidP="00C54E07" w14:paraId="10F20974" w14:textId="77777777">
            <w:pPr>
              <w:jc w:val="center"/>
              <w:rPr>
                <w:b/>
                <w:sz w:val="22"/>
                <w:szCs w:val="22"/>
              </w:rPr>
            </w:pPr>
            <w:r w:rsidRPr="00C54E07">
              <w:rPr>
                <w:b/>
                <w:sz w:val="22"/>
                <w:szCs w:val="22"/>
              </w:rPr>
              <w:t>Call Sign</w:t>
            </w:r>
          </w:p>
        </w:tc>
        <w:tc>
          <w:tcPr>
            <w:tcW w:w="2137" w:type="dxa"/>
          </w:tcPr>
          <w:p w:rsidR="00C54E07" w:rsidRPr="00C54E07" w:rsidP="00C54E07" w14:paraId="306170B9" w14:textId="77777777">
            <w:pPr>
              <w:jc w:val="center"/>
              <w:rPr>
                <w:b/>
                <w:sz w:val="22"/>
                <w:szCs w:val="22"/>
              </w:rPr>
            </w:pPr>
            <w:r w:rsidRPr="00C54E07">
              <w:rPr>
                <w:b/>
                <w:sz w:val="22"/>
                <w:szCs w:val="22"/>
              </w:rPr>
              <w:t>Community of License</w:t>
            </w:r>
          </w:p>
        </w:tc>
        <w:tc>
          <w:tcPr>
            <w:tcW w:w="1800" w:type="dxa"/>
          </w:tcPr>
          <w:p w:rsidR="00C54E07" w:rsidRPr="00C54E07" w:rsidP="00C54E07" w14:paraId="252E2AEC" w14:textId="77777777">
            <w:pPr>
              <w:jc w:val="center"/>
              <w:rPr>
                <w:b/>
                <w:sz w:val="22"/>
                <w:szCs w:val="22"/>
              </w:rPr>
            </w:pPr>
            <w:r w:rsidRPr="00C54E07">
              <w:rPr>
                <w:b/>
                <w:sz w:val="22"/>
                <w:szCs w:val="22"/>
              </w:rPr>
              <w:t>Facility ID No.</w:t>
            </w:r>
          </w:p>
        </w:tc>
        <w:tc>
          <w:tcPr>
            <w:tcW w:w="2610" w:type="dxa"/>
          </w:tcPr>
          <w:p w:rsidR="00C54E07" w:rsidRPr="00C54E07" w:rsidP="00C54E07" w14:paraId="77315EAC" w14:textId="77777777">
            <w:pPr>
              <w:jc w:val="center"/>
              <w:rPr>
                <w:b/>
                <w:sz w:val="22"/>
                <w:szCs w:val="22"/>
              </w:rPr>
            </w:pPr>
            <w:r w:rsidRPr="00C54E07">
              <w:rPr>
                <w:b/>
                <w:sz w:val="22"/>
                <w:szCs w:val="22"/>
              </w:rPr>
              <w:t>LMS File No.</w:t>
            </w:r>
          </w:p>
        </w:tc>
      </w:tr>
      <w:tr w14:paraId="3C55B785" w14:textId="77777777" w:rsidTr="00414670">
        <w:tblPrEx>
          <w:tblW w:w="8095" w:type="dxa"/>
          <w:jc w:val="center"/>
          <w:tblLayout w:type="fixed"/>
          <w:tblLook w:val="04A0"/>
        </w:tblPrEx>
        <w:trPr>
          <w:jc w:val="center"/>
        </w:trPr>
        <w:tc>
          <w:tcPr>
            <w:tcW w:w="1548" w:type="dxa"/>
            <w:vAlign w:val="center"/>
          </w:tcPr>
          <w:p w:rsidR="00C54E07" w:rsidRPr="00C54E07" w:rsidP="00C54E07" w14:paraId="615D099E" w14:textId="34E119DC">
            <w:pPr>
              <w:jc w:val="center"/>
              <w:rPr>
                <w:sz w:val="22"/>
                <w:szCs w:val="22"/>
              </w:rPr>
            </w:pPr>
            <w:r>
              <w:rPr>
                <w:sz w:val="22"/>
                <w:szCs w:val="22"/>
              </w:rPr>
              <w:t>WAND</w:t>
            </w:r>
          </w:p>
        </w:tc>
        <w:tc>
          <w:tcPr>
            <w:tcW w:w="2137" w:type="dxa"/>
            <w:vAlign w:val="center"/>
          </w:tcPr>
          <w:p w:rsidR="00C54E07" w:rsidRPr="00C54E07" w:rsidP="00C54E07" w14:paraId="4946DA8C" w14:textId="485CFEE0">
            <w:pPr>
              <w:jc w:val="center"/>
              <w:rPr>
                <w:sz w:val="22"/>
                <w:szCs w:val="22"/>
              </w:rPr>
            </w:pPr>
            <w:r>
              <w:rPr>
                <w:sz w:val="22"/>
                <w:szCs w:val="22"/>
              </w:rPr>
              <w:t>DECATUR,IL</w:t>
            </w:r>
          </w:p>
        </w:tc>
        <w:tc>
          <w:tcPr>
            <w:tcW w:w="1800" w:type="dxa"/>
            <w:vAlign w:val="center"/>
          </w:tcPr>
          <w:p w:rsidR="00C54E07" w:rsidRPr="00C54E07" w:rsidP="00C54E07" w14:paraId="3E3B1922" w14:textId="50CF5C6B">
            <w:pPr>
              <w:jc w:val="center"/>
              <w:rPr>
                <w:sz w:val="22"/>
                <w:szCs w:val="22"/>
              </w:rPr>
            </w:pPr>
            <w:r>
              <w:rPr>
                <w:sz w:val="22"/>
                <w:szCs w:val="22"/>
              </w:rPr>
              <w:t>70852</w:t>
            </w:r>
          </w:p>
        </w:tc>
        <w:tc>
          <w:tcPr>
            <w:tcW w:w="2610" w:type="dxa"/>
            <w:vAlign w:val="center"/>
          </w:tcPr>
          <w:p w:rsidR="00C54E07" w:rsidRPr="00C54E07" w:rsidP="00C54E07" w14:paraId="7C3FF2E2" w14:textId="790EC876">
            <w:pPr>
              <w:jc w:val="center"/>
              <w:rPr>
                <w:sz w:val="22"/>
                <w:szCs w:val="22"/>
              </w:rPr>
            </w:pPr>
            <w:r w:rsidRPr="00C54E07">
              <w:rPr>
                <w:sz w:val="22"/>
                <w:szCs w:val="22"/>
              </w:rPr>
              <w:t>00002767</w:t>
            </w:r>
            <w:r w:rsidR="00864E47">
              <w:rPr>
                <w:sz w:val="22"/>
                <w:szCs w:val="22"/>
              </w:rPr>
              <w:t>79</w:t>
            </w:r>
          </w:p>
        </w:tc>
      </w:tr>
      <w:tr w14:paraId="5809F98A" w14:textId="77777777" w:rsidTr="00414670">
        <w:tblPrEx>
          <w:tblW w:w="8095" w:type="dxa"/>
          <w:jc w:val="center"/>
          <w:tblLayout w:type="fixed"/>
          <w:tblLook w:val="04A0"/>
        </w:tblPrEx>
        <w:trPr>
          <w:jc w:val="center"/>
        </w:trPr>
        <w:tc>
          <w:tcPr>
            <w:tcW w:w="1548" w:type="dxa"/>
            <w:vAlign w:val="center"/>
          </w:tcPr>
          <w:p w:rsidR="00C54E07" w:rsidRPr="00C54E07" w:rsidP="00C54E07" w14:paraId="3F6E470D" w14:textId="7212F959">
            <w:pPr>
              <w:jc w:val="center"/>
              <w:rPr>
                <w:sz w:val="22"/>
                <w:szCs w:val="22"/>
              </w:rPr>
            </w:pPr>
            <w:r w:rsidRPr="00EA1FC2">
              <w:rPr>
                <w:sz w:val="22"/>
                <w:szCs w:val="22"/>
              </w:rPr>
              <w:t>W33EK-D</w:t>
            </w:r>
          </w:p>
        </w:tc>
        <w:tc>
          <w:tcPr>
            <w:tcW w:w="2137" w:type="dxa"/>
            <w:vAlign w:val="center"/>
          </w:tcPr>
          <w:p w:rsidR="00C54E07" w:rsidRPr="00C54E07" w:rsidP="00C54E07" w14:paraId="04A8A07B" w14:textId="6E4F25A0">
            <w:pPr>
              <w:jc w:val="center"/>
              <w:rPr>
                <w:sz w:val="22"/>
                <w:szCs w:val="22"/>
              </w:rPr>
            </w:pPr>
            <w:r w:rsidRPr="00864E47">
              <w:rPr>
                <w:sz w:val="22"/>
                <w:szCs w:val="22"/>
              </w:rPr>
              <w:t>EFFINGHAM, IL</w:t>
            </w:r>
          </w:p>
        </w:tc>
        <w:tc>
          <w:tcPr>
            <w:tcW w:w="1800" w:type="dxa"/>
            <w:vAlign w:val="center"/>
          </w:tcPr>
          <w:p w:rsidR="00C54E07" w:rsidRPr="00C54E07" w:rsidP="00C54E07" w14:paraId="54215198" w14:textId="6C30CA0D">
            <w:pPr>
              <w:jc w:val="center"/>
              <w:rPr>
                <w:sz w:val="22"/>
                <w:szCs w:val="22"/>
              </w:rPr>
            </w:pPr>
            <w:r w:rsidRPr="00864E47">
              <w:rPr>
                <w:sz w:val="22"/>
                <w:szCs w:val="22"/>
              </w:rPr>
              <w:t>182814</w:t>
            </w:r>
          </w:p>
        </w:tc>
        <w:tc>
          <w:tcPr>
            <w:tcW w:w="2610" w:type="dxa"/>
            <w:vAlign w:val="center"/>
          </w:tcPr>
          <w:p w:rsidR="00C54E07" w:rsidRPr="00C54E07" w:rsidP="00C54E07" w14:paraId="1D4415ED" w14:textId="118390FA">
            <w:pPr>
              <w:jc w:val="center"/>
              <w:rPr>
                <w:sz w:val="22"/>
                <w:szCs w:val="22"/>
              </w:rPr>
            </w:pPr>
            <w:r w:rsidRPr="00C54E07">
              <w:rPr>
                <w:sz w:val="22"/>
                <w:szCs w:val="22"/>
              </w:rPr>
              <w:t>000027678</w:t>
            </w:r>
            <w:r w:rsidR="00864E47">
              <w:rPr>
                <w:sz w:val="22"/>
                <w:szCs w:val="22"/>
              </w:rPr>
              <w:t>0</w:t>
            </w:r>
          </w:p>
        </w:tc>
      </w:tr>
      <w:tr w14:paraId="103267EF" w14:textId="77777777" w:rsidTr="00414670">
        <w:tblPrEx>
          <w:tblW w:w="8095" w:type="dxa"/>
          <w:jc w:val="center"/>
          <w:tblLayout w:type="fixed"/>
          <w:tblLook w:val="04A0"/>
        </w:tblPrEx>
        <w:trPr>
          <w:jc w:val="center"/>
        </w:trPr>
        <w:tc>
          <w:tcPr>
            <w:tcW w:w="1548" w:type="dxa"/>
            <w:vAlign w:val="center"/>
          </w:tcPr>
          <w:p w:rsidR="00C54E07" w:rsidRPr="00C54E07" w:rsidP="00C54E07" w14:paraId="11B7182D" w14:textId="099D6E29">
            <w:pPr>
              <w:jc w:val="center"/>
              <w:rPr>
                <w:sz w:val="22"/>
                <w:szCs w:val="22"/>
              </w:rPr>
            </w:pPr>
            <w:r>
              <w:rPr>
                <w:sz w:val="22"/>
                <w:szCs w:val="22"/>
              </w:rPr>
              <w:t>W29ES-D</w:t>
            </w:r>
          </w:p>
        </w:tc>
        <w:tc>
          <w:tcPr>
            <w:tcW w:w="2137" w:type="dxa"/>
            <w:vAlign w:val="center"/>
          </w:tcPr>
          <w:p w:rsidR="00C54E07" w:rsidRPr="00C54E07" w:rsidP="00C54E07" w14:paraId="38271F2F" w14:textId="517AB43D">
            <w:pPr>
              <w:jc w:val="center"/>
              <w:rPr>
                <w:sz w:val="22"/>
                <w:szCs w:val="22"/>
              </w:rPr>
            </w:pPr>
            <w:r>
              <w:rPr>
                <w:sz w:val="22"/>
                <w:szCs w:val="22"/>
              </w:rPr>
              <w:t>J</w:t>
            </w:r>
            <w:r w:rsidRPr="00864E47">
              <w:rPr>
                <w:sz w:val="22"/>
                <w:szCs w:val="22"/>
              </w:rPr>
              <w:t>ACKSONVILLE, IL</w:t>
            </w:r>
          </w:p>
        </w:tc>
        <w:tc>
          <w:tcPr>
            <w:tcW w:w="1800" w:type="dxa"/>
            <w:vAlign w:val="center"/>
          </w:tcPr>
          <w:p w:rsidR="00C54E07" w:rsidRPr="00C54E07" w:rsidP="00C54E07" w14:paraId="4FE427B0" w14:textId="49638BDF">
            <w:pPr>
              <w:jc w:val="center"/>
              <w:rPr>
                <w:sz w:val="22"/>
                <w:szCs w:val="22"/>
              </w:rPr>
            </w:pPr>
            <w:r w:rsidRPr="00864E47">
              <w:rPr>
                <w:sz w:val="22"/>
                <w:szCs w:val="22"/>
              </w:rPr>
              <w:t>18281</w:t>
            </w:r>
            <w:r>
              <w:rPr>
                <w:sz w:val="22"/>
                <w:szCs w:val="22"/>
              </w:rPr>
              <w:t>5</w:t>
            </w:r>
          </w:p>
        </w:tc>
        <w:tc>
          <w:tcPr>
            <w:tcW w:w="2610" w:type="dxa"/>
            <w:vAlign w:val="center"/>
          </w:tcPr>
          <w:p w:rsidR="00C54E07" w:rsidRPr="00C54E07" w:rsidP="00C54E07" w14:paraId="7ED36E10" w14:textId="426E2D28">
            <w:pPr>
              <w:jc w:val="center"/>
              <w:rPr>
                <w:sz w:val="22"/>
                <w:szCs w:val="22"/>
              </w:rPr>
            </w:pPr>
            <w:r w:rsidRPr="00C54E07">
              <w:rPr>
                <w:sz w:val="22"/>
                <w:szCs w:val="22"/>
              </w:rPr>
              <w:t>000027678</w:t>
            </w:r>
            <w:r w:rsidR="00864E47">
              <w:rPr>
                <w:sz w:val="22"/>
                <w:szCs w:val="22"/>
              </w:rPr>
              <w:t>1</w:t>
            </w:r>
          </w:p>
        </w:tc>
      </w:tr>
      <w:tr w14:paraId="479B054C" w14:textId="77777777" w:rsidTr="00414670">
        <w:tblPrEx>
          <w:tblW w:w="8095" w:type="dxa"/>
          <w:jc w:val="center"/>
          <w:tblLayout w:type="fixed"/>
          <w:tblLook w:val="04A0"/>
        </w:tblPrEx>
        <w:trPr>
          <w:jc w:val="center"/>
        </w:trPr>
        <w:tc>
          <w:tcPr>
            <w:tcW w:w="1548" w:type="dxa"/>
            <w:vAlign w:val="center"/>
          </w:tcPr>
          <w:p w:rsidR="00C54E07" w:rsidRPr="00C54E07" w:rsidP="00C54E07" w14:paraId="78C9E2B5" w14:textId="6589C5AC">
            <w:pPr>
              <w:jc w:val="center"/>
              <w:rPr>
                <w:sz w:val="22"/>
                <w:szCs w:val="22"/>
              </w:rPr>
            </w:pPr>
            <w:r>
              <w:rPr>
                <w:sz w:val="22"/>
                <w:szCs w:val="22"/>
              </w:rPr>
              <w:t>W23EQ-D</w:t>
            </w:r>
          </w:p>
        </w:tc>
        <w:tc>
          <w:tcPr>
            <w:tcW w:w="2137" w:type="dxa"/>
            <w:vAlign w:val="center"/>
          </w:tcPr>
          <w:p w:rsidR="00C54E07" w:rsidRPr="00C54E07" w:rsidP="00C54E07" w14:paraId="740B445E" w14:textId="55688AC6">
            <w:pPr>
              <w:jc w:val="center"/>
              <w:rPr>
                <w:sz w:val="22"/>
                <w:szCs w:val="22"/>
              </w:rPr>
            </w:pPr>
            <w:r>
              <w:rPr>
                <w:sz w:val="22"/>
                <w:szCs w:val="22"/>
              </w:rPr>
              <w:t>DANVILLE, IL</w:t>
            </w:r>
          </w:p>
        </w:tc>
        <w:tc>
          <w:tcPr>
            <w:tcW w:w="1800" w:type="dxa"/>
            <w:vAlign w:val="center"/>
          </w:tcPr>
          <w:p w:rsidR="00C54E07" w:rsidRPr="00C54E07" w:rsidP="00C54E07" w14:paraId="6F4ACBD9" w14:textId="3EEAFB74">
            <w:pPr>
              <w:jc w:val="center"/>
              <w:rPr>
                <w:sz w:val="22"/>
                <w:szCs w:val="22"/>
              </w:rPr>
            </w:pPr>
            <w:r>
              <w:rPr>
                <w:sz w:val="22"/>
                <w:szCs w:val="22"/>
              </w:rPr>
              <w:t>70853</w:t>
            </w:r>
          </w:p>
        </w:tc>
        <w:tc>
          <w:tcPr>
            <w:tcW w:w="2610" w:type="dxa"/>
            <w:vAlign w:val="center"/>
          </w:tcPr>
          <w:p w:rsidR="00C54E07" w:rsidRPr="00C54E07" w:rsidP="00C54E07" w14:paraId="237B2DDC" w14:textId="31B7331C">
            <w:pPr>
              <w:jc w:val="center"/>
              <w:rPr>
                <w:sz w:val="22"/>
                <w:szCs w:val="22"/>
              </w:rPr>
            </w:pPr>
            <w:r w:rsidRPr="00C54E07">
              <w:rPr>
                <w:sz w:val="22"/>
                <w:szCs w:val="22"/>
              </w:rPr>
              <w:t>000027678</w:t>
            </w:r>
            <w:r w:rsidR="00864E47">
              <w:rPr>
                <w:sz w:val="22"/>
                <w:szCs w:val="22"/>
              </w:rPr>
              <w:t>2</w:t>
            </w:r>
          </w:p>
        </w:tc>
      </w:tr>
    </w:tbl>
    <w:p w:rsidR="00934767" w:rsidRPr="00934767" w:rsidP="00934767" w14:paraId="56CA45B8" w14:textId="77777777">
      <w:pPr>
        <w:jc w:val="center"/>
        <w:rPr>
          <w:b/>
          <w:sz w:val="22"/>
          <w:szCs w:val="22"/>
        </w:rPr>
      </w:pPr>
    </w:p>
    <w:p w:rsidR="00934767" w:rsidRPr="00934767" w:rsidP="001D6818" w14:paraId="344F73D5" w14:textId="58208481">
      <w:pPr>
        <w:spacing w:after="120"/>
        <w:jc w:val="center"/>
        <w:rPr>
          <w:b/>
          <w:sz w:val="22"/>
          <w:szCs w:val="22"/>
        </w:rPr>
      </w:pPr>
      <w:r>
        <w:rPr>
          <w:b/>
          <w:sz w:val="22"/>
          <w:szCs w:val="22"/>
        </w:rPr>
        <w:t xml:space="preserve">Assignment from </w:t>
      </w:r>
      <w:r w:rsidRPr="00934767">
        <w:rPr>
          <w:b/>
          <w:sz w:val="22"/>
          <w:szCs w:val="22"/>
        </w:rPr>
        <w:t>West Central Ohio Broadcasting, Inc.</w:t>
      </w:r>
    </w:p>
    <w:tbl>
      <w:tblPr>
        <w:tblW w:w="8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8"/>
        <w:gridCol w:w="2137"/>
        <w:gridCol w:w="1800"/>
        <w:gridCol w:w="2610"/>
      </w:tblGrid>
      <w:tr w14:paraId="31D72875" w14:textId="77777777" w:rsidTr="00414670">
        <w:tblPrEx>
          <w:tblW w:w="8095" w:type="dxa"/>
          <w:jc w:val="center"/>
          <w:tblLayout w:type="fixed"/>
          <w:tblLook w:val="04A0"/>
        </w:tblPrEx>
        <w:trPr>
          <w:jc w:val="center"/>
        </w:trPr>
        <w:tc>
          <w:tcPr>
            <w:tcW w:w="1548" w:type="dxa"/>
          </w:tcPr>
          <w:p w:rsidR="00934767" w:rsidRPr="00934767" w:rsidP="00877F0D" w14:paraId="23EB1408" w14:textId="77777777">
            <w:pPr>
              <w:rPr>
                <w:b/>
                <w:sz w:val="22"/>
                <w:szCs w:val="22"/>
              </w:rPr>
            </w:pPr>
            <w:r w:rsidRPr="00934767">
              <w:rPr>
                <w:b/>
                <w:sz w:val="22"/>
                <w:szCs w:val="22"/>
              </w:rPr>
              <w:t>Call Sign</w:t>
            </w:r>
          </w:p>
        </w:tc>
        <w:tc>
          <w:tcPr>
            <w:tcW w:w="2137" w:type="dxa"/>
          </w:tcPr>
          <w:p w:rsidR="00934767" w:rsidRPr="00934767" w:rsidP="00877F0D" w14:paraId="0C6C339A" w14:textId="77777777">
            <w:pPr>
              <w:rPr>
                <w:b/>
                <w:sz w:val="22"/>
                <w:szCs w:val="22"/>
              </w:rPr>
            </w:pPr>
            <w:r w:rsidRPr="00934767">
              <w:rPr>
                <w:b/>
                <w:sz w:val="22"/>
                <w:szCs w:val="22"/>
              </w:rPr>
              <w:t>Community of License</w:t>
            </w:r>
          </w:p>
        </w:tc>
        <w:tc>
          <w:tcPr>
            <w:tcW w:w="1800" w:type="dxa"/>
          </w:tcPr>
          <w:p w:rsidR="00934767" w:rsidRPr="00934767" w:rsidP="00877F0D" w14:paraId="2E04535E" w14:textId="77777777">
            <w:pPr>
              <w:rPr>
                <w:b/>
                <w:sz w:val="22"/>
                <w:szCs w:val="22"/>
              </w:rPr>
            </w:pPr>
            <w:r w:rsidRPr="00934767">
              <w:rPr>
                <w:b/>
                <w:sz w:val="22"/>
                <w:szCs w:val="22"/>
              </w:rPr>
              <w:t>Facility ID No.</w:t>
            </w:r>
          </w:p>
        </w:tc>
        <w:tc>
          <w:tcPr>
            <w:tcW w:w="2610" w:type="dxa"/>
          </w:tcPr>
          <w:p w:rsidR="00934767" w:rsidRPr="00934767" w:rsidP="00877F0D" w14:paraId="76FF0E5E" w14:textId="77777777">
            <w:pPr>
              <w:rPr>
                <w:b/>
                <w:sz w:val="22"/>
                <w:szCs w:val="22"/>
              </w:rPr>
            </w:pPr>
            <w:r w:rsidRPr="00934767">
              <w:rPr>
                <w:b/>
                <w:sz w:val="22"/>
                <w:szCs w:val="22"/>
              </w:rPr>
              <w:t>LMS File No.</w:t>
            </w:r>
          </w:p>
        </w:tc>
      </w:tr>
      <w:tr w14:paraId="57295C8F" w14:textId="77777777" w:rsidTr="00414670">
        <w:tblPrEx>
          <w:tblW w:w="8095" w:type="dxa"/>
          <w:jc w:val="center"/>
          <w:tblLayout w:type="fixed"/>
          <w:tblLook w:val="04A0"/>
        </w:tblPrEx>
        <w:trPr>
          <w:jc w:val="center"/>
        </w:trPr>
        <w:tc>
          <w:tcPr>
            <w:tcW w:w="1548" w:type="dxa"/>
            <w:vAlign w:val="center"/>
          </w:tcPr>
          <w:p w:rsidR="00934767" w:rsidRPr="00934767" w:rsidP="00877F0D" w14:paraId="2637D12B" w14:textId="77777777">
            <w:pPr>
              <w:rPr>
                <w:sz w:val="22"/>
                <w:szCs w:val="22"/>
              </w:rPr>
            </w:pPr>
            <w:r w:rsidRPr="00934767">
              <w:rPr>
                <w:sz w:val="22"/>
                <w:szCs w:val="22"/>
              </w:rPr>
              <w:t>WOHL-CD</w:t>
            </w:r>
          </w:p>
        </w:tc>
        <w:tc>
          <w:tcPr>
            <w:tcW w:w="2137" w:type="dxa"/>
            <w:vAlign w:val="center"/>
          </w:tcPr>
          <w:p w:rsidR="00934767" w:rsidRPr="00934767" w:rsidP="00877F0D" w14:paraId="46602F18" w14:textId="77777777">
            <w:pPr>
              <w:rPr>
                <w:sz w:val="22"/>
                <w:szCs w:val="22"/>
              </w:rPr>
            </w:pPr>
            <w:r w:rsidRPr="00934767">
              <w:rPr>
                <w:sz w:val="22"/>
                <w:szCs w:val="22"/>
              </w:rPr>
              <w:t>LIMA, OH</w:t>
            </w:r>
          </w:p>
        </w:tc>
        <w:tc>
          <w:tcPr>
            <w:tcW w:w="1800" w:type="dxa"/>
            <w:vAlign w:val="center"/>
          </w:tcPr>
          <w:p w:rsidR="00934767" w:rsidRPr="00934767" w:rsidP="00877F0D" w14:paraId="72FB88B4" w14:textId="77777777">
            <w:pPr>
              <w:rPr>
                <w:sz w:val="22"/>
                <w:szCs w:val="22"/>
              </w:rPr>
            </w:pPr>
            <w:r w:rsidRPr="00934767">
              <w:rPr>
                <w:sz w:val="22"/>
                <w:szCs w:val="22"/>
              </w:rPr>
              <w:t>68549</w:t>
            </w:r>
          </w:p>
        </w:tc>
        <w:tc>
          <w:tcPr>
            <w:tcW w:w="2610" w:type="dxa"/>
            <w:vAlign w:val="center"/>
          </w:tcPr>
          <w:p w:rsidR="00934767" w:rsidRPr="00934767" w:rsidP="00877F0D" w14:paraId="36B84B31" w14:textId="77777777">
            <w:pPr>
              <w:rPr>
                <w:sz w:val="22"/>
                <w:szCs w:val="22"/>
              </w:rPr>
            </w:pPr>
            <w:r w:rsidRPr="00934767">
              <w:rPr>
                <w:sz w:val="22"/>
                <w:szCs w:val="22"/>
              </w:rPr>
              <w:t>0000276783</w:t>
            </w:r>
          </w:p>
        </w:tc>
      </w:tr>
      <w:tr w14:paraId="65DBA1FB" w14:textId="77777777" w:rsidTr="00414670">
        <w:tblPrEx>
          <w:tblW w:w="8095" w:type="dxa"/>
          <w:jc w:val="center"/>
          <w:tblLayout w:type="fixed"/>
          <w:tblLook w:val="04A0"/>
        </w:tblPrEx>
        <w:trPr>
          <w:jc w:val="center"/>
        </w:trPr>
        <w:tc>
          <w:tcPr>
            <w:tcW w:w="1548" w:type="dxa"/>
            <w:vAlign w:val="center"/>
          </w:tcPr>
          <w:p w:rsidR="00934767" w:rsidRPr="00934767" w:rsidP="00877F0D" w14:paraId="68D0B7E8" w14:textId="77777777">
            <w:pPr>
              <w:rPr>
                <w:sz w:val="22"/>
                <w:szCs w:val="22"/>
              </w:rPr>
            </w:pPr>
            <w:r w:rsidRPr="00934767">
              <w:rPr>
                <w:sz w:val="22"/>
                <w:szCs w:val="22"/>
              </w:rPr>
              <w:t>WAMS-CD</w:t>
            </w:r>
          </w:p>
        </w:tc>
        <w:tc>
          <w:tcPr>
            <w:tcW w:w="2137" w:type="dxa"/>
            <w:vAlign w:val="center"/>
          </w:tcPr>
          <w:p w:rsidR="00934767" w:rsidRPr="00934767" w:rsidP="00877F0D" w14:paraId="2A2C36F2" w14:textId="77777777">
            <w:pPr>
              <w:rPr>
                <w:sz w:val="22"/>
                <w:szCs w:val="22"/>
              </w:rPr>
            </w:pPr>
            <w:r w:rsidRPr="00934767">
              <w:rPr>
                <w:sz w:val="22"/>
                <w:szCs w:val="22"/>
              </w:rPr>
              <w:t>MINSTER/NEW BREMEN, OH</w:t>
            </w:r>
          </w:p>
        </w:tc>
        <w:tc>
          <w:tcPr>
            <w:tcW w:w="1800" w:type="dxa"/>
            <w:vAlign w:val="center"/>
          </w:tcPr>
          <w:p w:rsidR="00934767" w:rsidRPr="00934767" w:rsidP="00877F0D" w14:paraId="7D449875" w14:textId="77777777">
            <w:pPr>
              <w:rPr>
                <w:sz w:val="22"/>
                <w:szCs w:val="22"/>
              </w:rPr>
            </w:pPr>
            <w:r w:rsidRPr="00934767">
              <w:rPr>
                <w:sz w:val="22"/>
                <w:szCs w:val="22"/>
              </w:rPr>
              <w:t>70612</w:t>
            </w:r>
          </w:p>
        </w:tc>
        <w:tc>
          <w:tcPr>
            <w:tcW w:w="2610" w:type="dxa"/>
            <w:vAlign w:val="center"/>
          </w:tcPr>
          <w:p w:rsidR="00934767" w:rsidRPr="00934767" w:rsidP="00877F0D" w14:paraId="4B99C9B2" w14:textId="77777777">
            <w:pPr>
              <w:rPr>
                <w:sz w:val="22"/>
                <w:szCs w:val="22"/>
              </w:rPr>
            </w:pPr>
            <w:r w:rsidRPr="00934767">
              <w:rPr>
                <w:sz w:val="22"/>
                <w:szCs w:val="22"/>
              </w:rPr>
              <w:t>0000276784</w:t>
            </w:r>
          </w:p>
        </w:tc>
      </w:tr>
      <w:tr w14:paraId="4E933F5D" w14:textId="77777777" w:rsidTr="00414670">
        <w:tblPrEx>
          <w:tblW w:w="8095" w:type="dxa"/>
          <w:jc w:val="center"/>
          <w:tblLayout w:type="fixed"/>
          <w:tblLook w:val="04A0"/>
        </w:tblPrEx>
        <w:trPr>
          <w:jc w:val="center"/>
        </w:trPr>
        <w:tc>
          <w:tcPr>
            <w:tcW w:w="1548" w:type="dxa"/>
            <w:vAlign w:val="center"/>
          </w:tcPr>
          <w:p w:rsidR="00934767" w:rsidRPr="00934767" w:rsidP="00877F0D" w14:paraId="35E1FEBD" w14:textId="77777777">
            <w:pPr>
              <w:rPr>
                <w:sz w:val="22"/>
                <w:szCs w:val="22"/>
              </w:rPr>
            </w:pPr>
            <w:r w:rsidRPr="00934767">
              <w:rPr>
                <w:sz w:val="22"/>
                <w:szCs w:val="22"/>
              </w:rPr>
              <w:t>WFND-LD</w:t>
            </w:r>
          </w:p>
        </w:tc>
        <w:tc>
          <w:tcPr>
            <w:tcW w:w="2137" w:type="dxa"/>
            <w:vAlign w:val="center"/>
          </w:tcPr>
          <w:p w:rsidR="00934767" w:rsidRPr="00934767" w:rsidP="00877F0D" w14:paraId="39F6695C" w14:textId="77777777">
            <w:pPr>
              <w:rPr>
                <w:sz w:val="22"/>
                <w:szCs w:val="22"/>
              </w:rPr>
            </w:pPr>
            <w:r w:rsidRPr="00934767">
              <w:rPr>
                <w:sz w:val="22"/>
                <w:szCs w:val="22"/>
              </w:rPr>
              <w:t>FINDLAY, OH</w:t>
            </w:r>
          </w:p>
        </w:tc>
        <w:tc>
          <w:tcPr>
            <w:tcW w:w="1800" w:type="dxa"/>
            <w:vAlign w:val="center"/>
          </w:tcPr>
          <w:p w:rsidR="00934767" w:rsidRPr="00934767" w:rsidP="00877F0D" w14:paraId="3D34B9F3" w14:textId="77777777">
            <w:pPr>
              <w:rPr>
                <w:sz w:val="22"/>
                <w:szCs w:val="22"/>
              </w:rPr>
            </w:pPr>
            <w:r w:rsidRPr="00934767">
              <w:rPr>
                <w:sz w:val="22"/>
                <w:szCs w:val="22"/>
              </w:rPr>
              <w:t>21475</w:t>
            </w:r>
          </w:p>
        </w:tc>
        <w:tc>
          <w:tcPr>
            <w:tcW w:w="2610" w:type="dxa"/>
            <w:vAlign w:val="center"/>
          </w:tcPr>
          <w:p w:rsidR="00934767" w:rsidRPr="00934767" w:rsidP="00877F0D" w14:paraId="2ACE7CB7" w14:textId="77777777">
            <w:pPr>
              <w:rPr>
                <w:sz w:val="22"/>
                <w:szCs w:val="22"/>
              </w:rPr>
            </w:pPr>
            <w:r w:rsidRPr="00934767">
              <w:rPr>
                <w:sz w:val="22"/>
                <w:szCs w:val="22"/>
              </w:rPr>
              <w:t>0000276785</w:t>
            </w:r>
          </w:p>
        </w:tc>
      </w:tr>
      <w:tr w14:paraId="0851BBE4" w14:textId="77777777" w:rsidTr="00414670">
        <w:tblPrEx>
          <w:tblW w:w="8095" w:type="dxa"/>
          <w:jc w:val="center"/>
          <w:tblLayout w:type="fixed"/>
          <w:tblLook w:val="04A0"/>
        </w:tblPrEx>
        <w:trPr>
          <w:jc w:val="center"/>
        </w:trPr>
        <w:tc>
          <w:tcPr>
            <w:tcW w:w="1548" w:type="dxa"/>
            <w:vAlign w:val="center"/>
          </w:tcPr>
          <w:p w:rsidR="00934767" w:rsidRPr="00934767" w:rsidP="00877F0D" w14:paraId="01F2A62F" w14:textId="77777777">
            <w:pPr>
              <w:rPr>
                <w:sz w:val="22"/>
                <w:szCs w:val="22"/>
              </w:rPr>
            </w:pPr>
            <w:r w:rsidRPr="00934767">
              <w:rPr>
                <w:sz w:val="22"/>
                <w:szCs w:val="22"/>
              </w:rPr>
              <w:t>WPNM-CD</w:t>
            </w:r>
          </w:p>
        </w:tc>
        <w:tc>
          <w:tcPr>
            <w:tcW w:w="2137" w:type="dxa"/>
            <w:vAlign w:val="center"/>
          </w:tcPr>
          <w:p w:rsidR="00934767" w:rsidRPr="00934767" w:rsidP="00877F0D" w14:paraId="54DE12EB" w14:textId="77777777">
            <w:pPr>
              <w:rPr>
                <w:sz w:val="22"/>
                <w:szCs w:val="22"/>
              </w:rPr>
            </w:pPr>
            <w:r w:rsidRPr="00934767">
              <w:rPr>
                <w:sz w:val="22"/>
                <w:szCs w:val="22"/>
              </w:rPr>
              <w:t>LEPSIC, OH</w:t>
            </w:r>
          </w:p>
        </w:tc>
        <w:tc>
          <w:tcPr>
            <w:tcW w:w="1800" w:type="dxa"/>
            <w:vAlign w:val="center"/>
          </w:tcPr>
          <w:p w:rsidR="00934767" w:rsidRPr="00934767" w:rsidP="00877F0D" w14:paraId="6688A3E7" w14:textId="77777777">
            <w:pPr>
              <w:rPr>
                <w:sz w:val="22"/>
                <w:szCs w:val="22"/>
              </w:rPr>
            </w:pPr>
            <w:r w:rsidRPr="00934767">
              <w:rPr>
                <w:sz w:val="22"/>
                <w:szCs w:val="22"/>
              </w:rPr>
              <w:t>21476</w:t>
            </w:r>
          </w:p>
        </w:tc>
        <w:tc>
          <w:tcPr>
            <w:tcW w:w="2610" w:type="dxa"/>
            <w:vAlign w:val="center"/>
          </w:tcPr>
          <w:p w:rsidR="00934767" w:rsidRPr="00934767" w:rsidP="00877F0D" w14:paraId="2304C04B" w14:textId="77777777">
            <w:pPr>
              <w:rPr>
                <w:sz w:val="22"/>
                <w:szCs w:val="22"/>
              </w:rPr>
            </w:pPr>
            <w:r w:rsidRPr="00934767">
              <w:rPr>
                <w:sz w:val="22"/>
                <w:szCs w:val="22"/>
              </w:rPr>
              <w:t>0000276786</w:t>
            </w:r>
          </w:p>
        </w:tc>
      </w:tr>
    </w:tbl>
    <w:p w:rsidR="00855284" w:rsidRPr="00204CE3" w:rsidP="00A34C72" w14:paraId="53AEE823" w14:textId="3174DBFA">
      <w:pPr>
        <w:rPr>
          <w:sz w:val="22"/>
          <w:szCs w:val="22"/>
        </w:rPr>
      </w:pPr>
    </w:p>
    <w:sectPr>
      <w:headerReference w:type="default" r:id="rId5"/>
      <w:footerReference w:type="default" r:id="rId6"/>
      <w:headerReference w:type="first" r:id="rId7"/>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Times New Roman Bold">
    <w:altName w:val="Times New Roman"/>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4735" w:rsidP="00A44735" w14:paraId="40F399B2" w14:textId="4BB8E169">
    <w:pPr>
      <w:pStyle w:val="Footer"/>
      <w:jc w:val="center"/>
    </w:pPr>
    <w:r w:rsidRPr="00A44735">
      <w:fldChar w:fldCharType="begin"/>
    </w:r>
    <w:r w:rsidRPr="00A44735">
      <w:instrText xml:space="preserve"> PAGE   \* MERGEFORMAT </w:instrText>
    </w:r>
    <w:r w:rsidRPr="00A44735">
      <w:fldChar w:fldCharType="separate"/>
    </w:r>
    <w:r w:rsidRPr="00A44735">
      <w:t>4</w:t>
    </w:r>
    <w:r w:rsidRPr="00A44735">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A5ED0" w14:paraId="1849E98B" w14:textId="77777777">
      <w:r>
        <w:separator/>
      </w:r>
    </w:p>
  </w:footnote>
  <w:footnote w:type="continuationSeparator" w:id="1">
    <w:p w:rsidR="009A5ED0" w14:paraId="69E484B9" w14:textId="77777777">
      <w:r>
        <w:continuationSeparator/>
      </w:r>
    </w:p>
  </w:footnote>
  <w:footnote w:id="2">
    <w:p w:rsidR="00BE386D" w:rsidRPr="00B34A4D" w:rsidP="00646F55" w14:paraId="1BED1E34" w14:textId="0C2BC309">
      <w:pPr>
        <w:pStyle w:val="FootnoteText"/>
        <w:widowControl w:val="0"/>
      </w:pPr>
      <w:r w:rsidRPr="00B34A4D">
        <w:rPr>
          <w:rStyle w:val="FootnoteReference"/>
        </w:rPr>
        <w:footnoteRef/>
      </w:r>
      <w:r w:rsidRPr="00B34A4D">
        <w:t xml:space="preserve"> The Attachment provides a complete list of the Applications and the subject broadcast television station licenses.  We refer to </w:t>
      </w:r>
      <w:r w:rsidRPr="00B34A4D">
        <w:rPr>
          <w:bCs/>
        </w:rPr>
        <w:t xml:space="preserve">SagamoreHill of Columbus, GA, LLC; SagamoreHill of Lubbock, LLC; </w:t>
      </w:r>
      <w:r w:rsidRPr="00B34A4D" w:rsidR="00363D64">
        <w:rPr>
          <w:bCs/>
        </w:rPr>
        <w:t>Block; and Gray</w:t>
      </w:r>
      <w:r w:rsidRPr="00B34A4D">
        <w:t>, collectively, as the Applicants</w:t>
      </w:r>
      <w:r w:rsidRPr="00B34A4D" w:rsidR="00F47407">
        <w:t>, and we refer to the proposed assignments underlying the Applications, collectively, as the Transactions</w:t>
      </w:r>
      <w:r w:rsidRPr="00B34A4D">
        <w:t>.</w:t>
      </w:r>
    </w:p>
  </w:footnote>
  <w:footnote w:id="3">
    <w:p w:rsidR="00960114" w:rsidRPr="00B34A4D" w:rsidP="00646F55" w14:paraId="11AE59A1" w14:textId="77777777">
      <w:pPr>
        <w:pStyle w:val="FootnoteText"/>
        <w:widowControl w:val="0"/>
      </w:pPr>
      <w:r w:rsidRPr="00B34A4D">
        <w:rPr>
          <w:rStyle w:val="FootnoteReference"/>
        </w:rPr>
        <w:footnoteRef/>
      </w:r>
      <w:r w:rsidRPr="00B34A4D">
        <w:t xml:space="preserve"> 47 CFR § 73.3555(b) (vacated in part by </w:t>
      </w:r>
      <w:r w:rsidRPr="00B34A4D">
        <w:rPr>
          <w:i/>
          <w:iCs/>
        </w:rPr>
        <w:t>Zimmer Radio of Mid-Missouri, Inc. v. FCC et al.</w:t>
      </w:r>
      <w:r w:rsidRPr="00B34A4D">
        <w:t>, 145 F.4th 828 (8th Cir. 2025) (</w:t>
      </w:r>
      <w:r w:rsidRPr="00B34A4D">
        <w:rPr>
          <w:i/>
          <w:iCs/>
        </w:rPr>
        <w:t>Zimmer Radio</w:t>
      </w:r>
      <w:r w:rsidRPr="00B34A4D">
        <w:t>)) (Local Television Ownership Rule).</w:t>
      </w:r>
    </w:p>
  </w:footnote>
  <w:footnote w:id="4">
    <w:p w:rsidR="00A147F4" w:rsidRPr="00B34A4D" w:rsidP="00646F55" w14:paraId="61DF3758" w14:textId="77777777">
      <w:pPr>
        <w:pStyle w:val="FootnoteText"/>
        <w:widowControl w:val="0"/>
      </w:pPr>
      <w:r w:rsidRPr="00B34A4D">
        <w:rPr>
          <w:rStyle w:val="FootnoteReference"/>
        </w:rPr>
        <w:footnoteRef/>
      </w:r>
      <w:r w:rsidRPr="00B34A4D">
        <w:t xml:space="preserve"> Petition to Deny of DIRECTV, LLC, LMS Pleading File No. 0000280897 (filed Nov. 18, 2025) (Petition). </w:t>
      </w:r>
    </w:p>
  </w:footnote>
  <w:footnote w:id="5">
    <w:p w:rsidR="00A147F4" w:rsidRPr="00B34A4D" w:rsidP="00646F55" w14:paraId="4B5B154B" w14:textId="77777777">
      <w:pPr>
        <w:pStyle w:val="FootnoteText"/>
      </w:pPr>
      <w:r w:rsidRPr="00B34A4D">
        <w:rPr>
          <w:rStyle w:val="FootnoteReference"/>
        </w:rPr>
        <w:footnoteRef/>
      </w:r>
      <w:r w:rsidRPr="00B34A4D">
        <w:t xml:space="preserve"> 47 CFR § 73.3587.</w:t>
      </w:r>
    </w:p>
  </w:footnote>
  <w:footnote w:id="6">
    <w:p w:rsidR="00A147F4" w:rsidRPr="00B34A4D" w:rsidP="00646F55" w14:paraId="004CAE6C" w14:textId="77777777">
      <w:pPr>
        <w:pStyle w:val="FootnoteText"/>
      </w:pPr>
      <w:r w:rsidRPr="00B34A4D">
        <w:rPr>
          <w:rStyle w:val="FootnoteReference"/>
        </w:rPr>
        <w:footnoteRef/>
      </w:r>
      <w:r w:rsidRPr="00B34A4D">
        <w:t xml:space="preserve"> Comments of Georgia Cable Association, Illinois Broadband &amp; Cable Association, Indiana Cable and Broadband Association, and Tennessee Cable &amp; Broadband Association, LMS Pleading File No. 0000284189 (filed Dec. 5, 2025) (Cable Associations Objection).</w:t>
      </w:r>
    </w:p>
  </w:footnote>
  <w:footnote w:id="7">
    <w:p w:rsidR="00A147F4" w:rsidRPr="00B34A4D" w:rsidP="00646F55" w14:paraId="18CC265A" w14:textId="77777777">
      <w:pPr>
        <w:pStyle w:val="FootnoteText"/>
      </w:pPr>
      <w:r w:rsidRPr="00B34A4D">
        <w:rPr>
          <w:rStyle w:val="FootnoteReference"/>
        </w:rPr>
        <w:footnoteRef/>
      </w:r>
      <w:r w:rsidRPr="00B34A4D">
        <w:t xml:space="preserve"> Comments of Business Forward, LMS Pleading File No. 0000284195 (filed Dec. 6, 2025) (Business Forward Objection).</w:t>
      </w:r>
    </w:p>
  </w:footnote>
  <w:footnote w:id="8">
    <w:p w:rsidR="00A147F4" w:rsidRPr="00B34A4D" w:rsidP="00646F55" w14:paraId="6AE7F840" w14:textId="77777777">
      <w:pPr>
        <w:pStyle w:val="FootnoteText"/>
      </w:pPr>
      <w:r w:rsidRPr="00B34A4D">
        <w:rPr>
          <w:rStyle w:val="FootnoteReference"/>
        </w:rPr>
        <w:footnoteRef/>
      </w:r>
      <w:r w:rsidRPr="00B34A4D">
        <w:t xml:space="preserve"> Comments of Asian Americans Advancing Justice, Asian and Pacific Islander American Vote, Empowering Pacific Islander Communities, Japanese American Citizens League, National Council of Asian Pacific Americans, OCA-Asian Pacific American Advocates, and Sikh American Legal Defense and Education Fund, LMS Pleading File No. 0000284451 (filed Dec. 10, 2025) (AANHPI Objection).</w:t>
      </w:r>
    </w:p>
  </w:footnote>
  <w:footnote w:id="9">
    <w:p w:rsidR="00A147F4" w:rsidRPr="00B34A4D" w:rsidP="00646F55" w14:paraId="602BA83D" w14:textId="15A05483">
      <w:pPr>
        <w:pStyle w:val="FootnoteText"/>
      </w:pPr>
      <w:r w:rsidRPr="00B34A4D">
        <w:rPr>
          <w:rStyle w:val="FootnoteReference"/>
        </w:rPr>
        <w:footnoteRef/>
      </w:r>
      <w:r w:rsidRPr="00B34A4D">
        <w:t xml:space="preserve"> Objection of National Civil Rights Organizations to Major Local TV Consolidation Transactions, LMS Pleading File No. 0000284499 (filed Dec. 10, 2025) (Civil Rights Coalition Objection).  The member organizations of the Civil Rights Coalition are: Asian Americans Advancing Justice; Asian and Pacific Islander American Vote; Common Cause; Consumer Action; Hispanic Tech and Telecommunications Partnerships; Japanese American Citizens League; LGBT Tech; MANA, A National Latina Organization; Multicultural Media &amp; Correspondents Association; Multicultural Media, Telecom and Internet Council; NAACP; National Action Network; National Black Justice Collective; National Coalition on Black Civic Participation; National Council of Asian Pacific Americans; National Council of Negro Women; National Hispanic Media Coalition; National LGBTQ Taskforce Action Fund; National Newspaper Publishers Association; National Urban League; OCA-Asian Pacific American Advocates; Sikh American Legal Defense and Education Fund; and The Leadership Conference on Civil and Human Rights.</w:t>
      </w:r>
    </w:p>
  </w:footnote>
  <w:footnote w:id="10">
    <w:p w:rsidR="00337C83" w:rsidRPr="00B34A4D" w:rsidP="00646F55" w14:paraId="778AF622" w14:textId="77777777">
      <w:pPr>
        <w:pStyle w:val="FootnoteText"/>
      </w:pPr>
      <w:r w:rsidRPr="00B34A4D">
        <w:rPr>
          <w:rStyle w:val="FootnoteReference"/>
        </w:rPr>
        <w:footnoteRef/>
      </w:r>
      <w:r w:rsidRPr="00B34A4D">
        <w:t xml:space="preserve"> Informal Objection of Newsmax Media, Inc., LMS Pleading File No. 0000295742 (filed Apr. 21, 2026) (Newsmax Objection).  We refer to the Cable Associations, Business Forward, AANHPI Coalition, Civil Rights Coalition, and Newsmax, collectively, as Objectors.</w:t>
      </w:r>
    </w:p>
  </w:footnote>
  <w:footnote w:id="11">
    <w:p w:rsidR="006B6A89" w:rsidRPr="00B34A4D" w:rsidP="00646F55" w14:paraId="5AEDFC2D" w14:textId="291E642D">
      <w:pPr>
        <w:pStyle w:val="FootnoteText"/>
      </w:pPr>
      <w:r w:rsidRPr="00B34A4D">
        <w:rPr>
          <w:rStyle w:val="FootnoteReference"/>
        </w:rPr>
        <w:footnoteRef/>
      </w:r>
      <w:r w:rsidRPr="00B34A4D">
        <w:t xml:space="preserve"> </w:t>
      </w:r>
      <w:r w:rsidRPr="00B34A4D" w:rsidR="007A0DED">
        <w:rPr>
          <w:i/>
          <w:iCs/>
        </w:rPr>
        <w:t>See</w:t>
      </w:r>
      <w:r w:rsidRPr="00B34A4D" w:rsidR="007A0DED">
        <w:t xml:space="preserve"> Letter from Hilton Howell, Jr., Chairman and Chief Executive Officer, Gray Media, Inc. to Hon. Brendan Carr, Chairman, FCC, at </w:t>
      </w:r>
      <w:r w:rsidRPr="00B34A4D" w:rsidR="00326E38">
        <w:t>1</w:t>
      </w:r>
      <w:r w:rsidRPr="00B34A4D" w:rsidR="007A0DED">
        <w:t xml:space="preserve"> (filed </w:t>
      </w:r>
      <w:r w:rsidRPr="00B34A4D" w:rsidR="00624DF4">
        <w:t>Apr</w:t>
      </w:r>
      <w:r w:rsidRPr="00B34A4D" w:rsidR="00BC600B">
        <w:t>.</w:t>
      </w:r>
      <w:r w:rsidRPr="00B34A4D" w:rsidR="00624DF4">
        <w:t xml:space="preserve"> 30</w:t>
      </w:r>
      <w:r w:rsidRPr="00B34A4D" w:rsidR="007A0DED">
        <w:t>, 2026) (</w:t>
      </w:r>
      <w:r w:rsidRPr="00D4683E" w:rsidR="007A0DED">
        <w:t>Gray Localism Commitment Letter</w:t>
      </w:r>
      <w:r w:rsidRPr="00B34A4D" w:rsidR="007A0DED">
        <w:t>)</w:t>
      </w:r>
      <w:r w:rsidRPr="00B34A4D">
        <w:t>.</w:t>
      </w:r>
    </w:p>
  </w:footnote>
  <w:footnote w:id="12">
    <w:p w:rsidR="00756172" w:rsidRPr="00B34A4D" w:rsidP="00646F55" w14:paraId="3684DA18" w14:textId="77777777">
      <w:pPr>
        <w:pStyle w:val="FootnoteText"/>
      </w:pPr>
      <w:r w:rsidRPr="00B34A4D">
        <w:rPr>
          <w:rStyle w:val="FootnoteReference"/>
        </w:rPr>
        <w:footnoteRef/>
      </w:r>
      <w:r w:rsidRPr="00B34A4D">
        <w:t xml:space="preserve"> Gray also proposes to acquire WAND(TV), Decatur, Illinois, its first full power station in the Champaign-Urbana &amp; Springfield-Decatur, IL DMA, and WLIO(TV), Lima, Ohio, its first full power station in the Lima, OH DMA.</w:t>
      </w:r>
    </w:p>
  </w:footnote>
  <w:footnote w:id="13">
    <w:p w:rsidR="003F7619" w:rsidRPr="00B34A4D" w:rsidP="00646F55" w14:paraId="5574A179" w14:textId="77777777">
      <w:pPr>
        <w:pStyle w:val="FootnoteText"/>
        <w:widowControl w:val="0"/>
      </w:pPr>
      <w:r w:rsidRPr="00B34A4D">
        <w:rPr>
          <w:rStyle w:val="FootnoteReference"/>
        </w:rPr>
        <w:footnoteRef/>
      </w:r>
      <w:r w:rsidRPr="00B34A4D">
        <w:t xml:space="preserve"> 47 CFR § 73.3555(b) (vacated in part by </w:t>
      </w:r>
      <w:r w:rsidRPr="00B34A4D">
        <w:rPr>
          <w:i/>
          <w:iCs/>
        </w:rPr>
        <w:t>Zimmer Radio</w:t>
      </w:r>
      <w:r w:rsidRPr="00B34A4D">
        <w:t xml:space="preserve">).  </w:t>
      </w:r>
    </w:p>
  </w:footnote>
  <w:footnote w:id="14">
    <w:p w:rsidR="003F7619" w:rsidRPr="00D4683E" w:rsidP="00BD6DB2" w14:paraId="76636F6D" w14:textId="16DA759D">
      <w:pPr>
        <w:pStyle w:val="FootnoteText"/>
        <w:rPr>
          <w:i/>
        </w:rPr>
      </w:pPr>
      <w:r w:rsidRPr="00B34A4D">
        <w:rPr>
          <w:rStyle w:val="FootnoteReference"/>
        </w:rPr>
        <w:footnoteRef/>
      </w:r>
      <w:r w:rsidRPr="00B34A4D">
        <w:t xml:space="preserve"> </w:t>
      </w:r>
      <w:r w:rsidRPr="00B34A4D">
        <w:rPr>
          <w:i/>
          <w:iCs/>
        </w:rPr>
        <w:t>See</w:t>
      </w:r>
      <w:r w:rsidRPr="00B34A4D" w:rsidR="00BD6DB2">
        <w:rPr>
          <w:i/>
          <w:iCs/>
        </w:rPr>
        <w:t xml:space="preserve"> Applications for Assignment of Licenses from Cunningham Broadcasting Corp. e</w:t>
      </w:r>
      <w:r w:rsidR="00A34C72">
        <w:rPr>
          <w:i/>
          <w:iCs/>
        </w:rPr>
        <w:t>t</w:t>
      </w:r>
      <w:r w:rsidRPr="00B34A4D" w:rsidR="00BD6DB2">
        <w:rPr>
          <w:i/>
          <w:iCs/>
        </w:rPr>
        <w:t xml:space="preserve"> al</w:t>
      </w:r>
      <w:r w:rsidR="00A34C72">
        <w:rPr>
          <w:i/>
          <w:iCs/>
        </w:rPr>
        <w:t>.</w:t>
      </w:r>
      <w:r w:rsidRPr="00B34A4D" w:rsidR="00BD6DB2">
        <w:rPr>
          <w:i/>
          <w:iCs/>
        </w:rPr>
        <w:t xml:space="preserve"> to Subsidiaries of Sinclair, Inc.</w:t>
      </w:r>
      <w:r w:rsidRPr="00B34A4D">
        <w:t>, Letter Order, DA 26-108 (MB Feb. 3, 2026) (</w:t>
      </w:r>
      <w:r w:rsidRPr="00B34A4D">
        <w:rPr>
          <w:i/>
          <w:iCs/>
        </w:rPr>
        <w:t>Sinclair</w:t>
      </w:r>
      <w:r w:rsidRPr="00B34A4D">
        <w:rPr>
          <w:i/>
          <w:iCs/>
        </w:rPr>
        <w:noBreakHyphen/>
        <w:t>Cunningham-Roberts Letter Order</w:t>
      </w:r>
      <w:r w:rsidRPr="00B34A4D">
        <w:t>) (</w:t>
      </w:r>
      <w:r w:rsidRPr="00B34A4D">
        <w:rPr>
          <w:i/>
          <w:iCs/>
        </w:rPr>
        <w:t>application for review pending</w:t>
      </w:r>
      <w:r w:rsidRPr="00B34A4D">
        <w:t>).</w:t>
      </w:r>
    </w:p>
  </w:footnote>
  <w:footnote w:id="15">
    <w:p w:rsidR="00104E5C" w:rsidRPr="00B34A4D" w:rsidP="00646F55" w14:paraId="48201329" w14:textId="4E767E33">
      <w:pPr>
        <w:pStyle w:val="FootnoteText"/>
      </w:pPr>
      <w:r w:rsidRPr="00B34A4D">
        <w:rPr>
          <w:rStyle w:val="FootnoteReference"/>
        </w:rPr>
        <w:footnoteRef/>
      </w:r>
      <w:r w:rsidRPr="00B34A4D">
        <w:t xml:space="preserve"> </w:t>
      </w:r>
      <w:r w:rsidRPr="00B34A4D" w:rsidR="001C7BB6">
        <w:rPr>
          <w:i/>
          <w:iCs/>
        </w:rPr>
        <w:t>Zimmer Radio of Mid-Missouri, Inc. v. FCC et al.</w:t>
      </w:r>
      <w:r w:rsidRPr="00B34A4D" w:rsidR="001C7BB6">
        <w:t>, Mandate, No. 24-1380 (8th Cir. Oct. 23, 2025).</w:t>
      </w:r>
    </w:p>
  </w:footnote>
  <w:footnote w:id="16">
    <w:p w:rsidR="006B771C" w:rsidRPr="00B34A4D" w:rsidP="00646F55" w14:paraId="151AB45E" w14:textId="138DF8FA">
      <w:pPr>
        <w:pStyle w:val="FootnoteText"/>
      </w:pPr>
      <w:r w:rsidRPr="00B34A4D">
        <w:rPr>
          <w:rStyle w:val="FootnoteReference"/>
        </w:rPr>
        <w:footnoteRef/>
      </w:r>
      <w:r w:rsidRPr="00B34A4D">
        <w:t xml:space="preserve"> </w:t>
      </w:r>
      <w:r w:rsidRPr="00B34A4D" w:rsidR="00CC7FA4">
        <w:t>The Local Television Ownership Rule then included a “case-by-case” review standard</w:t>
      </w:r>
      <w:r w:rsidRPr="00B34A4D" w:rsidR="0079538F">
        <w:t xml:space="preserve">, </w:t>
      </w:r>
      <w:r w:rsidRPr="00B34A4D" w:rsidR="0051773F">
        <w:t>which</w:t>
      </w:r>
      <w:r w:rsidRPr="00B34A4D" w:rsidR="0043373C">
        <w:t>,</w:t>
      </w:r>
      <w:r w:rsidRPr="00B34A4D" w:rsidR="0051773F">
        <w:t xml:space="preserve"> the Applicants assert</w:t>
      </w:r>
      <w:r w:rsidRPr="00B34A4D" w:rsidR="0043373C">
        <w:t>, should no longer be required to own any two full power stations in a DMA.</w:t>
      </w:r>
      <w:r w:rsidRPr="00B34A4D" w:rsidR="009A132D">
        <w:t xml:space="preserve"> </w:t>
      </w:r>
      <w:r w:rsidRPr="00B34A4D" w:rsidR="0043373C">
        <w:t xml:space="preserve"> </w:t>
      </w:r>
      <w:r w:rsidRPr="00B34A4D" w:rsidR="009A132D">
        <w:rPr>
          <w:i/>
          <w:iCs/>
        </w:rPr>
        <w:t>See, e.g</w:t>
      </w:r>
      <w:r w:rsidRPr="00B34A4D" w:rsidR="009A132D">
        <w:t>., Application for Consent to Transfer Control of WLTZ, LMS File No. 0000276662, Comprehensive Exhibit at 6-9 (SagamoreHill Comp. Exh.); Application for Consent to Transfer Control of WDRB, LMS File No. 0000276772, Comprehensive Exhibit at 2, 5</w:t>
      </w:r>
      <w:r w:rsidRPr="00B34A4D" w:rsidR="009A132D">
        <w:noBreakHyphen/>
        <w:t xml:space="preserve">11 (Block Comp. Exh.).  A copy of the SagamoreHill Comp. Exh. is attached to </w:t>
      </w:r>
      <w:r w:rsidRPr="00B34A4D" w:rsidR="009A132D">
        <w:t>both of the SagamoreHill</w:t>
      </w:r>
      <w:r w:rsidRPr="00B34A4D" w:rsidR="009A132D">
        <w:t xml:space="preserve"> Applications, and a copy of the Block Comp. Exh. is attached to </w:t>
      </w:r>
      <w:r w:rsidRPr="00B34A4D" w:rsidR="009A132D">
        <w:t>all of</w:t>
      </w:r>
      <w:r w:rsidRPr="00B34A4D" w:rsidR="009A132D">
        <w:t xml:space="preserve"> the Block Applications.</w:t>
      </w:r>
      <w:r w:rsidRPr="00B34A4D" w:rsidR="0043373C">
        <w:t xml:space="preserve"> </w:t>
      </w:r>
    </w:p>
  </w:footnote>
  <w:footnote w:id="17">
    <w:p w:rsidR="003109DD" w:rsidRPr="00B34A4D" w:rsidP="00646F55" w14:paraId="4335BFDD" w14:textId="700DF737">
      <w:pPr>
        <w:pStyle w:val="FootnoteText"/>
      </w:pPr>
      <w:r w:rsidRPr="00B34A4D">
        <w:rPr>
          <w:rStyle w:val="FootnoteReference"/>
        </w:rPr>
        <w:footnoteRef/>
      </w:r>
      <w:r w:rsidRPr="00B34A4D">
        <w:t xml:space="preserve"> 47 CFR § 73.3555(b), Note 7.</w:t>
      </w:r>
    </w:p>
  </w:footnote>
  <w:footnote w:id="18">
    <w:p w:rsidR="002B2A07" w:rsidRPr="00B34A4D" w:rsidP="00646F55" w14:paraId="28DED973" w14:textId="37346F38">
      <w:pPr>
        <w:pStyle w:val="FootnoteText"/>
      </w:pPr>
      <w:r w:rsidRPr="00B34A4D">
        <w:rPr>
          <w:rStyle w:val="FootnoteReference"/>
        </w:rPr>
        <w:footnoteRef/>
      </w:r>
      <w:r w:rsidRPr="00B34A4D">
        <w:t xml:space="preserve"> 47 CFR § 1.3.</w:t>
      </w:r>
    </w:p>
  </w:footnote>
  <w:footnote w:id="19">
    <w:p w:rsidR="00E616EE" w:rsidRPr="00B34A4D" w:rsidP="00646F55" w14:paraId="61DC901E" w14:textId="0D915940">
      <w:pPr>
        <w:pStyle w:val="FootnoteText"/>
      </w:pPr>
      <w:r w:rsidRPr="00B34A4D">
        <w:rPr>
          <w:rStyle w:val="FootnoteReference"/>
        </w:rPr>
        <w:footnoteRef/>
      </w:r>
      <w:r w:rsidRPr="00B34A4D">
        <w:t xml:space="preserve"> </w:t>
      </w:r>
      <w:r w:rsidRPr="00B34A4D">
        <w:rPr>
          <w:i/>
          <w:iCs/>
        </w:rPr>
        <w:t>Media Bureau Establishes Pleading Cycle for Three Sets of Assignment Applications to Gray Television Licensee, LLC, from Subsidiaries of (1) SagamoreHill Broadcasting II, LLC; (2) Block Communications, Inc.; and (3) Allen Media, LLC</w:t>
      </w:r>
      <w:r w:rsidRPr="00B34A4D">
        <w:t xml:space="preserve">, Public Notice, </w:t>
      </w:r>
      <w:r w:rsidRPr="00B34A4D" w:rsidR="00BC600B">
        <w:t>40 FCC Rcd 7446</w:t>
      </w:r>
      <w:r w:rsidRPr="00B34A4D">
        <w:t xml:space="preserve"> (MB 2025)</w:t>
      </w:r>
      <w:r w:rsidRPr="00B34A4D" w:rsidR="00780B46">
        <w:t xml:space="preserve"> (</w:t>
      </w:r>
      <w:r w:rsidRPr="00FC2F7E" w:rsidR="00780B46">
        <w:rPr>
          <w:i/>
        </w:rPr>
        <w:t>Public Notice</w:t>
      </w:r>
      <w:r w:rsidRPr="00B34A4D" w:rsidR="00780B46">
        <w:t>)</w:t>
      </w:r>
      <w:r w:rsidRPr="00B34A4D">
        <w:t xml:space="preserve">.  </w:t>
      </w:r>
      <w:r w:rsidRPr="00B34A4D" w:rsidR="0008625F">
        <w:t xml:space="preserve">The Bureau has already granted the applications </w:t>
      </w:r>
      <w:r w:rsidRPr="00B34A4D" w:rsidR="00651A0A">
        <w:t xml:space="preserve">seeking consent to the assignment of broadcast television station licenses from subsidiaries of Allen </w:t>
      </w:r>
      <w:r w:rsidRPr="00B34A4D" w:rsidR="00B5040C">
        <w:t xml:space="preserve">Media, LLC, to Gray.  </w:t>
      </w:r>
      <w:r w:rsidRPr="008B4309" w:rsidR="008B4309">
        <w:rPr>
          <w:i/>
          <w:iCs/>
        </w:rPr>
        <w:t>Applications for Assignment of Licenses from</w:t>
      </w:r>
      <w:r w:rsidR="008B4309">
        <w:rPr>
          <w:i/>
          <w:iCs/>
        </w:rPr>
        <w:t xml:space="preserve"> Subsidiaries of Allen Media, LLC to Gray Television Licensee, LLC</w:t>
      </w:r>
      <w:r w:rsidRPr="00B34A4D" w:rsidR="00B5040C">
        <w:t xml:space="preserve">, Letter Order, DA 26-281 (MB Mar. 23, 2026); </w:t>
      </w:r>
      <w:r w:rsidRPr="00B34A4D" w:rsidR="00B5040C">
        <w:rPr>
          <w:i/>
          <w:iCs/>
        </w:rPr>
        <w:t>Applications for Consent to the Assignment of Licenses from Subsidiaries of Allen Media, LLC, to Gray Television Licensee, LLC</w:t>
      </w:r>
      <w:r w:rsidRPr="00B34A4D" w:rsidR="00B5040C">
        <w:t>, Memorandum Opinion and Order, DA 26-427 (MB Apr. 30, 2026) (</w:t>
      </w:r>
      <w:r w:rsidRPr="00B34A4D" w:rsidR="00B5040C">
        <w:rPr>
          <w:i/>
          <w:iCs/>
        </w:rPr>
        <w:t>Gray-Allen Seven Market Order</w:t>
      </w:r>
      <w:r w:rsidRPr="00B34A4D" w:rsidR="00B5040C">
        <w:t>).</w:t>
      </w:r>
    </w:p>
  </w:footnote>
  <w:footnote w:id="20">
    <w:p w:rsidR="00E616EE" w:rsidRPr="00B34A4D" w:rsidP="00646F55" w14:paraId="6591C07D" w14:textId="77777777">
      <w:pPr>
        <w:pStyle w:val="FootnoteText"/>
      </w:pPr>
      <w:r w:rsidRPr="00B34A4D">
        <w:rPr>
          <w:rStyle w:val="FootnoteReference"/>
        </w:rPr>
        <w:footnoteRef/>
      </w:r>
      <w:r w:rsidRPr="00B34A4D">
        <w:t xml:space="preserve"> </w:t>
      </w:r>
      <w:r w:rsidRPr="00FC2F7E">
        <w:rPr>
          <w:i/>
        </w:rPr>
        <w:t>Public Notice</w:t>
      </w:r>
      <w:r w:rsidRPr="00B34A4D">
        <w:t xml:space="preserve"> at 2.</w:t>
      </w:r>
    </w:p>
  </w:footnote>
  <w:footnote w:id="21">
    <w:p w:rsidR="00E616EE" w:rsidRPr="00B34A4D" w:rsidP="00646F55" w14:paraId="23926356" w14:textId="77777777">
      <w:pPr>
        <w:pStyle w:val="FootnoteText"/>
      </w:pPr>
      <w:r w:rsidRPr="00B34A4D">
        <w:rPr>
          <w:rStyle w:val="FootnoteReference"/>
        </w:rPr>
        <w:footnoteRef/>
      </w:r>
      <w:r w:rsidRPr="00B34A4D">
        <w:t xml:space="preserve"> </w:t>
      </w:r>
      <w:r w:rsidRPr="00B34A4D">
        <w:rPr>
          <w:i/>
          <w:iCs/>
        </w:rPr>
        <w:t>Id.</w:t>
      </w:r>
    </w:p>
  </w:footnote>
  <w:footnote w:id="22">
    <w:p w:rsidR="003B0783" w:rsidRPr="00B34A4D" w:rsidP="00646F55" w14:paraId="6C8D9D2F" w14:textId="77777777">
      <w:pPr>
        <w:pStyle w:val="FootnoteText"/>
        <w:widowControl w:val="0"/>
      </w:pPr>
      <w:r w:rsidRPr="00B34A4D">
        <w:rPr>
          <w:rStyle w:val="FootnoteReference"/>
        </w:rPr>
        <w:footnoteRef/>
      </w:r>
      <w:r w:rsidRPr="00B34A4D">
        <w:t xml:space="preserve"> Petition at 6-7.  DIRECTV claims that it also has standing as a competitor.  </w:t>
      </w:r>
      <w:r w:rsidRPr="00B34A4D">
        <w:rPr>
          <w:i/>
          <w:iCs/>
        </w:rPr>
        <w:t>Id.</w:t>
      </w:r>
      <w:r w:rsidRPr="00B34A4D">
        <w:t xml:space="preserve"> at 7-8.</w:t>
      </w:r>
    </w:p>
  </w:footnote>
  <w:footnote w:id="23">
    <w:p w:rsidR="003B0783" w:rsidRPr="00B34A4D" w:rsidP="00646F55" w14:paraId="0FD40179" w14:textId="77777777">
      <w:pPr>
        <w:pStyle w:val="FootnoteText"/>
      </w:pPr>
      <w:r w:rsidRPr="00B34A4D">
        <w:rPr>
          <w:rStyle w:val="FootnoteReference"/>
        </w:rPr>
        <w:footnoteRef/>
      </w:r>
      <w:r w:rsidRPr="00B34A4D">
        <w:t xml:space="preserve"> </w:t>
      </w:r>
      <w:r w:rsidRPr="00B34A4D">
        <w:rPr>
          <w:i/>
          <w:iCs/>
        </w:rPr>
        <w:t>Id</w:t>
      </w:r>
      <w:r w:rsidRPr="00B34A4D">
        <w:t xml:space="preserve">. at 9-13; </w:t>
      </w:r>
      <w:r w:rsidRPr="00B34A4D">
        <w:rPr>
          <w:i/>
          <w:iCs/>
        </w:rPr>
        <w:t>see also</w:t>
      </w:r>
      <w:r w:rsidRPr="00B34A4D">
        <w:t xml:space="preserve"> Newsmax Objection at 2-3.</w:t>
      </w:r>
    </w:p>
  </w:footnote>
  <w:footnote w:id="24">
    <w:p w:rsidR="003B0783" w:rsidRPr="00B34A4D" w:rsidP="00646F55" w14:paraId="534939ED" w14:textId="19937D4A">
      <w:pPr>
        <w:pStyle w:val="FootnoteText"/>
      </w:pPr>
      <w:r w:rsidRPr="00B34A4D">
        <w:rPr>
          <w:rStyle w:val="FootnoteReference"/>
        </w:rPr>
        <w:footnoteRef/>
      </w:r>
      <w:r w:rsidRPr="00B34A4D">
        <w:t xml:space="preserve"> </w:t>
      </w:r>
      <w:r w:rsidRPr="00B34A4D">
        <w:rPr>
          <w:i/>
          <w:iCs/>
        </w:rPr>
        <w:t>See</w:t>
      </w:r>
      <w:r w:rsidRPr="00B34A4D">
        <w:t xml:space="preserve"> Petition at 14-22; AANPHI Objection at 1-3; Cable Association Objection at 8-13; Business Forward Objection at 2; Civil Rights Coalition at 3-4.  DIRECTV limits its objections to the markets in which Gray would create new station combinations involving major network affiliates.  Petition at 5-6.  </w:t>
      </w:r>
    </w:p>
  </w:footnote>
  <w:footnote w:id="25">
    <w:p w:rsidR="003B0783" w:rsidRPr="00B34A4D" w:rsidP="00646F55" w14:paraId="3B401110" w14:textId="77777777">
      <w:pPr>
        <w:pStyle w:val="FootnoteText"/>
      </w:pPr>
      <w:r w:rsidRPr="00B34A4D">
        <w:rPr>
          <w:rStyle w:val="FootnoteReference"/>
        </w:rPr>
        <w:footnoteRef/>
      </w:r>
      <w:r w:rsidRPr="00B34A4D">
        <w:t xml:space="preserve"> </w:t>
      </w:r>
      <w:r w:rsidRPr="00B34A4D">
        <w:rPr>
          <w:i/>
          <w:iCs/>
        </w:rPr>
        <w:t>See</w:t>
      </w:r>
      <w:r w:rsidRPr="00B34A4D">
        <w:t xml:space="preserve"> Petition at 22-24; Business Forward Objection at 1; Newsmax Objection at 19-21.</w:t>
      </w:r>
    </w:p>
  </w:footnote>
  <w:footnote w:id="26">
    <w:p w:rsidR="003B0783" w:rsidRPr="00B34A4D" w:rsidP="00646F55" w14:paraId="23DB7618" w14:textId="77777777">
      <w:pPr>
        <w:pStyle w:val="FootnoteText"/>
      </w:pPr>
      <w:r w:rsidRPr="00B34A4D">
        <w:rPr>
          <w:rStyle w:val="FootnoteReference"/>
        </w:rPr>
        <w:footnoteRef/>
      </w:r>
      <w:r w:rsidRPr="00B34A4D">
        <w:t xml:space="preserve"> </w:t>
      </w:r>
      <w:r w:rsidRPr="00B34A4D">
        <w:rPr>
          <w:i/>
          <w:iCs/>
        </w:rPr>
        <w:t>See</w:t>
      </w:r>
      <w:r w:rsidRPr="00B34A4D">
        <w:t xml:space="preserve"> Petition at 24-26; Cable Associations Objection at 13-15.</w:t>
      </w:r>
    </w:p>
  </w:footnote>
  <w:footnote w:id="27">
    <w:p w:rsidR="003B0783" w:rsidRPr="00B34A4D" w:rsidP="00646F55" w14:paraId="16954539" w14:textId="77777777">
      <w:pPr>
        <w:pStyle w:val="FootnoteText"/>
      </w:pPr>
      <w:r w:rsidRPr="00B34A4D">
        <w:rPr>
          <w:rStyle w:val="FootnoteReference"/>
        </w:rPr>
        <w:footnoteRef/>
      </w:r>
      <w:r w:rsidRPr="00B34A4D">
        <w:t xml:space="preserve"> AANHPI Objection at 3.</w:t>
      </w:r>
    </w:p>
  </w:footnote>
  <w:footnote w:id="28">
    <w:p w:rsidR="003B0783" w:rsidRPr="00B34A4D" w:rsidP="00646F55" w14:paraId="778D4C68" w14:textId="77777777">
      <w:pPr>
        <w:pStyle w:val="FootnoteText"/>
      </w:pPr>
      <w:r w:rsidRPr="00B34A4D">
        <w:rPr>
          <w:rStyle w:val="FootnoteReference"/>
        </w:rPr>
        <w:footnoteRef/>
      </w:r>
      <w:r w:rsidRPr="00B34A4D">
        <w:t xml:space="preserve"> Civil Rights Coalition Objection at 2-5; </w:t>
      </w:r>
      <w:r w:rsidRPr="00B34A4D">
        <w:rPr>
          <w:i/>
          <w:iCs/>
        </w:rPr>
        <w:t>see also</w:t>
      </w:r>
      <w:r w:rsidRPr="00B34A4D">
        <w:t xml:space="preserve"> Newsmax Objection at 6-18.</w:t>
      </w:r>
    </w:p>
  </w:footnote>
  <w:footnote w:id="29">
    <w:p w:rsidR="003B0783" w:rsidRPr="00B34A4D" w:rsidP="00646F55" w14:paraId="02B93489" w14:textId="3C63A455">
      <w:pPr>
        <w:pStyle w:val="FootnoteText"/>
      </w:pPr>
      <w:r w:rsidRPr="00B34A4D">
        <w:rPr>
          <w:rStyle w:val="FootnoteReference"/>
        </w:rPr>
        <w:footnoteRef/>
      </w:r>
      <w:r w:rsidRPr="00B34A4D">
        <w:t xml:space="preserve"> Joint Opposition of Gray Television Licensee, LLC; Alabama TV License Company LLC et al.; Independence Television Company et al.; and SagamoreHill of Columbus GA, LLC et al. at </w:t>
      </w:r>
      <w:r w:rsidRPr="00B34A4D" w:rsidR="00BF1D88">
        <w:t>4-6</w:t>
      </w:r>
      <w:r w:rsidRPr="00B34A4D">
        <w:t xml:space="preserve"> (filed Dec. 10, 2025)</w:t>
      </w:r>
      <w:r w:rsidRPr="00B34A4D" w:rsidR="00521B2E">
        <w:t xml:space="preserve"> (Joint Opposition)</w:t>
      </w:r>
      <w:r w:rsidRPr="00B34A4D">
        <w:t xml:space="preserve">.  </w:t>
      </w:r>
      <w:r w:rsidRPr="00B34A4D" w:rsidR="005C0DA5">
        <w:t xml:space="preserve">For the discussion on standing, see </w:t>
      </w:r>
      <w:r w:rsidRPr="00B34A4D" w:rsidR="005C0DA5">
        <w:rPr>
          <w:i/>
          <w:iCs/>
        </w:rPr>
        <w:t>infra</w:t>
      </w:r>
      <w:r w:rsidRPr="00B34A4D" w:rsidR="005C0DA5">
        <w:t>.</w:t>
      </w:r>
      <w:r w:rsidRPr="00B34A4D" w:rsidR="00521B2E">
        <w:t xml:space="preserve"> at 7-8</w:t>
      </w:r>
      <w:r w:rsidR="00FC2F7E">
        <w:t>.</w:t>
      </w:r>
    </w:p>
  </w:footnote>
  <w:footnote w:id="30">
    <w:p w:rsidR="003B0783" w:rsidRPr="00B34A4D" w:rsidP="00646F55" w14:paraId="16211DE6" w14:textId="2342BC5C">
      <w:pPr>
        <w:pStyle w:val="FootnoteText"/>
      </w:pPr>
      <w:r w:rsidRPr="00B34A4D">
        <w:rPr>
          <w:rStyle w:val="FootnoteReference"/>
        </w:rPr>
        <w:footnoteRef/>
      </w:r>
      <w:r w:rsidRPr="00B34A4D">
        <w:t xml:space="preserve"> </w:t>
      </w:r>
      <w:r w:rsidR="00914955">
        <w:t xml:space="preserve">SagamoreHill </w:t>
      </w:r>
      <w:r w:rsidRPr="00B34A4D">
        <w:t>Comp. Exh. at 8-12.</w:t>
      </w:r>
    </w:p>
  </w:footnote>
  <w:footnote w:id="31">
    <w:p w:rsidR="003B0783" w:rsidRPr="00B34A4D" w:rsidP="00646F55" w14:paraId="0F84C7E4" w14:textId="26CC2CCF">
      <w:pPr>
        <w:pStyle w:val="FootnoteText"/>
      </w:pPr>
      <w:r w:rsidRPr="00B34A4D">
        <w:rPr>
          <w:rStyle w:val="FootnoteReference"/>
        </w:rPr>
        <w:footnoteRef/>
      </w:r>
      <w:r w:rsidRPr="00B34A4D">
        <w:t xml:space="preserve"> </w:t>
      </w:r>
      <w:r w:rsidRPr="00B34A4D" w:rsidR="004156CC">
        <w:t>Joint Opposition</w:t>
      </w:r>
      <w:r w:rsidRPr="00B34A4D">
        <w:t xml:space="preserve"> at 3-4, 12-13.</w:t>
      </w:r>
    </w:p>
  </w:footnote>
  <w:footnote w:id="32">
    <w:p w:rsidR="003B0783" w:rsidRPr="00B34A4D" w:rsidP="00646F55" w14:paraId="73F53D4F" w14:textId="77777777">
      <w:pPr>
        <w:pStyle w:val="FootnoteText"/>
      </w:pPr>
      <w:r w:rsidRPr="00B34A4D">
        <w:rPr>
          <w:rStyle w:val="FootnoteReference"/>
        </w:rPr>
        <w:footnoteRef/>
      </w:r>
      <w:r w:rsidRPr="00B34A4D">
        <w:t xml:space="preserve"> </w:t>
      </w:r>
      <w:r w:rsidRPr="00B34A4D">
        <w:rPr>
          <w:i/>
          <w:iCs/>
        </w:rPr>
        <w:t>Id.</w:t>
      </w:r>
      <w:r w:rsidRPr="00B34A4D">
        <w:t xml:space="preserve"> at 13-24.</w:t>
      </w:r>
    </w:p>
  </w:footnote>
  <w:footnote w:id="33">
    <w:p w:rsidR="003B0783" w:rsidRPr="00B34A4D" w:rsidP="00646F55" w14:paraId="223DE47B" w14:textId="77777777">
      <w:pPr>
        <w:pStyle w:val="FootnoteText"/>
      </w:pPr>
      <w:r w:rsidRPr="00B34A4D">
        <w:rPr>
          <w:rStyle w:val="FootnoteReference"/>
        </w:rPr>
        <w:footnoteRef/>
      </w:r>
      <w:r w:rsidRPr="00B34A4D">
        <w:t xml:space="preserve"> </w:t>
      </w:r>
      <w:r w:rsidRPr="00B34A4D">
        <w:rPr>
          <w:i/>
          <w:iCs/>
        </w:rPr>
        <w:t>Id.</w:t>
      </w:r>
      <w:r w:rsidRPr="00B34A4D">
        <w:t xml:space="preserve"> at 24-28.</w:t>
      </w:r>
    </w:p>
  </w:footnote>
  <w:footnote w:id="34">
    <w:p w:rsidR="000B48AF" w:rsidRPr="00B34A4D" w:rsidP="00646F55" w14:paraId="59CA755C" w14:textId="77777777">
      <w:pPr>
        <w:pStyle w:val="FootnoteText"/>
      </w:pPr>
      <w:r w:rsidRPr="00B34A4D">
        <w:rPr>
          <w:rStyle w:val="FootnoteReference"/>
        </w:rPr>
        <w:footnoteRef/>
      </w:r>
      <w:r w:rsidRPr="00B34A4D">
        <w:t xml:space="preserve"> Petition at 26-27.</w:t>
      </w:r>
    </w:p>
  </w:footnote>
  <w:footnote w:id="35">
    <w:p w:rsidR="008B7918" w:rsidRPr="00B34A4D" w14:paraId="6438664B" w14:textId="23176B36">
      <w:pPr>
        <w:pStyle w:val="FootnoteText"/>
      </w:pPr>
      <w:r w:rsidRPr="00B34A4D">
        <w:rPr>
          <w:rStyle w:val="FootnoteReference"/>
        </w:rPr>
        <w:footnoteRef/>
      </w:r>
      <w:r w:rsidRPr="00B34A4D">
        <w:t xml:space="preserve"> </w:t>
      </w:r>
      <w:r w:rsidRPr="00B34A4D">
        <w:rPr>
          <w:i/>
          <w:iCs/>
        </w:rPr>
        <w:t>Id</w:t>
      </w:r>
      <w:r w:rsidRPr="00B34A4D">
        <w:t>. at 27.</w:t>
      </w:r>
    </w:p>
  </w:footnote>
  <w:footnote w:id="36">
    <w:p w:rsidR="00D7724D" w:rsidRPr="00B34A4D" w14:paraId="474D8828" w14:textId="1B54E10B">
      <w:pPr>
        <w:pStyle w:val="FootnoteText"/>
      </w:pPr>
      <w:r w:rsidRPr="00B34A4D">
        <w:rPr>
          <w:rStyle w:val="FootnoteReference"/>
        </w:rPr>
        <w:footnoteRef/>
      </w:r>
      <w:r w:rsidRPr="00B34A4D">
        <w:t xml:space="preserve"> </w:t>
      </w:r>
      <w:r w:rsidRPr="00B34A4D">
        <w:rPr>
          <w:i/>
          <w:iCs/>
        </w:rPr>
        <w:t>Id</w:t>
      </w:r>
      <w:r w:rsidRPr="00B34A4D">
        <w:t>.</w:t>
      </w:r>
    </w:p>
  </w:footnote>
  <w:footnote w:id="37">
    <w:p w:rsidR="00DE3E2F" w:rsidRPr="00B34A4D" w14:paraId="1E75516D" w14:textId="1F57ABE9">
      <w:pPr>
        <w:pStyle w:val="FootnoteText"/>
      </w:pPr>
      <w:r w:rsidRPr="00B34A4D">
        <w:rPr>
          <w:rStyle w:val="FootnoteReference"/>
        </w:rPr>
        <w:footnoteRef/>
      </w:r>
      <w:r w:rsidRPr="00B34A4D">
        <w:t xml:space="preserve"> </w:t>
      </w:r>
      <w:r w:rsidRPr="00B34A4D">
        <w:rPr>
          <w:i/>
          <w:iCs/>
        </w:rPr>
        <w:t>Id</w:t>
      </w:r>
      <w:r w:rsidRPr="00B34A4D">
        <w:t>.</w:t>
      </w:r>
    </w:p>
  </w:footnote>
  <w:footnote w:id="38">
    <w:p w:rsidR="003B0783" w:rsidRPr="00B34A4D" w:rsidP="00646F55" w14:paraId="3B730200" w14:textId="77777777">
      <w:pPr>
        <w:pStyle w:val="FootnoteText"/>
      </w:pPr>
      <w:r w:rsidRPr="00B34A4D">
        <w:rPr>
          <w:rStyle w:val="FootnoteReference"/>
        </w:rPr>
        <w:footnoteRef/>
      </w:r>
      <w:r w:rsidRPr="00B34A4D">
        <w:t xml:space="preserve"> </w:t>
      </w:r>
      <w:r w:rsidRPr="00B34A4D">
        <w:rPr>
          <w:i/>
          <w:iCs/>
        </w:rPr>
        <w:t>See,</w:t>
      </w:r>
      <w:r w:rsidRPr="00B34A4D">
        <w:t xml:space="preserve"> </w:t>
      </w:r>
      <w:r w:rsidRPr="00B34A4D">
        <w:rPr>
          <w:i/>
          <w:iCs/>
        </w:rPr>
        <w:t>e.g.</w:t>
      </w:r>
      <w:r w:rsidRPr="00B34A4D">
        <w:t xml:space="preserve">, Newsmax Objection at 1-2, 5-7, 11-19.  Newsmax’s argument concerning the Bureau’s delegated authority to grant </w:t>
      </w:r>
      <w:r w:rsidRPr="00B34A4D">
        <w:t>Top-Four</w:t>
      </w:r>
      <w:r w:rsidRPr="00B34A4D">
        <w:t xml:space="preserve"> combinations is a late-filed petition for reconsideration of the </w:t>
      </w:r>
      <w:r w:rsidRPr="00B34A4D">
        <w:rPr>
          <w:i/>
          <w:iCs/>
        </w:rPr>
        <w:t>Sinclair</w:t>
      </w:r>
      <w:r w:rsidRPr="00B34A4D">
        <w:rPr>
          <w:i/>
          <w:iCs/>
        </w:rPr>
        <w:noBreakHyphen/>
        <w:t>Cunningham-Roberts Letter Order</w:t>
      </w:r>
      <w:r w:rsidRPr="00B34A4D">
        <w:t>, and we will not address it herein.</w:t>
      </w:r>
    </w:p>
  </w:footnote>
  <w:footnote w:id="39">
    <w:p w:rsidR="003B0783" w:rsidRPr="00B34A4D" w:rsidP="00646F55" w14:paraId="46208022" w14:textId="292A6781">
      <w:pPr>
        <w:pStyle w:val="FootnoteText"/>
      </w:pPr>
      <w:r w:rsidRPr="00B34A4D">
        <w:rPr>
          <w:rStyle w:val="FootnoteReference"/>
        </w:rPr>
        <w:footnoteRef/>
      </w:r>
      <w:r w:rsidRPr="00B34A4D">
        <w:t xml:space="preserve"> Letter from Kevin P. Latek, Executive Vice President, Secretary, and Chief Legal and Development Officer, Gray Media, Inc. to Marlene H. Dortch, Secretary, FCC</w:t>
      </w:r>
      <w:r w:rsidR="00B34A4D">
        <w:t xml:space="preserve">, </w:t>
      </w:r>
      <w:r w:rsidRPr="00B34A4D" w:rsidR="00B34A4D">
        <w:t>LMS File No. 0000295786</w:t>
      </w:r>
      <w:r w:rsidRPr="00B34A4D">
        <w:t xml:space="preserve"> (dated Apr. 22, 2026). </w:t>
      </w:r>
    </w:p>
  </w:footnote>
  <w:footnote w:id="40">
    <w:p w:rsidR="00B24954" w:rsidRPr="00B34A4D" w:rsidP="00646F55" w14:paraId="7C342079" w14:textId="77777777">
      <w:pPr>
        <w:pStyle w:val="FootnoteText"/>
        <w:widowControl w:val="0"/>
      </w:pPr>
      <w:r w:rsidRPr="00B34A4D">
        <w:rPr>
          <w:rStyle w:val="FootnoteReference"/>
        </w:rPr>
        <w:footnoteRef/>
      </w:r>
      <w:r w:rsidRPr="00B34A4D">
        <w:t xml:space="preserve"> 47 U.S.C. § 309(d); 47 CFR § 73.3584.</w:t>
      </w:r>
    </w:p>
  </w:footnote>
  <w:footnote w:id="41">
    <w:p w:rsidR="00B24954" w:rsidRPr="00B34A4D" w:rsidP="00646F55" w14:paraId="76CEC4EE" w14:textId="77777777">
      <w:pPr>
        <w:pStyle w:val="FootnoteText"/>
        <w:widowControl w:val="0"/>
      </w:pPr>
      <w:r w:rsidRPr="00B34A4D">
        <w:rPr>
          <w:rStyle w:val="FootnoteReference"/>
        </w:rPr>
        <w:footnoteRef/>
      </w:r>
      <w:r w:rsidRPr="00B34A4D">
        <w:t xml:space="preserve"> 47 U.S.C. § 309(d).  </w:t>
      </w:r>
    </w:p>
  </w:footnote>
  <w:footnote w:id="42">
    <w:p w:rsidR="00B24954" w:rsidRPr="00B34A4D" w:rsidP="00646F55" w14:paraId="7565CBC7" w14:textId="77777777">
      <w:pPr>
        <w:pStyle w:val="FootnoteText"/>
        <w:widowControl w:val="0"/>
      </w:pPr>
      <w:r w:rsidRPr="00B34A4D">
        <w:rPr>
          <w:rStyle w:val="FootnoteReference"/>
        </w:rPr>
        <w:footnoteRef/>
      </w:r>
      <w:r w:rsidRPr="00B34A4D">
        <w:t xml:space="preserve"> </w:t>
      </w:r>
      <w:r w:rsidRPr="00B34A4D">
        <w:rPr>
          <w:i/>
          <w:iCs/>
        </w:rPr>
        <w:t>Id</w:t>
      </w:r>
      <w:r w:rsidRPr="00B34A4D">
        <w:t>.</w:t>
      </w:r>
    </w:p>
  </w:footnote>
  <w:footnote w:id="43">
    <w:p w:rsidR="00B24954" w:rsidRPr="00B34A4D" w:rsidP="006D5E51" w14:paraId="5D479218" w14:textId="14DF3574">
      <w:pPr>
        <w:spacing w:after="120"/>
      </w:pPr>
      <w:r w:rsidRPr="00B34A4D">
        <w:rPr>
          <w:rStyle w:val="FootnoteReference"/>
        </w:rPr>
        <w:footnoteRef/>
      </w:r>
      <w:r w:rsidRPr="00B34A4D">
        <w:t xml:space="preserve"> </w:t>
      </w:r>
      <w:r w:rsidRPr="00B34A4D">
        <w:rPr>
          <w:i/>
          <w:iCs/>
        </w:rPr>
        <w:t>See, e.g.</w:t>
      </w:r>
      <w:r w:rsidRPr="00B34A4D">
        <w:t>,</w:t>
      </w:r>
      <w:r w:rsidRPr="00B34A4D">
        <w:rPr>
          <w:i/>
          <w:iCs/>
          <w:snapToGrid w:val="0"/>
          <w:kern w:val="28"/>
        </w:rPr>
        <w:t xml:space="preserve"> </w:t>
      </w:r>
      <w:r w:rsidRPr="00B34A4D" w:rsidR="00646F55">
        <w:rPr>
          <w:i/>
          <w:iCs/>
        </w:rPr>
        <w:t>Applications of Tribune Media Co. (Transferor) &amp; Nexstar Media Group, Inc. (Transferee), et al</w:t>
      </w:r>
      <w:r w:rsidRPr="00B34A4D" w:rsidR="00646F55">
        <w:t>., Memorandum Opinion and Order, 34 FCC Rcd 8436 (2019) (</w:t>
      </w:r>
      <w:r w:rsidRPr="00B34A4D" w:rsidR="00646F55">
        <w:rPr>
          <w:i/>
          <w:iCs/>
        </w:rPr>
        <w:t>Nexstar/Tribune Order</w:t>
      </w:r>
      <w:r w:rsidRPr="00B34A4D" w:rsidR="00646F55">
        <w:t>)</w:t>
      </w:r>
      <w:r w:rsidRPr="00B34A4D">
        <w:t xml:space="preserve">; </w:t>
      </w:r>
      <w:r w:rsidRPr="00B34A4D">
        <w:rPr>
          <w:i/>
          <w:iCs/>
        </w:rPr>
        <w:t>Entercom License, LLC</w:t>
      </w:r>
      <w:r w:rsidRPr="00B34A4D">
        <w:t xml:space="preserve">, MB Docket No. 16-357, Hearing Designation Order, 31 FCC Rcd 12196, 12205, para. 22 (2016); </w:t>
      </w:r>
      <w:r w:rsidRPr="00B34A4D">
        <w:rPr>
          <w:i/>
          <w:iCs/>
        </w:rPr>
        <w:t>Connoisseur Media Licenses, LLC</w:t>
      </w:r>
      <w:r w:rsidRPr="00B34A4D">
        <w:t xml:space="preserve">, Letter Order, 30 FCC Rcd 6045, 6048, 6049 (MB 2015).  </w:t>
      </w:r>
    </w:p>
  </w:footnote>
  <w:footnote w:id="44">
    <w:p w:rsidR="00B24954" w:rsidRPr="00B34A4D" w:rsidP="00646F55" w14:paraId="1DBC85DA" w14:textId="77777777">
      <w:pPr>
        <w:pStyle w:val="FootnoteText"/>
        <w:widowControl w:val="0"/>
      </w:pPr>
      <w:r w:rsidRPr="00B34A4D">
        <w:rPr>
          <w:rStyle w:val="FootnoteReference"/>
        </w:rPr>
        <w:footnoteRef/>
      </w:r>
      <w:r w:rsidRPr="00B34A4D">
        <w:t xml:space="preserve"> </w:t>
      </w:r>
      <w:r w:rsidRPr="00B34A4D">
        <w:rPr>
          <w:i/>
          <w:iCs/>
        </w:rPr>
        <w:t>Liberman Television of Dallas License LLC, Debtor-in-Possession et al</w:t>
      </w:r>
      <w:r w:rsidRPr="00B34A4D">
        <w:t xml:space="preserve">., Order, 34 FCC Rcd 8543, 8547, para. 7 (MB 2019); </w:t>
      </w:r>
      <w:r w:rsidRPr="00B34A4D">
        <w:rPr>
          <w:i/>
          <w:iCs/>
        </w:rPr>
        <w:t>Cox Radio, Inc. &amp; Summit Media, LLC</w:t>
      </w:r>
      <w:r w:rsidRPr="00B34A4D">
        <w:t xml:space="preserve">, Letter Order, 28 FCC Rcd 5674, 5676, para. 2, n.12 (MB 2013).  </w:t>
      </w:r>
    </w:p>
  </w:footnote>
  <w:footnote w:id="45">
    <w:p w:rsidR="00B24954" w:rsidRPr="00B34A4D" w:rsidP="00646F55" w14:paraId="6467BB95" w14:textId="77777777">
      <w:pPr>
        <w:pStyle w:val="FootnoteText"/>
        <w:widowControl w:val="0"/>
      </w:pPr>
      <w:r w:rsidRPr="00B34A4D">
        <w:rPr>
          <w:rStyle w:val="FootnoteReference"/>
        </w:rPr>
        <w:footnoteRef/>
      </w:r>
      <w:r w:rsidRPr="00B34A4D">
        <w:t xml:space="preserve"> </w:t>
      </w:r>
      <w:r w:rsidRPr="00B34A4D">
        <w:rPr>
          <w:i/>
          <w:iCs/>
        </w:rPr>
        <w:t>See, e.g.</w:t>
      </w:r>
      <w:r w:rsidRPr="00B34A4D">
        <w:t xml:space="preserve">, </w:t>
      </w:r>
      <w:r w:rsidRPr="00B34A4D">
        <w:rPr>
          <w:i/>
          <w:iCs/>
        </w:rPr>
        <w:t>Lujan v. Defenders of Wildlife</w:t>
      </w:r>
      <w:r w:rsidRPr="00B34A4D">
        <w:t xml:space="preserve">, 504 U.S. 555 (1992); </w:t>
      </w:r>
      <w:r w:rsidRPr="00B34A4D">
        <w:rPr>
          <w:i/>
          <w:iCs/>
        </w:rPr>
        <w:t>MCI Communications Corp.</w:t>
      </w:r>
      <w:r w:rsidRPr="00B34A4D">
        <w:t xml:space="preserve">, Memorandum Opinion and Order, 12 FCC Rcd 7790 (1997); </w:t>
      </w:r>
      <w:r w:rsidRPr="00B34A4D">
        <w:rPr>
          <w:i/>
          <w:iCs/>
        </w:rPr>
        <w:t>Saga Communications of North Carolina, LLC and Library Productions, a Limited Partnership, re: WOXL-FM</w:t>
      </w:r>
      <w:r w:rsidRPr="00B34A4D">
        <w:t xml:space="preserve">, Letter Order, 20 FCC Rcd 11987 (MB 2005).  </w:t>
      </w:r>
    </w:p>
  </w:footnote>
  <w:footnote w:id="46">
    <w:p w:rsidR="00B24954" w:rsidRPr="00B34A4D" w:rsidP="00646F55" w14:paraId="7A943697" w14:textId="521253D6">
      <w:pPr>
        <w:pStyle w:val="FootnoteText"/>
      </w:pPr>
      <w:r w:rsidRPr="00B34A4D">
        <w:rPr>
          <w:rStyle w:val="FootnoteReference"/>
        </w:rPr>
        <w:footnoteRef/>
      </w:r>
      <w:r w:rsidRPr="00B34A4D">
        <w:t xml:space="preserve"> </w:t>
      </w:r>
      <w:r w:rsidRPr="00B34A4D">
        <w:rPr>
          <w:i/>
          <w:iCs/>
        </w:rPr>
        <w:t>See</w:t>
      </w:r>
      <w:r w:rsidRPr="00B34A4D">
        <w:t xml:space="preserve"> </w:t>
      </w:r>
      <w:r w:rsidRPr="00B34A4D" w:rsidR="00780B46">
        <w:t>47</w:t>
      </w:r>
      <w:r w:rsidRPr="00B34A4D">
        <w:t xml:space="preserve"> CFR § 73.3587.</w:t>
      </w:r>
    </w:p>
  </w:footnote>
  <w:footnote w:id="47">
    <w:p w:rsidR="00B24954" w:rsidRPr="00B34A4D" w:rsidP="00646F55" w14:paraId="22FF3B8A" w14:textId="77777777">
      <w:pPr>
        <w:pStyle w:val="FootnoteText"/>
      </w:pPr>
      <w:r w:rsidRPr="00B34A4D">
        <w:rPr>
          <w:rStyle w:val="FootnoteReference"/>
        </w:rPr>
        <w:footnoteRef/>
      </w:r>
      <w:r w:rsidRPr="00B34A4D">
        <w:t xml:space="preserve"> </w:t>
      </w:r>
      <w:r w:rsidRPr="00B34A4D">
        <w:rPr>
          <w:i/>
          <w:iCs/>
        </w:rPr>
        <w:t>See</w:t>
      </w:r>
      <w:r w:rsidRPr="00B34A4D">
        <w:t xml:space="preserve"> Petition at 6-9, Appx A, Declaration of Michael Hartmann.</w:t>
      </w:r>
    </w:p>
  </w:footnote>
  <w:footnote w:id="48">
    <w:p w:rsidR="0030163B" w:rsidRPr="00B34A4D" w:rsidP="00646F55" w14:paraId="79620392" w14:textId="5C12ACB4">
      <w:pPr>
        <w:pStyle w:val="FootnoteText"/>
      </w:pPr>
      <w:r w:rsidRPr="00B34A4D">
        <w:rPr>
          <w:rStyle w:val="FootnoteReference"/>
        </w:rPr>
        <w:footnoteRef/>
      </w:r>
      <w:r w:rsidRPr="00B34A4D">
        <w:t xml:space="preserve"> 47 CFR § 73.3587.</w:t>
      </w:r>
    </w:p>
  </w:footnote>
  <w:footnote w:id="49">
    <w:p w:rsidR="00A16998" w:rsidRPr="00B34A4D" w:rsidP="00646F55" w14:paraId="3DB7D776" w14:textId="77777777">
      <w:pPr>
        <w:pStyle w:val="FootnoteText"/>
      </w:pPr>
      <w:r w:rsidRPr="00B34A4D">
        <w:rPr>
          <w:rStyle w:val="FootnoteReference"/>
        </w:rPr>
        <w:footnoteRef/>
      </w:r>
      <w:r w:rsidRPr="00B34A4D">
        <w:t xml:space="preserve"> </w:t>
      </w:r>
      <w:bookmarkStart w:id="0" w:name="_Hlk216883754"/>
      <w:r w:rsidRPr="00B34A4D">
        <w:t>47 U.S.C. § 310(d)</w:t>
      </w:r>
      <w:bookmarkEnd w:id="0"/>
      <w:r w:rsidRPr="00B34A4D">
        <w:t xml:space="preserve">.  </w:t>
      </w:r>
    </w:p>
  </w:footnote>
  <w:footnote w:id="50">
    <w:p w:rsidR="00A16998" w:rsidRPr="00B34A4D" w:rsidP="00646F55" w14:paraId="50D1ADBF" w14:textId="77777777">
      <w:pPr>
        <w:pStyle w:val="FootnoteText"/>
        <w:widowControl w:val="0"/>
      </w:pPr>
      <w:r w:rsidRPr="00B34A4D">
        <w:rPr>
          <w:rStyle w:val="FootnoteReference"/>
        </w:rPr>
        <w:footnoteRef/>
      </w:r>
      <w:r w:rsidRPr="00B34A4D">
        <w:t xml:space="preserve"> </w:t>
      </w:r>
      <w:r w:rsidRPr="00B34A4D">
        <w:rPr>
          <w:i/>
          <w:iCs/>
        </w:rPr>
        <w:t>Applications for Consent to the Transfer of Control of Paramount Global</w:t>
      </w:r>
      <w:r w:rsidRPr="00B34A4D">
        <w:t xml:space="preserve">, Memorandum Opinion and Order, 40 FCC Rcd 5689, 5701, para. 25 (2025).  </w:t>
      </w:r>
    </w:p>
  </w:footnote>
  <w:footnote w:id="51">
    <w:p w:rsidR="00A16998" w:rsidRPr="00B34A4D" w:rsidP="00646F55" w14:paraId="17035719" w14:textId="77777777">
      <w:pPr>
        <w:pStyle w:val="FootnoteText"/>
        <w:widowControl w:val="0"/>
      </w:pPr>
      <w:r w:rsidRPr="00B34A4D">
        <w:rPr>
          <w:rStyle w:val="FootnoteReference"/>
        </w:rPr>
        <w:footnoteRef/>
      </w:r>
      <w:r w:rsidRPr="00B34A4D">
        <w:t xml:space="preserve"> </w:t>
      </w:r>
      <w:r w:rsidRPr="00B34A4D">
        <w:rPr>
          <w:i/>
          <w:iCs/>
        </w:rPr>
        <w:t>Id.</w:t>
      </w:r>
    </w:p>
  </w:footnote>
  <w:footnote w:id="52">
    <w:p w:rsidR="002B3388" w:rsidRPr="00B34A4D" w:rsidP="00646F55" w14:paraId="108B1073" w14:textId="77777777">
      <w:pPr>
        <w:pStyle w:val="FootnoteText"/>
      </w:pPr>
      <w:r w:rsidRPr="00B34A4D">
        <w:rPr>
          <w:rStyle w:val="FootnoteReference"/>
        </w:rPr>
        <w:footnoteRef/>
      </w:r>
      <w:r w:rsidRPr="00B34A4D">
        <w:t xml:space="preserve"> 47 CFR § 1.3.</w:t>
      </w:r>
    </w:p>
  </w:footnote>
  <w:footnote w:id="53">
    <w:p w:rsidR="002B3388" w:rsidRPr="00B34A4D" w:rsidP="00646F55" w14:paraId="4202BE6E" w14:textId="77777777">
      <w:pPr>
        <w:pStyle w:val="FootnoteText"/>
      </w:pPr>
      <w:r w:rsidRPr="00B34A4D">
        <w:rPr>
          <w:rStyle w:val="FootnoteReference"/>
        </w:rPr>
        <w:footnoteRef/>
      </w:r>
      <w:r w:rsidRPr="00B34A4D">
        <w:t xml:space="preserve"> </w:t>
      </w:r>
      <w:r w:rsidRPr="00B34A4D">
        <w:rPr>
          <w:i/>
        </w:rPr>
        <w:t>WAIT Radio v. FCC</w:t>
      </w:r>
      <w:r w:rsidRPr="00B34A4D">
        <w:t>, 418 F.2d 1153, 1157, para. 2 (D.C. Cir. 1969).</w:t>
      </w:r>
    </w:p>
  </w:footnote>
  <w:footnote w:id="54">
    <w:p w:rsidR="002B3388" w:rsidRPr="00B34A4D" w:rsidP="00646F55" w14:paraId="7E5053B4" w14:textId="31A34D06">
      <w:pPr>
        <w:pStyle w:val="FootnoteText"/>
      </w:pPr>
      <w:r w:rsidRPr="00B34A4D">
        <w:rPr>
          <w:rStyle w:val="FootnoteReference"/>
        </w:rPr>
        <w:footnoteRef/>
      </w:r>
      <w:r w:rsidRPr="00B34A4D">
        <w:t xml:space="preserve"> </w:t>
      </w:r>
      <w:r w:rsidRPr="00B34A4D">
        <w:rPr>
          <w:i/>
          <w:iCs/>
        </w:rPr>
        <w:t>See Northeast Cellular Telephone Co. v. FCC</w:t>
      </w:r>
      <w:r w:rsidRPr="00B34A4D">
        <w:t xml:space="preserve">, 897 F.2d 1164, 1166 (citing </w:t>
      </w:r>
      <w:r w:rsidRPr="00B34A4D">
        <w:rPr>
          <w:i/>
          <w:iCs/>
        </w:rPr>
        <w:t>WAIT Radio</w:t>
      </w:r>
      <w:r w:rsidRPr="00B34A4D">
        <w:t xml:space="preserve">, 418 F.2d at 1159); </w:t>
      </w:r>
      <w:r w:rsidRPr="00B34A4D">
        <w:rPr>
          <w:i/>
          <w:iCs/>
        </w:rPr>
        <w:t>NetworkIP, LLC v. FCC</w:t>
      </w:r>
      <w:r w:rsidRPr="00B34A4D">
        <w:t>, 548 F.3d 116, 127 (D.C. Cir. 2008).</w:t>
      </w:r>
    </w:p>
  </w:footnote>
  <w:footnote w:id="55">
    <w:p w:rsidR="002B3388" w:rsidRPr="00B34A4D" w:rsidP="00646F55" w14:paraId="6AA8271C" w14:textId="77777777">
      <w:pPr>
        <w:pStyle w:val="FootnoteText"/>
      </w:pPr>
      <w:r w:rsidRPr="00B34A4D">
        <w:rPr>
          <w:rStyle w:val="FootnoteReference"/>
        </w:rPr>
        <w:footnoteRef/>
      </w:r>
      <w:r w:rsidRPr="00B34A4D">
        <w:t xml:space="preserve"> </w:t>
      </w:r>
      <w:r w:rsidRPr="00B34A4D">
        <w:rPr>
          <w:i/>
          <w:iCs/>
        </w:rPr>
        <w:t>Northeast Cellular</w:t>
      </w:r>
      <w:r w:rsidRPr="00B34A4D">
        <w:t>,</w:t>
      </w:r>
      <w:r w:rsidRPr="00B34A4D">
        <w:rPr>
          <w:i/>
          <w:iCs/>
        </w:rPr>
        <w:t xml:space="preserve"> </w:t>
      </w:r>
      <w:r w:rsidRPr="00B34A4D">
        <w:t>897 F.2d at 1166.</w:t>
      </w:r>
    </w:p>
  </w:footnote>
  <w:footnote w:id="56">
    <w:p w:rsidR="002B72E5" w:rsidRPr="00B34A4D" w:rsidP="00646F55" w14:paraId="4935C51B" w14:textId="3BD6231D">
      <w:pPr>
        <w:pStyle w:val="FootnoteText"/>
      </w:pPr>
      <w:r w:rsidRPr="00B34A4D">
        <w:rPr>
          <w:rStyle w:val="FootnoteReference"/>
        </w:rPr>
        <w:footnoteRef/>
      </w:r>
      <w:r w:rsidRPr="00B34A4D">
        <w:t xml:space="preserve"> </w:t>
      </w:r>
      <w:r w:rsidRPr="00B34A4D">
        <w:rPr>
          <w:i/>
          <w:iCs/>
        </w:rPr>
        <w:t>See</w:t>
      </w:r>
      <w:r w:rsidRPr="00B34A4D">
        <w:t xml:space="preserve"> </w:t>
      </w:r>
      <w:r w:rsidRPr="00B34A4D" w:rsidR="000F1A45">
        <w:rPr>
          <w:i/>
          <w:iCs/>
        </w:rPr>
        <w:t>Gray-Allen Seven Market Order</w:t>
      </w:r>
      <w:r w:rsidRPr="00B34A4D" w:rsidR="000F1A45">
        <w:t xml:space="preserve"> at</w:t>
      </w:r>
      <w:r w:rsidRPr="00B34A4D" w:rsidR="00780B46">
        <w:t xml:space="preserve"> </w:t>
      </w:r>
      <w:r w:rsidRPr="00B34A4D" w:rsidR="00EE1824">
        <w:t>8</w:t>
      </w:r>
      <w:r w:rsidRPr="00B34A4D" w:rsidR="00AB11F4">
        <w:t>, para. 2</w:t>
      </w:r>
      <w:r w:rsidRPr="00B34A4D" w:rsidR="00AD4014">
        <w:t>0</w:t>
      </w:r>
      <w:r w:rsidRPr="00B34A4D" w:rsidR="00780B46">
        <w:t>,</w:t>
      </w:r>
      <w:r w:rsidRPr="00B34A4D" w:rsidR="00AB11F4">
        <w:t xml:space="preserve"> n.</w:t>
      </w:r>
      <w:r w:rsidRPr="00B34A4D" w:rsidR="00AD4014">
        <w:t>55</w:t>
      </w:r>
      <w:r w:rsidRPr="00B34A4D" w:rsidR="00AB11F4">
        <w:t xml:space="preserve"> (citing</w:t>
      </w:r>
      <w:r w:rsidRPr="00B34A4D" w:rsidR="006F7E9F">
        <w:t xml:space="preserve"> </w:t>
      </w:r>
      <w:r w:rsidRPr="00B34A4D">
        <w:rPr>
          <w:i/>
          <w:iCs/>
        </w:rPr>
        <w:t xml:space="preserve">Sinclair-Cunningham-Roberts Letter Order </w:t>
      </w:r>
      <w:r w:rsidRPr="00B34A4D">
        <w:t>at 8 (“</w:t>
      </w:r>
      <w:r w:rsidRPr="00B34A4D">
        <w:rPr>
          <w:snapToGrid w:val="0"/>
          <w:kern w:val="28"/>
        </w:rPr>
        <w:t xml:space="preserve">Where the Commission has adopted a specific, numerical ownership limit, as it has with the Two-Station Limit, an applicant satisfies its initial burden of showing that the transaction is </w:t>
      </w:r>
      <w:r w:rsidRPr="00B34A4D">
        <w:t>in compliance with the Act and the Commission’s rules and policies</w:t>
      </w:r>
      <w:r w:rsidRPr="00B34A4D">
        <w:rPr>
          <w:snapToGrid w:val="0"/>
          <w:kern w:val="28"/>
        </w:rPr>
        <w:t xml:space="preserve"> related to competition and diversity by correctly certifying compliance with that limit.”)</w:t>
      </w:r>
      <w:r w:rsidRPr="00B34A4D" w:rsidR="0047758F">
        <w:rPr>
          <w:snapToGrid w:val="0"/>
          <w:kern w:val="28"/>
        </w:rPr>
        <w:t>)</w:t>
      </w:r>
      <w:r w:rsidRPr="00B34A4D">
        <w:rPr>
          <w:snapToGrid w:val="0"/>
          <w:kern w:val="28"/>
        </w:rPr>
        <w:t>.</w:t>
      </w:r>
    </w:p>
  </w:footnote>
  <w:footnote w:id="57">
    <w:p w:rsidR="002B72E5" w:rsidRPr="00B34A4D" w:rsidP="00646F55" w14:paraId="2ED781E3" w14:textId="3B0BECCC">
      <w:pPr>
        <w:pStyle w:val="FootnoteText"/>
      </w:pPr>
      <w:r w:rsidRPr="00B34A4D">
        <w:rPr>
          <w:rStyle w:val="FootnoteReference"/>
        </w:rPr>
        <w:footnoteRef/>
      </w:r>
      <w:r w:rsidRPr="00B34A4D">
        <w:t xml:space="preserve"> </w:t>
      </w:r>
      <w:r w:rsidRPr="00B34A4D" w:rsidR="0047758F">
        <w:rPr>
          <w:i/>
          <w:iCs/>
        </w:rPr>
        <w:t xml:space="preserve">Sinclair-Cunningham-Roberts Letter Order </w:t>
      </w:r>
      <w:r w:rsidRPr="00B34A4D">
        <w:t xml:space="preserve">at 8-9 (“A more detailed showing is necessary only if the applicant is seeking a waiver, if a petitioner raises cognizable potential public interest harms, or if the Commission, on its own review, determines that additional information is required to process the application.”) (internal citations omitted).  </w:t>
      </w:r>
    </w:p>
  </w:footnote>
  <w:footnote w:id="58">
    <w:p w:rsidR="00E169E8" w:rsidRPr="00B34A4D" w:rsidP="00646F55" w14:paraId="5EA61BC9" w14:textId="3C0697CC">
      <w:pPr>
        <w:pStyle w:val="FootnoteText"/>
        <w:rPr>
          <w:highlight w:val="yellow"/>
        </w:rPr>
      </w:pPr>
      <w:r w:rsidRPr="00B34A4D">
        <w:rPr>
          <w:rStyle w:val="FootnoteReference"/>
        </w:rPr>
        <w:footnoteRef/>
      </w:r>
      <w:r w:rsidRPr="00B34A4D">
        <w:t xml:space="preserve"> </w:t>
      </w:r>
      <w:r w:rsidRPr="00B34A4D" w:rsidR="002E7B21">
        <w:t xml:space="preserve">SagamoreHill Comp. Exh. at </w:t>
      </w:r>
      <w:r w:rsidRPr="00B34A4D" w:rsidR="00A7047C">
        <w:t>15</w:t>
      </w:r>
      <w:r w:rsidRPr="00B34A4D" w:rsidR="00B55EA6">
        <w:t xml:space="preserve"> </w:t>
      </w:r>
      <w:r w:rsidRPr="00B34A4D" w:rsidR="005D4661">
        <w:t xml:space="preserve">&amp; </w:t>
      </w:r>
      <w:r w:rsidRPr="00B34A4D" w:rsidR="0042096C">
        <w:t xml:space="preserve">Att. 6, Letter from </w:t>
      </w:r>
      <w:r w:rsidRPr="00B34A4D" w:rsidR="00FD12FC">
        <w:t>Gregory Guy, Tideline Partners,</w:t>
      </w:r>
      <w:r w:rsidRPr="00B34A4D" w:rsidR="00846D92">
        <w:t xml:space="preserve"> LLC,</w:t>
      </w:r>
      <w:r w:rsidRPr="00B34A4D" w:rsidR="00FD12FC">
        <w:t xml:space="preserve"> to Robert Folliard, III</w:t>
      </w:r>
      <w:r w:rsidRPr="00B34A4D" w:rsidR="00BD6DB2">
        <w:t>, at 2</w:t>
      </w:r>
      <w:r w:rsidRPr="00B34A4D" w:rsidR="00FD12FC">
        <w:t xml:space="preserve"> (dated Aug. 13, 2025) (SagamoreHill Broker Letter).</w:t>
      </w:r>
    </w:p>
  </w:footnote>
  <w:footnote w:id="59">
    <w:p w:rsidR="003573FC" w:rsidRPr="00B34A4D" w14:paraId="1B504482" w14:textId="72428E0C">
      <w:pPr>
        <w:pStyle w:val="FootnoteText"/>
      </w:pPr>
      <w:r w:rsidRPr="00B34A4D">
        <w:rPr>
          <w:rStyle w:val="FootnoteReference"/>
        </w:rPr>
        <w:footnoteRef/>
      </w:r>
      <w:r w:rsidRPr="00B34A4D">
        <w:t xml:space="preserve"> SagamoreHill Comp. Exh. at 16.</w:t>
      </w:r>
    </w:p>
  </w:footnote>
  <w:footnote w:id="60">
    <w:p w:rsidR="0006656D" w:rsidRPr="00B34A4D" w:rsidP="00646F55" w14:paraId="79C0569A" w14:textId="24272AB6">
      <w:pPr>
        <w:pStyle w:val="FootnoteText"/>
      </w:pPr>
      <w:r w:rsidRPr="00B34A4D">
        <w:rPr>
          <w:rStyle w:val="FootnoteReference"/>
        </w:rPr>
        <w:footnoteRef/>
      </w:r>
      <w:r w:rsidRPr="00B34A4D">
        <w:t xml:space="preserve"> </w:t>
      </w:r>
      <w:r w:rsidRPr="00B34A4D" w:rsidR="003573FC">
        <w:rPr>
          <w:i/>
          <w:iCs/>
        </w:rPr>
        <w:t>Id</w:t>
      </w:r>
      <w:r w:rsidRPr="00B34A4D" w:rsidR="00F113F6">
        <w:t>. at 15.</w:t>
      </w:r>
    </w:p>
  </w:footnote>
  <w:footnote w:id="61">
    <w:p w:rsidR="00E45903" w:rsidRPr="00B34A4D" w14:paraId="33116AAF" w14:textId="24E73430">
      <w:pPr>
        <w:pStyle w:val="FootnoteText"/>
      </w:pPr>
      <w:r w:rsidRPr="00B34A4D">
        <w:rPr>
          <w:rStyle w:val="FootnoteReference"/>
        </w:rPr>
        <w:footnoteRef/>
      </w:r>
      <w:r w:rsidRPr="00B34A4D">
        <w:t xml:space="preserve"> </w:t>
      </w:r>
      <w:r w:rsidRPr="00B34A4D">
        <w:rPr>
          <w:i/>
          <w:iCs/>
        </w:rPr>
        <w:t>Id</w:t>
      </w:r>
      <w:r w:rsidRPr="00B34A4D">
        <w:t>.</w:t>
      </w:r>
    </w:p>
  </w:footnote>
  <w:footnote w:id="62">
    <w:p w:rsidR="00E66CA1" w:rsidRPr="00B34A4D" w:rsidP="00646F55" w14:paraId="285312F2" w14:textId="5E5F9BF9">
      <w:pPr>
        <w:pStyle w:val="FootnoteText"/>
        <w:rPr>
          <w:highlight w:val="yellow"/>
        </w:rPr>
      </w:pPr>
      <w:r w:rsidRPr="00B34A4D">
        <w:rPr>
          <w:rStyle w:val="FootnoteReference"/>
        </w:rPr>
        <w:footnoteRef/>
      </w:r>
      <w:r w:rsidRPr="00B34A4D">
        <w:t xml:space="preserve"> </w:t>
      </w:r>
      <w:r w:rsidRPr="00B34A4D" w:rsidR="008F47F2">
        <w:rPr>
          <w:i/>
          <w:iCs/>
        </w:rPr>
        <w:t>Id</w:t>
      </w:r>
      <w:r w:rsidRPr="00B34A4D" w:rsidR="008F47F2">
        <w:t xml:space="preserve">. at 16; </w:t>
      </w:r>
      <w:r w:rsidRPr="00B34A4D" w:rsidR="001A4482">
        <w:rPr>
          <w:i/>
          <w:iCs/>
        </w:rPr>
        <w:t>Ramar Communications</w:t>
      </w:r>
      <w:r w:rsidRPr="00B34A4D">
        <w:rPr>
          <w:i/>
          <w:iCs/>
        </w:rPr>
        <w:t>, Inc. Gray Television Licensee, LLC</w:t>
      </w:r>
      <w:r w:rsidRPr="00B34A4D">
        <w:t>, Letter Order, 35 FCC Rcd 14886 (</w:t>
      </w:r>
      <w:r w:rsidRPr="00B34A4D" w:rsidR="004907A0">
        <w:t xml:space="preserve">MB </w:t>
      </w:r>
      <w:r w:rsidRPr="00B34A4D">
        <w:t>2020)</w:t>
      </w:r>
      <w:r w:rsidRPr="00B34A4D" w:rsidR="006F7A94">
        <w:t>.</w:t>
      </w:r>
      <w:r w:rsidRPr="00B34A4D" w:rsidR="00011D5A">
        <w:t xml:space="preserve">  In granting the requests for waiver herein, we are not explicitly applying the “failing” station waiver standard.</w:t>
      </w:r>
      <w:r w:rsidRPr="00B34A4D" w:rsidR="00957CC3">
        <w:t xml:space="preserve">  </w:t>
      </w:r>
      <w:r w:rsidRPr="00B34A4D" w:rsidR="005B5E7A">
        <w:rPr>
          <w:i/>
          <w:iCs/>
        </w:rPr>
        <w:t>Application for Consent to the Assignment of the License of WSWB(TV), Scranton, Pennsylvania, from MPS Media of Scranton License, LLC to WQMY Licensee, LLC</w:t>
      </w:r>
      <w:r w:rsidRPr="00B34A4D" w:rsidR="005B5E7A">
        <w:t xml:space="preserve">, Letter Order, </w:t>
      </w:r>
      <w:r w:rsidRPr="00B34A4D" w:rsidR="004144FB">
        <w:t>DA 26-387</w:t>
      </w:r>
      <w:r w:rsidRPr="00B34A4D" w:rsidR="007917B0">
        <w:t>, at 3, n.24</w:t>
      </w:r>
      <w:r w:rsidRPr="00B34A4D" w:rsidR="004144FB">
        <w:t xml:space="preserve"> (MB Apr. 21, 2026);</w:t>
      </w:r>
      <w:r w:rsidRPr="00B34A4D" w:rsidR="003D11B5">
        <w:t xml:space="preserve"> 47 CFR § 73.3555, </w:t>
      </w:r>
      <w:r w:rsidRPr="00B34A4D" w:rsidR="0069097A">
        <w:t xml:space="preserve">Note </w:t>
      </w:r>
      <w:r w:rsidRPr="00B34A4D" w:rsidR="003D11B5">
        <w:t xml:space="preserve">7; </w:t>
      </w:r>
      <w:r w:rsidRPr="00B34A4D" w:rsidR="003D11B5">
        <w:rPr>
          <w:i/>
          <w:iCs/>
        </w:rPr>
        <w:t>Review of the Commission’s Regulations Governing Television Broadcasting</w:t>
      </w:r>
      <w:r w:rsidRPr="00B34A4D" w:rsidR="003D11B5">
        <w:t>, Report and Order, 14 FCC Rcd 12903, 12939, para. 81 (1999</w:t>
      </w:r>
      <w:r w:rsidRPr="006D5E51" w:rsidR="003D11B5">
        <w:t>)</w:t>
      </w:r>
      <w:r w:rsidR="00552F22">
        <w:t xml:space="preserve"> </w:t>
      </w:r>
      <w:r w:rsidRPr="00F34115" w:rsidR="00552F22">
        <w:t>(</w:t>
      </w:r>
      <w:r w:rsidR="0024255D">
        <w:rPr>
          <w:i/>
          <w:iCs/>
        </w:rPr>
        <w:t xml:space="preserve">1999 </w:t>
      </w:r>
      <w:r w:rsidRPr="00552F22" w:rsidR="00552F22">
        <w:rPr>
          <w:i/>
          <w:iCs/>
        </w:rPr>
        <w:t>Local Ownership Order</w:t>
      </w:r>
      <w:r w:rsidRPr="00B34A4D" w:rsidR="003D11B5">
        <w:t>)</w:t>
      </w:r>
      <w:r w:rsidRPr="00B34A4D" w:rsidR="007917B0">
        <w:t>.</w:t>
      </w:r>
    </w:p>
  </w:footnote>
  <w:footnote w:id="63">
    <w:p w:rsidR="00F03CAA" w:rsidRPr="00B34A4D" w:rsidP="00646F55" w14:paraId="172C8ADB" w14:textId="0440E1CE">
      <w:pPr>
        <w:pStyle w:val="FootnoteText"/>
        <w:rPr>
          <w:highlight w:val="yellow"/>
        </w:rPr>
      </w:pPr>
      <w:r w:rsidRPr="00B34A4D">
        <w:rPr>
          <w:rStyle w:val="FootnoteReference"/>
        </w:rPr>
        <w:footnoteRef/>
      </w:r>
      <w:r w:rsidRPr="00B34A4D">
        <w:t xml:space="preserve"> SagamoreHill Comp. Exh. at 15-16.</w:t>
      </w:r>
      <w:r w:rsidRPr="00B34A4D" w:rsidR="00975A87">
        <w:t xml:space="preserve">  </w:t>
      </w:r>
      <w:r w:rsidRPr="00B34A4D" w:rsidR="00DE5F13">
        <w:t xml:space="preserve">According to Gregory Guy, </w:t>
      </w:r>
      <w:r w:rsidRPr="00B34A4D" w:rsidR="00975A87">
        <w:t>KL</w:t>
      </w:r>
      <w:r w:rsidRPr="00B34A4D" w:rsidR="00630866">
        <w:t>C</w:t>
      </w:r>
      <w:r w:rsidRPr="00B34A4D" w:rsidR="00975A87">
        <w:t>W</w:t>
      </w:r>
      <w:r w:rsidRPr="00B34A4D" w:rsidR="00630866">
        <w:t>-TV</w:t>
      </w:r>
      <w:r w:rsidRPr="00B34A4D" w:rsidR="00975A87">
        <w:t xml:space="preserve"> earned only $200,000 in local advertising</w:t>
      </w:r>
      <w:r w:rsidRPr="00B34A4D" w:rsidR="009D53EF">
        <w:t xml:space="preserve"> </w:t>
      </w:r>
      <w:r w:rsidRPr="00B34A4D" w:rsidR="00B219D1">
        <w:t xml:space="preserve">revenue in 2024, which </w:t>
      </w:r>
      <w:r w:rsidRPr="00B34A4D" w:rsidR="007917B0">
        <w:t>i</w:t>
      </w:r>
      <w:r w:rsidRPr="00B34A4D" w:rsidR="00B219D1">
        <w:t>s less than 1.0% of the share of the local vide</w:t>
      </w:r>
      <w:r w:rsidRPr="00B34A4D" w:rsidR="001066AD">
        <w:t>o advertising market in Lubbock.</w:t>
      </w:r>
      <w:r w:rsidRPr="00B34A4D" w:rsidR="00DE5F13">
        <w:t xml:space="preserve">  SagamoreHill Broker Letter at</w:t>
      </w:r>
      <w:r w:rsidRPr="00B34A4D" w:rsidR="009B6A82">
        <w:t xml:space="preserve"> 2-3.</w:t>
      </w:r>
    </w:p>
  </w:footnote>
  <w:footnote w:id="64">
    <w:p w:rsidR="00387BC5" w:rsidRPr="00B34A4D" w14:paraId="79FB2A01" w14:textId="5CA7E194">
      <w:pPr>
        <w:pStyle w:val="FootnoteText"/>
      </w:pPr>
      <w:r w:rsidRPr="00B34A4D">
        <w:rPr>
          <w:rStyle w:val="FootnoteReference"/>
        </w:rPr>
        <w:footnoteRef/>
      </w:r>
      <w:r w:rsidRPr="00B34A4D">
        <w:t xml:space="preserve"> SagamoreHill Comp. Exh. at 17.</w:t>
      </w:r>
    </w:p>
  </w:footnote>
  <w:footnote w:id="65">
    <w:p w:rsidR="00387BC5" w:rsidRPr="00B34A4D" w14:paraId="6260BC77" w14:textId="15208E68">
      <w:pPr>
        <w:pStyle w:val="FootnoteText"/>
      </w:pPr>
      <w:r w:rsidRPr="00B34A4D">
        <w:rPr>
          <w:rStyle w:val="FootnoteReference"/>
        </w:rPr>
        <w:footnoteRef/>
      </w:r>
      <w:r w:rsidRPr="00B34A4D">
        <w:t xml:space="preserve"> </w:t>
      </w:r>
      <w:r w:rsidRPr="00B34A4D">
        <w:rPr>
          <w:i/>
          <w:iCs/>
        </w:rPr>
        <w:t>Id</w:t>
      </w:r>
      <w:r w:rsidRPr="00B34A4D">
        <w:t>.</w:t>
      </w:r>
    </w:p>
  </w:footnote>
  <w:footnote w:id="66">
    <w:p w:rsidR="00387BC5" w:rsidRPr="00B34A4D" w14:paraId="1264FA55" w14:textId="0CF3BD8C">
      <w:pPr>
        <w:pStyle w:val="FootnoteText"/>
      </w:pPr>
      <w:r w:rsidRPr="00B34A4D">
        <w:rPr>
          <w:rStyle w:val="FootnoteReference"/>
        </w:rPr>
        <w:footnoteRef/>
      </w:r>
      <w:r w:rsidRPr="00B34A4D">
        <w:t xml:space="preserve"> </w:t>
      </w:r>
      <w:r w:rsidRPr="00B34A4D">
        <w:rPr>
          <w:i/>
          <w:iCs/>
        </w:rPr>
        <w:t>Id</w:t>
      </w:r>
      <w:r w:rsidRPr="00B34A4D">
        <w:t>.</w:t>
      </w:r>
    </w:p>
  </w:footnote>
  <w:footnote w:id="67">
    <w:p w:rsidR="004E2E97" w:rsidRPr="00B34A4D" w:rsidP="00646F55" w14:paraId="7DA5B653" w14:textId="6E27ED34">
      <w:pPr>
        <w:pStyle w:val="FootnoteText"/>
        <w:rPr>
          <w:highlight w:val="yellow"/>
        </w:rPr>
      </w:pPr>
      <w:r w:rsidRPr="00B34A4D">
        <w:rPr>
          <w:rStyle w:val="FootnoteReference"/>
        </w:rPr>
        <w:footnoteRef/>
      </w:r>
      <w:r w:rsidRPr="00B34A4D">
        <w:t xml:space="preserve"> </w:t>
      </w:r>
      <w:r w:rsidRPr="00B34A4D">
        <w:rPr>
          <w:i/>
          <w:iCs/>
        </w:rPr>
        <w:t>See, e.g.</w:t>
      </w:r>
      <w:r w:rsidRPr="00B34A4D">
        <w:t>,</w:t>
      </w:r>
      <w:r w:rsidRPr="00B34A4D">
        <w:rPr>
          <w:i/>
          <w:iCs/>
        </w:rPr>
        <w:t xml:space="preserve"> Application for Consent to the Assignment of the License of WRTV(TV), Indianapolis, Indiana, from Scripps Broadcasting Holdings LLC to CCB License, LLC, </w:t>
      </w:r>
      <w:r w:rsidRPr="00B34A4D">
        <w:t>Order,</w:t>
      </w:r>
      <w:r w:rsidRPr="00B34A4D">
        <w:rPr>
          <w:i/>
          <w:iCs/>
        </w:rPr>
        <w:t xml:space="preserve"> </w:t>
      </w:r>
      <w:r w:rsidRPr="00B34A4D">
        <w:t>DA 26-207, at n.27 (MB Feb. 27, 2026)</w:t>
      </w:r>
      <w:r w:rsidRPr="00B34A4D" w:rsidR="002F3CDC">
        <w:t xml:space="preserve"> (</w:t>
      </w:r>
      <w:r w:rsidRPr="00B34A4D" w:rsidR="002F3CDC">
        <w:rPr>
          <w:i/>
          <w:iCs/>
        </w:rPr>
        <w:t>Circle City Order</w:t>
      </w:r>
      <w:r w:rsidRPr="00B34A4D" w:rsidR="002F3CDC">
        <w:t>)</w:t>
      </w:r>
      <w:r w:rsidRPr="00B34A4D">
        <w:t>.</w:t>
      </w:r>
    </w:p>
  </w:footnote>
  <w:footnote w:id="68">
    <w:p w:rsidR="002162EE" w:rsidRPr="00B34A4D" w:rsidP="00646F55" w14:paraId="015087E1" w14:textId="6D73F337">
      <w:pPr>
        <w:pStyle w:val="FootnoteText"/>
      </w:pPr>
      <w:r w:rsidRPr="00B34A4D">
        <w:rPr>
          <w:rStyle w:val="FootnoteReference"/>
        </w:rPr>
        <w:footnoteRef/>
      </w:r>
      <w:r w:rsidRPr="00B34A4D">
        <w:t xml:space="preserve"> </w:t>
      </w:r>
      <w:r w:rsidRPr="00B34A4D" w:rsidR="00A63B98">
        <w:t xml:space="preserve">An independent broker’s analysis </w:t>
      </w:r>
      <w:r w:rsidRPr="00B34A4D" w:rsidR="007851B5">
        <w:t>indicates that any potential sale of</w:t>
      </w:r>
      <w:r w:rsidRPr="00B34A4D" w:rsidR="00A63B98">
        <w:t xml:space="preserve"> KJTV-TV and KCLW-TV on a stand-alone basis “likely would not identify any out-of-market buyers.”  SagamoreHill Broker Letter at 1.  </w:t>
      </w:r>
      <w:r w:rsidRPr="00B34A4D" w:rsidR="00DD5F34">
        <w:t xml:space="preserve"> </w:t>
      </w:r>
      <w:r w:rsidRPr="00B34A4D" w:rsidR="00240B86">
        <w:t xml:space="preserve">Furthermore, </w:t>
      </w:r>
      <w:r w:rsidRPr="00B34A4D" w:rsidR="0060096F">
        <w:t>“</w:t>
      </w:r>
      <w:r w:rsidRPr="00B34A4D" w:rsidR="00EF5246">
        <w:t>a</w:t>
      </w:r>
      <w:r w:rsidRPr="00B34A4D" w:rsidR="0060096F">
        <w:t>ny buyer would be acquiring assets w</w:t>
      </w:r>
      <w:r w:rsidRPr="00B34A4D" w:rsidR="002D70E2">
        <w:t xml:space="preserve">ith low potential for growing revenue, would seek to retain a barebones staff to operate the station, and face the same fierce </w:t>
      </w:r>
      <w:r w:rsidRPr="00B34A4D" w:rsidR="00DA6543">
        <w:t>competition from other in-market stations.”</w:t>
      </w:r>
      <w:r w:rsidRPr="00B34A4D" w:rsidR="00240B86">
        <w:t xml:space="preserve">  SagamoreHill Broker Letter at 3.</w:t>
      </w:r>
    </w:p>
  </w:footnote>
  <w:footnote w:id="69">
    <w:p w:rsidR="00D23E8F" w:rsidRPr="00B34A4D" w:rsidP="00646F55" w14:paraId="53617322" w14:textId="46F7A442">
      <w:pPr>
        <w:pStyle w:val="FootnoteText"/>
      </w:pPr>
      <w:r w:rsidRPr="00B34A4D">
        <w:rPr>
          <w:rStyle w:val="FootnoteReference"/>
        </w:rPr>
        <w:footnoteRef/>
      </w:r>
      <w:r w:rsidRPr="00B34A4D" w:rsidR="00960C4E">
        <w:t xml:space="preserve"> SagamoreHill Comp. Exh.</w:t>
      </w:r>
      <w:r w:rsidRPr="00B34A4D">
        <w:t xml:space="preserve"> at 17</w:t>
      </w:r>
      <w:r w:rsidRPr="00B34A4D" w:rsidR="00960C4E">
        <w:t>.</w:t>
      </w:r>
    </w:p>
  </w:footnote>
  <w:footnote w:id="70">
    <w:p w:rsidR="0098392A" w:rsidRPr="00B34A4D" w14:paraId="39714F9B" w14:textId="53F83BEB">
      <w:pPr>
        <w:pStyle w:val="FootnoteText"/>
      </w:pPr>
      <w:r w:rsidRPr="00B34A4D">
        <w:rPr>
          <w:rStyle w:val="FootnoteReference"/>
        </w:rPr>
        <w:footnoteRef/>
      </w:r>
      <w:r w:rsidRPr="00B34A4D">
        <w:t xml:space="preserve"> </w:t>
      </w:r>
      <w:r w:rsidRPr="00B34A4D">
        <w:rPr>
          <w:i/>
          <w:iCs/>
        </w:rPr>
        <w:t>See 2014 Quadrennial Regulatory Review</w:t>
      </w:r>
      <w:r w:rsidRPr="00F34115" w:rsidR="00F34115">
        <w:t>—</w:t>
      </w:r>
      <w:r w:rsidR="004E5553">
        <w:rPr>
          <w:i/>
          <w:iCs/>
        </w:rPr>
        <w:t>Review of the Commission’s Broadcast Ownership Rules and Other Rules Adopted Pursuant to Section 202 of the Telecommunications Act of 1996 et al</w:t>
      </w:r>
      <w:r w:rsidR="00F01513">
        <w:rPr>
          <w:i/>
          <w:iCs/>
        </w:rPr>
        <w:t>.</w:t>
      </w:r>
      <w:r w:rsidRPr="0098392A">
        <w:t>,</w:t>
      </w:r>
      <w:r w:rsidRPr="00B34A4D">
        <w:t xml:space="preserve"> MB Docket Nos. 14-50 et al., Order on Reconsideration and Notice of Proposed Rulemaking, 32 FCC Rcd. 9802, 9833, para. 71 (2017</w:t>
      </w:r>
      <w:r w:rsidRPr="0098392A">
        <w:t>)</w:t>
      </w:r>
      <w:r w:rsidR="00F01513">
        <w:t xml:space="preserve"> (</w:t>
      </w:r>
      <w:r w:rsidR="00F01513">
        <w:rPr>
          <w:i/>
          <w:iCs/>
        </w:rPr>
        <w:t>2014 Quadrennial Regulatory Review</w:t>
      </w:r>
      <w:r w:rsidRPr="00B34A4D">
        <w:t xml:space="preserve">); </w:t>
      </w:r>
      <w:r w:rsidRPr="00B34A4D">
        <w:rPr>
          <w:i/>
          <w:iCs/>
        </w:rPr>
        <w:t xml:space="preserve">2018 Quadrennial </w:t>
      </w:r>
      <w:r w:rsidR="00465EF0">
        <w:rPr>
          <w:i/>
          <w:iCs/>
        </w:rPr>
        <w:t xml:space="preserve">Regulatory </w:t>
      </w:r>
      <w:r w:rsidRPr="006D5E51">
        <w:rPr>
          <w:i/>
          <w:iCs/>
        </w:rPr>
        <w:t>Review</w:t>
      </w:r>
      <w:r w:rsidRPr="00F34115" w:rsidR="00F34115">
        <w:rPr>
          <w:i/>
          <w:iCs/>
        </w:rPr>
        <w:t>—</w:t>
      </w:r>
      <w:r w:rsidRPr="00D40582" w:rsidR="00D40582">
        <w:rPr>
          <w:i/>
          <w:iCs/>
        </w:rPr>
        <w:t>Review of the Commission’s Broadcast Ownership Rules and Other Rules Adopted Pursuant to Section 202 of the Telecommunications Act of 1996 et al.</w:t>
      </w:r>
      <w:r w:rsidRPr="0098392A">
        <w:t>,</w:t>
      </w:r>
      <w:r w:rsidRPr="00B34A4D">
        <w:t xml:space="preserve"> MB Docket No. 18-349, Report and Order, 38 FCC Rcd 12782, 12827, para. </w:t>
      </w:r>
      <w:r w:rsidRPr="0098392A">
        <w:t xml:space="preserve">81 </w:t>
      </w:r>
      <w:r w:rsidR="001D6E9C">
        <w:t>(2023) (</w:t>
      </w:r>
      <w:r w:rsidRPr="001D6E9C" w:rsidR="001D6E9C">
        <w:rPr>
          <w:i/>
          <w:iCs/>
        </w:rPr>
        <w:t>201</w:t>
      </w:r>
      <w:r w:rsidR="001D6E9C">
        <w:rPr>
          <w:i/>
          <w:iCs/>
        </w:rPr>
        <w:t>8</w:t>
      </w:r>
      <w:r w:rsidRPr="001D6E9C" w:rsidR="001D6E9C">
        <w:rPr>
          <w:i/>
          <w:iCs/>
        </w:rPr>
        <w:t xml:space="preserve"> Quadrennial Regulatory Review</w:t>
      </w:r>
      <w:r w:rsidR="001D6E9C">
        <w:t>)</w:t>
      </w:r>
      <w:r w:rsidR="006850DC">
        <w:t>,</w:t>
      </w:r>
      <w:r w:rsidR="001D6E9C">
        <w:t xml:space="preserve"> </w:t>
      </w:r>
      <w:r w:rsidRPr="006850DC" w:rsidR="006850DC">
        <w:rPr>
          <w:i/>
          <w:iCs/>
        </w:rPr>
        <w:t xml:space="preserve">vacated in part, aff'd in part, </w:t>
      </w:r>
      <w:r w:rsidRPr="00A34C72" w:rsidR="00A34C72">
        <w:rPr>
          <w:i/>
          <w:iCs/>
        </w:rPr>
        <w:t>Zimmer Radio</w:t>
      </w:r>
      <w:r w:rsidRPr="00B34A4D">
        <w:t xml:space="preserve"> (Local Television Ownership Rule “remains first and foremost competition-focused”).</w:t>
      </w:r>
    </w:p>
  </w:footnote>
  <w:footnote w:id="71">
    <w:p w:rsidR="008C53CA" w:rsidRPr="00B34A4D" w14:paraId="20784DF7" w14:textId="651CF4F4">
      <w:pPr>
        <w:pStyle w:val="FootnoteText"/>
      </w:pPr>
      <w:r w:rsidRPr="00B34A4D">
        <w:rPr>
          <w:rStyle w:val="FootnoteReference"/>
        </w:rPr>
        <w:footnoteRef/>
      </w:r>
      <w:r w:rsidRPr="00B34A4D">
        <w:t xml:space="preserve"> The Bureau approved common ownership of WBKI and WDRB in 2020 </w:t>
      </w:r>
      <w:r w:rsidRPr="00B34A4D" w:rsidR="00CB7CE6">
        <w:t>after finding that the proposed transfer satisfied the four prongs of the “failing station” waiver.</w:t>
      </w:r>
      <w:r w:rsidRPr="00B34A4D" w:rsidR="006265FA">
        <w:t xml:space="preserve">  </w:t>
      </w:r>
      <w:r w:rsidRPr="00B34A4D" w:rsidR="006265FA">
        <w:rPr>
          <w:i/>
          <w:iCs/>
        </w:rPr>
        <w:t xml:space="preserve">Independence Television Company, WDRB(DT), Louisville, KY </w:t>
      </w:r>
      <w:r w:rsidRPr="00B34A4D" w:rsidR="00315571">
        <w:rPr>
          <w:i/>
          <w:iCs/>
        </w:rPr>
        <w:t xml:space="preserve">and </w:t>
      </w:r>
      <w:r w:rsidRPr="00B34A4D" w:rsidR="006265FA">
        <w:rPr>
          <w:i/>
          <w:iCs/>
        </w:rPr>
        <w:t>WBKI(DT), Salem, Indiana</w:t>
      </w:r>
      <w:r w:rsidRPr="00B34A4D" w:rsidR="006265FA">
        <w:t>, File Nos. BTCCDT-20200221AAG and AAH, Letter Order (MB May 1, 2020).  Block subsidiary Independence Television Company (ITC) acquired WBKI in 2001 pursuant to “an unbuilt station waiver” of the Local Television Ownership Rule.  Since that time, WBKI was constructed and commenced operations, requiring ITC to</w:t>
      </w:r>
      <w:r w:rsidRPr="00B34A4D" w:rsidR="001447B1">
        <w:t xml:space="preserve"> then</w:t>
      </w:r>
      <w:r w:rsidRPr="00B34A4D" w:rsidR="006265FA">
        <w:t xml:space="preserve"> seek</w:t>
      </w:r>
      <w:r w:rsidRPr="00B34A4D" w:rsidR="001447B1">
        <w:t xml:space="preserve"> in 2020</w:t>
      </w:r>
      <w:r w:rsidRPr="00B34A4D" w:rsidR="006265FA">
        <w:t xml:space="preserve"> a “failing station” waiver for common ownership to continue.  </w:t>
      </w:r>
      <w:r w:rsidRPr="00B34A4D" w:rsidR="006265FA">
        <w:rPr>
          <w:i/>
          <w:iCs/>
        </w:rPr>
        <w:t>Id</w:t>
      </w:r>
      <w:r w:rsidRPr="00B34A4D" w:rsidR="006265FA">
        <w:t>. at 2.</w:t>
      </w:r>
    </w:p>
  </w:footnote>
  <w:footnote w:id="72">
    <w:p w:rsidR="0051034F" w:rsidRPr="00B34A4D" w:rsidP="00646F55" w14:paraId="61715DCE" w14:textId="3BB74B51">
      <w:pPr>
        <w:pStyle w:val="FootnoteText"/>
        <w:rPr>
          <w:highlight w:val="yellow"/>
        </w:rPr>
      </w:pPr>
      <w:r w:rsidRPr="00B34A4D">
        <w:rPr>
          <w:rStyle w:val="FootnoteReference"/>
        </w:rPr>
        <w:footnoteRef/>
      </w:r>
      <w:r w:rsidRPr="00B34A4D">
        <w:t xml:space="preserve"> Block </w:t>
      </w:r>
      <w:r w:rsidRPr="00B34A4D" w:rsidR="00C35289">
        <w:t xml:space="preserve">Comp. Exh. </w:t>
      </w:r>
      <w:r w:rsidRPr="00B34A4D">
        <w:t>at 6.</w:t>
      </w:r>
    </w:p>
  </w:footnote>
  <w:footnote w:id="73">
    <w:p w:rsidR="009223E2" w:rsidRPr="00B34A4D" w:rsidP="00646F55" w14:paraId="2DC35D59" w14:textId="69B135DE">
      <w:pPr>
        <w:pStyle w:val="FootnoteText"/>
      </w:pPr>
      <w:r w:rsidRPr="00B34A4D">
        <w:rPr>
          <w:rStyle w:val="FootnoteReference"/>
        </w:rPr>
        <w:footnoteRef/>
      </w:r>
      <w:r w:rsidRPr="00B34A4D">
        <w:t xml:space="preserve"> </w:t>
      </w:r>
      <w:r w:rsidRPr="00B34A4D" w:rsidR="007917B0">
        <w:rPr>
          <w:i/>
          <w:iCs/>
        </w:rPr>
        <w:t>Id</w:t>
      </w:r>
      <w:r w:rsidRPr="00B34A4D" w:rsidR="007917B0">
        <w:t>.</w:t>
      </w:r>
      <w:r w:rsidRPr="00B34A4D" w:rsidR="00FA0DD3">
        <w:t xml:space="preserve"> at 5 &amp; n.</w:t>
      </w:r>
      <w:r w:rsidRPr="00B34A4D" w:rsidR="003C2054">
        <w:t>17</w:t>
      </w:r>
      <w:r w:rsidRPr="00B34A4D" w:rsidR="00AE5516">
        <w:t xml:space="preserve">; </w:t>
      </w:r>
      <w:r w:rsidRPr="00B34A4D" w:rsidR="007917B0">
        <w:rPr>
          <w:i/>
          <w:iCs/>
        </w:rPr>
        <w:t>id</w:t>
      </w:r>
      <w:r w:rsidRPr="00B34A4D" w:rsidR="00AE5516">
        <w:t xml:space="preserve">., Att. </w:t>
      </w:r>
      <w:r w:rsidRPr="00B34A4D" w:rsidR="005716E7">
        <w:t>8</w:t>
      </w:r>
      <w:r w:rsidRPr="00B34A4D" w:rsidR="00AE5516">
        <w:t>, Letter from Gregory Guy, Tideline Partners,</w:t>
      </w:r>
      <w:r w:rsidRPr="00B34A4D" w:rsidR="0086409C">
        <w:t xml:space="preserve"> LLC,</w:t>
      </w:r>
      <w:r w:rsidRPr="00B34A4D" w:rsidR="00AE5516">
        <w:t xml:space="preserve"> to Robert Folliard, III </w:t>
      </w:r>
      <w:r w:rsidRPr="00B34A4D" w:rsidR="00CD2C23">
        <w:t xml:space="preserve">at 2 </w:t>
      </w:r>
      <w:r w:rsidRPr="00B34A4D" w:rsidR="00AE5516">
        <w:t>(dated Aug. 15, 2025) (Block Broker Letter)</w:t>
      </w:r>
      <w:r w:rsidRPr="00B34A4D" w:rsidR="00FA0DD3">
        <w:t>.  The Block Applicants submit</w:t>
      </w:r>
      <w:r w:rsidRPr="00B34A4D" w:rsidR="00245932">
        <w:t xml:space="preserve"> that</w:t>
      </w:r>
      <w:r w:rsidRPr="00B34A4D" w:rsidR="00FA0DD3">
        <w:t xml:space="preserve"> </w:t>
      </w:r>
      <w:r w:rsidRPr="00B34A4D" w:rsidR="00245932">
        <w:t>WBKI is the sixth-ranked station in the market</w:t>
      </w:r>
      <w:r w:rsidRPr="00B34A4D" w:rsidR="00D31B25">
        <w:t>, but concede that “</w:t>
      </w:r>
      <w:r w:rsidRPr="00B34A4D" w:rsidR="00054A6F">
        <w:t xml:space="preserve">[u]nder Nielsen’s methodology, </w:t>
      </w:r>
      <w:r w:rsidRPr="00B34A4D" w:rsidR="00D31B25">
        <w:t>the fifth-ranked station is not a s</w:t>
      </w:r>
      <w:r w:rsidRPr="00B34A4D" w:rsidR="00054A6F">
        <w:t>t</w:t>
      </w:r>
      <w:r w:rsidRPr="00B34A4D" w:rsidR="00D31B25">
        <w:t>and</w:t>
      </w:r>
      <w:r w:rsidRPr="00B34A4D" w:rsidR="00054A6F">
        <w:t xml:space="preserve">alone station but the MeTV multicast stream broadcast” on another station.  </w:t>
      </w:r>
      <w:r w:rsidRPr="00B34A4D" w:rsidR="00EB3F76">
        <w:t xml:space="preserve">However, the Commission’s methodology </w:t>
      </w:r>
      <w:r w:rsidRPr="00B34A4D" w:rsidR="00BA1F33">
        <w:t xml:space="preserve">does not </w:t>
      </w:r>
      <w:r w:rsidRPr="00B34A4D" w:rsidR="00BA2053">
        <w:t xml:space="preserve">rank a multicast stream as a </w:t>
      </w:r>
      <w:r w:rsidRPr="00B34A4D" w:rsidR="00EB3F76">
        <w:t xml:space="preserve">station, </w:t>
      </w:r>
      <w:r w:rsidRPr="00B34A4D" w:rsidR="00BA2053">
        <w:t xml:space="preserve">and we therefore treat </w:t>
      </w:r>
      <w:r w:rsidRPr="00B34A4D" w:rsidR="00EB3F76">
        <w:t xml:space="preserve">WBKI </w:t>
      </w:r>
      <w:r w:rsidRPr="00B34A4D" w:rsidR="00BA2053">
        <w:t>as</w:t>
      </w:r>
      <w:r w:rsidRPr="00B34A4D" w:rsidR="00EB3F76">
        <w:t xml:space="preserve"> the fifth-ranked station.</w:t>
      </w:r>
    </w:p>
  </w:footnote>
  <w:footnote w:id="74">
    <w:p w:rsidR="00B16CEB" w:rsidRPr="00B34A4D" w:rsidP="00646F55" w14:paraId="02CF7B9D" w14:textId="3E1BE654">
      <w:pPr>
        <w:pStyle w:val="FootnoteText"/>
        <w:rPr>
          <w:highlight w:val="yellow"/>
        </w:rPr>
      </w:pPr>
      <w:r w:rsidRPr="00B34A4D">
        <w:rPr>
          <w:rStyle w:val="FootnoteReference"/>
        </w:rPr>
        <w:footnoteRef/>
      </w:r>
      <w:r w:rsidRPr="00B34A4D">
        <w:t xml:space="preserve"> </w:t>
      </w:r>
      <w:r w:rsidRPr="00B34A4D" w:rsidR="007917B0">
        <w:t>Block Comp. Exh.</w:t>
      </w:r>
      <w:r w:rsidRPr="00B34A4D">
        <w:t xml:space="preserve"> at 6.</w:t>
      </w:r>
    </w:p>
  </w:footnote>
  <w:footnote w:id="75">
    <w:p w:rsidR="001B014C" w:rsidRPr="00B34A4D" w14:paraId="0DDB1586" w14:textId="5764D46E">
      <w:pPr>
        <w:pStyle w:val="FootnoteText"/>
      </w:pPr>
      <w:r w:rsidRPr="00B34A4D">
        <w:rPr>
          <w:rStyle w:val="FootnoteReference"/>
        </w:rPr>
        <w:footnoteRef/>
      </w:r>
      <w:r w:rsidRPr="00B34A4D">
        <w:t xml:space="preserve"> </w:t>
      </w:r>
      <w:r w:rsidRPr="00B34A4D" w:rsidR="006B6678">
        <w:rPr>
          <w:i/>
          <w:iCs/>
        </w:rPr>
        <w:t>Id</w:t>
      </w:r>
      <w:r w:rsidRPr="00B34A4D">
        <w:t>. at 6.</w:t>
      </w:r>
    </w:p>
  </w:footnote>
  <w:footnote w:id="76">
    <w:p w:rsidR="00694A71" w:rsidRPr="00B34A4D" w:rsidP="00694A71" w14:paraId="59A58007" w14:textId="77777777">
      <w:pPr>
        <w:pStyle w:val="FootnoteText"/>
      </w:pPr>
      <w:r w:rsidRPr="00B34A4D">
        <w:rPr>
          <w:rStyle w:val="FootnoteReference"/>
        </w:rPr>
        <w:footnoteRef/>
      </w:r>
      <w:r w:rsidRPr="00B34A4D">
        <w:t xml:space="preserve"> </w:t>
      </w:r>
      <w:r w:rsidRPr="00B34A4D">
        <w:rPr>
          <w:i/>
          <w:iCs/>
        </w:rPr>
        <w:t>Id</w:t>
      </w:r>
      <w:r w:rsidRPr="00B34A4D">
        <w:t>. at 9.</w:t>
      </w:r>
    </w:p>
  </w:footnote>
  <w:footnote w:id="77">
    <w:p w:rsidR="00694A71" w:rsidRPr="00B34A4D" w:rsidP="00694A71" w14:paraId="3D2D6329" w14:textId="77777777">
      <w:pPr>
        <w:pStyle w:val="FootnoteText"/>
      </w:pPr>
      <w:r w:rsidRPr="00B34A4D">
        <w:rPr>
          <w:rStyle w:val="FootnoteReference"/>
        </w:rPr>
        <w:footnoteRef/>
      </w:r>
      <w:r w:rsidRPr="00B34A4D">
        <w:t xml:space="preserve"> </w:t>
      </w:r>
      <w:r w:rsidRPr="00B34A4D">
        <w:rPr>
          <w:i/>
          <w:iCs/>
        </w:rPr>
        <w:t>Id.</w:t>
      </w:r>
      <w:r w:rsidRPr="00B34A4D">
        <w:t xml:space="preserve"> at 7.</w:t>
      </w:r>
    </w:p>
  </w:footnote>
  <w:footnote w:id="78">
    <w:p w:rsidR="00C54D86" w:rsidRPr="00B34A4D" w14:paraId="7B432829" w14:textId="2A8A85F4">
      <w:pPr>
        <w:pStyle w:val="FootnoteText"/>
      </w:pPr>
      <w:r w:rsidRPr="00B34A4D">
        <w:rPr>
          <w:rStyle w:val="FootnoteReference"/>
        </w:rPr>
        <w:footnoteRef/>
      </w:r>
      <w:r w:rsidRPr="00B34A4D">
        <w:t xml:space="preserve"> </w:t>
      </w:r>
      <w:r w:rsidRPr="00B34A4D">
        <w:rPr>
          <w:i/>
          <w:iCs/>
        </w:rPr>
        <w:t>Id</w:t>
      </w:r>
      <w:r w:rsidRPr="00B34A4D">
        <w:t>. at 8.</w:t>
      </w:r>
    </w:p>
  </w:footnote>
  <w:footnote w:id="79">
    <w:p w:rsidR="00CF7B7B" w:rsidRPr="00B34A4D" w14:paraId="43A48A5B" w14:textId="4E6C694D">
      <w:pPr>
        <w:pStyle w:val="FootnoteText"/>
      </w:pPr>
      <w:r w:rsidRPr="00B34A4D">
        <w:rPr>
          <w:rStyle w:val="FootnoteReference"/>
        </w:rPr>
        <w:footnoteRef/>
      </w:r>
      <w:r w:rsidRPr="00B34A4D">
        <w:t xml:space="preserve"> 47 CFR § 73.3555, </w:t>
      </w:r>
      <w:r w:rsidRPr="00B34A4D" w:rsidR="0069097A">
        <w:t xml:space="preserve">Note </w:t>
      </w:r>
      <w:r w:rsidRPr="00B34A4D">
        <w:t xml:space="preserve">7; </w:t>
      </w:r>
      <w:r w:rsidRPr="0024255D" w:rsidR="0024255D">
        <w:rPr>
          <w:i/>
          <w:iCs/>
        </w:rPr>
        <w:t>1999 Local Ownership</w:t>
      </w:r>
      <w:r w:rsidRPr="00914955">
        <w:t xml:space="preserve"> </w:t>
      </w:r>
      <w:r w:rsidRPr="00150E4F">
        <w:rPr>
          <w:i/>
          <w:iCs/>
        </w:rPr>
        <w:t>Order</w:t>
      </w:r>
      <w:r w:rsidRPr="00B34A4D">
        <w:t xml:space="preserve">, 14 FCC Rcd </w:t>
      </w:r>
      <w:r w:rsidR="007E3D17">
        <w:t>at</w:t>
      </w:r>
      <w:r w:rsidRPr="00B34A4D">
        <w:t xml:space="preserve"> 12939, para. 81 (establishing the presumptive “failing” station waiver standard).  We</w:t>
      </w:r>
      <w:r w:rsidRPr="00B34A4D" w:rsidR="005B5535">
        <w:t xml:space="preserve"> again</w:t>
      </w:r>
      <w:r w:rsidRPr="00B34A4D">
        <w:t xml:space="preserve"> note that in granting the request for waiver herein, we are not explicitly applying the “failing” station waiver standard.</w:t>
      </w:r>
    </w:p>
  </w:footnote>
  <w:footnote w:id="80">
    <w:p w:rsidR="007D129C" w:rsidRPr="00B34A4D" w14:paraId="44DDEF6B" w14:textId="54CA4A85">
      <w:pPr>
        <w:pStyle w:val="FootnoteText"/>
      </w:pPr>
      <w:r w:rsidRPr="00B34A4D">
        <w:rPr>
          <w:rStyle w:val="FootnoteReference"/>
        </w:rPr>
        <w:footnoteRef/>
      </w:r>
      <w:r w:rsidRPr="00B34A4D">
        <w:t xml:space="preserve"> Block Comp. Exh. at 11.</w:t>
      </w:r>
    </w:p>
  </w:footnote>
  <w:footnote w:id="81">
    <w:p w:rsidR="00E76A95" w:rsidRPr="00B34A4D" w14:paraId="7ED36396" w14:textId="194DAC94">
      <w:pPr>
        <w:pStyle w:val="FootnoteText"/>
      </w:pPr>
      <w:r w:rsidRPr="00B34A4D">
        <w:rPr>
          <w:rStyle w:val="FootnoteReference"/>
        </w:rPr>
        <w:footnoteRef/>
      </w:r>
      <w:r w:rsidRPr="00B34A4D">
        <w:t xml:space="preserve"> </w:t>
      </w:r>
      <w:r w:rsidRPr="00B34A4D" w:rsidR="009D43BB">
        <w:rPr>
          <w:i/>
          <w:iCs/>
        </w:rPr>
        <w:t>Id</w:t>
      </w:r>
      <w:r w:rsidRPr="00B34A4D" w:rsidR="009D43BB">
        <w:t>. at 10.</w:t>
      </w:r>
    </w:p>
  </w:footnote>
  <w:footnote w:id="82">
    <w:p w:rsidR="009D43BB" w:rsidRPr="00B34A4D" w14:paraId="1C967389" w14:textId="4BDF3070">
      <w:pPr>
        <w:pStyle w:val="FootnoteText"/>
      </w:pPr>
      <w:r w:rsidRPr="00B34A4D">
        <w:rPr>
          <w:rStyle w:val="FootnoteReference"/>
        </w:rPr>
        <w:footnoteRef/>
      </w:r>
      <w:r w:rsidRPr="00B34A4D">
        <w:t xml:space="preserve"> </w:t>
      </w:r>
      <w:r w:rsidRPr="00B34A4D">
        <w:rPr>
          <w:i/>
          <w:iCs/>
        </w:rPr>
        <w:t>Id</w:t>
      </w:r>
      <w:r w:rsidRPr="00B34A4D">
        <w:t>.</w:t>
      </w:r>
    </w:p>
  </w:footnote>
  <w:footnote w:id="83">
    <w:p w:rsidR="005E47C6" w:rsidRPr="00B34A4D" w14:paraId="42604298" w14:textId="760900DA">
      <w:pPr>
        <w:pStyle w:val="FootnoteText"/>
      </w:pPr>
      <w:r w:rsidRPr="00B34A4D">
        <w:rPr>
          <w:rStyle w:val="FootnoteReference"/>
        </w:rPr>
        <w:footnoteRef/>
      </w:r>
      <w:r w:rsidRPr="00B34A4D">
        <w:t xml:space="preserve"> </w:t>
      </w:r>
      <w:r w:rsidRPr="00B34A4D">
        <w:rPr>
          <w:i/>
          <w:iCs/>
        </w:rPr>
        <w:t>Id</w:t>
      </w:r>
      <w:r w:rsidRPr="00B34A4D">
        <w:t>. at 11.</w:t>
      </w:r>
    </w:p>
  </w:footnote>
  <w:footnote w:id="84">
    <w:p w:rsidR="005B0D6C" w:rsidRPr="00B34A4D" w:rsidP="00646F55" w14:paraId="7F1255D0" w14:textId="4F5FED32">
      <w:pPr>
        <w:pStyle w:val="FootnoteText"/>
      </w:pPr>
      <w:r w:rsidRPr="00B34A4D">
        <w:rPr>
          <w:rStyle w:val="FootnoteReference"/>
        </w:rPr>
        <w:footnoteRef/>
      </w:r>
      <w:r w:rsidRPr="00B34A4D">
        <w:t xml:space="preserve"> </w:t>
      </w:r>
      <w:r w:rsidRPr="00B34A4D" w:rsidR="005E47C6">
        <w:rPr>
          <w:i/>
          <w:iCs/>
        </w:rPr>
        <w:t>Id</w:t>
      </w:r>
      <w:r w:rsidRPr="00B34A4D" w:rsidR="00D31835">
        <w:t>.</w:t>
      </w:r>
      <w:r w:rsidRPr="00B34A4D">
        <w:t xml:space="preserve"> at 7-8.</w:t>
      </w:r>
    </w:p>
  </w:footnote>
  <w:footnote w:id="85">
    <w:p w:rsidR="00964094" w:rsidRPr="00B34A4D" w:rsidP="00646F55" w14:paraId="55477320" w14:textId="74B0E49B">
      <w:pPr>
        <w:pStyle w:val="FootnoteText"/>
      </w:pPr>
      <w:r w:rsidRPr="00B34A4D">
        <w:rPr>
          <w:rStyle w:val="FootnoteReference"/>
        </w:rPr>
        <w:footnoteRef/>
      </w:r>
      <w:r w:rsidRPr="00B34A4D">
        <w:t xml:space="preserve"> </w:t>
      </w:r>
      <w:r w:rsidRPr="001D6818">
        <w:t>Gray Localism Commitment Letter</w:t>
      </w:r>
      <w:r w:rsidRPr="00B34A4D" w:rsidR="00EF58E6">
        <w:t xml:space="preserve"> at 2.</w:t>
      </w:r>
    </w:p>
  </w:footnote>
  <w:footnote w:id="86">
    <w:p w:rsidR="002D6AD9" w:rsidRPr="00B34A4D" w14:paraId="50F16F2E" w14:textId="59BFF0BF">
      <w:pPr>
        <w:pStyle w:val="FootnoteText"/>
      </w:pPr>
      <w:r w:rsidRPr="00B34A4D">
        <w:rPr>
          <w:rStyle w:val="FootnoteReference"/>
        </w:rPr>
        <w:footnoteRef/>
      </w:r>
      <w:r w:rsidRPr="00B34A4D">
        <w:t xml:space="preserve"> Block Comp. Exh. at 8.</w:t>
      </w:r>
    </w:p>
  </w:footnote>
  <w:footnote w:id="87">
    <w:p w:rsidR="002D6AD9" w:rsidRPr="00B34A4D" w14:paraId="5E85FF67" w14:textId="5FCBA1FB">
      <w:pPr>
        <w:pStyle w:val="FootnoteText"/>
      </w:pPr>
      <w:r w:rsidRPr="00B34A4D">
        <w:rPr>
          <w:rStyle w:val="FootnoteReference"/>
        </w:rPr>
        <w:footnoteRef/>
      </w:r>
      <w:r w:rsidRPr="00B34A4D">
        <w:t xml:space="preserve"> </w:t>
      </w:r>
      <w:r w:rsidRPr="00B34A4D">
        <w:rPr>
          <w:i/>
          <w:iCs/>
        </w:rPr>
        <w:t>Id</w:t>
      </w:r>
      <w:r w:rsidRPr="00B34A4D">
        <w:t>.</w:t>
      </w:r>
    </w:p>
  </w:footnote>
  <w:footnote w:id="88">
    <w:p w:rsidR="00E57308" w:rsidRPr="00B34A4D" w14:paraId="361A4059" w14:textId="79CBE2D8">
      <w:pPr>
        <w:pStyle w:val="FootnoteText"/>
      </w:pPr>
      <w:r w:rsidRPr="00B34A4D">
        <w:rPr>
          <w:rStyle w:val="FootnoteReference"/>
        </w:rPr>
        <w:footnoteRef/>
      </w:r>
      <w:r w:rsidRPr="00B34A4D">
        <w:t xml:space="preserve"> </w:t>
      </w:r>
      <w:r w:rsidRPr="00B34A4D">
        <w:rPr>
          <w:i/>
          <w:iCs/>
        </w:rPr>
        <w:t>Id</w:t>
      </w:r>
      <w:r w:rsidRPr="00B34A4D">
        <w:t>.</w:t>
      </w:r>
    </w:p>
  </w:footnote>
  <w:footnote w:id="89">
    <w:p w:rsidR="00AE08D4" w:rsidRPr="00B34A4D" w:rsidP="00646F55" w14:paraId="64F29370" w14:textId="2008EC91">
      <w:pPr>
        <w:pStyle w:val="FootnoteText"/>
        <w:rPr>
          <w:highlight w:val="yellow"/>
        </w:rPr>
      </w:pPr>
      <w:r w:rsidRPr="00B34A4D">
        <w:rPr>
          <w:rStyle w:val="FootnoteReference"/>
        </w:rPr>
        <w:footnoteRef/>
      </w:r>
      <w:r w:rsidRPr="00B34A4D">
        <w:t xml:space="preserve"> </w:t>
      </w:r>
      <w:r w:rsidRPr="00B34A4D" w:rsidR="00E57308">
        <w:rPr>
          <w:i/>
          <w:iCs/>
        </w:rPr>
        <w:t>Id</w:t>
      </w:r>
      <w:r w:rsidRPr="00B34A4D" w:rsidR="00067267">
        <w:t>.</w:t>
      </w:r>
    </w:p>
  </w:footnote>
  <w:footnote w:id="90">
    <w:p w:rsidR="00ED381A" w:rsidRPr="00B34A4D" w:rsidP="00646F55" w14:paraId="0F9D0630" w14:textId="56D5A0CB">
      <w:pPr>
        <w:pStyle w:val="FootnoteText"/>
        <w:rPr>
          <w:highlight w:val="yellow"/>
        </w:rPr>
      </w:pPr>
      <w:r w:rsidRPr="00B34A4D">
        <w:rPr>
          <w:rStyle w:val="FootnoteReference"/>
        </w:rPr>
        <w:footnoteRef/>
      </w:r>
      <w:r w:rsidRPr="00B34A4D">
        <w:t xml:space="preserve"> </w:t>
      </w:r>
      <w:r w:rsidRPr="00B34A4D" w:rsidR="00FA2703">
        <w:rPr>
          <w:i/>
          <w:iCs/>
        </w:rPr>
        <w:t>Id</w:t>
      </w:r>
      <w:r w:rsidRPr="00B34A4D" w:rsidR="00FA2703">
        <w:t>. at 8-9.</w:t>
      </w:r>
    </w:p>
  </w:footnote>
  <w:footnote w:id="91">
    <w:p w:rsidR="00D31835" w:rsidRPr="00B34A4D" w:rsidP="00646F55" w14:paraId="3AF1CEFE" w14:textId="38D0AEAF">
      <w:pPr>
        <w:pStyle w:val="FootnoteText"/>
        <w:rPr>
          <w:highlight w:val="yellow"/>
        </w:rPr>
      </w:pPr>
      <w:r w:rsidRPr="00B34A4D">
        <w:rPr>
          <w:rStyle w:val="FootnoteReference"/>
        </w:rPr>
        <w:footnoteRef/>
      </w:r>
      <w:r w:rsidRPr="00B34A4D">
        <w:t xml:space="preserve"> </w:t>
      </w:r>
      <w:r w:rsidRPr="00B34A4D" w:rsidR="00421CCE">
        <w:rPr>
          <w:i/>
          <w:iCs/>
        </w:rPr>
        <w:t>Id</w:t>
      </w:r>
      <w:r w:rsidRPr="00B34A4D" w:rsidR="00421CCE">
        <w:t>. at 9.</w:t>
      </w:r>
    </w:p>
  </w:footnote>
  <w:footnote w:id="92">
    <w:p w:rsidR="00857FD5" w:rsidRPr="00B34A4D" w:rsidP="00646F55" w14:paraId="4C69EAE5" w14:textId="1168498D">
      <w:pPr>
        <w:pStyle w:val="FootnoteText"/>
      </w:pPr>
      <w:r w:rsidRPr="00B34A4D">
        <w:rPr>
          <w:rStyle w:val="FootnoteReference"/>
        </w:rPr>
        <w:footnoteRef/>
      </w:r>
      <w:r w:rsidRPr="00B34A4D">
        <w:t xml:space="preserve"> </w:t>
      </w:r>
      <w:r w:rsidRPr="001D6818">
        <w:t>Gray Localism Commitment Letter</w:t>
      </w:r>
      <w:r w:rsidRPr="00B34A4D">
        <w:t xml:space="preserve"> at 2-3.  As an example, Gray submits that </w:t>
      </w:r>
      <w:r w:rsidRPr="00B34A4D" w:rsidR="00D13424">
        <w:t xml:space="preserve">if </w:t>
      </w:r>
      <w:r w:rsidRPr="00B34A4D" w:rsidR="00133B4C">
        <w:t xml:space="preserve">its </w:t>
      </w:r>
      <w:r w:rsidRPr="00B34A4D" w:rsidR="00D13424">
        <w:t xml:space="preserve">WAVE post-race coverage of the Kentucky Derby </w:t>
      </w:r>
      <w:r w:rsidRPr="00B34A4D" w:rsidR="00523F52">
        <w:t xml:space="preserve">is preempted by the NBA playoffs, Gray’s potential ownership of </w:t>
      </w:r>
      <w:r w:rsidRPr="00B34A4D" w:rsidR="00475FDB">
        <w:t>the Block stations would allow Gray to shift its post-race coverage to a sister station.</w:t>
      </w:r>
    </w:p>
  </w:footnote>
  <w:footnote w:id="93">
    <w:p w:rsidR="008E2026" w:rsidRPr="00B34A4D" w:rsidP="00646F55" w14:paraId="71A9479A" w14:textId="6C6C0E6B">
      <w:pPr>
        <w:pStyle w:val="FootnoteText"/>
      </w:pPr>
      <w:r w:rsidRPr="00B34A4D">
        <w:rPr>
          <w:rStyle w:val="FootnoteReference"/>
        </w:rPr>
        <w:footnoteRef/>
      </w:r>
      <w:r w:rsidRPr="00B34A4D">
        <w:t xml:space="preserve"> </w:t>
      </w:r>
      <w:r w:rsidRPr="00B34A4D" w:rsidR="00775E13">
        <w:t>Block Comp. Exh. at 9.</w:t>
      </w:r>
    </w:p>
  </w:footnote>
  <w:footnote w:id="94">
    <w:p w:rsidR="00F12616" w:rsidRPr="00B34A4D" w:rsidP="00646F55" w14:paraId="51F90707" w14:textId="60CEA34A">
      <w:pPr>
        <w:pStyle w:val="FootnoteText"/>
        <w:rPr>
          <w:highlight w:val="yellow"/>
        </w:rPr>
      </w:pPr>
      <w:r w:rsidRPr="00B34A4D">
        <w:rPr>
          <w:rStyle w:val="FootnoteReference"/>
        </w:rPr>
        <w:footnoteRef/>
      </w:r>
      <w:r w:rsidRPr="00B34A4D">
        <w:t xml:space="preserve"> </w:t>
      </w:r>
      <w:r w:rsidRPr="00B34A4D">
        <w:rPr>
          <w:i/>
          <w:iCs/>
        </w:rPr>
        <w:t>See, e.g.</w:t>
      </w:r>
      <w:r w:rsidRPr="00B34A4D">
        <w:t>,</w:t>
      </w:r>
      <w:r w:rsidRPr="00B34A4D">
        <w:rPr>
          <w:i/>
          <w:iCs/>
        </w:rPr>
        <w:t xml:space="preserve"> </w:t>
      </w:r>
      <w:r w:rsidRPr="00B34A4D" w:rsidR="002F3CDC">
        <w:rPr>
          <w:i/>
          <w:iCs/>
        </w:rPr>
        <w:t>Circle City Order</w:t>
      </w:r>
      <w:r w:rsidRPr="00B34A4D">
        <w:t xml:space="preserve"> at n.27.</w:t>
      </w:r>
    </w:p>
  </w:footnote>
  <w:footnote w:id="95">
    <w:p w:rsidR="00F12616" w:rsidRPr="00B34A4D" w:rsidP="00646F55" w14:paraId="6D3D2272" w14:textId="19A5B263">
      <w:pPr>
        <w:pStyle w:val="FootnoteText"/>
      </w:pPr>
      <w:r w:rsidRPr="00B34A4D">
        <w:rPr>
          <w:rStyle w:val="FootnoteReference"/>
        </w:rPr>
        <w:footnoteRef/>
      </w:r>
      <w:r w:rsidRPr="00B34A4D">
        <w:t xml:space="preserve"> </w:t>
      </w:r>
      <w:r w:rsidRPr="00B34A4D">
        <w:rPr>
          <w:i/>
          <w:iCs/>
        </w:rPr>
        <w:t>See</w:t>
      </w:r>
      <w:r w:rsidRPr="00B34A4D">
        <w:t xml:space="preserve">, </w:t>
      </w:r>
      <w:r w:rsidRPr="00B34A4D">
        <w:rPr>
          <w:i/>
          <w:iCs/>
        </w:rPr>
        <w:t>e.g.</w:t>
      </w:r>
      <w:r w:rsidRPr="00B34A4D">
        <w:t xml:space="preserve">, </w:t>
      </w:r>
      <w:r w:rsidRPr="00B34A4D" w:rsidR="006F7023">
        <w:t xml:space="preserve">Block Broker Letter at </w:t>
      </w:r>
      <w:r w:rsidRPr="00B34A4D" w:rsidR="00862CCC">
        <w:t>2 (“There is no reason to believe that WBKI would be able to sell enough advertising time as a standalone station to support the station’s operations, much less to generate profit sufficient to justify a new owner’s investment.”)</w:t>
      </w:r>
      <w:r w:rsidRPr="00B34A4D" w:rsidR="00736C5D">
        <w:t>.</w:t>
      </w:r>
      <w:r w:rsidRPr="00B34A4D" w:rsidR="00423CA2">
        <w:t xml:space="preserve">  Further,</w:t>
      </w:r>
      <w:r w:rsidRPr="00B34A4D" w:rsidR="00557291">
        <w:t xml:space="preserve"> the independent broker indicates his belief that any effort to sell WBKI on a stand-alone basis “likely would not identify any out-of-market buyers” and “no out-of-market buyer would acquire the station at other than a severely depressed price.”  </w:t>
      </w:r>
      <w:r w:rsidRPr="00B34A4D" w:rsidR="00557291">
        <w:rPr>
          <w:i/>
          <w:iCs/>
        </w:rPr>
        <w:t>Id</w:t>
      </w:r>
      <w:r w:rsidRPr="00B34A4D" w:rsidR="00557291">
        <w:t>. at 1.</w:t>
      </w:r>
    </w:p>
  </w:footnote>
  <w:footnote w:id="96">
    <w:p w:rsidR="00F12616" w:rsidRPr="00B34A4D" w:rsidP="00646F55" w14:paraId="5D5F65E0" w14:textId="4AE20A67">
      <w:pPr>
        <w:pStyle w:val="FootnoteText"/>
      </w:pPr>
      <w:r w:rsidRPr="00B34A4D">
        <w:rPr>
          <w:rStyle w:val="FootnoteReference"/>
        </w:rPr>
        <w:footnoteRef/>
      </w:r>
      <w:r w:rsidRPr="00B34A4D">
        <w:t xml:space="preserve"> </w:t>
      </w:r>
      <w:r w:rsidRPr="00B34A4D" w:rsidR="00B30AA6">
        <w:t>Block Comp. Exh.</w:t>
      </w:r>
      <w:r w:rsidRPr="00B34A4D">
        <w:t xml:space="preserve"> at 1</w:t>
      </w:r>
      <w:r w:rsidRPr="00B34A4D" w:rsidR="00B30AA6">
        <w:t>1.</w:t>
      </w:r>
      <w:r w:rsidRPr="00B34A4D" w:rsidR="00EA5F15">
        <w:t xml:space="preserve"> </w:t>
      </w:r>
    </w:p>
  </w:footnote>
  <w:footnote w:id="97">
    <w:p w:rsidR="0047218D" w:rsidP="0047218D" w14:paraId="14A4687F" w14:textId="40FA8D9C">
      <w:pPr>
        <w:pStyle w:val="FootnoteText"/>
      </w:pPr>
      <w:r w:rsidRPr="00B34A4D">
        <w:rPr>
          <w:rStyle w:val="FootnoteReference"/>
        </w:rPr>
        <w:footnoteRef/>
      </w:r>
      <w:r w:rsidRPr="00B34A4D">
        <w:t xml:space="preserve"> </w:t>
      </w:r>
      <w:r w:rsidRPr="00B34A4D">
        <w:rPr>
          <w:i/>
          <w:iCs/>
        </w:rPr>
        <w:t>See 2014 Quadrennial Regulatory Review</w:t>
      </w:r>
      <w:r w:rsidRPr="00B34A4D">
        <w:t xml:space="preserve">, 32 FCC Rcd at 9833, para. 71; </w:t>
      </w:r>
      <w:r w:rsidRPr="00B34A4D">
        <w:rPr>
          <w:i/>
          <w:iCs/>
        </w:rPr>
        <w:t>2018 Quadrennial</w:t>
      </w:r>
      <w:r w:rsidRPr="00CD0B9C">
        <w:rPr>
          <w:i/>
          <w:iCs/>
        </w:rPr>
        <w:t xml:space="preserve"> </w:t>
      </w:r>
      <w:r w:rsidR="00465EF0">
        <w:rPr>
          <w:i/>
          <w:iCs/>
        </w:rPr>
        <w:t>Regulatory</w:t>
      </w:r>
      <w:r w:rsidRPr="00B34A4D">
        <w:rPr>
          <w:i/>
          <w:iCs/>
        </w:rPr>
        <w:t xml:space="preserve"> Review</w:t>
      </w:r>
      <w:r w:rsidRPr="00B34A4D">
        <w:t>, 38 FCC Rcd at 12827, para. 81 (Local Television Ownership Rule “remains first and foremost competition-focused”).</w:t>
      </w:r>
    </w:p>
  </w:footnote>
  <w:footnote w:id="98">
    <w:p w:rsidR="00AF3D35" w:rsidRPr="00510934" w:rsidP="00646F55" w14:paraId="55E17AB7" w14:textId="77777777">
      <w:pPr>
        <w:pStyle w:val="FootnoteText"/>
      </w:pPr>
      <w:r>
        <w:rPr>
          <w:rStyle w:val="FootnoteReference"/>
        </w:rPr>
        <w:footnoteRef/>
      </w:r>
      <w:r>
        <w:t xml:space="preserve"> </w:t>
      </w:r>
      <w:r>
        <w:rPr>
          <w:i/>
          <w:iCs/>
        </w:rPr>
        <w:t>See</w:t>
      </w:r>
      <w:r>
        <w:t xml:space="preserve">, </w:t>
      </w:r>
      <w:r>
        <w:rPr>
          <w:i/>
          <w:iCs/>
        </w:rPr>
        <w:t>e.g.</w:t>
      </w:r>
      <w:r>
        <w:t>, Cable Associations Objection at 9.</w:t>
      </w:r>
    </w:p>
  </w:footnote>
  <w:footnote w:id="99">
    <w:p w:rsidR="00AF3D35" w:rsidRPr="00B953A9" w:rsidP="00646F55" w14:paraId="462DA249" w14:textId="77777777">
      <w:pPr>
        <w:pStyle w:val="FootnoteText"/>
      </w:pPr>
      <w:r w:rsidRPr="00B953A9">
        <w:rPr>
          <w:rStyle w:val="FootnoteReference"/>
        </w:rPr>
        <w:footnoteRef/>
      </w:r>
      <w:r w:rsidRPr="00B953A9">
        <w:t xml:space="preserve"> </w:t>
      </w:r>
      <w:r w:rsidRPr="00B953A9">
        <w:rPr>
          <w:i/>
          <w:iCs/>
        </w:rPr>
        <w:t>Nexstar/Tribune Order</w:t>
      </w:r>
      <w:r w:rsidRPr="00B953A9">
        <w:t>, 34 FCC Rcd at 8451, para. 29.</w:t>
      </w:r>
    </w:p>
  </w:footnote>
  <w:footnote w:id="100">
    <w:p w:rsidR="00AF3D35" w:rsidRPr="00510A02" w:rsidP="00646F55" w14:paraId="5FB7A242" w14:textId="2EB38E82">
      <w:pPr>
        <w:pStyle w:val="FootnoteText"/>
      </w:pPr>
      <w:r w:rsidRPr="00B953A9">
        <w:rPr>
          <w:rStyle w:val="FootnoteReference"/>
        </w:rPr>
        <w:footnoteRef/>
      </w:r>
      <w:r>
        <w:t xml:space="preserve"> </w:t>
      </w:r>
      <w:r w:rsidRPr="00B953A9">
        <w:rPr>
          <w:i/>
          <w:iCs/>
        </w:rPr>
        <w:t>Implementation of the Satellite Home Viewer Improvement Act of 1999 Retransmission Consent Issues: Good Faith Negotiation and Exclusivity</w:t>
      </w:r>
      <w:r w:rsidRPr="00B953A9">
        <w:t>, MB Docket No. 99-363, First Report and Order, 15 FCC Rcd 5445, 5469-70, paras. 56-58 (2000)</w:t>
      </w:r>
      <w:r w:rsidR="00A34C72">
        <w:t xml:space="preserve"> </w:t>
      </w:r>
      <w:r w:rsidRPr="00B953A9">
        <w:t>(finding that “[c]onsiderations that are designed to frustrate the functioning of a competitive market” and “[c]onduct that is violative of national policies favoring competition” are not “competitive marketplace considerations”).</w:t>
      </w:r>
      <w:r>
        <w:t xml:space="preserve"> </w:t>
      </w:r>
    </w:p>
  </w:footnote>
  <w:footnote w:id="101">
    <w:p w:rsidR="00AF3D35" w:rsidRPr="00B953A9" w:rsidP="00646F55" w14:paraId="22D8B2B8" w14:textId="6E7945A4">
      <w:pPr>
        <w:pStyle w:val="FootnoteText"/>
      </w:pPr>
      <w:r w:rsidRPr="00B953A9">
        <w:rPr>
          <w:rStyle w:val="FootnoteReference"/>
        </w:rPr>
        <w:footnoteRef/>
      </w:r>
      <w:r w:rsidRPr="00B953A9">
        <w:t xml:space="preserve"> </w:t>
      </w:r>
      <w:r w:rsidRPr="00B953A9">
        <w:rPr>
          <w:i/>
          <w:iCs/>
        </w:rPr>
        <w:t>See, e.g., Implementation of Section 103 of the STELA Reauthorization Act of 2014 Totality of the Circumstances Test</w:t>
      </w:r>
      <w:r w:rsidRPr="00B953A9">
        <w:t xml:space="preserve">, MB Docket No. 15-216, Notice of Proposed Rulemaking, 30 FCC Rcd 10327, 10328, para. 2 (2015), citing S. Rep. No. 92, 102nd Cong., 1st Sess. (1991), </w:t>
      </w:r>
      <w:r w:rsidRPr="00B953A9">
        <w:rPr>
          <w:i/>
          <w:iCs/>
        </w:rPr>
        <w:t>reprinted</w:t>
      </w:r>
      <w:r w:rsidRPr="00B953A9">
        <w:t xml:space="preserve"> </w:t>
      </w:r>
      <w:r w:rsidRPr="00B953A9">
        <w:rPr>
          <w:i/>
          <w:iCs/>
        </w:rPr>
        <w:t>in</w:t>
      </w:r>
      <w:r w:rsidRPr="00B953A9">
        <w:t xml:space="preserve"> 1992 U.S.C.C.A.N. 1133, 1169.  Under this regime, broadcast television stations and MVPDs are required to “negotiate in good faith,” and it is not a violation of the duty to negotiate in good faith where a party enters into agreements “containing different terms and conditions, including price terms” with different entities, provided “such different terms and conditions are based on competitive marketplace considerations.”  </w:t>
      </w:r>
      <w:r w:rsidRPr="00B953A9">
        <w:rPr>
          <w:i/>
          <w:iCs/>
        </w:rPr>
        <w:t>See</w:t>
      </w:r>
      <w:r w:rsidRPr="00B953A9">
        <w:t xml:space="preserve"> 47 U.S.C. § 325(b)(3)(C).</w:t>
      </w:r>
    </w:p>
  </w:footnote>
  <w:footnote w:id="102">
    <w:p w:rsidR="00AF3D35" w:rsidRPr="001C014C" w:rsidP="00646F55" w14:paraId="6E4CF02B" w14:textId="69BB0BBE">
      <w:pPr>
        <w:pStyle w:val="FootnoteText"/>
      </w:pPr>
      <w:r>
        <w:rPr>
          <w:rStyle w:val="FootnoteReference"/>
        </w:rPr>
        <w:footnoteRef/>
      </w:r>
      <w:r>
        <w:t xml:space="preserve"> </w:t>
      </w:r>
      <w:r>
        <w:rPr>
          <w:i/>
          <w:iCs/>
        </w:rPr>
        <w:t>ACME Television, Inc.</w:t>
      </w:r>
      <w:r>
        <w:t>, Letter Decision, 26 FCC Rcd 5189, 5192 (MB 2011) (</w:t>
      </w:r>
      <w:r w:rsidRPr="00E511E2">
        <w:rPr>
          <w:szCs w:val="22"/>
        </w:rPr>
        <w:t>citing</w:t>
      </w:r>
      <w:r w:rsidRPr="005D1ECD">
        <w:rPr>
          <w:i/>
          <w:iCs/>
          <w:szCs w:val="22"/>
        </w:rPr>
        <w:t xml:space="preserve"> </w:t>
      </w:r>
      <w:hyperlink r:id="rId1" w:anchor="co_pp_sp_4493_6599" w:history="1">
        <w:r w:rsidRPr="001C014C">
          <w:rPr>
            <w:i/>
            <w:iCs/>
            <w:szCs w:val="22"/>
          </w:rPr>
          <w:t>Pine Bluff Radio, Inc.</w:t>
        </w:r>
        <w:r w:rsidRPr="001C014C">
          <w:rPr>
            <w:szCs w:val="22"/>
          </w:rPr>
          <w:t>, Memorandum Opinion and Order, 14 FCC Rcd 6594, 6599 (1999)</w:t>
        </w:r>
      </w:hyperlink>
      <w:r w:rsidRPr="001C014C">
        <w:rPr>
          <w:szCs w:val="22"/>
        </w:rPr>
        <w:t xml:space="preserve">; </w:t>
      </w:r>
      <w:hyperlink r:id="rId2" w:anchor="co_pp_sp_4493_11148" w:history="1">
        <w:r w:rsidRPr="001C014C">
          <w:rPr>
            <w:i/>
            <w:iCs/>
            <w:szCs w:val="22"/>
          </w:rPr>
          <w:t>Application of Great Empire Broadcasting, Inc. and Journal Broadcasting Corp.</w:t>
        </w:r>
        <w:r w:rsidRPr="001C014C">
          <w:rPr>
            <w:szCs w:val="22"/>
          </w:rPr>
          <w:t>, Memorandum Opinion and Order, 14 FCC Rcd 11145, 11148 (1999)</w:t>
        </w:r>
      </w:hyperlink>
      <w:r>
        <w:t>)</w:t>
      </w:r>
      <w:r>
        <w:rPr>
          <w:szCs w:val="22"/>
        </w:rPr>
        <w:t xml:space="preserve">.  </w:t>
      </w:r>
      <w:r>
        <w:rPr>
          <w:i/>
          <w:iCs/>
          <w:szCs w:val="22"/>
        </w:rPr>
        <w:t>See also</w:t>
      </w:r>
      <w:r w:rsidRPr="001C014C">
        <w:rPr>
          <w:szCs w:val="22"/>
        </w:rPr>
        <w:t xml:space="preserve"> </w:t>
      </w:r>
      <w:r w:rsidRPr="001C014C">
        <w:rPr>
          <w:i/>
          <w:iCs/>
          <w:szCs w:val="22"/>
        </w:rPr>
        <w:t>Community Television of Southern California v. Gottfried,</w:t>
      </w:r>
      <w:r w:rsidRPr="001C014C">
        <w:rPr>
          <w:szCs w:val="22"/>
        </w:rPr>
        <w:t xml:space="preserve"> 459 U.S. 499, 511 (1983) (“[A] rulemaking is generally a better, fairer, and more effective method of implementing a new industry wide policy than uneven application of conditions in isolated [adjudicatory] proceedings.”)</w:t>
      </w:r>
      <w:r>
        <w:rPr>
          <w:szCs w:val="22"/>
        </w:rPr>
        <w:t>.</w:t>
      </w:r>
    </w:p>
  </w:footnote>
  <w:footnote w:id="103">
    <w:p w:rsidR="00AF3D35" w:rsidRPr="00B953A9" w:rsidP="00646F55" w14:paraId="18A68BB9" w14:textId="3D7189A8">
      <w:pPr>
        <w:pStyle w:val="FootnoteText"/>
      </w:pPr>
      <w:r w:rsidRPr="00B953A9">
        <w:rPr>
          <w:rStyle w:val="FootnoteReference"/>
        </w:rPr>
        <w:footnoteRef/>
      </w:r>
      <w:r w:rsidRPr="00B953A9">
        <w:t xml:space="preserve"> </w:t>
      </w:r>
      <w:r w:rsidRPr="00B953A9">
        <w:rPr>
          <w:i/>
          <w:iCs/>
        </w:rPr>
        <w:t>See, e.g</w:t>
      </w:r>
      <w:r w:rsidRPr="00B953A9">
        <w:t xml:space="preserve">., </w:t>
      </w:r>
      <w:r w:rsidRPr="00B953A9">
        <w:rPr>
          <w:i/>
          <w:iCs/>
        </w:rPr>
        <w:t>Streaming TV Advertising is Taking Over – Here’s How to Get Ahead of the Curve</w:t>
      </w:r>
      <w:r w:rsidRPr="00B953A9">
        <w:t xml:space="preserve"> (Nov. 5, 2025), </w:t>
      </w:r>
      <w:hyperlink r:id="rId3" w:history="1">
        <w:r w:rsidRPr="00B953A9">
          <w:rPr>
            <w:rStyle w:val="Hyperlink"/>
          </w:rPr>
          <w:t>https://nationalmediaspots.com/streaming-tv-advertising-is-taking-over-heres-how-to-get-ahead-of-the-curve/</w:t>
        </w:r>
      </w:hyperlink>
      <w:r w:rsidRPr="00B953A9">
        <w:t xml:space="preserve">; </w:t>
      </w:r>
      <w:r w:rsidRPr="00B953A9">
        <w:rPr>
          <w:i/>
          <w:iCs/>
        </w:rPr>
        <w:t>Addressable TV: How Advertising is Evolving With Television</w:t>
      </w:r>
      <w:r w:rsidRPr="00B953A9">
        <w:t xml:space="preserve"> (Mar. 14, 2019),  </w:t>
      </w:r>
      <w:hyperlink r:id="rId4" w:history="1">
        <w:r w:rsidRPr="00AA0C0E" w:rsidR="009F24B0">
          <w:rPr>
            <w:rStyle w:val="Hyperlink"/>
          </w:rPr>
          <w:t>https://www.paramount.com/news/addressable-tv-how-advertising-is-evolving-with-television</w:t>
        </w:r>
      </w:hyperlink>
      <w:r w:rsidRPr="009F24B0" w:rsidR="009F24B0">
        <w:t>.</w:t>
      </w:r>
    </w:p>
  </w:footnote>
  <w:footnote w:id="104">
    <w:p w:rsidR="00CF6B22" w:rsidRPr="00B953A9" w:rsidP="00646F55" w14:paraId="708FB9CB" w14:textId="77777777">
      <w:pPr>
        <w:pStyle w:val="FootnoteText"/>
      </w:pPr>
      <w:r w:rsidRPr="00B953A9">
        <w:rPr>
          <w:rStyle w:val="FootnoteReference"/>
        </w:rPr>
        <w:footnoteRef/>
      </w:r>
      <w:r w:rsidRPr="00B953A9">
        <w:t xml:space="preserve"> </w:t>
      </w:r>
      <w:r w:rsidRPr="00B953A9">
        <w:rPr>
          <w:i/>
          <w:iCs/>
        </w:rPr>
        <w:t>See, e.g</w:t>
      </w:r>
      <w:r w:rsidRPr="00B953A9">
        <w:t>.,</w:t>
      </w:r>
      <w:r>
        <w:t xml:space="preserve"> AANHPI Objection at 3</w:t>
      </w:r>
      <w:r w:rsidRPr="00B953A9">
        <w:t>.</w:t>
      </w:r>
    </w:p>
  </w:footnote>
  <w:footnote w:id="105">
    <w:p w:rsidR="00CF6B22" w:rsidP="00646F55" w14:paraId="54D799C1" w14:textId="0F0CF9B8">
      <w:pPr>
        <w:pStyle w:val="FootnoteText"/>
      </w:pPr>
      <w:r>
        <w:rPr>
          <w:rStyle w:val="FootnoteReference"/>
        </w:rPr>
        <w:footnoteRef/>
      </w:r>
      <w:r>
        <w:t xml:space="preserve"> </w:t>
      </w:r>
      <w:r w:rsidR="00DA0B01">
        <w:t xml:space="preserve">SagamoreHill </w:t>
      </w:r>
      <w:r>
        <w:t xml:space="preserve">Comp. Exh. at </w:t>
      </w:r>
      <w:r w:rsidR="00DA0B01">
        <w:t>3</w:t>
      </w:r>
      <w:r>
        <w:t>.</w:t>
      </w:r>
    </w:p>
  </w:footnote>
  <w:footnote w:id="106">
    <w:p w:rsidR="00407A45" w:rsidRPr="00B953A9" w:rsidP="00646F55" w14:paraId="5A5AE0A3" w14:textId="4756B3FF">
      <w:pPr>
        <w:pStyle w:val="FootnoteText"/>
        <w:widowControl w:val="0"/>
      </w:pPr>
      <w:r w:rsidRPr="00B953A9">
        <w:rPr>
          <w:rStyle w:val="FootnoteReference"/>
        </w:rPr>
        <w:footnoteRef/>
      </w:r>
      <w:r w:rsidRPr="00B953A9">
        <w:t xml:space="preserve"> </w:t>
      </w:r>
      <w:r w:rsidRPr="00B953A9">
        <w:rPr>
          <w:i/>
          <w:iCs/>
        </w:rPr>
        <w:t>See</w:t>
      </w:r>
      <w:r w:rsidRPr="00B953A9">
        <w:t xml:space="preserve"> </w:t>
      </w:r>
      <w:r w:rsidRPr="00B953A9">
        <w:rPr>
          <w:i/>
          <w:iCs/>
        </w:rPr>
        <w:t xml:space="preserve">Applications Filed for the Transfer of Control of Authorizations Held by Frontier Communications Corporation, Debtor-in-Possession and Its Wholly Owned Subsidiaries et al., </w:t>
      </w:r>
      <w:r w:rsidRPr="00B953A9">
        <w:t xml:space="preserve">WC Docket No. 20-197 et al., Memorandum Opinion and Order and Declaratory Ruling, 36 FCC Rcd 291, 301, para. 25 (WCB/IB/WTB/OEA 2021); </w:t>
      </w:r>
      <w:r w:rsidRPr="00A44684" w:rsidR="00032071">
        <w:rPr>
          <w:i/>
          <w:iCs/>
        </w:rPr>
        <w:t>Applications of T-Mobile US, Inc., and Sprint Corp., for Consent to Transfer Control of Licenses and Authorizations, Applications of American H Block Wireless L.L.C., DBSD Corp., Gamma Acquisition L.L.C., and Manifest Wireless L.L.C. for Extension of Time</w:t>
      </w:r>
      <w:r w:rsidRPr="00B953A9">
        <w:t>,</w:t>
      </w:r>
      <w:r w:rsidR="009B3D63">
        <w:t xml:space="preserve"> </w:t>
      </w:r>
      <w:r w:rsidRPr="00A44684" w:rsidR="009B3D63">
        <w:t>Memorandum Opinion and Order, Declaratory Ruling, and Order of Proposed Modification</w:t>
      </w:r>
      <w:r w:rsidR="009B3D63">
        <w:t>,</w:t>
      </w:r>
      <w:r w:rsidRPr="00B953A9">
        <w:t xml:space="preserve"> </w:t>
      </w:r>
      <w:r w:rsidRPr="00B953A9">
        <w:rPr>
          <w:iCs/>
        </w:rPr>
        <w:t xml:space="preserve">34 FCC Rcd </w:t>
      </w:r>
      <w:r w:rsidR="00F41A73">
        <w:rPr>
          <w:iCs/>
        </w:rPr>
        <w:t>10578,</w:t>
      </w:r>
      <w:r w:rsidRPr="00B953A9">
        <w:t xml:space="preserve"> 10671, para. 214</w:t>
      </w:r>
      <w:r w:rsidR="00C868AB">
        <w:t xml:space="preserve"> (2019)</w:t>
      </w:r>
      <w:r w:rsidRPr="00B953A9">
        <w:t xml:space="preserve">; </w:t>
      </w:r>
      <w:r w:rsidRPr="00A44684" w:rsidR="00AD38E4">
        <w:rPr>
          <w:i/>
          <w:iCs/>
        </w:rPr>
        <w:t>Applications of Level 3 Communications, Inc. and CenturyLink, Inc. for Consent to Transfer Control of Licenses and Authorizations</w:t>
      </w:r>
      <w:r w:rsidRPr="00B953A9">
        <w:t>,</w:t>
      </w:r>
      <w:r w:rsidR="00AD38E4">
        <w:t xml:space="preserve"> Memorandum Opinion and Order,</w:t>
      </w:r>
      <w:r w:rsidRPr="00B953A9">
        <w:t xml:space="preserve"> 32 FCC Rcd </w:t>
      </w:r>
      <w:r w:rsidR="00AD38E4">
        <w:t>9581</w:t>
      </w:r>
      <w:r w:rsidR="004C38A0">
        <w:t>,</w:t>
      </w:r>
      <w:r w:rsidRPr="00B953A9">
        <w:t xml:space="preserve"> 9604, para. 50</w:t>
      </w:r>
      <w:r w:rsidR="004C38A0">
        <w:t xml:space="preserve"> (2017) </w:t>
      </w:r>
      <w:r w:rsidRPr="00B953A9">
        <w:t>(citing</w:t>
      </w:r>
      <w:r w:rsidR="0087694D">
        <w:t xml:space="preserve"> </w:t>
      </w:r>
      <w:r w:rsidRPr="00A44684" w:rsidR="00034879">
        <w:rPr>
          <w:i/>
          <w:iCs/>
        </w:rPr>
        <w:t>AT&amp;T Inc. and BellSouth Corporation Application for Transfer of Control</w:t>
      </w:r>
      <w:r w:rsidRPr="00B953A9">
        <w:t>,</w:t>
      </w:r>
      <w:r w:rsidR="00034879">
        <w:t xml:space="preserve"> WC Docket No. 06-74, Memorandum Opinion and Order,</w:t>
      </w:r>
      <w:r w:rsidRPr="00B953A9">
        <w:t xml:space="preserve"> 22 FCC Rcd</w:t>
      </w:r>
      <w:r w:rsidR="00034879">
        <w:t xml:space="preserve"> 5662,</w:t>
      </w:r>
      <w:r w:rsidRPr="00B953A9">
        <w:t xml:space="preserve"> 5761, para. 202</w:t>
      </w:r>
      <w:r w:rsidR="00034879">
        <w:t xml:space="preserve"> (2007</w:t>
      </w:r>
      <w:r w:rsidR="000F71A4">
        <w:t>)</w:t>
      </w:r>
      <w:r w:rsidRPr="00B953A9">
        <w:t xml:space="preserve">); </w:t>
      </w:r>
      <w:r w:rsidRPr="00A44684" w:rsidR="000335AB">
        <w:rPr>
          <w:i/>
          <w:iCs/>
        </w:rPr>
        <w:t>Applications of AT&amp;T Inc. and DIRECTV for Consent to Assign or Transfer Control of Licenses and Authorizations</w:t>
      </w:r>
      <w:r w:rsidRPr="00B953A9">
        <w:t>,</w:t>
      </w:r>
      <w:r w:rsidR="000335AB">
        <w:t xml:space="preserve"> Memorandum Opinion and Order,</w:t>
      </w:r>
      <w:r w:rsidRPr="00B953A9">
        <w:t xml:space="preserve"> 30 FCC Rcd</w:t>
      </w:r>
      <w:r w:rsidR="000335AB">
        <w:t xml:space="preserve"> 9131,</w:t>
      </w:r>
      <w:r w:rsidRPr="00B953A9">
        <w:t xml:space="preserve"> 9237, paras. 273-74</w:t>
      </w:r>
      <w:r w:rsidR="00B30464">
        <w:t xml:space="preserve"> (2015)</w:t>
      </w:r>
      <w:r w:rsidRPr="00B953A9">
        <w:t>.</w:t>
      </w:r>
    </w:p>
  </w:footnote>
  <w:footnote w:id="107">
    <w:p w:rsidR="00407A45" w:rsidRPr="00B953A9" w:rsidP="00646F55" w14:paraId="6B68A7A7" w14:textId="3C29DADF">
      <w:pPr>
        <w:pStyle w:val="FootnoteText"/>
      </w:pPr>
      <w:r w:rsidRPr="00B953A9">
        <w:rPr>
          <w:rStyle w:val="FootnoteReference"/>
        </w:rPr>
        <w:footnoteRef/>
      </w:r>
      <w:r w:rsidRPr="00B953A9">
        <w:t xml:space="preserve"> </w:t>
      </w:r>
      <w:r w:rsidRPr="00E0475F">
        <w:rPr>
          <w:i/>
          <w:iCs/>
        </w:rPr>
        <w:t>See</w:t>
      </w:r>
      <w:r w:rsidRPr="00E0475F">
        <w:t xml:space="preserve"> </w:t>
      </w:r>
      <w:r w:rsidRPr="006D5E51" w:rsidR="006209AE">
        <w:t xml:space="preserve">Sagamore Hill </w:t>
      </w:r>
      <w:r w:rsidRPr="00E0475F">
        <w:t xml:space="preserve">Comp. Exh. at </w:t>
      </w:r>
      <w:r w:rsidRPr="006D5E51" w:rsidR="006209AE">
        <w:t>3</w:t>
      </w:r>
      <w:r w:rsidRPr="00E0475F">
        <w:t>.</w:t>
      </w:r>
      <w:r w:rsidRPr="00B953A9">
        <w:t xml:space="preserve"> </w:t>
      </w:r>
    </w:p>
  </w:footnote>
  <w:footnote w:id="108">
    <w:p w:rsidR="00407A45" w:rsidRPr="00B953A9" w:rsidP="00646F55" w14:paraId="28F494BA" w14:textId="77777777">
      <w:pPr>
        <w:pStyle w:val="FootnoteText"/>
      </w:pPr>
      <w:r w:rsidRPr="00B953A9">
        <w:rPr>
          <w:rStyle w:val="FootnoteReference"/>
        </w:rPr>
        <w:footnoteRef/>
      </w:r>
      <w:r w:rsidRPr="00B953A9">
        <w:t xml:space="preserve"> </w:t>
      </w:r>
      <w:r w:rsidRPr="00414670">
        <w:t>Gray Localism Commitment Letter</w:t>
      </w:r>
      <w:r w:rsidRPr="00B953A9">
        <w:rPr>
          <w:i/>
          <w:iCs/>
        </w:rPr>
        <w:t xml:space="preserve">; </w:t>
      </w:r>
      <w:r>
        <w:rPr>
          <w:i/>
          <w:iCs/>
        </w:rPr>
        <w:t>s</w:t>
      </w:r>
      <w:r w:rsidRPr="00B953A9">
        <w:rPr>
          <w:i/>
          <w:iCs/>
        </w:rPr>
        <w:t>ee</w:t>
      </w:r>
      <w:r w:rsidRPr="00B953A9">
        <w:t xml:space="preserve"> </w:t>
      </w:r>
      <w:r w:rsidRPr="00320434">
        <w:t xml:space="preserve">Letter from Hilton Howell, Jr., Chairman and Chief Executive Officer, Gray Media, Inc. to Hon. Brendan Carr, Chairman, FCC, </w:t>
      </w:r>
      <w:r>
        <w:t xml:space="preserve">LMS File Nos. 0000277192 et al., </w:t>
      </w:r>
      <w:r w:rsidRPr="00320434">
        <w:t>at</w:t>
      </w:r>
      <w:r>
        <w:t xml:space="preserve"> 1-2</w:t>
      </w:r>
      <w:r w:rsidRPr="00320434">
        <w:t xml:space="preserve"> (filed </w:t>
      </w:r>
      <w:r>
        <w:t>Apr. 30</w:t>
      </w:r>
      <w:r w:rsidRPr="00320434">
        <w:t>, 2026) (</w:t>
      </w:r>
      <w:r w:rsidRPr="00414670">
        <w:t>Gray Workforce Commitment Letter</w:t>
      </w:r>
      <w:r w:rsidRPr="00320434">
        <w:t>).</w:t>
      </w:r>
    </w:p>
  </w:footnote>
  <w:footnote w:id="109">
    <w:p w:rsidR="006D04E7" w14:paraId="59ADBF7C" w14:textId="6DB76E09">
      <w:pPr>
        <w:pStyle w:val="FootnoteText"/>
      </w:pPr>
      <w:r>
        <w:rPr>
          <w:rStyle w:val="FootnoteReference"/>
        </w:rPr>
        <w:footnoteRef/>
      </w:r>
      <w:r>
        <w:t xml:space="preserve"> </w:t>
      </w:r>
      <w:r w:rsidRPr="00414670">
        <w:t>Gray Localism Commitment Letter</w:t>
      </w:r>
      <w:r>
        <w:t xml:space="preserve"> at 3.</w:t>
      </w:r>
    </w:p>
  </w:footnote>
  <w:footnote w:id="110">
    <w:p w:rsidR="006D04E7" w14:paraId="405A7BA0" w14:textId="392DA1BB">
      <w:pPr>
        <w:pStyle w:val="FootnoteText"/>
      </w:pPr>
      <w:r>
        <w:rPr>
          <w:rStyle w:val="FootnoteReference"/>
        </w:rPr>
        <w:footnoteRef/>
      </w:r>
      <w:r>
        <w:t xml:space="preserve"> </w:t>
      </w:r>
      <w:r w:rsidRPr="006D5E51">
        <w:rPr>
          <w:i/>
          <w:iCs/>
        </w:rPr>
        <w:t>Id</w:t>
      </w:r>
      <w:r>
        <w:t>.</w:t>
      </w:r>
    </w:p>
  </w:footnote>
  <w:footnote w:id="111">
    <w:p w:rsidR="00407A45" w:rsidRPr="00B953A9" w:rsidP="00646F55" w14:paraId="0B3B9CA0" w14:textId="04C0226B">
      <w:pPr>
        <w:pStyle w:val="FootnoteText"/>
        <w:widowControl w:val="0"/>
      </w:pPr>
      <w:r w:rsidRPr="002746C2">
        <w:rPr>
          <w:rStyle w:val="FootnoteReference"/>
        </w:rPr>
        <w:footnoteRef/>
      </w:r>
      <w:r w:rsidRPr="00B953A9">
        <w:t xml:space="preserve"> </w:t>
      </w:r>
      <w:r w:rsidRPr="00B953A9">
        <w:rPr>
          <w:i/>
          <w:iCs/>
        </w:rPr>
        <w:t>See</w:t>
      </w:r>
      <w:r w:rsidRPr="00B953A9">
        <w:t xml:space="preserve"> </w:t>
      </w:r>
      <w:r w:rsidRPr="00B953A9">
        <w:rPr>
          <w:i/>
          <w:iCs/>
        </w:rPr>
        <w:t>Nexstar/Tribune Order</w:t>
      </w:r>
      <w:r w:rsidRPr="00B953A9">
        <w:t xml:space="preserve">, 34 FCC Rcd at 8449-8450, para. 26; </w:t>
      </w:r>
      <w:r w:rsidRPr="00B953A9">
        <w:rPr>
          <w:i/>
        </w:rPr>
        <w:t>see also</w:t>
      </w:r>
      <w:r w:rsidRPr="00B953A9">
        <w:t xml:space="preserve"> </w:t>
      </w:r>
      <w:r w:rsidRPr="00A44684" w:rsidR="007D389F">
        <w:rPr>
          <w:i/>
          <w:iCs/>
        </w:rPr>
        <w:t>Transfer of Control of Raycom Media, Inc. to Gray Television, Inc</w:t>
      </w:r>
      <w:r w:rsidR="007D389F">
        <w:rPr>
          <w:i/>
          <w:iCs/>
        </w:rPr>
        <w:t>.</w:t>
      </w:r>
      <w:r w:rsidRPr="00B953A9">
        <w:t>,</w:t>
      </w:r>
      <w:r w:rsidR="007D389F">
        <w:t xml:space="preserve"> MB Docket No. 18-230, Memorandum Opinion and Order,</w:t>
      </w:r>
      <w:r w:rsidRPr="00B953A9">
        <w:t xml:space="preserve"> 33 FCC Rcd</w:t>
      </w:r>
      <w:r w:rsidR="007D389F">
        <w:t xml:space="preserve"> 12349,</w:t>
      </w:r>
      <w:r w:rsidRPr="00B953A9">
        <w:t xml:space="preserve"> 12356</w:t>
      </w:r>
      <w:r w:rsidR="00A34C72">
        <w:t xml:space="preserve"> </w:t>
      </w:r>
      <w:r w:rsidR="009F24B0">
        <w:t>&amp;</w:t>
      </w:r>
      <w:r w:rsidRPr="00B953A9">
        <w:t xml:space="preserve"> 12361-62, paras. 14</w:t>
      </w:r>
      <w:r w:rsidR="00A34C72">
        <w:t xml:space="preserve"> </w:t>
      </w:r>
      <w:r w:rsidR="009F24B0">
        <w:t xml:space="preserve">&amp; </w:t>
      </w:r>
      <w:r w:rsidRPr="00B953A9">
        <w:t>31</w:t>
      </w:r>
      <w:r w:rsidR="00026CCB">
        <w:t xml:space="preserve"> (2018) (</w:t>
      </w:r>
      <w:r w:rsidRPr="006D5E51" w:rsidR="00026CCB">
        <w:rPr>
          <w:i/>
          <w:iCs/>
        </w:rPr>
        <w:t>Gray-Raycom Order</w:t>
      </w:r>
      <w:r w:rsidR="00026CCB">
        <w:t>)</w:t>
      </w:r>
      <w:r w:rsidRPr="00B953A9">
        <w:t xml:space="preserve">; </w:t>
      </w:r>
      <w:r w:rsidRPr="00FF6A5F" w:rsidR="00C83D65">
        <w:rPr>
          <w:i/>
          <w:iCs/>
        </w:rPr>
        <w:t>Applications to Transfer Control of License Subsidiaries of Media General, Inc., to Nexstar Media Group, Inc</w:t>
      </w:r>
      <w:r w:rsidRPr="00FF6A5F" w:rsidR="00C83D65">
        <w:t>.</w:t>
      </w:r>
      <w:r w:rsidRPr="00B953A9">
        <w:t>,</w:t>
      </w:r>
      <w:r w:rsidR="00ED41F5">
        <w:t xml:space="preserve"> Memorandum Opinion and Order,</w:t>
      </w:r>
      <w:r w:rsidRPr="00B953A9">
        <w:t xml:space="preserve"> 32 FCC Rcd</w:t>
      </w:r>
      <w:r w:rsidR="00ED41F5">
        <w:t xml:space="preserve"> 183,</w:t>
      </w:r>
      <w:r w:rsidRPr="00B953A9">
        <w:t xml:space="preserve"> 194-196, paras. 26-29</w:t>
      </w:r>
      <w:r w:rsidR="00ED41F5">
        <w:t xml:space="preserve"> (MB/WTB 2017)</w:t>
      </w:r>
      <w:r w:rsidRPr="00B953A9">
        <w:t>.</w:t>
      </w:r>
    </w:p>
  </w:footnote>
  <w:footnote w:id="112">
    <w:p w:rsidR="00407A45" w:rsidRPr="00B953A9" w:rsidP="00646F55" w14:paraId="08F46897" w14:textId="00265C0C">
      <w:pPr>
        <w:pStyle w:val="FootnoteText"/>
        <w:widowControl w:val="0"/>
      </w:pPr>
      <w:r w:rsidRPr="002746C2">
        <w:rPr>
          <w:rStyle w:val="FootnoteReference"/>
        </w:rPr>
        <w:footnoteRef/>
      </w:r>
      <w:r w:rsidRPr="00F73667">
        <w:t xml:space="preserve"> </w:t>
      </w:r>
      <w:r w:rsidRPr="00F73667">
        <w:rPr>
          <w:i/>
          <w:iCs/>
        </w:rPr>
        <w:t>See</w:t>
      </w:r>
      <w:r w:rsidRPr="00F73667">
        <w:t xml:space="preserve"> </w:t>
      </w:r>
      <w:r w:rsidRPr="00B953A9">
        <w:rPr>
          <w:i/>
          <w:iCs/>
        </w:rPr>
        <w:t>Nexstar/Tribune Order</w:t>
      </w:r>
      <w:r w:rsidRPr="00B953A9">
        <w:t xml:space="preserve">, 34 FCC Rcd at 8450, para. 26; </w:t>
      </w:r>
      <w:r w:rsidRPr="00B953A9">
        <w:rPr>
          <w:i/>
        </w:rPr>
        <w:t>Gray</w:t>
      </w:r>
      <w:r>
        <w:rPr>
          <w:i/>
        </w:rPr>
        <w:noBreakHyphen/>
      </w:r>
      <w:r w:rsidRPr="00B953A9">
        <w:rPr>
          <w:i/>
        </w:rPr>
        <w:t>Raycom Order</w:t>
      </w:r>
      <w:r w:rsidRPr="00B953A9">
        <w:t>,</w:t>
      </w:r>
      <w:r w:rsidRPr="00B953A9">
        <w:rPr>
          <w:i/>
        </w:rPr>
        <w:t xml:space="preserve"> </w:t>
      </w:r>
      <w:r w:rsidRPr="00B953A9">
        <w:t>33 FCC Rcd</w:t>
      </w:r>
      <w:r w:rsidRPr="00B953A9">
        <w:rPr>
          <w:i/>
        </w:rPr>
        <w:t xml:space="preserve"> </w:t>
      </w:r>
      <w:r w:rsidRPr="00B953A9">
        <w:t>at 12361-62, para.</w:t>
      </w:r>
      <w:r w:rsidR="00A101D3">
        <w:t> </w:t>
      </w:r>
      <w:r w:rsidRPr="00B953A9">
        <w:t>31.</w:t>
      </w:r>
    </w:p>
  </w:footnote>
  <w:footnote w:id="113">
    <w:p w:rsidR="00407A45" w:rsidRPr="00EB365D" w:rsidP="00646F55" w14:paraId="46BE52EC" w14:textId="77777777">
      <w:pPr>
        <w:pStyle w:val="FootnoteText"/>
      </w:pPr>
      <w:r>
        <w:rPr>
          <w:rStyle w:val="FootnoteReference"/>
        </w:rPr>
        <w:footnoteRef/>
      </w:r>
      <w:r>
        <w:t xml:space="preserve"> </w:t>
      </w:r>
      <w:r w:rsidRPr="00414670">
        <w:t>Gray Localism Commitment Letter</w:t>
      </w:r>
      <w:r>
        <w:t xml:space="preserve"> at 2-3.</w:t>
      </w:r>
    </w:p>
  </w:footnote>
  <w:footnote w:id="114">
    <w:p w:rsidR="00407A45" w:rsidRPr="00B953A9" w:rsidP="00646F55" w14:paraId="0E7FF42A" w14:textId="77777777">
      <w:pPr>
        <w:pStyle w:val="FootnoteText"/>
      </w:pPr>
      <w:r w:rsidRPr="00B953A9">
        <w:rPr>
          <w:rStyle w:val="FootnoteReference"/>
        </w:rPr>
        <w:footnoteRef/>
      </w:r>
      <w:r w:rsidRPr="00B953A9">
        <w:t xml:space="preserve"> </w:t>
      </w:r>
      <w:r w:rsidRPr="00414670">
        <w:t>Gray Workforce Commitment Letter</w:t>
      </w:r>
      <w:r>
        <w:t xml:space="preserve"> at 1-3</w:t>
      </w:r>
      <w:r w:rsidRPr="00B953A9">
        <w:t>.</w:t>
      </w:r>
    </w:p>
  </w:footnote>
  <w:footnote w:id="115">
    <w:p w:rsidR="00407A45" w:rsidRPr="00B953A9" w:rsidP="00646F55" w14:paraId="5DC6AD39" w14:textId="77777777">
      <w:pPr>
        <w:pStyle w:val="FootnoteText"/>
      </w:pPr>
      <w:r w:rsidRPr="00B953A9">
        <w:rPr>
          <w:rStyle w:val="FootnoteReference"/>
        </w:rPr>
        <w:footnoteRef/>
      </w:r>
      <w:r w:rsidRPr="00B953A9">
        <w:t xml:space="preserve"> </w:t>
      </w:r>
      <w:r>
        <w:rPr>
          <w:i/>
          <w:iCs/>
        </w:rPr>
        <w:t>Id.</w:t>
      </w:r>
      <w:r w:rsidRPr="00B953A9">
        <w:t xml:space="preserve"> at 1-3.</w:t>
      </w:r>
    </w:p>
  </w:footnote>
  <w:footnote w:id="116">
    <w:p w:rsidR="00407A45" w:rsidRPr="00B953A9" w:rsidP="00646F55" w14:paraId="29F045DD" w14:textId="77777777">
      <w:pPr>
        <w:pStyle w:val="FootnoteText"/>
      </w:pPr>
      <w:r w:rsidRPr="00B953A9">
        <w:rPr>
          <w:rStyle w:val="FootnoteReference"/>
        </w:rPr>
        <w:footnoteRef/>
      </w:r>
      <w:r w:rsidRPr="00B953A9">
        <w:t xml:space="preserve"> </w:t>
      </w:r>
      <w:r w:rsidRPr="00B953A9">
        <w:rPr>
          <w:i/>
          <w:iCs/>
        </w:rPr>
        <w:t>Id</w:t>
      </w:r>
      <w:r w:rsidRPr="00B953A9">
        <w:t>.</w:t>
      </w:r>
    </w:p>
  </w:footnote>
  <w:footnote w:id="117">
    <w:p w:rsidR="00407A45" w:rsidRPr="00B953A9" w:rsidP="00646F55" w14:paraId="01B5072E" w14:textId="3C93E794">
      <w:pPr>
        <w:spacing w:after="120"/>
      </w:pPr>
      <w:r w:rsidRPr="00B953A9">
        <w:rPr>
          <w:rStyle w:val="FootnoteReference"/>
        </w:rPr>
        <w:footnoteRef/>
      </w:r>
      <w:r w:rsidRPr="00B953A9">
        <w:t xml:space="preserve"> </w:t>
      </w:r>
      <w:r w:rsidRPr="00B953A9">
        <w:rPr>
          <w:i/>
          <w:iCs/>
        </w:rPr>
        <w:t xml:space="preserve">See, e.g., </w:t>
      </w:r>
      <w:r w:rsidRPr="00FF6A5F" w:rsidR="009E5FEE">
        <w:rPr>
          <w:i/>
          <w:iCs/>
        </w:rPr>
        <w:t>Applications Filed by Qwest Communications International, Inc. and CenturyTel, Inc. d/b/a CenturyLink for Consent to Transfer Control</w:t>
      </w:r>
      <w:r w:rsidRPr="00B953A9">
        <w:t>,</w:t>
      </w:r>
      <w:r w:rsidR="003B6389">
        <w:t xml:space="preserve"> WC Docket No. 10-110, Memorandum Opinion and Order,</w:t>
      </w:r>
      <w:r w:rsidRPr="00B953A9">
        <w:t xml:space="preserve"> 26 FCC Rcd</w:t>
      </w:r>
      <w:r w:rsidR="003B6389">
        <w:t xml:space="preserve"> 4194,</w:t>
      </w:r>
      <w:r w:rsidRPr="00B953A9">
        <w:t xml:space="preserve"> 4202, para. 15, 4212, para. 39</w:t>
      </w:r>
      <w:r w:rsidR="003B6389">
        <w:t xml:space="preserve"> (2011)</w:t>
      </w:r>
      <w:r w:rsidRPr="00B953A9">
        <w:t>;</w:t>
      </w:r>
      <w:r w:rsidRPr="00B953A9">
        <w:rPr>
          <w:i/>
          <w:iCs/>
        </w:rPr>
        <w:t xml:space="preserve"> Applications of GCI Communication Corp., ACS Wireless License Sub, Inc., ACS of Anchorage License Sub, Inc., and Unicom, Inc. for Consent to Assign Licenses to the Alaska Wireless Network, LLC</w:t>
      </w:r>
      <w:r w:rsidRPr="00B953A9">
        <w:t xml:space="preserve">, Memorandum Opinion and Order and Declaratory Ruling, 28 FCC Rcd 10433, 10472-73, paras. 100-101 (2013); </w:t>
      </w:r>
      <w:r w:rsidRPr="00B953A9">
        <w:rPr>
          <w:i/>
          <w:iCs/>
        </w:rPr>
        <w:t>CenturyLink-Level 3 Order</w:t>
      </w:r>
      <w:r w:rsidRPr="00B953A9">
        <w:t xml:space="preserve">, 32 FCC Rcd at 9605, paras. 52-53; </w:t>
      </w:r>
      <w:r w:rsidRPr="00B953A9">
        <w:rPr>
          <w:i/>
          <w:iCs/>
        </w:rPr>
        <w:t xml:space="preserve">Applications of XO Holdings and Verizon Communications Inc. For Consent to Transfer Control of Licenses and Authorizations, </w:t>
      </w:r>
      <w:r w:rsidRPr="00B953A9">
        <w:t>Memorandum Opinion and Order, 31 FCC Rcd 12501, 12534, para. 61 (WCB, IB, WTB 2016).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50E4F" w14:paraId="3AA0F674"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14:paraId="1363F136" w14:textId="64554534">
    <w:pPr>
      <w:pStyle w:val="Header"/>
      <w:tabs>
        <w:tab w:val="clear" w:pos="4320"/>
        <w:tab w:val="clear" w:pos="8640"/>
      </w:tabs>
      <w:spacing w:before="360" w:line="228" w:lineRule="auto"/>
      <w:jc w:val="center"/>
    </w:pPr>
    <w:r>
      <w:rPr>
        <w:noProof/>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Pr>
        <w:rFonts w:ascii="CG Times (W1)" w:hAnsi="CG Times (W1)"/>
        <w:sz w:val="28"/>
      </w:rPr>
      <w:t>Federal Communications Commission</w:t>
    </w:r>
  </w:p>
  <w:p w:rsidR="002B54DB" w:rsidP="001333F1" w14:paraId="7C296F3E" w14:textId="77777777">
    <w:pPr>
      <w:tabs>
        <w:tab w:val="center" w:pos="4680"/>
        <w:tab w:val="left" w:pos="8400"/>
      </w:tabs>
    </w:pPr>
    <w:r>
      <w:rPr>
        <w:rFonts w:ascii="CG Times (W1)" w:hAnsi="CG Times (W1)"/>
        <w:sz w:val="28"/>
      </w:rPr>
      <w:tab/>
    </w:r>
    <w:r>
      <w:rPr>
        <w:rFonts w:ascii="CG Times (W1)" w:hAnsi="CG Times (W1)"/>
        <w:sz w:val="28"/>
      </w:rPr>
      <w:t>Washington, D.C. 20554</w:t>
    </w:r>
    <w:r>
      <w:rPr>
        <w:rFonts w:ascii="CG Times (W1)" w:hAnsi="CG Times (W1)"/>
        <w:sz w:val="28"/>
      </w:rPr>
      <w:tab/>
    </w:r>
  </w:p>
  <w:p w:rsidR="002B54DB" w14:paraId="5C9D9A6D" w14:textId="77777777">
    <w:pPr>
      <w:pStyle w:val="Header"/>
      <w:tabs>
        <w:tab w:val="clear" w:pos="4320"/>
      </w:tabs>
      <w:jc w:val="center"/>
      <w:rPr>
        <w:sz w:val="22"/>
      </w:rPr>
    </w:pPr>
  </w:p>
  <w:p w:rsidR="002B54DB" w14:paraId="253A4002" w14:textId="77777777">
    <w:pPr>
      <w:pStyle w:val="Header"/>
      <w:tabs>
        <w:tab w:val="clear" w:pos="4320"/>
      </w:tabs>
      <w:jc w:val="center"/>
      <w:rPr>
        <w:sz w:val="22"/>
      </w:rPr>
    </w:pPr>
  </w:p>
  <w:p w:rsidR="002B54DB" w:rsidRPr="0015698E" w14:paraId="46B66298" w14:textId="1ECC9E11">
    <w:pPr>
      <w:pStyle w:val="Header"/>
      <w:tabs>
        <w:tab w:val="clear" w:pos="4320"/>
      </w:tabs>
      <w:jc w:val="center"/>
      <w:rPr>
        <w:sz w:val="22"/>
        <w:szCs w:val="22"/>
      </w:rPr>
    </w:pPr>
    <w:r w:rsidRPr="0015698E">
      <w:rPr>
        <w:sz w:val="22"/>
        <w:szCs w:val="22"/>
      </w:rPr>
      <w:fldChar w:fldCharType="begin"/>
    </w:r>
    <w:r w:rsidRPr="0015698E">
      <w:rPr>
        <w:sz w:val="22"/>
        <w:szCs w:val="22"/>
      </w:rPr>
      <w:instrText xml:space="preserve"> TIME \@ "MMMM d, yyyy" </w:instrText>
    </w:r>
    <w:r w:rsidRPr="0015698E">
      <w:rPr>
        <w:sz w:val="22"/>
        <w:szCs w:val="22"/>
      </w:rPr>
      <w:fldChar w:fldCharType="separate"/>
    </w:r>
    <w:r w:rsidR="00E07DD4">
      <w:rPr>
        <w:noProof/>
        <w:sz w:val="22"/>
        <w:szCs w:val="22"/>
      </w:rPr>
      <w:t>May 6, 2026</w:t>
    </w:r>
    <w:r w:rsidRPr="0015698E">
      <w:rPr>
        <w:sz w:val="22"/>
        <w:szCs w:val="2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4DF0F11"/>
    <w:multiLevelType w:val="hybridMultilevel"/>
    <w:tmpl w:val="4148EBB0"/>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
    <w:nsid w:val="082A653B"/>
    <w:multiLevelType w:val="hybridMultilevel"/>
    <w:tmpl w:val="5FFCCEC0"/>
    <w:lvl w:ilvl="0">
      <w:start w:val="1"/>
      <w:numFmt w:val="decimal"/>
      <w:pStyle w:val="NumberedParagraphSingle"/>
      <w:lvlText w:val="%1."/>
      <w:lvlJc w:val="left"/>
      <w:pPr>
        <w:ind w:left="0" w:firstLine="144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0855679B"/>
    <w:multiLevelType w:val="multilevel"/>
    <w:tmpl w:val="E7541A2A"/>
    <w:numStyleLink w:val="ListNumbers"/>
  </w:abstractNum>
  <w:abstractNum w:abstractNumId="4">
    <w:nsid w:val="0A4811F7"/>
    <w:multiLevelType w:val="hybridMultilevel"/>
    <w:tmpl w:val="DF205194"/>
    <w:lvl w:ilvl="0">
      <w:start w:val="1"/>
      <w:numFmt w:val="upperLetter"/>
      <w:pStyle w:val="LetteredParagraphSingle"/>
      <w:lvlText w:val="%1."/>
      <w:lvlJc w:val="left"/>
      <w:pPr>
        <w:ind w:left="0" w:firstLine="144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1B960B76"/>
    <w:multiLevelType w:val="hybridMultilevel"/>
    <w:tmpl w:val="DCD2F0EA"/>
    <w:lvl w:ilvl="0">
      <w:start w:val="1"/>
      <w:numFmt w:val="upperLetter"/>
      <w:pStyle w:val="LetteredParagraphDouble"/>
      <w:lvlText w:val="%1."/>
      <w:lvlJc w:val="left"/>
      <w:pPr>
        <w:ind w:left="0" w:firstLine="144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2BFF0437"/>
    <w:multiLevelType w:val="multilevel"/>
    <w:tmpl w:val="E7541A2A"/>
    <w:styleLink w:val="ListNumbers"/>
    <w:lvl w:ilvl="0">
      <w:start w:val="1"/>
      <w:numFmt w:val="decimal"/>
      <w:pStyle w:val="ListNumber"/>
      <w:lvlText w:val="%1."/>
      <w:lvlJc w:val="left"/>
      <w:pPr>
        <w:tabs>
          <w:tab w:val="num" w:pos="360"/>
        </w:tabs>
        <w:ind w:left="360" w:hanging="360"/>
      </w:pPr>
      <w:rPr>
        <w:rFonts w:hint="default"/>
      </w:rPr>
    </w:lvl>
    <w:lvl w:ilvl="1">
      <w:start w:val="1"/>
      <w:numFmt w:val="decimal"/>
      <w:pStyle w:val="ListNumber2"/>
      <w:lvlText w:val="%2."/>
      <w:lvlJc w:val="left"/>
      <w:pPr>
        <w:tabs>
          <w:tab w:val="num" w:pos="720"/>
        </w:tabs>
        <w:ind w:left="720" w:hanging="360"/>
      </w:pPr>
      <w:rPr>
        <w:rFonts w:hint="default"/>
      </w:rPr>
    </w:lvl>
    <w:lvl w:ilvl="2">
      <w:start w:val="1"/>
      <w:numFmt w:val="decimal"/>
      <w:pStyle w:val="ListNumber3"/>
      <w:lvlText w:val="%3."/>
      <w:lvlJc w:val="left"/>
      <w:pPr>
        <w:tabs>
          <w:tab w:val="num" w:pos="1080"/>
        </w:tabs>
        <w:ind w:left="1080" w:hanging="360"/>
      </w:pPr>
      <w:rPr>
        <w:rFonts w:hint="default"/>
      </w:rPr>
    </w:lvl>
    <w:lvl w:ilvl="3">
      <w:start w:val="1"/>
      <w:numFmt w:val="decimal"/>
      <w:pStyle w:val="ListNumber4"/>
      <w:lvlText w:val="%4."/>
      <w:lvlJc w:val="left"/>
      <w:pPr>
        <w:tabs>
          <w:tab w:val="num" w:pos="1440"/>
        </w:tabs>
        <w:ind w:left="1440" w:hanging="360"/>
      </w:pPr>
      <w:rPr>
        <w:rFonts w:hint="default"/>
      </w:rPr>
    </w:lvl>
    <w:lvl w:ilvl="4">
      <w:start w:val="1"/>
      <w:numFmt w:val="decimal"/>
      <w:pStyle w:val="ListNumber5"/>
      <w:lvlText w:val="%5."/>
      <w:lvlJc w:val="left"/>
      <w:pPr>
        <w:tabs>
          <w:tab w:val="num" w:pos="1800"/>
        </w:tabs>
        <w:ind w:left="1800" w:hanging="360"/>
      </w:pPr>
      <w:rPr>
        <w:rFonts w:hint="default"/>
      </w:rPr>
    </w:lvl>
    <w:lvl w:ilvl="5">
      <w:start w:val="1"/>
      <w:numFmt w:val="none"/>
      <w:lvlJc w:val="left"/>
      <w:pPr>
        <w:tabs>
          <w:tab w:val="num" w:pos="2160"/>
        </w:tabs>
        <w:ind w:left="2160" w:hanging="360"/>
      </w:pPr>
      <w:rPr>
        <w:rFonts w:hint="default"/>
      </w:rPr>
    </w:lvl>
    <w:lvl w:ilvl="6">
      <w:start w:val="1"/>
      <w:numFmt w:val="none"/>
      <w:lvlJc w:val="left"/>
      <w:pPr>
        <w:tabs>
          <w:tab w:val="num" w:pos="2520"/>
        </w:tabs>
        <w:ind w:left="2520" w:hanging="360"/>
      </w:pPr>
      <w:rPr>
        <w:rFonts w:hint="default"/>
      </w:rPr>
    </w:lvl>
    <w:lvl w:ilvl="7">
      <w:start w:val="1"/>
      <w:numFmt w:val="none"/>
      <w:lvlJc w:val="left"/>
      <w:pPr>
        <w:tabs>
          <w:tab w:val="num" w:pos="2880"/>
        </w:tabs>
        <w:ind w:left="2880" w:hanging="360"/>
      </w:pPr>
      <w:rPr>
        <w:rFonts w:hint="default"/>
      </w:rPr>
    </w:lvl>
    <w:lvl w:ilvl="8">
      <w:start w:val="1"/>
      <w:numFmt w:val="none"/>
      <w:lvlJc w:val="left"/>
      <w:pPr>
        <w:tabs>
          <w:tab w:val="num" w:pos="3240"/>
        </w:tabs>
        <w:ind w:left="3240" w:hanging="360"/>
      </w:pPr>
      <w:rPr>
        <w:rFonts w:hint="default"/>
      </w:rPr>
    </w:lvl>
  </w:abstractNum>
  <w:abstractNum w:abstractNumId="10">
    <w:nsid w:val="2E0F3282"/>
    <w:multiLevelType w:val="multilevel"/>
    <w:tmpl w:val="371826C2"/>
    <w:styleLink w:val="CovingtonHeadings"/>
    <w:lvl w:ilvl="0">
      <w:start w:val="1"/>
      <w:numFmt w:val="upperRoman"/>
      <w:lvlText w:val="%1."/>
      <w:lvlJc w:val="left"/>
      <w:pPr>
        <w:tabs>
          <w:tab w:val="num" w:pos="720"/>
        </w:tabs>
        <w:ind w:left="720" w:hanging="720"/>
      </w:pPr>
      <w:rPr>
        <w:rFonts w:ascii="Aptos Display" w:hAnsi="Aptos Display" w:hint="default"/>
        <w:sz w:val="24"/>
      </w:rPr>
    </w:lvl>
    <w:lvl w:ilvl="1">
      <w:start w:val="1"/>
      <w:numFmt w:val="upperLetter"/>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Letter"/>
      <w:lvlText w:val="(%6)"/>
      <w:lvlJc w:val="left"/>
      <w:pPr>
        <w:tabs>
          <w:tab w:val="num" w:pos="4320"/>
        </w:tabs>
        <w:ind w:left="4320" w:hanging="720"/>
      </w:pPr>
      <w:rPr>
        <w:rFonts w:hint="default"/>
      </w:rPr>
    </w:lvl>
    <w:lvl w:ilvl="6">
      <w:start w:val="1"/>
      <w:numFmt w:val="lowerRoman"/>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11">
    <w:nsid w:val="35C91FC2"/>
    <w:multiLevelType w:val="hybridMultilevel"/>
    <w:tmpl w:val="3E06ECF4"/>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2">
    <w:nsid w:val="37267B4C"/>
    <w:multiLevelType w:val="hybridMultilevel"/>
    <w:tmpl w:val="585C2AAC"/>
    <w:lvl w:ilvl="0">
      <w:start w:val="1"/>
      <w:numFmt w:val="decimal"/>
      <w:pStyle w:val="NumberedParagraphDouble"/>
      <w:lvlText w:val="%1."/>
      <w:lvlJc w:val="left"/>
      <w:pPr>
        <w:ind w:left="0" w:firstLine="144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3A6731A9"/>
    <w:multiLevelType w:val="hybridMultilevel"/>
    <w:tmpl w:val="7E9224F2"/>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4">
    <w:nsid w:val="3CD0352A"/>
    <w:multiLevelType w:val="multilevel"/>
    <w:tmpl w:val="1C28AD60"/>
    <w:styleLink w:val="ListBullets"/>
    <w:lvl w:ilvl="0">
      <w:start w:val="1"/>
      <w:numFmt w:val="bullet"/>
      <w:pStyle w:val="ListBullet"/>
      <w:lvlText w:val=""/>
      <w:lvlJc w:val="left"/>
      <w:pPr>
        <w:tabs>
          <w:tab w:val="num" w:pos="360"/>
        </w:tabs>
        <w:ind w:left="360" w:hanging="360"/>
      </w:pPr>
      <w:rPr>
        <w:rFonts w:ascii="Symbol" w:hAnsi="Symbol" w:hint="default"/>
        <w:color w:val="auto"/>
      </w:rPr>
    </w:lvl>
    <w:lvl w:ilvl="1">
      <w:start w:val="1"/>
      <w:numFmt w:val="bullet"/>
      <w:pStyle w:val="ListBullet2"/>
      <w:lvlText w:val=""/>
      <w:lvlJc w:val="left"/>
      <w:pPr>
        <w:tabs>
          <w:tab w:val="num" w:pos="720"/>
        </w:tabs>
        <w:ind w:left="720" w:hanging="360"/>
      </w:pPr>
      <w:rPr>
        <w:rFonts w:ascii="Symbol" w:hAnsi="Symbol" w:hint="default"/>
        <w:color w:val="auto"/>
      </w:rPr>
    </w:lvl>
    <w:lvl w:ilvl="2">
      <w:start w:val="1"/>
      <w:numFmt w:val="bullet"/>
      <w:pStyle w:val="ListBullet3"/>
      <w:lvlText w:val=""/>
      <w:lvlJc w:val="left"/>
      <w:pPr>
        <w:tabs>
          <w:tab w:val="num" w:pos="1080"/>
        </w:tabs>
        <w:ind w:left="1080" w:hanging="360"/>
      </w:pPr>
      <w:rPr>
        <w:rFonts w:ascii="Symbol" w:hAnsi="Symbol" w:hint="default"/>
        <w:color w:val="auto"/>
      </w:rPr>
    </w:lvl>
    <w:lvl w:ilvl="3">
      <w:start w:val="1"/>
      <w:numFmt w:val="bullet"/>
      <w:pStyle w:val="ListBullet4"/>
      <w:lvlText w:val=""/>
      <w:lvlJc w:val="left"/>
      <w:pPr>
        <w:tabs>
          <w:tab w:val="num" w:pos="1440"/>
        </w:tabs>
        <w:ind w:left="1440" w:hanging="360"/>
      </w:pPr>
      <w:rPr>
        <w:rFonts w:ascii="Symbol" w:hAnsi="Symbol" w:hint="default"/>
        <w:color w:val="auto"/>
      </w:rPr>
    </w:lvl>
    <w:lvl w:ilvl="4">
      <w:start w:val="1"/>
      <w:numFmt w:val="bullet"/>
      <w:pStyle w:val="ListBullet5"/>
      <w:lvlText w:val=""/>
      <w:lvlJc w:val="left"/>
      <w:pPr>
        <w:tabs>
          <w:tab w:val="num" w:pos="1800"/>
        </w:tabs>
        <w:ind w:left="1800" w:hanging="360"/>
      </w:pPr>
      <w:rPr>
        <w:rFonts w:ascii="Symbol" w:hAnsi="Symbol" w:hint="default"/>
        <w:color w:val="auto"/>
      </w:rPr>
    </w:lvl>
    <w:lvl w:ilvl="5">
      <w:start w:val="1"/>
      <w:numFmt w:val="none"/>
      <w:lvlJc w:val="left"/>
      <w:pPr>
        <w:tabs>
          <w:tab w:val="num" w:pos="2160"/>
        </w:tabs>
        <w:ind w:left="2160" w:hanging="360"/>
      </w:pPr>
      <w:rPr>
        <w:rFonts w:hint="default"/>
      </w:rPr>
    </w:lvl>
    <w:lvl w:ilvl="6">
      <w:start w:val="1"/>
      <w:numFmt w:val="none"/>
      <w:lvlJc w:val="left"/>
      <w:pPr>
        <w:tabs>
          <w:tab w:val="num" w:pos="2520"/>
        </w:tabs>
        <w:ind w:left="2520" w:hanging="360"/>
      </w:pPr>
      <w:rPr>
        <w:rFonts w:hint="default"/>
      </w:rPr>
    </w:lvl>
    <w:lvl w:ilvl="7">
      <w:start w:val="1"/>
      <w:numFmt w:val="none"/>
      <w:lvlJc w:val="left"/>
      <w:pPr>
        <w:tabs>
          <w:tab w:val="num" w:pos="2880"/>
        </w:tabs>
        <w:ind w:left="2880" w:hanging="360"/>
      </w:pPr>
      <w:rPr>
        <w:rFonts w:hint="default"/>
      </w:rPr>
    </w:lvl>
    <w:lvl w:ilvl="8">
      <w:start w:val="1"/>
      <w:numFmt w:val="none"/>
      <w:lvlJc w:val="left"/>
      <w:pPr>
        <w:tabs>
          <w:tab w:val="num" w:pos="3240"/>
        </w:tabs>
        <w:ind w:left="3240" w:hanging="360"/>
      </w:pPr>
      <w:rPr>
        <w:rFonts w:hint="default"/>
      </w:rPr>
    </w:lvl>
  </w:abstractNum>
  <w:abstractNum w:abstractNumId="15">
    <w:nsid w:val="440950D0"/>
    <w:multiLevelType w:val="hybridMultilevel"/>
    <w:tmpl w:val="3F46D39C"/>
    <w:lvl w:ilvl="0">
      <w:start w:val="1"/>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7">
    <w:nsid w:val="4FCB6E2F"/>
    <w:multiLevelType w:val="hybridMultilevel"/>
    <w:tmpl w:val="BBA068D0"/>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8">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9">
    <w:nsid w:val="63F2778C"/>
    <w:multiLevelType w:val="hybridMultilevel"/>
    <w:tmpl w:val="136A29DC"/>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0">
    <w:nsid w:val="7A154309"/>
    <w:multiLevelType w:val="hybridMultilevel"/>
    <w:tmpl w:val="C90681D0"/>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1">
    <w:nsid w:val="7BF11B81"/>
    <w:multiLevelType w:val="hybridMultilevel"/>
    <w:tmpl w:val="A978100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2">
    <w:nsid w:val="7E531461"/>
    <w:multiLevelType w:val="multilevel"/>
    <w:tmpl w:val="1C28AD60"/>
    <w:numStyleLink w:val="ListBullets"/>
  </w:abstractNum>
  <w:num w:numId="1" w16cid:durableId="468015921">
    <w:abstractNumId w:val="18"/>
  </w:num>
  <w:num w:numId="2" w16cid:durableId="670058917">
    <w:abstractNumId w:val="0"/>
  </w:num>
  <w:num w:numId="3" w16cid:durableId="487333549">
    <w:abstractNumId w:val="6"/>
  </w:num>
  <w:num w:numId="4" w16cid:durableId="1937401407">
    <w:abstractNumId w:val="8"/>
  </w:num>
  <w:num w:numId="5" w16cid:durableId="1541938408">
    <w:abstractNumId w:val="16"/>
  </w:num>
  <w:num w:numId="6" w16cid:durableId="452988942">
    <w:abstractNumId w:val="7"/>
  </w:num>
  <w:num w:numId="7" w16cid:durableId="188959019">
    <w:abstractNumId w:val="2"/>
  </w:num>
  <w:num w:numId="8" w16cid:durableId="1693413995">
    <w:abstractNumId w:val="8"/>
    <w:lvlOverride w:ilvl="0">
      <w:startOverride w:val="6"/>
    </w:lvlOverride>
  </w:num>
  <w:num w:numId="9" w16cid:durableId="1797140148">
    <w:abstractNumId w:val="18"/>
    <w:lvlOverride w:ilvl="0">
      <w:startOverride w:val="1"/>
    </w:lvlOverride>
  </w:num>
  <w:num w:numId="10" w16cid:durableId="828786068">
    <w:abstractNumId w:val="10"/>
  </w:num>
  <w:num w:numId="11" w16cid:durableId="1910575933">
    <w:abstractNumId w:val="14"/>
  </w:num>
  <w:num w:numId="12" w16cid:durableId="1877697560">
    <w:abstractNumId w:val="9"/>
  </w:num>
  <w:num w:numId="13" w16cid:durableId="1528518730">
    <w:abstractNumId w:val="5"/>
  </w:num>
  <w:num w:numId="14" w16cid:durableId="366296779">
    <w:abstractNumId w:val="4"/>
  </w:num>
  <w:num w:numId="15" w16cid:durableId="2050565709">
    <w:abstractNumId w:val="12"/>
  </w:num>
  <w:num w:numId="16" w16cid:durableId="2111702166">
    <w:abstractNumId w:val="1"/>
  </w:num>
  <w:num w:numId="17" w16cid:durableId="1714109964">
    <w:abstractNumId w:val="22"/>
  </w:num>
  <w:num w:numId="18" w16cid:durableId="208878443">
    <w:abstractNumId w:val="3"/>
  </w:num>
  <w:num w:numId="19" w16cid:durableId="401754548">
    <w:abstractNumId w:val="15"/>
  </w:num>
  <w:num w:numId="20" w16cid:durableId="506288155">
    <w:abstractNumId w:val="17"/>
  </w:num>
  <w:num w:numId="21" w16cid:durableId="1412197707">
    <w:abstractNumId w:val="11"/>
  </w:num>
  <w:num w:numId="22" w16cid:durableId="896432953">
    <w:abstractNumId w:val="21"/>
  </w:num>
  <w:num w:numId="23" w16cid:durableId="994914485">
    <w:abstractNumId w:val="13"/>
  </w:num>
  <w:num w:numId="24" w16cid:durableId="335545763">
    <w:abstractNumId w:val="19"/>
  </w:num>
  <w:num w:numId="25" w16cid:durableId="3689921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attachedTemplate r:id="rId1"/>
  <w:linkStyles/>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D16"/>
    <w:rsid w:val="00002BA7"/>
    <w:rsid w:val="00002BEC"/>
    <w:rsid w:val="00003A4C"/>
    <w:rsid w:val="0001023B"/>
    <w:rsid w:val="00011D5A"/>
    <w:rsid w:val="00012E7B"/>
    <w:rsid w:val="00013367"/>
    <w:rsid w:val="00014E61"/>
    <w:rsid w:val="00017064"/>
    <w:rsid w:val="00017E68"/>
    <w:rsid w:val="000209A8"/>
    <w:rsid w:val="00024C39"/>
    <w:rsid w:val="00024D64"/>
    <w:rsid w:val="00025C6B"/>
    <w:rsid w:val="00026A8A"/>
    <w:rsid w:val="00026CB9"/>
    <w:rsid w:val="00026CCB"/>
    <w:rsid w:val="00032071"/>
    <w:rsid w:val="000335AB"/>
    <w:rsid w:val="0003403A"/>
    <w:rsid w:val="00034879"/>
    <w:rsid w:val="000358A2"/>
    <w:rsid w:val="00035EA3"/>
    <w:rsid w:val="000365F8"/>
    <w:rsid w:val="00037D32"/>
    <w:rsid w:val="000404A7"/>
    <w:rsid w:val="000462F7"/>
    <w:rsid w:val="000474E7"/>
    <w:rsid w:val="00054A6F"/>
    <w:rsid w:val="000578B1"/>
    <w:rsid w:val="000640C3"/>
    <w:rsid w:val="0006449F"/>
    <w:rsid w:val="000650E2"/>
    <w:rsid w:val="0006656D"/>
    <w:rsid w:val="00067267"/>
    <w:rsid w:val="0007240E"/>
    <w:rsid w:val="00072697"/>
    <w:rsid w:val="000736CF"/>
    <w:rsid w:val="000754ED"/>
    <w:rsid w:val="000756A2"/>
    <w:rsid w:val="00077FAB"/>
    <w:rsid w:val="00080D58"/>
    <w:rsid w:val="0008159F"/>
    <w:rsid w:val="00085C62"/>
    <w:rsid w:val="0008625F"/>
    <w:rsid w:val="00087819"/>
    <w:rsid w:val="000944EB"/>
    <w:rsid w:val="000966A2"/>
    <w:rsid w:val="0009692C"/>
    <w:rsid w:val="000A07D4"/>
    <w:rsid w:val="000A44A2"/>
    <w:rsid w:val="000A4A70"/>
    <w:rsid w:val="000B48AF"/>
    <w:rsid w:val="000B4ADB"/>
    <w:rsid w:val="000B6585"/>
    <w:rsid w:val="000B7733"/>
    <w:rsid w:val="000B7EA0"/>
    <w:rsid w:val="000C0AA1"/>
    <w:rsid w:val="000C12BA"/>
    <w:rsid w:val="000C265D"/>
    <w:rsid w:val="000C32A8"/>
    <w:rsid w:val="000C3646"/>
    <w:rsid w:val="000C774E"/>
    <w:rsid w:val="000D4E66"/>
    <w:rsid w:val="000D54C6"/>
    <w:rsid w:val="000E5877"/>
    <w:rsid w:val="000E7A7A"/>
    <w:rsid w:val="000F1A45"/>
    <w:rsid w:val="000F4444"/>
    <w:rsid w:val="000F5416"/>
    <w:rsid w:val="000F615A"/>
    <w:rsid w:val="000F71A4"/>
    <w:rsid w:val="000F78BF"/>
    <w:rsid w:val="00100269"/>
    <w:rsid w:val="001018E1"/>
    <w:rsid w:val="0010215B"/>
    <w:rsid w:val="00103F65"/>
    <w:rsid w:val="00103FBC"/>
    <w:rsid w:val="00104157"/>
    <w:rsid w:val="00104E5C"/>
    <w:rsid w:val="001066AD"/>
    <w:rsid w:val="001078BE"/>
    <w:rsid w:val="001111FA"/>
    <w:rsid w:val="00111503"/>
    <w:rsid w:val="00111AA5"/>
    <w:rsid w:val="00114B38"/>
    <w:rsid w:val="0011548E"/>
    <w:rsid w:val="00115998"/>
    <w:rsid w:val="001171C8"/>
    <w:rsid w:val="00120AFC"/>
    <w:rsid w:val="001220D4"/>
    <w:rsid w:val="00122633"/>
    <w:rsid w:val="001233D4"/>
    <w:rsid w:val="001250CB"/>
    <w:rsid w:val="00127D24"/>
    <w:rsid w:val="00131157"/>
    <w:rsid w:val="001333F1"/>
    <w:rsid w:val="00133B4C"/>
    <w:rsid w:val="00134FA9"/>
    <w:rsid w:val="00136C6C"/>
    <w:rsid w:val="00137851"/>
    <w:rsid w:val="00137CAA"/>
    <w:rsid w:val="0014193C"/>
    <w:rsid w:val="00142272"/>
    <w:rsid w:val="001447B1"/>
    <w:rsid w:val="001466BF"/>
    <w:rsid w:val="00146896"/>
    <w:rsid w:val="00150C88"/>
    <w:rsid w:val="00150E4F"/>
    <w:rsid w:val="00151790"/>
    <w:rsid w:val="0015352B"/>
    <w:rsid w:val="00155490"/>
    <w:rsid w:val="0015555A"/>
    <w:rsid w:val="00155B57"/>
    <w:rsid w:val="0015698E"/>
    <w:rsid w:val="00156D91"/>
    <w:rsid w:val="001574D4"/>
    <w:rsid w:val="00160B0B"/>
    <w:rsid w:val="00161743"/>
    <w:rsid w:val="00163078"/>
    <w:rsid w:val="00163F4E"/>
    <w:rsid w:val="001701A3"/>
    <w:rsid w:val="00177DA6"/>
    <w:rsid w:val="001825F4"/>
    <w:rsid w:val="001852B4"/>
    <w:rsid w:val="00187A24"/>
    <w:rsid w:val="00192DFB"/>
    <w:rsid w:val="00193CEB"/>
    <w:rsid w:val="00193F8F"/>
    <w:rsid w:val="001A2B93"/>
    <w:rsid w:val="001A3119"/>
    <w:rsid w:val="001A33D7"/>
    <w:rsid w:val="001A396A"/>
    <w:rsid w:val="001A4482"/>
    <w:rsid w:val="001A48FD"/>
    <w:rsid w:val="001A5897"/>
    <w:rsid w:val="001A7A98"/>
    <w:rsid w:val="001B014C"/>
    <w:rsid w:val="001B25C7"/>
    <w:rsid w:val="001B316A"/>
    <w:rsid w:val="001B5C5F"/>
    <w:rsid w:val="001B5FCE"/>
    <w:rsid w:val="001C014C"/>
    <w:rsid w:val="001C04F4"/>
    <w:rsid w:val="001C1A07"/>
    <w:rsid w:val="001C57AD"/>
    <w:rsid w:val="001C5BB8"/>
    <w:rsid w:val="001C6899"/>
    <w:rsid w:val="001C6AC9"/>
    <w:rsid w:val="001C7BB6"/>
    <w:rsid w:val="001D1785"/>
    <w:rsid w:val="001D1B27"/>
    <w:rsid w:val="001D3371"/>
    <w:rsid w:val="001D4091"/>
    <w:rsid w:val="001D6818"/>
    <w:rsid w:val="001D6E9C"/>
    <w:rsid w:val="001E451D"/>
    <w:rsid w:val="001E5D42"/>
    <w:rsid w:val="001E6D12"/>
    <w:rsid w:val="001E7260"/>
    <w:rsid w:val="001F131F"/>
    <w:rsid w:val="001F1978"/>
    <w:rsid w:val="001F2859"/>
    <w:rsid w:val="001F3414"/>
    <w:rsid w:val="001F5370"/>
    <w:rsid w:val="001F63FD"/>
    <w:rsid w:val="001F6C4E"/>
    <w:rsid w:val="002010AD"/>
    <w:rsid w:val="00202B5B"/>
    <w:rsid w:val="00202B73"/>
    <w:rsid w:val="00203FB2"/>
    <w:rsid w:val="00204CE3"/>
    <w:rsid w:val="00204FBA"/>
    <w:rsid w:val="00205003"/>
    <w:rsid w:val="002054A4"/>
    <w:rsid w:val="0020736C"/>
    <w:rsid w:val="002162EE"/>
    <w:rsid w:val="0021780F"/>
    <w:rsid w:val="002223FC"/>
    <w:rsid w:val="00224422"/>
    <w:rsid w:val="00227507"/>
    <w:rsid w:val="00230C4A"/>
    <w:rsid w:val="00232A96"/>
    <w:rsid w:val="00232D44"/>
    <w:rsid w:val="00234D91"/>
    <w:rsid w:val="00234F73"/>
    <w:rsid w:val="00236EDB"/>
    <w:rsid w:val="00240B86"/>
    <w:rsid w:val="0024255D"/>
    <w:rsid w:val="00244AC1"/>
    <w:rsid w:val="00245932"/>
    <w:rsid w:val="002467A6"/>
    <w:rsid w:val="00246EBC"/>
    <w:rsid w:val="00251D07"/>
    <w:rsid w:val="0025319A"/>
    <w:rsid w:val="0025379B"/>
    <w:rsid w:val="00255069"/>
    <w:rsid w:val="00257AF8"/>
    <w:rsid w:val="00267483"/>
    <w:rsid w:val="002705D6"/>
    <w:rsid w:val="00271692"/>
    <w:rsid w:val="00282991"/>
    <w:rsid w:val="0028405C"/>
    <w:rsid w:val="00290F49"/>
    <w:rsid w:val="002919EE"/>
    <w:rsid w:val="00295FF8"/>
    <w:rsid w:val="00297968"/>
    <w:rsid w:val="00297ABD"/>
    <w:rsid w:val="002A3967"/>
    <w:rsid w:val="002A54E3"/>
    <w:rsid w:val="002A6020"/>
    <w:rsid w:val="002A753D"/>
    <w:rsid w:val="002B2A07"/>
    <w:rsid w:val="002B3388"/>
    <w:rsid w:val="002B45DC"/>
    <w:rsid w:val="002B4795"/>
    <w:rsid w:val="002B54AC"/>
    <w:rsid w:val="002B54DB"/>
    <w:rsid w:val="002B6B60"/>
    <w:rsid w:val="002B72E5"/>
    <w:rsid w:val="002C12B6"/>
    <w:rsid w:val="002C4778"/>
    <w:rsid w:val="002C60B7"/>
    <w:rsid w:val="002C633B"/>
    <w:rsid w:val="002D2F07"/>
    <w:rsid w:val="002D36B7"/>
    <w:rsid w:val="002D662F"/>
    <w:rsid w:val="002D6AD9"/>
    <w:rsid w:val="002D70E2"/>
    <w:rsid w:val="002D7454"/>
    <w:rsid w:val="002E2B09"/>
    <w:rsid w:val="002E3224"/>
    <w:rsid w:val="002E6505"/>
    <w:rsid w:val="002E7B21"/>
    <w:rsid w:val="002F1ED8"/>
    <w:rsid w:val="002F3CDC"/>
    <w:rsid w:val="002F59FC"/>
    <w:rsid w:val="002F72C5"/>
    <w:rsid w:val="00300CD4"/>
    <w:rsid w:val="00301271"/>
    <w:rsid w:val="0030163B"/>
    <w:rsid w:val="00302306"/>
    <w:rsid w:val="003109DD"/>
    <w:rsid w:val="0031120C"/>
    <w:rsid w:val="00312B2F"/>
    <w:rsid w:val="00315571"/>
    <w:rsid w:val="00317106"/>
    <w:rsid w:val="00320434"/>
    <w:rsid w:val="00321E25"/>
    <w:rsid w:val="00324D47"/>
    <w:rsid w:val="00326E38"/>
    <w:rsid w:val="003279B0"/>
    <w:rsid w:val="00331E65"/>
    <w:rsid w:val="0033694C"/>
    <w:rsid w:val="00337539"/>
    <w:rsid w:val="00337C83"/>
    <w:rsid w:val="00340099"/>
    <w:rsid w:val="00342BFC"/>
    <w:rsid w:val="0034367E"/>
    <w:rsid w:val="0034514D"/>
    <w:rsid w:val="003452E5"/>
    <w:rsid w:val="003463B8"/>
    <w:rsid w:val="0035098D"/>
    <w:rsid w:val="003573FC"/>
    <w:rsid w:val="003619AA"/>
    <w:rsid w:val="0036396E"/>
    <w:rsid w:val="00363D08"/>
    <w:rsid w:val="00363D64"/>
    <w:rsid w:val="00364153"/>
    <w:rsid w:val="00364ED0"/>
    <w:rsid w:val="00365770"/>
    <w:rsid w:val="003661F6"/>
    <w:rsid w:val="0036782E"/>
    <w:rsid w:val="00370A9C"/>
    <w:rsid w:val="003740E6"/>
    <w:rsid w:val="00377598"/>
    <w:rsid w:val="00380B75"/>
    <w:rsid w:val="003873E4"/>
    <w:rsid w:val="00387BC5"/>
    <w:rsid w:val="00390411"/>
    <w:rsid w:val="00390DE0"/>
    <w:rsid w:val="00392EB0"/>
    <w:rsid w:val="00397BFB"/>
    <w:rsid w:val="00397C48"/>
    <w:rsid w:val="003A0418"/>
    <w:rsid w:val="003A0A0D"/>
    <w:rsid w:val="003A1572"/>
    <w:rsid w:val="003A2DFB"/>
    <w:rsid w:val="003A64FA"/>
    <w:rsid w:val="003B0783"/>
    <w:rsid w:val="003B26FD"/>
    <w:rsid w:val="003B3E20"/>
    <w:rsid w:val="003B5EBC"/>
    <w:rsid w:val="003B6389"/>
    <w:rsid w:val="003B7AAA"/>
    <w:rsid w:val="003C2054"/>
    <w:rsid w:val="003C5ECC"/>
    <w:rsid w:val="003C7130"/>
    <w:rsid w:val="003C7B68"/>
    <w:rsid w:val="003C7F8B"/>
    <w:rsid w:val="003D0FD8"/>
    <w:rsid w:val="003D11B5"/>
    <w:rsid w:val="003D1554"/>
    <w:rsid w:val="003D250F"/>
    <w:rsid w:val="003D2634"/>
    <w:rsid w:val="003D284E"/>
    <w:rsid w:val="003D2D71"/>
    <w:rsid w:val="003D5455"/>
    <w:rsid w:val="003D74DD"/>
    <w:rsid w:val="003D7E50"/>
    <w:rsid w:val="003E3C99"/>
    <w:rsid w:val="003E5ABB"/>
    <w:rsid w:val="003E5C84"/>
    <w:rsid w:val="003E70E1"/>
    <w:rsid w:val="003F0473"/>
    <w:rsid w:val="003F1062"/>
    <w:rsid w:val="003F3460"/>
    <w:rsid w:val="003F3580"/>
    <w:rsid w:val="003F3BAD"/>
    <w:rsid w:val="003F4312"/>
    <w:rsid w:val="003F7619"/>
    <w:rsid w:val="004005E5"/>
    <w:rsid w:val="00400798"/>
    <w:rsid w:val="00407A45"/>
    <w:rsid w:val="00413586"/>
    <w:rsid w:val="00413763"/>
    <w:rsid w:val="004141E3"/>
    <w:rsid w:val="004144FB"/>
    <w:rsid w:val="00414670"/>
    <w:rsid w:val="0041558A"/>
    <w:rsid w:val="004156CC"/>
    <w:rsid w:val="0042096C"/>
    <w:rsid w:val="00421754"/>
    <w:rsid w:val="00421CCE"/>
    <w:rsid w:val="00423CA2"/>
    <w:rsid w:val="00426BDC"/>
    <w:rsid w:val="004274A9"/>
    <w:rsid w:val="00430BF6"/>
    <w:rsid w:val="00430C16"/>
    <w:rsid w:val="00430CFC"/>
    <w:rsid w:val="00430D16"/>
    <w:rsid w:val="00430F29"/>
    <w:rsid w:val="004318A0"/>
    <w:rsid w:val="0043373C"/>
    <w:rsid w:val="00433FAC"/>
    <w:rsid w:val="004342E2"/>
    <w:rsid w:val="00434880"/>
    <w:rsid w:val="00435C3D"/>
    <w:rsid w:val="0043722B"/>
    <w:rsid w:val="00440084"/>
    <w:rsid w:val="00446909"/>
    <w:rsid w:val="00447BA7"/>
    <w:rsid w:val="00451B61"/>
    <w:rsid w:val="00451E5F"/>
    <w:rsid w:val="00453BF8"/>
    <w:rsid w:val="00455CBD"/>
    <w:rsid w:val="00457222"/>
    <w:rsid w:val="004577D6"/>
    <w:rsid w:val="00457811"/>
    <w:rsid w:val="004629AA"/>
    <w:rsid w:val="004649AF"/>
    <w:rsid w:val="00465EF0"/>
    <w:rsid w:val="00467AE1"/>
    <w:rsid w:val="0047218D"/>
    <w:rsid w:val="00473554"/>
    <w:rsid w:val="00473D21"/>
    <w:rsid w:val="00473E8A"/>
    <w:rsid w:val="00475441"/>
    <w:rsid w:val="00475FDB"/>
    <w:rsid w:val="0047758F"/>
    <w:rsid w:val="00484A62"/>
    <w:rsid w:val="00486C4A"/>
    <w:rsid w:val="004907A0"/>
    <w:rsid w:val="00491A9E"/>
    <w:rsid w:val="00492B31"/>
    <w:rsid w:val="00495025"/>
    <w:rsid w:val="00495AFE"/>
    <w:rsid w:val="004A153A"/>
    <w:rsid w:val="004A3523"/>
    <w:rsid w:val="004A769A"/>
    <w:rsid w:val="004B1D4D"/>
    <w:rsid w:val="004B2F74"/>
    <w:rsid w:val="004B3856"/>
    <w:rsid w:val="004B3A00"/>
    <w:rsid w:val="004B448C"/>
    <w:rsid w:val="004B7C0C"/>
    <w:rsid w:val="004C38A0"/>
    <w:rsid w:val="004C3C8C"/>
    <w:rsid w:val="004C62B5"/>
    <w:rsid w:val="004C73CF"/>
    <w:rsid w:val="004D3B53"/>
    <w:rsid w:val="004D5113"/>
    <w:rsid w:val="004D56B3"/>
    <w:rsid w:val="004D6B1C"/>
    <w:rsid w:val="004D6CCF"/>
    <w:rsid w:val="004D78D4"/>
    <w:rsid w:val="004E07C8"/>
    <w:rsid w:val="004E2328"/>
    <w:rsid w:val="004E2E97"/>
    <w:rsid w:val="004E5553"/>
    <w:rsid w:val="004E586F"/>
    <w:rsid w:val="004E6E29"/>
    <w:rsid w:val="004E77A3"/>
    <w:rsid w:val="004E7927"/>
    <w:rsid w:val="004F0251"/>
    <w:rsid w:val="004F3C22"/>
    <w:rsid w:val="004F4555"/>
    <w:rsid w:val="004F517E"/>
    <w:rsid w:val="00502A67"/>
    <w:rsid w:val="005070FB"/>
    <w:rsid w:val="00507DCA"/>
    <w:rsid w:val="00507DE6"/>
    <w:rsid w:val="00510281"/>
    <w:rsid w:val="0051034F"/>
    <w:rsid w:val="00510934"/>
    <w:rsid w:val="00510A02"/>
    <w:rsid w:val="005166BE"/>
    <w:rsid w:val="0051773F"/>
    <w:rsid w:val="00521B2E"/>
    <w:rsid w:val="00521DD6"/>
    <w:rsid w:val="00522DF4"/>
    <w:rsid w:val="00523C22"/>
    <w:rsid w:val="00523F52"/>
    <w:rsid w:val="00525D3A"/>
    <w:rsid w:val="00532170"/>
    <w:rsid w:val="00534982"/>
    <w:rsid w:val="005404AE"/>
    <w:rsid w:val="0054081D"/>
    <w:rsid w:val="0054112F"/>
    <w:rsid w:val="00542C69"/>
    <w:rsid w:val="00550520"/>
    <w:rsid w:val="005508AD"/>
    <w:rsid w:val="00551B18"/>
    <w:rsid w:val="00552F22"/>
    <w:rsid w:val="00556755"/>
    <w:rsid w:val="00557291"/>
    <w:rsid w:val="00567182"/>
    <w:rsid w:val="0056796C"/>
    <w:rsid w:val="005716E7"/>
    <w:rsid w:val="0057185D"/>
    <w:rsid w:val="00571D4D"/>
    <w:rsid w:val="0057787A"/>
    <w:rsid w:val="00577AFC"/>
    <w:rsid w:val="00577D32"/>
    <w:rsid w:val="00580945"/>
    <w:rsid w:val="00580AE6"/>
    <w:rsid w:val="0058220C"/>
    <w:rsid w:val="00584425"/>
    <w:rsid w:val="00584472"/>
    <w:rsid w:val="00587BB4"/>
    <w:rsid w:val="00596B0C"/>
    <w:rsid w:val="005A04F0"/>
    <w:rsid w:val="005A2375"/>
    <w:rsid w:val="005A3441"/>
    <w:rsid w:val="005A38D5"/>
    <w:rsid w:val="005A4600"/>
    <w:rsid w:val="005A6C14"/>
    <w:rsid w:val="005A71BC"/>
    <w:rsid w:val="005B01E4"/>
    <w:rsid w:val="005B06B8"/>
    <w:rsid w:val="005B0B15"/>
    <w:rsid w:val="005B0D6C"/>
    <w:rsid w:val="005B1B97"/>
    <w:rsid w:val="005B5535"/>
    <w:rsid w:val="005B5E7A"/>
    <w:rsid w:val="005C0DA5"/>
    <w:rsid w:val="005C1E3C"/>
    <w:rsid w:val="005C1E52"/>
    <w:rsid w:val="005C2452"/>
    <w:rsid w:val="005C3166"/>
    <w:rsid w:val="005C4701"/>
    <w:rsid w:val="005D1649"/>
    <w:rsid w:val="005D1ECD"/>
    <w:rsid w:val="005D1F0D"/>
    <w:rsid w:val="005D4661"/>
    <w:rsid w:val="005D4AD8"/>
    <w:rsid w:val="005D60DE"/>
    <w:rsid w:val="005E290A"/>
    <w:rsid w:val="005E37AE"/>
    <w:rsid w:val="005E47C6"/>
    <w:rsid w:val="005F54AD"/>
    <w:rsid w:val="005F7127"/>
    <w:rsid w:val="0060096F"/>
    <w:rsid w:val="00602363"/>
    <w:rsid w:val="00602B8C"/>
    <w:rsid w:val="00603781"/>
    <w:rsid w:val="00604943"/>
    <w:rsid w:val="0061091E"/>
    <w:rsid w:val="00613A87"/>
    <w:rsid w:val="00615107"/>
    <w:rsid w:val="006179B9"/>
    <w:rsid w:val="0062029B"/>
    <w:rsid w:val="006204CC"/>
    <w:rsid w:val="006209AE"/>
    <w:rsid w:val="00623D8C"/>
    <w:rsid w:val="00624DF4"/>
    <w:rsid w:val="00626309"/>
    <w:rsid w:val="006265FA"/>
    <w:rsid w:val="00626862"/>
    <w:rsid w:val="006302A2"/>
    <w:rsid w:val="00630866"/>
    <w:rsid w:val="00630DB6"/>
    <w:rsid w:val="00631052"/>
    <w:rsid w:val="00631D26"/>
    <w:rsid w:val="00632F65"/>
    <w:rsid w:val="006339A1"/>
    <w:rsid w:val="00637EDC"/>
    <w:rsid w:val="00640A20"/>
    <w:rsid w:val="00642FAE"/>
    <w:rsid w:val="00646A1F"/>
    <w:rsid w:val="00646F55"/>
    <w:rsid w:val="00647ECF"/>
    <w:rsid w:val="00651A0A"/>
    <w:rsid w:val="0065221C"/>
    <w:rsid w:val="00652C33"/>
    <w:rsid w:val="00652CC5"/>
    <w:rsid w:val="00653545"/>
    <w:rsid w:val="006537CA"/>
    <w:rsid w:val="00654687"/>
    <w:rsid w:val="00654986"/>
    <w:rsid w:val="006601D7"/>
    <w:rsid w:val="006603CF"/>
    <w:rsid w:val="006606B1"/>
    <w:rsid w:val="006622AF"/>
    <w:rsid w:val="00665EDE"/>
    <w:rsid w:val="0066682D"/>
    <w:rsid w:val="00667783"/>
    <w:rsid w:val="00667B70"/>
    <w:rsid w:val="00674CA7"/>
    <w:rsid w:val="00675F51"/>
    <w:rsid w:val="00680968"/>
    <w:rsid w:val="006829CF"/>
    <w:rsid w:val="006850DC"/>
    <w:rsid w:val="0068623F"/>
    <w:rsid w:val="00686259"/>
    <w:rsid w:val="0069097A"/>
    <w:rsid w:val="0069119C"/>
    <w:rsid w:val="00694A71"/>
    <w:rsid w:val="0069744D"/>
    <w:rsid w:val="006A6C86"/>
    <w:rsid w:val="006B5CD1"/>
    <w:rsid w:val="006B6678"/>
    <w:rsid w:val="006B6A89"/>
    <w:rsid w:val="006B771C"/>
    <w:rsid w:val="006C1EE3"/>
    <w:rsid w:val="006C774D"/>
    <w:rsid w:val="006C7D39"/>
    <w:rsid w:val="006D04E7"/>
    <w:rsid w:val="006D0E0B"/>
    <w:rsid w:val="006D5503"/>
    <w:rsid w:val="006D5E51"/>
    <w:rsid w:val="006D6025"/>
    <w:rsid w:val="006D6FE8"/>
    <w:rsid w:val="006D7398"/>
    <w:rsid w:val="006D79E9"/>
    <w:rsid w:val="006E01B4"/>
    <w:rsid w:val="006E0592"/>
    <w:rsid w:val="006E2135"/>
    <w:rsid w:val="006E2990"/>
    <w:rsid w:val="006E2AE5"/>
    <w:rsid w:val="006E563F"/>
    <w:rsid w:val="006E6ADD"/>
    <w:rsid w:val="006E7AB7"/>
    <w:rsid w:val="006F5707"/>
    <w:rsid w:val="006F5F91"/>
    <w:rsid w:val="006F7023"/>
    <w:rsid w:val="006F71CA"/>
    <w:rsid w:val="006F7A94"/>
    <w:rsid w:val="006F7E9F"/>
    <w:rsid w:val="00703607"/>
    <w:rsid w:val="00703A0E"/>
    <w:rsid w:val="00704CF1"/>
    <w:rsid w:val="00707366"/>
    <w:rsid w:val="00710E96"/>
    <w:rsid w:val="00711265"/>
    <w:rsid w:val="0071397B"/>
    <w:rsid w:val="00714F47"/>
    <w:rsid w:val="0072088E"/>
    <w:rsid w:val="00721103"/>
    <w:rsid w:val="00723C39"/>
    <w:rsid w:val="00724123"/>
    <w:rsid w:val="00724D18"/>
    <w:rsid w:val="00726B33"/>
    <w:rsid w:val="00727D08"/>
    <w:rsid w:val="007365A9"/>
    <w:rsid w:val="00736C5D"/>
    <w:rsid w:val="00736CBB"/>
    <w:rsid w:val="00744A4E"/>
    <w:rsid w:val="00747A5F"/>
    <w:rsid w:val="00750937"/>
    <w:rsid w:val="00755BA8"/>
    <w:rsid w:val="00756172"/>
    <w:rsid w:val="00757D80"/>
    <w:rsid w:val="0076084B"/>
    <w:rsid w:val="007615F6"/>
    <w:rsid w:val="00764CFB"/>
    <w:rsid w:val="00766A91"/>
    <w:rsid w:val="0076722E"/>
    <w:rsid w:val="007732BB"/>
    <w:rsid w:val="00775E13"/>
    <w:rsid w:val="00776E40"/>
    <w:rsid w:val="007770C8"/>
    <w:rsid w:val="00780B46"/>
    <w:rsid w:val="00781AB8"/>
    <w:rsid w:val="007841B5"/>
    <w:rsid w:val="007851B5"/>
    <w:rsid w:val="007865CE"/>
    <w:rsid w:val="00786FC9"/>
    <w:rsid w:val="00787E71"/>
    <w:rsid w:val="007917B0"/>
    <w:rsid w:val="007940B5"/>
    <w:rsid w:val="0079538F"/>
    <w:rsid w:val="007955C9"/>
    <w:rsid w:val="007A0DED"/>
    <w:rsid w:val="007A245F"/>
    <w:rsid w:val="007A3303"/>
    <w:rsid w:val="007B1B74"/>
    <w:rsid w:val="007B42F4"/>
    <w:rsid w:val="007C14B2"/>
    <w:rsid w:val="007C38A5"/>
    <w:rsid w:val="007C612E"/>
    <w:rsid w:val="007C659F"/>
    <w:rsid w:val="007D129C"/>
    <w:rsid w:val="007D2C90"/>
    <w:rsid w:val="007D3533"/>
    <w:rsid w:val="007D3775"/>
    <w:rsid w:val="007D389F"/>
    <w:rsid w:val="007D76A1"/>
    <w:rsid w:val="007E2489"/>
    <w:rsid w:val="007E3854"/>
    <w:rsid w:val="007E3D17"/>
    <w:rsid w:val="007E428E"/>
    <w:rsid w:val="007F3D5B"/>
    <w:rsid w:val="007F4384"/>
    <w:rsid w:val="007F6956"/>
    <w:rsid w:val="007F762D"/>
    <w:rsid w:val="008002BE"/>
    <w:rsid w:val="008045D8"/>
    <w:rsid w:val="00805113"/>
    <w:rsid w:val="00805C16"/>
    <w:rsid w:val="0080616A"/>
    <w:rsid w:val="008077C3"/>
    <w:rsid w:val="00813206"/>
    <w:rsid w:val="00813AD9"/>
    <w:rsid w:val="00814048"/>
    <w:rsid w:val="00817503"/>
    <w:rsid w:val="00820624"/>
    <w:rsid w:val="00820663"/>
    <w:rsid w:val="00820CBE"/>
    <w:rsid w:val="00821F83"/>
    <w:rsid w:val="008223B0"/>
    <w:rsid w:val="00825921"/>
    <w:rsid w:val="00827D9B"/>
    <w:rsid w:val="00830273"/>
    <w:rsid w:val="008335FF"/>
    <w:rsid w:val="00834566"/>
    <w:rsid w:val="00835441"/>
    <w:rsid w:val="00835EBE"/>
    <w:rsid w:val="00841D18"/>
    <w:rsid w:val="00845956"/>
    <w:rsid w:val="00846044"/>
    <w:rsid w:val="00846D92"/>
    <w:rsid w:val="00847146"/>
    <w:rsid w:val="00847CE4"/>
    <w:rsid w:val="00855284"/>
    <w:rsid w:val="00855904"/>
    <w:rsid w:val="00856BBE"/>
    <w:rsid w:val="00857FD5"/>
    <w:rsid w:val="0086197C"/>
    <w:rsid w:val="00862CCC"/>
    <w:rsid w:val="00863453"/>
    <w:rsid w:val="008637B5"/>
    <w:rsid w:val="0086409C"/>
    <w:rsid w:val="00864E47"/>
    <w:rsid w:val="008654EB"/>
    <w:rsid w:val="00867401"/>
    <w:rsid w:val="008677AD"/>
    <w:rsid w:val="008703C3"/>
    <w:rsid w:val="0087365F"/>
    <w:rsid w:val="00876207"/>
    <w:rsid w:val="00876779"/>
    <w:rsid w:val="0087694D"/>
    <w:rsid w:val="00877986"/>
    <w:rsid w:val="00877D80"/>
    <w:rsid w:val="00877F0D"/>
    <w:rsid w:val="008851EB"/>
    <w:rsid w:val="0088593D"/>
    <w:rsid w:val="008861C2"/>
    <w:rsid w:val="008872E5"/>
    <w:rsid w:val="0089120A"/>
    <w:rsid w:val="00891C59"/>
    <w:rsid w:val="008922C0"/>
    <w:rsid w:val="00892532"/>
    <w:rsid w:val="00892AF7"/>
    <w:rsid w:val="00894A3C"/>
    <w:rsid w:val="00894E9A"/>
    <w:rsid w:val="0089743A"/>
    <w:rsid w:val="008A2103"/>
    <w:rsid w:val="008A4BC2"/>
    <w:rsid w:val="008A4F0C"/>
    <w:rsid w:val="008B169B"/>
    <w:rsid w:val="008B3AD0"/>
    <w:rsid w:val="008B4309"/>
    <w:rsid w:val="008B459E"/>
    <w:rsid w:val="008B49AE"/>
    <w:rsid w:val="008B71BC"/>
    <w:rsid w:val="008B7918"/>
    <w:rsid w:val="008C11F6"/>
    <w:rsid w:val="008C5384"/>
    <w:rsid w:val="008C53CA"/>
    <w:rsid w:val="008D1FA8"/>
    <w:rsid w:val="008D3405"/>
    <w:rsid w:val="008D4381"/>
    <w:rsid w:val="008D5430"/>
    <w:rsid w:val="008E2026"/>
    <w:rsid w:val="008E3999"/>
    <w:rsid w:val="008E75ED"/>
    <w:rsid w:val="008F2A3F"/>
    <w:rsid w:val="008F4025"/>
    <w:rsid w:val="008F47F2"/>
    <w:rsid w:val="008F61A7"/>
    <w:rsid w:val="00902C14"/>
    <w:rsid w:val="00903453"/>
    <w:rsid w:val="009047CC"/>
    <w:rsid w:val="00904B60"/>
    <w:rsid w:val="009052D5"/>
    <w:rsid w:val="009103CA"/>
    <w:rsid w:val="00914955"/>
    <w:rsid w:val="00915444"/>
    <w:rsid w:val="009177A6"/>
    <w:rsid w:val="00921667"/>
    <w:rsid w:val="009223E2"/>
    <w:rsid w:val="00923603"/>
    <w:rsid w:val="009239E6"/>
    <w:rsid w:val="009251F1"/>
    <w:rsid w:val="00927AC4"/>
    <w:rsid w:val="00927F96"/>
    <w:rsid w:val="00931284"/>
    <w:rsid w:val="00931FE0"/>
    <w:rsid w:val="009321E9"/>
    <w:rsid w:val="00934767"/>
    <w:rsid w:val="00937426"/>
    <w:rsid w:val="009422D7"/>
    <w:rsid w:val="00944697"/>
    <w:rsid w:val="00954F4A"/>
    <w:rsid w:val="00957CC3"/>
    <w:rsid w:val="00957EAF"/>
    <w:rsid w:val="00960114"/>
    <w:rsid w:val="00960502"/>
    <w:rsid w:val="00960C4E"/>
    <w:rsid w:val="00961685"/>
    <w:rsid w:val="00964094"/>
    <w:rsid w:val="009668B6"/>
    <w:rsid w:val="00973A92"/>
    <w:rsid w:val="009742CA"/>
    <w:rsid w:val="00974B0C"/>
    <w:rsid w:val="00975A87"/>
    <w:rsid w:val="009805BC"/>
    <w:rsid w:val="009815C9"/>
    <w:rsid w:val="0098300F"/>
    <w:rsid w:val="0098392A"/>
    <w:rsid w:val="009843BD"/>
    <w:rsid w:val="00990054"/>
    <w:rsid w:val="009909F0"/>
    <w:rsid w:val="00991649"/>
    <w:rsid w:val="00992B24"/>
    <w:rsid w:val="009A132D"/>
    <w:rsid w:val="009A3343"/>
    <w:rsid w:val="009A3C9A"/>
    <w:rsid w:val="009A5ED0"/>
    <w:rsid w:val="009A71ED"/>
    <w:rsid w:val="009B00ED"/>
    <w:rsid w:val="009B26A2"/>
    <w:rsid w:val="009B3AD9"/>
    <w:rsid w:val="009B3D63"/>
    <w:rsid w:val="009B6982"/>
    <w:rsid w:val="009B6A82"/>
    <w:rsid w:val="009B6EA3"/>
    <w:rsid w:val="009B7872"/>
    <w:rsid w:val="009C4F92"/>
    <w:rsid w:val="009C5073"/>
    <w:rsid w:val="009D1AF8"/>
    <w:rsid w:val="009D250E"/>
    <w:rsid w:val="009D43BB"/>
    <w:rsid w:val="009D53EF"/>
    <w:rsid w:val="009D5701"/>
    <w:rsid w:val="009E04B2"/>
    <w:rsid w:val="009E090C"/>
    <w:rsid w:val="009E4351"/>
    <w:rsid w:val="009E5FEE"/>
    <w:rsid w:val="009F142D"/>
    <w:rsid w:val="009F1854"/>
    <w:rsid w:val="009F24B0"/>
    <w:rsid w:val="00A00B3A"/>
    <w:rsid w:val="00A02BBB"/>
    <w:rsid w:val="00A04BCD"/>
    <w:rsid w:val="00A101D3"/>
    <w:rsid w:val="00A147F4"/>
    <w:rsid w:val="00A14C21"/>
    <w:rsid w:val="00A15A03"/>
    <w:rsid w:val="00A16998"/>
    <w:rsid w:val="00A17C76"/>
    <w:rsid w:val="00A2009E"/>
    <w:rsid w:val="00A302FB"/>
    <w:rsid w:val="00A319A6"/>
    <w:rsid w:val="00A34C72"/>
    <w:rsid w:val="00A416EF"/>
    <w:rsid w:val="00A442A7"/>
    <w:rsid w:val="00A44684"/>
    <w:rsid w:val="00A446AA"/>
    <w:rsid w:val="00A44735"/>
    <w:rsid w:val="00A44E9C"/>
    <w:rsid w:val="00A52C97"/>
    <w:rsid w:val="00A543B1"/>
    <w:rsid w:val="00A61915"/>
    <w:rsid w:val="00A62A2C"/>
    <w:rsid w:val="00A63B98"/>
    <w:rsid w:val="00A65226"/>
    <w:rsid w:val="00A65E38"/>
    <w:rsid w:val="00A674B0"/>
    <w:rsid w:val="00A7047C"/>
    <w:rsid w:val="00A74DC7"/>
    <w:rsid w:val="00A76736"/>
    <w:rsid w:val="00A77F30"/>
    <w:rsid w:val="00A83B58"/>
    <w:rsid w:val="00A8714C"/>
    <w:rsid w:val="00A91DF6"/>
    <w:rsid w:val="00A94BB5"/>
    <w:rsid w:val="00AA0BAA"/>
    <w:rsid w:val="00AA0C0E"/>
    <w:rsid w:val="00AA11B7"/>
    <w:rsid w:val="00AA7A7C"/>
    <w:rsid w:val="00AB0670"/>
    <w:rsid w:val="00AB11E8"/>
    <w:rsid w:val="00AB11F4"/>
    <w:rsid w:val="00AB12BF"/>
    <w:rsid w:val="00AB2B35"/>
    <w:rsid w:val="00AB4452"/>
    <w:rsid w:val="00AB4E79"/>
    <w:rsid w:val="00AB570A"/>
    <w:rsid w:val="00AC0710"/>
    <w:rsid w:val="00AC0B30"/>
    <w:rsid w:val="00AC113E"/>
    <w:rsid w:val="00AC2258"/>
    <w:rsid w:val="00AC69A3"/>
    <w:rsid w:val="00AC6B6C"/>
    <w:rsid w:val="00AD2CA6"/>
    <w:rsid w:val="00AD38E4"/>
    <w:rsid w:val="00AD4014"/>
    <w:rsid w:val="00AD4073"/>
    <w:rsid w:val="00AD5FC3"/>
    <w:rsid w:val="00AD69B9"/>
    <w:rsid w:val="00AD6EC4"/>
    <w:rsid w:val="00AE08D4"/>
    <w:rsid w:val="00AE259F"/>
    <w:rsid w:val="00AE2E2F"/>
    <w:rsid w:val="00AE42AE"/>
    <w:rsid w:val="00AE5516"/>
    <w:rsid w:val="00AF0CC2"/>
    <w:rsid w:val="00AF3D35"/>
    <w:rsid w:val="00AF57B9"/>
    <w:rsid w:val="00AF5824"/>
    <w:rsid w:val="00AF736E"/>
    <w:rsid w:val="00AF77FB"/>
    <w:rsid w:val="00B05F7A"/>
    <w:rsid w:val="00B11466"/>
    <w:rsid w:val="00B1291F"/>
    <w:rsid w:val="00B146D7"/>
    <w:rsid w:val="00B162AD"/>
    <w:rsid w:val="00B16C6C"/>
    <w:rsid w:val="00B16CEB"/>
    <w:rsid w:val="00B174D9"/>
    <w:rsid w:val="00B17F9B"/>
    <w:rsid w:val="00B206BD"/>
    <w:rsid w:val="00B20783"/>
    <w:rsid w:val="00B20C57"/>
    <w:rsid w:val="00B2102B"/>
    <w:rsid w:val="00B219D1"/>
    <w:rsid w:val="00B23560"/>
    <w:rsid w:val="00B241A4"/>
    <w:rsid w:val="00B24954"/>
    <w:rsid w:val="00B30464"/>
    <w:rsid w:val="00B30AA6"/>
    <w:rsid w:val="00B30AAE"/>
    <w:rsid w:val="00B320AA"/>
    <w:rsid w:val="00B33011"/>
    <w:rsid w:val="00B343F6"/>
    <w:rsid w:val="00B34A4D"/>
    <w:rsid w:val="00B364FE"/>
    <w:rsid w:val="00B40A86"/>
    <w:rsid w:val="00B42ADF"/>
    <w:rsid w:val="00B4437F"/>
    <w:rsid w:val="00B44DE6"/>
    <w:rsid w:val="00B45840"/>
    <w:rsid w:val="00B5040C"/>
    <w:rsid w:val="00B55EA6"/>
    <w:rsid w:val="00B56AEE"/>
    <w:rsid w:val="00B5743D"/>
    <w:rsid w:val="00B5748C"/>
    <w:rsid w:val="00B57A44"/>
    <w:rsid w:val="00B61FBB"/>
    <w:rsid w:val="00B62F38"/>
    <w:rsid w:val="00B72DB5"/>
    <w:rsid w:val="00B73415"/>
    <w:rsid w:val="00B7491E"/>
    <w:rsid w:val="00B765A6"/>
    <w:rsid w:val="00B7673A"/>
    <w:rsid w:val="00B8086E"/>
    <w:rsid w:val="00B80A1A"/>
    <w:rsid w:val="00B8308D"/>
    <w:rsid w:val="00B8380B"/>
    <w:rsid w:val="00B84675"/>
    <w:rsid w:val="00B8483C"/>
    <w:rsid w:val="00B855AE"/>
    <w:rsid w:val="00B86E13"/>
    <w:rsid w:val="00B872FF"/>
    <w:rsid w:val="00B915AA"/>
    <w:rsid w:val="00B9194B"/>
    <w:rsid w:val="00B91C37"/>
    <w:rsid w:val="00B953A9"/>
    <w:rsid w:val="00B9740F"/>
    <w:rsid w:val="00BA1106"/>
    <w:rsid w:val="00BA1A54"/>
    <w:rsid w:val="00BA1F33"/>
    <w:rsid w:val="00BA2053"/>
    <w:rsid w:val="00BA4386"/>
    <w:rsid w:val="00BA67F5"/>
    <w:rsid w:val="00BA692F"/>
    <w:rsid w:val="00BB61F5"/>
    <w:rsid w:val="00BC3ABF"/>
    <w:rsid w:val="00BC600B"/>
    <w:rsid w:val="00BD2138"/>
    <w:rsid w:val="00BD6752"/>
    <w:rsid w:val="00BD6DB2"/>
    <w:rsid w:val="00BE386D"/>
    <w:rsid w:val="00BF1D88"/>
    <w:rsid w:val="00BF3E7D"/>
    <w:rsid w:val="00BF41F2"/>
    <w:rsid w:val="00BF4360"/>
    <w:rsid w:val="00BF488C"/>
    <w:rsid w:val="00BF545B"/>
    <w:rsid w:val="00BF7C28"/>
    <w:rsid w:val="00C14533"/>
    <w:rsid w:val="00C163BF"/>
    <w:rsid w:val="00C16D7D"/>
    <w:rsid w:val="00C2028B"/>
    <w:rsid w:val="00C24206"/>
    <w:rsid w:val="00C2579D"/>
    <w:rsid w:val="00C30865"/>
    <w:rsid w:val="00C31BED"/>
    <w:rsid w:val="00C31C5D"/>
    <w:rsid w:val="00C35289"/>
    <w:rsid w:val="00C3612D"/>
    <w:rsid w:val="00C365D2"/>
    <w:rsid w:val="00C40B8E"/>
    <w:rsid w:val="00C42107"/>
    <w:rsid w:val="00C4322E"/>
    <w:rsid w:val="00C448FB"/>
    <w:rsid w:val="00C47E8E"/>
    <w:rsid w:val="00C50A06"/>
    <w:rsid w:val="00C54D86"/>
    <w:rsid w:val="00C54E07"/>
    <w:rsid w:val="00C55905"/>
    <w:rsid w:val="00C611E8"/>
    <w:rsid w:val="00C6170D"/>
    <w:rsid w:val="00C62353"/>
    <w:rsid w:val="00C63049"/>
    <w:rsid w:val="00C6683C"/>
    <w:rsid w:val="00C71676"/>
    <w:rsid w:val="00C834E0"/>
    <w:rsid w:val="00C83D65"/>
    <w:rsid w:val="00C85983"/>
    <w:rsid w:val="00C868AB"/>
    <w:rsid w:val="00C868B6"/>
    <w:rsid w:val="00C872C5"/>
    <w:rsid w:val="00C90676"/>
    <w:rsid w:val="00C91884"/>
    <w:rsid w:val="00C933AA"/>
    <w:rsid w:val="00C966A2"/>
    <w:rsid w:val="00C97280"/>
    <w:rsid w:val="00CB06D8"/>
    <w:rsid w:val="00CB256D"/>
    <w:rsid w:val="00CB2C9B"/>
    <w:rsid w:val="00CB5580"/>
    <w:rsid w:val="00CB766D"/>
    <w:rsid w:val="00CB7CE6"/>
    <w:rsid w:val="00CC01D7"/>
    <w:rsid w:val="00CC1677"/>
    <w:rsid w:val="00CC3262"/>
    <w:rsid w:val="00CC33BA"/>
    <w:rsid w:val="00CC3822"/>
    <w:rsid w:val="00CC531A"/>
    <w:rsid w:val="00CC76EB"/>
    <w:rsid w:val="00CC797D"/>
    <w:rsid w:val="00CC7FA4"/>
    <w:rsid w:val="00CD078D"/>
    <w:rsid w:val="00CD0B9C"/>
    <w:rsid w:val="00CD25B6"/>
    <w:rsid w:val="00CD2C23"/>
    <w:rsid w:val="00CD42AB"/>
    <w:rsid w:val="00CD55A8"/>
    <w:rsid w:val="00CE1EAD"/>
    <w:rsid w:val="00CE3F4E"/>
    <w:rsid w:val="00CE4FF4"/>
    <w:rsid w:val="00CE5096"/>
    <w:rsid w:val="00CE71BD"/>
    <w:rsid w:val="00CF07FF"/>
    <w:rsid w:val="00CF25BF"/>
    <w:rsid w:val="00CF60B0"/>
    <w:rsid w:val="00CF6B22"/>
    <w:rsid w:val="00CF786A"/>
    <w:rsid w:val="00CF7B7B"/>
    <w:rsid w:val="00D05739"/>
    <w:rsid w:val="00D10621"/>
    <w:rsid w:val="00D11C17"/>
    <w:rsid w:val="00D13424"/>
    <w:rsid w:val="00D14CA8"/>
    <w:rsid w:val="00D1669C"/>
    <w:rsid w:val="00D220EE"/>
    <w:rsid w:val="00D23E8F"/>
    <w:rsid w:val="00D315F3"/>
    <w:rsid w:val="00D31835"/>
    <w:rsid w:val="00D31B25"/>
    <w:rsid w:val="00D3294A"/>
    <w:rsid w:val="00D368E4"/>
    <w:rsid w:val="00D40582"/>
    <w:rsid w:val="00D4683E"/>
    <w:rsid w:val="00D50598"/>
    <w:rsid w:val="00D50FFD"/>
    <w:rsid w:val="00D51207"/>
    <w:rsid w:val="00D546B0"/>
    <w:rsid w:val="00D56104"/>
    <w:rsid w:val="00D63775"/>
    <w:rsid w:val="00D6520B"/>
    <w:rsid w:val="00D65B75"/>
    <w:rsid w:val="00D65ECD"/>
    <w:rsid w:val="00D66B59"/>
    <w:rsid w:val="00D66C6A"/>
    <w:rsid w:val="00D675C9"/>
    <w:rsid w:val="00D7308E"/>
    <w:rsid w:val="00D75319"/>
    <w:rsid w:val="00D7537F"/>
    <w:rsid w:val="00D75F22"/>
    <w:rsid w:val="00D7724D"/>
    <w:rsid w:val="00D8176E"/>
    <w:rsid w:val="00D856CF"/>
    <w:rsid w:val="00D8604E"/>
    <w:rsid w:val="00D861AD"/>
    <w:rsid w:val="00D970E7"/>
    <w:rsid w:val="00DA0B01"/>
    <w:rsid w:val="00DA55C9"/>
    <w:rsid w:val="00DA6543"/>
    <w:rsid w:val="00DA729B"/>
    <w:rsid w:val="00DB132B"/>
    <w:rsid w:val="00DB52C6"/>
    <w:rsid w:val="00DB5612"/>
    <w:rsid w:val="00DC1340"/>
    <w:rsid w:val="00DD0461"/>
    <w:rsid w:val="00DD205A"/>
    <w:rsid w:val="00DD21B8"/>
    <w:rsid w:val="00DD34A0"/>
    <w:rsid w:val="00DD5F34"/>
    <w:rsid w:val="00DE3E2F"/>
    <w:rsid w:val="00DE5F13"/>
    <w:rsid w:val="00DE72B4"/>
    <w:rsid w:val="00DE76F4"/>
    <w:rsid w:val="00DF1AC2"/>
    <w:rsid w:val="00DF3B8C"/>
    <w:rsid w:val="00DF3E90"/>
    <w:rsid w:val="00E00008"/>
    <w:rsid w:val="00E00464"/>
    <w:rsid w:val="00E00957"/>
    <w:rsid w:val="00E02826"/>
    <w:rsid w:val="00E0475F"/>
    <w:rsid w:val="00E05B78"/>
    <w:rsid w:val="00E06AE6"/>
    <w:rsid w:val="00E06C21"/>
    <w:rsid w:val="00E07DCD"/>
    <w:rsid w:val="00E07DD4"/>
    <w:rsid w:val="00E1036F"/>
    <w:rsid w:val="00E11016"/>
    <w:rsid w:val="00E125A9"/>
    <w:rsid w:val="00E13114"/>
    <w:rsid w:val="00E169E8"/>
    <w:rsid w:val="00E2025B"/>
    <w:rsid w:val="00E23898"/>
    <w:rsid w:val="00E23E28"/>
    <w:rsid w:val="00E24A53"/>
    <w:rsid w:val="00E26AA2"/>
    <w:rsid w:val="00E3088B"/>
    <w:rsid w:val="00E3446B"/>
    <w:rsid w:val="00E354B0"/>
    <w:rsid w:val="00E3570E"/>
    <w:rsid w:val="00E3679D"/>
    <w:rsid w:val="00E36BBD"/>
    <w:rsid w:val="00E41FEE"/>
    <w:rsid w:val="00E45903"/>
    <w:rsid w:val="00E47CE4"/>
    <w:rsid w:val="00E511E2"/>
    <w:rsid w:val="00E555BD"/>
    <w:rsid w:val="00E55E6F"/>
    <w:rsid w:val="00E56C0D"/>
    <w:rsid w:val="00E5729A"/>
    <w:rsid w:val="00E57308"/>
    <w:rsid w:val="00E613C3"/>
    <w:rsid w:val="00E616EE"/>
    <w:rsid w:val="00E654F7"/>
    <w:rsid w:val="00E66CA1"/>
    <w:rsid w:val="00E67C0C"/>
    <w:rsid w:val="00E67F34"/>
    <w:rsid w:val="00E70659"/>
    <w:rsid w:val="00E75005"/>
    <w:rsid w:val="00E757DB"/>
    <w:rsid w:val="00E76A95"/>
    <w:rsid w:val="00E8070D"/>
    <w:rsid w:val="00E81B76"/>
    <w:rsid w:val="00E82B8A"/>
    <w:rsid w:val="00E84B7F"/>
    <w:rsid w:val="00E9063E"/>
    <w:rsid w:val="00E91832"/>
    <w:rsid w:val="00E97912"/>
    <w:rsid w:val="00EA06E2"/>
    <w:rsid w:val="00EA0A13"/>
    <w:rsid w:val="00EA173E"/>
    <w:rsid w:val="00EA17A6"/>
    <w:rsid w:val="00EA1FC2"/>
    <w:rsid w:val="00EA5F15"/>
    <w:rsid w:val="00EA7F73"/>
    <w:rsid w:val="00EB365D"/>
    <w:rsid w:val="00EB3F76"/>
    <w:rsid w:val="00EB4BAE"/>
    <w:rsid w:val="00EC0565"/>
    <w:rsid w:val="00EC2095"/>
    <w:rsid w:val="00EC4D4F"/>
    <w:rsid w:val="00EC4EA3"/>
    <w:rsid w:val="00ED03B7"/>
    <w:rsid w:val="00ED381A"/>
    <w:rsid w:val="00ED41F5"/>
    <w:rsid w:val="00ED5C09"/>
    <w:rsid w:val="00ED65A1"/>
    <w:rsid w:val="00EE1824"/>
    <w:rsid w:val="00EE5A53"/>
    <w:rsid w:val="00EE5F74"/>
    <w:rsid w:val="00EE687D"/>
    <w:rsid w:val="00EE6FBD"/>
    <w:rsid w:val="00EF235C"/>
    <w:rsid w:val="00EF23DE"/>
    <w:rsid w:val="00EF3A29"/>
    <w:rsid w:val="00EF50AC"/>
    <w:rsid w:val="00EF5246"/>
    <w:rsid w:val="00EF58E6"/>
    <w:rsid w:val="00EF7A14"/>
    <w:rsid w:val="00EF7AFB"/>
    <w:rsid w:val="00F01513"/>
    <w:rsid w:val="00F02424"/>
    <w:rsid w:val="00F03CAA"/>
    <w:rsid w:val="00F04976"/>
    <w:rsid w:val="00F05C6E"/>
    <w:rsid w:val="00F068ED"/>
    <w:rsid w:val="00F079D0"/>
    <w:rsid w:val="00F113F6"/>
    <w:rsid w:val="00F1246E"/>
    <w:rsid w:val="00F12616"/>
    <w:rsid w:val="00F127DF"/>
    <w:rsid w:val="00F16C01"/>
    <w:rsid w:val="00F17C0F"/>
    <w:rsid w:val="00F20227"/>
    <w:rsid w:val="00F223CF"/>
    <w:rsid w:val="00F25A05"/>
    <w:rsid w:val="00F34115"/>
    <w:rsid w:val="00F417AD"/>
    <w:rsid w:val="00F41A73"/>
    <w:rsid w:val="00F463B9"/>
    <w:rsid w:val="00F47144"/>
    <w:rsid w:val="00F47407"/>
    <w:rsid w:val="00F504CA"/>
    <w:rsid w:val="00F5115D"/>
    <w:rsid w:val="00F5230B"/>
    <w:rsid w:val="00F5364C"/>
    <w:rsid w:val="00F56D15"/>
    <w:rsid w:val="00F56D38"/>
    <w:rsid w:val="00F632EF"/>
    <w:rsid w:val="00F73667"/>
    <w:rsid w:val="00F73966"/>
    <w:rsid w:val="00F7405A"/>
    <w:rsid w:val="00F743D8"/>
    <w:rsid w:val="00F76976"/>
    <w:rsid w:val="00F81294"/>
    <w:rsid w:val="00F8520A"/>
    <w:rsid w:val="00F90FAC"/>
    <w:rsid w:val="00F91B76"/>
    <w:rsid w:val="00F965BA"/>
    <w:rsid w:val="00FA0DD3"/>
    <w:rsid w:val="00FA251C"/>
    <w:rsid w:val="00FA2703"/>
    <w:rsid w:val="00FA2CDD"/>
    <w:rsid w:val="00FA7A06"/>
    <w:rsid w:val="00FB0995"/>
    <w:rsid w:val="00FB0CD3"/>
    <w:rsid w:val="00FB2FB3"/>
    <w:rsid w:val="00FB4D89"/>
    <w:rsid w:val="00FB6F51"/>
    <w:rsid w:val="00FC003F"/>
    <w:rsid w:val="00FC2F7E"/>
    <w:rsid w:val="00FC41B4"/>
    <w:rsid w:val="00FD12FC"/>
    <w:rsid w:val="00FD1BAA"/>
    <w:rsid w:val="00FD42A0"/>
    <w:rsid w:val="00FD5D71"/>
    <w:rsid w:val="00FD79D5"/>
    <w:rsid w:val="00FE60AB"/>
    <w:rsid w:val="00FE7241"/>
    <w:rsid w:val="00FE7C84"/>
    <w:rsid w:val="00FF15F2"/>
    <w:rsid w:val="00FF2557"/>
    <w:rsid w:val="00FF256F"/>
    <w:rsid w:val="00FF26DC"/>
    <w:rsid w:val="00FF3338"/>
    <w:rsid w:val="00FF6A5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38E2C48"/>
  <w15:chartTrackingRefBased/>
  <w15:docId w15:val="{0102E87F-21D5-4489-95CE-1AA4523A3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5" w:unhideWhenUsed="1" w:qFormat="1"/>
    <w:lsdException w:name="List Bullet" w:semiHidden="1" w:uiPriority="6" w:unhideWhenUsed="1" w:qFormat="1"/>
    <w:lsdException w:name="List Number" w:semiHidden="1" w:uiPriority="7" w:unhideWhenUsed="1" w:qFormat="1"/>
    <w:lsdException w:name="List 2" w:semiHidden="1" w:uiPriority="5" w:unhideWhenUsed="1" w:qFormat="1"/>
    <w:lsdException w:name="List 3" w:semiHidden="1" w:uiPriority="5" w:unhideWhenUsed="1"/>
    <w:lsdException w:name="List 4" w:semiHidden="1" w:uiPriority="5" w:unhideWhenUsed="1"/>
    <w:lsdException w:name="List 5" w:semiHidden="1" w:uiPriority="5" w:unhideWhenUsed="1"/>
    <w:lsdException w:name="List Bullet 2" w:semiHidden="1" w:uiPriority="6" w:unhideWhenUsed="1" w:qFormat="1"/>
    <w:lsdException w:name="List Bullet 3" w:semiHidden="1" w:uiPriority="6" w:unhideWhenUsed="1"/>
    <w:lsdException w:name="List Bullet 4" w:semiHidden="1" w:uiPriority="6" w:unhideWhenUsed="1"/>
    <w:lsdException w:name="List Bullet 5" w:semiHidden="1" w:uiPriority="6" w:unhideWhenUsed="1"/>
    <w:lsdException w:name="List Number 2" w:semiHidden="1" w:uiPriority="7" w:unhideWhenUsed="1" w:qFormat="1"/>
    <w:lsdException w:name="List Number 3" w:semiHidden="1" w:uiPriority="7" w:unhideWhenUsed="1"/>
    <w:lsdException w:name="List Number 4" w:semiHidden="1" w:uiPriority="7" w:unhideWhenUsed="1"/>
    <w:lsdException w:name="List Number 5" w:semiHidden="1" w:uiPriority="7"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iPriority="0" w:unhideWhenUsed="1"/>
    <w:lsdException w:name="List Continue" w:semiHidden="1" w:uiPriority="8" w:unhideWhenUsed="1" w:qFormat="1"/>
    <w:lsdException w:name="List Continue 2" w:semiHidden="1" w:uiPriority="8" w:unhideWhenUsed="1" w:qFormat="1"/>
    <w:lsdException w:name="List Continue 3" w:semiHidden="1" w:uiPriority="8" w:unhideWhenUsed="1"/>
    <w:lsdException w:name="List Continue 4" w:semiHidden="1" w:uiPriority="8" w:unhideWhenUsed="1"/>
    <w:lsdException w:name="List Continue 5" w:semiHidden="1" w:uiPriority="8"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qFormat="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07DD4"/>
  </w:style>
  <w:style w:type="paragraph" w:styleId="Heading1">
    <w:name w:val="heading 1"/>
    <w:aliases w:val="Heading 1 Char Char Char,Heading 1 Char Char Char Char Char Char,Heading 1 Char Char1,Heading 1 Char Char1 Char,Heading 1 Char Char2,Heading 1 Char1 Char,Heading 1 Char1 Char Char Char2 Char,Heading 1 Char2,Heading 1 Char2 Char Char1 Char"/>
    <w:basedOn w:val="Normal"/>
    <w:next w:val="ParaNum"/>
    <w:link w:val="Heading1Char"/>
    <w:qFormat/>
    <w:rsid w:val="00AF736E"/>
    <w:pPr>
      <w:keepNext/>
      <w:widowControl w:val="0"/>
      <w:numPr>
        <w:numId w:val="4"/>
      </w:numPr>
      <w:tabs>
        <w:tab w:val="left" w:pos="720"/>
      </w:tabs>
      <w:suppressAutoHyphens/>
      <w:spacing w:after="120"/>
      <w:ind w:left="0" w:firstLine="0"/>
      <w:outlineLvl w:val="0"/>
    </w:pPr>
    <w:rPr>
      <w:rFonts w:ascii="Times New Roman Bold" w:hAnsi="Times New Roman Bold"/>
      <w:b/>
      <w:caps/>
      <w:snapToGrid w:val="0"/>
      <w:kern w:val="28"/>
      <w:sz w:val="22"/>
    </w:rPr>
  </w:style>
  <w:style w:type="paragraph" w:styleId="Heading2">
    <w:name w:val="heading 2"/>
    <w:aliases w:val="Heading 2 Char Char1,Heading 2 Char Char1 Char Char,Heading 2 Char Char2,Heading 2 Char Char3 Char,Heading 2 Char1 Char,Heading 2 Char1 Char Char,Heading 2 Char1 Char Char Char,Heading 2 Char2,Heading 2 Char4,UNDERRUBRIK 1-2 Char,h2 Char"/>
    <w:basedOn w:val="Normal"/>
    <w:next w:val="ParaNum"/>
    <w:link w:val="Heading2Char"/>
    <w:autoRedefine/>
    <w:qFormat/>
    <w:rsid w:val="00AF736E"/>
    <w:pPr>
      <w:keepNext/>
      <w:widowControl w:val="0"/>
      <w:numPr>
        <w:ilvl w:val="1"/>
        <w:numId w:val="4"/>
      </w:numPr>
      <w:tabs>
        <w:tab w:val="clear" w:pos="1440"/>
      </w:tabs>
      <w:spacing w:after="120"/>
      <w:ind w:left="0" w:firstLine="0"/>
      <w:outlineLvl w:val="1"/>
    </w:pPr>
    <w:rPr>
      <w:b/>
      <w:snapToGrid w:val="0"/>
      <w:kern w:val="28"/>
      <w:sz w:val="22"/>
    </w:rPr>
  </w:style>
  <w:style w:type="paragraph" w:styleId="Heading3">
    <w:name w:val="heading 3"/>
    <w:aliases w:val="1,1 Char,3,3 Char,31,31 Char,?? 3,?? 3 Char,Heading 3 Char Char Char Char,Heading 3 Char Char Char Char Char,Heading 3 Char1,Heading 3 Char1 Char Char,Heading 3 Char2 Char1 Char Char,Heading 3 Char3,Titre 3,Titre 3 Char,Titre 31,Titre 31 Char"/>
    <w:basedOn w:val="Normal"/>
    <w:next w:val="ParaNum"/>
    <w:link w:val="Heading3Char"/>
    <w:qFormat/>
    <w:rsid w:val="00AF736E"/>
    <w:pPr>
      <w:keepNext/>
      <w:widowControl w:val="0"/>
      <w:numPr>
        <w:ilvl w:val="2"/>
        <w:numId w:val="4"/>
      </w:numPr>
      <w:tabs>
        <w:tab w:val="left" w:pos="2160"/>
      </w:tabs>
      <w:spacing w:after="120"/>
      <w:ind w:left="0" w:firstLine="0"/>
      <w:outlineLvl w:val="2"/>
    </w:pPr>
    <w:rPr>
      <w:b/>
      <w:snapToGrid w:val="0"/>
      <w:kern w:val="28"/>
      <w:sz w:val="22"/>
    </w:rPr>
  </w:style>
  <w:style w:type="paragraph" w:styleId="Heading4">
    <w:name w:val="heading 4"/>
    <w:aliases w:val="Heading 4 Char Char Char Char Char Char1,Heading 4 Char Char Char1 Char Char1,Heading 4 Char Char1 Char Char1,Heading 4 Char1 Char,Heading 4 Char1 Char Char Char Char1,Heading 4 Char1 Char1 Char Char1,Heading 4 Char2,Heading 4 Char2 Char Char1"/>
    <w:basedOn w:val="Normal"/>
    <w:next w:val="ParaNum"/>
    <w:link w:val="Heading4Char"/>
    <w:qFormat/>
    <w:rsid w:val="00AF736E"/>
    <w:pPr>
      <w:keepNext/>
      <w:widowControl w:val="0"/>
      <w:numPr>
        <w:ilvl w:val="3"/>
        <w:numId w:val="4"/>
      </w:numPr>
      <w:tabs>
        <w:tab w:val="left" w:pos="2880"/>
      </w:tabs>
      <w:spacing w:after="120"/>
      <w:ind w:left="0" w:firstLine="0"/>
      <w:outlineLvl w:val="3"/>
    </w:pPr>
    <w:rPr>
      <w:b/>
      <w:snapToGrid w:val="0"/>
      <w:kern w:val="28"/>
      <w:sz w:val="22"/>
    </w:rPr>
  </w:style>
  <w:style w:type="paragraph" w:styleId="Heading5">
    <w:name w:val="heading 5"/>
    <w:aliases w:val="Heading 5 Char Char Char Char Char,Heading 5 Char Char Char Char1,Heading 5 Char Char Char1,Heading 5 Char Char1 Char,Heading 5 Char Char2,Heading 5 Char1 Char Char Char,Heading 5 Char1 Char Char1,Heading 5 Char1 Char1,Heading 5 Char2"/>
    <w:basedOn w:val="Normal"/>
    <w:next w:val="ParaNum"/>
    <w:link w:val="Heading5Char"/>
    <w:qFormat/>
    <w:rsid w:val="00AF736E"/>
    <w:pPr>
      <w:keepNext/>
      <w:widowControl w:val="0"/>
      <w:numPr>
        <w:ilvl w:val="4"/>
        <w:numId w:val="4"/>
      </w:numPr>
      <w:tabs>
        <w:tab w:val="left" w:pos="3600"/>
      </w:tabs>
      <w:suppressAutoHyphens/>
      <w:spacing w:after="120"/>
      <w:ind w:left="0" w:firstLine="0"/>
      <w:outlineLvl w:val="4"/>
    </w:pPr>
    <w:rPr>
      <w:b/>
      <w:snapToGrid w:val="0"/>
      <w:kern w:val="28"/>
      <w:sz w:val="22"/>
    </w:rPr>
  </w:style>
  <w:style w:type="paragraph" w:styleId="Heading6">
    <w:name w:val="heading 6"/>
    <w:aliases w:val="Heading 6 Char Char,Heading 6 Char Char Char,Heading 6 Char Char1,Heading 6 Char1,Heading 6 Char1 Char,Heading 6 Char2,h6"/>
    <w:basedOn w:val="Normal"/>
    <w:next w:val="ParaNum"/>
    <w:link w:val="Heading6Char"/>
    <w:qFormat/>
    <w:rsid w:val="00AF736E"/>
    <w:pPr>
      <w:widowControl w:val="0"/>
      <w:numPr>
        <w:ilvl w:val="5"/>
        <w:numId w:val="4"/>
      </w:numPr>
      <w:tabs>
        <w:tab w:val="left" w:pos="4320"/>
      </w:tabs>
      <w:spacing w:after="120"/>
      <w:ind w:left="0" w:firstLine="0"/>
      <w:outlineLvl w:val="5"/>
    </w:pPr>
    <w:rPr>
      <w:b/>
      <w:snapToGrid w:val="0"/>
      <w:kern w:val="28"/>
      <w:sz w:val="22"/>
    </w:rPr>
  </w:style>
  <w:style w:type="paragraph" w:styleId="Heading7">
    <w:name w:val="heading 7"/>
    <w:basedOn w:val="Normal"/>
    <w:next w:val="ParaNum"/>
    <w:link w:val="Heading7Char"/>
    <w:qFormat/>
    <w:rsid w:val="00AF736E"/>
    <w:pPr>
      <w:widowControl w:val="0"/>
      <w:numPr>
        <w:ilvl w:val="6"/>
        <w:numId w:val="4"/>
      </w:numPr>
      <w:tabs>
        <w:tab w:val="left" w:pos="5040"/>
      </w:tabs>
      <w:spacing w:after="120"/>
      <w:ind w:left="0"/>
      <w:outlineLvl w:val="6"/>
    </w:pPr>
    <w:rPr>
      <w:b/>
      <w:snapToGrid w:val="0"/>
      <w:kern w:val="28"/>
      <w:sz w:val="22"/>
    </w:rPr>
  </w:style>
  <w:style w:type="paragraph" w:styleId="Heading8">
    <w:name w:val="heading 8"/>
    <w:basedOn w:val="Normal"/>
    <w:next w:val="ParaNum"/>
    <w:link w:val="Heading8Char"/>
    <w:qFormat/>
    <w:rsid w:val="00AF736E"/>
    <w:pPr>
      <w:widowControl w:val="0"/>
      <w:numPr>
        <w:ilvl w:val="7"/>
        <w:numId w:val="4"/>
      </w:numPr>
      <w:tabs>
        <w:tab w:val="clear" w:pos="5400"/>
        <w:tab w:val="left" w:pos="5760"/>
      </w:tabs>
      <w:spacing w:after="120"/>
      <w:ind w:left="0"/>
      <w:outlineLvl w:val="7"/>
    </w:pPr>
    <w:rPr>
      <w:b/>
      <w:snapToGrid w:val="0"/>
      <w:kern w:val="28"/>
      <w:sz w:val="22"/>
    </w:rPr>
  </w:style>
  <w:style w:type="paragraph" w:styleId="Heading9">
    <w:name w:val="heading 9"/>
    <w:aliases w:val="9,Heading 9.table,Titre 9,Topic,t,table"/>
    <w:basedOn w:val="Normal"/>
    <w:next w:val="ParaNum"/>
    <w:link w:val="Heading9Char"/>
    <w:qFormat/>
    <w:rsid w:val="00AF736E"/>
    <w:pPr>
      <w:widowControl w:val="0"/>
      <w:numPr>
        <w:ilvl w:val="8"/>
        <w:numId w:val="4"/>
      </w:numPr>
      <w:tabs>
        <w:tab w:val="clear" w:pos="6120"/>
        <w:tab w:val="left" w:pos="6480"/>
      </w:tabs>
      <w:spacing w:after="120"/>
      <w:ind w:left="0"/>
      <w:outlineLvl w:val="8"/>
    </w:pPr>
    <w:rPr>
      <w:b/>
      <w:snapToGrid w:val="0"/>
      <w:kern w:val="28"/>
      <w:sz w:val="22"/>
    </w:rPr>
  </w:style>
  <w:style w:type="character" w:default="1" w:styleId="DefaultParagraphFont">
    <w:name w:val="Default Paragraph Font"/>
    <w:semiHidden/>
    <w:rsid w:val="00E07DD4"/>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E07DD4"/>
  </w:style>
  <w:style w:type="paragraph" w:styleId="Header">
    <w:name w:val="header"/>
    <w:basedOn w:val="Normal"/>
    <w:link w:val="HeaderChar"/>
    <w:rsid w:val="00E07DD4"/>
    <w:pPr>
      <w:tabs>
        <w:tab w:val="center" w:pos="4320"/>
        <w:tab w:val="right" w:pos="8640"/>
      </w:tabs>
    </w:pPr>
  </w:style>
  <w:style w:type="paragraph" w:styleId="Footer">
    <w:name w:val="footer"/>
    <w:basedOn w:val="Normal"/>
    <w:link w:val="FooterChar"/>
    <w:rsid w:val="00E07DD4"/>
    <w:pPr>
      <w:tabs>
        <w:tab w:val="center" w:pos="4320"/>
        <w:tab w:val="right" w:pos="8640"/>
      </w:tabs>
    </w:pPr>
  </w:style>
  <w:style w:type="paragraph" w:customStyle="1" w:styleId="ParaNum">
    <w:name w:val="ParaNum"/>
    <w:basedOn w:val="Normal"/>
    <w:link w:val="ParaNumChar"/>
    <w:rsid w:val="00C42107"/>
    <w:pPr>
      <w:widowControl w:val="0"/>
      <w:numPr>
        <w:numId w:val="1"/>
      </w:numPr>
      <w:spacing w:after="120"/>
    </w:pPr>
    <w:rPr>
      <w:snapToGrid w:val="0"/>
      <w:kern w:val="28"/>
      <w:sz w:val="22"/>
    </w:rPr>
  </w:style>
  <w:style w:type="paragraph" w:styleId="FootnoteText">
    <w:name w:val="footnote text"/>
    <w:aliases w:val="Footnote Text Char Char Char4 Char,Footnote Text Char1,Footnote Text Char2,Footnote Text Char4 Char1 Char,Footnote Text Char4 Char1 Char Char Char Char,Footnote Text Char7 Char,Footnote Text Char7 Char Char Char Char,f,fn,fn Char Char"/>
    <w:link w:val="FootnoteTextChar"/>
    <w:qFormat/>
    <w:rsid w:val="00C42107"/>
    <w:pPr>
      <w:spacing w:after="120"/>
    </w:pPr>
  </w:style>
  <w:style w:type="character" w:customStyle="1" w:styleId="FootnoteTextChar">
    <w:name w:val="Footnote Text Char"/>
    <w:aliases w:val="Footnote Text Char Char Char4 Char Char,Footnote Text Char1 Char,Footnote Text Char2 Char,Footnote Text Char4 Char1 Char Char,Footnote Text Char4 Char1 Char Char Char Char Char,Footnote Text Char7 Char Char,f Char,fn Char"/>
    <w:basedOn w:val="DefaultParagraphFont"/>
    <w:link w:val="FootnoteText"/>
    <w:rsid w:val="00C42107"/>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Ref,Style 1,R"/>
    <w:rsid w:val="00C42107"/>
    <w:rPr>
      <w:rFonts w:ascii="Times New Roman" w:hAnsi="Times New Roman"/>
      <w:dstrike w:val="0"/>
      <w:color w:val="auto"/>
      <w:sz w:val="20"/>
      <w:vertAlign w:val="superscript"/>
    </w:rPr>
  </w:style>
  <w:style w:type="character" w:customStyle="1" w:styleId="ParaNumChar">
    <w:name w:val="ParaNum Char"/>
    <w:link w:val="ParaNum"/>
    <w:rsid w:val="00C42107"/>
    <w:rPr>
      <w:snapToGrid w:val="0"/>
      <w:kern w:val="28"/>
      <w:sz w:val="22"/>
    </w:rPr>
  </w:style>
  <w:style w:type="character" w:customStyle="1" w:styleId="Heading1Char">
    <w:name w:val="Heading 1 Char"/>
    <w:aliases w:val="Heading 1 Char Char Char Char,Heading 1 Char Char Char Char Char Char Char,Heading 1 Char Char1 Char1,Heading 1 Char Char1 Char Char,Heading 1 Char Char2 Char,Heading 1 Char1 Char Char,Heading 1 Char1 Char Char Char2 Char Char"/>
    <w:link w:val="Heading1"/>
    <w:rsid w:val="00AF736E"/>
    <w:rPr>
      <w:rFonts w:ascii="Times New Roman Bold" w:hAnsi="Times New Roman Bold"/>
      <w:b/>
      <w:caps/>
      <w:snapToGrid w:val="0"/>
      <w:kern w:val="28"/>
      <w:sz w:val="22"/>
    </w:rPr>
  </w:style>
  <w:style w:type="character" w:customStyle="1" w:styleId="Heading2Char">
    <w:name w:val="Heading 2 Char"/>
    <w:aliases w:val="Heading 2 Char Char1 Char,Heading 2 Char Char1 Char Char Char,Heading 2 Char Char2 Char,Heading 2 Char Char3 Char Char,Heading 2 Char1 Char Char1,Heading 2 Char1 Char Char Char1,Heading 2 Char1 Char Char Char Char,Heading 2 Char2 Char"/>
    <w:link w:val="Heading2"/>
    <w:rsid w:val="00AF736E"/>
    <w:rPr>
      <w:b/>
      <w:snapToGrid w:val="0"/>
      <w:kern w:val="28"/>
      <w:sz w:val="22"/>
    </w:rPr>
  </w:style>
  <w:style w:type="character" w:customStyle="1" w:styleId="Heading3Char">
    <w:name w:val="Heading 3 Char"/>
    <w:aliases w:val="1 Char1,1 Char Char,3 Char1,3 Char Char,31 Char1,31 Char Char,?? 3 Char1,?? 3 Char Char,Heading 3 Char Char Char Char Char1,Heading 3 Char Char Char Char Char Char,Heading 3 Char1 Char,Heading 3 Char1 Char Char Char,Heading 3 Char3 Char"/>
    <w:link w:val="Heading3"/>
    <w:rsid w:val="00AF736E"/>
    <w:rPr>
      <w:b/>
      <w:snapToGrid w:val="0"/>
      <w:kern w:val="28"/>
      <w:sz w:val="22"/>
    </w:rPr>
  </w:style>
  <w:style w:type="character" w:customStyle="1" w:styleId="Heading4Char">
    <w:name w:val="Heading 4 Char"/>
    <w:aliases w:val="Heading 4 Char Char Char Char Char Char1 Char,Heading 4 Char Char Char1 Char Char1 Char,Heading 4 Char Char1 Char Char1 Char,Heading 4 Char1 Char Char,Heading 4 Char1 Char Char Char Char1 Char,Heading 4 Char1 Char1 Char Char1 Char"/>
    <w:link w:val="Heading4"/>
    <w:rsid w:val="00AF736E"/>
    <w:rPr>
      <w:b/>
      <w:snapToGrid w:val="0"/>
      <w:kern w:val="28"/>
      <w:sz w:val="22"/>
    </w:rPr>
  </w:style>
  <w:style w:type="character" w:customStyle="1" w:styleId="Heading5Char">
    <w:name w:val="Heading 5 Char"/>
    <w:aliases w:val="Heading 5 Char Char Char Char Char Char,Heading 5 Char Char Char Char1 Char,Heading 5 Char Char Char1 Char,Heading 5 Char Char1 Char Char,Heading 5 Char Char2 Char,Heading 5 Char1 Char Char Char Char,Heading 5 Char1 Char Char1 Char"/>
    <w:link w:val="Heading5"/>
    <w:rsid w:val="00AF736E"/>
    <w:rPr>
      <w:b/>
      <w:snapToGrid w:val="0"/>
      <w:kern w:val="28"/>
      <w:sz w:val="22"/>
    </w:rPr>
  </w:style>
  <w:style w:type="character" w:customStyle="1" w:styleId="Heading6Char">
    <w:name w:val="Heading 6 Char"/>
    <w:aliases w:val="Heading 6 Char Char Char1,Heading 6 Char Char Char Char,Heading 6 Char Char1 Char,Heading 6 Char1 Char1,Heading 6 Char1 Char Char,Heading 6 Char2 Char,h6 Char"/>
    <w:link w:val="Heading6"/>
    <w:rsid w:val="00AF736E"/>
    <w:rPr>
      <w:b/>
      <w:snapToGrid w:val="0"/>
      <w:kern w:val="28"/>
      <w:sz w:val="22"/>
    </w:rPr>
  </w:style>
  <w:style w:type="character" w:customStyle="1" w:styleId="Heading7Char">
    <w:name w:val="Heading 7 Char"/>
    <w:link w:val="Heading7"/>
    <w:rsid w:val="00AF736E"/>
    <w:rPr>
      <w:b/>
      <w:snapToGrid w:val="0"/>
      <w:kern w:val="28"/>
      <w:sz w:val="22"/>
    </w:rPr>
  </w:style>
  <w:style w:type="character" w:customStyle="1" w:styleId="Heading8Char">
    <w:name w:val="Heading 8 Char"/>
    <w:link w:val="Heading8"/>
    <w:rsid w:val="00AF736E"/>
    <w:rPr>
      <w:b/>
      <w:snapToGrid w:val="0"/>
      <w:kern w:val="28"/>
      <w:sz w:val="22"/>
    </w:rPr>
  </w:style>
  <w:style w:type="character" w:customStyle="1" w:styleId="Heading9Char">
    <w:name w:val="Heading 9 Char"/>
    <w:aliases w:val="9 Char,Heading 9.table Char,Titre 9 Char,Topic Char,t Char,table Char"/>
    <w:link w:val="Heading9"/>
    <w:rsid w:val="00AF736E"/>
    <w:rPr>
      <w:b/>
      <w:snapToGrid w:val="0"/>
      <w:kern w:val="28"/>
      <w:sz w:val="22"/>
    </w:rPr>
  </w:style>
  <w:style w:type="paragraph" w:styleId="EndnoteText">
    <w:name w:val="endnote text"/>
    <w:basedOn w:val="Normal"/>
    <w:link w:val="EndnoteTextChar"/>
    <w:semiHidden/>
    <w:rsid w:val="00AF736E"/>
    <w:pPr>
      <w:widowControl w:val="0"/>
    </w:pPr>
    <w:rPr>
      <w:snapToGrid w:val="0"/>
      <w:kern w:val="28"/>
    </w:rPr>
  </w:style>
  <w:style w:type="character" w:customStyle="1" w:styleId="EndnoteTextChar">
    <w:name w:val="Endnote Text Char"/>
    <w:link w:val="EndnoteText"/>
    <w:semiHidden/>
    <w:rsid w:val="00AF736E"/>
    <w:rPr>
      <w:snapToGrid w:val="0"/>
      <w:kern w:val="28"/>
    </w:rPr>
  </w:style>
  <w:style w:type="character" w:styleId="EndnoteReference">
    <w:name w:val="endnote reference"/>
    <w:semiHidden/>
    <w:rsid w:val="00AF736E"/>
    <w:rPr>
      <w:vertAlign w:val="superscript"/>
    </w:rPr>
  </w:style>
  <w:style w:type="paragraph" w:styleId="TOC1">
    <w:name w:val="toc 1"/>
    <w:basedOn w:val="Normal"/>
    <w:next w:val="Normal"/>
    <w:rsid w:val="00AF736E"/>
    <w:pPr>
      <w:widowControl w:val="0"/>
      <w:tabs>
        <w:tab w:val="left" w:pos="360"/>
        <w:tab w:val="right" w:leader="dot" w:pos="9360"/>
      </w:tabs>
      <w:suppressAutoHyphens/>
      <w:ind w:left="360" w:right="720" w:hanging="360"/>
    </w:pPr>
    <w:rPr>
      <w:caps/>
      <w:noProof/>
      <w:snapToGrid w:val="0"/>
      <w:kern w:val="28"/>
      <w:sz w:val="22"/>
    </w:rPr>
  </w:style>
  <w:style w:type="paragraph" w:styleId="TOC2">
    <w:name w:val="toc 2"/>
    <w:basedOn w:val="Normal"/>
    <w:next w:val="Normal"/>
    <w:rsid w:val="00AF736E"/>
    <w:pPr>
      <w:widowControl w:val="0"/>
      <w:tabs>
        <w:tab w:val="left" w:pos="720"/>
        <w:tab w:val="right" w:leader="dot" w:pos="9360"/>
      </w:tabs>
      <w:suppressAutoHyphens/>
      <w:ind w:left="720" w:right="720" w:hanging="360"/>
    </w:pPr>
    <w:rPr>
      <w:noProof/>
      <w:snapToGrid w:val="0"/>
      <w:kern w:val="28"/>
      <w:sz w:val="22"/>
    </w:rPr>
  </w:style>
  <w:style w:type="paragraph" w:styleId="TOC3">
    <w:name w:val="toc 3"/>
    <w:basedOn w:val="Normal"/>
    <w:next w:val="Normal"/>
    <w:rsid w:val="00AF736E"/>
    <w:pPr>
      <w:widowControl w:val="0"/>
      <w:tabs>
        <w:tab w:val="left" w:pos="1080"/>
        <w:tab w:val="right" w:leader="dot" w:pos="9360"/>
      </w:tabs>
      <w:suppressAutoHyphens/>
      <w:ind w:left="1080" w:right="720" w:hanging="360"/>
    </w:pPr>
    <w:rPr>
      <w:noProof/>
      <w:snapToGrid w:val="0"/>
      <w:kern w:val="28"/>
      <w:sz w:val="22"/>
    </w:rPr>
  </w:style>
  <w:style w:type="paragraph" w:styleId="TOC4">
    <w:name w:val="toc 4"/>
    <w:basedOn w:val="Normal"/>
    <w:next w:val="Normal"/>
    <w:autoRedefine/>
    <w:rsid w:val="00AF736E"/>
    <w:pPr>
      <w:widowControl w:val="0"/>
      <w:tabs>
        <w:tab w:val="left" w:pos="1440"/>
        <w:tab w:val="right" w:leader="dot" w:pos="9360"/>
      </w:tabs>
      <w:suppressAutoHyphens/>
      <w:ind w:left="1440" w:right="720" w:hanging="360"/>
    </w:pPr>
    <w:rPr>
      <w:noProof/>
      <w:snapToGrid w:val="0"/>
      <w:kern w:val="28"/>
      <w:sz w:val="22"/>
    </w:rPr>
  </w:style>
  <w:style w:type="paragraph" w:styleId="TOC5">
    <w:name w:val="toc 5"/>
    <w:basedOn w:val="Normal"/>
    <w:next w:val="Normal"/>
    <w:autoRedefine/>
    <w:rsid w:val="00AF736E"/>
    <w:pPr>
      <w:widowControl w:val="0"/>
      <w:tabs>
        <w:tab w:val="left" w:pos="1800"/>
        <w:tab w:val="right" w:leader="dot" w:pos="9360"/>
      </w:tabs>
      <w:suppressAutoHyphens/>
      <w:ind w:left="1800" w:right="720" w:hanging="360"/>
    </w:pPr>
    <w:rPr>
      <w:noProof/>
      <w:snapToGrid w:val="0"/>
      <w:kern w:val="28"/>
      <w:sz w:val="22"/>
    </w:rPr>
  </w:style>
  <w:style w:type="paragraph" w:styleId="TOC6">
    <w:name w:val="toc 6"/>
    <w:basedOn w:val="Normal"/>
    <w:next w:val="Normal"/>
    <w:autoRedefine/>
    <w:semiHidden/>
    <w:rsid w:val="00AF736E"/>
    <w:pPr>
      <w:widowControl w:val="0"/>
      <w:tabs>
        <w:tab w:val="left" w:pos="2160"/>
        <w:tab w:val="right" w:leader="dot" w:pos="9360"/>
      </w:tabs>
      <w:suppressAutoHyphens/>
      <w:ind w:left="2160" w:hanging="360"/>
    </w:pPr>
    <w:rPr>
      <w:noProof/>
      <w:snapToGrid w:val="0"/>
      <w:kern w:val="28"/>
      <w:sz w:val="22"/>
    </w:rPr>
  </w:style>
  <w:style w:type="paragraph" w:styleId="TOC7">
    <w:name w:val="toc 7"/>
    <w:basedOn w:val="Normal"/>
    <w:next w:val="Normal"/>
    <w:autoRedefine/>
    <w:semiHidden/>
    <w:rsid w:val="00AF736E"/>
    <w:pPr>
      <w:widowControl w:val="0"/>
      <w:tabs>
        <w:tab w:val="left" w:pos="2520"/>
        <w:tab w:val="right" w:leader="dot" w:pos="9360"/>
      </w:tabs>
      <w:suppressAutoHyphens/>
      <w:ind w:left="2520" w:hanging="360"/>
    </w:pPr>
    <w:rPr>
      <w:noProof/>
      <w:snapToGrid w:val="0"/>
      <w:kern w:val="28"/>
      <w:sz w:val="22"/>
    </w:rPr>
  </w:style>
  <w:style w:type="paragraph" w:styleId="TOC8">
    <w:name w:val="toc 8"/>
    <w:basedOn w:val="Normal"/>
    <w:next w:val="Normal"/>
    <w:autoRedefine/>
    <w:semiHidden/>
    <w:rsid w:val="00AF736E"/>
    <w:pPr>
      <w:widowControl w:val="0"/>
      <w:tabs>
        <w:tab w:val="left" w:pos="2880"/>
        <w:tab w:val="right" w:leader="dot" w:pos="9360"/>
      </w:tabs>
      <w:suppressAutoHyphens/>
      <w:ind w:left="2880" w:hanging="360"/>
    </w:pPr>
    <w:rPr>
      <w:noProof/>
      <w:snapToGrid w:val="0"/>
      <w:kern w:val="28"/>
      <w:sz w:val="22"/>
    </w:rPr>
  </w:style>
  <w:style w:type="paragraph" w:styleId="TOC9">
    <w:name w:val="toc 9"/>
    <w:basedOn w:val="Normal"/>
    <w:next w:val="Normal"/>
    <w:autoRedefine/>
    <w:semiHidden/>
    <w:rsid w:val="00AF736E"/>
    <w:pPr>
      <w:widowControl w:val="0"/>
      <w:tabs>
        <w:tab w:val="left" w:pos="3240"/>
        <w:tab w:val="right" w:leader="dot" w:pos="9360"/>
      </w:tabs>
      <w:suppressAutoHyphens/>
      <w:ind w:left="3240" w:hanging="360"/>
    </w:pPr>
    <w:rPr>
      <w:noProof/>
      <w:snapToGrid w:val="0"/>
      <w:kern w:val="28"/>
      <w:sz w:val="22"/>
    </w:rPr>
  </w:style>
  <w:style w:type="paragraph" w:styleId="TOAHeading">
    <w:name w:val="toa heading"/>
    <w:basedOn w:val="Normal"/>
    <w:next w:val="Normal"/>
    <w:semiHidden/>
    <w:rsid w:val="00AF736E"/>
    <w:pPr>
      <w:widowControl w:val="0"/>
      <w:tabs>
        <w:tab w:val="right" w:pos="9360"/>
      </w:tabs>
      <w:suppressAutoHyphens/>
    </w:pPr>
    <w:rPr>
      <w:snapToGrid w:val="0"/>
      <w:kern w:val="28"/>
      <w:sz w:val="22"/>
    </w:rPr>
  </w:style>
  <w:style w:type="character" w:customStyle="1" w:styleId="EquationCaption">
    <w:name w:val="_Equation Caption"/>
    <w:rsid w:val="00AF736E"/>
  </w:style>
  <w:style w:type="character" w:styleId="PageNumber">
    <w:name w:val="page number"/>
    <w:basedOn w:val="DefaultParagraphFont"/>
    <w:rsid w:val="00AF736E"/>
  </w:style>
  <w:style w:type="paragraph" w:styleId="BlockText">
    <w:name w:val="Block Text"/>
    <w:basedOn w:val="Normal"/>
    <w:link w:val="BlockTextChar"/>
    <w:rsid w:val="00AF736E"/>
    <w:pPr>
      <w:widowControl w:val="0"/>
      <w:spacing w:after="240"/>
      <w:ind w:left="1440" w:right="1440"/>
    </w:pPr>
    <w:rPr>
      <w:snapToGrid w:val="0"/>
      <w:kern w:val="28"/>
      <w:sz w:val="22"/>
    </w:rPr>
  </w:style>
  <w:style w:type="paragraph" w:customStyle="1" w:styleId="Paratitle">
    <w:name w:val="Para title"/>
    <w:basedOn w:val="Normal"/>
    <w:rsid w:val="00AF736E"/>
    <w:pPr>
      <w:widowControl w:val="0"/>
      <w:tabs>
        <w:tab w:val="center" w:pos="9270"/>
      </w:tabs>
      <w:spacing w:after="240"/>
    </w:pPr>
    <w:rPr>
      <w:snapToGrid w:val="0"/>
      <w:spacing w:val="-2"/>
      <w:kern w:val="28"/>
      <w:sz w:val="22"/>
    </w:rPr>
  </w:style>
  <w:style w:type="paragraph" w:customStyle="1" w:styleId="Bullet">
    <w:name w:val="Bullet"/>
    <w:basedOn w:val="Normal"/>
    <w:rsid w:val="00AF736E"/>
    <w:pPr>
      <w:widowControl w:val="0"/>
      <w:tabs>
        <w:tab w:val="left" w:pos="2160"/>
      </w:tabs>
      <w:spacing w:after="220"/>
      <w:ind w:left="2160" w:hanging="720"/>
    </w:pPr>
    <w:rPr>
      <w:snapToGrid w:val="0"/>
      <w:kern w:val="28"/>
      <w:sz w:val="22"/>
    </w:rPr>
  </w:style>
  <w:style w:type="paragraph" w:customStyle="1" w:styleId="TableFormat">
    <w:name w:val="TableFormat"/>
    <w:basedOn w:val="Bullet"/>
    <w:rsid w:val="00AF736E"/>
    <w:pPr>
      <w:tabs>
        <w:tab w:val="clear" w:pos="2160"/>
        <w:tab w:val="left" w:pos="5040"/>
      </w:tabs>
      <w:ind w:left="5040" w:hanging="3600"/>
    </w:pPr>
  </w:style>
  <w:style w:type="paragraph" w:customStyle="1" w:styleId="TOCTitle">
    <w:name w:val="TOC Title"/>
    <w:basedOn w:val="Normal"/>
    <w:rsid w:val="00AF736E"/>
    <w:pPr>
      <w:widowControl w:val="0"/>
      <w:spacing w:before="240" w:after="240"/>
      <w:jc w:val="center"/>
    </w:pPr>
    <w:rPr>
      <w:rFonts w:ascii="Times New Roman Bold" w:hAnsi="Times New Roman Bold"/>
      <w:b/>
      <w:caps/>
      <w:snapToGrid w:val="0"/>
      <w:spacing w:val="-2"/>
      <w:kern w:val="28"/>
      <w:sz w:val="22"/>
    </w:rPr>
  </w:style>
  <w:style w:type="paragraph" w:customStyle="1" w:styleId="StyleBoldCentered">
    <w:name w:val="Style Bold Centered"/>
    <w:basedOn w:val="Normal"/>
    <w:rsid w:val="00AF736E"/>
    <w:pPr>
      <w:widowControl w:val="0"/>
      <w:jc w:val="center"/>
    </w:pPr>
    <w:rPr>
      <w:rFonts w:ascii="Times New Roman Bold" w:hAnsi="Times New Roman Bold"/>
      <w:b/>
      <w:bCs/>
      <w:caps/>
      <w:snapToGrid w:val="0"/>
      <w:kern w:val="28"/>
      <w:sz w:val="22"/>
      <w:szCs w:val="22"/>
    </w:rPr>
  </w:style>
  <w:style w:type="character" w:styleId="Hyperlink">
    <w:name w:val="Hyperlink"/>
    <w:rsid w:val="00AF736E"/>
    <w:rPr>
      <w:color w:val="0000FF"/>
      <w:u w:val="single"/>
    </w:rPr>
  </w:style>
  <w:style w:type="character" w:customStyle="1" w:styleId="FooterChar">
    <w:name w:val="Footer Char"/>
    <w:link w:val="Footer"/>
    <w:rsid w:val="00AF736E"/>
  </w:style>
  <w:style w:type="character" w:customStyle="1" w:styleId="HeaderChar">
    <w:name w:val="Header Char"/>
    <w:link w:val="Header"/>
    <w:rsid w:val="00AF736E"/>
  </w:style>
  <w:style w:type="paragraph" w:customStyle="1" w:styleId="Default">
    <w:name w:val="Default"/>
    <w:rsid w:val="00AF736E"/>
    <w:pPr>
      <w:autoSpaceDE w:val="0"/>
      <w:autoSpaceDN w:val="0"/>
      <w:adjustRightInd w:val="0"/>
    </w:pPr>
    <w:rPr>
      <w:color w:val="000000"/>
      <w:sz w:val="24"/>
      <w:szCs w:val="24"/>
    </w:rPr>
  </w:style>
  <w:style w:type="character" w:styleId="CommentReference">
    <w:name w:val="annotation reference"/>
    <w:uiPriority w:val="99"/>
    <w:rsid w:val="00AF736E"/>
    <w:rPr>
      <w:sz w:val="16"/>
      <w:szCs w:val="16"/>
    </w:rPr>
  </w:style>
  <w:style w:type="paragraph" w:styleId="CommentText">
    <w:name w:val="annotation text"/>
    <w:basedOn w:val="Normal"/>
    <w:link w:val="CommentTextChar"/>
    <w:uiPriority w:val="99"/>
    <w:rsid w:val="00AF736E"/>
    <w:pPr>
      <w:widowControl w:val="0"/>
    </w:pPr>
    <w:rPr>
      <w:snapToGrid w:val="0"/>
      <w:kern w:val="28"/>
    </w:rPr>
  </w:style>
  <w:style w:type="character" w:customStyle="1" w:styleId="CommentTextChar">
    <w:name w:val="Comment Text Char"/>
    <w:link w:val="CommentText"/>
    <w:uiPriority w:val="99"/>
    <w:rsid w:val="00AF736E"/>
    <w:rPr>
      <w:snapToGrid w:val="0"/>
      <w:kern w:val="28"/>
    </w:rPr>
  </w:style>
  <w:style w:type="paragraph" w:styleId="CommentSubject">
    <w:name w:val="annotation subject"/>
    <w:basedOn w:val="CommentText"/>
    <w:next w:val="CommentText"/>
    <w:link w:val="CommentSubjectChar"/>
    <w:uiPriority w:val="99"/>
    <w:rsid w:val="00AF736E"/>
    <w:rPr>
      <w:b/>
      <w:bCs/>
    </w:rPr>
  </w:style>
  <w:style w:type="character" w:customStyle="1" w:styleId="CommentSubjectChar">
    <w:name w:val="Comment Subject Char"/>
    <w:link w:val="CommentSubject"/>
    <w:uiPriority w:val="99"/>
    <w:rsid w:val="00AF736E"/>
    <w:rPr>
      <w:b/>
      <w:bCs/>
      <w:snapToGrid w:val="0"/>
      <w:kern w:val="28"/>
    </w:rPr>
  </w:style>
  <w:style w:type="paragraph" w:customStyle="1" w:styleId="ListParagraph1">
    <w:name w:val="List Paragraph1"/>
    <w:basedOn w:val="Normal"/>
    <w:next w:val="ListParagraph"/>
    <w:uiPriority w:val="34"/>
    <w:qFormat/>
    <w:rsid w:val="00AF736E"/>
    <w:pPr>
      <w:widowControl w:val="0"/>
      <w:spacing w:line="259" w:lineRule="auto"/>
      <w:ind w:left="720"/>
      <w:contextualSpacing/>
    </w:pPr>
    <w:rPr>
      <w:rFonts w:ascii="Aptos" w:eastAsia="Aptos" w:hAnsi="Aptos" w:cs="Arial"/>
      <w:kern w:val="28"/>
      <w:sz w:val="22"/>
    </w:rPr>
  </w:style>
  <w:style w:type="character" w:styleId="UnresolvedMention">
    <w:name w:val="Unresolved Mention"/>
    <w:uiPriority w:val="99"/>
    <w:semiHidden/>
    <w:unhideWhenUsed/>
    <w:rsid w:val="00AF736E"/>
    <w:rPr>
      <w:color w:val="605E5C"/>
      <w:shd w:val="clear" w:color="auto" w:fill="E1DFDD"/>
    </w:rPr>
  </w:style>
  <w:style w:type="paragraph" w:styleId="Revision">
    <w:name w:val="Revision"/>
    <w:hidden/>
    <w:uiPriority w:val="99"/>
    <w:semiHidden/>
    <w:rsid w:val="00AF736E"/>
    <w:rPr>
      <w:snapToGrid w:val="0"/>
      <w:kern w:val="28"/>
      <w:sz w:val="22"/>
    </w:rPr>
  </w:style>
  <w:style w:type="character" w:styleId="Strong">
    <w:name w:val="Strong"/>
    <w:uiPriority w:val="22"/>
    <w:qFormat/>
    <w:rsid w:val="00AF736E"/>
    <w:rPr>
      <w:b/>
      <w:bCs/>
    </w:rPr>
  </w:style>
  <w:style w:type="character" w:customStyle="1" w:styleId="costarpage">
    <w:name w:val="co_starpage"/>
    <w:basedOn w:val="DefaultParagraphFont"/>
    <w:rsid w:val="00AF736E"/>
  </w:style>
  <w:style w:type="table" w:styleId="TableGrid">
    <w:name w:val="Table Grid"/>
    <w:basedOn w:val="TableNormal"/>
    <w:uiPriority w:val="39"/>
    <w:rsid w:val="00AF73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39"/>
    <w:unhideWhenUsed/>
    <w:qFormat/>
    <w:rsid w:val="00AF736E"/>
    <w:pPr>
      <w:keepLines/>
      <w:numPr>
        <w:numId w:val="0"/>
      </w:numPr>
      <w:tabs>
        <w:tab w:val="left" w:pos="720"/>
      </w:tabs>
      <w:suppressAutoHyphens w:val="0"/>
      <w:spacing w:before="240" w:after="0" w:line="259" w:lineRule="auto"/>
      <w:outlineLvl w:val="9"/>
    </w:pPr>
    <w:rPr>
      <w:rFonts w:ascii="Aptos Display" w:eastAsia="Yu Gothic Light" w:hAnsi="Aptos Display"/>
      <w:b w:val="0"/>
      <w:caps w:val="0"/>
      <w:snapToGrid/>
      <w:color w:val="0F4761"/>
      <w:sz w:val="32"/>
      <w:szCs w:val="32"/>
    </w:rPr>
  </w:style>
  <w:style w:type="character" w:styleId="Emphasis">
    <w:name w:val="Emphasis"/>
    <w:uiPriority w:val="20"/>
    <w:qFormat/>
    <w:rsid w:val="00AF736E"/>
    <w:rPr>
      <w:i/>
      <w:iCs/>
    </w:rPr>
  </w:style>
  <w:style w:type="character" w:customStyle="1" w:styleId="cf01">
    <w:name w:val="cf01"/>
    <w:rsid w:val="00AF736E"/>
    <w:rPr>
      <w:rFonts w:ascii="Segoe UI" w:hAnsi="Segoe UI" w:cs="Segoe UI" w:hint="default"/>
      <w:color w:val="EE0000"/>
      <w:sz w:val="18"/>
      <w:szCs w:val="18"/>
    </w:rPr>
  </w:style>
  <w:style w:type="character" w:customStyle="1" w:styleId="cf11">
    <w:name w:val="cf11"/>
    <w:rsid w:val="00AF736E"/>
    <w:rPr>
      <w:rFonts w:ascii="Segoe UI" w:hAnsi="Segoe UI" w:cs="Segoe UI" w:hint="default"/>
      <w:sz w:val="18"/>
      <w:szCs w:val="18"/>
    </w:rPr>
  </w:style>
  <w:style w:type="character" w:customStyle="1" w:styleId="cf21">
    <w:name w:val="cf21"/>
    <w:rsid w:val="00AF736E"/>
    <w:rPr>
      <w:rFonts w:ascii="Segoe UI" w:hAnsi="Segoe UI" w:cs="Segoe UI" w:hint="default"/>
      <w:sz w:val="18"/>
      <w:szCs w:val="18"/>
    </w:rPr>
  </w:style>
  <w:style w:type="paragraph" w:styleId="ListParagraph">
    <w:name w:val="List Paragraph"/>
    <w:basedOn w:val="Normal"/>
    <w:uiPriority w:val="9"/>
    <w:qFormat/>
    <w:rsid w:val="00AF736E"/>
    <w:pPr>
      <w:widowControl w:val="0"/>
      <w:ind w:left="720"/>
    </w:pPr>
    <w:rPr>
      <w:snapToGrid w:val="0"/>
      <w:kern w:val="28"/>
      <w:sz w:val="22"/>
    </w:rPr>
  </w:style>
  <w:style w:type="paragraph" w:styleId="Title">
    <w:name w:val="Title"/>
    <w:basedOn w:val="Normal"/>
    <w:next w:val="Normal"/>
    <w:link w:val="TitleChar"/>
    <w:uiPriority w:val="10"/>
    <w:qFormat/>
    <w:rsid w:val="00AF736E"/>
    <w:pPr>
      <w:widowControl w:val="0"/>
      <w:spacing w:after="80"/>
      <w:contextualSpacing/>
    </w:pPr>
    <w:rPr>
      <w:rFonts w:ascii="Aptos Display" w:hAnsi="Aptos Display"/>
      <w:spacing w:val="-10"/>
      <w:kern w:val="28"/>
      <w:sz w:val="56"/>
      <w:szCs w:val="56"/>
    </w:rPr>
  </w:style>
  <w:style w:type="character" w:customStyle="1" w:styleId="TitleChar">
    <w:name w:val="Title Char"/>
    <w:link w:val="Title"/>
    <w:uiPriority w:val="10"/>
    <w:rsid w:val="00AF736E"/>
    <w:rPr>
      <w:rFonts w:ascii="Aptos Display" w:hAnsi="Aptos Display"/>
      <w:spacing w:val="-10"/>
      <w:kern w:val="28"/>
      <w:sz w:val="56"/>
      <w:szCs w:val="56"/>
    </w:rPr>
  </w:style>
  <w:style w:type="paragraph" w:styleId="Subtitle">
    <w:name w:val="Subtitle"/>
    <w:basedOn w:val="Normal"/>
    <w:next w:val="Normal"/>
    <w:link w:val="SubtitleChar"/>
    <w:uiPriority w:val="11"/>
    <w:qFormat/>
    <w:rsid w:val="00AF736E"/>
    <w:pPr>
      <w:widowControl w:val="0"/>
      <w:numPr>
        <w:ilvl w:val="1"/>
      </w:numPr>
    </w:pPr>
    <w:rPr>
      <w:rFonts w:ascii="Aptos" w:hAnsi="Aptos"/>
      <w:color w:val="595959"/>
      <w:spacing w:val="15"/>
      <w:kern w:val="28"/>
      <w:sz w:val="28"/>
      <w:szCs w:val="28"/>
    </w:rPr>
  </w:style>
  <w:style w:type="character" w:customStyle="1" w:styleId="SubtitleChar">
    <w:name w:val="Subtitle Char"/>
    <w:link w:val="Subtitle"/>
    <w:uiPriority w:val="11"/>
    <w:rsid w:val="00AF736E"/>
    <w:rPr>
      <w:rFonts w:ascii="Aptos" w:hAnsi="Aptos"/>
      <w:color w:val="595959"/>
      <w:spacing w:val="15"/>
      <w:kern w:val="28"/>
      <w:sz w:val="28"/>
      <w:szCs w:val="28"/>
    </w:rPr>
  </w:style>
  <w:style w:type="paragraph" w:styleId="Quote">
    <w:name w:val="Quote"/>
    <w:basedOn w:val="Normal"/>
    <w:next w:val="Normal"/>
    <w:link w:val="QuoteChar"/>
    <w:uiPriority w:val="29"/>
    <w:qFormat/>
    <w:rsid w:val="00AF736E"/>
    <w:pPr>
      <w:widowControl w:val="0"/>
      <w:spacing w:before="160"/>
      <w:jc w:val="center"/>
    </w:pPr>
    <w:rPr>
      <w:rFonts w:ascii="Aptos" w:eastAsia="Aptos" w:hAnsi="Aptos" w:cs="Arial"/>
      <w:i/>
      <w:iCs/>
      <w:color w:val="404040"/>
      <w:kern w:val="28"/>
      <w:sz w:val="22"/>
    </w:rPr>
  </w:style>
  <w:style w:type="character" w:customStyle="1" w:styleId="QuoteChar">
    <w:name w:val="Quote Char"/>
    <w:link w:val="Quote"/>
    <w:uiPriority w:val="29"/>
    <w:rsid w:val="00AF736E"/>
    <w:rPr>
      <w:rFonts w:ascii="Aptos" w:eastAsia="Aptos" w:hAnsi="Aptos" w:cs="Arial"/>
      <w:i/>
      <w:iCs/>
      <w:color w:val="404040"/>
      <w:kern w:val="28"/>
      <w:sz w:val="22"/>
    </w:rPr>
  </w:style>
  <w:style w:type="character" w:styleId="IntenseEmphasis">
    <w:name w:val="Intense Emphasis"/>
    <w:uiPriority w:val="21"/>
    <w:qFormat/>
    <w:rsid w:val="00AF736E"/>
    <w:rPr>
      <w:i/>
      <w:iCs/>
      <w:color w:val="0F4761"/>
    </w:rPr>
  </w:style>
  <w:style w:type="paragraph" w:styleId="IntenseQuote">
    <w:name w:val="Intense Quote"/>
    <w:basedOn w:val="Normal"/>
    <w:next w:val="Normal"/>
    <w:link w:val="IntenseQuoteChar"/>
    <w:uiPriority w:val="30"/>
    <w:qFormat/>
    <w:rsid w:val="00AF736E"/>
    <w:pPr>
      <w:widowControl w:val="0"/>
      <w:pBdr>
        <w:top w:val="single" w:sz="4" w:space="10" w:color="0F4761"/>
        <w:bottom w:val="single" w:sz="4" w:space="10" w:color="0F4761"/>
      </w:pBdr>
      <w:spacing w:before="360" w:after="360"/>
      <w:ind w:left="864" w:right="864"/>
      <w:jc w:val="center"/>
    </w:pPr>
    <w:rPr>
      <w:rFonts w:ascii="Aptos" w:eastAsia="Aptos" w:hAnsi="Aptos" w:cs="Arial"/>
      <w:i/>
      <w:iCs/>
      <w:color w:val="0F4761"/>
      <w:kern w:val="28"/>
      <w:sz w:val="22"/>
    </w:rPr>
  </w:style>
  <w:style w:type="character" w:customStyle="1" w:styleId="IntenseQuoteChar">
    <w:name w:val="Intense Quote Char"/>
    <w:link w:val="IntenseQuote"/>
    <w:uiPriority w:val="30"/>
    <w:rsid w:val="00AF736E"/>
    <w:rPr>
      <w:rFonts w:ascii="Aptos" w:eastAsia="Aptos" w:hAnsi="Aptos" w:cs="Arial"/>
      <w:i/>
      <w:iCs/>
      <w:color w:val="0F4761"/>
      <w:kern w:val="28"/>
      <w:sz w:val="22"/>
    </w:rPr>
  </w:style>
  <w:style w:type="character" w:styleId="IntenseReference">
    <w:name w:val="Intense Reference"/>
    <w:uiPriority w:val="32"/>
    <w:qFormat/>
    <w:rsid w:val="00AF736E"/>
    <w:rPr>
      <w:b/>
      <w:bCs/>
      <w:smallCaps/>
      <w:color w:val="0F4761"/>
      <w:spacing w:val="5"/>
    </w:rPr>
  </w:style>
  <w:style w:type="numbering" w:customStyle="1" w:styleId="NoList1">
    <w:name w:val="No List1"/>
    <w:next w:val="NoList"/>
    <w:uiPriority w:val="99"/>
    <w:semiHidden/>
    <w:unhideWhenUsed/>
    <w:rsid w:val="00AF736E"/>
  </w:style>
  <w:style w:type="paragraph" w:styleId="BodyText">
    <w:name w:val="Body Text"/>
    <w:basedOn w:val="Normal"/>
    <w:link w:val="BodyTextChar"/>
    <w:uiPriority w:val="1"/>
    <w:qFormat/>
    <w:rsid w:val="00AF736E"/>
    <w:pPr>
      <w:widowControl w:val="0"/>
      <w:spacing w:after="240"/>
    </w:pPr>
    <w:rPr>
      <w:rFonts w:ascii="Aptos" w:eastAsia="Aptos" w:hAnsi="Aptos" w:cs="Arial"/>
      <w:kern w:val="28"/>
      <w:sz w:val="22"/>
    </w:rPr>
  </w:style>
  <w:style w:type="character" w:customStyle="1" w:styleId="BodyTextChar">
    <w:name w:val="Body Text Char"/>
    <w:link w:val="BodyText"/>
    <w:uiPriority w:val="1"/>
    <w:rsid w:val="00AF736E"/>
    <w:rPr>
      <w:rFonts w:ascii="Aptos" w:eastAsia="Aptos" w:hAnsi="Aptos" w:cs="Arial"/>
      <w:kern w:val="28"/>
      <w:sz w:val="22"/>
    </w:rPr>
  </w:style>
  <w:style w:type="paragraph" w:styleId="BodyText2">
    <w:name w:val="Body Text 2"/>
    <w:basedOn w:val="BodyText"/>
    <w:link w:val="BodyText2Char"/>
    <w:uiPriority w:val="99"/>
    <w:rsid w:val="00AF736E"/>
    <w:pPr>
      <w:spacing w:after="0" w:line="480" w:lineRule="auto"/>
    </w:pPr>
  </w:style>
  <w:style w:type="character" w:customStyle="1" w:styleId="BodyText2Char">
    <w:name w:val="Body Text 2 Char"/>
    <w:link w:val="BodyText2"/>
    <w:uiPriority w:val="99"/>
    <w:rsid w:val="00AF736E"/>
    <w:rPr>
      <w:rFonts w:ascii="Aptos" w:eastAsia="Aptos" w:hAnsi="Aptos" w:cs="Arial"/>
      <w:kern w:val="28"/>
      <w:sz w:val="22"/>
    </w:rPr>
  </w:style>
  <w:style w:type="paragraph" w:styleId="BodyTextFirstIndent">
    <w:name w:val="Body Text First Indent"/>
    <w:basedOn w:val="BodyText"/>
    <w:link w:val="BodyTextFirstIndentChar"/>
    <w:qFormat/>
    <w:rsid w:val="00AF736E"/>
    <w:pPr>
      <w:ind w:firstLine="1440"/>
    </w:pPr>
  </w:style>
  <w:style w:type="character" w:customStyle="1" w:styleId="BodyTextFirstIndentChar">
    <w:name w:val="Body Text First Indent Char"/>
    <w:link w:val="BodyTextFirstIndent"/>
    <w:rsid w:val="00AF736E"/>
    <w:rPr>
      <w:rFonts w:ascii="Aptos" w:eastAsia="Aptos" w:hAnsi="Aptos" w:cs="Arial"/>
      <w:kern w:val="28"/>
      <w:sz w:val="22"/>
    </w:rPr>
  </w:style>
  <w:style w:type="paragraph" w:styleId="BodyTextIndent">
    <w:name w:val="Body Text Indent"/>
    <w:basedOn w:val="BodyText"/>
    <w:link w:val="BodyTextIndentChar"/>
    <w:rsid w:val="00AF736E"/>
    <w:pPr>
      <w:ind w:left="1440"/>
    </w:pPr>
  </w:style>
  <w:style w:type="character" w:customStyle="1" w:styleId="BodyTextIndentChar">
    <w:name w:val="Body Text Indent Char"/>
    <w:link w:val="BodyTextIndent"/>
    <w:rsid w:val="00AF736E"/>
    <w:rPr>
      <w:rFonts w:ascii="Aptos" w:eastAsia="Aptos" w:hAnsi="Aptos" w:cs="Arial"/>
      <w:kern w:val="28"/>
      <w:sz w:val="22"/>
    </w:rPr>
  </w:style>
  <w:style w:type="paragraph" w:styleId="BodyTextFirstIndent2">
    <w:name w:val="Body Text First Indent 2"/>
    <w:basedOn w:val="BodyTextFirstIndent"/>
    <w:link w:val="BodyTextFirstIndent2Char"/>
    <w:rsid w:val="00AF736E"/>
    <w:pPr>
      <w:spacing w:after="0" w:line="480" w:lineRule="auto"/>
    </w:pPr>
  </w:style>
  <w:style w:type="character" w:customStyle="1" w:styleId="BodyTextFirstIndent2Char">
    <w:name w:val="Body Text First Indent 2 Char"/>
    <w:link w:val="BodyTextFirstIndent2"/>
    <w:rsid w:val="00AF736E"/>
    <w:rPr>
      <w:rFonts w:ascii="Aptos" w:eastAsia="Aptos" w:hAnsi="Aptos" w:cs="Arial"/>
      <w:kern w:val="28"/>
      <w:sz w:val="22"/>
    </w:rPr>
  </w:style>
  <w:style w:type="paragraph" w:styleId="BodyTextIndent2">
    <w:name w:val="Body Text Indent 2"/>
    <w:basedOn w:val="BodyTextIndent"/>
    <w:link w:val="BodyTextIndent2Char"/>
    <w:rsid w:val="00AF736E"/>
    <w:pPr>
      <w:spacing w:after="0" w:line="480" w:lineRule="auto"/>
    </w:pPr>
  </w:style>
  <w:style w:type="character" w:customStyle="1" w:styleId="BodyTextIndent2Char">
    <w:name w:val="Body Text Indent 2 Char"/>
    <w:link w:val="BodyTextIndent2"/>
    <w:rsid w:val="00AF736E"/>
    <w:rPr>
      <w:rFonts w:ascii="Aptos" w:eastAsia="Aptos" w:hAnsi="Aptos" w:cs="Arial"/>
      <w:kern w:val="28"/>
      <w:sz w:val="22"/>
    </w:rPr>
  </w:style>
  <w:style w:type="paragraph" w:customStyle="1" w:styleId="BodyTextHalfIndent">
    <w:name w:val="Body Text Half Indent"/>
    <w:basedOn w:val="BodyText"/>
    <w:link w:val="BodyTextHalfIndentChar"/>
    <w:rsid w:val="00AF736E"/>
    <w:pPr>
      <w:ind w:left="720"/>
    </w:pPr>
  </w:style>
  <w:style w:type="paragraph" w:customStyle="1" w:styleId="BodyTextHalfIndent2">
    <w:name w:val="Body Text Half Indent 2"/>
    <w:basedOn w:val="BodyTextHalfIndent"/>
    <w:link w:val="BodyTextHalfIndent2Char"/>
    <w:rsid w:val="00AF736E"/>
    <w:pPr>
      <w:spacing w:after="0" w:line="480" w:lineRule="auto"/>
    </w:pPr>
  </w:style>
  <w:style w:type="character" w:customStyle="1" w:styleId="BodyTextHalfIndentChar">
    <w:name w:val="Body Text Half Indent Char"/>
    <w:link w:val="BodyTextHalfIndent"/>
    <w:rsid w:val="00AF736E"/>
    <w:rPr>
      <w:rFonts w:ascii="Aptos" w:eastAsia="Aptos" w:hAnsi="Aptos" w:cs="Arial"/>
      <w:kern w:val="28"/>
      <w:sz w:val="22"/>
    </w:rPr>
  </w:style>
  <w:style w:type="paragraph" w:customStyle="1" w:styleId="BodyTextFirstHalfIndent">
    <w:name w:val="Body Text First Half Indent"/>
    <w:basedOn w:val="BodyText"/>
    <w:link w:val="BodyTextFirstHalfIndentChar"/>
    <w:rsid w:val="00AF736E"/>
    <w:pPr>
      <w:ind w:firstLine="720"/>
    </w:pPr>
  </w:style>
  <w:style w:type="character" w:customStyle="1" w:styleId="BodyTextHalfIndent2Char">
    <w:name w:val="Body Text Half Indent 2 Char"/>
    <w:link w:val="BodyTextHalfIndent2"/>
    <w:rsid w:val="00AF736E"/>
    <w:rPr>
      <w:rFonts w:ascii="Aptos" w:eastAsia="Aptos" w:hAnsi="Aptos" w:cs="Arial"/>
      <w:kern w:val="28"/>
      <w:sz w:val="22"/>
    </w:rPr>
  </w:style>
  <w:style w:type="paragraph" w:customStyle="1" w:styleId="BodyTextFirstHalfIndent2">
    <w:name w:val="Body Text First Half Indent 2"/>
    <w:basedOn w:val="BodyTextFirstHalfIndent"/>
    <w:link w:val="BodyTextFirstHalfIndent2Char"/>
    <w:rsid w:val="00AF736E"/>
    <w:pPr>
      <w:spacing w:after="0" w:line="480" w:lineRule="auto"/>
    </w:pPr>
  </w:style>
  <w:style w:type="character" w:customStyle="1" w:styleId="BodyTextFirstHalfIndentChar">
    <w:name w:val="Body Text First Half Indent Char"/>
    <w:link w:val="BodyTextFirstHalfIndent"/>
    <w:rsid w:val="00AF736E"/>
    <w:rPr>
      <w:rFonts w:ascii="Aptos" w:eastAsia="Aptos" w:hAnsi="Aptos" w:cs="Arial"/>
      <w:kern w:val="28"/>
      <w:sz w:val="22"/>
    </w:rPr>
  </w:style>
  <w:style w:type="paragraph" w:styleId="EnvelopeAddress">
    <w:name w:val="envelope address"/>
    <w:basedOn w:val="Normal"/>
    <w:uiPriority w:val="99"/>
    <w:unhideWhenUsed/>
    <w:rsid w:val="00AF736E"/>
    <w:pPr>
      <w:framePr w:w="7920" w:h="1987" w:hRule="exact" w:hSpace="187" w:wrap="around" w:hAnchor="page" w:xAlign="center" w:yAlign="bottom"/>
      <w:widowControl w:val="0"/>
      <w:ind w:left="2880"/>
    </w:pPr>
    <w:rPr>
      <w:rFonts w:ascii="Aptos" w:hAnsi="Aptos"/>
      <w:kern w:val="28"/>
      <w:sz w:val="22"/>
    </w:rPr>
  </w:style>
  <w:style w:type="character" w:customStyle="1" w:styleId="BodyTextFirstHalfIndent2Char">
    <w:name w:val="Body Text First Half Indent 2 Char"/>
    <w:link w:val="BodyTextFirstHalfIndent2"/>
    <w:rsid w:val="00AF736E"/>
    <w:rPr>
      <w:rFonts w:ascii="Aptos" w:eastAsia="Aptos" w:hAnsi="Aptos" w:cs="Arial"/>
      <w:kern w:val="28"/>
      <w:sz w:val="22"/>
    </w:rPr>
  </w:style>
  <w:style w:type="paragraph" w:styleId="EnvelopeReturn">
    <w:name w:val="envelope return"/>
    <w:basedOn w:val="Normal"/>
    <w:uiPriority w:val="99"/>
    <w:unhideWhenUsed/>
    <w:rsid w:val="00AF736E"/>
    <w:pPr>
      <w:widowControl w:val="0"/>
    </w:pPr>
    <w:rPr>
      <w:rFonts w:ascii="Aptos" w:hAnsi="Aptos"/>
      <w:kern w:val="28"/>
    </w:rPr>
  </w:style>
  <w:style w:type="paragraph" w:styleId="NormalIndent">
    <w:name w:val="Normal Indent"/>
    <w:basedOn w:val="Normal"/>
    <w:uiPriority w:val="99"/>
    <w:unhideWhenUsed/>
    <w:rsid w:val="00AF736E"/>
    <w:pPr>
      <w:widowControl w:val="0"/>
      <w:ind w:left="1440"/>
    </w:pPr>
    <w:rPr>
      <w:rFonts w:ascii="Aptos" w:eastAsia="Aptos" w:hAnsi="Aptos" w:cs="Arial"/>
      <w:kern w:val="28"/>
      <w:sz w:val="22"/>
    </w:rPr>
  </w:style>
  <w:style w:type="paragraph" w:customStyle="1" w:styleId="NormalHalfIndent">
    <w:name w:val="Normal Half Indent"/>
    <w:basedOn w:val="Normal"/>
    <w:semiHidden/>
    <w:rsid w:val="00AF736E"/>
    <w:pPr>
      <w:widowControl w:val="0"/>
      <w:autoSpaceDE w:val="0"/>
      <w:autoSpaceDN w:val="0"/>
      <w:ind w:left="720"/>
    </w:pPr>
    <w:rPr>
      <w:kern w:val="28"/>
      <w:sz w:val="22"/>
    </w:rPr>
  </w:style>
  <w:style w:type="paragraph" w:styleId="Salutation">
    <w:name w:val="Salutation"/>
    <w:basedOn w:val="Normal"/>
    <w:next w:val="Normal"/>
    <w:link w:val="SalutationChar"/>
    <w:uiPriority w:val="99"/>
    <w:rsid w:val="00AF736E"/>
    <w:pPr>
      <w:widowControl w:val="0"/>
      <w:spacing w:after="240"/>
    </w:pPr>
    <w:rPr>
      <w:rFonts w:ascii="Aptos" w:eastAsia="Aptos" w:hAnsi="Aptos" w:cs="Arial"/>
      <w:kern w:val="28"/>
      <w:sz w:val="22"/>
    </w:rPr>
  </w:style>
  <w:style w:type="character" w:customStyle="1" w:styleId="SalutationChar">
    <w:name w:val="Salutation Char"/>
    <w:link w:val="Salutation"/>
    <w:uiPriority w:val="99"/>
    <w:rsid w:val="00AF736E"/>
    <w:rPr>
      <w:rFonts w:ascii="Aptos" w:eastAsia="Aptos" w:hAnsi="Aptos" w:cs="Arial"/>
      <w:kern w:val="28"/>
      <w:sz w:val="22"/>
    </w:rPr>
  </w:style>
  <w:style w:type="numbering" w:customStyle="1" w:styleId="CovingtonHeadings">
    <w:name w:val="Covington Headings"/>
    <w:uiPriority w:val="99"/>
    <w:rsid w:val="00AF736E"/>
    <w:pPr>
      <w:numPr>
        <w:numId w:val="10"/>
      </w:numPr>
    </w:pPr>
  </w:style>
  <w:style w:type="paragraph" w:customStyle="1" w:styleId="SubtitleCentered">
    <w:name w:val="Subtitle Centered"/>
    <w:basedOn w:val="Subtitle"/>
    <w:link w:val="SubtitleCenteredChar"/>
    <w:uiPriority w:val="11"/>
    <w:qFormat/>
    <w:rsid w:val="00AF736E"/>
    <w:pPr>
      <w:spacing w:after="240"/>
      <w:jc w:val="center"/>
      <w:outlineLvl w:val="1"/>
    </w:pPr>
    <w:rPr>
      <w:rFonts w:ascii="Aptos Display" w:hAnsi="Aptos Display"/>
      <w:iCs/>
      <w:u w:val="single"/>
    </w:rPr>
  </w:style>
  <w:style w:type="numbering" w:customStyle="1" w:styleId="ListBullets">
    <w:name w:val="ListBullets"/>
    <w:uiPriority w:val="99"/>
    <w:rsid w:val="00AF736E"/>
    <w:pPr>
      <w:numPr>
        <w:numId w:val="11"/>
      </w:numPr>
    </w:pPr>
  </w:style>
  <w:style w:type="numbering" w:customStyle="1" w:styleId="ListNumbers">
    <w:name w:val="ListNumbers"/>
    <w:uiPriority w:val="99"/>
    <w:rsid w:val="00AF736E"/>
    <w:pPr>
      <w:numPr>
        <w:numId w:val="12"/>
      </w:numPr>
    </w:pPr>
  </w:style>
  <w:style w:type="paragraph" w:styleId="ListBullet">
    <w:name w:val="List Bullet"/>
    <w:basedOn w:val="Normal"/>
    <w:uiPriority w:val="6"/>
    <w:qFormat/>
    <w:rsid w:val="00AF736E"/>
    <w:pPr>
      <w:widowControl w:val="0"/>
      <w:numPr>
        <w:numId w:val="17"/>
      </w:numPr>
      <w:tabs>
        <w:tab w:val="clear" w:pos="360"/>
      </w:tabs>
      <w:spacing w:after="240"/>
      <w:ind w:left="0" w:firstLine="0"/>
    </w:pPr>
    <w:rPr>
      <w:rFonts w:ascii="Aptos" w:eastAsia="Aptos" w:hAnsi="Aptos" w:cs="Arial"/>
      <w:kern w:val="28"/>
      <w:sz w:val="22"/>
    </w:rPr>
  </w:style>
  <w:style w:type="paragraph" w:styleId="ListBullet2">
    <w:name w:val="List Bullet 2"/>
    <w:basedOn w:val="Normal"/>
    <w:uiPriority w:val="6"/>
    <w:qFormat/>
    <w:rsid w:val="00AF736E"/>
    <w:pPr>
      <w:widowControl w:val="0"/>
      <w:numPr>
        <w:ilvl w:val="1"/>
        <w:numId w:val="17"/>
      </w:numPr>
      <w:tabs>
        <w:tab w:val="clear" w:pos="720"/>
      </w:tabs>
      <w:spacing w:after="240"/>
      <w:ind w:left="0" w:firstLine="0"/>
    </w:pPr>
    <w:rPr>
      <w:rFonts w:ascii="Aptos" w:eastAsia="Aptos" w:hAnsi="Aptos" w:cs="Arial"/>
      <w:kern w:val="28"/>
      <w:sz w:val="22"/>
    </w:rPr>
  </w:style>
  <w:style w:type="paragraph" w:styleId="ListBullet3">
    <w:name w:val="List Bullet 3"/>
    <w:basedOn w:val="Normal"/>
    <w:uiPriority w:val="6"/>
    <w:rsid w:val="00AF736E"/>
    <w:pPr>
      <w:widowControl w:val="0"/>
      <w:numPr>
        <w:ilvl w:val="2"/>
        <w:numId w:val="17"/>
      </w:numPr>
      <w:tabs>
        <w:tab w:val="clear" w:pos="1080"/>
      </w:tabs>
      <w:spacing w:after="240"/>
      <w:ind w:left="0" w:firstLine="0"/>
    </w:pPr>
    <w:rPr>
      <w:rFonts w:ascii="Aptos" w:eastAsia="Aptos" w:hAnsi="Aptos" w:cs="Arial"/>
      <w:kern w:val="28"/>
      <w:sz w:val="22"/>
    </w:rPr>
  </w:style>
  <w:style w:type="paragraph" w:styleId="ListBullet4">
    <w:name w:val="List Bullet 4"/>
    <w:basedOn w:val="Normal"/>
    <w:uiPriority w:val="6"/>
    <w:rsid w:val="00AF736E"/>
    <w:pPr>
      <w:widowControl w:val="0"/>
      <w:numPr>
        <w:ilvl w:val="3"/>
        <w:numId w:val="17"/>
      </w:numPr>
      <w:tabs>
        <w:tab w:val="clear" w:pos="1440"/>
      </w:tabs>
      <w:spacing w:after="240"/>
      <w:ind w:left="0" w:firstLine="0"/>
    </w:pPr>
    <w:rPr>
      <w:rFonts w:ascii="Aptos" w:eastAsia="Aptos" w:hAnsi="Aptos" w:cs="Arial"/>
      <w:kern w:val="28"/>
      <w:sz w:val="22"/>
    </w:rPr>
  </w:style>
  <w:style w:type="paragraph" w:styleId="ListBullet5">
    <w:name w:val="List Bullet 5"/>
    <w:basedOn w:val="Normal"/>
    <w:uiPriority w:val="6"/>
    <w:rsid w:val="00AF736E"/>
    <w:pPr>
      <w:widowControl w:val="0"/>
      <w:numPr>
        <w:ilvl w:val="4"/>
        <w:numId w:val="17"/>
      </w:numPr>
      <w:tabs>
        <w:tab w:val="clear" w:pos="1800"/>
      </w:tabs>
      <w:spacing w:after="240"/>
      <w:ind w:left="0" w:firstLine="0"/>
    </w:pPr>
    <w:rPr>
      <w:rFonts w:ascii="Aptos" w:eastAsia="Aptos" w:hAnsi="Aptos" w:cs="Arial"/>
      <w:kern w:val="28"/>
      <w:sz w:val="22"/>
    </w:rPr>
  </w:style>
  <w:style w:type="paragraph" w:styleId="List">
    <w:name w:val="List"/>
    <w:basedOn w:val="Normal"/>
    <w:uiPriority w:val="5"/>
    <w:qFormat/>
    <w:rsid w:val="00AF736E"/>
    <w:pPr>
      <w:widowControl w:val="0"/>
      <w:spacing w:after="240"/>
      <w:ind w:left="360" w:hanging="360"/>
    </w:pPr>
    <w:rPr>
      <w:rFonts w:ascii="Aptos" w:eastAsia="Aptos" w:hAnsi="Aptos" w:cs="Arial"/>
      <w:kern w:val="28"/>
      <w:sz w:val="22"/>
    </w:rPr>
  </w:style>
  <w:style w:type="paragraph" w:styleId="ListNumber">
    <w:name w:val="List Number"/>
    <w:basedOn w:val="Normal"/>
    <w:uiPriority w:val="7"/>
    <w:qFormat/>
    <w:rsid w:val="00AF736E"/>
    <w:pPr>
      <w:widowControl w:val="0"/>
      <w:numPr>
        <w:numId w:val="18"/>
      </w:numPr>
      <w:tabs>
        <w:tab w:val="clear" w:pos="360"/>
      </w:tabs>
      <w:spacing w:after="240"/>
      <w:ind w:left="0" w:firstLine="0"/>
    </w:pPr>
    <w:rPr>
      <w:rFonts w:ascii="Aptos" w:eastAsia="Aptos" w:hAnsi="Aptos" w:cs="Arial"/>
      <w:kern w:val="28"/>
      <w:sz w:val="22"/>
    </w:rPr>
  </w:style>
  <w:style w:type="paragraph" w:styleId="ListNumber2">
    <w:name w:val="List Number 2"/>
    <w:basedOn w:val="Normal"/>
    <w:uiPriority w:val="7"/>
    <w:qFormat/>
    <w:rsid w:val="00AF736E"/>
    <w:pPr>
      <w:widowControl w:val="0"/>
      <w:numPr>
        <w:ilvl w:val="1"/>
        <w:numId w:val="18"/>
      </w:numPr>
      <w:tabs>
        <w:tab w:val="clear" w:pos="720"/>
      </w:tabs>
      <w:spacing w:after="240"/>
      <w:ind w:left="0" w:firstLine="0"/>
    </w:pPr>
    <w:rPr>
      <w:rFonts w:ascii="Aptos" w:eastAsia="Aptos" w:hAnsi="Aptos" w:cs="Arial"/>
      <w:kern w:val="28"/>
      <w:sz w:val="22"/>
    </w:rPr>
  </w:style>
  <w:style w:type="paragraph" w:styleId="ListNumber3">
    <w:name w:val="List Number 3"/>
    <w:basedOn w:val="Normal"/>
    <w:uiPriority w:val="7"/>
    <w:rsid w:val="00AF736E"/>
    <w:pPr>
      <w:widowControl w:val="0"/>
      <w:numPr>
        <w:ilvl w:val="2"/>
        <w:numId w:val="18"/>
      </w:numPr>
      <w:tabs>
        <w:tab w:val="clear" w:pos="1080"/>
      </w:tabs>
      <w:spacing w:after="240"/>
      <w:ind w:left="0" w:firstLine="0"/>
    </w:pPr>
    <w:rPr>
      <w:rFonts w:ascii="Aptos" w:eastAsia="Aptos" w:hAnsi="Aptos" w:cs="Arial"/>
      <w:kern w:val="28"/>
      <w:sz w:val="22"/>
    </w:rPr>
  </w:style>
  <w:style w:type="paragraph" w:styleId="ListNumber4">
    <w:name w:val="List Number 4"/>
    <w:basedOn w:val="Normal"/>
    <w:uiPriority w:val="7"/>
    <w:rsid w:val="00AF736E"/>
    <w:pPr>
      <w:widowControl w:val="0"/>
      <w:numPr>
        <w:ilvl w:val="3"/>
        <w:numId w:val="18"/>
      </w:numPr>
      <w:tabs>
        <w:tab w:val="clear" w:pos="1440"/>
      </w:tabs>
      <w:spacing w:after="240"/>
      <w:ind w:left="0" w:firstLine="0"/>
    </w:pPr>
    <w:rPr>
      <w:rFonts w:ascii="Aptos" w:eastAsia="Aptos" w:hAnsi="Aptos" w:cs="Arial"/>
      <w:kern w:val="28"/>
      <w:sz w:val="22"/>
    </w:rPr>
  </w:style>
  <w:style w:type="paragraph" w:styleId="List2">
    <w:name w:val="List 2"/>
    <w:basedOn w:val="Normal"/>
    <w:uiPriority w:val="5"/>
    <w:qFormat/>
    <w:rsid w:val="00AF736E"/>
    <w:pPr>
      <w:widowControl w:val="0"/>
      <w:spacing w:after="240"/>
      <w:ind w:left="720" w:hanging="360"/>
    </w:pPr>
    <w:rPr>
      <w:rFonts w:ascii="Aptos" w:eastAsia="Aptos" w:hAnsi="Aptos" w:cs="Arial"/>
      <w:kern w:val="28"/>
      <w:sz w:val="22"/>
    </w:rPr>
  </w:style>
  <w:style w:type="paragraph" w:styleId="List3">
    <w:name w:val="List 3"/>
    <w:basedOn w:val="Normal"/>
    <w:uiPriority w:val="5"/>
    <w:rsid w:val="00AF736E"/>
    <w:pPr>
      <w:widowControl w:val="0"/>
      <w:spacing w:after="240"/>
      <w:ind w:left="1080" w:hanging="360"/>
    </w:pPr>
    <w:rPr>
      <w:rFonts w:ascii="Aptos" w:eastAsia="Aptos" w:hAnsi="Aptos" w:cs="Arial"/>
      <w:kern w:val="28"/>
      <w:sz w:val="22"/>
    </w:rPr>
  </w:style>
  <w:style w:type="paragraph" w:styleId="List4">
    <w:name w:val="List 4"/>
    <w:basedOn w:val="Normal"/>
    <w:uiPriority w:val="5"/>
    <w:rsid w:val="00AF736E"/>
    <w:pPr>
      <w:widowControl w:val="0"/>
      <w:spacing w:after="240"/>
      <w:ind w:left="1440" w:hanging="360"/>
    </w:pPr>
    <w:rPr>
      <w:rFonts w:ascii="Aptos" w:eastAsia="Aptos" w:hAnsi="Aptos" w:cs="Arial"/>
      <w:kern w:val="28"/>
      <w:sz w:val="22"/>
    </w:rPr>
  </w:style>
  <w:style w:type="paragraph" w:styleId="List5">
    <w:name w:val="List 5"/>
    <w:basedOn w:val="Normal"/>
    <w:uiPriority w:val="5"/>
    <w:rsid w:val="00AF736E"/>
    <w:pPr>
      <w:widowControl w:val="0"/>
      <w:spacing w:after="240"/>
      <w:ind w:left="1800" w:hanging="360"/>
    </w:pPr>
    <w:rPr>
      <w:rFonts w:ascii="Aptos" w:eastAsia="Aptos" w:hAnsi="Aptos" w:cs="Arial"/>
      <w:kern w:val="28"/>
      <w:sz w:val="22"/>
    </w:rPr>
  </w:style>
  <w:style w:type="paragraph" w:styleId="ListContinue">
    <w:name w:val="List Continue"/>
    <w:basedOn w:val="Normal"/>
    <w:uiPriority w:val="8"/>
    <w:qFormat/>
    <w:rsid w:val="00AF736E"/>
    <w:pPr>
      <w:widowControl w:val="0"/>
      <w:spacing w:after="240"/>
      <w:ind w:left="360"/>
    </w:pPr>
    <w:rPr>
      <w:rFonts w:ascii="Aptos" w:eastAsia="Aptos" w:hAnsi="Aptos" w:cs="Arial"/>
      <w:kern w:val="28"/>
      <w:sz w:val="22"/>
    </w:rPr>
  </w:style>
  <w:style w:type="paragraph" w:styleId="ListContinue2">
    <w:name w:val="List Continue 2"/>
    <w:basedOn w:val="Normal"/>
    <w:uiPriority w:val="8"/>
    <w:qFormat/>
    <w:rsid w:val="00AF736E"/>
    <w:pPr>
      <w:widowControl w:val="0"/>
      <w:spacing w:after="240"/>
      <w:ind w:left="720"/>
    </w:pPr>
    <w:rPr>
      <w:rFonts w:ascii="Aptos" w:eastAsia="Aptos" w:hAnsi="Aptos" w:cs="Arial"/>
      <w:kern w:val="28"/>
      <w:sz w:val="22"/>
    </w:rPr>
  </w:style>
  <w:style w:type="paragraph" w:styleId="ListContinue3">
    <w:name w:val="List Continue 3"/>
    <w:basedOn w:val="Normal"/>
    <w:uiPriority w:val="8"/>
    <w:rsid w:val="00AF736E"/>
    <w:pPr>
      <w:widowControl w:val="0"/>
      <w:spacing w:after="240"/>
      <w:ind w:left="1080"/>
    </w:pPr>
    <w:rPr>
      <w:rFonts w:ascii="Aptos" w:eastAsia="Aptos" w:hAnsi="Aptos" w:cs="Arial"/>
      <w:kern w:val="28"/>
      <w:sz w:val="22"/>
    </w:rPr>
  </w:style>
  <w:style w:type="paragraph" w:styleId="ListContinue4">
    <w:name w:val="List Continue 4"/>
    <w:basedOn w:val="Normal"/>
    <w:uiPriority w:val="8"/>
    <w:rsid w:val="00AF736E"/>
    <w:pPr>
      <w:widowControl w:val="0"/>
      <w:spacing w:after="240"/>
      <w:ind w:left="1440"/>
    </w:pPr>
    <w:rPr>
      <w:rFonts w:ascii="Aptos" w:eastAsia="Aptos" w:hAnsi="Aptos" w:cs="Arial"/>
      <w:kern w:val="28"/>
      <w:sz w:val="22"/>
    </w:rPr>
  </w:style>
  <w:style w:type="paragraph" w:styleId="ListContinue5">
    <w:name w:val="List Continue 5"/>
    <w:basedOn w:val="Normal"/>
    <w:uiPriority w:val="8"/>
    <w:rsid w:val="00AF736E"/>
    <w:pPr>
      <w:widowControl w:val="0"/>
      <w:spacing w:after="240"/>
      <w:ind w:left="1800"/>
    </w:pPr>
    <w:rPr>
      <w:rFonts w:ascii="Aptos" w:eastAsia="Aptos" w:hAnsi="Aptos" w:cs="Arial"/>
      <w:kern w:val="28"/>
      <w:sz w:val="22"/>
    </w:rPr>
  </w:style>
  <w:style w:type="paragraph" w:styleId="ListNumber5">
    <w:name w:val="List Number 5"/>
    <w:basedOn w:val="Normal"/>
    <w:uiPriority w:val="7"/>
    <w:rsid w:val="00AF736E"/>
    <w:pPr>
      <w:widowControl w:val="0"/>
      <w:numPr>
        <w:ilvl w:val="4"/>
        <w:numId w:val="18"/>
      </w:numPr>
      <w:tabs>
        <w:tab w:val="clear" w:pos="1800"/>
      </w:tabs>
      <w:spacing w:after="240"/>
      <w:ind w:left="0" w:firstLine="0"/>
    </w:pPr>
    <w:rPr>
      <w:rFonts w:ascii="Aptos" w:eastAsia="Aptos" w:hAnsi="Aptos" w:cs="Arial"/>
      <w:kern w:val="28"/>
      <w:sz w:val="22"/>
    </w:rPr>
  </w:style>
  <w:style w:type="character" w:customStyle="1" w:styleId="SubtitleCenteredChar">
    <w:name w:val="Subtitle Centered Char"/>
    <w:link w:val="SubtitleCentered"/>
    <w:uiPriority w:val="11"/>
    <w:rsid w:val="00AF736E"/>
    <w:rPr>
      <w:rFonts w:ascii="Aptos Display" w:hAnsi="Aptos Display"/>
      <w:iCs/>
      <w:color w:val="595959"/>
      <w:spacing w:val="15"/>
      <w:kern w:val="28"/>
      <w:sz w:val="28"/>
      <w:szCs w:val="28"/>
      <w:u w:val="single"/>
    </w:rPr>
  </w:style>
  <w:style w:type="character" w:customStyle="1" w:styleId="BlockTextChar">
    <w:name w:val="Block Text Char"/>
    <w:link w:val="BlockText"/>
    <w:rsid w:val="00AF736E"/>
    <w:rPr>
      <w:snapToGrid w:val="0"/>
      <w:kern w:val="28"/>
      <w:sz w:val="22"/>
    </w:rPr>
  </w:style>
  <w:style w:type="paragraph" w:customStyle="1" w:styleId="LetteredParagraphDouble">
    <w:name w:val="Lettered Paragraph Double"/>
    <w:basedOn w:val="Normal"/>
    <w:link w:val="LetteredParagraphDoubleChar"/>
    <w:unhideWhenUsed/>
    <w:rsid w:val="00AF736E"/>
    <w:pPr>
      <w:widowControl w:val="0"/>
      <w:numPr>
        <w:numId w:val="13"/>
      </w:numPr>
      <w:tabs>
        <w:tab w:val="left" w:pos="1800"/>
      </w:tabs>
      <w:autoSpaceDE w:val="0"/>
      <w:autoSpaceDN w:val="0"/>
      <w:spacing w:line="480" w:lineRule="auto"/>
      <w:ind w:firstLine="0"/>
    </w:pPr>
    <w:rPr>
      <w:kern w:val="28"/>
      <w:sz w:val="22"/>
    </w:rPr>
  </w:style>
  <w:style w:type="paragraph" w:customStyle="1" w:styleId="LetteredParagraphSingle">
    <w:name w:val="Lettered Paragraph Single"/>
    <w:basedOn w:val="Normal"/>
    <w:link w:val="LetteredParagraphSingleChar"/>
    <w:unhideWhenUsed/>
    <w:rsid w:val="00AF736E"/>
    <w:pPr>
      <w:widowControl w:val="0"/>
      <w:numPr>
        <w:numId w:val="14"/>
      </w:numPr>
      <w:tabs>
        <w:tab w:val="left" w:pos="1800"/>
      </w:tabs>
      <w:autoSpaceDE w:val="0"/>
      <w:autoSpaceDN w:val="0"/>
      <w:spacing w:after="240"/>
      <w:ind w:firstLine="0"/>
    </w:pPr>
    <w:rPr>
      <w:kern w:val="28"/>
      <w:sz w:val="22"/>
    </w:rPr>
  </w:style>
  <w:style w:type="character" w:customStyle="1" w:styleId="LetteredParagraphDoubleChar">
    <w:name w:val="Lettered Paragraph Double Char"/>
    <w:link w:val="LetteredParagraphDouble"/>
    <w:rsid w:val="00AF736E"/>
    <w:rPr>
      <w:kern w:val="28"/>
      <w:sz w:val="22"/>
    </w:rPr>
  </w:style>
  <w:style w:type="paragraph" w:customStyle="1" w:styleId="NumberedParagraphDouble">
    <w:name w:val="Numbered Paragraph Double"/>
    <w:basedOn w:val="Normal"/>
    <w:link w:val="NumberedParagraphDoubleChar"/>
    <w:rsid w:val="00AF736E"/>
    <w:pPr>
      <w:widowControl w:val="0"/>
      <w:numPr>
        <w:numId w:val="15"/>
      </w:numPr>
      <w:tabs>
        <w:tab w:val="left" w:pos="720"/>
      </w:tabs>
      <w:autoSpaceDE w:val="0"/>
      <w:autoSpaceDN w:val="0"/>
      <w:spacing w:line="480" w:lineRule="auto"/>
      <w:ind w:firstLine="0"/>
    </w:pPr>
    <w:rPr>
      <w:kern w:val="28"/>
      <w:sz w:val="22"/>
    </w:rPr>
  </w:style>
  <w:style w:type="character" w:customStyle="1" w:styleId="LetteredParagraphSingleChar">
    <w:name w:val="Lettered Paragraph Single Char"/>
    <w:link w:val="LetteredParagraphSingle"/>
    <w:rsid w:val="00AF736E"/>
    <w:rPr>
      <w:kern w:val="28"/>
      <w:sz w:val="22"/>
    </w:rPr>
  </w:style>
  <w:style w:type="paragraph" w:customStyle="1" w:styleId="NumberedParagraphSingle">
    <w:name w:val="Numbered Paragraph Single"/>
    <w:basedOn w:val="Normal"/>
    <w:link w:val="NumberedParagraphSingleChar"/>
    <w:rsid w:val="00AF736E"/>
    <w:pPr>
      <w:widowControl w:val="0"/>
      <w:numPr>
        <w:numId w:val="16"/>
      </w:numPr>
      <w:tabs>
        <w:tab w:val="left" w:pos="1800"/>
      </w:tabs>
      <w:autoSpaceDE w:val="0"/>
      <w:autoSpaceDN w:val="0"/>
      <w:spacing w:after="240"/>
      <w:ind w:firstLine="0"/>
    </w:pPr>
    <w:rPr>
      <w:kern w:val="28"/>
      <w:sz w:val="22"/>
    </w:rPr>
  </w:style>
  <w:style w:type="character" w:customStyle="1" w:styleId="NumberedParagraphDoubleChar">
    <w:name w:val="Numbered Paragraph Double Char"/>
    <w:link w:val="NumberedParagraphDouble"/>
    <w:rsid w:val="00AF736E"/>
    <w:rPr>
      <w:kern w:val="28"/>
      <w:sz w:val="22"/>
    </w:rPr>
  </w:style>
  <w:style w:type="paragraph" w:customStyle="1" w:styleId="Re">
    <w:name w:val="Re"/>
    <w:basedOn w:val="Normal"/>
    <w:next w:val="Salutation"/>
    <w:uiPriority w:val="19"/>
    <w:rsid w:val="00AF736E"/>
    <w:pPr>
      <w:widowControl w:val="0"/>
      <w:tabs>
        <w:tab w:val="left" w:pos="2160"/>
      </w:tabs>
      <w:autoSpaceDE w:val="0"/>
      <w:autoSpaceDN w:val="0"/>
      <w:spacing w:before="240" w:after="240"/>
      <w:ind w:left="2160" w:right="1440" w:hanging="720"/>
      <w:contextualSpacing/>
    </w:pPr>
    <w:rPr>
      <w:kern w:val="28"/>
      <w:sz w:val="22"/>
    </w:rPr>
  </w:style>
  <w:style w:type="character" w:customStyle="1" w:styleId="NumberedParagraphSingleChar">
    <w:name w:val="Numbered Paragraph Single Char"/>
    <w:link w:val="NumberedParagraphSingle"/>
    <w:rsid w:val="00AF736E"/>
    <w:rPr>
      <w:kern w:val="28"/>
      <w:sz w:val="22"/>
    </w:rPr>
  </w:style>
  <w:style w:type="paragraph" w:customStyle="1" w:styleId="TableEnd">
    <w:name w:val="Table End"/>
    <w:basedOn w:val="Normal"/>
    <w:uiPriority w:val="19"/>
    <w:rsid w:val="00AF736E"/>
    <w:pPr>
      <w:widowControl w:val="0"/>
      <w:autoSpaceDE w:val="0"/>
      <w:autoSpaceDN w:val="0"/>
      <w:spacing w:before="60" w:after="180"/>
    </w:pPr>
    <w:rPr>
      <w:kern w:val="28"/>
      <w:sz w:val="22"/>
    </w:rPr>
  </w:style>
  <w:style w:type="paragraph" w:customStyle="1" w:styleId="TableHeading">
    <w:name w:val="Table Heading"/>
    <w:basedOn w:val="Normal"/>
    <w:uiPriority w:val="19"/>
    <w:rsid w:val="00AF736E"/>
    <w:pPr>
      <w:keepNext/>
      <w:widowControl w:val="0"/>
      <w:autoSpaceDE w:val="0"/>
      <w:autoSpaceDN w:val="0"/>
      <w:spacing w:before="240" w:after="60"/>
      <w:jc w:val="center"/>
    </w:pPr>
    <w:rPr>
      <w:b/>
      <w:kern w:val="28"/>
      <w:sz w:val="22"/>
    </w:rPr>
  </w:style>
  <w:style w:type="paragraph" w:customStyle="1" w:styleId="TableText">
    <w:name w:val="Table Text"/>
    <w:basedOn w:val="Normal"/>
    <w:uiPriority w:val="19"/>
    <w:rsid w:val="00AF736E"/>
    <w:pPr>
      <w:widowControl w:val="0"/>
      <w:autoSpaceDE w:val="0"/>
      <w:autoSpaceDN w:val="0"/>
      <w:spacing w:before="60" w:after="60"/>
    </w:pPr>
    <w:rPr>
      <w:kern w:val="28"/>
      <w:sz w:val="22"/>
    </w:rPr>
  </w:style>
  <w:style w:type="paragraph" w:styleId="TOCHeading">
    <w:name w:val="TOC Heading"/>
    <w:basedOn w:val="Normal"/>
    <w:next w:val="Normal"/>
    <w:uiPriority w:val="39"/>
    <w:semiHidden/>
    <w:unhideWhenUsed/>
    <w:rsid w:val="00AF736E"/>
    <w:pPr>
      <w:widowControl w:val="0"/>
      <w:spacing w:after="240"/>
      <w:contextualSpacing/>
      <w:jc w:val="center"/>
    </w:pPr>
    <w:rPr>
      <w:rFonts w:ascii="Aptos" w:eastAsia="Aptos" w:hAnsi="Aptos" w:cs="Arial"/>
      <w:b/>
      <w:kern w:val="28"/>
      <w:sz w:val="22"/>
    </w:rPr>
  </w:style>
  <w:style w:type="paragraph" w:customStyle="1" w:styleId="TableParagraph">
    <w:name w:val="Table Paragraph"/>
    <w:basedOn w:val="Normal"/>
    <w:uiPriority w:val="1"/>
    <w:qFormat/>
    <w:rsid w:val="00AF736E"/>
    <w:pPr>
      <w:widowControl w:val="0"/>
      <w:autoSpaceDE w:val="0"/>
      <w:autoSpaceDN w:val="0"/>
      <w:ind w:left="107"/>
    </w:pPr>
    <w:rPr>
      <w:kern w:val="28"/>
      <w:sz w:val="22"/>
    </w:rPr>
  </w:style>
  <w:style w:type="character" w:styleId="FollowedHyperlink">
    <w:name w:val="FollowedHyperlink"/>
    <w:rsid w:val="00AF736E"/>
    <w:rPr>
      <w:color w:val="96607D"/>
      <w:u w:val="single"/>
    </w:rPr>
  </w:style>
  <w:style w:type="character" w:customStyle="1" w:styleId="ParaNumChar1">
    <w:name w:val="ParaNum Char1"/>
    <w:rsid w:val="00AF736E"/>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eader" Target="header2.xml" /><Relationship Id="rId8" Type="http://schemas.openxmlformats.org/officeDocument/2006/relationships/theme" Target="theme/theme1.xml" /><Relationship Id="rId9" Type="http://schemas.openxmlformats.org/officeDocument/2006/relationships/numbering" Target="numbering.xml" /></Relationships>
</file>

<file path=word/_rels/footnotes.xml.rels><?xml version="1.0" encoding="utf-8" standalone="yes"?><Relationships xmlns="http://schemas.openxmlformats.org/package/2006/relationships"><Relationship Id="rId1" Type="http://schemas.openxmlformats.org/officeDocument/2006/relationships/hyperlink" Target="https://1.next.westlaw.com/Link/Document/FullText?findType=Y&amp;serNum=1999286447&amp;pubNum=0004493&amp;originatingDoc=I7eec777262af11e0af6af9916f973d19&amp;refType=CA&amp;fi=co_pp_sp_4493_6599&amp;originationContext=document&amp;transitionType=DocumentItem&amp;ppcid=6f78063e24c04b82881e202ac4143e26&amp;contextData=(sc.Search)" TargetMode="External" /><Relationship Id="rId2" Type="http://schemas.openxmlformats.org/officeDocument/2006/relationships/hyperlink" Target="https://1.next.westlaw.com/Link/Document/FullText?findType=Y&amp;serNum=1999287258&amp;pubNum=0004493&amp;originatingDoc=I7eec777262af11e0af6af9916f973d19&amp;refType=CA&amp;fi=co_pp_sp_4493_11148&amp;originationContext=document&amp;transitionType=DocumentItem&amp;ppcid=6f78063e24c04b82881e202ac4143e26&amp;contextData=(sc.Search)" TargetMode="External" /><Relationship Id="rId3" Type="http://schemas.openxmlformats.org/officeDocument/2006/relationships/hyperlink" Target="https://nationalmediaspots.com/streaming-tv-advertising-is-taking-over-heres-how-to-get-ahead-of-the-curve/" TargetMode="External" /><Relationship Id="rId4" Type="http://schemas.openxmlformats.org/officeDocument/2006/relationships/hyperlink" Target="https://www.paramount.com/news/addressable-tv-how-advertising-is-evolving-with-television"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Letter.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Letter</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