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3A265BA" w14:textId="77777777">
      <w:pPr>
        <w:jc w:val="right"/>
        <w:rPr>
          <w:sz w:val="24"/>
        </w:rPr>
      </w:pPr>
    </w:p>
    <w:p w:rsidR="0067476A" w:rsidRPr="005836B9" w:rsidP="0067476A" w14:paraId="189B6B78" w14:textId="77777777">
      <w:pPr>
        <w:jc w:val="right"/>
        <w:rPr>
          <w:b/>
          <w:szCs w:val="22"/>
        </w:rPr>
      </w:pPr>
      <w:r w:rsidRPr="005836B9">
        <w:rPr>
          <w:b/>
          <w:szCs w:val="22"/>
        </w:rPr>
        <w:t>DA 2</w:t>
      </w:r>
      <w:r>
        <w:rPr>
          <w:b/>
          <w:szCs w:val="22"/>
        </w:rPr>
        <w:t>6-446</w:t>
      </w:r>
    </w:p>
    <w:p w:rsidR="0067476A" w:rsidRPr="005836B9" w:rsidP="0067476A" w14:paraId="1D769B09" w14:textId="77777777">
      <w:pPr>
        <w:spacing w:before="60"/>
        <w:jc w:val="right"/>
        <w:rPr>
          <w:b/>
          <w:szCs w:val="22"/>
        </w:rPr>
      </w:pPr>
      <w:r w:rsidRPr="005836B9">
        <w:rPr>
          <w:b/>
          <w:szCs w:val="22"/>
        </w:rPr>
        <w:t xml:space="preserve">Released:  </w:t>
      </w:r>
      <w:r>
        <w:rPr>
          <w:b/>
          <w:szCs w:val="22"/>
        </w:rPr>
        <w:t>May 7</w:t>
      </w:r>
      <w:r w:rsidRPr="005836B9">
        <w:rPr>
          <w:b/>
          <w:szCs w:val="22"/>
        </w:rPr>
        <w:t>, 202</w:t>
      </w:r>
      <w:r>
        <w:rPr>
          <w:b/>
          <w:szCs w:val="22"/>
        </w:rPr>
        <w:t>6</w:t>
      </w:r>
    </w:p>
    <w:p w:rsidR="0067476A" w:rsidRPr="005836B9" w:rsidP="0067476A" w14:paraId="6A2663D6" w14:textId="77777777">
      <w:pPr>
        <w:jc w:val="right"/>
        <w:rPr>
          <w:szCs w:val="22"/>
        </w:rPr>
      </w:pPr>
    </w:p>
    <w:p w:rsidR="0067476A" w:rsidP="0067476A" w14:paraId="5DD0F217" w14:textId="77777777">
      <w:pPr>
        <w:jc w:val="center"/>
        <w:rPr>
          <w:rFonts w:ascii="Times New Roman Bold" w:hAnsi="Times New Roman Bold"/>
          <w:b/>
          <w:caps/>
          <w:szCs w:val="22"/>
        </w:rPr>
      </w:pPr>
      <w:r>
        <w:rPr>
          <w:rFonts w:ascii="Times New Roman Bold" w:hAnsi="Times New Roman Bold"/>
          <w:b/>
          <w:caps/>
          <w:szCs w:val="22"/>
        </w:rPr>
        <w:t>Wireline Competition</w:t>
      </w:r>
      <w:r w:rsidRPr="005836B9">
        <w:rPr>
          <w:rFonts w:ascii="Times New Roman Bold" w:hAnsi="Times New Roman Bold"/>
          <w:b/>
          <w:caps/>
          <w:szCs w:val="22"/>
        </w:rPr>
        <w:t xml:space="preserve"> BUREAU ANNOUNCES </w:t>
      </w:r>
      <w:r>
        <w:rPr>
          <w:rFonts w:ascii="Times New Roman Bold" w:hAnsi="Times New Roman Bold"/>
          <w:b/>
          <w:caps/>
          <w:szCs w:val="22"/>
        </w:rPr>
        <w:t>EFFECTive</w:t>
      </w:r>
      <w:r w:rsidRPr="005836B9">
        <w:rPr>
          <w:rFonts w:ascii="Times New Roman Bold" w:hAnsi="Times New Roman Bold"/>
          <w:b/>
          <w:caps/>
          <w:szCs w:val="22"/>
        </w:rPr>
        <w:t xml:space="preserve"> DATE</w:t>
      </w:r>
      <w:r>
        <w:rPr>
          <w:rFonts w:ascii="Times New Roman Bold" w:hAnsi="Times New Roman Bold"/>
          <w:b/>
          <w:caps/>
          <w:szCs w:val="22"/>
        </w:rPr>
        <w:t xml:space="preserve"> </w:t>
      </w:r>
    </w:p>
    <w:p w:rsidR="0067476A" w:rsidRPr="005836B9" w:rsidP="0067476A" w14:paraId="33E44508" w14:textId="77777777">
      <w:pPr>
        <w:jc w:val="center"/>
        <w:rPr>
          <w:rFonts w:ascii="Times New Roman Bold" w:hAnsi="Times New Roman Bold"/>
          <w:b/>
          <w:caps/>
          <w:szCs w:val="22"/>
        </w:rPr>
      </w:pPr>
      <w:r w:rsidRPr="00486021">
        <w:rPr>
          <w:rFonts w:ascii="Times New Roman Bold" w:hAnsi="Times New Roman Bold"/>
          <w:b/>
          <w:caps/>
          <w:szCs w:val="22"/>
        </w:rPr>
        <w:t>FOR</w:t>
      </w:r>
      <w:r w:rsidRPr="005836B9">
        <w:rPr>
          <w:rFonts w:ascii="Times New Roman Bold" w:hAnsi="Times New Roman Bold"/>
          <w:b/>
          <w:caps/>
          <w:szCs w:val="22"/>
        </w:rPr>
        <w:t xml:space="preserve"> </w:t>
      </w:r>
      <w:r>
        <w:rPr>
          <w:rFonts w:ascii="Times New Roman Bold" w:hAnsi="Times New Roman Bold"/>
          <w:b/>
          <w:caps/>
          <w:szCs w:val="22"/>
        </w:rPr>
        <w:t>pole attachment Rules</w:t>
      </w:r>
    </w:p>
    <w:p w:rsidR="0067476A" w:rsidP="0067476A" w14:paraId="5739143A" w14:textId="77777777">
      <w:pPr>
        <w:spacing w:after="120"/>
        <w:jc w:val="center"/>
        <w:rPr>
          <w:b/>
          <w:szCs w:val="22"/>
        </w:rPr>
      </w:pPr>
    </w:p>
    <w:p w:rsidR="0067476A" w:rsidRPr="005836B9" w:rsidP="0067476A" w14:paraId="43C9EA7C" w14:textId="77777777">
      <w:pPr>
        <w:spacing w:after="120"/>
        <w:jc w:val="center"/>
        <w:rPr>
          <w:b/>
          <w:szCs w:val="22"/>
        </w:rPr>
      </w:pPr>
      <w:r>
        <w:rPr>
          <w:b/>
          <w:szCs w:val="22"/>
        </w:rPr>
        <w:t>WC</w:t>
      </w:r>
      <w:r w:rsidRPr="005836B9">
        <w:rPr>
          <w:b/>
          <w:szCs w:val="22"/>
        </w:rPr>
        <w:t xml:space="preserve"> Docket No. </w:t>
      </w:r>
      <w:r>
        <w:rPr>
          <w:b/>
          <w:szCs w:val="22"/>
        </w:rPr>
        <w:t>17-84</w:t>
      </w:r>
    </w:p>
    <w:p w:rsidR="0067476A" w:rsidP="0067476A" w14:paraId="343562BA" w14:textId="77777777">
      <w:pPr>
        <w:spacing w:after="120"/>
        <w:ind w:firstLine="720"/>
        <w:rPr>
          <w:szCs w:val="22"/>
        </w:rPr>
      </w:pPr>
      <w:r>
        <w:rPr>
          <w:szCs w:val="22"/>
        </w:rPr>
        <w:t>On July 24, 2025, the Commission adopted</w:t>
      </w:r>
      <w:r>
        <w:t xml:space="preserve"> the </w:t>
      </w:r>
      <w:r>
        <w:rPr>
          <w:i/>
          <w:iCs/>
        </w:rPr>
        <w:t>Accelerating Wireline Broadband Deployment by Removing Barriers to Infrastructure Investment Fifth Report and Order, Fourth Further Notice of Proposed Rulemaking, and Orders on Reconsideration</w:t>
      </w:r>
      <w:r>
        <w:t>.</w:t>
      </w:r>
      <w:r>
        <w:rPr>
          <w:rStyle w:val="FootnoteReference"/>
        </w:rPr>
        <w:footnoteReference w:id="3"/>
      </w:r>
      <w:r>
        <w:t xml:space="preserve">  In the </w:t>
      </w:r>
      <w:r w:rsidRPr="00830E75">
        <w:rPr>
          <w:i/>
          <w:iCs/>
        </w:rPr>
        <w:t>F</w:t>
      </w:r>
      <w:r>
        <w:rPr>
          <w:i/>
          <w:iCs/>
        </w:rPr>
        <w:t>ifth</w:t>
      </w:r>
      <w:r w:rsidRPr="00830E75">
        <w:rPr>
          <w:i/>
          <w:iCs/>
        </w:rPr>
        <w:t xml:space="preserve"> Report and Order</w:t>
      </w:r>
      <w:r>
        <w:t xml:space="preserve">, the Commission adopted rules (1) ensuring greater collaboration and cooperation between utilities and </w:t>
      </w:r>
      <w:r>
        <w:t>attachers</w:t>
      </w:r>
      <w:r>
        <w:t>, (2) establishing a timeline for large pole attachment requests, (3) improving the pole attachment timeline, and (4) speeding up the contractor approval process</w:t>
      </w:r>
      <w:r>
        <w:rPr>
          <w:szCs w:val="22"/>
        </w:rPr>
        <w:t>.</w:t>
      </w:r>
      <w:r>
        <w:rPr>
          <w:rStyle w:val="FootnoteReference"/>
          <w:szCs w:val="22"/>
        </w:rPr>
        <w:footnoteReference w:id="4"/>
      </w:r>
      <w:r>
        <w:rPr>
          <w:szCs w:val="22"/>
        </w:rPr>
        <w:t xml:space="preserve">  </w:t>
      </w:r>
      <w:r w:rsidRPr="000E77A7">
        <w:rPr>
          <w:szCs w:val="22"/>
        </w:rPr>
        <w:t xml:space="preserve">The Commission stated that these rule changes may contain new or modified information collection requirements and would not become effective until </w:t>
      </w:r>
      <w:r>
        <w:rPr>
          <w:szCs w:val="22"/>
        </w:rPr>
        <w:t>the Office of Management and Budget (</w:t>
      </w:r>
      <w:r w:rsidRPr="000E77A7">
        <w:rPr>
          <w:szCs w:val="22"/>
        </w:rPr>
        <w:t>OMB</w:t>
      </w:r>
      <w:r>
        <w:rPr>
          <w:szCs w:val="22"/>
        </w:rPr>
        <w:t>)</w:t>
      </w:r>
      <w:r w:rsidRPr="000E77A7">
        <w:rPr>
          <w:szCs w:val="22"/>
        </w:rPr>
        <w:t xml:space="preserve"> complete</w:t>
      </w:r>
      <w:r>
        <w:rPr>
          <w:szCs w:val="22"/>
        </w:rPr>
        <w:t>d</w:t>
      </w:r>
      <w:r w:rsidRPr="000E77A7">
        <w:rPr>
          <w:szCs w:val="22"/>
        </w:rPr>
        <w:t xml:space="preserve"> </w:t>
      </w:r>
      <w:r>
        <w:rPr>
          <w:szCs w:val="22"/>
        </w:rPr>
        <w:t xml:space="preserve">its </w:t>
      </w:r>
      <w:r w:rsidRPr="000E77A7">
        <w:rPr>
          <w:szCs w:val="22"/>
        </w:rPr>
        <w:t xml:space="preserve">review of any information collection requirements that the </w:t>
      </w:r>
      <w:r>
        <w:rPr>
          <w:szCs w:val="22"/>
        </w:rPr>
        <w:t xml:space="preserve">Wireline Competition </w:t>
      </w:r>
      <w:r w:rsidRPr="000E77A7">
        <w:rPr>
          <w:szCs w:val="22"/>
        </w:rPr>
        <w:t xml:space="preserve">Bureau </w:t>
      </w:r>
      <w:r>
        <w:rPr>
          <w:szCs w:val="22"/>
        </w:rPr>
        <w:t xml:space="preserve">(Bureau) </w:t>
      </w:r>
      <w:r w:rsidRPr="000E77A7">
        <w:rPr>
          <w:szCs w:val="22"/>
        </w:rPr>
        <w:t>determined is required under the Paperwork Reduction Act.</w:t>
      </w:r>
      <w:r>
        <w:rPr>
          <w:rStyle w:val="FootnoteReference"/>
          <w:szCs w:val="22"/>
        </w:rPr>
        <w:footnoteReference w:id="5"/>
      </w:r>
      <w:r w:rsidRPr="000E77A7">
        <w:rPr>
          <w:szCs w:val="22"/>
        </w:rPr>
        <w:t xml:space="preserve">  The Commission also directed the Bureau to announce the effective date for the </w:t>
      </w:r>
      <w:r>
        <w:rPr>
          <w:szCs w:val="22"/>
        </w:rPr>
        <w:t>rules</w:t>
      </w:r>
      <w:r w:rsidRPr="000E77A7">
        <w:rPr>
          <w:szCs w:val="22"/>
        </w:rPr>
        <w:t xml:space="preserve"> by subsequent </w:t>
      </w:r>
      <w:r>
        <w:rPr>
          <w:szCs w:val="22"/>
        </w:rPr>
        <w:t>P</w:t>
      </w:r>
      <w:r w:rsidRPr="000E77A7">
        <w:rPr>
          <w:szCs w:val="22"/>
        </w:rPr>
        <w:t xml:space="preserve">ublic </w:t>
      </w:r>
      <w:r>
        <w:rPr>
          <w:szCs w:val="22"/>
        </w:rPr>
        <w:t>Notice</w:t>
      </w:r>
      <w:r w:rsidRPr="000E77A7">
        <w:rPr>
          <w:szCs w:val="22"/>
        </w:rPr>
        <w:t>.</w:t>
      </w:r>
      <w:r>
        <w:rPr>
          <w:rStyle w:val="FootnoteReference"/>
          <w:szCs w:val="22"/>
        </w:rPr>
        <w:footnoteReference w:id="6"/>
      </w:r>
    </w:p>
    <w:p w:rsidR="0067476A" w:rsidP="0067476A" w14:paraId="7F193E93" w14:textId="77777777">
      <w:pPr>
        <w:spacing w:after="120"/>
        <w:ind w:firstLine="720"/>
        <w:rPr>
          <w:szCs w:val="22"/>
        </w:rPr>
      </w:pPr>
      <w:r w:rsidRPr="000E77A7">
        <w:rPr>
          <w:color w:val="000000"/>
          <w:szCs w:val="22"/>
        </w:rPr>
        <w:t xml:space="preserve">On </w:t>
      </w:r>
      <w:r>
        <w:rPr>
          <w:color w:val="000000"/>
          <w:szCs w:val="22"/>
        </w:rPr>
        <w:t>April 17</w:t>
      </w:r>
      <w:r w:rsidRPr="000E77A7">
        <w:rPr>
          <w:color w:val="000000"/>
          <w:szCs w:val="22"/>
        </w:rPr>
        <w:t>, 202</w:t>
      </w:r>
      <w:r>
        <w:rPr>
          <w:color w:val="000000"/>
          <w:szCs w:val="22"/>
        </w:rPr>
        <w:t>6</w:t>
      </w:r>
      <w:r w:rsidRPr="000E77A7">
        <w:rPr>
          <w:color w:val="000000"/>
          <w:szCs w:val="22"/>
        </w:rPr>
        <w:t>, OMB approved the information collection requirements relat</w:t>
      </w:r>
      <w:r>
        <w:rPr>
          <w:color w:val="000000"/>
          <w:szCs w:val="22"/>
        </w:rPr>
        <w:t>ed</w:t>
      </w:r>
      <w:r w:rsidRPr="000E77A7">
        <w:rPr>
          <w:color w:val="000000"/>
          <w:szCs w:val="22"/>
        </w:rPr>
        <w:t xml:space="preserve"> to the pole attachment rules contained in the </w:t>
      </w:r>
      <w:bookmarkStart w:id="0" w:name="_Hlk170909635"/>
      <w:r w:rsidRPr="00BA4DB7">
        <w:rPr>
          <w:i/>
          <w:iCs/>
          <w:color w:val="000000"/>
          <w:szCs w:val="22"/>
        </w:rPr>
        <w:t>F</w:t>
      </w:r>
      <w:r>
        <w:rPr>
          <w:i/>
          <w:iCs/>
          <w:color w:val="000000"/>
          <w:szCs w:val="22"/>
        </w:rPr>
        <w:t>ifth</w:t>
      </w:r>
      <w:r w:rsidRPr="00BA4DB7">
        <w:rPr>
          <w:i/>
          <w:iCs/>
          <w:color w:val="000000"/>
          <w:szCs w:val="22"/>
        </w:rPr>
        <w:t xml:space="preserve"> </w:t>
      </w:r>
      <w:bookmarkEnd w:id="0"/>
      <w:r>
        <w:rPr>
          <w:i/>
          <w:iCs/>
          <w:color w:val="000000"/>
          <w:szCs w:val="22"/>
        </w:rPr>
        <w:t>Report and Order</w:t>
      </w:r>
      <w:r w:rsidRPr="000E77A7">
        <w:rPr>
          <w:color w:val="000000"/>
          <w:szCs w:val="22"/>
        </w:rPr>
        <w:t xml:space="preserve">.  </w:t>
      </w:r>
      <w:r>
        <w:rPr>
          <w:color w:val="000000"/>
          <w:szCs w:val="22"/>
        </w:rPr>
        <w:t xml:space="preserve">Pursuant to the announcement of effective date subsequently published in the Federal Register, the </w:t>
      </w:r>
      <w:r w:rsidRPr="002134F8">
        <w:rPr>
          <w:szCs w:val="22"/>
        </w:rPr>
        <w:t xml:space="preserve">effective date for </w:t>
      </w:r>
      <w:r>
        <w:rPr>
          <w:szCs w:val="22"/>
        </w:rPr>
        <w:t xml:space="preserve">the amendments to </w:t>
      </w:r>
      <w:r>
        <w:t xml:space="preserve">sections 1.1403(b), 1.1411(c)-(k), and 1.1412(a)-(b), (e) </w:t>
      </w:r>
      <w:r>
        <w:rPr>
          <w:szCs w:val="22"/>
        </w:rPr>
        <w:t>of the Commission’s rules is May 7, 2026.</w:t>
      </w:r>
      <w:r>
        <w:rPr>
          <w:rStyle w:val="FootnoteReference"/>
          <w:szCs w:val="22"/>
        </w:rPr>
        <w:footnoteReference w:id="7"/>
      </w:r>
    </w:p>
    <w:p w:rsidR="0067476A" w:rsidRPr="00E566A5" w:rsidP="0067476A" w14:paraId="068298C6" w14:textId="77777777">
      <w:pPr>
        <w:widowControl/>
        <w:spacing w:after="120"/>
        <w:ind w:firstLine="720"/>
        <w:rPr>
          <w:szCs w:val="22"/>
        </w:rPr>
      </w:pPr>
      <w:r w:rsidRPr="00C04041">
        <w:rPr>
          <w:szCs w:val="22"/>
        </w:rPr>
        <w:t>For further information</w:t>
      </w:r>
      <w:r>
        <w:rPr>
          <w:szCs w:val="22"/>
        </w:rPr>
        <w:t xml:space="preserve"> regarding the pole attachment rules</w:t>
      </w:r>
      <w:r w:rsidRPr="00C04041">
        <w:rPr>
          <w:szCs w:val="22"/>
        </w:rPr>
        <w:t xml:space="preserve">, contact </w:t>
      </w:r>
      <w:r>
        <w:rPr>
          <w:szCs w:val="22"/>
        </w:rPr>
        <w:t>Michael Ray</w:t>
      </w:r>
      <w:r w:rsidRPr="00C04041">
        <w:rPr>
          <w:szCs w:val="22"/>
        </w:rPr>
        <w:t>, Co</w:t>
      </w:r>
      <w:r>
        <w:rPr>
          <w:szCs w:val="22"/>
        </w:rPr>
        <w:t>mpetition</w:t>
      </w:r>
      <w:r w:rsidRPr="00C04041">
        <w:rPr>
          <w:szCs w:val="22"/>
        </w:rPr>
        <w:t xml:space="preserve"> Policy Division</w:t>
      </w:r>
      <w:r>
        <w:rPr>
          <w:szCs w:val="22"/>
        </w:rPr>
        <w:t xml:space="preserve">, Wireline Competition </w:t>
      </w:r>
      <w:r w:rsidRPr="00C04041">
        <w:rPr>
          <w:szCs w:val="22"/>
        </w:rPr>
        <w:t>Bureau, at (</w:t>
      </w:r>
      <w:r>
        <w:rPr>
          <w:szCs w:val="22"/>
        </w:rPr>
        <w:t>202</w:t>
      </w:r>
      <w:r w:rsidRPr="00C04041">
        <w:rPr>
          <w:szCs w:val="22"/>
        </w:rPr>
        <w:t xml:space="preserve">) </w:t>
      </w:r>
      <w:r>
        <w:rPr>
          <w:szCs w:val="22"/>
        </w:rPr>
        <w:t xml:space="preserve">418-0357 </w:t>
      </w:r>
      <w:r w:rsidRPr="00C04041">
        <w:rPr>
          <w:szCs w:val="22"/>
        </w:rPr>
        <w:t xml:space="preserve">or </w:t>
      </w:r>
      <w:hyperlink r:id="rId6" w:history="1">
        <w:r>
          <w:rPr>
            <w:rStyle w:val="Hyperlink"/>
            <w:szCs w:val="22"/>
          </w:rPr>
          <w:t>Michael.Ray@fcc.gov</w:t>
        </w:r>
      </w:hyperlink>
      <w:r w:rsidRPr="00C04041">
        <w:rPr>
          <w:szCs w:val="22"/>
        </w:rPr>
        <w:t>.</w:t>
      </w:r>
      <w:r>
        <w:rPr>
          <w:szCs w:val="22"/>
        </w:rPr>
        <w:t xml:space="preserve">  </w:t>
      </w:r>
    </w:p>
    <w:p w:rsidR="00BA3BA8" w14:paraId="1AA3A92A" w14:textId="77777777">
      <w:bookmarkStart w:id="1" w:name="TOChere"/>
    </w:p>
    <w:bookmarkEnd w:id="1"/>
    <w:p w:rsidR="00BA3BA8" w14:paraId="139D7113" w14:textId="77777777"/>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C0BDE" w14:paraId="5615BEDE" w14:textId="77777777">
      <w:pPr>
        <w:spacing w:line="20" w:lineRule="exact"/>
      </w:pPr>
    </w:p>
  </w:endnote>
  <w:endnote w:type="continuationSeparator" w:id="1">
    <w:p w:rsidR="00CC0BDE" w14:paraId="3D1C3982" w14:textId="77777777">
      <w:r>
        <w:t xml:space="preserve"> </w:t>
      </w:r>
    </w:p>
  </w:endnote>
  <w:endnote w:type="continuationNotice" w:id="2">
    <w:p w:rsidR="00CC0BDE" w14:paraId="1B56781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F22A61D"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F4B9FE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74F5C4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0AE3DF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C0BDE" w14:paraId="6D193AF4" w14:textId="77777777">
      <w:r>
        <w:separator/>
      </w:r>
    </w:p>
  </w:footnote>
  <w:footnote w:type="continuationSeparator" w:id="1">
    <w:p w:rsidR="00CC0BDE" w14:paraId="63B6A6AA" w14:textId="77777777">
      <w:pPr>
        <w:rPr>
          <w:sz w:val="20"/>
        </w:rPr>
      </w:pPr>
      <w:r>
        <w:rPr>
          <w:sz w:val="20"/>
        </w:rPr>
        <w:t xml:space="preserve">(Continued from previous page)  </w:t>
      </w:r>
      <w:r>
        <w:rPr>
          <w:sz w:val="20"/>
        </w:rPr>
        <w:separator/>
      </w:r>
    </w:p>
  </w:footnote>
  <w:footnote w:type="continuationNotice" w:id="2">
    <w:p w:rsidR="00CC0BDE" w14:paraId="29F886F9" w14:textId="77777777">
      <w:pPr>
        <w:jc w:val="right"/>
        <w:rPr>
          <w:sz w:val="20"/>
        </w:rPr>
      </w:pPr>
      <w:r>
        <w:rPr>
          <w:sz w:val="20"/>
        </w:rPr>
        <w:t>(continued….)</w:t>
      </w:r>
    </w:p>
  </w:footnote>
  <w:footnote w:id="3">
    <w:p w:rsidR="0067476A" w:rsidP="0067476A" w14:paraId="5B2B91B6" w14:textId="77777777">
      <w:pPr>
        <w:pStyle w:val="FootnoteText"/>
      </w:pPr>
      <w:r>
        <w:rPr>
          <w:rStyle w:val="FootnoteReference"/>
        </w:rPr>
        <w:footnoteRef/>
      </w:r>
      <w:r>
        <w:t xml:space="preserve"> </w:t>
      </w:r>
      <w:r w:rsidRPr="002527CC">
        <w:rPr>
          <w:i/>
        </w:rPr>
        <w:t>Accelerating Wireline Broadband Deployment by Removing Barriers to Infrastructure Investment</w:t>
      </w:r>
      <w:r w:rsidRPr="002527CC">
        <w:t xml:space="preserve">, WC Docket No. 17-84, </w:t>
      </w:r>
      <w:r>
        <w:t xml:space="preserve">Fifth </w:t>
      </w:r>
      <w:r w:rsidRPr="002527CC">
        <w:t>Report and Order</w:t>
      </w:r>
      <w:r>
        <w:t>,</w:t>
      </w:r>
      <w:r w:rsidRPr="002527CC">
        <w:t xml:space="preserve"> </w:t>
      </w:r>
      <w:r>
        <w:t>Fourth Further Notice of Proposed Rulemaking,</w:t>
      </w:r>
      <w:r w:rsidRPr="002527CC">
        <w:t xml:space="preserve"> </w:t>
      </w:r>
      <w:r>
        <w:t xml:space="preserve">and Orders on Reconsideration, 40 FCC </w:t>
      </w:r>
      <w:r>
        <w:t>Rcd</w:t>
      </w:r>
      <w:r>
        <w:t xml:space="preserve"> 5395 (2025) (</w:t>
      </w:r>
      <w:r>
        <w:rPr>
          <w:i/>
          <w:iCs/>
        </w:rPr>
        <w:t>Fifth Report and Order</w:t>
      </w:r>
      <w:r>
        <w:t>).</w:t>
      </w:r>
    </w:p>
  </w:footnote>
  <w:footnote w:id="4">
    <w:p w:rsidR="0067476A" w:rsidRPr="00A7016A" w:rsidP="0067476A" w14:paraId="3181CC48" w14:textId="77777777">
      <w:pPr>
        <w:pStyle w:val="FootnoteText"/>
      </w:pPr>
      <w:r>
        <w:rPr>
          <w:rStyle w:val="FootnoteReference"/>
        </w:rPr>
        <w:footnoteRef/>
      </w:r>
      <w:r>
        <w:t xml:space="preserve"> </w:t>
      </w:r>
      <w:r>
        <w:rPr>
          <w:i/>
          <w:iCs/>
        </w:rPr>
        <w:t>Id</w:t>
      </w:r>
      <w:r>
        <w:t>. at 5395, para. 2.</w:t>
      </w:r>
    </w:p>
  </w:footnote>
  <w:footnote w:id="5">
    <w:p w:rsidR="0067476A" w:rsidP="0067476A" w14:paraId="5B86C5D7" w14:textId="77777777">
      <w:pPr>
        <w:pStyle w:val="FootnoteText"/>
      </w:pPr>
      <w:r>
        <w:rPr>
          <w:rStyle w:val="FootnoteReference"/>
        </w:rPr>
        <w:footnoteRef/>
      </w:r>
      <w:r>
        <w:t xml:space="preserve"> </w:t>
      </w:r>
      <w:r w:rsidRPr="000B1290">
        <w:rPr>
          <w:i/>
          <w:iCs/>
        </w:rPr>
        <w:t>Id</w:t>
      </w:r>
      <w:r>
        <w:t>. at 5482, para. 153 (stating that “the Fifth Report and Order shall become effective 30 days after publication in the Federal Register, except that the amendments to sections 1.1403(b), 1.1411(c)-(k), and 1.1412(a)-(b), (e) which may contain new or modified information collection requirements, will not become effective until the Office of Management and Budget completes review of any information collection requirements that the Wireline Competition Bureau determines is required under the Paperwork Reduction Act. The Commission directs the Wireline Competition Bureau to announce the effective date for sections 1.1403(b), 1.1411(c)-(k), and 1.1412(a)-(b), (e) by subsequent Public Notice.</w:t>
      </w:r>
      <w:r>
        <w:rPr>
          <w:szCs w:val="22"/>
        </w:rPr>
        <w:t>”)</w:t>
      </w:r>
      <w:r>
        <w:t xml:space="preserve">.  The </w:t>
      </w:r>
      <w:r w:rsidRPr="00AF74D5">
        <w:rPr>
          <w:i/>
          <w:iCs/>
        </w:rPr>
        <w:t>Fifth Report and Order</w:t>
      </w:r>
      <w:r>
        <w:t xml:space="preserve"> was published in the Federal Register on August 26, 2025.  90 Fed. Reg. 41726 (Aug. 26, 2025).</w:t>
      </w:r>
    </w:p>
  </w:footnote>
  <w:footnote w:id="6">
    <w:p w:rsidR="0067476A" w:rsidRPr="002F2976" w:rsidP="0067476A" w14:paraId="5C60A138" w14:textId="77777777">
      <w:pPr>
        <w:pStyle w:val="FootnoteText"/>
      </w:pPr>
      <w:r>
        <w:rPr>
          <w:rStyle w:val="FootnoteReference"/>
        </w:rPr>
        <w:footnoteRef/>
      </w:r>
      <w:r>
        <w:t xml:space="preserve"> </w:t>
      </w:r>
      <w:r>
        <w:rPr>
          <w:i/>
          <w:iCs/>
        </w:rPr>
        <w:t>Fifth Report and Order</w:t>
      </w:r>
      <w:r>
        <w:t xml:space="preserve">, 40 FCC </w:t>
      </w:r>
      <w:r>
        <w:t>Rcd</w:t>
      </w:r>
      <w:r>
        <w:t xml:space="preserve"> at 5482, para. 153.</w:t>
      </w:r>
    </w:p>
  </w:footnote>
  <w:footnote w:id="7">
    <w:p w:rsidR="0067476A" w:rsidP="0067476A" w14:paraId="0215D291" w14:textId="77777777">
      <w:pPr>
        <w:pStyle w:val="FootnoteText"/>
      </w:pPr>
      <w:r>
        <w:rPr>
          <w:rStyle w:val="FootnoteReference"/>
        </w:rPr>
        <w:footnoteRef/>
      </w:r>
      <w:r>
        <w:t xml:space="preserve"> 91 Fed. Reg. 24731 (May 7, 2026).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7983263"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64D1D17C"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605E73DC"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E675575"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5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085564983">
    <w:abstractNumId w:val="1"/>
  </w:num>
  <w:num w:numId="2" w16cid:durableId="1448504148">
    <w:abstractNumId w:val="5"/>
  </w:num>
  <w:num w:numId="3" w16cid:durableId="1043478078">
    <w:abstractNumId w:val="3"/>
  </w:num>
  <w:num w:numId="4" w16cid:durableId="446462601">
    <w:abstractNumId w:val="4"/>
  </w:num>
  <w:num w:numId="5" w16cid:durableId="434716249">
    <w:abstractNumId w:val="2"/>
  </w:num>
  <w:num w:numId="6" w16cid:durableId="2147030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76A"/>
    <w:rsid w:val="000B1290"/>
    <w:rsid w:val="000E77A7"/>
    <w:rsid w:val="002134F8"/>
    <w:rsid w:val="002527CC"/>
    <w:rsid w:val="002F2976"/>
    <w:rsid w:val="00430183"/>
    <w:rsid w:val="00486021"/>
    <w:rsid w:val="005836B9"/>
    <w:rsid w:val="0067476A"/>
    <w:rsid w:val="00830E75"/>
    <w:rsid w:val="00A20679"/>
    <w:rsid w:val="00A7016A"/>
    <w:rsid w:val="00AF74D5"/>
    <w:rsid w:val="00BA3BA8"/>
    <w:rsid w:val="00BA4DB7"/>
    <w:rsid w:val="00C04041"/>
    <w:rsid w:val="00CC0BDE"/>
    <w:rsid w:val="00E566A5"/>
    <w:rsid w:val="00EF466B"/>
    <w:rsid w:val="00F03EA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C968E6C"/>
  <w15:chartTrackingRefBased/>
  <w15:docId w15:val="{DB3F179D-8A19-4348-AC3F-10FFB96DD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476A"/>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Footnote Text Char Char Char Char Char Char1,Footnote Text Char Char2 Char Char,Footnote Text Char1,Footnote Text Char1 Char Char,Footnote Text Char1 Char Char Char Char1,Footnote Text Char2 Char,fn,fn Ch"/>
    <w:link w:val="FootnoteTextChar"/>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 Char,Footnote Text Char Char Char Char Char Char1 Char,Footnote Text Char Char2 Char Char Char,Footnote Text Char1 Char,Footnote Text Char1 Char Char Char,Footnote Text Char1 Char Char Char Char1 Char"/>
    <w:link w:val="FootnoteText"/>
    <w:locked/>
    <w:rsid w:val="00674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Michael.Ray@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