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682A924B" w14:textId="77777777">
      <w:pPr>
        <w:jc w:val="right"/>
        <w:rPr>
          <w:sz w:val="24"/>
        </w:rPr>
      </w:pPr>
    </w:p>
    <w:p w:rsidR="00BA3BA8" w14:paraId="2E4E19B0" w14:textId="6F7F743D">
      <w:pPr>
        <w:jc w:val="right"/>
        <w:rPr>
          <w:b/>
          <w:sz w:val="24"/>
        </w:rPr>
      </w:pPr>
      <w:r>
        <w:rPr>
          <w:b/>
          <w:sz w:val="24"/>
        </w:rPr>
        <w:t>DA No. 2</w:t>
      </w:r>
      <w:r w:rsidR="00D035F9">
        <w:rPr>
          <w:b/>
          <w:sz w:val="24"/>
        </w:rPr>
        <w:t>6</w:t>
      </w:r>
      <w:r>
        <w:rPr>
          <w:b/>
          <w:sz w:val="24"/>
        </w:rPr>
        <w:t>-</w:t>
      </w:r>
      <w:r w:rsidR="007578D4">
        <w:rPr>
          <w:b/>
          <w:sz w:val="24"/>
        </w:rPr>
        <w:t>452</w:t>
      </w:r>
    </w:p>
    <w:p w:rsidR="00BA3BA8" w14:paraId="053C3F45" w14:textId="61D96265">
      <w:pPr>
        <w:spacing w:before="60"/>
        <w:jc w:val="right"/>
        <w:rPr>
          <w:b/>
          <w:sz w:val="24"/>
        </w:rPr>
      </w:pPr>
      <w:r>
        <w:rPr>
          <w:b/>
          <w:sz w:val="24"/>
        </w:rPr>
        <w:t>Released</w:t>
      </w:r>
      <w:r>
        <w:rPr>
          <w:b/>
          <w:sz w:val="24"/>
        </w:rPr>
        <w:t xml:space="preserve">:  </w:t>
      </w:r>
      <w:r w:rsidR="006A05B2">
        <w:rPr>
          <w:b/>
          <w:sz w:val="24"/>
        </w:rPr>
        <w:t>May</w:t>
      </w:r>
      <w:r w:rsidR="006A05B2">
        <w:rPr>
          <w:b/>
          <w:sz w:val="24"/>
        </w:rPr>
        <w:t xml:space="preserve"> </w:t>
      </w:r>
      <w:r w:rsidR="009B494F">
        <w:rPr>
          <w:b/>
          <w:sz w:val="24"/>
        </w:rPr>
        <w:t>8</w:t>
      </w:r>
      <w:r w:rsidR="00936371">
        <w:rPr>
          <w:b/>
          <w:sz w:val="24"/>
        </w:rPr>
        <w:t>,</w:t>
      </w:r>
      <w:r w:rsidR="0004384E">
        <w:rPr>
          <w:b/>
          <w:sz w:val="24"/>
        </w:rPr>
        <w:t xml:space="preserve"> 20</w:t>
      </w:r>
      <w:r w:rsidR="00D035F9">
        <w:rPr>
          <w:b/>
          <w:sz w:val="24"/>
        </w:rPr>
        <w:t>26</w:t>
      </w:r>
    </w:p>
    <w:p w:rsidR="00BA3BA8" w14:paraId="7353F4BC" w14:textId="77777777">
      <w:pPr>
        <w:jc w:val="right"/>
        <w:rPr>
          <w:sz w:val="24"/>
        </w:rPr>
      </w:pPr>
    </w:p>
    <w:p w:rsidR="0004384E" w14:paraId="1DA98038" w14:textId="77777777">
      <w:pPr>
        <w:jc w:val="right"/>
        <w:rPr>
          <w:sz w:val="24"/>
        </w:rPr>
      </w:pPr>
    </w:p>
    <w:p w:rsidR="00BA3BA8" w14:paraId="76E0B2C0" w14:textId="640F63EE">
      <w:pPr>
        <w:spacing w:after="240"/>
        <w:jc w:val="center"/>
        <w:rPr>
          <w:rFonts w:ascii="Times New Roman Bold" w:hAnsi="Times New Roman Bold"/>
          <w:b/>
          <w:caps/>
          <w:sz w:val="24"/>
        </w:rPr>
      </w:pPr>
      <w:r>
        <w:rPr>
          <w:rFonts w:ascii="Times New Roman Bold" w:hAnsi="Times New Roman Bold"/>
          <w:b/>
          <w:caps/>
          <w:sz w:val="24"/>
        </w:rPr>
        <w:t>connoisseur media Holdco</w:t>
      </w:r>
      <w:r w:rsidRPr="00756D50" w:rsidR="0004384E">
        <w:rPr>
          <w:rFonts w:ascii="Times New Roman Bold" w:hAnsi="Times New Roman Bold"/>
          <w:b/>
          <w:caps/>
          <w:sz w:val="24"/>
        </w:rPr>
        <w:t>, INC. SEEKS FOREIGN OWNERSHIP RULING PURSUANT TO SECTION 310(b)(4) OF THE COMMUNICATIONS ACT OF 1934, AS AMENDED</w:t>
      </w:r>
    </w:p>
    <w:p w:rsidR="00BA3BA8" w14:paraId="253663AB" w14:textId="10BC3982">
      <w:pPr>
        <w:spacing w:after="240"/>
        <w:jc w:val="center"/>
        <w:rPr>
          <w:b/>
          <w:sz w:val="24"/>
        </w:rPr>
      </w:pPr>
      <w:r>
        <w:rPr>
          <w:b/>
          <w:sz w:val="24"/>
        </w:rPr>
        <w:t>PLEADING CYCLE ESTABLISHED</w:t>
      </w:r>
    </w:p>
    <w:p w:rsidR="00BA3BA8" w14:paraId="329A4A99" w14:textId="161B8B10">
      <w:pPr>
        <w:jc w:val="center"/>
        <w:rPr>
          <w:b/>
          <w:sz w:val="24"/>
        </w:rPr>
      </w:pPr>
      <w:r>
        <w:rPr>
          <w:b/>
          <w:sz w:val="24"/>
        </w:rPr>
        <w:t>MB Docket No. 2</w:t>
      </w:r>
      <w:r w:rsidR="00D035F9">
        <w:rPr>
          <w:b/>
          <w:sz w:val="24"/>
        </w:rPr>
        <w:t>6</w:t>
      </w:r>
      <w:r>
        <w:rPr>
          <w:b/>
          <w:sz w:val="24"/>
        </w:rPr>
        <w:t>-</w:t>
      </w:r>
      <w:r w:rsidR="007578D4">
        <w:rPr>
          <w:b/>
          <w:sz w:val="24"/>
        </w:rPr>
        <w:t>109</w:t>
      </w:r>
    </w:p>
    <w:p w:rsidR="00BA3BA8" w14:paraId="642CA141" w14:textId="77777777">
      <w:bookmarkStart w:id="0" w:name="TOChere"/>
    </w:p>
    <w:p w:rsidR="00BA3BA8" w14:paraId="1F331401" w14:textId="77777777"/>
    <w:bookmarkEnd w:id="0"/>
    <w:p w:rsidR="0004384E" w:rsidRPr="00B53F9E" w:rsidP="0004384E" w14:paraId="044CD5B9" w14:textId="7ECB40A2">
      <w:pPr>
        <w:rPr>
          <w:b/>
          <w:szCs w:val="18"/>
        </w:rPr>
      </w:pPr>
      <w:r w:rsidRPr="00B53F9E">
        <w:rPr>
          <w:b/>
          <w:szCs w:val="18"/>
        </w:rPr>
        <w:t>Comment Date</w:t>
      </w:r>
      <w:r w:rsidRPr="00B53F9E">
        <w:rPr>
          <w:b/>
          <w:szCs w:val="18"/>
        </w:rPr>
        <w:t>:</w:t>
      </w:r>
      <w:r>
        <w:rPr>
          <w:b/>
          <w:szCs w:val="18"/>
        </w:rPr>
        <w:t xml:space="preserve">  </w:t>
      </w:r>
      <w:r w:rsidR="009B494F">
        <w:rPr>
          <w:b/>
          <w:szCs w:val="18"/>
        </w:rPr>
        <w:t>June</w:t>
      </w:r>
      <w:r w:rsidR="009B494F">
        <w:rPr>
          <w:b/>
          <w:szCs w:val="18"/>
        </w:rPr>
        <w:t xml:space="preserve"> 8</w:t>
      </w:r>
      <w:r>
        <w:rPr>
          <w:b/>
          <w:szCs w:val="18"/>
        </w:rPr>
        <w:t>, 202</w:t>
      </w:r>
      <w:r w:rsidR="00936371">
        <w:rPr>
          <w:b/>
          <w:szCs w:val="18"/>
        </w:rPr>
        <w:t>6</w:t>
      </w:r>
    </w:p>
    <w:p w:rsidR="0004384E" w:rsidP="0004384E" w14:paraId="12AFDB66" w14:textId="4394CBC2">
      <w:pPr>
        <w:rPr>
          <w:b/>
          <w:sz w:val="24"/>
        </w:rPr>
      </w:pPr>
      <w:r w:rsidRPr="00B53F9E">
        <w:rPr>
          <w:b/>
          <w:szCs w:val="18"/>
        </w:rPr>
        <w:t>Reply Date</w:t>
      </w:r>
      <w:r w:rsidRPr="00B53F9E">
        <w:rPr>
          <w:b/>
          <w:szCs w:val="18"/>
        </w:rPr>
        <w:t xml:space="preserve">: </w:t>
      </w:r>
      <w:r>
        <w:rPr>
          <w:b/>
          <w:szCs w:val="18"/>
        </w:rPr>
        <w:t xml:space="preserve"> </w:t>
      </w:r>
      <w:r w:rsidR="009B494F">
        <w:rPr>
          <w:b/>
          <w:szCs w:val="18"/>
        </w:rPr>
        <w:t>June</w:t>
      </w:r>
      <w:r w:rsidR="009B494F">
        <w:rPr>
          <w:b/>
          <w:szCs w:val="18"/>
        </w:rPr>
        <w:t xml:space="preserve"> 23</w:t>
      </w:r>
      <w:r>
        <w:rPr>
          <w:b/>
          <w:szCs w:val="18"/>
        </w:rPr>
        <w:t>, 202</w:t>
      </w:r>
      <w:r w:rsidR="00936371">
        <w:rPr>
          <w:b/>
          <w:szCs w:val="18"/>
        </w:rPr>
        <w:t>6</w:t>
      </w:r>
    </w:p>
    <w:p w:rsidR="0004384E" w:rsidP="0004384E" w14:paraId="7F808C93" w14:textId="77777777">
      <w:pPr>
        <w:rPr>
          <w:b/>
          <w:sz w:val="24"/>
        </w:rPr>
      </w:pPr>
    </w:p>
    <w:p w:rsidR="00141B17" w:rsidRPr="00135AC5" w:rsidP="00310EEA" w14:paraId="3643E0C0" w14:textId="46F665F5">
      <w:pPr>
        <w:widowControl/>
        <w:spacing w:after="120"/>
        <w:ind w:firstLine="720"/>
        <w:rPr>
          <w:szCs w:val="18"/>
        </w:rPr>
      </w:pPr>
      <w:r>
        <w:rPr>
          <w:szCs w:val="18"/>
        </w:rPr>
        <w:t>Connoisseur Media Holdco</w:t>
      </w:r>
      <w:r w:rsidR="0004384E">
        <w:rPr>
          <w:szCs w:val="18"/>
        </w:rPr>
        <w:t>, Inc. (</w:t>
      </w:r>
      <w:r>
        <w:rPr>
          <w:szCs w:val="18"/>
        </w:rPr>
        <w:t>CM Holdco</w:t>
      </w:r>
      <w:r w:rsidR="00F013D5">
        <w:rPr>
          <w:szCs w:val="18"/>
        </w:rPr>
        <w:t xml:space="preserve"> or Petitioner</w:t>
      </w:r>
      <w:r w:rsidR="0004384E">
        <w:rPr>
          <w:szCs w:val="18"/>
        </w:rPr>
        <w:t xml:space="preserve">) </w:t>
      </w:r>
      <w:r w:rsidR="000D431F">
        <w:rPr>
          <w:szCs w:val="18"/>
        </w:rPr>
        <w:t xml:space="preserve">has </w:t>
      </w:r>
      <w:r w:rsidR="0004384E">
        <w:rPr>
          <w:szCs w:val="18"/>
        </w:rPr>
        <w:t>filed a petition for declaratory ruling (</w:t>
      </w:r>
      <w:r w:rsidR="009A1925">
        <w:rPr>
          <w:szCs w:val="18"/>
        </w:rPr>
        <w:t xml:space="preserve">Amended </w:t>
      </w:r>
      <w:r w:rsidR="0004384E">
        <w:rPr>
          <w:szCs w:val="18"/>
        </w:rPr>
        <w:t>Petition)</w:t>
      </w:r>
      <w:r>
        <w:rPr>
          <w:rStyle w:val="FootnoteReference"/>
          <w:szCs w:val="18"/>
        </w:rPr>
        <w:footnoteReference w:id="3"/>
      </w:r>
      <w:r w:rsidR="0004384E">
        <w:rPr>
          <w:szCs w:val="18"/>
        </w:rPr>
        <w:t xml:space="preserve"> </w:t>
      </w:r>
      <w:r w:rsidR="00C17DF7">
        <w:t>requesting that</w:t>
      </w:r>
      <w:r w:rsidRPr="37A7C5FA" w:rsidR="00C17DF7">
        <w:t xml:space="preserve"> the Federal Communications Commission </w:t>
      </w:r>
      <w:r w:rsidR="00C17DF7">
        <w:t xml:space="preserve">(Commission) </w:t>
      </w:r>
      <w:r w:rsidRPr="37A7C5FA" w:rsidR="00C17DF7">
        <w:t>find, pursuant to section 310(b)(4) of the Communications Act of 1934, as amended, (Act)</w:t>
      </w:r>
      <w:r>
        <w:rPr>
          <w:rStyle w:val="FootnoteReference"/>
        </w:rPr>
        <w:footnoteReference w:id="4"/>
      </w:r>
      <w:r w:rsidRPr="37A7C5FA" w:rsidR="00C17DF7">
        <w:t xml:space="preserve"> and section 1.5000(a)(1) of the Commission’s rules</w:t>
      </w:r>
      <w:r w:rsidR="00B97BDE">
        <w:t xml:space="preserve"> (Rules)</w:t>
      </w:r>
      <w:r w:rsidRPr="37A7C5FA" w:rsidR="00C17DF7">
        <w:t>,</w:t>
      </w:r>
      <w:r>
        <w:rPr>
          <w:rStyle w:val="FootnoteReference"/>
        </w:rPr>
        <w:footnoteReference w:id="5"/>
      </w:r>
      <w:r w:rsidR="00C17DF7">
        <w:t xml:space="preserve"> </w:t>
      </w:r>
      <w:r w:rsidRPr="00E75BAA" w:rsidR="0004384E">
        <w:rPr>
          <w:szCs w:val="22"/>
        </w:rPr>
        <w:t>that</w:t>
      </w:r>
      <w:r w:rsidRPr="00B039CF" w:rsidR="0004384E">
        <w:rPr>
          <w:szCs w:val="22"/>
        </w:rPr>
        <w:t xml:space="preserve"> it would serve the public interest to </w:t>
      </w:r>
      <w:r w:rsidR="00C17DF7">
        <w:rPr>
          <w:szCs w:val="18"/>
        </w:rPr>
        <w:t>allow CM Holdco</w:t>
      </w:r>
      <w:r w:rsidR="00C27A8D">
        <w:rPr>
          <w:szCs w:val="18"/>
        </w:rPr>
        <w:t xml:space="preserve"> to </w:t>
      </w:r>
      <w:r w:rsidRPr="00C27A8D" w:rsidR="00C27A8D">
        <w:rPr>
          <w:szCs w:val="18"/>
        </w:rPr>
        <w:t xml:space="preserve">exceed the 25% benchmarks </w:t>
      </w:r>
      <w:r w:rsidRPr="00C17DF7" w:rsidR="00C17DF7">
        <w:rPr>
          <w:szCs w:val="18"/>
        </w:rPr>
        <w:t>set forth in section 310(b)(4) of the Act.</w:t>
      </w:r>
      <w:r>
        <w:rPr>
          <w:rStyle w:val="FootnoteReference"/>
          <w:szCs w:val="18"/>
        </w:rPr>
        <w:footnoteReference w:id="6"/>
      </w:r>
      <w:r w:rsidRPr="00C17DF7" w:rsidR="00C17DF7">
        <w:rPr>
          <w:szCs w:val="18"/>
        </w:rPr>
        <w:t xml:space="preserve">  Specifically, </w:t>
      </w:r>
      <w:r w:rsidR="00C17DF7">
        <w:rPr>
          <w:szCs w:val="18"/>
        </w:rPr>
        <w:t xml:space="preserve">CM Holdco </w:t>
      </w:r>
      <w:r w:rsidRPr="00C17DF7" w:rsidR="00C17DF7">
        <w:rPr>
          <w:szCs w:val="18"/>
        </w:rPr>
        <w:t>seeks a Commission ruling to (1) permit</w:t>
      </w:r>
      <w:r w:rsidR="00E03B43">
        <w:rPr>
          <w:szCs w:val="18"/>
        </w:rPr>
        <w:t xml:space="preserve"> up to 100%</w:t>
      </w:r>
      <w:r w:rsidR="00583355">
        <w:t xml:space="preserve"> </w:t>
      </w:r>
      <w:r w:rsidR="00E03B43">
        <w:t xml:space="preserve">aggregate </w:t>
      </w:r>
      <w:r w:rsidRPr="00583355" w:rsidR="00ED3EB4">
        <w:t>indirect foreign ownership</w:t>
      </w:r>
      <w:r w:rsidR="00ED3EB4">
        <w:t xml:space="preserve"> (equity and voting) </w:t>
      </w:r>
      <w:r w:rsidRPr="00583355" w:rsidR="00ED3EB4">
        <w:t xml:space="preserve">of </w:t>
      </w:r>
      <w:r w:rsidR="00583355">
        <w:rPr>
          <w:szCs w:val="18"/>
        </w:rPr>
        <w:t>CM Holdco,</w:t>
      </w:r>
      <w:r w:rsidRPr="00C17DF7" w:rsidR="00C17DF7">
        <w:rPr>
          <w:szCs w:val="18"/>
        </w:rPr>
        <w:t xml:space="preserve"> </w:t>
      </w:r>
      <w:r w:rsidR="00C17DF7">
        <w:rPr>
          <w:szCs w:val="18"/>
        </w:rPr>
        <w:t xml:space="preserve">and (2) </w:t>
      </w:r>
      <w:r w:rsidRPr="37A7C5FA" w:rsidR="00C17DF7">
        <w:t>specifically approve</w:t>
      </w:r>
      <w:r w:rsidR="00C17DF7">
        <w:t xml:space="preserve"> </w:t>
      </w:r>
      <w:r w:rsidR="00583355">
        <w:t>the involvement of three partie</w:t>
      </w:r>
      <w:r w:rsidR="00B97BDE">
        <w:t>s—two</w:t>
      </w:r>
      <w:r w:rsidRPr="00936371" w:rsidR="00C17DF7">
        <w:rPr>
          <w:szCs w:val="18"/>
        </w:rPr>
        <w:t xml:space="preserve"> </w:t>
      </w:r>
      <w:r w:rsidR="00C17DF7">
        <w:rPr>
          <w:szCs w:val="18"/>
        </w:rPr>
        <w:t>entities organized under the laws of the Cayman Islands and one citizen of the United Kingdo</w:t>
      </w:r>
      <w:r w:rsidR="00B97BDE">
        <w:rPr>
          <w:szCs w:val="18"/>
        </w:rPr>
        <w:t xml:space="preserve">m—in </w:t>
      </w:r>
      <w:r w:rsidR="00583355">
        <w:rPr>
          <w:szCs w:val="18"/>
        </w:rPr>
        <w:t xml:space="preserve">the ownership of </w:t>
      </w:r>
      <w:r w:rsidR="00C17DF7">
        <w:rPr>
          <w:szCs w:val="18"/>
        </w:rPr>
        <w:t>CM Holdco and the broadcast radio licenses that it controls.</w:t>
      </w:r>
      <w:bookmarkStart w:id="2" w:name="_Ref141804165"/>
      <w:r>
        <w:rPr>
          <w:rStyle w:val="FootnoteReference"/>
        </w:rPr>
        <w:footnoteReference w:id="7"/>
      </w:r>
      <w:bookmarkEnd w:id="2"/>
      <w:r w:rsidR="00135AC5">
        <w:rPr>
          <w:szCs w:val="18"/>
        </w:rPr>
        <w:t xml:space="preserve">  </w:t>
      </w:r>
      <w:r w:rsidR="00362F61">
        <w:rPr>
          <w:szCs w:val="22"/>
        </w:rPr>
        <w:t>CM Holdco</w:t>
      </w:r>
      <w:r>
        <w:rPr>
          <w:szCs w:val="22"/>
        </w:rPr>
        <w:t xml:space="preserve"> filed t</w:t>
      </w:r>
      <w:r w:rsidRPr="00B039CF">
        <w:rPr>
          <w:szCs w:val="22"/>
        </w:rPr>
        <w:t xml:space="preserve">he </w:t>
      </w:r>
      <w:r w:rsidR="009A1925">
        <w:rPr>
          <w:szCs w:val="22"/>
        </w:rPr>
        <w:t xml:space="preserve">Amended </w:t>
      </w:r>
      <w:r w:rsidRPr="00B039CF">
        <w:rPr>
          <w:szCs w:val="22"/>
        </w:rPr>
        <w:t xml:space="preserve">Petition </w:t>
      </w:r>
      <w:r>
        <w:rPr>
          <w:szCs w:val="22"/>
        </w:rPr>
        <w:t>on behalf of itself and its wholly owned subsidiaries that hold Commission broadcast licenses.</w:t>
      </w:r>
      <w:r>
        <w:rPr>
          <w:rStyle w:val="FootnoteReference"/>
          <w:szCs w:val="22"/>
        </w:rPr>
        <w:footnoteReference w:id="8"/>
      </w:r>
      <w:r>
        <w:rPr>
          <w:szCs w:val="22"/>
        </w:rPr>
        <w:t xml:space="preserve"> </w:t>
      </w:r>
    </w:p>
    <w:p w:rsidR="002B3D58" w:rsidP="00E45759" w14:paraId="1AFD6928" w14:textId="2882CB9A">
      <w:pPr>
        <w:widowControl/>
        <w:autoSpaceDE w:val="0"/>
        <w:autoSpaceDN w:val="0"/>
        <w:adjustRightInd w:val="0"/>
        <w:spacing w:after="120"/>
        <w:ind w:firstLine="720"/>
        <w:rPr>
          <w:szCs w:val="18"/>
        </w:rPr>
      </w:pPr>
      <w:r>
        <w:rPr>
          <w:i/>
          <w:iCs/>
          <w:szCs w:val="22"/>
          <w:shd w:val="clear" w:color="auto" w:fill="FFFFFF"/>
        </w:rPr>
        <w:t xml:space="preserve">Background and Reason for </w:t>
      </w:r>
      <w:r w:rsidR="009A1925">
        <w:rPr>
          <w:i/>
          <w:iCs/>
          <w:szCs w:val="22"/>
          <w:shd w:val="clear" w:color="auto" w:fill="FFFFFF"/>
        </w:rPr>
        <w:t xml:space="preserve">Amended </w:t>
      </w:r>
      <w:r>
        <w:rPr>
          <w:i/>
          <w:iCs/>
          <w:szCs w:val="22"/>
          <w:shd w:val="clear" w:color="auto" w:fill="FFFFFF"/>
        </w:rPr>
        <w:t>Petition</w:t>
      </w:r>
      <w:r w:rsidRPr="00243A89" w:rsidR="00730610">
        <w:rPr>
          <w:szCs w:val="22"/>
          <w:shd w:val="clear" w:color="auto" w:fill="FFFFFF"/>
        </w:rPr>
        <w:t xml:space="preserve">. </w:t>
      </w:r>
      <w:r w:rsidR="00044F15">
        <w:rPr>
          <w:szCs w:val="22"/>
          <w:shd w:val="clear" w:color="auto" w:fill="FFFFFF"/>
        </w:rPr>
        <w:t xml:space="preserve"> T</w:t>
      </w:r>
      <w:r w:rsidRPr="00310EEA" w:rsidR="00044F15">
        <w:rPr>
          <w:szCs w:val="18"/>
        </w:rPr>
        <w:t xml:space="preserve">he </w:t>
      </w:r>
      <w:r w:rsidR="00044F15">
        <w:rPr>
          <w:szCs w:val="18"/>
        </w:rPr>
        <w:t xml:space="preserve">current </w:t>
      </w:r>
      <w:r w:rsidRPr="00310EEA" w:rsidR="00044F15">
        <w:rPr>
          <w:szCs w:val="18"/>
        </w:rPr>
        <w:t xml:space="preserve">aggregate indirect foreign ownership </w:t>
      </w:r>
      <w:r w:rsidR="003C2443">
        <w:rPr>
          <w:szCs w:val="18"/>
        </w:rPr>
        <w:t>of</w:t>
      </w:r>
      <w:r w:rsidRPr="00310EEA" w:rsidR="00044F15">
        <w:rPr>
          <w:szCs w:val="18"/>
        </w:rPr>
        <w:t xml:space="preserve"> CM </w:t>
      </w:r>
      <w:r w:rsidRPr="001F147B" w:rsidR="00044F15">
        <w:rPr>
          <w:szCs w:val="18"/>
        </w:rPr>
        <w:t xml:space="preserve">Holdco is </w:t>
      </w:r>
      <w:r w:rsidRPr="001F147B" w:rsidR="001F147B">
        <w:rPr>
          <w:szCs w:val="18"/>
        </w:rPr>
        <w:t>20.37</w:t>
      </w:r>
      <w:r w:rsidRPr="001F147B" w:rsidR="00044F15">
        <w:rPr>
          <w:szCs w:val="18"/>
        </w:rPr>
        <w:t xml:space="preserve">% </w:t>
      </w:r>
      <w:r w:rsidRPr="001F147B" w:rsidR="00037C95">
        <w:rPr>
          <w:szCs w:val="18"/>
        </w:rPr>
        <w:t>of its</w:t>
      </w:r>
      <w:r w:rsidR="00037C95">
        <w:rPr>
          <w:szCs w:val="18"/>
        </w:rPr>
        <w:t xml:space="preserve"> </w:t>
      </w:r>
      <w:r w:rsidRPr="00310EEA" w:rsidR="00044F15">
        <w:rPr>
          <w:szCs w:val="18"/>
        </w:rPr>
        <w:t>equity and 0%</w:t>
      </w:r>
      <w:r w:rsidR="00037C95">
        <w:rPr>
          <w:szCs w:val="18"/>
        </w:rPr>
        <w:t xml:space="preserve"> of the</w:t>
      </w:r>
      <w:r w:rsidRPr="00310EEA" w:rsidR="00044F15">
        <w:rPr>
          <w:szCs w:val="18"/>
        </w:rPr>
        <w:t xml:space="preserve"> voting</w:t>
      </w:r>
      <w:r w:rsidR="00037C95">
        <w:rPr>
          <w:szCs w:val="18"/>
        </w:rPr>
        <w:t xml:space="preserve"> interest</w:t>
      </w:r>
      <w:r w:rsidR="00D13C6E">
        <w:rPr>
          <w:szCs w:val="18"/>
        </w:rPr>
        <w:t xml:space="preserve"> in CM Holdco</w:t>
      </w:r>
      <w:r w:rsidR="00044F15">
        <w:rPr>
          <w:szCs w:val="18"/>
        </w:rPr>
        <w:t>.</w:t>
      </w:r>
      <w:r>
        <w:rPr>
          <w:rStyle w:val="FootnoteReference"/>
          <w:szCs w:val="18"/>
        </w:rPr>
        <w:footnoteReference w:id="9"/>
      </w:r>
      <w:r w:rsidR="00044F15">
        <w:rPr>
          <w:szCs w:val="18"/>
        </w:rPr>
        <w:t xml:space="preserve">  </w:t>
      </w:r>
      <w:r w:rsidR="00B137BC">
        <w:rPr>
          <w:szCs w:val="18"/>
        </w:rPr>
        <w:t>Although its foreign ownership is</w:t>
      </w:r>
      <w:r w:rsidR="00044F15">
        <w:rPr>
          <w:szCs w:val="18"/>
        </w:rPr>
        <w:t xml:space="preserve"> currently below the benchmarks set by </w:t>
      </w:r>
      <w:r w:rsidR="00D74412">
        <w:rPr>
          <w:szCs w:val="18"/>
        </w:rPr>
        <w:t>s</w:t>
      </w:r>
      <w:r w:rsidR="00D55639">
        <w:rPr>
          <w:szCs w:val="18"/>
        </w:rPr>
        <w:t xml:space="preserve">ection </w:t>
      </w:r>
      <w:r w:rsidR="00044F15">
        <w:rPr>
          <w:szCs w:val="18"/>
        </w:rPr>
        <w:t>310(b)(4), C</w:t>
      </w:r>
      <w:r w:rsidR="00135AC5">
        <w:rPr>
          <w:szCs w:val="22"/>
          <w:shd w:val="clear" w:color="auto" w:fill="FFFFFF"/>
        </w:rPr>
        <w:t>M Holdco</w:t>
      </w:r>
      <w:r w:rsidR="00044F15">
        <w:rPr>
          <w:szCs w:val="22"/>
          <w:shd w:val="clear" w:color="auto" w:fill="FFFFFF"/>
        </w:rPr>
        <w:t xml:space="preserve"> </w:t>
      </w:r>
      <w:r w:rsidR="00FD763C">
        <w:rPr>
          <w:szCs w:val="22"/>
          <w:shd w:val="clear" w:color="auto" w:fill="FFFFFF"/>
        </w:rPr>
        <w:t>anticipates</w:t>
      </w:r>
      <w:r w:rsidR="00E908DC">
        <w:rPr>
          <w:szCs w:val="22"/>
          <w:shd w:val="clear" w:color="auto" w:fill="FFFFFF"/>
        </w:rPr>
        <w:t xml:space="preserve"> </w:t>
      </w:r>
      <w:r w:rsidR="008272BB">
        <w:rPr>
          <w:szCs w:val="18"/>
        </w:rPr>
        <w:t xml:space="preserve">transactions </w:t>
      </w:r>
      <w:r w:rsidR="00B137BC">
        <w:rPr>
          <w:szCs w:val="18"/>
        </w:rPr>
        <w:t xml:space="preserve">that </w:t>
      </w:r>
      <w:r w:rsidR="00133EE9">
        <w:rPr>
          <w:szCs w:val="18"/>
        </w:rPr>
        <w:t>w</w:t>
      </w:r>
      <w:r w:rsidR="00135AC5">
        <w:rPr>
          <w:szCs w:val="18"/>
        </w:rPr>
        <w:t xml:space="preserve">ould increase the company’s aggregate </w:t>
      </w:r>
      <w:r w:rsidR="003032B0">
        <w:rPr>
          <w:szCs w:val="18"/>
        </w:rPr>
        <w:t xml:space="preserve">indirect </w:t>
      </w:r>
      <w:r w:rsidR="00135AC5">
        <w:rPr>
          <w:szCs w:val="18"/>
        </w:rPr>
        <w:t>foreign ownership interest</w:t>
      </w:r>
      <w:r w:rsidR="003032B0">
        <w:rPr>
          <w:szCs w:val="18"/>
        </w:rPr>
        <w:t>s to</w:t>
      </w:r>
      <w:r w:rsidR="00135AC5">
        <w:rPr>
          <w:szCs w:val="18"/>
        </w:rPr>
        <w:t xml:space="preserve"> above </w:t>
      </w:r>
      <w:r w:rsidR="00216CC1">
        <w:rPr>
          <w:szCs w:val="18"/>
        </w:rPr>
        <w:t xml:space="preserve">the </w:t>
      </w:r>
      <w:r w:rsidR="00135AC5">
        <w:rPr>
          <w:szCs w:val="18"/>
        </w:rPr>
        <w:t>25%</w:t>
      </w:r>
      <w:r w:rsidR="00216CC1">
        <w:rPr>
          <w:szCs w:val="18"/>
        </w:rPr>
        <w:t xml:space="preserve"> benchmark</w:t>
      </w:r>
      <w:r w:rsidR="009C6BA4">
        <w:rPr>
          <w:szCs w:val="18"/>
        </w:rPr>
        <w:t>s</w:t>
      </w:r>
      <w:r w:rsidR="00135AC5">
        <w:rPr>
          <w:szCs w:val="18"/>
        </w:rPr>
        <w:t xml:space="preserve">.  </w:t>
      </w:r>
      <w:r w:rsidR="00E908DC">
        <w:rPr>
          <w:szCs w:val="18"/>
        </w:rPr>
        <w:t xml:space="preserve">Accordingly, </w:t>
      </w:r>
      <w:r>
        <w:rPr>
          <w:szCs w:val="18"/>
        </w:rPr>
        <w:t>CM Holdco</w:t>
      </w:r>
      <w:r w:rsidR="00044F15">
        <w:rPr>
          <w:szCs w:val="22"/>
          <w:shd w:val="clear" w:color="auto" w:fill="FFFFFF"/>
        </w:rPr>
        <w:t xml:space="preserve"> seeks </w:t>
      </w:r>
      <w:r w:rsidR="00044F15">
        <w:rPr>
          <w:szCs w:val="18"/>
        </w:rPr>
        <w:t xml:space="preserve">this declaratory ruling </w:t>
      </w:r>
      <w:r w:rsidR="007B75B2">
        <w:rPr>
          <w:szCs w:val="18"/>
        </w:rPr>
        <w:t>to facilitate</w:t>
      </w:r>
      <w:r w:rsidR="00FD763C">
        <w:rPr>
          <w:szCs w:val="18"/>
        </w:rPr>
        <w:t xml:space="preserve"> such </w:t>
      </w:r>
      <w:r w:rsidR="007B75B2">
        <w:rPr>
          <w:szCs w:val="18"/>
        </w:rPr>
        <w:t xml:space="preserve">future </w:t>
      </w:r>
      <w:r w:rsidR="00FD763C">
        <w:rPr>
          <w:szCs w:val="18"/>
        </w:rPr>
        <w:t>transactions</w:t>
      </w:r>
      <w:r w:rsidR="00044F15">
        <w:rPr>
          <w:szCs w:val="18"/>
        </w:rPr>
        <w:t>.</w:t>
      </w:r>
      <w:r>
        <w:rPr>
          <w:rStyle w:val="FootnoteReference"/>
          <w:szCs w:val="18"/>
        </w:rPr>
        <w:footnoteReference w:id="10"/>
      </w:r>
      <w:r w:rsidR="00044F15">
        <w:rPr>
          <w:szCs w:val="18"/>
        </w:rPr>
        <w:t xml:space="preserve">  </w:t>
      </w:r>
    </w:p>
    <w:p w:rsidR="00653915" w:rsidP="00E45759" w14:paraId="299E3B19" w14:textId="7EC8F863">
      <w:pPr>
        <w:widowControl/>
        <w:autoSpaceDE w:val="0"/>
        <w:autoSpaceDN w:val="0"/>
        <w:adjustRightInd w:val="0"/>
        <w:spacing w:after="120"/>
        <w:ind w:firstLine="720"/>
        <w:rPr>
          <w:szCs w:val="18"/>
        </w:rPr>
      </w:pPr>
      <w:r>
        <w:rPr>
          <w:szCs w:val="18"/>
        </w:rPr>
        <w:t xml:space="preserve">As detailed </w:t>
      </w:r>
      <w:r w:rsidR="00CA04CE">
        <w:rPr>
          <w:szCs w:val="18"/>
        </w:rPr>
        <w:t xml:space="preserve">in the </w:t>
      </w:r>
      <w:r w:rsidR="009A1925">
        <w:rPr>
          <w:szCs w:val="18"/>
        </w:rPr>
        <w:t xml:space="preserve">Amended </w:t>
      </w:r>
      <w:r w:rsidR="00CA04CE">
        <w:rPr>
          <w:szCs w:val="18"/>
        </w:rPr>
        <w:t>Petition</w:t>
      </w:r>
      <w:r>
        <w:rPr>
          <w:szCs w:val="18"/>
        </w:rPr>
        <w:t xml:space="preserve">, </w:t>
      </w:r>
      <w:r w:rsidR="005242CE">
        <w:rPr>
          <w:szCs w:val="18"/>
        </w:rPr>
        <w:t xml:space="preserve">an increase in the </w:t>
      </w:r>
      <w:r w:rsidR="009A4A75">
        <w:rPr>
          <w:szCs w:val="18"/>
        </w:rPr>
        <w:t xml:space="preserve">aggregate </w:t>
      </w:r>
      <w:r w:rsidR="005242CE">
        <w:rPr>
          <w:szCs w:val="18"/>
        </w:rPr>
        <w:t xml:space="preserve">indirect </w:t>
      </w:r>
      <w:r>
        <w:rPr>
          <w:szCs w:val="18"/>
        </w:rPr>
        <w:t>foreign</w:t>
      </w:r>
      <w:r w:rsidR="005242CE">
        <w:rPr>
          <w:szCs w:val="18"/>
        </w:rPr>
        <w:t xml:space="preserve"> ownership in </w:t>
      </w:r>
      <w:r w:rsidR="009C6BA4">
        <w:rPr>
          <w:szCs w:val="18"/>
        </w:rPr>
        <w:t>CM Holdco</w:t>
      </w:r>
      <w:r w:rsidR="005242CE">
        <w:rPr>
          <w:szCs w:val="18"/>
        </w:rPr>
        <w:t xml:space="preserve"> </w:t>
      </w:r>
      <w:r w:rsidR="007B684E">
        <w:rPr>
          <w:szCs w:val="18"/>
        </w:rPr>
        <w:t>w</w:t>
      </w:r>
      <w:r w:rsidR="005242CE">
        <w:rPr>
          <w:szCs w:val="18"/>
        </w:rPr>
        <w:t xml:space="preserve">ould </w:t>
      </w:r>
      <w:r>
        <w:rPr>
          <w:szCs w:val="18"/>
        </w:rPr>
        <w:t xml:space="preserve">come from two </w:t>
      </w:r>
      <w:r w:rsidR="00730610">
        <w:rPr>
          <w:szCs w:val="18"/>
        </w:rPr>
        <w:t xml:space="preserve">potential </w:t>
      </w:r>
      <w:r>
        <w:rPr>
          <w:szCs w:val="18"/>
        </w:rPr>
        <w:t>sources</w:t>
      </w:r>
      <w:r>
        <w:rPr>
          <w:szCs w:val="18"/>
        </w:rPr>
        <w:t>, each involving an existing interest holder</w:t>
      </w:r>
      <w:r w:rsidR="007E6C18">
        <w:rPr>
          <w:szCs w:val="18"/>
        </w:rPr>
        <w:t xml:space="preserve"> (o</w:t>
      </w:r>
      <w:r>
        <w:rPr>
          <w:szCs w:val="18"/>
        </w:rPr>
        <w:t xml:space="preserve">r group of </w:t>
      </w:r>
      <w:r w:rsidR="009A4A75">
        <w:rPr>
          <w:szCs w:val="18"/>
        </w:rPr>
        <w:t xml:space="preserve">existing </w:t>
      </w:r>
      <w:r>
        <w:rPr>
          <w:szCs w:val="18"/>
        </w:rPr>
        <w:t>interest holders</w:t>
      </w:r>
      <w:r w:rsidR="007E6C18">
        <w:rPr>
          <w:szCs w:val="18"/>
        </w:rPr>
        <w:t>)</w:t>
      </w:r>
      <w:r>
        <w:rPr>
          <w:szCs w:val="18"/>
        </w:rPr>
        <w:t xml:space="preserve"> increasing </w:t>
      </w:r>
      <w:r w:rsidR="009F7607">
        <w:rPr>
          <w:szCs w:val="18"/>
        </w:rPr>
        <w:t>its</w:t>
      </w:r>
      <w:r>
        <w:rPr>
          <w:szCs w:val="18"/>
        </w:rPr>
        <w:t xml:space="preserve"> </w:t>
      </w:r>
      <w:r w:rsidR="001F6E7F">
        <w:rPr>
          <w:szCs w:val="18"/>
        </w:rPr>
        <w:t>respective equity interest in parent compan</w:t>
      </w:r>
      <w:r w:rsidR="005A2FE5">
        <w:rPr>
          <w:szCs w:val="18"/>
        </w:rPr>
        <w:t>ies</w:t>
      </w:r>
      <w:r w:rsidR="001F6E7F">
        <w:rPr>
          <w:szCs w:val="18"/>
        </w:rPr>
        <w:t xml:space="preserve"> </w:t>
      </w:r>
      <w:r w:rsidR="007E6C18">
        <w:rPr>
          <w:szCs w:val="18"/>
        </w:rPr>
        <w:t>above</w:t>
      </w:r>
      <w:r w:rsidR="001F6E7F">
        <w:rPr>
          <w:szCs w:val="18"/>
        </w:rPr>
        <w:t xml:space="preserve"> CM Holdco.</w:t>
      </w:r>
      <w:r>
        <w:rPr>
          <w:rStyle w:val="FootnoteReference"/>
          <w:szCs w:val="18"/>
        </w:rPr>
        <w:footnoteReference w:id="11"/>
      </w:r>
      <w:r w:rsidR="001F6E7F">
        <w:rPr>
          <w:szCs w:val="18"/>
        </w:rPr>
        <w:t xml:space="preserve">  </w:t>
      </w:r>
      <w:r w:rsidR="00CC1093">
        <w:rPr>
          <w:szCs w:val="18"/>
        </w:rPr>
        <w:t xml:space="preserve">  </w:t>
      </w:r>
    </w:p>
    <w:p w:rsidR="00DD40D0" w:rsidP="00E45759" w14:paraId="2BEF84C6" w14:textId="5F03BAB9">
      <w:pPr>
        <w:widowControl/>
        <w:autoSpaceDE w:val="0"/>
        <w:autoSpaceDN w:val="0"/>
        <w:adjustRightInd w:val="0"/>
        <w:spacing w:after="120"/>
        <w:ind w:firstLine="720"/>
        <w:rPr>
          <w:szCs w:val="22"/>
          <w:shd w:val="clear" w:color="auto" w:fill="FFFFFF"/>
        </w:rPr>
      </w:pPr>
      <w:r>
        <w:rPr>
          <w:szCs w:val="18"/>
        </w:rPr>
        <w:t xml:space="preserve">The first potential transaction involves </w:t>
      </w:r>
      <w:r w:rsidR="00653915">
        <w:rPr>
          <w:szCs w:val="18"/>
        </w:rPr>
        <w:t>F</w:t>
      </w:r>
      <w:r w:rsidR="00135AC5">
        <w:rPr>
          <w:szCs w:val="18"/>
        </w:rPr>
        <w:t>alcon CM Holdings, LLC</w:t>
      </w:r>
      <w:r w:rsidR="00653915">
        <w:rPr>
          <w:szCs w:val="18"/>
        </w:rPr>
        <w:t xml:space="preserve"> (Falcon CM)</w:t>
      </w:r>
      <w:r w:rsidR="00135AC5">
        <w:rPr>
          <w:szCs w:val="18"/>
        </w:rPr>
        <w:t>, a Delaware limited liability corporation</w:t>
      </w:r>
      <w:r w:rsidR="00646F1C">
        <w:rPr>
          <w:szCs w:val="18"/>
        </w:rPr>
        <w:t xml:space="preserve"> </w:t>
      </w:r>
      <w:r>
        <w:rPr>
          <w:szCs w:val="18"/>
        </w:rPr>
        <w:t xml:space="preserve">that </w:t>
      </w:r>
      <w:r w:rsidR="00F04863">
        <w:rPr>
          <w:szCs w:val="18"/>
        </w:rPr>
        <w:t xml:space="preserve">currently </w:t>
      </w:r>
      <w:r w:rsidR="00653915">
        <w:rPr>
          <w:szCs w:val="18"/>
        </w:rPr>
        <w:t xml:space="preserve">holds a </w:t>
      </w:r>
      <w:r>
        <w:rPr>
          <w:szCs w:val="22"/>
          <w:shd w:val="clear" w:color="auto" w:fill="FFFFFF"/>
        </w:rPr>
        <w:t xml:space="preserve">29% equity </w:t>
      </w:r>
      <w:r w:rsidR="00653915">
        <w:rPr>
          <w:szCs w:val="22"/>
          <w:shd w:val="clear" w:color="auto" w:fill="FFFFFF"/>
        </w:rPr>
        <w:t xml:space="preserve">interest in </w:t>
      </w:r>
      <w:r w:rsidR="00730610">
        <w:rPr>
          <w:szCs w:val="22"/>
          <w:shd w:val="clear" w:color="auto" w:fill="FFFFFF"/>
        </w:rPr>
        <w:t xml:space="preserve">Connoisseur Cos, LLC (Connoisseur Cos), </w:t>
      </w:r>
      <w:r w:rsidR="00653915">
        <w:rPr>
          <w:szCs w:val="22"/>
          <w:shd w:val="clear" w:color="auto" w:fill="FFFFFF"/>
        </w:rPr>
        <w:t xml:space="preserve">a parent company </w:t>
      </w:r>
      <w:r w:rsidR="00F04863">
        <w:rPr>
          <w:szCs w:val="22"/>
          <w:shd w:val="clear" w:color="auto" w:fill="FFFFFF"/>
        </w:rPr>
        <w:t xml:space="preserve">of CM </w:t>
      </w:r>
      <w:r w:rsidRPr="007E63FE" w:rsidR="00F04863">
        <w:rPr>
          <w:szCs w:val="22"/>
          <w:shd w:val="clear" w:color="auto" w:fill="FFFFFF"/>
        </w:rPr>
        <w:t>Holdco</w:t>
      </w:r>
      <w:r w:rsidRPr="007E63FE">
        <w:rPr>
          <w:szCs w:val="22"/>
          <w:shd w:val="clear" w:color="auto" w:fill="FFFFFF"/>
        </w:rPr>
        <w:t>.</w:t>
      </w:r>
      <w:r>
        <w:rPr>
          <w:rStyle w:val="FootnoteReference"/>
          <w:szCs w:val="22"/>
          <w:shd w:val="clear" w:color="auto" w:fill="FFFFFF"/>
        </w:rPr>
        <w:footnoteReference w:id="12"/>
      </w:r>
      <w:r w:rsidRPr="007E63FE">
        <w:rPr>
          <w:szCs w:val="22"/>
          <w:shd w:val="clear" w:color="auto" w:fill="FFFFFF"/>
        </w:rPr>
        <w:t xml:space="preserve">  </w:t>
      </w:r>
      <w:r w:rsidRPr="007E63FE" w:rsidR="007E63FE">
        <w:rPr>
          <w:szCs w:val="22"/>
        </w:rPr>
        <w:t>Falcon CM holds no voting interest in Connoisseur Cos</w:t>
      </w:r>
      <w:r w:rsidR="003F4753">
        <w:rPr>
          <w:szCs w:val="22"/>
        </w:rPr>
        <w:t>.</w:t>
      </w:r>
      <w:r>
        <w:rPr>
          <w:rStyle w:val="FootnoteReference"/>
          <w:szCs w:val="22"/>
          <w:shd w:val="clear" w:color="auto" w:fill="FFFFFF"/>
        </w:rPr>
        <w:footnoteReference w:id="13"/>
      </w:r>
      <w:r w:rsidRPr="007E63FE" w:rsidR="007E63FE">
        <w:rPr>
          <w:szCs w:val="22"/>
        </w:rPr>
        <w:t xml:space="preserve">  </w:t>
      </w:r>
      <w:r w:rsidR="00462C01">
        <w:rPr>
          <w:szCs w:val="22"/>
        </w:rPr>
        <w:t xml:space="preserve">Both because only a portion of Falcon CM’s equity interest is held by foreign </w:t>
      </w:r>
      <w:r w:rsidR="001A4B81">
        <w:rPr>
          <w:szCs w:val="22"/>
        </w:rPr>
        <w:t>entities</w:t>
      </w:r>
      <w:r w:rsidR="00462C01">
        <w:rPr>
          <w:szCs w:val="22"/>
        </w:rPr>
        <w:t xml:space="preserve"> and </w:t>
      </w:r>
      <w:r w:rsidR="001A4B81">
        <w:rPr>
          <w:szCs w:val="22"/>
        </w:rPr>
        <w:t xml:space="preserve">because the calculation of Falcon </w:t>
      </w:r>
      <w:r w:rsidR="00462C01">
        <w:rPr>
          <w:szCs w:val="22"/>
        </w:rPr>
        <w:t>CM</w:t>
      </w:r>
      <w:r w:rsidR="001A4B81">
        <w:rPr>
          <w:szCs w:val="22"/>
        </w:rPr>
        <w:t>’s</w:t>
      </w:r>
      <w:r w:rsidR="00462C01">
        <w:rPr>
          <w:szCs w:val="22"/>
        </w:rPr>
        <w:t xml:space="preserve"> </w:t>
      </w:r>
      <w:r w:rsidR="001A4B81">
        <w:rPr>
          <w:szCs w:val="22"/>
        </w:rPr>
        <w:t xml:space="preserve">ultimate ownership interest in CM Holdco </w:t>
      </w:r>
      <w:r w:rsidR="00462C01">
        <w:rPr>
          <w:szCs w:val="22"/>
        </w:rPr>
        <w:t>is diluted by the ownership interests of</w:t>
      </w:r>
      <w:r w:rsidR="001A4B81">
        <w:rPr>
          <w:szCs w:val="22"/>
        </w:rPr>
        <w:t xml:space="preserve"> </w:t>
      </w:r>
      <w:r w:rsidR="00462C01">
        <w:rPr>
          <w:szCs w:val="22"/>
        </w:rPr>
        <w:t>other</w:t>
      </w:r>
      <w:r w:rsidR="001A4B81">
        <w:rPr>
          <w:szCs w:val="22"/>
        </w:rPr>
        <w:t xml:space="preserve"> stakeholder</w:t>
      </w:r>
      <w:r w:rsidR="00462C01">
        <w:rPr>
          <w:szCs w:val="22"/>
        </w:rPr>
        <w:t xml:space="preserve">s, the foreign ownership arising from Falcon CM’s present interest is less than 25%.  </w:t>
      </w:r>
      <w:r w:rsidRPr="007E63FE" w:rsidR="002B3D58">
        <w:rPr>
          <w:szCs w:val="22"/>
          <w:shd w:val="clear" w:color="auto" w:fill="FFFFFF"/>
        </w:rPr>
        <w:t>The sole member of Falcon CM</w:t>
      </w:r>
      <w:r w:rsidRPr="007E63FE">
        <w:rPr>
          <w:szCs w:val="22"/>
          <w:shd w:val="clear" w:color="auto" w:fill="FFFFFF"/>
        </w:rPr>
        <w:t>—F</w:t>
      </w:r>
      <w:r w:rsidRPr="007E63FE" w:rsidR="00F04863">
        <w:rPr>
          <w:szCs w:val="22"/>
          <w:shd w:val="clear" w:color="auto" w:fill="FFFFFF"/>
        </w:rPr>
        <w:t>alcon Strategic Partners V, LP, a Delaware limited partnershi</w:t>
      </w:r>
      <w:r w:rsidRPr="007E63FE">
        <w:rPr>
          <w:szCs w:val="22"/>
          <w:shd w:val="clear" w:color="auto" w:fill="FFFFFF"/>
        </w:rPr>
        <w:t>p—h</w:t>
      </w:r>
      <w:r w:rsidRPr="007E63FE">
        <w:rPr>
          <w:szCs w:val="22"/>
          <w:shd w:val="clear" w:color="auto" w:fill="FFFFFF"/>
        </w:rPr>
        <w:t>olds convertible</w:t>
      </w:r>
      <w:r>
        <w:rPr>
          <w:szCs w:val="22"/>
          <w:shd w:val="clear" w:color="auto" w:fill="FFFFFF"/>
        </w:rPr>
        <w:t xml:space="preserve"> notes</w:t>
      </w:r>
      <w:r w:rsidR="000D431F">
        <w:rPr>
          <w:szCs w:val="22"/>
          <w:shd w:val="clear" w:color="auto" w:fill="FFFFFF"/>
        </w:rPr>
        <w:t xml:space="preserve"> </w:t>
      </w:r>
      <w:r w:rsidR="004859B5">
        <w:rPr>
          <w:szCs w:val="22"/>
          <w:shd w:val="clear" w:color="auto" w:fill="FFFFFF"/>
        </w:rPr>
        <w:t xml:space="preserve">(Falcon Notes) </w:t>
      </w:r>
      <w:r w:rsidR="000D431F">
        <w:rPr>
          <w:szCs w:val="22"/>
          <w:shd w:val="clear" w:color="auto" w:fill="FFFFFF"/>
        </w:rPr>
        <w:t xml:space="preserve">that would allow it to convert </w:t>
      </w:r>
      <w:r w:rsidR="009E1B07">
        <w:rPr>
          <w:szCs w:val="22"/>
          <w:shd w:val="clear" w:color="auto" w:fill="FFFFFF"/>
        </w:rPr>
        <w:t>an</w:t>
      </w:r>
      <w:r w:rsidR="000D431F">
        <w:rPr>
          <w:szCs w:val="22"/>
          <w:shd w:val="clear" w:color="auto" w:fill="FFFFFF"/>
        </w:rPr>
        <w:t xml:space="preserve"> existing debt interest in </w:t>
      </w:r>
      <w:r w:rsidR="00730610">
        <w:rPr>
          <w:szCs w:val="22"/>
          <w:shd w:val="clear" w:color="auto" w:fill="FFFFFF"/>
        </w:rPr>
        <w:t xml:space="preserve">Connoisseur Cos </w:t>
      </w:r>
      <w:r w:rsidR="000D431F">
        <w:rPr>
          <w:szCs w:val="22"/>
          <w:shd w:val="clear" w:color="auto" w:fill="FFFFFF"/>
        </w:rPr>
        <w:t xml:space="preserve">to equity </w:t>
      </w:r>
      <w:r w:rsidR="00730610">
        <w:rPr>
          <w:szCs w:val="22"/>
          <w:shd w:val="clear" w:color="auto" w:fill="FFFFFF"/>
        </w:rPr>
        <w:t xml:space="preserve">(such exchange of notes for equity is hereinafter referred to as the </w:t>
      </w:r>
      <w:r w:rsidR="000D431F">
        <w:rPr>
          <w:szCs w:val="22"/>
          <w:shd w:val="clear" w:color="auto" w:fill="FFFFFF"/>
        </w:rPr>
        <w:t>Falcon Note</w:t>
      </w:r>
      <w:r w:rsidR="009E1B07">
        <w:rPr>
          <w:szCs w:val="22"/>
          <w:shd w:val="clear" w:color="auto" w:fill="FFFFFF"/>
        </w:rPr>
        <w:t>s</w:t>
      </w:r>
      <w:r w:rsidR="000D431F">
        <w:rPr>
          <w:szCs w:val="22"/>
          <w:shd w:val="clear" w:color="auto" w:fill="FFFFFF"/>
        </w:rPr>
        <w:t xml:space="preserve"> Conversion</w:t>
      </w:r>
      <w:r w:rsidR="009E1B07">
        <w:rPr>
          <w:szCs w:val="22"/>
          <w:shd w:val="clear" w:color="auto" w:fill="FFFFFF"/>
        </w:rPr>
        <w:t>)</w:t>
      </w:r>
      <w:r w:rsidR="000D431F">
        <w:rPr>
          <w:szCs w:val="22"/>
          <w:shd w:val="clear" w:color="auto" w:fill="FFFFFF"/>
        </w:rPr>
        <w:t>.</w:t>
      </w:r>
      <w:r>
        <w:rPr>
          <w:rStyle w:val="FootnoteReference"/>
          <w:szCs w:val="22"/>
          <w:shd w:val="clear" w:color="auto" w:fill="FFFFFF"/>
        </w:rPr>
        <w:footnoteReference w:id="14"/>
      </w:r>
      <w:r w:rsidR="000D431F">
        <w:rPr>
          <w:szCs w:val="22"/>
          <w:shd w:val="clear" w:color="auto" w:fill="FFFFFF"/>
        </w:rPr>
        <w:t xml:space="preserve">  </w:t>
      </w:r>
      <w:r w:rsidR="009E1B07">
        <w:rPr>
          <w:szCs w:val="22"/>
          <w:shd w:val="clear" w:color="auto" w:fill="FFFFFF"/>
        </w:rPr>
        <w:t>Specifically, t</w:t>
      </w:r>
      <w:r w:rsidR="00730610">
        <w:rPr>
          <w:szCs w:val="22"/>
          <w:shd w:val="clear" w:color="auto" w:fill="FFFFFF"/>
        </w:rPr>
        <w:t xml:space="preserve">he </w:t>
      </w:r>
      <w:r w:rsidR="000D431F">
        <w:rPr>
          <w:szCs w:val="22"/>
          <w:shd w:val="clear" w:color="auto" w:fill="FFFFFF"/>
        </w:rPr>
        <w:t>Falcon Note</w:t>
      </w:r>
      <w:r w:rsidR="009E1B07">
        <w:rPr>
          <w:szCs w:val="22"/>
          <w:shd w:val="clear" w:color="auto" w:fill="FFFFFF"/>
        </w:rPr>
        <w:t>s</w:t>
      </w:r>
      <w:r w:rsidR="000D431F">
        <w:rPr>
          <w:szCs w:val="22"/>
          <w:shd w:val="clear" w:color="auto" w:fill="FFFFFF"/>
        </w:rPr>
        <w:t xml:space="preserve"> Conversion would allow Falcon CM </w:t>
      </w:r>
      <w:r>
        <w:rPr>
          <w:szCs w:val="22"/>
          <w:shd w:val="clear" w:color="auto" w:fill="FFFFFF"/>
        </w:rPr>
        <w:t xml:space="preserve">to </w:t>
      </w:r>
      <w:r>
        <w:rPr>
          <w:szCs w:val="22"/>
          <w:shd w:val="clear" w:color="auto" w:fill="FFFFFF"/>
        </w:rPr>
        <w:t xml:space="preserve">increase its </w:t>
      </w:r>
      <w:r w:rsidR="00C37833">
        <w:rPr>
          <w:szCs w:val="22"/>
          <w:shd w:val="clear" w:color="auto" w:fill="FFFFFF"/>
        </w:rPr>
        <w:t xml:space="preserve">existing </w:t>
      </w:r>
      <w:r>
        <w:rPr>
          <w:szCs w:val="22"/>
          <w:shd w:val="clear" w:color="auto" w:fill="FFFFFF"/>
        </w:rPr>
        <w:t xml:space="preserve">equity </w:t>
      </w:r>
      <w:r w:rsidR="00653915">
        <w:rPr>
          <w:szCs w:val="22"/>
          <w:shd w:val="clear" w:color="auto" w:fill="FFFFFF"/>
        </w:rPr>
        <w:t>interest</w:t>
      </w:r>
      <w:r>
        <w:rPr>
          <w:szCs w:val="22"/>
          <w:shd w:val="clear" w:color="auto" w:fill="FFFFFF"/>
        </w:rPr>
        <w:t xml:space="preserve"> </w:t>
      </w:r>
      <w:r w:rsidR="000D431F">
        <w:rPr>
          <w:szCs w:val="22"/>
          <w:shd w:val="clear" w:color="auto" w:fill="FFFFFF"/>
        </w:rPr>
        <w:t xml:space="preserve">in </w:t>
      </w:r>
      <w:r w:rsidR="00730610">
        <w:rPr>
          <w:szCs w:val="22"/>
          <w:shd w:val="clear" w:color="auto" w:fill="FFFFFF"/>
        </w:rPr>
        <w:t xml:space="preserve">Connoisseur Cos from </w:t>
      </w:r>
      <w:r w:rsidR="000D431F">
        <w:rPr>
          <w:szCs w:val="22"/>
          <w:shd w:val="clear" w:color="auto" w:fill="FFFFFF"/>
        </w:rPr>
        <w:t xml:space="preserve">29% </w:t>
      </w:r>
      <w:r>
        <w:rPr>
          <w:szCs w:val="22"/>
          <w:shd w:val="clear" w:color="auto" w:fill="FFFFFF"/>
        </w:rPr>
        <w:t>to</w:t>
      </w:r>
      <w:r w:rsidR="00730610">
        <w:rPr>
          <w:szCs w:val="22"/>
          <w:shd w:val="clear" w:color="auto" w:fill="FFFFFF"/>
        </w:rPr>
        <w:t xml:space="preserve"> </w:t>
      </w:r>
      <w:r>
        <w:rPr>
          <w:szCs w:val="22"/>
          <w:shd w:val="clear" w:color="auto" w:fill="FFFFFF"/>
        </w:rPr>
        <w:t>47.5%</w:t>
      </w:r>
      <w:r w:rsidR="000D431F">
        <w:rPr>
          <w:szCs w:val="22"/>
          <w:shd w:val="clear" w:color="auto" w:fill="FFFFFF"/>
        </w:rPr>
        <w:t>.</w:t>
      </w:r>
      <w:r>
        <w:rPr>
          <w:rStyle w:val="FootnoteReference"/>
          <w:szCs w:val="22"/>
          <w:shd w:val="clear" w:color="auto" w:fill="FFFFFF"/>
        </w:rPr>
        <w:footnoteReference w:id="15"/>
      </w:r>
      <w:r w:rsidR="000D431F">
        <w:rPr>
          <w:szCs w:val="22"/>
          <w:shd w:val="clear" w:color="auto" w:fill="FFFFFF"/>
        </w:rPr>
        <w:t xml:space="preserve">  </w:t>
      </w:r>
      <w:r w:rsidR="00C37833">
        <w:rPr>
          <w:szCs w:val="22"/>
          <w:shd w:val="clear" w:color="auto" w:fill="FFFFFF"/>
        </w:rPr>
        <w:t>Because</w:t>
      </w:r>
      <w:r w:rsidR="00653915">
        <w:rPr>
          <w:szCs w:val="22"/>
          <w:shd w:val="clear" w:color="auto" w:fill="FFFFFF"/>
        </w:rPr>
        <w:t xml:space="preserve"> </w:t>
      </w:r>
      <w:r w:rsidR="00D211B3">
        <w:rPr>
          <w:szCs w:val="22"/>
          <w:shd w:val="clear" w:color="auto" w:fill="FFFFFF"/>
        </w:rPr>
        <w:t>two</w:t>
      </w:r>
      <w:r w:rsidR="009E1B07">
        <w:rPr>
          <w:szCs w:val="22"/>
          <w:shd w:val="clear" w:color="auto" w:fill="FFFFFF"/>
        </w:rPr>
        <w:t xml:space="preserve"> of </w:t>
      </w:r>
      <w:r w:rsidR="008272BB">
        <w:rPr>
          <w:szCs w:val="22"/>
          <w:shd w:val="clear" w:color="auto" w:fill="FFFFFF"/>
        </w:rPr>
        <w:t>Falcon CM</w:t>
      </w:r>
      <w:r w:rsidR="009E1B07">
        <w:rPr>
          <w:szCs w:val="22"/>
          <w:shd w:val="clear" w:color="auto" w:fill="FFFFFF"/>
        </w:rPr>
        <w:t xml:space="preserve">’s </w:t>
      </w:r>
      <w:r w:rsidR="003F4753">
        <w:rPr>
          <w:szCs w:val="22"/>
          <w:shd w:val="clear" w:color="auto" w:fill="FFFFFF"/>
        </w:rPr>
        <w:t xml:space="preserve">members </w:t>
      </w:r>
      <w:r w:rsidR="008272BB">
        <w:rPr>
          <w:szCs w:val="22"/>
          <w:shd w:val="clear" w:color="auto" w:fill="FFFFFF"/>
        </w:rPr>
        <w:t xml:space="preserve">are organized outside the United States, an increase in Falcon CM’s equity interest in </w:t>
      </w:r>
      <w:r w:rsidR="009D0839">
        <w:rPr>
          <w:szCs w:val="22"/>
          <w:shd w:val="clear" w:color="auto" w:fill="FFFFFF"/>
        </w:rPr>
        <w:t xml:space="preserve">Connoisseur Cos </w:t>
      </w:r>
      <w:r w:rsidR="008272BB">
        <w:rPr>
          <w:szCs w:val="22"/>
          <w:shd w:val="clear" w:color="auto" w:fill="FFFFFF"/>
        </w:rPr>
        <w:t xml:space="preserve">would </w:t>
      </w:r>
      <w:r w:rsidR="00B137BC">
        <w:rPr>
          <w:szCs w:val="22"/>
          <w:shd w:val="clear" w:color="auto" w:fill="FFFFFF"/>
        </w:rPr>
        <w:t>result in</w:t>
      </w:r>
      <w:r w:rsidR="008272BB">
        <w:rPr>
          <w:szCs w:val="22"/>
          <w:shd w:val="clear" w:color="auto" w:fill="FFFFFF"/>
        </w:rPr>
        <w:t xml:space="preserve"> an increase </w:t>
      </w:r>
      <w:r w:rsidR="00B137BC">
        <w:rPr>
          <w:szCs w:val="22"/>
          <w:shd w:val="clear" w:color="auto" w:fill="FFFFFF"/>
        </w:rPr>
        <w:t>of</w:t>
      </w:r>
      <w:r w:rsidR="008272BB">
        <w:rPr>
          <w:szCs w:val="22"/>
          <w:shd w:val="clear" w:color="auto" w:fill="FFFFFF"/>
        </w:rPr>
        <w:t xml:space="preserve"> indirect foreign equity interest</w:t>
      </w:r>
      <w:r w:rsidR="00C336AD">
        <w:rPr>
          <w:szCs w:val="22"/>
          <w:shd w:val="clear" w:color="auto" w:fill="FFFFFF"/>
        </w:rPr>
        <w:t>s</w:t>
      </w:r>
      <w:r w:rsidR="008272BB">
        <w:rPr>
          <w:szCs w:val="22"/>
          <w:shd w:val="clear" w:color="auto" w:fill="FFFFFF"/>
        </w:rPr>
        <w:t xml:space="preserve"> </w:t>
      </w:r>
      <w:r w:rsidR="004C1A34">
        <w:rPr>
          <w:szCs w:val="22"/>
          <w:shd w:val="clear" w:color="auto" w:fill="FFFFFF"/>
        </w:rPr>
        <w:t>in</w:t>
      </w:r>
      <w:r w:rsidR="008272BB">
        <w:rPr>
          <w:szCs w:val="22"/>
          <w:shd w:val="clear" w:color="auto" w:fill="FFFFFF"/>
        </w:rPr>
        <w:t xml:space="preserve"> the Petitioner.  </w:t>
      </w:r>
    </w:p>
    <w:p w:rsidR="00D96188" w:rsidP="008214C2" w14:paraId="1AAB8EC7" w14:textId="492D45C6">
      <w:pPr>
        <w:widowControl/>
        <w:autoSpaceDE w:val="0"/>
        <w:autoSpaceDN w:val="0"/>
        <w:adjustRightInd w:val="0"/>
        <w:spacing w:after="120"/>
        <w:ind w:firstLine="720"/>
        <w:rPr>
          <w:szCs w:val="22"/>
          <w:shd w:val="clear" w:color="auto" w:fill="FFFFFF"/>
        </w:rPr>
      </w:pPr>
      <w:r>
        <w:rPr>
          <w:szCs w:val="22"/>
          <w:shd w:val="clear" w:color="auto" w:fill="FFFFFF"/>
        </w:rPr>
        <w:t>The second transaction involves warrants issued</w:t>
      </w:r>
      <w:r w:rsidR="00135AC5">
        <w:rPr>
          <w:szCs w:val="22"/>
          <w:shd w:val="clear" w:color="auto" w:fill="FFFFFF"/>
        </w:rPr>
        <w:t xml:space="preserve"> a</w:t>
      </w:r>
      <w:r w:rsidR="00A35400">
        <w:rPr>
          <w:szCs w:val="22"/>
          <w:shd w:val="clear" w:color="auto" w:fill="FFFFFF"/>
        </w:rPr>
        <w:t xml:space="preserve">s part of </w:t>
      </w:r>
      <w:r w:rsidR="00135AC5">
        <w:rPr>
          <w:szCs w:val="22"/>
          <w:shd w:val="clear" w:color="auto" w:fill="FFFFFF"/>
        </w:rPr>
        <w:t>Connoisseur’s r</w:t>
      </w:r>
      <w:r w:rsidR="00DD40D0">
        <w:rPr>
          <w:szCs w:val="22"/>
          <w:shd w:val="clear" w:color="auto" w:fill="FFFFFF"/>
        </w:rPr>
        <w:t xml:space="preserve">ecent </w:t>
      </w:r>
      <w:r w:rsidR="00135AC5">
        <w:rPr>
          <w:szCs w:val="22"/>
          <w:shd w:val="clear" w:color="auto" w:fill="FFFFFF"/>
        </w:rPr>
        <w:t xml:space="preserve">acquisition of </w:t>
      </w:r>
      <w:r w:rsidRPr="00135AC5" w:rsidR="00135AC5">
        <w:rPr>
          <w:szCs w:val="22"/>
          <w:shd w:val="clear" w:color="auto" w:fill="FFFFFF"/>
        </w:rPr>
        <w:t xml:space="preserve">Alpha Media Holdings, Inc. </w:t>
      </w:r>
      <w:r w:rsidR="00135AC5">
        <w:rPr>
          <w:szCs w:val="22"/>
          <w:shd w:val="clear" w:color="auto" w:fill="FFFFFF"/>
        </w:rPr>
        <w:t>(</w:t>
      </w:r>
      <w:r w:rsidRPr="00135AC5" w:rsidR="00135AC5">
        <w:rPr>
          <w:szCs w:val="22"/>
          <w:shd w:val="clear" w:color="auto" w:fill="FFFFFF"/>
        </w:rPr>
        <w:t>Alpha Media</w:t>
      </w:r>
      <w:r w:rsidR="00135AC5">
        <w:rPr>
          <w:szCs w:val="22"/>
          <w:shd w:val="clear" w:color="auto" w:fill="FFFFFF"/>
        </w:rPr>
        <w:t>)</w:t>
      </w:r>
      <w:r>
        <w:rPr>
          <w:szCs w:val="22"/>
          <w:shd w:val="clear" w:color="auto" w:fill="FFFFFF"/>
        </w:rPr>
        <w:t>.</w:t>
      </w:r>
      <w:r>
        <w:rPr>
          <w:rStyle w:val="FootnoteReference"/>
          <w:szCs w:val="22"/>
          <w:shd w:val="clear" w:color="auto" w:fill="FFFFFF"/>
        </w:rPr>
        <w:footnoteReference w:id="16"/>
      </w:r>
      <w:r w:rsidRPr="00135AC5" w:rsidR="00135AC5">
        <w:rPr>
          <w:szCs w:val="22"/>
          <w:shd w:val="clear" w:color="auto" w:fill="FFFFFF"/>
        </w:rPr>
        <w:t xml:space="preserve"> </w:t>
      </w:r>
      <w:r>
        <w:rPr>
          <w:szCs w:val="22"/>
          <w:shd w:val="clear" w:color="auto" w:fill="FFFFFF"/>
        </w:rPr>
        <w:t xml:space="preserve"> As part of that </w:t>
      </w:r>
      <w:r w:rsidR="0047153D">
        <w:rPr>
          <w:szCs w:val="22"/>
          <w:shd w:val="clear" w:color="auto" w:fill="FFFFFF"/>
        </w:rPr>
        <w:t>acquisition</w:t>
      </w:r>
      <w:r>
        <w:rPr>
          <w:szCs w:val="22"/>
          <w:shd w:val="clear" w:color="auto" w:fill="FFFFFF"/>
        </w:rPr>
        <w:t xml:space="preserve">, </w:t>
      </w:r>
      <w:r>
        <w:rPr>
          <w:szCs w:val="22"/>
          <w:shd w:val="clear" w:color="auto" w:fill="FFFFFF"/>
        </w:rPr>
        <w:t xml:space="preserve">certain </w:t>
      </w:r>
      <w:r w:rsidR="00A35400">
        <w:rPr>
          <w:szCs w:val="22"/>
          <w:shd w:val="clear" w:color="auto" w:fill="FFFFFF"/>
        </w:rPr>
        <w:t xml:space="preserve">former </w:t>
      </w:r>
      <w:r>
        <w:rPr>
          <w:szCs w:val="22"/>
          <w:shd w:val="clear" w:color="auto" w:fill="FFFFFF"/>
        </w:rPr>
        <w:t xml:space="preserve">executives, </w:t>
      </w:r>
      <w:r w:rsidR="00A35400">
        <w:rPr>
          <w:szCs w:val="22"/>
          <w:shd w:val="clear" w:color="auto" w:fill="FFFFFF"/>
        </w:rPr>
        <w:t>shareholders</w:t>
      </w:r>
      <w:r>
        <w:rPr>
          <w:szCs w:val="22"/>
          <w:shd w:val="clear" w:color="auto" w:fill="FFFFFF"/>
        </w:rPr>
        <w:t>,</w:t>
      </w:r>
      <w:r w:rsidR="00A35400">
        <w:rPr>
          <w:szCs w:val="22"/>
          <w:shd w:val="clear" w:color="auto" w:fill="FFFFFF"/>
        </w:rPr>
        <w:t xml:space="preserve"> </w:t>
      </w:r>
      <w:r w:rsidR="003F4FE5">
        <w:rPr>
          <w:szCs w:val="22"/>
          <w:shd w:val="clear" w:color="auto" w:fill="FFFFFF"/>
        </w:rPr>
        <w:t xml:space="preserve">or </w:t>
      </w:r>
      <w:r>
        <w:rPr>
          <w:szCs w:val="22"/>
          <w:shd w:val="clear" w:color="auto" w:fill="FFFFFF"/>
        </w:rPr>
        <w:t xml:space="preserve">investors </w:t>
      </w:r>
      <w:r w:rsidR="00135AC5">
        <w:rPr>
          <w:szCs w:val="22"/>
          <w:shd w:val="clear" w:color="auto" w:fill="FFFFFF"/>
        </w:rPr>
        <w:t>of Alpha Media</w:t>
      </w:r>
      <w:r w:rsidR="008214C2">
        <w:rPr>
          <w:szCs w:val="22"/>
          <w:shd w:val="clear" w:color="auto" w:fill="FFFFFF"/>
        </w:rPr>
        <w:t xml:space="preserve"> (referred to collectively herein as Former Alpha Participants)</w:t>
      </w:r>
      <w:r w:rsidR="00B06A98">
        <w:rPr>
          <w:szCs w:val="22"/>
          <w:shd w:val="clear" w:color="auto" w:fill="FFFFFF"/>
        </w:rPr>
        <w:t xml:space="preserve"> </w:t>
      </w:r>
      <w:r w:rsidR="008214C2">
        <w:rPr>
          <w:szCs w:val="22"/>
          <w:shd w:val="clear" w:color="auto" w:fill="FFFFFF"/>
        </w:rPr>
        <w:t xml:space="preserve">were </w:t>
      </w:r>
      <w:r w:rsidR="000B4053">
        <w:rPr>
          <w:szCs w:val="22"/>
          <w:shd w:val="clear" w:color="auto" w:fill="FFFFFF"/>
        </w:rPr>
        <w:t>issued</w:t>
      </w:r>
      <w:r w:rsidR="008214C2">
        <w:rPr>
          <w:szCs w:val="22"/>
          <w:shd w:val="clear" w:color="auto" w:fill="FFFFFF"/>
        </w:rPr>
        <w:t xml:space="preserve"> warrants</w:t>
      </w:r>
      <w:r w:rsidR="002C19F7">
        <w:rPr>
          <w:szCs w:val="22"/>
          <w:shd w:val="clear" w:color="auto" w:fill="FFFFFF"/>
        </w:rPr>
        <w:t xml:space="preserve"> (Alpha Tranche Warrants)</w:t>
      </w:r>
      <w:r w:rsidR="008214C2">
        <w:rPr>
          <w:szCs w:val="22"/>
          <w:shd w:val="clear" w:color="auto" w:fill="FFFFFF"/>
        </w:rPr>
        <w:t xml:space="preserve"> that allow them to </w:t>
      </w:r>
      <w:r w:rsidR="000B4053">
        <w:rPr>
          <w:szCs w:val="22"/>
          <w:shd w:val="clear" w:color="auto" w:fill="FFFFFF"/>
        </w:rPr>
        <w:t>obtain</w:t>
      </w:r>
      <w:r w:rsidR="006805D8">
        <w:rPr>
          <w:szCs w:val="22"/>
          <w:shd w:val="clear" w:color="auto" w:fill="FFFFFF"/>
        </w:rPr>
        <w:t xml:space="preserve"> </w:t>
      </w:r>
      <w:r w:rsidR="009D0839">
        <w:rPr>
          <w:szCs w:val="22"/>
          <w:shd w:val="clear" w:color="auto" w:fill="FFFFFF"/>
        </w:rPr>
        <w:t xml:space="preserve">additional </w:t>
      </w:r>
      <w:r w:rsidR="008214C2">
        <w:rPr>
          <w:szCs w:val="22"/>
          <w:shd w:val="clear" w:color="auto" w:fill="FFFFFF"/>
        </w:rPr>
        <w:t>equity in Connoisseur Media Parent, LLC</w:t>
      </w:r>
      <w:r w:rsidRPr="00D96188" w:rsidR="008214C2">
        <w:rPr>
          <w:szCs w:val="22"/>
          <w:shd w:val="clear" w:color="auto" w:fill="FFFFFF"/>
        </w:rPr>
        <w:t xml:space="preserve"> </w:t>
      </w:r>
      <w:r w:rsidR="008214C2">
        <w:rPr>
          <w:szCs w:val="22"/>
          <w:shd w:val="clear" w:color="auto" w:fill="FFFFFF"/>
        </w:rPr>
        <w:t xml:space="preserve">(CM Parent), a holding company that indirectly holds 100% of the </w:t>
      </w:r>
      <w:r w:rsidR="00AF296B">
        <w:rPr>
          <w:szCs w:val="22"/>
          <w:shd w:val="clear" w:color="auto" w:fill="FFFFFF"/>
        </w:rPr>
        <w:t xml:space="preserve">equity </w:t>
      </w:r>
      <w:r w:rsidR="008214C2">
        <w:rPr>
          <w:szCs w:val="22"/>
          <w:shd w:val="clear" w:color="auto" w:fill="FFFFFF"/>
        </w:rPr>
        <w:t xml:space="preserve">and </w:t>
      </w:r>
      <w:r w:rsidR="00AF296B">
        <w:rPr>
          <w:szCs w:val="22"/>
          <w:shd w:val="clear" w:color="auto" w:fill="FFFFFF"/>
        </w:rPr>
        <w:t xml:space="preserve">voting </w:t>
      </w:r>
      <w:r w:rsidR="008214C2">
        <w:rPr>
          <w:szCs w:val="22"/>
          <w:shd w:val="clear" w:color="auto" w:fill="FFFFFF"/>
        </w:rPr>
        <w:t>of CM Holdco.</w:t>
      </w:r>
      <w:r>
        <w:rPr>
          <w:rStyle w:val="FootnoteReference"/>
          <w:szCs w:val="22"/>
          <w:shd w:val="clear" w:color="auto" w:fill="FFFFFF"/>
        </w:rPr>
        <w:footnoteReference w:id="17"/>
      </w:r>
      <w:r w:rsidR="00A71642">
        <w:rPr>
          <w:szCs w:val="22"/>
          <w:shd w:val="clear" w:color="auto" w:fill="FFFFFF"/>
        </w:rPr>
        <w:t xml:space="preserve">  </w:t>
      </w:r>
      <w:r w:rsidR="006805D8">
        <w:rPr>
          <w:szCs w:val="22"/>
          <w:shd w:val="clear" w:color="auto" w:fill="FFFFFF"/>
        </w:rPr>
        <w:t xml:space="preserve">The right to obtain such </w:t>
      </w:r>
      <w:r w:rsidR="00F566CE">
        <w:rPr>
          <w:szCs w:val="22"/>
          <w:shd w:val="clear" w:color="auto" w:fill="FFFFFF"/>
        </w:rPr>
        <w:t xml:space="preserve">additional </w:t>
      </w:r>
      <w:r w:rsidR="006805D8">
        <w:rPr>
          <w:szCs w:val="22"/>
          <w:shd w:val="clear" w:color="auto" w:fill="FFFFFF"/>
        </w:rPr>
        <w:t>equity depends on whether Connoisseur Media reaches certain valuations</w:t>
      </w:r>
      <w:r w:rsidR="009C6BA4">
        <w:rPr>
          <w:szCs w:val="22"/>
          <w:shd w:val="clear" w:color="auto" w:fill="FFFFFF"/>
        </w:rPr>
        <w:t>.</w:t>
      </w:r>
      <w:r>
        <w:rPr>
          <w:rStyle w:val="FootnoteReference"/>
          <w:szCs w:val="22"/>
          <w:shd w:val="clear" w:color="auto" w:fill="FFFFFF"/>
        </w:rPr>
        <w:footnoteReference w:id="18"/>
      </w:r>
      <w:r w:rsidR="00C91EFB">
        <w:rPr>
          <w:szCs w:val="22"/>
          <w:shd w:val="clear" w:color="auto" w:fill="FFFFFF"/>
        </w:rPr>
        <w:t xml:space="preserve"> </w:t>
      </w:r>
      <w:r w:rsidR="009C6BA4">
        <w:rPr>
          <w:szCs w:val="22"/>
          <w:shd w:val="clear" w:color="auto" w:fill="FFFFFF"/>
        </w:rPr>
        <w:t xml:space="preserve"> </w:t>
      </w:r>
      <w:r w:rsidR="00C70B49">
        <w:rPr>
          <w:szCs w:val="22"/>
          <w:shd w:val="clear" w:color="auto" w:fill="FFFFFF"/>
        </w:rPr>
        <w:t>I</w:t>
      </w:r>
      <w:r w:rsidR="00F019F4">
        <w:rPr>
          <w:szCs w:val="22"/>
          <w:shd w:val="clear" w:color="auto" w:fill="FFFFFF"/>
        </w:rPr>
        <w:t>n order t</w:t>
      </w:r>
      <w:r w:rsidR="003705B7">
        <w:rPr>
          <w:szCs w:val="22"/>
          <w:shd w:val="clear" w:color="auto" w:fill="FFFFFF"/>
        </w:rPr>
        <w:t xml:space="preserve">o ensure </w:t>
      </w:r>
      <w:r w:rsidR="00F019F4">
        <w:rPr>
          <w:szCs w:val="22"/>
          <w:shd w:val="clear" w:color="auto" w:fill="FFFFFF"/>
        </w:rPr>
        <w:t xml:space="preserve">that </w:t>
      </w:r>
      <w:r w:rsidR="009C6BA4">
        <w:rPr>
          <w:szCs w:val="22"/>
          <w:shd w:val="clear" w:color="auto" w:fill="FFFFFF"/>
        </w:rPr>
        <w:t>Connoisseur Media</w:t>
      </w:r>
      <w:r w:rsidR="003705B7">
        <w:rPr>
          <w:szCs w:val="22"/>
          <w:shd w:val="clear" w:color="auto" w:fill="FFFFFF"/>
        </w:rPr>
        <w:t xml:space="preserve"> complies with </w:t>
      </w:r>
      <w:r w:rsidR="00D74412">
        <w:rPr>
          <w:szCs w:val="22"/>
          <w:shd w:val="clear" w:color="auto" w:fill="FFFFFF"/>
        </w:rPr>
        <w:t>s</w:t>
      </w:r>
      <w:r w:rsidR="004E4C78">
        <w:rPr>
          <w:szCs w:val="22"/>
          <w:shd w:val="clear" w:color="auto" w:fill="FFFFFF"/>
        </w:rPr>
        <w:t>ection 310(b)</w:t>
      </w:r>
      <w:r w:rsidR="00F019F4">
        <w:rPr>
          <w:szCs w:val="22"/>
          <w:shd w:val="clear" w:color="auto" w:fill="FFFFFF"/>
        </w:rPr>
        <w:t xml:space="preserve"> if the Alpha Tranche Warrants are exercised</w:t>
      </w:r>
      <w:r w:rsidR="004E4C78">
        <w:rPr>
          <w:szCs w:val="22"/>
          <w:shd w:val="clear" w:color="auto" w:fill="FFFFFF"/>
        </w:rPr>
        <w:t>, Petitioner seeks ap</w:t>
      </w:r>
      <w:r w:rsidR="00E35B47">
        <w:rPr>
          <w:szCs w:val="22"/>
          <w:shd w:val="clear" w:color="auto" w:fill="FFFFFF"/>
        </w:rPr>
        <w:t>proval for this structure</w:t>
      </w:r>
      <w:r w:rsidR="000F4473">
        <w:rPr>
          <w:szCs w:val="22"/>
          <w:shd w:val="clear" w:color="auto" w:fill="FFFFFF"/>
        </w:rPr>
        <w:t>.</w:t>
      </w:r>
      <w:r w:rsidRPr="000F4473" w:rsidR="000F4473">
        <w:rPr>
          <w:szCs w:val="22"/>
          <w:shd w:val="clear" w:color="auto" w:fill="FFFFFF"/>
        </w:rPr>
        <w:t xml:space="preserve"> </w:t>
      </w:r>
      <w:r w:rsidR="003617FC">
        <w:rPr>
          <w:szCs w:val="22"/>
          <w:shd w:val="clear" w:color="auto" w:fill="FFFFFF"/>
        </w:rPr>
        <w:t xml:space="preserve"> </w:t>
      </w:r>
      <w:r w:rsidR="00752BF8">
        <w:rPr>
          <w:szCs w:val="22"/>
          <w:shd w:val="clear" w:color="auto" w:fill="FFFFFF"/>
        </w:rPr>
        <w:t xml:space="preserve">At present, </w:t>
      </w:r>
      <w:r w:rsidR="000F4473">
        <w:rPr>
          <w:szCs w:val="22"/>
          <w:shd w:val="clear" w:color="auto" w:fill="FFFFFF"/>
        </w:rPr>
        <w:t>the Former Alpha Participants</w:t>
      </w:r>
      <w:r w:rsidRPr="00B06A98" w:rsidR="00B06A98">
        <w:rPr>
          <w:szCs w:val="22"/>
          <w:shd w:val="clear" w:color="auto" w:fill="FFFFFF"/>
        </w:rPr>
        <w:t>, some of which are non-U.S. entities,</w:t>
      </w:r>
      <w:r w:rsidR="000F4473">
        <w:rPr>
          <w:szCs w:val="22"/>
          <w:shd w:val="clear" w:color="auto" w:fill="FFFFFF"/>
        </w:rPr>
        <w:t xml:space="preserve"> </w:t>
      </w:r>
      <w:r w:rsidR="0047153D">
        <w:rPr>
          <w:szCs w:val="22"/>
          <w:shd w:val="clear" w:color="auto" w:fill="FFFFFF"/>
        </w:rPr>
        <w:t xml:space="preserve">collectively </w:t>
      </w:r>
      <w:r w:rsidR="000F4473">
        <w:rPr>
          <w:szCs w:val="22"/>
          <w:shd w:val="clear" w:color="auto" w:fill="FFFFFF"/>
        </w:rPr>
        <w:t xml:space="preserve">hold </w:t>
      </w:r>
      <w:r w:rsidR="00752BF8">
        <w:rPr>
          <w:szCs w:val="22"/>
          <w:shd w:val="clear" w:color="auto" w:fill="FFFFFF"/>
        </w:rPr>
        <w:t>8.75</w:t>
      </w:r>
      <w:r w:rsidR="000F4473">
        <w:rPr>
          <w:szCs w:val="22"/>
          <w:shd w:val="clear" w:color="auto" w:fill="FFFFFF"/>
        </w:rPr>
        <w:t>% of the equity of CM Parent</w:t>
      </w:r>
      <w:r w:rsidR="00AF296B">
        <w:rPr>
          <w:szCs w:val="22"/>
          <w:shd w:val="clear" w:color="auto" w:fill="FFFFFF"/>
        </w:rPr>
        <w:t>.</w:t>
      </w:r>
      <w:r>
        <w:rPr>
          <w:rStyle w:val="FootnoteReference"/>
          <w:szCs w:val="22"/>
          <w:shd w:val="clear" w:color="auto" w:fill="FFFFFF"/>
        </w:rPr>
        <w:footnoteReference w:id="19"/>
      </w:r>
      <w:r w:rsidR="00B06A98">
        <w:rPr>
          <w:szCs w:val="22"/>
          <w:shd w:val="clear" w:color="auto" w:fill="FFFFFF"/>
        </w:rPr>
        <w:t xml:space="preserve">  As a result of the exercise of the Alpha Tranche Warrants, the equity interests held by non-U.S. Former Alpha Participants in CM Parent could rise from the current level of 4.49% to 8.57%.</w:t>
      </w:r>
      <w:r>
        <w:rPr>
          <w:rStyle w:val="FootnoteReference"/>
          <w:szCs w:val="22"/>
          <w:shd w:val="clear" w:color="auto" w:fill="FFFFFF"/>
        </w:rPr>
        <w:footnoteReference w:id="20"/>
      </w:r>
      <w:r w:rsidR="00B06A98">
        <w:rPr>
          <w:szCs w:val="22"/>
          <w:shd w:val="clear" w:color="auto" w:fill="FFFFFF"/>
        </w:rPr>
        <w:t xml:space="preserve">  </w:t>
      </w:r>
    </w:p>
    <w:p w:rsidR="005F3808" w:rsidP="002C19F7" w14:paraId="408D3773" w14:textId="1E573534">
      <w:pPr>
        <w:widowControl/>
        <w:spacing w:after="120"/>
        <w:ind w:firstLine="720"/>
        <w:rPr>
          <w:szCs w:val="22"/>
          <w:shd w:val="clear" w:color="auto" w:fill="FFFFFF"/>
        </w:rPr>
      </w:pPr>
      <w:r>
        <w:rPr>
          <w:i/>
          <w:iCs/>
          <w:szCs w:val="18"/>
        </w:rPr>
        <w:t>Request for Aggregate</w:t>
      </w:r>
      <w:r w:rsidRPr="00665757" w:rsidR="00665757">
        <w:rPr>
          <w:i/>
          <w:iCs/>
          <w:szCs w:val="18"/>
        </w:rPr>
        <w:t xml:space="preserve"> Foreign Ownership</w:t>
      </w:r>
      <w:r w:rsidR="002C19F7">
        <w:rPr>
          <w:i/>
          <w:iCs/>
          <w:szCs w:val="18"/>
        </w:rPr>
        <w:t xml:space="preserve">.  </w:t>
      </w:r>
      <w:r>
        <w:rPr>
          <w:szCs w:val="18"/>
        </w:rPr>
        <w:t xml:space="preserve">According to the </w:t>
      </w:r>
      <w:r w:rsidR="009A1925">
        <w:rPr>
          <w:szCs w:val="18"/>
        </w:rPr>
        <w:t xml:space="preserve">Amended </w:t>
      </w:r>
      <w:r>
        <w:rPr>
          <w:szCs w:val="18"/>
        </w:rPr>
        <w:t xml:space="preserve">Petition, </w:t>
      </w:r>
      <w:r>
        <w:rPr>
          <w:szCs w:val="18"/>
        </w:rPr>
        <w:t xml:space="preserve">the </w:t>
      </w:r>
      <w:r w:rsidR="00F82EED">
        <w:rPr>
          <w:szCs w:val="18"/>
        </w:rPr>
        <w:t xml:space="preserve">Falcon Notes </w:t>
      </w:r>
      <w:r w:rsidR="00C64E3C">
        <w:rPr>
          <w:szCs w:val="18"/>
        </w:rPr>
        <w:t>Conversion, either alone or in combination with</w:t>
      </w:r>
      <w:r w:rsidR="00F82EED">
        <w:rPr>
          <w:szCs w:val="18"/>
        </w:rPr>
        <w:t xml:space="preserve"> the exercise of the </w:t>
      </w:r>
      <w:r w:rsidR="009D0839">
        <w:rPr>
          <w:szCs w:val="22"/>
          <w:shd w:val="clear" w:color="auto" w:fill="FFFFFF"/>
        </w:rPr>
        <w:t>Alpha Tranche Warrants</w:t>
      </w:r>
      <w:r w:rsidR="00C64E3C">
        <w:rPr>
          <w:szCs w:val="22"/>
          <w:shd w:val="clear" w:color="auto" w:fill="FFFFFF"/>
        </w:rPr>
        <w:t>,</w:t>
      </w:r>
      <w:r w:rsidR="009D0839">
        <w:rPr>
          <w:szCs w:val="22"/>
          <w:shd w:val="clear" w:color="auto" w:fill="FFFFFF"/>
        </w:rPr>
        <w:t xml:space="preserve"> would raise the aggregate </w:t>
      </w:r>
      <w:r>
        <w:rPr>
          <w:szCs w:val="22"/>
          <w:shd w:val="clear" w:color="auto" w:fill="FFFFFF"/>
        </w:rPr>
        <w:t xml:space="preserve">indirect </w:t>
      </w:r>
      <w:r w:rsidR="009D0839">
        <w:rPr>
          <w:szCs w:val="22"/>
          <w:shd w:val="clear" w:color="auto" w:fill="FFFFFF"/>
        </w:rPr>
        <w:t xml:space="preserve">foreign </w:t>
      </w:r>
      <w:r>
        <w:rPr>
          <w:szCs w:val="22"/>
          <w:shd w:val="clear" w:color="auto" w:fill="FFFFFF"/>
        </w:rPr>
        <w:t xml:space="preserve">ownership </w:t>
      </w:r>
      <w:r w:rsidR="005A4F51">
        <w:rPr>
          <w:szCs w:val="22"/>
          <w:shd w:val="clear" w:color="auto" w:fill="FFFFFF"/>
        </w:rPr>
        <w:t>of</w:t>
      </w:r>
      <w:r w:rsidR="009D0839">
        <w:rPr>
          <w:szCs w:val="22"/>
          <w:shd w:val="clear" w:color="auto" w:fill="FFFFFF"/>
        </w:rPr>
        <w:t xml:space="preserve"> CM Holdco to more than 25%</w:t>
      </w:r>
      <w:r w:rsidR="009C6BA4">
        <w:rPr>
          <w:szCs w:val="22"/>
          <w:shd w:val="clear" w:color="auto" w:fill="FFFFFF"/>
        </w:rPr>
        <w:t xml:space="preserve"> of the company’s equity</w:t>
      </w:r>
      <w:r>
        <w:rPr>
          <w:szCs w:val="22"/>
          <w:shd w:val="clear" w:color="auto" w:fill="FFFFFF"/>
        </w:rPr>
        <w:t xml:space="preserve">.  </w:t>
      </w:r>
      <w:r>
        <w:rPr>
          <w:szCs w:val="18"/>
        </w:rPr>
        <w:t xml:space="preserve">The </w:t>
      </w:r>
      <w:r w:rsidR="009A1925">
        <w:rPr>
          <w:szCs w:val="18"/>
        </w:rPr>
        <w:t xml:space="preserve">Amended </w:t>
      </w:r>
      <w:r>
        <w:rPr>
          <w:szCs w:val="18"/>
        </w:rPr>
        <w:t>Petition</w:t>
      </w:r>
      <w:r w:rsidR="005C5078">
        <w:rPr>
          <w:szCs w:val="18"/>
        </w:rPr>
        <w:t xml:space="preserve"> indicate</w:t>
      </w:r>
      <w:r w:rsidR="00EB2EEC">
        <w:rPr>
          <w:szCs w:val="18"/>
        </w:rPr>
        <w:t>s</w:t>
      </w:r>
      <w:r>
        <w:rPr>
          <w:szCs w:val="18"/>
        </w:rPr>
        <w:t xml:space="preserve"> that</w:t>
      </w:r>
      <w:r>
        <w:rPr>
          <w:szCs w:val="18"/>
        </w:rPr>
        <w:t>,</w:t>
      </w:r>
      <w:r>
        <w:rPr>
          <w:szCs w:val="18"/>
        </w:rPr>
        <w:t xml:space="preserve"> d</w:t>
      </w:r>
      <w:r w:rsidRPr="00A5047F">
        <w:rPr>
          <w:szCs w:val="18"/>
        </w:rPr>
        <w:t xml:space="preserve">epending on the number and sequence of </w:t>
      </w:r>
      <w:r>
        <w:rPr>
          <w:szCs w:val="18"/>
        </w:rPr>
        <w:t xml:space="preserve">transactions, </w:t>
      </w:r>
      <w:r w:rsidRPr="00A5047F">
        <w:rPr>
          <w:szCs w:val="18"/>
        </w:rPr>
        <w:t xml:space="preserve">the </w:t>
      </w:r>
      <w:r>
        <w:rPr>
          <w:szCs w:val="18"/>
        </w:rPr>
        <w:t xml:space="preserve">indirect </w:t>
      </w:r>
      <w:r w:rsidRPr="00A5047F">
        <w:rPr>
          <w:szCs w:val="18"/>
        </w:rPr>
        <w:t xml:space="preserve">aggregate foreign ownership interests </w:t>
      </w:r>
      <w:r>
        <w:rPr>
          <w:szCs w:val="18"/>
        </w:rPr>
        <w:t>in CM Holdco c</w:t>
      </w:r>
      <w:r w:rsidRPr="00A5047F">
        <w:rPr>
          <w:szCs w:val="18"/>
        </w:rPr>
        <w:t xml:space="preserve">ould </w:t>
      </w:r>
      <w:r>
        <w:rPr>
          <w:szCs w:val="18"/>
        </w:rPr>
        <w:t xml:space="preserve">rise from the present </w:t>
      </w:r>
      <w:r w:rsidRPr="00A42509">
        <w:rPr>
          <w:szCs w:val="18"/>
        </w:rPr>
        <w:t xml:space="preserve">level of </w:t>
      </w:r>
      <w:r w:rsidRPr="00A42509" w:rsidR="00A42509">
        <w:rPr>
          <w:szCs w:val="18"/>
        </w:rPr>
        <w:t>20.37</w:t>
      </w:r>
      <w:r w:rsidRPr="00A42509">
        <w:rPr>
          <w:szCs w:val="18"/>
        </w:rPr>
        <w:t xml:space="preserve">% of equity and 0% voting to between </w:t>
      </w:r>
      <w:r w:rsidRPr="00A42509" w:rsidR="00A42509">
        <w:rPr>
          <w:szCs w:val="18"/>
        </w:rPr>
        <w:t>30.50</w:t>
      </w:r>
      <w:r w:rsidRPr="00A42509">
        <w:rPr>
          <w:szCs w:val="18"/>
        </w:rPr>
        <w:t xml:space="preserve">% and </w:t>
      </w:r>
      <w:r w:rsidRPr="00A42509" w:rsidR="00A42509">
        <w:rPr>
          <w:szCs w:val="18"/>
        </w:rPr>
        <w:t>34.38</w:t>
      </w:r>
      <w:r w:rsidRPr="00A42509">
        <w:rPr>
          <w:szCs w:val="18"/>
        </w:rPr>
        <w:t>% of equity and 0% voting.</w:t>
      </w:r>
      <w:r>
        <w:rPr>
          <w:rStyle w:val="FootnoteReference"/>
        </w:rPr>
        <w:footnoteReference w:id="21"/>
      </w:r>
      <w:r w:rsidRPr="00A42509">
        <w:rPr>
          <w:szCs w:val="18"/>
        </w:rPr>
        <w:t xml:space="preserve"> </w:t>
      </w:r>
      <w:r w:rsidRPr="00A42509" w:rsidR="00E44AAF">
        <w:rPr>
          <w:szCs w:val="18"/>
        </w:rPr>
        <w:t xml:space="preserve"> </w:t>
      </w:r>
      <w:r w:rsidRPr="00A42509">
        <w:rPr>
          <w:szCs w:val="18"/>
        </w:rPr>
        <w:t>Accordingly, as</w:t>
      </w:r>
      <w:r>
        <w:rPr>
          <w:szCs w:val="18"/>
        </w:rPr>
        <w:t xml:space="preserve"> the resulting foreign ownership levels would be above the 25% foreign </w:t>
      </w:r>
      <w:r w:rsidR="008647AA">
        <w:rPr>
          <w:szCs w:val="18"/>
        </w:rPr>
        <w:t>ownership</w:t>
      </w:r>
      <w:r>
        <w:rPr>
          <w:szCs w:val="18"/>
        </w:rPr>
        <w:t xml:space="preserve"> benchmark</w:t>
      </w:r>
      <w:r w:rsidR="004A6B89">
        <w:rPr>
          <w:szCs w:val="18"/>
        </w:rPr>
        <w:t>s</w:t>
      </w:r>
      <w:r>
        <w:rPr>
          <w:szCs w:val="18"/>
        </w:rPr>
        <w:t xml:space="preserve"> set by </w:t>
      </w:r>
      <w:r w:rsidR="00560155">
        <w:rPr>
          <w:szCs w:val="18"/>
        </w:rPr>
        <w:t xml:space="preserve">section </w:t>
      </w:r>
      <w:r>
        <w:rPr>
          <w:szCs w:val="18"/>
        </w:rPr>
        <w:t>310(b)(4)</w:t>
      </w:r>
      <w:r w:rsidR="00560155">
        <w:rPr>
          <w:szCs w:val="18"/>
        </w:rPr>
        <w:t xml:space="preserve"> of the Act</w:t>
      </w:r>
      <w:r>
        <w:rPr>
          <w:szCs w:val="18"/>
        </w:rPr>
        <w:t xml:space="preserve">, CM Holdco seeks Commission </w:t>
      </w:r>
      <w:r w:rsidR="00C70B49">
        <w:rPr>
          <w:szCs w:val="18"/>
        </w:rPr>
        <w:t>approval</w:t>
      </w:r>
      <w:r>
        <w:rPr>
          <w:szCs w:val="18"/>
        </w:rPr>
        <w:t xml:space="preserve"> </w:t>
      </w:r>
      <w:r w:rsidR="008647AA">
        <w:rPr>
          <w:szCs w:val="18"/>
        </w:rPr>
        <w:t xml:space="preserve">for </w:t>
      </w:r>
      <w:r w:rsidR="00C70B49">
        <w:rPr>
          <w:szCs w:val="18"/>
        </w:rPr>
        <w:t xml:space="preserve">up to 100% </w:t>
      </w:r>
      <w:r w:rsidR="008647AA">
        <w:rPr>
          <w:szCs w:val="18"/>
        </w:rPr>
        <w:t xml:space="preserve">aggregate indirect </w:t>
      </w:r>
      <w:r>
        <w:rPr>
          <w:szCs w:val="18"/>
        </w:rPr>
        <w:t>foreign ownership</w:t>
      </w:r>
      <w:r w:rsidR="00C70B49">
        <w:rPr>
          <w:szCs w:val="18"/>
        </w:rPr>
        <w:t xml:space="preserve"> (equity and voting)</w:t>
      </w:r>
      <w:r>
        <w:rPr>
          <w:szCs w:val="18"/>
        </w:rPr>
        <w:t>.</w:t>
      </w:r>
    </w:p>
    <w:p w:rsidR="00A03E28" w14:paraId="33AB6624" w14:textId="77777777">
      <w:pPr>
        <w:widowControl/>
        <w:rPr>
          <w:i/>
          <w:iCs/>
          <w:szCs w:val="18"/>
        </w:rPr>
      </w:pPr>
      <w:r>
        <w:rPr>
          <w:i/>
          <w:iCs/>
          <w:szCs w:val="18"/>
        </w:rPr>
        <w:br w:type="page"/>
      </w:r>
    </w:p>
    <w:p w:rsidR="00AB61AC" w:rsidRPr="00AB61AC" w:rsidP="002C19F7" w14:paraId="2771E713" w14:textId="54B80BD9">
      <w:pPr>
        <w:widowControl/>
        <w:spacing w:after="120"/>
        <w:ind w:firstLine="720"/>
        <w:rPr>
          <w:szCs w:val="18"/>
        </w:rPr>
      </w:pPr>
      <w:r w:rsidRPr="0060727D">
        <w:rPr>
          <w:i/>
          <w:iCs/>
          <w:szCs w:val="18"/>
        </w:rPr>
        <w:t xml:space="preserve">Specific and Advance </w:t>
      </w:r>
      <w:r>
        <w:rPr>
          <w:i/>
          <w:iCs/>
          <w:szCs w:val="18"/>
        </w:rPr>
        <w:t>Ap</w:t>
      </w:r>
      <w:r w:rsidRPr="0060727D">
        <w:rPr>
          <w:i/>
          <w:iCs/>
          <w:szCs w:val="18"/>
        </w:rPr>
        <w:t xml:space="preserve">proval </w:t>
      </w:r>
      <w:r>
        <w:rPr>
          <w:i/>
          <w:iCs/>
          <w:szCs w:val="18"/>
        </w:rPr>
        <w:t>R</w:t>
      </w:r>
      <w:r w:rsidRPr="0060727D">
        <w:rPr>
          <w:i/>
          <w:iCs/>
          <w:szCs w:val="18"/>
        </w:rPr>
        <w:t>equests</w:t>
      </w:r>
      <w:r w:rsidR="002C19F7">
        <w:rPr>
          <w:i/>
          <w:iCs/>
          <w:szCs w:val="18"/>
        </w:rPr>
        <w:t xml:space="preserve">.  </w:t>
      </w:r>
      <w:r>
        <w:t>Further,</w:t>
      </w:r>
      <w:r>
        <w:rPr>
          <w:szCs w:val="18"/>
        </w:rPr>
        <w:t xml:space="preserve"> p</w:t>
      </w:r>
      <w:r w:rsidRPr="0060727D" w:rsidR="00C74BC6">
        <w:rPr>
          <w:szCs w:val="18"/>
        </w:rPr>
        <w:t>ursuant to section 1.5001(</w:t>
      </w:r>
      <w:r w:rsidRPr="0060727D" w:rsidR="00C74BC6">
        <w:rPr>
          <w:szCs w:val="18"/>
        </w:rPr>
        <w:t>i</w:t>
      </w:r>
      <w:r w:rsidRPr="0060727D" w:rsidR="00C74BC6">
        <w:rPr>
          <w:szCs w:val="18"/>
        </w:rPr>
        <w:t xml:space="preserve">) of the </w:t>
      </w:r>
      <w:r w:rsidR="004C01A2">
        <w:rPr>
          <w:szCs w:val="18"/>
        </w:rPr>
        <w:t>R</w:t>
      </w:r>
      <w:r w:rsidRPr="0060727D" w:rsidR="00C74BC6">
        <w:rPr>
          <w:szCs w:val="18"/>
        </w:rPr>
        <w:t>ule</w:t>
      </w:r>
      <w:r w:rsidR="00C74BC6">
        <w:rPr>
          <w:szCs w:val="18"/>
        </w:rPr>
        <w:t>s</w:t>
      </w:r>
      <w:r w:rsidR="00A35400">
        <w:rPr>
          <w:szCs w:val="18"/>
        </w:rPr>
        <w:t>,</w:t>
      </w:r>
      <w:r>
        <w:rPr>
          <w:rStyle w:val="FootnoteReference"/>
          <w:szCs w:val="18"/>
        </w:rPr>
        <w:footnoteReference w:id="22"/>
      </w:r>
      <w:r w:rsidR="0060727D">
        <w:rPr>
          <w:szCs w:val="22"/>
        </w:rPr>
        <w:t xml:space="preserve"> </w:t>
      </w:r>
      <w:r w:rsidRPr="009459A6">
        <w:t>the Petitioner request</w:t>
      </w:r>
      <w:r>
        <w:t>s</w:t>
      </w:r>
      <w:r>
        <w:rPr>
          <w:rStyle w:val="FootnoteReference"/>
          <w:szCs w:val="18"/>
        </w:rPr>
        <w:footnoteReference w:id="23"/>
      </w:r>
      <w:r w:rsidRPr="009459A6">
        <w:t xml:space="preserve"> that the Commission </w:t>
      </w:r>
      <w:r w:rsidR="00D452CF">
        <w:t xml:space="preserve">grant specific </w:t>
      </w:r>
      <w:r w:rsidRPr="009459A6">
        <w:t>approv</w:t>
      </w:r>
      <w:r w:rsidR="00D452CF">
        <w:t>al for</w:t>
      </w:r>
      <w:r w:rsidRPr="009459A6">
        <w:t xml:space="preserve"> the </w:t>
      </w:r>
      <w:r w:rsidR="00D452CF">
        <w:t xml:space="preserve">following </w:t>
      </w:r>
      <w:r w:rsidRPr="009459A6" w:rsidR="00AC28EE">
        <w:t xml:space="preserve">foreign-organized entities </w:t>
      </w:r>
      <w:r w:rsidR="00AC28EE">
        <w:t>or</w:t>
      </w:r>
      <w:r w:rsidRPr="009459A6" w:rsidR="00AC28EE">
        <w:t xml:space="preserve"> foreign individuals</w:t>
      </w:r>
      <w:r w:rsidR="00AC28EE">
        <w:t xml:space="preserve"> to indirectly hold more than 5% of the equity and</w:t>
      </w:r>
      <w:r w:rsidR="00F566CE">
        <w:t>/or</w:t>
      </w:r>
      <w:r w:rsidR="00AC28EE">
        <w:t xml:space="preserve"> deemed voting interests in CM Holdc</w:t>
      </w:r>
      <w:r w:rsidR="00BD2C9F">
        <w:t>o:</w:t>
      </w:r>
      <w:r>
        <w:rPr>
          <w:rStyle w:val="FootnoteReference"/>
        </w:rPr>
        <w:footnoteReference w:id="24"/>
      </w:r>
    </w:p>
    <w:p w:rsidR="00C74BC6" w:rsidRPr="006F1DBF" w:rsidP="000E578F" w14:paraId="4D0A8CC0" w14:textId="4CE6E0ED">
      <w:pPr>
        <w:pStyle w:val="ListParagraph"/>
        <w:widowControl/>
        <w:numPr>
          <w:ilvl w:val="0"/>
          <w:numId w:val="9"/>
        </w:numPr>
        <w:spacing w:after="120"/>
        <w:contextualSpacing w:val="0"/>
      </w:pPr>
      <w:r>
        <w:t>Falcon Strategic Partners V (Cayman</w:t>
      </w:r>
      <w:r w:rsidRPr="006F1DBF">
        <w:t xml:space="preserve">), LP </w:t>
      </w:r>
      <w:r w:rsidRPr="006F1DBF" w:rsidR="00AB61AC">
        <w:t>(</w:t>
      </w:r>
      <w:r w:rsidRPr="006F1DBF" w:rsidR="00AC28EE">
        <w:t>6.26 - 6.94</w:t>
      </w:r>
      <w:r w:rsidRPr="006F1DBF" w:rsidR="00AB61AC">
        <w:t xml:space="preserve">% equity, </w:t>
      </w:r>
      <w:r w:rsidRPr="006F1DBF" w:rsidR="00AC28EE">
        <w:t xml:space="preserve">6.26 </w:t>
      </w:r>
      <w:r w:rsidRPr="006F1DBF" w:rsidR="0077657E">
        <w:t>-</w:t>
      </w:r>
      <w:r w:rsidRPr="006F1DBF" w:rsidR="00AC28EE">
        <w:t xml:space="preserve"> 6.94</w:t>
      </w:r>
      <w:r w:rsidRPr="006F1DBF" w:rsidR="00AB61AC">
        <w:t xml:space="preserve">% deemed voting) </w:t>
      </w:r>
      <w:r w:rsidRPr="006F1DBF" w:rsidR="000E578F">
        <w:t>(</w:t>
      </w:r>
      <w:r w:rsidRPr="006F1DBF">
        <w:t>Cayman Islands</w:t>
      </w:r>
      <w:r w:rsidRPr="006F1DBF" w:rsidR="000E578F">
        <w:t>);</w:t>
      </w:r>
      <w:r>
        <w:rPr>
          <w:rStyle w:val="FootnoteReference"/>
        </w:rPr>
        <w:footnoteReference w:id="25"/>
      </w:r>
      <w:r w:rsidRPr="006F1DBF" w:rsidR="000E578F">
        <w:t xml:space="preserve"> </w:t>
      </w:r>
      <w:r w:rsidRPr="006F1DBF">
        <w:t xml:space="preserve"> </w:t>
      </w:r>
    </w:p>
    <w:p w:rsidR="00C74BC6" w:rsidRPr="00213F49" w:rsidP="000E578F" w14:paraId="111401B3" w14:textId="18C3356B">
      <w:pPr>
        <w:pStyle w:val="ListParagraph"/>
        <w:widowControl/>
        <w:numPr>
          <w:ilvl w:val="0"/>
          <w:numId w:val="9"/>
        </w:numPr>
        <w:spacing w:after="120"/>
        <w:contextualSpacing w:val="0"/>
      </w:pPr>
      <w:r w:rsidRPr="006F1DBF">
        <w:t xml:space="preserve">Falcon Strategic Partners V (Cayman 2), LP </w:t>
      </w:r>
      <w:r w:rsidRPr="006F1DBF" w:rsidR="00AB61AC">
        <w:t>(</w:t>
      </w:r>
      <w:r w:rsidRPr="006F1DBF" w:rsidR="00AC28EE">
        <w:t>5.48</w:t>
      </w:r>
      <w:r w:rsidRPr="006F1DBF" w:rsidR="00EB2EEC">
        <w:t xml:space="preserve"> </w:t>
      </w:r>
      <w:r w:rsidRPr="006F1DBF" w:rsidR="00AC28EE">
        <w:t>-</w:t>
      </w:r>
      <w:r w:rsidRPr="006F1DBF" w:rsidR="00EB2EEC">
        <w:t xml:space="preserve"> </w:t>
      </w:r>
      <w:r w:rsidRPr="006F1DBF" w:rsidR="00AC28EE">
        <w:t>6.07</w:t>
      </w:r>
      <w:r w:rsidRPr="006F1DBF" w:rsidR="00AB61AC">
        <w:t>%</w:t>
      </w:r>
      <w:r w:rsidRPr="00213F49" w:rsidR="00AB61AC">
        <w:t xml:space="preserve"> equity, </w:t>
      </w:r>
      <w:r w:rsidRPr="00213F49" w:rsidR="00AC28EE">
        <w:t>5.48 - 6.07</w:t>
      </w:r>
      <w:r w:rsidRPr="00213F49" w:rsidR="00AB61AC">
        <w:t xml:space="preserve">% deemed voting) </w:t>
      </w:r>
      <w:r w:rsidRPr="00213F49">
        <w:t>(Cayman Islands)</w:t>
      </w:r>
      <w:r w:rsidRPr="00213F49" w:rsidR="009115E3">
        <w:t>;</w:t>
      </w:r>
      <w:r>
        <w:rPr>
          <w:rStyle w:val="FootnoteReference"/>
        </w:rPr>
        <w:footnoteReference w:id="26"/>
      </w:r>
      <w:r w:rsidRPr="00213F49" w:rsidR="00183157">
        <w:t xml:space="preserve"> and</w:t>
      </w:r>
    </w:p>
    <w:p w:rsidR="00C74BC6" w:rsidP="000E578F" w14:paraId="60192EA6" w14:textId="5B37A133">
      <w:pPr>
        <w:pStyle w:val="ListParagraph"/>
        <w:widowControl/>
        <w:numPr>
          <w:ilvl w:val="0"/>
          <w:numId w:val="9"/>
        </w:numPr>
        <w:spacing w:after="120"/>
        <w:contextualSpacing w:val="0"/>
      </w:pPr>
      <w:r>
        <w:t xml:space="preserve">Oliver G. Price </w:t>
      </w:r>
      <w:r w:rsidRPr="00AB61AC" w:rsidR="00AB61AC">
        <w:t>(</w:t>
      </w:r>
      <w:r w:rsidR="00213F49">
        <w:t>0</w:t>
      </w:r>
      <w:r w:rsidRPr="00AB61AC" w:rsidR="00AB61AC">
        <w:t xml:space="preserve">% equity, </w:t>
      </w:r>
      <w:r w:rsidR="00AB61AC">
        <w:t>100</w:t>
      </w:r>
      <w:r w:rsidRPr="00AB61AC" w:rsidR="00AB61AC">
        <w:t xml:space="preserve">% deemed voting) </w:t>
      </w:r>
      <w:r w:rsidR="000E578F">
        <w:t>(United Kingdom)</w:t>
      </w:r>
      <w:r w:rsidR="00183157">
        <w:t>.</w:t>
      </w:r>
    </w:p>
    <w:p w:rsidR="00224ECB" w:rsidP="00B47705" w14:paraId="7AFC400A" w14:textId="23DFDD48">
      <w:pPr>
        <w:widowControl/>
        <w:spacing w:after="120"/>
        <w:ind w:firstLine="720"/>
        <w:rPr>
          <w:szCs w:val="18"/>
        </w:rPr>
      </w:pPr>
      <w:r>
        <w:t xml:space="preserve">The </w:t>
      </w:r>
      <w:r w:rsidR="009A1925">
        <w:rPr>
          <w:szCs w:val="18"/>
        </w:rPr>
        <w:t xml:space="preserve">Amended </w:t>
      </w:r>
      <w:r>
        <w:t>Petition seeks approval for Oliver G. Price to hold a deemed 100% indirect, non</w:t>
      </w:r>
      <w:r w:rsidR="00F67C6D">
        <w:t>-</w:t>
      </w:r>
      <w:r>
        <w:t>controlling voting interest in CM Parent by virtue of his position as an uninsulated member of CM Broadcast Management, LLC</w:t>
      </w:r>
      <w:r w:rsidR="00F67C6D">
        <w:t xml:space="preserve"> (CM Broadcast Management)</w:t>
      </w:r>
      <w:r>
        <w:t xml:space="preserve">, the U.S. organized entity that ultimately controls </w:t>
      </w:r>
      <w:r w:rsidR="00F566CE">
        <w:t xml:space="preserve">CM Parent and </w:t>
      </w:r>
      <w:r>
        <w:t>CM Holdco.</w:t>
      </w:r>
      <w:r>
        <w:rPr>
          <w:rStyle w:val="FootnoteReference"/>
        </w:rPr>
        <w:footnoteReference w:id="27"/>
      </w:r>
      <w:r>
        <w:t xml:space="preserve">  </w:t>
      </w:r>
      <w:r w:rsidR="000753FF">
        <w:t>Additionally</w:t>
      </w:r>
      <w:r w:rsidR="00F67C6D">
        <w:t>, a</w:t>
      </w:r>
      <w:r>
        <w:t xml:space="preserve">ccording to the </w:t>
      </w:r>
      <w:r w:rsidR="009A1925">
        <w:rPr>
          <w:szCs w:val="18"/>
        </w:rPr>
        <w:t xml:space="preserve">Amended </w:t>
      </w:r>
      <w:r>
        <w:t>Petition, “[f]</w:t>
      </w:r>
      <w:r w:rsidRPr="0077454F">
        <w:t>ollowing</w:t>
      </w:r>
      <w:r w:rsidRPr="0077454F">
        <w:t xml:space="preserve"> receipt of the FCC’s approval to become an uninsulated, non-controlling member of CM</w:t>
      </w:r>
      <w:r>
        <w:t xml:space="preserve"> </w:t>
      </w:r>
      <w:r w:rsidRPr="0077454F">
        <w:t xml:space="preserve">Broadcast Management, Mr. Price will </w:t>
      </w:r>
      <w:r w:rsidR="00CC4747">
        <w:t xml:space="preserve">also </w:t>
      </w:r>
      <w:r w:rsidRPr="0077454F">
        <w:t>hold a less than 5</w:t>
      </w:r>
      <w:r>
        <w:t xml:space="preserve"> percent</w:t>
      </w:r>
      <w:r w:rsidRPr="0077454F">
        <w:t xml:space="preserve"> profits interest in CM Broadcast Management.</w:t>
      </w:r>
      <w:r>
        <w:t>”</w:t>
      </w:r>
      <w:r>
        <w:rPr>
          <w:rStyle w:val="FootnoteReference"/>
        </w:rPr>
        <w:footnoteReference w:id="28"/>
      </w:r>
      <w:r>
        <w:t xml:space="preserve">  The </w:t>
      </w:r>
      <w:r w:rsidR="009A1925">
        <w:rPr>
          <w:szCs w:val="18"/>
        </w:rPr>
        <w:t xml:space="preserve">Amended </w:t>
      </w:r>
      <w:r>
        <w:t>Petition states that it seeks approval t</w:t>
      </w:r>
      <w:r w:rsidRPr="0077454F">
        <w:t>o the extent necessary</w:t>
      </w:r>
      <w:r>
        <w:t xml:space="preserve"> to allow</w:t>
      </w:r>
      <w:r w:rsidRPr="0077454F">
        <w:t xml:space="preserve"> </w:t>
      </w:r>
      <w:r>
        <w:t>“</w:t>
      </w:r>
      <w:r w:rsidRPr="0077454F">
        <w:t>Mr. Price to hold up to a 5</w:t>
      </w:r>
      <w:r>
        <w:t xml:space="preserve"> percent </w:t>
      </w:r>
      <w:r w:rsidRPr="0077454F">
        <w:t>equity interest (in the form of a profits interest) in CM Broadcast Managemen</w:t>
      </w:r>
      <w:r>
        <w:t>t</w:t>
      </w:r>
      <w:r w:rsidRPr="0077454F">
        <w:t>.</w:t>
      </w:r>
      <w:r w:rsidR="000753FF">
        <w:t>”</w:t>
      </w:r>
      <w:r>
        <w:rPr>
          <w:rStyle w:val="FootnoteReference"/>
        </w:rPr>
        <w:footnoteReference w:id="29"/>
      </w:r>
    </w:p>
    <w:p w:rsidR="00B47705" w:rsidRPr="00EB2EEC" w:rsidP="00B47705" w14:paraId="24416260" w14:textId="7D8AC02B">
      <w:pPr>
        <w:widowControl/>
        <w:spacing w:after="120"/>
        <w:ind w:firstLine="720"/>
      </w:pPr>
      <w:r w:rsidRPr="00D46FE9">
        <w:rPr>
          <w:szCs w:val="18"/>
        </w:rPr>
        <w:t>In addition</w:t>
      </w:r>
      <w:r>
        <w:rPr>
          <w:szCs w:val="18"/>
        </w:rPr>
        <w:t xml:space="preserve">, </w:t>
      </w:r>
      <w:r w:rsidR="00F01B91">
        <w:rPr>
          <w:szCs w:val="18"/>
        </w:rPr>
        <w:t xml:space="preserve">the Petitioner </w:t>
      </w:r>
      <w:r w:rsidRPr="00D46FE9">
        <w:rPr>
          <w:szCs w:val="18"/>
        </w:rPr>
        <w:t>requests advance approval pursuant to section 1.5001(k)</w:t>
      </w:r>
      <w:r>
        <w:rPr>
          <w:szCs w:val="18"/>
        </w:rPr>
        <w:t xml:space="preserve"> of the Rules</w:t>
      </w:r>
      <w:r>
        <w:rPr>
          <w:rStyle w:val="FootnoteReference"/>
          <w:szCs w:val="18"/>
        </w:rPr>
        <w:footnoteReference w:id="30"/>
      </w:r>
      <w:r>
        <w:rPr>
          <w:szCs w:val="18"/>
        </w:rPr>
        <w:t xml:space="preserve"> </w:t>
      </w:r>
      <w:r w:rsidRPr="00911684">
        <w:t>for</w:t>
      </w:r>
      <w:r>
        <w:t xml:space="preserve"> Falcon Strategic Partners V (Cayman), LP and Falcon Strategic Partners V (Cayman 2)</w:t>
      </w:r>
      <w:r w:rsidR="00351E56">
        <w:t>, LP</w:t>
      </w:r>
      <w:r>
        <w:t xml:space="preserve"> </w:t>
      </w:r>
      <w:r w:rsidRPr="00911684">
        <w:t xml:space="preserve">to </w:t>
      </w:r>
      <w:r>
        <w:t xml:space="preserve">each </w:t>
      </w:r>
      <w:r w:rsidRPr="00911684">
        <w:t xml:space="preserve">increase their indirect </w:t>
      </w:r>
      <w:r w:rsidRPr="00EB2EEC">
        <w:t xml:space="preserve">interests in CM Holdco up to a non-controlling 20.0% </w:t>
      </w:r>
      <w:r w:rsidR="005A4F51">
        <w:t xml:space="preserve">equity </w:t>
      </w:r>
      <w:r w:rsidRPr="00EB2EEC">
        <w:t>interest</w:t>
      </w:r>
      <w:r w:rsidR="005A4F51">
        <w:t xml:space="preserve"> and a 20.0% deemed voting interest</w:t>
      </w:r>
      <w:r w:rsidRPr="00EB2EEC">
        <w:t>.</w:t>
      </w:r>
      <w:r>
        <w:rPr>
          <w:rStyle w:val="FootnoteReference"/>
          <w:szCs w:val="18"/>
        </w:rPr>
        <w:footnoteReference w:id="31"/>
      </w:r>
    </w:p>
    <w:p w:rsidR="00344F28" w:rsidRPr="0073253C" w:rsidP="00730610" w14:paraId="0BFBA71E" w14:textId="2E9ABE3D">
      <w:pPr>
        <w:widowControl/>
        <w:spacing w:after="120"/>
        <w:ind w:firstLine="720"/>
        <w:rPr>
          <w:szCs w:val="18"/>
        </w:rPr>
      </w:pPr>
      <w:r w:rsidRPr="00EB2EEC">
        <w:rPr>
          <w:i/>
          <w:iCs/>
          <w:szCs w:val="18"/>
        </w:rPr>
        <w:t>Public Interest Benefits</w:t>
      </w:r>
      <w:r w:rsidRPr="00EB2EEC" w:rsidR="00730610">
        <w:rPr>
          <w:szCs w:val="18"/>
        </w:rPr>
        <w:t>.</w:t>
      </w:r>
      <w:r w:rsidRPr="00EB2EEC" w:rsidR="00EB6FB7">
        <w:rPr>
          <w:szCs w:val="18"/>
        </w:rPr>
        <w:t xml:space="preserve">  </w:t>
      </w:r>
      <w:r w:rsidRPr="00EB2EEC" w:rsidR="009C4EE4">
        <w:rPr>
          <w:szCs w:val="18"/>
        </w:rPr>
        <w:t xml:space="preserve">CM Holdco </w:t>
      </w:r>
      <w:r w:rsidRPr="00EB2EEC" w:rsidR="00EB6FB7">
        <w:rPr>
          <w:szCs w:val="18"/>
        </w:rPr>
        <w:t xml:space="preserve">states </w:t>
      </w:r>
      <w:r w:rsidRPr="00EB2EEC" w:rsidR="0004384E">
        <w:rPr>
          <w:szCs w:val="18"/>
        </w:rPr>
        <w:t xml:space="preserve">that grant of the </w:t>
      </w:r>
      <w:r w:rsidR="009A1925">
        <w:rPr>
          <w:szCs w:val="18"/>
        </w:rPr>
        <w:t xml:space="preserve">Amended </w:t>
      </w:r>
      <w:r w:rsidRPr="00EB2EEC" w:rsidR="0004384E">
        <w:rPr>
          <w:szCs w:val="18"/>
        </w:rPr>
        <w:t xml:space="preserve">Petition </w:t>
      </w:r>
      <w:r w:rsidRPr="00EB2EEC" w:rsidR="00F23115">
        <w:rPr>
          <w:szCs w:val="18"/>
        </w:rPr>
        <w:t xml:space="preserve">will afford </w:t>
      </w:r>
      <w:r w:rsidRPr="00EB2EEC" w:rsidR="009C4EE4">
        <w:rPr>
          <w:szCs w:val="18"/>
        </w:rPr>
        <w:t xml:space="preserve">it </w:t>
      </w:r>
      <w:r w:rsidRPr="00EB2EEC" w:rsidR="00F23115">
        <w:rPr>
          <w:szCs w:val="18"/>
        </w:rPr>
        <w:t>greater access to capital</w:t>
      </w:r>
      <w:r w:rsidR="00F23115">
        <w:rPr>
          <w:szCs w:val="18"/>
        </w:rPr>
        <w:t xml:space="preserve"> and</w:t>
      </w:r>
      <w:r>
        <w:rPr>
          <w:szCs w:val="18"/>
        </w:rPr>
        <w:t xml:space="preserve">, thus, </w:t>
      </w:r>
      <w:r w:rsidR="00F23115">
        <w:rPr>
          <w:szCs w:val="18"/>
        </w:rPr>
        <w:t xml:space="preserve">enable it to </w:t>
      </w:r>
      <w:r w:rsidRPr="00B91676" w:rsidR="00F23115">
        <w:rPr>
          <w:szCs w:val="18"/>
        </w:rPr>
        <w:t>better compete in the media marketplace.</w:t>
      </w:r>
      <w:r>
        <w:rPr>
          <w:rStyle w:val="FootnoteReference"/>
          <w:szCs w:val="18"/>
        </w:rPr>
        <w:footnoteReference w:id="32"/>
      </w:r>
      <w:r w:rsidR="0037138D">
        <w:rPr>
          <w:szCs w:val="18"/>
        </w:rPr>
        <w:t xml:space="preserve"> </w:t>
      </w:r>
      <w:r w:rsidRPr="00B91676" w:rsidR="00F23115">
        <w:rPr>
          <w:szCs w:val="18"/>
        </w:rPr>
        <w:t xml:space="preserve"> </w:t>
      </w:r>
      <w:r w:rsidR="0037138D">
        <w:rPr>
          <w:szCs w:val="18"/>
        </w:rPr>
        <w:t>T</w:t>
      </w:r>
      <w:r w:rsidR="00D54060">
        <w:rPr>
          <w:szCs w:val="18"/>
        </w:rPr>
        <w:t xml:space="preserve">he Petitioner asserts that greater investment will provide </w:t>
      </w:r>
      <w:r>
        <w:rPr>
          <w:szCs w:val="18"/>
        </w:rPr>
        <w:t xml:space="preserve">it with </w:t>
      </w:r>
      <w:r w:rsidRPr="00131641" w:rsidR="00D54060">
        <w:rPr>
          <w:szCs w:val="18"/>
        </w:rPr>
        <w:t>additional</w:t>
      </w:r>
      <w:r w:rsidR="00D54060">
        <w:rPr>
          <w:szCs w:val="18"/>
        </w:rPr>
        <w:t xml:space="preserve"> </w:t>
      </w:r>
      <w:r w:rsidRPr="00131641" w:rsidR="00D54060">
        <w:rPr>
          <w:szCs w:val="18"/>
        </w:rPr>
        <w:t xml:space="preserve">resources </w:t>
      </w:r>
      <w:r>
        <w:rPr>
          <w:szCs w:val="18"/>
        </w:rPr>
        <w:t xml:space="preserve">to </w:t>
      </w:r>
      <w:r w:rsidR="00D54060">
        <w:rPr>
          <w:szCs w:val="18"/>
        </w:rPr>
        <w:t xml:space="preserve">invest in </w:t>
      </w:r>
      <w:r w:rsidR="009C4EE4">
        <w:rPr>
          <w:szCs w:val="18"/>
        </w:rPr>
        <w:t xml:space="preserve">local content and </w:t>
      </w:r>
      <w:r w:rsidRPr="00131641" w:rsidR="00D54060">
        <w:rPr>
          <w:szCs w:val="18"/>
        </w:rPr>
        <w:t>new digital capabilities</w:t>
      </w:r>
      <w:r w:rsidR="009C4EE4">
        <w:rPr>
          <w:szCs w:val="18"/>
        </w:rPr>
        <w:t>.</w:t>
      </w:r>
      <w:r>
        <w:rPr>
          <w:rStyle w:val="FootnoteReference"/>
          <w:szCs w:val="18"/>
        </w:rPr>
        <w:footnoteReference w:id="33"/>
      </w:r>
      <w:r w:rsidRPr="00131641" w:rsidR="00D54060">
        <w:rPr>
          <w:szCs w:val="18"/>
        </w:rPr>
        <w:t xml:space="preserve"> </w:t>
      </w:r>
      <w:r w:rsidR="009C4EE4">
        <w:rPr>
          <w:szCs w:val="18"/>
        </w:rPr>
        <w:t xml:space="preserve"> It states further that </w:t>
      </w:r>
      <w:r w:rsidR="00F23115">
        <w:rPr>
          <w:szCs w:val="18"/>
        </w:rPr>
        <w:t>favorable action on the</w:t>
      </w:r>
      <w:r w:rsidRPr="009A1925" w:rsidR="009A1925">
        <w:rPr>
          <w:szCs w:val="18"/>
        </w:rPr>
        <w:t xml:space="preserve"> </w:t>
      </w:r>
      <w:r w:rsidR="009A1925">
        <w:rPr>
          <w:szCs w:val="18"/>
        </w:rPr>
        <w:t>Amended</w:t>
      </w:r>
      <w:r w:rsidR="00F23115">
        <w:rPr>
          <w:szCs w:val="18"/>
        </w:rPr>
        <w:t xml:space="preserve"> Petition would “i</w:t>
      </w:r>
      <w:r w:rsidRPr="00B91676" w:rsidR="00F23115">
        <w:rPr>
          <w:szCs w:val="18"/>
        </w:rPr>
        <w:t>ncentivize foreign investment in broadcasting, and promote U.S.</w:t>
      </w:r>
      <w:r w:rsidR="00F23115">
        <w:rPr>
          <w:szCs w:val="18"/>
        </w:rPr>
        <w:t xml:space="preserve"> </w:t>
      </w:r>
      <w:r w:rsidRPr="00B91676" w:rsidR="00F23115">
        <w:rPr>
          <w:szCs w:val="18"/>
        </w:rPr>
        <w:t>trade policy by encouraging reciprocal investment opportunities for U.S. companies in foreign</w:t>
      </w:r>
      <w:r w:rsidR="00F23115">
        <w:rPr>
          <w:szCs w:val="18"/>
        </w:rPr>
        <w:t xml:space="preserve"> </w:t>
      </w:r>
      <w:r w:rsidRPr="00B91676" w:rsidR="00F23115">
        <w:rPr>
          <w:szCs w:val="18"/>
        </w:rPr>
        <w:t>markets</w:t>
      </w:r>
      <w:r w:rsidR="00F23115">
        <w:rPr>
          <w:szCs w:val="18"/>
        </w:rPr>
        <w:t>.”</w:t>
      </w:r>
      <w:r>
        <w:rPr>
          <w:rStyle w:val="FootnoteReference"/>
          <w:szCs w:val="18"/>
        </w:rPr>
        <w:footnoteReference w:id="34"/>
      </w:r>
      <w:r w:rsidR="00F23115">
        <w:rPr>
          <w:szCs w:val="18"/>
        </w:rPr>
        <w:t xml:space="preserve">  </w:t>
      </w:r>
      <w:r w:rsidR="00D54060">
        <w:rPr>
          <w:szCs w:val="18"/>
        </w:rPr>
        <w:t>CM Holdco</w:t>
      </w:r>
      <w:r w:rsidR="0004384E">
        <w:rPr>
          <w:szCs w:val="18"/>
        </w:rPr>
        <w:t xml:space="preserve"> highlights that </w:t>
      </w:r>
      <w:r>
        <w:rPr>
          <w:szCs w:val="18"/>
        </w:rPr>
        <w:t>the proposed foreign interest holders for</w:t>
      </w:r>
      <w:r w:rsidRPr="00344F28">
        <w:rPr>
          <w:szCs w:val="18"/>
        </w:rPr>
        <w:t xml:space="preserve"> </w:t>
      </w:r>
      <w:r w:rsidR="00377306">
        <w:rPr>
          <w:szCs w:val="18"/>
        </w:rPr>
        <w:t>whom</w:t>
      </w:r>
      <w:r w:rsidRPr="00822D1E">
        <w:rPr>
          <w:szCs w:val="18"/>
        </w:rPr>
        <w:t xml:space="preserve"> specific approval is</w:t>
      </w:r>
      <w:r>
        <w:rPr>
          <w:szCs w:val="18"/>
        </w:rPr>
        <w:t xml:space="preserve"> </w:t>
      </w:r>
      <w:r w:rsidR="00377306">
        <w:rPr>
          <w:szCs w:val="18"/>
        </w:rPr>
        <w:t>sought</w:t>
      </w:r>
      <w:r w:rsidRPr="00822D1E">
        <w:rPr>
          <w:szCs w:val="18"/>
        </w:rPr>
        <w:t xml:space="preserve"> are </w:t>
      </w:r>
      <w:r>
        <w:rPr>
          <w:szCs w:val="18"/>
        </w:rPr>
        <w:t>“</w:t>
      </w:r>
      <w:r w:rsidRPr="00822D1E">
        <w:rPr>
          <w:szCs w:val="18"/>
        </w:rPr>
        <w:t>organized under the laws of the Cayman Islands or is a citizen of the United</w:t>
      </w:r>
      <w:r>
        <w:rPr>
          <w:szCs w:val="18"/>
        </w:rPr>
        <w:t xml:space="preserve"> </w:t>
      </w:r>
      <w:r w:rsidRPr="00822D1E">
        <w:rPr>
          <w:szCs w:val="18"/>
        </w:rPr>
        <w:t>Kingdom, both of which are allies of the United States and investors in its economy, and with</w:t>
      </w:r>
      <w:r>
        <w:rPr>
          <w:szCs w:val="18"/>
        </w:rPr>
        <w:t xml:space="preserve"> </w:t>
      </w:r>
      <w:r w:rsidRPr="00822D1E">
        <w:rPr>
          <w:szCs w:val="18"/>
        </w:rPr>
        <w:t>which the U.S. is engaged in robust reciprocal trade.</w:t>
      </w:r>
      <w:r>
        <w:rPr>
          <w:szCs w:val="18"/>
        </w:rPr>
        <w:t>”</w:t>
      </w:r>
      <w:r>
        <w:rPr>
          <w:rStyle w:val="FootnoteReference"/>
          <w:szCs w:val="18"/>
        </w:rPr>
        <w:footnoteReference w:id="35"/>
      </w:r>
      <w:r>
        <w:rPr>
          <w:szCs w:val="18"/>
        </w:rPr>
        <w:t xml:space="preserve">  CM Holdco also notes that the Commission previously granted a petition for declaratory ruling permitting up to 100</w:t>
      </w:r>
      <w:r w:rsidR="00E432C1">
        <w:rPr>
          <w:szCs w:val="18"/>
        </w:rPr>
        <w:t xml:space="preserve">% </w:t>
      </w:r>
      <w:r>
        <w:rPr>
          <w:szCs w:val="18"/>
        </w:rPr>
        <w:t>aggregate foreign investment (</w:t>
      </w:r>
      <w:r w:rsidR="00AF296B">
        <w:rPr>
          <w:szCs w:val="18"/>
        </w:rPr>
        <w:t xml:space="preserve">equity </w:t>
      </w:r>
      <w:r>
        <w:rPr>
          <w:szCs w:val="18"/>
        </w:rPr>
        <w:t>and</w:t>
      </w:r>
      <w:r w:rsidRPr="00AF296B" w:rsidR="00AF296B">
        <w:rPr>
          <w:szCs w:val="18"/>
        </w:rPr>
        <w:t xml:space="preserve"> </w:t>
      </w:r>
      <w:r w:rsidR="00AF296B">
        <w:rPr>
          <w:szCs w:val="18"/>
        </w:rPr>
        <w:t>voting</w:t>
      </w:r>
      <w:r>
        <w:rPr>
          <w:szCs w:val="18"/>
        </w:rPr>
        <w:t xml:space="preserve">) in the Alpha Media </w:t>
      </w:r>
      <w:r w:rsidR="00714BAA">
        <w:rPr>
          <w:szCs w:val="18"/>
        </w:rPr>
        <w:t>broadcast stations</w:t>
      </w:r>
      <w:r>
        <w:rPr>
          <w:szCs w:val="18"/>
        </w:rPr>
        <w:t xml:space="preserve"> </w:t>
      </w:r>
      <w:r w:rsidR="00714BAA">
        <w:rPr>
          <w:szCs w:val="18"/>
        </w:rPr>
        <w:t xml:space="preserve">that are now </w:t>
      </w:r>
      <w:r>
        <w:rPr>
          <w:szCs w:val="18"/>
        </w:rPr>
        <w:t xml:space="preserve">owned by CM Holdco, and that such prior investment </w:t>
      </w:r>
      <w:r w:rsidR="00714BAA">
        <w:rPr>
          <w:szCs w:val="18"/>
        </w:rPr>
        <w:t xml:space="preserve">similarly </w:t>
      </w:r>
      <w:r>
        <w:rPr>
          <w:szCs w:val="18"/>
        </w:rPr>
        <w:t xml:space="preserve">involved </w:t>
      </w:r>
      <w:r w:rsidRPr="007D7D29">
        <w:rPr>
          <w:szCs w:val="18"/>
        </w:rPr>
        <w:t>companies organized under the laws of the United Kingdom and the Cayman</w:t>
      </w:r>
      <w:r>
        <w:rPr>
          <w:szCs w:val="18"/>
        </w:rPr>
        <w:t xml:space="preserve"> </w:t>
      </w:r>
      <w:r w:rsidRPr="007D7D29">
        <w:rPr>
          <w:szCs w:val="18"/>
        </w:rPr>
        <w:t>Islands.</w:t>
      </w:r>
      <w:r>
        <w:rPr>
          <w:rStyle w:val="FootnoteReference"/>
          <w:szCs w:val="18"/>
        </w:rPr>
        <w:footnoteReference w:id="36"/>
      </w:r>
      <w:r w:rsidRPr="00EB6FB7" w:rsidR="00EB6FB7">
        <w:rPr>
          <w:szCs w:val="18"/>
        </w:rPr>
        <w:t xml:space="preserve"> </w:t>
      </w:r>
      <w:r w:rsidR="00EB6FB7">
        <w:rPr>
          <w:szCs w:val="18"/>
        </w:rPr>
        <w:t xml:space="preserve"> Finally, the </w:t>
      </w:r>
      <w:r w:rsidR="009A1925">
        <w:rPr>
          <w:szCs w:val="18"/>
        </w:rPr>
        <w:t xml:space="preserve">Amended </w:t>
      </w:r>
      <w:r w:rsidR="00EB6FB7">
        <w:rPr>
          <w:szCs w:val="18"/>
        </w:rPr>
        <w:t xml:space="preserve">Petition emphasizes </w:t>
      </w:r>
      <w:r w:rsidRPr="004F1417" w:rsidR="00EB6FB7">
        <w:rPr>
          <w:szCs w:val="18"/>
        </w:rPr>
        <w:t>t</w:t>
      </w:r>
      <w:r w:rsidR="00EB6FB7">
        <w:rPr>
          <w:szCs w:val="18"/>
        </w:rPr>
        <w:t>hat t</w:t>
      </w:r>
      <w:r w:rsidRPr="004F1417" w:rsidR="00EB6FB7">
        <w:rPr>
          <w:szCs w:val="18"/>
        </w:rPr>
        <w:t xml:space="preserve">he </w:t>
      </w:r>
      <w:r w:rsidR="00EB6FB7">
        <w:rPr>
          <w:szCs w:val="18"/>
        </w:rPr>
        <w:t xml:space="preserve">potential increase in indirect foreign </w:t>
      </w:r>
      <w:r w:rsidR="00F35407">
        <w:rPr>
          <w:szCs w:val="18"/>
        </w:rPr>
        <w:t>equity</w:t>
      </w:r>
      <w:r w:rsidR="00EB6FB7">
        <w:rPr>
          <w:szCs w:val="18"/>
        </w:rPr>
        <w:t xml:space="preserve"> holders does</w:t>
      </w:r>
      <w:r w:rsidRPr="004F1417" w:rsidR="00EB6FB7">
        <w:rPr>
          <w:szCs w:val="18"/>
        </w:rPr>
        <w:t xml:space="preserve"> not change </w:t>
      </w:r>
      <w:r w:rsidR="009C4EE4">
        <w:rPr>
          <w:szCs w:val="18"/>
        </w:rPr>
        <w:t>control of the company</w:t>
      </w:r>
      <w:r w:rsidR="00F35407">
        <w:rPr>
          <w:szCs w:val="18"/>
        </w:rPr>
        <w:t>,</w:t>
      </w:r>
      <w:r w:rsidR="009C4EE4">
        <w:rPr>
          <w:szCs w:val="18"/>
        </w:rPr>
        <w:t xml:space="preserve"> as </w:t>
      </w:r>
      <w:r w:rsidR="00EB6FB7">
        <w:rPr>
          <w:szCs w:val="18"/>
        </w:rPr>
        <w:t>J</w:t>
      </w:r>
      <w:r w:rsidRPr="00013186" w:rsidR="00EB6FB7">
        <w:rPr>
          <w:szCs w:val="18"/>
        </w:rPr>
        <w:t>effrey D. Warshaw, a U.S. citizen</w:t>
      </w:r>
      <w:r w:rsidR="009C4EE4">
        <w:rPr>
          <w:szCs w:val="18"/>
        </w:rPr>
        <w:t xml:space="preserve">, will continue to hold </w:t>
      </w:r>
      <w:r w:rsidRPr="0037138D" w:rsidR="009C4EE4">
        <w:rPr>
          <w:i/>
          <w:iCs/>
          <w:szCs w:val="18"/>
        </w:rPr>
        <w:t>de facto</w:t>
      </w:r>
      <w:r w:rsidR="009C4EE4">
        <w:rPr>
          <w:szCs w:val="18"/>
        </w:rPr>
        <w:t xml:space="preserve"> and </w:t>
      </w:r>
      <w:r w:rsidRPr="0037138D" w:rsidR="009C4EE4">
        <w:rPr>
          <w:i/>
          <w:iCs/>
          <w:szCs w:val="18"/>
        </w:rPr>
        <w:t>de jure</w:t>
      </w:r>
      <w:r w:rsidRPr="009C4EE4" w:rsidR="009C4EE4">
        <w:rPr>
          <w:szCs w:val="18"/>
        </w:rPr>
        <w:t xml:space="preserve"> control of CM Holdco</w:t>
      </w:r>
      <w:r w:rsidR="00BA3B94">
        <w:rPr>
          <w:szCs w:val="18"/>
        </w:rPr>
        <w:t xml:space="preserve"> and the FCC broadcast licenses it </w:t>
      </w:r>
      <w:r w:rsidRPr="0073253C" w:rsidR="00BA3B94">
        <w:rPr>
          <w:szCs w:val="18"/>
        </w:rPr>
        <w:t>controls</w:t>
      </w:r>
      <w:r w:rsidRPr="0073253C" w:rsidR="00EB6FB7">
        <w:rPr>
          <w:szCs w:val="18"/>
        </w:rPr>
        <w:t>.</w:t>
      </w:r>
      <w:r>
        <w:rPr>
          <w:rStyle w:val="FootnoteReference"/>
          <w:szCs w:val="18"/>
        </w:rPr>
        <w:footnoteReference w:id="37"/>
      </w:r>
      <w:r w:rsidRPr="0073253C" w:rsidR="00EB6FB7">
        <w:rPr>
          <w:szCs w:val="18"/>
        </w:rPr>
        <w:t xml:space="preserve"> </w:t>
      </w:r>
      <w:r w:rsidRPr="0073253C" w:rsidR="009C4EE4">
        <w:rPr>
          <w:szCs w:val="18"/>
        </w:rPr>
        <w:t xml:space="preserve"> </w:t>
      </w:r>
    </w:p>
    <w:p w:rsidR="003962BF" w:rsidRPr="00C1774B" w:rsidP="00DC4E22" w14:paraId="1332630B" w14:textId="123B4854">
      <w:pPr>
        <w:spacing w:after="120"/>
        <w:ind w:firstLine="720"/>
        <w:rPr>
          <w:szCs w:val="18"/>
        </w:rPr>
      </w:pPr>
      <w:r w:rsidRPr="0073253C">
        <w:rPr>
          <w:i/>
          <w:iCs/>
          <w:szCs w:val="18"/>
        </w:rPr>
        <w:t>Coordination with</w:t>
      </w:r>
      <w:r w:rsidRPr="0073253C">
        <w:rPr>
          <w:i/>
          <w:iCs/>
        </w:rPr>
        <w:t xml:space="preserve"> </w:t>
      </w:r>
      <w:r w:rsidRPr="0073253C">
        <w:rPr>
          <w:i/>
          <w:iCs/>
          <w:szCs w:val="18"/>
        </w:rPr>
        <w:t>Executive Branch Agencies</w:t>
      </w:r>
      <w:r w:rsidRPr="005302BF" w:rsidR="00730610">
        <w:rPr>
          <w:szCs w:val="18"/>
        </w:rPr>
        <w:t>.</w:t>
      </w:r>
      <w:r>
        <w:rPr>
          <w:szCs w:val="18"/>
        </w:rPr>
        <w:t xml:space="preserve"> </w:t>
      </w:r>
      <w:r w:rsidRPr="005302BF" w:rsidR="00730610">
        <w:rPr>
          <w:szCs w:val="18"/>
        </w:rPr>
        <w:t xml:space="preserve"> </w:t>
      </w:r>
      <w:r w:rsidR="00306D2D">
        <w:rPr>
          <w:szCs w:val="18"/>
        </w:rPr>
        <w:t>Consistent with the Rules</w:t>
      </w:r>
      <w:r w:rsidRPr="003962BF" w:rsidR="00306D2D">
        <w:rPr>
          <w:szCs w:val="18"/>
        </w:rPr>
        <w:t>, CM Holdco submitted responses to the standard questions to the Committee for the Assessment of Foreign Participation in the United States Telecommunications Services Sector (Committee) contemporaneous with its filing of the Petition at the Commission.</w:t>
      </w:r>
      <w:r>
        <w:rPr>
          <w:rStyle w:val="FootnoteReference"/>
          <w:szCs w:val="18"/>
        </w:rPr>
        <w:footnoteReference w:id="38"/>
      </w:r>
      <w:r w:rsidR="00E22F8A">
        <w:rPr>
          <w:szCs w:val="18"/>
        </w:rPr>
        <w:t xml:space="preserve"> </w:t>
      </w:r>
      <w:r w:rsidRPr="0073253C" w:rsidR="00306D2D">
        <w:rPr>
          <w:szCs w:val="18"/>
        </w:rPr>
        <w:t xml:space="preserve"> </w:t>
      </w:r>
      <w:r w:rsidR="00E22F8A">
        <w:rPr>
          <w:szCs w:val="18"/>
        </w:rPr>
        <w:t>On April 16, 2026</w:t>
      </w:r>
      <w:r w:rsidRPr="00E22F8A" w:rsidR="00E22F8A">
        <w:rPr>
          <w:szCs w:val="18"/>
        </w:rPr>
        <w:t>,</w:t>
      </w:r>
      <w:r w:rsidRPr="00E22F8A" w:rsidR="00306D2D">
        <w:t xml:space="preserve"> the </w:t>
      </w:r>
      <w:r w:rsidRPr="00E22F8A" w:rsidR="00E22F8A">
        <w:t>Department</w:t>
      </w:r>
      <w:r w:rsidRPr="00C75344" w:rsidR="00E22F8A">
        <w:t xml:space="preserve"> of Justice</w:t>
      </w:r>
      <w:r w:rsidR="00E22F8A">
        <w:t xml:space="preserve"> (DOJ)</w:t>
      </w:r>
      <w:r w:rsidRPr="00F822CC" w:rsidR="00306D2D">
        <w:t xml:space="preserve"> on behalf of the Committee </w:t>
      </w:r>
      <w:r w:rsidRPr="00F051F6" w:rsidR="00306D2D">
        <w:t xml:space="preserve">submitted a </w:t>
      </w:r>
      <w:bookmarkStart w:id="4" w:name="_Hlk92375403"/>
      <w:r w:rsidRPr="00F051F6" w:rsidR="00306D2D">
        <w:t xml:space="preserve">letter </w:t>
      </w:r>
      <w:bookmarkEnd w:id="4"/>
      <w:r w:rsidRPr="001A7E50" w:rsidR="00306D2D">
        <w:t xml:space="preserve">to the Commission in which </w:t>
      </w:r>
      <w:r w:rsidR="00E22F8A">
        <w:t>it</w:t>
      </w:r>
      <w:r w:rsidRPr="001A7E50" w:rsidR="00306D2D">
        <w:t xml:space="preserve"> advised the Commission that it </w:t>
      </w:r>
      <w:r w:rsidRPr="00C75344" w:rsidR="00C75344">
        <w:t xml:space="preserve">does not believe that a referral of </w:t>
      </w:r>
      <w:r w:rsidR="00C75344">
        <w:t xml:space="preserve">the Amended </w:t>
      </w:r>
      <w:r w:rsidRPr="00C75344" w:rsidR="00C75344">
        <w:t xml:space="preserve">Petition to the Committee for review is </w:t>
      </w:r>
      <w:r w:rsidRPr="00E22F8A" w:rsidR="00C75344">
        <w:t>necessary</w:t>
      </w:r>
      <w:r w:rsidRPr="00E22F8A" w:rsidR="00306D2D">
        <w:t>.</w:t>
      </w:r>
      <w:r>
        <w:rPr>
          <w:rStyle w:val="FootnoteReference"/>
          <w:szCs w:val="22"/>
        </w:rPr>
        <w:footnoteReference w:id="39"/>
      </w:r>
      <w:r w:rsidRPr="00E22F8A">
        <w:rPr>
          <w:szCs w:val="18"/>
        </w:rPr>
        <w:t xml:space="preserve">  </w:t>
      </w:r>
      <w:r w:rsidRPr="00E22F8A" w:rsidR="00306D2D">
        <w:rPr>
          <w:szCs w:val="18"/>
        </w:rPr>
        <w:t>Accordingly</w:t>
      </w:r>
      <w:r w:rsidR="00306D2D">
        <w:rPr>
          <w:szCs w:val="18"/>
        </w:rPr>
        <w:t>, w</w:t>
      </w:r>
      <w:r w:rsidRPr="00C1774B" w:rsidR="00306D2D">
        <w:rPr>
          <w:szCs w:val="18"/>
        </w:rPr>
        <w:t xml:space="preserve">e find </w:t>
      </w:r>
      <w:r w:rsidR="00306D2D">
        <w:rPr>
          <w:szCs w:val="18"/>
        </w:rPr>
        <w:t xml:space="preserve">that </w:t>
      </w:r>
      <w:r w:rsidRPr="00C1774B" w:rsidR="00306D2D">
        <w:rPr>
          <w:szCs w:val="18"/>
        </w:rPr>
        <w:t xml:space="preserve">it would not be an efficient use of resources for either the Executive Branch agencies or the Commission to refer the </w:t>
      </w:r>
      <w:r w:rsidR="00306D2D">
        <w:rPr>
          <w:szCs w:val="18"/>
        </w:rPr>
        <w:t xml:space="preserve">Amended </w:t>
      </w:r>
      <w:r w:rsidRPr="00C1774B" w:rsidR="00306D2D">
        <w:rPr>
          <w:szCs w:val="18"/>
        </w:rPr>
        <w:t>Petition in these circumstance</w:t>
      </w:r>
      <w:r w:rsidR="00306D2D">
        <w:rPr>
          <w:szCs w:val="18"/>
        </w:rPr>
        <w:t xml:space="preserve">s, and </w:t>
      </w:r>
      <w:r w:rsidRPr="00C1774B" w:rsidR="00C1774B">
        <w:rPr>
          <w:szCs w:val="18"/>
        </w:rPr>
        <w:t xml:space="preserve">we will exercise our discretion </w:t>
      </w:r>
      <w:r w:rsidR="00306D2D">
        <w:rPr>
          <w:szCs w:val="18"/>
        </w:rPr>
        <w:t xml:space="preserve">to </w:t>
      </w:r>
      <w:r w:rsidR="00306D2D">
        <w:rPr>
          <w:szCs w:val="18"/>
        </w:rPr>
        <w:t>forgo</w:t>
      </w:r>
      <w:r w:rsidRPr="00C1774B" w:rsidR="00C1774B">
        <w:rPr>
          <w:szCs w:val="18"/>
        </w:rPr>
        <w:t xml:space="preserve"> formally refer</w:t>
      </w:r>
      <w:r w:rsidR="00306D2D">
        <w:rPr>
          <w:szCs w:val="18"/>
        </w:rPr>
        <w:t>ring</w:t>
      </w:r>
      <w:r w:rsidRPr="00C1774B" w:rsidR="00C1774B">
        <w:rPr>
          <w:szCs w:val="18"/>
        </w:rPr>
        <w:t xml:space="preserve"> the </w:t>
      </w:r>
      <w:r w:rsidR="00C1774B">
        <w:rPr>
          <w:szCs w:val="18"/>
        </w:rPr>
        <w:t xml:space="preserve">Amended </w:t>
      </w:r>
      <w:r w:rsidRPr="00C1774B" w:rsidR="00C1774B">
        <w:rPr>
          <w:szCs w:val="18"/>
        </w:rPr>
        <w:t>Petition to the Executive Branch agencies.</w:t>
      </w:r>
      <w:r>
        <w:rPr>
          <w:szCs w:val="18"/>
          <w:vertAlign w:val="superscript"/>
        </w:rPr>
        <w:footnoteReference w:id="40"/>
      </w:r>
      <w:r w:rsidRPr="00C1774B" w:rsidR="00C1774B">
        <w:rPr>
          <w:szCs w:val="18"/>
        </w:rPr>
        <w:t xml:space="preserve">  Although we are not formally referring the </w:t>
      </w:r>
      <w:r w:rsidR="00C1774B">
        <w:rPr>
          <w:szCs w:val="18"/>
        </w:rPr>
        <w:t xml:space="preserve">Amended </w:t>
      </w:r>
      <w:r w:rsidRPr="00C1774B" w:rsidR="00C1774B">
        <w:rPr>
          <w:szCs w:val="18"/>
        </w:rPr>
        <w:t>Petition, per our standard practice, we will provide a courtesy copy of this public notice to the Executive Branch agencies.  We also retain authority to pursue enforcement action by the Commission for non-compliance with the Act or the Rules.</w:t>
      </w:r>
    </w:p>
    <w:p w:rsidR="0004384E" w:rsidRPr="0073253C" w:rsidP="00EA1A8C" w14:paraId="6CF833C9" w14:textId="77777777">
      <w:pPr>
        <w:spacing w:after="120"/>
        <w:rPr>
          <w:b/>
          <w:szCs w:val="22"/>
        </w:rPr>
      </w:pPr>
      <w:r w:rsidRPr="0073253C">
        <w:rPr>
          <w:b/>
          <w:i/>
          <w:szCs w:val="22"/>
        </w:rPr>
        <w:t>EX PARTE</w:t>
      </w:r>
      <w:r w:rsidRPr="0073253C">
        <w:rPr>
          <w:b/>
          <w:szCs w:val="22"/>
        </w:rPr>
        <w:t xml:space="preserve"> STATUS OF THIS PROCEEDING</w:t>
      </w:r>
    </w:p>
    <w:p w:rsidR="0004384E" w:rsidRPr="00DC68AA" w:rsidP="00EA1A8C" w14:paraId="08E79478" w14:textId="77777777">
      <w:pPr>
        <w:spacing w:after="120"/>
        <w:ind w:firstLine="720"/>
        <w:rPr>
          <w:b/>
          <w:szCs w:val="22"/>
        </w:rPr>
      </w:pPr>
      <w:r w:rsidRPr="0073253C">
        <w:rPr>
          <w:szCs w:val="22"/>
        </w:rPr>
        <w:t>Pursuant</w:t>
      </w:r>
      <w:r w:rsidRPr="00DC68AA">
        <w:rPr>
          <w:szCs w:val="22"/>
        </w:rPr>
        <w:t xml:space="preserve"> to </w:t>
      </w:r>
      <w:r>
        <w:rPr>
          <w:szCs w:val="22"/>
        </w:rPr>
        <w:t>s</w:t>
      </w:r>
      <w:r w:rsidRPr="00DC68AA">
        <w:rPr>
          <w:szCs w:val="22"/>
        </w:rPr>
        <w:t xml:space="preserve">ection 1.1200(a) of the Commission’s </w:t>
      </w:r>
      <w:r>
        <w:rPr>
          <w:szCs w:val="22"/>
        </w:rPr>
        <w:t>R</w:t>
      </w:r>
      <w:r w:rsidRPr="00DC68AA">
        <w:rPr>
          <w:szCs w:val="22"/>
        </w:rPr>
        <w:t>ules,</w:t>
      </w:r>
      <w:r>
        <w:rPr>
          <w:szCs w:val="22"/>
          <w:vertAlign w:val="superscript"/>
        </w:rPr>
        <w:footnoteReference w:id="41"/>
      </w:r>
      <w:r w:rsidRPr="00DC68AA">
        <w:rPr>
          <w:szCs w:val="22"/>
        </w:rPr>
        <w:t xml:space="preserve"> the Commission may adopt modified or more stringent </w:t>
      </w:r>
      <w:r w:rsidRPr="00DC68AA">
        <w:rPr>
          <w:i/>
          <w:szCs w:val="22"/>
        </w:rPr>
        <w:t xml:space="preserve">ex </w:t>
      </w:r>
      <w:r w:rsidRPr="00DC68AA">
        <w:rPr>
          <w:i/>
          <w:szCs w:val="22"/>
        </w:rPr>
        <w:t>parte</w:t>
      </w:r>
      <w:r w:rsidRPr="00DC68AA">
        <w:rPr>
          <w:szCs w:val="22"/>
        </w:rPr>
        <w:t xml:space="preserve"> procedures in particular proceedings if </w:t>
      </w:r>
      <w:r w:rsidRPr="00DC68AA">
        <w:rPr>
          <w:szCs w:val="22"/>
        </w:rPr>
        <w:t>the public</w:t>
      </w:r>
      <w:r w:rsidRPr="00DC68AA">
        <w:rPr>
          <w:szCs w:val="22"/>
        </w:rPr>
        <w:t xml:space="preserve"> </w:t>
      </w:r>
      <w:r w:rsidRPr="00DC68AA">
        <w:rPr>
          <w:szCs w:val="22"/>
        </w:rPr>
        <w:t>interest so</w:t>
      </w:r>
      <w:r w:rsidRPr="00DC68AA">
        <w:rPr>
          <w:szCs w:val="22"/>
        </w:rPr>
        <w:t xml:space="preserve"> requires.  We announce that this proceeding will be governed by permit-but-disclose </w:t>
      </w:r>
      <w:r w:rsidRPr="00DC68AA">
        <w:rPr>
          <w:i/>
          <w:szCs w:val="22"/>
        </w:rPr>
        <w:t xml:space="preserve">ex </w:t>
      </w:r>
      <w:r w:rsidRPr="00DC68AA">
        <w:rPr>
          <w:i/>
          <w:szCs w:val="22"/>
        </w:rPr>
        <w:t>parte</w:t>
      </w:r>
      <w:r w:rsidRPr="00DC68AA">
        <w:rPr>
          <w:szCs w:val="22"/>
        </w:rPr>
        <w:t xml:space="preserve"> procedures that are applicable to non-restricted proceedings under </w:t>
      </w:r>
      <w:r>
        <w:rPr>
          <w:szCs w:val="22"/>
        </w:rPr>
        <w:t>s</w:t>
      </w:r>
      <w:r w:rsidRPr="00DC68AA">
        <w:rPr>
          <w:szCs w:val="22"/>
        </w:rPr>
        <w:t xml:space="preserve">ection 1.1206 of the </w:t>
      </w:r>
      <w:r>
        <w:rPr>
          <w:szCs w:val="22"/>
        </w:rPr>
        <w:t>R</w:t>
      </w:r>
      <w:r w:rsidRPr="00DC68AA">
        <w:rPr>
          <w:szCs w:val="22"/>
        </w:rPr>
        <w:t>ules.</w:t>
      </w:r>
      <w:r>
        <w:rPr>
          <w:szCs w:val="22"/>
          <w:vertAlign w:val="superscript"/>
        </w:rPr>
        <w:footnoteReference w:id="42"/>
      </w:r>
    </w:p>
    <w:p w:rsidR="0004384E" w:rsidRPr="0073253C" w:rsidP="00EA1A8C" w14:paraId="63CADC48" w14:textId="77777777">
      <w:pPr>
        <w:widowControl/>
        <w:spacing w:after="120"/>
        <w:ind w:firstLine="720"/>
        <w:rPr>
          <w:szCs w:val="22"/>
        </w:rPr>
      </w:pPr>
      <w:r w:rsidRPr="00DC68AA">
        <w:rPr>
          <w:szCs w:val="22"/>
        </w:rPr>
        <w:t xml:space="preserve">Parties making oral </w:t>
      </w:r>
      <w:r w:rsidRPr="00DC68AA">
        <w:rPr>
          <w:i/>
          <w:szCs w:val="22"/>
        </w:rPr>
        <w:t xml:space="preserve">ex </w:t>
      </w:r>
      <w:r w:rsidRPr="00DC68AA">
        <w:rPr>
          <w:i/>
          <w:szCs w:val="22"/>
        </w:rPr>
        <w:t>parte</w:t>
      </w:r>
      <w:r w:rsidRPr="00DC68AA">
        <w:rPr>
          <w:szCs w:val="22"/>
        </w:rPr>
        <w:t xml:space="preserve"> presentations are directed </w:t>
      </w:r>
      <w:r w:rsidRPr="00DC68AA">
        <w:rPr>
          <w:szCs w:val="22"/>
        </w:rPr>
        <w:t>to</w:t>
      </w:r>
      <w:r w:rsidRPr="00DC68AA">
        <w:rPr>
          <w:szCs w:val="22"/>
        </w:rPr>
        <w:t xml:space="preserve"> the Commission’s </w:t>
      </w:r>
      <w:r w:rsidRPr="00DC68AA">
        <w:rPr>
          <w:i/>
          <w:szCs w:val="22"/>
        </w:rPr>
        <w:t xml:space="preserve">ex </w:t>
      </w:r>
      <w:r w:rsidRPr="00DC68AA">
        <w:rPr>
          <w:i/>
          <w:szCs w:val="22"/>
        </w:rPr>
        <w:t>parte</w:t>
      </w:r>
      <w:r w:rsidRPr="00DC68AA">
        <w:rPr>
          <w:szCs w:val="22"/>
        </w:rPr>
        <w:t xml:space="preserve"> rules.  Parties are reminded that memoranda summarizing the presentation must contain the presentation’s substance </w:t>
      </w:r>
      <w:r w:rsidRPr="0073253C">
        <w:rPr>
          <w:szCs w:val="22"/>
        </w:rPr>
        <w:t>and not merely list the subjects discussed.</w:t>
      </w:r>
      <w:r>
        <w:rPr>
          <w:szCs w:val="22"/>
          <w:vertAlign w:val="superscript"/>
        </w:rPr>
        <w:footnoteReference w:id="43"/>
      </w:r>
      <w:r w:rsidRPr="0073253C">
        <w:rPr>
          <w:szCs w:val="22"/>
        </w:rPr>
        <w:t xml:space="preserve">  More than a one- or two-sentence description of the views and arguments presented is generally required.</w:t>
      </w:r>
      <w:r>
        <w:rPr>
          <w:szCs w:val="22"/>
          <w:vertAlign w:val="superscript"/>
        </w:rPr>
        <w:footnoteReference w:id="44"/>
      </w:r>
      <w:r w:rsidRPr="0073253C">
        <w:rPr>
          <w:szCs w:val="22"/>
        </w:rPr>
        <w:t xml:space="preserve">  Other rules pertaining to oral and written presentations are set forth in section 1.1206(b) as well.</w:t>
      </w:r>
      <w:r>
        <w:rPr>
          <w:szCs w:val="22"/>
          <w:vertAlign w:val="superscript"/>
        </w:rPr>
        <w:footnoteReference w:id="45"/>
      </w:r>
    </w:p>
    <w:p w:rsidR="0004384E" w:rsidRPr="0073253C" w:rsidP="00E64AFE" w14:paraId="38A53030" w14:textId="77777777">
      <w:pPr>
        <w:keepNext/>
        <w:keepLines/>
        <w:autoSpaceDE w:val="0"/>
        <w:autoSpaceDN w:val="0"/>
        <w:adjustRightInd w:val="0"/>
        <w:spacing w:after="120"/>
        <w:rPr>
          <w:b/>
          <w:bCs/>
          <w:color w:val="010101"/>
          <w:szCs w:val="22"/>
        </w:rPr>
      </w:pPr>
      <w:r w:rsidRPr="0073253C">
        <w:rPr>
          <w:b/>
          <w:bCs/>
          <w:color w:val="010101"/>
          <w:szCs w:val="22"/>
        </w:rPr>
        <w:t>GENERAL INFORMATION</w:t>
      </w:r>
    </w:p>
    <w:p w:rsidR="006D180F" w:rsidP="00E64AFE" w14:paraId="2FB971E9" w14:textId="0B577698">
      <w:pPr>
        <w:keepNext/>
        <w:keepLines/>
        <w:widowControl/>
        <w:spacing w:after="120"/>
        <w:ind w:firstLine="720"/>
      </w:pPr>
      <w:r w:rsidRPr="0073253C">
        <w:t xml:space="preserve">The </w:t>
      </w:r>
      <w:r w:rsidR="00F33937">
        <w:t>P</w:t>
      </w:r>
      <w:r w:rsidRPr="0073253C">
        <w:t xml:space="preserve">etition for </w:t>
      </w:r>
      <w:r w:rsidR="00F33937">
        <w:t>D</w:t>
      </w:r>
      <w:r w:rsidRPr="0073253C">
        <w:t xml:space="preserve">eclaratory </w:t>
      </w:r>
      <w:r w:rsidR="00F33937">
        <w:t>R</w:t>
      </w:r>
      <w:r w:rsidRPr="0073253C">
        <w:t xml:space="preserve">uling referred to in this Public Notice has been accepted for filing upon initial review.  </w:t>
      </w:r>
      <w:r w:rsidRPr="0073253C" w:rsidR="00320E4F">
        <w:rPr>
          <w:szCs w:val="18"/>
        </w:rPr>
        <w:t xml:space="preserve">The Commission may require </w:t>
      </w:r>
      <w:r w:rsidRPr="0073253C" w:rsidR="00063995">
        <w:rPr>
          <w:szCs w:val="18"/>
        </w:rPr>
        <w:t>CM Holdco</w:t>
      </w:r>
      <w:r w:rsidRPr="0073253C" w:rsidR="00320E4F">
        <w:rPr>
          <w:szCs w:val="18"/>
        </w:rPr>
        <w:t xml:space="preserve"> to submit any additional documents or statements of fact that in its judgment may be necessary.  </w:t>
      </w:r>
      <w:r w:rsidRPr="0073253C">
        <w:t xml:space="preserve">The Commission </w:t>
      </w:r>
      <w:r w:rsidRPr="0073253C" w:rsidR="00320E4F">
        <w:t xml:space="preserve">also </w:t>
      </w:r>
      <w:r w:rsidRPr="0073253C">
        <w:t xml:space="preserve">reserves the right to return any filing if, upon further </w:t>
      </w:r>
      <w:r w:rsidRPr="0073253C">
        <w:rPr>
          <w:szCs w:val="18"/>
        </w:rPr>
        <w:t>examination</w:t>
      </w:r>
      <w:r w:rsidRPr="0073253C">
        <w:t>, it is determined to be defective and not in conformance with the Commission’s rules</w:t>
      </w:r>
      <w:r w:rsidRPr="00B53F9E">
        <w:t xml:space="preserve"> or policies.  </w:t>
      </w:r>
    </w:p>
    <w:p w:rsidR="00320E4F" w:rsidP="00E64AFE" w14:paraId="150654AD" w14:textId="3A089F49">
      <w:pPr>
        <w:keepNext/>
        <w:keepLines/>
        <w:widowControl/>
        <w:spacing w:after="120"/>
        <w:ind w:firstLine="720"/>
        <w:rPr>
          <w:szCs w:val="18"/>
        </w:rPr>
      </w:pPr>
      <w:r w:rsidRPr="00B53F9E">
        <w:t xml:space="preserve">Interested </w:t>
      </w:r>
      <w:r w:rsidRPr="00B53F9E">
        <w:t>persons</w:t>
      </w:r>
      <w:r w:rsidRPr="00B53F9E">
        <w:t xml:space="preserve"> must file comments no later than </w:t>
      </w:r>
      <w:r w:rsidRPr="00FC2016" w:rsidR="00FC2016">
        <w:rPr>
          <w:b/>
          <w:bCs/>
        </w:rPr>
        <w:t>June 8</w:t>
      </w:r>
      <w:r w:rsidRPr="00063995" w:rsidR="00E44A75">
        <w:rPr>
          <w:b/>
          <w:bCs/>
        </w:rPr>
        <w:t>,</w:t>
      </w:r>
      <w:r w:rsidRPr="004608BA" w:rsidR="00E44A75">
        <w:rPr>
          <w:b/>
          <w:bCs/>
        </w:rPr>
        <w:t xml:space="preserve"> 202</w:t>
      </w:r>
      <w:r w:rsidR="00063995">
        <w:rPr>
          <w:b/>
          <w:bCs/>
        </w:rPr>
        <w:t>6</w:t>
      </w:r>
      <w:r w:rsidRPr="00B53F9E">
        <w:t>.  Replies must be filed no later than</w:t>
      </w:r>
      <w:r>
        <w:t xml:space="preserve"> </w:t>
      </w:r>
      <w:r w:rsidRPr="00FC2016" w:rsidR="00FC2016">
        <w:rPr>
          <w:b/>
          <w:bCs/>
        </w:rPr>
        <w:t>June 23,</w:t>
      </w:r>
      <w:r w:rsidRPr="00FC2016" w:rsidR="00E44A75">
        <w:rPr>
          <w:b/>
          <w:bCs/>
        </w:rPr>
        <w:t xml:space="preserve"> 2</w:t>
      </w:r>
      <w:r w:rsidR="00E44A75">
        <w:rPr>
          <w:b/>
        </w:rPr>
        <w:t>02</w:t>
      </w:r>
      <w:r w:rsidR="00063995">
        <w:rPr>
          <w:b/>
        </w:rPr>
        <w:t>6</w:t>
      </w:r>
      <w:r w:rsidRPr="00B53F9E">
        <w:t>.</w:t>
      </w:r>
      <w:r>
        <w:t xml:space="preserve">  </w:t>
      </w:r>
    </w:p>
    <w:p w:rsidR="0004384E" w:rsidRPr="00B53F9E" w:rsidP="00EA1A8C" w14:paraId="34EA0209" w14:textId="77777777">
      <w:pPr>
        <w:widowControl/>
        <w:spacing w:after="120"/>
        <w:ind w:firstLine="720"/>
        <w:rPr>
          <w:bCs/>
          <w:color w:val="010101"/>
          <w:szCs w:val="22"/>
        </w:rPr>
      </w:pPr>
      <w:r w:rsidRPr="00B53F9E">
        <w:rPr>
          <w:bCs/>
          <w:color w:val="010101"/>
          <w:szCs w:val="22"/>
        </w:rPr>
        <w:t xml:space="preserve">To allow the Commission to </w:t>
      </w:r>
      <w:r>
        <w:rPr>
          <w:bCs/>
          <w:color w:val="010101"/>
          <w:szCs w:val="22"/>
        </w:rPr>
        <w:t xml:space="preserve">fully </w:t>
      </w:r>
      <w:r w:rsidRPr="00B53F9E">
        <w:rPr>
          <w:bCs/>
          <w:color w:val="010101"/>
          <w:szCs w:val="22"/>
        </w:rPr>
        <w:t xml:space="preserve">consider all substantive issues regarding the </w:t>
      </w:r>
      <w:r>
        <w:rPr>
          <w:bCs/>
          <w:color w:val="010101"/>
          <w:szCs w:val="22"/>
        </w:rPr>
        <w:t>Petition</w:t>
      </w:r>
      <w:r w:rsidRPr="00B53F9E">
        <w:rPr>
          <w:bCs/>
          <w:color w:val="010101"/>
          <w:szCs w:val="22"/>
        </w:rPr>
        <w:t xml:space="preserve"> in as timely and efficient a manner as possible, commenters should raise all issues in their initial filings.</w:t>
      </w:r>
      <w:r>
        <w:rPr>
          <w:bCs/>
          <w:color w:val="010101"/>
          <w:szCs w:val="22"/>
        </w:rPr>
        <w:t xml:space="preserve"> </w:t>
      </w:r>
      <w:r w:rsidRPr="00B53F9E">
        <w:rPr>
          <w:bCs/>
          <w:color w:val="010101"/>
          <w:szCs w:val="22"/>
        </w:rPr>
        <w:t xml:space="preserve"> A party or interested person seeking to raise a new issue after the pleading cycle has closed must show good cause why it was not possible for it to have raised the issue previously.</w:t>
      </w:r>
      <w:r>
        <w:rPr>
          <w:bCs/>
          <w:color w:val="010101"/>
          <w:szCs w:val="22"/>
          <w:vertAlign w:val="superscript"/>
        </w:rPr>
        <w:footnoteReference w:id="46"/>
      </w:r>
      <w:r w:rsidRPr="00B53F9E">
        <w:rPr>
          <w:bCs/>
          <w:color w:val="010101"/>
          <w:szCs w:val="22"/>
        </w:rPr>
        <w:t xml:space="preserve">  Submissions after the pleading cycle has closed that seek to raise new issues based on new facts or newly discovered facts should be filed within 15 days after such facts are discovered.  Absent such a showing of good cause, any issues not timely raised may be disregarded by the Commission.</w:t>
      </w:r>
    </w:p>
    <w:p w:rsidR="0004384E" w:rsidRPr="00B53F9E" w:rsidP="00EA1A8C" w14:paraId="5474C5B6" w14:textId="1E3818C8">
      <w:pPr>
        <w:spacing w:after="120"/>
        <w:rPr>
          <w:color w:val="010101"/>
          <w:szCs w:val="22"/>
        </w:rPr>
      </w:pPr>
      <w:r w:rsidRPr="00B53F9E">
        <w:rPr>
          <w:b/>
          <w:bCs/>
          <w:color w:val="010101"/>
          <w:szCs w:val="22"/>
        </w:rPr>
        <w:tab/>
      </w:r>
      <w:r w:rsidRPr="00B53F9E">
        <w:rPr>
          <w:color w:val="010101"/>
          <w:szCs w:val="22"/>
        </w:rPr>
        <w:t xml:space="preserve">All filings concerning matters referenced in this Public Notice should refer </w:t>
      </w:r>
      <w:r w:rsidRPr="007578D4">
        <w:rPr>
          <w:color w:val="010101"/>
          <w:szCs w:val="22"/>
        </w:rPr>
        <w:t>to MB Docket No. 2</w:t>
      </w:r>
      <w:r w:rsidRPr="007578D4" w:rsidR="00377306">
        <w:rPr>
          <w:color w:val="010101"/>
          <w:szCs w:val="22"/>
        </w:rPr>
        <w:t>6</w:t>
      </w:r>
      <w:r w:rsidRPr="007578D4">
        <w:rPr>
          <w:color w:val="010101"/>
          <w:szCs w:val="22"/>
        </w:rPr>
        <w:t>-</w:t>
      </w:r>
      <w:r w:rsidRPr="007578D4" w:rsidR="007578D4">
        <w:rPr>
          <w:color w:val="010101"/>
          <w:szCs w:val="22"/>
        </w:rPr>
        <w:t>109</w:t>
      </w:r>
      <w:r w:rsidRPr="007578D4">
        <w:rPr>
          <w:color w:val="010101"/>
          <w:szCs w:val="22"/>
        </w:rPr>
        <w:t>.</w:t>
      </w:r>
      <w:r w:rsidRPr="00B53F9E">
        <w:rPr>
          <w:color w:val="010101"/>
          <w:szCs w:val="22"/>
        </w:rPr>
        <w:t xml:space="preserve">  </w:t>
      </w:r>
    </w:p>
    <w:p w:rsidR="0004384E" w:rsidRPr="00B53F9E" w:rsidP="00731BD6" w14:paraId="6D1CBD12" w14:textId="745E76F6">
      <w:pPr>
        <w:widowControl/>
        <w:spacing w:after="120"/>
        <w:ind w:firstLine="720"/>
      </w:pPr>
      <w:r w:rsidRPr="00B53F9E">
        <w:t>Submissions in this matter may be filed electronically (</w:t>
      </w:r>
      <w:r w:rsidRPr="00EC74C8">
        <w:rPr>
          <w:iCs/>
        </w:rPr>
        <w:t>i.e.</w:t>
      </w:r>
      <w:r w:rsidRPr="00B53F9E">
        <w:t>, through</w:t>
      </w:r>
      <w:r w:rsidR="00F33937">
        <w:t xml:space="preserve"> the Commission’s Electronic Filing Comment System (</w:t>
      </w:r>
      <w:r w:rsidRPr="00B53F9E">
        <w:t>ECFS)</w:t>
      </w:r>
      <w:r w:rsidR="00F33937">
        <w:t>)</w:t>
      </w:r>
      <w:r w:rsidRPr="00B53F9E">
        <w:t xml:space="preserve"> or by filing paper copi</w:t>
      </w:r>
      <w:r>
        <w:t>es as follows:</w:t>
      </w:r>
    </w:p>
    <w:p w:rsidR="0004384E" w:rsidP="00EA1A8C" w14:paraId="28517191" w14:textId="77777777">
      <w:pPr>
        <w:widowControl/>
        <w:numPr>
          <w:ilvl w:val="0"/>
          <w:numId w:val="7"/>
        </w:numPr>
        <w:autoSpaceDE w:val="0"/>
        <w:autoSpaceDN w:val="0"/>
        <w:adjustRightInd w:val="0"/>
        <w:spacing w:after="120"/>
        <w:ind w:left="1080" w:hanging="360"/>
        <w:rPr>
          <w:color w:val="010101"/>
          <w:szCs w:val="22"/>
        </w:rPr>
      </w:pPr>
      <w:r>
        <w:rPr>
          <w:color w:val="010101"/>
          <w:szCs w:val="22"/>
        </w:rPr>
        <w:t>Electronic</w:t>
      </w:r>
      <w:r w:rsidRPr="003703BC">
        <w:rPr>
          <w:color w:val="010101"/>
          <w:szCs w:val="22"/>
        </w:rPr>
        <w:t xml:space="preserve"> Filers</w:t>
      </w:r>
      <w:r w:rsidRPr="003703BC">
        <w:rPr>
          <w:color w:val="010101"/>
          <w:szCs w:val="22"/>
        </w:rPr>
        <w:t>:  Documents</w:t>
      </w:r>
      <w:r w:rsidRPr="003703BC">
        <w:rPr>
          <w:color w:val="010101"/>
          <w:szCs w:val="22"/>
        </w:rPr>
        <w:t xml:space="preserve"> may be filed electronically using the Internet by accessing the ECFS:  </w:t>
      </w:r>
      <w:hyperlink r:id="rId6" w:history="1">
        <w:r w:rsidRPr="002B1D7B">
          <w:rPr>
            <w:rStyle w:val="Hyperlink"/>
            <w:szCs w:val="22"/>
          </w:rPr>
          <w:t>http://www.fcc.gov/ecfs/</w:t>
        </w:r>
      </w:hyperlink>
      <w:r w:rsidRPr="003703BC">
        <w:rPr>
          <w:color w:val="010101"/>
          <w:szCs w:val="22"/>
        </w:rPr>
        <w:t>.</w:t>
      </w:r>
    </w:p>
    <w:p w:rsidR="00F33937" w:rsidRPr="00F33937" w:rsidP="00F33937" w14:paraId="456C4C03" w14:textId="32013F45">
      <w:pPr>
        <w:widowControl/>
        <w:numPr>
          <w:ilvl w:val="0"/>
          <w:numId w:val="7"/>
        </w:numPr>
        <w:autoSpaceDE w:val="0"/>
        <w:autoSpaceDN w:val="0"/>
        <w:adjustRightInd w:val="0"/>
        <w:spacing w:after="120"/>
        <w:ind w:left="1080" w:hanging="360"/>
        <w:rPr>
          <w:color w:val="010101"/>
          <w:szCs w:val="22"/>
        </w:rPr>
      </w:pPr>
      <w:r>
        <w:rPr>
          <w:color w:val="010101"/>
          <w:szCs w:val="22"/>
        </w:rPr>
        <w:t xml:space="preserve">Paper </w:t>
      </w:r>
      <w:r w:rsidRPr="003703BC">
        <w:rPr>
          <w:color w:val="010101"/>
          <w:szCs w:val="22"/>
        </w:rPr>
        <w:t>Filers</w:t>
      </w:r>
      <w:r w:rsidRPr="003703BC">
        <w:rPr>
          <w:color w:val="010101"/>
          <w:szCs w:val="22"/>
        </w:rPr>
        <w:t xml:space="preserve">:  </w:t>
      </w:r>
      <w:r w:rsidRPr="00C93FAA">
        <w:rPr>
          <w:color w:val="010101"/>
          <w:szCs w:val="22"/>
        </w:rPr>
        <w:t>Parties</w:t>
      </w:r>
      <w:r w:rsidRPr="00C93FAA">
        <w:rPr>
          <w:color w:val="010101"/>
          <w:szCs w:val="22"/>
        </w:rPr>
        <w:t xml:space="preserve"> who choose to file by paper must file an original and one copy of each </w:t>
      </w:r>
      <w:r w:rsidRPr="002F37AE">
        <w:rPr>
          <w:szCs w:val="22"/>
        </w:rPr>
        <w:t xml:space="preserve">filing. </w:t>
      </w:r>
      <w:r w:rsidRPr="002F37AE">
        <w:rPr>
          <w:rFonts w:ascii="Source Sans Pro" w:hAnsi="Source Sans Pro"/>
          <w:sz w:val="25"/>
          <w:szCs w:val="25"/>
          <w:shd w:val="clear" w:color="auto" w:fill="FFFFFF"/>
        </w:rPr>
        <w:t xml:space="preserve"> </w:t>
      </w:r>
      <w:r w:rsidRPr="00F33937" w:rsidR="00BF4ACF">
        <w:rPr>
          <w:snapToGrid/>
          <w:kern w:val="0"/>
          <w:szCs w:val="22"/>
        </w:rPr>
        <w:t xml:space="preserve">Filings can be sent by commercial </w:t>
      </w:r>
      <w:r>
        <w:rPr>
          <w:snapToGrid/>
          <w:kern w:val="0"/>
          <w:szCs w:val="22"/>
        </w:rPr>
        <w:t xml:space="preserve">overnight </w:t>
      </w:r>
      <w:r w:rsidRPr="00F33937" w:rsidR="00BF4ACF">
        <w:rPr>
          <w:snapToGrid/>
          <w:kern w:val="0"/>
          <w:szCs w:val="22"/>
        </w:rPr>
        <w:t xml:space="preserve">courier or by </w:t>
      </w:r>
      <w:r w:rsidRPr="00F33937">
        <w:rPr>
          <w:snapToGrid/>
          <w:kern w:val="0"/>
          <w:szCs w:val="22"/>
        </w:rPr>
        <w:t xml:space="preserve">first-class or overnight </w:t>
      </w:r>
      <w:r w:rsidRPr="00F33937" w:rsidR="00BF4ACF">
        <w:rPr>
          <w:snapToGrid/>
          <w:kern w:val="0"/>
          <w:szCs w:val="22"/>
        </w:rPr>
        <w:t>U.S. Postal Service</w:t>
      </w:r>
      <w:r w:rsidRPr="00F33937">
        <w:rPr>
          <w:snapToGrid/>
          <w:kern w:val="0"/>
          <w:szCs w:val="22"/>
        </w:rPr>
        <w:t xml:space="preserve"> mail</w:t>
      </w:r>
      <w:r w:rsidRPr="00F33937" w:rsidR="00BF4ACF">
        <w:rPr>
          <w:snapToGrid/>
          <w:kern w:val="0"/>
          <w:szCs w:val="22"/>
        </w:rPr>
        <w:t xml:space="preserve">.  </w:t>
      </w:r>
      <w:r w:rsidRPr="00F33937">
        <w:rPr>
          <w:szCs w:val="22"/>
          <w:shd w:val="clear" w:color="auto" w:fill="FFFFFF"/>
        </w:rPr>
        <w:t xml:space="preserve">All filings must be addressed to the </w:t>
      </w:r>
      <w:r w:rsidRPr="00F33937">
        <w:rPr>
          <w:szCs w:val="22"/>
          <w:shd w:val="clear" w:color="auto" w:fill="FFFFFF"/>
        </w:rPr>
        <w:t xml:space="preserve">Commission’s </w:t>
      </w:r>
      <w:r w:rsidRPr="00F33937" w:rsidR="00BF4ACF">
        <w:rPr>
          <w:snapToGrid/>
          <w:kern w:val="0"/>
          <w:szCs w:val="22"/>
        </w:rPr>
        <w:t xml:space="preserve">Secretary, </w:t>
      </w:r>
      <w:r w:rsidRPr="00F33937">
        <w:rPr>
          <w:snapToGrid/>
          <w:kern w:val="0"/>
          <w:szCs w:val="22"/>
        </w:rPr>
        <w:t xml:space="preserve">Office of the Secretary, </w:t>
      </w:r>
      <w:r w:rsidRPr="00F33937" w:rsidR="00BF4ACF">
        <w:rPr>
          <w:snapToGrid/>
          <w:kern w:val="0"/>
          <w:szCs w:val="22"/>
        </w:rPr>
        <w:t>Federal</w:t>
      </w:r>
      <w:r w:rsidRPr="00F33937" w:rsidR="00BF4ACF">
        <w:rPr>
          <w:snapToGrid/>
          <w:kern w:val="0"/>
          <w:szCs w:val="22"/>
        </w:rPr>
        <w:t xml:space="preserve"> Communications Commission.</w:t>
      </w:r>
      <w:r w:rsidRPr="00F33937">
        <w:rPr>
          <w:snapToGrid/>
          <w:kern w:val="0"/>
          <w:szCs w:val="22"/>
        </w:rPr>
        <w:t xml:space="preserve">  Commercial overnight </w:t>
      </w:r>
      <w:r>
        <w:rPr>
          <w:snapToGrid/>
          <w:kern w:val="0"/>
          <w:szCs w:val="22"/>
        </w:rPr>
        <w:t>courier deliveries</w:t>
      </w:r>
      <w:r w:rsidRPr="00F33937">
        <w:rPr>
          <w:snapToGrid/>
          <w:kern w:val="0"/>
          <w:szCs w:val="22"/>
        </w:rPr>
        <w:t xml:space="preserve"> (any deliveries not by the U.S. Postal Service) must be sent to 9050 Junction Drive, Annapolis Junction, MD 20701.  U.S. Postal Service First-Class, Express, and Priority mail must be addressed to 45 L Street, NE, Washington, DC 20554.</w:t>
      </w:r>
    </w:p>
    <w:p w:rsidR="0004384E" w:rsidRPr="00B039CF" w:rsidP="00423749" w14:paraId="1B3C28EC" w14:textId="2FD4D6D7">
      <w:pPr>
        <w:widowControl/>
        <w:spacing w:after="120"/>
        <w:ind w:firstLine="720"/>
      </w:pPr>
      <w:r w:rsidRPr="00B039CF">
        <w:t>One copy of each pleading must be delivered electronically, by e-mail, or if delivered as paper copy, by commercial overnight courier, or by first-class or overnight U.S. Postal Service mail (according to the procedures set forth above for paper filings), to:  (1) </w:t>
      </w:r>
      <w:r>
        <w:t>Albert Shuldiner</w:t>
      </w:r>
      <w:r w:rsidRPr="00B039CF">
        <w:t xml:space="preserve">, Audio Division, Media Bureau, at </w:t>
      </w:r>
      <w:hyperlink r:id="rId7" w:history="1">
        <w:r w:rsidRPr="00935B87">
          <w:rPr>
            <w:rStyle w:val="Hyperlink"/>
            <w:szCs w:val="22"/>
          </w:rPr>
          <w:t>albert.shuldiner@fcc.gov</w:t>
        </w:r>
      </w:hyperlink>
      <w:r w:rsidRPr="00B039CF">
        <w:t>; (2)</w:t>
      </w:r>
      <w:r w:rsidRPr="00625AB8">
        <w:t xml:space="preserve"> Christopher Clark, Audio Division, Media Bureau, at </w:t>
      </w:r>
      <w:hyperlink r:id="rId8" w:history="1">
        <w:r w:rsidRPr="00625AB8">
          <w:rPr>
            <w:rStyle w:val="Hyperlink"/>
            <w:szCs w:val="22"/>
          </w:rPr>
          <w:t>christopher.clark@fcc.gov</w:t>
        </w:r>
      </w:hyperlink>
      <w:r>
        <w:t>; and (3) Brendan Holland,</w:t>
      </w:r>
      <w:r w:rsidRPr="00B039CF">
        <w:t xml:space="preserve"> Audio Division, Media Bureau, at </w:t>
      </w:r>
      <w:hyperlink r:id="rId9" w:history="1">
        <w:r w:rsidRPr="004C3C21">
          <w:rPr>
            <w:rStyle w:val="Hyperlink"/>
            <w:szCs w:val="22"/>
          </w:rPr>
          <w:t>brendan.holland@fcc.gov</w:t>
        </w:r>
      </w:hyperlink>
      <w:r w:rsidRPr="00BF4ACF">
        <w:rPr>
          <w:rStyle w:val="Hyperlink"/>
          <w:szCs w:val="22"/>
          <w:u w:val="none"/>
        </w:rPr>
        <w:t>.</w:t>
      </w:r>
      <w:r w:rsidRPr="00BF4ACF">
        <w:t xml:space="preserve"> </w:t>
      </w:r>
      <w:r w:rsidRPr="00B039CF">
        <w:t xml:space="preserve"> </w:t>
      </w:r>
      <w:r w:rsidRPr="00B039CF">
        <w:rPr>
          <w:spacing w:val="-2"/>
        </w:rPr>
        <w:t xml:space="preserve">Any submission that is e-mailed to </w:t>
      </w:r>
      <w:r>
        <w:rPr>
          <w:spacing w:val="-2"/>
        </w:rPr>
        <w:t>Albert Shuldiner</w:t>
      </w:r>
      <w:r w:rsidRPr="00B039CF">
        <w:rPr>
          <w:spacing w:val="-2"/>
        </w:rPr>
        <w:t xml:space="preserve">, </w:t>
      </w:r>
      <w:r>
        <w:rPr>
          <w:spacing w:val="-2"/>
        </w:rPr>
        <w:t>Christopher Clark, and Brendan Holland</w:t>
      </w:r>
      <w:r w:rsidRPr="00B039CF">
        <w:rPr>
          <w:spacing w:val="-2"/>
        </w:rPr>
        <w:t xml:space="preserve"> should include in the subject line of the e-mail:</w:t>
      </w:r>
      <w:r>
        <w:rPr>
          <w:spacing w:val="-2"/>
        </w:rPr>
        <w:t xml:space="preserve"> </w:t>
      </w:r>
      <w:r w:rsidRPr="00B039CF">
        <w:rPr>
          <w:spacing w:val="-2"/>
        </w:rPr>
        <w:t xml:space="preserve"> (1) MB </w:t>
      </w:r>
      <w:r w:rsidRPr="007578D4">
        <w:t>Docket No. 2</w:t>
      </w:r>
      <w:r w:rsidRPr="007578D4" w:rsidR="0072568D">
        <w:t>6</w:t>
      </w:r>
      <w:r w:rsidRPr="007578D4">
        <w:t>-</w:t>
      </w:r>
      <w:r w:rsidRPr="007578D4" w:rsidR="007578D4">
        <w:t>10</w:t>
      </w:r>
      <w:r w:rsidR="00A72463">
        <w:t>9</w:t>
      </w:r>
      <w:r w:rsidRPr="007578D4">
        <w:t>; (2) the name of the submitting party; and (3) a brief description or title identifying the type of document being submitted (</w:t>
      </w:r>
      <w:r w:rsidRPr="007578D4">
        <w:rPr>
          <w:i/>
        </w:rPr>
        <w:t>e.g</w:t>
      </w:r>
      <w:r w:rsidRPr="007578D4">
        <w:t>., MB Docket No. 2</w:t>
      </w:r>
      <w:r w:rsidRPr="007578D4" w:rsidR="00377306">
        <w:t>6</w:t>
      </w:r>
      <w:r w:rsidRPr="007578D4">
        <w:t xml:space="preserve">- </w:t>
      </w:r>
      <w:r w:rsidRPr="007578D4" w:rsidR="007578D4">
        <w:t>10</w:t>
      </w:r>
      <w:r w:rsidR="00A72463">
        <w:t>9</w:t>
      </w:r>
      <w:r w:rsidRPr="007578D4">
        <w:t>, [name of submitting party], Comments).</w:t>
      </w:r>
    </w:p>
    <w:p w:rsidR="0004384E" w:rsidRPr="00B039CF" w:rsidP="00EA1A8C" w14:paraId="45A01294" w14:textId="77777777">
      <w:pPr>
        <w:spacing w:after="120"/>
        <w:ind w:firstLine="720"/>
        <w:rPr>
          <w:szCs w:val="22"/>
        </w:rPr>
      </w:pPr>
      <w:r w:rsidRPr="00B039CF">
        <w:rPr>
          <w:color w:val="000000"/>
          <w:szCs w:val="22"/>
        </w:rPr>
        <w:t xml:space="preserve">Copies of the Petition </w:t>
      </w:r>
      <w:r>
        <w:rPr>
          <w:color w:val="000000"/>
          <w:szCs w:val="22"/>
        </w:rPr>
        <w:t xml:space="preserve">and </w:t>
      </w:r>
      <w:r w:rsidRPr="00B039CF">
        <w:rPr>
          <w:color w:val="000000"/>
          <w:szCs w:val="22"/>
        </w:rPr>
        <w:t>any subsequently</w:t>
      </w:r>
      <w:r>
        <w:rPr>
          <w:color w:val="000000"/>
          <w:szCs w:val="22"/>
        </w:rPr>
        <w:t xml:space="preserve"> </w:t>
      </w:r>
      <w:r w:rsidRPr="00B039CF">
        <w:rPr>
          <w:color w:val="000000"/>
          <w:szCs w:val="22"/>
        </w:rPr>
        <w:t xml:space="preserve">filed documents in this matter are available </w:t>
      </w:r>
      <w:r w:rsidRPr="00B039CF">
        <w:rPr>
          <w:szCs w:val="22"/>
        </w:rPr>
        <w:t xml:space="preserve">electronically through the </w:t>
      </w:r>
      <w:r>
        <w:rPr>
          <w:szCs w:val="22"/>
        </w:rPr>
        <w:t>Commission’s Electronic Filing Comment System (ECFS)</w:t>
      </w:r>
      <w:r w:rsidRPr="00B039CF">
        <w:rPr>
          <w:szCs w:val="22"/>
        </w:rPr>
        <w:t>, which may be accessed on the Commission’s Internet website.</w:t>
      </w:r>
    </w:p>
    <w:p w:rsidR="0004384E" w:rsidP="008730E3" w14:paraId="6E084E30" w14:textId="77777777">
      <w:pPr>
        <w:widowControl/>
        <w:spacing w:after="120"/>
        <w:ind w:firstLine="720"/>
        <w:rPr>
          <w:szCs w:val="22"/>
        </w:rPr>
      </w:pPr>
      <w:r w:rsidRPr="00B039CF">
        <w:rPr>
          <w:szCs w:val="22"/>
        </w:rPr>
        <w:t xml:space="preserve">To request materials in accessible formats for people with disabilities (Braille, large print, electronic files, audio format), send an email to </w:t>
      </w:r>
      <w:hyperlink r:id="rId10" w:history="1">
        <w:r w:rsidRPr="00AD37AE">
          <w:rPr>
            <w:rStyle w:val="Hyperlink"/>
            <w:szCs w:val="22"/>
          </w:rPr>
          <w:t>fcc504@fcc.gov</w:t>
        </w:r>
      </w:hyperlink>
      <w:r w:rsidRPr="00B039CF">
        <w:rPr>
          <w:szCs w:val="22"/>
        </w:rPr>
        <w:t xml:space="preserve"> or call the Consumer and Governmental Affairs Bureau at (202) 418-0530 (voice).  </w:t>
      </w:r>
    </w:p>
    <w:p w:rsidR="0004384E" w:rsidP="00EA1A8C" w14:paraId="2697CA73" w14:textId="77777777">
      <w:pPr>
        <w:spacing w:after="120"/>
        <w:ind w:firstLine="720"/>
      </w:pPr>
      <w:r w:rsidRPr="00B039CF">
        <w:rPr>
          <w:szCs w:val="22"/>
        </w:rPr>
        <w:t xml:space="preserve">For further information, contact </w:t>
      </w:r>
      <w:r w:rsidRPr="00625AB8">
        <w:rPr>
          <w:szCs w:val="22"/>
        </w:rPr>
        <w:t>Albert Shuldiner, Audio Division, Media Bureau, at</w:t>
      </w:r>
      <w:r w:rsidRPr="00392939">
        <w:rPr>
          <w:szCs w:val="22"/>
        </w:rPr>
        <w:t xml:space="preserve"> </w:t>
      </w:r>
      <w:hyperlink r:id="rId7" w:history="1">
        <w:r w:rsidRPr="002B1D7B">
          <w:rPr>
            <w:rStyle w:val="Hyperlink"/>
            <w:szCs w:val="22"/>
          </w:rPr>
          <w:t>albert.shuldiner@fcc.gov</w:t>
        </w:r>
      </w:hyperlink>
      <w:r>
        <w:rPr>
          <w:szCs w:val="22"/>
        </w:rPr>
        <w:t xml:space="preserve">, </w:t>
      </w:r>
      <w:r w:rsidRPr="00625AB8">
        <w:rPr>
          <w:szCs w:val="22"/>
        </w:rPr>
        <w:t>(202) 418-2726.</w:t>
      </w:r>
      <w:r w:rsidRPr="00B039CF">
        <w:rPr>
          <w:szCs w:val="22"/>
        </w:rPr>
        <w:t xml:space="preserve">  Press inquiries should be directed to </w:t>
      </w:r>
      <w:r>
        <w:rPr>
          <w:szCs w:val="22"/>
        </w:rPr>
        <w:t>Nancy Murphy</w:t>
      </w:r>
      <w:r w:rsidRPr="00B039CF">
        <w:rPr>
          <w:szCs w:val="22"/>
        </w:rPr>
        <w:t xml:space="preserve">, Media Bureau, </w:t>
      </w:r>
      <w:hyperlink r:id="rId11" w:history="1">
        <w:r w:rsidRPr="002B1D7B">
          <w:rPr>
            <w:rStyle w:val="Hyperlink"/>
            <w:szCs w:val="22"/>
          </w:rPr>
          <w:t>nancy.murphy@fcc.gov</w:t>
        </w:r>
      </w:hyperlink>
      <w:r>
        <w:rPr>
          <w:szCs w:val="22"/>
        </w:rPr>
        <w:t xml:space="preserve">, </w:t>
      </w:r>
      <w:r w:rsidRPr="00B039CF">
        <w:rPr>
          <w:szCs w:val="22"/>
        </w:rPr>
        <w:t>(202) 418-</w:t>
      </w:r>
      <w:r>
        <w:rPr>
          <w:szCs w:val="22"/>
        </w:rPr>
        <w:t>1043</w:t>
      </w:r>
      <w:r w:rsidRPr="00B039CF">
        <w:rPr>
          <w:szCs w:val="22"/>
        </w:rPr>
        <w:t>.</w:t>
      </w:r>
      <w:r w:rsidRPr="00392939">
        <w:t xml:space="preserve"> </w:t>
      </w:r>
    </w:p>
    <w:p w:rsidR="0004384E" w:rsidP="00EA1A8C" w14:paraId="7EBF22BB" w14:textId="5FB08DDC">
      <w:pPr>
        <w:spacing w:after="120"/>
        <w:rPr>
          <w:szCs w:val="22"/>
        </w:rPr>
      </w:pPr>
      <w:r w:rsidRPr="00B53F9E">
        <w:rPr>
          <w:szCs w:val="22"/>
        </w:rPr>
        <w:t>By</w:t>
      </w:r>
      <w:r w:rsidRPr="00B53F9E">
        <w:rPr>
          <w:szCs w:val="22"/>
        </w:rPr>
        <w:t>:  Chief</w:t>
      </w:r>
      <w:r w:rsidRPr="00B53F9E">
        <w:rPr>
          <w:szCs w:val="22"/>
        </w:rPr>
        <w:t xml:space="preserve">, </w:t>
      </w:r>
      <w:r w:rsidR="00FC2016">
        <w:rPr>
          <w:szCs w:val="22"/>
        </w:rPr>
        <w:t xml:space="preserve">Audio Division, </w:t>
      </w:r>
      <w:r w:rsidRPr="00B53F9E">
        <w:rPr>
          <w:szCs w:val="22"/>
        </w:rPr>
        <w:t>Media Bureau</w:t>
      </w:r>
    </w:p>
    <w:p w:rsidR="0004384E" w:rsidRPr="004A1151" w:rsidP="0004384E" w14:paraId="046A42C9" w14:textId="77777777"/>
    <w:p w:rsidR="00BA3BA8" w:rsidP="0004384E" w14:paraId="7BEEC49B" w14:textId="0F1A0441">
      <w:pPr>
        <w:jc w:val="center"/>
      </w:pPr>
      <w:r>
        <w:rPr>
          <w:b/>
          <w:sz w:val="24"/>
        </w:rPr>
        <w:t>-FCC-</w:t>
      </w:r>
    </w:p>
    <w:sectPr>
      <w:headerReference w:type="default" r:id="rId12"/>
      <w:footerReference w:type="even" r:id="rId13"/>
      <w:footerReference w:type="default" r:id="rId14"/>
      <w:headerReference w:type="first" r:id="rId15"/>
      <w:footerReference w:type="first" r:id="rId16"/>
      <w:endnotePr>
        <w:numFmt w:val="decimal"/>
      </w:endnotePr>
      <w:pgSz w:w="12240" w:h="15840"/>
      <w:pgMar w:top="1440" w:right="1440" w:bottom="720" w:left="1440" w:header="630" w:footer="720" w:gutter="0"/>
      <w:pgNumType w:start="1"/>
      <w:cols w:space="720"/>
      <w:noEndnote/>
      <w:titlePg/>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Manifest>
    <wne:toolbarData r:id="rId1"/>
  </wne:toolbars>
  <wne:acds>
    <wne:acd wne:argValue="AgBQAGEAcgBhAE4AdQBtAA==&#10;" wne:acdName="acd0" wne:fciIndexBasedOn="0065"/>
    <wne:acd wne:argValue="AQAAAAAA&#10;" wne:acdName="acd1"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B6755" w14:paraId="5E81821A" w14:textId="77777777">
      <w:pPr>
        <w:spacing w:line="20" w:lineRule="exact"/>
      </w:pPr>
    </w:p>
  </w:endnote>
  <w:endnote w:type="continuationSeparator" w:id="1">
    <w:p w:rsidR="007B6755" w14:paraId="3CE52389" w14:textId="77777777">
      <w:r>
        <w:t xml:space="preserve"> </w:t>
      </w:r>
    </w:p>
  </w:endnote>
  <w:endnote w:type="continuationNotice" w:id="2">
    <w:p w:rsidR="007B6755" w14:paraId="0075C0D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ource Sans Pro">
    <w:charset w:val="00"/>
    <w:family w:val="swiss"/>
    <w:pitch w:val="variable"/>
    <w:sig w:usb0="600002F7" w:usb1="02000001" w:usb2="0000000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5F36BA9"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3675F0A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07183C39"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4A2C144"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B6755" w14:paraId="06ED9320" w14:textId="77777777">
      <w:r>
        <w:separator/>
      </w:r>
    </w:p>
  </w:footnote>
  <w:footnote w:type="continuationSeparator" w:id="1">
    <w:p w:rsidR="007B6755" w14:paraId="0A4A1CA8" w14:textId="77777777">
      <w:pPr>
        <w:rPr>
          <w:sz w:val="20"/>
        </w:rPr>
      </w:pPr>
      <w:r>
        <w:rPr>
          <w:sz w:val="20"/>
        </w:rPr>
        <w:t xml:space="preserve">(Continued from previous page)  </w:t>
      </w:r>
      <w:r>
        <w:rPr>
          <w:sz w:val="20"/>
        </w:rPr>
        <w:separator/>
      </w:r>
    </w:p>
  </w:footnote>
  <w:footnote w:type="continuationNotice" w:id="2">
    <w:p w:rsidR="007B6755" w14:paraId="49180534" w14:textId="77777777">
      <w:pPr>
        <w:jc w:val="right"/>
        <w:rPr>
          <w:sz w:val="20"/>
        </w:rPr>
      </w:pPr>
      <w:r>
        <w:rPr>
          <w:sz w:val="20"/>
        </w:rPr>
        <w:t>(</w:t>
      </w:r>
      <w:r>
        <w:rPr>
          <w:sz w:val="20"/>
        </w:rPr>
        <w:t>continued</w:t>
      </w:r>
      <w:r>
        <w:rPr>
          <w:sz w:val="20"/>
        </w:rPr>
        <w:t>….)</w:t>
      </w:r>
    </w:p>
  </w:footnote>
  <w:footnote w:id="3">
    <w:p w:rsidR="0004384E" w:rsidRPr="005376C3" w:rsidP="005376C3" w14:paraId="7421EAB5" w14:textId="095150C3">
      <w:pPr>
        <w:pStyle w:val="FootnoteText"/>
      </w:pPr>
      <w:r w:rsidRPr="005376C3">
        <w:rPr>
          <w:rStyle w:val="FootnoteReference"/>
          <w:sz w:val="20"/>
        </w:rPr>
        <w:footnoteRef/>
      </w:r>
      <w:r w:rsidRPr="005376C3">
        <w:t xml:space="preserve"> Petition for Declaratory Ruling of </w:t>
      </w:r>
      <w:r w:rsidRPr="005376C3" w:rsidR="00936371">
        <w:t>Connoisseur Media Holdco</w:t>
      </w:r>
      <w:r w:rsidRPr="005376C3">
        <w:t>, Inc. (</w:t>
      </w:r>
      <w:r w:rsidR="00046F8F">
        <w:t xml:space="preserve">filed </w:t>
      </w:r>
      <w:r w:rsidRPr="005376C3" w:rsidR="00936371">
        <w:t>Nov. 24</w:t>
      </w:r>
      <w:r w:rsidRPr="005376C3">
        <w:t>, 2025) (</w:t>
      </w:r>
      <w:r w:rsidR="001F147B">
        <w:t xml:space="preserve">Initial </w:t>
      </w:r>
      <w:r w:rsidRPr="005376C3">
        <w:t>Petition)</w:t>
      </w:r>
      <w:r w:rsidR="00046F8F">
        <w:t xml:space="preserve">, </w:t>
      </w:r>
      <w:r w:rsidRPr="001F147B" w:rsidR="00AD238D">
        <w:t>Amended and Restated Petition</w:t>
      </w:r>
      <w:r w:rsidRPr="001F147B" w:rsidR="00046F8F">
        <w:t xml:space="preserve"> for Declaratory Ruling (filed Apr. </w:t>
      </w:r>
      <w:r w:rsidR="001F147B">
        <w:t>29</w:t>
      </w:r>
      <w:r w:rsidRPr="001F147B" w:rsidR="00046F8F">
        <w:t>, 2026) (Amended Petition).</w:t>
      </w:r>
    </w:p>
  </w:footnote>
  <w:footnote w:id="4">
    <w:p w:rsidR="00C17DF7" w:rsidRPr="005376C3" w:rsidP="005376C3" w14:paraId="4DC45C24" w14:textId="28FDEF50">
      <w:pPr>
        <w:pStyle w:val="FootnoteText"/>
      </w:pPr>
      <w:r w:rsidRPr="005376C3">
        <w:rPr>
          <w:rStyle w:val="FootnoteReference"/>
          <w:sz w:val="20"/>
        </w:rPr>
        <w:footnoteRef/>
      </w:r>
      <w:r w:rsidRPr="005376C3">
        <w:t xml:space="preserve"> 47 U.S.C. § 310(b)(4);</w:t>
      </w:r>
      <w:r w:rsidRPr="005376C3">
        <w:rPr>
          <w:i/>
        </w:rPr>
        <w:t xml:space="preserve"> see also Review of Foreign Ownership Policies for Broadcast, Common Carrier, and Aeronautical Radio Licensees Under Section 310(b)(4) of the Communications Act of 1934</w:t>
      </w:r>
      <w:r w:rsidRPr="005376C3">
        <w:t xml:space="preserve">, </w:t>
      </w:r>
      <w:r w:rsidRPr="005376C3">
        <w:rPr>
          <w:i/>
        </w:rPr>
        <w:t>as Amended</w:t>
      </w:r>
      <w:r w:rsidRPr="005376C3">
        <w:t>, GN Docket No. 15-236, Report and Order, 31 FCC Rcd 11272 (2016) (</w:t>
      </w:r>
      <w:r w:rsidRPr="005376C3">
        <w:rPr>
          <w:i/>
          <w:iCs/>
        </w:rPr>
        <w:t>2016 Foreign Ownership R&amp;O</w:t>
      </w:r>
      <w:r w:rsidRPr="005376C3">
        <w:t>)</w:t>
      </w:r>
      <w:r w:rsidRPr="005376C3" w:rsidR="009C4C1D">
        <w:t>;</w:t>
      </w:r>
      <w:r w:rsidRPr="005376C3" w:rsidR="00DB0BC5">
        <w:rPr>
          <w:i/>
          <w:iCs/>
          <w:snapToGrid w:val="0"/>
          <w:kern w:val="28"/>
        </w:rPr>
        <w:t xml:space="preserve"> </w:t>
      </w:r>
      <w:r w:rsidRPr="005376C3" w:rsidR="00DB0BC5">
        <w:rPr>
          <w:i/>
          <w:iCs/>
        </w:rPr>
        <w:t>Review of Foreign Ownership Policies for Broadcast, Common Carrier and Aeronautical Radio Licensees under Section 310(b)(4) of the Communications Act of 1934, as Amended</w:t>
      </w:r>
      <w:r w:rsidRPr="005376C3" w:rsidR="00DB0BC5">
        <w:t>, GN Docket 25-149, Report and Order, FCC 26-3</w:t>
      </w:r>
      <w:r w:rsidR="00844EDC">
        <w:t xml:space="preserve">, </w:t>
      </w:r>
      <w:r w:rsidRPr="00844EDC" w:rsidR="00844EDC">
        <w:t>2026 WL 297818</w:t>
      </w:r>
      <w:r w:rsidRPr="005376C3" w:rsidR="00DB0BC5">
        <w:t xml:space="preserve"> (Jan. 30, 2026)</w:t>
      </w:r>
      <w:r w:rsidRPr="005376C3">
        <w:t>.</w:t>
      </w:r>
    </w:p>
  </w:footnote>
  <w:footnote w:id="5">
    <w:p w:rsidR="00C17DF7" w:rsidRPr="005376C3" w:rsidP="005376C3" w14:paraId="010FAFB7" w14:textId="77777777">
      <w:pPr>
        <w:pStyle w:val="FootnoteText"/>
      </w:pPr>
      <w:r w:rsidRPr="005376C3">
        <w:rPr>
          <w:rStyle w:val="FootnoteReference"/>
          <w:sz w:val="20"/>
        </w:rPr>
        <w:footnoteRef/>
      </w:r>
      <w:r w:rsidRPr="005376C3">
        <w:t xml:space="preserve"> 47 CFR § 1.5000(a)(1); </w:t>
      </w:r>
      <w:r w:rsidRPr="005376C3">
        <w:rPr>
          <w:i/>
          <w:iCs/>
        </w:rPr>
        <w:t>2016 Foreign Ownership R&amp;O</w:t>
      </w:r>
      <w:r w:rsidRPr="005376C3">
        <w:t>, 31 FCC Rcd 11272.</w:t>
      </w:r>
      <w:r w:rsidRPr="005376C3">
        <w:rPr>
          <w:i/>
        </w:rPr>
        <w:t xml:space="preserve"> </w:t>
      </w:r>
    </w:p>
  </w:footnote>
  <w:footnote w:id="6">
    <w:p w:rsidR="00C17DF7" w:rsidRPr="005376C3" w:rsidP="005376C3" w14:paraId="4539CC5F" w14:textId="7074FB45">
      <w:pPr>
        <w:pStyle w:val="FootnoteText"/>
      </w:pPr>
      <w:r w:rsidRPr="005376C3">
        <w:rPr>
          <w:rStyle w:val="FootnoteReference"/>
          <w:sz w:val="20"/>
        </w:rPr>
        <w:footnoteRef/>
      </w:r>
      <w:r w:rsidRPr="005376C3">
        <w:t xml:space="preserve"> </w:t>
      </w:r>
      <w:bookmarkStart w:id="1" w:name="_Hlk12438152"/>
      <w:r w:rsidRPr="005376C3">
        <w:t>47 U.S.C. § 310(b)(4)</w:t>
      </w:r>
      <w:bookmarkEnd w:id="1"/>
      <w:r w:rsidRPr="005376C3">
        <w:t xml:space="preserve"> (“No broadcast station or common carrier or aeronautical </w:t>
      </w:r>
      <w:r w:rsidRPr="005376C3">
        <w:t>en</w:t>
      </w:r>
      <w:r w:rsidRPr="005376C3">
        <w:t xml:space="preserve"> route or aeronautical fixed radio station license shall be granted to or held by . . . any corporation directly or indirectly controlled by any other corporation of which more than one-fourth of the capital stock is owned of record or voted by aliens, their representatives, or by a foreign government or representative thereof, or by any corporation organized under the laws of a foreign country, if the Commission finds that the public interest will be served by the refusal or revocation of such license.”).  </w:t>
      </w:r>
    </w:p>
  </w:footnote>
  <w:footnote w:id="7">
    <w:p w:rsidR="00445BA8" w:rsidRPr="00FA5397" w:rsidP="005376C3" w14:paraId="050A67B9" w14:textId="382859C9">
      <w:pPr>
        <w:pStyle w:val="FootnoteText"/>
      </w:pPr>
      <w:r w:rsidRPr="005376C3">
        <w:rPr>
          <w:rStyle w:val="FootnoteReference"/>
          <w:sz w:val="20"/>
        </w:rPr>
        <w:footnoteRef/>
      </w:r>
      <w:r w:rsidRPr="005376C3">
        <w:t xml:space="preserve"> </w:t>
      </w:r>
      <w:r w:rsidRPr="00FA5397">
        <w:t>Under section 1.5001(</w:t>
      </w:r>
      <w:r w:rsidRPr="00FA5397">
        <w:t>i</w:t>
      </w:r>
      <w:r w:rsidRPr="00FA5397">
        <w:t>)(1) of the Commission’s rules, petitions for a declaratory ruling are required to identify and seek specific approval for any foreign individual, entity, or group that holds or would hold, directly and/or indirectly, more than 5% of equity and/or voting interests, or a controlling interest, in the licensee’s controlling U.S. parent, subject to certain exemptions, including an exemption that increases the specific approval threshold to 10% for certain institutional investors.  47 CFR § 1.5001(</w:t>
      </w:r>
      <w:r w:rsidRPr="00FA5397">
        <w:t>i</w:t>
      </w:r>
      <w:r w:rsidRPr="00FA5397">
        <w:t xml:space="preserve">)(1).  </w:t>
      </w:r>
      <w:r w:rsidRPr="00FA5397">
        <w:t>Additionally, section 1.5001(</w:t>
      </w:r>
      <w:r w:rsidRPr="00FA5397">
        <w:t>i</w:t>
      </w:r>
      <w:r w:rsidRPr="00FA5397">
        <w:t>)(4) of the Rules permits petitioners to “request specific approval for any other foreign individual or entity that holds, or would hold, a direct and/or indirect equity and/or voting interest in the controlling U.S. parent.”  47 CFR § 1.5001(</w:t>
      </w:r>
      <w:r w:rsidRPr="00FA5397">
        <w:t>i</w:t>
      </w:r>
      <w:r w:rsidRPr="00FA5397">
        <w:t xml:space="preserve">)(4). </w:t>
      </w:r>
    </w:p>
  </w:footnote>
  <w:footnote w:id="8">
    <w:p w:rsidR="00141B17" w:rsidRPr="00FA5397" w:rsidP="005376C3" w14:paraId="7E6A56D1" w14:textId="42DD5B34">
      <w:pPr>
        <w:pStyle w:val="FootnoteText"/>
      </w:pPr>
      <w:r w:rsidRPr="00FA5397">
        <w:rPr>
          <w:rStyle w:val="FootnoteReference"/>
          <w:sz w:val="20"/>
        </w:rPr>
        <w:footnoteRef/>
      </w:r>
      <w:r w:rsidRPr="00FA5397" w:rsidR="00044F15">
        <w:t xml:space="preserve"> CM Holdco is a Delaware corporation.</w:t>
      </w:r>
      <w:r w:rsidRPr="00FA5397">
        <w:t xml:space="preserve"> </w:t>
      </w:r>
      <w:r w:rsidRPr="00FA5397" w:rsidR="00044F15">
        <w:t xml:space="preserve"> </w:t>
      </w:r>
      <w:r w:rsidRPr="00FA5397" w:rsidR="00653915">
        <w:t xml:space="preserve">Through its wholly owned subsidiaries, CM Holdco </w:t>
      </w:r>
      <w:r w:rsidRPr="00FA5397">
        <w:t xml:space="preserve">owns </w:t>
      </w:r>
      <w:r w:rsidRPr="00FA5397" w:rsidR="009345A5">
        <w:t xml:space="preserve">over </w:t>
      </w:r>
      <w:r w:rsidR="0061019C">
        <w:t>175</w:t>
      </w:r>
      <w:r w:rsidRPr="00FA5397" w:rsidR="00653915">
        <w:t xml:space="preserve"> </w:t>
      </w:r>
      <w:r w:rsidRPr="00FA5397">
        <w:t>full power radio stations</w:t>
      </w:r>
      <w:r w:rsidRPr="00FA5397" w:rsidR="00653915">
        <w:t xml:space="preserve"> operating in markets </w:t>
      </w:r>
      <w:r w:rsidR="00552B17">
        <w:t>across</w:t>
      </w:r>
      <w:r w:rsidRPr="00FA5397" w:rsidR="00653915">
        <w:t xml:space="preserve"> the country</w:t>
      </w:r>
      <w:r w:rsidRPr="00FA5397">
        <w:t xml:space="preserve">.  </w:t>
      </w:r>
      <w:r w:rsidR="009A1925">
        <w:rPr>
          <w:szCs w:val="18"/>
        </w:rPr>
        <w:t xml:space="preserve">Amended </w:t>
      </w:r>
      <w:r w:rsidRPr="00FA5397" w:rsidR="00AF4C02">
        <w:rPr>
          <w:iCs/>
        </w:rPr>
        <w:t>Petition at</w:t>
      </w:r>
      <w:r w:rsidRPr="00FA5397" w:rsidR="00653915">
        <w:rPr>
          <w:iCs/>
        </w:rPr>
        <w:t xml:space="preserve"> 2-3, Attach</w:t>
      </w:r>
      <w:r w:rsidRPr="00FA5397" w:rsidR="00B97BDE">
        <w:rPr>
          <w:iCs/>
        </w:rPr>
        <w:t xml:space="preserve">. </w:t>
      </w:r>
      <w:r w:rsidR="0061019C">
        <w:rPr>
          <w:iCs/>
        </w:rPr>
        <w:t>A</w:t>
      </w:r>
      <w:r w:rsidRPr="00FA5397" w:rsidR="00653915">
        <w:rPr>
          <w:iCs/>
        </w:rPr>
        <w:t xml:space="preserve">.  </w:t>
      </w:r>
      <w:r w:rsidRPr="00FA5397" w:rsidR="007E6C18">
        <w:rPr>
          <w:iCs/>
        </w:rPr>
        <w:t>CM Holdco, in turn, is owned and controlled by a succession of parent companies ultimately controlled</w:t>
      </w:r>
      <w:r w:rsidRPr="00FA5397" w:rsidR="00E659D5">
        <w:rPr>
          <w:iCs/>
        </w:rPr>
        <w:t xml:space="preserve"> </w:t>
      </w:r>
      <w:r w:rsidRPr="00FA5397" w:rsidR="007E6C18">
        <w:rPr>
          <w:iCs/>
        </w:rPr>
        <w:t>by Jeffrey D. Warshaw, a U.S. citizen</w:t>
      </w:r>
      <w:r w:rsidRPr="00FA5397" w:rsidR="00FD763C">
        <w:rPr>
          <w:iCs/>
        </w:rPr>
        <w:t xml:space="preserve">, who holds 100% </w:t>
      </w:r>
      <w:r w:rsidRPr="00FA5397" w:rsidR="00FA5397">
        <w:rPr>
          <w:iCs/>
        </w:rPr>
        <w:t>of the voting interest</w:t>
      </w:r>
      <w:r w:rsidRPr="00FA5397" w:rsidR="007E6C18">
        <w:rPr>
          <w:iCs/>
        </w:rPr>
        <w:t xml:space="preserve">.  </w:t>
      </w:r>
      <w:r w:rsidRPr="00FA5397" w:rsidR="003F4FE5">
        <w:rPr>
          <w:i/>
        </w:rPr>
        <w:t>See</w:t>
      </w:r>
      <w:r w:rsidRPr="00FA5397" w:rsidR="003F4FE5">
        <w:rPr>
          <w:iCs/>
        </w:rPr>
        <w:t xml:space="preserve"> </w:t>
      </w:r>
      <w:r w:rsidRPr="00011352" w:rsidR="00011352">
        <w:rPr>
          <w:i/>
          <w:iCs/>
          <w:szCs w:val="18"/>
        </w:rPr>
        <w:t>Id</w:t>
      </w:r>
      <w:r w:rsidR="00011352">
        <w:rPr>
          <w:szCs w:val="18"/>
        </w:rPr>
        <w:t>.</w:t>
      </w:r>
      <w:r w:rsidRPr="00CD3075" w:rsidR="003F4FE5">
        <w:rPr>
          <w:iCs/>
        </w:rPr>
        <w:t xml:space="preserve"> at </w:t>
      </w:r>
      <w:r w:rsidRPr="00CD3075" w:rsidR="003F4FE5">
        <w:rPr>
          <w:iCs/>
        </w:rPr>
        <w:t>Attachs</w:t>
      </w:r>
      <w:r w:rsidRPr="00CD3075" w:rsidR="00B97BDE">
        <w:rPr>
          <w:iCs/>
        </w:rPr>
        <w:t>.</w:t>
      </w:r>
      <w:r w:rsidRPr="00CD3075" w:rsidR="003F4FE5">
        <w:rPr>
          <w:iCs/>
        </w:rPr>
        <w:t xml:space="preserve"> B</w:t>
      </w:r>
      <w:r w:rsidR="00A03E28">
        <w:rPr>
          <w:iCs/>
        </w:rPr>
        <w:t>,</w:t>
      </w:r>
      <w:r w:rsidRPr="00CD3075" w:rsidR="00C37833">
        <w:rPr>
          <w:iCs/>
        </w:rPr>
        <w:t xml:space="preserve"> </w:t>
      </w:r>
      <w:r w:rsidRPr="00CD3075" w:rsidR="003F4FE5">
        <w:rPr>
          <w:iCs/>
        </w:rPr>
        <w:t xml:space="preserve">D.  </w:t>
      </w:r>
      <w:r w:rsidRPr="00CD3075" w:rsidR="007E6C18">
        <w:rPr>
          <w:iCs/>
        </w:rPr>
        <w:t>C</w:t>
      </w:r>
      <w:r w:rsidRPr="00FA5397" w:rsidR="007E6C18">
        <w:rPr>
          <w:iCs/>
        </w:rPr>
        <w:t xml:space="preserve">ollectively, </w:t>
      </w:r>
      <w:r w:rsidRPr="00FA5397" w:rsidR="00FA5397">
        <w:rPr>
          <w:iCs/>
        </w:rPr>
        <w:t xml:space="preserve">CM Holdco, </w:t>
      </w:r>
      <w:r w:rsidRPr="00FA5397" w:rsidR="007E6C18">
        <w:rPr>
          <w:iCs/>
        </w:rPr>
        <w:t xml:space="preserve">the parent companies, and </w:t>
      </w:r>
      <w:r w:rsidRPr="00FA5397" w:rsidR="00FA5397">
        <w:rPr>
          <w:iCs/>
        </w:rPr>
        <w:t>the</w:t>
      </w:r>
      <w:r w:rsidRPr="00FA5397" w:rsidR="007E6C18">
        <w:rPr>
          <w:iCs/>
        </w:rPr>
        <w:t xml:space="preserve"> wholly owned license subsidiaries </w:t>
      </w:r>
      <w:r w:rsidR="00CD6DC8">
        <w:rPr>
          <w:iCs/>
        </w:rPr>
        <w:t>are</w:t>
      </w:r>
      <w:r w:rsidRPr="00FA5397" w:rsidR="007E6C18">
        <w:rPr>
          <w:iCs/>
        </w:rPr>
        <w:t xml:space="preserve"> referred to </w:t>
      </w:r>
      <w:r w:rsidRPr="00FA5397" w:rsidR="003F4FE5">
        <w:rPr>
          <w:iCs/>
        </w:rPr>
        <w:t xml:space="preserve">herein </w:t>
      </w:r>
      <w:r w:rsidRPr="00FA5397" w:rsidR="007E6C18">
        <w:rPr>
          <w:iCs/>
        </w:rPr>
        <w:t xml:space="preserve">as </w:t>
      </w:r>
      <w:r w:rsidRPr="00FA5397" w:rsidR="00D211B3">
        <w:rPr>
          <w:iCs/>
        </w:rPr>
        <w:t>“</w:t>
      </w:r>
      <w:r w:rsidRPr="00FA5397" w:rsidR="007E6C18">
        <w:rPr>
          <w:iCs/>
        </w:rPr>
        <w:t>Connoisseur Media.</w:t>
      </w:r>
      <w:r w:rsidRPr="00FA5397" w:rsidR="00D211B3">
        <w:rPr>
          <w:iCs/>
        </w:rPr>
        <w:t xml:space="preserve">”  </w:t>
      </w:r>
    </w:p>
  </w:footnote>
  <w:footnote w:id="9">
    <w:p w:rsidR="00B137BC" w14:paraId="5E9678D8" w14:textId="0B705129">
      <w:pPr>
        <w:pStyle w:val="FootnoteText"/>
      </w:pPr>
      <w:r>
        <w:rPr>
          <w:rStyle w:val="FootnoteReference"/>
        </w:rPr>
        <w:footnoteRef/>
      </w:r>
      <w:r>
        <w:t xml:space="preserve"> </w:t>
      </w:r>
      <w:r w:rsidR="009A1925">
        <w:rPr>
          <w:szCs w:val="18"/>
        </w:rPr>
        <w:t xml:space="preserve">Amended </w:t>
      </w:r>
      <w:r>
        <w:t xml:space="preserve">Petition at </w:t>
      </w:r>
      <w:r w:rsidR="00CD3075">
        <w:t>Attach. C</w:t>
      </w:r>
      <w:r>
        <w:t>.</w:t>
      </w:r>
    </w:p>
  </w:footnote>
  <w:footnote w:id="10">
    <w:p w:rsidR="003F5474" w14:paraId="3CC98FF0" w14:textId="7AE3676A">
      <w:pPr>
        <w:pStyle w:val="FootnoteText"/>
      </w:pPr>
      <w:r>
        <w:rPr>
          <w:rStyle w:val="FootnoteReference"/>
        </w:rPr>
        <w:footnoteRef/>
      </w:r>
      <w:r>
        <w:t xml:space="preserve"> </w:t>
      </w:r>
      <w:r w:rsidRPr="003F5474">
        <w:t>The description of the transaction, terminology, and entity names used herein are consistent with the information provided in the Amended Petition.</w:t>
      </w:r>
      <w:r>
        <w:t xml:space="preserve">  </w:t>
      </w:r>
      <w:r w:rsidRPr="003F5474">
        <w:t xml:space="preserve">For </w:t>
      </w:r>
      <w:r w:rsidR="001B7689">
        <w:t xml:space="preserve">a </w:t>
      </w:r>
      <w:r w:rsidRPr="003F5474">
        <w:t xml:space="preserve">detailed </w:t>
      </w:r>
      <w:r w:rsidR="001B7689">
        <w:t>description of the</w:t>
      </w:r>
      <w:r w:rsidRPr="003F5474">
        <w:t xml:space="preserve"> ownership structure of CM Holdco, see Attachment D, Post-Declaratory Ruling Ownership and Control Structure.  </w:t>
      </w:r>
      <w:r w:rsidRPr="003F5474">
        <w:rPr>
          <w:i/>
          <w:iCs/>
        </w:rPr>
        <w:t>Id</w:t>
      </w:r>
      <w:r w:rsidRPr="003F5474">
        <w:t xml:space="preserve">. at Attach. D.  </w:t>
      </w:r>
    </w:p>
  </w:footnote>
  <w:footnote w:id="11">
    <w:p w:rsidR="00C91EFB" w:rsidRPr="00CB5C0F" w:rsidP="00C91EFB" w14:paraId="151B9C49" w14:textId="3194A8A6">
      <w:pPr>
        <w:pStyle w:val="FootnoteText"/>
      </w:pPr>
      <w:r w:rsidRPr="00FA5397">
        <w:rPr>
          <w:rStyle w:val="FootnoteReference"/>
          <w:sz w:val="20"/>
        </w:rPr>
        <w:footnoteRef/>
      </w:r>
      <w:r w:rsidRPr="00FA5397">
        <w:t xml:space="preserve"> </w:t>
      </w:r>
      <w:r>
        <w:rPr>
          <w:szCs w:val="18"/>
        </w:rPr>
        <w:t xml:space="preserve">The existing interest holders that are the subject of these transactions currently hold only indirect, minority equity interests in CM Holdco.  They hold no voting or controlling interests in CM Holdco, nor will they after any increase in equity ownership resulting from the transactions described </w:t>
      </w:r>
      <w:r w:rsidR="00F019F4">
        <w:rPr>
          <w:szCs w:val="18"/>
        </w:rPr>
        <w:t>herein</w:t>
      </w:r>
      <w:r>
        <w:rPr>
          <w:szCs w:val="18"/>
        </w:rPr>
        <w:t xml:space="preserve">.  Further, nearly all of the minority interest holders that are the subject of this </w:t>
      </w:r>
      <w:r w:rsidR="00011352">
        <w:rPr>
          <w:szCs w:val="18"/>
        </w:rPr>
        <w:t xml:space="preserve">Amended </w:t>
      </w:r>
      <w:r>
        <w:rPr>
          <w:szCs w:val="18"/>
        </w:rPr>
        <w:t xml:space="preserve">Petition are insulated consistent with the Commission’s broadcast attribution </w:t>
      </w:r>
      <w:r w:rsidRPr="00CB5C0F">
        <w:rPr>
          <w:szCs w:val="18"/>
        </w:rPr>
        <w:t xml:space="preserve">rules and, thus, are non-attributable for media ownership purposes.  </w:t>
      </w:r>
      <w:r w:rsidRPr="0072568D" w:rsidR="0072568D">
        <w:rPr>
          <w:i/>
          <w:iCs/>
          <w:szCs w:val="18"/>
        </w:rPr>
        <w:t>Id</w:t>
      </w:r>
      <w:r w:rsidR="0072568D">
        <w:rPr>
          <w:szCs w:val="18"/>
        </w:rPr>
        <w:t>.</w:t>
      </w:r>
      <w:r w:rsidRPr="00CB5C0F">
        <w:t xml:space="preserve"> at 4</w:t>
      </w:r>
      <w:r w:rsidRPr="00CB5C0F" w:rsidR="00CD3075">
        <w:t>-5</w:t>
      </w:r>
      <w:r w:rsidR="00A03E28">
        <w:t>,</w:t>
      </w:r>
      <w:r w:rsidRPr="00CB5C0F" w:rsidR="00CD3075">
        <w:t xml:space="preserve"> Attach. D</w:t>
      </w:r>
      <w:r w:rsidRPr="00CB5C0F">
        <w:t xml:space="preserve">.  </w:t>
      </w:r>
    </w:p>
  </w:footnote>
  <w:footnote w:id="12">
    <w:p w:rsidR="007E63FE" w14:paraId="514F3865" w14:textId="5E93498F">
      <w:pPr>
        <w:pStyle w:val="FootnoteText"/>
      </w:pPr>
      <w:r w:rsidRPr="00CB5C0F">
        <w:rPr>
          <w:rStyle w:val="FootnoteReference"/>
        </w:rPr>
        <w:footnoteRef/>
      </w:r>
      <w:r w:rsidRPr="00CB5C0F">
        <w:t xml:space="preserve"> </w:t>
      </w:r>
      <w:r w:rsidRPr="0072568D" w:rsidR="0072568D">
        <w:rPr>
          <w:i/>
          <w:iCs/>
        </w:rPr>
        <w:t>Id</w:t>
      </w:r>
      <w:r w:rsidR="0072568D">
        <w:t>.</w:t>
      </w:r>
      <w:r w:rsidRPr="00CB5C0F" w:rsidR="00CB5C0F">
        <w:t xml:space="preserve"> at 4.  </w:t>
      </w:r>
      <w:r w:rsidRPr="00CB5C0F">
        <w:rPr>
          <w:szCs w:val="22"/>
          <w:shd w:val="clear" w:color="auto" w:fill="FFFFFF"/>
        </w:rPr>
        <w:t xml:space="preserve">Connoisseur Cos indirectly holds </w:t>
      </w:r>
      <w:r w:rsidRPr="00CB5C0F" w:rsidR="008059F9">
        <w:rPr>
          <w:szCs w:val="22"/>
          <w:shd w:val="clear" w:color="auto" w:fill="FFFFFF"/>
        </w:rPr>
        <w:t xml:space="preserve">91.25% of the equity and </w:t>
      </w:r>
      <w:r w:rsidRPr="00CB5C0F">
        <w:rPr>
          <w:szCs w:val="22"/>
          <w:shd w:val="clear" w:color="auto" w:fill="FFFFFF"/>
        </w:rPr>
        <w:t xml:space="preserve">100% of the voting </w:t>
      </w:r>
      <w:r w:rsidRPr="00CB5C0F" w:rsidR="00F019F4">
        <w:rPr>
          <w:szCs w:val="22"/>
          <w:shd w:val="clear" w:color="auto" w:fill="FFFFFF"/>
        </w:rPr>
        <w:t xml:space="preserve">interests </w:t>
      </w:r>
      <w:r w:rsidRPr="00CB5C0F">
        <w:rPr>
          <w:szCs w:val="22"/>
          <w:shd w:val="clear" w:color="auto" w:fill="FFFFFF"/>
        </w:rPr>
        <w:t>of CM Holdco.</w:t>
      </w:r>
    </w:p>
  </w:footnote>
  <w:footnote w:id="13">
    <w:p w:rsidR="007E63FE" w:rsidRPr="00CD3075" w:rsidP="007E63FE" w14:paraId="15915BDA" w14:textId="5C927BD3">
      <w:pPr>
        <w:pStyle w:val="FootnoteText"/>
      </w:pPr>
      <w:r w:rsidRPr="00FA5397">
        <w:rPr>
          <w:rStyle w:val="FootnoteReference"/>
          <w:sz w:val="20"/>
        </w:rPr>
        <w:footnoteRef/>
      </w:r>
      <w:r w:rsidRPr="00FA5397">
        <w:t xml:space="preserve"> Falcon CM is an insulated member of Connoisseur Cos and</w:t>
      </w:r>
      <w:r w:rsidR="00F019F4">
        <w:t>,</w:t>
      </w:r>
      <w:r w:rsidRPr="00FA5397">
        <w:t xml:space="preserve"> thus</w:t>
      </w:r>
      <w:r w:rsidR="00F019F4">
        <w:t>,</w:t>
      </w:r>
      <w:r w:rsidRPr="00FA5397">
        <w:t xml:space="preserve"> not attributable under the Commission’s media ownership rules.  </w:t>
      </w:r>
      <w:r w:rsidRPr="00011352" w:rsidR="00011352">
        <w:rPr>
          <w:i/>
          <w:iCs/>
          <w:szCs w:val="18"/>
        </w:rPr>
        <w:t>Id</w:t>
      </w:r>
      <w:r w:rsidRPr="00011352" w:rsidR="00011352">
        <w:rPr>
          <w:szCs w:val="18"/>
        </w:rPr>
        <w:t xml:space="preserve">. </w:t>
      </w:r>
      <w:r w:rsidR="00011352">
        <w:rPr>
          <w:szCs w:val="18"/>
        </w:rPr>
        <w:t xml:space="preserve"> </w:t>
      </w:r>
      <w:r w:rsidR="00B137BC">
        <w:t>B</w:t>
      </w:r>
      <w:r w:rsidRPr="00FA5397">
        <w:t xml:space="preserve">oth before and after the potential Falcon Notes Conversion, Falcon CM will hold only an indirect, non-attributable equity interest in CM Holdco and the broadcast licenses it controls.  </w:t>
      </w:r>
      <w:r w:rsidRPr="0072568D" w:rsidR="0072568D">
        <w:rPr>
          <w:i/>
          <w:iCs/>
          <w:szCs w:val="18"/>
        </w:rPr>
        <w:t>Id</w:t>
      </w:r>
      <w:r w:rsidR="0072568D">
        <w:rPr>
          <w:szCs w:val="18"/>
        </w:rPr>
        <w:t>.</w:t>
      </w:r>
      <w:r w:rsidRPr="00CD3075">
        <w:t xml:space="preserve"> at 3-5</w:t>
      </w:r>
      <w:r w:rsidR="00A03E28">
        <w:t>,</w:t>
      </w:r>
      <w:r w:rsidRPr="00CD3075">
        <w:t xml:space="preserve"> Attach. D.  </w:t>
      </w:r>
    </w:p>
  </w:footnote>
  <w:footnote w:id="14">
    <w:p w:rsidR="0095060A" w:rsidRPr="00FA5397" w:rsidP="005376C3" w14:paraId="426EDCC6" w14:textId="5DD8B60E">
      <w:pPr>
        <w:pStyle w:val="FootnoteText"/>
      </w:pPr>
      <w:r w:rsidRPr="00CD3075">
        <w:rPr>
          <w:rStyle w:val="FootnoteReference"/>
          <w:sz w:val="20"/>
        </w:rPr>
        <w:footnoteRef/>
      </w:r>
      <w:r w:rsidRPr="00CD3075">
        <w:t xml:space="preserve"> </w:t>
      </w:r>
      <w:r w:rsidRPr="00CD3075" w:rsidR="00CD3075">
        <w:rPr>
          <w:i/>
          <w:iCs/>
          <w:szCs w:val="18"/>
        </w:rPr>
        <w:t>Id</w:t>
      </w:r>
      <w:r w:rsidRPr="00FA5397">
        <w:t>.</w:t>
      </w:r>
    </w:p>
  </w:footnote>
  <w:footnote w:id="15">
    <w:p w:rsidR="007E63FE" w14:paraId="1BE4E4BA" w14:textId="270160A8">
      <w:pPr>
        <w:pStyle w:val="FootnoteText"/>
      </w:pPr>
      <w:r>
        <w:rPr>
          <w:rStyle w:val="FootnoteReference"/>
        </w:rPr>
        <w:footnoteRef/>
      </w:r>
      <w:r>
        <w:t xml:space="preserve"> </w:t>
      </w:r>
      <w:r w:rsidRPr="0072568D" w:rsidR="0072568D">
        <w:rPr>
          <w:i/>
          <w:iCs/>
          <w:szCs w:val="18"/>
        </w:rPr>
        <w:t>Id</w:t>
      </w:r>
      <w:r w:rsidR="0072568D">
        <w:rPr>
          <w:szCs w:val="18"/>
        </w:rPr>
        <w:t>.</w:t>
      </w:r>
      <w:r>
        <w:t xml:space="preserve"> at </w:t>
      </w:r>
      <w:r w:rsidRPr="00CB5C0F">
        <w:t>Attach</w:t>
      </w:r>
      <w:r w:rsidRPr="00CB5C0F" w:rsidR="00B137BC">
        <w:t>s</w:t>
      </w:r>
      <w:r w:rsidRPr="00CB5C0F">
        <w:t xml:space="preserve">. B-5, </w:t>
      </w:r>
      <w:r w:rsidR="00A03E28">
        <w:t>n</w:t>
      </w:r>
      <w:r w:rsidRPr="00CB5C0F">
        <w:t xml:space="preserve">ote </w:t>
      </w:r>
      <w:r w:rsidR="00011352">
        <w:t>3</w:t>
      </w:r>
      <w:r w:rsidR="00A03E28">
        <w:t>,</w:t>
      </w:r>
      <w:r w:rsidRPr="00CB5C0F">
        <w:t xml:space="preserve"> D-1.</w:t>
      </w:r>
      <w:r>
        <w:t xml:space="preserve">  </w:t>
      </w:r>
      <w:r>
        <w:rPr>
          <w:szCs w:val="22"/>
          <w:shd w:val="clear" w:color="auto" w:fill="FFFFFF"/>
        </w:rPr>
        <w:t>By extension, this increase in equity interest in Connoisseur Cos would increase Falcon CM’s indirect equity interest in CM Holdco to between 39</w:t>
      </w:r>
      <w:r w:rsidR="0060181F">
        <w:rPr>
          <w:szCs w:val="22"/>
          <w:shd w:val="clear" w:color="auto" w:fill="FFFFFF"/>
        </w:rPr>
        <w:t>.12</w:t>
      </w:r>
      <w:r>
        <w:rPr>
          <w:szCs w:val="22"/>
          <w:shd w:val="clear" w:color="auto" w:fill="FFFFFF"/>
        </w:rPr>
        <w:t>% and 4</w:t>
      </w:r>
      <w:r w:rsidR="0060181F">
        <w:rPr>
          <w:szCs w:val="22"/>
          <w:shd w:val="clear" w:color="auto" w:fill="FFFFFF"/>
        </w:rPr>
        <w:t>3.34</w:t>
      </w:r>
      <w:r>
        <w:rPr>
          <w:szCs w:val="22"/>
          <w:shd w:val="clear" w:color="auto" w:fill="FFFFFF"/>
        </w:rPr>
        <w:t xml:space="preserve">%, depending on other factors.  </w:t>
      </w:r>
      <w:r w:rsidRPr="0060181F" w:rsidR="0060181F">
        <w:rPr>
          <w:i/>
          <w:iCs/>
          <w:szCs w:val="22"/>
          <w:shd w:val="clear" w:color="auto" w:fill="FFFFFF"/>
        </w:rPr>
        <w:t>Id</w:t>
      </w:r>
      <w:r w:rsidR="0060181F">
        <w:rPr>
          <w:szCs w:val="22"/>
          <w:shd w:val="clear" w:color="auto" w:fill="FFFFFF"/>
        </w:rPr>
        <w:t xml:space="preserve">. at 5.  </w:t>
      </w:r>
    </w:p>
  </w:footnote>
  <w:footnote w:id="16">
    <w:p w:rsidR="00D96188" w:rsidRPr="004916B8" w:rsidP="005376C3" w14:paraId="76003116" w14:textId="4CB2ED71">
      <w:pPr>
        <w:pStyle w:val="FootnoteText"/>
      </w:pPr>
      <w:r w:rsidRPr="005376C3">
        <w:rPr>
          <w:rStyle w:val="FootnoteReference"/>
          <w:sz w:val="20"/>
        </w:rPr>
        <w:footnoteRef/>
      </w:r>
      <w:r w:rsidRPr="005376C3">
        <w:t xml:space="preserve"> </w:t>
      </w:r>
      <w:r w:rsidRPr="004916B8" w:rsidR="009A1925">
        <w:rPr>
          <w:szCs w:val="18"/>
        </w:rPr>
        <w:t xml:space="preserve">Amended </w:t>
      </w:r>
      <w:r w:rsidRPr="004916B8">
        <w:t xml:space="preserve">Petition at 6-7; </w:t>
      </w:r>
      <w:r w:rsidRPr="004916B8">
        <w:rPr>
          <w:i/>
          <w:iCs/>
        </w:rPr>
        <w:t>see</w:t>
      </w:r>
      <w:r w:rsidRPr="005376C3">
        <w:rPr>
          <w:i/>
          <w:iCs/>
        </w:rPr>
        <w:t xml:space="preserve"> also</w:t>
      </w:r>
      <w:r w:rsidRPr="005376C3">
        <w:t xml:space="preserve"> Alpha Media Holdings, Inc. Applications for Transfer of Control, Application File Nos. 0000270967, 0000271060, and 0000270914, granted Aug. 13, 2025; Notices of Consummation, Application File Nos. 0000277697, 0000277600, and 0000277790, submitted Sept. 5, 2025 (notifying the </w:t>
      </w:r>
      <w:r w:rsidRPr="004916B8">
        <w:t>Commission that the transaction was consummated Sept. 4, 2025).</w:t>
      </w:r>
    </w:p>
  </w:footnote>
  <w:footnote w:id="17">
    <w:p w:rsidR="00A71642" w:rsidRPr="005376C3" w:rsidP="005376C3" w14:paraId="248A2E2C" w14:textId="145BBC65">
      <w:pPr>
        <w:pStyle w:val="FootnoteText"/>
      </w:pPr>
      <w:r w:rsidRPr="004916B8">
        <w:rPr>
          <w:rStyle w:val="FootnoteReference"/>
          <w:sz w:val="20"/>
        </w:rPr>
        <w:footnoteRef/>
      </w:r>
      <w:r w:rsidRPr="004916B8">
        <w:t xml:space="preserve"> </w:t>
      </w:r>
      <w:r w:rsidRPr="004916B8" w:rsidR="009A1925">
        <w:rPr>
          <w:szCs w:val="18"/>
        </w:rPr>
        <w:t xml:space="preserve">Amended </w:t>
      </w:r>
      <w:r w:rsidRPr="004916B8" w:rsidR="008214C2">
        <w:t xml:space="preserve">Petition at 4, 6-7.  </w:t>
      </w:r>
      <w:r w:rsidRPr="004916B8" w:rsidR="006805D8">
        <w:t>CM</w:t>
      </w:r>
      <w:r w:rsidRPr="004916B8" w:rsidR="008214C2">
        <w:t xml:space="preserve"> </w:t>
      </w:r>
      <w:r w:rsidRPr="004916B8" w:rsidR="008214C2">
        <w:rPr>
          <w:shd w:val="clear" w:color="auto" w:fill="FFFFFF"/>
        </w:rPr>
        <w:t>Parent is a direct subsidiary of Connoisseur Cos</w:t>
      </w:r>
      <w:r w:rsidRPr="004916B8" w:rsidR="008059F9">
        <w:rPr>
          <w:shd w:val="clear" w:color="auto" w:fill="FFFFFF"/>
        </w:rPr>
        <w:t>, which</w:t>
      </w:r>
      <w:r w:rsidRPr="004916B8" w:rsidR="008214C2">
        <w:rPr>
          <w:shd w:val="clear" w:color="auto" w:fill="FFFFFF"/>
        </w:rPr>
        <w:t xml:space="preserve"> holds </w:t>
      </w:r>
      <w:r w:rsidRPr="004916B8" w:rsidR="008059F9">
        <w:rPr>
          <w:shd w:val="clear" w:color="auto" w:fill="FFFFFF"/>
        </w:rPr>
        <w:t xml:space="preserve">91.25% of the equity and </w:t>
      </w:r>
      <w:r w:rsidRPr="004916B8" w:rsidR="008214C2">
        <w:rPr>
          <w:shd w:val="clear" w:color="auto" w:fill="FFFFFF"/>
        </w:rPr>
        <w:t>100% of the voting in C</w:t>
      </w:r>
      <w:r w:rsidRPr="004916B8" w:rsidR="00116938">
        <w:rPr>
          <w:shd w:val="clear" w:color="auto" w:fill="FFFFFF"/>
        </w:rPr>
        <w:t>M</w:t>
      </w:r>
      <w:r w:rsidRPr="004916B8" w:rsidR="008214C2">
        <w:rPr>
          <w:shd w:val="clear" w:color="auto" w:fill="FFFFFF"/>
        </w:rPr>
        <w:t xml:space="preserve"> Parent</w:t>
      </w:r>
      <w:r w:rsidRPr="004916B8" w:rsidR="00333A41">
        <w:rPr>
          <w:shd w:val="clear" w:color="auto" w:fill="FFFFFF"/>
        </w:rPr>
        <w:t xml:space="preserve">.  </w:t>
      </w:r>
      <w:r w:rsidRPr="0072568D" w:rsidR="0072568D">
        <w:rPr>
          <w:i/>
          <w:iCs/>
          <w:szCs w:val="18"/>
        </w:rPr>
        <w:t>Id</w:t>
      </w:r>
      <w:r w:rsidR="0072568D">
        <w:rPr>
          <w:szCs w:val="18"/>
        </w:rPr>
        <w:t>.</w:t>
      </w:r>
      <w:r w:rsidRPr="004916B8" w:rsidR="008214C2">
        <w:rPr>
          <w:shd w:val="clear" w:color="auto" w:fill="FFFFFF"/>
        </w:rPr>
        <w:t xml:space="preserve"> at 4</w:t>
      </w:r>
      <w:r w:rsidR="004A6B89">
        <w:rPr>
          <w:shd w:val="clear" w:color="auto" w:fill="FFFFFF"/>
        </w:rPr>
        <w:t xml:space="preserve">.  </w:t>
      </w:r>
      <w:r w:rsidRPr="004916B8" w:rsidR="008214C2">
        <w:rPr>
          <w:shd w:val="clear" w:color="auto" w:fill="FFFFFF"/>
        </w:rPr>
        <w:t xml:space="preserve"> </w:t>
      </w:r>
    </w:p>
  </w:footnote>
  <w:footnote w:id="18">
    <w:p w:rsidR="006805D8" w:rsidRPr="005376C3" w:rsidP="005376C3" w14:paraId="0643AAD6" w14:textId="358A55C3">
      <w:pPr>
        <w:pStyle w:val="FootnoteText"/>
      </w:pPr>
      <w:r w:rsidRPr="005376C3">
        <w:rPr>
          <w:rStyle w:val="FootnoteReference"/>
          <w:sz w:val="20"/>
        </w:rPr>
        <w:footnoteRef/>
      </w:r>
      <w:r w:rsidRPr="005376C3">
        <w:t xml:space="preserve"> According to the </w:t>
      </w:r>
      <w:r w:rsidR="009A1925">
        <w:rPr>
          <w:szCs w:val="18"/>
        </w:rPr>
        <w:t xml:space="preserve">Amended </w:t>
      </w:r>
      <w:r w:rsidRPr="005376C3">
        <w:t xml:space="preserve">Petition, </w:t>
      </w:r>
      <w:r w:rsidR="000C2D8B">
        <w:t xml:space="preserve">the </w:t>
      </w:r>
      <w:r w:rsidRPr="005376C3">
        <w:t xml:space="preserve">Alpha </w:t>
      </w:r>
      <w:r w:rsidR="000C2D8B">
        <w:t>Tranche W</w:t>
      </w:r>
      <w:r w:rsidRPr="005376C3">
        <w:t>arrants</w:t>
      </w:r>
      <w:r w:rsidR="000C2D8B">
        <w:t xml:space="preserve"> are</w:t>
      </w:r>
      <w:r w:rsidRPr="005376C3">
        <w:t xml:space="preserve"> exercisable in two separate tranches, each upon payment of consideration based on aggregate equity valuations of CM Parent.  </w:t>
      </w:r>
      <w:r w:rsidRPr="0072568D" w:rsidR="0072568D">
        <w:rPr>
          <w:i/>
          <w:iCs/>
          <w:szCs w:val="18"/>
        </w:rPr>
        <w:t>Id</w:t>
      </w:r>
      <w:r w:rsidR="0072568D">
        <w:rPr>
          <w:szCs w:val="18"/>
        </w:rPr>
        <w:t>.</w:t>
      </w:r>
      <w:r w:rsidRPr="004916B8">
        <w:t xml:space="preserve"> at 4, note 8.</w:t>
      </w:r>
      <w:r w:rsidRPr="005376C3">
        <w:t xml:space="preserve">  </w:t>
      </w:r>
    </w:p>
  </w:footnote>
  <w:footnote w:id="19">
    <w:p w:rsidR="00B904E0" w:rsidP="00B904E0" w14:paraId="6B7675DE" w14:textId="7639F71D">
      <w:pPr>
        <w:pStyle w:val="FootnoteText"/>
      </w:pPr>
      <w:r>
        <w:rPr>
          <w:rStyle w:val="FootnoteReference"/>
        </w:rPr>
        <w:footnoteRef/>
      </w:r>
      <w:r>
        <w:t xml:space="preserve"> </w:t>
      </w:r>
      <w:r w:rsidRPr="0072568D" w:rsidR="0072568D">
        <w:rPr>
          <w:i/>
          <w:iCs/>
          <w:szCs w:val="18"/>
        </w:rPr>
        <w:t>Id</w:t>
      </w:r>
      <w:r w:rsidR="0072568D">
        <w:rPr>
          <w:szCs w:val="18"/>
        </w:rPr>
        <w:t>.</w:t>
      </w:r>
      <w:r w:rsidRPr="0097099A" w:rsidR="00282F2C">
        <w:t xml:space="preserve"> at 4</w:t>
      </w:r>
      <w:r w:rsidR="00A03E28">
        <w:t>,</w:t>
      </w:r>
      <w:r w:rsidRPr="004A6B89" w:rsidR="004A6B89">
        <w:rPr>
          <w:shd w:val="clear" w:color="auto" w:fill="FFFFFF"/>
        </w:rPr>
        <w:t xml:space="preserve"> </w:t>
      </w:r>
      <w:r w:rsidRPr="004916B8" w:rsidR="004A6B89">
        <w:rPr>
          <w:shd w:val="clear" w:color="auto" w:fill="FFFFFF"/>
        </w:rPr>
        <w:t>Attach. D-1</w:t>
      </w:r>
      <w:r w:rsidRPr="005376C3" w:rsidR="004A6B89">
        <w:rPr>
          <w:shd w:val="clear" w:color="auto" w:fill="FFFFFF"/>
        </w:rPr>
        <w:t>.</w:t>
      </w:r>
      <w:r w:rsidRPr="005376C3" w:rsidR="004A6B89">
        <w:t xml:space="preserve">  </w:t>
      </w:r>
      <w:r w:rsidRPr="0097099A">
        <w:t>According</w:t>
      </w:r>
      <w:r>
        <w:t xml:space="preserve"> to the </w:t>
      </w:r>
      <w:r w:rsidR="009A1925">
        <w:rPr>
          <w:szCs w:val="18"/>
        </w:rPr>
        <w:t xml:space="preserve">Amended </w:t>
      </w:r>
      <w:r>
        <w:t>Petition, a portion of the equity interest presently held by the Former Alpha Participants is in the form of prepaid warrants, which ha</w:t>
      </w:r>
      <w:r w:rsidR="00C70B49">
        <w:t>s</w:t>
      </w:r>
      <w:r>
        <w:t xml:space="preserve"> been treated as current equity for purposes of calculating foreign ownership of CM Holdco, consistent with prior Commission </w:t>
      </w:r>
      <w:r w:rsidRPr="0097099A">
        <w:t xml:space="preserve">guidance.  </w:t>
      </w:r>
      <w:r w:rsidRPr="0097099A" w:rsidR="00282F2C">
        <w:rPr>
          <w:i/>
          <w:iCs/>
        </w:rPr>
        <w:t>Id</w:t>
      </w:r>
      <w:r w:rsidRPr="0097099A" w:rsidR="00282F2C">
        <w:t>. at</w:t>
      </w:r>
      <w:r w:rsidRPr="0097099A">
        <w:t xml:space="preserve"> </w:t>
      </w:r>
      <w:r w:rsidR="002C1547">
        <w:t xml:space="preserve">4, </w:t>
      </w:r>
      <w:r w:rsidRPr="0097099A" w:rsidR="00633C4B">
        <w:t>n</w:t>
      </w:r>
      <w:r w:rsidRPr="0097099A">
        <w:t xml:space="preserve">ote 8.  </w:t>
      </w:r>
      <w:r w:rsidRPr="0097099A" w:rsidR="00AF296B">
        <w:t>The</w:t>
      </w:r>
      <w:r w:rsidRPr="005376C3" w:rsidR="00AF296B">
        <w:t xml:space="preserve"> Petitioner states that the Former Alpha Participants hold no voting interest in CM Parent, nor, by extension, in CM Holdco.  The Petitioner states further that the majority of the equity interests held by the Former Alpha Participants, both presently and after any potential exercise of warrants, is insulated consistent with the Commission’s broadcast ownership rules and, thus, is not attributable.  </w:t>
      </w:r>
      <w:r w:rsidR="00AF296B">
        <w:t xml:space="preserve">The </w:t>
      </w:r>
      <w:r w:rsidRPr="0097099A" w:rsidR="00AF296B">
        <w:t xml:space="preserve">uninsulated equity interests held by Former Alpha Participants account for less than 1% of the equity of CM Parent.  </w:t>
      </w:r>
      <w:r w:rsidRPr="0072568D" w:rsidR="0072568D">
        <w:rPr>
          <w:i/>
          <w:iCs/>
          <w:szCs w:val="18"/>
        </w:rPr>
        <w:t>Id</w:t>
      </w:r>
      <w:r w:rsidR="0072568D">
        <w:rPr>
          <w:szCs w:val="18"/>
        </w:rPr>
        <w:t>.</w:t>
      </w:r>
      <w:r w:rsidRPr="0097099A" w:rsidR="00AF296B">
        <w:t xml:space="preserve"> at 4, 6-7.</w:t>
      </w:r>
      <w:r w:rsidRPr="005376C3" w:rsidR="00AF296B">
        <w:t xml:space="preserve">  </w:t>
      </w:r>
    </w:p>
  </w:footnote>
  <w:footnote w:id="20">
    <w:p w:rsidR="00B06A98" w:rsidP="00282F2C" w14:paraId="29F3A45B" w14:textId="0070C09F">
      <w:pPr>
        <w:pStyle w:val="FootnoteText"/>
      </w:pPr>
      <w:r>
        <w:rPr>
          <w:rStyle w:val="FootnoteReference"/>
        </w:rPr>
        <w:footnoteRef/>
      </w:r>
      <w:r>
        <w:t xml:space="preserve"> </w:t>
      </w:r>
      <w:r w:rsidRPr="0072568D" w:rsidR="0072568D">
        <w:rPr>
          <w:i/>
          <w:iCs/>
          <w:szCs w:val="18"/>
        </w:rPr>
        <w:t>Id</w:t>
      </w:r>
      <w:r w:rsidR="0072568D">
        <w:rPr>
          <w:szCs w:val="18"/>
        </w:rPr>
        <w:t>.</w:t>
      </w:r>
      <w:r w:rsidRPr="0097099A">
        <w:t xml:space="preserve"> at </w:t>
      </w:r>
      <w:r w:rsidRPr="0097099A" w:rsidR="00282F2C">
        <w:t>7</w:t>
      </w:r>
      <w:r w:rsidR="00A03E28">
        <w:t>,</w:t>
      </w:r>
      <w:r w:rsidRPr="0097099A" w:rsidR="00282F2C">
        <w:t xml:space="preserve"> </w:t>
      </w:r>
      <w:r w:rsidRPr="0097099A">
        <w:t>Attach. D-1.</w:t>
      </w:r>
      <w:r>
        <w:t xml:space="preserve">  </w:t>
      </w:r>
    </w:p>
  </w:footnote>
  <w:footnote w:id="21">
    <w:p w:rsidR="008647AA" w:rsidRPr="00A42509" w:rsidP="005376C3" w14:paraId="41A577D9" w14:textId="1307B157">
      <w:pPr>
        <w:pStyle w:val="FootnoteText"/>
      </w:pPr>
      <w:r w:rsidRPr="005376C3">
        <w:rPr>
          <w:rStyle w:val="FootnoteReference"/>
          <w:sz w:val="20"/>
        </w:rPr>
        <w:footnoteRef/>
      </w:r>
      <w:r w:rsidRPr="005376C3">
        <w:t xml:space="preserve"> </w:t>
      </w:r>
      <w:r w:rsidRPr="0072568D" w:rsidR="0072568D">
        <w:rPr>
          <w:i/>
          <w:iCs/>
          <w:szCs w:val="18"/>
        </w:rPr>
        <w:t>Id</w:t>
      </w:r>
      <w:r w:rsidR="0072568D">
        <w:rPr>
          <w:szCs w:val="18"/>
        </w:rPr>
        <w:t>.</w:t>
      </w:r>
      <w:r w:rsidRPr="00A42509">
        <w:t xml:space="preserve"> at Attach</w:t>
      </w:r>
      <w:r w:rsidRPr="00A42509" w:rsidR="00350C92">
        <w:t>.</w:t>
      </w:r>
      <w:r w:rsidRPr="00A42509">
        <w:t xml:space="preserve"> C.</w:t>
      </w:r>
      <w:r w:rsidRPr="00A42509" w:rsidR="005C5078">
        <w:t xml:space="preserve">  </w:t>
      </w:r>
    </w:p>
  </w:footnote>
  <w:footnote w:id="22">
    <w:p w:rsidR="00C74BC6" w:rsidRPr="005376C3" w:rsidP="005376C3" w14:paraId="59CB327E" w14:textId="317B383C">
      <w:pPr>
        <w:pStyle w:val="FootnoteText"/>
      </w:pPr>
      <w:r w:rsidRPr="00A42509">
        <w:rPr>
          <w:rStyle w:val="FootnoteReference"/>
          <w:sz w:val="20"/>
        </w:rPr>
        <w:footnoteRef/>
      </w:r>
      <w:r w:rsidRPr="00A42509">
        <w:t xml:space="preserve"> </w:t>
      </w:r>
      <w:bookmarkStart w:id="3" w:name="_Hlk216181215"/>
      <w:r w:rsidRPr="00A42509">
        <w:t>47 CFR §</w:t>
      </w:r>
      <w:r w:rsidRPr="00A42509" w:rsidR="00EB2EEC">
        <w:t>§</w:t>
      </w:r>
      <w:r w:rsidRPr="00A42509">
        <w:t xml:space="preserve"> 1.5001(</w:t>
      </w:r>
      <w:r w:rsidRPr="00A42509">
        <w:t>i</w:t>
      </w:r>
      <w:r w:rsidRPr="00A42509">
        <w:t>)(1)(3)</w:t>
      </w:r>
      <w:r w:rsidRPr="00A42509" w:rsidR="00EB2EEC">
        <w:t>-(4</w:t>
      </w:r>
      <w:r w:rsidRPr="005376C3" w:rsidR="00EB2EEC">
        <w:t>)</w:t>
      </w:r>
      <w:r w:rsidRPr="005376C3">
        <w:t>.</w:t>
      </w:r>
      <w:bookmarkEnd w:id="3"/>
      <w:r w:rsidRPr="005376C3">
        <w:t xml:space="preserve">  </w:t>
      </w:r>
    </w:p>
  </w:footnote>
  <w:footnote w:id="23">
    <w:p w:rsidR="00363A04" w:rsidRPr="005376C3" w:rsidP="005376C3" w14:paraId="6E395E6D" w14:textId="08C66E6C">
      <w:pPr>
        <w:pStyle w:val="FootnoteText"/>
      </w:pPr>
      <w:r w:rsidRPr="005376C3">
        <w:rPr>
          <w:rStyle w:val="FootnoteReference"/>
          <w:sz w:val="20"/>
        </w:rPr>
        <w:footnoteRef/>
      </w:r>
      <w:r w:rsidRPr="005376C3">
        <w:t xml:space="preserve"> </w:t>
      </w:r>
      <w:r w:rsidRPr="006F1DBF" w:rsidR="009A1925">
        <w:rPr>
          <w:szCs w:val="18"/>
        </w:rPr>
        <w:t xml:space="preserve">Amended </w:t>
      </w:r>
      <w:r w:rsidRPr="006F1DBF">
        <w:t xml:space="preserve">Petition at </w:t>
      </w:r>
      <w:r w:rsidRPr="006F1DBF" w:rsidR="00EB2EEC">
        <w:t>3-8, Attach. E.</w:t>
      </w:r>
      <w:r w:rsidRPr="005376C3">
        <w:t xml:space="preserve"> </w:t>
      </w:r>
    </w:p>
  </w:footnote>
  <w:footnote w:id="24">
    <w:p w:rsidR="00363A04" w:rsidRPr="00CC4747" w:rsidP="005376C3" w14:paraId="5127DAD4" w14:textId="5EDA9EEE">
      <w:pPr>
        <w:pStyle w:val="FootnoteText"/>
      </w:pPr>
      <w:r w:rsidRPr="005376C3">
        <w:rPr>
          <w:rStyle w:val="FootnoteReference"/>
          <w:sz w:val="20"/>
        </w:rPr>
        <w:footnoteRef/>
      </w:r>
      <w:r w:rsidRPr="005376C3">
        <w:t xml:space="preserve"> </w:t>
      </w:r>
      <w:r w:rsidRPr="005376C3" w:rsidR="00350C92">
        <w:t>The Petitioner asserts that</w:t>
      </w:r>
      <w:r w:rsidRPr="005376C3">
        <w:t xml:space="preserve"> the Commission’s rules do not require specific approval for the interests to be held by Falcon Strategic Partners V (Cayman), LP and Falcon Strategic Partners V (Cayman 2)</w:t>
      </w:r>
      <w:r w:rsidR="00351E56">
        <w:t>, LP</w:t>
      </w:r>
      <w:r w:rsidRPr="005376C3">
        <w:t xml:space="preserve"> as th</w:t>
      </w:r>
      <w:r w:rsidRPr="005376C3" w:rsidR="00EB2EEC">
        <w:t>os</w:t>
      </w:r>
      <w:r w:rsidRPr="005376C3">
        <w:t xml:space="preserve">e interests are insulated foreign equity and/or voting interests of less than 10% and the entities do not hold, and would not hold, a controlling interest in the </w:t>
      </w:r>
      <w:r w:rsidR="00A03E28">
        <w:t>P</w:t>
      </w:r>
      <w:r w:rsidRPr="005376C3">
        <w:t>etitioner or any controlling parent company, consistent with section 1.5001(</w:t>
      </w:r>
      <w:r w:rsidRPr="005376C3">
        <w:t>i</w:t>
      </w:r>
      <w:r w:rsidRPr="005376C3">
        <w:t>)(3)</w:t>
      </w:r>
      <w:r w:rsidR="00CF65F4">
        <w:t xml:space="preserve"> of the Rules</w:t>
      </w:r>
      <w:r w:rsidRPr="005376C3">
        <w:t xml:space="preserve">.  </w:t>
      </w:r>
      <w:r w:rsidRPr="00A03E28" w:rsidR="00A03E28">
        <w:rPr>
          <w:i/>
          <w:iCs/>
        </w:rPr>
        <w:t>Id</w:t>
      </w:r>
      <w:r w:rsidR="00A03E28">
        <w:t xml:space="preserve">. </w:t>
      </w:r>
      <w:r w:rsidRPr="00CC4747" w:rsidR="00A03E28">
        <w:t>at 5, note 11.</w:t>
      </w:r>
      <w:r w:rsidR="00A03E28">
        <w:t xml:space="preserve">  </w:t>
      </w:r>
      <w:r w:rsidRPr="005376C3">
        <w:t xml:space="preserve">Rather, CM Holdco states that it seeks specific and advance approval </w:t>
      </w:r>
      <w:r w:rsidRPr="005376C3" w:rsidR="005376C3">
        <w:t>for</w:t>
      </w:r>
      <w:r w:rsidRPr="005376C3">
        <w:t xml:space="preserve"> these entities and interests consistent with section 1.5001(4)</w:t>
      </w:r>
      <w:r w:rsidRPr="005376C3" w:rsidR="005376C3">
        <w:t xml:space="preserve"> of the Rules</w:t>
      </w:r>
      <w:r w:rsidRPr="005376C3">
        <w:t xml:space="preserve">, which permits a petitioner to </w:t>
      </w:r>
      <w:r w:rsidRPr="005376C3" w:rsidR="00445BA8">
        <w:t>“</w:t>
      </w:r>
      <w:r w:rsidRPr="005376C3">
        <w:t>request specific approval for any other foreign individual or entity that holds</w:t>
      </w:r>
      <w:r w:rsidRPr="006F1DBF">
        <w:t xml:space="preserve">, or would hold, a direct and/or indirect equity and/or voting interest in the controlling </w:t>
      </w:r>
      <w:r w:rsidRPr="00CC4747">
        <w:t xml:space="preserve">U.S. parent.”  </w:t>
      </w:r>
      <w:r w:rsidRPr="00A03E28" w:rsidR="00A03E28">
        <w:rPr>
          <w:i/>
          <w:iCs/>
        </w:rPr>
        <w:t>Id</w:t>
      </w:r>
      <w:r w:rsidR="00A03E28">
        <w:t xml:space="preserve">.  </w:t>
      </w:r>
    </w:p>
  </w:footnote>
  <w:footnote w:id="25">
    <w:p w:rsidR="00F13316" w:rsidRPr="00CC4747" w14:paraId="0584881E" w14:textId="6769A0F7">
      <w:pPr>
        <w:pStyle w:val="FootnoteText"/>
      </w:pPr>
      <w:r w:rsidRPr="00CC4747">
        <w:rPr>
          <w:rStyle w:val="FootnoteReference"/>
        </w:rPr>
        <w:footnoteRef/>
      </w:r>
      <w:r w:rsidRPr="00CC4747">
        <w:t xml:space="preserve"> </w:t>
      </w:r>
      <w:r w:rsidRPr="0072568D" w:rsidR="0072568D">
        <w:rPr>
          <w:i/>
          <w:iCs/>
          <w:szCs w:val="18"/>
        </w:rPr>
        <w:t>Id</w:t>
      </w:r>
      <w:r w:rsidR="0072568D">
        <w:rPr>
          <w:szCs w:val="18"/>
        </w:rPr>
        <w:t>.</w:t>
      </w:r>
      <w:r w:rsidRPr="00CC4747" w:rsidR="00F566CE">
        <w:t xml:space="preserve"> at</w:t>
      </w:r>
      <w:r w:rsidRPr="00CC4747" w:rsidR="00CC4747">
        <w:t xml:space="preserve"> Attach. E-1</w:t>
      </w:r>
      <w:r w:rsidRPr="00CC4747" w:rsidR="00F566CE">
        <w:t xml:space="preserve">.  </w:t>
      </w:r>
      <w:r w:rsidRPr="00CC4747">
        <w:t xml:space="preserve">The calculation of the specific equity (and deemed voting) interest held by Falcon Strategic Partners V (Cayman), LP </w:t>
      </w:r>
      <w:r w:rsidRPr="00CC4747" w:rsidR="005376C3">
        <w:t>c</w:t>
      </w:r>
      <w:r w:rsidRPr="00CC4747">
        <w:t xml:space="preserve">ould vary depending on whether or not the Alpha Tranche Warrants have been exercised. </w:t>
      </w:r>
      <w:r w:rsidRPr="00CC4747" w:rsidR="008175AD">
        <w:t xml:space="preserve"> </w:t>
      </w:r>
      <w:r w:rsidRPr="00CC4747" w:rsidR="00363A04">
        <w:t xml:space="preserve">  </w:t>
      </w:r>
    </w:p>
  </w:footnote>
  <w:footnote w:id="26">
    <w:p w:rsidR="00F13316" w14:paraId="4F88E24B" w14:textId="762816D2">
      <w:pPr>
        <w:pStyle w:val="FootnoteText"/>
      </w:pPr>
      <w:r w:rsidRPr="00CC4747">
        <w:rPr>
          <w:rStyle w:val="FootnoteReference"/>
        </w:rPr>
        <w:footnoteRef/>
      </w:r>
      <w:r w:rsidRPr="00CC4747">
        <w:t xml:space="preserve"> </w:t>
      </w:r>
      <w:r w:rsidRPr="0072568D" w:rsidR="0072568D">
        <w:rPr>
          <w:i/>
          <w:iCs/>
          <w:szCs w:val="18"/>
        </w:rPr>
        <w:t>Id</w:t>
      </w:r>
      <w:r w:rsidR="0072568D">
        <w:rPr>
          <w:szCs w:val="18"/>
        </w:rPr>
        <w:t>.</w:t>
      </w:r>
      <w:r w:rsidRPr="00CC4747" w:rsidR="00F566CE">
        <w:t xml:space="preserve"> at </w:t>
      </w:r>
      <w:r w:rsidRPr="00CC4747" w:rsidR="00CC4747">
        <w:t>Attach. E-2</w:t>
      </w:r>
      <w:r w:rsidRPr="00CC4747" w:rsidR="00F566CE">
        <w:t xml:space="preserve">.  </w:t>
      </w:r>
      <w:r w:rsidRPr="00CC4747">
        <w:t xml:space="preserve">The calculation of the specific equity (and deemed voting) interest held by Falcon Strategic Partners V (Cayman 2), LP </w:t>
      </w:r>
      <w:r w:rsidRPr="00CC4747" w:rsidR="005376C3">
        <w:t>c</w:t>
      </w:r>
      <w:r w:rsidRPr="00CC4747">
        <w:t>ould vary depending on whether or not the Alpha Tranche Warrants have been exercised.</w:t>
      </w:r>
      <w:r w:rsidRPr="00F13316">
        <w:t xml:space="preserve">  </w:t>
      </w:r>
    </w:p>
  </w:footnote>
  <w:footnote w:id="27">
    <w:p w:rsidR="00224ECB" w:rsidRPr="00CC4747" w14:paraId="2B13D90D" w14:textId="332E2593">
      <w:pPr>
        <w:pStyle w:val="FootnoteText"/>
      </w:pPr>
      <w:r>
        <w:rPr>
          <w:rStyle w:val="FootnoteReference"/>
        </w:rPr>
        <w:footnoteRef/>
      </w:r>
      <w:r>
        <w:t xml:space="preserve"> </w:t>
      </w:r>
      <w:r w:rsidRPr="0072568D" w:rsidR="0072568D">
        <w:rPr>
          <w:i/>
          <w:iCs/>
          <w:szCs w:val="18"/>
        </w:rPr>
        <w:t>Id</w:t>
      </w:r>
      <w:r w:rsidR="0072568D">
        <w:rPr>
          <w:szCs w:val="18"/>
        </w:rPr>
        <w:t>.</w:t>
      </w:r>
      <w:r w:rsidRPr="00CC4747">
        <w:t xml:space="preserve"> at 8.  </w:t>
      </w:r>
      <w:r w:rsidRPr="00CC4747" w:rsidR="00E03B57">
        <w:t xml:space="preserve">Although 100% of the voting </w:t>
      </w:r>
      <w:r w:rsidRPr="00CC4747" w:rsidR="001E54B4">
        <w:t>interest</w:t>
      </w:r>
      <w:r w:rsidRPr="00CC4747" w:rsidR="00F35407">
        <w:t>s</w:t>
      </w:r>
      <w:r w:rsidRPr="00CC4747" w:rsidR="001E54B4">
        <w:t xml:space="preserve"> </w:t>
      </w:r>
      <w:r w:rsidRPr="00CC4747" w:rsidR="00E03B57">
        <w:t>of CM Broadcast Management—and hence of CM Holdco—is controlled by its managing</w:t>
      </w:r>
      <w:r w:rsidR="00E03B57">
        <w:t xml:space="preserve"> member and majority equity holder, Jeffrey D. Warshaw, under the Commission’s ownership rules, uninsulated members of a limited liability company</w:t>
      </w:r>
      <w:r w:rsidR="001E54B4">
        <w:t xml:space="preserve"> that participate in th</w:t>
      </w:r>
      <w:r w:rsidRPr="001E54B4" w:rsidR="001E54B4">
        <w:t xml:space="preserve">e management </w:t>
      </w:r>
      <w:r w:rsidR="001E54B4">
        <w:t xml:space="preserve">and operation of the </w:t>
      </w:r>
      <w:r w:rsidR="00732A95">
        <w:t xml:space="preserve">media activities of </w:t>
      </w:r>
      <w:r w:rsidR="00351E56">
        <w:t>the</w:t>
      </w:r>
      <w:r w:rsidR="00732A95">
        <w:t xml:space="preserve"> entity</w:t>
      </w:r>
      <w:r w:rsidR="001E54B4">
        <w:t xml:space="preserve"> </w:t>
      </w:r>
      <w:r w:rsidR="00E03B57">
        <w:t xml:space="preserve">are considered to have </w:t>
      </w:r>
      <w:r w:rsidR="000753FF">
        <w:t xml:space="preserve">an attributable interest in </w:t>
      </w:r>
      <w:r w:rsidR="00E03B57">
        <w:t xml:space="preserve">the LLC.  </w:t>
      </w:r>
      <w:r w:rsidRPr="00CC4747" w:rsidR="001E54B4">
        <w:rPr>
          <w:i/>
          <w:iCs/>
        </w:rPr>
        <w:t>See</w:t>
      </w:r>
      <w:r w:rsidRPr="00CC4747" w:rsidR="001E54B4">
        <w:t xml:space="preserve"> 47 CFR § 1.5001(f); </w:t>
      </w:r>
      <w:r w:rsidRPr="00CC4747" w:rsidR="001E54B4">
        <w:rPr>
          <w:i/>
          <w:iCs/>
        </w:rPr>
        <w:t>see also</w:t>
      </w:r>
      <w:r w:rsidRPr="00CC4747" w:rsidR="001E54B4">
        <w:t xml:space="preserve"> 47 CFR § 73.3555, Note 2(f).   </w:t>
      </w:r>
    </w:p>
  </w:footnote>
  <w:footnote w:id="28">
    <w:p w:rsidR="00224ECB" w:rsidRPr="00CC4747" w14:paraId="21CE28A4" w14:textId="00D7438B">
      <w:pPr>
        <w:pStyle w:val="FootnoteText"/>
      </w:pPr>
      <w:r w:rsidRPr="00CC4747">
        <w:rPr>
          <w:rStyle w:val="FootnoteReference"/>
        </w:rPr>
        <w:footnoteRef/>
      </w:r>
      <w:r w:rsidRPr="00CC4747">
        <w:t xml:space="preserve"> </w:t>
      </w:r>
      <w:r w:rsidRPr="00CC4747" w:rsidR="009A1925">
        <w:rPr>
          <w:szCs w:val="18"/>
        </w:rPr>
        <w:t xml:space="preserve">Amended </w:t>
      </w:r>
      <w:r w:rsidRPr="00CC4747">
        <w:t>Petition at 8, note 18.</w:t>
      </w:r>
    </w:p>
  </w:footnote>
  <w:footnote w:id="29">
    <w:p w:rsidR="00224ECB" w:rsidRPr="00CC4747" w:rsidP="00224ECB" w14:paraId="3FA223D3" w14:textId="4DBD9B13">
      <w:pPr>
        <w:pStyle w:val="FootnoteText"/>
      </w:pPr>
      <w:r w:rsidRPr="00CC4747">
        <w:rPr>
          <w:rStyle w:val="FootnoteReference"/>
        </w:rPr>
        <w:footnoteRef/>
      </w:r>
      <w:r w:rsidRPr="00CC4747">
        <w:t xml:space="preserve">  </w:t>
      </w:r>
      <w:r w:rsidRPr="00CC4747" w:rsidR="00CC4747">
        <w:rPr>
          <w:i/>
          <w:iCs/>
        </w:rPr>
        <w:t>Id</w:t>
      </w:r>
      <w:r w:rsidRPr="00CC4747" w:rsidR="00CC4747">
        <w:t xml:space="preserve">.; </w:t>
      </w:r>
      <w:r w:rsidRPr="00CC4747" w:rsidR="00CC4747">
        <w:rPr>
          <w:i/>
          <w:iCs/>
        </w:rPr>
        <w:t>see also</w:t>
      </w:r>
      <w:r w:rsidRPr="00CC4747" w:rsidR="00CC4747">
        <w:t xml:space="preserve"> </w:t>
      </w:r>
      <w:r w:rsidRPr="00CC4747" w:rsidR="009A1925">
        <w:rPr>
          <w:szCs w:val="18"/>
        </w:rPr>
        <w:t xml:space="preserve">Amended </w:t>
      </w:r>
      <w:r w:rsidRPr="00CC4747">
        <w:t>Petition at Attach. E-</w:t>
      </w:r>
      <w:r w:rsidRPr="00CC4747" w:rsidR="00CC4747">
        <w:t>3</w:t>
      </w:r>
      <w:r w:rsidRPr="00CC4747">
        <w:t xml:space="preserve">, notes </w:t>
      </w:r>
      <w:r w:rsidRPr="00CC4747" w:rsidR="00CC4747">
        <w:t>3</w:t>
      </w:r>
      <w:r w:rsidRPr="00CC4747">
        <w:t>-</w:t>
      </w:r>
      <w:r w:rsidRPr="00CC4747" w:rsidR="00CC4747">
        <w:t>4</w:t>
      </w:r>
      <w:r w:rsidRPr="00CC4747">
        <w:t xml:space="preserve">.   </w:t>
      </w:r>
    </w:p>
  </w:footnote>
  <w:footnote w:id="30">
    <w:p w:rsidR="00B47705" w:rsidRPr="00FD7AAF" w:rsidP="00B47705" w14:paraId="02C38878" w14:textId="77777777">
      <w:pPr>
        <w:pStyle w:val="FootnoteText"/>
      </w:pPr>
      <w:r w:rsidRPr="00CC4747">
        <w:rPr>
          <w:rStyle w:val="FootnoteReference"/>
          <w:sz w:val="20"/>
        </w:rPr>
        <w:footnoteRef/>
      </w:r>
      <w:r w:rsidRPr="00CC4747">
        <w:t xml:space="preserve"> 47 CFR § 1.5001(k).</w:t>
      </w:r>
      <w:r>
        <w:t xml:space="preserve"> </w:t>
      </w:r>
    </w:p>
  </w:footnote>
  <w:footnote w:id="31">
    <w:p w:rsidR="00B47705" w:rsidRPr="00CC4747" w:rsidP="00B47705" w14:paraId="604305F6" w14:textId="28A70611">
      <w:pPr>
        <w:pStyle w:val="FootnoteText"/>
      </w:pPr>
      <w:r>
        <w:rPr>
          <w:rStyle w:val="FootnoteReference"/>
        </w:rPr>
        <w:footnoteRef/>
      </w:r>
      <w:r>
        <w:t xml:space="preserve"> </w:t>
      </w:r>
      <w:r w:rsidRPr="00CC4747" w:rsidR="009A1925">
        <w:rPr>
          <w:szCs w:val="18"/>
        </w:rPr>
        <w:t xml:space="preserve">Amended </w:t>
      </w:r>
      <w:r w:rsidRPr="00CC4747">
        <w:t>Petition at 2</w:t>
      </w:r>
      <w:r w:rsidR="00CC4747">
        <w:t xml:space="preserve">, Attach. </w:t>
      </w:r>
      <w:r w:rsidRPr="00CC4747">
        <w:t>E.</w:t>
      </w:r>
    </w:p>
  </w:footnote>
  <w:footnote w:id="32">
    <w:p w:rsidR="00F23115" w14:paraId="33F6118A" w14:textId="78957F91">
      <w:pPr>
        <w:pStyle w:val="FootnoteText"/>
      </w:pPr>
      <w:r w:rsidRPr="00CC4747">
        <w:rPr>
          <w:rStyle w:val="FootnoteReference"/>
        </w:rPr>
        <w:footnoteRef/>
      </w:r>
      <w:r w:rsidRPr="00CC4747">
        <w:t xml:space="preserve"> </w:t>
      </w:r>
      <w:r w:rsidRPr="0072568D" w:rsidR="0072568D">
        <w:rPr>
          <w:i/>
          <w:iCs/>
          <w:szCs w:val="18"/>
        </w:rPr>
        <w:t>Id</w:t>
      </w:r>
      <w:r w:rsidR="0072568D">
        <w:rPr>
          <w:szCs w:val="18"/>
        </w:rPr>
        <w:t>.</w:t>
      </w:r>
      <w:r w:rsidRPr="00CC4747">
        <w:t xml:space="preserve"> at </w:t>
      </w:r>
      <w:r w:rsidR="0072568D">
        <w:t>2</w:t>
      </w:r>
      <w:r w:rsidRPr="00CC4747">
        <w:t>.</w:t>
      </w:r>
    </w:p>
  </w:footnote>
  <w:footnote w:id="33">
    <w:p w:rsidR="00D54060" w:rsidRPr="0072568D" w14:paraId="0EDB6E2C" w14:textId="0DB735B1">
      <w:pPr>
        <w:pStyle w:val="FootnoteText"/>
      </w:pPr>
      <w:r>
        <w:rPr>
          <w:rStyle w:val="FootnoteReference"/>
        </w:rPr>
        <w:footnoteRef/>
      </w:r>
      <w:r>
        <w:t xml:space="preserve"> </w:t>
      </w:r>
      <w:r w:rsidRPr="0072568D" w:rsidR="0072568D">
        <w:rPr>
          <w:i/>
          <w:iCs/>
          <w:szCs w:val="18"/>
        </w:rPr>
        <w:t>Id</w:t>
      </w:r>
      <w:r w:rsidRPr="0072568D" w:rsidR="0072568D">
        <w:rPr>
          <w:szCs w:val="18"/>
        </w:rPr>
        <w:t>.</w:t>
      </w:r>
      <w:r w:rsidRPr="0072568D">
        <w:t xml:space="preserve"> at 10.</w:t>
      </w:r>
    </w:p>
  </w:footnote>
  <w:footnote w:id="34">
    <w:p w:rsidR="00F23115" w:rsidRPr="0072568D" w14:paraId="67DEEDD4" w14:textId="2BB2126A">
      <w:pPr>
        <w:pStyle w:val="FootnoteText"/>
      </w:pPr>
      <w:r w:rsidRPr="0072568D">
        <w:rPr>
          <w:rStyle w:val="FootnoteReference"/>
        </w:rPr>
        <w:footnoteRef/>
      </w:r>
      <w:r w:rsidRPr="0072568D">
        <w:t xml:space="preserve"> </w:t>
      </w:r>
      <w:r w:rsidRPr="0072568D" w:rsidR="0072568D">
        <w:rPr>
          <w:i/>
          <w:iCs/>
          <w:szCs w:val="18"/>
        </w:rPr>
        <w:t>Id</w:t>
      </w:r>
      <w:r w:rsidRPr="0072568D" w:rsidR="0072568D">
        <w:rPr>
          <w:szCs w:val="18"/>
        </w:rPr>
        <w:t>.</w:t>
      </w:r>
      <w:r w:rsidRPr="0072568D" w:rsidR="0072568D">
        <w:t xml:space="preserve"> </w:t>
      </w:r>
      <w:r w:rsidRPr="0072568D" w:rsidR="00D54060">
        <w:t xml:space="preserve">at </w:t>
      </w:r>
      <w:r w:rsidRPr="0072568D" w:rsidR="0072568D">
        <w:t>2</w:t>
      </w:r>
      <w:r w:rsidRPr="0072568D" w:rsidR="00D54060">
        <w:t>.</w:t>
      </w:r>
    </w:p>
  </w:footnote>
  <w:footnote w:id="35">
    <w:p w:rsidR="00344F28" w:rsidRPr="0072568D" w14:paraId="0E064C7C" w14:textId="162000B9">
      <w:pPr>
        <w:pStyle w:val="FootnoteText"/>
      </w:pPr>
      <w:r w:rsidRPr="0072568D">
        <w:rPr>
          <w:rStyle w:val="FootnoteReference"/>
        </w:rPr>
        <w:footnoteRef/>
      </w:r>
      <w:r w:rsidRPr="0072568D">
        <w:t xml:space="preserve"> </w:t>
      </w:r>
      <w:r w:rsidRPr="0072568D" w:rsidR="0072568D">
        <w:rPr>
          <w:i/>
          <w:iCs/>
          <w:szCs w:val="18"/>
        </w:rPr>
        <w:t>Id</w:t>
      </w:r>
      <w:r w:rsidRPr="0072568D" w:rsidR="0072568D">
        <w:rPr>
          <w:szCs w:val="18"/>
        </w:rPr>
        <w:t>.</w:t>
      </w:r>
      <w:r w:rsidRPr="0072568D" w:rsidR="0072568D">
        <w:t xml:space="preserve"> </w:t>
      </w:r>
      <w:r w:rsidRPr="0072568D">
        <w:t xml:space="preserve">at 13.  </w:t>
      </w:r>
    </w:p>
  </w:footnote>
  <w:footnote w:id="36">
    <w:p w:rsidR="00344F28" w:rsidRPr="0072568D" w14:paraId="320BC8CD" w14:textId="7A9C091C">
      <w:pPr>
        <w:pStyle w:val="FootnoteText"/>
      </w:pPr>
      <w:r w:rsidRPr="0072568D">
        <w:rPr>
          <w:rStyle w:val="FootnoteReference"/>
        </w:rPr>
        <w:footnoteRef/>
      </w:r>
      <w:r w:rsidRPr="0072568D">
        <w:t xml:space="preserve"> </w:t>
      </w:r>
      <w:r w:rsidRPr="0072568D" w:rsidR="0072568D">
        <w:rPr>
          <w:i/>
          <w:iCs/>
          <w:szCs w:val="18"/>
        </w:rPr>
        <w:t>Id</w:t>
      </w:r>
      <w:r w:rsidRPr="0072568D" w:rsidR="0072568D">
        <w:rPr>
          <w:szCs w:val="18"/>
        </w:rPr>
        <w:t>.</w:t>
      </w:r>
      <w:r w:rsidRPr="0072568D" w:rsidR="0072568D">
        <w:t xml:space="preserve"> </w:t>
      </w:r>
      <w:r w:rsidRPr="0072568D">
        <w:rPr>
          <w:szCs w:val="18"/>
        </w:rPr>
        <w:t xml:space="preserve">at 14-15; </w:t>
      </w:r>
      <w:r w:rsidRPr="0072568D">
        <w:rPr>
          <w:i/>
          <w:iCs/>
          <w:szCs w:val="18"/>
        </w:rPr>
        <w:t>see also</w:t>
      </w:r>
      <w:r w:rsidRPr="0072568D">
        <w:rPr>
          <w:szCs w:val="18"/>
        </w:rPr>
        <w:t xml:space="preserve"> </w:t>
      </w:r>
      <w:r w:rsidRPr="0072568D">
        <w:rPr>
          <w:i/>
          <w:iCs/>
          <w:szCs w:val="18"/>
        </w:rPr>
        <w:t>Alpha Media Holdings, Inc.</w:t>
      </w:r>
      <w:r w:rsidRPr="0072568D">
        <w:rPr>
          <w:szCs w:val="18"/>
        </w:rPr>
        <w:t>, Declaratory Ruling, 38 FCC Rcd 8609 (MB 2023)</w:t>
      </w:r>
      <w:r w:rsidRPr="0072568D">
        <w:rPr>
          <w:i/>
          <w:iCs/>
          <w:szCs w:val="18"/>
        </w:rPr>
        <w:t>.</w:t>
      </w:r>
    </w:p>
  </w:footnote>
  <w:footnote w:id="37">
    <w:p w:rsidR="00EB6FB7" w:rsidRPr="0072568D" w:rsidP="00EB6FB7" w14:paraId="630D5A67" w14:textId="3BA7D033">
      <w:pPr>
        <w:pStyle w:val="FootnoteText"/>
      </w:pPr>
      <w:r w:rsidRPr="0072568D">
        <w:rPr>
          <w:rStyle w:val="FootnoteReference"/>
        </w:rPr>
        <w:footnoteRef/>
      </w:r>
      <w:r w:rsidRPr="0072568D">
        <w:t xml:space="preserve"> </w:t>
      </w:r>
      <w:r w:rsidRPr="0072568D" w:rsidR="009A1925">
        <w:rPr>
          <w:szCs w:val="18"/>
        </w:rPr>
        <w:t xml:space="preserve">Amended </w:t>
      </w:r>
      <w:r w:rsidRPr="0072568D" w:rsidR="0073253C">
        <w:t xml:space="preserve">Petition </w:t>
      </w:r>
      <w:r w:rsidRPr="0072568D">
        <w:t xml:space="preserve">at 4.  </w:t>
      </w:r>
    </w:p>
  </w:footnote>
  <w:footnote w:id="38">
    <w:p w:rsidR="00306D2D" w:rsidP="001F147B" w14:paraId="19F1B9FB" w14:textId="0048F6B5">
      <w:pPr>
        <w:pStyle w:val="FootnoteText"/>
      </w:pPr>
      <w:r w:rsidRPr="0072568D">
        <w:rPr>
          <w:rStyle w:val="FootnoteReference"/>
        </w:rPr>
        <w:footnoteRef/>
      </w:r>
      <w:r w:rsidRPr="0072568D">
        <w:t xml:space="preserve"> </w:t>
      </w:r>
      <w:r w:rsidRPr="0072568D" w:rsidR="0072568D">
        <w:rPr>
          <w:i/>
          <w:iCs/>
          <w:szCs w:val="18"/>
        </w:rPr>
        <w:t>Id</w:t>
      </w:r>
      <w:r w:rsidRPr="0072568D" w:rsidR="0072568D">
        <w:rPr>
          <w:szCs w:val="18"/>
        </w:rPr>
        <w:t>.</w:t>
      </w:r>
      <w:r w:rsidRPr="0072568D" w:rsidR="0072568D">
        <w:t xml:space="preserve"> </w:t>
      </w:r>
      <w:r w:rsidRPr="0072568D">
        <w:t>at 19</w:t>
      </w:r>
      <w:r w:rsidRPr="0072568D" w:rsidR="001F147B">
        <w:t xml:space="preserve"> (</w:t>
      </w:r>
      <w:r w:rsidR="001F147B">
        <w:t xml:space="preserve">stating that CM Holdco submitted responses to </w:t>
      </w:r>
      <w:r w:rsidR="0072568D">
        <w:t xml:space="preserve">the </w:t>
      </w:r>
      <w:r w:rsidR="001F147B">
        <w:t>standard questions directly to the Committee at the same time as it filed the Initial Petition dated November 24, 2025)</w:t>
      </w:r>
      <w:r>
        <w:t>.  P</w:t>
      </w:r>
      <w:r>
        <w:rPr>
          <w:szCs w:val="18"/>
        </w:rPr>
        <w:t xml:space="preserve">ursuant to section 1.5001(m) of the Rules, parties seeking a foreign ownership declaratory ruling </w:t>
      </w:r>
      <w:r w:rsidRPr="00074CE2">
        <w:rPr>
          <w:szCs w:val="18"/>
        </w:rPr>
        <w:t xml:space="preserve">must submit responses to a set of standard questions directly to </w:t>
      </w:r>
      <w:r>
        <w:rPr>
          <w:szCs w:val="18"/>
        </w:rPr>
        <w:t xml:space="preserve">the </w:t>
      </w:r>
      <w:r w:rsidRPr="00013186">
        <w:rPr>
          <w:szCs w:val="18"/>
        </w:rPr>
        <w:t>Committee</w:t>
      </w:r>
      <w:r>
        <w:rPr>
          <w:szCs w:val="18"/>
        </w:rPr>
        <w:t xml:space="preserve"> c</w:t>
      </w:r>
      <w:r w:rsidRPr="00074CE2">
        <w:rPr>
          <w:szCs w:val="18"/>
        </w:rPr>
        <w:t xml:space="preserve">ontemporaneously with </w:t>
      </w:r>
      <w:r>
        <w:rPr>
          <w:szCs w:val="18"/>
        </w:rPr>
        <w:t xml:space="preserve">the submission of a petition for declaratory ruling </w:t>
      </w:r>
      <w:r w:rsidRPr="00074CE2">
        <w:rPr>
          <w:szCs w:val="18"/>
        </w:rPr>
        <w:t>to the Commission.</w:t>
      </w:r>
      <w:r>
        <w:rPr>
          <w:szCs w:val="18"/>
        </w:rPr>
        <w:t xml:space="preserve">  </w:t>
      </w:r>
      <w:r w:rsidRPr="00074CE2">
        <w:rPr>
          <w:szCs w:val="18"/>
        </w:rPr>
        <w:t>47 CFR § 1.5001(</w:t>
      </w:r>
      <w:r>
        <w:rPr>
          <w:szCs w:val="18"/>
        </w:rPr>
        <w:t>m</w:t>
      </w:r>
      <w:r w:rsidRPr="00074CE2">
        <w:rPr>
          <w:szCs w:val="18"/>
        </w:rPr>
        <w:t>).</w:t>
      </w:r>
      <w:r>
        <w:rPr>
          <w:szCs w:val="18"/>
        </w:rPr>
        <w:t xml:space="preserve">  </w:t>
      </w:r>
      <w:r w:rsidRPr="00892883" w:rsidR="00892883">
        <w:rPr>
          <w:szCs w:val="18"/>
        </w:rPr>
        <w:t>The provision of such information allows the Executive Branch agencies</w:t>
      </w:r>
      <w:r w:rsidR="00892883">
        <w:rPr>
          <w:szCs w:val="18"/>
        </w:rPr>
        <w:t>, in the form of the Committee,</w:t>
      </w:r>
      <w:r w:rsidRPr="00892883" w:rsidR="00892883">
        <w:rPr>
          <w:szCs w:val="18"/>
        </w:rPr>
        <w:t xml:space="preserve"> to consider </w:t>
      </w:r>
      <w:r w:rsidR="00892883">
        <w:rPr>
          <w:szCs w:val="18"/>
        </w:rPr>
        <w:t xml:space="preserve">whether there are </w:t>
      </w:r>
      <w:r w:rsidRPr="00892883" w:rsidR="00892883">
        <w:rPr>
          <w:szCs w:val="18"/>
        </w:rPr>
        <w:t xml:space="preserve">any national security, law enforcement, foreign policy, or trade policy concerns </w:t>
      </w:r>
      <w:r w:rsidR="00892883">
        <w:rPr>
          <w:szCs w:val="18"/>
        </w:rPr>
        <w:t xml:space="preserve">raised by </w:t>
      </w:r>
      <w:r w:rsidRPr="00892883" w:rsidR="00892883">
        <w:rPr>
          <w:szCs w:val="18"/>
        </w:rPr>
        <w:t xml:space="preserve">the proposed foreign ownership of </w:t>
      </w:r>
      <w:r w:rsidR="00892883">
        <w:rPr>
          <w:szCs w:val="18"/>
        </w:rPr>
        <w:t xml:space="preserve">the Petitioner.  </w:t>
      </w:r>
      <w:r w:rsidRPr="00EC55D4" w:rsidR="00892883">
        <w:rPr>
          <w:i/>
          <w:iCs/>
        </w:rPr>
        <w:t>See Process Reform for Executive Branch Review of Certain FCC Applications and Petitions Involving Foreign Ownership</w:t>
      </w:r>
      <w:r w:rsidR="00892883">
        <w:t>, IB Docket 16-155, Report and Order, 35 FCC Rcd 10927 (2020) (</w:t>
      </w:r>
      <w:r w:rsidRPr="007A6E58" w:rsidR="00892883">
        <w:rPr>
          <w:i/>
          <w:iCs/>
        </w:rPr>
        <w:t>Executive Bra</w:t>
      </w:r>
      <w:r w:rsidRPr="007A6E58" w:rsidR="00D36A93">
        <w:rPr>
          <w:i/>
          <w:iCs/>
        </w:rPr>
        <w:t>n</w:t>
      </w:r>
      <w:r w:rsidRPr="007A6E58" w:rsidR="00892883">
        <w:rPr>
          <w:i/>
          <w:iCs/>
        </w:rPr>
        <w:t>ch Review</w:t>
      </w:r>
      <w:r w:rsidRPr="007A6E58" w:rsidR="00D36A93">
        <w:rPr>
          <w:i/>
          <w:iCs/>
        </w:rPr>
        <w:t xml:space="preserve"> Report and Order</w:t>
      </w:r>
      <w:r w:rsidR="00D36A93">
        <w:t>)</w:t>
      </w:r>
      <w:r w:rsidR="00892883">
        <w:t xml:space="preserve">; </w:t>
      </w:r>
      <w:r w:rsidRPr="005C2E22" w:rsidR="00892883">
        <w:rPr>
          <w:i/>
          <w:iCs/>
        </w:rPr>
        <w:t>see</w:t>
      </w:r>
      <w:r w:rsidRPr="00EC55D4" w:rsidR="00892883">
        <w:rPr>
          <w:i/>
          <w:iCs/>
        </w:rPr>
        <w:t xml:space="preserve"> also Rules and Policies on Foreign Participation in the U.S. Telecommunications Market; Market Entry and Regulation of Foreign-Affiliated Entities</w:t>
      </w:r>
      <w:r w:rsidR="00892883">
        <w:t>, IB Docket Nos. 97-142 and 95-22, Report and Order and Order on Reconsideration, 12 FCC Rcd 23891, 23918-19, paras. 61-63 (1997), recon. denied, 15 FCC Rcd 18158 (2000).</w:t>
      </w:r>
    </w:p>
  </w:footnote>
  <w:footnote w:id="39">
    <w:p w:rsidR="00306D2D" w:rsidRPr="00F051F6" w:rsidP="00306D2D" w14:paraId="4EDCD10F" w14:textId="019E31B7">
      <w:pPr>
        <w:pStyle w:val="FootnoteText"/>
      </w:pPr>
      <w:r w:rsidRPr="00F051F6">
        <w:rPr>
          <w:rStyle w:val="FootnoteReference"/>
        </w:rPr>
        <w:footnoteRef/>
      </w:r>
      <w:r w:rsidRPr="00F051F6">
        <w:t xml:space="preserve"> </w:t>
      </w:r>
      <w:r w:rsidRPr="007E0588">
        <w:t xml:space="preserve">Letter from </w:t>
      </w:r>
      <w:r w:rsidR="00C75344">
        <w:t>Christopher R. Clements</w:t>
      </w:r>
      <w:r w:rsidRPr="007E0588">
        <w:t xml:space="preserve">, </w:t>
      </w:r>
      <w:r w:rsidRPr="00C75344" w:rsidR="00C75344">
        <w:t xml:space="preserve">Chief (Acting), Foreign Investment Review Section, National Security Division, </w:t>
      </w:r>
      <w:r w:rsidR="007A6E58">
        <w:t>DOJ</w:t>
      </w:r>
      <w:r w:rsidRPr="007E0588">
        <w:t xml:space="preserve">, to </w:t>
      </w:r>
      <w:r w:rsidR="00C75344">
        <w:t>Marlene H. Dortch</w:t>
      </w:r>
      <w:r w:rsidRPr="007E0588">
        <w:t xml:space="preserve">, </w:t>
      </w:r>
      <w:r w:rsidR="00C75344">
        <w:t>Secretary</w:t>
      </w:r>
      <w:r w:rsidRPr="007E0588">
        <w:t xml:space="preserve">, </w:t>
      </w:r>
      <w:r w:rsidRPr="007578D4">
        <w:t>FCC, MB Docket No. 2</w:t>
      </w:r>
      <w:r w:rsidRPr="007578D4" w:rsidR="00C75344">
        <w:t>6</w:t>
      </w:r>
      <w:r w:rsidRPr="007578D4">
        <w:t>-</w:t>
      </w:r>
      <w:r w:rsidRPr="007578D4" w:rsidR="007578D4">
        <w:t>10</w:t>
      </w:r>
      <w:r w:rsidR="00A72463">
        <w:t>9</w:t>
      </w:r>
      <w:r w:rsidRPr="007E0588">
        <w:t xml:space="preserve"> (</w:t>
      </w:r>
      <w:r>
        <w:t>dated</w:t>
      </w:r>
      <w:r w:rsidRPr="007E0588">
        <w:t xml:space="preserve"> </w:t>
      </w:r>
      <w:r w:rsidR="00C75344">
        <w:t>Apr.</w:t>
      </w:r>
      <w:r>
        <w:t xml:space="preserve"> </w:t>
      </w:r>
      <w:r w:rsidR="00C75344">
        <w:t>16</w:t>
      </w:r>
      <w:r w:rsidRPr="007E0588">
        <w:t>, 202</w:t>
      </w:r>
      <w:r w:rsidR="00C75344">
        <w:t>6</w:t>
      </w:r>
      <w:r w:rsidRPr="007E0588">
        <w:t>)</w:t>
      </w:r>
      <w:r w:rsidRPr="00E22F8A" w:rsidR="00E22F8A">
        <w:t xml:space="preserve"> (</w:t>
      </w:r>
      <w:r w:rsidR="007A6E58">
        <w:t>informing the Commission that a</w:t>
      </w:r>
      <w:r w:rsidRPr="00E22F8A" w:rsidR="00E22F8A">
        <w:t xml:space="preserve"> referral to the Committee is unnecessary based on the Petitioner’s responses to </w:t>
      </w:r>
      <w:r w:rsidR="007A6E58">
        <w:t xml:space="preserve">the </w:t>
      </w:r>
      <w:r w:rsidRPr="00E22F8A" w:rsidR="00E22F8A">
        <w:t>standard questions and</w:t>
      </w:r>
      <w:r w:rsidR="007A6E58">
        <w:t xml:space="preserve"> to</w:t>
      </w:r>
      <w:r w:rsidRPr="00E22F8A" w:rsidR="00E22F8A">
        <w:t xml:space="preserve"> DOJ’s tailored questions)</w:t>
      </w:r>
      <w:r w:rsidRPr="007F2DCC">
        <w:rPr>
          <w:i/>
          <w:iCs/>
        </w:rPr>
        <w:t>.</w:t>
      </w:r>
      <w:r w:rsidR="00C75344">
        <w:t xml:space="preserve"> </w:t>
      </w:r>
      <w:r w:rsidRPr="00F822CC">
        <w:t xml:space="preserve"> </w:t>
      </w:r>
    </w:p>
  </w:footnote>
  <w:footnote w:id="40">
    <w:p w:rsidR="00C1774B" w:rsidP="00C1774B" w14:paraId="53DA3241" w14:textId="2FD179D2">
      <w:pPr>
        <w:pStyle w:val="FootnoteText"/>
      </w:pPr>
      <w:r>
        <w:rPr>
          <w:rStyle w:val="FootnoteReference"/>
        </w:rPr>
        <w:footnoteRef/>
      </w:r>
      <w:r>
        <w:t xml:space="preserve"> </w:t>
      </w:r>
      <w:r w:rsidRPr="006A2122">
        <w:rPr>
          <w:i/>
          <w:iCs/>
        </w:rPr>
        <w:t>See</w:t>
      </w:r>
      <w:r>
        <w:t xml:space="preserve"> </w:t>
      </w:r>
      <w:r w:rsidRPr="006A2122">
        <w:t xml:space="preserve">47 CFR § 1.40001(a) (“The Commission, in its discretion, may refer applications, petitions, and other filings to the executive branch for review for national security, law enforcement, foreign policy, and/or trade policy concerns.”); </w:t>
      </w:r>
      <w:r w:rsidRPr="006A2122">
        <w:rPr>
          <w:i/>
          <w:iCs/>
        </w:rPr>
        <w:t xml:space="preserve">see also </w:t>
      </w:r>
      <w:r w:rsidRPr="00D36A93" w:rsidR="00D36A93">
        <w:rPr>
          <w:i/>
          <w:iCs/>
        </w:rPr>
        <w:t>Executive Branch Review Report and Order</w:t>
      </w:r>
      <w:r w:rsidRPr="006A2122">
        <w:t xml:space="preserve">, 35 FCC Rcd </w:t>
      </w:r>
      <w:r w:rsidR="00D36A93">
        <w:t>at</w:t>
      </w:r>
      <w:r w:rsidRPr="006A2122">
        <w:t xml:space="preserve"> 10929, 10936, paras. 4, 24</w:t>
      </w:r>
      <w:r w:rsidR="00D36A93">
        <w:t xml:space="preserve"> </w:t>
      </w:r>
      <w:r w:rsidRPr="006A2122">
        <w:t>(stating</w:t>
      </w:r>
      <w:r w:rsidR="00DC4E22">
        <w:t xml:space="preserve"> </w:t>
      </w:r>
      <w:r w:rsidRPr="006A2122">
        <w:t>that “[t]he Commission… retains discretion to determine which applications it will refer to the agencies for review” and further “retains the discretion to exclude certain types of applications that it may have referred in the past”)</w:t>
      </w:r>
      <w:r>
        <w:t>.</w:t>
      </w:r>
      <w:r w:rsidRPr="008417A7">
        <w:rPr>
          <w:snapToGrid w:val="0"/>
          <w:kern w:val="28"/>
          <w:sz w:val="22"/>
        </w:rPr>
        <w:t xml:space="preserve"> </w:t>
      </w:r>
      <w:r>
        <w:rPr>
          <w:snapToGrid w:val="0"/>
          <w:kern w:val="28"/>
          <w:sz w:val="22"/>
        </w:rPr>
        <w:t xml:space="preserve"> </w:t>
      </w:r>
    </w:p>
  </w:footnote>
  <w:footnote w:id="41">
    <w:p w:rsidR="0004384E" w:rsidRPr="00BC03BD" w:rsidP="0004384E" w14:paraId="7C4808FA" w14:textId="60559E04">
      <w:pPr>
        <w:spacing w:after="120"/>
        <w:rPr>
          <w:sz w:val="20"/>
        </w:rPr>
      </w:pPr>
      <w:r w:rsidRPr="00BC03BD">
        <w:rPr>
          <w:rStyle w:val="FootnoteReference"/>
          <w:sz w:val="20"/>
        </w:rPr>
        <w:footnoteRef/>
      </w:r>
      <w:r>
        <w:rPr>
          <w:sz w:val="20"/>
        </w:rPr>
        <w:t xml:space="preserve"> </w:t>
      </w:r>
      <w:r w:rsidRPr="00E17D0D" w:rsidR="00E17D0D">
        <w:rPr>
          <w:sz w:val="20"/>
        </w:rPr>
        <w:t>47 CFR</w:t>
      </w:r>
      <w:r w:rsidRPr="00E17D0D">
        <w:rPr>
          <w:sz w:val="20"/>
        </w:rPr>
        <w:t xml:space="preserve"> §</w:t>
      </w:r>
      <w:r w:rsidRPr="00BC03BD">
        <w:rPr>
          <w:sz w:val="20"/>
        </w:rPr>
        <w:t xml:space="preserve"> 1.1200(a).  </w:t>
      </w:r>
    </w:p>
  </w:footnote>
  <w:footnote w:id="42">
    <w:p w:rsidR="0004384E" w:rsidRPr="00BC03BD" w:rsidP="0004384E" w14:paraId="728D494A" w14:textId="77777777">
      <w:pPr>
        <w:pStyle w:val="FootnoteText"/>
      </w:pPr>
      <w:r w:rsidRPr="00BC03BD">
        <w:rPr>
          <w:rStyle w:val="FootnoteReference"/>
        </w:rPr>
        <w:footnoteRef/>
      </w:r>
      <w:r>
        <w:t xml:space="preserve"> </w:t>
      </w:r>
      <w:r>
        <w:rPr>
          <w:i/>
          <w:iCs/>
        </w:rPr>
        <w:t>Id.</w:t>
      </w:r>
      <w:r>
        <w:t xml:space="preserve"> </w:t>
      </w:r>
      <w:r w:rsidRPr="00BC03BD">
        <w:t>§ 1.1206.</w:t>
      </w:r>
    </w:p>
  </w:footnote>
  <w:footnote w:id="43">
    <w:p w:rsidR="0004384E" w:rsidRPr="00BC03BD" w:rsidP="0004384E" w14:paraId="3141A06F" w14:textId="77777777">
      <w:pPr>
        <w:pStyle w:val="FootnoteText"/>
      </w:pPr>
      <w:r w:rsidRPr="00BC03BD">
        <w:rPr>
          <w:rStyle w:val="FootnoteReference"/>
        </w:rPr>
        <w:footnoteRef/>
      </w:r>
      <w:r w:rsidRPr="00BC03BD">
        <w:t xml:space="preserve"> </w:t>
      </w:r>
      <w:r w:rsidRPr="00BC03BD">
        <w:rPr>
          <w:i/>
        </w:rPr>
        <w:t xml:space="preserve">See </w:t>
      </w:r>
      <w:r>
        <w:rPr>
          <w:i/>
        </w:rPr>
        <w:t>id.</w:t>
      </w:r>
      <w:r w:rsidRPr="00BC03BD">
        <w:t xml:space="preserve"> § 1.1206(b)(1).</w:t>
      </w:r>
    </w:p>
  </w:footnote>
  <w:footnote w:id="44">
    <w:p w:rsidR="0004384E" w:rsidRPr="00BC03BD" w:rsidP="0004384E" w14:paraId="3DB4823D" w14:textId="77777777">
      <w:pPr>
        <w:pStyle w:val="FootnoteText"/>
      </w:pPr>
      <w:r w:rsidRPr="00BC03BD">
        <w:rPr>
          <w:rStyle w:val="FootnoteReference"/>
        </w:rPr>
        <w:footnoteRef/>
      </w:r>
      <w:r w:rsidRPr="00BC03BD">
        <w:t xml:space="preserve"> </w:t>
      </w:r>
      <w:r w:rsidRPr="00BC03BD">
        <w:rPr>
          <w:i/>
        </w:rPr>
        <w:t>See id</w:t>
      </w:r>
      <w:r w:rsidRPr="00BC03BD">
        <w:t>.</w:t>
      </w:r>
    </w:p>
  </w:footnote>
  <w:footnote w:id="45">
    <w:p w:rsidR="0004384E" w:rsidRPr="00BC03BD" w:rsidP="0004384E" w14:paraId="50F535AD" w14:textId="77777777">
      <w:pPr>
        <w:pStyle w:val="FootnoteText"/>
      </w:pPr>
      <w:r w:rsidRPr="00BC03BD">
        <w:rPr>
          <w:rStyle w:val="FootnoteReference"/>
        </w:rPr>
        <w:footnoteRef/>
      </w:r>
      <w:r w:rsidRPr="00BC03BD">
        <w:t xml:space="preserve"> </w:t>
      </w:r>
      <w:r>
        <w:rPr>
          <w:i/>
          <w:iCs/>
        </w:rPr>
        <w:t>Id.</w:t>
      </w:r>
      <w:r w:rsidRPr="00BC03BD">
        <w:t xml:space="preserve"> § 1.1206(b).</w:t>
      </w:r>
    </w:p>
  </w:footnote>
  <w:footnote w:id="46">
    <w:p w:rsidR="0004384E" w:rsidRPr="006030E1" w:rsidP="0004384E" w14:paraId="6A190DAE" w14:textId="77777777">
      <w:pPr>
        <w:pStyle w:val="FootnoteText"/>
      </w:pPr>
      <w:r w:rsidRPr="0027421A">
        <w:rPr>
          <w:rStyle w:val="FootnoteReference"/>
        </w:rPr>
        <w:footnoteRef/>
      </w:r>
      <w:r w:rsidRPr="0027421A">
        <w:t xml:space="preserve"> </w:t>
      </w:r>
      <w:r>
        <w:rPr>
          <w:i/>
          <w:iCs/>
        </w:rPr>
        <w:t>Id.</w:t>
      </w:r>
      <w:r w:rsidRPr="00BC03BD">
        <w:t xml:space="preserve"> </w:t>
      </w:r>
      <w:r w:rsidRPr="0027421A">
        <w:t>§§ 1.46(a), 73.3584(e).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8A3B191" w14:textId="36E729C5">
    <w:pPr>
      <w:tabs>
        <w:tab w:val="center" w:pos="4680"/>
        <w:tab w:val="right" w:pos="9360"/>
      </w:tabs>
    </w:pPr>
    <w:r>
      <w:rPr>
        <w:b/>
      </w:rPr>
      <w:tab/>
      <w:t>Federal Communications Commission</w:t>
    </w:r>
    <w:r>
      <w:rPr>
        <w:b/>
      </w:rPr>
      <w:tab/>
    </w:r>
    <w:r w:rsidR="00161F66">
      <w:rPr>
        <w:b/>
      </w:rPr>
      <w:t>DA 2</w:t>
    </w:r>
    <w:r w:rsidR="00202817">
      <w:rPr>
        <w:b/>
      </w:rPr>
      <w:t>6</w:t>
    </w:r>
    <w:r w:rsidR="00161F66">
      <w:rPr>
        <w:b/>
      </w:rPr>
      <w:t>-</w:t>
    </w:r>
    <w:r w:rsidR="007578D4">
      <w:rPr>
        <w:b/>
      </w:rPr>
      <w:t>452</w:t>
    </w:r>
  </w:p>
  <w:p w:rsidR="00BA3BA8" w14:paraId="5ADFD8D2" w14:textId="01C2AEA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588DE5A0"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53EAD7E4" w14:textId="6FCFD58B">
    <w:pPr>
      <w:pStyle w:val="Header"/>
    </w:pPr>
    <w:r>
      <w:rPr>
        <w:noProof/>
      </w:rPr>
      <w:drawing>
        <wp:inline distT="0" distB="0" distL="0" distR="0">
          <wp:extent cx="594995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995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65E6235"/>
    <w:multiLevelType w:val="hybridMultilevel"/>
    <w:tmpl w:val="0922B6C0"/>
    <w:lvl w:ilvl="0">
      <w:start w:val="0"/>
      <w:numFmt w:val="bullet"/>
      <w:lvlText w:val=""/>
      <w:lvlJc w:val="left"/>
      <w:pPr>
        <w:ind w:left="1080" w:hanging="360"/>
      </w:pPr>
      <w:rPr>
        <w:rFonts w:ascii="Symbol" w:eastAsia="Times New Roman" w:hAnsi="Symbol" w:cs="Times New Roman"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7F6F38"/>
    <w:multiLevelType w:val="hybridMultilevel"/>
    <w:tmpl w:val="0EA66342"/>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35175FAF"/>
    <w:multiLevelType w:val="hybridMultilevel"/>
    <w:tmpl w:val="F6525328"/>
    <w:lvl w:ilvl="0">
      <w:start w:val="1"/>
      <w:numFmt w:val="bullet"/>
      <w:lvlText w:val=""/>
      <w:lvlJc w:val="left"/>
      <w:pPr>
        <w:ind w:left="720" w:hanging="432"/>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54C97C9D"/>
    <w:multiLevelType w:val="hybridMultilevel"/>
    <w:tmpl w:val="E8DE1BE0"/>
    <w:lvl w:ilvl="0">
      <w:start w:val="1"/>
      <w:numFmt w:val="decimal"/>
      <w:lvlText w:val="%1."/>
      <w:lvlJc w:val="left"/>
      <w:pPr>
        <w:ind w:left="1440" w:hanging="360"/>
      </w:p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9">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496803647">
    <w:abstractNumId w:val="2"/>
  </w:num>
  <w:num w:numId="2" w16cid:durableId="1451508949">
    <w:abstractNumId w:val="9"/>
  </w:num>
  <w:num w:numId="3" w16cid:durableId="1897858268">
    <w:abstractNumId w:val="5"/>
  </w:num>
  <w:num w:numId="4" w16cid:durableId="569580067">
    <w:abstractNumId w:val="7"/>
  </w:num>
  <w:num w:numId="5" w16cid:durableId="1797521681">
    <w:abstractNumId w:val="3"/>
  </w:num>
  <w:num w:numId="6" w16cid:durableId="483813737">
    <w:abstractNumId w:val="1"/>
  </w:num>
  <w:num w:numId="7" w16cid:durableId="1385444772">
    <w:abstractNumId w:val="6"/>
  </w:num>
  <w:num w:numId="8" w16cid:durableId="1975134619">
    <w:abstractNumId w:val="4"/>
  </w:num>
  <w:num w:numId="9" w16cid:durableId="2133330068">
    <w:abstractNumId w:val="8"/>
  </w:num>
  <w:num w:numId="10" w16cid:durableId="12592119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66B"/>
    <w:rsid w:val="00006915"/>
    <w:rsid w:val="00010E8D"/>
    <w:rsid w:val="00011352"/>
    <w:rsid w:val="00012F30"/>
    <w:rsid w:val="00013186"/>
    <w:rsid w:val="00022EBA"/>
    <w:rsid w:val="00030774"/>
    <w:rsid w:val="00037C95"/>
    <w:rsid w:val="0004384E"/>
    <w:rsid w:val="00044F15"/>
    <w:rsid w:val="00046F8F"/>
    <w:rsid w:val="000540EF"/>
    <w:rsid w:val="00063995"/>
    <w:rsid w:val="0006620B"/>
    <w:rsid w:val="00067E5A"/>
    <w:rsid w:val="00074CE2"/>
    <w:rsid w:val="000753FF"/>
    <w:rsid w:val="00080740"/>
    <w:rsid w:val="00083702"/>
    <w:rsid w:val="000911CB"/>
    <w:rsid w:val="000929C2"/>
    <w:rsid w:val="00093293"/>
    <w:rsid w:val="00093BA1"/>
    <w:rsid w:val="000B4053"/>
    <w:rsid w:val="000C1C24"/>
    <w:rsid w:val="000C2D8B"/>
    <w:rsid w:val="000D431F"/>
    <w:rsid w:val="000E578F"/>
    <w:rsid w:val="000F4473"/>
    <w:rsid w:val="00102D79"/>
    <w:rsid w:val="00111F21"/>
    <w:rsid w:val="00113816"/>
    <w:rsid w:val="00116938"/>
    <w:rsid w:val="00122520"/>
    <w:rsid w:val="0012576C"/>
    <w:rsid w:val="00127A70"/>
    <w:rsid w:val="00131641"/>
    <w:rsid w:val="00133EE9"/>
    <w:rsid w:val="00135AC5"/>
    <w:rsid w:val="00135E64"/>
    <w:rsid w:val="00140384"/>
    <w:rsid w:val="001407D5"/>
    <w:rsid w:val="00141B17"/>
    <w:rsid w:val="00146AA2"/>
    <w:rsid w:val="00160E54"/>
    <w:rsid w:val="00161E80"/>
    <w:rsid w:val="00161F66"/>
    <w:rsid w:val="001638CE"/>
    <w:rsid w:val="00181074"/>
    <w:rsid w:val="0018279D"/>
    <w:rsid w:val="00183157"/>
    <w:rsid w:val="00184029"/>
    <w:rsid w:val="001A34AB"/>
    <w:rsid w:val="001A3945"/>
    <w:rsid w:val="001A4B81"/>
    <w:rsid w:val="001A5242"/>
    <w:rsid w:val="001A6112"/>
    <w:rsid w:val="001A7E50"/>
    <w:rsid w:val="001B7689"/>
    <w:rsid w:val="001D0F69"/>
    <w:rsid w:val="001E0EA1"/>
    <w:rsid w:val="001E54B4"/>
    <w:rsid w:val="001E73B5"/>
    <w:rsid w:val="001E74B9"/>
    <w:rsid w:val="001F0472"/>
    <w:rsid w:val="001F147B"/>
    <w:rsid w:val="001F1B85"/>
    <w:rsid w:val="001F5108"/>
    <w:rsid w:val="001F6E7F"/>
    <w:rsid w:val="002020F1"/>
    <w:rsid w:val="00202817"/>
    <w:rsid w:val="00213F49"/>
    <w:rsid w:val="00216CC1"/>
    <w:rsid w:val="00224ECB"/>
    <w:rsid w:val="00243A89"/>
    <w:rsid w:val="002557C5"/>
    <w:rsid w:val="00260B42"/>
    <w:rsid w:val="0026721E"/>
    <w:rsid w:val="0027421A"/>
    <w:rsid w:val="00277B3F"/>
    <w:rsid w:val="0028194C"/>
    <w:rsid w:val="00282F2C"/>
    <w:rsid w:val="00285619"/>
    <w:rsid w:val="00294088"/>
    <w:rsid w:val="00294C8A"/>
    <w:rsid w:val="00296AFB"/>
    <w:rsid w:val="00297097"/>
    <w:rsid w:val="002B1D7B"/>
    <w:rsid w:val="002B2AEE"/>
    <w:rsid w:val="002B3D58"/>
    <w:rsid w:val="002B6025"/>
    <w:rsid w:val="002B7B1B"/>
    <w:rsid w:val="002C1547"/>
    <w:rsid w:val="002C19F7"/>
    <w:rsid w:val="002D0FBA"/>
    <w:rsid w:val="002D1498"/>
    <w:rsid w:val="002D2064"/>
    <w:rsid w:val="002D623E"/>
    <w:rsid w:val="002D7C57"/>
    <w:rsid w:val="002E7E54"/>
    <w:rsid w:val="002F37AE"/>
    <w:rsid w:val="002F58D5"/>
    <w:rsid w:val="003032B0"/>
    <w:rsid w:val="00304AC3"/>
    <w:rsid w:val="00306D2D"/>
    <w:rsid w:val="00310D76"/>
    <w:rsid w:val="00310EEA"/>
    <w:rsid w:val="003133C8"/>
    <w:rsid w:val="00320E4F"/>
    <w:rsid w:val="00321223"/>
    <w:rsid w:val="00331D98"/>
    <w:rsid w:val="00333A41"/>
    <w:rsid w:val="00344F28"/>
    <w:rsid w:val="00350C92"/>
    <w:rsid w:val="00351E56"/>
    <w:rsid w:val="003568E6"/>
    <w:rsid w:val="003617FC"/>
    <w:rsid w:val="00362F61"/>
    <w:rsid w:val="00363A04"/>
    <w:rsid w:val="003649C0"/>
    <w:rsid w:val="003703BC"/>
    <w:rsid w:val="003705B7"/>
    <w:rsid w:val="0037138D"/>
    <w:rsid w:val="00377306"/>
    <w:rsid w:val="003811CB"/>
    <w:rsid w:val="00392939"/>
    <w:rsid w:val="003962BF"/>
    <w:rsid w:val="003A1269"/>
    <w:rsid w:val="003B2239"/>
    <w:rsid w:val="003B264F"/>
    <w:rsid w:val="003C2443"/>
    <w:rsid w:val="003C3AD9"/>
    <w:rsid w:val="003D0256"/>
    <w:rsid w:val="003D7350"/>
    <w:rsid w:val="003E4201"/>
    <w:rsid w:val="003F4753"/>
    <w:rsid w:val="003F4FE5"/>
    <w:rsid w:val="003F5474"/>
    <w:rsid w:val="00423749"/>
    <w:rsid w:val="00430183"/>
    <w:rsid w:val="00440121"/>
    <w:rsid w:val="00441EFE"/>
    <w:rsid w:val="00445BA8"/>
    <w:rsid w:val="004507F5"/>
    <w:rsid w:val="0045449D"/>
    <w:rsid w:val="0045577A"/>
    <w:rsid w:val="004601B5"/>
    <w:rsid w:val="004608BA"/>
    <w:rsid w:val="00462C01"/>
    <w:rsid w:val="00467D5C"/>
    <w:rsid w:val="0047153D"/>
    <w:rsid w:val="00475EF0"/>
    <w:rsid w:val="00482BE3"/>
    <w:rsid w:val="004859B5"/>
    <w:rsid w:val="004916B8"/>
    <w:rsid w:val="00492E45"/>
    <w:rsid w:val="00496A8A"/>
    <w:rsid w:val="004970A5"/>
    <w:rsid w:val="004A1151"/>
    <w:rsid w:val="004A6B89"/>
    <w:rsid w:val="004C01A2"/>
    <w:rsid w:val="004C04A6"/>
    <w:rsid w:val="004C1A34"/>
    <w:rsid w:val="004C3662"/>
    <w:rsid w:val="004C3C21"/>
    <w:rsid w:val="004C5EEE"/>
    <w:rsid w:val="004D2734"/>
    <w:rsid w:val="004D72CE"/>
    <w:rsid w:val="004E4656"/>
    <w:rsid w:val="004E4C78"/>
    <w:rsid w:val="004E595D"/>
    <w:rsid w:val="004E735F"/>
    <w:rsid w:val="004F1417"/>
    <w:rsid w:val="005058B4"/>
    <w:rsid w:val="0051194B"/>
    <w:rsid w:val="00513819"/>
    <w:rsid w:val="00515A17"/>
    <w:rsid w:val="00515C44"/>
    <w:rsid w:val="00515FE3"/>
    <w:rsid w:val="0051719F"/>
    <w:rsid w:val="0051756C"/>
    <w:rsid w:val="00523ABC"/>
    <w:rsid w:val="005242CE"/>
    <w:rsid w:val="005302BF"/>
    <w:rsid w:val="005376C3"/>
    <w:rsid w:val="005467A3"/>
    <w:rsid w:val="00550113"/>
    <w:rsid w:val="005518B5"/>
    <w:rsid w:val="00551EE1"/>
    <w:rsid w:val="00552914"/>
    <w:rsid w:val="00552B17"/>
    <w:rsid w:val="00560155"/>
    <w:rsid w:val="0056480C"/>
    <w:rsid w:val="00575206"/>
    <w:rsid w:val="00576B02"/>
    <w:rsid w:val="00583355"/>
    <w:rsid w:val="00593EF8"/>
    <w:rsid w:val="005A2FE5"/>
    <w:rsid w:val="005A4F51"/>
    <w:rsid w:val="005A518C"/>
    <w:rsid w:val="005B79D6"/>
    <w:rsid w:val="005C2E22"/>
    <w:rsid w:val="005C5078"/>
    <w:rsid w:val="005D58A4"/>
    <w:rsid w:val="005F3808"/>
    <w:rsid w:val="005F3E06"/>
    <w:rsid w:val="005F7085"/>
    <w:rsid w:val="0060181F"/>
    <w:rsid w:val="00602E8E"/>
    <w:rsid w:val="006030E1"/>
    <w:rsid w:val="0060727D"/>
    <w:rsid w:val="0061019C"/>
    <w:rsid w:val="0061187B"/>
    <w:rsid w:val="00614022"/>
    <w:rsid w:val="00625AB8"/>
    <w:rsid w:val="00627008"/>
    <w:rsid w:val="00631262"/>
    <w:rsid w:val="00633C4B"/>
    <w:rsid w:val="0063491D"/>
    <w:rsid w:val="00644338"/>
    <w:rsid w:val="00645365"/>
    <w:rsid w:val="00646F1C"/>
    <w:rsid w:val="006513A7"/>
    <w:rsid w:val="00653915"/>
    <w:rsid w:val="00665757"/>
    <w:rsid w:val="006665ED"/>
    <w:rsid w:val="00666A8A"/>
    <w:rsid w:val="00667E87"/>
    <w:rsid w:val="006805D8"/>
    <w:rsid w:val="00685871"/>
    <w:rsid w:val="0068679D"/>
    <w:rsid w:val="00696A8D"/>
    <w:rsid w:val="006A05B2"/>
    <w:rsid w:val="006A2122"/>
    <w:rsid w:val="006D180F"/>
    <w:rsid w:val="006D52C9"/>
    <w:rsid w:val="006E7ED8"/>
    <w:rsid w:val="006F1DBF"/>
    <w:rsid w:val="006F2C89"/>
    <w:rsid w:val="0070346B"/>
    <w:rsid w:val="00706D24"/>
    <w:rsid w:val="00714BAA"/>
    <w:rsid w:val="0072568D"/>
    <w:rsid w:val="00730610"/>
    <w:rsid w:val="00731BD6"/>
    <w:rsid w:val="0073253C"/>
    <w:rsid w:val="00732A95"/>
    <w:rsid w:val="00751BDC"/>
    <w:rsid w:val="00752BF8"/>
    <w:rsid w:val="00756D50"/>
    <w:rsid w:val="007578D4"/>
    <w:rsid w:val="00764E3C"/>
    <w:rsid w:val="0077272E"/>
    <w:rsid w:val="0077454F"/>
    <w:rsid w:val="0077657E"/>
    <w:rsid w:val="0077770F"/>
    <w:rsid w:val="007813F2"/>
    <w:rsid w:val="0078654A"/>
    <w:rsid w:val="007A6E58"/>
    <w:rsid w:val="007A7379"/>
    <w:rsid w:val="007A774B"/>
    <w:rsid w:val="007A7EF4"/>
    <w:rsid w:val="007B2AE5"/>
    <w:rsid w:val="007B6755"/>
    <w:rsid w:val="007B684E"/>
    <w:rsid w:val="007B7122"/>
    <w:rsid w:val="007B75B2"/>
    <w:rsid w:val="007C1E13"/>
    <w:rsid w:val="007D40D1"/>
    <w:rsid w:val="007D7D29"/>
    <w:rsid w:val="007E0588"/>
    <w:rsid w:val="007E197E"/>
    <w:rsid w:val="007E63FE"/>
    <w:rsid w:val="007E6C18"/>
    <w:rsid w:val="007F2DCC"/>
    <w:rsid w:val="007F5D50"/>
    <w:rsid w:val="0080079A"/>
    <w:rsid w:val="008059F9"/>
    <w:rsid w:val="00810348"/>
    <w:rsid w:val="00816A6B"/>
    <w:rsid w:val="008175AD"/>
    <w:rsid w:val="00817EA3"/>
    <w:rsid w:val="008214C2"/>
    <w:rsid w:val="00822D1E"/>
    <w:rsid w:val="0082317B"/>
    <w:rsid w:val="00823CBC"/>
    <w:rsid w:val="008272BB"/>
    <w:rsid w:val="0083630E"/>
    <w:rsid w:val="008410FF"/>
    <w:rsid w:val="008417A7"/>
    <w:rsid w:val="00844EDC"/>
    <w:rsid w:val="00857437"/>
    <w:rsid w:val="008647AA"/>
    <w:rsid w:val="00871D66"/>
    <w:rsid w:val="008730E3"/>
    <w:rsid w:val="00875125"/>
    <w:rsid w:val="00876D98"/>
    <w:rsid w:val="00882797"/>
    <w:rsid w:val="00884E7C"/>
    <w:rsid w:val="00885BBC"/>
    <w:rsid w:val="00892883"/>
    <w:rsid w:val="008A01A4"/>
    <w:rsid w:val="008A6224"/>
    <w:rsid w:val="008B24D2"/>
    <w:rsid w:val="008B4B90"/>
    <w:rsid w:val="008B7C55"/>
    <w:rsid w:val="008C04FD"/>
    <w:rsid w:val="008C4571"/>
    <w:rsid w:val="008D0575"/>
    <w:rsid w:val="008E1822"/>
    <w:rsid w:val="008E3390"/>
    <w:rsid w:val="008F2B1C"/>
    <w:rsid w:val="009115E3"/>
    <w:rsid w:val="00911684"/>
    <w:rsid w:val="00915AB7"/>
    <w:rsid w:val="00924CB7"/>
    <w:rsid w:val="00932F1B"/>
    <w:rsid w:val="00933E86"/>
    <w:rsid w:val="009345A5"/>
    <w:rsid w:val="00935B87"/>
    <w:rsid w:val="00936371"/>
    <w:rsid w:val="009405E6"/>
    <w:rsid w:val="00940BDA"/>
    <w:rsid w:val="00944DB2"/>
    <w:rsid w:val="009459A6"/>
    <w:rsid w:val="0095060A"/>
    <w:rsid w:val="009628A1"/>
    <w:rsid w:val="0097099A"/>
    <w:rsid w:val="00971B51"/>
    <w:rsid w:val="00974A6E"/>
    <w:rsid w:val="00974E0F"/>
    <w:rsid w:val="00976587"/>
    <w:rsid w:val="0098212B"/>
    <w:rsid w:val="009865C0"/>
    <w:rsid w:val="009908A6"/>
    <w:rsid w:val="009A1925"/>
    <w:rsid w:val="009A302B"/>
    <w:rsid w:val="009A4A75"/>
    <w:rsid w:val="009B061F"/>
    <w:rsid w:val="009B31EC"/>
    <w:rsid w:val="009B442E"/>
    <w:rsid w:val="009B494F"/>
    <w:rsid w:val="009B7140"/>
    <w:rsid w:val="009C1809"/>
    <w:rsid w:val="009C4C1D"/>
    <w:rsid w:val="009C4EE4"/>
    <w:rsid w:val="009C6BA4"/>
    <w:rsid w:val="009D0839"/>
    <w:rsid w:val="009E0534"/>
    <w:rsid w:val="009E06A2"/>
    <w:rsid w:val="009E1B07"/>
    <w:rsid w:val="009F7607"/>
    <w:rsid w:val="00A00B89"/>
    <w:rsid w:val="00A02CCC"/>
    <w:rsid w:val="00A03E28"/>
    <w:rsid w:val="00A10A34"/>
    <w:rsid w:val="00A2031A"/>
    <w:rsid w:val="00A20679"/>
    <w:rsid w:val="00A22751"/>
    <w:rsid w:val="00A22A56"/>
    <w:rsid w:val="00A24FAA"/>
    <w:rsid w:val="00A26118"/>
    <w:rsid w:val="00A330FE"/>
    <w:rsid w:val="00A35400"/>
    <w:rsid w:val="00A40F70"/>
    <w:rsid w:val="00A42509"/>
    <w:rsid w:val="00A5047F"/>
    <w:rsid w:val="00A51697"/>
    <w:rsid w:val="00A64B68"/>
    <w:rsid w:val="00A71642"/>
    <w:rsid w:val="00A72463"/>
    <w:rsid w:val="00A76B6D"/>
    <w:rsid w:val="00A82482"/>
    <w:rsid w:val="00A84CB0"/>
    <w:rsid w:val="00AA51F2"/>
    <w:rsid w:val="00AA54FE"/>
    <w:rsid w:val="00AB5870"/>
    <w:rsid w:val="00AB61AC"/>
    <w:rsid w:val="00AC28EE"/>
    <w:rsid w:val="00AC2B2F"/>
    <w:rsid w:val="00AC6026"/>
    <w:rsid w:val="00AC6849"/>
    <w:rsid w:val="00AD238D"/>
    <w:rsid w:val="00AD37AE"/>
    <w:rsid w:val="00AE3C2F"/>
    <w:rsid w:val="00AE431A"/>
    <w:rsid w:val="00AF0911"/>
    <w:rsid w:val="00AF1CFC"/>
    <w:rsid w:val="00AF296B"/>
    <w:rsid w:val="00AF4C02"/>
    <w:rsid w:val="00AF5ECA"/>
    <w:rsid w:val="00AF7A74"/>
    <w:rsid w:val="00B039CF"/>
    <w:rsid w:val="00B040BA"/>
    <w:rsid w:val="00B0605E"/>
    <w:rsid w:val="00B06A98"/>
    <w:rsid w:val="00B119DB"/>
    <w:rsid w:val="00B137BC"/>
    <w:rsid w:val="00B23D96"/>
    <w:rsid w:val="00B24978"/>
    <w:rsid w:val="00B25B03"/>
    <w:rsid w:val="00B25B0D"/>
    <w:rsid w:val="00B301F5"/>
    <w:rsid w:val="00B31B00"/>
    <w:rsid w:val="00B445ED"/>
    <w:rsid w:val="00B44DF0"/>
    <w:rsid w:val="00B47705"/>
    <w:rsid w:val="00B531C7"/>
    <w:rsid w:val="00B53F9E"/>
    <w:rsid w:val="00B54B9E"/>
    <w:rsid w:val="00B612A0"/>
    <w:rsid w:val="00B70308"/>
    <w:rsid w:val="00B81D25"/>
    <w:rsid w:val="00B904E0"/>
    <w:rsid w:val="00B91676"/>
    <w:rsid w:val="00B92028"/>
    <w:rsid w:val="00B939CA"/>
    <w:rsid w:val="00B97808"/>
    <w:rsid w:val="00B97BDE"/>
    <w:rsid w:val="00BA3B94"/>
    <w:rsid w:val="00BA3BA8"/>
    <w:rsid w:val="00BA49E8"/>
    <w:rsid w:val="00BC03BD"/>
    <w:rsid w:val="00BC5429"/>
    <w:rsid w:val="00BC6C6D"/>
    <w:rsid w:val="00BC7AA8"/>
    <w:rsid w:val="00BD2C9F"/>
    <w:rsid w:val="00BE0E3F"/>
    <w:rsid w:val="00BE34A2"/>
    <w:rsid w:val="00BE5C06"/>
    <w:rsid w:val="00BF1923"/>
    <w:rsid w:val="00BF2FB0"/>
    <w:rsid w:val="00BF4ACF"/>
    <w:rsid w:val="00BF53FC"/>
    <w:rsid w:val="00BF7082"/>
    <w:rsid w:val="00C01CCE"/>
    <w:rsid w:val="00C04595"/>
    <w:rsid w:val="00C15445"/>
    <w:rsid w:val="00C1774B"/>
    <w:rsid w:val="00C17DF7"/>
    <w:rsid w:val="00C25E8D"/>
    <w:rsid w:val="00C27A8D"/>
    <w:rsid w:val="00C31AA8"/>
    <w:rsid w:val="00C336AD"/>
    <w:rsid w:val="00C3651C"/>
    <w:rsid w:val="00C37833"/>
    <w:rsid w:val="00C4591F"/>
    <w:rsid w:val="00C51BB9"/>
    <w:rsid w:val="00C557F0"/>
    <w:rsid w:val="00C57AFD"/>
    <w:rsid w:val="00C611BA"/>
    <w:rsid w:val="00C64489"/>
    <w:rsid w:val="00C64E3C"/>
    <w:rsid w:val="00C64F30"/>
    <w:rsid w:val="00C70B49"/>
    <w:rsid w:val="00C71064"/>
    <w:rsid w:val="00C74BC6"/>
    <w:rsid w:val="00C74F87"/>
    <w:rsid w:val="00C75344"/>
    <w:rsid w:val="00C777E1"/>
    <w:rsid w:val="00C8073B"/>
    <w:rsid w:val="00C91EFB"/>
    <w:rsid w:val="00C93FAA"/>
    <w:rsid w:val="00C974A7"/>
    <w:rsid w:val="00CA04CE"/>
    <w:rsid w:val="00CA14A0"/>
    <w:rsid w:val="00CA3A9F"/>
    <w:rsid w:val="00CA4568"/>
    <w:rsid w:val="00CA4633"/>
    <w:rsid w:val="00CB145F"/>
    <w:rsid w:val="00CB268B"/>
    <w:rsid w:val="00CB306D"/>
    <w:rsid w:val="00CB357F"/>
    <w:rsid w:val="00CB4FEB"/>
    <w:rsid w:val="00CB5C0F"/>
    <w:rsid w:val="00CB5F59"/>
    <w:rsid w:val="00CC1093"/>
    <w:rsid w:val="00CC4747"/>
    <w:rsid w:val="00CC4991"/>
    <w:rsid w:val="00CC68A0"/>
    <w:rsid w:val="00CD3075"/>
    <w:rsid w:val="00CD66DA"/>
    <w:rsid w:val="00CD6DC8"/>
    <w:rsid w:val="00CD79F6"/>
    <w:rsid w:val="00CE2942"/>
    <w:rsid w:val="00CF2936"/>
    <w:rsid w:val="00CF65F4"/>
    <w:rsid w:val="00D00195"/>
    <w:rsid w:val="00D035F9"/>
    <w:rsid w:val="00D03C20"/>
    <w:rsid w:val="00D13B3D"/>
    <w:rsid w:val="00D13C6E"/>
    <w:rsid w:val="00D17667"/>
    <w:rsid w:val="00D211B3"/>
    <w:rsid w:val="00D3054A"/>
    <w:rsid w:val="00D36A93"/>
    <w:rsid w:val="00D452CF"/>
    <w:rsid w:val="00D46FE9"/>
    <w:rsid w:val="00D54060"/>
    <w:rsid w:val="00D5413D"/>
    <w:rsid w:val="00D54ED6"/>
    <w:rsid w:val="00D55639"/>
    <w:rsid w:val="00D70100"/>
    <w:rsid w:val="00D74412"/>
    <w:rsid w:val="00D84845"/>
    <w:rsid w:val="00D8511E"/>
    <w:rsid w:val="00D9121A"/>
    <w:rsid w:val="00D93197"/>
    <w:rsid w:val="00D96188"/>
    <w:rsid w:val="00DA3A06"/>
    <w:rsid w:val="00DB0BC5"/>
    <w:rsid w:val="00DB0E70"/>
    <w:rsid w:val="00DB3AD3"/>
    <w:rsid w:val="00DB408D"/>
    <w:rsid w:val="00DB74B3"/>
    <w:rsid w:val="00DC2A42"/>
    <w:rsid w:val="00DC4E22"/>
    <w:rsid w:val="00DC68AA"/>
    <w:rsid w:val="00DD0507"/>
    <w:rsid w:val="00DD40D0"/>
    <w:rsid w:val="00DE3217"/>
    <w:rsid w:val="00DE6C3F"/>
    <w:rsid w:val="00DF53D5"/>
    <w:rsid w:val="00E00AED"/>
    <w:rsid w:val="00E03B43"/>
    <w:rsid w:val="00E03B57"/>
    <w:rsid w:val="00E05F91"/>
    <w:rsid w:val="00E1258E"/>
    <w:rsid w:val="00E12BF4"/>
    <w:rsid w:val="00E17D0D"/>
    <w:rsid w:val="00E22F8A"/>
    <w:rsid w:val="00E35B47"/>
    <w:rsid w:val="00E43275"/>
    <w:rsid w:val="00E432C1"/>
    <w:rsid w:val="00E43BD3"/>
    <w:rsid w:val="00E44A75"/>
    <w:rsid w:val="00E44AAF"/>
    <w:rsid w:val="00E4515B"/>
    <w:rsid w:val="00E45759"/>
    <w:rsid w:val="00E475A5"/>
    <w:rsid w:val="00E51DAB"/>
    <w:rsid w:val="00E54474"/>
    <w:rsid w:val="00E55EE3"/>
    <w:rsid w:val="00E64AFE"/>
    <w:rsid w:val="00E659D5"/>
    <w:rsid w:val="00E75BAA"/>
    <w:rsid w:val="00E75F98"/>
    <w:rsid w:val="00E77BE5"/>
    <w:rsid w:val="00E80C2A"/>
    <w:rsid w:val="00E84C87"/>
    <w:rsid w:val="00E908DC"/>
    <w:rsid w:val="00E908EB"/>
    <w:rsid w:val="00EA1A8C"/>
    <w:rsid w:val="00EB2EEC"/>
    <w:rsid w:val="00EB6FB7"/>
    <w:rsid w:val="00EC55D4"/>
    <w:rsid w:val="00EC5912"/>
    <w:rsid w:val="00EC74C8"/>
    <w:rsid w:val="00EC7C31"/>
    <w:rsid w:val="00ED3EB4"/>
    <w:rsid w:val="00ED453F"/>
    <w:rsid w:val="00EE6A0C"/>
    <w:rsid w:val="00EF0542"/>
    <w:rsid w:val="00EF466B"/>
    <w:rsid w:val="00F013D5"/>
    <w:rsid w:val="00F019F4"/>
    <w:rsid w:val="00F01B91"/>
    <w:rsid w:val="00F01D7D"/>
    <w:rsid w:val="00F03EA1"/>
    <w:rsid w:val="00F04863"/>
    <w:rsid w:val="00F051F6"/>
    <w:rsid w:val="00F0739E"/>
    <w:rsid w:val="00F13316"/>
    <w:rsid w:val="00F1405A"/>
    <w:rsid w:val="00F15445"/>
    <w:rsid w:val="00F15649"/>
    <w:rsid w:val="00F23115"/>
    <w:rsid w:val="00F33937"/>
    <w:rsid w:val="00F35407"/>
    <w:rsid w:val="00F43931"/>
    <w:rsid w:val="00F50832"/>
    <w:rsid w:val="00F53DE9"/>
    <w:rsid w:val="00F566CE"/>
    <w:rsid w:val="00F62524"/>
    <w:rsid w:val="00F66152"/>
    <w:rsid w:val="00F67C6D"/>
    <w:rsid w:val="00F67EFD"/>
    <w:rsid w:val="00F71F13"/>
    <w:rsid w:val="00F73DB8"/>
    <w:rsid w:val="00F73F38"/>
    <w:rsid w:val="00F767D7"/>
    <w:rsid w:val="00F8114A"/>
    <w:rsid w:val="00F822CC"/>
    <w:rsid w:val="00F8237D"/>
    <w:rsid w:val="00F82EED"/>
    <w:rsid w:val="00F960BD"/>
    <w:rsid w:val="00F960F4"/>
    <w:rsid w:val="00FA5397"/>
    <w:rsid w:val="00FC1162"/>
    <w:rsid w:val="00FC2016"/>
    <w:rsid w:val="00FC2531"/>
    <w:rsid w:val="00FC7C43"/>
    <w:rsid w:val="00FD100D"/>
    <w:rsid w:val="00FD66B9"/>
    <w:rsid w:val="00FD763C"/>
    <w:rsid w:val="00FD78B4"/>
    <w:rsid w:val="00FD7A07"/>
    <w:rsid w:val="00FD7AAF"/>
    <w:rsid w:val="00FE0044"/>
    <w:rsid w:val="00FE74D9"/>
    <w:rsid w:val="00FE7B87"/>
    <w:rsid w:val="00FF1DB9"/>
    <w:rsid w:val="37A7C5FA"/>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97ACDBB"/>
  <w15:chartTrackingRefBased/>
  <w15:docId w15:val="{2BB1AE8F-367E-4876-915B-758381D6C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1,Footnote Text Char1 Char,Footnote Text Char1 Char Char Char Char,Footnote Text Char2 Char Char Char Char Char1,Footnote Text Char2 Char1 Char Char1,Footnote Text Char3,Footnote Text Char3 Char Char1,Footnote Text Char5"/>
    <w:link w:val="FootnoteTextChar"/>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Footnote Text Char1 Char1,Footnote Text Char1 Char Char,Footnote Text Char1 Char Char Char Char Char,Footnote Text Char2 Char Char Char Char Char1 Char,Footnote Text Char2 Char1 Char Char1 Char,Footnote Text Char3 Char"/>
    <w:link w:val="FootnoteText"/>
    <w:rsid w:val="0004384E"/>
  </w:style>
  <w:style w:type="character" w:styleId="FollowedHyperlink">
    <w:name w:val="FollowedHyperlink"/>
    <w:basedOn w:val="DefaultParagraphFont"/>
    <w:uiPriority w:val="99"/>
    <w:semiHidden/>
    <w:unhideWhenUsed/>
    <w:rsid w:val="0004384E"/>
    <w:rPr>
      <w:color w:val="96607D" w:themeColor="followedHyperlink"/>
      <w:u w:val="single"/>
    </w:rPr>
  </w:style>
  <w:style w:type="paragraph" w:styleId="Revision">
    <w:name w:val="Revision"/>
    <w:hidden/>
    <w:uiPriority w:val="99"/>
    <w:semiHidden/>
    <w:rsid w:val="00645365"/>
    <w:rPr>
      <w:snapToGrid w:val="0"/>
      <w:kern w:val="28"/>
      <w:sz w:val="22"/>
    </w:rPr>
  </w:style>
  <w:style w:type="paragraph" w:styleId="ListParagraph">
    <w:name w:val="List Paragraph"/>
    <w:basedOn w:val="Normal"/>
    <w:uiPriority w:val="34"/>
    <w:qFormat/>
    <w:rsid w:val="00BF4ACF"/>
    <w:pPr>
      <w:ind w:left="720"/>
      <w:contextualSpacing/>
    </w:pPr>
  </w:style>
  <w:style w:type="character" w:customStyle="1" w:styleId="ALTSFOOTNOTEChar1">
    <w:name w:val="ALTS FOOTNOTE Char1"/>
    <w:aliases w:val="ALTS FOOTNOTE Char Char,Footnote Text Char Char1,Footnote Text Char Char Char,Footnote Text Char1 Char Char Char1,Footnote Text Char1 Char1 Char"/>
    <w:rsid w:val="00013186"/>
  </w:style>
  <w:style w:type="character" w:styleId="CommentReference">
    <w:name w:val="annotation reference"/>
    <w:basedOn w:val="DefaultParagraphFont"/>
    <w:uiPriority w:val="99"/>
    <w:semiHidden/>
    <w:unhideWhenUsed/>
    <w:rsid w:val="00310EEA"/>
    <w:rPr>
      <w:sz w:val="16"/>
      <w:szCs w:val="16"/>
    </w:rPr>
  </w:style>
  <w:style w:type="paragraph" w:styleId="CommentText">
    <w:name w:val="annotation text"/>
    <w:basedOn w:val="Normal"/>
    <w:link w:val="CommentTextChar"/>
    <w:uiPriority w:val="99"/>
    <w:unhideWhenUsed/>
    <w:rsid w:val="00310EEA"/>
    <w:rPr>
      <w:sz w:val="20"/>
    </w:rPr>
  </w:style>
  <w:style w:type="character" w:customStyle="1" w:styleId="CommentTextChar">
    <w:name w:val="Comment Text Char"/>
    <w:basedOn w:val="DefaultParagraphFont"/>
    <w:link w:val="CommentText"/>
    <w:uiPriority w:val="99"/>
    <w:rsid w:val="00310EEA"/>
    <w:rPr>
      <w:snapToGrid w:val="0"/>
      <w:kern w:val="28"/>
    </w:rPr>
  </w:style>
  <w:style w:type="paragraph" w:styleId="CommentSubject">
    <w:name w:val="annotation subject"/>
    <w:basedOn w:val="CommentText"/>
    <w:next w:val="CommentText"/>
    <w:link w:val="CommentSubjectChar"/>
    <w:uiPriority w:val="99"/>
    <w:semiHidden/>
    <w:unhideWhenUsed/>
    <w:rsid w:val="00310EEA"/>
    <w:rPr>
      <w:b/>
      <w:bCs/>
    </w:rPr>
  </w:style>
  <w:style w:type="character" w:customStyle="1" w:styleId="CommentSubjectChar">
    <w:name w:val="Comment Subject Char"/>
    <w:basedOn w:val="CommentTextChar"/>
    <w:link w:val="CommentSubject"/>
    <w:uiPriority w:val="99"/>
    <w:semiHidden/>
    <w:rsid w:val="00310EEA"/>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customizations.xml.rels><?xml version="1.0" encoding="utf-8" standalone="yes"?><Relationships xmlns="http://schemas.openxmlformats.org/package/2006/relationships"><Relationship Id="rId1" Type="http://schemas.microsoft.com/office/2006/relationships/attachedToolbars" Target="attachedToolbars.bin" /></Relationship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fcc504@fcc.gov" TargetMode="External" /><Relationship Id="rId11" Type="http://schemas.openxmlformats.org/officeDocument/2006/relationships/hyperlink" Target="mailto:nancy.murphy@fcc.gov" TargetMode="External" /><Relationship Id="rId12" Type="http://schemas.openxmlformats.org/officeDocument/2006/relationships/header" Target="header1.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2.xml" /><Relationship Id="rId16" Type="http://schemas.openxmlformats.org/officeDocument/2006/relationships/footer" Target="footer3.xml" /><Relationship Id="rId17" Type="http://schemas.microsoft.com/office/2006/relationships/keyMapCustomizations" Target="customizations.xml" /><Relationship Id="rId18" Type="http://schemas.openxmlformats.org/officeDocument/2006/relationships/theme" Target="theme/theme1.xml" /><Relationship Id="rId19" Type="http://schemas.openxmlformats.org/officeDocument/2006/relationships/numbering" Target="numbering.xml" /><Relationship Id="rId2" Type="http://schemas.openxmlformats.org/officeDocument/2006/relationships/endnotes" Target="endnotes.xml" /><Relationship Id="rId20"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www.fcc.gov/ecfs/" TargetMode="External" /><Relationship Id="rId7" Type="http://schemas.openxmlformats.org/officeDocument/2006/relationships/hyperlink" Target="mailto:albert.shuldiner@fcc.gov" TargetMode="External" /><Relationship Id="rId8" Type="http://schemas.openxmlformats.org/officeDocument/2006/relationships/hyperlink" Target="mailto:christopher.clark@fcc.gov" TargetMode="External" /><Relationship Id="rId9" Type="http://schemas.openxmlformats.org/officeDocument/2006/relationships/hyperlink" Target="mailto:brendan.holland@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